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76AAF25">
      <w:pPr>
        <w:keepLines w:val="0"/>
        <w:pageBreakBefore w:val="0"/>
        <w:widowControl w:val="0"/>
        <w:kinsoku/>
        <w:wordWrap/>
        <w:overflowPunct/>
        <w:topLinePunct w:val="0"/>
        <w:bidi w:val="0"/>
        <w:jc w:val="center"/>
        <w:outlineLvl w:val="1"/>
        <w:rPr>
          <w:rFonts w:hint="eastAsia" w:ascii="宋体" w:hAnsi="宋体" w:eastAsia="宋体" w:cs="宋体"/>
          <w:b/>
          <w:bCs/>
          <w:color w:val="auto"/>
          <w:sz w:val="28"/>
          <w:szCs w:val="36"/>
          <w:lang w:val="en-US" w:eastAsia="zh-CN"/>
        </w:rPr>
      </w:pPr>
      <w:bookmarkStart w:id="0" w:name="_Toc171529101"/>
      <w:bookmarkStart w:id="1" w:name="_Toc104040686"/>
      <w:bookmarkStart w:id="2" w:name="_Toc21613"/>
      <w:bookmarkStart w:id="3" w:name="_Toc104160554"/>
      <w:r>
        <w:rPr>
          <w:rFonts w:hint="eastAsia" w:cs="宋体"/>
          <w:b/>
          <w:bCs/>
          <w:color w:val="auto"/>
          <w:sz w:val="28"/>
          <w:szCs w:val="36"/>
          <w:lang w:val="en-US" w:eastAsia="zh-CN"/>
        </w:rPr>
        <w:t>采购需求</w:t>
      </w:r>
    </w:p>
    <w:p w14:paraId="09FB71A6">
      <w:pPr>
        <w:keepLines w:val="0"/>
        <w:pageBreakBefore w:val="0"/>
        <w:widowControl w:val="0"/>
        <w:kinsoku/>
        <w:wordWrap/>
        <w:overflowPunct/>
        <w:topLinePunct w:val="0"/>
        <w:bidi w:val="0"/>
        <w:outlineLvl w:val="1"/>
        <w:rPr>
          <w:rFonts w:hint="eastAsia" w:ascii="宋体" w:hAnsi="宋体" w:eastAsia="宋体" w:cs="宋体"/>
          <w:b/>
          <w:bCs/>
          <w:color w:val="auto"/>
        </w:rPr>
      </w:pPr>
      <w:r>
        <w:rPr>
          <w:rFonts w:hint="eastAsia" w:ascii="宋体" w:hAnsi="宋体" w:eastAsia="宋体" w:cs="宋体"/>
          <w:b/>
          <w:bCs/>
          <w:color w:val="auto"/>
        </w:rPr>
        <w:t>一、项目概述</w:t>
      </w:r>
      <w:bookmarkEnd w:id="0"/>
      <w:bookmarkEnd w:id="1"/>
      <w:bookmarkEnd w:id="2"/>
      <w:bookmarkEnd w:id="3"/>
    </w:p>
    <w:p w14:paraId="0E43AE45">
      <w:pPr>
        <w:keepLines w:val="0"/>
        <w:pageBreakBefore w:val="0"/>
        <w:widowControl w:val="0"/>
        <w:kinsoku/>
        <w:wordWrap/>
        <w:overflowPunct/>
        <w:topLinePunct w:val="0"/>
        <w:bidi w:val="0"/>
        <w:snapToGrid w:val="0"/>
        <w:ind w:firstLine="420" w:firstLineChars="200"/>
        <w:rPr>
          <w:rFonts w:hint="eastAsia" w:ascii="宋体" w:hAnsi="宋体" w:eastAsia="宋体" w:cs="宋体"/>
          <w:color w:val="auto"/>
        </w:rPr>
      </w:pPr>
      <w:r>
        <w:rPr>
          <w:rFonts w:hint="eastAsia" w:ascii="宋体" w:hAnsi="宋体" w:eastAsia="宋体" w:cs="宋体"/>
          <w:color w:val="auto"/>
          <w:szCs w:val="21"/>
        </w:rPr>
        <w:t>1.</w:t>
      </w:r>
      <w:r>
        <w:rPr>
          <w:rFonts w:hint="eastAsia" w:ascii="宋体" w:hAnsi="宋体" w:eastAsia="宋体" w:cs="宋体"/>
          <w:color w:val="auto"/>
        </w:rPr>
        <w:t>采购标的</w:t>
      </w:r>
    </w:p>
    <w:tbl>
      <w:tblPr>
        <w:tblStyle w:val="6"/>
        <w:tblW w:w="9875"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197"/>
        <w:gridCol w:w="744"/>
        <w:gridCol w:w="3660"/>
        <w:gridCol w:w="2274"/>
      </w:tblGrid>
      <w:tr w14:paraId="33E1B9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10" w:hRule="atLeast"/>
          <w:jc w:val="center"/>
        </w:trPr>
        <w:tc>
          <w:tcPr>
            <w:tcW w:w="3197" w:type="dxa"/>
            <w:shd w:val="clear" w:color="auto" w:fill="EEECE1"/>
            <w:vAlign w:val="center"/>
          </w:tcPr>
          <w:p w14:paraId="5581530C">
            <w:pPr>
              <w:keepLines w:val="0"/>
              <w:pageBreakBefore w:val="0"/>
              <w:widowControl w:val="0"/>
              <w:kinsoku/>
              <w:wordWrap/>
              <w:overflowPunct/>
              <w:topLinePunct w:val="0"/>
              <w:bidi w:val="0"/>
              <w:jc w:val="center"/>
              <w:rPr>
                <w:rFonts w:hint="eastAsia" w:ascii="宋体" w:hAnsi="宋体" w:eastAsia="宋体" w:cs="宋体"/>
                <w:b/>
                <w:color w:val="auto"/>
              </w:rPr>
            </w:pPr>
            <w:r>
              <w:rPr>
                <w:rFonts w:hint="eastAsia" w:ascii="宋体" w:hAnsi="宋体" w:eastAsia="宋体" w:cs="宋体"/>
                <w:b/>
                <w:color w:val="auto"/>
              </w:rPr>
              <w:t>采购内容</w:t>
            </w:r>
          </w:p>
        </w:tc>
        <w:tc>
          <w:tcPr>
            <w:tcW w:w="744" w:type="dxa"/>
            <w:shd w:val="clear" w:color="auto" w:fill="EEECE1"/>
            <w:vAlign w:val="center"/>
          </w:tcPr>
          <w:p w14:paraId="5D5BE639">
            <w:pPr>
              <w:keepLines w:val="0"/>
              <w:pageBreakBefore w:val="0"/>
              <w:widowControl w:val="0"/>
              <w:kinsoku/>
              <w:wordWrap/>
              <w:overflowPunct/>
              <w:topLinePunct w:val="0"/>
              <w:bidi w:val="0"/>
              <w:jc w:val="center"/>
              <w:rPr>
                <w:rFonts w:hint="eastAsia" w:ascii="宋体" w:hAnsi="宋体" w:eastAsia="宋体" w:cs="宋体"/>
                <w:b/>
                <w:color w:val="auto"/>
              </w:rPr>
            </w:pPr>
            <w:r>
              <w:rPr>
                <w:rFonts w:hint="eastAsia" w:ascii="宋体" w:hAnsi="宋体" w:eastAsia="宋体" w:cs="宋体"/>
                <w:b/>
                <w:color w:val="auto"/>
              </w:rPr>
              <w:t>数量</w:t>
            </w:r>
          </w:p>
        </w:tc>
        <w:tc>
          <w:tcPr>
            <w:tcW w:w="3660" w:type="dxa"/>
            <w:shd w:val="clear" w:color="auto" w:fill="EEECE1"/>
            <w:vAlign w:val="center"/>
          </w:tcPr>
          <w:p w14:paraId="299C0402">
            <w:pPr>
              <w:keepLines w:val="0"/>
              <w:pageBreakBefore w:val="0"/>
              <w:widowControl w:val="0"/>
              <w:kinsoku/>
              <w:wordWrap/>
              <w:overflowPunct/>
              <w:topLinePunct w:val="0"/>
              <w:bidi w:val="0"/>
              <w:jc w:val="center"/>
              <w:rPr>
                <w:rFonts w:hint="eastAsia" w:ascii="宋体" w:hAnsi="宋体" w:eastAsia="宋体" w:cs="宋体"/>
                <w:b/>
                <w:color w:val="auto"/>
              </w:rPr>
            </w:pPr>
            <w:r>
              <w:rPr>
                <w:rFonts w:hint="eastAsia" w:ascii="宋体" w:hAnsi="宋体" w:eastAsia="宋体" w:cs="宋体"/>
                <w:b/>
                <w:color w:val="auto"/>
              </w:rPr>
              <w:t>完工期</w:t>
            </w:r>
          </w:p>
        </w:tc>
        <w:tc>
          <w:tcPr>
            <w:tcW w:w="2274" w:type="dxa"/>
            <w:shd w:val="clear" w:color="auto" w:fill="EEECE1"/>
            <w:vAlign w:val="center"/>
          </w:tcPr>
          <w:p w14:paraId="61527866">
            <w:pPr>
              <w:keepLines w:val="0"/>
              <w:pageBreakBefore w:val="0"/>
              <w:widowControl w:val="0"/>
              <w:kinsoku/>
              <w:wordWrap/>
              <w:overflowPunct/>
              <w:topLinePunct w:val="0"/>
              <w:bidi w:val="0"/>
              <w:jc w:val="center"/>
              <w:rPr>
                <w:rFonts w:hint="eastAsia" w:ascii="宋体" w:hAnsi="宋体" w:eastAsia="宋体" w:cs="宋体"/>
                <w:color w:val="auto"/>
              </w:rPr>
            </w:pPr>
            <w:r>
              <w:rPr>
                <w:rFonts w:hint="eastAsia" w:ascii="宋体" w:hAnsi="宋体" w:eastAsia="宋体" w:cs="宋体"/>
                <w:b/>
                <w:color w:val="auto"/>
              </w:rPr>
              <w:t>最高限价</w:t>
            </w:r>
          </w:p>
        </w:tc>
      </w:tr>
      <w:tr w14:paraId="66D8A9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jc w:val="center"/>
        </w:trPr>
        <w:tc>
          <w:tcPr>
            <w:tcW w:w="3197" w:type="dxa"/>
            <w:vAlign w:val="center"/>
          </w:tcPr>
          <w:p w14:paraId="758F5793">
            <w:pPr>
              <w:keepLines w:val="0"/>
              <w:pageBreakBefore w:val="0"/>
              <w:widowControl w:val="0"/>
              <w:kinsoku/>
              <w:wordWrap/>
              <w:overflowPunct/>
              <w:topLinePunct w:val="0"/>
              <w:bidi w:val="0"/>
              <w:jc w:val="center"/>
              <w:rPr>
                <w:rFonts w:hint="eastAsia" w:ascii="宋体" w:hAnsi="宋体" w:eastAsia="宋体" w:cs="宋体"/>
                <w:color w:val="auto"/>
              </w:rPr>
            </w:pPr>
            <w:r>
              <w:rPr>
                <w:rFonts w:hint="eastAsia" w:ascii="宋体" w:hAnsi="宋体" w:eastAsia="宋体" w:cs="宋体"/>
                <w:color w:val="auto"/>
                <w:szCs w:val="21"/>
              </w:rPr>
              <w:t>北京师范大学珠海校区京华苑4栋学生宿舍外立面改造工程</w:t>
            </w:r>
          </w:p>
        </w:tc>
        <w:tc>
          <w:tcPr>
            <w:tcW w:w="744" w:type="dxa"/>
            <w:vAlign w:val="center"/>
          </w:tcPr>
          <w:p w14:paraId="171FABF9">
            <w:pPr>
              <w:keepLines w:val="0"/>
              <w:pageBreakBefore w:val="0"/>
              <w:widowControl w:val="0"/>
              <w:kinsoku/>
              <w:wordWrap/>
              <w:overflowPunct/>
              <w:topLinePunct w:val="0"/>
              <w:bidi w:val="0"/>
              <w:jc w:val="center"/>
              <w:rPr>
                <w:rFonts w:hint="eastAsia" w:ascii="宋体" w:hAnsi="宋体" w:eastAsia="宋体" w:cs="宋体"/>
                <w:color w:val="auto"/>
              </w:rPr>
            </w:pPr>
            <w:r>
              <w:rPr>
                <w:rFonts w:hint="eastAsia" w:ascii="宋体" w:hAnsi="宋体" w:eastAsia="宋体" w:cs="宋体"/>
                <w:color w:val="auto"/>
              </w:rPr>
              <w:t>1项</w:t>
            </w:r>
          </w:p>
        </w:tc>
        <w:tc>
          <w:tcPr>
            <w:tcW w:w="3660" w:type="dxa"/>
            <w:vAlign w:val="center"/>
          </w:tcPr>
          <w:p w14:paraId="351535D1">
            <w:pPr>
              <w:pStyle w:val="9"/>
              <w:keepLines w:val="0"/>
              <w:pageBreakBefore w:val="0"/>
              <w:widowControl w:val="0"/>
              <w:kinsoku/>
              <w:wordWrap/>
              <w:overflowPunct/>
              <w:topLinePunct w:val="0"/>
              <w:bidi w:val="0"/>
              <w:spacing w:line="360" w:lineRule="auto"/>
              <w:ind w:right="-82" w:rightChars="-39" w:hanging="54"/>
              <w:rPr>
                <w:rFonts w:hint="eastAsia" w:ascii="宋体" w:hAnsi="宋体" w:eastAsia="宋体" w:cs="宋体"/>
                <w:snapToGrid/>
                <w:color w:val="auto"/>
                <w:spacing w:val="0"/>
                <w:kern w:val="2"/>
                <w:sz w:val="21"/>
              </w:rPr>
            </w:pPr>
            <w:r>
              <w:rPr>
                <w:rFonts w:hint="eastAsia" w:ascii="宋体" w:hAnsi="宋体" w:eastAsia="宋体" w:cs="宋体"/>
                <w:snapToGrid/>
                <w:color w:val="auto"/>
                <w:spacing w:val="0"/>
                <w:kern w:val="2"/>
                <w:sz w:val="21"/>
              </w:rPr>
              <w:t>自采购人或监理单位发出开工令之日起50天内完成竣工验收并交付使用</w:t>
            </w:r>
          </w:p>
        </w:tc>
        <w:tc>
          <w:tcPr>
            <w:tcW w:w="2274" w:type="dxa"/>
            <w:vAlign w:val="center"/>
          </w:tcPr>
          <w:p w14:paraId="09BE5BE9">
            <w:pPr>
              <w:keepLines w:val="0"/>
              <w:pageBreakBefore w:val="0"/>
              <w:widowControl w:val="0"/>
              <w:kinsoku/>
              <w:wordWrap/>
              <w:overflowPunct/>
              <w:topLinePunct w:val="0"/>
              <w:bidi w:val="0"/>
              <w:jc w:val="center"/>
              <w:rPr>
                <w:rFonts w:hint="eastAsia" w:ascii="宋体" w:hAnsi="宋体" w:eastAsia="宋体" w:cs="宋体"/>
                <w:color w:val="auto"/>
              </w:rPr>
            </w:pPr>
            <w:r>
              <w:rPr>
                <w:rFonts w:hint="eastAsia" w:ascii="宋体" w:hAnsi="宋体" w:eastAsia="宋体" w:cs="宋体"/>
                <w:color w:val="auto"/>
              </w:rPr>
              <w:t>人民币</w:t>
            </w:r>
            <w:r>
              <w:rPr>
                <w:rFonts w:hint="eastAsia" w:cs="宋体"/>
                <w:color w:val="auto"/>
                <w:szCs w:val="21"/>
                <w:lang w:eastAsia="zh-CN"/>
              </w:rPr>
              <w:t>3948759.36</w:t>
            </w:r>
            <w:r>
              <w:rPr>
                <w:rFonts w:hint="eastAsia" w:ascii="宋体" w:hAnsi="宋体" w:eastAsia="宋体" w:cs="宋体"/>
                <w:color w:val="auto"/>
              </w:rPr>
              <w:t>元</w:t>
            </w:r>
          </w:p>
        </w:tc>
      </w:tr>
    </w:tbl>
    <w:p w14:paraId="20FD955E">
      <w:pPr>
        <w:pStyle w:val="10"/>
        <w:keepLines w:val="0"/>
        <w:pageBreakBefore w:val="0"/>
        <w:widowControl w:val="0"/>
        <w:kinsoku/>
        <w:wordWrap/>
        <w:overflowPunct/>
        <w:topLinePunct w:val="0"/>
        <w:autoSpaceDE/>
        <w:autoSpaceDN/>
        <w:bidi w:val="0"/>
        <w:ind w:firstLine="0" w:firstLineChars="0"/>
        <w:rPr>
          <w:rFonts w:hint="eastAsia" w:ascii="宋体" w:hAnsi="宋体" w:eastAsia="宋体" w:cs="宋体"/>
          <w:color w:val="auto"/>
          <w:sz w:val="21"/>
          <w:szCs w:val="21"/>
          <w:lang w:eastAsia="zh-CN"/>
        </w:rPr>
      </w:pPr>
    </w:p>
    <w:p w14:paraId="3B57FDCE">
      <w:pPr>
        <w:keepLines w:val="0"/>
        <w:pageBreakBefore w:val="0"/>
        <w:widowControl w:val="0"/>
        <w:kinsoku/>
        <w:wordWrap/>
        <w:overflowPunct/>
        <w:topLinePunct w:val="0"/>
        <w:bidi w:val="0"/>
        <w:snapToGrid w:val="0"/>
        <w:ind w:firstLine="420" w:firstLineChars="200"/>
        <w:rPr>
          <w:rFonts w:hint="eastAsia" w:ascii="宋体" w:hAnsi="宋体" w:eastAsia="宋体" w:cs="宋体"/>
          <w:color w:val="auto"/>
          <w:szCs w:val="21"/>
        </w:rPr>
      </w:pPr>
      <w:r>
        <w:rPr>
          <w:rFonts w:hint="eastAsia" w:ascii="宋体" w:hAnsi="宋体" w:eastAsia="宋体" w:cs="宋体"/>
          <w:color w:val="auto"/>
          <w:szCs w:val="21"/>
        </w:rPr>
        <w:t>2.技术要求：</w:t>
      </w:r>
    </w:p>
    <w:p w14:paraId="39B0ACB1">
      <w:pPr>
        <w:pStyle w:val="10"/>
        <w:keepLines w:val="0"/>
        <w:pageBreakBefore w:val="0"/>
        <w:widowControl w:val="0"/>
        <w:kinsoku/>
        <w:wordWrap/>
        <w:overflowPunct/>
        <w:topLinePunct w:val="0"/>
        <w:autoSpaceDE/>
        <w:autoSpaceDN/>
        <w:bidi w:val="0"/>
        <w:ind w:firstLine="42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（1）工程量清单：详见磋商文件附件—《工程量清单》；响应报价应当包含完成工程量清单项目所需的所有费用。</w:t>
      </w:r>
    </w:p>
    <w:p w14:paraId="49DDC882">
      <w:pPr>
        <w:pStyle w:val="10"/>
        <w:keepLines w:val="0"/>
        <w:pageBreakBefore w:val="0"/>
        <w:widowControl w:val="0"/>
        <w:kinsoku/>
        <w:wordWrap/>
        <w:overflowPunct/>
        <w:topLinePunct w:val="0"/>
        <w:autoSpaceDE/>
        <w:autoSpaceDN/>
        <w:bidi w:val="0"/>
        <w:ind w:firstLine="42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（2）主要材料使用要求：</w:t>
      </w:r>
    </w:p>
    <w:p w14:paraId="5C6204A2">
      <w:pPr>
        <w:pStyle w:val="10"/>
        <w:keepLines w:val="0"/>
        <w:pageBreakBefore w:val="0"/>
        <w:widowControl w:val="0"/>
        <w:kinsoku/>
        <w:wordWrap/>
        <w:overflowPunct/>
        <w:topLinePunct w:val="0"/>
        <w:autoSpaceDE/>
        <w:autoSpaceDN/>
        <w:bidi w:val="0"/>
        <w:ind w:firstLine="42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2.1必须符合国家、广东省、珠海市现行规范及要求。</w:t>
      </w:r>
    </w:p>
    <w:p w14:paraId="375899C9">
      <w:pPr>
        <w:pStyle w:val="10"/>
        <w:keepLines w:val="0"/>
        <w:pageBreakBefore w:val="0"/>
        <w:widowControl w:val="0"/>
        <w:kinsoku/>
        <w:wordWrap/>
        <w:overflowPunct/>
        <w:topLinePunct w:val="0"/>
        <w:autoSpaceDE/>
        <w:autoSpaceDN/>
        <w:bidi w:val="0"/>
        <w:ind w:firstLine="42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2.2必须符合《关于扩大政府采购支持绿色建材促进建筑品质提升政策实施范围的通知》（财库〔2022〕35号）中要求的《绿色建筑和绿色建材政府采购需求标准》。</w:t>
      </w:r>
    </w:p>
    <w:p w14:paraId="5D10932D">
      <w:pPr>
        <w:pStyle w:val="10"/>
        <w:keepLines w:val="0"/>
        <w:pageBreakBefore w:val="0"/>
        <w:widowControl w:val="0"/>
        <w:kinsoku/>
        <w:wordWrap/>
        <w:overflowPunct/>
        <w:topLinePunct w:val="0"/>
        <w:autoSpaceDE/>
        <w:autoSpaceDN/>
        <w:bidi w:val="0"/>
        <w:ind w:firstLine="42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2.3必须经具有检验资格的部门检验合格之后方可使用。</w:t>
      </w:r>
    </w:p>
    <w:p w14:paraId="5FEB1969">
      <w:pPr>
        <w:pStyle w:val="10"/>
        <w:keepLines w:val="0"/>
        <w:pageBreakBefore w:val="0"/>
        <w:widowControl w:val="0"/>
        <w:kinsoku/>
        <w:wordWrap/>
        <w:overflowPunct/>
        <w:topLinePunct w:val="0"/>
        <w:autoSpaceDE/>
        <w:autoSpaceDN/>
        <w:bidi w:val="0"/>
        <w:ind w:firstLine="420"/>
        <w:jc w:val="both"/>
        <w:rPr>
          <w:rFonts w:hint="eastAsia" w:ascii="宋体" w:hAnsi="宋体" w:eastAsia="宋体" w:cs="宋体"/>
          <w:color w:val="auto"/>
          <w:sz w:val="21"/>
          <w:szCs w:val="21"/>
          <w:lang w:eastAsia="zh-CN"/>
        </w:rPr>
      </w:pPr>
      <w:r>
        <w:rPr>
          <w:rFonts w:hint="eastAsia" w:ascii="宋体" w:hAnsi="宋体" w:eastAsia="宋体" w:cs="宋体"/>
          <w:color w:val="auto"/>
          <w:sz w:val="21"/>
          <w:szCs w:val="21"/>
          <w:lang w:eastAsia="zh-CN"/>
        </w:rPr>
        <w:t>2.4必须经采购人确认之后方可使用。主要材料必须符合预算书、磋商文件的规定和要求。</w:t>
      </w:r>
    </w:p>
    <w:p w14:paraId="593AB8D8">
      <w:pPr>
        <w:pStyle w:val="10"/>
        <w:keepLines w:val="0"/>
        <w:pageBreakBefore w:val="0"/>
        <w:widowControl w:val="0"/>
        <w:kinsoku/>
        <w:wordWrap/>
        <w:overflowPunct/>
        <w:topLinePunct w:val="0"/>
        <w:autoSpaceDE/>
        <w:autoSpaceDN/>
        <w:bidi w:val="0"/>
        <w:ind w:firstLine="0" w:firstLineChars="0"/>
        <w:rPr>
          <w:rFonts w:hint="eastAsia" w:ascii="宋体" w:hAnsi="宋体" w:eastAsia="宋体" w:cs="宋体"/>
          <w:color w:val="auto"/>
          <w:sz w:val="21"/>
          <w:szCs w:val="21"/>
          <w:lang w:eastAsia="zh-CN"/>
        </w:rPr>
      </w:pPr>
    </w:p>
    <w:p w14:paraId="3CD21F4B">
      <w:pPr>
        <w:pStyle w:val="11"/>
        <w:keepLines w:val="0"/>
        <w:pageBreakBefore w:val="0"/>
        <w:widowControl w:val="0"/>
        <w:kinsoku/>
        <w:wordWrap/>
        <w:overflowPunct/>
        <w:topLinePunct w:val="0"/>
        <w:autoSpaceDE/>
        <w:autoSpaceDN/>
        <w:bidi w:val="0"/>
        <w:rPr>
          <w:rFonts w:hint="eastAsia" w:ascii="宋体" w:hAnsi="宋体" w:eastAsia="宋体" w:cs="宋体"/>
          <w:color w:val="auto"/>
          <w:sz w:val="21"/>
          <w:szCs w:val="21"/>
          <w:lang w:eastAsia="zh-CN"/>
        </w:rPr>
      </w:pPr>
      <w:bookmarkStart w:id="4" w:name="_Toc7009"/>
      <w:r>
        <w:rPr>
          <w:rFonts w:hint="eastAsia" w:ascii="宋体" w:hAnsi="宋体" w:eastAsia="宋体" w:cs="宋体"/>
          <w:color w:val="auto"/>
          <w:sz w:val="21"/>
          <w:szCs w:val="21"/>
          <w:lang w:eastAsia="zh-CN"/>
        </w:rPr>
        <w:t>二、主要商务要求</w:t>
      </w:r>
      <w:bookmarkEnd w:id="4"/>
    </w:p>
    <w:p w14:paraId="64075E81">
      <w:pPr>
        <w:pStyle w:val="5"/>
        <w:keepLines w:val="0"/>
        <w:pageBreakBefore w:val="0"/>
        <w:widowControl w:val="0"/>
        <w:numPr>
          <w:ilvl w:val="0"/>
          <w:numId w:val="1"/>
        </w:numPr>
        <w:kinsoku/>
        <w:wordWrap/>
        <w:overflowPunct/>
        <w:topLinePunct w:val="0"/>
        <w:bidi w:val="0"/>
        <w:spacing w:after="0" w:line="360" w:lineRule="auto"/>
        <w:ind w:left="0" w:leftChars="0" w:firstLine="420"/>
        <w:jc w:val="left"/>
        <w:rPr>
          <w:rFonts w:hint="eastAsia" w:ascii="宋体" w:hAnsi="宋体" w:eastAsia="宋体" w:cs="宋体"/>
          <w:color w:val="auto"/>
          <w:szCs w:val="21"/>
        </w:rPr>
      </w:pPr>
      <w:r>
        <w:rPr>
          <w:rFonts w:hint="eastAsia" w:ascii="宋体" w:hAnsi="宋体" w:eastAsia="宋体" w:cs="宋体"/>
          <w:color w:val="auto"/>
          <w:szCs w:val="21"/>
        </w:rPr>
        <w:t>标的提供的时间：</w:t>
      </w:r>
      <w:r>
        <w:rPr>
          <w:rFonts w:hint="eastAsia" w:ascii="宋体" w:hAnsi="宋体" w:eastAsia="宋体" w:cs="宋体"/>
          <w:color w:val="auto"/>
        </w:rPr>
        <w:t>自采购人或监理单位发出开工令之日起50天内完成竣工验收并交付使用</w:t>
      </w:r>
    </w:p>
    <w:p w14:paraId="09C1680A">
      <w:pPr>
        <w:pStyle w:val="5"/>
        <w:keepLines w:val="0"/>
        <w:pageBreakBefore w:val="0"/>
        <w:widowControl w:val="0"/>
        <w:numPr>
          <w:ilvl w:val="0"/>
          <w:numId w:val="1"/>
        </w:numPr>
        <w:kinsoku/>
        <w:wordWrap/>
        <w:overflowPunct/>
        <w:topLinePunct w:val="0"/>
        <w:bidi w:val="0"/>
        <w:spacing w:after="0" w:line="360" w:lineRule="auto"/>
        <w:ind w:left="0" w:leftChars="0" w:firstLine="420"/>
        <w:jc w:val="left"/>
        <w:rPr>
          <w:rFonts w:hint="eastAsia" w:ascii="宋体" w:hAnsi="宋体" w:eastAsia="宋体" w:cs="宋体"/>
          <w:color w:val="auto"/>
          <w:szCs w:val="21"/>
        </w:rPr>
      </w:pPr>
      <w:r>
        <w:rPr>
          <w:rFonts w:hint="eastAsia" w:ascii="宋体" w:hAnsi="宋体" w:eastAsia="宋体" w:cs="宋体"/>
          <w:color w:val="auto"/>
          <w:szCs w:val="21"/>
        </w:rPr>
        <w:t>标的提供的地点：北京师范大学珠海校区内。</w:t>
      </w:r>
    </w:p>
    <w:p w14:paraId="5BC0EDB2">
      <w:pPr>
        <w:pStyle w:val="5"/>
        <w:keepLines w:val="0"/>
        <w:pageBreakBefore w:val="0"/>
        <w:widowControl w:val="0"/>
        <w:numPr>
          <w:ilvl w:val="0"/>
          <w:numId w:val="1"/>
        </w:numPr>
        <w:kinsoku/>
        <w:wordWrap/>
        <w:overflowPunct/>
        <w:topLinePunct w:val="0"/>
        <w:bidi w:val="0"/>
        <w:spacing w:after="0" w:line="360" w:lineRule="auto"/>
        <w:ind w:left="0" w:leftChars="0" w:firstLine="420"/>
        <w:jc w:val="left"/>
        <w:rPr>
          <w:rFonts w:hint="eastAsia" w:ascii="宋体" w:hAnsi="宋体" w:eastAsia="宋体" w:cs="宋体"/>
          <w:color w:val="auto"/>
          <w:szCs w:val="21"/>
        </w:rPr>
      </w:pPr>
      <w:r>
        <w:rPr>
          <w:rFonts w:hint="eastAsia" w:ascii="宋体" w:hAnsi="宋体" w:eastAsia="宋体" w:cs="宋体"/>
          <w:color w:val="auto"/>
          <w:szCs w:val="21"/>
        </w:rPr>
        <w:t>付款方式：</w:t>
      </w:r>
    </w:p>
    <w:p w14:paraId="136BA9FF">
      <w:pPr>
        <w:pStyle w:val="5"/>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（1）预付款：合同签订生效且采购人收到成交人开具的有效发票后10个工作日内，支付签约合同价（扣除暂列金额、暂估价）30%的预付款(遇采购人假期顺延)。</w:t>
      </w:r>
    </w:p>
    <w:p w14:paraId="2465576E">
      <w:pPr>
        <w:pStyle w:val="5"/>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 xml:space="preserve">（2）进度款：①经监理（如有）、采购人确认完成全部工程量的80%时，支付至合同价（扣除暂列金额、暂估价）的65%。(遇采购人假期顺延)。②全部施工完成后，经监理、采购人检查工程资料齐全并通过采购人竣工验收合格，且未发生拖欠工人工资的行为，支付至合同价（扣除暂列金额、暂估价）的80%。实际已发生的暂列金额及暂估价工程，经监理单位、造价咨询单位以及采购人、成交人确认和计量计价后，按确认的计量计价金额的80%支付。(遇采购人假期顺延)。  </w:t>
      </w:r>
    </w:p>
    <w:p w14:paraId="5ED7EEDA">
      <w:pPr>
        <w:pStyle w:val="5"/>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3）结算款：工程验收合格后，成交人必须向采购人提交完整的结算资料和结算书，北京师范大学珠海校区完成工程结算后10个工作日内支付至珠海校区工程结算价的90％，北京师范大学审计部门完成工程结算审计后10个工作日内支付至审计结算价的100%（包含前述已支付的合同价款，遇采购人假期顺延）；</w:t>
      </w:r>
    </w:p>
    <w:p w14:paraId="1CF2FD82">
      <w:pPr>
        <w:pStyle w:val="5"/>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4）质保金：在采购人支付至结算价的100%之前且不满两年缺陷责任期的，成交人须向采购人提交结算总价的3％作为工程质量保证金。在缺陷责任期内，如果成交人不按合同的约定承担保修责任的，采购人有权自行进行保修、保养并在保修金内开支所需费用；缺陷责任期满后，若无质量问题，保修金由采购人全额无息退还给成交人。成交人可提交工程质量保证保函替代工程质量保证金，工程质量保证保函的额度、期限与工程质量保证金一致；工程质量保证为连带责任保证方式，工程质量保证保函为不可撤销保函，不设免赔额、免赔率，有效期满后自动失效。</w:t>
      </w:r>
    </w:p>
    <w:p w14:paraId="30F435AD">
      <w:pPr>
        <w:pStyle w:val="5"/>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5）结算原则：工程完工后，由成交人绘制竣工图并编制工程结算，最终以采购人审计后的工程造价作为结算价。工程结算的依据有：采购人现场工程师的签证单、工程量核实确认表（工程量须提供计算过程及相关照片），竣工验收表，竣工图，投标报价清单等与造价相关的文件。</w:t>
      </w:r>
    </w:p>
    <w:p w14:paraId="23BBF256">
      <w:pPr>
        <w:pStyle w:val="5"/>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5.1 响应报价清单中已有的项目，按响应报价清单价格执行；</w:t>
      </w:r>
    </w:p>
    <w:p w14:paraId="7C4C8177">
      <w:pPr>
        <w:pStyle w:val="5"/>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5.2 响应报价清单中有类似的项目，参照响应报价清单的类似项目的价格执行；</w:t>
      </w:r>
    </w:p>
    <w:p w14:paraId="1E0FA33A">
      <w:pPr>
        <w:pStyle w:val="5"/>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5.3 响应报价清单中没有的项目，依据《建设工程工程量清单计价规范》（</w:t>
      </w:r>
      <w:r>
        <w:rPr>
          <w:rFonts w:hint="eastAsia" w:cs="宋体"/>
          <w:color w:val="auto"/>
          <w:szCs w:val="21"/>
          <w:lang w:eastAsia="zh-CN"/>
        </w:rPr>
        <w:t>GB/T 50500</w:t>
      </w:r>
      <w:r>
        <w:rPr>
          <w:rFonts w:hint="eastAsia" w:cs="宋体"/>
          <w:color w:val="auto"/>
          <w:szCs w:val="21"/>
          <w:lang w:val="en-US" w:eastAsia="zh-CN"/>
        </w:rPr>
        <w:t>-</w:t>
      </w:r>
      <w:bookmarkStart w:id="12" w:name="_GoBack"/>
      <w:bookmarkEnd w:id="12"/>
      <w:r>
        <w:rPr>
          <w:rFonts w:hint="eastAsia" w:cs="宋体"/>
          <w:color w:val="auto"/>
          <w:szCs w:val="21"/>
          <w:lang w:eastAsia="zh-CN"/>
        </w:rPr>
        <w:t>20</w:t>
      </w:r>
      <w:r>
        <w:rPr>
          <w:rFonts w:hint="eastAsia" w:cs="宋体"/>
          <w:color w:val="auto"/>
          <w:szCs w:val="21"/>
          <w:lang w:val="en-US" w:eastAsia="zh-CN"/>
        </w:rPr>
        <w:t>13</w:t>
      </w:r>
      <w:r>
        <w:rPr>
          <w:rFonts w:hint="eastAsia" w:ascii="宋体" w:hAnsi="宋体" w:eastAsia="宋体" w:cs="宋体"/>
          <w:color w:val="auto"/>
          <w:szCs w:val="21"/>
        </w:rPr>
        <w:t>）、《广东省建设工程计价依据2018》，《广东省市政工程综合定额》（2018年）、《广东省房屋建筑与装饰工程综合定额》（2018年）、《广东省通用安装工程综合定额》（2018年）、《广东省园林绿化工程综合定额2018》等及其相应取费标准，其中：有上下限的费用项目（含利润），其费率取中值；材料价格执行施工同期当月《珠海工程造价信息》公布的价格，特殊材料按“货比三家”的原则经采购人确认后作为计价依据。按此方式进行结算后，对总价进行审计后×成交费率作为最终的结算价（税前），但信息价中没有的而由采购人确认的单价不再进行下浮。</w:t>
      </w:r>
    </w:p>
    <w:p w14:paraId="58F5983F">
      <w:pPr>
        <w:pStyle w:val="5"/>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1）按施工期间《</w:t>
      </w:r>
      <w:r>
        <w:rPr>
          <w:rFonts w:hint="eastAsia" w:ascii="宋体" w:hAnsi="宋体" w:eastAsia="宋体" w:cs="宋体"/>
          <w:smallCaps/>
          <w:color w:val="auto"/>
        </w:rPr>
        <w:t>珠海建设工程造价行业信息</w:t>
      </w:r>
      <w:r>
        <w:rPr>
          <w:rFonts w:hint="eastAsia" w:ascii="宋体" w:hAnsi="宋体" w:eastAsia="宋体" w:cs="宋体"/>
          <w:color w:val="auto"/>
          <w:szCs w:val="21"/>
        </w:rPr>
        <w:t>》当月公布的材料中档价格执行（地材价格按照同期唐家、下栅材料市场价计入）；</w:t>
      </w:r>
    </w:p>
    <w:p w14:paraId="60DEA138">
      <w:pPr>
        <w:pStyle w:val="5"/>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2）《珠海建设工程造价行业信息》未列的材料，按实际使用材料，由采购人、成交人双方共同确认材料价格计算，不再参与下浮。</w:t>
      </w:r>
    </w:p>
    <w:p w14:paraId="57DBD69B">
      <w:pPr>
        <w:pStyle w:val="5"/>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3）在施工过程中，如遇材料有价格波动，均不予调整。</w:t>
      </w:r>
    </w:p>
    <w:p w14:paraId="27C4DC6A">
      <w:pPr>
        <w:pStyle w:val="5"/>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4）响应报价清单中没有的项目，按以上原则计算后，结算价按成交下浮率下浮。暂列金额和暂估价结算时按照实际发生额结算，按成交下浮率让利。成交费率=（最终成交价－暂估价－暂列金额）/（预算价－暂估价－暂列金额）×100%；成交下浮率=1-成交费率；</w:t>
      </w:r>
    </w:p>
    <w:p w14:paraId="46489BC2">
      <w:pPr>
        <w:pStyle w:val="5"/>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5）成交下浮率：经磋商后，如最终报价较首轮报价有下浮的，除不可竞争费（含绿色施工安全防护措施费、暂列金额、暂估价）不进行调整外，其余工程量清单各综合单价按其首轮报价时的各综合单价同比例下浮，即首轮报价工程量清单各综合单价*成交下浮率等于结算的各综合单价。成交下浮率=1-（最终报价-不可竞争费）÷（首轮报价-不可竞争费）。说明：成交下浮率以及调整后的单价和总价均保留2位小数。其它原则同结算原则。</w:t>
      </w:r>
    </w:p>
    <w:p w14:paraId="6A8C45BA">
      <w:pPr>
        <w:pStyle w:val="5"/>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6）如果因为非成交供应商原因，采购人删减了合同中的某项原定工作或工程，结算时将调减此项目。</w:t>
      </w:r>
    </w:p>
    <w:p w14:paraId="225BF220">
      <w:pPr>
        <w:pStyle w:val="5"/>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rPr>
      </w:pPr>
      <w:bookmarkStart w:id="5" w:name="_Hlk201165761"/>
      <w:r>
        <w:rPr>
          <w:rFonts w:hint="eastAsia" w:ascii="宋体" w:hAnsi="宋体" w:eastAsia="宋体" w:cs="宋体"/>
          <w:color w:val="auto"/>
          <w:szCs w:val="21"/>
        </w:rPr>
        <w:t>7）结算金额超过采购预算金额，按采购预算金额支付结算款。</w:t>
      </w:r>
    </w:p>
    <w:bookmarkEnd w:id="5"/>
    <w:p w14:paraId="3C646B46">
      <w:pPr>
        <w:pStyle w:val="5"/>
        <w:keepLines w:val="0"/>
        <w:pageBreakBefore w:val="0"/>
        <w:widowControl w:val="0"/>
        <w:numPr>
          <w:ilvl w:val="0"/>
          <w:numId w:val="1"/>
        </w:numPr>
        <w:kinsoku/>
        <w:wordWrap/>
        <w:overflowPunct/>
        <w:topLinePunct w:val="0"/>
        <w:bidi w:val="0"/>
        <w:spacing w:after="0" w:line="360" w:lineRule="auto"/>
        <w:ind w:left="0" w:leftChars="0" w:firstLine="420"/>
        <w:jc w:val="left"/>
        <w:rPr>
          <w:rFonts w:hint="eastAsia" w:ascii="宋体" w:hAnsi="宋体" w:eastAsia="宋体" w:cs="宋体"/>
          <w:color w:val="auto"/>
          <w:szCs w:val="21"/>
        </w:rPr>
      </w:pPr>
      <w:r>
        <w:rPr>
          <w:rFonts w:hint="eastAsia" w:ascii="宋体" w:hAnsi="宋体" w:eastAsia="宋体" w:cs="宋体"/>
          <w:color w:val="auto"/>
          <w:szCs w:val="21"/>
        </w:rPr>
        <w:t>验收要求：</w:t>
      </w:r>
    </w:p>
    <w:p w14:paraId="7374385D">
      <w:pPr>
        <w:pStyle w:val="5"/>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（1）验收方式：工程竣工后，采购人在收到乙方的竣工报告及完整的工程文件15日内，组织人员对工程进行验收。</w:t>
      </w:r>
      <w:r>
        <w:rPr>
          <w:rFonts w:hint="eastAsia" w:ascii="宋体" w:hAnsi="宋体" w:eastAsia="宋体" w:cs="宋体"/>
          <w:color w:val="auto"/>
        </w:rPr>
        <w:t>成交供应商负责在工期期满后一个月内向</w:t>
      </w:r>
      <w:r>
        <w:rPr>
          <w:rFonts w:hint="eastAsia" w:ascii="宋体" w:hAnsi="宋体" w:eastAsia="宋体" w:cs="宋体"/>
          <w:color w:val="auto"/>
          <w:szCs w:val="21"/>
        </w:rPr>
        <w:t>采购人</w:t>
      </w:r>
      <w:r>
        <w:rPr>
          <w:rFonts w:hint="eastAsia" w:ascii="宋体" w:hAnsi="宋体" w:eastAsia="宋体" w:cs="宋体"/>
          <w:color w:val="auto"/>
        </w:rPr>
        <w:t>申请验收及收方工作，期限自本合同规定的工期结束之日起算。除非因</w:t>
      </w:r>
      <w:r>
        <w:rPr>
          <w:rFonts w:hint="eastAsia" w:ascii="宋体" w:hAnsi="宋体" w:eastAsia="宋体" w:cs="宋体"/>
          <w:color w:val="auto"/>
          <w:szCs w:val="21"/>
        </w:rPr>
        <w:t>采购人</w:t>
      </w:r>
      <w:r>
        <w:rPr>
          <w:rFonts w:hint="eastAsia" w:ascii="宋体" w:hAnsi="宋体" w:eastAsia="宋体" w:cs="宋体"/>
          <w:color w:val="auto"/>
        </w:rPr>
        <w:t>变更，该期限不受工期延误的影响</w:t>
      </w:r>
      <w:r>
        <w:rPr>
          <w:rFonts w:hint="eastAsia" w:ascii="宋体" w:hAnsi="宋体" w:eastAsia="宋体" w:cs="宋体"/>
          <w:color w:val="auto"/>
          <w:szCs w:val="21"/>
        </w:rPr>
        <w:t>。工程验收合格后，所有资料移交采购人后，由采购人行使管理运行职责。</w:t>
      </w:r>
    </w:p>
    <w:p w14:paraId="31F5D948">
      <w:pPr>
        <w:pStyle w:val="5"/>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（2）验收标准：按广东省、珠海市以及行业现行验收评审标准执行，符合采购文件要求、投标（响应）文件承诺及合同要求。</w:t>
      </w:r>
    </w:p>
    <w:p w14:paraId="2E52AF24">
      <w:pPr>
        <w:pStyle w:val="5"/>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3）验收相关费用：因工程质量不合格及其它由乙方原因造成工程未能通过验收或造成返工的，产生的费用由成交供应商承担。采购人负责组织履约验收工作，验收过程中发生的应向第三方支付的检验检测费、劳务报酬等费用支出，由采购人支付。对于首次验收不合格，重新验收产生的费用，由过错方承担。在验收期间，成交供应商的交通、住宿、保险等费用自理。</w:t>
      </w:r>
    </w:p>
    <w:p w14:paraId="3515B85E">
      <w:pPr>
        <w:pStyle w:val="5"/>
        <w:keepLines w:val="0"/>
        <w:pageBreakBefore w:val="0"/>
        <w:widowControl w:val="0"/>
        <w:numPr>
          <w:ilvl w:val="0"/>
          <w:numId w:val="1"/>
        </w:numPr>
        <w:kinsoku/>
        <w:wordWrap/>
        <w:overflowPunct/>
        <w:topLinePunct w:val="0"/>
        <w:bidi w:val="0"/>
        <w:spacing w:after="0" w:line="360" w:lineRule="auto"/>
        <w:ind w:left="0" w:leftChars="0" w:firstLine="420"/>
        <w:jc w:val="left"/>
        <w:rPr>
          <w:rFonts w:hint="eastAsia" w:ascii="宋体" w:hAnsi="宋体" w:eastAsia="宋体" w:cs="宋体"/>
          <w:color w:val="auto"/>
          <w:szCs w:val="21"/>
        </w:rPr>
      </w:pPr>
      <w:r>
        <w:rPr>
          <w:rFonts w:hint="eastAsia" w:ascii="宋体" w:hAnsi="宋体" w:eastAsia="宋体" w:cs="宋体"/>
          <w:color w:val="auto"/>
          <w:szCs w:val="21"/>
        </w:rPr>
        <w:t>质量要求：</w:t>
      </w:r>
    </w:p>
    <w:p w14:paraId="1D4EC225">
      <w:pPr>
        <w:pStyle w:val="5"/>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（1）要求：合格。</w:t>
      </w:r>
    </w:p>
    <w:p w14:paraId="717AD0AB">
      <w:pPr>
        <w:pStyle w:val="5"/>
        <w:keepLines w:val="0"/>
        <w:pageBreakBefore w:val="0"/>
        <w:widowControl w:val="0"/>
        <w:kinsoku/>
        <w:wordWrap/>
        <w:overflowPunct/>
        <w:topLinePunct w:val="0"/>
        <w:bidi w:val="0"/>
        <w:spacing w:after="0" w:line="360" w:lineRule="auto"/>
        <w:ind w:left="0" w:leftChars="0"/>
        <w:rPr>
          <w:rFonts w:hint="eastAsia" w:ascii="宋体" w:hAnsi="宋体" w:eastAsia="宋体" w:cs="宋体"/>
          <w:color w:val="auto"/>
          <w:szCs w:val="21"/>
        </w:rPr>
      </w:pPr>
      <w:r>
        <w:rPr>
          <w:rFonts w:hint="eastAsia" w:ascii="宋体" w:hAnsi="宋体" w:eastAsia="宋体" w:cs="宋体"/>
          <w:color w:val="auto"/>
          <w:szCs w:val="21"/>
        </w:rPr>
        <w:t>（2）标准：执行国家、广东省、珠海市现行工程质量验评标准。</w:t>
      </w:r>
    </w:p>
    <w:p w14:paraId="0FA4180D">
      <w:pPr>
        <w:keepLines w:val="0"/>
        <w:pageBreakBefore w:val="0"/>
        <w:widowControl w:val="0"/>
        <w:kinsoku/>
        <w:wordWrap/>
        <w:overflowPunct/>
        <w:topLinePunct w:val="0"/>
        <w:bidi w:val="0"/>
        <w:rPr>
          <w:rFonts w:hint="eastAsia" w:ascii="宋体" w:hAnsi="宋体" w:eastAsia="宋体" w:cs="宋体"/>
          <w:color w:val="auto"/>
          <w:szCs w:val="21"/>
        </w:rPr>
      </w:pPr>
    </w:p>
    <w:p w14:paraId="253B5BCD">
      <w:pPr>
        <w:keepLines w:val="0"/>
        <w:pageBreakBefore w:val="0"/>
        <w:widowControl w:val="0"/>
        <w:kinsoku/>
        <w:wordWrap/>
        <w:overflowPunct/>
        <w:topLinePunct w:val="0"/>
        <w:bidi w:val="0"/>
        <w:outlineLvl w:val="1"/>
        <w:rPr>
          <w:rFonts w:hint="eastAsia" w:ascii="宋体" w:hAnsi="宋体" w:eastAsia="宋体" w:cs="宋体"/>
          <w:b/>
          <w:bCs/>
          <w:color w:val="auto"/>
        </w:rPr>
      </w:pPr>
      <w:bookmarkStart w:id="6" w:name="_Toc28690"/>
      <w:bookmarkStart w:id="7" w:name="_Toc6918"/>
      <w:bookmarkStart w:id="8" w:name="_Toc17322"/>
      <w:bookmarkStart w:id="9" w:name="_Toc16847"/>
      <w:r>
        <w:rPr>
          <w:rFonts w:hint="eastAsia" w:ascii="宋体" w:hAnsi="宋体" w:eastAsia="宋体" w:cs="宋体"/>
          <w:b/>
          <w:bCs/>
          <w:color w:val="auto"/>
        </w:rPr>
        <w:t>★三、其他商务需求</w:t>
      </w:r>
      <w:bookmarkEnd w:id="6"/>
      <w:bookmarkEnd w:id="7"/>
      <w:bookmarkEnd w:id="8"/>
      <w:bookmarkEnd w:id="9"/>
    </w:p>
    <w:tbl>
      <w:tblPr>
        <w:tblStyle w:val="7"/>
        <w:tblW w:w="4995"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9"/>
        <w:gridCol w:w="1331"/>
        <w:gridCol w:w="7814"/>
      </w:tblGrid>
      <w:tr w14:paraId="3C7AAF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355" w:type="pct"/>
            <w:vAlign w:val="center"/>
          </w:tcPr>
          <w:p w14:paraId="713DA056">
            <w:pPr>
              <w:keepLines w:val="0"/>
              <w:pageBreakBefore w:val="0"/>
              <w:widowControl w:val="0"/>
              <w:kinsoku/>
              <w:wordWrap/>
              <w:overflowPunct/>
              <w:topLinePunct w:val="0"/>
              <w:bidi w:val="0"/>
              <w:jc w:val="center"/>
              <w:rPr>
                <w:rFonts w:hint="eastAsia" w:ascii="宋体" w:hAnsi="宋体" w:eastAsia="宋体" w:cs="宋体"/>
                <w:b/>
                <w:bCs/>
                <w:color w:val="auto"/>
                <w:szCs w:val="21"/>
              </w:rPr>
            </w:pPr>
            <w:r>
              <w:rPr>
                <w:rFonts w:hint="eastAsia" w:ascii="宋体" w:hAnsi="宋体" w:eastAsia="宋体" w:cs="宋体"/>
                <w:b/>
                <w:bCs/>
                <w:color w:val="auto"/>
                <w:szCs w:val="21"/>
              </w:rPr>
              <w:t>编号</w:t>
            </w:r>
          </w:p>
        </w:tc>
        <w:tc>
          <w:tcPr>
            <w:tcW w:w="676" w:type="pct"/>
            <w:vAlign w:val="center"/>
          </w:tcPr>
          <w:p w14:paraId="643CED6A">
            <w:pPr>
              <w:keepLines w:val="0"/>
              <w:pageBreakBefore w:val="0"/>
              <w:widowControl w:val="0"/>
              <w:kinsoku/>
              <w:wordWrap/>
              <w:overflowPunct/>
              <w:topLinePunct w:val="0"/>
              <w:bidi w:val="0"/>
              <w:ind w:left="44" w:leftChars="21"/>
              <w:jc w:val="center"/>
              <w:rPr>
                <w:rFonts w:hint="eastAsia" w:ascii="宋体" w:hAnsi="宋体" w:eastAsia="宋体" w:cs="宋体"/>
                <w:b/>
                <w:bCs/>
                <w:color w:val="auto"/>
                <w:szCs w:val="21"/>
              </w:rPr>
            </w:pPr>
            <w:r>
              <w:rPr>
                <w:rFonts w:hint="eastAsia" w:ascii="宋体" w:hAnsi="宋体" w:eastAsia="宋体" w:cs="宋体"/>
                <w:b/>
                <w:bCs/>
                <w:color w:val="auto"/>
                <w:szCs w:val="21"/>
              </w:rPr>
              <w:t>内容明细</w:t>
            </w:r>
          </w:p>
        </w:tc>
        <w:tc>
          <w:tcPr>
            <w:tcW w:w="3967" w:type="pct"/>
            <w:vAlign w:val="center"/>
          </w:tcPr>
          <w:p w14:paraId="106CE430">
            <w:pPr>
              <w:keepLines w:val="0"/>
              <w:pageBreakBefore w:val="0"/>
              <w:widowControl w:val="0"/>
              <w:kinsoku/>
              <w:wordWrap/>
              <w:overflowPunct/>
              <w:topLinePunct w:val="0"/>
              <w:bidi w:val="0"/>
              <w:ind w:left="44" w:leftChars="21"/>
              <w:jc w:val="center"/>
              <w:rPr>
                <w:rFonts w:hint="eastAsia" w:ascii="宋体" w:hAnsi="宋体" w:eastAsia="宋体" w:cs="宋体"/>
                <w:b/>
                <w:bCs/>
                <w:color w:val="auto"/>
                <w:szCs w:val="21"/>
              </w:rPr>
            </w:pPr>
            <w:r>
              <w:rPr>
                <w:rFonts w:hint="eastAsia" w:ascii="宋体" w:hAnsi="宋体" w:eastAsia="宋体" w:cs="宋体"/>
                <w:b/>
                <w:bCs/>
                <w:color w:val="auto"/>
                <w:szCs w:val="21"/>
              </w:rPr>
              <w:t>内容说明</w:t>
            </w:r>
          </w:p>
        </w:tc>
      </w:tr>
      <w:tr w14:paraId="0C827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000" w:hRule="atLeast"/>
          <w:jc w:val="center"/>
        </w:trPr>
        <w:tc>
          <w:tcPr>
            <w:tcW w:w="355" w:type="pct"/>
            <w:vAlign w:val="center"/>
          </w:tcPr>
          <w:p w14:paraId="49A7AB1B">
            <w:pPr>
              <w:keepLines w:val="0"/>
              <w:pageBreakBefore w:val="0"/>
              <w:widowControl w:val="0"/>
              <w:kinsoku/>
              <w:wordWrap/>
              <w:overflowPunct/>
              <w:topLinePunct w:val="0"/>
              <w:bidi w:val="0"/>
              <w:jc w:val="center"/>
              <w:rPr>
                <w:rFonts w:hint="eastAsia" w:ascii="宋体" w:hAnsi="宋体" w:eastAsia="宋体" w:cs="宋体"/>
                <w:b/>
                <w:bCs/>
                <w:color w:val="auto"/>
                <w:szCs w:val="21"/>
              </w:rPr>
            </w:pPr>
            <w:r>
              <w:rPr>
                <w:rFonts w:hint="eastAsia" w:ascii="宋体" w:hAnsi="宋体" w:eastAsia="宋体" w:cs="宋体"/>
                <w:b/>
                <w:bCs/>
                <w:color w:val="auto"/>
                <w:szCs w:val="21"/>
              </w:rPr>
              <w:t>1</w:t>
            </w:r>
          </w:p>
        </w:tc>
        <w:tc>
          <w:tcPr>
            <w:tcW w:w="676" w:type="pct"/>
            <w:vAlign w:val="center"/>
          </w:tcPr>
          <w:p w14:paraId="405BF67D">
            <w:pPr>
              <w:keepLines w:val="0"/>
              <w:pageBreakBefore w:val="0"/>
              <w:widowControl w:val="0"/>
              <w:kinsoku/>
              <w:wordWrap/>
              <w:overflowPunct/>
              <w:topLinePunct w:val="0"/>
              <w:bidi w:val="0"/>
              <w:jc w:val="center"/>
              <w:rPr>
                <w:rFonts w:hint="eastAsia" w:ascii="宋体" w:hAnsi="宋体" w:eastAsia="宋体" w:cs="宋体"/>
                <w:color w:val="auto"/>
                <w:szCs w:val="21"/>
              </w:rPr>
            </w:pPr>
            <w:r>
              <w:rPr>
                <w:rFonts w:hint="eastAsia" w:ascii="宋体" w:hAnsi="宋体" w:eastAsia="宋体" w:cs="宋体"/>
                <w:color w:val="auto"/>
                <w:szCs w:val="21"/>
              </w:rPr>
              <w:t>缺陷责任期</w:t>
            </w:r>
          </w:p>
        </w:tc>
        <w:tc>
          <w:tcPr>
            <w:tcW w:w="3967" w:type="pct"/>
            <w:vAlign w:val="center"/>
          </w:tcPr>
          <w:p w14:paraId="230BDE6C">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1、质保期：两年，从工程实际竣工之日算起。</w:t>
            </w:r>
          </w:p>
          <w:p w14:paraId="196093E1">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2、质量质保责任：</w:t>
            </w:r>
          </w:p>
          <w:p w14:paraId="2915CC85">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（1）属于质保范围的项目，成交供应商应在接到采购人通知后的2天内派人质保。成交供应商未能在规定时间内派人质保的，采购人可自行或委托第三方质保，费用由成交供应商支付。</w:t>
            </w:r>
          </w:p>
          <w:p w14:paraId="4453E37B">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（2）发生紧急抢修事故的，成交供应商在接到通知后，应立即赶赴现场进行抢修。</w:t>
            </w:r>
          </w:p>
          <w:p w14:paraId="614AC55E">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（3）供应商需要认真核查内容，如果在质保期出现质量导致破裂的由成交供应商负责。</w:t>
            </w:r>
          </w:p>
        </w:tc>
      </w:tr>
      <w:tr w14:paraId="2B500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05" w:hRule="atLeast"/>
          <w:jc w:val="center"/>
        </w:trPr>
        <w:tc>
          <w:tcPr>
            <w:tcW w:w="355" w:type="pct"/>
            <w:vAlign w:val="center"/>
          </w:tcPr>
          <w:p w14:paraId="05591E8F">
            <w:pPr>
              <w:keepLines w:val="0"/>
              <w:pageBreakBefore w:val="0"/>
              <w:widowControl w:val="0"/>
              <w:kinsoku/>
              <w:wordWrap/>
              <w:overflowPunct/>
              <w:topLinePunct w:val="0"/>
              <w:bidi w:val="0"/>
              <w:jc w:val="center"/>
              <w:rPr>
                <w:rFonts w:hint="eastAsia" w:ascii="宋体" w:hAnsi="宋体" w:eastAsia="宋体" w:cs="宋体"/>
                <w:b/>
                <w:bCs/>
                <w:color w:val="auto"/>
                <w:szCs w:val="21"/>
              </w:rPr>
            </w:pPr>
            <w:r>
              <w:rPr>
                <w:rFonts w:hint="eastAsia" w:ascii="宋体" w:hAnsi="宋体" w:eastAsia="宋体" w:cs="宋体"/>
                <w:b/>
                <w:bCs/>
                <w:color w:val="auto"/>
                <w:szCs w:val="21"/>
              </w:rPr>
              <w:t>2</w:t>
            </w:r>
          </w:p>
        </w:tc>
        <w:tc>
          <w:tcPr>
            <w:tcW w:w="676" w:type="pct"/>
            <w:vAlign w:val="center"/>
          </w:tcPr>
          <w:p w14:paraId="46F61908">
            <w:pPr>
              <w:keepLines w:val="0"/>
              <w:pageBreakBefore w:val="0"/>
              <w:widowControl w:val="0"/>
              <w:kinsoku/>
              <w:wordWrap/>
              <w:overflowPunct/>
              <w:topLinePunct w:val="0"/>
              <w:bidi w:val="0"/>
              <w:jc w:val="center"/>
              <w:rPr>
                <w:rFonts w:hint="eastAsia" w:ascii="宋体" w:hAnsi="宋体" w:eastAsia="宋体" w:cs="宋体"/>
                <w:b/>
                <w:bCs/>
                <w:color w:val="auto"/>
                <w:szCs w:val="21"/>
              </w:rPr>
            </w:pPr>
            <w:r>
              <w:rPr>
                <w:rFonts w:hint="eastAsia" w:ascii="宋体" w:hAnsi="宋体" w:eastAsia="宋体" w:cs="宋体"/>
                <w:color w:val="auto"/>
                <w:szCs w:val="21"/>
              </w:rPr>
              <w:t>违约责任</w:t>
            </w:r>
          </w:p>
        </w:tc>
        <w:tc>
          <w:tcPr>
            <w:tcW w:w="3967" w:type="pct"/>
          </w:tcPr>
          <w:p w14:paraId="6A2B33E0">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1）因成交供应商原因，按施工合同总工期约定一旦出现工期拖延，工程每延误一天，成交供应商按工程结算造价的1‰向采购人支付违约金，累加计算。延误超过5天的，采购人有权中止合同，成交供应商无条件退场，已完成的工作量按实结算，工期顺延条件按合同约定。</w:t>
            </w:r>
          </w:p>
          <w:p w14:paraId="16720EC4">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（2）合同工期调整条件：由采购人及监理工程师确认的不可抗力（地震、洪灾、战争、台风、当地气象部门确认的暴雨等，但不包括一般下雨天）造成的工期延误，</w:t>
            </w:r>
            <w:r>
              <w:rPr>
                <w:rFonts w:hint="eastAsia" w:ascii="宋体" w:hAnsi="宋体" w:eastAsia="宋体" w:cs="宋体"/>
                <w:color w:val="auto"/>
              </w:rPr>
              <w:t>经采购人确认后工期顺延</w:t>
            </w:r>
            <w:r>
              <w:rPr>
                <w:rFonts w:hint="eastAsia" w:ascii="宋体" w:hAnsi="宋体" w:eastAsia="宋体" w:cs="宋体"/>
                <w:color w:val="auto"/>
                <w:szCs w:val="21"/>
              </w:rPr>
              <w:t>；经采购人确认的非成交供应商原因造成的工期延误，工期顺延。</w:t>
            </w:r>
          </w:p>
          <w:p w14:paraId="30AD2861">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3）竣工日期约定：本工程确定成交供应商后若因采购人原因不能按时开工，其开工日期以采购人书面确认的开工令为准，延迟开工不增加任何费用。以各方责任主体共同签署的竣工验收报告的日期为准，质量缺陷责任期（质量保修期）从竣工验收之日起计算。</w:t>
            </w:r>
          </w:p>
          <w:p w14:paraId="7DF2ED66">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（4）成交通知书签发之日起30个日历天内签订施工合同，按照采购人要求的时间提交施工报建等资料。</w:t>
            </w:r>
          </w:p>
          <w:p w14:paraId="6B8A4BED">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5）如果由于采购人的原因造成工期延期的，成交供应商有义务及时做好人员及机械的安置工作，与之有关所涉及的一切费用由成交供应商支付，成交供应商均不得提出索赔，工期相应顺延。因政策性原因或工程款拨付等原因，由采购人发出停工通知的，停工期间不支付工地看护费用、机械设备停滞费用、材料租赁费用、人工工资及其他任何经济补偿，施工工期须采购人确认后予以顺延。</w:t>
            </w:r>
          </w:p>
          <w:p w14:paraId="338FB643">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（6）采购人逾期付款的，每日应向成交供应商偿付逾期款项的千分之五作为违约金。</w:t>
            </w:r>
          </w:p>
        </w:tc>
      </w:tr>
      <w:tr w14:paraId="0091E2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387EA43A">
            <w:pPr>
              <w:keepLines w:val="0"/>
              <w:pageBreakBefore w:val="0"/>
              <w:widowControl w:val="0"/>
              <w:kinsoku/>
              <w:wordWrap/>
              <w:overflowPunct/>
              <w:topLinePunct w:val="0"/>
              <w:bidi w:val="0"/>
              <w:jc w:val="center"/>
              <w:rPr>
                <w:rFonts w:hint="eastAsia" w:ascii="宋体" w:hAnsi="宋体" w:eastAsia="宋体" w:cs="宋体"/>
                <w:b/>
                <w:bCs/>
                <w:color w:val="auto"/>
                <w:szCs w:val="21"/>
              </w:rPr>
            </w:pPr>
            <w:r>
              <w:rPr>
                <w:rFonts w:hint="eastAsia" w:ascii="宋体" w:hAnsi="宋体" w:eastAsia="宋体" w:cs="宋体"/>
                <w:b/>
                <w:bCs/>
                <w:color w:val="auto"/>
              </w:rPr>
              <w:t>3</w:t>
            </w:r>
          </w:p>
        </w:tc>
        <w:tc>
          <w:tcPr>
            <w:tcW w:w="676" w:type="pct"/>
            <w:vAlign w:val="center"/>
          </w:tcPr>
          <w:p w14:paraId="6D6F1AB6">
            <w:pPr>
              <w:keepLines w:val="0"/>
              <w:pageBreakBefore w:val="0"/>
              <w:widowControl w:val="0"/>
              <w:kinsoku/>
              <w:wordWrap/>
              <w:overflowPunct/>
              <w:topLinePunct w:val="0"/>
              <w:bidi w:val="0"/>
              <w:jc w:val="center"/>
              <w:rPr>
                <w:rFonts w:hint="eastAsia" w:ascii="宋体" w:hAnsi="宋体" w:eastAsia="宋体" w:cs="宋体"/>
                <w:color w:val="auto"/>
                <w:szCs w:val="21"/>
              </w:rPr>
            </w:pPr>
            <w:r>
              <w:rPr>
                <w:rFonts w:hint="eastAsia" w:ascii="宋体" w:hAnsi="宋体" w:eastAsia="宋体" w:cs="宋体"/>
                <w:color w:val="auto"/>
              </w:rPr>
              <w:t>安全生产文明施工要求</w:t>
            </w:r>
          </w:p>
        </w:tc>
        <w:tc>
          <w:tcPr>
            <w:tcW w:w="3967" w:type="pct"/>
          </w:tcPr>
          <w:p w14:paraId="5A60A98F">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1、要求：合格。</w:t>
            </w:r>
          </w:p>
          <w:p w14:paraId="4955AD16">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2、标准：执行国家、广东省、珠海市现行验收评审标准。</w:t>
            </w:r>
            <w:r>
              <w:rPr>
                <w:rStyle w:val="12"/>
                <w:rFonts w:hint="eastAsia" w:ascii="宋体" w:hAnsi="宋体" w:eastAsia="宋体" w:cs="宋体"/>
                <w:color w:val="auto"/>
              </w:rPr>
              <w:t>成交供应商在施工期间应严格遵守《中华人民共和国安全生产法》 （2021修订版）（中华人民共和国主席令 第八十八号）、《建设工程安全生产管理条例》（中华人民共和国国务院令第393号）以及文明施工、深夜施工、环卫和城管、计划生育等规定，建立规章制度和防护措施。若违反以上规定，由此造成的经济和法律责任，均由成交供应商负责。</w:t>
            </w:r>
          </w:p>
          <w:p w14:paraId="76DE1289">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3、其它事项：</w:t>
            </w:r>
          </w:p>
          <w:p w14:paraId="407A010A">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1）成交供应商负责通过所有验评，并负责所有费用。如果不能达到要求而返工，成交供应商应无条件承担所有费用，且工期不得顺延。</w:t>
            </w:r>
          </w:p>
          <w:p w14:paraId="2386AC6F">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rPr>
              <w:t>2）成交供应商必须按照广东省关于安全生产文明施工措施费的规定投入安全生产文明施工费用，不满足安全生产文明施工要求，被采购人、建设主管部门、安监站等因安全问题发出停工整改通知的，成交供应商每次支付违约金2万元，并记入诚信记录作为信誉考核依据。</w:t>
            </w:r>
          </w:p>
        </w:tc>
      </w:tr>
      <w:tr w14:paraId="6EA77D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77BCB987">
            <w:pPr>
              <w:keepLines w:val="0"/>
              <w:pageBreakBefore w:val="0"/>
              <w:widowControl w:val="0"/>
              <w:kinsoku/>
              <w:wordWrap/>
              <w:overflowPunct/>
              <w:topLinePunct w:val="0"/>
              <w:bidi w:val="0"/>
              <w:jc w:val="center"/>
              <w:rPr>
                <w:rFonts w:hint="eastAsia" w:ascii="宋体" w:hAnsi="宋体" w:eastAsia="宋体" w:cs="宋体"/>
                <w:b/>
                <w:bCs/>
                <w:color w:val="auto"/>
                <w:szCs w:val="21"/>
              </w:rPr>
            </w:pPr>
            <w:r>
              <w:rPr>
                <w:rFonts w:hint="eastAsia" w:ascii="宋体" w:hAnsi="宋体" w:eastAsia="宋体" w:cs="宋体"/>
                <w:b/>
                <w:bCs/>
                <w:color w:val="auto"/>
              </w:rPr>
              <w:t>4</w:t>
            </w:r>
          </w:p>
        </w:tc>
        <w:tc>
          <w:tcPr>
            <w:tcW w:w="676" w:type="pct"/>
            <w:vAlign w:val="center"/>
          </w:tcPr>
          <w:p w14:paraId="1E2658CC">
            <w:pPr>
              <w:keepLines w:val="0"/>
              <w:pageBreakBefore w:val="0"/>
              <w:widowControl w:val="0"/>
              <w:kinsoku/>
              <w:wordWrap/>
              <w:overflowPunct/>
              <w:topLinePunct w:val="0"/>
              <w:bidi w:val="0"/>
              <w:jc w:val="center"/>
              <w:rPr>
                <w:rFonts w:hint="eastAsia" w:ascii="宋体" w:hAnsi="宋体" w:eastAsia="宋体" w:cs="宋体"/>
                <w:color w:val="auto"/>
              </w:rPr>
            </w:pPr>
            <w:r>
              <w:rPr>
                <w:rFonts w:hint="eastAsia" w:ascii="宋体" w:hAnsi="宋体" w:eastAsia="宋体" w:cs="宋体"/>
                <w:color w:val="auto"/>
              </w:rPr>
              <w:t>工期要求</w:t>
            </w:r>
          </w:p>
        </w:tc>
        <w:tc>
          <w:tcPr>
            <w:tcW w:w="3967" w:type="pct"/>
          </w:tcPr>
          <w:p w14:paraId="40294694">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1、本工程工期为</w:t>
            </w:r>
            <w:r>
              <w:rPr>
                <w:rFonts w:hint="eastAsia" w:ascii="宋体" w:hAnsi="宋体" w:eastAsia="宋体" w:cs="宋体"/>
                <w:color w:val="auto"/>
                <w:szCs w:val="21"/>
              </w:rPr>
              <w:t>自采购人或监理单位发出开工令之日起</w:t>
            </w:r>
            <w:r>
              <w:rPr>
                <w:rFonts w:hint="eastAsia" w:ascii="宋体" w:hAnsi="宋体" w:eastAsia="宋体" w:cs="宋体"/>
                <w:color w:val="auto"/>
              </w:rPr>
              <w:t>50天内，</w:t>
            </w:r>
            <w:r>
              <w:rPr>
                <w:rFonts w:hint="eastAsia" w:ascii="宋体" w:hAnsi="宋体" w:eastAsia="宋体" w:cs="宋体"/>
                <w:color w:val="auto"/>
                <w:szCs w:val="21"/>
              </w:rPr>
              <w:t>完成竣工验收并交付使用</w:t>
            </w:r>
            <w:r>
              <w:rPr>
                <w:rFonts w:hint="eastAsia" w:ascii="宋体" w:hAnsi="宋体" w:eastAsia="宋体" w:cs="宋体"/>
                <w:color w:val="auto"/>
              </w:rPr>
              <w:t>。成交供应商须在发出成交通知书后30个日历天内与采购人签订合同，管理人员到位，进行工程交底，同时组织施工人员，同时进场做施工前准备工作。开工日期从采购人签发的开工报告日期开始计算。</w:t>
            </w:r>
          </w:p>
          <w:p w14:paraId="0A8565A6">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2、由采购人确认的不可抗力（地震、洪灾、战争、台风、当地气象部门确认的暴雨等）造成的工期延误，经采购人确认后工期顺延。</w:t>
            </w:r>
          </w:p>
          <w:p w14:paraId="3A994887">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3、由于非成交供应商原因造成工期拖延，经采购人确认后工期顺延，但工程造价不予调整。</w:t>
            </w:r>
          </w:p>
          <w:p w14:paraId="258037DD">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4、由于成交供应商原因导致延误工期的处理：因成交供应商原因造成工期延误的，从延期的第二天起，成交供应商每延期一天，按工程合同价的1‰向采购人支付违约金。若延期超过5天，采购人有权终止合同，并追究成交供应商的违约责任。</w:t>
            </w:r>
          </w:p>
          <w:p w14:paraId="42EBE470">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5、其它事项：本项目如需报建，则成交通知书发出后3天内，成交供应商应及时做好进场施工前准备工作，并协助采购人完成办理施工许可手续。</w:t>
            </w:r>
          </w:p>
        </w:tc>
      </w:tr>
      <w:tr w14:paraId="4B44C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2A8BFE6E">
            <w:pPr>
              <w:keepLines w:val="0"/>
              <w:pageBreakBefore w:val="0"/>
              <w:widowControl w:val="0"/>
              <w:kinsoku/>
              <w:wordWrap/>
              <w:overflowPunct/>
              <w:topLinePunct w:val="0"/>
              <w:bidi w:val="0"/>
              <w:jc w:val="center"/>
              <w:rPr>
                <w:rFonts w:hint="eastAsia" w:ascii="宋体" w:hAnsi="宋体" w:eastAsia="宋体" w:cs="宋体"/>
                <w:b/>
                <w:bCs/>
                <w:color w:val="auto"/>
                <w:szCs w:val="21"/>
              </w:rPr>
            </w:pPr>
            <w:r>
              <w:rPr>
                <w:rFonts w:hint="eastAsia" w:ascii="宋体" w:hAnsi="宋体" w:eastAsia="宋体" w:cs="宋体"/>
                <w:b/>
                <w:bCs/>
                <w:color w:val="auto"/>
              </w:rPr>
              <w:t>5</w:t>
            </w:r>
          </w:p>
        </w:tc>
        <w:tc>
          <w:tcPr>
            <w:tcW w:w="676" w:type="pct"/>
            <w:vAlign w:val="center"/>
          </w:tcPr>
          <w:p w14:paraId="57AC938F">
            <w:pPr>
              <w:keepLines w:val="0"/>
              <w:pageBreakBefore w:val="0"/>
              <w:widowControl w:val="0"/>
              <w:kinsoku/>
              <w:wordWrap/>
              <w:overflowPunct/>
              <w:topLinePunct w:val="0"/>
              <w:bidi w:val="0"/>
              <w:jc w:val="center"/>
              <w:rPr>
                <w:rFonts w:hint="eastAsia" w:ascii="宋体" w:hAnsi="宋体" w:eastAsia="宋体" w:cs="宋体"/>
                <w:color w:val="auto"/>
                <w:szCs w:val="21"/>
              </w:rPr>
            </w:pPr>
            <w:r>
              <w:rPr>
                <w:rFonts w:hint="eastAsia" w:ascii="宋体" w:hAnsi="宋体" w:eastAsia="宋体" w:cs="宋体"/>
                <w:color w:val="auto"/>
              </w:rPr>
              <w:t>承包风险</w:t>
            </w:r>
          </w:p>
        </w:tc>
        <w:tc>
          <w:tcPr>
            <w:tcW w:w="3967" w:type="pct"/>
          </w:tcPr>
          <w:p w14:paraId="12A5A760">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1、由于政策调整或其他非承包人原因导致项目终止或工程规模缩减，采购人将按照成交供应商实际已完成的部分支付费用；未实施项目，不管是工程直接费、措施费、规费或税金，结算时按实核减。由于项目终止或工程规模缩减导致成交供应商实际损失的，成交供应商无权要求采购人按照项目终止和工程规模缩减造成的实际损失予以赔偿。</w:t>
            </w:r>
          </w:p>
          <w:p w14:paraId="7812B9DB">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2、由于自然灾害、恶劣气候条件等不可抗力因素导致的实际损失，采购人承担实际损失的[0]%，成交供应商承担实际损失的[100]%。</w:t>
            </w:r>
          </w:p>
          <w:p w14:paraId="0170F84E">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3、其它事项：</w:t>
            </w:r>
          </w:p>
          <w:p w14:paraId="65F2719F">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1）采购人有权根据使用要求和工程需要对设计、主要材料及设备进行变更，有权根据变更以及磋商文件及承包合同约定的造价调整方式对造价进行调整，成交供应商必须予以执行。成交供应商不能以设计、主要材料及设备变更导致损失为理由要求采购人予以赔偿。</w:t>
            </w:r>
          </w:p>
          <w:p w14:paraId="20FDBDD3">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（2）合同价款在合同期间，不因工程造价管理机构或行业主管部门发布的造价调整而调整。</w:t>
            </w:r>
          </w:p>
          <w:p w14:paraId="41681D85">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（3）成交供应商不得发生拖欠工人工资的行为；如有发生，采购人有权直接将工程进度款用于发放工人工资。</w:t>
            </w:r>
          </w:p>
          <w:p w14:paraId="5241574C">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（4）由于采购人原因导致工期拖延的，成交供应商不得进行经济索赔，但可以要求采购人顺延工期。</w:t>
            </w:r>
          </w:p>
          <w:p w14:paraId="2FBEF29A">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（5）一个合格承包商所应考虑到的不可预见风险。</w:t>
            </w:r>
          </w:p>
          <w:p w14:paraId="4B6DB850">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rPr>
              <w:t>（6）实施过程中使用的消防材料、设备等需按消防验收要求，监理见证送检合格。费用在响应报价中综合考虑。</w:t>
            </w:r>
          </w:p>
        </w:tc>
      </w:tr>
      <w:tr w14:paraId="72F55EF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27D3A49D">
            <w:pPr>
              <w:keepLines w:val="0"/>
              <w:pageBreakBefore w:val="0"/>
              <w:widowControl w:val="0"/>
              <w:kinsoku/>
              <w:wordWrap/>
              <w:overflowPunct/>
              <w:topLinePunct w:val="0"/>
              <w:bidi w:val="0"/>
              <w:jc w:val="center"/>
              <w:rPr>
                <w:rFonts w:hint="eastAsia" w:ascii="宋体" w:hAnsi="宋体" w:eastAsia="宋体" w:cs="宋体"/>
                <w:b/>
                <w:bCs/>
                <w:color w:val="auto"/>
              </w:rPr>
            </w:pPr>
            <w:r>
              <w:rPr>
                <w:rFonts w:hint="eastAsia" w:ascii="宋体" w:hAnsi="宋体" w:eastAsia="宋体" w:cs="宋体"/>
                <w:b/>
                <w:bCs/>
                <w:color w:val="auto"/>
              </w:rPr>
              <w:t>6</w:t>
            </w:r>
          </w:p>
        </w:tc>
        <w:tc>
          <w:tcPr>
            <w:tcW w:w="676" w:type="pct"/>
            <w:vAlign w:val="center"/>
          </w:tcPr>
          <w:p w14:paraId="7D5EE55C">
            <w:pPr>
              <w:keepLines w:val="0"/>
              <w:pageBreakBefore w:val="0"/>
              <w:widowControl w:val="0"/>
              <w:kinsoku/>
              <w:wordWrap/>
              <w:overflowPunct/>
              <w:topLinePunct w:val="0"/>
              <w:bidi w:val="0"/>
              <w:jc w:val="center"/>
              <w:rPr>
                <w:rFonts w:hint="eastAsia" w:ascii="宋体" w:hAnsi="宋体" w:eastAsia="宋体" w:cs="宋体"/>
                <w:color w:val="auto"/>
                <w:szCs w:val="21"/>
              </w:rPr>
            </w:pPr>
            <w:r>
              <w:rPr>
                <w:rFonts w:hint="eastAsia" w:ascii="宋体" w:hAnsi="宋体" w:eastAsia="宋体" w:cs="宋体"/>
                <w:color w:val="auto"/>
                <w:szCs w:val="21"/>
              </w:rPr>
              <w:t>响应报价风险</w:t>
            </w:r>
          </w:p>
        </w:tc>
        <w:tc>
          <w:tcPr>
            <w:tcW w:w="3967" w:type="pct"/>
          </w:tcPr>
          <w:p w14:paraId="3C9201D1">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1、供应商依据磋商文件提供的工程量清单等资料，并自行考虑风险因素计算响应报价，一旦成交，响应报价将不会因市场变化因素而得到调整。</w:t>
            </w:r>
          </w:p>
          <w:p w14:paraId="485C9175">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2、报价应当包含完成采购工程量清单项目所需的所有费用，包括但不限于：工程量清单项目费、项目措施费、规费、税金、安全生产文明施工措施费、施工配合费、预留资金以及竞争性磋商文件及承包合同约定应当由供应商承担的风险因素等费用。供应商应当根据采购工程量清单以及勘察、设计文件等材料自行考虑风险因素进行报价。否则，一旦成交，采购人将不予支付除了竞争性磋商文件及承包合同约定的由采购人承担的风险因素之外的任何补偿。</w:t>
            </w:r>
          </w:p>
          <w:p w14:paraId="224509E0">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3、供应商应按照磋商文件提供的工程量清单逐项填写单价及合价，供应商没有填写单价及合价的项目，采购人将视为此项费用已包括在工程量清单项目的其它单价及合价中而不予支付。</w:t>
            </w:r>
          </w:p>
          <w:p w14:paraId="4D989E15">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4、采购人发出的磋商文件内容和格式不许增加和修改，供应商确认工程量清单存在的缺项、漏项、计算误差或认为采购人提供的资料存在不明确、不一致时，应在响应截止日之前3个工作日（或采购人和所有供应商认可的时间）内，以书面方式向采购人提出。供应商未在规定的时间内向采购人提出异议，则采购人要求完成的全部工作内容。</w:t>
            </w:r>
          </w:p>
        </w:tc>
      </w:tr>
      <w:tr w14:paraId="5D62FF1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4A486984">
            <w:pPr>
              <w:keepLines w:val="0"/>
              <w:pageBreakBefore w:val="0"/>
              <w:widowControl w:val="0"/>
              <w:kinsoku/>
              <w:wordWrap/>
              <w:overflowPunct/>
              <w:topLinePunct w:val="0"/>
              <w:bidi w:val="0"/>
              <w:jc w:val="center"/>
              <w:rPr>
                <w:rFonts w:hint="eastAsia" w:ascii="宋体" w:hAnsi="宋体" w:eastAsia="宋体" w:cs="宋体"/>
                <w:b/>
                <w:bCs/>
                <w:color w:val="auto"/>
                <w:szCs w:val="21"/>
              </w:rPr>
            </w:pPr>
            <w:r>
              <w:rPr>
                <w:rFonts w:hint="eastAsia" w:ascii="宋体" w:hAnsi="宋体" w:eastAsia="宋体" w:cs="宋体"/>
                <w:b/>
                <w:bCs/>
                <w:color w:val="auto"/>
              </w:rPr>
              <w:t>7</w:t>
            </w:r>
          </w:p>
        </w:tc>
        <w:tc>
          <w:tcPr>
            <w:tcW w:w="676" w:type="pct"/>
            <w:vAlign w:val="center"/>
          </w:tcPr>
          <w:p w14:paraId="5704D3AE">
            <w:pPr>
              <w:keepLines w:val="0"/>
              <w:pageBreakBefore w:val="0"/>
              <w:widowControl w:val="0"/>
              <w:kinsoku/>
              <w:wordWrap/>
              <w:overflowPunct/>
              <w:topLinePunct w:val="0"/>
              <w:bidi w:val="0"/>
              <w:jc w:val="center"/>
              <w:rPr>
                <w:rFonts w:hint="eastAsia" w:ascii="宋体" w:hAnsi="宋体" w:eastAsia="宋体" w:cs="宋体"/>
                <w:color w:val="auto"/>
                <w:szCs w:val="21"/>
              </w:rPr>
            </w:pPr>
            <w:r>
              <w:rPr>
                <w:rFonts w:hint="eastAsia" w:ascii="宋体" w:hAnsi="宋体" w:eastAsia="宋体" w:cs="宋体"/>
                <w:color w:val="auto"/>
                <w:szCs w:val="21"/>
              </w:rPr>
              <w:t>造价调整条件及范围</w:t>
            </w:r>
          </w:p>
        </w:tc>
        <w:tc>
          <w:tcPr>
            <w:tcW w:w="3967" w:type="pct"/>
          </w:tcPr>
          <w:p w14:paraId="6F39952C">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1、由于设计、主要材料及设备变更造成工程量增加或减少、价格升高或降低导致的造价变化。</w:t>
            </w:r>
          </w:p>
          <w:p w14:paraId="0F1CA675">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2、由于工程商洽造成工程量增加或减少、价格升高或降低导致的造价变化。</w:t>
            </w:r>
          </w:p>
          <w:p w14:paraId="592A9884">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3、其他事项：</w:t>
            </w:r>
          </w:p>
          <w:p w14:paraId="5229DAC4">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（1）由于政策调整或其他原因导致项目终止或工程规模缩减。</w:t>
            </w:r>
          </w:p>
          <w:p w14:paraId="2ABA70BD">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（2）采购人确认的，符合政府投资管理条例规定并经审批同意的工程量增减、设计变更或工程商洽。</w:t>
            </w:r>
          </w:p>
          <w:p w14:paraId="4D83CCD7">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（3）经监督部门确认，工程量属于多列多算等虚增工程造价的，结算时或审计中全部扣减，这种情况不受工程量误差调整条款限制。但若是少算的工程造价也不增加，请供应商在响应报价时充分考虑。</w:t>
            </w:r>
          </w:p>
          <w:p w14:paraId="54562733">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（4）不符合政府投资管理条例规定的造价增加不能作为工程结算的依据。</w:t>
            </w:r>
          </w:p>
          <w:p w14:paraId="082ABA3B">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（5）磋商文件及承包合同约定由成交供应商承担的风险因素范围之内不予调整。</w:t>
            </w:r>
          </w:p>
          <w:p w14:paraId="6A370FB8">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（6）由于市场价格波动导致造价变化，所有价格均不调整。</w:t>
            </w:r>
          </w:p>
        </w:tc>
      </w:tr>
      <w:tr w14:paraId="34ACD5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39E0780F">
            <w:pPr>
              <w:keepLines w:val="0"/>
              <w:pageBreakBefore w:val="0"/>
              <w:widowControl w:val="0"/>
              <w:kinsoku/>
              <w:wordWrap/>
              <w:overflowPunct/>
              <w:topLinePunct w:val="0"/>
              <w:bidi w:val="0"/>
              <w:jc w:val="center"/>
              <w:rPr>
                <w:rFonts w:hint="eastAsia" w:ascii="宋体" w:hAnsi="宋体" w:eastAsia="宋体" w:cs="宋体"/>
                <w:b/>
                <w:bCs/>
                <w:color w:val="auto"/>
                <w:szCs w:val="21"/>
              </w:rPr>
            </w:pPr>
            <w:r>
              <w:rPr>
                <w:rFonts w:hint="eastAsia" w:ascii="宋体" w:hAnsi="宋体" w:eastAsia="宋体" w:cs="宋体"/>
                <w:b/>
                <w:bCs/>
                <w:color w:val="auto"/>
              </w:rPr>
              <w:t>8</w:t>
            </w:r>
          </w:p>
        </w:tc>
        <w:tc>
          <w:tcPr>
            <w:tcW w:w="676" w:type="pct"/>
            <w:vAlign w:val="center"/>
          </w:tcPr>
          <w:p w14:paraId="736AB076">
            <w:pPr>
              <w:keepLines w:val="0"/>
              <w:pageBreakBefore w:val="0"/>
              <w:widowControl w:val="0"/>
              <w:kinsoku/>
              <w:wordWrap/>
              <w:overflowPunct/>
              <w:topLinePunct w:val="0"/>
              <w:bidi w:val="0"/>
              <w:jc w:val="center"/>
              <w:rPr>
                <w:rFonts w:hint="eastAsia" w:ascii="宋体" w:hAnsi="宋体" w:eastAsia="宋体" w:cs="宋体"/>
                <w:color w:val="auto"/>
                <w:szCs w:val="21"/>
              </w:rPr>
            </w:pPr>
            <w:r>
              <w:rPr>
                <w:rFonts w:hint="eastAsia" w:ascii="宋体" w:hAnsi="宋体" w:eastAsia="宋体" w:cs="宋体"/>
                <w:color w:val="auto"/>
                <w:szCs w:val="21"/>
              </w:rPr>
              <w:t>价款调整方式</w:t>
            </w:r>
          </w:p>
        </w:tc>
        <w:tc>
          <w:tcPr>
            <w:tcW w:w="3967" w:type="pct"/>
          </w:tcPr>
          <w:p w14:paraId="5F0096FA">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由于政策调整或其他原因导致工程项目终止、规模缩减，采购人将按照缩减之后的实际完成工程量结算并支付相关费用，未实施项目，不管是工程直接费、措施费、规费或税金，结算时按实核减，采购人不做任何赔偿。</w:t>
            </w:r>
          </w:p>
        </w:tc>
      </w:tr>
      <w:tr w14:paraId="695426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657DEFAF">
            <w:pPr>
              <w:keepLines w:val="0"/>
              <w:pageBreakBefore w:val="0"/>
              <w:widowControl w:val="0"/>
              <w:kinsoku/>
              <w:wordWrap/>
              <w:overflowPunct/>
              <w:topLinePunct w:val="0"/>
              <w:bidi w:val="0"/>
              <w:jc w:val="center"/>
              <w:rPr>
                <w:rFonts w:hint="eastAsia" w:ascii="宋体" w:hAnsi="宋体" w:eastAsia="宋体" w:cs="宋体"/>
                <w:b/>
                <w:bCs/>
                <w:color w:val="auto"/>
                <w:szCs w:val="21"/>
              </w:rPr>
            </w:pPr>
            <w:r>
              <w:rPr>
                <w:rFonts w:hint="eastAsia" w:ascii="宋体" w:hAnsi="宋体" w:eastAsia="宋体" w:cs="宋体"/>
                <w:b/>
                <w:bCs/>
                <w:color w:val="auto"/>
              </w:rPr>
              <w:t>9</w:t>
            </w:r>
          </w:p>
        </w:tc>
        <w:tc>
          <w:tcPr>
            <w:tcW w:w="676" w:type="pct"/>
            <w:vAlign w:val="center"/>
          </w:tcPr>
          <w:p w14:paraId="2B60FAF2">
            <w:pPr>
              <w:keepLines w:val="0"/>
              <w:pageBreakBefore w:val="0"/>
              <w:widowControl w:val="0"/>
              <w:kinsoku/>
              <w:wordWrap/>
              <w:overflowPunct/>
              <w:topLinePunct w:val="0"/>
              <w:bidi w:val="0"/>
              <w:jc w:val="center"/>
              <w:rPr>
                <w:rFonts w:hint="eastAsia" w:ascii="宋体" w:hAnsi="宋体" w:eastAsia="宋体" w:cs="宋体"/>
                <w:color w:val="auto"/>
                <w:szCs w:val="21"/>
              </w:rPr>
            </w:pPr>
            <w:r>
              <w:rPr>
                <w:rFonts w:hint="eastAsia" w:ascii="宋体" w:hAnsi="宋体" w:eastAsia="宋体" w:cs="宋体"/>
                <w:color w:val="auto"/>
                <w:szCs w:val="21"/>
              </w:rPr>
              <w:t>项目措施费</w:t>
            </w:r>
          </w:p>
        </w:tc>
        <w:tc>
          <w:tcPr>
            <w:tcW w:w="3967" w:type="pct"/>
          </w:tcPr>
          <w:p w14:paraId="4287DEBF">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szCs w:val="21"/>
              </w:rPr>
              <w:t>1、</w:t>
            </w:r>
            <w:r>
              <w:rPr>
                <w:rFonts w:hint="eastAsia" w:ascii="宋体" w:hAnsi="宋体" w:eastAsia="宋体" w:cs="宋体"/>
                <w:color w:val="auto"/>
              </w:rPr>
              <w:t>完成磋商文件所提供的工程量清单项目范围内所需的全部措施费用。供应商根据本工程的具体情况，以“项”或“宗”列项报价。</w:t>
            </w:r>
          </w:p>
          <w:p w14:paraId="71790E24">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2、工程量清单内按系数取费的措施项目费</w:t>
            </w:r>
            <w:r>
              <w:rPr>
                <w:rFonts w:hint="eastAsia" w:ascii="宋体" w:hAnsi="宋体" w:eastAsia="宋体" w:cs="宋体"/>
                <w:color w:val="auto"/>
              </w:rPr>
              <w:t>已含在工程量清单的报价中，</w:t>
            </w:r>
            <w:r>
              <w:rPr>
                <w:rFonts w:hint="eastAsia" w:ascii="宋体" w:hAnsi="宋体" w:eastAsia="宋体" w:cs="宋体"/>
                <w:color w:val="auto"/>
                <w:szCs w:val="21"/>
              </w:rPr>
              <w:t>不调整，供应商漏报或少报，采购单位将视为此项费用已包括在其它费用内而不予支付。凡可计算工程量的措施项目费，按照实际发生变化的措施项目的工程量予以调整（累计在+[ 3 ]%（含本数，≤3）或-[ 3 ]%（含本数，≤3之内的不予调整）。</w:t>
            </w:r>
          </w:p>
          <w:p w14:paraId="4C20633A">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 xml:space="preserve">3、对可单独计量的项目（包括综合脚手架、靠脚手架安全挡板、密目式安全网、围尼龙纺织布、模板的支架、施工现场围挡和临时占地围挡、施工围挡照明、临时钢管架通道、独立安全防护挡板、吊装设备基础、防尘降噪绿色施工防护棚、施工便道、样板引路等），根据采购人确认的施工图纸、方案及施工组织设计等资料，按相关定额子目计算并乘以成交费率。 </w:t>
            </w:r>
          </w:p>
          <w:p w14:paraId="118B947F">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4、采购单位、监理单位或政府行政主管部门认为成交单位的施工方案、措施（包括实施过程的）等不能保证施工安全、工程质量及施工工期时，成交单位应按照采购单位、监理单位或政府行政主管部门意见对方案和措施进行完善和修改，整改费用不予增加。</w:t>
            </w:r>
          </w:p>
          <w:p w14:paraId="32CC793F">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5、符合造价调整条件及范围的项目所引起的措施费变化，按合同约定结算。</w:t>
            </w:r>
          </w:p>
        </w:tc>
      </w:tr>
      <w:tr w14:paraId="2641F7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5C5D7F70">
            <w:pPr>
              <w:keepLines w:val="0"/>
              <w:pageBreakBefore w:val="0"/>
              <w:widowControl w:val="0"/>
              <w:kinsoku/>
              <w:wordWrap/>
              <w:overflowPunct/>
              <w:topLinePunct w:val="0"/>
              <w:bidi w:val="0"/>
              <w:jc w:val="center"/>
              <w:rPr>
                <w:rFonts w:hint="eastAsia" w:ascii="宋体" w:hAnsi="宋体" w:eastAsia="宋体" w:cs="宋体"/>
                <w:b/>
                <w:bCs/>
                <w:color w:val="auto"/>
              </w:rPr>
            </w:pPr>
            <w:r>
              <w:rPr>
                <w:rFonts w:hint="eastAsia" w:ascii="宋体" w:hAnsi="宋体" w:eastAsia="宋体" w:cs="宋体"/>
                <w:b/>
                <w:bCs/>
                <w:color w:val="auto"/>
              </w:rPr>
              <w:t>10</w:t>
            </w:r>
          </w:p>
        </w:tc>
        <w:tc>
          <w:tcPr>
            <w:tcW w:w="676" w:type="pct"/>
            <w:vAlign w:val="center"/>
          </w:tcPr>
          <w:p w14:paraId="09EEC06F">
            <w:pPr>
              <w:keepLines w:val="0"/>
              <w:pageBreakBefore w:val="0"/>
              <w:widowControl w:val="0"/>
              <w:kinsoku/>
              <w:wordWrap/>
              <w:overflowPunct/>
              <w:topLinePunct w:val="0"/>
              <w:bidi w:val="0"/>
              <w:jc w:val="center"/>
              <w:rPr>
                <w:rFonts w:hint="eastAsia" w:ascii="宋体" w:hAnsi="宋体" w:eastAsia="宋体" w:cs="宋体"/>
                <w:color w:val="auto"/>
                <w:szCs w:val="21"/>
              </w:rPr>
            </w:pPr>
            <w:r>
              <w:rPr>
                <w:rFonts w:hint="eastAsia" w:ascii="宋体" w:hAnsi="宋体" w:eastAsia="宋体" w:cs="宋体"/>
                <w:color w:val="auto"/>
              </w:rPr>
              <w:t>争议解决途径</w:t>
            </w:r>
          </w:p>
        </w:tc>
        <w:tc>
          <w:tcPr>
            <w:tcW w:w="3967" w:type="pct"/>
          </w:tcPr>
          <w:p w14:paraId="27592683">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1、本合同的成立、有效性、解释、履行、签署、修订和终止以及争议的解决均应适用中华人民共和国法律。</w:t>
            </w:r>
          </w:p>
          <w:p w14:paraId="22272E4F">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2、如果任何争议或权利要求起因于本合同及其附件或与本合同及其附件有关或与本合同及其附件的解释、违约、终止或效力有关，都应由双方通过友好协商解决。</w:t>
            </w:r>
          </w:p>
          <w:p w14:paraId="54284173">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3、本项目合同实施或者与合同有关的一切争议应通过双方友好协商解决。如双方友好协商开始后30天还不能解决的，可提交珠海国际仲裁院仲裁或者依法向珠海市人民法院提起诉讼，同时，由违约方承担守约方支出的全部费用，包括但不限于律师费、仲裁费、诉讼费、保全费、保全担保费、差旅费、材料费、调查费、评估费、鉴定费等费用。</w:t>
            </w:r>
          </w:p>
          <w:p w14:paraId="2763ADD3">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4、诉讼进行过程中，除双方有争议的部分外，本合同其他部分仍然有效，各方应继续履行。</w:t>
            </w:r>
          </w:p>
          <w:p w14:paraId="36103159">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5、争议解决途径由双方在合同中确定。</w:t>
            </w:r>
          </w:p>
        </w:tc>
      </w:tr>
      <w:tr w14:paraId="647A87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4BD11BB5">
            <w:pPr>
              <w:keepLines w:val="0"/>
              <w:pageBreakBefore w:val="0"/>
              <w:widowControl w:val="0"/>
              <w:kinsoku/>
              <w:wordWrap/>
              <w:overflowPunct/>
              <w:topLinePunct w:val="0"/>
              <w:bidi w:val="0"/>
              <w:jc w:val="center"/>
              <w:rPr>
                <w:rFonts w:hint="eastAsia" w:ascii="宋体" w:hAnsi="宋体" w:eastAsia="宋体" w:cs="宋体"/>
                <w:b/>
                <w:bCs/>
                <w:color w:val="auto"/>
              </w:rPr>
            </w:pPr>
            <w:r>
              <w:rPr>
                <w:rFonts w:hint="eastAsia" w:ascii="宋体" w:hAnsi="宋体" w:eastAsia="宋体" w:cs="宋体"/>
                <w:b/>
                <w:bCs/>
                <w:color w:val="auto"/>
              </w:rPr>
              <w:t>11</w:t>
            </w:r>
          </w:p>
        </w:tc>
        <w:tc>
          <w:tcPr>
            <w:tcW w:w="676" w:type="pct"/>
            <w:vAlign w:val="center"/>
          </w:tcPr>
          <w:p w14:paraId="3020DC13">
            <w:pPr>
              <w:keepLines w:val="0"/>
              <w:pageBreakBefore w:val="0"/>
              <w:widowControl w:val="0"/>
              <w:kinsoku/>
              <w:wordWrap/>
              <w:overflowPunct/>
              <w:topLinePunct w:val="0"/>
              <w:bidi w:val="0"/>
              <w:jc w:val="center"/>
              <w:rPr>
                <w:rFonts w:hint="eastAsia" w:ascii="宋体" w:hAnsi="宋体" w:eastAsia="宋体" w:cs="宋体"/>
                <w:color w:val="auto"/>
                <w:szCs w:val="21"/>
              </w:rPr>
            </w:pPr>
            <w:r>
              <w:rPr>
                <w:rFonts w:hint="eastAsia" w:ascii="宋体" w:hAnsi="宋体" w:eastAsia="宋体" w:cs="宋体"/>
                <w:bCs/>
                <w:color w:val="auto"/>
              </w:rPr>
              <w:t>其他</w:t>
            </w:r>
          </w:p>
        </w:tc>
        <w:tc>
          <w:tcPr>
            <w:tcW w:w="3967" w:type="pct"/>
          </w:tcPr>
          <w:p w14:paraId="77A79F43">
            <w:pPr>
              <w:pStyle w:val="4"/>
              <w:keepLines w:val="0"/>
              <w:pageBreakBefore w:val="0"/>
              <w:widowControl w:val="0"/>
              <w:tabs>
                <w:tab w:val="left" w:pos="540"/>
              </w:tabs>
              <w:kinsoku/>
              <w:wordWrap/>
              <w:overflowPunct/>
              <w:topLinePunct w:val="0"/>
              <w:bidi w:val="0"/>
              <w:snapToGrid w:val="0"/>
              <w:rPr>
                <w:rFonts w:hint="eastAsia" w:ascii="宋体" w:hAnsi="宋体" w:eastAsia="宋体" w:cs="宋体"/>
                <w:bCs/>
                <w:color w:val="auto"/>
              </w:rPr>
            </w:pPr>
            <w:r>
              <w:rPr>
                <w:rFonts w:hint="eastAsia" w:ascii="宋体" w:hAnsi="宋体" w:eastAsia="宋体" w:cs="宋体"/>
                <w:bCs/>
                <w:color w:val="auto"/>
              </w:rPr>
              <w:t>1、成交供应商在施工前要与北京师范大学珠海校区物业服务中心签订“校区维修施工协议书”，接受北师大珠海校区物业服务中心的统一管理；</w:t>
            </w:r>
          </w:p>
          <w:p w14:paraId="7495CFCA">
            <w:pPr>
              <w:pStyle w:val="4"/>
              <w:keepLines w:val="0"/>
              <w:pageBreakBefore w:val="0"/>
              <w:widowControl w:val="0"/>
              <w:tabs>
                <w:tab w:val="left" w:pos="540"/>
              </w:tabs>
              <w:kinsoku/>
              <w:wordWrap/>
              <w:overflowPunct/>
              <w:topLinePunct w:val="0"/>
              <w:bidi w:val="0"/>
              <w:snapToGrid w:val="0"/>
              <w:rPr>
                <w:rFonts w:hint="eastAsia" w:ascii="宋体" w:hAnsi="宋体" w:eastAsia="宋体" w:cs="宋体"/>
                <w:bCs/>
                <w:color w:val="auto"/>
              </w:rPr>
            </w:pPr>
            <w:r>
              <w:rPr>
                <w:rFonts w:hint="eastAsia" w:ascii="宋体" w:hAnsi="宋体" w:eastAsia="宋体" w:cs="宋体"/>
                <w:bCs/>
                <w:color w:val="auto"/>
              </w:rPr>
              <w:t>2、施工期间，成交供应商必须保证校园内物品安全，如有被盗或损坏，成交单位应负责赔偿；</w:t>
            </w:r>
          </w:p>
          <w:p w14:paraId="32515B5D">
            <w:pPr>
              <w:pStyle w:val="4"/>
              <w:keepLines w:val="0"/>
              <w:pageBreakBefore w:val="0"/>
              <w:widowControl w:val="0"/>
              <w:tabs>
                <w:tab w:val="left" w:pos="540"/>
              </w:tabs>
              <w:kinsoku/>
              <w:wordWrap/>
              <w:overflowPunct/>
              <w:topLinePunct w:val="0"/>
              <w:bidi w:val="0"/>
              <w:snapToGrid w:val="0"/>
              <w:rPr>
                <w:rFonts w:hint="eastAsia" w:ascii="宋体" w:hAnsi="宋体" w:eastAsia="宋体" w:cs="宋体"/>
                <w:bCs/>
                <w:color w:val="auto"/>
              </w:rPr>
            </w:pPr>
            <w:r>
              <w:rPr>
                <w:rFonts w:hint="eastAsia" w:ascii="宋体" w:hAnsi="宋体" w:eastAsia="宋体" w:cs="宋体"/>
                <w:bCs/>
                <w:color w:val="auto"/>
              </w:rPr>
              <w:t>3、为了保证学校正常的工作，遵守学校交通管理的规定, 成交供应商应妥善安排好施工计划；</w:t>
            </w:r>
          </w:p>
          <w:p w14:paraId="762AD6AC">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bCs/>
                <w:color w:val="auto"/>
              </w:rPr>
              <w:t>4、施工完成后，成交供应商应将垃圾的清运走，搞好清洁卫生，且负责将移动的物品归原。</w:t>
            </w:r>
          </w:p>
        </w:tc>
      </w:tr>
      <w:tr w14:paraId="3C7935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jc w:val="center"/>
        </w:trPr>
        <w:tc>
          <w:tcPr>
            <w:tcW w:w="355" w:type="pct"/>
            <w:vAlign w:val="center"/>
          </w:tcPr>
          <w:p w14:paraId="4BA00157">
            <w:pPr>
              <w:keepLines w:val="0"/>
              <w:pageBreakBefore w:val="0"/>
              <w:widowControl w:val="0"/>
              <w:kinsoku/>
              <w:wordWrap/>
              <w:overflowPunct/>
              <w:topLinePunct w:val="0"/>
              <w:bidi w:val="0"/>
              <w:jc w:val="center"/>
              <w:rPr>
                <w:rFonts w:hint="eastAsia" w:ascii="宋体" w:hAnsi="宋体" w:eastAsia="宋体" w:cs="宋体"/>
                <w:b/>
                <w:bCs/>
                <w:color w:val="auto"/>
                <w:szCs w:val="21"/>
              </w:rPr>
            </w:pPr>
            <w:r>
              <w:rPr>
                <w:rFonts w:hint="eastAsia" w:ascii="宋体" w:hAnsi="宋体" w:eastAsia="宋体" w:cs="宋体"/>
                <w:b/>
                <w:bCs/>
                <w:color w:val="auto"/>
              </w:rPr>
              <w:t>12</w:t>
            </w:r>
          </w:p>
        </w:tc>
        <w:tc>
          <w:tcPr>
            <w:tcW w:w="676" w:type="pct"/>
            <w:vAlign w:val="center"/>
          </w:tcPr>
          <w:p w14:paraId="54605174">
            <w:pPr>
              <w:keepLines w:val="0"/>
              <w:pageBreakBefore w:val="0"/>
              <w:widowControl w:val="0"/>
              <w:kinsoku/>
              <w:wordWrap/>
              <w:overflowPunct/>
              <w:topLinePunct w:val="0"/>
              <w:bidi w:val="0"/>
              <w:jc w:val="center"/>
              <w:rPr>
                <w:rFonts w:hint="eastAsia" w:ascii="宋体" w:hAnsi="宋体" w:eastAsia="宋体" w:cs="宋体"/>
                <w:color w:val="auto"/>
              </w:rPr>
            </w:pPr>
            <w:r>
              <w:rPr>
                <w:rFonts w:hint="eastAsia" w:ascii="宋体" w:hAnsi="宋体" w:eastAsia="宋体" w:cs="宋体"/>
                <w:color w:val="auto"/>
                <w:szCs w:val="21"/>
              </w:rPr>
              <w:t>绿色施工安全防护措施费</w:t>
            </w:r>
          </w:p>
        </w:tc>
        <w:tc>
          <w:tcPr>
            <w:tcW w:w="3967" w:type="pct"/>
          </w:tcPr>
          <w:p w14:paraId="0E21A9BB">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rPr>
              <w:t>落实绿色施工安全防护措施所需的所有费用，按系数计算的绿色施工安全防护措施费(包括绿色施工、临时设施、安全施工和用工实名管理) 属于非竞争性费用</w:t>
            </w:r>
            <w:r>
              <w:rPr>
                <w:rFonts w:hint="eastAsia" w:ascii="宋体" w:hAnsi="宋体" w:eastAsia="宋体" w:cs="宋体"/>
                <w:color w:val="auto"/>
                <w:szCs w:val="21"/>
              </w:rPr>
              <w:t>，</w:t>
            </w:r>
            <w:r>
              <w:rPr>
                <w:rFonts w:hint="eastAsia" w:ascii="宋体" w:hAnsi="宋体" w:eastAsia="宋体" w:cs="宋体"/>
                <w:color w:val="auto"/>
              </w:rPr>
              <w:t>供应商必须</w:t>
            </w:r>
            <w:r>
              <w:rPr>
                <w:rFonts w:hint="eastAsia" w:ascii="宋体" w:hAnsi="宋体" w:eastAsia="宋体" w:cs="宋体"/>
                <w:color w:val="auto"/>
                <w:szCs w:val="21"/>
              </w:rPr>
              <w:t>按照6</w:t>
            </w:r>
            <w:r>
              <w:rPr>
                <w:rFonts w:hint="eastAsia" w:ascii="宋体" w:hAnsi="宋体" w:eastAsia="宋体" w:cs="宋体"/>
                <w:color w:val="auto"/>
                <w:szCs w:val="21"/>
                <w:lang w:val="en-US" w:eastAsia="zh-CN"/>
              </w:rPr>
              <w:t>3</w:t>
            </w:r>
            <w:r>
              <w:rPr>
                <w:rFonts w:hint="eastAsia" w:ascii="宋体" w:hAnsi="宋体" w:eastAsia="宋体" w:cs="宋体"/>
                <w:color w:val="auto"/>
                <w:szCs w:val="21"/>
              </w:rPr>
              <w:t>963.99元</w:t>
            </w:r>
            <w:r>
              <w:rPr>
                <w:rFonts w:hint="eastAsia" w:ascii="宋体" w:hAnsi="宋体" w:eastAsia="宋体" w:cs="宋体"/>
                <w:color w:val="auto"/>
              </w:rPr>
              <w:t>固定</w:t>
            </w:r>
            <w:r>
              <w:rPr>
                <w:rFonts w:hint="eastAsia" w:ascii="宋体" w:hAnsi="宋体" w:eastAsia="宋体" w:cs="宋体"/>
                <w:color w:val="auto"/>
                <w:szCs w:val="21"/>
              </w:rPr>
              <w:t>报价，否则将视为无效响应。</w:t>
            </w:r>
          </w:p>
        </w:tc>
      </w:tr>
      <w:tr w14:paraId="143656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1108ABDC">
            <w:pPr>
              <w:keepLines w:val="0"/>
              <w:pageBreakBefore w:val="0"/>
              <w:widowControl w:val="0"/>
              <w:kinsoku/>
              <w:wordWrap/>
              <w:overflowPunct/>
              <w:topLinePunct w:val="0"/>
              <w:bidi w:val="0"/>
              <w:jc w:val="center"/>
              <w:rPr>
                <w:rFonts w:hint="eastAsia" w:ascii="宋体" w:hAnsi="宋体" w:eastAsia="宋体" w:cs="宋体"/>
                <w:b/>
                <w:bCs/>
                <w:color w:val="auto"/>
                <w:szCs w:val="21"/>
              </w:rPr>
            </w:pPr>
            <w:r>
              <w:rPr>
                <w:rFonts w:hint="eastAsia" w:ascii="宋体" w:hAnsi="宋体" w:eastAsia="宋体" w:cs="宋体"/>
                <w:b/>
                <w:bCs/>
                <w:color w:val="auto"/>
              </w:rPr>
              <w:t>13</w:t>
            </w:r>
          </w:p>
        </w:tc>
        <w:tc>
          <w:tcPr>
            <w:tcW w:w="676" w:type="pct"/>
            <w:vAlign w:val="center"/>
          </w:tcPr>
          <w:p w14:paraId="14B5C288">
            <w:pPr>
              <w:keepLines w:val="0"/>
              <w:pageBreakBefore w:val="0"/>
              <w:widowControl w:val="0"/>
              <w:kinsoku/>
              <w:wordWrap/>
              <w:overflowPunct/>
              <w:topLinePunct w:val="0"/>
              <w:bidi w:val="0"/>
              <w:jc w:val="center"/>
              <w:rPr>
                <w:rFonts w:hint="eastAsia" w:ascii="宋体" w:hAnsi="宋体" w:eastAsia="宋体" w:cs="宋体"/>
                <w:color w:val="auto"/>
                <w:szCs w:val="21"/>
              </w:rPr>
            </w:pPr>
            <w:r>
              <w:rPr>
                <w:rFonts w:hint="eastAsia" w:ascii="宋体" w:hAnsi="宋体" w:eastAsia="宋体" w:cs="宋体"/>
                <w:color w:val="auto"/>
                <w:szCs w:val="21"/>
              </w:rPr>
              <w:t>暂列金</w:t>
            </w:r>
          </w:p>
        </w:tc>
        <w:tc>
          <w:tcPr>
            <w:tcW w:w="3967" w:type="pct"/>
          </w:tcPr>
          <w:p w14:paraId="1BF4AA4F">
            <w:pPr>
              <w:keepLines w:val="0"/>
              <w:pageBreakBefore w:val="0"/>
              <w:widowControl w:val="0"/>
              <w:kinsoku/>
              <w:wordWrap/>
              <w:overflowPunct/>
              <w:topLinePunct w:val="0"/>
              <w:bidi w:val="0"/>
              <w:rPr>
                <w:rFonts w:hint="eastAsia" w:ascii="宋体" w:hAnsi="宋体" w:eastAsia="宋体" w:cs="宋体"/>
                <w:color w:val="auto"/>
              </w:rPr>
            </w:pPr>
            <w:r>
              <w:rPr>
                <w:rFonts w:hint="eastAsia" w:ascii="宋体" w:hAnsi="宋体" w:eastAsia="宋体" w:cs="宋体"/>
                <w:color w:val="auto"/>
                <w:szCs w:val="21"/>
              </w:rPr>
              <w:t>按照180000.00元报价，不可竞争</w:t>
            </w:r>
            <w:r>
              <w:rPr>
                <w:rFonts w:hint="eastAsia" w:ascii="宋体" w:hAnsi="宋体" w:eastAsia="宋体" w:cs="宋体"/>
                <w:color w:val="auto"/>
              </w:rPr>
              <w:t>，按照实际发生额结算</w:t>
            </w:r>
            <w:r>
              <w:rPr>
                <w:rFonts w:hint="eastAsia" w:ascii="宋体" w:hAnsi="宋体" w:eastAsia="宋体" w:cs="宋体"/>
                <w:color w:val="auto"/>
                <w:szCs w:val="21"/>
              </w:rPr>
              <w:t>。</w:t>
            </w:r>
          </w:p>
        </w:tc>
      </w:tr>
      <w:tr w14:paraId="5981DB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355" w:type="pct"/>
            <w:vAlign w:val="center"/>
          </w:tcPr>
          <w:p w14:paraId="039EFA4E">
            <w:pPr>
              <w:keepLines w:val="0"/>
              <w:pageBreakBefore w:val="0"/>
              <w:widowControl w:val="0"/>
              <w:kinsoku/>
              <w:wordWrap/>
              <w:overflowPunct/>
              <w:topLinePunct w:val="0"/>
              <w:bidi w:val="0"/>
              <w:jc w:val="center"/>
              <w:rPr>
                <w:rFonts w:hint="eastAsia" w:ascii="宋体" w:hAnsi="宋体" w:eastAsia="宋体" w:cs="宋体"/>
                <w:b/>
                <w:bCs/>
                <w:color w:val="auto"/>
              </w:rPr>
            </w:pPr>
            <w:r>
              <w:rPr>
                <w:rFonts w:hint="eastAsia" w:ascii="宋体" w:hAnsi="宋体" w:eastAsia="宋体" w:cs="宋体"/>
                <w:b/>
                <w:bCs/>
                <w:color w:val="auto"/>
              </w:rPr>
              <w:t>14</w:t>
            </w:r>
          </w:p>
        </w:tc>
        <w:tc>
          <w:tcPr>
            <w:tcW w:w="676" w:type="pct"/>
            <w:vAlign w:val="center"/>
          </w:tcPr>
          <w:p w14:paraId="04F5403B">
            <w:pPr>
              <w:keepLines w:val="0"/>
              <w:pageBreakBefore w:val="0"/>
              <w:widowControl w:val="0"/>
              <w:kinsoku/>
              <w:wordWrap/>
              <w:overflowPunct/>
              <w:topLinePunct w:val="0"/>
              <w:bidi w:val="0"/>
              <w:jc w:val="center"/>
              <w:rPr>
                <w:rFonts w:hint="eastAsia" w:ascii="宋体" w:hAnsi="宋体" w:eastAsia="宋体" w:cs="宋体"/>
                <w:color w:val="auto"/>
                <w:szCs w:val="21"/>
              </w:rPr>
            </w:pPr>
            <w:r>
              <w:rPr>
                <w:rFonts w:hint="eastAsia" w:ascii="宋体" w:hAnsi="宋体" w:eastAsia="宋体" w:cs="宋体"/>
                <w:color w:val="auto"/>
                <w:szCs w:val="21"/>
              </w:rPr>
              <w:t>暂估价</w:t>
            </w:r>
          </w:p>
        </w:tc>
        <w:tc>
          <w:tcPr>
            <w:tcW w:w="3967" w:type="pct"/>
          </w:tcPr>
          <w:p w14:paraId="4FADCC42">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按照150000.00元报价，不可竞争</w:t>
            </w:r>
            <w:r>
              <w:rPr>
                <w:rFonts w:hint="eastAsia" w:ascii="宋体" w:hAnsi="宋体" w:eastAsia="宋体" w:cs="宋体"/>
                <w:color w:val="auto"/>
              </w:rPr>
              <w:t>；暂估价用于部分室外工程、部分屋面工程、零星修缮等，按照实际发生额结算</w:t>
            </w:r>
            <w:r>
              <w:rPr>
                <w:rFonts w:hint="eastAsia" w:ascii="宋体" w:hAnsi="宋体" w:eastAsia="宋体" w:cs="宋体"/>
                <w:color w:val="auto"/>
                <w:szCs w:val="21"/>
              </w:rPr>
              <w:t>。</w:t>
            </w:r>
          </w:p>
        </w:tc>
      </w:tr>
    </w:tbl>
    <w:p w14:paraId="65E154D8">
      <w:pPr>
        <w:keepLines w:val="0"/>
        <w:pageBreakBefore w:val="0"/>
        <w:widowControl w:val="0"/>
        <w:kinsoku/>
        <w:wordWrap/>
        <w:overflowPunct/>
        <w:topLinePunct w:val="0"/>
        <w:bidi w:val="0"/>
        <w:rPr>
          <w:rFonts w:hint="eastAsia" w:ascii="宋体" w:hAnsi="宋体" w:eastAsia="宋体" w:cs="宋体"/>
          <w:color w:val="auto"/>
        </w:rPr>
      </w:pPr>
    </w:p>
    <w:p w14:paraId="1080DDCE">
      <w:pPr>
        <w:pStyle w:val="11"/>
        <w:keepLines w:val="0"/>
        <w:pageBreakBefore w:val="0"/>
        <w:widowControl w:val="0"/>
        <w:kinsoku/>
        <w:wordWrap/>
        <w:overflowPunct/>
        <w:topLinePunct w:val="0"/>
        <w:autoSpaceDE/>
        <w:autoSpaceDN/>
        <w:bidi w:val="0"/>
        <w:rPr>
          <w:rFonts w:hint="eastAsia" w:ascii="宋体" w:hAnsi="宋体" w:eastAsia="宋体" w:cs="宋体"/>
          <w:color w:val="auto"/>
          <w:sz w:val="21"/>
          <w:szCs w:val="21"/>
          <w:lang w:eastAsia="zh-CN"/>
        </w:rPr>
      </w:pPr>
      <w:bookmarkStart w:id="10" w:name="_Toc19282"/>
      <w:bookmarkStart w:id="11" w:name="_Toc16507"/>
      <w:r>
        <w:rPr>
          <w:rFonts w:hint="eastAsia" w:ascii="宋体" w:hAnsi="宋体" w:eastAsia="宋体" w:cs="宋体"/>
          <w:color w:val="auto"/>
          <w:sz w:val="21"/>
          <w:szCs w:val="21"/>
          <w:lang w:eastAsia="zh-CN"/>
        </w:rPr>
        <w:t>四、技术标准与要求</w:t>
      </w:r>
      <w:bookmarkEnd w:id="10"/>
      <w:bookmarkEnd w:id="11"/>
    </w:p>
    <w:tbl>
      <w:tblPr>
        <w:tblStyle w:val="7"/>
        <w:tblW w:w="499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1"/>
        <w:gridCol w:w="1326"/>
        <w:gridCol w:w="7819"/>
      </w:tblGrid>
      <w:tr w14:paraId="1169E2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3AC9DA90">
            <w:pPr>
              <w:keepLines w:val="0"/>
              <w:pageBreakBefore w:val="0"/>
              <w:widowControl w:val="0"/>
              <w:kinsoku/>
              <w:wordWrap/>
              <w:overflowPunct/>
              <w:topLinePunct w:val="0"/>
              <w:bidi w:val="0"/>
              <w:jc w:val="center"/>
              <w:rPr>
                <w:rFonts w:hint="eastAsia" w:ascii="宋体" w:hAnsi="宋体" w:eastAsia="宋体" w:cs="宋体"/>
                <w:b/>
                <w:bCs/>
                <w:color w:val="auto"/>
                <w:szCs w:val="21"/>
              </w:rPr>
            </w:pPr>
            <w:r>
              <w:rPr>
                <w:rFonts w:hint="eastAsia" w:ascii="宋体" w:hAnsi="宋体" w:eastAsia="宋体" w:cs="宋体"/>
                <w:b/>
                <w:bCs/>
                <w:color w:val="auto"/>
                <w:szCs w:val="21"/>
              </w:rPr>
              <w:t>序号</w:t>
            </w:r>
          </w:p>
        </w:tc>
        <w:tc>
          <w:tcPr>
            <w:tcW w:w="674" w:type="pct"/>
            <w:vAlign w:val="center"/>
          </w:tcPr>
          <w:p w14:paraId="6CD29F06">
            <w:pPr>
              <w:keepLines w:val="0"/>
              <w:pageBreakBefore w:val="0"/>
              <w:widowControl w:val="0"/>
              <w:kinsoku/>
              <w:wordWrap/>
              <w:overflowPunct/>
              <w:topLinePunct w:val="0"/>
              <w:bidi w:val="0"/>
              <w:jc w:val="center"/>
              <w:rPr>
                <w:rFonts w:hint="eastAsia" w:ascii="宋体" w:hAnsi="宋体" w:eastAsia="宋体" w:cs="宋体"/>
                <w:b/>
                <w:bCs/>
                <w:color w:val="auto"/>
                <w:szCs w:val="21"/>
              </w:rPr>
            </w:pPr>
            <w:r>
              <w:rPr>
                <w:rFonts w:hint="eastAsia" w:ascii="宋体" w:hAnsi="宋体" w:eastAsia="宋体" w:cs="宋体"/>
                <w:b/>
                <w:bCs/>
                <w:color w:val="auto"/>
                <w:szCs w:val="21"/>
              </w:rPr>
              <w:t>内容明细</w:t>
            </w:r>
          </w:p>
        </w:tc>
        <w:tc>
          <w:tcPr>
            <w:tcW w:w="3973" w:type="pct"/>
            <w:vAlign w:val="center"/>
          </w:tcPr>
          <w:p w14:paraId="672BABC7">
            <w:pPr>
              <w:keepLines w:val="0"/>
              <w:pageBreakBefore w:val="0"/>
              <w:widowControl w:val="0"/>
              <w:kinsoku/>
              <w:wordWrap/>
              <w:overflowPunct/>
              <w:topLinePunct w:val="0"/>
              <w:bidi w:val="0"/>
              <w:jc w:val="center"/>
              <w:rPr>
                <w:rFonts w:hint="eastAsia" w:ascii="宋体" w:hAnsi="宋体" w:eastAsia="宋体" w:cs="宋体"/>
                <w:b/>
                <w:bCs/>
                <w:color w:val="auto"/>
                <w:szCs w:val="21"/>
              </w:rPr>
            </w:pPr>
            <w:r>
              <w:rPr>
                <w:rFonts w:hint="eastAsia" w:ascii="宋体" w:hAnsi="宋体" w:eastAsia="宋体" w:cs="宋体"/>
                <w:b/>
                <w:bCs/>
                <w:color w:val="auto"/>
                <w:szCs w:val="21"/>
              </w:rPr>
              <w:t>具体技术（参数）要求</w:t>
            </w:r>
          </w:p>
        </w:tc>
      </w:tr>
      <w:tr w14:paraId="7B9E9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26180131">
            <w:pPr>
              <w:pStyle w:val="13"/>
              <w:keepLines w:val="0"/>
              <w:pageBreakBefore w:val="0"/>
              <w:widowControl w:val="0"/>
              <w:numPr>
                <w:ilvl w:val="0"/>
                <w:numId w:val="2"/>
              </w:numPr>
              <w:suppressAutoHyphens w:val="0"/>
              <w:kinsoku/>
              <w:wordWrap/>
              <w:overflowPunct/>
              <w:topLinePunct w:val="0"/>
              <w:autoSpaceDE w:val="0"/>
              <w:autoSpaceDN w:val="0"/>
              <w:bidi w:val="0"/>
              <w:ind w:left="0" w:firstLine="0"/>
              <w:jc w:val="center"/>
              <w:rPr>
                <w:rFonts w:hint="eastAsia" w:ascii="宋体" w:hAnsi="宋体" w:eastAsia="宋体" w:cs="宋体"/>
                <w:b/>
                <w:bCs/>
                <w:color w:val="auto"/>
                <w:szCs w:val="21"/>
                <w:lang w:eastAsia="zh-CN"/>
              </w:rPr>
            </w:pPr>
          </w:p>
        </w:tc>
        <w:tc>
          <w:tcPr>
            <w:tcW w:w="674" w:type="pct"/>
            <w:vAlign w:val="center"/>
          </w:tcPr>
          <w:p w14:paraId="01F28AE6">
            <w:pPr>
              <w:pStyle w:val="5"/>
              <w:keepLines w:val="0"/>
              <w:pageBreakBefore w:val="0"/>
              <w:widowControl w:val="0"/>
              <w:kinsoku/>
              <w:wordWrap/>
              <w:overflowPunct/>
              <w:topLinePunct w:val="0"/>
              <w:bidi w:val="0"/>
              <w:spacing w:after="0" w:line="360" w:lineRule="auto"/>
              <w:ind w:left="0" w:leftChars="0" w:firstLine="0" w:firstLineChars="0"/>
              <w:jc w:val="center"/>
              <w:rPr>
                <w:rFonts w:hint="eastAsia" w:ascii="宋体" w:hAnsi="宋体" w:eastAsia="宋体" w:cs="宋体"/>
                <w:color w:val="auto"/>
                <w:szCs w:val="21"/>
              </w:rPr>
            </w:pPr>
            <w:r>
              <w:rPr>
                <w:rFonts w:hint="eastAsia" w:ascii="宋体" w:hAnsi="宋体" w:eastAsia="宋体" w:cs="宋体"/>
                <w:color w:val="auto"/>
                <w:szCs w:val="21"/>
              </w:rPr>
              <w:t>承包方式</w:t>
            </w:r>
          </w:p>
        </w:tc>
        <w:tc>
          <w:tcPr>
            <w:tcW w:w="3973" w:type="pct"/>
            <w:vAlign w:val="center"/>
          </w:tcPr>
          <w:p w14:paraId="50C741B7">
            <w:pPr>
              <w:keepLines w:val="0"/>
              <w:pageBreakBefore w:val="0"/>
              <w:widowControl w:val="0"/>
              <w:kinsoku/>
              <w:wordWrap/>
              <w:overflowPunct/>
              <w:topLinePunct w:val="0"/>
              <w:bidi w:val="0"/>
              <w:snapToGrid w:val="0"/>
              <w:textAlignment w:val="baseline"/>
              <w:rPr>
                <w:rStyle w:val="12"/>
                <w:rFonts w:hint="eastAsia" w:ascii="宋体" w:hAnsi="宋体" w:eastAsia="宋体" w:cs="宋体"/>
                <w:color w:val="auto"/>
              </w:rPr>
            </w:pPr>
            <w:r>
              <w:rPr>
                <w:rFonts w:hint="eastAsia" w:ascii="宋体" w:hAnsi="宋体" w:eastAsia="宋体" w:cs="宋体"/>
                <w:color w:val="auto"/>
                <w:szCs w:val="21"/>
              </w:rPr>
              <w:t>1、</w:t>
            </w:r>
            <w:r>
              <w:rPr>
                <w:rStyle w:val="12"/>
                <w:rFonts w:hint="eastAsia" w:ascii="宋体" w:hAnsi="宋体" w:eastAsia="宋体" w:cs="宋体"/>
                <w:color w:val="auto"/>
              </w:rPr>
              <w:t>根据采购人所提供的磋商文件、图纸、工程量清单等范围内的工程内容，由成交供应商包工、包料、包工期、包质量、包安全、包文明施工，包通过验收且验收合格。</w:t>
            </w:r>
          </w:p>
          <w:p w14:paraId="0730F11D">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2、</w:t>
            </w:r>
            <w:r>
              <w:rPr>
                <w:rFonts w:hint="eastAsia" w:ascii="宋体" w:hAnsi="宋体" w:eastAsia="宋体" w:cs="宋体"/>
                <w:color w:val="auto"/>
              </w:rPr>
              <w:t>成交供应商不允许转包，不允许分包</w:t>
            </w:r>
            <w:r>
              <w:rPr>
                <w:rStyle w:val="12"/>
                <w:rFonts w:hint="eastAsia" w:ascii="宋体" w:hAnsi="宋体" w:eastAsia="宋体" w:cs="宋体"/>
                <w:color w:val="auto"/>
              </w:rPr>
              <w:t>。</w:t>
            </w:r>
          </w:p>
        </w:tc>
      </w:tr>
      <w:tr w14:paraId="3CACF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0D472670">
            <w:pPr>
              <w:pStyle w:val="13"/>
              <w:keepLines w:val="0"/>
              <w:pageBreakBefore w:val="0"/>
              <w:widowControl w:val="0"/>
              <w:numPr>
                <w:ilvl w:val="0"/>
                <w:numId w:val="2"/>
              </w:numPr>
              <w:suppressAutoHyphens w:val="0"/>
              <w:kinsoku/>
              <w:wordWrap/>
              <w:overflowPunct/>
              <w:topLinePunct w:val="0"/>
              <w:autoSpaceDE w:val="0"/>
              <w:autoSpaceDN w:val="0"/>
              <w:bidi w:val="0"/>
              <w:ind w:left="0" w:firstLine="0"/>
              <w:jc w:val="center"/>
              <w:rPr>
                <w:rFonts w:hint="eastAsia" w:ascii="宋体" w:hAnsi="宋体" w:eastAsia="宋体" w:cs="宋体"/>
                <w:b/>
                <w:bCs/>
                <w:color w:val="auto"/>
                <w:szCs w:val="21"/>
                <w:lang w:eastAsia="zh-CN"/>
              </w:rPr>
            </w:pPr>
          </w:p>
        </w:tc>
        <w:tc>
          <w:tcPr>
            <w:tcW w:w="674" w:type="pct"/>
            <w:vAlign w:val="center"/>
          </w:tcPr>
          <w:p w14:paraId="7D9A5DF1">
            <w:pPr>
              <w:pStyle w:val="5"/>
              <w:keepLines w:val="0"/>
              <w:pageBreakBefore w:val="0"/>
              <w:widowControl w:val="0"/>
              <w:kinsoku/>
              <w:wordWrap/>
              <w:overflowPunct/>
              <w:topLinePunct w:val="0"/>
              <w:bidi w:val="0"/>
              <w:spacing w:after="0" w:line="360" w:lineRule="auto"/>
              <w:ind w:left="0" w:leftChars="0" w:firstLine="0" w:firstLineChars="0"/>
              <w:jc w:val="center"/>
              <w:rPr>
                <w:rFonts w:hint="eastAsia" w:ascii="宋体" w:hAnsi="宋体" w:eastAsia="宋体" w:cs="宋体"/>
                <w:color w:val="auto"/>
                <w:szCs w:val="21"/>
              </w:rPr>
            </w:pPr>
            <w:r>
              <w:rPr>
                <w:rStyle w:val="12"/>
                <w:rFonts w:hint="eastAsia" w:ascii="宋体" w:hAnsi="宋体" w:eastAsia="宋体" w:cs="宋体"/>
                <w:color w:val="auto"/>
              </w:rPr>
              <w:t>合同总价</w:t>
            </w:r>
          </w:p>
        </w:tc>
        <w:tc>
          <w:tcPr>
            <w:tcW w:w="3973" w:type="pct"/>
            <w:vAlign w:val="center"/>
          </w:tcPr>
          <w:p w14:paraId="2612DCCA">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Style w:val="12"/>
                <w:rFonts w:hint="eastAsia" w:ascii="宋体" w:hAnsi="宋体" w:eastAsia="宋体" w:cs="宋体"/>
                <w:color w:val="auto"/>
              </w:rPr>
              <w:t>报价文件包含响应报价及综合单价时，响应报价为暂定合同总价。综合单价在磋商文件及施工合同约定的风险范围之内不可调整。</w:t>
            </w:r>
          </w:p>
        </w:tc>
      </w:tr>
      <w:tr w14:paraId="01EF29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5377F3B1">
            <w:pPr>
              <w:pStyle w:val="13"/>
              <w:keepLines w:val="0"/>
              <w:pageBreakBefore w:val="0"/>
              <w:widowControl w:val="0"/>
              <w:numPr>
                <w:ilvl w:val="0"/>
                <w:numId w:val="2"/>
              </w:numPr>
              <w:suppressAutoHyphens w:val="0"/>
              <w:kinsoku/>
              <w:wordWrap/>
              <w:overflowPunct/>
              <w:topLinePunct w:val="0"/>
              <w:autoSpaceDE w:val="0"/>
              <w:autoSpaceDN w:val="0"/>
              <w:bidi w:val="0"/>
              <w:ind w:left="0" w:firstLine="0"/>
              <w:jc w:val="center"/>
              <w:rPr>
                <w:rFonts w:hint="eastAsia" w:ascii="宋体" w:hAnsi="宋体" w:eastAsia="宋体" w:cs="宋体"/>
                <w:b/>
                <w:bCs/>
                <w:color w:val="auto"/>
                <w:szCs w:val="21"/>
                <w:lang w:eastAsia="zh-CN"/>
              </w:rPr>
            </w:pPr>
          </w:p>
        </w:tc>
        <w:tc>
          <w:tcPr>
            <w:tcW w:w="674" w:type="pct"/>
            <w:vAlign w:val="center"/>
          </w:tcPr>
          <w:p w14:paraId="3BCCAE2F">
            <w:pPr>
              <w:pStyle w:val="5"/>
              <w:keepLines w:val="0"/>
              <w:pageBreakBefore w:val="0"/>
              <w:widowControl w:val="0"/>
              <w:kinsoku/>
              <w:wordWrap/>
              <w:overflowPunct/>
              <w:topLinePunct w:val="0"/>
              <w:bidi w:val="0"/>
              <w:spacing w:after="0" w:line="360" w:lineRule="auto"/>
              <w:ind w:left="0" w:leftChars="0" w:firstLine="0" w:firstLineChars="0"/>
              <w:jc w:val="center"/>
              <w:rPr>
                <w:rFonts w:hint="eastAsia" w:ascii="宋体" w:hAnsi="宋体" w:eastAsia="宋体" w:cs="宋体"/>
                <w:color w:val="auto"/>
                <w:szCs w:val="21"/>
              </w:rPr>
            </w:pPr>
            <w:r>
              <w:rPr>
                <w:rFonts w:hint="eastAsia" w:ascii="宋体" w:hAnsi="宋体" w:eastAsia="宋体" w:cs="宋体"/>
                <w:color w:val="auto"/>
              </w:rPr>
              <w:t>施工要求</w:t>
            </w:r>
          </w:p>
        </w:tc>
        <w:tc>
          <w:tcPr>
            <w:tcW w:w="3973" w:type="pct"/>
            <w:vAlign w:val="center"/>
          </w:tcPr>
          <w:p w14:paraId="36431598">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rPr>
            </w:pPr>
            <w:r>
              <w:rPr>
                <w:rFonts w:hint="eastAsia" w:ascii="宋体" w:hAnsi="宋体" w:eastAsia="宋体" w:cs="宋体"/>
                <w:color w:val="auto"/>
              </w:rPr>
              <w:t>1、工程实施过程中，出现下列情形，经采购人确认，工期予以顺延：</w:t>
            </w:r>
          </w:p>
          <w:p w14:paraId="46A03DDD">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rPr>
            </w:pPr>
            <w:r>
              <w:rPr>
                <w:rFonts w:hint="eastAsia" w:ascii="宋体" w:hAnsi="宋体" w:eastAsia="宋体" w:cs="宋体"/>
                <w:color w:val="auto"/>
              </w:rPr>
              <w:t>（1）不可抗力因素；</w:t>
            </w:r>
          </w:p>
          <w:p w14:paraId="0C72125E">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rPr>
            </w:pPr>
            <w:r>
              <w:rPr>
                <w:rFonts w:hint="eastAsia" w:ascii="宋体" w:hAnsi="宋体" w:eastAsia="宋体" w:cs="宋体"/>
                <w:color w:val="auto"/>
              </w:rPr>
              <w:t>（2）由于设计变更，致使工程量重大增加者（超过总量的5%）。</w:t>
            </w:r>
          </w:p>
          <w:p w14:paraId="0F3753C7">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rPr>
            </w:pPr>
            <w:r>
              <w:rPr>
                <w:rFonts w:hint="eastAsia" w:ascii="宋体" w:hAnsi="宋体" w:eastAsia="宋体" w:cs="宋体"/>
                <w:color w:val="auto"/>
              </w:rPr>
              <w:t>2、采购人欢迎各供应商根据各企业实际提出缩短工期的响应文件。供应商因赶工而需要增加费用应于响应报价中考虑。</w:t>
            </w:r>
          </w:p>
          <w:p w14:paraId="5895B289">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rPr>
              <w:t>3、合同约定的工程项目，成交供应商不得转包。否则，采购人有权单方面终止合同，并令其立即退场，由此而造成的经济损失由成交供应商负责赔偿。</w:t>
            </w:r>
          </w:p>
        </w:tc>
      </w:tr>
      <w:tr w14:paraId="204309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4F0F7E21">
            <w:pPr>
              <w:pStyle w:val="13"/>
              <w:keepLines w:val="0"/>
              <w:pageBreakBefore w:val="0"/>
              <w:widowControl w:val="0"/>
              <w:numPr>
                <w:ilvl w:val="0"/>
                <w:numId w:val="2"/>
              </w:numPr>
              <w:suppressAutoHyphens w:val="0"/>
              <w:kinsoku/>
              <w:wordWrap/>
              <w:overflowPunct/>
              <w:topLinePunct w:val="0"/>
              <w:autoSpaceDE w:val="0"/>
              <w:autoSpaceDN w:val="0"/>
              <w:bidi w:val="0"/>
              <w:ind w:left="0" w:firstLine="0"/>
              <w:jc w:val="center"/>
              <w:rPr>
                <w:rFonts w:hint="eastAsia" w:ascii="宋体" w:hAnsi="宋体" w:eastAsia="宋体" w:cs="宋体"/>
                <w:b/>
                <w:bCs/>
                <w:color w:val="auto"/>
                <w:szCs w:val="21"/>
                <w:lang w:eastAsia="zh-CN"/>
              </w:rPr>
            </w:pPr>
          </w:p>
        </w:tc>
        <w:tc>
          <w:tcPr>
            <w:tcW w:w="674" w:type="pct"/>
            <w:vAlign w:val="center"/>
          </w:tcPr>
          <w:p w14:paraId="2066A311">
            <w:pPr>
              <w:pStyle w:val="5"/>
              <w:keepLines w:val="0"/>
              <w:pageBreakBefore w:val="0"/>
              <w:widowControl w:val="0"/>
              <w:kinsoku/>
              <w:wordWrap/>
              <w:overflowPunct/>
              <w:topLinePunct w:val="0"/>
              <w:bidi w:val="0"/>
              <w:spacing w:after="0" w:line="360" w:lineRule="auto"/>
              <w:ind w:left="0" w:leftChars="0" w:firstLine="0" w:firstLineChars="0"/>
              <w:jc w:val="center"/>
              <w:rPr>
                <w:rFonts w:hint="eastAsia" w:ascii="宋体" w:hAnsi="宋体" w:eastAsia="宋体" w:cs="宋体"/>
                <w:color w:val="auto"/>
                <w:szCs w:val="21"/>
              </w:rPr>
            </w:pPr>
            <w:r>
              <w:rPr>
                <w:rFonts w:hint="eastAsia" w:ascii="宋体" w:hAnsi="宋体" w:eastAsia="宋体" w:cs="宋体"/>
                <w:color w:val="auto"/>
              </w:rPr>
              <w:t>施工条件及管理要求</w:t>
            </w:r>
          </w:p>
        </w:tc>
        <w:tc>
          <w:tcPr>
            <w:tcW w:w="3973" w:type="pct"/>
            <w:vAlign w:val="center"/>
          </w:tcPr>
          <w:p w14:paraId="1C8A7CF3">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1、采购人不提供临设及材料加工场地，临时设施及材料加工由成交供应商自行解决，其费用由成交供应商自理。</w:t>
            </w:r>
          </w:p>
          <w:p w14:paraId="07E82B7B">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2、成交供应商应确保施工现场的清洁卫生，进场施工要保证道路畅通，建筑垃圾必须清理干净，若在实施过程发生因施工的建筑垃圾影响采购人的正常运营，经通知成交供应商不予处理的，采购人自行安排保洁人员清理，清理发生费用由成交供应商支付。</w:t>
            </w:r>
          </w:p>
          <w:p w14:paraId="70D8BFCF">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3、成交供应商在施工现场需对现有已安装完毕的设施或装饰装修实施成品保护，若由于施工操作不当而由成交供应商按采购人要求进行整改时，成交供应商必须对其进行修复，修复费用已包含在总价中。</w:t>
            </w:r>
          </w:p>
          <w:p w14:paraId="464355E5">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4、所实施的内容需经采购人确认后购买，工程量按实际发生计算。</w:t>
            </w:r>
          </w:p>
        </w:tc>
      </w:tr>
      <w:tr w14:paraId="41B39D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46BE65C0">
            <w:pPr>
              <w:pStyle w:val="13"/>
              <w:keepLines w:val="0"/>
              <w:pageBreakBefore w:val="0"/>
              <w:widowControl w:val="0"/>
              <w:numPr>
                <w:ilvl w:val="0"/>
                <w:numId w:val="2"/>
              </w:numPr>
              <w:suppressAutoHyphens w:val="0"/>
              <w:kinsoku/>
              <w:wordWrap/>
              <w:overflowPunct/>
              <w:topLinePunct w:val="0"/>
              <w:autoSpaceDE w:val="0"/>
              <w:autoSpaceDN w:val="0"/>
              <w:bidi w:val="0"/>
              <w:ind w:left="0" w:firstLine="0"/>
              <w:jc w:val="center"/>
              <w:rPr>
                <w:rFonts w:hint="eastAsia" w:ascii="宋体" w:hAnsi="宋体" w:eastAsia="宋体" w:cs="宋体"/>
                <w:b/>
                <w:bCs/>
                <w:color w:val="auto"/>
                <w:szCs w:val="21"/>
                <w:lang w:eastAsia="zh-CN"/>
              </w:rPr>
            </w:pPr>
          </w:p>
        </w:tc>
        <w:tc>
          <w:tcPr>
            <w:tcW w:w="674" w:type="pct"/>
            <w:vAlign w:val="center"/>
          </w:tcPr>
          <w:p w14:paraId="11525B88">
            <w:pPr>
              <w:pStyle w:val="5"/>
              <w:keepLines w:val="0"/>
              <w:pageBreakBefore w:val="0"/>
              <w:widowControl w:val="0"/>
              <w:kinsoku/>
              <w:wordWrap/>
              <w:overflowPunct/>
              <w:topLinePunct w:val="0"/>
              <w:bidi w:val="0"/>
              <w:spacing w:after="0" w:line="360" w:lineRule="auto"/>
              <w:ind w:left="0" w:leftChars="0" w:firstLine="0" w:firstLineChars="0"/>
              <w:jc w:val="center"/>
              <w:rPr>
                <w:rFonts w:hint="eastAsia" w:ascii="宋体" w:hAnsi="宋体" w:eastAsia="宋体" w:cs="宋体"/>
                <w:color w:val="auto"/>
                <w:szCs w:val="21"/>
              </w:rPr>
            </w:pPr>
            <w:r>
              <w:rPr>
                <w:rFonts w:hint="eastAsia" w:ascii="宋体" w:hAnsi="宋体" w:eastAsia="宋体" w:cs="宋体"/>
                <w:color w:val="auto"/>
                <w:szCs w:val="21"/>
              </w:rPr>
              <w:t>主要材料使用要求</w:t>
            </w:r>
          </w:p>
        </w:tc>
        <w:tc>
          <w:tcPr>
            <w:tcW w:w="3973" w:type="pct"/>
            <w:vAlign w:val="center"/>
          </w:tcPr>
          <w:p w14:paraId="1F8E2FA6">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1、必须符合国家、广东省、珠海市现行规范及要求。</w:t>
            </w:r>
          </w:p>
          <w:p w14:paraId="2CC6B279">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2、必须符合《关于扩大政府采购支持绿色建材促进建筑品质提升政策实施范围的通知》（财库〔2022〕35号）中要求的《绿色建筑和绿色建材政府采购需求标准》。</w:t>
            </w:r>
          </w:p>
          <w:p w14:paraId="5DB98427">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3、必须经具有检验资格的部门检验合格之后方可使用。</w:t>
            </w:r>
          </w:p>
          <w:p w14:paraId="310FAEDA">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4、必须经采购人确认之后方可使用</w:t>
            </w:r>
          </w:p>
        </w:tc>
      </w:tr>
      <w:tr w14:paraId="7D40F3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22A02D8B">
            <w:pPr>
              <w:pStyle w:val="13"/>
              <w:keepLines w:val="0"/>
              <w:pageBreakBefore w:val="0"/>
              <w:widowControl w:val="0"/>
              <w:numPr>
                <w:ilvl w:val="0"/>
                <w:numId w:val="2"/>
              </w:numPr>
              <w:suppressAutoHyphens w:val="0"/>
              <w:kinsoku/>
              <w:wordWrap/>
              <w:overflowPunct/>
              <w:topLinePunct w:val="0"/>
              <w:autoSpaceDE w:val="0"/>
              <w:autoSpaceDN w:val="0"/>
              <w:bidi w:val="0"/>
              <w:ind w:left="0" w:firstLine="0"/>
              <w:jc w:val="center"/>
              <w:rPr>
                <w:rFonts w:hint="eastAsia" w:ascii="宋体" w:hAnsi="宋体" w:eastAsia="宋体" w:cs="宋体"/>
                <w:b/>
                <w:bCs/>
                <w:color w:val="auto"/>
                <w:szCs w:val="21"/>
                <w:lang w:eastAsia="zh-CN"/>
              </w:rPr>
            </w:pPr>
          </w:p>
        </w:tc>
        <w:tc>
          <w:tcPr>
            <w:tcW w:w="674" w:type="pct"/>
            <w:vAlign w:val="center"/>
          </w:tcPr>
          <w:p w14:paraId="76000190">
            <w:pPr>
              <w:pStyle w:val="5"/>
              <w:keepLines w:val="0"/>
              <w:pageBreakBefore w:val="0"/>
              <w:widowControl w:val="0"/>
              <w:kinsoku/>
              <w:wordWrap/>
              <w:overflowPunct/>
              <w:topLinePunct w:val="0"/>
              <w:bidi w:val="0"/>
              <w:spacing w:after="0" w:line="360" w:lineRule="auto"/>
              <w:ind w:left="0" w:leftChars="0" w:firstLine="0" w:firstLineChars="0"/>
              <w:jc w:val="center"/>
              <w:rPr>
                <w:rFonts w:hint="eastAsia" w:ascii="宋体" w:hAnsi="宋体" w:eastAsia="宋体" w:cs="宋体"/>
                <w:color w:val="auto"/>
                <w:szCs w:val="21"/>
              </w:rPr>
            </w:pPr>
            <w:r>
              <w:rPr>
                <w:rFonts w:hint="eastAsia" w:ascii="宋体" w:hAnsi="宋体" w:eastAsia="宋体" w:cs="宋体"/>
                <w:color w:val="auto"/>
                <w:szCs w:val="21"/>
              </w:rPr>
              <w:t>合同文本</w:t>
            </w:r>
          </w:p>
        </w:tc>
        <w:tc>
          <w:tcPr>
            <w:tcW w:w="3973" w:type="pct"/>
            <w:vAlign w:val="center"/>
          </w:tcPr>
          <w:p w14:paraId="7948E9DE">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以由双方根据竞争性磋商文件商定提供的合同范本为准。竞争性磋商文件作为合同组成部分之一，并且解释顺序优先。</w:t>
            </w:r>
          </w:p>
        </w:tc>
      </w:tr>
      <w:tr w14:paraId="39D0B8D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3FD9509D">
            <w:pPr>
              <w:pStyle w:val="13"/>
              <w:keepLines w:val="0"/>
              <w:pageBreakBefore w:val="0"/>
              <w:widowControl w:val="0"/>
              <w:numPr>
                <w:ilvl w:val="0"/>
                <w:numId w:val="2"/>
              </w:numPr>
              <w:suppressAutoHyphens w:val="0"/>
              <w:kinsoku/>
              <w:wordWrap/>
              <w:overflowPunct/>
              <w:topLinePunct w:val="0"/>
              <w:autoSpaceDE w:val="0"/>
              <w:autoSpaceDN w:val="0"/>
              <w:bidi w:val="0"/>
              <w:ind w:left="0" w:firstLine="0"/>
              <w:jc w:val="center"/>
              <w:rPr>
                <w:rFonts w:hint="eastAsia" w:ascii="宋体" w:hAnsi="宋体" w:eastAsia="宋体" w:cs="宋体"/>
                <w:b/>
                <w:bCs/>
                <w:color w:val="auto"/>
                <w:szCs w:val="21"/>
                <w:lang w:eastAsia="zh-CN"/>
              </w:rPr>
            </w:pPr>
          </w:p>
        </w:tc>
        <w:tc>
          <w:tcPr>
            <w:tcW w:w="674" w:type="pct"/>
            <w:vAlign w:val="center"/>
          </w:tcPr>
          <w:p w14:paraId="0EF66856">
            <w:pPr>
              <w:pStyle w:val="5"/>
              <w:keepLines w:val="0"/>
              <w:pageBreakBefore w:val="0"/>
              <w:widowControl w:val="0"/>
              <w:kinsoku/>
              <w:wordWrap/>
              <w:overflowPunct/>
              <w:topLinePunct w:val="0"/>
              <w:bidi w:val="0"/>
              <w:spacing w:after="0" w:line="360" w:lineRule="auto"/>
              <w:ind w:left="0" w:leftChars="0" w:firstLine="0" w:firstLineChars="0"/>
              <w:jc w:val="center"/>
              <w:rPr>
                <w:rFonts w:hint="eastAsia" w:ascii="宋体" w:hAnsi="宋体" w:eastAsia="宋体" w:cs="宋体"/>
                <w:color w:val="auto"/>
                <w:szCs w:val="21"/>
              </w:rPr>
            </w:pPr>
            <w:r>
              <w:rPr>
                <w:rFonts w:hint="eastAsia" w:ascii="宋体" w:hAnsi="宋体" w:eastAsia="宋体" w:cs="宋体"/>
                <w:color w:val="auto"/>
                <w:szCs w:val="21"/>
              </w:rPr>
              <w:t>计算误差风险</w:t>
            </w:r>
          </w:p>
        </w:tc>
        <w:tc>
          <w:tcPr>
            <w:tcW w:w="3973" w:type="pct"/>
            <w:vAlign w:val="center"/>
          </w:tcPr>
          <w:p w14:paraId="1E0D61CB">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1、供应商认为工程量清单存在计算错误的应当在响应截止之前至少提前[ 2 ]天或在采购人和所有供应商共同认可的时间之内以书面方式向采购人提出。否则，一旦成交，工程量清单误差累计在+[ 3 ]%或-[ 3 ]%之内的不予调整。</w:t>
            </w:r>
          </w:p>
          <w:p w14:paraId="026D6538">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2、其它事项：[按本竞争性磋商文件“造价调整条件及范围”条款处理]。</w:t>
            </w:r>
          </w:p>
        </w:tc>
      </w:tr>
      <w:tr w14:paraId="3F4A9A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1750AD83">
            <w:pPr>
              <w:pStyle w:val="13"/>
              <w:keepLines w:val="0"/>
              <w:pageBreakBefore w:val="0"/>
              <w:widowControl w:val="0"/>
              <w:numPr>
                <w:ilvl w:val="0"/>
                <w:numId w:val="2"/>
              </w:numPr>
              <w:suppressAutoHyphens w:val="0"/>
              <w:kinsoku/>
              <w:wordWrap/>
              <w:overflowPunct/>
              <w:topLinePunct w:val="0"/>
              <w:autoSpaceDE w:val="0"/>
              <w:autoSpaceDN w:val="0"/>
              <w:bidi w:val="0"/>
              <w:ind w:left="0" w:firstLine="0"/>
              <w:jc w:val="center"/>
              <w:rPr>
                <w:rFonts w:hint="eastAsia" w:ascii="宋体" w:hAnsi="宋体" w:eastAsia="宋体" w:cs="宋体"/>
                <w:b/>
                <w:bCs/>
                <w:color w:val="auto"/>
                <w:szCs w:val="21"/>
                <w:lang w:eastAsia="zh-CN"/>
              </w:rPr>
            </w:pPr>
          </w:p>
        </w:tc>
        <w:tc>
          <w:tcPr>
            <w:tcW w:w="674" w:type="pct"/>
            <w:vAlign w:val="center"/>
          </w:tcPr>
          <w:p w14:paraId="0D1D400D">
            <w:pPr>
              <w:pStyle w:val="5"/>
              <w:keepLines w:val="0"/>
              <w:pageBreakBefore w:val="0"/>
              <w:widowControl w:val="0"/>
              <w:kinsoku/>
              <w:wordWrap/>
              <w:overflowPunct/>
              <w:topLinePunct w:val="0"/>
              <w:bidi w:val="0"/>
              <w:spacing w:after="0" w:line="360" w:lineRule="auto"/>
              <w:ind w:left="0" w:leftChars="0" w:firstLine="0" w:firstLineChars="0"/>
              <w:jc w:val="center"/>
              <w:rPr>
                <w:rFonts w:hint="eastAsia" w:ascii="宋体" w:hAnsi="宋体" w:eastAsia="宋体" w:cs="宋体"/>
                <w:color w:val="auto"/>
                <w:szCs w:val="21"/>
              </w:rPr>
            </w:pPr>
            <w:r>
              <w:rPr>
                <w:rFonts w:hint="eastAsia" w:ascii="宋体" w:hAnsi="宋体" w:eastAsia="宋体" w:cs="宋体"/>
                <w:color w:val="auto"/>
                <w:szCs w:val="21"/>
              </w:rPr>
              <w:t>规费、税金</w:t>
            </w:r>
          </w:p>
        </w:tc>
        <w:tc>
          <w:tcPr>
            <w:tcW w:w="3973" w:type="pct"/>
            <w:vAlign w:val="center"/>
          </w:tcPr>
          <w:p w14:paraId="362EF4CF">
            <w:pPr>
              <w:keepLines w:val="0"/>
              <w:pageBreakBefore w:val="0"/>
              <w:widowControl w:val="0"/>
              <w:kinsoku/>
              <w:wordWrap/>
              <w:overflowPunct/>
              <w:topLinePunct w:val="0"/>
              <w:bidi w:val="0"/>
              <w:rPr>
                <w:rFonts w:hint="eastAsia" w:ascii="宋体" w:hAnsi="宋体" w:eastAsia="宋体" w:cs="宋体"/>
                <w:color w:val="auto"/>
                <w:szCs w:val="21"/>
              </w:rPr>
            </w:pPr>
            <w:r>
              <w:rPr>
                <w:rFonts w:hint="eastAsia" w:ascii="宋体" w:hAnsi="宋体" w:eastAsia="宋体" w:cs="宋体"/>
                <w:color w:val="auto"/>
                <w:szCs w:val="21"/>
              </w:rPr>
              <w:t>1、规费、税金不得竞争，供应商必须按照规定报价。</w:t>
            </w:r>
          </w:p>
          <w:p w14:paraId="42728AFB">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2、其它说明：规费、税金不予调整，供应商未报或少报，采购人将视为此项费用已包含在其它费用之内而不另行支付。</w:t>
            </w:r>
          </w:p>
        </w:tc>
      </w:tr>
      <w:tr w14:paraId="3943FD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4" w:hRule="atLeast"/>
          <w:jc w:val="center"/>
        </w:trPr>
        <w:tc>
          <w:tcPr>
            <w:tcW w:w="351" w:type="pct"/>
            <w:vAlign w:val="center"/>
          </w:tcPr>
          <w:p w14:paraId="2C19AA23">
            <w:pPr>
              <w:pStyle w:val="13"/>
              <w:keepLines w:val="0"/>
              <w:pageBreakBefore w:val="0"/>
              <w:widowControl w:val="0"/>
              <w:numPr>
                <w:ilvl w:val="0"/>
                <w:numId w:val="2"/>
              </w:numPr>
              <w:suppressAutoHyphens w:val="0"/>
              <w:kinsoku/>
              <w:wordWrap/>
              <w:overflowPunct/>
              <w:topLinePunct w:val="0"/>
              <w:autoSpaceDE w:val="0"/>
              <w:autoSpaceDN w:val="0"/>
              <w:bidi w:val="0"/>
              <w:ind w:left="0" w:firstLine="0"/>
              <w:jc w:val="center"/>
              <w:rPr>
                <w:rFonts w:hint="eastAsia" w:ascii="宋体" w:hAnsi="宋体" w:eastAsia="宋体" w:cs="宋体"/>
                <w:b/>
                <w:bCs/>
                <w:color w:val="auto"/>
                <w:szCs w:val="21"/>
                <w:lang w:eastAsia="zh-CN"/>
              </w:rPr>
            </w:pPr>
          </w:p>
        </w:tc>
        <w:tc>
          <w:tcPr>
            <w:tcW w:w="674" w:type="pct"/>
            <w:vAlign w:val="center"/>
          </w:tcPr>
          <w:p w14:paraId="6FA0D049">
            <w:pPr>
              <w:pStyle w:val="5"/>
              <w:keepLines w:val="0"/>
              <w:pageBreakBefore w:val="0"/>
              <w:widowControl w:val="0"/>
              <w:kinsoku/>
              <w:wordWrap/>
              <w:overflowPunct/>
              <w:topLinePunct w:val="0"/>
              <w:bidi w:val="0"/>
              <w:spacing w:after="0" w:line="360" w:lineRule="auto"/>
              <w:ind w:left="0" w:leftChars="0" w:firstLine="0" w:firstLineChars="0"/>
              <w:jc w:val="center"/>
              <w:rPr>
                <w:rFonts w:hint="eastAsia" w:ascii="宋体" w:hAnsi="宋体" w:eastAsia="宋体" w:cs="宋体"/>
                <w:color w:val="auto"/>
                <w:szCs w:val="21"/>
              </w:rPr>
            </w:pPr>
            <w:r>
              <w:rPr>
                <w:rFonts w:hint="eastAsia" w:ascii="宋体" w:hAnsi="宋体" w:eastAsia="宋体" w:cs="宋体"/>
                <w:color w:val="auto"/>
                <w:szCs w:val="21"/>
              </w:rPr>
              <w:t>其它事项</w:t>
            </w:r>
          </w:p>
        </w:tc>
        <w:tc>
          <w:tcPr>
            <w:tcW w:w="3973" w:type="pct"/>
            <w:vAlign w:val="center"/>
          </w:tcPr>
          <w:p w14:paraId="07637CFB">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1、成交供应商不许随意更换响应文件中所报的项目负责人，如确须更换，则事前须征得采购人同意，如有违反，一经发现取消成交资格，并赔偿由此造成的一切损失（包含质量安全事故、拖延工期、增加投资等损失）。</w:t>
            </w:r>
          </w:p>
          <w:p w14:paraId="0EBE516C">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2、在工程进行中，成交供应商要注意保护场内的各种管线和设施。若有任何损坏，须立即通知有关部门和采购人，并由损坏单位承担损失和修复费用。</w:t>
            </w:r>
          </w:p>
          <w:p w14:paraId="36466477">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3、供应商应承担所有与编写和提交响应文件有关的费用，不论响应的结果如何，代理机构、采购人在任何情况下均无义务和责任承担这些费用。</w:t>
            </w:r>
          </w:p>
          <w:p w14:paraId="458906F7">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4、供应商成交后，如因采购人的原因取消建设的，成交供应商应无条件服从，不得因此向采购人提出任何索赔。</w:t>
            </w:r>
          </w:p>
          <w:p w14:paraId="34DD147D">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5、该项目施工期间其他区域正常运营，必须保证工作人员安全，做好安全围挡及安全标识。</w:t>
            </w:r>
          </w:p>
          <w:p w14:paraId="2067C253">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6、本项目在施工中做好安全防护措施，由于施工造成的污染，成交供应商必须在当天及时处理。若因成交供应商原因导致的自身或除成交供应商以外的人员伤亡等安全事故的，均由成交供应商自行负责并承担所发生的一切费用。</w:t>
            </w:r>
          </w:p>
          <w:p w14:paraId="4796A57F">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7、供应商应充分考虑施工期间一切可能发生的不确定因素而导致工期延长、施工措施、采购人工程量增加而造成施工费用的增加，包括施工过程中因赶工而发生的措施费由供应商在降幅中考虑，成交后均不得调整。</w:t>
            </w:r>
          </w:p>
          <w:p w14:paraId="7957CD94">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8、施工图纸中原有需要改造的，供应商需根据采购人要求处理，费用包含在本次报价中。</w:t>
            </w:r>
          </w:p>
          <w:p w14:paraId="38769BCE">
            <w:pPr>
              <w:pStyle w:val="5"/>
              <w:keepLines w:val="0"/>
              <w:pageBreakBefore w:val="0"/>
              <w:widowControl w:val="0"/>
              <w:kinsoku/>
              <w:wordWrap/>
              <w:overflowPunct/>
              <w:topLinePunct w:val="0"/>
              <w:bidi w:val="0"/>
              <w:spacing w:after="0" w:line="360" w:lineRule="auto"/>
              <w:ind w:left="0" w:leftChars="0" w:firstLine="0" w:firstLineChars="0"/>
              <w:rPr>
                <w:rFonts w:hint="eastAsia" w:ascii="宋体" w:hAnsi="宋体" w:eastAsia="宋体" w:cs="宋体"/>
                <w:color w:val="auto"/>
                <w:szCs w:val="21"/>
              </w:rPr>
            </w:pPr>
            <w:r>
              <w:rPr>
                <w:rFonts w:hint="eastAsia" w:ascii="宋体" w:hAnsi="宋体" w:eastAsia="宋体" w:cs="宋体"/>
                <w:color w:val="auto"/>
                <w:szCs w:val="21"/>
              </w:rPr>
              <w:t>9、施工中破坏的物品仍按原样修复，所涉及的一切费用均由成交供应商承担。如果由于采购人的原因造成工期延期的，成交供应商不得进行经济的索赔，但采购人顺延工期。</w:t>
            </w:r>
          </w:p>
        </w:tc>
      </w:tr>
    </w:tbl>
    <w:p w14:paraId="65CB6C6E">
      <w:pPr>
        <w:keepLines w:val="0"/>
        <w:pageBreakBefore w:val="0"/>
        <w:widowControl w:val="0"/>
        <w:kinsoku/>
        <w:wordWrap/>
        <w:overflowPunct/>
        <w:topLinePunct w:val="0"/>
        <w:bidi w:val="0"/>
        <w:rPr>
          <w:rFonts w:hint="eastAsia" w:ascii="宋体" w:hAnsi="宋体" w:eastAsia="宋体" w:cs="宋体"/>
          <w:color w:val="auto"/>
        </w:rPr>
      </w:pPr>
    </w:p>
    <w:p w14:paraId="1636C542">
      <w:pPr>
        <w:rPr>
          <w:color w:val="auto"/>
        </w:rPr>
      </w:pPr>
    </w:p>
    <w:sectPr>
      <w:pgSz w:w="11906" w:h="16838"/>
      <w:pgMar w:top="1134" w:right="1134" w:bottom="1134" w:left="1134" w:header="851" w:footer="992" w:gutter="0"/>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华文中宋">
    <w:panose1 w:val="02010600040101010101"/>
    <w:charset w:val="86"/>
    <w:family w:val="auto"/>
    <w:pitch w:val="default"/>
    <w:sig w:usb0="00000287" w:usb1="080F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pPr>
      <w:r>
        <w:separator/>
      </w:r>
    </w:p>
  </w:footnote>
  <w:footnote w:type="continuationSeparator" w:id="1">
    <w:p>
      <w:pPr>
        <w:spacing w:line="36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C843436"/>
    <w:multiLevelType w:val="multilevel"/>
    <w:tmpl w:val="1C843436"/>
    <w:lvl w:ilvl="0" w:tentative="0">
      <w:start w:val="1"/>
      <w:numFmt w:val="decimal"/>
      <w:suff w:val="nothing"/>
      <w:lvlText w:val="%1"/>
      <w:lvlJc w:val="left"/>
      <w:pPr>
        <w:ind w:left="420" w:hanging="420"/>
      </w:pPr>
      <w:rPr>
        <w:rFonts w:hint="eastAsia"/>
        <w:sz w:val="21"/>
        <w:szCs w:val="21"/>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abstractNum w:abstractNumId="1">
    <w:nsid w:val="3BF84A49"/>
    <w:multiLevelType w:val="multilevel"/>
    <w:tmpl w:val="3BF84A49"/>
    <w:lvl w:ilvl="0" w:tentative="0">
      <w:start w:val="1"/>
      <w:numFmt w:val="decimal"/>
      <w:lvlText w:val="%1."/>
      <w:lvlJc w:val="left"/>
      <w:pPr>
        <w:ind w:left="860" w:hanging="420"/>
      </w:pPr>
      <w:rPr>
        <w:rFonts w:hint="eastAsia"/>
      </w:rPr>
    </w:lvl>
    <w:lvl w:ilvl="1" w:tentative="0">
      <w:start w:val="1"/>
      <w:numFmt w:val="lowerLetter"/>
      <w:lvlText w:val="%2)"/>
      <w:lvlJc w:val="left"/>
      <w:pPr>
        <w:ind w:left="1280" w:hanging="420"/>
      </w:pPr>
    </w:lvl>
    <w:lvl w:ilvl="2" w:tentative="0">
      <w:start w:val="1"/>
      <w:numFmt w:val="lowerRoman"/>
      <w:lvlText w:val="%3."/>
      <w:lvlJc w:val="right"/>
      <w:pPr>
        <w:ind w:left="1700" w:hanging="420"/>
      </w:pPr>
    </w:lvl>
    <w:lvl w:ilvl="3" w:tentative="0">
      <w:start w:val="1"/>
      <w:numFmt w:val="decimal"/>
      <w:lvlText w:val="%4."/>
      <w:lvlJc w:val="left"/>
      <w:pPr>
        <w:ind w:left="2120" w:hanging="420"/>
      </w:pPr>
    </w:lvl>
    <w:lvl w:ilvl="4" w:tentative="0">
      <w:start w:val="1"/>
      <w:numFmt w:val="lowerLetter"/>
      <w:lvlText w:val="%5)"/>
      <w:lvlJc w:val="left"/>
      <w:pPr>
        <w:ind w:left="2540" w:hanging="420"/>
      </w:pPr>
    </w:lvl>
    <w:lvl w:ilvl="5" w:tentative="0">
      <w:start w:val="1"/>
      <w:numFmt w:val="lowerRoman"/>
      <w:lvlText w:val="%6."/>
      <w:lvlJc w:val="right"/>
      <w:pPr>
        <w:ind w:left="2960" w:hanging="420"/>
      </w:pPr>
    </w:lvl>
    <w:lvl w:ilvl="6" w:tentative="0">
      <w:start w:val="1"/>
      <w:numFmt w:val="decimal"/>
      <w:lvlText w:val="%7."/>
      <w:lvlJc w:val="left"/>
      <w:pPr>
        <w:ind w:left="3380" w:hanging="420"/>
      </w:pPr>
    </w:lvl>
    <w:lvl w:ilvl="7" w:tentative="0">
      <w:start w:val="1"/>
      <w:numFmt w:val="lowerLetter"/>
      <w:lvlText w:val="%8)"/>
      <w:lvlJc w:val="left"/>
      <w:pPr>
        <w:ind w:left="3800" w:hanging="420"/>
      </w:pPr>
    </w:lvl>
    <w:lvl w:ilvl="8" w:tentative="0">
      <w:start w:val="1"/>
      <w:numFmt w:val="lowerRoman"/>
      <w:lvlText w:val="%9."/>
      <w:lvlJc w:val="right"/>
      <w:pPr>
        <w:ind w:left="4220" w:hanging="42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E0B3431"/>
    <w:rsid w:val="01D16BF9"/>
    <w:rsid w:val="4DCB2A75"/>
    <w:rsid w:val="6E0B3431"/>
    <w:rsid w:val="6F1B250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1"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line="360" w:lineRule="auto"/>
      <w:jc w:val="both"/>
    </w:pPr>
    <w:rPr>
      <w:rFonts w:ascii="宋体" w:hAnsi="宋体" w:eastAsia="宋体" w:cs="Times New Roman"/>
      <w:kern w:val="2"/>
      <w:sz w:val="21"/>
      <w:szCs w:val="24"/>
      <w:lang w:val="en-US" w:eastAsia="zh-CN" w:bidi="ar-SA"/>
    </w:rPr>
  </w:style>
  <w:style w:type="character" w:default="1" w:styleId="8">
    <w:name w:val="Default Paragraph Font"/>
    <w:semiHidden/>
    <w:qFormat/>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w:basedOn w:val="1"/>
    <w:next w:val="1"/>
    <w:qFormat/>
    <w:uiPriority w:val="0"/>
  </w:style>
  <w:style w:type="paragraph" w:styleId="3">
    <w:name w:val="Body Text Indent"/>
    <w:basedOn w:val="1"/>
    <w:qFormat/>
    <w:uiPriority w:val="0"/>
    <w:pPr>
      <w:adjustRightInd w:val="0"/>
      <w:snapToGrid w:val="0"/>
      <w:ind w:firstLine="420" w:firstLineChars="200"/>
    </w:pPr>
  </w:style>
  <w:style w:type="paragraph" w:styleId="4">
    <w:name w:val="Plain Text"/>
    <w:basedOn w:val="1"/>
    <w:qFormat/>
    <w:uiPriority w:val="0"/>
    <w:rPr>
      <w:rFonts w:hAnsi="等线 Light" w:eastAsia="Courier New" w:cs="等线 Light"/>
      <w:szCs w:val="21"/>
    </w:rPr>
  </w:style>
  <w:style w:type="paragraph" w:styleId="5">
    <w:name w:val="Body Text First Indent 2"/>
    <w:basedOn w:val="3"/>
    <w:qFormat/>
    <w:uiPriority w:val="99"/>
    <w:pPr>
      <w:adjustRightInd/>
      <w:snapToGrid/>
      <w:spacing w:after="120" w:line="240" w:lineRule="auto"/>
      <w:ind w:left="420" w:leftChars="200"/>
    </w:pPr>
  </w:style>
  <w:style w:type="table" w:styleId="7">
    <w:name w:val="Table Grid"/>
    <w:basedOn w:val="6"/>
    <w:unhideWhenUsed/>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9">
    <w:name w:val="图"/>
    <w:basedOn w:val="1"/>
    <w:qFormat/>
    <w:uiPriority w:val="0"/>
    <w:pPr>
      <w:keepNext/>
      <w:adjustRightInd w:val="0"/>
      <w:spacing w:before="60" w:after="60" w:line="300" w:lineRule="auto"/>
      <w:jc w:val="center"/>
      <w:textAlignment w:val="center"/>
    </w:pPr>
    <w:rPr>
      <w:snapToGrid w:val="0"/>
      <w:spacing w:val="20"/>
      <w:kern w:val="0"/>
      <w:sz w:val="24"/>
      <w:szCs w:val="20"/>
    </w:rPr>
  </w:style>
  <w:style w:type="paragraph" w:customStyle="1" w:styleId="10">
    <w:name w:val="B"/>
    <w:basedOn w:val="2"/>
    <w:qFormat/>
    <w:uiPriority w:val="1"/>
    <w:pPr>
      <w:autoSpaceDE w:val="0"/>
      <w:autoSpaceDN w:val="0"/>
      <w:ind w:firstLine="480" w:firstLineChars="200"/>
      <w:jc w:val="left"/>
    </w:pPr>
    <w:rPr>
      <w:rFonts w:cs="宋体"/>
      <w:sz w:val="24"/>
      <w:lang w:eastAsia="en-US"/>
    </w:rPr>
  </w:style>
  <w:style w:type="paragraph" w:customStyle="1" w:styleId="11">
    <w:name w:val="C"/>
    <w:basedOn w:val="1"/>
    <w:qFormat/>
    <w:uiPriority w:val="1"/>
    <w:pPr>
      <w:widowControl w:val="0"/>
      <w:autoSpaceDE w:val="0"/>
      <w:autoSpaceDN w:val="0"/>
      <w:jc w:val="left"/>
      <w:outlineLvl w:val="1"/>
    </w:pPr>
    <w:rPr>
      <w:rFonts w:cs="宋体"/>
      <w:b/>
      <w:bCs/>
      <w:kern w:val="0"/>
      <w:sz w:val="24"/>
      <w:lang w:eastAsia="en-US"/>
    </w:rPr>
  </w:style>
  <w:style w:type="character" w:customStyle="1" w:styleId="12">
    <w:name w:val="NormalCharacter"/>
    <w:qFormat/>
    <w:uiPriority w:val="0"/>
  </w:style>
  <w:style w:type="paragraph" w:styleId="13">
    <w:name w:val="List Paragraph"/>
    <w:basedOn w:val="1"/>
    <w:autoRedefine/>
    <w:qFormat/>
    <w:uiPriority w:val="1"/>
    <w:pPr>
      <w:suppressAutoHyphens/>
      <w:ind w:firstLine="420"/>
    </w:pPr>
    <w:rPr>
      <w:rFonts w:ascii="华文中宋" w:hAnsi="华文中宋"/>
      <w:kern w:val="1"/>
      <w:szCs w:val="22"/>
      <w:lang w:eastAsia="ar-S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10</Pages>
  <Words>2682</Words>
  <Characters>2766</Characters>
  <Lines>0</Lines>
  <Paragraphs>0</Paragraphs>
  <TotalTime>0</TotalTime>
  <ScaleCrop>false</ScaleCrop>
  <LinksUpToDate>false</LinksUpToDate>
  <CharactersWithSpaces>2772</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2025-09-30T09:32:00Z</dcterms:created>
  <dc:creator>星垂野</dc:creator>
  <cp:lastModifiedBy>星垂野</cp:lastModifiedBy>
  <dcterms:modified xsi:type="dcterms:W3CDTF">2025-09-30T09:59:11Z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43939A907E8642D3AC5AD06393EE2B07_11</vt:lpwstr>
  </property>
  <property fmtid="{D5CDD505-2E9C-101B-9397-08002B2CF9AE}" pid="4" name="KSOTemplateDocerSaveRecord">
    <vt:lpwstr>eyJoZGlkIjoiMDk2OTA1NDkwMDRkYzM1ZjcyOTU0MGYwZjMwMjMzM2IiLCJ1c2VySWQiOiI2MDQyNjU5NzIifQ==</vt:lpwstr>
  </property>
</Properties>
</file>