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D26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Style w:val="4"/>
          <w:rFonts w:hint="eastAsia" w:ascii="仿宋" w:hAnsi="仿宋" w:eastAsia="仿宋" w:cs="仿宋"/>
          <w:b/>
          <w:bCs/>
          <w:color w:val="05073B"/>
          <w:kern w:val="2"/>
          <w:sz w:val="36"/>
          <w:szCs w:val="36"/>
          <w:lang w:val="en-US" w:eastAsia="zh-CN" w:bidi="ar-SA"/>
        </w:rPr>
      </w:pPr>
      <w:r>
        <w:rPr>
          <w:rStyle w:val="4"/>
          <w:rFonts w:hint="eastAsia" w:ascii="仿宋" w:hAnsi="仿宋" w:eastAsia="仿宋" w:cs="仿宋"/>
          <w:b/>
          <w:bCs/>
          <w:color w:val="05073B"/>
          <w:kern w:val="2"/>
          <w:sz w:val="36"/>
          <w:szCs w:val="36"/>
          <w:lang w:val="en-US" w:eastAsia="zh-CN" w:bidi="ar-SA"/>
        </w:rPr>
        <w:t>南方医科大学南方医院</w:t>
      </w:r>
    </w:p>
    <w:p w14:paraId="7B24A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Style w:val="4"/>
          <w:rFonts w:hint="eastAsia" w:ascii="仿宋" w:hAnsi="仿宋" w:eastAsia="仿宋" w:cs="仿宋"/>
          <w:b/>
          <w:bCs/>
          <w:color w:val="05073B"/>
          <w:kern w:val="2"/>
          <w:sz w:val="36"/>
          <w:szCs w:val="36"/>
          <w:lang w:val="en-US" w:eastAsia="zh-CN" w:bidi="ar-SA"/>
        </w:rPr>
      </w:pPr>
      <w:r>
        <w:rPr>
          <w:rStyle w:val="4"/>
          <w:rFonts w:hint="eastAsia" w:ascii="仿宋" w:hAnsi="仿宋" w:eastAsia="仿宋" w:cs="仿宋"/>
          <w:b/>
          <w:bCs/>
          <w:color w:val="05073B"/>
          <w:kern w:val="2"/>
          <w:sz w:val="36"/>
          <w:szCs w:val="36"/>
          <w:lang w:val="en-US" w:eastAsia="zh-CN" w:bidi="ar-SA"/>
        </w:rPr>
        <w:t>建筑楼栋CAD图纸测绘及建档项目采购需求书</w:t>
      </w:r>
    </w:p>
    <w:p w14:paraId="0CE3AB2C">
      <w:pPr>
        <w:spacing w:before="380" w:after="140" w:line="240" w:lineRule="auto"/>
        <w:ind w:left="0"/>
        <w:jc w:val="left"/>
        <w:outlineLvl w:val="0"/>
        <w:rPr>
          <w:rFonts w:hint="eastAsia" w:ascii="仿宋" w:hAnsi="仿宋" w:eastAsia="仿宋" w:cs="仿宋"/>
          <w:b/>
          <w:sz w:val="11"/>
          <w:szCs w:val="4"/>
        </w:rPr>
      </w:pPr>
      <w:bookmarkStart w:id="0" w:name="heading_0"/>
    </w:p>
    <w:p w14:paraId="1E1A1DF8">
      <w:pPr>
        <w:spacing w:line="360" w:lineRule="auto"/>
        <w:ind w:firstLine="562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一、项目概况</w:t>
      </w:r>
      <w:bookmarkEnd w:id="0"/>
    </w:p>
    <w:p w14:paraId="473BBB98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完善医院建筑档案资料，支撑后勤运维、改扩建方案设计、不动产台账管理及数字化院区建设等工作，采购人拟对院内指定楼栋开展分层建筑平面实测、房产面积测算、CAD图纸绘制及档案化建档服务。本次测绘楼栋合计15栋，总建筑面积约185,287㎡，全部楼栋、全部楼层均要求现场逐层实测，不得直接套用、翻拍原有图纸替代实测工作。</w:t>
      </w:r>
    </w:p>
    <w:p w14:paraId="2D8765B4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bookmarkStart w:id="1" w:name="heading_1"/>
    </w:p>
    <w:p w14:paraId="34DF102A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二、测绘范围</w:t>
      </w:r>
      <w:bookmarkEnd w:id="1"/>
      <w:bookmarkStart w:id="16" w:name="_GoBack"/>
      <w:bookmarkEnd w:id="16"/>
    </w:p>
    <w:p w14:paraId="2C8C7B43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对医院指定15栋建筑（含主楼、附属用房、配套用房等所有楼栋）开展分层建筑平面测绘，覆盖地上各楼层、设备夹层、裙楼等建筑区域；测绘边界以采购人现场指认的楼栋用地及建筑外墙边线为准。</w:t>
      </w:r>
    </w:p>
    <w:p w14:paraId="674260D1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bookmarkStart w:id="2" w:name="heading_2"/>
    </w:p>
    <w:p w14:paraId="6D45FC24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三、测绘内容与技术标准要求</w:t>
      </w:r>
      <w:bookmarkEnd w:id="2"/>
    </w:p>
    <w:p w14:paraId="02B0F2F9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bookmarkStart w:id="3" w:name="heading_3"/>
      <w:r>
        <w:rPr>
          <w:rFonts w:hint="eastAsia" w:ascii="仿宋" w:hAnsi="仿宋" w:eastAsia="仿宋" w:cs="仿宋"/>
          <w:b/>
          <w:bCs/>
          <w:sz w:val="28"/>
          <w:szCs w:val="28"/>
        </w:rPr>
        <w:t>（一）测绘成果内容</w:t>
      </w:r>
      <w:bookmarkEnd w:id="3"/>
    </w:p>
    <w:p w14:paraId="7DD38189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1.分层建筑平面图（DWG）：逐层绘制建筑平面图纸，标注轴线编号、轴线间距、墙体定位尺寸、墙体厚度、柱尺寸、门窗洞口位置。</w:t>
      </w:r>
    </w:p>
    <w:p w14:paraId="4C190425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2.房间功能标注：房间名称按现场实际使用功能标注，如诊室、治疗室、处置室、抢救室、病房、护士站、库房、设备间、配电房、机房、卫生间、走廊等，不得直接照搬旧图纸名称。</w:t>
      </w:r>
    </w:p>
    <w:p w14:paraId="35FA1528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3.面积测算：标注各房间套内面积、分层建筑面积汇总，每层附面积统计表。</w:t>
      </w:r>
    </w:p>
    <w:p w14:paraId="42818EF9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4.配套说明文档：图层说明文档、测绘技术说明、测绘成果自检记录。</w:t>
      </w:r>
    </w:p>
    <w:p w14:paraId="48BB4C6A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bookmarkStart w:id="4" w:name="heading_4"/>
      <w:r>
        <w:rPr>
          <w:rFonts w:hint="eastAsia" w:ascii="仿宋" w:hAnsi="仿宋" w:eastAsia="仿宋" w:cs="仿宋"/>
          <w:b/>
          <w:bCs/>
          <w:sz w:val="28"/>
          <w:szCs w:val="28"/>
        </w:rPr>
        <w:t>（二）执行规范依据</w:t>
      </w:r>
      <w:bookmarkEnd w:id="4"/>
    </w:p>
    <w:p w14:paraId="6BC2980D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•《房产测量规范》（GB/T 17986.1-2000）；</w:t>
      </w:r>
    </w:p>
    <w:p w14:paraId="71E8D61E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•广州市现行房产面积测算管理规程及技术细则；</w:t>
      </w:r>
    </w:p>
    <w:p w14:paraId="24C9DA2C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•《工程测量规范》（GB 50026）；</w:t>
      </w:r>
    </w:p>
    <w:p w14:paraId="75CB6905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•采购人提出的院区档案管理统一制图要求。</w:t>
      </w:r>
    </w:p>
    <w:p w14:paraId="60586569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bookmarkStart w:id="5" w:name="heading_5"/>
      <w:r>
        <w:rPr>
          <w:rFonts w:hint="eastAsia" w:ascii="仿宋" w:hAnsi="仿宋" w:eastAsia="仿宋" w:cs="仿宋"/>
          <w:b/>
          <w:bCs/>
          <w:sz w:val="28"/>
          <w:szCs w:val="28"/>
        </w:rPr>
        <w:t>（三）精度要求</w:t>
      </w:r>
      <w:bookmarkEnd w:id="5"/>
    </w:p>
    <w:p w14:paraId="3B6BA2EA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•建筑面积测算误差率≤1%，误差超标的楼层必须重新实测、重算；</w:t>
      </w:r>
    </w:p>
    <w:p w14:paraId="3B175F39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•平面点位、墙体、门窗实测相对精度满足房产测绘及工程竣工图建档使用要求；</w:t>
      </w:r>
    </w:p>
    <w:p w14:paraId="090C1D60">
      <w:pPr>
        <w:spacing w:line="360" w:lineRule="auto"/>
        <w:ind w:firstLine="560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•所有尺寸以现场实测数据为准，原始图纸仅作参考，不作为测绘依据。</w:t>
      </w:r>
      <w:bookmarkStart w:id="6" w:name="heading_6"/>
    </w:p>
    <w:p w14:paraId="514D9799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（四）测绘基准与图纸比例</w:t>
      </w:r>
      <w:bookmarkEnd w:id="6"/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5"/>
        <w:gridCol w:w="6255"/>
      </w:tblGrid>
      <w:tr w14:paraId="0AC85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6" w:hRule="atLeast"/>
        </w:trPr>
        <w:tc>
          <w:tcPr>
            <w:tcW w:w="20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9E9C3C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</w:t>
            </w:r>
          </w:p>
        </w:tc>
        <w:tc>
          <w:tcPr>
            <w:tcW w:w="625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A89962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技术要求</w:t>
            </w:r>
          </w:p>
        </w:tc>
      </w:tr>
      <w:tr w14:paraId="17F87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5" w:hRule="atLeast"/>
        </w:trPr>
        <w:tc>
          <w:tcPr>
            <w:tcW w:w="20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ADCACD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平面坐标系</w:t>
            </w:r>
          </w:p>
        </w:tc>
        <w:tc>
          <w:tcPr>
            <w:tcW w:w="625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C1F782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广州市城市坐标系</w:t>
            </w:r>
          </w:p>
        </w:tc>
      </w:tr>
      <w:tr w14:paraId="2E3A5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3" w:hRule="atLeast"/>
        </w:trPr>
        <w:tc>
          <w:tcPr>
            <w:tcW w:w="20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8CBA2F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高程基准</w:t>
            </w:r>
          </w:p>
        </w:tc>
        <w:tc>
          <w:tcPr>
            <w:tcW w:w="625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E8C51E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1985国家高程基准</w:t>
            </w:r>
          </w:p>
        </w:tc>
      </w:tr>
      <w:tr w14:paraId="14040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71" w:hRule="atLeast"/>
        </w:trPr>
        <w:tc>
          <w:tcPr>
            <w:tcW w:w="20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40B677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图纸比例</w:t>
            </w:r>
          </w:p>
        </w:tc>
        <w:tc>
          <w:tcPr>
            <w:tcW w:w="625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2DD25C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优先采用1:100，特殊狭长区域可采用1:200，比例统一标注于图框内</w:t>
            </w:r>
          </w:p>
        </w:tc>
      </w:tr>
    </w:tbl>
    <w:p w14:paraId="18EBB013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bookmarkStart w:id="7" w:name="heading_7"/>
      <w:r>
        <w:rPr>
          <w:rFonts w:hint="eastAsia" w:ascii="仿宋" w:hAnsi="仿宋" w:eastAsia="仿宋" w:cs="仿宋"/>
          <w:b/>
          <w:bCs/>
          <w:sz w:val="28"/>
          <w:szCs w:val="28"/>
        </w:rPr>
        <w:t>（五）CAD制图及图层规范</w:t>
      </w:r>
      <w:bookmarkEnd w:id="7"/>
    </w:p>
    <w:p w14:paraId="46AB7244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1.文件格式：DWG格式，兼容AutoCAD 2018及以上版本。</w:t>
      </w:r>
    </w:p>
    <w:p w14:paraId="7CB5C5E3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2.图层强制独立划分：轴线层、墙体层、柱层、门窗层、房间文字标注层、尺寸标注层、面积标注层、图框层、备注层；图层命名规范，颜色、线型统一。</w:t>
      </w:r>
    </w:p>
    <w:p w14:paraId="0AA16D1D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3.统一图框样式，注明楼栋号、楼层、测绘日期、测绘单位、项目负责人、比例尺。</w:t>
      </w:r>
    </w:p>
    <w:p w14:paraId="3C005540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4.随成果提交《图层说明表》，写明各图层名称、用途、线型、颜色，便于采购人后续编辑使用。</w:t>
      </w:r>
    </w:p>
    <w:p w14:paraId="7446CAD4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bookmarkStart w:id="8" w:name="heading_8"/>
    </w:p>
    <w:p w14:paraId="4571AC7E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四、成果交付清单</w:t>
      </w:r>
      <w:bookmarkEnd w:id="8"/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60"/>
        <w:gridCol w:w="2680"/>
        <w:gridCol w:w="4640"/>
      </w:tblGrid>
      <w:tr w14:paraId="29CEB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0" w:hRule="atLeast"/>
        </w:trPr>
        <w:tc>
          <w:tcPr>
            <w:tcW w:w="9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327D62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2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DB8ABF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交付成果</w:t>
            </w:r>
          </w:p>
        </w:tc>
        <w:tc>
          <w:tcPr>
            <w:tcW w:w="46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827100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格式与要求</w:t>
            </w:r>
          </w:p>
        </w:tc>
      </w:tr>
      <w:tr w14:paraId="772A3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7" w:hRule="atLeast"/>
        </w:trPr>
        <w:tc>
          <w:tcPr>
            <w:tcW w:w="9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CC829C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2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F32AE4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全部分层CAD图纸</w:t>
            </w:r>
          </w:p>
        </w:tc>
        <w:tc>
          <w:tcPr>
            <w:tcW w:w="46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D66AD8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DWG格式，按楼栋、楼层建立文件夹分类归档</w:t>
            </w:r>
          </w:p>
        </w:tc>
      </w:tr>
      <w:tr w14:paraId="779A1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108BDC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2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811369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面积汇总表</w:t>
            </w:r>
          </w:p>
        </w:tc>
        <w:tc>
          <w:tcPr>
            <w:tcW w:w="46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E0245F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Excel版，楼栋总建筑面积</w:t>
            </w:r>
          </w:p>
        </w:tc>
      </w:tr>
    </w:tbl>
    <w:p w14:paraId="1BEEAB4C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交付方式：U盘或网盘交付；采购人有权要求同步提供PDF底图用于内部查阅。</w:t>
      </w:r>
    </w:p>
    <w:p w14:paraId="0624BC02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bookmarkStart w:id="9" w:name="heading_9"/>
    </w:p>
    <w:p w14:paraId="409361DF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五、供应商资格、人员及业绩要求</w:t>
      </w:r>
      <w:bookmarkEnd w:id="9"/>
    </w:p>
    <w:tbl>
      <w:tblPr>
        <w:tblStyle w:val="2"/>
        <w:tblW w:w="87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17"/>
        <w:gridCol w:w="7062"/>
      </w:tblGrid>
      <w:tr w14:paraId="72D71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8" w:hRule="atLeast"/>
        </w:trPr>
        <w:tc>
          <w:tcPr>
            <w:tcW w:w="17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316FC7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资格项</w:t>
            </w:r>
          </w:p>
        </w:tc>
        <w:tc>
          <w:tcPr>
            <w:tcW w:w="70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0F7B84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具体要求</w:t>
            </w:r>
          </w:p>
        </w:tc>
      </w:tr>
      <w:tr w14:paraId="0FD0A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62" w:hRule="atLeast"/>
        </w:trPr>
        <w:tc>
          <w:tcPr>
            <w:tcW w:w="17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7495F6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测绘资质</w:t>
            </w:r>
          </w:p>
        </w:tc>
        <w:tc>
          <w:tcPr>
            <w:tcW w:w="70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A89BFB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具备自然资源主管部门核发的乙级及以上测绘资质证书，资质专业范围包含"工程测量"或"界线与不动产测绘"，且在有效期内。</w:t>
            </w:r>
          </w:p>
        </w:tc>
      </w:tr>
      <w:tr w14:paraId="70ADF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02" w:hRule="atLeast"/>
        </w:trPr>
        <w:tc>
          <w:tcPr>
            <w:tcW w:w="17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091DDA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项目负责人</w:t>
            </w:r>
          </w:p>
        </w:tc>
        <w:tc>
          <w:tcPr>
            <w:tcW w:w="70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8D77E2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具备测绘中级工程师及以上职称，或持有注册测绘师资格证书；全程统筹本项目，关键节点到场，不得随意更换，更换须提前书面报采购人同意。</w:t>
            </w:r>
          </w:p>
        </w:tc>
      </w:tr>
      <w:tr w14:paraId="38CFC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79" w:hRule="atLeast"/>
        </w:trPr>
        <w:tc>
          <w:tcPr>
            <w:tcW w:w="17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8AB2DF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同类业绩</w:t>
            </w:r>
          </w:p>
        </w:tc>
        <w:tc>
          <w:tcPr>
            <w:tcW w:w="70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C0E335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近3年（自采购公告发出之日起倒算）独立承担过公共建筑测绘项目（医院、文体场馆、综合楼、产业园等均可）；投标时提供合同扫描件及成果页或验收证明，合同须体现项目面积。</w:t>
            </w:r>
          </w:p>
        </w:tc>
      </w:tr>
      <w:tr w14:paraId="587B1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79" w:hRule="atLeast"/>
        </w:trPr>
        <w:tc>
          <w:tcPr>
            <w:tcW w:w="17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BA8BA8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作业人员</w:t>
            </w:r>
          </w:p>
        </w:tc>
        <w:tc>
          <w:tcPr>
            <w:tcW w:w="70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2E01F3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投入人员须具备测绘相关作业能力，熟悉医院现场测绘及房产面积测算；进场人员信息提前报送院方备案。</w:t>
            </w:r>
          </w:p>
        </w:tc>
      </w:tr>
      <w:tr w14:paraId="4F4EA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9" w:hRule="atLeast"/>
        </w:trPr>
        <w:tc>
          <w:tcPr>
            <w:tcW w:w="17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AD18B4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仪器设备</w:t>
            </w:r>
          </w:p>
        </w:tc>
        <w:tc>
          <w:tcPr>
            <w:tcW w:w="70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832ACA"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自备合格全站仪、激光测距仪、平板外业采集设备等，仪器须在检定有效期内。</w:t>
            </w:r>
          </w:p>
        </w:tc>
      </w:tr>
    </w:tbl>
    <w:p w14:paraId="4C8D4B45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bookmarkStart w:id="10" w:name="heading_10"/>
    </w:p>
    <w:p w14:paraId="284F27F5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六、报价要求</w:t>
      </w:r>
      <w:bookmarkEnd w:id="10"/>
    </w:p>
    <w:p w14:paraId="2C42DA94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1.本项目为总价包干报价，报价包含外业现场实测、内业绘图、面积计算、成果复核、资料整理、文档编制、税费、交通、人员食宿、仪器、成果修改及质保服务等全部费用。</w:t>
      </w:r>
    </w:p>
    <w:p w14:paraId="4A09CE78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2.现场无原始图纸、图纸缺失或图纸与现场严重不符区域的重新实测、重新绘图工作量，全部包含在包干价内，采购人不再另行支付增加费用。</w:t>
      </w:r>
    </w:p>
    <w:p w14:paraId="26A7713E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3.报价须列明服务周期及质保承诺；采购人不接受分项单价单独调价。</w:t>
      </w:r>
    </w:p>
    <w:p w14:paraId="44E21C1A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4.报价有效期不少于90日历天。</w:t>
      </w:r>
    </w:p>
    <w:p w14:paraId="43208895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收费标准：本项目报价以国家及广州市现行测绘收费规定为计费参考依据，主要包括《测绘工程产品价格》（国测财字〔2002〕3号）、《测绘生产成本费用定额》及广州市现行房产测绘收费相关规定。供应商应结合项目实际工作量、面积及难度测算总价包干费用，并将报价构成明细（外业实测、内业绘图、面积测算、成果复核、税费等分项）在报价表中逐项列明，各分项合计须与包干总价对应一致。</w:t>
      </w:r>
    </w:p>
    <w:p w14:paraId="042F0901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bookmarkStart w:id="11" w:name="heading_11"/>
    </w:p>
    <w:p w14:paraId="75D7A12B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七、现场作业、院感及安全管理要求</w:t>
      </w:r>
      <w:bookmarkEnd w:id="11"/>
    </w:p>
    <w:p w14:paraId="20CF59E7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1.作业时间：必须避开医院诊疗高峰时段（早8:00—12:00、下午14:30—17:30等），优先安排夜间、周末及非诊疗时段开展测绘；进场时间须提前与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医院总务处</w:t>
      </w:r>
      <w:r>
        <w:rPr>
          <w:rFonts w:hint="eastAsia" w:ascii="仿宋" w:hAnsi="仿宋" w:eastAsia="仿宋" w:cs="仿宋"/>
          <w:sz w:val="28"/>
          <w:szCs w:val="28"/>
        </w:rPr>
        <w:t>预约。</w:t>
      </w:r>
    </w:p>
    <w:p w14:paraId="2F579D19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2.重点区域管理：进入病区、手术室、ICU、产房、消毒供应中心等院感重点区域，严格遵守医院院感管控、更衣及防护流程，服从院方现场管理人员安排，未经许可不得擅自进入。</w:t>
      </w:r>
    </w:p>
    <w:p w14:paraId="3F2BD291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3.现场纪律：作业人员不得随意触碰医疗设备、管线、药品，不得干扰诊疗及陪护秩序，遵守医院安保、消防管理规定。</w:t>
      </w:r>
    </w:p>
    <w:p w14:paraId="155B4041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4.安全责任：乙方对测绘人员人身安全及仪器设备安全负全部责任；作业期间造成院区设施损坏、院感风险或医疗秩序干扰的，由乙方承担全部赔偿及责任。</w:t>
      </w:r>
    </w:p>
    <w:p w14:paraId="7D369D44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5.保密要求：乙方及全体作业人员对医院建筑布局、房间功能、设备点位及院区资料严格保密，不得向第三方泄露；项目结束后不得留存院方全套测绘成果。</w:t>
      </w:r>
    </w:p>
    <w:p w14:paraId="02ABA8EE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bookmarkStart w:id="12" w:name="heading_12"/>
    </w:p>
    <w:p w14:paraId="6F21EBE9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八、工期、成果审核与整改要求</w:t>
      </w:r>
      <w:bookmarkEnd w:id="12"/>
    </w:p>
    <w:p w14:paraId="285B065D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1.服务工期：合同签订后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120</w:t>
      </w:r>
      <w:r>
        <w:rPr>
          <w:rFonts w:hint="eastAsia" w:ascii="仿宋" w:hAnsi="仿宋" w:eastAsia="仿宋" w:cs="仿宋"/>
          <w:sz w:val="28"/>
          <w:szCs w:val="28"/>
        </w:rPr>
        <w:t>日历天内完成全部楼栋实测、绘图、面积核算及成果自检并提交初稿；初稿经采购人组织审核通过后提交正式终稿。</w:t>
      </w:r>
    </w:p>
    <w:p w14:paraId="63674E32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2.成果审核：采购人组织后勤、基建人员对图纸进行核查，内容包括尺寸、房间功能、面积及图层规范等。</w:t>
      </w:r>
    </w:p>
    <w:p w14:paraId="42FFEDE4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免费整改：成果存在错漏、尺寸偏差、房间名称标注错误、面积超差、图层混乱等问题的，乙方须在采购人指定时限内免费复测、修改并重新提交，直至验收合格；多次整改仍达不到要求的，采购人有权按合同条款追责。</w:t>
      </w:r>
    </w:p>
    <w:p w14:paraId="204A263A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bookmarkStart w:id="13" w:name="heading_13"/>
    </w:p>
    <w:p w14:paraId="21592D00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九、知识产权、保密及质保</w:t>
      </w:r>
      <w:bookmarkEnd w:id="13"/>
    </w:p>
    <w:p w14:paraId="4B15AD6C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•本项目全部测绘成果的使用权、归档管理权归采购人所有，乙方仅为本项目实施使用，不得挪作其他项目。</w:t>
      </w:r>
    </w:p>
    <w:p w14:paraId="43D9A8B8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•保密义务长期有效；项目结束后乙方应删除自有设备内全部项目原始数据及图纸备份。</w:t>
      </w:r>
    </w:p>
    <w:p w14:paraId="20335F7F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•质保期：自成果验收合格之日起【12个月】；质保期内因现场改造以外的实测错误、图纸错漏，乙方免费修正。</w:t>
      </w:r>
    </w:p>
    <w:p w14:paraId="439F980B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bookmarkStart w:id="14" w:name="heading_14"/>
    </w:p>
    <w:p w14:paraId="69C02DEA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十、验收标准</w:t>
      </w:r>
      <w:bookmarkEnd w:id="14"/>
    </w:p>
    <w:p w14:paraId="3F1EA502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同时满足以下条件视为验收合格：</w:t>
      </w:r>
    </w:p>
    <w:p w14:paraId="3311869C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1.全部楼层逐层实测完成，无漏测楼层、漏测房间；</w:t>
      </w:r>
    </w:p>
    <w:p w14:paraId="188D2C35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2.图纸符合制图规范及图层规范，面积误差≤1%；</w:t>
      </w:r>
    </w:p>
    <w:p w14:paraId="0070716F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3.房间功能标注与现场一致，尺寸、门窗、轴线信息完整；</w:t>
      </w:r>
    </w:p>
    <w:p w14:paraId="1A7AC458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4.全套交付资料齐全，并通过采购人审核确认。</w:t>
      </w:r>
    </w:p>
    <w:p w14:paraId="1794D6DD">
      <w:pPr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bookmarkStart w:id="15" w:name="heading_15"/>
    </w:p>
    <w:p w14:paraId="0D2172C4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十一、其他要求</w:t>
      </w:r>
      <w:bookmarkEnd w:id="15"/>
    </w:p>
    <w:p w14:paraId="21AA558C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1.采购人有权随机抽查部分楼层进行复核；如发现大面积未实测、直接套用旧图等情形，采购人有权不予验收、拒付款项并追究违约责任。</w:t>
      </w:r>
    </w:p>
    <w:p w14:paraId="1FAB38A9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2.本项目不允许转包、违法分包；一经发现，采购人有权终止合同。</w:t>
      </w:r>
    </w:p>
    <w:p w14:paraId="23825D37">
      <w:pPr>
        <w:spacing w:line="360" w:lineRule="auto"/>
        <w:ind w:firstLine="560" w:firstLineChars="20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8"/>
          <w:szCs w:val="28"/>
        </w:rPr>
        <w:t>3.未尽事宜由双方在合同中另行约定。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CECDC0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6EF58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B6495"/>
    <w:rsid w:val="2999071A"/>
    <w:rsid w:val="3DB51916"/>
    <w:rsid w:val="63414B40"/>
    <w:rsid w:val="6FE610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522</Words>
  <Characters>540</Characters>
  <TotalTime>26</TotalTime>
  <ScaleCrop>false</ScaleCrop>
  <LinksUpToDate>false</LinksUpToDate>
  <CharactersWithSpaces>540</CharactersWithSpaces>
  <Application>WPS Office_12.1.0.29680_F1E327BC-269C-435d-A152-05C5408002CA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2026-11-02T01:11:00Z</dcterms:created>
  <dc:creator>Apache POI</dc:creator>
  <cp:lastModifiedBy>南方医院总务处</cp:lastModifiedBy>
  <dcterms:modified xsi:type="dcterms:W3CDTF">2026-11-02T02:34:40Z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{"Label":"1","ContentProducer":"001191110102MACQD9K64010000","ProduceID":"7703375536622521626","ReservedCode1":"","ContentPropagator":"","PropagateID":"","ReservedCode2":""}</vt:lpwstr>
  </property>
  <property fmtid="{D5CDD505-2E9C-101B-9397-08002B2CF9AE}" pid="3" name="KSOTemplateDocerSaveRecord">
    <vt:lpwstr>eyJoZGlkIjoiZGE5YTVmZGQ1NzlkM2NiN2I1ZWNmZDY5MTRlNTc3MzgiLCJ1c2VySWQiOiI3NDY1Mzk5MzgifQ==</vt:lpwstr>
  </property>
  <property fmtid="{D5CDD505-2E9C-101B-9397-08002B2CF9AE}" pid="4" name="KSOProductBuildVer">
    <vt:lpwstr>2052-12.1.0.29680</vt:lpwstr>
  </property>
  <property fmtid="{D5CDD505-2E9C-101B-9397-08002B2CF9AE}" pid="5" name="ICV">
    <vt:lpwstr>9EF1090D01C44951825DBA41395AD78A_13</vt:lpwstr>
  </property>
</Properties>
</file>