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4C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</w:p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  <w:lang w:val="en-US" w:eastAsia="zh-CN"/>
        </w:rPr>
        <w:t>病理科甲醛、二甲苯浓度检测服务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*名称：室内空气甲醛、二甲苯浓度检测服务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*数量及单位：14个点(染色室，包埋室，切片室，细胞室，诊断室，冰冻切片室各检测1个点位；取材室检测2个点位；两间档案室共检6个点位）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</w:t>
      </w:r>
    </w:p>
    <w:p w14:paraId="039DF33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/ 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设置参考品牌理由：/</w:t>
      </w:r>
    </w:p>
    <w:p w14:paraId="382DB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4FAF1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010C1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2ED15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服务内容：室内空气中甲醛、二甲苯浓度检测</w:t>
      </w:r>
    </w:p>
    <w:p w14:paraId="1AA72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标准:依据室内空气质量标准 GB/T 18883-2022 ；</w:t>
      </w:r>
    </w:p>
    <w:p w14:paraId="78881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资质要求：CNAS资质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13863BE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：南方医科大学南方医院病理科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*售后服务要求：/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质保内容：/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1417D06F">
      <w:pPr>
        <w:rPr>
          <w:rFonts w:hint="eastAsia" w:ascii="楷体" w:hAnsi="楷体" w:eastAsia="楷体" w:cs="楷体"/>
          <w:sz w:val="24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10324CBF"/>
    <w:rsid w:val="115C4B60"/>
    <w:rsid w:val="21984105"/>
    <w:rsid w:val="21BD4FF5"/>
    <w:rsid w:val="280C7064"/>
    <w:rsid w:val="3FC217B1"/>
    <w:rsid w:val="483E6688"/>
    <w:rsid w:val="484E3426"/>
    <w:rsid w:val="58247D93"/>
    <w:rsid w:val="59EF1EB9"/>
    <w:rsid w:val="68EF3567"/>
    <w:rsid w:val="78F40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473</Words>
  <Characters>490</Characters>
  <Lines>2</Lines>
  <Paragraphs>1</Paragraphs>
  <TotalTime>38</TotalTime>
  <ScaleCrop>false</ScaleCrop>
  <LinksUpToDate>false</LinksUpToDate>
  <CharactersWithSpaces>745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2026-09-04T00:36:52Z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BF0667C0839C4025BF4FDEEFA3FED34F_13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