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725646">
      <w:pPr>
        <w:spacing w:line="360" w:lineRule="auto"/>
        <w:jc w:val="cente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南方医科大学中西医结合医院</w:t>
      </w:r>
    </w:p>
    <w:p w14:paraId="0C5D53A7">
      <w:pPr>
        <w:spacing w:line="360" w:lineRule="auto"/>
        <w:jc w:val="cente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国有资产管理体系建设项目需求书</w:t>
      </w:r>
    </w:p>
    <w:p w14:paraId="651250CF">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7CCBCBA4">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一、项目概述</w:t>
      </w:r>
    </w:p>
    <w:p w14:paraId="27BB710F">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1.1项目背景</w:t>
      </w:r>
    </w:p>
    <w:p w14:paraId="743B3239">
      <w:pPr>
        <w:widowControl/>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本项目旨在健全医院国有资产管理模式、加强制度建设、理清产权关系、优化工作流程、做好资产台账、摸清固定资产使用情况、加强资产管理信息系统建设，落实</w:t>
      </w:r>
      <w:r>
        <w:rPr>
          <w:rFonts w:ascii="宋体" w:hAnsi="宋体" w:eastAsia="宋体" w:cs="宋体"/>
          <w:color w:val="000000" w:themeColor="text1"/>
          <w:sz w:val="24"/>
          <w:highlight w:val="none"/>
          <w14:textFill>
            <w14:solidFill>
              <w14:schemeClr w14:val="tx1"/>
            </w14:solidFill>
          </w14:textFill>
        </w:rPr>
        <w:t>《行政事业性国有资产管理条例》</w:t>
      </w:r>
      <w:r>
        <w:rPr>
          <w:rFonts w:hint="eastAsia" w:ascii="宋体" w:hAnsi="宋体" w:eastAsia="宋体" w:cs="宋体"/>
          <w:color w:val="000000" w:themeColor="text1"/>
          <w:sz w:val="24"/>
          <w:highlight w:val="none"/>
          <w14:textFill>
            <w14:solidFill>
              <w14:schemeClr w14:val="tx1"/>
            </w14:solidFill>
          </w14:textFill>
        </w:rPr>
        <w:t>及</w:t>
      </w:r>
      <w:r>
        <w:rPr>
          <w:rFonts w:ascii="宋体" w:hAnsi="宋体" w:eastAsia="宋体" w:cs="宋体"/>
          <w:color w:val="000000" w:themeColor="text1"/>
          <w:sz w:val="24"/>
          <w:highlight w:val="none"/>
          <w14:textFill>
            <w14:solidFill>
              <w14:schemeClr w14:val="tx1"/>
            </w14:solidFill>
          </w14:textFill>
        </w:rPr>
        <w:t>《广东省行政事业性国有资产管理办法（试行）》</w:t>
      </w:r>
      <w:r>
        <w:rPr>
          <w:rFonts w:hint="eastAsia" w:ascii="宋体" w:hAnsi="宋体" w:eastAsia="宋体" w:cs="宋体"/>
          <w:color w:val="000000" w:themeColor="text1"/>
          <w:sz w:val="24"/>
          <w:highlight w:val="none"/>
          <w14:textFill>
            <w14:solidFill>
              <w14:schemeClr w14:val="tx1"/>
            </w14:solidFill>
          </w14:textFill>
        </w:rPr>
        <w:t>提出的要求</w:t>
      </w:r>
      <w:r>
        <w:rPr>
          <w:rFonts w:hint="eastAsia" w:ascii="宋体" w:hAnsi="宋体" w:eastAsia="宋体" w:cs="宋体"/>
          <w:color w:val="000000" w:themeColor="text1"/>
          <w:kern w:val="0"/>
          <w:sz w:val="24"/>
          <w:highlight w:val="none"/>
          <w:lang w:bidi="ar"/>
          <w14:textFill>
            <w14:solidFill>
              <w14:schemeClr w14:val="tx1"/>
            </w14:solidFill>
          </w14:textFill>
        </w:rPr>
        <w:t>。</w:t>
      </w:r>
    </w:p>
    <w:p w14:paraId="06E846BB">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1.2项目目标</w:t>
      </w:r>
    </w:p>
    <w:p w14:paraId="2C63694C">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固定资产管理体系建设，按照上级有关国有资产管理政策文件要求，建立健全符合医院实际的国有资产管理制度与内部管理流程（包含配置、验收、登记、领用、调拨、清查盘点、报废、处置等环节），并形成相应表单（包括但不限于资产配置申请表、资产验收单、资产领用登记表、资产调拨单、资产处置申请表、固定资产盘点明细表、盘点差异记录单、资产清查汇总表、资产台账等）与工作流程图。</w:t>
      </w:r>
    </w:p>
    <w:p w14:paraId="278BF641">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（2）固定资产信息可视化管理，包括但不限于固定资产标签（条形码、二维码及射频识别等）、标签打印设备、以及固定资产信息采集终端等。</w:t>
      </w:r>
    </w:p>
    <w:p w14:paraId="78CC3A66">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固定资产清查盘点，建立符合医院实际的分类规则，确保账证相符、账实相符、账表相符、账账相符，并出具专项审计报告。对低效资产，提供调剂、共享等方式提升资产使用效率，减少资源浪费，促进医院资产高效周转。输出年度国有资产分析报告、年度固定资产分析报告等资产报告，完成广东省行政事业性资产管理系统的年度报表上报工作。</w:t>
      </w:r>
    </w:p>
    <w:p w14:paraId="40E3E592">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（4）固定资产处置，提供清查盘点后拟报废固定资产的专业处置报告，并按需提供固定资产的技术鉴定与资产评估服务。</w:t>
      </w:r>
    </w:p>
    <w:p w14:paraId="03B1B83A">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（5）提供大型专用设备经济效益分析模型与方法，并对医院10台大型专用设备（原值≥50万元）进行数据分析与验证，并制定优化方案。</w:t>
      </w:r>
    </w:p>
    <w:p w14:paraId="2E28A069">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（6）在项目实施过程中开展相应的培训，提供日常顾问支持。</w:t>
      </w:r>
    </w:p>
    <w:p w14:paraId="4C361681">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（7）制定评价实施方案，开展有效性评价，并不断跟踪完善。</w:t>
      </w:r>
    </w:p>
    <w:p w14:paraId="146DBC8E">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二、服务内容与要求</w:t>
      </w:r>
    </w:p>
    <w:p w14:paraId="28864F38">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2.1固定资产管理体系建设</w:t>
      </w:r>
    </w:p>
    <w:p w14:paraId="3ABD6123">
      <w:pPr>
        <w:widowControl/>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全面梳理医院国有资产管理的现有组织架构，系统评估职能配置与运行实效；在此基础上，调整优化架构设计，厘清各部门及岗位的工作职责与权责边界，构建权责对等、运转协调、监督有力的四级组织管理体系（管理委员会-管理部门-归口部门-使用科室）。</w:t>
      </w:r>
    </w:p>
    <w:p w14:paraId="537D779E">
      <w:pPr>
        <w:widowControl/>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系统梳理医院现行国有资产管理制度文件，访谈资产管理相关部门，评估医院资产管理现状，识别存在的问题。并根据上级有关国有资产管理政策文件要求，建立一套权责明晰、流程规范，且符合医院实际运营需求和内部控制要求的国有资产管理制度体系，包括制定《医院国有资产管理办法》总纲，围绕固定资产、无形资产、在建工程、出租出借等重点领域，配套出台配置预算管理、验收入库管理、卡片标签管理、使用保管、资产交接、共享共用、处置管理等细则。</w:t>
      </w:r>
    </w:p>
    <w:p w14:paraId="7184FE63">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规范国有资产内部管理流程，包括理顺国有资产管理配置、验收、登记、领用、调拨、清查盘点、报废、处置等环节的工作业务流程，并形成相应表单（包括但不限于资产配置申请表、资产验收单、资产领用登记表、资产调拨单、资产处置申请表、固定资产盘点明细表、盘点差异记录单、资产清查汇总表、资产台账等）与工作流程图。</w:t>
      </w:r>
    </w:p>
    <w:p w14:paraId="179A53D5">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（4）围绕国有资产全生命周期管理，对接</w:t>
      </w:r>
      <w:r>
        <w:rPr>
          <w:rFonts w:hint="eastAsia" w:ascii="宋体" w:hAnsi="宋体" w:eastAsia="宋体" w:cs="宋体"/>
          <w:color w:val="000000" w:themeColor="text1"/>
          <w:sz w:val="24"/>
          <w:highlight w:val="none"/>
          <w:lang w:val="en-US" w:eastAsia="zh-CN"/>
          <w14:textFill>
            <w14:solidFill>
              <w14:schemeClr w14:val="tx1"/>
            </w14:solidFill>
          </w14:textFill>
        </w:rPr>
        <w:t>省财厅国有</w:t>
      </w:r>
      <w:r>
        <w:rPr>
          <w:rFonts w:hint="eastAsia" w:ascii="宋体" w:hAnsi="宋体" w:eastAsia="宋体" w:cs="宋体"/>
          <w:color w:val="000000" w:themeColor="text1"/>
          <w:sz w:val="24"/>
          <w:highlight w:val="none"/>
          <w14:textFill>
            <w14:solidFill>
              <w14:schemeClr w14:val="tx1"/>
            </w14:solidFill>
          </w14:textFill>
        </w:rPr>
        <w:t>资产管理系统</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制定信息化建设方案。搭建标准化跨单位数据互通服务，补齐盘点自动对账、大型设备效益统计、报废资产台账管理、线上审批等功能</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实现</w:t>
      </w:r>
      <w:r>
        <w:rPr>
          <w:rFonts w:hint="eastAsia" w:ascii="宋体" w:hAnsi="宋体" w:eastAsia="宋体" w:cs="宋体"/>
          <w:color w:val="000000" w:themeColor="text1"/>
          <w:sz w:val="24"/>
          <w:highlight w:val="none"/>
          <w14:textFill>
            <w14:solidFill>
              <w14:schemeClr w14:val="tx1"/>
            </w14:solidFill>
          </w14:textFill>
        </w:rPr>
        <w:t>自动比对财务账与资产实物数据、自动生成盘点报表、大型设备效益数据自动归集、全流程操作日志留存、电子档案自动归档</w:t>
      </w:r>
      <w:r>
        <w:rPr>
          <w:rFonts w:hint="eastAsia" w:ascii="宋体" w:hAnsi="宋体" w:eastAsia="宋体" w:cs="宋体"/>
          <w:color w:val="000000" w:themeColor="text1"/>
          <w:sz w:val="24"/>
          <w:highlight w:val="none"/>
          <w:lang w:val="en-US" w:eastAsia="zh-CN"/>
          <w14:textFill>
            <w14:solidFill>
              <w14:schemeClr w14:val="tx1"/>
            </w14:solidFill>
          </w14:textFill>
        </w:rPr>
        <w:t>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打通与财务核算系统、广东省行政事业性资产管理系统的数据互通通道，实现资产数据自动同步、一键上报。</w:t>
      </w:r>
    </w:p>
    <w:p w14:paraId="098C0C40">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2.2固定资产信息可视化管理</w:t>
      </w:r>
    </w:p>
    <w:p w14:paraId="75163681">
      <w:pPr>
        <w:widowControl/>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按照一物一卡一码的要求，提供统一的固定资产标签（条形码、二维码或射频识别等），标签材质应适应医疗机构工作环境（耐磨、耐酒精擦拭、不易脱落）下长期（不少于1年）使用，并提供不少于1套的资产标签打印设备，及不少于4套的固定资产信息采集终端设备，满足医院固定资产标签打印及日常管理。</w:t>
      </w:r>
    </w:p>
    <w:p w14:paraId="1B4C073E">
      <w:pPr>
        <w:widowControl/>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（2）构建1套标签管理系统，该系统需与医院财务系统有效对接，并能与广东省行政事业性资产管理系统有效对接。</w:t>
      </w:r>
    </w:p>
    <w:p w14:paraId="009BC993">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2.3固定资产清查盘点</w:t>
      </w:r>
    </w:p>
    <w:p w14:paraId="00B0B64F">
      <w:pPr>
        <w:widowControl/>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在规定时间内，完成医院固定资产（涉及房屋及构筑物、专用设备、通用设备、家具用具等大类）的全面清查盘点，包括但不限于核实固定资产的基础信息（名称、规格型号、编号编码、注册证号、出厂信息、厂家信息、时间信息、使用科室及负责人、存放地点、业务场地面积等）、数量、价值、使用状况、调拨记录及权属关系等。对以上大类资产清查盘点中，可以根据归口管理部门需求，对其管辖的固定资产进行进一步分类建立台账。对盘盈、盘亏、标签缺失、信息错误等情形进行逐一标记、分类统计，匹配固定资产财务账与归口管理部门实物账，</w:t>
      </w:r>
      <w:r>
        <w:rPr>
          <w:rFonts w:ascii="宋体" w:hAnsi="宋体" w:eastAsia="宋体" w:cs="宋体"/>
          <w:color w:val="000000" w:themeColor="text1"/>
          <w:sz w:val="24"/>
          <w:highlight w:val="none"/>
          <w14:textFill>
            <w14:solidFill>
              <w14:schemeClr w14:val="tx1"/>
            </w14:solidFill>
          </w14:textFill>
        </w:rPr>
        <w:t>每</w:t>
      </w:r>
      <w:r>
        <w:rPr>
          <w:rFonts w:hint="eastAsia" w:ascii="宋体" w:hAnsi="宋体" w:eastAsia="宋体" w:cs="宋体"/>
          <w:color w:val="000000" w:themeColor="text1"/>
          <w:sz w:val="24"/>
          <w:highlight w:val="none"/>
          <w14:textFill>
            <w14:solidFill>
              <w14:schemeClr w14:val="tx1"/>
            </w14:solidFill>
          </w14:textFill>
        </w:rPr>
        <w:t>件资产</w:t>
      </w:r>
      <w:r>
        <w:rPr>
          <w:rFonts w:ascii="宋体" w:hAnsi="宋体" w:eastAsia="宋体" w:cs="宋体"/>
          <w:color w:val="000000" w:themeColor="text1"/>
          <w:sz w:val="24"/>
          <w:highlight w:val="none"/>
          <w14:textFill>
            <w14:solidFill>
              <w14:schemeClr w14:val="tx1"/>
            </w14:solidFill>
          </w14:textFill>
        </w:rPr>
        <w:t>至少拍整机照</w:t>
      </w:r>
      <w:r>
        <w:rPr>
          <w:rFonts w:hint="eastAsia" w:ascii="宋体" w:hAnsi="宋体" w:eastAsia="宋体" w:cs="宋体"/>
          <w:color w:val="000000" w:themeColor="text1"/>
          <w:sz w:val="24"/>
          <w:highlight w:val="none"/>
          <w14:textFill>
            <w14:solidFill>
              <w14:schemeClr w14:val="tx1"/>
            </w14:solidFill>
          </w14:textFill>
        </w:rPr>
        <w:t>与</w:t>
      </w:r>
      <w:r>
        <w:rPr>
          <w:rFonts w:ascii="宋体" w:hAnsi="宋体" w:eastAsia="宋体" w:cs="宋体"/>
          <w:color w:val="000000" w:themeColor="text1"/>
          <w:sz w:val="24"/>
          <w:highlight w:val="none"/>
          <w14:textFill>
            <w14:solidFill>
              <w14:schemeClr w14:val="tx1"/>
            </w14:solidFill>
          </w14:textFill>
        </w:rPr>
        <w:t>铭牌照2张；铭牌信息须清晰可辨，照片命名与资产编号关联</w:t>
      </w:r>
      <w:r>
        <w:rPr>
          <w:rFonts w:hint="eastAsia" w:ascii="宋体" w:hAnsi="宋体" w:eastAsia="宋体" w:cs="宋体"/>
          <w:color w:val="000000" w:themeColor="text1"/>
          <w:sz w:val="24"/>
          <w:highlight w:val="none"/>
          <w14:textFill>
            <w14:solidFill>
              <w14:schemeClr w14:val="tx1"/>
            </w14:solidFill>
          </w14:textFill>
        </w:rPr>
        <w:t>。对标签缺失和资产信息有误的信息进行标签与信息的更新。汇总形成资料包括但不限于医院固定资产分类说明、医院固定资产实物盘点明细表（含差异标注）、固定资产照片资料等。</w:t>
      </w:r>
    </w:p>
    <w:p w14:paraId="5FA539CB">
      <w:pPr>
        <w:widowControl/>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对清查盘点完毕的资产建立符合医院实际的分类规则，按照各类别详细说明问题与建设性意见，对低效资产提出使用效率优化方案，最终形成《医院固定资产清查盘点报告》，作为整改的重要参考依据。重点针对医院积压老旧的固定资产合规处置。</w:t>
      </w:r>
    </w:p>
    <w:p w14:paraId="2E72C6C3">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（3）在规定时间内，出具《固定资产清理核查专项审计报告》及所有工作底稿数据，报告须由具备审计资质的项目负责人签字确认，并符合医院及上级监管部门的检查要求。</w:t>
      </w:r>
    </w:p>
    <w:p w14:paraId="3F8873F5">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（4）在规定时间内，出具《医院年度国有资产分析报告》、《医院年度固定资产分析报告》等，并完成广东省行政事业性资产管理系统的</w:t>
      </w:r>
      <w:r>
        <w:rPr>
          <w:rFonts w:hint="eastAsia"/>
          <w:color w:val="000000" w:themeColor="text1"/>
          <w:sz w:val="24"/>
          <w:highlight w:val="none"/>
          <w14:textFill>
            <w14:solidFill>
              <w14:schemeClr w14:val="tx1"/>
            </w14:solidFill>
          </w14:textFill>
        </w:rPr>
        <w:t>年度报表上报</w:t>
      </w:r>
      <w:r>
        <w:rPr>
          <w:rFonts w:hint="eastAsia" w:ascii="宋体" w:hAnsi="宋体" w:eastAsia="宋体" w:cs="宋体"/>
          <w:color w:val="000000" w:themeColor="text1"/>
          <w:sz w:val="24"/>
          <w:highlight w:val="none"/>
          <w14:textFill>
            <w14:solidFill>
              <w14:schemeClr w14:val="tx1"/>
            </w14:solidFill>
          </w14:textFill>
        </w:rPr>
        <w:t>工作。</w:t>
      </w:r>
    </w:p>
    <w:p w14:paraId="1463D152">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（5）固定资产清查盘点实现账、卡、物、省系统四账相符，年度盘点误差≤1%。</w:t>
      </w:r>
    </w:p>
    <w:p w14:paraId="552CF47D">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2.4固定资产处置</w:t>
      </w:r>
    </w:p>
    <w:p w14:paraId="5DF0C55D">
      <w:pPr>
        <w:widowControl/>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提供清查盘点后拟报废固定资产的专业处置报告，对经医院及主管部门确认拟报废的资产，提供单项或批量的技术鉴定与资产评估服务，出具规范的《技术鉴定报告》和《资产评估报告》，用于资产处置审批及账务核销。</w:t>
      </w:r>
    </w:p>
    <w:p w14:paraId="62469830">
      <w:pPr>
        <w:widowControl/>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鉴定与评估方法应符合行政事业单位国有资产管理及评估准则要求。</w:t>
      </w:r>
    </w:p>
    <w:p w14:paraId="6A1B965C">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2.5大型专用设备经济效益分析方法构建与验证</w:t>
      </w:r>
    </w:p>
    <w:p w14:paraId="48482697">
      <w:pPr>
        <w:widowControl/>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提供大型专用设备经济效益分析模型与方法，并对医院10台大型专用设备（原值≥50万元）进行数据分析与验证，制定优化方案，并输出《大型设备效益分析报告》。</w:t>
      </w:r>
    </w:p>
    <w:p w14:paraId="14D22FF9">
      <w:pPr>
        <w:widowControl/>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针对每台（类）设备进行分析，至少应包括以下指标：</w:t>
      </w:r>
    </w:p>
    <w:p w14:paraId="0406F043">
      <w:pPr>
        <w:widowControl/>
        <w:spacing w:line="360" w:lineRule="auto"/>
        <w:ind w:left="420" w:left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（1）使用率（例：实际机时/标准机时）；</w:t>
      </w:r>
    </w:p>
    <w:p w14:paraId="241DFE33">
      <w:pPr>
        <w:widowControl/>
        <w:spacing w:line="360" w:lineRule="auto"/>
        <w:ind w:left="420" w:left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（2）闲置率及闲置原因；</w:t>
      </w:r>
    </w:p>
    <w:p w14:paraId="0120C432">
      <w:pPr>
        <w:widowControl/>
        <w:spacing w:line="360" w:lineRule="auto"/>
        <w:ind w:left="420" w:left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（3）经济效益评估及投资回报周期；</w:t>
      </w:r>
    </w:p>
    <w:p w14:paraId="53D803D5">
      <w:pPr>
        <w:widowControl/>
        <w:spacing w:line="360" w:lineRule="auto"/>
        <w:ind w:left="420" w:left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（4）社会效益（如服务患者人次、检查阳性率等）；</w:t>
      </w:r>
    </w:p>
    <w:p w14:paraId="1D42BB9A">
      <w:pPr>
        <w:widowControl/>
        <w:spacing w:line="360" w:lineRule="auto"/>
        <w:ind w:left="420" w:left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（5）输出《大型设备效益分析报告》，提出设备调配、共享或处置建议。</w:t>
      </w:r>
    </w:p>
    <w:p w14:paraId="6C6BA59A">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2.6培训与顾问支持</w:t>
      </w:r>
    </w:p>
    <w:p w14:paraId="45D3477E">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（1）项目实施过程中，提供日常顾问支持，辅助推进项目整体建设。针对体系建设和落地中出现的实际问题，提供专家会诊与专项指导，推动项目建设有效进行，管理体系平稳运行与持续改进。</w:t>
      </w:r>
    </w:p>
    <w:p w14:paraId="3D230003">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围绕资产管理全生命周期，开展分层级、分岗位的定制化培训。培训内容涵盖国家及地方最新资产管理政策解读、院内制度细则讲解、资产使用及处置操作规范等，力求通过理论与实践结合，规范资产管理行为，提高全院职工的资产管理意识和履职能力。</w:t>
      </w:r>
    </w:p>
    <w:p w14:paraId="756304F8">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2.7评价实施方案</w:t>
      </w:r>
    </w:p>
    <w:p w14:paraId="1A7BBFD9">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制定合理的资产管理评价实施方案，构建资产管理评价指标体系，组织开展资产管理体系运行情况的有效性评价。依据评价结论明确持续改进方向，建立跟踪完善机制，确保问题发现即整改、整改必闭环；同时，将行之有效的改进措施予以固化，形成资产管理长效机制，推动管理体系持续优化运行。</w:t>
      </w:r>
    </w:p>
    <w:p w14:paraId="17313A50">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三、项目交付成果清单</w:t>
      </w:r>
    </w:p>
    <w:p w14:paraId="0F349FB5">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套完整的医院国有资产管理制度体系文件，具体包括：《医院国有资产管理办法》总纲，各项配套管理细则，涵盖资产全生命周期管理的等各环节；资产管理组织体系文件，明确决策机构、管理部门、归口部门、使用部门及岗位的职责分工与权限；配套内部管理流程汇编，包含各项业务操作流程、对应工作流程图及全套标准化表单；国有资产全生命周期管理的信息化建设方案。</w:t>
      </w:r>
    </w:p>
    <w:p w14:paraId="66E93BB0">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（2）1套标签管理系统，若干固定资产标签，不少于1套的资产标签打印设备，不少于3套的固定资产信息采集终端设备，以上均含操作说明。基于清查盘点完成全院固定资产标签更新。</w:t>
      </w:r>
    </w:p>
    <w:p w14:paraId="54F229DB">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输出全院固定资产实物盘点明细表（含差异标注）、《医院固定资产清查盘点报告》、《固定资产清理核查专项审计报告》、《医院年度国有资产分析报告》、《医院年度固定资产分析报告》等，完成广东省行政事业性资产管理系统的</w:t>
      </w:r>
      <w:r>
        <w:rPr>
          <w:rFonts w:hint="eastAsia"/>
          <w:color w:val="000000" w:themeColor="text1"/>
          <w:sz w:val="24"/>
          <w:highlight w:val="none"/>
          <w14:textFill>
            <w14:solidFill>
              <w14:schemeClr w14:val="tx1"/>
            </w14:solidFill>
          </w14:textFill>
        </w:rPr>
        <w:t>年度报表上报</w:t>
      </w:r>
      <w:r>
        <w:rPr>
          <w:rFonts w:hint="eastAsia" w:ascii="宋体" w:hAnsi="宋体" w:eastAsia="宋体" w:cs="宋体"/>
          <w:color w:val="000000" w:themeColor="text1"/>
          <w:sz w:val="24"/>
          <w:highlight w:val="none"/>
          <w14:textFill>
            <w14:solidFill>
              <w14:schemeClr w14:val="tx1"/>
            </w14:solidFill>
          </w14:textFill>
        </w:rPr>
        <w:t>工作。</w:t>
      </w:r>
    </w:p>
    <w:p w14:paraId="165FF9B9">
      <w:pPr>
        <w:widowControl/>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（4）出具拟报废固定资产的专业处置报告，对经医院及主管部门确认拟报废的资产，出具规范的《技术鉴定报告》和《资产评估报告》。</w:t>
      </w:r>
    </w:p>
    <w:p w14:paraId="6D89B217">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（5）输出《大型专用设备经济效益分析模型与方法指引》及《大型设备效益分析报告》。</w:t>
      </w:r>
    </w:p>
    <w:p w14:paraId="71DE888E">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（6）输出培训方案与员工应知应会手册。</w:t>
      </w:r>
    </w:p>
    <w:p w14:paraId="218DE47A">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（7）输出《资产管理评价实施方案》。</w:t>
      </w:r>
    </w:p>
    <w:p w14:paraId="7B67B938">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四、时间进度要求</w:t>
      </w:r>
    </w:p>
    <w:p w14:paraId="571EC150">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项目总周期为自合同签订后</w:t>
      </w:r>
      <w:r>
        <w:rPr>
          <w:rFonts w:hint="eastAsia" w:ascii="宋体" w:hAnsi="宋体" w:eastAsia="宋体" w:cs="宋体"/>
          <w:color w:val="000000" w:themeColor="text1"/>
          <w:sz w:val="24"/>
          <w:highlight w:val="none"/>
          <w:lang w:val="en-US" w:eastAsia="zh-CN"/>
          <w14:textFill>
            <w14:solidFill>
              <w14:schemeClr w14:val="tx1"/>
            </w14:solidFill>
          </w14:textFill>
        </w:rPr>
        <w:t>12-15</w:t>
      </w:r>
      <w:r>
        <w:rPr>
          <w:rFonts w:hint="eastAsia" w:ascii="宋体" w:hAnsi="宋体" w:eastAsia="宋体" w:cs="宋体"/>
          <w:color w:val="000000" w:themeColor="text1"/>
          <w:sz w:val="24"/>
          <w:highlight w:val="none"/>
          <w14:textFill>
            <w14:solidFill>
              <w14:schemeClr w14:val="tx1"/>
            </w14:solidFill>
          </w14:textFill>
        </w:rPr>
        <w:t>个月内完成。</w:t>
      </w:r>
    </w:p>
    <w:p w14:paraId="3DA81ABF">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五、对服务商资格要求</w:t>
      </w:r>
    </w:p>
    <w:p w14:paraId="249F18A0">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1.供应商的基本资格条件：供应商必须是在中华人民共和国境内注册登记的法人、其他组织或者自然人，且应当符合《政府采购法》第二十二条第一款的规定，即： </w:t>
      </w:r>
    </w:p>
    <w:p w14:paraId="3B0045A7">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（1）具有独立承担民事行为责任的能力。</w:t>
      </w:r>
    </w:p>
    <w:p w14:paraId="365B98DD">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（2）具有良好的商业信誉和健全的财务会计制度。</w:t>
      </w:r>
    </w:p>
    <w:p w14:paraId="2CA6FD36">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（3）具有履行合同所必需的设备和专业技术能力。</w:t>
      </w:r>
    </w:p>
    <w:p w14:paraId="4DB9B597">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（4）有依法缴纳税收和社会保障资金的良好记录。</w:t>
      </w:r>
    </w:p>
    <w:p w14:paraId="39E4EAB9">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（5）参加政府采购活动前三年内，在经营活动中没有重大违法记录。</w:t>
      </w:r>
    </w:p>
    <w:p w14:paraId="6A44F597">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（6）法律、行政法规规定的其他条件。</w:t>
      </w:r>
    </w:p>
    <w:p w14:paraId="42ECB7C9">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2.特定资格条件：</w:t>
      </w:r>
    </w:p>
    <w:p w14:paraId="4F857606">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① 未被“信用中国”“中国政府采购网”列入失信被执行人、重大税收违法失信主体、政府采购严重违法失信行为记录名单。</w:t>
      </w:r>
    </w:p>
    <w:p w14:paraId="77FB53DC">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② 单位负责人为同一人或者存在直接控股、管理关系的不同供应商， 不得参加同一合同项下的采购活动。</w:t>
      </w:r>
    </w:p>
    <w:p w14:paraId="3C4EB6E8">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3.本项目不接受联合体投标，不接受转包、违法分包。</w:t>
      </w:r>
    </w:p>
    <w:p w14:paraId="7E650860">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4.行业经验：提供近3年内3个及以上三甲公立医院或事业单位的固定资产清查或审计项目业绩证明材料（须提供加盖公章的合同复印件作为证明材料）。</w:t>
      </w:r>
    </w:p>
    <w:p w14:paraId="1EED3045">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5.提供中小企业声明函（格式自拟）</w:t>
      </w:r>
    </w:p>
    <w:p w14:paraId="3B962409">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六、</w:t>
      </w:r>
      <w:r>
        <w:rPr>
          <w:rFonts w:hint="eastAsia" w:ascii="宋体" w:hAnsi="宋体" w:eastAsia="宋体" w:cs="宋体"/>
          <w:color w:val="000000" w:themeColor="text1"/>
          <w:sz w:val="24"/>
          <w:highlight w:val="none"/>
          <w14:textFill>
            <w14:solidFill>
              <w14:schemeClr w14:val="tx1"/>
            </w14:solidFill>
          </w14:textFill>
        </w:rPr>
        <w:t>实施</w:t>
      </w:r>
      <w:r>
        <w:rPr>
          <w:rFonts w:ascii="宋体" w:hAnsi="宋体" w:eastAsia="宋体" w:cs="宋体"/>
          <w:color w:val="000000" w:themeColor="text1"/>
          <w:sz w:val="24"/>
          <w:highlight w:val="none"/>
          <w14:textFill>
            <w14:solidFill>
              <w14:schemeClr w14:val="tx1"/>
            </w14:solidFill>
          </w14:textFill>
        </w:rPr>
        <w:t>要求</w:t>
      </w:r>
    </w:p>
    <w:p w14:paraId="09F14E9B">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1.本次招标采购内容为国有资产管理体系建设项目（具体要求详见“</w:t>
      </w:r>
      <w:r>
        <w:rPr>
          <w:rFonts w:hint="eastAsia" w:ascii="宋体" w:hAnsi="宋体" w:eastAsia="宋体" w:cs="宋体"/>
          <w:color w:val="000000" w:themeColor="text1"/>
          <w:sz w:val="24"/>
          <w:highlight w:val="none"/>
          <w:lang w:val="en-US" w:eastAsia="zh-CN"/>
          <w14:textFill>
            <w14:solidFill>
              <w14:schemeClr w14:val="tx1"/>
            </w14:solidFill>
          </w14:textFill>
        </w:rPr>
        <w:t>服务内容及</w:t>
      </w:r>
      <w:r>
        <w:rPr>
          <w:rFonts w:hint="eastAsia" w:ascii="宋体" w:hAnsi="宋体" w:eastAsia="宋体" w:cs="宋体"/>
          <w:color w:val="000000" w:themeColor="text1"/>
          <w:sz w:val="24"/>
          <w:highlight w:val="none"/>
          <w14:textFill>
            <w14:solidFill>
              <w14:schemeClr w14:val="tx1"/>
            </w14:solidFill>
          </w14:textFill>
        </w:rPr>
        <w:t>要求”）。投标人不得将本项目中的内容拆散来投标。</w:t>
      </w:r>
    </w:p>
    <w:p w14:paraId="096141EA">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2.投标报价应为人民币含税全包价，包括咨询服务、</w:t>
      </w:r>
      <w:r>
        <w:rPr>
          <w:rFonts w:hint="eastAsia" w:ascii="宋体" w:hAnsi="宋体" w:eastAsia="宋体" w:cs="宋体"/>
          <w:color w:val="000000" w:themeColor="text1"/>
          <w:sz w:val="24"/>
          <w:highlight w:val="none"/>
          <w:lang w:val="en-US" w:eastAsia="zh-CN"/>
          <w14:textFill>
            <w14:solidFill>
              <w14:schemeClr w14:val="tx1"/>
            </w14:solidFill>
          </w14:textFill>
        </w:rPr>
        <w:t>资产盘点</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培训等一切费用。</w:t>
      </w:r>
    </w:p>
    <w:p w14:paraId="732A6AEC">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3.服务期：自项目合同签订之日起</w:t>
      </w:r>
      <w:r>
        <w:rPr>
          <w:rFonts w:hint="eastAsia" w:ascii="宋体" w:hAnsi="宋体" w:eastAsia="宋体" w:cs="宋体"/>
          <w:color w:val="000000" w:themeColor="text1"/>
          <w:sz w:val="24"/>
          <w:highlight w:val="none"/>
          <w:lang w:val="en-US" w:eastAsia="zh-CN"/>
          <w14:textFill>
            <w14:solidFill>
              <w14:schemeClr w14:val="tx1"/>
            </w14:solidFill>
          </w14:textFill>
        </w:rPr>
        <w:t>12-15</w:t>
      </w:r>
      <w:r>
        <w:rPr>
          <w:rFonts w:hint="eastAsia" w:ascii="宋体" w:hAnsi="宋体" w:eastAsia="宋体" w:cs="宋体"/>
          <w:color w:val="000000" w:themeColor="text1"/>
          <w:sz w:val="24"/>
          <w:highlight w:val="none"/>
          <w14:textFill>
            <w14:solidFill>
              <w14:schemeClr w14:val="tx1"/>
            </w14:solidFill>
          </w14:textFill>
        </w:rPr>
        <w:t>个月内完成。</w:t>
      </w:r>
    </w:p>
    <w:p w14:paraId="3D54D36D">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w:t>
      </w:r>
      <w:r>
        <w:rPr>
          <w:rFonts w:ascii="宋体" w:hAnsi="宋体" w:eastAsia="宋体" w:cs="宋体"/>
          <w:color w:val="000000" w:themeColor="text1"/>
          <w:sz w:val="24"/>
          <w:highlight w:val="none"/>
          <w14:textFill>
            <w14:solidFill>
              <w14:schemeClr w14:val="tx1"/>
            </w14:solidFill>
          </w14:textFill>
        </w:rPr>
        <w:t>盘点资产数据基准日：</w:t>
      </w:r>
      <w:r>
        <w:rPr>
          <w:rFonts w:hint="eastAsia" w:ascii="宋体" w:hAnsi="宋体" w:eastAsia="宋体" w:cs="宋体"/>
          <w:color w:val="000000" w:themeColor="text1"/>
          <w:sz w:val="24"/>
          <w:highlight w:val="none"/>
          <w14:textFill>
            <w14:solidFill>
              <w14:schemeClr w14:val="tx1"/>
            </w14:solidFill>
          </w14:textFill>
        </w:rPr>
        <w:t>截止</w:t>
      </w:r>
      <w:r>
        <w:rPr>
          <w:rFonts w:ascii="宋体" w:hAnsi="宋体" w:eastAsia="宋体" w:cs="宋体"/>
          <w:color w:val="000000" w:themeColor="text1"/>
          <w:sz w:val="24"/>
          <w:highlight w:val="none"/>
          <w14:textFill>
            <w14:solidFill>
              <w14:schemeClr w14:val="tx1"/>
            </w14:solidFill>
          </w14:textFill>
        </w:rPr>
        <w:t>202</w:t>
      </w:r>
      <w:r>
        <w:rPr>
          <w:rFonts w:hint="eastAsia" w:ascii="宋体" w:hAnsi="宋体" w:eastAsia="宋体" w:cs="宋体"/>
          <w:color w:val="000000" w:themeColor="text1"/>
          <w:sz w:val="24"/>
          <w:highlight w:val="none"/>
          <w14:textFill>
            <w14:solidFill>
              <w14:schemeClr w14:val="tx1"/>
            </w14:solidFill>
          </w14:textFill>
        </w:rPr>
        <w:t>6</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12</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31</w:t>
      </w:r>
      <w:r>
        <w:rPr>
          <w:rFonts w:ascii="宋体" w:hAnsi="宋体" w:eastAsia="宋体" w:cs="宋体"/>
          <w:color w:val="000000" w:themeColor="text1"/>
          <w:sz w:val="24"/>
          <w:highlight w:val="none"/>
          <w14:textFill>
            <w14:solidFill>
              <w14:schemeClr w14:val="tx1"/>
            </w14:solidFill>
          </w14:textFill>
        </w:rPr>
        <w:t>日。</w:t>
      </w:r>
    </w:p>
    <w:p w14:paraId="7A3FC174">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5.交货地点：采购人指定地点（以合同为准）。</w:t>
      </w:r>
    </w:p>
    <w:p w14:paraId="7AED7C91">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6.报价要求：供应商根据自设实际情况对本项目做出报价，允许一次性报价、组合式报价。</w:t>
      </w:r>
    </w:p>
    <w:p w14:paraId="346C15EA">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七、项目人员要求</w:t>
      </w:r>
    </w:p>
    <w:p w14:paraId="7408C65D">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供应商拟派本项目负责人应具备注册会计师（CPA）或资产评估师资格，并有医院/公卫领域资产项目经验。</w:t>
      </w:r>
    </w:p>
    <w:p w14:paraId="38C36080">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供应商拟派本项目服务人员</w:t>
      </w:r>
      <w:r>
        <w:rPr>
          <w:rFonts w:hint="eastAsia" w:ascii="宋体" w:hAnsi="宋体" w:eastAsia="宋体" w:cs="宋体"/>
          <w:color w:val="000000" w:themeColor="text1"/>
          <w:sz w:val="24"/>
          <w:highlight w:val="none"/>
          <w14:textFill>
            <w14:solidFill>
              <w14:schemeClr w14:val="tx1"/>
            </w14:solidFill>
          </w14:textFill>
        </w:rPr>
        <w:t>应</w:t>
      </w:r>
      <w:r>
        <w:rPr>
          <w:rFonts w:ascii="宋体" w:hAnsi="宋体" w:eastAsia="宋体" w:cs="宋体"/>
          <w:color w:val="000000" w:themeColor="text1"/>
          <w:sz w:val="24"/>
          <w:highlight w:val="none"/>
          <w14:textFill>
            <w14:solidFill>
              <w14:schemeClr w14:val="tx1"/>
            </w14:solidFill>
          </w14:textFill>
        </w:rPr>
        <w:t>不少于</w:t>
      </w:r>
      <w:r>
        <w:rPr>
          <w:rFonts w:hint="eastAsia" w:ascii="宋体" w:hAnsi="宋体" w:eastAsia="宋体" w:cs="宋体"/>
          <w:color w:val="000000" w:themeColor="text1"/>
          <w:sz w:val="24"/>
          <w:highlight w:val="none"/>
          <w14:textFill>
            <w14:solidFill>
              <w14:schemeClr w14:val="tx1"/>
            </w14:solidFill>
          </w14:textFill>
        </w:rPr>
        <w:t>3</w:t>
      </w:r>
      <w:r>
        <w:rPr>
          <w:rFonts w:ascii="宋体" w:hAnsi="宋体" w:eastAsia="宋体" w:cs="宋体"/>
          <w:color w:val="000000" w:themeColor="text1"/>
          <w:sz w:val="24"/>
          <w:highlight w:val="none"/>
          <w14:textFill>
            <w14:solidFill>
              <w14:schemeClr w14:val="tx1"/>
            </w14:solidFill>
          </w14:textFill>
        </w:rPr>
        <w:t>人，</w:t>
      </w:r>
      <w:r>
        <w:rPr>
          <w:rFonts w:hint="eastAsia" w:ascii="宋体" w:hAnsi="宋体" w:eastAsia="宋体" w:cs="宋体"/>
          <w:color w:val="000000" w:themeColor="text1"/>
          <w:sz w:val="24"/>
          <w:highlight w:val="none"/>
          <w14:textFill>
            <w14:solidFill>
              <w14:schemeClr w14:val="tx1"/>
            </w14:solidFill>
          </w14:textFill>
        </w:rPr>
        <w:t>团队应包含财务管理、资产管理、信息技术等相关专业人员，</w:t>
      </w:r>
      <w:r>
        <w:rPr>
          <w:rFonts w:ascii="宋体" w:hAnsi="宋体" w:eastAsia="宋体" w:cs="宋体"/>
          <w:color w:val="000000" w:themeColor="text1"/>
          <w:sz w:val="24"/>
          <w:highlight w:val="none"/>
          <w14:textFill>
            <w14:solidFill>
              <w14:schemeClr w14:val="tx1"/>
            </w14:solidFill>
          </w14:textFill>
        </w:rPr>
        <w:t>其中熟练“广东省行政事业性国有资产管理系统”操作流程的工作人员</w:t>
      </w:r>
      <w:r>
        <w:rPr>
          <w:rFonts w:hint="eastAsia" w:ascii="宋体" w:hAnsi="宋体" w:eastAsia="宋体" w:cs="宋体"/>
          <w:color w:val="000000" w:themeColor="text1"/>
          <w:sz w:val="24"/>
          <w:highlight w:val="none"/>
          <w14:textFill>
            <w14:solidFill>
              <w14:schemeClr w14:val="tx1"/>
            </w14:solidFill>
          </w14:textFill>
        </w:rPr>
        <w:t>应</w:t>
      </w:r>
      <w:r>
        <w:rPr>
          <w:rFonts w:ascii="宋体" w:hAnsi="宋体" w:eastAsia="宋体" w:cs="宋体"/>
          <w:color w:val="000000" w:themeColor="text1"/>
          <w:sz w:val="24"/>
          <w:highlight w:val="none"/>
          <w14:textFill>
            <w14:solidFill>
              <w14:schemeClr w14:val="tx1"/>
            </w14:solidFill>
          </w14:textFill>
        </w:rPr>
        <w:t>不少于</w:t>
      </w:r>
      <w:r>
        <w:rPr>
          <w:rFonts w:hint="eastAsia" w:ascii="宋体" w:hAnsi="宋体" w:eastAsia="宋体" w:cs="宋体"/>
          <w:color w:val="000000" w:themeColor="text1"/>
          <w:sz w:val="24"/>
          <w:highlight w:val="none"/>
          <w14:textFill>
            <w14:solidFill>
              <w14:schemeClr w14:val="tx1"/>
            </w14:solidFill>
          </w14:textFill>
        </w:rPr>
        <w:t>3</w:t>
      </w:r>
      <w:r>
        <w:rPr>
          <w:rFonts w:ascii="宋体" w:hAnsi="宋体" w:eastAsia="宋体" w:cs="宋体"/>
          <w:color w:val="000000" w:themeColor="text1"/>
          <w:sz w:val="24"/>
          <w:highlight w:val="none"/>
          <w14:textFill>
            <w14:solidFill>
              <w14:schemeClr w14:val="tx1"/>
            </w14:solidFill>
          </w14:textFill>
        </w:rPr>
        <w:t>名。</w:t>
      </w:r>
      <w:r>
        <w:rPr>
          <w:rFonts w:hint="eastAsia" w:ascii="宋体" w:hAnsi="宋体" w:eastAsia="宋体" w:cs="宋体"/>
          <w:color w:val="000000" w:themeColor="text1"/>
          <w:sz w:val="24"/>
          <w:highlight w:val="none"/>
          <w14:textFill>
            <w14:solidFill>
              <w14:schemeClr w14:val="tx1"/>
            </w14:solidFill>
          </w14:textFill>
        </w:rPr>
        <w:t>（须提供2026年1月至今任意一个月的社保证明材料及相关人员证书）</w:t>
      </w:r>
    </w:p>
    <w:p w14:paraId="3A59ED49">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供应商</w:t>
      </w:r>
      <w:r>
        <w:rPr>
          <w:rFonts w:ascii="宋体" w:hAnsi="宋体" w:eastAsia="宋体" w:cs="宋体"/>
          <w:color w:val="000000" w:themeColor="text1"/>
          <w:sz w:val="24"/>
          <w:highlight w:val="none"/>
          <w14:textFill>
            <w14:solidFill>
              <w14:schemeClr w14:val="tx1"/>
            </w14:solidFill>
          </w14:textFill>
        </w:rPr>
        <w:t>不得随意更换项目经理和工作人员，如需更换需提前7个日历日书面申请并取得我院同意。</w:t>
      </w:r>
    </w:p>
    <w:p w14:paraId="26F0DABE">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bookmarkStart w:id="0" w:name="_GoBack"/>
      <w:bookmarkEnd w:id="0"/>
      <w:r>
        <w:rPr>
          <w:rFonts w:ascii="宋体" w:hAnsi="宋体" w:eastAsia="宋体" w:cs="宋体"/>
          <w:color w:val="000000" w:themeColor="text1"/>
          <w:sz w:val="24"/>
          <w:highlight w:val="none"/>
          <w14:textFill>
            <w14:solidFill>
              <w14:schemeClr w14:val="tx1"/>
            </w14:solidFill>
          </w14:textFill>
        </w:rPr>
        <w:t>加强项目组成员管理，遵守国家国有资产管理条例及相关准则，履行相关义务，保守秘密，遵循职业道德。</w:t>
      </w:r>
    </w:p>
    <w:p w14:paraId="22C656C9">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八、其他事项</w:t>
      </w:r>
    </w:p>
    <w:p w14:paraId="2DFC2016">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（1）医院将提供必要的办公场地、财务账套、资产系统查询权限及科室协调支持。</w:t>
      </w:r>
    </w:p>
    <w:p w14:paraId="77206747">
      <w:pPr>
        <w:widowControl/>
        <w:spacing w:line="360" w:lineRule="auto"/>
        <w:ind w:firstLine="480" w:firstLineChars="200"/>
        <w:contextualSpacing/>
        <w:rPr>
          <w:color w:val="000000" w:themeColor="text1"/>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（2）服务商在盘点过程中应遵守医院感控、安全及患者隐私保护等相关规定，供应商</w:t>
      </w:r>
      <w:r>
        <w:rPr>
          <w:rFonts w:ascii="宋体" w:hAnsi="宋体" w:eastAsia="宋体" w:cs="宋体"/>
          <w:color w:val="000000" w:themeColor="text1"/>
          <w:sz w:val="24"/>
          <w:highlight w:val="none"/>
          <w14:textFill>
            <w14:solidFill>
              <w14:schemeClr w14:val="tx1"/>
            </w14:solidFill>
          </w14:textFill>
        </w:rPr>
        <w:t>对从医院获取的所有资产相关数据资料要求保密，未经医院许可不得向第三方人员或机构泄露医院数据资料。</w:t>
      </w:r>
    </w:p>
    <w:p w14:paraId="3CE78200">
      <w:pPr>
        <w:spacing w:line="360" w:lineRule="auto"/>
        <w:ind w:firstLine="480" w:firstLineChars="20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（3）数据保密：服务商须签署数据保密协议，未经我院书面同意，不得向任何第三方泄露医院资产及运营数据。</w:t>
      </w:r>
    </w:p>
    <w:p w14:paraId="5272BB47">
      <w:pPr>
        <w:widowControl/>
        <w:spacing w:line="360" w:lineRule="auto"/>
        <w:ind w:firstLine="420" w:firstLineChars="200"/>
        <w:contextualSpacing/>
        <w:rPr>
          <w:color w:val="000000" w:themeColor="text1"/>
          <w:highlight w:val="none"/>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DD6D96"/>
    <w:rsid w:val="00000EDE"/>
    <w:rsid w:val="0001377A"/>
    <w:rsid w:val="00055E7A"/>
    <w:rsid w:val="000706D5"/>
    <w:rsid w:val="000A1347"/>
    <w:rsid w:val="000C2CE7"/>
    <w:rsid w:val="000C7815"/>
    <w:rsid w:val="000D7683"/>
    <w:rsid w:val="00113452"/>
    <w:rsid w:val="00141C3D"/>
    <w:rsid w:val="00186A08"/>
    <w:rsid w:val="00205F79"/>
    <w:rsid w:val="002877EC"/>
    <w:rsid w:val="003376AC"/>
    <w:rsid w:val="003970B6"/>
    <w:rsid w:val="003B6D41"/>
    <w:rsid w:val="003E577E"/>
    <w:rsid w:val="003F461D"/>
    <w:rsid w:val="00481FD9"/>
    <w:rsid w:val="004F2782"/>
    <w:rsid w:val="005A2B34"/>
    <w:rsid w:val="005C16AB"/>
    <w:rsid w:val="0061401F"/>
    <w:rsid w:val="006215A3"/>
    <w:rsid w:val="00674F48"/>
    <w:rsid w:val="006C3C05"/>
    <w:rsid w:val="006C76B0"/>
    <w:rsid w:val="006F29E2"/>
    <w:rsid w:val="0070335C"/>
    <w:rsid w:val="00773372"/>
    <w:rsid w:val="00796D17"/>
    <w:rsid w:val="00820110"/>
    <w:rsid w:val="008D18F8"/>
    <w:rsid w:val="008D3D59"/>
    <w:rsid w:val="008D4B58"/>
    <w:rsid w:val="008F7901"/>
    <w:rsid w:val="00952609"/>
    <w:rsid w:val="009E5BF1"/>
    <w:rsid w:val="00A8525B"/>
    <w:rsid w:val="00B64604"/>
    <w:rsid w:val="00C02102"/>
    <w:rsid w:val="00C10A47"/>
    <w:rsid w:val="00C318D5"/>
    <w:rsid w:val="00C412A3"/>
    <w:rsid w:val="00C45ED7"/>
    <w:rsid w:val="00CA2C95"/>
    <w:rsid w:val="00DC2377"/>
    <w:rsid w:val="00DE0562"/>
    <w:rsid w:val="00E27A46"/>
    <w:rsid w:val="00E81F66"/>
    <w:rsid w:val="00EB2CCE"/>
    <w:rsid w:val="00FA1BC3"/>
    <w:rsid w:val="00FA6CC1"/>
    <w:rsid w:val="00FB2695"/>
    <w:rsid w:val="02272D62"/>
    <w:rsid w:val="043B10FF"/>
    <w:rsid w:val="04874344"/>
    <w:rsid w:val="04D37589"/>
    <w:rsid w:val="05A537FD"/>
    <w:rsid w:val="07BC154E"/>
    <w:rsid w:val="07EF46DA"/>
    <w:rsid w:val="09280DA2"/>
    <w:rsid w:val="09BB0D18"/>
    <w:rsid w:val="0A544CC8"/>
    <w:rsid w:val="0C615EBA"/>
    <w:rsid w:val="0D6F7918"/>
    <w:rsid w:val="0DF30354"/>
    <w:rsid w:val="0F6C7CDA"/>
    <w:rsid w:val="0FA23C75"/>
    <w:rsid w:val="10EE19D3"/>
    <w:rsid w:val="11910ED4"/>
    <w:rsid w:val="11944AAE"/>
    <w:rsid w:val="14B44517"/>
    <w:rsid w:val="1621190C"/>
    <w:rsid w:val="17465999"/>
    <w:rsid w:val="185F31B6"/>
    <w:rsid w:val="18910E95"/>
    <w:rsid w:val="19742C91"/>
    <w:rsid w:val="197E58BE"/>
    <w:rsid w:val="19D83220"/>
    <w:rsid w:val="1B770817"/>
    <w:rsid w:val="1CE819CC"/>
    <w:rsid w:val="1D474C36"/>
    <w:rsid w:val="202A22FB"/>
    <w:rsid w:val="20BB7250"/>
    <w:rsid w:val="213B5E42"/>
    <w:rsid w:val="22F776BB"/>
    <w:rsid w:val="2377323E"/>
    <w:rsid w:val="23CA31BB"/>
    <w:rsid w:val="241E45EB"/>
    <w:rsid w:val="24280900"/>
    <w:rsid w:val="24A57CB8"/>
    <w:rsid w:val="252A06A8"/>
    <w:rsid w:val="252A114A"/>
    <w:rsid w:val="267C13D7"/>
    <w:rsid w:val="27F81462"/>
    <w:rsid w:val="28113B1E"/>
    <w:rsid w:val="283341FE"/>
    <w:rsid w:val="28F416F8"/>
    <w:rsid w:val="290C5956"/>
    <w:rsid w:val="295403E9"/>
    <w:rsid w:val="29C71CAA"/>
    <w:rsid w:val="2A685EFA"/>
    <w:rsid w:val="2AC94D4E"/>
    <w:rsid w:val="2AF91248"/>
    <w:rsid w:val="2B570FA2"/>
    <w:rsid w:val="2D0D0393"/>
    <w:rsid w:val="2EE30245"/>
    <w:rsid w:val="323963CE"/>
    <w:rsid w:val="332826CA"/>
    <w:rsid w:val="3381002D"/>
    <w:rsid w:val="347E631A"/>
    <w:rsid w:val="35EE33A1"/>
    <w:rsid w:val="365437D6"/>
    <w:rsid w:val="37040397"/>
    <w:rsid w:val="373D426B"/>
    <w:rsid w:val="37986D7F"/>
    <w:rsid w:val="379903A1"/>
    <w:rsid w:val="38417D8A"/>
    <w:rsid w:val="39094D4C"/>
    <w:rsid w:val="39897C3B"/>
    <w:rsid w:val="3A7C32FC"/>
    <w:rsid w:val="3B346D0A"/>
    <w:rsid w:val="3B5B1995"/>
    <w:rsid w:val="3C227735"/>
    <w:rsid w:val="3C5E591F"/>
    <w:rsid w:val="3E16775C"/>
    <w:rsid w:val="3E581CCD"/>
    <w:rsid w:val="3E655F10"/>
    <w:rsid w:val="3F395101"/>
    <w:rsid w:val="3F56236D"/>
    <w:rsid w:val="414D154E"/>
    <w:rsid w:val="42402E61"/>
    <w:rsid w:val="42756FAE"/>
    <w:rsid w:val="42957651"/>
    <w:rsid w:val="42DD6D96"/>
    <w:rsid w:val="43572B58"/>
    <w:rsid w:val="441B1DD7"/>
    <w:rsid w:val="447B0A98"/>
    <w:rsid w:val="45A82294"/>
    <w:rsid w:val="45ED3300"/>
    <w:rsid w:val="461D1E37"/>
    <w:rsid w:val="474E2BAB"/>
    <w:rsid w:val="47D23012"/>
    <w:rsid w:val="487F2F7D"/>
    <w:rsid w:val="48D367DD"/>
    <w:rsid w:val="493549A4"/>
    <w:rsid w:val="4A77763C"/>
    <w:rsid w:val="4D6C7200"/>
    <w:rsid w:val="4E7C606C"/>
    <w:rsid w:val="4EBC26A8"/>
    <w:rsid w:val="4F07310D"/>
    <w:rsid w:val="4F2B12E0"/>
    <w:rsid w:val="50131BB5"/>
    <w:rsid w:val="50707007"/>
    <w:rsid w:val="51786173"/>
    <w:rsid w:val="521C7446"/>
    <w:rsid w:val="52950DA4"/>
    <w:rsid w:val="52A6555B"/>
    <w:rsid w:val="52E634FF"/>
    <w:rsid w:val="53004672"/>
    <w:rsid w:val="5384539A"/>
    <w:rsid w:val="53E126F6"/>
    <w:rsid w:val="540168F4"/>
    <w:rsid w:val="54372177"/>
    <w:rsid w:val="54857525"/>
    <w:rsid w:val="54FA45B8"/>
    <w:rsid w:val="55E24503"/>
    <w:rsid w:val="573050F9"/>
    <w:rsid w:val="583F79EB"/>
    <w:rsid w:val="584E7471"/>
    <w:rsid w:val="58E16CF4"/>
    <w:rsid w:val="5A3665E1"/>
    <w:rsid w:val="5A4243F6"/>
    <w:rsid w:val="5B4E11CD"/>
    <w:rsid w:val="5B9476F8"/>
    <w:rsid w:val="5CA70254"/>
    <w:rsid w:val="5CB702A9"/>
    <w:rsid w:val="5D814602"/>
    <w:rsid w:val="5D984E7E"/>
    <w:rsid w:val="5E9D36BD"/>
    <w:rsid w:val="60E43825"/>
    <w:rsid w:val="610831F1"/>
    <w:rsid w:val="61243A69"/>
    <w:rsid w:val="62FC0898"/>
    <w:rsid w:val="64AF7C96"/>
    <w:rsid w:val="650034A0"/>
    <w:rsid w:val="656B4A41"/>
    <w:rsid w:val="65864EAB"/>
    <w:rsid w:val="66240220"/>
    <w:rsid w:val="665C5945"/>
    <w:rsid w:val="67AC671F"/>
    <w:rsid w:val="67FF0F45"/>
    <w:rsid w:val="68694610"/>
    <w:rsid w:val="68BE495C"/>
    <w:rsid w:val="68F12462"/>
    <w:rsid w:val="69751286"/>
    <w:rsid w:val="69AB6231"/>
    <w:rsid w:val="69D32689"/>
    <w:rsid w:val="6A6032F2"/>
    <w:rsid w:val="6CEB5F3B"/>
    <w:rsid w:val="6CEE4BEB"/>
    <w:rsid w:val="6D543AE1"/>
    <w:rsid w:val="6D7B72BF"/>
    <w:rsid w:val="6ECE341F"/>
    <w:rsid w:val="713A123F"/>
    <w:rsid w:val="746E0A40"/>
    <w:rsid w:val="77D0645A"/>
    <w:rsid w:val="790E2D96"/>
    <w:rsid w:val="79110AD8"/>
    <w:rsid w:val="794733DD"/>
    <w:rsid w:val="79C847EB"/>
    <w:rsid w:val="7A5944E4"/>
    <w:rsid w:val="7C1F175E"/>
    <w:rsid w:val="7C4D62CB"/>
    <w:rsid w:val="7CAC1243"/>
    <w:rsid w:val="7D8C697F"/>
    <w:rsid w:val="7E046E5D"/>
    <w:rsid w:val="7E3420E2"/>
    <w:rsid w:val="7F954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qFormat/>
    <w:uiPriority w:val="0"/>
    <w:pPr>
      <w:jc w:val="left"/>
    </w:p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paragraph" w:styleId="6">
    <w:name w:val="annotation subject"/>
    <w:basedOn w:val="2"/>
    <w:next w:val="2"/>
    <w:link w:val="15"/>
    <w:qFormat/>
    <w:uiPriority w:val="0"/>
    <w:rPr>
      <w:b/>
      <w:bCs/>
    </w:rPr>
  </w:style>
  <w:style w:type="character" w:styleId="9">
    <w:name w:val="annotation reference"/>
    <w:basedOn w:val="8"/>
    <w:qFormat/>
    <w:uiPriority w:val="0"/>
    <w:rPr>
      <w:sz w:val="21"/>
      <w:szCs w:val="21"/>
    </w:rPr>
  </w:style>
  <w:style w:type="character" w:customStyle="1" w:styleId="10">
    <w:name w:val="页眉 字符"/>
    <w:basedOn w:val="8"/>
    <w:link w:val="4"/>
    <w:qFormat/>
    <w:uiPriority w:val="0"/>
    <w:rPr>
      <w:rFonts w:asciiTheme="minorHAnsi" w:hAnsiTheme="minorHAnsi" w:eastAsiaTheme="minorEastAsia" w:cstheme="minorBidi"/>
      <w:kern w:val="2"/>
      <w:sz w:val="18"/>
      <w:szCs w:val="18"/>
    </w:rPr>
  </w:style>
  <w:style w:type="character" w:customStyle="1" w:styleId="11">
    <w:name w:val="页脚 字符"/>
    <w:basedOn w:val="8"/>
    <w:link w:val="3"/>
    <w:qFormat/>
    <w:uiPriority w:val="0"/>
    <w:rPr>
      <w:rFonts w:asciiTheme="minorHAnsi" w:hAnsiTheme="minorHAnsi" w:eastAsiaTheme="minorEastAsia" w:cstheme="minorBidi"/>
      <w:kern w:val="2"/>
      <w:sz w:val="18"/>
      <w:szCs w:val="18"/>
    </w:rPr>
  </w:style>
  <w:style w:type="paragraph" w:styleId="12">
    <w:name w:val="List Paragraph"/>
    <w:basedOn w:val="1"/>
    <w:qFormat/>
    <w:uiPriority w:val="1"/>
    <w:pPr>
      <w:autoSpaceDE w:val="0"/>
      <w:autoSpaceDN w:val="0"/>
      <w:spacing w:before="1" w:line="360" w:lineRule="auto"/>
      <w:ind w:left="694" w:firstLine="525" w:firstLineChars="200"/>
    </w:pPr>
    <w:rPr>
      <w:rFonts w:ascii="Times New Roman" w:hAnsi="Times New Roman" w:eastAsia="宋体" w:cs="宋体"/>
      <w:kern w:val="0"/>
      <w:sz w:val="24"/>
      <w:szCs w:val="22"/>
      <w:lang w:val="zh-CN" w:bidi="zh-CN"/>
    </w:rPr>
  </w:style>
  <w:style w:type="paragraph" w:customStyle="1" w:styleId="13">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4">
    <w:name w:val="批注文字 字符"/>
    <w:basedOn w:val="8"/>
    <w:link w:val="2"/>
    <w:uiPriority w:val="0"/>
    <w:rPr>
      <w:rFonts w:asciiTheme="minorHAnsi" w:hAnsiTheme="minorHAnsi" w:eastAsiaTheme="minorEastAsia" w:cstheme="minorBidi"/>
      <w:kern w:val="2"/>
      <w:sz w:val="21"/>
      <w:szCs w:val="24"/>
    </w:rPr>
  </w:style>
  <w:style w:type="character" w:customStyle="1" w:styleId="15">
    <w:name w:val="批注主题 字符"/>
    <w:basedOn w:val="14"/>
    <w:link w:val="6"/>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4634</Words>
  <Characters>4682</Characters>
  <Lines>33</Lines>
  <Paragraphs>9</Paragraphs>
  <TotalTime>2</TotalTime>
  <ScaleCrop>false</ScaleCrop>
  <LinksUpToDate>false</LinksUpToDate>
  <CharactersWithSpaces>4686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2026-08-13T08:46:00Z</dcterms:created>
  <dc:creator>柳</dc:creator>
  <cp:lastModifiedBy>GC</cp:lastModifiedBy>
  <dcterms:modified xsi:type="dcterms:W3CDTF">2026-08-19T00:48:24Z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7FA4CC476E65480395D9A6D6BB0368F7_13</vt:lpwstr>
  </property>
  <property fmtid="{D5CDD505-2E9C-101B-9397-08002B2CF9AE}" pid="4" name="KSOTemplateDocerSaveRecord">
    <vt:lpwstr>eyJoZGlkIjoiOTEyNGU0NmY3Yzk4ZDUzZTFlMTllMGM2OGZiNDEzMTciLCJ1c2VySWQiOiIxMTA0MDYxMDMwIn0=</vt:lpwstr>
  </property>
</Properties>
</file>