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C3A263">
      <w:pPr>
        <w:pStyle w:val="3"/>
        <w:bidi w:val="0"/>
        <w:jc w:val="center"/>
      </w:pPr>
      <w:r>
        <w:t>采购需求</w:t>
      </w:r>
    </w:p>
    <w:p w14:paraId="183ED8F9">
      <w:pPr>
        <w:pStyle w:val="8"/>
        <w:ind w:firstLine="420" w:firstLineChars="0"/>
        <w:jc w:val="both"/>
        <w:outlineLvl w:val="1"/>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一、项目概况</w:t>
      </w:r>
    </w:p>
    <w:tbl>
      <w:tblPr>
        <w:tblStyle w:val="5"/>
        <w:tblpPr w:leftFromText="180" w:rightFromText="180" w:vertAnchor="text" w:horzAnchor="page" w:tblpX="1836" w:tblpY="81"/>
        <w:tblOverlap w:val="never"/>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795"/>
        <w:gridCol w:w="1787"/>
        <w:gridCol w:w="2018"/>
        <w:gridCol w:w="1145"/>
        <w:gridCol w:w="1769"/>
      </w:tblGrid>
      <w:tr w14:paraId="4AC9505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795" w:type="dxa"/>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7BD3C32C">
            <w:pPr>
              <w:pStyle w:val="8"/>
              <w:spacing w:line="360" w:lineRule="auto"/>
              <w:jc w:val="center"/>
              <w:rPr>
                <w:rFonts w:hint="eastAsia" w:ascii="宋体" w:hAnsi="宋体" w:eastAsia="宋体" w:cs="宋体"/>
                <w:b/>
                <w:bCs/>
                <w:sz w:val="22"/>
                <w:szCs w:val="22"/>
                <w:highlight w:val="none"/>
              </w:rPr>
            </w:pPr>
            <w:r>
              <w:rPr>
                <w:rFonts w:hint="eastAsia" w:ascii="宋体" w:hAnsi="宋体" w:eastAsia="宋体" w:cs="宋体"/>
                <w:b/>
                <w:bCs/>
                <w:sz w:val="22"/>
                <w:szCs w:val="22"/>
                <w:highlight w:val="none"/>
              </w:rPr>
              <w:t>项目</w:t>
            </w:r>
          </w:p>
        </w:tc>
        <w:tc>
          <w:tcPr>
            <w:tcW w:w="1787" w:type="dxa"/>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0CE1F73C">
            <w:pPr>
              <w:pStyle w:val="8"/>
              <w:spacing w:line="360" w:lineRule="auto"/>
              <w:jc w:val="center"/>
              <w:rPr>
                <w:rFonts w:hint="eastAsia" w:ascii="宋体" w:hAnsi="宋体" w:eastAsia="宋体" w:cs="宋体"/>
                <w:b/>
                <w:bCs/>
                <w:sz w:val="22"/>
                <w:szCs w:val="22"/>
                <w:highlight w:val="none"/>
              </w:rPr>
            </w:pPr>
            <w:r>
              <w:rPr>
                <w:rFonts w:hint="eastAsia" w:ascii="宋体" w:hAnsi="宋体" w:eastAsia="宋体" w:cs="宋体"/>
                <w:b/>
                <w:bCs/>
                <w:sz w:val="22"/>
                <w:szCs w:val="22"/>
                <w:highlight w:val="none"/>
              </w:rPr>
              <w:t>设施名称</w:t>
            </w:r>
          </w:p>
        </w:tc>
        <w:tc>
          <w:tcPr>
            <w:tcW w:w="2018" w:type="dxa"/>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409B3161">
            <w:pPr>
              <w:pStyle w:val="8"/>
              <w:spacing w:line="360" w:lineRule="auto"/>
              <w:jc w:val="center"/>
              <w:rPr>
                <w:rFonts w:hint="eastAsia" w:ascii="宋体" w:hAnsi="宋体" w:eastAsia="宋体" w:cs="宋体"/>
                <w:b/>
                <w:bCs/>
                <w:sz w:val="22"/>
                <w:szCs w:val="22"/>
                <w:highlight w:val="none"/>
                <w:lang w:val="en-US" w:eastAsia="zh-CN"/>
              </w:rPr>
            </w:pPr>
            <w:r>
              <w:rPr>
                <w:rFonts w:hint="eastAsia" w:ascii="宋体" w:hAnsi="宋体" w:eastAsia="宋体" w:cs="宋体"/>
                <w:b/>
                <w:bCs/>
                <w:sz w:val="22"/>
                <w:szCs w:val="22"/>
                <w:highlight w:val="none"/>
                <w:lang w:val="en-US" w:eastAsia="zh-CN"/>
              </w:rPr>
              <w:t>服务周期</w:t>
            </w:r>
          </w:p>
        </w:tc>
        <w:tc>
          <w:tcPr>
            <w:tcW w:w="1145" w:type="dxa"/>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62CDDF5A">
            <w:pPr>
              <w:pStyle w:val="8"/>
              <w:spacing w:line="360" w:lineRule="auto"/>
              <w:jc w:val="center"/>
              <w:rPr>
                <w:rFonts w:hint="eastAsia" w:ascii="宋体" w:hAnsi="宋体" w:eastAsia="宋体" w:cs="宋体"/>
                <w:b/>
                <w:bCs/>
                <w:sz w:val="22"/>
                <w:szCs w:val="22"/>
                <w:highlight w:val="none"/>
                <w:lang w:val="en-US" w:eastAsia="zh-CN"/>
              </w:rPr>
            </w:pPr>
            <w:r>
              <w:rPr>
                <w:rFonts w:hint="eastAsia" w:ascii="宋体" w:hAnsi="宋体" w:eastAsia="宋体" w:cs="宋体"/>
                <w:b/>
                <w:bCs/>
                <w:sz w:val="22"/>
                <w:szCs w:val="22"/>
                <w:highlight w:val="none"/>
                <w:lang w:val="en-US" w:eastAsia="zh-CN"/>
              </w:rPr>
              <w:t>数量</w:t>
            </w:r>
          </w:p>
        </w:tc>
        <w:tc>
          <w:tcPr>
            <w:tcW w:w="1769" w:type="dxa"/>
            <w:tcBorders>
              <w:top w:val="single" w:color="000000" w:sz="4" w:space="0"/>
              <w:left w:val="nil"/>
              <w:bottom w:val="single" w:color="000000" w:sz="4" w:space="0"/>
              <w:right w:val="single" w:color="000000" w:sz="4" w:space="0"/>
            </w:tcBorders>
            <w:noWrap w:val="0"/>
            <w:tcMar>
              <w:top w:w="0" w:type="dxa"/>
              <w:left w:w="105" w:type="dxa"/>
              <w:bottom w:w="0" w:type="dxa"/>
              <w:right w:w="105" w:type="dxa"/>
            </w:tcMar>
            <w:vAlign w:val="center"/>
          </w:tcPr>
          <w:p w14:paraId="3E7FFB4D">
            <w:pPr>
              <w:pStyle w:val="8"/>
              <w:spacing w:line="360" w:lineRule="auto"/>
              <w:jc w:val="center"/>
              <w:rPr>
                <w:rFonts w:hint="eastAsia" w:ascii="宋体" w:hAnsi="宋体" w:eastAsia="宋体" w:cs="宋体"/>
                <w:b/>
                <w:bCs/>
                <w:sz w:val="22"/>
                <w:szCs w:val="22"/>
                <w:highlight w:val="none"/>
              </w:rPr>
            </w:pPr>
            <w:r>
              <w:rPr>
                <w:rFonts w:hint="eastAsia" w:ascii="宋体" w:hAnsi="宋体" w:eastAsia="宋体" w:cs="宋体"/>
                <w:b/>
                <w:bCs/>
                <w:sz w:val="22"/>
                <w:szCs w:val="22"/>
                <w:highlight w:val="none"/>
              </w:rPr>
              <w:t>项目运营经费</w:t>
            </w:r>
          </w:p>
          <w:p w14:paraId="0896B213">
            <w:pPr>
              <w:pStyle w:val="8"/>
              <w:spacing w:line="360" w:lineRule="auto"/>
              <w:jc w:val="center"/>
              <w:rPr>
                <w:rFonts w:hint="eastAsia" w:ascii="宋体" w:hAnsi="宋体" w:eastAsia="宋体" w:cs="宋体"/>
                <w:b/>
                <w:bCs/>
                <w:sz w:val="22"/>
                <w:szCs w:val="22"/>
                <w:highlight w:val="none"/>
              </w:rPr>
            </w:pPr>
            <w:r>
              <w:rPr>
                <w:rFonts w:hint="eastAsia" w:ascii="宋体" w:hAnsi="宋体" w:eastAsia="宋体" w:cs="宋体"/>
                <w:b/>
                <w:bCs/>
                <w:sz w:val="22"/>
                <w:szCs w:val="22"/>
                <w:highlight w:val="none"/>
              </w:rPr>
              <w:t>（万元）</w:t>
            </w:r>
          </w:p>
        </w:tc>
      </w:tr>
      <w:tr w14:paraId="2C09838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533" w:hRule="atLeast"/>
        </w:trPr>
        <w:tc>
          <w:tcPr>
            <w:tcW w:w="1795" w:type="dxa"/>
            <w:vMerge w:val="restart"/>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1EF4DCE2">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lang w:val="en-US" w:eastAsia="zh-Hans"/>
              </w:rPr>
              <w:t>车陂街综合养老服务中心（颐康中心）及社区颐康服务站运营</w:t>
            </w:r>
            <w:r>
              <w:rPr>
                <w:rFonts w:hint="eastAsia" w:ascii="宋体" w:hAnsi="宋体" w:eastAsia="宋体" w:cs="宋体"/>
                <w:sz w:val="22"/>
                <w:szCs w:val="22"/>
                <w:highlight w:val="none"/>
                <w:lang w:val="en-US" w:eastAsia="zh-CN"/>
              </w:rPr>
              <w:t>服务</w:t>
            </w:r>
            <w:r>
              <w:rPr>
                <w:rFonts w:hint="eastAsia" w:ascii="宋体" w:hAnsi="宋体" w:eastAsia="宋体" w:cs="宋体"/>
                <w:sz w:val="22"/>
                <w:szCs w:val="22"/>
                <w:highlight w:val="none"/>
                <w:lang w:val="en-US" w:eastAsia="zh-Hans"/>
              </w:rPr>
              <w:t>项目</w:t>
            </w:r>
          </w:p>
        </w:tc>
        <w:tc>
          <w:tcPr>
            <w:tcW w:w="1787"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0C7B3461">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lang w:val="en-US" w:eastAsia="zh-Hans"/>
              </w:rPr>
              <w:t>车陂街综合养老服务中心（颐康中心）</w:t>
            </w:r>
          </w:p>
        </w:tc>
        <w:tc>
          <w:tcPr>
            <w:tcW w:w="2018" w:type="dxa"/>
            <w:vMerge w:val="restart"/>
            <w:tcBorders>
              <w:top w:val="nil"/>
              <w:left w:val="nil"/>
              <w:right w:val="single" w:color="000000" w:sz="4" w:space="0"/>
            </w:tcBorders>
            <w:noWrap w:val="0"/>
            <w:tcMar>
              <w:top w:w="0" w:type="dxa"/>
              <w:left w:w="105" w:type="dxa"/>
              <w:bottom w:w="0" w:type="dxa"/>
              <w:right w:w="105" w:type="dxa"/>
            </w:tcMar>
            <w:vAlign w:val="center"/>
          </w:tcPr>
          <w:p w14:paraId="02D7EF1C">
            <w:pPr>
              <w:pStyle w:val="8"/>
              <w:spacing w:line="360" w:lineRule="auto"/>
              <w:jc w:val="both"/>
              <w:rPr>
                <w:rFonts w:hint="eastAsia" w:ascii="宋体" w:hAnsi="宋体" w:eastAsia="宋体" w:cs="宋体"/>
                <w:sz w:val="22"/>
                <w:szCs w:val="22"/>
                <w:highlight w:val="none"/>
              </w:rPr>
            </w:pPr>
            <w:r>
              <w:rPr>
                <w:rFonts w:hint="eastAsia" w:ascii="宋体" w:hAnsi="宋体" w:eastAsia="宋体" w:cs="宋体"/>
                <w:sz w:val="22"/>
                <w:szCs w:val="22"/>
                <w:highlight w:val="none"/>
                <w:lang w:val="en-US" w:eastAsia="zh-CN"/>
              </w:rPr>
              <w:t>2026年8月1日至2027年7月31日</w:t>
            </w:r>
          </w:p>
        </w:tc>
        <w:tc>
          <w:tcPr>
            <w:tcW w:w="1145"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220053EF">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rPr>
              <w:t>1</w:t>
            </w:r>
          </w:p>
        </w:tc>
        <w:tc>
          <w:tcPr>
            <w:tcW w:w="1769"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02C706C4">
            <w:pPr>
              <w:pStyle w:val="8"/>
              <w:spacing w:line="360" w:lineRule="auto"/>
              <w:jc w:val="center"/>
              <w:rPr>
                <w:rFonts w:hint="eastAsia" w:ascii="宋体" w:hAnsi="宋体" w:eastAsia="宋体" w:cs="宋体"/>
                <w:sz w:val="22"/>
                <w:szCs w:val="22"/>
                <w:highlight w:val="none"/>
                <w:lang w:val="en-US" w:eastAsia="zh-CN"/>
              </w:rPr>
            </w:pPr>
            <w:r>
              <w:rPr>
                <w:rFonts w:hint="eastAsia" w:ascii="宋体" w:hAnsi="宋体" w:eastAsia="宋体" w:cs="宋体"/>
                <w:sz w:val="22"/>
                <w:szCs w:val="22"/>
                <w:highlight w:val="none"/>
                <w:lang w:val="en-US" w:eastAsia="zh-CN"/>
              </w:rPr>
              <w:t>50</w:t>
            </w:r>
          </w:p>
        </w:tc>
      </w:tr>
      <w:tr w14:paraId="6C7F9E9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795" w:type="dxa"/>
            <w:vMerge w:val="continue"/>
            <w:tcBorders>
              <w:top w:val="nil"/>
              <w:left w:val="single" w:color="000000" w:sz="4" w:space="0"/>
              <w:bottom w:val="single" w:color="000000" w:sz="4" w:space="0"/>
              <w:right w:val="single" w:color="000000" w:sz="4" w:space="0"/>
            </w:tcBorders>
            <w:noWrap w:val="0"/>
            <w:vAlign w:val="center"/>
          </w:tcPr>
          <w:p w14:paraId="01E7CD71">
            <w:pPr>
              <w:spacing w:line="360" w:lineRule="auto"/>
              <w:jc w:val="center"/>
              <w:rPr>
                <w:rFonts w:hint="eastAsia" w:ascii="宋体" w:hAnsi="宋体" w:eastAsia="宋体" w:cs="宋体"/>
                <w:sz w:val="22"/>
                <w:szCs w:val="22"/>
                <w:highlight w:val="none"/>
              </w:rPr>
            </w:pPr>
          </w:p>
        </w:tc>
        <w:tc>
          <w:tcPr>
            <w:tcW w:w="1787"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48BDC1F2">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lang w:val="en-US" w:eastAsia="zh-CN"/>
              </w:rPr>
              <w:t>社区</w:t>
            </w:r>
            <w:r>
              <w:rPr>
                <w:rFonts w:hint="eastAsia" w:ascii="宋体" w:hAnsi="宋体" w:eastAsia="宋体" w:cs="宋体"/>
                <w:sz w:val="22"/>
                <w:szCs w:val="22"/>
                <w:highlight w:val="none"/>
              </w:rPr>
              <w:t>颐康</w:t>
            </w:r>
          </w:p>
          <w:p w14:paraId="119BB0F5">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rPr>
              <w:t>服务站</w:t>
            </w:r>
          </w:p>
        </w:tc>
        <w:tc>
          <w:tcPr>
            <w:tcW w:w="2018" w:type="dxa"/>
            <w:vMerge w:val="continue"/>
            <w:tcBorders>
              <w:left w:val="nil"/>
              <w:bottom w:val="single" w:color="000000" w:sz="4" w:space="0"/>
              <w:right w:val="single" w:color="000000" w:sz="4" w:space="0"/>
            </w:tcBorders>
            <w:noWrap w:val="0"/>
            <w:tcMar>
              <w:top w:w="0" w:type="dxa"/>
              <w:left w:w="105" w:type="dxa"/>
              <w:bottom w:w="0" w:type="dxa"/>
              <w:right w:w="105" w:type="dxa"/>
            </w:tcMar>
            <w:vAlign w:val="center"/>
          </w:tcPr>
          <w:p w14:paraId="3FB43578">
            <w:pPr>
              <w:pStyle w:val="8"/>
              <w:spacing w:line="360" w:lineRule="auto"/>
              <w:jc w:val="center"/>
              <w:rPr>
                <w:rFonts w:hint="eastAsia" w:ascii="宋体" w:hAnsi="宋体" w:eastAsia="宋体" w:cs="宋体"/>
                <w:sz w:val="22"/>
                <w:szCs w:val="22"/>
                <w:highlight w:val="none"/>
              </w:rPr>
            </w:pPr>
          </w:p>
        </w:tc>
        <w:tc>
          <w:tcPr>
            <w:tcW w:w="1145"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4BE42743">
            <w:pPr>
              <w:pStyle w:val="8"/>
              <w:spacing w:line="360" w:lineRule="auto"/>
              <w:jc w:val="center"/>
              <w:rPr>
                <w:rFonts w:hint="eastAsia" w:ascii="宋体" w:hAnsi="宋体" w:eastAsia="宋体" w:cs="宋体"/>
                <w:sz w:val="22"/>
                <w:szCs w:val="22"/>
                <w:highlight w:val="none"/>
                <w:lang w:val="en-US" w:eastAsia="zh-CN"/>
              </w:rPr>
            </w:pPr>
            <w:r>
              <w:rPr>
                <w:rFonts w:hint="eastAsia" w:ascii="宋体" w:hAnsi="宋体" w:eastAsia="宋体" w:cs="宋体"/>
                <w:sz w:val="22"/>
                <w:szCs w:val="22"/>
                <w:highlight w:val="none"/>
                <w:lang w:val="en-US" w:eastAsia="zh-CN"/>
              </w:rPr>
              <w:t>15</w:t>
            </w:r>
          </w:p>
        </w:tc>
        <w:tc>
          <w:tcPr>
            <w:tcW w:w="1769" w:type="dxa"/>
            <w:tcBorders>
              <w:top w:val="nil"/>
              <w:left w:val="nil"/>
              <w:bottom w:val="single" w:color="000000" w:sz="4" w:space="0"/>
              <w:right w:val="single" w:color="000000" w:sz="4" w:space="0"/>
            </w:tcBorders>
            <w:noWrap w:val="0"/>
            <w:tcMar>
              <w:top w:w="0" w:type="dxa"/>
              <w:left w:w="105" w:type="dxa"/>
              <w:bottom w:w="0" w:type="dxa"/>
              <w:right w:w="105" w:type="dxa"/>
            </w:tcMar>
            <w:vAlign w:val="center"/>
          </w:tcPr>
          <w:p w14:paraId="775991E1">
            <w:pPr>
              <w:pStyle w:val="8"/>
              <w:spacing w:line="360" w:lineRule="auto"/>
              <w:jc w:val="center"/>
              <w:rPr>
                <w:rFonts w:hint="eastAsia" w:ascii="宋体" w:hAnsi="宋体" w:eastAsia="宋体" w:cs="宋体"/>
                <w:sz w:val="22"/>
                <w:szCs w:val="22"/>
                <w:highlight w:val="none"/>
                <w:lang w:val="en-US" w:eastAsia="zh-CN"/>
              </w:rPr>
            </w:pPr>
            <w:r>
              <w:rPr>
                <w:rFonts w:hint="eastAsia" w:ascii="宋体" w:hAnsi="宋体" w:eastAsia="宋体" w:cs="宋体"/>
                <w:sz w:val="22"/>
                <w:szCs w:val="22"/>
                <w:highlight w:val="none"/>
                <w:lang w:val="en-US" w:eastAsia="zh-CN"/>
              </w:rPr>
              <w:t>75</w:t>
            </w:r>
          </w:p>
        </w:tc>
      </w:tr>
      <w:tr w14:paraId="63DC4C0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600" w:type="dxa"/>
            <w:gridSpan w:val="3"/>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DB5D7C0">
            <w:pPr>
              <w:pStyle w:val="8"/>
              <w:spacing w:line="360" w:lineRule="auto"/>
              <w:jc w:val="center"/>
              <w:rPr>
                <w:rFonts w:hint="eastAsia" w:ascii="宋体" w:hAnsi="宋体" w:eastAsia="宋体" w:cs="宋体"/>
                <w:sz w:val="22"/>
                <w:szCs w:val="22"/>
                <w:highlight w:val="none"/>
              </w:rPr>
            </w:pPr>
            <w:r>
              <w:rPr>
                <w:rFonts w:hint="eastAsia" w:ascii="宋体" w:hAnsi="宋体" w:eastAsia="宋体" w:cs="宋体"/>
                <w:sz w:val="22"/>
                <w:szCs w:val="22"/>
                <w:highlight w:val="none"/>
              </w:rPr>
              <w:t>合计：</w:t>
            </w:r>
          </w:p>
        </w:tc>
        <w:tc>
          <w:tcPr>
            <w:tcW w:w="1145" w:type="dxa"/>
            <w:tcBorders>
              <w:top w:val="nil"/>
              <w:left w:val="nil"/>
              <w:bottom w:val="single" w:color="000000" w:sz="4" w:space="0"/>
              <w:right w:val="single" w:color="000000" w:sz="4" w:space="0"/>
            </w:tcBorders>
            <w:noWrap w:val="0"/>
            <w:tcMar>
              <w:top w:w="0" w:type="dxa"/>
              <w:left w:w="105" w:type="dxa"/>
              <w:bottom w:w="0" w:type="dxa"/>
              <w:right w:w="105" w:type="dxa"/>
            </w:tcMar>
            <w:vAlign w:val="top"/>
          </w:tcPr>
          <w:p w14:paraId="366FF78A">
            <w:pPr>
              <w:pStyle w:val="8"/>
              <w:spacing w:line="360" w:lineRule="auto"/>
              <w:jc w:val="center"/>
              <w:rPr>
                <w:rFonts w:hint="eastAsia" w:ascii="宋体" w:hAnsi="宋体" w:eastAsia="宋体" w:cs="宋体"/>
                <w:sz w:val="22"/>
                <w:szCs w:val="22"/>
                <w:highlight w:val="none"/>
              </w:rPr>
            </w:pPr>
          </w:p>
        </w:tc>
        <w:tc>
          <w:tcPr>
            <w:tcW w:w="1769" w:type="dxa"/>
            <w:tcBorders>
              <w:top w:val="nil"/>
              <w:left w:val="nil"/>
              <w:bottom w:val="single" w:color="000000" w:sz="4" w:space="0"/>
              <w:right w:val="single" w:color="000000" w:sz="4" w:space="0"/>
            </w:tcBorders>
            <w:noWrap w:val="0"/>
            <w:tcMar>
              <w:top w:w="0" w:type="dxa"/>
              <w:left w:w="105" w:type="dxa"/>
              <w:bottom w:w="0" w:type="dxa"/>
              <w:right w:w="105" w:type="dxa"/>
            </w:tcMar>
            <w:vAlign w:val="top"/>
          </w:tcPr>
          <w:p w14:paraId="28591EFA">
            <w:pPr>
              <w:pStyle w:val="8"/>
              <w:spacing w:line="360" w:lineRule="auto"/>
              <w:jc w:val="center"/>
              <w:rPr>
                <w:rFonts w:hint="eastAsia" w:ascii="宋体" w:hAnsi="宋体" w:eastAsia="宋体" w:cs="宋体"/>
                <w:sz w:val="22"/>
                <w:szCs w:val="22"/>
                <w:highlight w:val="none"/>
                <w:lang w:val="en-US" w:eastAsia="zh-CN"/>
              </w:rPr>
            </w:pPr>
            <w:r>
              <w:rPr>
                <w:rFonts w:hint="eastAsia" w:ascii="宋体" w:hAnsi="宋体" w:eastAsia="宋体" w:cs="宋体"/>
                <w:sz w:val="22"/>
                <w:szCs w:val="22"/>
                <w:highlight w:val="none"/>
                <w:lang w:val="en-US" w:eastAsia="zh-CN"/>
              </w:rPr>
              <w:t>125</w:t>
            </w:r>
          </w:p>
        </w:tc>
      </w:tr>
    </w:tbl>
    <w:p w14:paraId="1104E714">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w:t>
      </w:r>
    </w:p>
    <w:p w14:paraId="6DEAC25F">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服务</w:t>
      </w:r>
      <w:r>
        <w:rPr>
          <w:rFonts w:hint="eastAsia" w:ascii="宋体" w:hAnsi="宋体" w:eastAsia="宋体" w:cs="宋体"/>
          <w:color w:val="auto"/>
          <w:sz w:val="24"/>
          <w:szCs w:val="24"/>
          <w:highlight w:val="none"/>
          <w:lang w:val="en-US" w:eastAsia="zh-CN"/>
        </w:rPr>
        <w:t>期</w:t>
      </w:r>
      <w:r>
        <w:rPr>
          <w:rFonts w:hint="eastAsia" w:ascii="宋体" w:hAnsi="宋体" w:eastAsia="宋体" w:cs="宋体"/>
          <w:color w:val="auto"/>
          <w:sz w:val="24"/>
          <w:szCs w:val="24"/>
          <w:highlight w:val="none"/>
        </w:rPr>
        <w:t>内，经营本项目的全部成本（包含但不限于场地建设、设备采购、人力成本、能耗成本、日常维修、水电费、物业费、场地租金及其他各项税费等）中超出项目预算外的部分由</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自行承担支付</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除上级文件政策规定外，在服务期内采购人不再增加任何费用</w:t>
      </w:r>
      <w:r>
        <w:rPr>
          <w:rFonts w:hint="eastAsia" w:ascii="宋体" w:hAnsi="宋体" w:eastAsia="宋体" w:cs="宋体"/>
          <w:b/>
          <w:bCs/>
          <w:color w:val="auto"/>
          <w:kern w:val="28"/>
          <w:sz w:val="24"/>
          <w:szCs w:val="24"/>
          <w:highlight w:val="none"/>
          <w:lang w:val="en-US" w:eastAsia="zh-CN"/>
        </w:rPr>
        <w:t>（响应时提供承诺函，格式自拟，加盖供应商公章）</w:t>
      </w:r>
      <w:r>
        <w:rPr>
          <w:rFonts w:hint="eastAsia" w:ascii="宋体" w:hAnsi="宋体" w:eastAsia="宋体" w:cs="宋体"/>
          <w:color w:val="auto"/>
          <w:sz w:val="24"/>
          <w:szCs w:val="24"/>
          <w:highlight w:val="none"/>
        </w:rPr>
        <w:t>。</w:t>
      </w:r>
    </w:p>
    <w:p w14:paraId="43D152EE">
      <w:pPr>
        <w:pStyle w:val="8"/>
        <w:spacing w:line="360" w:lineRule="auto"/>
        <w:ind w:firstLine="420"/>
        <w:jc w:val="both"/>
        <w:rPr>
          <w:rFonts w:hint="eastAsia" w:ascii="宋体" w:hAnsi="宋体" w:eastAsia="宋体" w:cs="宋体"/>
          <w:sz w:val="24"/>
          <w:szCs w:val="24"/>
        </w:rPr>
      </w:pPr>
      <w:r>
        <w:rPr>
          <w:rFonts w:hint="eastAsia" w:ascii="宋体" w:hAnsi="宋体" w:eastAsia="宋体" w:cs="宋体"/>
          <w:color w:val="auto"/>
          <w:sz w:val="24"/>
          <w:szCs w:val="24"/>
          <w:highlight w:val="none"/>
          <w:lang w:val="en-US" w:eastAsia="zh-CN"/>
        </w:rPr>
        <w:t>2.服务</w:t>
      </w:r>
      <w:r>
        <w:rPr>
          <w:rFonts w:hint="eastAsia" w:ascii="宋体" w:hAnsi="宋体" w:eastAsia="宋体" w:cs="宋体"/>
          <w:sz w:val="24"/>
          <w:szCs w:val="24"/>
        </w:rPr>
        <w:t>期内，</w:t>
      </w:r>
      <w:r>
        <w:rPr>
          <w:rFonts w:hint="eastAsia" w:ascii="宋体" w:hAnsi="宋体" w:eastAsia="宋体" w:cs="宋体"/>
          <w:sz w:val="24"/>
          <w:szCs w:val="24"/>
          <w:lang w:val="en-US" w:eastAsia="zh-CN"/>
        </w:rPr>
        <w:t>成交人</w:t>
      </w:r>
      <w:r>
        <w:rPr>
          <w:rFonts w:hint="eastAsia" w:ascii="宋体" w:hAnsi="宋体" w:eastAsia="宋体" w:cs="宋体"/>
          <w:sz w:val="24"/>
          <w:szCs w:val="24"/>
        </w:rPr>
        <w:t>可按市、区社区居家养老服务管理办法等政策规定享受相关服务项目补助、建设及租金补贴，如居家养老服务资助、服务项目补贴、助餐配餐补贴等，相关经费根据相关政策和实际情况结算，不包含在本项目采购预算中。</w:t>
      </w:r>
    </w:p>
    <w:p w14:paraId="08FF75A5">
      <w:pPr>
        <w:pStyle w:val="8"/>
        <w:spacing w:line="360" w:lineRule="auto"/>
        <w:ind w:firstLine="420"/>
        <w:jc w:val="both"/>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每年由天河区民政局委托第三方评估机构开展服务评估，经评估为优秀、良好、合格等级的，</w:t>
      </w:r>
      <w:r>
        <w:rPr>
          <w:rFonts w:hint="eastAsia" w:ascii="宋体" w:hAnsi="宋体" w:eastAsia="宋体" w:cs="宋体"/>
          <w:sz w:val="24"/>
          <w:szCs w:val="24"/>
          <w:lang w:eastAsia="zh-CN"/>
        </w:rPr>
        <w:t>天河</w:t>
      </w:r>
      <w:r>
        <w:rPr>
          <w:rFonts w:hint="eastAsia" w:ascii="宋体" w:hAnsi="宋体" w:eastAsia="宋体" w:cs="宋体"/>
          <w:sz w:val="24"/>
          <w:szCs w:val="24"/>
        </w:rPr>
        <w:t>区民政</w:t>
      </w:r>
      <w:r>
        <w:rPr>
          <w:rFonts w:hint="eastAsia" w:ascii="宋体" w:hAnsi="宋体" w:eastAsia="宋体" w:cs="宋体"/>
          <w:sz w:val="24"/>
          <w:szCs w:val="24"/>
          <w:lang w:eastAsia="zh-CN"/>
        </w:rPr>
        <w:t>局将根据《广州市人民政府办公厅关于印发广州市居家社区养老服务管理办法的通知》（穗府办规〔2022〕13号）的规定，按照</w:t>
      </w:r>
      <w:r>
        <w:rPr>
          <w:rFonts w:hint="eastAsia" w:ascii="宋体" w:hAnsi="宋体" w:eastAsia="宋体" w:cs="宋体"/>
          <w:sz w:val="24"/>
          <w:szCs w:val="24"/>
        </w:rPr>
        <w:t>服务评估结果给予服务奖励资金，不足规定服务时间</w:t>
      </w:r>
      <w:r>
        <w:rPr>
          <w:rFonts w:hint="eastAsia" w:ascii="宋体" w:hAnsi="宋体" w:eastAsia="宋体" w:cs="宋体"/>
          <w:sz w:val="24"/>
          <w:szCs w:val="24"/>
          <w:lang w:eastAsia="zh-CN"/>
        </w:rPr>
        <w:t>或超出规定服务时间</w:t>
      </w:r>
      <w:r>
        <w:rPr>
          <w:rFonts w:hint="eastAsia" w:ascii="宋体" w:hAnsi="宋体" w:eastAsia="宋体" w:cs="宋体"/>
          <w:sz w:val="24"/>
          <w:szCs w:val="24"/>
        </w:rPr>
        <w:t>的按比例扣除</w:t>
      </w:r>
      <w:r>
        <w:rPr>
          <w:rFonts w:hint="eastAsia" w:ascii="宋体" w:hAnsi="宋体" w:eastAsia="宋体" w:cs="宋体"/>
          <w:sz w:val="24"/>
          <w:szCs w:val="24"/>
          <w:lang w:eastAsia="zh-CN"/>
        </w:rPr>
        <w:t>或增加</w:t>
      </w:r>
      <w:r>
        <w:rPr>
          <w:rFonts w:hint="eastAsia" w:ascii="宋体" w:hAnsi="宋体" w:eastAsia="宋体" w:cs="宋体"/>
          <w:sz w:val="24"/>
          <w:szCs w:val="24"/>
        </w:rPr>
        <w:t>奖励资金</w:t>
      </w:r>
      <w:r>
        <w:rPr>
          <w:rFonts w:hint="eastAsia" w:ascii="宋体" w:hAnsi="宋体" w:eastAsia="宋体" w:cs="宋体"/>
          <w:sz w:val="24"/>
          <w:szCs w:val="24"/>
          <w:lang w:eastAsia="zh-CN"/>
        </w:rPr>
        <w:t>。</w:t>
      </w:r>
    </w:p>
    <w:p w14:paraId="7254FF70">
      <w:pPr>
        <w:pStyle w:val="8"/>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上述资金来源均为政府拨款</w:t>
      </w:r>
      <w:r>
        <w:rPr>
          <w:rFonts w:hint="eastAsia" w:ascii="宋体" w:hAnsi="宋体" w:eastAsia="宋体" w:cs="宋体"/>
          <w:sz w:val="24"/>
          <w:szCs w:val="24"/>
          <w:lang w:eastAsia="zh-CN"/>
        </w:rPr>
        <w:t>（资金已含税），如遇政策调整，</w:t>
      </w:r>
      <w:r>
        <w:rPr>
          <w:rFonts w:hint="eastAsia" w:ascii="宋体" w:hAnsi="宋体" w:eastAsia="宋体" w:cs="宋体"/>
          <w:sz w:val="24"/>
          <w:szCs w:val="24"/>
          <w:lang w:val="en-US" w:eastAsia="zh-CN"/>
        </w:rPr>
        <w:t>将按</w:t>
      </w:r>
      <w:r>
        <w:rPr>
          <w:rFonts w:hint="eastAsia" w:ascii="宋体" w:hAnsi="宋体" w:eastAsia="宋体" w:cs="宋体"/>
          <w:sz w:val="24"/>
          <w:szCs w:val="24"/>
          <w:lang w:eastAsia="zh-CN"/>
        </w:rPr>
        <w:t>新政策规定执行</w:t>
      </w:r>
      <w:r>
        <w:rPr>
          <w:rFonts w:hint="eastAsia" w:ascii="宋体" w:hAnsi="宋体" w:eastAsia="宋体" w:cs="宋体"/>
          <w:sz w:val="24"/>
          <w:szCs w:val="24"/>
        </w:rPr>
        <w:t>。</w:t>
      </w:r>
    </w:p>
    <w:p w14:paraId="74C7A8CD">
      <w:pPr>
        <w:pStyle w:val="8"/>
        <w:ind w:firstLine="482" w:firstLineChars="200"/>
        <w:jc w:val="both"/>
        <w:outlineLvl w:val="1"/>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二、服务设施</w:t>
      </w:r>
    </w:p>
    <w:p w14:paraId="0FA8A03C">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kern w:val="28"/>
          <w:sz w:val="24"/>
          <w:szCs w:val="24"/>
          <w:highlight w:val="none"/>
          <w:lang w:eastAsia="zh-CN"/>
        </w:rPr>
        <w:t>颐康中心1个，社区颐康服务站</w:t>
      </w:r>
      <w:r>
        <w:rPr>
          <w:rFonts w:hint="eastAsia" w:ascii="宋体" w:hAnsi="宋体" w:eastAsia="宋体" w:cs="宋体"/>
          <w:color w:val="auto"/>
          <w:kern w:val="28"/>
          <w:sz w:val="24"/>
          <w:szCs w:val="24"/>
          <w:highlight w:val="none"/>
          <w:lang w:val="en-US" w:eastAsia="zh-CN"/>
        </w:rPr>
        <w:t>15</w:t>
      </w:r>
      <w:r>
        <w:rPr>
          <w:rFonts w:hint="eastAsia" w:ascii="宋体" w:hAnsi="宋体" w:eastAsia="宋体" w:cs="宋体"/>
          <w:color w:val="auto"/>
          <w:kern w:val="28"/>
          <w:sz w:val="24"/>
          <w:szCs w:val="24"/>
          <w:highlight w:val="none"/>
          <w:lang w:eastAsia="zh-CN"/>
        </w:rPr>
        <w:t>个。本项目的</w:t>
      </w:r>
      <w:r>
        <w:rPr>
          <w:rFonts w:hint="eastAsia" w:ascii="宋体" w:hAnsi="宋体" w:eastAsia="宋体" w:cs="宋体"/>
          <w:color w:val="auto"/>
          <w:kern w:val="28"/>
          <w:sz w:val="24"/>
          <w:szCs w:val="24"/>
          <w:highlight w:val="none"/>
          <w:lang w:val="en-US" w:eastAsia="zh-CN"/>
        </w:rPr>
        <w:t>场地由采购人提供，</w:t>
      </w:r>
      <w:r>
        <w:rPr>
          <w:rFonts w:hint="eastAsia" w:ascii="宋体" w:hAnsi="宋体" w:eastAsia="宋体" w:cs="宋体"/>
          <w:color w:val="auto"/>
          <w:kern w:val="28"/>
          <w:sz w:val="24"/>
          <w:szCs w:val="24"/>
          <w:highlight w:val="none"/>
          <w:lang w:eastAsia="zh-CN"/>
        </w:rPr>
        <w:t>成交人继续依托原</w:t>
      </w:r>
      <w:r>
        <w:rPr>
          <w:rFonts w:hint="eastAsia" w:ascii="宋体" w:hAnsi="宋体" w:eastAsia="宋体" w:cs="宋体"/>
          <w:color w:val="auto"/>
          <w:kern w:val="28"/>
          <w:sz w:val="24"/>
          <w:szCs w:val="24"/>
          <w:highlight w:val="none"/>
          <w:lang w:val="en-US" w:eastAsia="zh-CN"/>
        </w:rPr>
        <w:t>车陂</w:t>
      </w:r>
      <w:r>
        <w:rPr>
          <w:rFonts w:hint="eastAsia" w:ascii="宋体" w:hAnsi="宋体" w:eastAsia="宋体" w:cs="宋体"/>
          <w:color w:val="auto"/>
          <w:kern w:val="28"/>
          <w:sz w:val="24"/>
          <w:szCs w:val="24"/>
          <w:highlight w:val="none"/>
          <w:lang w:eastAsia="zh-CN"/>
        </w:rPr>
        <w:t>街综合养老服务中心（颐康中心）和社区颐康服务站场地提供项目服务。涉及原服务设施场地的</w:t>
      </w:r>
      <w:r>
        <w:rPr>
          <w:rFonts w:hint="eastAsia" w:ascii="宋体" w:hAnsi="宋体" w:eastAsia="宋体" w:cs="宋体"/>
          <w:color w:val="auto"/>
          <w:kern w:val="28"/>
          <w:sz w:val="24"/>
          <w:szCs w:val="24"/>
          <w:highlight w:val="none"/>
          <w:lang w:val="en-US" w:eastAsia="zh-CN"/>
        </w:rPr>
        <w:t>租赁方案及</w:t>
      </w:r>
      <w:r>
        <w:rPr>
          <w:rFonts w:hint="eastAsia" w:ascii="宋体" w:hAnsi="宋体" w:eastAsia="宋体" w:cs="宋体"/>
          <w:color w:val="auto"/>
          <w:kern w:val="28"/>
          <w:sz w:val="24"/>
          <w:szCs w:val="24"/>
          <w:highlight w:val="none"/>
          <w:lang w:eastAsia="zh-CN"/>
        </w:rPr>
        <w:t>水电等</w:t>
      </w:r>
      <w:r>
        <w:rPr>
          <w:rFonts w:hint="eastAsia" w:ascii="宋体" w:hAnsi="宋体" w:eastAsia="宋体" w:cs="宋体"/>
          <w:color w:val="auto"/>
          <w:kern w:val="28"/>
          <w:sz w:val="24"/>
          <w:szCs w:val="24"/>
          <w:highlight w:val="none"/>
          <w:lang w:val="en-US" w:eastAsia="zh-CN"/>
        </w:rPr>
        <w:t>场地</w:t>
      </w:r>
      <w:r>
        <w:rPr>
          <w:rFonts w:hint="eastAsia" w:ascii="宋体" w:hAnsi="宋体" w:eastAsia="宋体" w:cs="宋体"/>
          <w:color w:val="auto"/>
          <w:kern w:val="28"/>
          <w:sz w:val="24"/>
          <w:szCs w:val="24"/>
          <w:highlight w:val="none"/>
          <w:lang w:eastAsia="zh-CN"/>
        </w:rPr>
        <w:t>费用，</w:t>
      </w:r>
      <w:r>
        <w:rPr>
          <w:rFonts w:hint="eastAsia" w:ascii="宋体" w:hAnsi="宋体" w:eastAsia="宋体" w:cs="宋体"/>
          <w:color w:val="auto"/>
          <w:kern w:val="28"/>
          <w:sz w:val="24"/>
          <w:szCs w:val="24"/>
          <w:highlight w:val="none"/>
          <w:lang w:val="en-US" w:eastAsia="zh-CN"/>
        </w:rPr>
        <w:t>由成交人、原运营机构和共用场地的机构共同协商予以确定，协商不成的，由采购人根据公平合理原则，确定费用分摊方案，各方应予执行。</w:t>
      </w:r>
      <w:r>
        <w:rPr>
          <w:rFonts w:ascii="Segoe UI" w:hAnsi="Segoe UI" w:eastAsia="Segoe UI" w:cs="Segoe UI"/>
          <w:i w:val="0"/>
          <w:iCs w:val="0"/>
          <w:caps w:val="0"/>
          <w:color w:val="0F1115"/>
          <w:spacing w:val="0"/>
          <w:sz w:val="24"/>
          <w:szCs w:val="24"/>
          <w:highlight w:val="none"/>
          <w:shd w:val="clear" w:fill="FFFFFF"/>
        </w:rPr>
        <w:t>若因实际功能调整、服务升级或</w:t>
      </w:r>
      <w:r>
        <w:rPr>
          <w:rFonts w:hint="default" w:ascii="Segoe UI" w:hAnsi="Segoe UI" w:eastAsia="Segoe UI" w:cs="Segoe UI"/>
          <w:b w:val="0"/>
          <w:bCs w:val="0"/>
          <w:i w:val="0"/>
          <w:iCs w:val="0"/>
          <w:caps w:val="0"/>
          <w:color w:val="0F1115"/>
          <w:spacing w:val="0"/>
          <w:sz w:val="24"/>
          <w:szCs w:val="24"/>
          <w:highlight w:val="none"/>
          <w:shd w:val="clear" w:fill="FFFFFF"/>
        </w:rPr>
        <w:t>政策法规要求</w:t>
      </w:r>
      <w:r>
        <w:rPr>
          <w:rFonts w:hint="default" w:ascii="Segoe UI" w:hAnsi="Segoe UI" w:eastAsia="Segoe UI" w:cs="Segoe UI"/>
          <w:i w:val="0"/>
          <w:iCs w:val="0"/>
          <w:caps w:val="0"/>
          <w:color w:val="0F1115"/>
          <w:spacing w:val="0"/>
          <w:sz w:val="24"/>
          <w:szCs w:val="24"/>
          <w:highlight w:val="none"/>
          <w:shd w:val="clear" w:fill="FFFFFF"/>
        </w:rPr>
        <w:t>需进行场地升级改造</w:t>
      </w:r>
      <w:r>
        <w:rPr>
          <w:rFonts w:hint="eastAsia" w:ascii="宋体" w:hAnsi="宋体" w:eastAsia="宋体" w:cs="宋体"/>
          <w:color w:val="auto"/>
          <w:kern w:val="28"/>
          <w:sz w:val="24"/>
          <w:szCs w:val="24"/>
          <w:highlight w:val="none"/>
          <w:lang w:val="en-US" w:eastAsia="zh-CN"/>
        </w:rPr>
        <w:t>，成交人需承担升级改造产生的建设费用等相关费用。</w:t>
      </w:r>
      <w:r>
        <w:rPr>
          <w:rFonts w:ascii="Segoe UI" w:hAnsi="Segoe UI" w:eastAsia="Segoe UI" w:cs="Segoe UI"/>
          <w:i w:val="0"/>
          <w:iCs w:val="0"/>
          <w:caps w:val="0"/>
          <w:color w:val="0F1115"/>
          <w:spacing w:val="0"/>
          <w:sz w:val="24"/>
          <w:szCs w:val="24"/>
          <w:highlight w:val="none"/>
          <w:shd w:val="clear" w:fill="FFFFFF"/>
        </w:rPr>
        <w:t>如需使用新场地，成交人须完成审批手续并承担</w:t>
      </w:r>
      <w:r>
        <w:rPr>
          <w:rFonts w:hint="eastAsia" w:ascii="Segoe UI" w:hAnsi="Segoe UI" w:eastAsia="宋体" w:cs="Segoe UI"/>
          <w:i w:val="0"/>
          <w:iCs w:val="0"/>
          <w:caps w:val="0"/>
          <w:color w:val="0F1115"/>
          <w:spacing w:val="0"/>
          <w:sz w:val="24"/>
          <w:szCs w:val="24"/>
          <w:highlight w:val="none"/>
          <w:shd w:val="clear" w:fill="FFFFFF"/>
          <w:lang w:val="en-US" w:eastAsia="zh-CN"/>
        </w:rPr>
        <w:t>全部</w:t>
      </w:r>
      <w:r>
        <w:rPr>
          <w:rFonts w:ascii="Segoe UI" w:hAnsi="Segoe UI" w:eastAsia="Segoe UI" w:cs="Segoe UI"/>
          <w:i w:val="0"/>
          <w:iCs w:val="0"/>
          <w:caps w:val="0"/>
          <w:color w:val="0F1115"/>
          <w:spacing w:val="0"/>
          <w:sz w:val="24"/>
          <w:szCs w:val="24"/>
          <w:highlight w:val="none"/>
          <w:shd w:val="clear" w:fill="FFFFFF"/>
        </w:rPr>
        <w:t>费用</w:t>
      </w:r>
      <w:r>
        <w:rPr>
          <w:rFonts w:hint="eastAsia" w:ascii="Segoe UI" w:hAnsi="Segoe UI" w:eastAsia="宋体" w:cs="Segoe UI"/>
          <w:i w:val="0"/>
          <w:iCs w:val="0"/>
          <w:caps w:val="0"/>
          <w:color w:val="0F1115"/>
          <w:spacing w:val="0"/>
          <w:sz w:val="24"/>
          <w:szCs w:val="24"/>
          <w:highlight w:val="none"/>
          <w:shd w:val="clear" w:fill="FFFFFF"/>
          <w:lang w:eastAsia="zh-CN"/>
        </w:rPr>
        <w:t>（</w:t>
      </w:r>
      <w:r>
        <w:rPr>
          <w:rFonts w:hint="eastAsia" w:ascii="Segoe UI" w:hAnsi="Segoe UI" w:eastAsia="宋体" w:cs="Segoe UI"/>
          <w:i w:val="0"/>
          <w:iCs w:val="0"/>
          <w:caps w:val="0"/>
          <w:color w:val="0F1115"/>
          <w:spacing w:val="0"/>
          <w:sz w:val="24"/>
          <w:szCs w:val="24"/>
          <w:highlight w:val="none"/>
          <w:shd w:val="clear" w:fill="FFFFFF"/>
          <w:lang w:val="en-US" w:eastAsia="zh-CN"/>
        </w:rPr>
        <w:t>包括但不限于场地租金、物业管理费、水电费、装修费、行政审批费等</w:t>
      </w:r>
      <w:r>
        <w:rPr>
          <w:rFonts w:hint="eastAsia" w:ascii="Segoe UI" w:hAnsi="Segoe UI" w:eastAsia="宋体" w:cs="Segoe UI"/>
          <w:i w:val="0"/>
          <w:iCs w:val="0"/>
          <w:caps w:val="0"/>
          <w:color w:val="0F1115"/>
          <w:spacing w:val="0"/>
          <w:sz w:val="24"/>
          <w:szCs w:val="24"/>
          <w:highlight w:val="none"/>
          <w:shd w:val="clear" w:fill="FFFFFF"/>
          <w:lang w:eastAsia="zh-CN"/>
        </w:rPr>
        <w:t>）。</w:t>
      </w:r>
      <w:r>
        <w:rPr>
          <w:rFonts w:hint="eastAsia" w:ascii="宋体" w:hAnsi="宋体" w:eastAsia="宋体" w:cs="宋体"/>
          <w:b/>
          <w:bCs/>
          <w:color w:val="auto"/>
          <w:kern w:val="28"/>
          <w:sz w:val="24"/>
          <w:szCs w:val="24"/>
          <w:highlight w:val="none"/>
          <w:lang w:val="en-US" w:eastAsia="zh-CN"/>
        </w:rPr>
        <w:t>（响应时提供承诺函，格式自拟，加盖供应商公章）</w:t>
      </w:r>
      <w:r>
        <w:rPr>
          <w:rFonts w:hint="eastAsia" w:ascii="宋体" w:hAnsi="宋体" w:eastAsia="宋体" w:cs="宋体"/>
          <w:color w:val="auto"/>
          <w:kern w:val="28"/>
          <w:sz w:val="24"/>
          <w:szCs w:val="24"/>
          <w:highlight w:val="none"/>
          <w:lang w:val="en-US" w:eastAsia="zh-CN"/>
        </w:rPr>
        <w:t>。</w:t>
      </w:r>
    </w:p>
    <w:p w14:paraId="638F32C7">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本项目服务设施详见</w:t>
      </w:r>
      <w:r>
        <w:rPr>
          <w:rFonts w:hint="eastAsia" w:ascii="宋体" w:hAnsi="宋体" w:eastAsia="宋体" w:cs="宋体"/>
          <w:b/>
          <w:bCs/>
          <w:color w:val="auto"/>
          <w:kern w:val="28"/>
          <w:sz w:val="24"/>
          <w:szCs w:val="24"/>
          <w:highlight w:val="none"/>
          <w:lang w:eastAsia="zh-CN"/>
        </w:rPr>
        <w:t>《</w:t>
      </w:r>
      <w:r>
        <w:rPr>
          <w:rFonts w:hint="eastAsia" w:ascii="宋体" w:hAnsi="宋体" w:eastAsia="宋体" w:cs="宋体"/>
          <w:b/>
          <w:bCs/>
          <w:color w:val="auto"/>
          <w:sz w:val="24"/>
          <w:szCs w:val="24"/>
          <w:highlight w:val="none"/>
        </w:rPr>
        <w:t>服务设施一览</w:t>
      </w:r>
      <w:r>
        <w:rPr>
          <w:rFonts w:hint="eastAsia" w:ascii="宋体" w:hAnsi="宋体" w:eastAsia="宋体" w:cs="宋体"/>
          <w:b/>
          <w:bCs/>
          <w:color w:val="auto"/>
          <w:kern w:val="28"/>
          <w:sz w:val="24"/>
          <w:szCs w:val="24"/>
          <w:highlight w:val="none"/>
          <w:lang w:eastAsia="zh-CN"/>
        </w:rPr>
        <w:t>》</w:t>
      </w:r>
      <w:r>
        <w:rPr>
          <w:rFonts w:hint="eastAsia" w:ascii="宋体" w:hAnsi="宋体" w:eastAsia="宋体" w:cs="宋体"/>
          <w:color w:val="auto"/>
          <w:kern w:val="28"/>
          <w:sz w:val="24"/>
          <w:szCs w:val="24"/>
          <w:highlight w:val="none"/>
          <w:lang w:eastAsia="zh-CN"/>
        </w:rPr>
        <w:t>，如有变更，由采购人以书面形式通知服务机构。</w:t>
      </w:r>
    </w:p>
    <w:p w14:paraId="62EF6D0E">
      <w:pPr>
        <w:pStyle w:val="8"/>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服务设施一览</w:t>
      </w:r>
    </w:p>
    <w:tbl>
      <w:tblPr>
        <w:tblStyle w:val="5"/>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7"/>
        <w:gridCol w:w="2289"/>
        <w:gridCol w:w="4082"/>
        <w:gridCol w:w="1381"/>
      </w:tblGrid>
      <w:tr w14:paraId="30E1D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7809D1">
            <w:pPr>
              <w:pStyle w:val="8"/>
              <w:jc w:val="center"/>
              <w:rPr>
                <w:rFonts w:hint="eastAsia" w:ascii="宋体" w:hAnsi="宋体" w:eastAsia="宋体" w:cs="宋体"/>
                <w:b/>
                <w:bCs/>
                <w:sz w:val="22"/>
                <w:szCs w:val="22"/>
                <w:lang w:val="en-US" w:eastAsia="zh-CN" w:bidi="ar-SA"/>
              </w:rPr>
            </w:pPr>
            <w:r>
              <w:rPr>
                <w:rFonts w:hint="eastAsia" w:ascii="宋体" w:hAnsi="宋体" w:eastAsia="宋体" w:cs="宋体"/>
                <w:b/>
                <w:bCs/>
                <w:color w:val="000000"/>
                <w:sz w:val="22"/>
                <w:szCs w:val="22"/>
              </w:rPr>
              <w:t>序号</w:t>
            </w:r>
          </w:p>
        </w:tc>
        <w:tc>
          <w:tcPr>
            <w:tcW w:w="13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0DC7C7">
            <w:pPr>
              <w:pStyle w:val="8"/>
              <w:jc w:val="center"/>
              <w:rPr>
                <w:rFonts w:hint="eastAsia" w:ascii="宋体" w:hAnsi="宋体" w:eastAsia="宋体" w:cs="宋体"/>
                <w:b/>
                <w:bCs/>
                <w:sz w:val="22"/>
                <w:szCs w:val="22"/>
                <w:lang w:val="en-US" w:eastAsia="zh-Hans" w:bidi="ar-SA"/>
              </w:rPr>
            </w:pPr>
            <w:r>
              <w:rPr>
                <w:rFonts w:hint="eastAsia" w:ascii="宋体" w:hAnsi="宋体" w:eastAsia="宋体" w:cs="宋体"/>
                <w:b/>
                <w:bCs/>
                <w:color w:val="000000"/>
                <w:sz w:val="22"/>
                <w:szCs w:val="22"/>
              </w:rPr>
              <w:t>设施场地名称</w:t>
            </w:r>
          </w:p>
        </w:tc>
        <w:tc>
          <w:tcPr>
            <w:tcW w:w="239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7524FD">
            <w:pPr>
              <w:pStyle w:val="8"/>
              <w:jc w:val="center"/>
              <w:rPr>
                <w:rFonts w:hint="eastAsia" w:ascii="宋体" w:hAnsi="宋体" w:eastAsia="宋体" w:cs="宋体"/>
                <w:b/>
                <w:bCs/>
                <w:sz w:val="22"/>
                <w:szCs w:val="22"/>
                <w:lang w:val="en-US" w:eastAsia="zh-Hans" w:bidi="ar-SA"/>
              </w:rPr>
            </w:pPr>
            <w:r>
              <w:rPr>
                <w:rFonts w:hint="eastAsia" w:ascii="宋体" w:hAnsi="宋体" w:eastAsia="宋体" w:cs="宋体"/>
                <w:b/>
                <w:bCs/>
                <w:color w:val="000000"/>
                <w:sz w:val="22"/>
                <w:szCs w:val="22"/>
              </w:rPr>
              <w:t>设施场地</w:t>
            </w:r>
            <w:r>
              <w:rPr>
                <w:rFonts w:hint="eastAsia" w:ascii="宋体" w:hAnsi="宋体" w:eastAsia="宋体" w:cs="宋体"/>
                <w:b/>
                <w:bCs/>
                <w:color w:val="000000"/>
                <w:sz w:val="22"/>
                <w:szCs w:val="22"/>
                <w:lang w:eastAsia="zh-CN"/>
              </w:rPr>
              <w:t>现</w:t>
            </w:r>
            <w:r>
              <w:rPr>
                <w:rFonts w:hint="eastAsia" w:ascii="宋体" w:hAnsi="宋体" w:eastAsia="宋体" w:cs="宋体"/>
                <w:b/>
                <w:bCs/>
                <w:color w:val="000000"/>
                <w:sz w:val="22"/>
                <w:szCs w:val="22"/>
              </w:rPr>
              <w:t>地址</w:t>
            </w:r>
          </w:p>
        </w:tc>
        <w:tc>
          <w:tcPr>
            <w:tcW w:w="81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56FB33">
            <w:pPr>
              <w:pStyle w:val="8"/>
              <w:jc w:val="center"/>
              <w:rPr>
                <w:rFonts w:hint="eastAsia" w:ascii="宋体" w:hAnsi="宋体" w:eastAsia="宋体" w:cs="宋体"/>
                <w:b/>
                <w:bCs/>
                <w:color w:val="000000"/>
                <w:sz w:val="22"/>
                <w:szCs w:val="22"/>
                <w:lang w:val="en-US" w:eastAsia="zh-CN" w:bidi="ar-SA"/>
              </w:rPr>
            </w:pPr>
            <w:r>
              <w:rPr>
                <w:rFonts w:hint="eastAsia" w:ascii="宋体" w:hAnsi="宋体" w:eastAsia="宋体" w:cs="宋体"/>
                <w:b/>
                <w:bCs/>
                <w:color w:val="000000"/>
                <w:sz w:val="22"/>
                <w:szCs w:val="22"/>
              </w:rPr>
              <w:t>可使用面积（㎡）</w:t>
            </w:r>
          </w:p>
        </w:tc>
      </w:tr>
      <w:tr w14:paraId="5E7C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000000" w:sz="4" w:space="0"/>
              <w:left w:val="single" w:color="000000" w:sz="4" w:space="0"/>
              <w:right w:val="single" w:color="000000" w:sz="4" w:space="0"/>
            </w:tcBorders>
            <w:shd w:val="clear" w:color="auto" w:fill="auto"/>
            <w:vAlign w:val="center"/>
          </w:tcPr>
          <w:p w14:paraId="27F951A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343" w:type="pct"/>
            <w:vMerge w:val="restart"/>
            <w:tcBorders>
              <w:top w:val="single" w:color="000000" w:sz="4" w:space="0"/>
              <w:left w:val="single" w:color="000000" w:sz="4" w:space="0"/>
              <w:right w:val="single" w:color="000000" w:sz="4" w:space="0"/>
            </w:tcBorders>
            <w:shd w:val="clear" w:color="auto" w:fill="auto"/>
            <w:vAlign w:val="center"/>
          </w:tcPr>
          <w:p w14:paraId="0CF992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天河区车陂街综合养老服务中心（颐康中心）</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955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场地1：广州市天河区车陂路30号101铺</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71F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约744 </w:t>
            </w:r>
          </w:p>
        </w:tc>
      </w:tr>
      <w:tr w14:paraId="0AE66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right w:val="single" w:color="000000" w:sz="4" w:space="0"/>
            </w:tcBorders>
            <w:shd w:val="clear" w:color="auto" w:fill="auto"/>
            <w:vAlign w:val="center"/>
          </w:tcPr>
          <w:p w14:paraId="3C7EC9E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left w:val="single" w:color="000000" w:sz="4" w:space="0"/>
              <w:right w:val="single" w:color="000000" w:sz="4" w:space="0"/>
            </w:tcBorders>
            <w:shd w:val="clear" w:color="auto" w:fill="auto"/>
            <w:vAlign w:val="center"/>
          </w:tcPr>
          <w:p w14:paraId="59F27F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17E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场地2：广州市天河区车陂路30号103、107铺</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3E2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约217 </w:t>
            </w:r>
          </w:p>
        </w:tc>
      </w:tr>
      <w:tr w14:paraId="691D3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bottom w:val="single" w:color="000000" w:sz="4" w:space="0"/>
              <w:right w:val="single" w:color="000000" w:sz="4" w:space="0"/>
            </w:tcBorders>
            <w:shd w:val="clear" w:color="auto" w:fill="auto"/>
            <w:vAlign w:val="center"/>
          </w:tcPr>
          <w:p w14:paraId="66FBB69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left w:val="single" w:color="000000" w:sz="4" w:space="0"/>
              <w:bottom w:val="single" w:color="000000" w:sz="4" w:space="0"/>
              <w:right w:val="single" w:color="000000" w:sz="4" w:space="0"/>
            </w:tcBorders>
            <w:shd w:val="clear" w:color="auto" w:fill="auto"/>
            <w:vAlign w:val="center"/>
          </w:tcPr>
          <w:p w14:paraId="7BFCB3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FB7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场地3：广州市天河区车陂路30号104、</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105、106、108铺</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3ED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约405 </w:t>
            </w:r>
          </w:p>
        </w:tc>
      </w:tr>
      <w:tr w14:paraId="67EEF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18C5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37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美好社区颐康服务站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017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广州市天河区车陂街车陂路426号</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82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r w14:paraId="74B9C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000000" w:sz="4" w:space="0"/>
              <w:left w:val="single" w:color="000000" w:sz="4" w:space="0"/>
              <w:right w:val="single" w:color="000000" w:sz="4" w:space="0"/>
            </w:tcBorders>
            <w:shd w:val="clear" w:color="auto" w:fill="auto"/>
            <w:vAlign w:val="center"/>
          </w:tcPr>
          <w:p w14:paraId="0B6DBA4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343" w:type="pct"/>
            <w:vMerge w:val="restart"/>
            <w:tcBorders>
              <w:top w:val="single" w:color="000000" w:sz="4" w:space="0"/>
              <w:left w:val="single" w:color="000000" w:sz="4" w:space="0"/>
              <w:right w:val="single" w:color="000000" w:sz="4" w:space="0"/>
            </w:tcBorders>
            <w:shd w:val="clear" w:color="auto" w:fill="auto"/>
            <w:vAlign w:val="center"/>
          </w:tcPr>
          <w:p w14:paraId="6DACDD78">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天坤社区颐康服务站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7EE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广氮花园南环街分站：广州市天河区车陂街广氮花园南环街2号楼首层102房</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D46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约99 </w:t>
            </w:r>
          </w:p>
        </w:tc>
      </w:tr>
      <w:tr w14:paraId="0121C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bottom w:val="single" w:color="000000" w:sz="4" w:space="0"/>
              <w:right w:val="single" w:color="000000" w:sz="4" w:space="0"/>
            </w:tcBorders>
            <w:shd w:val="clear" w:color="auto" w:fill="auto"/>
            <w:vAlign w:val="center"/>
          </w:tcPr>
          <w:p w14:paraId="6947A1FD">
            <w:pPr>
              <w:keepNext w:val="0"/>
              <w:keepLines w:val="0"/>
              <w:widowControl/>
              <w:suppressLineNumbers w:val="0"/>
              <w:jc w:val="center"/>
              <w:textAlignment w:val="center"/>
              <w:rPr>
                <w:rStyle w:val="9"/>
                <w:rFonts w:hint="eastAsia" w:ascii="宋体" w:hAnsi="宋体" w:eastAsia="宋体" w:cs="宋体"/>
                <w:sz w:val="22"/>
                <w:szCs w:val="22"/>
                <w:lang w:val="en-US" w:eastAsia="zh-CN" w:bidi="ar"/>
              </w:rPr>
            </w:pPr>
          </w:p>
        </w:tc>
        <w:tc>
          <w:tcPr>
            <w:tcW w:w="1343" w:type="pct"/>
            <w:vMerge w:val="continue"/>
            <w:tcBorders>
              <w:left w:val="single" w:color="000000" w:sz="4" w:space="0"/>
              <w:bottom w:val="single" w:color="000000" w:sz="4" w:space="0"/>
              <w:right w:val="single" w:color="000000" w:sz="4" w:space="0"/>
            </w:tcBorders>
            <w:shd w:val="clear" w:color="auto" w:fill="auto"/>
            <w:vAlign w:val="center"/>
          </w:tcPr>
          <w:p w14:paraId="0E45F7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C4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金地天河峯睿分站：广州市天河区健明五路6号之六101房</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FB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约102 </w:t>
            </w:r>
          </w:p>
        </w:tc>
      </w:tr>
      <w:tr w14:paraId="2AEC7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F89A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74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慧雅社区颐康服务站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98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广州市天河区车陂街天坤二路阳华国花苑和美街9号</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B52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约200 </w:t>
            </w:r>
          </w:p>
        </w:tc>
      </w:tr>
      <w:tr w14:paraId="58005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000000" w:sz="4" w:space="0"/>
              <w:left w:val="single" w:color="000000" w:sz="4" w:space="0"/>
              <w:right w:val="single" w:color="000000" w:sz="4" w:space="0"/>
            </w:tcBorders>
            <w:shd w:val="clear" w:color="auto" w:fill="auto"/>
            <w:vAlign w:val="center"/>
          </w:tcPr>
          <w:p w14:paraId="52B454E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343" w:type="pct"/>
            <w:vMerge w:val="restart"/>
            <w:tcBorders>
              <w:top w:val="single" w:color="000000" w:sz="4" w:space="0"/>
              <w:left w:val="single" w:color="000000" w:sz="4" w:space="0"/>
              <w:right w:val="single" w:color="000000" w:sz="4" w:space="0"/>
            </w:tcBorders>
            <w:shd w:val="clear" w:color="auto" w:fill="auto"/>
            <w:vAlign w:val="center"/>
          </w:tcPr>
          <w:p w14:paraId="47D072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智源社区颐康服务站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932DB">
            <w:pPr>
              <w:keepNext w:val="0"/>
              <w:keepLines w:val="0"/>
              <w:widowControl/>
              <w:suppressLineNumbers w:val="0"/>
              <w:jc w:val="both"/>
              <w:textAlignment w:val="center"/>
              <w:rPr>
                <w:rFonts w:hint="eastAsia"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上城阳光花园分站：广州市天河区车陂街天健上城阳光花园1栋首层116房</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E3F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约114 </w:t>
            </w:r>
          </w:p>
        </w:tc>
      </w:tr>
      <w:tr w14:paraId="784C2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right w:val="single" w:color="000000" w:sz="4" w:space="0"/>
            </w:tcBorders>
            <w:shd w:val="clear" w:color="auto" w:fill="auto"/>
            <w:vAlign w:val="center"/>
          </w:tcPr>
          <w:p w14:paraId="79D25F0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left w:val="single" w:color="000000" w:sz="4" w:space="0"/>
              <w:right w:val="single" w:color="000000" w:sz="4" w:space="0"/>
            </w:tcBorders>
            <w:shd w:val="clear" w:color="auto" w:fill="auto"/>
            <w:vAlign w:val="center"/>
          </w:tcPr>
          <w:p w14:paraId="36D30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auto" w:sz="4" w:space="0"/>
              <w:right w:val="single" w:color="000000" w:sz="4" w:space="0"/>
            </w:tcBorders>
            <w:shd w:val="clear" w:color="auto" w:fill="auto"/>
            <w:vAlign w:val="center"/>
          </w:tcPr>
          <w:p w14:paraId="67D58F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德荟花园分站：广州市天河区健明三路9号之三9号之四102房</w:t>
            </w:r>
          </w:p>
        </w:tc>
        <w:tc>
          <w:tcPr>
            <w:tcW w:w="810" w:type="pct"/>
            <w:tcBorders>
              <w:top w:val="single" w:color="000000" w:sz="4" w:space="0"/>
              <w:left w:val="single" w:color="000000" w:sz="4" w:space="0"/>
              <w:bottom w:val="single" w:color="auto" w:sz="4" w:space="0"/>
              <w:right w:val="single" w:color="000000" w:sz="4" w:space="0"/>
            </w:tcBorders>
            <w:shd w:val="clear" w:color="auto" w:fill="auto"/>
            <w:vAlign w:val="center"/>
          </w:tcPr>
          <w:p w14:paraId="70F586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约104 </w:t>
            </w:r>
          </w:p>
        </w:tc>
      </w:tr>
      <w:tr w14:paraId="782DF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bottom w:val="single" w:color="auto" w:sz="4" w:space="0"/>
              <w:right w:val="single" w:color="000000" w:sz="4" w:space="0"/>
            </w:tcBorders>
            <w:shd w:val="clear" w:color="auto" w:fill="auto"/>
            <w:vAlign w:val="center"/>
          </w:tcPr>
          <w:p w14:paraId="2FDF264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left w:val="single" w:color="000000" w:sz="4" w:space="0"/>
              <w:bottom w:val="single" w:color="auto" w:sz="4" w:space="0"/>
              <w:right w:val="single" w:color="000000" w:sz="4" w:space="0"/>
            </w:tcBorders>
            <w:shd w:val="clear" w:color="auto" w:fill="auto"/>
            <w:vAlign w:val="center"/>
          </w:tcPr>
          <w:p w14:paraId="4F8A3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auto" w:sz="4" w:space="0"/>
              <w:right w:val="single" w:color="000000" w:sz="4" w:space="0"/>
            </w:tcBorders>
            <w:shd w:val="clear" w:color="auto" w:fill="auto"/>
            <w:vAlign w:val="center"/>
          </w:tcPr>
          <w:p w14:paraId="2CDBE4A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棠安花园分站：广州市天河区健明五路7号之一101房、102房</w:t>
            </w:r>
          </w:p>
        </w:tc>
        <w:tc>
          <w:tcPr>
            <w:tcW w:w="810" w:type="pct"/>
            <w:tcBorders>
              <w:top w:val="single" w:color="000000" w:sz="4" w:space="0"/>
              <w:left w:val="single" w:color="000000" w:sz="4" w:space="0"/>
              <w:bottom w:val="single" w:color="auto" w:sz="4" w:space="0"/>
              <w:right w:val="single" w:color="000000" w:sz="4" w:space="0"/>
            </w:tcBorders>
            <w:shd w:val="clear" w:color="auto" w:fill="auto"/>
            <w:vAlign w:val="center"/>
          </w:tcPr>
          <w:p w14:paraId="6DFBA4A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约113</w:t>
            </w:r>
          </w:p>
        </w:tc>
      </w:tr>
      <w:tr w14:paraId="1761A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CC95FC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34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7F3A8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旭景社区颐康服务站</w:t>
            </w:r>
          </w:p>
        </w:tc>
        <w:tc>
          <w:tcPr>
            <w:tcW w:w="2395" w:type="pct"/>
            <w:tcBorders>
              <w:top w:val="single" w:color="auto" w:sz="4" w:space="0"/>
              <w:left w:val="single" w:color="auto" w:sz="4" w:space="0"/>
              <w:bottom w:val="single" w:color="auto" w:sz="4" w:space="0"/>
              <w:right w:val="single" w:color="auto" w:sz="4" w:space="0"/>
            </w:tcBorders>
            <w:shd w:val="clear" w:color="auto" w:fill="auto"/>
            <w:vAlign w:val="center"/>
          </w:tcPr>
          <w:p w14:paraId="531FC7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旭景街分站：广州市天河区车陂街旭景东街13号首层</w:t>
            </w:r>
          </w:p>
        </w:tc>
        <w:tc>
          <w:tcPr>
            <w:tcW w:w="810" w:type="pct"/>
            <w:tcBorders>
              <w:top w:val="single" w:color="auto" w:sz="4" w:space="0"/>
              <w:left w:val="single" w:color="auto" w:sz="4" w:space="0"/>
              <w:bottom w:val="single" w:color="auto" w:sz="4" w:space="0"/>
              <w:right w:val="single" w:color="auto" w:sz="4" w:space="0"/>
            </w:tcBorders>
            <w:shd w:val="clear" w:color="auto" w:fill="auto"/>
            <w:vAlign w:val="center"/>
          </w:tcPr>
          <w:p w14:paraId="7B6F3C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约52 </w:t>
            </w:r>
          </w:p>
        </w:tc>
      </w:tr>
      <w:tr w14:paraId="748A4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5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CECED5C">
            <w:pPr>
              <w:jc w:val="center"/>
              <w:rPr>
                <w:rFonts w:hint="eastAsia" w:ascii="宋体" w:hAnsi="宋体" w:eastAsia="宋体" w:cs="宋体"/>
                <w:i w:val="0"/>
                <w:iCs w:val="0"/>
                <w:color w:val="000000"/>
                <w:sz w:val="22"/>
                <w:szCs w:val="22"/>
                <w:u w:val="none"/>
              </w:rPr>
            </w:pPr>
          </w:p>
        </w:tc>
        <w:tc>
          <w:tcPr>
            <w:tcW w:w="134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341B612">
            <w:pPr>
              <w:jc w:val="center"/>
              <w:rPr>
                <w:rFonts w:hint="eastAsia" w:ascii="宋体" w:hAnsi="宋体" w:eastAsia="宋体" w:cs="宋体"/>
                <w:i w:val="0"/>
                <w:iCs w:val="0"/>
                <w:color w:val="000000"/>
                <w:sz w:val="22"/>
                <w:szCs w:val="22"/>
                <w:u w:val="none"/>
              </w:rPr>
            </w:pPr>
          </w:p>
        </w:tc>
        <w:tc>
          <w:tcPr>
            <w:tcW w:w="2395" w:type="pct"/>
            <w:tcBorders>
              <w:top w:val="single" w:color="auto" w:sz="4" w:space="0"/>
              <w:left w:val="single" w:color="auto" w:sz="4" w:space="0"/>
              <w:bottom w:val="single" w:color="auto" w:sz="4" w:space="0"/>
              <w:right w:val="single" w:color="auto" w:sz="4" w:space="0"/>
            </w:tcBorders>
            <w:shd w:val="clear" w:color="auto" w:fill="auto"/>
            <w:vAlign w:val="center"/>
          </w:tcPr>
          <w:p w14:paraId="71580139">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旭景西街分站：广州市天河区车陂街旭景西街194号</w:t>
            </w:r>
          </w:p>
        </w:tc>
        <w:tc>
          <w:tcPr>
            <w:tcW w:w="810" w:type="pct"/>
            <w:tcBorders>
              <w:top w:val="single" w:color="auto" w:sz="4" w:space="0"/>
              <w:left w:val="single" w:color="auto" w:sz="4" w:space="0"/>
              <w:bottom w:val="single" w:color="auto" w:sz="4" w:space="0"/>
              <w:right w:val="single" w:color="auto" w:sz="4" w:space="0"/>
            </w:tcBorders>
            <w:shd w:val="clear" w:color="auto" w:fill="auto"/>
            <w:vAlign w:val="center"/>
          </w:tcPr>
          <w:p w14:paraId="735A26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r w14:paraId="1ADBB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50" w:type="pct"/>
            <w:tcBorders>
              <w:top w:val="single" w:color="auto" w:sz="4" w:space="0"/>
              <w:left w:val="single" w:color="auto" w:sz="4" w:space="0"/>
              <w:bottom w:val="single" w:color="auto" w:sz="4" w:space="0"/>
              <w:right w:val="single" w:color="auto" w:sz="4" w:space="0"/>
            </w:tcBorders>
            <w:shd w:val="clear" w:color="auto" w:fill="auto"/>
            <w:vAlign w:val="center"/>
          </w:tcPr>
          <w:p w14:paraId="0A1D055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14:paraId="3E079A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广氮社区颐康服务站</w:t>
            </w:r>
          </w:p>
        </w:tc>
        <w:tc>
          <w:tcPr>
            <w:tcW w:w="2395" w:type="pct"/>
            <w:tcBorders>
              <w:top w:val="single" w:color="auto" w:sz="4" w:space="0"/>
              <w:left w:val="single" w:color="auto" w:sz="4" w:space="0"/>
              <w:bottom w:val="single" w:color="auto" w:sz="4" w:space="0"/>
              <w:right w:val="single" w:color="auto" w:sz="4" w:space="0"/>
            </w:tcBorders>
            <w:shd w:val="clear" w:color="auto" w:fill="auto"/>
            <w:vAlign w:val="center"/>
          </w:tcPr>
          <w:p w14:paraId="1DA438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广州市天河区车陂北街22号大院29栋东1栋全间</w:t>
            </w:r>
          </w:p>
        </w:tc>
        <w:tc>
          <w:tcPr>
            <w:tcW w:w="810" w:type="pct"/>
            <w:tcBorders>
              <w:top w:val="single" w:color="auto" w:sz="4" w:space="0"/>
              <w:left w:val="single" w:color="auto" w:sz="4" w:space="0"/>
              <w:bottom w:val="single" w:color="auto" w:sz="4" w:space="0"/>
              <w:right w:val="single" w:color="auto" w:sz="4" w:space="0"/>
            </w:tcBorders>
            <w:shd w:val="clear" w:color="auto" w:fill="auto"/>
            <w:vAlign w:val="center"/>
          </w:tcPr>
          <w:p w14:paraId="6EF776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约300 </w:t>
            </w:r>
          </w:p>
        </w:tc>
      </w:tr>
      <w:tr w14:paraId="76866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324D286">
            <w:pPr>
              <w:keepNext w:val="0"/>
              <w:keepLines w:val="0"/>
              <w:widowControl/>
              <w:suppressLineNumbers w:val="0"/>
              <w:ind w:firstLine="220" w:firstLineChars="10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c>
          <w:tcPr>
            <w:tcW w:w="134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77E86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车陂北社区颐康服务站</w:t>
            </w:r>
          </w:p>
        </w:tc>
        <w:tc>
          <w:tcPr>
            <w:tcW w:w="2395" w:type="pct"/>
            <w:tcBorders>
              <w:top w:val="single" w:color="auto" w:sz="4" w:space="0"/>
              <w:left w:val="single" w:color="auto" w:sz="4" w:space="0"/>
              <w:bottom w:val="single" w:color="000000" w:sz="4" w:space="0"/>
              <w:right w:val="single" w:color="000000" w:sz="4" w:space="0"/>
            </w:tcBorders>
            <w:shd w:val="clear" w:color="auto" w:fill="auto"/>
            <w:vAlign w:val="center"/>
          </w:tcPr>
          <w:p w14:paraId="36C89F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天禧分站：广州市天河区车陂街天禧街4号之一首层103房</w:t>
            </w:r>
          </w:p>
        </w:tc>
        <w:tc>
          <w:tcPr>
            <w:tcW w:w="810" w:type="pct"/>
            <w:tcBorders>
              <w:top w:val="single" w:color="auto" w:sz="4" w:space="0"/>
              <w:left w:val="single" w:color="000000" w:sz="4" w:space="0"/>
              <w:bottom w:val="single" w:color="000000" w:sz="4" w:space="0"/>
              <w:right w:val="single" w:color="000000" w:sz="4" w:space="0"/>
            </w:tcBorders>
            <w:shd w:val="clear" w:color="auto" w:fill="auto"/>
            <w:vAlign w:val="center"/>
          </w:tcPr>
          <w:p w14:paraId="55D21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约121 </w:t>
            </w:r>
          </w:p>
        </w:tc>
      </w:tr>
      <w:tr w14:paraId="68787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E04BA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FB9CB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auto" w:sz="4" w:space="0"/>
              <w:bottom w:val="single" w:color="000000" w:sz="4" w:space="0"/>
              <w:right w:val="single" w:color="000000" w:sz="4" w:space="0"/>
            </w:tcBorders>
            <w:shd w:val="clear" w:color="auto" w:fill="auto"/>
            <w:vAlign w:val="center"/>
          </w:tcPr>
          <w:p w14:paraId="7DEBB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富力万科云启分站：广州市天河区车陂街万科云启街3号106房</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5BB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约108 </w:t>
            </w:r>
          </w:p>
        </w:tc>
      </w:tr>
      <w:tr w14:paraId="50B2A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auto" w:sz="4" w:space="0"/>
              <w:left w:val="single" w:color="000000" w:sz="4" w:space="0"/>
              <w:bottom w:val="single" w:color="000000" w:sz="4" w:space="0"/>
              <w:right w:val="single" w:color="000000" w:sz="4" w:space="0"/>
            </w:tcBorders>
            <w:shd w:val="clear" w:color="auto" w:fill="auto"/>
            <w:vAlign w:val="center"/>
          </w:tcPr>
          <w:p w14:paraId="694AC58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w:t>
            </w:r>
          </w:p>
        </w:tc>
        <w:tc>
          <w:tcPr>
            <w:tcW w:w="1343" w:type="pct"/>
            <w:tcBorders>
              <w:top w:val="single" w:color="auto" w:sz="4" w:space="0"/>
              <w:left w:val="single" w:color="000000" w:sz="4" w:space="0"/>
              <w:bottom w:val="single" w:color="000000" w:sz="4" w:space="0"/>
              <w:right w:val="single" w:color="000000" w:sz="4" w:space="0"/>
            </w:tcBorders>
            <w:shd w:val="clear" w:color="auto" w:fill="auto"/>
            <w:vAlign w:val="center"/>
          </w:tcPr>
          <w:p w14:paraId="539675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假日园社区颐康服务站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3B0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广州市天河区假日北街17号首层</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61E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r w14:paraId="789D5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9F26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60F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西华社区颐康服务站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E5E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广州市天河区车陂东溪大街 2-2号康乐楼</w:t>
            </w:r>
          </w:p>
        </w:tc>
        <w:tc>
          <w:tcPr>
            <w:tcW w:w="810" w:type="pct"/>
            <w:tcBorders>
              <w:top w:val="single" w:color="000000" w:sz="4" w:space="0"/>
              <w:left w:val="single" w:color="000000" w:sz="4" w:space="0"/>
              <w:bottom w:val="single" w:color="auto" w:sz="4" w:space="0"/>
              <w:right w:val="single" w:color="000000" w:sz="4" w:space="0"/>
            </w:tcBorders>
            <w:shd w:val="clear" w:color="auto" w:fill="auto"/>
            <w:vAlign w:val="center"/>
          </w:tcPr>
          <w:p w14:paraId="6F60F4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约200 </w:t>
            </w:r>
          </w:p>
        </w:tc>
      </w:tr>
      <w:tr w14:paraId="764A1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FA3B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00A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西湖社区新涌口社区颐康服务站</w:t>
            </w:r>
          </w:p>
        </w:tc>
        <w:tc>
          <w:tcPr>
            <w:tcW w:w="2395" w:type="pct"/>
            <w:tcBorders>
              <w:top w:val="single" w:color="000000" w:sz="4" w:space="0"/>
              <w:left w:val="single" w:color="000000" w:sz="4" w:space="0"/>
              <w:bottom w:val="single" w:color="000000" w:sz="4" w:space="0"/>
              <w:right w:val="single" w:color="auto" w:sz="4" w:space="0"/>
            </w:tcBorders>
            <w:shd w:val="clear" w:color="auto" w:fill="auto"/>
            <w:vAlign w:val="center"/>
          </w:tcPr>
          <w:p w14:paraId="5F7BDE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广州市天河区车陂街东圃大马路120号</w:t>
            </w:r>
          </w:p>
        </w:tc>
        <w:tc>
          <w:tcPr>
            <w:tcW w:w="810" w:type="pct"/>
            <w:tcBorders>
              <w:top w:val="single" w:color="auto" w:sz="4" w:space="0"/>
              <w:left w:val="single" w:color="auto" w:sz="4" w:space="0"/>
              <w:bottom w:val="single" w:color="auto" w:sz="4" w:space="0"/>
              <w:right w:val="single" w:color="auto" w:sz="4" w:space="0"/>
            </w:tcBorders>
            <w:shd w:val="clear" w:color="auto" w:fill="auto"/>
            <w:vAlign w:val="center"/>
          </w:tcPr>
          <w:p w14:paraId="2A152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约200 </w:t>
            </w:r>
          </w:p>
        </w:tc>
      </w:tr>
      <w:tr w14:paraId="01BB3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restart"/>
            <w:tcBorders>
              <w:top w:val="single" w:color="000000" w:sz="4" w:space="0"/>
              <w:left w:val="single" w:color="000000" w:sz="4" w:space="0"/>
              <w:right w:val="single" w:color="000000" w:sz="4" w:space="0"/>
            </w:tcBorders>
            <w:shd w:val="clear" w:color="auto" w:fill="auto"/>
            <w:vAlign w:val="center"/>
          </w:tcPr>
          <w:p w14:paraId="1DC4788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1343" w:type="pct"/>
            <w:vMerge w:val="restart"/>
            <w:tcBorders>
              <w:top w:val="single" w:color="000000" w:sz="4" w:space="0"/>
              <w:left w:val="single" w:color="000000" w:sz="4" w:space="0"/>
              <w:right w:val="single" w:color="000000" w:sz="4" w:space="0"/>
            </w:tcBorders>
            <w:shd w:val="clear" w:color="auto" w:fill="auto"/>
            <w:vAlign w:val="center"/>
          </w:tcPr>
          <w:p w14:paraId="77C55E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东圃社区颐康服务站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5E2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汇友苑分站：广州市天河区东圃大马路 7-24号架空层</w:t>
            </w:r>
          </w:p>
        </w:tc>
        <w:tc>
          <w:tcPr>
            <w:tcW w:w="810" w:type="pct"/>
            <w:tcBorders>
              <w:top w:val="single" w:color="auto" w:sz="4" w:space="0"/>
              <w:left w:val="single" w:color="000000" w:sz="4" w:space="0"/>
              <w:bottom w:val="single" w:color="000000" w:sz="4" w:space="0"/>
              <w:right w:val="single" w:color="000000" w:sz="4" w:space="0"/>
            </w:tcBorders>
            <w:shd w:val="clear" w:color="auto" w:fill="auto"/>
            <w:vAlign w:val="center"/>
          </w:tcPr>
          <w:p w14:paraId="20B8D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r w14:paraId="48768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vMerge w:val="continue"/>
            <w:tcBorders>
              <w:left w:val="single" w:color="000000" w:sz="4" w:space="0"/>
              <w:bottom w:val="single" w:color="000000" w:sz="4" w:space="0"/>
              <w:right w:val="single" w:color="000000" w:sz="4" w:space="0"/>
            </w:tcBorders>
            <w:shd w:val="clear" w:color="auto" w:fill="auto"/>
            <w:vAlign w:val="center"/>
          </w:tcPr>
          <w:p w14:paraId="60E1498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343" w:type="pct"/>
            <w:vMerge w:val="continue"/>
            <w:tcBorders>
              <w:left w:val="single" w:color="000000" w:sz="4" w:space="0"/>
              <w:bottom w:val="single" w:color="000000" w:sz="4" w:space="0"/>
              <w:right w:val="single" w:color="000000" w:sz="4" w:space="0"/>
            </w:tcBorders>
            <w:shd w:val="clear" w:color="auto" w:fill="auto"/>
            <w:vAlign w:val="center"/>
          </w:tcPr>
          <w:p w14:paraId="71C565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7E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东圃大马路分站：广州市天河区车陂街东圃大马路16号5楼</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F0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约50 </w:t>
            </w:r>
          </w:p>
        </w:tc>
      </w:tr>
      <w:tr w14:paraId="516C9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B155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13</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DE3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西岸社区颐康服务站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00D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广州市天河区车陂北牧大街28号</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33C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约192 </w:t>
            </w:r>
          </w:p>
        </w:tc>
      </w:tr>
      <w:tr w14:paraId="46A54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5153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14</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62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东岸社区颐康服务站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B38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广州市天河区车陂北正大街27号三楼</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FCB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约201 </w:t>
            </w:r>
          </w:p>
        </w:tc>
      </w:tr>
      <w:tr w14:paraId="2D30E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0964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15</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79A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天雅社区颐康服务站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1E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广州市天河区东圃大马路3号之十一首层</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501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r w14:paraId="5DBC1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0F09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w:t>
            </w:r>
          </w:p>
        </w:tc>
        <w:tc>
          <w:tcPr>
            <w:tcW w:w="1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3AD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龙口社区颐康服务站</w:t>
            </w:r>
          </w:p>
        </w:tc>
        <w:tc>
          <w:tcPr>
            <w:tcW w:w="2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623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广州市天河区车陂街龙口大街2号三楼</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33D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约150 </w:t>
            </w:r>
          </w:p>
        </w:tc>
      </w:tr>
    </w:tbl>
    <w:p w14:paraId="4AD05FE5">
      <w:pPr>
        <w:pStyle w:val="8"/>
        <w:ind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注：</w:t>
      </w:r>
    </w:p>
    <w:p w14:paraId="637E5ED5">
      <w:pPr>
        <w:numPr>
          <w:ilvl w:val="-1"/>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1</w:t>
      </w: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根据实际情况及街道要求开展养老设施运营工作，</w:t>
      </w:r>
      <w:r>
        <w:rPr>
          <w:rFonts w:hint="eastAsia" w:ascii="宋体" w:hAnsi="宋体" w:eastAsia="宋体" w:cs="宋体"/>
          <w:color w:val="auto"/>
          <w:kern w:val="28"/>
          <w:sz w:val="24"/>
          <w:szCs w:val="24"/>
          <w:highlight w:val="none"/>
          <w:lang w:val="en-US" w:eastAsia="zh-CN"/>
        </w:rPr>
        <w:t>实际</w:t>
      </w:r>
      <w:r>
        <w:rPr>
          <w:rFonts w:hint="eastAsia" w:ascii="宋体" w:hAnsi="宋体" w:eastAsia="宋体" w:cs="宋体"/>
          <w:color w:val="auto"/>
          <w:kern w:val="28"/>
          <w:sz w:val="24"/>
          <w:szCs w:val="24"/>
          <w:highlight w:val="none"/>
        </w:rPr>
        <w:t>运营时间不足12个月的，采购人有权按比例扣除运营费用</w:t>
      </w:r>
      <w:r>
        <w:rPr>
          <w:rFonts w:hint="eastAsia" w:ascii="宋体" w:hAnsi="宋体" w:eastAsia="宋体" w:cs="宋体"/>
          <w:color w:val="auto"/>
          <w:kern w:val="28"/>
          <w:sz w:val="24"/>
          <w:szCs w:val="24"/>
          <w:highlight w:val="none"/>
          <w:lang w:eastAsia="zh-CN"/>
        </w:rPr>
        <w:t>。</w:t>
      </w:r>
    </w:p>
    <w:p w14:paraId="1FF14BEB">
      <w:pPr>
        <w:numPr>
          <w:ilvl w:val="-1"/>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应配合采购人根据上级工作要求完成</w:t>
      </w:r>
      <w:r>
        <w:rPr>
          <w:rFonts w:hint="eastAsia" w:ascii="宋体" w:hAnsi="宋体" w:eastAsia="宋体" w:cs="宋体"/>
          <w:color w:val="auto"/>
          <w:kern w:val="28"/>
          <w:sz w:val="24"/>
          <w:szCs w:val="24"/>
          <w:highlight w:val="none"/>
          <w:lang w:eastAsia="zh-CN"/>
        </w:rPr>
        <w:t>颐康中心和</w:t>
      </w:r>
      <w:r>
        <w:rPr>
          <w:rFonts w:hint="eastAsia" w:ascii="宋体" w:hAnsi="宋体" w:eastAsia="宋体" w:cs="宋体"/>
          <w:color w:val="auto"/>
          <w:kern w:val="28"/>
          <w:sz w:val="24"/>
          <w:szCs w:val="24"/>
          <w:highlight w:val="none"/>
        </w:rPr>
        <w:t>社区颐康服务站</w:t>
      </w:r>
      <w:r>
        <w:rPr>
          <w:rFonts w:hint="eastAsia" w:ascii="宋体" w:hAnsi="宋体" w:eastAsia="宋体" w:cs="宋体"/>
          <w:color w:val="auto"/>
          <w:kern w:val="28"/>
          <w:sz w:val="24"/>
          <w:szCs w:val="24"/>
          <w:highlight w:val="none"/>
          <w:lang w:eastAsia="zh-CN"/>
        </w:rPr>
        <w:t>的日常运营工作，并积极配合采购人及上级部门</w:t>
      </w:r>
      <w:r>
        <w:rPr>
          <w:rFonts w:hint="eastAsia" w:ascii="宋体" w:hAnsi="宋体" w:eastAsia="宋体" w:cs="宋体"/>
          <w:color w:val="auto"/>
          <w:kern w:val="28"/>
          <w:sz w:val="24"/>
          <w:szCs w:val="24"/>
          <w:highlight w:val="none"/>
          <w:lang w:val="en-US" w:eastAsia="zh-CN"/>
        </w:rPr>
        <w:t>就</w:t>
      </w:r>
      <w:r>
        <w:rPr>
          <w:rFonts w:hint="eastAsia" w:ascii="宋体" w:hAnsi="宋体" w:eastAsia="宋体" w:cs="宋体"/>
          <w:color w:val="auto"/>
          <w:kern w:val="28"/>
          <w:sz w:val="24"/>
          <w:szCs w:val="24"/>
          <w:highlight w:val="none"/>
          <w:lang w:eastAsia="zh-CN"/>
        </w:rPr>
        <w:t>巡查督导中发现的问题进行整改。服务设施</w:t>
      </w:r>
      <w:r>
        <w:rPr>
          <w:rFonts w:hint="eastAsia" w:ascii="宋体" w:hAnsi="宋体" w:eastAsia="宋体" w:cs="宋体"/>
          <w:color w:val="auto"/>
          <w:kern w:val="28"/>
          <w:sz w:val="24"/>
          <w:szCs w:val="24"/>
          <w:highlight w:val="none"/>
        </w:rPr>
        <w:t>地址根据实际地点调整。</w:t>
      </w:r>
    </w:p>
    <w:p w14:paraId="0CC2DF86">
      <w:pPr>
        <w:pStyle w:val="8"/>
        <w:ind w:firstLine="482" w:firstLineChars="200"/>
        <w:jc w:val="both"/>
        <w:outlineLvl w:val="1"/>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lang w:val="en-US" w:eastAsia="zh-CN"/>
        </w:rPr>
        <w:t>三</w:t>
      </w:r>
      <w:r>
        <w:rPr>
          <w:rFonts w:hint="eastAsia" w:ascii="宋体" w:hAnsi="宋体" w:eastAsia="宋体" w:cs="宋体"/>
          <w:b/>
          <w:color w:val="auto"/>
          <w:sz w:val="24"/>
          <w:szCs w:val="24"/>
          <w:highlight w:val="none"/>
        </w:rPr>
        <w:t>、运营要求</w:t>
      </w:r>
    </w:p>
    <w:p w14:paraId="2D366D66">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（一）</w:t>
      </w:r>
      <w:r>
        <w:rPr>
          <w:rFonts w:hint="eastAsia" w:ascii="宋体" w:hAnsi="宋体" w:eastAsia="宋体" w:cs="宋体"/>
          <w:b/>
          <w:color w:val="auto"/>
          <w:sz w:val="24"/>
          <w:szCs w:val="24"/>
          <w:highlight w:val="none"/>
          <w:lang w:val="en-US" w:eastAsia="zh-CN"/>
        </w:rPr>
        <w:t>总体要求：</w:t>
      </w:r>
    </w:p>
    <w:p w14:paraId="26C867DE">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颐康中心应当具备全托、日托、上门服务、对下指导、统筹调配资源等功能，为有需要的长者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重点是失能、失智长者提供养老服务向导、助餐配餐、生活照料、定期巡访、辅具租赁、平安通、家庭照护培训、文体教育、居家适老化改造、家庭养老床位、日间托管、临时托养、医养康养、康复护理等覆盖长者全生命周期的一站式和到户式综合养老服务（根据广州市基本养老服务清单进行动态调整）。</w:t>
      </w:r>
    </w:p>
    <w:p w14:paraId="2AEE8B4F">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（二）</w:t>
      </w:r>
      <w:r>
        <w:rPr>
          <w:rFonts w:hint="eastAsia" w:ascii="宋体" w:hAnsi="宋体" w:eastAsia="宋体" w:cs="宋体"/>
          <w:b/>
          <w:color w:val="auto"/>
          <w:sz w:val="24"/>
          <w:szCs w:val="24"/>
          <w:highlight w:val="none"/>
          <w:lang w:val="en-US" w:eastAsia="zh-CN"/>
        </w:rPr>
        <w:t>功能要求：</w:t>
      </w:r>
    </w:p>
    <w:p w14:paraId="3069A4E2">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颐康中心应符合养老设施建筑设计规范及国家、省、市养老机构和居家社区养老服务相关规范，符合环境保护、消防安全、卫生和食品药品安全等相应技术标准及安全质量、适老化和无障碍设施要求。提供餐饮、医疗服务的，服务设施应取得相应行政许可。合理设置长者的生活服务、医疗康复、娱乐及辅助用房，并设置社区食堂。中心应配置供电、给排水、采暖通风、通讯、消防和网络，以及生活服务、保健康复、娱乐、安防等设施设备和必要的交通工具（至少配备一台保证24小时都能提供服务的工作车辆）。</w:t>
      </w:r>
    </w:p>
    <w:p w14:paraId="324FAF6A">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（三）</w:t>
      </w:r>
      <w:r>
        <w:rPr>
          <w:rFonts w:hint="eastAsia" w:ascii="宋体" w:hAnsi="宋体" w:eastAsia="宋体" w:cs="宋体"/>
          <w:b/>
          <w:color w:val="auto"/>
          <w:sz w:val="24"/>
          <w:szCs w:val="24"/>
          <w:highlight w:val="none"/>
          <w:lang w:val="en-US" w:eastAsia="zh-CN"/>
        </w:rPr>
        <w:t>资质要求：</w:t>
      </w:r>
    </w:p>
    <w:p w14:paraId="1584DCF0">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应按广州市养老政策有关规定进行运营登记并取得开展养老、医疗、餐饮等各类专项服务的法定资质。颐康中心开展全托服务前，</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应到</w:t>
      </w:r>
      <w:r>
        <w:rPr>
          <w:rFonts w:hint="eastAsia" w:ascii="宋体" w:hAnsi="宋体" w:eastAsia="宋体" w:cs="宋体"/>
          <w:color w:val="auto"/>
          <w:sz w:val="24"/>
          <w:szCs w:val="24"/>
          <w:highlight w:val="none"/>
          <w:lang w:eastAsia="zh-CN"/>
        </w:rPr>
        <w:t>天河区</w:t>
      </w:r>
      <w:r>
        <w:rPr>
          <w:rFonts w:hint="eastAsia" w:ascii="宋体" w:hAnsi="宋体" w:eastAsia="宋体" w:cs="宋体"/>
          <w:color w:val="auto"/>
          <w:sz w:val="24"/>
          <w:szCs w:val="24"/>
          <w:highlight w:val="none"/>
        </w:rPr>
        <w:t>民政局完成养老机构备案手续</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响应</w:t>
      </w:r>
      <w:r>
        <w:rPr>
          <w:rFonts w:hint="eastAsia" w:ascii="宋体" w:hAnsi="宋体" w:eastAsia="宋体" w:cs="宋体"/>
          <w:b/>
          <w:bCs/>
          <w:color w:val="auto"/>
          <w:sz w:val="24"/>
          <w:szCs w:val="24"/>
          <w:highlight w:val="none"/>
        </w:rPr>
        <w:t>时提供承诺函，格式自拟</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加盖</w:t>
      </w:r>
      <w:r>
        <w:rPr>
          <w:rFonts w:hint="eastAsia" w:ascii="宋体" w:hAnsi="宋体" w:eastAsia="宋体" w:cs="宋体"/>
          <w:b/>
          <w:bCs/>
          <w:color w:val="auto"/>
          <w:sz w:val="24"/>
          <w:szCs w:val="24"/>
          <w:highlight w:val="none"/>
          <w:lang w:val="en-US" w:eastAsia="zh-CN"/>
        </w:rPr>
        <w:t>供应商</w:t>
      </w:r>
      <w:r>
        <w:rPr>
          <w:rFonts w:hint="eastAsia" w:ascii="宋体" w:hAnsi="宋体" w:eastAsia="宋体" w:cs="宋体"/>
          <w:b/>
          <w:bCs/>
          <w:color w:val="auto"/>
          <w:sz w:val="24"/>
          <w:szCs w:val="24"/>
          <w:highlight w:val="none"/>
        </w:rPr>
        <w:t>公章）</w:t>
      </w:r>
      <w:r>
        <w:rPr>
          <w:rFonts w:hint="eastAsia" w:ascii="宋体" w:hAnsi="宋体" w:eastAsia="宋体" w:cs="宋体"/>
          <w:color w:val="auto"/>
          <w:sz w:val="24"/>
          <w:szCs w:val="24"/>
          <w:highlight w:val="none"/>
          <w:lang w:eastAsia="zh-CN"/>
        </w:rPr>
        <w:t>。</w:t>
      </w:r>
    </w:p>
    <w:p w14:paraId="5CF794E0">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yellow"/>
          <w:lang w:val="en-US" w:eastAsia="zh-CN"/>
        </w:rPr>
      </w:pPr>
      <w:r>
        <w:rPr>
          <w:rFonts w:hint="eastAsia" w:ascii="宋体" w:hAnsi="宋体" w:eastAsia="宋体" w:cs="宋体"/>
          <w:b/>
          <w:color w:val="auto"/>
          <w:kern w:val="2"/>
          <w:sz w:val="24"/>
          <w:szCs w:val="24"/>
          <w:lang w:val="en-US" w:eastAsia="zh-CN" w:bidi="ar-SA"/>
        </w:rPr>
        <w:t>（四</w:t>
      </w:r>
      <w:r>
        <w:rPr>
          <w:rFonts w:hint="eastAsia" w:ascii="宋体" w:hAnsi="宋体" w:eastAsia="宋体" w:cs="宋体"/>
          <w:b/>
          <w:color w:val="auto"/>
          <w:kern w:val="2"/>
          <w:sz w:val="24"/>
          <w:szCs w:val="24"/>
          <w:highlight w:val="none"/>
          <w:lang w:val="en-US" w:eastAsia="zh-CN" w:bidi="ar-SA"/>
        </w:rPr>
        <w:t>）</w:t>
      </w:r>
      <w:r>
        <w:rPr>
          <w:rFonts w:hint="eastAsia" w:ascii="宋体" w:hAnsi="宋体" w:eastAsia="宋体" w:cs="宋体"/>
          <w:b/>
          <w:color w:val="auto"/>
          <w:sz w:val="24"/>
          <w:szCs w:val="24"/>
          <w:highlight w:val="none"/>
          <w:lang w:val="en-US" w:eastAsia="zh-CN"/>
        </w:rPr>
        <w:t>人员要求：</w:t>
      </w:r>
    </w:p>
    <w:p w14:paraId="59A12EE4">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b w:val="0"/>
          <w:color w:val="auto"/>
          <w:kern w:val="28"/>
          <w:sz w:val="24"/>
          <w:szCs w:val="24"/>
          <w:lang w:val="en-US" w:eastAsia="zh-CN" w:bidi="ar-SA"/>
        </w:rPr>
        <w:t>1.</w:t>
      </w:r>
      <w:r>
        <w:rPr>
          <w:rFonts w:hint="eastAsia" w:ascii="宋体" w:hAnsi="宋体" w:eastAsia="宋体" w:cs="宋体"/>
          <w:color w:val="auto"/>
          <w:kern w:val="28"/>
          <w:sz w:val="24"/>
          <w:szCs w:val="24"/>
          <w:highlight w:val="none"/>
          <w:lang w:val="en-US" w:eastAsia="zh-CN"/>
        </w:rPr>
        <w:t>人员数量</w:t>
      </w:r>
    </w:p>
    <w:p w14:paraId="7BD67530">
      <w:pPr>
        <w:numPr>
          <w:ilvl w:val="0"/>
          <w:numId w:val="0"/>
        </w:numPr>
        <w:tabs>
          <w:tab w:val="left" w:pos="420"/>
        </w:tabs>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在服务期内保证投入的专业工作人员数量不能减少，保证达到</w:t>
      </w:r>
      <w:r>
        <w:rPr>
          <w:rFonts w:hint="eastAsia" w:ascii="宋体" w:hAnsi="宋体" w:eastAsia="宋体" w:cs="宋体"/>
          <w:color w:val="auto"/>
          <w:sz w:val="24"/>
          <w:szCs w:val="24"/>
          <w:highlight w:val="none"/>
          <w:lang w:val="en-US" w:eastAsia="zh-CN"/>
        </w:rPr>
        <w:t>响应时</w:t>
      </w:r>
      <w:r>
        <w:rPr>
          <w:rFonts w:hint="eastAsia" w:ascii="宋体" w:hAnsi="宋体" w:eastAsia="宋体" w:cs="宋体"/>
          <w:color w:val="auto"/>
          <w:sz w:val="24"/>
          <w:szCs w:val="24"/>
          <w:highlight w:val="none"/>
        </w:rPr>
        <w:t>承诺投入的人员水平标准。服务期中如有人事变动的，同一工作岗位人员空档时间累计不得超过</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个月。</w:t>
      </w:r>
    </w:p>
    <w:p w14:paraId="3D96E44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rPr>
        <w:t>（1）配备</w:t>
      </w:r>
      <w:r>
        <w:rPr>
          <w:rFonts w:hint="eastAsia" w:ascii="宋体" w:hAnsi="宋体" w:eastAsia="宋体" w:cs="宋体"/>
          <w:color w:val="auto"/>
          <w:kern w:val="28"/>
          <w:sz w:val="24"/>
          <w:szCs w:val="24"/>
          <w:highlight w:val="none"/>
          <w:lang w:val="en-US" w:eastAsia="zh-CN"/>
        </w:rPr>
        <w:t>不少于10名工作人员（含项目负责人），其中</w:t>
      </w:r>
      <w:r>
        <w:rPr>
          <w:rFonts w:hint="eastAsia" w:ascii="宋体" w:hAnsi="宋体" w:eastAsia="宋体" w:cs="宋体"/>
          <w:color w:val="auto"/>
          <w:kern w:val="28"/>
          <w:sz w:val="24"/>
          <w:szCs w:val="24"/>
          <w:highlight w:val="none"/>
        </w:rPr>
        <w:t>专职人员不少于</w:t>
      </w:r>
      <w:r>
        <w:rPr>
          <w:rFonts w:hint="eastAsia" w:ascii="宋体" w:hAnsi="宋体" w:eastAsia="宋体" w:cs="宋体"/>
          <w:color w:val="auto"/>
          <w:kern w:val="28"/>
          <w:sz w:val="24"/>
          <w:szCs w:val="24"/>
          <w:highlight w:val="none"/>
          <w:lang w:val="en-US" w:eastAsia="zh-CN"/>
        </w:rPr>
        <w:t>7</w:t>
      </w:r>
      <w:r>
        <w:rPr>
          <w:rFonts w:hint="eastAsia" w:ascii="宋体" w:hAnsi="宋体" w:eastAsia="宋体" w:cs="宋体"/>
          <w:color w:val="auto"/>
          <w:kern w:val="28"/>
          <w:sz w:val="24"/>
          <w:szCs w:val="24"/>
          <w:highlight w:val="none"/>
        </w:rPr>
        <w:t>人</w:t>
      </w: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不含配餐人员</w:t>
      </w: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具体岗位及最低人数要求如下：</w:t>
      </w:r>
      <w:r>
        <w:rPr>
          <w:rFonts w:hint="eastAsia" w:ascii="宋体" w:hAnsi="宋体" w:eastAsia="宋体" w:cs="宋体"/>
          <w:color w:val="auto"/>
          <w:kern w:val="28"/>
          <w:sz w:val="24"/>
          <w:szCs w:val="24"/>
          <w:highlight w:val="none"/>
        </w:rPr>
        <w:t>医师1名，护士1名，康复治疗师1名，</w:t>
      </w:r>
      <w:r>
        <w:rPr>
          <w:rFonts w:hint="eastAsia" w:ascii="宋体" w:hAnsi="宋体" w:eastAsia="宋体" w:cs="宋体"/>
          <w:color w:val="auto"/>
          <w:kern w:val="28"/>
          <w:sz w:val="24"/>
          <w:szCs w:val="24"/>
          <w:highlight w:val="none"/>
          <w:lang w:val="en-US" w:eastAsia="zh-CN"/>
        </w:rPr>
        <w:t>社会工作师2人，养老护理员3人，养老服务向导1人。</w:t>
      </w:r>
    </w:p>
    <w:p w14:paraId="3E1895DC">
      <w:pPr>
        <w:numPr>
          <w:ilvl w:val="0"/>
          <w:numId w:val="0"/>
        </w:numPr>
        <w:tabs>
          <w:tab w:val="left" w:pos="420"/>
        </w:tabs>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rPr>
        <w:t>）</w:t>
      </w:r>
      <w:r>
        <w:rPr>
          <w:rFonts w:hint="eastAsia" w:ascii="宋体" w:hAnsi="宋体" w:eastAsia="宋体" w:cs="宋体"/>
          <w:color w:val="auto"/>
          <w:kern w:val="2"/>
          <w:sz w:val="24"/>
          <w:szCs w:val="24"/>
          <w:lang w:val="en-US" w:eastAsia="zh-CN" w:bidi="ar-SA"/>
        </w:rPr>
        <w:t>配备1名专职的</w:t>
      </w:r>
      <w:r>
        <w:rPr>
          <w:rFonts w:hint="eastAsia" w:ascii="宋体" w:hAnsi="宋体" w:eastAsia="宋体" w:cs="宋体"/>
          <w:color w:val="auto"/>
          <w:sz w:val="24"/>
          <w:szCs w:val="24"/>
          <w:highlight w:val="none"/>
        </w:rPr>
        <w:t>项目负责人，</w:t>
      </w:r>
      <w:r>
        <w:rPr>
          <w:rFonts w:hint="eastAsia" w:ascii="宋体" w:hAnsi="宋体" w:eastAsia="宋体" w:cs="宋体"/>
          <w:color w:val="auto"/>
          <w:sz w:val="24"/>
          <w:szCs w:val="24"/>
          <w:highlight w:val="none"/>
          <w:lang w:val="en-US" w:eastAsia="zh-CN"/>
        </w:rPr>
        <w:t>项目负责人应当具备大专及以上学历并有2年以上养老行业工作经验，</w:t>
      </w:r>
      <w:r>
        <w:rPr>
          <w:rFonts w:hint="eastAsia" w:ascii="宋体" w:hAnsi="宋体" w:eastAsia="宋体" w:cs="宋体"/>
          <w:color w:val="auto"/>
          <w:sz w:val="24"/>
          <w:szCs w:val="24"/>
          <w:highlight w:val="none"/>
        </w:rPr>
        <w:t>除本项目外不得同时兼任其他居家社区养老项目负责人。</w:t>
      </w:r>
    </w:p>
    <w:p w14:paraId="69DB0360">
      <w:pPr>
        <w:numPr>
          <w:ilvl w:val="0"/>
          <w:numId w:val="0"/>
        </w:numPr>
        <w:tabs>
          <w:tab w:val="left" w:pos="420"/>
        </w:tabs>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2.人员资质</w:t>
      </w:r>
    </w:p>
    <w:p w14:paraId="1B3354CA">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rPr>
        <w:t>（1）</w:t>
      </w:r>
      <w:r>
        <w:rPr>
          <w:rFonts w:hint="eastAsia" w:ascii="宋体" w:hAnsi="宋体" w:eastAsia="宋体" w:cs="宋体"/>
          <w:color w:val="auto"/>
          <w:sz w:val="24"/>
          <w:szCs w:val="24"/>
          <w:highlight w:val="none"/>
          <w:lang w:val="en-US" w:eastAsia="zh-CN"/>
        </w:rPr>
        <w:t>成交人应当配备与服务和运营相适应且具备从业资格的</w:t>
      </w:r>
      <w:r>
        <w:rPr>
          <w:rFonts w:hint="eastAsia" w:ascii="宋体" w:hAnsi="宋体" w:eastAsia="宋体" w:cs="宋体"/>
          <w:color w:val="auto"/>
          <w:kern w:val="28"/>
          <w:sz w:val="24"/>
          <w:szCs w:val="24"/>
          <w:highlight w:val="none"/>
        </w:rPr>
        <w:t>养老护理员、医师、护士、康复治疗师、社会工作师</w:t>
      </w:r>
      <w:r>
        <w:rPr>
          <w:rFonts w:hint="eastAsia" w:ascii="宋体" w:hAnsi="宋体" w:eastAsia="宋体" w:cs="宋体"/>
          <w:color w:val="auto"/>
          <w:kern w:val="28"/>
          <w:sz w:val="24"/>
          <w:szCs w:val="24"/>
          <w:highlight w:val="none"/>
          <w:lang w:val="en-US" w:eastAsia="zh-CN"/>
        </w:rPr>
        <w:t>等人员。其中：</w:t>
      </w:r>
    </w:p>
    <w:p w14:paraId="7F7E8A68">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①提供医养康养、康复护理类服务的，应当配备医生、护士、康复治疗师等专业人员；</w:t>
      </w:r>
    </w:p>
    <w:p w14:paraId="214C2FB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②提供助餐配餐服务的，从事接触直接入口食品工作的食品生产经营人员100%持有有效健康证；</w:t>
      </w:r>
    </w:p>
    <w:p w14:paraId="36E5EE3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③养老服务向导应当经民政部门培训后上岗；</w:t>
      </w:r>
    </w:p>
    <w:p w14:paraId="0C0364B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④养老护理员持证率100%；</w:t>
      </w:r>
    </w:p>
    <w:p w14:paraId="1494CD38">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⑤由具有财会专业教育背景或持有财会职业资格证书的财务人员管理财务。</w:t>
      </w:r>
    </w:p>
    <w:p w14:paraId="62806A34">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新员工</w:t>
      </w:r>
      <w:r>
        <w:rPr>
          <w:rFonts w:hint="eastAsia" w:ascii="宋体" w:hAnsi="宋体" w:eastAsia="宋体" w:cs="宋体"/>
          <w:color w:val="auto"/>
          <w:kern w:val="28"/>
          <w:sz w:val="24"/>
          <w:szCs w:val="24"/>
          <w:highlight w:val="none"/>
        </w:rPr>
        <w:t>上岗前</w:t>
      </w:r>
      <w:r>
        <w:rPr>
          <w:rFonts w:hint="eastAsia" w:ascii="宋体" w:hAnsi="宋体" w:eastAsia="宋体" w:cs="宋体"/>
          <w:color w:val="auto"/>
          <w:kern w:val="28"/>
          <w:sz w:val="24"/>
          <w:szCs w:val="24"/>
          <w:highlight w:val="none"/>
          <w:lang w:val="en-US" w:eastAsia="zh-CN"/>
        </w:rPr>
        <w:t>需</w:t>
      </w:r>
      <w:r>
        <w:rPr>
          <w:rFonts w:hint="eastAsia" w:ascii="宋体" w:hAnsi="宋体" w:eastAsia="宋体" w:cs="宋体"/>
          <w:color w:val="auto"/>
          <w:kern w:val="28"/>
          <w:sz w:val="24"/>
          <w:szCs w:val="24"/>
          <w:highlight w:val="none"/>
        </w:rPr>
        <w:t>接受不少于10学时的岗前培训并进行培训考核</w:t>
      </w: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服务人员每年在岗培训时间不少于</w:t>
      </w:r>
      <w:r>
        <w:rPr>
          <w:rFonts w:hint="eastAsia" w:ascii="宋体" w:hAnsi="宋体" w:eastAsia="宋体" w:cs="宋体"/>
          <w:color w:val="auto"/>
          <w:kern w:val="28"/>
          <w:sz w:val="24"/>
          <w:szCs w:val="24"/>
          <w:highlight w:val="none"/>
        </w:rPr>
        <w:t>12学时。</w:t>
      </w:r>
    </w:p>
    <w:p w14:paraId="12E50C2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3</w:t>
      </w: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成交人人员应当严格遵守所在机构规章制度以及相关法律法规、职业操守、职业道德等，尊重服务对象，运用专业知识和技巧开展服务。</w:t>
      </w:r>
    </w:p>
    <w:p w14:paraId="719656F2">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（五）</w:t>
      </w:r>
      <w:r>
        <w:rPr>
          <w:rFonts w:hint="eastAsia" w:ascii="宋体" w:hAnsi="宋体" w:eastAsia="宋体" w:cs="宋体"/>
          <w:b/>
          <w:color w:val="auto"/>
          <w:sz w:val="24"/>
          <w:szCs w:val="24"/>
          <w:highlight w:val="none"/>
          <w:lang w:val="en-US" w:eastAsia="zh-CN"/>
        </w:rPr>
        <w:t>财务要求：</w:t>
      </w:r>
    </w:p>
    <w:p w14:paraId="1355DFD6">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具有合理、详细的项目经费使用计划和预算明细，严格遵守相关财政财务规定，加强自身监督，确保政府购买服务项目资金规范管理和使用，并按要求及时向政府部门提供资金的使用情况、项目执行情况、成果总结等材料。</w:t>
      </w:r>
      <w:r>
        <w:rPr>
          <w:rFonts w:hint="eastAsia" w:ascii="宋体" w:hAnsi="宋体" w:eastAsia="宋体" w:cs="宋体"/>
          <w:color w:val="auto"/>
          <w:sz w:val="24"/>
          <w:szCs w:val="24"/>
          <w:highlight w:val="none"/>
          <w:lang w:val="en-US" w:eastAsia="zh-CN"/>
        </w:rPr>
        <w:t>成交人需</w:t>
      </w:r>
      <w:r>
        <w:rPr>
          <w:rFonts w:hint="eastAsia" w:ascii="宋体" w:hAnsi="宋体" w:eastAsia="宋体" w:cs="宋体"/>
          <w:color w:val="auto"/>
          <w:sz w:val="24"/>
          <w:szCs w:val="24"/>
          <w:highlight w:val="none"/>
        </w:rPr>
        <w:t>建立健全项目和资金管理办法，单独使用和核算项目经费，严格按有关规定管理使用好购买服务经费及各项费用，专款专用，并接受</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、市、区民政局及有关主管部门的监督。如不按要求使用的，</w:t>
      </w:r>
      <w:r>
        <w:rPr>
          <w:rFonts w:hint="eastAsia" w:ascii="宋体" w:hAnsi="宋体" w:eastAsia="宋体" w:cs="宋体"/>
          <w:color w:val="auto"/>
          <w:sz w:val="24"/>
          <w:szCs w:val="24"/>
          <w:highlight w:val="none"/>
          <w:lang w:val="en-US" w:eastAsia="zh-CN"/>
        </w:rPr>
        <w:t>成交人</w:t>
      </w:r>
      <w:r>
        <w:rPr>
          <w:rFonts w:hint="eastAsia" w:ascii="宋体" w:hAnsi="宋体" w:eastAsia="宋体" w:cs="宋体"/>
          <w:color w:val="auto"/>
          <w:sz w:val="24"/>
          <w:szCs w:val="24"/>
          <w:highlight w:val="none"/>
        </w:rPr>
        <w:t>应全额返还超出管理规定使用的款项，情节严重的</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有权解除合同，未支付的服务费将不予支付。</w:t>
      </w:r>
    </w:p>
    <w:p w14:paraId="47EE51D9">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（六）</w:t>
      </w:r>
      <w:r>
        <w:rPr>
          <w:rFonts w:hint="eastAsia" w:ascii="宋体" w:hAnsi="宋体" w:eastAsia="宋体" w:cs="宋体"/>
          <w:b/>
          <w:color w:val="auto"/>
          <w:sz w:val="24"/>
          <w:szCs w:val="24"/>
          <w:highlight w:val="none"/>
          <w:lang w:val="en-US" w:eastAsia="zh-CN"/>
        </w:rPr>
        <w:t>其他要求：</w:t>
      </w:r>
    </w:p>
    <w:p w14:paraId="174F207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1.</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应当按照建筑、消防、食品安全、医疗卫生等法律、法规和国家、省、市有关标准开展服务活动；应与服务对象签订服务协议，购买机构责任保险和场地险。</w:t>
      </w:r>
    </w:p>
    <w:p w14:paraId="03D10522">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2.</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应当规范使用广州市养老服务专用标识，在提供的服务场地室外醒目位置悬挂由区民政部门编号管理的全市统一养老标识。</w:t>
      </w:r>
    </w:p>
    <w:p w14:paraId="49F4825F">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3.</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应当建立并实施相应安全管理制度，包括但不限于消防安全、服务防护、食品安全、感染控制、信息安全等方面。</w:t>
      </w:r>
    </w:p>
    <w:p w14:paraId="4F32A29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4.</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lang w:val="en-US" w:eastAsia="zh-CN"/>
        </w:rPr>
        <w:t>依托</w:t>
      </w:r>
      <w:r>
        <w:rPr>
          <w:rFonts w:hint="eastAsia" w:ascii="宋体" w:hAnsi="宋体" w:eastAsia="宋体" w:cs="宋体"/>
          <w:color w:val="auto"/>
          <w:kern w:val="28"/>
          <w:sz w:val="24"/>
          <w:szCs w:val="24"/>
          <w:highlight w:val="none"/>
        </w:rPr>
        <w:t>综合养老服务中心、社区颐康服务站开展服务，应当与采购人协商定价，收费标准符合普惠性养老服务要求，服务机构调整收费标准的，应当经采购人书面同意后方可按最新收费标准执行。服务收费标准应当在服务设施醒目位置进行公示。</w:t>
      </w:r>
    </w:p>
    <w:p w14:paraId="0941D6BE">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5.</w:t>
      </w:r>
      <w:r>
        <w:rPr>
          <w:rFonts w:hint="eastAsia" w:ascii="宋体" w:hAnsi="宋体" w:eastAsia="宋体" w:cs="宋体"/>
          <w:color w:val="auto"/>
          <w:kern w:val="28"/>
          <w:sz w:val="24"/>
          <w:szCs w:val="24"/>
          <w:highlight w:val="none"/>
        </w:rPr>
        <w:t>运营期间，</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应守法经营，遵守国家的各项法律规定，遵守上级部门的管理公约，必须按有关部门要求认真落实安全生产工作，如因</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原因（包括但不限于安全生产等工作落实不到位等）造成发生事故，或被有关行政主管部门处罚或者责令整改的，因此造成的一切损害损失及有关法律责任均由</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承担。</w:t>
      </w:r>
    </w:p>
    <w:p w14:paraId="77FFB8B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6.</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不得以本项目的经营权向第三方进行分包、转包、担保、保证、抵押、融资、贷款或其他有损害采购人权益的行为。</w:t>
      </w:r>
    </w:p>
    <w:p w14:paraId="16C14B9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7.</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应自行负责相关行政审批。运营期间未经采购人同意，</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不得转租或改变经营项目。</w:t>
      </w:r>
    </w:p>
    <w:p w14:paraId="7F551C0B">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8.</w:t>
      </w:r>
      <w:r>
        <w:rPr>
          <w:rFonts w:hint="eastAsia" w:ascii="宋体" w:hAnsi="宋体" w:eastAsia="宋体" w:cs="宋体"/>
          <w:color w:val="auto"/>
          <w:kern w:val="28"/>
          <w:sz w:val="24"/>
          <w:szCs w:val="24"/>
          <w:highlight w:val="none"/>
        </w:rPr>
        <w:t>运营期间，不得发生欺老、虐老等违法行为，不得从事与养老服务无关的经营活动，不得利用本项目场地从事违法犯罪行为（包括但不限于生产、销售、经营国家规定的违禁品等），不得从事任何其他违法活动。</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不得发行与本项目相关的商业预付卡，不得利用本项目的任何场地以产品展示的方式向服务对象推销所谓的保健食品或者保健器材等，如经发现上述任一情况的，采购人可视严重程度自行选择单方立即解除合同并按相关法律追究法律责任。运营期间，因</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经营活动发生的一切纠纷，由</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自行承担全部法律责任。</w:t>
      </w:r>
    </w:p>
    <w:p w14:paraId="558FD566">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9.</w:t>
      </w:r>
      <w:r>
        <w:rPr>
          <w:rFonts w:hint="eastAsia" w:ascii="宋体" w:hAnsi="宋体" w:eastAsia="宋体" w:cs="宋体"/>
          <w:color w:val="auto"/>
          <w:kern w:val="28"/>
          <w:sz w:val="24"/>
          <w:szCs w:val="24"/>
          <w:highlight w:val="none"/>
        </w:rPr>
        <w:t>如采购人或政府职能部门收到关于</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违反建设、对老人存在暴力或不文明的行为的投诉或反映，采购人有权责令</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限期内改正，并依照相关的规定追究</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的违约责任。</w:t>
      </w:r>
    </w:p>
    <w:p w14:paraId="11FA7BA8">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b w:val="0"/>
          <w:color w:val="auto"/>
          <w:kern w:val="28"/>
          <w:sz w:val="24"/>
          <w:szCs w:val="24"/>
          <w:lang w:val="en-US" w:eastAsia="zh-CN" w:bidi="ar-SA"/>
        </w:rPr>
        <w:t>10.</w:t>
      </w:r>
      <w:r>
        <w:rPr>
          <w:rFonts w:hint="eastAsia" w:ascii="宋体" w:hAnsi="宋体" w:eastAsia="宋体" w:cs="宋体"/>
          <w:color w:val="auto"/>
          <w:kern w:val="28"/>
          <w:sz w:val="24"/>
          <w:szCs w:val="24"/>
          <w:highlight w:val="none"/>
          <w:lang w:val="en-US" w:eastAsia="zh-CN"/>
        </w:rPr>
        <w:t>成交人应定期对服务人员进行紧急情况应对基本知识和技能培训，保证服务人员面对服务人员紧急情况及时有效，如因应对紧急情况不及时或者方法错误导致被追责要求赔偿的，成交人</w:t>
      </w:r>
      <w:r>
        <w:rPr>
          <w:rFonts w:hint="eastAsia" w:ascii="宋体" w:hAnsi="宋体" w:eastAsia="宋体" w:cs="宋体"/>
          <w:color w:val="auto"/>
          <w:kern w:val="28"/>
          <w:sz w:val="24"/>
          <w:szCs w:val="24"/>
          <w:highlight w:val="none"/>
        </w:rPr>
        <w:t>自行承担全部法律责任</w:t>
      </w:r>
      <w:r>
        <w:rPr>
          <w:rFonts w:hint="eastAsia" w:ascii="宋体" w:hAnsi="宋体" w:eastAsia="宋体" w:cs="宋体"/>
          <w:color w:val="auto"/>
          <w:kern w:val="28"/>
          <w:sz w:val="24"/>
          <w:szCs w:val="24"/>
          <w:highlight w:val="none"/>
          <w:lang w:eastAsia="zh-CN"/>
        </w:rPr>
        <w:t>。</w:t>
      </w:r>
    </w:p>
    <w:p w14:paraId="216060BC">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11.颐康中心运营：</w:t>
      </w:r>
    </w:p>
    <w:p w14:paraId="611B8510">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1</w:t>
      </w:r>
      <w:r>
        <w:rPr>
          <w:rFonts w:hint="eastAsia" w:ascii="宋体" w:hAnsi="宋体" w:eastAsia="宋体" w:cs="宋体"/>
          <w:color w:val="auto"/>
          <w:kern w:val="28"/>
          <w:sz w:val="24"/>
          <w:szCs w:val="24"/>
          <w:highlight w:val="none"/>
        </w:rPr>
        <w:t>）</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以服务设施为单位，每年在服务区域内开展服务对象需求调查至少</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次，开展线下服务宣传活动至少</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场，开展服务对象满意度调查至少</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次。</w:t>
      </w:r>
    </w:p>
    <w:p w14:paraId="3F0EE747">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rPr>
        <w:t>）</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直接为老年人提供的服务总人次不低于</w:t>
      </w:r>
      <w:r>
        <w:rPr>
          <w:rFonts w:hint="eastAsia" w:ascii="宋体" w:hAnsi="宋体" w:eastAsia="宋体" w:cs="宋体"/>
          <w:color w:val="auto"/>
          <w:sz w:val="24"/>
          <w:szCs w:val="24"/>
          <w:highlight w:val="none"/>
          <w:lang w:val="en-US" w:eastAsia="zh-CN"/>
        </w:rPr>
        <w:t>18200</w:t>
      </w:r>
      <w:r>
        <w:rPr>
          <w:rFonts w:hint="eastAsia" w:ascii="宋体" w:hAnsi="宋体" w:eastAsia="宋体" w:cs="宋体"/>
          <w:color w:val="auto"/>
          <w:sz w:val="24"/>
          <w:szCs w:val="24"/>
          <w:highlight w:val="none"/>
        </w:rPr>
        <w:t>，其中自费服务对象服务总人次不低于</w:t>
      </w:r>
      <w:r>
        <w:rPr>
          <w:rFonts w:hint="eastAsia" w:ascii="宋体" w:hAnsi="宋体" w:eastAsia="宋体" w:cs="宋体"/>
          <w:color w:val="auto"/>
          <w:sz w:val="24"/>
          <w:szCs w:val="24"/>
          <w:highlight w:val="none"/>
          <w:lang w:val="en-US" w:eastAsia="zh-CN"/>
        </w:rPr>
        <w:t>500</w:t>
      </w:r>
      <w:r>
        <w:rPr>
          <w:rFonts w:hint="eastAsia" w:ascii="宋体" w:hAnsi="宋体" w:eastAsia="宋体" w:cs="宋体"/>
          <w:color w:val="auto"/>
          <w:sz w:val="24"/>
          <w:szCs w:val="24"/>
          <w:highlight w:val="none"/>
        </w:rPr>
        <w:t>。</w:t>
      </w:r>
    </w:p>
    <w:p w14:paraId="49A11F63">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12.15个颐康站运营：</w:t>
      </w:r>
    </w:p>
    <w:p w14:paraId="47B7698D">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1</w:t>
      </w:r>
      <w:r>
        <w:rPr>
          <w:rFonts w:hint="eastAsia" w:ascii="宋体" w:hAnsi="宋体" w:eastAsia="宋体" w:cs="宋体"/>
          <w:color w:val="auto"/>
          <w:kern w:val="28"/>
          <w:sz w:val="24"/>
          <w:szCs w:val="24"/>
          <w:highlight w:val="none"/>
        </w:rPr>
        <w:t>）</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以</w:t>
      </w:r>
      <w:r>
        <w:rPr>
          <w:rFonts w:hint="eastAsia" w:ascii="宋体" w:hAnsi="宋体" w:eastAsia="宋体" w:cs="宋体"/>
          <w:color w:val="auto"/>
          <w:sz w:val="24"/>
          <w:szCs w:val="24"/>
          <w:highlight w:val="none"/>
          <w:lang w:val="en-US" w:eastAsia="zh-CN"/>
        </w:rPr>
        <w:t>单个</w:t>
      </w:r>
      <w:r>
        <w:rPr>
          <w:rFonts w:hint="eastAsia" w:ascii="宋体" w:hAnsi="宋体" w:eastAsia="宋体" w:cs="宋体"/>
          <w:color w:val="auto"/>
          <w:sz w:val="24"/>
          <w:szCs w:val="24"/>
          <w:highlight w:val="none"/>
        </w:rPr>
        <w:t>服务设施为单位，每年在</w:t>
      </w:r>
      <w:r>
        <w:rPr>
          <w:rFonts w:hint="eastAsia" w:ascii="宋体" w:hAnsi="宋体" w:eastAsia="宋体" w:cs="宋体"/>
          <w:color w:val="auto"/>
          <w:sz w:val="24"/>
          <w:szCs w:val="24"/>
          <w:highlight w:val="none"/>
          <w:lang w:val="en-US" w:eastAsia="zh-CN"/>
        </w:rPr>
        <w:t>各自</w:t>
      </w:r>
      <w:r>
        <w:rPr>
          <w:rFonts w:hint="eastAsia" w:ascii="宋体" w:hAnsi="宋体" w:eastAsia="宋体" w:cs="宋体"/>
          <w:color w:val="auto"/>
          <w:sz w:val="24"/>
          <w:szCs w:val="24"/>
          <w:highlight w:val="none"/>
        </w:rPr>
        <w:t>服务区域内开展服务对象需求调查至少</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次，开展线下服务宣传活动至少</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场，开展服务对象满意度调查至少</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次。</w:t>
      </w:r>
    </w:p>
    <w:p w14:paraId="3BF0B14F">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pPr>
      <w:r>
        <w:rPr>
          <w:rFonts w:hint="eastAsia" w:ascii="宋体" w:hAnsi="宋体" w:eastAsia="宋体" w:cs="宋体"/>
          <w:color w:val="auto"/>
          <w:kern w:val="28"/>
          <w:sz w:val="24"/>
          <w:szCs w:val="24"/>
          <w:highlight w:val="none"/>
        </w:rPr>
        <w:t>（</w:t>
      </w: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rPr>
        <w:t>）</w:t>
      </w:r>
      <w:r>
        <w:rPr>
          <w:rFonts w:hint="eastAsia" w:ascii="宋体" w:hAnsi="宋体" w:eastAsia="宋体" w:cs="宋体"/>
          <w:color w:val="auto"/>
          <w:sz w:val="24"/>
          <w:szCs w:val="24"/>
          <w:highlight w:val="none"/>
          <w:lang w:eastAsia="zh-CN"/>
        </w:rPr>
        <w:t>成交人</w:t>
      </w:r>
      <w:r>
        <w:rPr>
          <w:rFonts w:hint="eastAsia" w:ascii="宋体" w:hAnsi="宋体" w:eastAsia="宋体" w:cs="宋体"/>
          <w:color w:val="auto"/>
          <w:sz w:val="24"/>
          <w:szCs w:val="24"/>
          <w:highlight w:val="none"/>
        </w:rPr>
        <w:t>直接为老年人提供的服务总人次不低于</w:t>
      </w:r>
      <w:r>
        <w:rPr>
          <w:rFonts w:hint="eastAsia" w:ascii="宋体" w:hAnsi="宋体" w:eastAsia="宋体" w:cs="宋体"/>
          <w:color w:val="auto"/>
          <w:sz w:val="24"/>
          <w:szCs w:val="24"/>
          <w:highlight w:val="none"/>
          <w:lang w:val="en-US" w:eastAsia="zh-CN"/>
        </w:rPr>
        <w:t>11775人次。</w:t>
      </w:r>
    </w:p>
    <w:p w14:paraId="0102DE09">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13.成交人</w:t>
      </w:r>
      <w:r>
        <w:rPr>
          <w:rFonts w:hint="eastAsia" w:ascii="宋体" w:hAnsi="宋体" w:eastAsia="宋体" w:cs="宋体"/>
          <w:color w:val="auto"/>
          <w:sz w:val="24"/>
          <w:szCs w:val="24"/>
          <w:highlight w:val="none"/>
        </w:rPr>
        <w:t>应</w:t>
      </w:r>
      <w:r>
        <w:rPr>
          <w:rFonts w:hint="eastAsia" w:ascii="宋体" w:hAnsi="宋体" w:eastAsia="宋体" w:cs="宋体"/>
          <w:color w:val="auto"/>
          <w:sz w:val="24"/>
          <w:szCs w:val="24"/>
          <w:highlight w:val="none"/>
          <w:lang w:val="en-US" w:eastAsia="zh-CN"/>
        </w:rPr>
        <w:t>当</w:t>
      </w:r>
      <w:r>
        <w:rPr>
          <w:rFonts w:hint="eastAsia" w:ascii="宋体" w:hAnsi="宋体" w:eastAsia="宋体" w:cs="宋体"/>
          <w:color w:val="auto"/>
          <w:sz w:val="24"/>
          <w:szCs w:val="24"/>
          <w:highlight w:val="none"/>
        </w:rPr>
        <w:t>按规范使用广州市为老服务综合平台开展服务，确保服务数据、服务机构、服务设施、工作人员等信息100%录入系统，并对数据的真实性、完整性、准确性负责</w:t>
      </w:r>
      <w:r>
        <w:rPr>
          <w:rFonts w:hint="eastAsia" w:ascii="宋体" w:hAnsi="宋体" w:eastAsia="宋体" w:cs="宋体"/>
          <w:color w:val="auto"/>
          <w:sz w:val="24"/>
          <w:szCs w:val="24"/>
          <w:highlight w:val="none"/>
          <w:lang w:eastAsia="zh-CN"/>
        </w:rPr>
        <w:t>。</w:t>
      </w:r>
    </w:p>
    <w:p w14:paraId="2CD350EE">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smallCaps w:val="0"/>
          <w:color w:val="auto"/>
          <w:kern w:val="2"/>
          <w:sz w:val="24"/>
          <w:szCs w:val="24"/>
          <w:highlight w:val="none"/>
          <w:lang w:val="en-US" w:eastAsia="zh-CN" w:bidi="ar-SA"/>
        </w:rPr>
      </w:pPr>
      <w:r>
        <w:rPr>
          <w:rFonts w:hint="eastAsia" w:ascii="宋体" w:hAnsi="宋体" w:eastAsia="宋体" w:cs="宋体"/>
          <w:smallCaps w:val="0"/>
          <w:color w:val="auto"/>
          <w:kern w:val="2"/>
          <w:sz w:val="24"/>
          <w:szCs w:val="24"/>
          <w:highlight w:val="none"/>
          <w:lang w:val="en-US" w:eastAsia="zh-CN" w:bidi="ar-SA"/>
        </w:rPr>
        <w:t>14.成交人承办区、街（镇）综合养老服务中心、社区（村）颐康服务站开展服务，应当与采购人协商定价，收费标准符合普惠性养老服务要求，其中全托服务月收费标准（不含特需照护）不得高于</w:t>
      </w:r>
      <w:r>
        <w:rPr>
          <w:rFonts w:hint="eastAsia" w:ascii="宋体" w:hAnsi="宋体" w:eastAsia="宋体" w:cs="宋体"/>
          <w:smallCaps w:val="0"/>
          <w:color w:val="auto"/>
          <w:kern w:val="2"/>
          <w:sz w:val="24"/>
          <w:szCs w:val="24"/>
          <w:highlight w:val="none"/>
          <w:lang w:val="en-US" w:eastAsia="zh-CN" w:bidi="ar-SA"/>
        </w:rPr>
        <w:fldChar w:fldCharType="begin"/>
      </w:r>
      <w:r>
        <w:rPr>
          <w:rFonts w:hint="eastAsia" w:ascii="宋体" w:hAnsi="宋体" w:eastAsia="宋体" w:cs="宋体"/>
          <w:smallCaps w:val="0"/>
          <w:color w:val="auto"/>
          <w:kern w:val="2"/>
          <w:sz w:val="24"/>
          <w:szCs w:val="24"/>
          <w:highlight w:val="none"/>
          <w:lang w:val="en-US" w:eastAsia="zh-CN" w:bidi="ar-SA"/>
        </w:rPr>
        <w:instrText xml:space="preserve"> HYPERLINK "http://www.baidu.com/link?url=ramLzc76PPp-Q3hBRHKhR4G_x8dHM27qhm71llZBBIrrGeiGO0ohDyuWbqxndkH0IahuV4Jwin2tMWo6ZLj291h2OnO7owesN8Zhoiqx-3a" \t "https://www.baidu.com/_blank" </w:instrText>
      </w:r>
      <w:r>
        <w:rPr>
          <w:rFonts w:hint="eastAsia" w:ascii="宋体" w:hAnsi="宋体" w:eastAsia="宋体" w:cs="宋体"/>
          <w:smallCaps w:val="0"/>
          <w:color w:val="auto"/>
          <w:kern w:val="2"/>
          <w:sz w:val="24"/>
          <w:szCs w:val="24"/>
          <w:highlight w:val="none"/>
          <w:lang w:val="en-US" w:eastAsia="zh-CN" w:bidi="ar-SA"/>
        </w:rPr>
        <w:fldChar w:fldCharType="separate"/>
      </w:r>
      <w:r>
        <w:rPr>
          <w:rFonts w:hint="eastAsia" w:ascii="宋体" w:hAnsi="宋体" w:eastAsia="宋体" w:cs="宋体"/>
          <w:smallCaps w:val="0"/>
          <w:color w:val="auto"/>
          <w:kern w:val="2"/>
          <w:sz w:val="24"/>
          <w:szCs w:val="24"/>
          <w:highlight w:val="none"/>
          <w:lang w:val="en-US" w:eastAsia="zh-CN" w:bidi="ar-SA"/>
        </w:rPr>
        <w:t>广州城市常住居民上年度月人均可支配收入的1.5倍</w:t>
      </w:r>
      <w:r>
        <w:rPr>
          <w:rFonts w:hint="eastAsia" w:ascii="宋体" w:hAnsi="宋体" w:eastAsia="宋体" w:cs="宋体"/>
          <w:smallCaps w:val="0"/>
          <w:color w:val="auto"/>
          <w:kern w:val="2"/>
          <w:sz w:val="24"/>
          <w:szCs w:val="24"/>
          <w:highlight w:val="none"/>
          <w:lang w:val="en-US" w:eastAsia="zh-CN" w:bidi="ar-SA"/>
        </w:rPr>
        <w:fldChar w:fldCharType="end"/>
      </w:r>
      <w:r>
        <w:rPr>
          <w:rFonts w:hint="eastAsia" w:ascii="宋体" w:hAnsi="宋体" w:eastAsia="宋体" w:cs="宋体"/>
          <w:smallCaps w:val="0"/>
          <w:color w:val="auto"/>
          <w:kern w:val="2"/>
          <w:sz w:val="24"/>
          <w:szCs w:val="24"/>
          <w:highlight w:val="none"/>
          <w:lang w:val="en-US" w:eastAsia="zh-CN" w:bidi="ar-SA"/>
        </w:rPr>
        <w:t>或整体收费价格不超过同等市场</w:t>
      </w:r>
      <w:bookmarkStart w:id="0" w:name="_GoBack"/>
      <w:bookmarkEnd w:id="0"/>
      <w:r>
        <w:rPr>
          <w:rFonts w:hint="eastAsia" w:ascii="宋体" w:hAnsi="宋体" w:eastAsia="宋体" w:cs="宋体"/>
          <w:smallCaps w:val="0"/>
          <w:color w:val="auto"/>
          <w:kern w:val="2"/>
          <w:sz w:val="24"/>
          <w:szCs w:val="24"/>
          <w:highlight w:val="none"/>
          <w:lang w:val="en-US" w:eastAsia="zh-CN" w:bidi="ar-SA"/>
        </w:rPr>
        <w:t>化价格的70%。成交人调整收费标准的，应当经采购人书面同意后方可按最新收费标准执行。服务收费标准应当在服务设施醒目位置进行公示。</w:t>
      </w:r>
    </w:p>
    <w:p w14:paraId="26B2E3BA">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default" w:ascii="宋体" w:hAnsi="宋体" w:eastAsia="宋体" w:cs="宋体"/>
          <w:smallCaps w:val="0"/>
          <w:color w:val="auto"/>
          <w:kern w:val="2"/>
          <w:sz w:val="24"/>
          <w:szCs w:val="24"/>
          <w:highlight w:val="none"/>
          <w:lang w:val="en-US" w:eastAsia="zh-CN" w:bidi="ar-SA"/>
        </w:rPr>
      </w:pPr>
      <w:r>
        <w:rPr>
          <w:rFonts w:hint="eastAsia" w:ascii="宋体" w:hAnsi="宋体" w:eastAsia="宋体" w:cs="宋体"/>
          <w:smallCaps w:val="0"/>
          <w:color w:val="auto"/>
          <w:kern w:val="2"/>
          <w:sz w:val="24"/>
          <w:szCs w:val="24"/>
          <w:highlight w:val="none"/>
          <w:lang w:val="en-US" w:eastAsia="zh-CN" w:bidi="ar-SA"/>
        </w:rPr>
        <w:t>15.项目运营周期内，如采购人需新增社区颐康服务站，成交人须配合完成场地验收程序。新增站点的运营费用按实际运营天数折算，具体计费标准及支付方式以双方约定为准。</w:t>
      </w:r>
    </w:p>
    <w:p w14:paraId="7B6A3E91">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（七）</w:t>
      </w:r>
      <w:r>
        <w:rPr>
          <w:rFonts w:hint="eastAsia" w:ascii="宋体" w:hAnsi="宋体" w:eastAsia="宋体" w:cs="宋体"/>
          <w:b/>
          <w:color w:val="auto"/>
          <w:sz w:val="24"/>
          <w:szCs w:val="24"/>
          <w:highlight w:val="none"/>
          <w:lang w:val="en-US" w:eastAsia="zh-CN"/>
        </w:rPr>
        <w:t>与成交人的特殊约定：</w:t>
      </w:r>
    </w:p>
    <w:p w14:paraId="7B9F05A6">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1.</w:t>
      </w:r>
      <w:r>
        <w:rPr>
          <w:rFonts w:hint="eastAsia" w:ascii="宋体" w:hAnsi="宋体" w:eastAsia="宋体" w:cs="宋体"/>
          <w:color w:val="auto"/>
          <w:kern w:val="28"/>
          <w:sz w:val="24"/>
          <w:szCs w:val="24"/>
          <w:highlight w:val="none"/>
        </w:rPr>
        <w:t>颐康中心及社区颐康服务站由采购人按上级要求命名，</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不得冠名。</w:t>
      </w:r>
    </w:p>
    <w:p w14:paraId="7B7B1636">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2.</w:t>
      </w:r>
      <w:r>
        <w:rPr>
          <w:rFonts w:hint="eastAsia" w:ascii="宋体" w:hAnsi="宋体" w:eastAsia="宋体" w:cs="宋体"/>
          <w:color w:val="auto"/>
          <w:kern w:val="28"/>
          <w:sz w:val="24"/>
          <w:szCs w:val="24"/>
          <w:highlight w:val="none"/>
        </w:rPr>
        <w:t>服务期间，如市、区关于养老服务的相关政策调整（包括但不限于居家社区养老政策、综合养老服务项目建设及运营政策等）、重点服务对象人数、补贴标准发生变化等，</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必须无条件接受，并严格按有关要求执行，</w:t>
      </w:r>
      <w:r>
        <w:rPr>
          <w:rFonts w:hint="eastAsia" w:ascii="宋体" w:hAnsi="宋体" w:eastAsia="宋体" w:cs="宋体"/>
          <w:color w:val="auto"/>
          <w:kern w:val="28"/>
          <w:sz w:val="24"/>
          <w:szCs w:val="24"/>
          <w:highlight w:val="none"/>
          <w:lang w:eastAsia="zh-CN"/>
        </w:rPr>
        <w:t>成交人</w:t>
      </w:r>
      <w:r>
        <w:rPr>
          <w:rFonts w:hint="eastAsia" w:ascii="宋体" w:hAnsi="宋体" w:eastAsia="宋体" w:cs="宋体"/>
          <w:color w:val="auto"/>
          <w:kern w:val="28"/>
          <w:sz w:val="24"/>
          <w:szCs w:val="24"/>
          <w:highlight w:val="none"/>
        </w:rPr>
        <w:t>与采购人应根据最新政策签订补充协议，补充协议和原运营合同具有同等法律效力。</w:t>
      </w:r>
    </w:p>
    <w:p w14:paraId="71D52B92">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rPr>
      </w:pPr>
      <w:r>
        <w:rPr>
          <w:rFonts w:hint="eastAsia" w:ascii="宋体" w:hAnsi="宋体" w:eastAsia="宋体" w:cs="宋体"/>
          <w:b w:val="0"/>
          <w:color w:val="auto"/>
          <w:kern w:val="28"/>
          <w:sz w:val="24"/>
          <w:szCs w:val="24"/>
          <w:lang w:val="en-US" w:eastAsia="zh-CN" w:bidi="ar-SA"/>
        </w:rPr>
        <w:t>3.</w:t>
      </w:r>
      <w:r>
        <w:rPr>
          <w:rFonts w:hint="eastAsia" w:ascii="宋体" w:hAnsi="宋体" w:eastAsia="宋体" w:cs="宋体"/>
          <w:color w:val="auto"/>
          <w:kern w:val="28"/>
          <w:sz w:val="24"/>
          <w:szCs w:val="24"/>
          <w:highlight w:val="none"/>
        </w:rPr>
        <w:t>服务期间，政府资助、奖励、补助经费（包括但不限于助餐配餐补贴、政府资助对象上门补助等经费）根据《广州市居家社区养老服务管理办法》等养老相关政策规定拨付，不纳入本项目采购预算内。根据实际服务时间及服务量进行结算。因街道使用的是财政资金，街道在合同约定的付款时间为向政府采购支付部门提出办理财政支付申请手续的时间（不含政府财政支付部门审核的时间），在约定时间内提出支付申请手续后即视为街道已经按期支付。</w:t>
      </w:r>
      <w:r>
        <w:rPr>
          <w:rFonts w:hint="eastAsia" w:ascii="宋体" w:hAnsi="宋体" w:eastAsia="宋体" w:cs="宋体"/>
          <w:color w:val="auto"/>
          <w:kern w:val="28"/>
          <w:sz w:val="24"/>
          <w:szCs w:val="24"/>
          <w:highlight w:val="none"/>
          <w:lang w:val="en-US" w:eastAsia="zh-CN"/>
        </w:rPr>
        <w:t>如因财政支付办理程序导致款项延期到账的，不视为街道逾期付款，成交人不得以款项未到账为由中止或终止提供服务，否则将视为成交人违约。</w:t>
      </w:r>
    </w:p>
    <w:p w14:paraId="215E2ED8">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color w:val="auto"/>
          <w:kern w:val="28"/>
          <w:sz w:val="24"/>
          <w:szCs w:val="24"/>
          <w:highlight w:val="none"/>
          <w:lang w:val="en-US" w:eastAsia="zh-CN" w:bidi="ar-SA"/>
        </w:rPr>
      </w:pPr>
      <w:r>
        <w:rPr>
          <w:rFonts w:hint="eastAsia" w:ascii="宋体" w:hAnsi="宋体" w:eastAsia="宋体" w:cs="宋体"/>
          <w:color w:val="auto"/>
          <w:kern w:val="28"/>
          <w:sz w:val="24"/>
          <w:szCs w:val="24"/>
          <w:highlight w:val="none"/>
          <w:lang w:val="en-US" w:eastAsia="zh-CN" w:bidi="ar-SA"/>
        </w:rPr>
        <w:t>4.若新一轮采购工作未能在原运营协议到期日（2026年7月31日）前完成，采购人可要求原运营方按照原协议约定继续提供服务，直至新一轮运营协议生效。过渡期间的服务费用，按实际服务天数及原协议标准结算给原运营方，新一轮运营协议生效后，新运营方的服务费用按新协议约定的标准及实际服务天数折算。</w:t>
      </w:r>
    </w:p>
    <w:p w14:paraId="3B0E015B">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（八）</w:t>
      </w:r>
      <w:r>
        <w:rPr>
          <w:rFonts w:hint="eastAsia" w:ascii="宋体" w:hAnsi="宋体" w:eastAsia="宋体" w:cs="宋体"/>
          <w:b/>
          <w:color w:val="auto"/>
          <w:sz w:val="24"/>
          <w:szCs w:val="24"/>
          <w:highlight w:val="none"/>
          <w:lang w:val="en-US" w:eastAsia="zh-CN"/>
        </w:rPr>
        <w:t>颐康中心每年（12个月）的指标量（根据每年的评估指标适时调整）</w:t>
      </w:r>
    </w:p>
    <w:tbl>
      <w:tblPr>
        <w:tblStyle w:val="5"/>
        <w:tblW w:w="4994" w:type="pct"/>
        <w:jc w:val="center"/>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autofit"/>
        <w:tblCellMar>
          <w:top w:w="0" w:type="dxa"/>
          <w:left w:w="108" w:type="dxa"/>
          <w:bottom w:w="0" w:type="dxa"/>
          <w:right w:w="108" w:type="dxa"/>
        </w:tblCellMar>
      </w:tblPr>
      <w:tblGrid>
        <w:gridCol w:w="644"/>
        <w:gridCol w:w="1275"/>
        <w:gridCol w:w="6087"/>
        <w:gridCol w:w="506"/>
      </w:tblGrid>
      <w:tr w14:paraId="7F63D2D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0" w:hRule="atLeast"/>
          <w:jc w:val="center"/>
        </w:trPr>
        <w:tc>
          <w:tcPr>
            <w:tcW w:w="338" w:type="pct"/>
            <w:tcBorders>
              <w:top w:val="single" w:color="000000" w:sz="4" w:space="0"/>
              <w:left w:val="single" w:color="000000" w:sz="4" w:space="0"/>
              <w:bottom w:val="single" w:color="000000" w:sz="4" w:space="0"/>
              <w:right w:val="single" w:color="000000" w:sz="4" w:space="0"/>
            </w:tcBorders>
            <w:vAlign w:val="center"/>
          </w:tcPr>
          <w:p w14:paraId="111739BB">
            <w:pPr>
              <w:spacing w:line="360" w:lineRule="auto"/>
              <w:jc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序号</w:t>
            </w:r>
          </w:p>
        </w:tc>
        <w:tc>
          <w:tcPr>
            <w:tcW w:w="668" w:type="pct"/>
            <w:tcBorders>
              <w:top w:val="single" w:color="000000" w:sz="4" w:space="0"/>
              <w:left w:val="nil"/>
              <w:bottom w:val="single" w:color="000000" w:sz="4" w:space="0"/>
              <w:right w:val="single" w:color="000000" w:sz="4" w:space="0"/>
            </w:tcBorders>
            <w:vAlign w:val="center"/>
          </w:tcPr>
          <w:p w14:paraId="0CAFF21C">
            <w:pPr>
              <w:spacing w:line="360" w:lineRule="auto"/>
              <w:jc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服务事项</w:t>
            </w:r>
          </w:p>
        </w:tc>
        <w:tc>
          <w:tcPr>
            <w:tcW w:w="3190" w:type="pct"/>
            <w:tcBorders>
              <w:top w:val="single" w:color="000000" w:sz="4" w:space="0"/>
              <w:left w:val="nil"/>
              <w:bottom w:val="single" w:color="000000" w:sz="4" w:space="0"/>
              <w:right w:val="single" w:color="000000" w:sz="4" w:space="0"/>
            </w:tcBorders>
            <w:vAlign w:val="center"/>
          </w:tcPr>
          <w:p w14:paraId="7AECB2FF">
            <w:pPr>
              <w:spacing w:line="360" w:lineRule="auto"/>
              <w:jc w:val="center"/>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服务内容</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及设施设备条件</w:t>
            </w:r>
          </w:p>
        </w:tc>
        <w:tc>
          <w:tcPr>
            <w:tcW w:w="265" w:type="pct"/>
            <w:tcBorders>
              <w:top w:val="single" w:color="000000" w:sz="4" w:space="0"/>
              <w:left w:val="nil"/>
              <w:bottom w:val="single" w:color="auto" w:sz="4" w:space="0"/>
              <w:right w:val="single" w:color="000000" w:sz="4" w:space="0"/>
            </w:tcBorders>
            <w:vAlign w:val="center"/>
          </w:tcPr>
          <w:p w14:paraId="593521A1">
            <w:pPr>
              <w:spacing w:line="360" w:lineRule="auto"/>
              <w:jc w:val="center"/>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备注</w:t>
            </w:r>
          </w:p>
        </w:tc>
      </w:tr>
      <w:tr w14:paraId="584C5E3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45F0DBDB">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p>
        </w:tc>
        <w:tc>
          <w:tcPr>
            <w:tcW w:w="668" w:type="pct"/>
            <w:tcBorders>
              <w:top w:val="nil"/>
              <w:left w:val="nil"/>
              <w:bottom w:val="single" w:color="000000" w:sz="4" w:space="0"/>
              <w:right w:val="single" w:color="000000" w:sz="4" w:space="0"/>
            </w:tcBorders>
            <w:shd w:val="clear" w:color="auto" w:fill="auto"/>
            <w:vAlign w:val="center"/>
          </w:tcPr>
          <w:p w14:paraId="22D7A8BE">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标志与信息公开</w:t>
            </w:r>
          </w:p>
        </w:tc>
        <w:tc>
          <w:tcPr>
            <w:tcW w:w="3190" w:type="pct"/>
            <w:tcBorders>
              <w:top w:val="nil"/>
              <w:left w:val="nil"/>
              <w:bottom w:val="single" w:color="000000" w:sz="4" w:space="0"/>
              <w:right w:val="single" w:color="auto" w:sz="4" w:space="0"/>
            </w:tcBorders>
            <w:shd w:val="clear" w:color="auto" w:fill="auto"/>
            <w:vAlign w:val="center"/>
          </w:tcPr>
          <w:p w14:paraId="1CF5F317">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（1）按照《养老服务标识规范》（DB 4401/T 185-2022）要求设置养老服务标识并进行管理维护。</w:t>
            </w:r>
          </w:p>
          <w:p w14:paraId="63A38098">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（2）按照《综合养老服务中心基本规范》（DB4401_T 248—2024）附录D要求公开相关信息且及时更新，设置安全标志。</w:t>
            </w:r>
          </w:p>
        </w:tc>
        <w:tc>
          <w:tcPr>
            <w:tcW w:w="265" w:type="pct"/>
            <w:vMerge w:val="restart"/>
            <w:tcBorders>
              <w:top w:val="single" w:color="auto" w:sz="4" w:space="0"/>
              <w:left w:val="single" w:color="auto" w:sz="4" w:space="0"/>
              <w:bottom w:val="single" w:color="auto" w:sz="4" w:space="0"/>
              <w:right w:val="single" w:color="auto" w:sz="4" w:space="0"/>
            </w:tcBorders>
            <w:vAlign w:val="top"/>
          </w:tcPr>
          <w:p w14:paraId="4589C7DC">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9BA050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7B642778">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p>
        </w:tc>
        <w:tc>
          <w:tcPr>
            <w:tcW w:w="668" w:type="pct"/>
            <w:tcBorders>
              <w:top w:val="nil"/>
              <w:left w:val="nil"/>
              <w:bottom w:val="single" w:color="000000" w:sz="4" w:space="0"/>
              <w:right w:val="single" w:color="000000" w:sz="4" w:space="0"/>
            </w:tcBorders>
            <w:shd w:val="clear" w:color="auto" w:fill="auto"/>
            <w:vAlign w:val="center"/>
          </w:tcPr>
          <w:p w14:paraId="1F5A5A97">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功能区划分与配置</w:t>
            </w:r>
          </w:p>
        </w:tc>
        <w:tc>
          <w:tcPr>
            <w:tcW w:w="3190" w:type="pct"/>
            <w:tcBorders>
              <w:top w:val="nil"/>
              <w:left w:val="nil"/>
              <w:bottom w:val="single" w:color="000000" w:sz="4" w:space="0"/>
              <w:right w:val="single" w:color="auto" w:sz="4" w:space="0"/>
            </w:tcBorders>
            <w:shd w:val="clear" w:color="auto" w:fill="auto"/>
            <w:vAlign w:val="center"/>
          </w:tcPr>
          <w:p w14:paraId="5D31FCEC">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（1）单独设置且建筑面积不少于1000平方米。</w:t>
            </w:r>
          </w:p>
          <w:p w14:paraId="0E56F370">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（2）服务场地应符合消防、无障碍、适老化等基本要求，配有安全防护等必要措施，无安全隐患；场地整洁明亮，空气无异味，具备完善的防尘、防四害、防潮等措施。</w:t>
            </w:r>
          </w:p>
          <w:p w14:paraId="183F7152">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（3）合理配置各项服务设备和服务宣传资料，包扩居家社区养老服务、助餐配餐、家庭养老床位、平安通、银龄安康保险、长护险、公办养老机构轮候等，且应与现行政策相对应。</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2553A5C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9345DE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4F4E89BC">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p>
        </w:tc>
        <w:tc>
          <w:tcPr>
            <w:tcW w:w="668" w:type="pct"/>
            <w:tcBorders>
              <w:top w:val="nil"/>
              <w:left w:val="nil"/>
              <w:bottom w:val="single" w:color="000000" w:sz="4" w:space="0"/>
              <w:right w:val="single" w:color="000000" w:sz="4" w:space="0"/>
            </w:tcBorders>
            <w:shd w:val="clear" w:color="auto" w:fill="auto"/>
            <w:vAlign w:val="center"/>
          </w:tcPr>
          <w:p w14:paraId="165AC29E">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sz w:val="24"/>
                <w:szCs w:val="24"/>
              </w:rPr>
              <w:t>制度建设与劳动保障</w:t>
            </w:r>
          </w:p>
        </w:tc>
        <w:tc>
          <w:tcPr>
            <w:tcW w:w="3190" w:type="pct"/>
            <w:tcBorders>
              <w:top w:val="nil"/>
              <w:left w:val="nil"/>
              <w:bottom w:val="single" w:color="000000" w:sz="4" w:space="0"/>
              <w:right w:val="single" w:color="auto" w:sz="4" w:space="0"/>
            </w:tcBorders>
            <w:shd w:val="clear" w:color="auto" w:fill="auto"/>
            <w:vAlign w:val="center"/>
          </w:tcPr>
          <w:p w14:paraId="520D7549">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（1）制定详细完善、符合实际的人事管理制度，并执行到位。制度内容包括但不限于岗位说明书、聘用管理、薪酬与社保、考勤与休假、人员培训、绩效考核等。</w:t>
            </w:r>
          </w:p>
          <w:p w14:paraId="6CEB8836">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（2）专职人员100%规范签订劳动合同；兼职人员（含退休返聘）100%规范签订兼职劳务合同。</w:t>
            </w:r>
          </w:p>
          <w:p w14:paraId="7DC763AB">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（3）为专职人员规范购买社保；为兼职一线服务人员（含退休返聘）规范购买人身意外险。</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5D7303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E5D23B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42921EF6">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p>
        </w:tc>
        <w:tc>
          <w:tcPr>
            <w:tcW w:w="668" w:type="pct"/>
            <w:tcBorders>
              <w:top w:val="nil"/>
              <w:left w:val="nil"/>
              <w:bottom w:val="single" w:color="000000" w:sz="4" w:space="0"/>
              <w:right w:val="single" w:color="000000" w:sz="4" w:space="0"/>
            </w:tcBorders>
            <w:shd w:val="clear" w:color="auto" w:fill="auto"/>
            <w:vAlign w:val="center"/>
          </w:tcPr>
          <w:p w14:paraId="7EE9726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专业力量</w:t>
            </w:r>
          </w:p>
        </w:tc>
        <w:tc>
          <w:tcPr>
            <w:tcW w:w="3190" w:type="pct"/>
            <w:tcBorders>
              <w:top w:val="nil"/>
              <w:left w:val="nil"/>
              <w:bottom w:val="single" w:color="000000" w:sz="4" w:space="0"/>
              <w:right w:val="single" w:color="auto" w:sz="4" w:space="0"/>
            </w:tcBorders>
            <w:shd w:val="clear" w:color="auto" w:fill="auto"/>
            <w:vAlign w:val="center"/>
          </w:tcPr>
          <w:p w14:paraId="5958DBC7">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（1）项目负责人为专职人员，且运营周期内项目负责人变动次数不超过2次。</w:t>
            </w:r>
          </w:p>
          <w:p w14:paraId="6799F755">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（2）项目负责人具备与居家社区养老服务项目实施相关的资格证书、中级及以上职业资格证书或1-3级专业技术资格证书。</w:t>
            </w:r>
          </w:p>
          <w:p w14:paraId="2281D29C">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（3）项目负责人掌握居家社区养老服务政策、各级标准及内部制度等相关要求，能正确回答相关提问。</w:t>
            </w:r>
          </w:p>
          <w:p w14:paraId="7F4B2BAC">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（4）配备持有资格证书的专兼职医师并每季度至少提供一次实际服务。</w:t>
            </w:r>
          </w:p>
          <w:p w14:paraId="43A176C4">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（5）配备持有资格证书的专兼职护士并每月至少提供一次实际服务。</w:t>
            </w:r>
          </w:p>
          <w:p w14:paraId="4AA9501C">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（6）配备持有职业资格或专业技术资格证书的专兼职康复治疗师并每月至少提供一次实际服务。</w:t>
            </w:r>
          </w:p>
          <w:p w14:paraId="2D884F74">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（7）配备持有职业资格证书的社工并每月至少提供一次实际服务。</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A5F40A8">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D4046D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353EF7D3">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p>
        </w:tc>
        <w:tc>
          <w:tcPr>
            <w:tcW w:w="668" w:type="pct"/>
            <w:tcBorders>
              <w:top w:val="nil"/>
              <w:left w:val="nil"/>
              <w:bottom w:val="single" w:color="000000" w:sz="4" w:space="0"/>
              <w:right w:val="single" w:color="000000" w:sz="4" w:space="0"/>
            </w:tcBorders>
            <w:shd w:val="clear" w:color="auto" w:fill="auto"/>
            <w:vAlign w:val="center"/>
          </w:tcPr>
          <w:p w14:paraId="51E21B10">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人员培训</w:t>
            </w:r>
          </w:p>
        </w:tc>
        <w:tc>
          <w:tcPr>
            <w:tcW w:w="3190" w:type="pct"/>
            <w:tcBorders>
              <w:top w:val="nil"/>
              <w:left w:val="nil"/>
              <w:bottom w:val="single" w:color="000000" w:sz="4" w:space="0"/>
              <w:right w:val="single" w:color="auto" w:sz="4" w:space="0"/>
            </w:tcBorders>
            <w:shd w:val="clear" w:color="auto" w:fill="auto"/>
            <w:vAlign w:val="center"/>
          </w:tcPr>
          <w:p w14:paraId="475BEDDC">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（1）项目负责人每年分别参加2次以上市、区民政部门组织的居家社区养老服务相关培训和参观交流学习活动。</w:t>
            </w:r>
          </w:p>
          <w:p w14:paraId="2F4F128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（2）新员工上岗前应接受不少于10学时的岗前培训；工作人员每年应接受不少于12学时的在岗培训。</w:t>
            </w:r>
          </w:p>
          <w:p w14:paraId="68FF882F">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（3）养老服务向导近3年内经过市、区民政部门培训上岗。</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3336F202">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D7F6AA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7601E2BF">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p>
        </w:tc>
        <w:tc>
          <w:tcPr>
            <w:tcW w:w="668" w:type="pct"/>
            <w:tcBorders>
              <w:top w:val="nil"/>
              <w:left w:val="nil"/>
              <w:bottom w:val="single" w:color="000000" w:sz="4" w:space="0"/>
              <w:right w:val="single" w:color="000000" w:sz="4" w:space="0"/>
            </w:tcBorders>
            <w:shd w:val="clear" w:color="auto" w:fill="auto"/>
            <w:vAlign w:val="center"/>
          </w:tcPr>
          <w:p w14:paraId="4DF9B89A">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服务管理</w:t>
            </w:r>
          </w:p>
        </w:tc>
        <w:tc>
          <w:tcPr>
            <w:tcW w:w="3190" w:type="pct"/>
            <w:tcBorders>
              <w:top w:val="nil"/>
              <w:left w:val="nil"/>
              <w:bottom w:val="single" w:color="000000" w:sz="4" w:space="0"/>
              <w:right w:val="single" w:color="auto" w:sz="4" w:space="0"/>
            </w:tcBorders>
            <w:shd w:val="clear" w:color="auto" w:fill="auto"/>
            <w:vAlign w:val="center"/>
          </w:tcPr>
          <w:p w14:paraId="3A19BD56">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制定完善的档案管理制度和信息保密制度，明确服务对象档案建立、更新、保存、查阅等全流程要求。指定专人负责档案管理，及时整理、归档服务协议、文件记录等资料。档案满足工作延续性和后期监督管理需要，确保制度执行到位。</w:t>
            </w:r>
          </w:p>
          <w:p w14:paraId="0DEBB401">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（2）签约对象一人一档且建档率100%，服务协议内容符合本市现行居养政策文件要求。非签约服务对象建立花名册，内容真实完整，及时更新。</w:t>
            </w:r>
          </w:p>
          <w:p w14:paraId="3112A17B">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（3）开展服务需求调研，每年≥1次。</w:t>
            </w:r>
          </w:p>
          <w:p w14:paraId="036E0E56">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（4）调研对象与调研方式设置合理，科学分析调研数据，调研结果总结到位。</w:t>
            </w:r>
          </w:p>
          <w:p w14:paraId="00BEBA4E">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（5）建立并实施相应的服务质量管理，有明确的质量检查实施方案及配套制度、考核标准和质量指标。</w:t>
            </w:r>
          </w:p>
          <w:p w14:paraId="30B1CE65">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（6）定期检查服务执行情况并记录，每季度≥1次。</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61C71549">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FDA227E">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25EB9772">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p>
        </w:tc>
        <w:tc>
          <w:tcPr>
            <w:tcW w:w="668" w:type="pct"/>
            <w:tcBorders>
              <w:top w:val="nil"/>
              <w:left w:val="nil"/>
              <w:bottom w:val="single" w:color="000000" w:sz="4" w:space="0"/>
              <w:right w:val="single" w:color="000000" w:sz="4" w:space="0"/>
            </w:tcBorders>
            <w:shd w:val="clear" w:color="auto" w:fill="auto"/>
            <w:vAlign w:val="center"/>
          </w:tcPr>
          <w:p w14:paraId="443214E2">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安全管理</w:t>
            </w:r>
          </w:p>
        </w:tc>
        <w:tc>
          <w:tcPr>
            <w:tcW w:w="3190" w:type="pct"/>
            <w:tcBorders>
              <w:top w:val="nil"/>
              <w:left w:val="nil"/>
              <w:bottom w:val="single" w:color="000000" w:sz="4" w:space="0"/>
              <w:right w:val="single" w:color="auto" w:sz="4" w:space="0"/>
            </w:tcBorders>
            <w:shd w:val="clear" w:color="auto" w:fill="auto"/>
            <w:vAlign w:val="center"/>
          </w:tcPr>
          <w:p w14:paraId="0478B08D">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（1）制定涉及消防、服务防护、食品安全、感染控制、信息安全的安全管理制度和场地管理制度。</w:t>
            </w:r>
          </w:p>
          <w:p w14:paraId="1350A51D">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（2）购买公众责任保险/综合责任保险。</w:t>
            </w:r>
          </w:p>
          <w:p w14:paraId="276FE898">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（3）消防安全管理制度内容完善、科学，包括但不限于教育培训、防火检查、电气设备安全检查、安全疏散设备检查、灭火设备安全检查、隐患整改、应急预案等，并执行到位。</w:t>
            </w:r>
          </w:p>
          <w:p w14:paraId="0C4A7BF9">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（4）消防安全演练每半年≥1次且有完善记录。</w:t>
            </w:r>
          </w:p>
          <w:p w14:paraId="733F0DCA">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（5）老年人服务防护制度内容完善、科学，包括但不限于如噎食、食品药品误食、烫伤、坠床、跌倒、走失、文娱活动意外等应急演练预案，并执行到位。</w:t>
            </w:r>
          </w:p>
          <w:p w14:paraId="1454BC9F">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（6）应急预案演练每年≥1次且有完善记录。</w:t>
            </w:r>
          </w:p>
          <w:p w14:paraId="2A112AAD">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（7）工作人员掌握消防安全、老年人服务防护等制度相关要求。</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7F953E20">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33ADC943">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431" w:hRule="atLeast"/>
          <w:jc w:val="center"/>
        </w:trPr>
        <w:tc>
          <w:tcPr>
            <w:tcW w:w="338" w:type="pct"/>
            <w:tcBorders>
              <w:top w:val="nil"/>
              <w:left w:val="single" w:color="000000" w:sz="4" w:space="0"/>
              <w:bottom w:val="single" w:color="000000" w:sz="4" w:space="0"/>
              <w:right w:val="single" w:color="000000" w:sz="4" w:space="0"/>
            </w:tcBorders>
            <w:vAlign w:val="center"/>
          </w:tcPr>
          <w:p w14:paraId="01859772">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p>
        </w:tc>
        <w:tc>
          <w:tcPr>
            <w:tcW w:w="668" w:type="pct"/>
            <w:tcBorders>
              <w:top w:val="nil"/>
              <w:left w:val="nil"/>
              <w:bottom w:val="single" w:color="000000" w:sz="4" w:space="0"/>
              <w:right w:val="single" w:color="000000" w:sz="4" w:space="0"/>
            </w:tcBorders>
            <w:shd w:val="clear" w:color="auto" w:fill="auto"/>
            <w:vAlign w:val="center"/>
          </w:tcPr>
          <w:p w14:paraId="5D588D62">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宣传推介</w:t>
            </w:r>
          </w:p>
        </w:tc>
        <w:tc>
          <w:tcPr>
            <w:tcW w:w="3190" w:type="pct"/>
            <w:tcBorders>
              <w:top w:val="nil"/>
              <w:left w:val="nil"/>
              <w:bottom w:val="single" w:color="000000" w:sz="4" w:space="0"/>
              <w:right w:val="single" w:color="auto" w:sz="4" w:space="0"/>
            </w:tcBorders>
            <w:shd w:val="clear" w:color="auto" w:fill="auto"/>
            <w:vAlign w:val="center"/>
          </w:tcPr>
          <w:p w14:paraId="5929832C">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（1）通过网站、公众号、微信群、抖音、宣传单张等多种宣传渠道（≥3种）进行服务宣传和动态更新，每月≥1次，内容准确丰富。</w:t>
            </w:r>
          </w:p>
          <w:p w14:paraId="15E5B099">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（2）在百度地图、腾讯地图和高德地图等主流地图软件上完善服务设施信息。</w:t>
            </w:r>
          </w:p>
          <w:p w14:paraId="75788E4F">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kern w:val="2"/>
                <w:sz w:val="24"/>
                <w:szCs w:val="24"/>
                <w:vertAlign w:val="baseline"/>
                <w:lang w:val="en-US" w:eastAsia="zh-CN" w:bidi="ar-SA"/>
              </w:rPr>
              <w:t>（3）每年开展线下推介活动≥12次。</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26A3F054">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7DF2479">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488" w:hRule="atLeast"/>
          <w:jc w:val="center"/>
        </w:trPr>
        <w:tc>
          <w:tcPr>
            <w:tcW w:w="338" w:type="pct"/>
            <w:tcBorders>
              <w:top w:val="nil"/>
              <w:left w:val="single" w:color="000000" w:sz="4" w:space="0"/>
              <w:bottom w:val="single" w:color="000000" w:sz="4" w:space="0"/>
              <w:right w:val="single" w:color="000000" w:sz="4" w:space="0"/>
            </w:tcBorders>
            <w:vAlign w:val="center"/>
          </w:tcPr>
          <w:p w14:paraId="4DCD3748">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p>
        </w:tc>
        <w:tc>
          <w:tcPr>
            <w:tcW w:w="668" w:type="pct"/>
            <w:tcBorders>
              <w:top w:val="nil"/>
              <w:left w:val="nil"/>
              <w:bottom w:val="single" w:color="000000" w:sz="4" w:space="0"/>
              <w:right w:val="single" w:color="000000" w:sz="4" w:space="0"/>
            </w:tcBorders>
            <w:shd w:val="clear" w:color="auto" w:fill="auto"/>
            <w:vAlign w:val="center"/>
          </w:tcPr>
          <w:p w14:paraId="190A4CBA">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财务管理</w:t>
            </w:r>
          </w:p>
        </w:tc>
        <w:tc>
          <w:tcPr>
            <w:tcW w:w="3190" w:type="pct"/>
            <w:tcBorders>
              <w:top w:val="nil"/>
              <w:left w:val="nil"/>
              <w:bottom w:val="single" w:color="000000" w:sz="4" w:space="0"/>
              <w:right w:val="single" w:color="auto" w:sz="4" w:space="0"/>
            </w:tcBorders>
            <w:shd w:val="clear" w:color="auto" w:fill="auto"/>
            <w:vAlign w:val="center"/>
          </w:tcPr>
          <w:p w14:paraId="65A54DF5">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（1）运营机构制定详细完善、符合实际的财务管理制度，并执行到位。制度内容包括但不限于《财务管理制度》《收支管理制度》《采购管理制度》《资产管理制度》《合同管理制度》等。</w:t>
            </w:r>
          </w:p>
          <w:p w14:paraId="67541E8E">
            <w:pPr>
              <w:spacing w:line="360" w:lineRule="auto"/>
              <w:ind w:left="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（2）运营机构的会计、出纳具备必要的专业资质和职业道德。岗位职责明确，由不同人员担任。</w:t>
            </w:r>
          </w:p>
          <w:p w14:paraId="5C610D25">
            <w:pPr>
              <w:spacing w:line="360" w:lineRule="auto"/>
              <w:ind w:left="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（3）运营机构严格按照国家会计准则进行账务处理。账目清晰，勾稽关系正确，报表数据准确无误。</w:t>
            </w:r>
          </w:p>
          <w:p w14:paraId="3AD17EC2">
            <w:pPr>
              <w:spacing w:line="360" w:lineRule="auto"/>
              <w:ind w:left="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（4）运营机构会计科目使用规范，凭证附件齐全，资料数据真实。</w:t>
            </w:r>
          </w:p>
          <w:p w14:paraId="50004E5A">
            <w:pPr>
              <w:spacing w:line="360" w:lineRule="auto"/>
              <w:ind w:left="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（5）运营机构按月及时完成结账工作。</w:t>
            </w:r>
          </w:p>
          <w:p w14:paraId="6B9BCA38">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（6）运营机构财务各项收支程序合法合规合理。</w:t>
            </w:r>
          </w:p>
          <w:p w14:paraId="690DE75E">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（7）运营机构严格按照有关法律法规的规定使用票据。</w:t>
            </w:r>
          </w:p>
          <w:p w14:paraId="0A929753">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（8）运营机构的采购和资产管理规范，登记详细，事由合理。</w:t>
            </w:r>
          </w:p>
          <w:p w14:paraId="7C661093">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（9）运营机构的固定资产、低值易耗品建立采购登记台账，物品验收、进出库、保管、领用物品等方面管理到位。</w:t>
            </w:r>
          </w:p>
          <w:p w14:paraId="1AE3E91D">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（10）项目经费单独核算，收到项目经费时，必须入到运营账户。专款专用，独立成账。</w:t>
            </w:r>
          </w:p>
          <w:p w14:paraId="6CC815C0">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（11）所有与项目相关的收支凭证（记账凭证），在摘要栏或辅助核算项中清晰注明项目名称/编号。</w:t>
            </w:r>
          </w:p>
          <w:p w14:paraId="34BDA303">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（12）凭证后附的原始单据（发票、合同、审批单）与该项目直接相关。</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75A8ABBE">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45F261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132" w:hRule="atLeast"/>
          <w:jc w:val="center"/>
        </w:trPr>
        <w:tc>
          <w:tcPr>
            <w:tcW w:w="338" w:type="pct"/>
            <w:tcBorders>
              <w:top w:val="nil"/>
              <w:left w:val="single" w:color="000000" w:sz="4" w:space="0"/>
              <w:bottom w:val="single" w:color="000000" w:sz="4" w:space="0"/>
              <w:right w:val="single" w:color="000000" w:sz="4" w:space="0"/>
            </w:tcBorders>
            <w:vAlign w:val="center"/>
          </w:tcPr>
          <w:p w14:paraId="6B206652">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w:t>
            </w:r>
          </w:p>
        </w:tc>
        <w:tc>
          <w:tcPr>
            <w:tcW w:w="668" w:type="pct"/>
            <w:tcBorders>
              <w:top w:val="nil"/>
              <w:left w:val="nil"/>
              <w:bottom w:val="single" w:color="000000" w:sz="4" w:space="0"/>
              <w:right w:val="single" w:color="000000" w:sz="4" w:space="0"/>
            </w:tcBorders>
            <w:shd w:val="clear" w:color="auto" w:fill="auto"/>
            <w:vAlign w:val="center"/>
          </w:tcPr>
          <w:p w14:paraId="4B43EE86">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养老服务向导</w:t>
            </w:r>
          </w:p>
        </w:tc>
        <w:tc>
          <w:tcPr>
            <w:tcW w:w="3190" w:type="pct"/>
            <w:tcBorders>
              <w:top w:val="nil"/>
              <w:left w:val="nil"/>
              <w:bottom w:val="single" w:color="000000" w:sz="4" w:space="0"/>
              <w:right w:val="single" w:color="auto" w:sz="4" w:space="0"/>
            </w:tcBorders>
            <w:shd w:val="clear" w:color="auto" w:fill="auto"/>
            <w:vAlign w:val="center"/>
          </w:tcPr>
          <w:p w14:paraId="7C2A41CA">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（1）为老年人及其亲属提供养老服务领域政策咨询、服务查询、办事指引、服务转介和服务方案制定等服务并做好服务记录。</w:t>
            </w:r>
          </w:p>
          <w:p w14:paraId="75725300">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（2）服务记录准确、完整、闭环。</w:t>
            </w:r>
          </w:p>
          <w:p w14:paraId="4FB37B18">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养老服务向导员熟练掌握居家社区/机构养老服务资源、政策内容及服务流程。</w:t>
            </w:r>
          </w:p>
          <w:p w14:paraId="1DB2247D">
            <w:pPr>
              <w:spacing w:line="360" w:lineRule="auto"/>
              <w:jc w:val="left"/>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服务人次≥125，或服务人次大于（含本数）所在街道户籍老年人数的1.25%</w:t>
            </w:r>
            <w:r>
              <w:rPr>
                <w:rFonts w:hint="eastAsia" w:ascii="宋体" w:hAnsi="宋体" w:eastAsia="宋体" w:cs="宋体"/>
                <w:color w:val="000000"/>
                <w:sz w:val="24"/>
                <w:szCs w:val="24"/>
                <w:highlight w:val="none"/>
                <w:lang w:eastAsia="zh-CN"/>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188F25A5">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9F739B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70" w:hRule="atLeast"/>
          <w:jc w:val="center"/>
        </w:trPr>
        <w:tc>
          <w:tcPr>
            <w:tcW w:w="338" w:type="pct"/>
            <w:tcBorders>
              <w:top w:val="nil"/>
              <w:left w:val="single" w:color="000000" w:sz="4" w:space="0"/>
              <w:bottom w:val="single" w:color="000000" w:sz="4" w:space="0"/>
              <w:right w:val="single" w:color="000000" w:sz="4" w:space="0"/>
            </w:tcBorders>
            <w:vAlign w:val="center"/>
          </w:tcPr>
          <w:p w14:paraId="0B8134F7">
            <w:pPr>
              <w:spacing w:line="360" w:lineRule="auto"/>
              <w:jc w:val="cente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11</w:t>
            </w:r>
          </w:p>
        </w:tc>
        <w:tc>
          <w:tcPr>
            <w:tcW w:w="668" w:type="pct"/>
            <w:tcBorders>
              <w:top w:val="nil"/>
              <w:left w:val="nil"/>
              <w:bottom w:val="single" w:color="000000" w:sz="4" w:space="0"/>
              <w:right w:val="single" w:color="000000" w:sz="4" w:space="0"/>
            </w:tcBorders>
            <w:shd w:val="clear" w:color="auto" w:fill="auto"/>
            <w:vAlign w:val="center"/>
          </w:tcPr>
          <w:p w14:paraId="2B0FEE00">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助餐配餐服务</w:t>
            </w:r>
          </w:p>
        </w:tc>
        <w:tc>
          <w:tcPr>
            <w:tcW w:w="3190" w:type="pct"/>
            <w:tcBorders>
              <w:top w:val="nil"/>
              <w:left w:val="nil"/>
              <w:bottom w:val="single" w:color="000000" w:sz="4" w:space="0"/>
              <w:right w:val="single" w:color="auto" w:sz="4" w:space="0"/>
            </w:tcBorders>
            <w:shd w:val="clear" w:color="auto" w:fill="auto"/>
            <w:vAlign w:val="center"/>
          </w:tcPr>
          <w:p w14:paraId="5C248C53">
            <w:pPr>
              <w:pStyle w:val="8"/>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（1）供餐单位应进行食品留样，留样食品按照品种分别盛放于清洗消毒后的专用密闭容器内，在专用冷藏设备中冷藏存放48h以上，每个品种的留样量应能满足检验检测需要，且不少于125g。</w:t>
            </w:r>
          </w:p>
          <w:p w14:paraId="58FB4D10">
            <w:pPr>
              <w:pStyle w:val="8"/>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（2）餐具和分装保温设备在每次使用前消毒；送餐运输工具应符合保温、保鲜要求并保持清洁卫生；接触餐食的工作人员应佩戴口罩和厨工帽。</w:t>
            </w:r>
          </w:p>
          <w:p w14:paraId="1C3C7EAF">
            <w:pPr>
              <w:pStyle w:val="8"/>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（3）工作人员熟知工作流程和要求。</w:t>
            </w:r>
          </w:p>
          <w:p w14:paraId="47AB6CD8">
            <w:pPr>
              <w:pStyle w:val="8"/>
              <w:spacing w:line="360" w:lineRule="auto"/>
              <w:jc w:val="both"/>
              <w:rPr>
                <w:rFonts w:hint="eastAsia" w:ascii="宋体" w:hAnsi="宋体" w:eastAsia="宋体" w:cs="宋体"/>
                <w:color w:val="000000"/>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服务人次≥</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000，或服务人次大于(含本数)所在镇街户籍老年人数的</w:t>
            </w:r>
            <w:r>
              <w:rPr>
                <w:rFonts w:hint="eastAsia" w:ascii="宋体" w:hAnsi="宋体" w:eastAsia="宋体" w:cs="宋体"/>
                <w:color w:val="auto"/>
                <w:sz w:val="24"/>
                <w:szCs w:val="24"/>
                <w:highlight w:val="none"/>
                <w:lang w:val="en-US" w:eastAsia="zh-CN"/>
              </w:rPr>
              <w:t>150</w:t>
            </w:r>
            <w:r>
              <w:rPr>
                <w:rFonts w:hint="eastAsia" w:ascii="宋体" w:hAnsi="宋体" w:eastAsia="宋体" w:cs="宋体"/>
                <w:color w:val="auto"/>
                <w:sz w:val="24"/>
                <w:szCs w:val="24"/>
                <w:highlight w:val="none"/>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22936977">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97C1B10">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590" w:hRule="atLeast"/>
          <w:jc w:val="center"/>
        </w:trPr>
        <w:tc>
          <w:tcPr>
            <w:tcW w:w="338" w:type="pct"/>
            <w:tcBorders>
              <w:top w:val="nil"/>
              <w:left w:val="single" w:color="000000" w:sz="4" w:space="0"/>
              <w:bottom w:val="single" w:color="000000" w:sz="4" w:space="0"/>
              <w:right w:val="single" w:color="000000" w:sz="4" w:space="0"/>
            </w:tcBorders>
            <w:vAlign w:val="center"/>
          </w:tcPr>
          <w:p w14:paraId="4C4F3D54">
            <w:pPr>
              <w:spacing w:line="360" w:lineRule="auto"/>
              <w:jc w:val="cente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p>
        </w:tc>
        <w:tc>
          <w:tcPr>
            <w:tcW w:w="668" w:type="pct"/>
            <w:tcBorders>
              <w:top w:val="nil"/>
              <w:left w:val="nil"/>
              <w:bottom w:val="single" w:color="000000" w:sz="4" w:space="0"/>
              <w:right w:val="single" w:color="000000" w:sz="4" w:space="0"/>
            </w:tcBorders>
            <w:shd w:val="clear" w:color="auto" w:fill="auto"/>
            <w:vAlign w:val="center"/>
          </w:tcPr>
          <w:p w14:paraId="32923448">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生活照料服务</w:t>
            </w:r>
          </w:p>
        </w:tc>
        <w:tc>
          <w:tcPr>
            <w:tcW w:w="3190" w:type="pct"/>
            <w:tcBorders>
              <w:top w:val="nil"/>
              <w:left w:val="nil"/>
              <w:bottom w:val="single" w:color="000000" w:sz="4" w:space="0"/>
              <w:right w:val="single" w:color="auto" w:sz="4" w:space="0"/>
            </w:tcBorders>
            <w:shd w:val="clear" w:color="auto" w:fill="auto"/>
            <w:vAlign w:val="center"/>
          </w:tcPr>
          <w:p w14:paraId="596E1B99">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（1）服务项目多样化，实际开展的上门生活照料服务项目数量≥5项（包括助洁服务、洗涤服务、陪伴就医、陪同外出、上门做餐、代办服务、个人护理等）。</w:t>
            </w:r>
          </w:p>
          <w:p w14:paraId="24E67BDA">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（2）所开展的服务项目符合广州市地方标准《社区居家养老服务规范》（DB4401/T 82-2020）的要求。</w:t>
            </w:r>
          </w:p>
          <w:p w14:paraId="07106E6A">
            <w:pPr>
              <w:pStyle w:val="2"/>
              <w:spacing w:line="360" w:lineRule="auto"/>
              <w:ind w:left="0"/>
              <w:rPr>
                <w:rFonts w:hint="eastAsia" w:ascii="宋体" w:hAnsi="宋体" w:eastAsia="宋体" w:cs="宋体"/>
                <w:smallCaps w:val="0"/>
                <w:color w:val="auto"/>
                <w:sz w:val="24"/>
                <w:szCs w:val="24"/>
                <w:highlight w:val="none"/>
              </w:rPr>
            </w:pPr>
            <w:r>
              <w:rPr>
                <w:rFonts w:hint="eastAsia" w:ascii="宋体" w:hAnsi="宋体" w:eastAsia="宋体" w:cs="宋体"/>
                <w:smallCaps w:val="0"/>
                <w:color w:val="auto"/>
                <w:sz w:val="24"/>
                <w:szCs w:val="24"/>
                <w:highlight w:val="none"/>
                <w:lang w:eastAsia="zh-CN"/>
              </w:rPr>
              <w:t>（</w:t>
            </w:r>
            <w:r>
              <w:rPr>
                <w:rFonts w:hint="eastAsia" w:ascii="宋体" w:hAnsi="宋体" w:eastAsia="宋体" w:cs="宋体"/>
                <w:smallCaps w:val="0"/>
                <w:color w:val="auto"/>
                <w:sz w:val="24"/>
                <w:szCs w:val="24"/>
                <w:highlight w:val="none"/>
                <w:lang w:val="en-US" w:eastAsia="zh-CN"/>
              </w:rPr>
              <w:t>3</w:t>
            </w:r>
            <w:r>
              <w:rPr>
                <w:rFonts w:hint="eastAsia" w:ascii="宋体" w:hAnsi="宋体" w:eastAsia="宋体" w:cs="宋体"/>
                <w:smallCaps w:val="0"/>
                <w:color w:val="auto"/>
                <w:sz w:val="24"/>
                <w:szCs w:val="24"/>
                <w:highlight w:val="none"/>
                <w:lang w:eastAsia="zh-CN"/>
              </w:rPr>
              <w:t>）</w:t>
            </w:r>
            <w:r>
              <w:rPr>
                <w:rFonts w:hint="eastAsia" w:ascii="宋体" w:hAnsi="宋体" w:eastAsia="宋体" w:cs="宋体"/>
                <w:smallCaps w:val="0"/>
                <w:color w:val="auto"/>
                <w:sz w:val="24"/>
                <w:szCs w:val="24"/>
                <w:highlight w:val="none"/>
              </w:rPr>
              <w:t>工作人员熟知工作流程和要求。</w:t>
            </w:r>
          </w:p>
          <w:p w14:paraId="44D3882F">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为老平台服务记录详实，服务项目与服务佐证照片相对应。</w:t>
            </w:r>
          </w:p>
          <w:p w14:paraId="7F4A2804">
            <w:pPr>
              <w:spacing w:line="360" w:lineRule="auto"/>
              <w:jc w:val="left"/>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服务人次≥</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00，或服务人次大于(含本数)所在镇街户籍老年人数的</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%。根据每年的评估指标适时调整。</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FC94947">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CE6A29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590" w:hRule="atLeast"/>
          <w:jc w:val="center"/>
        </w:trPr>
        <w:tc>
          <w:tcPr>
            <w:tcW w:w="338" w:type="pct"/>
            <w:tcBorders>
              <w:top w:val="nil"/>
              <w:left w:val="single" w:color="000000" w:sz="4" w:space="0"/>
              <w:bottom w:val="single" w:color="000000" w:sz="4" w:space="0"/>
              <w:right w:val="single" w:color="000000" w:sz="4" w:space="0"/>
            </w:tcBorders>
            <w:vAlign w:val="center"/>
          </w:tcPr>
          <w:p w14:paraId="773D636B">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13</w:t>
            </w:r>
          </w:p>
        </w:tc>
        <w:tc>
          <w:tcPr>
            <w:tcW w:w="668" w:type="pct"/>
            <w:tcBorders>
              <w:top w:val="nil"/>
              <w:left w:val="nil"/>
              <w:bottom w:val="single" w:color="000000" w:sz="4" w:space="0"/>
              <w:right w:val="single" w:color="000000" w:sz="4" w:space="0"/>
            </w:tcBorders>
            <w:shd w:val="clear" w:color="auto" w:fill="auto"/>
            <w:vAlign w:val="center"/>
          </w:tcPr>
          <w:p w14:paraId="46497C87">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日间托管</w:t>
            </w:r>
          </w:p>
        </w:tc>
        <w:tc>
          <w:tcPr>
            <w:tcW w:w="3190" w:type="pct"/>
            <w:tcBorders>
              <w:top w:val="nil"/>
              <w:left w:val="nil"/>
              <w:bottom w:val="single" w:color="000000" w:sz="4" w:space="0"/>
              <w:right w:val="single" w:color="auto" w:sz="4" w:space="0"/>
            </w:tcBorders>
            <w:shd w:val="clear" w:color="auto" w:fill="auto"/>
            <w:vAlign w:val="center"/>
          </w:tcPr>
          <w:p w14:paraId="4B0557AC">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（1）应建立日间托管服务应急处置机制，制定服务对象走失、跌倒、自伤/他伤、财产损失等相关风险预案，明确具体应对措施。制度内容完善、科学、合理，且执行到位。</w:t>
            </w:r>
          </w:p>
          <w:p w14:paraId="69ACC56C">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（2）公示的收费标准与服务协议及实际收费一致。为每个失能（失智）老年人制定个性化照护服务方案并执行。</w:t>
            </w:r>
          </w:p>
          <w:p w14:paraId="33699B52">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工作人员熟知工作流程和要求。</w:t>
            </w:r>
          </w:p>
          <w:p w14:paraId="22C6E767">
            <w:pPr>
              <w:spacing w:line="360" w:lineRule="auto"/>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服务对象中失能老年人占比≥50%或服务对象中失智老年人人数≥3人。</w:t>
            </w:r>
          </w:p>
          <w:p w14:paraId="00341B07">
            <w:pPr>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服务人次≥</w:t>
            </w:r>
            <w:r>
              <w:rPr>
                <w:rFonts w:hint="eastAsia" w:ascii="宋体" w:hAnsi="宋体" w:eastAsia="宋体" w:cs="宋体"/>
                <w:color w:val="000000"/>
                <w:sz w:val="24"/>
                <w:szCs w:val="24"/>
                <w:highlight w:val="none"/>
                <w:lang w:val="en-US" w:eastAsia="zh-CN"/>
              </w:rPr>
              <w:t>150</w:t>
            </w:r>
            <w:r>
              <w:rPr>
                <w:rFonts w:hint="eastAsia" w:ascii="宋体" w:hAnsi="宋体" w:eastAsia="宋体" w:cs="宋体"/>
                <w:color w:val="000000"/>
                <w:sz w:val="24"/>
                <w:szCs w:val="24"/>
                <w:highlight w:val="none"/>
              </w:rPr>
              <w:t>，或服务人次大于(含本数)所在镇街户籍老年人数的</w:t>
            </w:r>
            <w:r>
              <w:rPr>
                <w:rFonts w:hint="eastAsia" w:ascii="宋体" w:hAnsi="宋体" w:eastAsia="宋体" w:cs="宋体"/>
                <w:color w:val="000000"/>
                <w:sz w:val="24"/>
                <w:szCs w:val="24"/>
                <w:highlight w:val="none"/>
                <w:lang w:val="en-US" w:eastAsia="zh-CN"/>
              </w:rPr>
              <w:t>1.5%</w:t>
            </w:r>
            <w:r>
              <w:rPr>
                <w:rFonts w:hint="eastAsia" w:ascii="宋体" w:hAnsi="宋体" w:eastAsia="宋体" w:cs="宋体"/>
                <w:color w:val="000000"/>
                <w:sz w:val="24"/>
                <w:szCs w:val="24"/>
                <w:highlight w:val="none"/>
                <w:lang w:eastAsia="zh-CN"/>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482DC222">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194A06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590" w:hRule="atLeast"/>
          <w:jc w:val="center"/>
        </w:trPr>
        <w:tc>
          <w:tcPr>
            <w:tcW w:w="338" w:type="pct"/>
            <w:tcBorders>
              <w:top w:val="nil"/>
              <w:left w:val="single" w:color="000000" w:sz="4" w:space="0"/>
              <w:bottom w:val="single" w:color="000000" w:sz="4" w:space="0"/>
              <w:right w:val="single" w:color="000000" w:sz="4" w:space="0"/>
            </w:tcBorders>
            <w:vAlign w:val="center"/>
          </w:tcPr>
          <w:p w14:paraId="49C69479">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14</w:t>
            </w:r>
          </w:p>
        </w:tc>
        <w:tc>
          <w:tcPr>
            <w:tcW w:w="668" w:type="pct"/>
            <w:tcBorders>
              <w:top w:val="nil"/>
              <w:left w:val="nil"/>
              <w:bottom w:val="single" w:color="000000" w:sz="4" w:space="0"/>
              <w:right w:val="single" w:color="000000" w:sz="4" w:space="0"/>
            </w:tcBorders>
            <w:shd w:val="clear" w:color="auto" w:fill="auto"/>
            <w:vAlign w:val="center"/>
          </w:tcPr>
          <w:p w14:paraId="2931C8FF">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文体教育</w:t>
            </w:r>
          </w:p>
        </w:tc>
        <w:tc>
          <w:tcPr>
            <w:tcW w:w="3190" w:type="pct"/>
            <w:tcBorders>
              <w:top w:val="nil"/>
              <w:left w:val="nil"/>
              <w:bottom w:val="single" w:color="000000" w:sz="4" w:space="0"/>
              <w:right w:val="single" w:color="auto" w:sz="4" w:space="0"/>
            </w:tcBorders>
            <w:shd w:val="clear" w:color="auto" w:fill="auto"/>
            <w:vAlign w:val="center"/>
          </w:tcPr>
          <w:p w14:paraId="402BF76A">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（1）应公示教学安排、活动预告、老年人作品展示、活动剪影等。</w:t>
            </w:r>
          </w:p>
          <w:p w14:paraId="4529309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（2）逢传统节日能够安排相应的主题活动，每年≥5次，活动档案资料完整。</w:t>
            </w:r>
          </w:p>
          <w:p w14:paraId="5B074B96">
            <w:pPr>
              <w:pStyle w:val="2"/>
              <w:spacing w:line="360" w:lineRule="auto"/>
              <w:ind w:left="0"/>
              <w:rPr>
                <w:rFonts w:hint="eastAsia" w:ascii="宋体" w:hAnsi="宋体" w:eastAsia="宋体" w:cs="宋体"/>
                <w:smallCaps w:val="0"/>
                <w:color w:val="000000"/>
                <w:sz w:val="24"/>
                <w:szCs w:val="24"/>
              </w:rPr>
            </w:pPr>
            <w:r>
              <w:rPr>
                <w:rFonts w:hint="eastAsia" w:ascii="宋体" w:hAnsi="宋体" w:eastAsia="宋体" w:cs="宋体"/>
                <w:smallCaps w:val="0"/>
                <w:color w:val="000000"/>
                <w:sz w:val="24"/>
                <w:szCs w:val="24"/>
                <w:lang w:eastAsia="zh-CN"/>
              </w:rPr>
              <w:t>（</w:t>
            </w:r>
            <w:r>
              <w:rPr>
                <w:rFonts w:hint="eastAsia" w:ascii="宋体" w:hAnsi="宋体" w:eastAsia="宋体" w:cs="宋体"/>
                <w:smallCaps w:val="0"/>
                <w:color w:val="000000"/>
                <w:sz w:val="24"/>
                <w:szCs w:val="24"/>
                <w:lang w:val="en-US" w:eastAsia="zh-CN"/>
              </w:rPr>
              <w:t>3</w:t>
            </w:r>
            <w:r>
              <w:rPr>
                <w:rFonts w:hint="eastAsia" w:ascii="宋体" w:hAnsi="宋体" w:eastAsia="宋体" w:cs="宋体"/>
                <w:smallCaps w:val="0"/>
                <w:color w:val="000000"/>
                <w:sz w:val="24"/>
                <w:szCs w:val="24"/>
                <w:lang w:eastAsia="zh-CN"/>
              </w:rPr>
              <w:t>）</w:t>
            </w:r>
            <w:r>
              <w:rPr>
                <w:rFonts w:hint="eastAsia" w:ascii="宋体" w:hAnsi="宋体" w:eastAsia="宋体" w:cs="宋体"/>
                <w:smallCaps w:val="0"/>
                <w:color w:val="000000"/>
                <w:sz w:val="24"/>
                <w:szCs w:val="24"/>
              </w:rPr>
              <w:t>在服务设施内有长期开展教育类活动（如老年大学、老年教育、老年培训、长者学堂等），且同一课程持续时间≥3个月。</w:t>
            </w:r>
          </w:p>
          <w:p w14:paraId="136DA35B">
            <w:pPr>
              <w:pStyle w:val="2"/>
              <w:spacing w:line="360" w:lineRule="auto"/>
              <w:rPr>
                <w:rFonts w:hint="eastAsia" w:ascii="宋体" w:hAnsi="宋体" w:eastAsia="宋体" w:cs="宋体"/>
                <w:smallCaps w:val="0"/>
                <w:color w:val="000000"/>
                <w:sz w:val="24"/>
                <w:szCs w:val="24"/>
              </w:rPr>
            </w:pPr>
            <w:r>
              <w:rPr>
                <w:rFonts w:hint="eastAsia" w:ascii="宋体" w:hAnsi="宋体" w:eastAsia="宋体" w:cs="宋体"/>
                <w:smallCaps w:val="0"/>
                <w:color w:val="000000"/>
                <w:sz w:val="24"/>
                <w:szCs w:val="24"/>
              </w:rPr>
              <w:t>（</w:t>
            </w:r>
            <w:r>
              <w:rPr>
                <w:rFonts w:hint="eastAsia" w:ascii="宋体" w:hAnsi="宋体" w:eastAsia="宋体" w:cs="宋体"/>
                <w:smallCaps w:val="0"/>
                <w:color w:val="000000"/>
                <w:sz w:val="24"/>
                <w:szCs w:val="24"/>
                <w:lang w:eastAsia="zh-CN"/>
              </w:rPr>
              <w:t>a</w:t>
            </w:r>
            <w:r>
              <w:rPr>
                <w:rFonts w:hint="eastAsia" w:ascii="宋体" w:hAnsi="宋体" w:eastAsia="宋体" w:cs="宋体"/>
                <w:smallCaps w:val="0"/>
                <w:color w:val="000000"/>
                <w:sz w:val="24"/>
                <w:szCs w:val="24"/>
              </w:rPr>
              <w:t>）课程数量≥1个。</w:t>
            </w:r>
          </w:p>
          <w:p w14:paraId="2A116334">
            <w:pPr>
              <w:pStyle w:val="2"/>
              <w:spacing w:line="360" w:lineRule="auto"/>
              <w:rPr>
                <w:rFonts w:hint="eastAsia" w:ascii="宋体" w:hAnsi="宋体" w:eastAsia="宋体" w:cs="宋体"/>
                <w:smallCaps w:val="0"/>
                <w:color w:val="000000"/>
                <w:sz w:val="24"/>
                <w:szCs w:val="24"/>
              </w:rPr>
            </w:pPr>
            <w:r>
              <w:rPr>
                <w:rFonts w:hint="eastAsia" w:ascii="宋体" w:hAnsi="宋体" w:eastAsia="宋体" w:cs="宋体"/>
                <w:smallCaps w:val="0"/>
                <w:color w:val="000000"/>
                <w:sz w:val="24"/>
                <w:szCs w:val="24"/>
              </w:rPr>
              <w:t>（</w:t>
            </w:r>
            <w:r>
              <w:rPr>
                <w:rFonts w:hint="eastAsia" w:ascii="宋体" w:hAnsi="宋体" w:eastAsia="宋体" w:cs="宋体"/>
                <w:smallCaps w:val="0"/>
                <w:color w:val="000000"/>
                <w:sz w:val="24"/>
                <w:szCs w:val="24"/>
                <w:lang w:eastAsia="zh-CN"/>
              </w:rPr>
              <w:t>b</w:t>
            </w:r>
            <w:r>
              <w:rPr>
                <w:rFonts w:hint="eastAsia" w:ascii="宋体" w:hAnsi="宋体" w:eastAsia="宋体" w:cs="宋体"/>
                <w:smallCaps w:val="0"/>
                <w:color w:val="000000"/>
                <w:sz w:val="24"/>
                <w:szCs w:val="24"/>
              </w:rPr>
              <w:t>）开展展示老年人学习成果的活动，每年≥1次。</w:t>
            </w:r>
          </w:p>
          <w:p w14:paraId="7E461E79">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服务人次≥</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000，或服务人次大于(含本数)所在镇街户籍老年人数的</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0%</w:t>
            </w:r>
            <w:r>
              <w:rPr>
                <w:rFonts w:hint="eastAsia" w:ascii="宋体" w:hAnsi="宋体" w:eastAsia="宋体" w:cs="宋体"/>
                <w:color w:val="000000"/>
                <w:sz w:val="24"/>
                <w:szCs w:val="24"/>
                <w:lang w:eastAsia="zh-CN"/>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814A246">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2C0ACDF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3B666D05">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15</w:t>
            </w:r>
          </w:p>
        </w:tc>
        <w:tc>
          <w:tcPr>
            <w:tcW w:w="668" w:type="pct"/>
            <w:tcBorders>
              <w:top w:val="nil"/>
              <w:left w:val="nil"/>
              <w:bottom w:val="single" w:color="000000" w:sz="4" w:space="0"/>
              <w:right w:val="single" w:color="000000" w:sz="4" w:space="0"/>
            </w:tcBorders>
            <w:shd w:val="clear" w:color="auto" w:fill="auto"/>
            <w:vAlign w:val="center"/>
          </w:tcPr>
          <w:p w14:paraId="1A98134F">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定期巡访</w:t>
            </w:r>
          </w:p>
        </w:tc>
        <w:tc>
          <w:tcPr>
            <w:tcW w:w="3190" w:type="pct"/>
            <w:tcBorders>
              <w:top w:val="nil"/>
              <w:left w:val="nil"/>
              <w:bottom w:val="single" w:color="000000" w:sz="4" w:space="0"/>
              <w:right w:val="single" w:color="auto" w:sz="4" w:space="0"/>
            </w:tcBorders>
            <w:shd w:val="clear" w:color="auto" w:fill="auto"/>
            <w:vAlign w:val="center"/>
          </w:tcPr>
          <w:p w14:paraId="2B0D808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安排专人管理巡访工作，制定有巡访工作制度，根据巡访对象评估情况、风险等级和个人意愿合理确定巡访频次，制定个人巡访方案并执行。一般对象应至少每月巡访一次；重点帮扶对象适当缩短巡访时间间隔，提高巡访频次。</w:t>
            </w:r>
          </w:p>
          <w:p w14:paraId="6FF7F502">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（2）安排专业人员定期检查巡访对象家庭的水、电、煤气等设施运行情况，排除安全隐患，并有记录。</w:t>
            </w:r>
          </w:p>
          <w:p w14:paraId="621520DA">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服务人次≥1000，或服务人次大于(含本数)所在镇街户籍老年人数的10%。</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2994E91D">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8CF639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426" w:hRule="atLeast"/>
          <w:jc w:val="center"/>
        </w:trPr>
        <w:tc>
          <w:tcPr>
            <w:tcW w:w="338" w:type="pct"/>
            <w:tcBorders>
              <w:top w:val="nil"/>
              <w:left w:val="single" w:color="000000" w:sz="4" w:space="0"/>
              <w:bottom w:val="single" w:color="000000" w:sz="4" w:space="0"/>
              <w:right w:val="single" w:color="000000" w:sz="4" w:space="0"/>
            </w:tcBorders>
            <w:vAlign w:val="center"/>
          </w:tcPr>
          <w:p w14:paraId="641A8532">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16</w:t>
            </w:r>
          </w:p>
        </w:tc>
        <w:tc>
          <w:tcPr>
            <w:tcW w:w="668" w:type="pct"/>
            <w:tcBorders>
              <w:top w:val="nil"/>
              <w:left w:val="nil"/>
              <w:bottom w:val="single" w:color="000000" w:sz="4" w:space="0"/>
              <w:right w:val="single" w:color="000000" w:sz="4" w:space="0"/>
            </w:tcBorders>
            <w:shd w:val="clear" w:color="auto" w:fill="auto"/>
            <w:vAlign w:val="center"/>
          </w:tcPr>
          <w:p w14:paraId="55C21E00">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辅具租赁</w:t>
            </w:r>
          </w:p>
        </w:tc>
        <w:tc>
          <w:tcPr>
            <w:tcW w:w="3190" w:type="pct"/>
            <w:tcBorders>
              <w:top w:val="nil"/>
              <w:left w:val="nil"/>
              <w:bottom w:val="single" w:color="000000" w:sz="4" w:space="0"/>
              <w:right w:val="single" w:color="auto" w:sz="4" w:space="0"/>
            </w:tcBorders>
            <w:shd w:val="clear" w:color="auto" w:fill="auto"/>
            <w:vAlign w:val="center"/>
          </w:tcPr>
          <w:p w14:paraId="61813D75">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（1）提供电话预定、送货上门服务。</w:t>
            </w:r>
          </w:p>
          <w:p w14:paraId="0DCE9FC3">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（2）租赁双方规范签订租赁协议，档案资料完整，交易凭证清晰。</w:t>
            </w:r>
          </w:p>
          <w:p w14:paraId="04AE2A29">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w:t>
            </w:r>
            <w:r>
              <w:rPr>
                <w:rFonts w:hint="eastAsia" w:ascii="宋体" w:hAnsi="宋体" w:eastAsia="宋体" w:cs="宋体"/>
                <w:sz w:val="24"/>
                <w:szCs w:val="24"/>
              </w:rPr>
              <w:t>服务人次≥</w:t>
            </w:r>
            <w:r>
              <w:rPr>
                <w:rFonts w:hint="eastAsia" w:ascii="宋体" w:hAnsi="宋体" w:eastAsia="宋体" w:cs="宋体"/>
                <w:sz w:val="24"/>
                <w:szCs w:val="24"/>
                <w:lang w:val="en-US" w:eastAsia="zh-CN"/>
              </w:rPr>
              <w:t>6。</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0F022DCE">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97240A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803" w:hRule="atLeast"/>
          <w:jc w:val="center"/>
        </w:trPr>
        <w:tc>
          <w:tcPr>
            <w:tcW w:w="338" w:type="pct"/>
            <w:tcBorders>
              <w:top w:val="nil"/>
              <w:left w:val="single" w:color="000000" w:sz="4" w:space="0"/>
              <w:bottom w:val="single" w:color="000000" w:sz="4" w:space="0"/>
              <w:right w:val="single" w:color="000000" w:sz="4" w:space="0"/>
            </w:tcBorders>
            <w:vAlign w:val="center"/>
          </w:tcPr>
          <w:p w14:paraId="07CEBA6A">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17</w:t>
            </w:r>
          </w:p>
        </w:tc>
        <w:tc>
          <w:tcPr>
            <w:tcW w:w="668" w:type="pct"/>
            <w:tcBorders>
              <w:top w:val="nil"/>
              <w:left w:val="nil"/>
              <w:bottom w:val="single" w:color="000000" w:sz="4" w:space="0"/>
              <w:right w:val="single" w:color="000000" w:sz="4" w:space="0"/>
            </w:tcBorders>
            <w:shd w:val="clear" w:color="auto" w:fill="auto"/>
            <w:vAlign w:val="center"/>
          </w:tcPr>
          <w:p w14:paraId="4795C137">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家庭照护培训</w:t>
            </w:r>
          </w:p>
        </w:tc>
        <w:tc>
          <w:tcPr>
            <w:tcW w:w="3190" w:type="pct"/>
            <w:tcBorders>
              <w:top w:val="nil"/>
              <w:left w:val="nil"/>
              <w:bottom w:val="single" w:color="000000" w:sz="4" w:space="0"/>
              <w:right w:val="single" w:color="auto" w:sz="4" w:space="0"/>
            </w:tcBorders>
            <w:shd w:val="clear" w:color="auto" w:fill="auto"/>
            <w:vAlign w:val="center"/>
          </w:tcPr>
          <w:p w14:paraId="578D7520">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（1）面向服务对象的家庭照护者进行培训需求调研，对调研结果进行统计分析。</w:t>
            </w:r>
          </w:p>
          <w:p w14:paraId="27898E18">
            <w:pPr>
              <w:spacing w:line="360" w:lineRule="auto"/>
              <w:jc w:val="left"/>
              <w:rPr>
                <w:rFonts w:hint="eastAsia" w:ascii="宋体" w:hAnsi="宋体" w:eastAsia="宋体" w:cs="宋体"/>
                <w:sz w:val="24"/>
                <w:szCs w:val="24"/>
              </w:rPr>
            </w:pPr>
            <w:r>
              <w:rPr>
                <w:rFonts w:hint="eastAsia" w:ascii="宋体" w:hAnsi="宋体" w:eastAsia="宋体" w:cs="宋体"/>
                <w:color w:val="000000"/>
                <w:sz w:val="24"/>
                <w:szCs w:val="24"/>
              </w:rPr>
              <w:t>（2）制定家庭照护培训计划并执行，培训计划与需求调研结果相匹配。</w:t>
            </w:r>
          </w:p>
          <w:p w14:paraId="33CEB8BF">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3.服务人次≥</w:t>
            </w:r>
            <w:r>
              <w:rPr>
                <w:rFonts w:hint="eastAsia" w:ascii="宋体" w:hAnsi="宋体" w:eastAsia="宋体" w:cs="宋体"/>
                <w:color w:val="000000"/>
                <w:sz w:val="24"/>
                <w:szCs w:val="24"/>
                <w:lang w:val="en-US" w:eastAsia="zh-CN"/>
              </w:rPr>
              <w:t>25</w:t>
            </w:r>
            <w:r>
              <w:rPr>
                <w:rFonts w:hint="eastAsia" w:ascii="宋体" w:hAnsi="宋体" w:eastAsia="宋体" w:cs="宋体"/>
                <w:color w:val="000000"/>
                <w:sz w:val="24"/>
                <w:szCs w:val="24"/>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64B5C2A9">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320167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008" w:hRule="atLeast"/>
          <w:jc w:val="center"/>
        </w:trPr>
        <w:tc>
          <w:tcPr>
            <w:tcW w:w="338" w:type="pct"/>
            <w:tcBorders>
              <w:top w:val="nil"/>
              <w:left w:val="single" w:color="000000" w:sz="4" w:space="0"/>
              <w:bottom w:val="single" w:color="000000" w:sz="4" w:space="0"/>
              <w:right w:val="single" w:color="000000" w:sz="4" w:space="0"/>
            </w:tcBorders>
            <w:vAlign w:val="center"/>
          </w:tcPr>
          <w:p w14:paraId="26D2E6E7">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18</w:t>
            </w:r>
          </w:p>
        </w:tc>
        <w:tc>
          <w:tcPr>
            <w:tcW w:w="668" w:type="pct"/>
            <w:tcBorders>
              <w:top w:val="nil"/>
              <w:left w:val="nil"/>
              <w:bottom w:val="single" w:color="000000" w:sz="4" w:space="0"/>
              <w:right w:val="single" w:color="000000" w:sz="4" w:space="0"/>
            </w:tcBorders>
            <w:shd w:val="clear" w:color="auto" w:fill="auto"/>
            <w:vAlign w:val="center"/>
          </w:tcPr>
          <w:p w14:paraId="4F8C993B">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居家适老化改造</w:t>
            </w:r>
          </w:p>
        </w:tc>
        <w:tc>
          <w:tcPr>
            <w:tcW w:w="3190" w:type="pct"/>
            <w:tcBorders>
              <w:top w:val="nil"/>
              <w:left w:val="nil"/>
              <w:bottom w:val="single" w:color="000000" w:sz="4" w:space="0"/>
              <w:right w:val="single" w:color="auto" w:sz="4" w:space="0"/>
            </w:tcBorders>
            <w:shd w:val="clear" w:color="auto" w:fill="auto"/>
            <w:vAlign w:val="center"/>
          </w:tcPr>
          <w:p w14:paraId="51C6C11C">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（1）改造实施单位应入户为申请改造对象进行评估，并出具书面评估报告。评估内容包括老年人能力、家庭状况、建筑及居家环境、辅具适配等。</w:t>
            </w:r>
          </w:p>
          <w:p w14:paraId="30F0F925">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（2）应根据入户评估结果，结合老年人需求和意愿，制订改造设计方案，明确改造项目、改造标准、改造费用、改造时限、质量保证等内容，并根据设计方案进行改造。</w:t>
            </w:r>
          </w:p>
          <w:p w14:paraId="616E51E4">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实际完成地面改造（防滑处理、高差处理、平整硬化、安装扶手）、门改造（门槛移除、平开门改为推拉门、房门拓宽、下压式门把手改造、安装闪光震动门铃）、卧室改造（配置护理床、安装床边护栏、配置防压疮垫）、如厕洗浴设备改造（安装扶手、蹲便器改坐便器、水龙头改造、浴缸/淋浴房、配置淋浴椅或加装安全浴凳）、厨房设备改造（台面改造、加设中部柜）、物理环境改造（安装自动感应灯具、电源插座及开关改造、安装防撞护角/防撞条、适老家具配置）、老年用品配置（手杖、轮椅/助行器、放大装置、助听器、自助进食器具、防走失装置、安全监控装置）等改造项目，完成类型≥3类。</w:t>
            </w:r>
          </w:p>
          <w:p w14:paraId="2AF580A3">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auto"/>
                <w:sz w:val="24"/>
                <w:szCs w:val="24"/>
                <w:highlight w:val="none"/>
              </w:rPr>
              <w:t>改造户数每年根据上级下达任务完成。</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741CFEC6">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48AD220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315" w:hRule="atLeast"/>
          <w:jc w:val="center"/>
        </w:trPr>
        <w:tc>
          <w:tcPr>
            <w:tcW w:w="338" w:type="pct"/>
            <w:tcBorders>
              <w:top w:val="nil"/>
              <w:left w:val="single" w:color="000000" w:sz="4" w:space="0"/>
              <w:bottom w:val="single" w:color="000000" w:sz="4" w:space="0"/>
              <w:right w:val="single" w:color="000000" w:sz="4" w:space="0"/>
            </w:tcBorders>
            <w:vAlign w:val="center"/>
          </w:tcPr>
          <w:p w14:paraId="3AC1B984">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19</w:t>
            </w:r>
          </w:p>
        </w:tc>
        <w:tc>
          <w:tcPr>
            <w:tcW w:w="668" w:type="pct"/>
            <w:tcBorders>
              <w:top w:val="nil"/>
              <w:left w:val="nil"/>
              <w:bottom w:val="single" w:color="000000" w:sz="4" w:space="0"/>
              <w:right w:val="single" w:color="000000" w:sz="4" w:space="0"/>
            </w:tcBorders>
            <w:shd w:val="clear" w:color="auto" w:fill="auto"/>
            <w:vAlign w:val="center"/>
          </w:tcPr>
          <w:p w14:paraId="58254573">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家庭养老床位</w:t>
            </w:r>
          </w:p>
        </w:tc>
        <w:tc>
          <w:tcPr>
            <w:tcW w:w="3190" w:type="pct"/>
            <w:tcBorders>
              <w:top w:val="nil"/>
              <w:left w:val="nil"/>
              <w:bottom w:val="single" w:color="000000" w:sz="4" w:space="0"/>
              <w:right w:val="single" w:color="auto" w:sz="4" w:space="0"/>
            </w:tcBorders>
            <w:shd w:val="clear" w:color="auto" w:fill="auto"/>
            <w:vAlign w:val="center"/>
          </w:tcPr>
          <w:p w14:paraId="00391D47">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（1）提供服务前对老年人居家环境和照护需求进行评估，并制定相应的适老化与智能化改造方案、改造费用清单、照顾服务计划。</w:t>
            </w:r>
          </w:p>
          <w:p w14:paraId="43195DAC">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（2）与服务对象签订服务协议，服务方案与评估结果相匹配并有效执行。</w:t>
            </w:r>
          </w:p>
          <w:p w14:paraId="23CA94F8">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（3）提供智慧远程服务并具备基本应急处置能力。设立24小时服务热线和工作机制，设有专人能24小时接收处理服务对象的求助和信息系统的风险提示信息，15分钟内进行回应处理，并提供相关服务。</w:t>
            </w:r>
          </w:p>
          <w:p w14:paraId="1E4BA114">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auto"/>
                <w:sz w:val="24"/>
                <w:szCs w:val="24"/>
                <w:highlight w:val="none"/>
                <w:lang w:val="en-US" w:eastAsia="zh-CN"/>
              </w:rPr>
              <w:t>评定周期内有至少6个月上门服务记录的床位数≥5。</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4ADDEA2C">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ED7555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480" w:hRule="atLeast"/>
          <w:jc w:val="center"/>
        </w:trPr>
        <w:tc>
          <w:tcPr>
            <w:tcW w:w="338" w:type="pct"/>
            <w:tcBorders>
              <w:top w:val="nil"/>
              <w:left w:val="single" w:color="000000" w:sz="4" w:space="0"/>
              <w:bottom w:val="single" w:color="000000" w:sz="4" w:space="0"/>
              <w:right w:val="single" w:color="000000" w:sz="4" w:space="0"/>
            </w:tcBorders>
            <w:vAlign w:val="center"/>
          </w:tcPr>
          <w:p w14:paraId="0D466DA4">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20</w:t>
            </w:r>
          </w:p>
        </w:tc>
        <w:tc>
          <w:tcPr>
            <w:tcW w:w="668" w:type="pct"/>
            <w:tcBorders>
              <w:top w:val="nil"/>
              <w:left w:val="nil"/>
              <w:bottom w:val="single" w:color="000000" w:sz="4" w:space="0"/>
              <w:right w:val="single" w:color="000000" w:sz="4" w:space="0"/>
            </w:tcBorders>
            <w:shd w:val="clear" w:color="auto" w:fill="auto"/>
            <w:vAlign w:val="center"/>
          </w:tcPr>
          <w:p w14:paraId="2A2BA5A0">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医养康养/康复护理</w:t>
            </w:r>
          </w:p>
        </w:tc>
        <w:tc>
          <w:tcPr>
            <w:tcW w:w="3190" w:type="pct"/>
            <w:tcBorders>
              <w:top w:val="nil"/>
              <w:left w:val="nil"/>
              <w:bottom w:val="single" w:color="000000" w:sz="4" w:space="0"/>
              <w:right w:val="single" w:color="auto" w:sz="4" w:space="0"/>
            </w:tcBorders>
            <w:shd w:val="clear" w:color="auto" w:fill="auto"/>
            <w:vAlign w:val="center"/>
          </w:tcPr>
          <w:p w14:paraId="3095A7F1">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（1）内设医疗机构，或运营机构具备互联网医院资质，或与周边卫生服务中心等签订医养合作协议。</w:t>
            </w:r>
          </w:p>
          <w:p w14:paraId="54D9319F">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（2）能提供生活方式和健康状况评估、体格检查、辅助检查、医疗保健、健康指导、慢病管理等健康管理等服务，服务类型≥3类。</w:t>
            </w:r>
          </w:p>
          <w:p w14:paraId="2BD8BFEA">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（3）开展康复护理服务前由专业人员评估服务对象的身体状况并制定训练计划，对服务对象的身体情况、训练情况、效果及反馈等进行记录。</w:t>
            </w:r>
          </w:p>
          <w:p w14:paraId="01411E3A">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服务人次≥250，或服务人次大于（含本数）所在镇街户籍老年人数的2.5%</w:t>
            </w:r>
            <w:r>
              <w:rPr>
                <w:rFonts w:hint="eastAsia" w:ascii="宋体" w:hAnsi="宋体" w:eastAsia="宋体" w:cs="宋体"/>
                <w:color w:val="000000"/>
                <w:sz w:val="24"/>
                <w:szCs w:val="24"/>
                <w:lang w:val="en-US" w:eastAsia="zh-CN"/>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603C59C">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A94D32D">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0" w:hRule="atLeast"/>
          <w:jc w:val="center"/>
        </w:trPr>
        <w:tc>
          <w:tcPr>
            <w:tcW w:w="338" w:type="pct"/>
            <w:tcBorders>
              <w:top w:val="nil"/>
              <w:left w:val="single" w:color="000000" w:sz="4" w:space="0"/>
              <w:bottom w:val="single" w:color="000000" w:sz="4" w:space="0"/>
              <w:right w:val="single" w:color="000000" w:sz="4" w:space="0"/>
            </w:tcBorders>
            <w:vAlign w:val="center"/>
          </w:tcPr>
          <w:p w14:paraId="2BCC4F86">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21</w:t>
            </w:r>
          </w:p>
        </w:tc>
        <w:tc>
          <w:tcPr>
            <w:tcW w:w="668" w:type="pct"/>
            <w:tcBorders>
              <w:top w:val="nil"/>
              <w:left w:val="nil"/>
              <w:bottom w:val="single" w:color="000000" w:sz="4" w:space="0"/>
              <w:right w:val="single" w:color="000000" w:sz="4" w:space="0"/>
            </w:tcBorders>
            <w:shd w:val="clear" w:color="auto" w:fill="auto"/>
            <w:vAlign w:val="center"/>
          </w:tcPr>
          <w:p w14:paraId="1A76970A">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临时托养</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长期托养</w:t>
            </w:r>
          </w:p>
        </w:tc>
        <w:tc>
          <w:tcPr>
            <w:tcW w:w="3190" w:type="pct"/>
            <w:tcBorders>
              <w:top w:val="nil"/>
              <w:left w:val="nil"/>
              <w:bottom w:val="single" w:color="000000" w:sz="4" w:space="0"/>
              <w:right w:val="single" w:color="auto" w:sz="4" w:space="0"/>
            </w:tcBorders>
            <w:shd w:val="clear" w:color="auto" w:fill="auto"/>
            <w:vAlign w:val="center"/>
          </w:tcPr>
          <w:p w14:paraId="1B0DB371">
            <w:pPr>
              <w:spacing w:line="360" w:lineRule="auto"/>
              <w:jc w:val="left"/>
              <w:rPr>
                <w:rFonts w:hint="eastAsia" w:ascii="宋体" w:hAnsi="宋体" w:eastAsia="宋体" w:cs="宋体"/>
                <w:sz w:val="24"/>
                <w:szCs w:val="24"/>
              </w:rPr>
            </w:pPr>
            <w:r>
              <w:rPr>
                <w:rFonts w:hint="eastAsia" w:ascii="宋体" w:hAnsi="宋体" w:eastAsia="宋体" w:cs="宋体"/>
                <w:sz w:val="24"/>
                <w:szCs w:val="24"/>
              </w:rPr>
              <w:t>（1）实际收住临时托养服务对象，台账资料清晰，工作流程规范。</w:t>
            </w:r>
          </w:p>
          <w:p w14:paraId="5730DEA1">
            <w:pPr>
              <w:spacing w:line="360" w:lineRule="auto"/>
              <w:jc w:val="left"/>
              <w:rPr>
                <w:rFonts w:hint="eastAsia" w:ascii="宋体" w:hAnsi="宋体" w:eastAsia="宋体" w:cs="宋体"/>
                <w:sz w:val="24"/>
                <w:szCs w:val="24"/>
              </w:rPr>
            </w:pPr>
            <w:r>
              <w:rPr>
                <w:rFonts w:hint="eastAsia" w:ascii="宋体" w:hAnsi="宋体" w:eastAsia="宋体" w:cs="宋体"/>
                <w:sz w:val="24"/>
                <w:szCs w:val="24"/>
              </w:rPr>
              <w:t>（2）实际收住长期托养服务对象，台账资料清晰，工作流程规范。</w:t>
            </w:r>
          </w:p>
          <w:p w14:paraId="09E25DA2">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（3）临时托养服务人次≥2；长期托养床位入住率≥50%。</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41A0E32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29EA27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738" w:hRule="atLeast"/>
          <w:jc w:val="center"/>
        </w:trPr>
        <w:tc>
          <w:tcPr>
            <w:tcW w:w="338" w:type="pct"/>
            <w:tcBorders>
              <w:top w:val="nil"/>
              <w:left w:val="single" w:color="000000" w:sz="4" w:space="0"/>
              <w:bottom w:val="single" w:color="000000" w:sz="4" w:space="0"/>
              <w:right w:val="single" w:color="000000" w:sz="4" w:space="0"/>
            </w:tcBorders>
            <w:vAlign w:val="center"/>
          </w:tcPr>
          <w:p w14:paraId="7ED4D16A">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22</w:t>
            </w:r>
          </w:p>
        </w:tc>
        <w:tc>
          <w:tcPr>
            <w:tcW w:w="668" w:type="pct"/>
            <w:tcBorders>
              <w:top w:val="nil"/>
              <w:left w:val="nil"/>
              <w:bottom w:val="single" w:color="000000" w:sz="4" w:space="0"/>
              <w:right w:val="single" w:color="000000" w:sz="4" w:space="0"/>
            </w:tcBorders>
            <w:shd w:val="clear" w:color="auto" w:fill="auto"/>
            <w:vAlign w:val="center"/>
          </w:tcPr>
          <w:p w14:paraId="5B2A21FC">
            <w:pPr>
              <w:spacing w:line="360" w:lineRule="auto"/>
              <w:jc w:val="center"/>
              <w:rPr>
                <w:rFonts w:hint="eastAsia" w:ascii="宋体" w:hAnsi="宋体" w:eastAsia="宋体" w:cs="宋体"/>
                <w:color w:val="000000"/>
                <w:sz w:val="24"/>
                <w:szCs w:val="24"/>
              </w:rPr>
            </w:pPr>
            <w:r>
              <w:rPr>
                <w:rFonts w:hint="eastAsia" w:ascii="宋体" w:hAnsi="宋体" w:eastAsia="宋体" w:cs="宋体"/>
                <w:sz w:val="24"/>
                <w:szCs w:val="24"/>
                <w:lang w:eastAsia="zh-CN"/>
              </w:rPr>
              <w:t>总</w:t>
            </w:r>
            <w:r>
              <w:rPr>
                <w:rFonts w:hint="eastAsia" w:ascii="宋体" w:hAnsi="宋体" w:eastAsia="宋体" w:cs="宋体"/>
                <w:sz w:val="24"/>
                <w:szCs w:val="24"/>
              </w:rPr>
              <w:t>服务人次</w:t>
            </w:r>
          </w:p>
        </w:tc>
        <w:tc>
          <w:tcPr>
            <w:tcW w:w="3190" w:type="pct"/>
            <w:tcBorders>
              <w:top w:val="nil"/>
              <w:left w:val="nil"/>
              <w:bottom w:val="single" w:color="000000" w:sz="4" w:space="0"/>
              <w:right w:val="single" w:color="auto" w:sz="4" w:space="0"/>
            </w:tcBorders>
            <w:shd w:val="clear" w:color="auto" w:fill="auto"/>
            <w:vAlign w:val="center"/>
          </w:tcPr>
          <w:p w14:paraId="75EB64A7">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总服务人次≥17500，或服务人次大于（含本数）所在镇街户籍老人人数的175%。</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77CCC0D8">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61BC297">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069" w:hRule="atLeast"/>
          <w:jc w:val="center"/>
        </w:trPr>
        <w:tc>
          <w:tcPr>
            <w:tcW w:w="338" w:type="pct"/>
            <w:tcBorders>
              <w:top w:val="nil"/>
              <w:left w:val="single" w:color="000000" w:sz="4" w:space="0"/>
              <w:bottom w:val="single" w:color="000000" w:sz="4" w:space="0"/>
              <w:right w:val="single" w:color="000000" w:sz="4" w:space="0"/>
            </w:tcBorders>
            <w:vAlign w:val="center"/>
          </w:tcPr>
          <w:p w14:paraId="2F48468A">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23</w:t>
            </w:r>
          </w:p>
        </w:tc>
        <w:tc>
          <w:tcPr>
            <w:tcW w:w="668" w:type="pct"/>
            <w:tcBorders>
              <w:top w:val="nil"/>
              <w:left w:val="nil"/>
              <w:bottom w:val="single" w:color="000000" w:sz="4" w:space="0"/>
              <w:right w:val="single" w:color="000000" w:sz="4" w:space="0"/>
            </w:tcBorders>
            <w:shd w:val="clear" w:color="auto" w:fill="auto"/>
            <w:vAlign w:val="center"/>
          </w:tcPr>
          <w:p w14:paraId="1E7AC2EB">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对下指导</w:t>
            </w:r>
          </w:p>
        </w:tc>
        <w:tc>
          <w:tcPr>
            <w:tcW w:w="3190" w:type="pct"/>
            <w:tcBorders>
              <w:top w:val="nil"/>
              <w:left w:val="nil"/>
              <w:bottom w:val="single" w:color="000000" w:sz="4" w:space="0"/>
              <w:right w:val="single" w:color="auto" w:sz="4" w:space="0"/>
            </w:tcBorders>
            <w:shd w:val="clear" w:color="auto" w:fill="auto"/>
            <w:vAlign w:val="center"/>
          </w:tcPr>
          <w:p w14:paraId="0DE5ED21">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（1）组建辖内颐康服务站工作线上沟通群组，及时提供政策宣传、政策咨询、系统操作指导等服务。</w:t>
            </w:r>
          </w:p>
          <w:p w14:paraId="25FCEC24">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（2）组织工作会议了解各颐康服务站工作开展情况，总结存在问题，提出改进建议，跟进整改情况，每季度≥1次。</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446081F3">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4BF6228C">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069" w:hRule="atLeast"/>
          <w:jc w:val="center"/>
        </w:trPr>
        <w:tc>
          <w:tcPr>
            <w:tcW w:w="338" w:type="pct"/>
            <w:tcBorders>
              <w:top w:val="nil"/>
              <w:left w:val="single" w:color="000000" w:sz="4" w:space="0"/>
              <w:bottom w:val="single" w:color="000000" w:sz="4" w:space="0"/>
              <w:right w:val="single" w:color="000000" w:sz="4" w:space="0"/>
            </w:tcBorders>
            <w:vAlign w:val="center"/>
          </w:tcPr>
          <w:p w14:paraId="7A15E7F1">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24</w:t>
            </w:r>
          </w:p>
        </w:tc>
        <w:tc>
          <w:tcPr>
            <w:tcW w:w="668" w:type="pct"/>
            <w:tcBorders>
              <w:top w:val="nil"/>
              <w:left w:val="nil"/>
              <w:bottom w:val="single" w:color="000000" w:sz="4" w:space="0"/>
              <w:right w:val="single" w:color="000000" w:sz="4" w:space="0"/>
            </w:tcBorders>
            <w:shd w:val="clear" w:color="auto" w:fill="auto"/>
            <w:vAlign w:val="center"/>
          </w:tcPr>
          <w:p w14:paraId="536765E4">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资源链接调配</w:t>
            </w:r>
          </w:p>
        </w:tc>
        <w:tc>
          <w:tcPr>
            <w:tcW w:w="3190" w:type="pct"/>
            <w:tcBorders>
              <w:top w:val="nil"/>
              <w:left w:val="nil"/>
              <w:bottom w:val="single" w:color="000000" w:sz="4" w:space="0"/>
              <w:right w:val="single" w:color="auto" w:sz="4" w:space="0"/>
            </w:tcBorders>
            <w:shd w:val="clear" w:color="auto" w:fill="auto"/>
            <w:vAlign w:val="center"/>
          </w:tcPr>
          <w:p w14:paraId="32C8044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制定志愿服务管理制度，积极动员、组织老年人及其家属、亲友、邻居或志愿者参与多样化的志愿服务。每年培育助老志愿服务组织不少于2个，其中一支队伍应含有老年志愿者。开展助老志愿服务活动10次以上，服务时数不少于200小时。</w:t>
            </w:r>
          </w:p>
          <w:p w14:paraId="2C86E7E4">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（2）自主链接慈善资金、社会资源（资金、物资、人力资源、机构）开展服务或为特殊困难老年人提供帮助：链接机构≥1家，或资金/物资/人力资源折合人民币≥1000元。</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6358AC95">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314C6BF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069" w:hRule="atLeast"/>
          <w:jc w:val="center"/>
        </w:trPr>
        <w:tc>
          <w:tcPr>
            <w:tcW w:w="338" w:type="pct"/>
            <w:tcBorders>
              <w:top w:val="nil"/>
              <w:left w:val="single" w:color="000000" w:sz="4" w:space="0"/>
              <w:bottom w:val="single" w:color="000000" w:sz="4" w:space="0"/>
              <w:right w:val="single" w:color="000000" w:sz="4" w:space="0"/>
            </w:tcBorders>
            <w:vAlign w:val="center"/>
          </w:tcPr>
          <w:p w14:paraId="401155BF">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25</w:t>
            </w:r>
          </w:p>
        </w:tc>
        <w:tc>
          <w:tcPr>
            <w:tcW w:w="668" w:type="pct"/>
            <w:tcBorders>
              <w:top w:val="nil"/>
              <w:left w:val="nil"/>
              <w:bottom w:val="single" w:color="000000" w:sz="4" w:space="0"/>
              <w:right w:val="single" w:color="000000" w:sz="4" w:space="0"/>
            </w:tcBorders>
            <w:shd w:val="clear" w:color="auto" w:fill="auto"/>
            <w:vAlign w:val="center"/>
          </w:tcPr>
          <w:p w14:paraId="5A4DD550">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自费服务</w:t>
            </w:r>
          </w:p>
        </w:tc>
        <w:tc>
          <w:tcPr>
            <w:tcW w:w="3190" w:type="pct"/>
            <w:tcBorders>
              <w:top w:val="nil"/>
              <w:left w:val="nil"/>
              <w:bottom w:val="single" w:color="000000" w:sz="4" w:space="0"/>
              <w:right w:val="single" w:color="auto" w:sz="4" w:space="0"/>
            </w:tcBorders>
            <w:shd w:val="clear" w:color="auto" w:fill="auto"/>
            <w:vAlign w:val="center"/>
          </w:tcPr>
          <w:p w14:paraId="57D24813">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（1）自费服务人次≥200；</w:t>
            </w:r>
          </w:p>
          <w:p w14:paraId="528913B5">
            <w:pPr>
              <w:pStyle w:val="2"/>
              <w:spacing w:line="360" w:lineRule="auto"/>
              <w:ind w:left="0"/>
              <w:rPr>
                <w:rFonts w:hint="eastAsia" w:ascii="宋体" w:hAnsi="宋体" w:eastAsia="宋体" w:cs="宋体"/>
                <w:sz w:val="24"/>
                <w:szCs w:val="24"/>
                <w:lang w:val="en-US" w:eastAsia="zh-CN"/>
              </w:rPr>
            </w:pPr>
            <w:r>
              <w:rPr>
                <w:rFonts w:hint="eastAsia" w:ascii="宋体" w:hAnsi="宋体" w:eastAsia="宋体" w:cs="宋体"/>
                <w:smallCaps w:val="0"/>
                <w:sz w:val="24"/>
                <w:szCs w:val="24"/>
                <w:lang w:val="en-US" w:eastAsia="zh-CN"/>
              </w:rPr>
              <w:t>（2）自费服务收入≥1000元，或自费服务收入大于（含本数）评估周期收入占比的0.5%。</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61C20BFB">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FEFF722">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958" w:hRule="atLeast"/>
          <w:jc w:val="center"/>
        </w:trPr>
        <w:tc>
          <w:tcPr>
            <w:tcW w:w="338" w:type="pct"/>
            <w:tcBorders>
              <w:top w:val="nil"/>
              <w:left w:val="single" w:color="000000" w:sz="4" w:space="0"/>
              <w:bottom w:val="single" w:color="000000" w:sz="4" w:space="0"/>
              <w:right w:val="single" w:color="000000" w:sz="4" w:space="0"/>
            </w:tcBorders>
            <w:vAlign w:val="center"/>
          </w:tcPr>
          <w:p w14:paraId="2F1EA7FF">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26</w:t>
            </w:r>
          </w:p>
        </w:tc>
        <w:tc>
          <w:tcPr>
            <w:tcW w:w="668" w:type="pct"/>
            <w:tcBorders>
              <w:top w:val="nil"/>
              <w:left w:val="nil"/>
              <w:bottom w:val="single" w:color="000000" w:sz="4" w:space="0"/>
              <w:right w:val="single" w:color="000000" w:sz="4" w:space="0"/>
            </w:tcBorders>
            <w:shd w:val="clear" w:color="auto" w:fill="auto"/>
            <w:vAlign w:val="center"/>
          </w:tcPr>
          <w:p w14:paraId="07048CD2">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服务委托方评价</w:t>
            </w:r>
          </w:p>
        </w:tc>
        <w:tc>
          <w:tcPr>
            <w:tcW w:w="3190" w:type="pct"/>
            <w:tcBorders>
              <w:top w:val="nil"/>
              <w:left w:val="nil"/>
              <w:bottom w:val="single" w:color="000000" w:sz="4" w:space="0"/>
              <w:right w:val="single" w:color="auto" w:sz="4" w:space="0"/>
            </w:tcBorders>
            <w:shd w:val="clear" w:color="auto" w:fill="auto"/>
            <w:vAlign w:val="center"/>
          </w:tcPr>
          <w:p w14:paraId="01F379CF">
            <w:pPr>
              <w:numPr>
                <w:ilvl w:val="-1"/>
                <w:numId w:val="0"/>
              </w:num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（1）能够按运营合同要求配备工作人员并按时完成合同约定的服务内容；</w:t>
            </w:r>
          </w:p>
          <w:p w14:paraId="0A7D34A2">
            <w:pPr>
              <w:numPr>
                <w:ilvl w:val="-1"/>
                <w:numId w:val="0"/>
              </w:num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（2）在服务委托方自行开展的监督检查工作中，表现良好。</w:t>
            </w:r>
          </w:p>
          <w:p w14:paraId="2406AC8B">
            <w:pPr>
              <w:numPr>
                <w:ilvl w:val="-1"/>
                <w:numId w:val="0"/>
              </w:num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主动向委托方汇报工作，定期提交相关情况总结</w:t>
            </w:r>
            <w:r>
              <w:rPr>
                <w:rFonts w:hint="eastAsia" w:ascii="宋体" w:hAnsi="宋体" w:eastAsia="宋体" w:cs="宋体"/>
                <w:color w:val="000000"/>
                <w:sz w:val="24"/>
                <w:szCs w:val="24"/>
                <w:lang w:eastAsia="zh-CN"/>
              </w:rPr>
              <w:t>。</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522A4FED">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8C0BA36">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392" w:hRule="atLeast"/>
          <w:jc w:val="center"/>
        </w:trPr>
        <w:tc>
          <w:tcPr>
            <w:tcW w:w="338" w:type="pct"/>
            <w:tcBorders>
              <w:top w:val="nil"/>
              <w:left w:val="single" w:color="000000" w:sz="4" w:space="0"/>
              <w:bottom w:val="single" w:color="000000" w:sz="4" w:space="0"/>
              <w:right w:val="single" w:color="000000" w:sz="4" w:space="0"/>
            </w:tcBorders>
            <w:vAlign w:val="center"/>
          </w:tcPr>
          <w:p w14:paraId="625D8849">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27</w:t>
            </w:r>
          </w:p>
        </w:tc>
        <w:tc>
          <w:tcPr>
            <w:tcW w:w="668" w:type="pct"/>
            <w:tcBorders>
              <w:top w:val="nil"/>
              <w:left w:val="nil"/>
              <w:bottom w:val="single" w:color="000000" w:sz="4" w:space="0"/>
              <w:right w:val="single" w:color="000000" w:sz="4" w:space="0"/>
            </w:tcBorders>
            <w:shd w:val="clear" w:color="auto" w:fill="auto"/>
            <w:vAlign w:val="center"/>
          </w:tcPr>
          <w:p w14:paraId="0209AD52">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社会认同</w:t>
            </w:r>
          </w:p>
        </w:tc>
        <w:tc>
          <w:tcPr>
            <w:tcW w:w="3190" w:type="pct"/>
            <w:tcBorders>
              <w:top w:val="nil"/>
              <w:left w:val="nil"/>
              <w:bottom w:val="single" w:color="000000" w:sz="4" w:space="0"/>
              <w:right w:val="single" w:color="auto" w:sz="4" w:space="0"/>
            </w:tcBorders>
            <w:shd w:val="clear" w:color="auto" w:fill="auto"/>
            <w:vAlign w:val="center"/>
          </w:tcPr>
          <w:p w14:paraId="667F93A4">
            <w:pPr>
              <w:numPr>
                <w:ilvl w:val="-1"/>
                <w:numId w:val="0"/>
              </w:numPr>
              <w:spacing w:line="360" w:lineRule="auto"/>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服务对象满意度</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80%</w:t>
            </w:r>
            <w:r>
              <w:rPr>
                <w:rFonts w:hint="eastAsia" w:ascii="宋体" w:hAnsi="宋体" w:eastAsia="宋体" w:cs="宋体"/>
                <w:color w:val="000000"/>
                <w:sz w:val="24"/>
                <w:szCs w:val="24"/>
                <w:lang w:eastAsia="zh-CN"/>
              </w:rPr>
              <w:t>；</w:t>
            </w:r>
          </w:p>
          <w:p w14:paraId="734192D3">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mallCaps w:val="0"/>
                <w:color w:val="000000"/>
                <w:sz w:val="24"/>
                <w:szCs w:val="24"/>
                <w:lang w:val="en-US" w:eastAsia="zh-CN"/>
              </w:rPr>
              <w:t>2.社区知晓度≥70%。</w:t>
            </w:r>
          </w:p>
        </w:tc>
        <w:tc>
          <w:tcPr>
            <w:tcW w:w="265" w:type="pct"/>
            <w:vMerge w:val="continue"/>
            <w:tcBorders>
              <w:top w:val="single" w:color="auto" w:sz="4" w:space="0"/>
              <w:left w:val="single" w:color="auto" w:sz="4" w:space="0"/>
              <w:bottom w:val="single" w:color="auto" w:sz="4" w:space="0"/>
              <w:right w:val="single" w:color="auto" w:sz="4" w:space="0"/>
            </w:tcBorders>
            <w:vAlign w:val="top"/>
          </w:tcPr>
          <w:p w14:paraId="31F9D753">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bl>
    <w:p w14:paraId="437723FA">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w:t>
      </w:r>
    </w:p>
    <w:p w14:paraId="49B94AC1">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1.截</w:t>
      </w:r>
      <w:r>
        <w:rPr>
          <w:rFonts w:hint="eastAsia" w:ascii="宋体" w:hAnsi="宋体" w:eastAsia="宋体" w:cs="宋体"/>
          <w:color w:val="auto"/>
          <w:sz w:val="24"/>
          <w:szCs w:val="24"/>
          <w:highlight w:val="none"/>
          <w:lang w:val="en-US" w:eastAsia="zh-CN"/>
        </w:rPr>
        <w:t>至</w:t>
      </w:r>
      <w:r>
        <w:rPr>
          <w:rFonts w:hint="eastAsia" w:ascii="宋体" w:hAnsi="宋体" w:eastAsia="宋体" w:cs="宋体"/>
          <w:color w:val="auto"/>
          <w:sz w:val="24"/>
          <w:szCs w:val="24"/>
          <w:highlight w:val="none"/>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车陂</w:t>
      </w:r>
      <w:r>
        <w:rPr>
          <w:rFonts w:hint="eastAsia" w:ascii="宋体" w:hAnsi="宋体" w:eastAsia="宋体" w:cs="宋体"/>
          <w:color w:val="auto"/>
          <w:sz w:val="24"/>
          <w:szCs w:val="24"/>
          <w:highlight w:val="none"/>
          <w:lang w:eastAsia="zh-CN"/>
        </w:rPr>
        <w:t>街</w:t>
      </w:r>
      <w:r>
        <w:rPr>
          <w:rFonts w:hint="eastAsia" w:ascii="宋体" w:hAnsi="宋体" w:eastAsia="宋体" w:cs="宋体"/>
          <w:color w:val="auto"/>
          <w:sz w:val="24"/>
          <w:szCs w:val="24"/>
          <w:highlight w:val="none"/>
        </w:rPr>
        <w:t>辖内户籍长者</w:t>
      </w:r>
      <w:r>
        <w:rPr>
          <w:rFonts w:hint="eastAsia" w:ascii="宋体" w:hAnsi="宋体" w:eastAsia="宋体" w:cs="宋体"/>
          <w:color w:val="auto"/>
          <w:sz w:val="24"/>
          <w:szCs w:val="24"/>
          <w:highlight w:val="none"/>
          <w:lang w:val="en-US" w:eastAsia="zh-CN"/>
        </w:rPr>
        <w:t>10348</w:t>
      </w:r>
      <w:r>
        <w:rPr>
          <w:rFonts w:hint="eastAsia" w:ascii="宋体" w:hAnsi="宋体" w:eastAsia="宋体" w:cs="宋体"/>
          <w:color w:val="auto"/>
          <w:sz w:val="24"/>
          <w:szCs w:val="24"/>
          <w:highlight w:val="none"/>
        </w:rPr>
        <w:t>人，如人数变更，以采购人通知为准。</w:t>
      </w:r>
    </w:p>
    <w:p w14:paraId="72EC0C55">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.如遇市、区对以上服务项目、服务指标以及设施设备条件有新要求，按照市、区最新文件要求调整相关指标并执行，服务机构应在完成服务指标的前提下，按照市、区最新评估文件标准继续拓展服务。</w:t>
      </w:r>
    </w:p>
    <w:p w14:paraId="56F77E13">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.服务开展过程中，考虑客观情况确需调整相关安排计划的，需与采购人协商确定后实施。</w:t>
      </w:r>
    </w:p>
    <w:p w14:paraId="53C6447D">
      <w:pPr>
        <w:numPr>
          <w:ilvl w:val="0"/>
          <w:numId w:val="0"/>
        </w:numPr>
        <w:tabs>
          <w:tab w:val="left" w:pos="540"/>
        </w:tabs>
        <w:autoSpaceDE w:val="0"/>
        <w:autoSpaceDN w:val="0"/>
        <w:adjustRightInd w:val="0"/>
        <w:spacing w:before="156" w:beforeLines="50" w:line="360" w:lineRule="auto"/>
        <w:ind w:left="0" w:leftChars="0" w:firstLine="420" w:firstLineChars="0"/>
        <w:outlineLvl w:val="2"/>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kern w:val="2"/>
          <w:sz w:val="24"/>
          <w:szCs w:val="24"/>
          <w:lang w:val="en-US" w:eastAsia="zh-CN" w:bidi="ar-SA"/>
        </w:rPr>
        <w:t>（九）</w:t>
      </w:r>
      <w:r>
        <w:rPr>
          <w:rFonts w:hint="eastAsia" w:ascii="宋体" w:hAnsi="宋体" w:eastAsia="宋体" w:cs="宋体"/>
          <w:b/>
          <w:color w:val="auto"/>
          <w:sz w:val="24"/>
          <w:szCs w:val="24"/>
          <w:highlight w:val="none"/>
          <w:lang w:val="en-US" w:eastAsia="zh-CN"/>
        </w:rPr>
        <w:t>单个社区颐康服务站每年（12个月）的指标量（根据每年的评估指标适时调整）</w:t>
      </w:r>
    </w:p>
    <w:tbl>
      <w:tblPr>
        <w:tblStyle w:val="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9"/>
        <w:gridCol w:w="1280"/>
        <w:gridCol w:w="6082"/>
        <w:gridCol w:w="506"/>
      </w:tblGrid>
      <w:tr w14:paraId="666D1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381" w:type="pct"/>
            <w:vAlign w:val="center"/>
          </w:tcPr>
          <w:p w14:paraId="5A0EA5B7">
            <w:pPr>
              <w:spacing w:line="360" w:lineRule="auto"/>
              <w:jc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序号</w:t>
            </w:r>
          </w:p>
        </w:tc>
        <w:tc>
          <w:tcPr>
            <w:tcW w:w="751" w:type="pct"/>
            <w:vAlign w:val="center"/>
          </w:tcPr>
          <w:p w14:paraId="71D9D380">
            <w:pPr>
              <w:spacing w:line="360" w:lineRule="auto"/>
              <w:jc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服务事项</w:t>
            </w:r>
          </w:p>
        </w:tc>
        <w:tc>
          <w:tcPr>
            <w:tcW w:w="3569" w:type="pct"/>
            <w:vAlign w:val="center"/>
          </w:tcPr>
          <w:p w14:paraId="7458395D">
            <w:pPr>
              <w:spacing w:line="360" w:lineRule="auto"/>
              <w:jc w:val="center"/>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服务内容</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及设施设备条件</w:t>
            </w:r>
          </w:p>
        </w:tc>
        <w:tc>
          <w:tcPr>
            <w:tcW w:w="297" w:type="pct"/>
            <w:vAlign w:val="center"/>
          </w:tcPr>
          <w:p w14:paraId="4EA3C8B8">
            <w:pPr>
              <w:spacing w:line="360" w:lineRule="auto"/>
              <w:jc w:val="center"/>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备注</w:t>
            </w:r>
          </w:p>
        </w:tc>
      </w:tr>
      <w:tr w14:paraId="35B98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7454750E">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w:t>
            </w:r>
          </w:p>
        </w:tc>
        <w:tc>
          <w:tcPr>
            <w:tcW w:w="751" w:type="pct"/>
            <w:shd w:val="clear" w:color="auto" w:fill="auto"/>
            <w:vAlign w:val="center"/>
          </w:tcPr>
          <w:p w14:paraId="13840F72">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标志与信息公开</w:t>
            </w:r>
          </w:p>
        </w:tc>
        <w:tc>
          <w:tcPr>
            <w:tcW w:w="3569" w:type="pct"/>
            <w:shd w:val="clear" w:color="auto" w:fill="auto"/>
            <w:vAlign w:val="center"/>
          </w:tcPr>
          <w:p w14:paraId="3A88C79C">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（1）设施周边的路口或道路有清晰、显眼的位置指引。</w:t>
            </w:r>
          </w:p>
          <w:p w14:paraId="03FA1A5C">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（2）设施名称标识制作规范。</w:t>
            </w:r>
          </w:p>
          <w:p w14:paraId="7D3ABA08">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（3）有防烫、地面高差、坡度、台阶、防撞、防滑等安全标识。</w:t>
            </w:r>
          </w:p>
          <w:p w14:paraId="491CCCF0">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（4）有与为老服务相关的党建元素。</w:t>
            </w:r>
          </w:p>
          <w:p w14:paraId="1607F4B7">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（5）公示服务项目、收费标准、联系方式、投诉制度及电话（包括区、街镇的电话）。</w:t>
            </w:r>
          </w:p>
        </w:tc>
        <w:tc>
          <w:tcPr>
            <w:tcW w:w="297" w:type="pct"/>
            <w:vMerge w:val="restart"/>
            <w:vAlign w:val="top"/>
          </w:tcPr>
          <w:p w14:paraId="12497337">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565F5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25D0F02A">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p>
        </w:tc>
        <w:tc>
          <w:tcPr>
            <w:tcW w:w="751" w:type="pct"/>
            <w:shd w:val="clear" w:color="auto" w:fill="auto"/>
            <w:vAlign w:val="center"/>
          </w:tcPr>
          <w:p w14:paraId="6B2B1E97">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功能区划分与配置</w:t>
            </w:r>
          </w:p>
        </w:tc>
        <w:tc>
          <w:tcPr>
            <w:tcW w:w="3569" w:type="pct"/>
            <w:shd w:val="clear" w:color="auto" w:fill="auto"/>
            <w:vAlign w:val="center"/>
          </w:tcPr>
          <w:p w14:paraId="11845805">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（1）单独设置的建筑面积不少于150平方米，分散设置的建筑面积不少于200平方米。</w:t>
            </w:r>
          </w:p>
          <w:p w14:paraId="611C70AE">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（2）功能区设置合理，各区域相对独立、动静区分。</w:t>
            </w:r>
          </w:p>
          <w:p w14:paraId="065006B0">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（3）服务场地应符合消防、无障碍、适老化等基本要求，配有安全防护等必要措施，无安全隐患。</w:t>
            </w:r>
          </w:p>
          <w:p w14:paraId="72637A40">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（4）服务场地整洁明亮，空气无异味。具备完善的防尘、防四害、防潮等措施。</w:t>
            </w:r>
          </w:p>
          <w:p w14:paraId="5A1A35B3">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（5）根据开展的服务合理配置各项服务设备和服务宣传资料，包扩居家社区养老服务、助餐配餐、家庭养老床位、平安通、银龄安康保险、长护险、公办养老机构轮候等，且应与现行政策相对应。</w:t>
            </w:r>
          </w:p>
        </w:tc>
        <w:tc>
          <w:tcPr>
            <w:tcW w:w="297" w:type="pct"/>
            <w:vMerge w:val="continue"/>
            <w:vAlign w:val="top"/>
          </w:tcPr>
          <w:p w14:paraId="00691E39">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56EA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209E6FCC">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3</w:t>
            </w:r>
          </w:p>
        </w:tc>
        <w:tc>
          <w:tcPr>
            <w:tcW w:w="751" w:type="pct"/>
            <w:shd w:val="clear" w:color="auto" w:fill="auto"/>
            <w:vAlign w:val="center"/>
          </w:tcPr>
          <w:p w14:paraId="4ED57D9D">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人员队伍</w:t>
            </w:r>
          </w:p>
        </w:tc>
        <w:tc>
          <w:tcPr>
            <w:tcW w:w="3569" w:type="pct"/>
            <w:shd w:val="clear" w:color="auto" w:fill="auto"/>
            <w:vAlign w:val="center"/>
          </w:tcPr>
          <w:p w14:paraId="2378264E">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（1）聘请1名或以上专（兼）职工作人员负责日常管理。</w:t>
            </w:r>
          </w:p>
          <w:p w14:paraId="2952CE2E">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（2）按规定为专职人员购买社保，为兼职一线服务人员(含退休返聘）购买人身意外险。</w:t>
            </w:r>
          </w:p>
          <w:p w14:paraId="3CBB638C">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（3）工作人员熟悉消防安全、场地管理、服务操作规程等制度相关要求。</w:t>
            </w:r>
          </w:p>
        </w:tc>
        <w:tc>
          <w:tcPr>
            <w:tcW w:w="297" w:type="pct"/>
            <w:vMerge w:val="continue"/>
            <w:vAlign w:val="top"/>
          </w:tcPr>
          <w:p w14:paraId="3E7EE91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036E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3A8B5901">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4</w:t>
            </w:r>
          </w:p>
        </w:tc>
        <w:tc>
          <w:tcPr>
            <w:tcW w:w="751" w:type="pct"/>
            <w:shd w:val="clear" w:color="auto" w:fill="auto"/>
            <w:vAlign w:val="center"/>
          </w:tcPr>
          <w:p w14:paraId="3BADD913">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人员培训</w:t>
            </w:r>
          </w:p>
        </w:tc>
        <w:tc>
          <w:tcPr>
            <w:tcW w:w="3569" w:type="pct"/>
            <w:shd w:val="clear" w:color="auto" w:fill="auto"/>
            <w:vAlign w:val="center"/>
          </w:tcPr>
          <w:p w14:paraId="0ED335EF">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（1）新员工上岗前应接受不少于10学时的岗前培训；工作人员每年应接受不少于12学时的在岗培训。</w:t>
            </w:r>
          </w:p>
          <w:p w14:paraId="6520CFD1">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（2）养老服务向导近3年内经过市、区民政部门培训上岗。</w:t>
            </w:r>
          </w:p>
          <w:p w14:paraId="122AF1C3">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（3）工作人员在岗期间至少参与过1次本区综合养老服务中心组织的培训。</w:t>
            </w:r>
          </w:p>
        </w:tc>
        <w:tc>
          <w:tcPr>
            <w:tcW w:w="297" w:type="pct"/>
            <w:vMerge w:val="continue"/>
            <w:vAlign w:val="top"/>
          </w:tcPr>
          <w:p w14:paraId="7AA7690E">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BC59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32110489">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w:t>
            </w:r>
          </w:p>
        </w:tc>
        <w:tc>
          <w:tcPr>
            <w:tcW w:w="751" w:type="pct"/>
            <w:shd w:val="clear" w:color="auto" w:fill="auto"/>
            <w:vAlign w:val="center"/>
          </w:tcPr>
          <w:p w14:paraId="77F5686E">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服务管理</w:t>
            </w:r>
          </w:p>
        </w:tc>
        <w:tc>
          <w:tcPr>
            <w:tcW w:w="3569" w:type="pct"/>
            <w:shd w:val="clear" w:color="auto" w:fill="auto"/>
            <w:vAlign w:val="center"/>
          </w:tcPr>
          <w:p w14:paraId="06E60E94">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（1）签约对象一人一档且建档率100%，服务协议内容符合本市现行居养政策文件要求。非签约服务对象建立花名册，内容真实完整，及时更新。</w:t>
            </w:r>
          </w:p>
          <w:p w14:paraId="78ACA7BB">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（2）定期检查服务执行情况并记录，每季度≥1次。</w:t>
            </w:r>
          </w:p>
        </w:tc>
        <w:tc>
          <w:tcPr>
            <w:tcW w:w="297" w:type="pct"/>
            <w:vMerge w:val="continue"/>
            <w:vAlign w:val="top"/>
          </w:tcPr>
          <w:p w14:paraId="40DD182B">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37AB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266F7E6E">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w:t>
            </w:r>
          </w:p>
        </w:tc>
        <w:tc>
          <w:tcPr>
            <w:tcW w:w="751" w:type="pct"/>
            <w:shd w:val="clear" w:color="auto" w:fill="auto"/>
            <w:vAlign w:val="center"/>
          </w:tcPr>
          <w:p w14:paraId="478BA357">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安全管理</w:t>
            </w:r>
          </w:p>
        </w:tc>
        <w:tc>
          <w:tcPr>
            <w:tcW w:w="3569" w:type="pct"/>
            <w:shd w:val="clear" w:color="auto" w:fill="auto"/>
            <w:vAlign w:val="center"/>
          </w:tcPr>
          <w:p w14:paraId="0FFF7936">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（1）制定完善的消防安全管理制度，包括教育培训、防火检查、电气设备安全检查、安全疏散设备检查、灭火设备安全检查、隐患整改、应急预案等内容。</w:t>
            </w:r>
          </w:p>
          <w:p w14:paraId="67041507">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（2）制度内容完善、科学、合理。</w:t>
            </w:r>
          </w:p>
          <w:p w14:paraId="1D403699">
            <w:p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（3）制度执行到位，且进行消防安全演练，每半年≥1次。</w:t>
            </w:r>
          </w:p>
          <w:p w14:paraId="04E1BC4D">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（4）制定完善的场地管理制度，明确场室管理人员并执行。</w:t>
            </w:r>
          </w:p>
          <w:p w14:paraId="7FA193D6">
            <w:p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（5）购买公众责任保险。</w:t>
            </w:r>
          </w:p>
        </w:tc>
        <w:tc>
          <w:tcPr>
            <w:tcW w:w="297" w:type="pct"/>
            <w:vMerge w:val="continue"/>
            <w:vAlign w:val="top"/>
          </w:tcPr>
          <w:p w14:paraId="1FF7839D">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2E25F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381" w:type="pct"/>
            <w:vAlign w:val="center"/>
          </w:tcPr>
          <w:p w14:paraId="017EA270">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w:t>
            </w:r>
          </w:p>
        </w:tc>
        <w:tc>
          <w:tcPr>
            <w:tcW w:w="751" w:type="pct"/>
            <w:shd w:val="clear" w:color="auto" w:fill="auto"/>
            <w:vAlign w:val="center"/>
          </w:tcPr>
          <w:p w14:paraId="794FD20C">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宣传推介</w:t>
            </w:r>
          </w:p>
        </w:tc>
        <w:tc>
          <w:tcPr>
            <w:tcW w:w="3569" w:type="pct"/>
            <w:shd w:val="clear" w:color="auto" w:fill="auto"/>
            <w:vAlign w:val="center"/>
          </w:tcPr>
          <w:p w14:paraId="67D60969">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（1）运营周期内通过公众号、微信群等进行服务宣传和动态更新，线下服务推介每季度≥1次。</w:t>
            </w:r>
          </w:p>
          <w:p w14:paraId="2D2A18A0">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lang w:val="en-US" w:eastAsia="zh-CN"/>
              </w:rPr>
              <w:t>（2）在百度地图、腾讯地图和高德地图等主流地图软件上完善服务设施信息。</w:t>
            </w:r>
          </w:p>
        </w:tc>
        <w:tc>
          <w:tcPr>
            <w:tcW w:w="297" w:type="pct"/>
            <w:vMerge w:val="continue"/>
            <w:vAlign w:val="top"/>
          </w:tcPr>
          <w:p w14:paraId="2DFB72DA">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1C6E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81" w:type="pct"/>
            <w:vAlign w:val="center"/>
          </w:tcPr>
          <w:p w14:paraId="4D6FE473">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8</w:t>
            </w:r>
          </w:p>
        </w:tc>
        <w:tc>
          <w:tcPr>
            <w:tcW w:w="751" w:type="pct"/>
            <w:shd w:val="clear" w:color="auto" w:fill="auto"/>
            <w:vAlign w:val="center"/>
          </w:tcPr>
          <w:p w14:paraId="7FB0B0C3">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财务管理</w:t>
            </w:r>
          </w:p>
        </w:tc>
        <w:tc>
          <w:tcPr>
            <w:tcW w:w="3569" w:type="pct"/>
            <w:shd w:val="clear" w:color="auto" w:fill="auto"/>
            <w:vAlign w:val="center"/>
          </w:tcPr>
          <w:p w14:paraId="6E1EBAC2">
            <w:pPr>
              <w:numPr>
                <w:ilvl w:val="-1"/>
                <w:numId w:val="0"/>
              </w:numPr>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（1）运营机构制定详细完善、符合实际的财务管理制度，并执行到位。制度内容包括但不限于《财务管理制度》《收支管理制度》《采购管理制度》《资产管理制度》《合同管理制度》等。</w:t>
            </w:r>
          </w:p>
          <w:p w14:paraId="620824C5">
            <w:pPr>
              <w:numPr>
                <w:ilvl w:val="-1"/>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（2）运营机构的会计、出纳具备必要的专业资质和职业道德。岗位职责明确，由不同人员担任。</w:t>
            </w:r>
          </w:p>
          <w:p w14:paraId="5C4DFA17">
            <w:pPr>
              <w:numPr>
                <w:ilvl w:val="-1"/>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（3）运营机构严格按照国家会计准则进行账务处理。账目清晰，勾稽关系正确，报表数据准确无误。</w:t>
            </w:r>
          </w:p>
          <w:p w14:paraId="6630AAFE">
            <w:pPr>
              <w:numPr>
                <w:ilvl w:val="-1"/>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（4）运营机构会计科目使用规范，凭证附件齐全，资料数据真实。</w:t>
            </w:r>
          </w:p>
          <w:p w14:paraId="14F9A645">
            <w:pPr>
              <w:numPr>
                <w:ilvl w:val="-1"/>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（5）运营机构按月及时完成结账工作。</w:t>
            </w:r>
          </w:p>
          <w:p w14:paraId="6D9951BC">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（6）运营机构财务各项收支程序合法合规合理。</w:t>
            </w:r>
          </w:p>
          <w:p w14:paraId="7B62A660">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（7）运营机构严格按照有关法律法规的规定使用票据。</w:t>
            </w:r>
          </w:p>
          <w:p w14:paraId="6A81254C">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（8）运营机构的采购和资产管理规范，登记详细，事由合理。</w:t>
            </w:r>
          </w:p>
          <w:p w14:paraId="6C62109D">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（9）运营机构的固定资产、低值易耗品建立采购登记台账，物品验收、进出库、保管、领用物品等方面管理到位。</w:t>
            </w:r>
          </w:p>
          <w:p w14:paraId="1A932F00">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（10）项目经费单独核算，收到项目经费时，必须入到运营账户。专款专用，独立成账。</w:t>
            </w:r>
          </w:p>
          <w:p w14:paraId="5A7C9E4D">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（11）所有与项目相关的收支凭证（记账凭证），在摘要栏或辅助核算项中清晰注明项目名称/编号。</w:t>
            </w:r>
          </w:p>
          <w:p w14:paraId="76C2E84C">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（12）凭证后附的原始单据（发票、合同、审批单）与该项目直接相关。</w:t>
            </w:r>
          </w:p>
        </w:tc>
        <w:tc>
          <w:tcPr>
            <w:tcW w:w="297" w:type="pct"/>
            <w:vMerge w:val="continue"/>
            <w:vAlign w:val="top"/>
          </w:tcPr>
          <w:p w14:paraId="453E4CB0">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3FAA3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381" w:type="pct"/>
            <w:vAlign w:val="center"/>
          </w:tcPr>
          <w:p w14:paraId="322561F9">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9</w:t>
            </w:r>
          </w:p>
        </w:tc>
        <w:tc>
          <w:tcPr>
            <w:tcW w:w="751" w:type="pct"/>
            <w:shd w:val="clear" w:color="auto" w:fill="auto"/>
            <w:vAlign w:val="center"/>
          </w:tcPr>
          <w:p w14:paraId="578B3CD1">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养老服务向导</w:t>
            </w:r>
          </w:p>
        </w:tc>
        <w:tc>
          <w:tcPr>
            <w:tcW w:w="3569" w:type="pct"/>
            <w:shd w:val="clear" w:color="auto" w:fill="auto"/>
            <w:vAlign w:val="center"/>
          </w:tcPr>
          <w:p w14:paraId="134F9A3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（1）为老年人及其亲属提供养老服务领域政策咨询、服务查询、办事指引、服务转介和服务方案制定等服务并做好服务记录。</w:t>
            </w:r>
          </w:p>
          <w:p w14:paraId="17C4D52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（2）服务记录准确、完整、闭环。</w:t>
            </w:r>
          </w:p>
          <w:p w14:paraId="4F1E97B3">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养老服务向导员熟练掌握居家社区/机构养老服务资源、政策内容及服务流程。</w:t>
            </w:r>
          </w:p>
          <w:p w14:paraId="112C76DD">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服务人次≥</w:t>
            </w:r>
            <w:r>
              <w:rPr>
                <w:rFonts w:hint="eastAsia" w:ascii="宋体" w:hAnsi="宋体" w:eastAsia="宋体" w:cs="宋体"/>
                <w:color w:val="000000"/>
                <w:sz w:val="24"/>
                <w:szCs w:val="24"/>
                <w:lang w:val="en-US" w:eastAsia="zh-CN"/>
              </w:rPr>
              <w:t>30</w:t>
            </w:r>
            <w:r>
              <w:rPr>
                <w:rFonts w:hint="eastAsia" w:ascii="宋体" w:hAnsi="宋体" w:eastAsia="宋体" w:cs="宋体"/>
                <w:color w:val="000000"/>
                <w:sz w:val="24"/>
                <w:szCs w:val="24"/>
                <w:lang w:eastAsia="zh-CN"/>
              </w:rPr>
              <w:t>。</w:t>
            </w:r>
          </w:p>
        </w:tc>
        <w:tc>
          <w:tcPr>
            <w:tcW w:w="297" w:type="pct"/>
            <w:vMerge w:val="continue"/>
            <w:vAlign w:val="top"/>
          </w:tcPr>
          <w:p w14:paraId="7EC7573A">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43B1B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381" w:type="pct"/>
            <w:vAlign w:val="center"/>
          </w:tcPr>
          <w:p w14:paraId="75BE25D1">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10</w:t>
            </w:r>
          </w:p>
        </w:tc>
        <w:tc>
          <w:tcPr>
            <w:tcW w:w="751" w:type="pct"/>
            <w:shd w:val="clear" w:color="auto" w:fill="auto"/>
            <w:vAlign w:val="center"/>
          </w:tcPr>
          <w:p w14:paraId="3F9E58CD">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文体教育</w:t>
            </w:r>
          </w:p>
        </w:tc>
        <w:tc>
          <w:tcPr>
            <w:tcW w:w="3569" w:type="pct"/>
            <w:shd w:val="clear" w:color="auto" w:fill="auto"/>
            <w:vAlign w:val="center"/>
          </w:tcPr>
          <w:p w14:paraId="0F38944E">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（1）开展的文体康乐活动≥6项，如阅览、书法、绘画、音乐、棋牌、歌舞等。</w:t>
            </w:r>
          </w:p>
          <w:p w14:paraId="311038D2">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（2）逢传统节日能够安排相应的主题活动，每年≥2次，活动档案资料完整。</w:t>
            </w:r>
          </w:p>
          <w:p w14:paraId="09EBC0DF">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（3）服务人次≥250。</w:t>
            </w:r>
          </w:p>
        </w:tc>
        <w:tc>
          <w:tcPr>
            <w:tcW w:w="297" w:type="pct"/>
            <w:vMerge w:val="continue"/>
            <w:vAlign w:val="top"/>
          </w:tcPr>
          <w:p w14:paraId="3411CAD3">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3185E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381" w:type="pct"/>
            <w:vAlign w:val="center"/>
          </w:tcPr>
          <w:p w14:paraId="16278A1E">
            <w:pPr>
              <w:spacing w:line="360" w:lineRule="auto"/>
              <w:jc w:val="cente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11</w:t>
            </w:r>
          </w:p>
        </w:tc>
        <w:tc>
          <w:tcPr>
            <w:tcW w:w="751" w:type="pct"/>
            <w:shd w:val="clear" w:color="auto" w:fill="auto"/>
            <w:vAlign w:val="center"/>
          </w:tcPr>
          <w:p w14:paraId="46E99144">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助餐配餐服务</w:t>
            </w:r>
            <w:r>
              <w:rPr>
                <w:rFonts w:hint="eastAsia" w:ascii="宋体" w:hAnsi="宋体" w:eastAsia="宋体" w:cs="宋体"/>
                <w:color w:val="000000"/>
                <w:sz w:val="24"/>
                <w:szCs w:val="24"/>
                <w:lang w:eastAsia="zh-CN"/>
              </w:rPr>
              <w:t>（如站点有长者饭堂设施）</w:t>
            </w:r>
          </w:p>
        </w:tc>
        <w:tc>
          <w:tcPr>
            <w:tcW w:w="3569" w:type="pct"/>
            <w:shd w:val="clear" w:color="auto" w:fill="auto"/>
            <w:vAlign w:val="center"/>
          </w:tcPr>
          <w:p w14:paraId="09207922">
            <w:pPr>
              <w:pStyle w:val="8"/>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（1）供餐单位应进行食品留样，留样食品按照品种分别盛放于清洗消毒后的专用密闭容器内，在专用冷藏设备中冷藏存放48h以上，每个品种的留样量应能满足检验检测需要，且不少于125g。</w:t>
            </w:r>
          </w:p>
          <w:p w14:paraId="5B8BFC11">
            <w:pPr>
              <w:pStyle w:val="8"/>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（2）接触餐食的工作人员应佩戴口罩和厨工帽，且均持有有效期内的健康证。</w:t>
            </w:r>
          </w:p>
          <w:p w14:paraId="03546B93">
            <w:pPr>
              <w:pStyle w:val="8"/>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工作人员熟知工作流程和要求。</w:t>
            </w:r>
          </w:p>
          <w:p w14:paraId="5E565B7B">
            <w:pPr>
              <w:pStyle w:val="8"/>
              <w:spacing w:line="360" w:lineRule="auto"/>
              <w:jc w:val="both"/>
              <w:rPr>
                <w:rFonts w:hint="eastAsia" w:ascii="宋体" w:hAnsi="宋体" w:eastAsia="宋体" w:cs="宋体"/>
                <w:color w:val="000000"/>
                <w:sz w:val="24"/>
                <w:szCs w:val="24"/>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服务人次≥</w:t>
            </w:r>
            <w:r>
              <w:rPr>
                <w:rFonts w:hint="eastAsia" w:ascii="宋体" w:hAnsi="宋体" w:eastAsia="宋体" w:cs="宋体"/>
                <w:color w:val="auto"/>
                <w:sz w:val="24"/>
                <w:szCs w:val="24"/>
                <w:highlight w:val="none"/>
                <w:lang w:val="en-US" w:eastAsia="zh-CN"/>
              </w:rPr>
              <w:t>1200</w:t>
            </w:r>
            <w:r>
              <w:rPr>
                <w:rFonts w:hint="eastAsia" w:ascii="宋体" w:hAnsi="宋体" w:eastAsia="宋体" w:cs="宋体"/>
                <w:color w:val="auto"/>
                <w:sz w:val="24"/>
                <w:szCs w:val="24"/>
                <w:highlight w:val="none"/>
              </w:rPr>
              <w:t>。</w:t>
            </w:r>
          </w:p>
        </w:tc>
        <w:tc>
          <w:tcPr>
            <w:tcW w:w="297" w:type="pct"/>
            <w:vMerge w:val="continue"/>
            <w:vAlign w:val="top"/>
          </w:tcPr>
          <w:p w14:paraId="536AF970">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401F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jc w:val="center"/>
        </w:trPr>
        <w:tc>
          <w:tcPr>
            <w:tcW w:w="381" w:type="pct"/>
            <w:vAlign w:val="center"/>
          </w:tcPr>
          <w:p w14:paraId="033D3B6D">
            <w:pPr>
              <w:spacing w:line="360" w:lineRule="auto"/>
              <w:jc w:val="cente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12</w:t>
            </w:r>
          </w:p>
        </w:tc>
        <w:tc>
          <w:tcPr>
            <w:tcW w:w="751" w:type="pct"/>
            <w:shd w:val="clear" w:color="auto" w:fill="auto"/>
            <w:vAlign w:val="center"/>
          </w:tcPr>
          <w:p w14:paraId="0787BDF2">
            <w:pPr>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000000"/>
                <w:sz w:val="24"/>
                <w:szCs w:val="24"/>
              </w:rPr>
              <w:t>生活照料服务</w:t>
            </w:r>
          </w:p>
        </w:tc>
        <w:tc>
          <w:tcPr>
            <w:tcW w:w="3569" w:type="pct"/>
            <w:shd w:val="clear" w:color="auto" w:fill="auto"/>
            <w:vAlign w:val="center"/>
          </w:tcPr>
          <w:p w14:paraId="1709AB25">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（1）服务项目多样化，实际开展的上门生活照料服务项目数量≥3项（包括助洁服务、洗涤服务、陪伴就医、陪同外出、上门做餐、代办服务、个人护理等）。</w:t>
            </w:r>
          </w:p>
          <w:p w14:paraId="1AD5CC4C">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（2）为老平台服务记录详实，服务项目与佐证照片相对应。</w:t>
            </w:r>
          </w:p>
          <w:p w14:paraId="50342EFB">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工作人员熟知工作流程和要求。</w:t>
            </w:r>
          </w:p>
          <w:p w14:paraId="7A8C7666">
            <w:pPr>
              <w:spacing w:line="360" w:lineRule="auto"/>
              <w:jc w:val="left"/>
              <w:rPr>
                <w:rFonts w:hint="eastAsia" w:ascii="宋体" w:hAnsi="宋体" w:eastAsia="宋体" w:cs="宋体"/>
                <w:kern w:val="2"/>
                <w:sz w:val="24"/>
                <w:szCs w:val="24"/>
                <w:vertAlign w:val="baseline"/>
                <w:lang w:val="en-US" w:eastAsia="zh-CN" w:bidi="ar-SA"/>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 xml:space="preserve">服务人次≥40。                                        </w:t>
            </w:r>
          </w:p>
        </w:tc>
        <w:tc>
          <w:tcPr>
            <w:tcW w:w="297" w:type="pct"/>
            <w:vMerge w:val="continue"/>
            <w:vAlign w:val="top"/>
          </w:tcPr>
          <w:p w14:paraId="7B130CE5">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4DB2A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381" w:type="pct"/>
            <w:vAlign w:val="center"/>
          </w:tcPr>
          <w:p w14:paraId="22C721ED">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13</w:t>
            </w:r>
          </w:p>
        </w:tc>
        <w:tc>
          <w:tcPr>
            <w:tcW w:w="751" w:type="pct"/>
            <w:shd w:val="clear" w:color="auto" w:fill="auto"/>
            <w:vAlign w:val="center"/>
          </w:tcPr>
          <w:p w14:paraId="2F481990">
            <w:pPr>
              <w:spacing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rPr>
              <w:t>日间托管</w:t>
            </w:r>
          </w:p>
        </w:tc>
        <w:tc>
          <w:tcPr>
            <w:tcW w:w="3569" w:type="pct"/>
            <w:shd w:val="clear" w:color="auto" w:fill="auto"/>
            <w:vAlign w:val="center"/>
          </w:tcPr>
          <w:p w14:paraId="18777B3C">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（1）与服务对象规范签订服务协议，明确服务内容、收费标准、服务方案等。</w:t>
            </w:r>
          </w:p>
          <w:p w14:paraId="38DE6649">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（2）为每个失能（失智）老年人制定个性化照护服务方案并执行。</w:t>
            </w:r>
          </w:p>
          <w:p w14:paraId="79B2A065">
            <w:pPr>
              <w:spacing w:line="360" w:lineRule="auto"/>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服务对象中失能老年人占比≥50%或服务对象中失智老年人人数≥1人。</w:t>
            </w:r>
          </w:p>
          <w:p w14:paraId="672BEBA0">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服务人次≥</w:t>
            </w:r>
            <w:r>
              <w:rPr>
                <w:rFonts w:hint="eastAsia" w:ascii="宋体" w:hAnsi="宋体" w:eastAsia="宋体" w:cs="宋体"/>
                <w:color w:val="000000"/>
                <w:sz w:val="24"/>
                <w:szCs w:val="24"/>
                <w:lang w:val="en-US" w:eastAsia="zh-CN"/>
              </w:rPr>
              <w:t>20</w:t>
            </w:r>
            <w:r>
              <w:rPr>
                <w:rFonts w:hint="eastAsia" w:ascii="宋体" w:hAnsi="宋体" w:eastAsia="宋体" w:cs="宋体"/>
                <w:color w:val="000000"/>
                <w:sz w:val="24"/>
                <w:szCs w:val="24"/>
                <w:lang w:eastAsia="zh-CN"/>
              </w:rPr>
              <w:t>。</w:t>
            </w:r>
          </w:p>
        </w:tc>
        <w:tc>
          <w:tcPr>
            <w:tcW w:w="297" w:type="pct"/>
            <w:vMerge w:val="continue"/>
            <w:vAlign w:val="top"/>
          </w:tcPr>
          <w:p w14:paraId="6F5A069A">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2AC7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81" w:type="pct"/>
            <w:vAlign w:val="center"/>
          </w:tcPr>
          <w:p w14:paraId="2C3D0B82">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14</w:t>
            </w:r>
          </w:p>
        </w:tc>
        <w:tc>
          <w:tcPr>
            <w:tcW w:w="751" w:type="pct"/>
            <w:shd w:val="clear" w:color="auto" w:fill="auto"/>
            <w:vAlign w:val="center"/>
          </w:tcPr>
          <w:p w14:paraId="78D3F0BF">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康复护理</w:t>
            </w:r>
          </w:p>
        </w:tc>
        <w:tc>
          <w:tcPr>
            <w:tcW w:w="3569" w:type="pct"/>
            <w:shd w:val="clear" w:color="auto" w:fill="auto"/>
            <w:vAlign w:val="center"/>
          </w:tcPr>
          <w:p w14:paraId="279B6EDA">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（1）配备专职或兼职的康复护理工作人员，或与周边卫生服务中心等签订医养合作协议，每月定期开展康复护理服务。</w:t>
            </w:r>
          </w:p>
          <w:p w14:paraId="5929635A">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（2）场地内配有适合老人使用的康复训练和进行日常健康监测的设施设备，工作人员能够熟练操作使用。</w:t>
            </w:r>
          </w:p>
          <w:p w14:paraId="3245A446">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（3）服务人次≥60。</w:t>
            </w:r>
          </w:p>
        </w:tc>
        <w:tc>
          <w:tcPr>
            <w:tcW w:w="297" w:type="pct"/>
            <w:vMerge w:val="continue"/>
            <w:vAlign w:val="top"/>
          </w:tcPr>
          <w:p w14:paraId="1414BB2D">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28DCA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81" w:type="pct"/>
            <w:vAlign w:val="center"/>
          </w:tcPr>
          <w:p w14:paraId="3A83BF36">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15</w:t>
            </w:r>
          </w:p>
        </w:tc>
        <w:tc>
          <w:tcPr>
            <w:tcW w:w="751" w:type="pct"/>
            <w:shd w:val="clear" w:color="auto" w:fill="auto"/>
            <w:vAlign w:val="center"/>
          </w:tcPr>
          <w:p w14:paraId="28F83274">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总服务人次</w:t>
            </w:r>
          </w:p>
        </w:tc>
        <w:tc>
          <w:tcPr>
            <w:tcW w:w="3569" w:type="pct"/>
            <w:shd w:val="clear" w:color="auto" w:fill="auto"/>
            <w:vAlign w:val="center"/>
          </w:tcPr>
          <w:p w14:paraId="07F3FB68">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总服务人次≥1000。</w:t>
            </w:r>
          </w:p>
        </w:tc>
        <w:tc>
          <w:tcPr>
            <w:tcW w:w="297" w:type="pct"/>
            <w:vMerge w:val="continue"/>
            <w:vAlign w:val="top"/>
          </w:tcPr>
          <w:p w14:paraId="023EFBB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60456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381" w:type="pct"/>
            <w:vAlign w:val="center"/>
          </w:tcPr>
          <w:p w14:paraId="3A85DEBA">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16</w:t>
            </w:r>
          </w:p>
        </w:tc>
        <w:tc>
          <w:tcPr>
            <w:tcW w:w="751" w:type="pct"/>
            <w:shd w:val="clear" w:color="auto" w:fill="auto"/>
            <w:vAlign w:val="center"/>
          </w:tcPr>
          <w:p w14:paraId="5AD2A673">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志愿服务组织与开展</w:t>
            </w:r>
          </w:p>
        </w:tc>
        <w:tc>
          <w:tcPr>
            <w:tcW w:w="3569" w:type="pct"/>
            <w:shd w:val="clear" w:color="auto" w:fill="auto"/>
            <w:vAlign w:val="center"/>
          </w:tcPr>
          <w:p w14:paraId="4237A9FB">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（1）制定志愿服务管理制度，积极动员、组织老年人及其家属、亲友、邻居或志愿者参与多样化的志愿服务。</w:t>
            </w:r>
          </w:p>
          <w:p w14:paraId="79508D46">
            <w:p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（2）每年组织志愿者上门服务或在站点服务活动4次以上，服务时数≥80小时。</w:t>
            </w:r>
          </w:p>
        </w:tc>
        <w:tc>
          <w:tcPr>
            <w:tcW w:w="297" w:type="pct"/>
            <w:vMerge w:val="continue"/>
            <w:vAlign w:val="top"/>
          </w:tcPr>
          <w:p w14:paraId="6EA19194">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71F5C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381" w:type="pct"/>
            <w:vAlign w:val="center"/>
          </w:tcPr>
          <w:p w14:paraId="3ACE255E">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17</w:t>
            </w:r>
          </w:p>
        </w:tc>
        <w:tc>
          <w:tcPr>
            <w:tcW w:w="751" w:type="pct"/>
            <w:shd w:val="clear" w:color="auto" w:fill="auto"/>
            <w:vAlign w:val="center"/>
          </w:tcPr>
          <w:p w14:paraId="2C9497F0">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服务委托方评价</w:t>
            </w:r>
          </w:p>
        </w:tc>
        <w:tc>
          <w:tcPr>
            <w:tcW w:w="3569" w:type="pct"/>
            <w:shd w:val="clear" w:color="auto" w:fill="auto"/>
            <w:vAlign w:val="center"/>
          </w:tcPr>
          <w:p w14:paraId="77D2EE50">
            <w:pPr>
              <w:numPr>
                <w:ilvl w:val="-1"/>
                <w:numId w:val="0"/>
              </w:numPr>
              <w:spacing w:line="360" w:lineRule="auto"/>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能够按运营合同要求配备工作人员并按时完成合同约定的服务内容</w:t>
            </w:r>
            <w:r>
              <w:rPr>
                <w:rFonts w:hint="eastAsia" w:ascii="宋体" w:hAnsi="宋体" w:eastAsia="宋体" w:cs="宋体"/>
                <w:color w:val="000000"/>
                <w:sz w:val="24"/>
                <w:szCs w:val="24"/>
                <w:lang w:eastAsia="zh-CN"/>
              </w:rPr>
              <w:t>。</w:t>
            </w:r>
          </w:p>
          <w:p w14:paraId="2CC30332">
            <w:pPr>
              <w:numPr>
                <w:ilvl w:val="-1"/>
                <w:numId w:val="0"/>
              </w:num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lang w:eastAsia="zh-CN"/>
              </w:rPr>
              <w:t>）在服务委托方自行开展的监督检查工作中，表现良好。</w:t>
            </w:r>
          </w:p>
          <w:p w14:paraId="7F6DCA25">
            <w:pPr>
              <w:numPr>
                <w:ilvl w:val="-1"/>
                <w:numId w:val="0"/>
              </w:numPr>
              <w:spacing w:line="360" w:lineRule="auto"/>
              <w:jc w:val="left"/>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主动向委托方汇报工作，定期提交相关情况总结</w:t>
            </w:r>
            <w:r>
              <w:rPr>
                <w:rFonts w:hint="eastAsia" w:ascii="宋体" w:hAnsi="宋体" w:eastAsia="宋体" w:cs="宋体"/>
                <w:color w:val="000000"/>
                <w:sz w:val="24"/>
                <w:szCs w:val="24"/>
                <w:lang w:eastAsia="zh-CN"/>
              </w:rPr>
              <w:t>。</w:t>
            </w:r>
          </w:p>
        </w:tc>
        <w:tc>
          <w:tcPr>
            <w:tcW w:w="297" w:type="pct"/>
            <w:vMerge w:val="continue"/>
            <w:vAlign w:val="top"/>
          </w:tcPr>
          <w:p w14:paraId="45B3AC91">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r w14:paraId="452BC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381" w:type="pct"/>
            <w:vAlign w:val="center"/>
          </w:tcPr>
          <w:p w14:paraId="6B630CB3">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18</w:t>
            </w:r>
          </w:p>
        </w:tc>
        <w:tc>
          <w:tcPr>
            <w:tcW w:w="751" w:type="pct"/>
            <w:shd w:val="clear" w:color="auto" w:fill="auto"/>
            <w:vAlign w:val="center"/>
          </w:tcPr>
          <w:p w14:paraId="032DE9F8">
            <w:pPr>
              <w:spacing w:line="36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社会认同</w:t>
            </w:r>
          </w:p>
        </w:tc>
        <w:tc>
          <w:tcPr>
            <w:tcW w:w="3569" w:type="pct"/>
            <w:shd w:val="clear" w:color="auto" w:fill="auto"/>
            <w:vAlign w:val="center"/>
          </w:tcPr>
          <w:p w14:paraId="73D85CD8">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rPr>
              <w:t>服务对象满意度</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80%</w:t>
            </w:r>
            <w:r>
              <w:rPr>
                <w:rFonts w:hint="eastAsia" w:ascii="宋体" w:hAnsi="宋体" w:eastAsia="宋体" w:cs="宋体"/>
                <w:smallCaps w:val="0"/>
                <w:sz w:val="24"/>
                <w:szCs w:val="24"/>
                <w:lang w:val="en-US" w:eastAsia="zh-CN"/>
              </w:rPr>
              <w:t>。</w:t>
            </w:r>
          </w:p>
        </w:tc>
        <w:tc>
          <w:tcPr>
            <w:tcW w:w="297" w:type="pct"/>
            <w:vMerge w:val="continue"/>
            <w:vAlign w:val="top"/>
          </w:tcPr>
          <w:p w14:paraId="493D4A15">
            <w:p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p>
        </w:tc>
      </w:tr>
    </w:tbl>
    <w:p w14:paraId="2F5A204E">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w:t>
      </w:r>
    </w:p>
    <w:p w14:paraId="1332AD8A">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1.截</w:t>
      </w:r>
      <w:r>
        <w:rPr>
          <w:rFonts w:hint="eastAsia" w:ascii="宋体" w:hAnsi="宋体" w:eastAsia="宋体" w:cs="宋体"/>
          <w:color w:val="auto"/>
          <w:sz w:val="24"/>
          <w:szCs w:val="24"/>
          <w:highlight w:val="none"/>
          <w:lang w:val="en-US" w:eastAsia="zh-CN"/>
        </w:rPr>
        <w:t>至</w:t>
      </w:r>
      <w:r>
        <w:rPr>
          <w:rFonts w:hint="eastAsia" w:ascii="宋体" w:hAnsi="宋体" w:eastAsia="宋体" w:cs="宋体"/>
          <w:color w:val="auto"/>
          <w:sz w:val="24"/>
          <w:szCs w:val="24"/>
          <w:highlight w:val="none"/>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车陂</w:t>
      </w:r>
      <w:r>
        <w:rPr>
          <w:rFonts w:hint="eastAsia" w:ascii="宋体" w:hAnsi="宋体" w:eastAsia="宋体" w:cs="宋体"/>
          <w:color w:val="auto"/>
          <w:sz w:val="24"/>
          <w:szCs w:val="24"/>
          <w:highlight w:val="none"/>
          <w:lang w:eastAsia="zh-CN"/>
        </w:rPr>
        <w:t>街</w:t>
      </w:r>
      <w:r>
        <w:rPr>
          <w:rFonts w:hint="eastAsia" w:ascii="宋体" w:hAnsi="宋体" w:eastAsia="宋体" w:cs="宋体"/>
          <w:color w:val="auto"/>
          <w:sz w:val="24"/>
          <w:szCs w:val="24"/>
          <w:highlight w:val="none"/>
        </w:rPr>
        <w:t>辖内户籍长者</w:t>
      </w:r>
      <w:r>
        <w:rPr>
          <w:rFonts w:hint="eastAsia" w:ascii="宋体" w:hAnsi="宋体" w:eastAsia="宋体" w:cs="宋体"/>
          <w:color w:val="auto"/>
          <w:sz w:val="24"/>
          <w:szCs w:val="24"/>
          <w:highlight w:val="none"/>
          <w:lang w:val="en-US" w:eastAsia="zh-CN"/>
        </w:rPr>
        <w:t>10348</w:t>
      </w:r>
      <w:r>
        <w:rPr>
          <w:rFonts w:hint="eastAsia" w:ascii="宋体" w:hAnsi="宋体" w:eastAsia="宋体" w:cs="宋体"/>
          <w:color w:val="auto"/>
          <w:sz w:val="24"/>
          <w:szCs w:val="24"/>
          <w:highlight w:val="none"/>
        </w:rPr>
        <w:t>人，如人数变更，以采购人通知为准。</w:t>
      </w:r>
    </w:p>
    <w:p w14:paraId="7FFE07EE">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.如遇市、区对以上服务项目、服务指标以及设施设备条件有新要求，按照市、区最新文件要求调整相关指标并执行，服务机构应在完成服务指标的前提下，按照市、区最新评估文件标准继续拓展服务。</w:t>
      </w:r>
    </w:p>
    <w:p w14:paraId="0F8CA4F8">
      <w:pPr>
        <w:keepNext w:val="0"/>
        <w:keepLines w:val="0"/>
        <w:pageBreakBefore w:val="0"/>
        <w:widowControl w:val="0"/>
        <w:kinsoku/>
        <w:wordWrap w:val="0"/>
        <w:overflowPunct/>
        <w:topLinePunct/>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.服务开展过程中，考虑客观情况确需调整相关安排计划的，需与采购人协商确定后实施。</w:t>
      </w:r>
    </w:p>
    <w:p w14:paraId="46362EAB">
      <w:pPr>
        <w:pStyle w:val="8"/>
        <w:ind w:firstLine="482" w:firstLineChars="200"/>
        <w:jc w:val="both"/>
        <w:outlineLvl w:val="1"/>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lang w:val="en-US" w:eastAsia="zh-CN"/>
        </w:rPr>
        <w:t>四</w:t>
      </w:r>
      <w:r>
        <w:rPr>
          <w:rFonts w:hint="eastAsia" w:ascii="宋体" w:hAnsi="宋体" w:eastAsia="宋体" w:cs="宋体"/>
          <w:b/>
          <w:color w:val="auto"/>
          <w:sz w:val="24"/>
          <w:szCs w:val="24"/>
          <w:highlight w:val="none"/>
        </w:rPr>
        <w:t>、监管条款</w:t>
      </w:r>
    </w:p>
    <w:p w14:paraId="14EA2F6B">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b w:val="0"/>
          <w:color w:val="auto"/>
          <w:kern w:val="28"/>
          <w:sz w:val="24"/>
          <w:szCs w:val="24"/>
          <w:lang w:val="en-US" w:eastAsia="zh-CN" w:bidi="ar-SA"/>
        </w:rPr>
        <w:t>1.</w:t>
      </w:r>
      <w:r>
        <w:rPr>
          <w:rFonts w:hint="eastAsia" w:ascii="宋体" w:hAnsi="宋体" w:eastAsia="宋体" w:cs="宋体"/>
          <w:color w:val="auto"/>
          <w:kern w:val="28"/>
          <w:sz w:val="24"/>
          <w:szCs w:val="24"/>
          <w:highlight w:val="none"/>
          <w:lang w:eastAsia="zh-CN"/>
        </w:rPr>
        <w:t>成交人必须无条件接受采购人及上级部门的监督管理。</w:t>
      </w:r>
    </w:p>
    <w:p w14:paraId="5C68C8FA">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b w:val="0"/>
          <w:color w:val="auto"/>
          <w:kern w:val="28"/>
          <w:sz w:val="24"/>
          <w:szCs w:val="24"/>
          <w:lang w:val="en-US" w:eastAsia="zh-CN" w:bidi="ar-SA"/>
        </w:rPr>
        <w:t>2.</w:t>
      </w:r>
      <w:r>
        <w:rPr>
          <w:rFonts w:hint="eastAsia" w:ascii="宋体" w:hAnsi="宋体" w:eastAsia="宋体" w:cs="宋体"/>
          <w:color w:val="auto"/>
          <w:kern w:val="28"/>
          <w:sz w:val="24"/>
          <w:szCs w:val="24"/>
          <w:highlight w:val="none"/>
          <w:lang w:eastAsia="zh-CN"/>
        </w:rPr>
        <w:t>采购人有权制定、修订对本项目的考核制度和评分标准，对成交人的运营行为进行考核、评分，并根据考评结果作出相应的处理。</w:t>
      </w:r>
    </w:p>
    <w:p w14:paraId="6F80E00E">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b w:val="0"/>
          <w:color w:val="auto"/>
          <w:kern w:val="28"/>
          <w:sz w:val="24"/>
          <w:szCs w:val="24"/>
          <w:lang w:val="en-US" w:eastAsia="zh-CN" w:bidi="ar-SA"/>
        </w:rPr>
        <w:t>3.</w:t>
      </w:r>
      <w:r>
        <w:rPr>
          <w:rFonts w:hint="eastAsia" w:ascii="宋体" w:hAnsi="宋体" w:eastAsia="宋体" w:cs="宋体"/>
          <w:color w:val="auto"/>
          <w:kern w:val="28"/>
          <w:sz w:val="24"/>
          <w:szCs w:val="24"/>
          <w:highlight w:val="none"/>
          <w:lang w:eastAsia="zh-CN"/>
        </w:rPr>
        <w:t>运营期间发生安全卫生责任事故（包括但不限于消防事故、食品药品事故、人身安全事故等），或出现欺老虐老行为、伙食费未按照非营利性原则收取、未购买机构意外责任保险或服务对象满意率调查低于80%的，采购人有权责令成交人限期完成整改，出现其他管理服务、安全稳定问题的，依据《广东省养老服务条例》、《养老机构管理办法》等相关规定予以处理。</w:t>
      </w:r>
    </w:p>
    <w:p w14:paraId="5DD39EF4">
      <w:pPr>
        <w:numPr>
          <w:ilvl w:val="0"/>
          <w:numId w:val="0"/>
        </w:numPr>
        <w:tabs>
          <w:tab w:val="left" w:pos="420"/>
        </w:tabs>
        <w:spacing w:line="360" w:lineRule="auto"/>
        <w:ind w:firstLine="482" w:firstLineChars="200"/>
        <w:rPr>
          <w:rFonts w:hint="eastAsia" w:ascii="宋体" w:hAnsi="宋体" w:eastAsia="宋体" w:cs="宋体"/>
          <w:b/>
          <w:bCs/>
          <w:color w:val="auto"/>
          <w:kern w:val="28"/>
          <w:sz w:val="24"/>
          <w:szCs w:val="24"/>
          <w:highlight w:val="none"/>
          <w:lang w:eastAsia="zh-CN"/>
        </w:rPr>
      </w:pPr>
      <w:r>
        <w:rPr>
          <w:rFonts w:hint="eastAsia" w:ascii="宋体" w:hAnsi="宋体" w:eastAsia="宋体" w:cs="宋体"/>
          <w:b/>
          <w:bCs/>
          <w:color w:val="auto"/>
          <w:kern w:val="28"/>
          <w:sz w:val="24"/>
          <w:szCs w:val="24"/>
          <w:highlight w:val="none"/>
          <w:lang w:val="en-US" w:eastAsia="zh-CN"/>
        </w:rPr>
        <w:t>五</w:t>
      </w:r>
      <w:r>
        <w:rPr>
          <w:rFonts w:hint="eastAsia" w:ascii="宋体" w:hAnsi="宋体" w:eastAsia="宋体" w:cs="宋体"/>
          <w:b/>
          <w:bCs/>
          <w:color w:val="auto"/>
          <w:kern w:val="28"/>
          <w:sz w:val="24"/>
          <w:szCs w:val="24"/>
          <w:highlight w:val="none"/>
          <w:lang w:eastAsia="zh-CN"/>
        </w:rPr>
        <w:t>、中止和退出机制</w:t>
      </w:r>
    </w:p>
    <w:p w14:paraId="5F57F50F">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1.</w:t>
      </w:r>
      <w:r>
        <w:rPr>
          <w:rFonts w:hint="eastAsia" w:ascii="宋体" w:hAnsi="宋体" w:eastAsia="宋体" w:cs="宋体"/>
          <w:color w:val="auto"/>
          <w:kern w:val="28"/>
          <w:sz w:val="24"/>
          <w:szCs w:val="24"/>
          <w:highlight w:val="none"/>
          <w:lang w:eastAsia="zh-CN"/>
        </w:rPr>
        <w:t>项目运营过程中，如运营期届满或成交人提前终止时，成交人应及时做好机构交接工作，保障机构正常运营或入住老人妥善安置，</w:t>
      </w:r>
      <w:r>
        <w:rPr>
          <w:rFonts w:hint="eastAsia" w:ascii="宋体" w:hAnsi="宋体" w:eastAsia="宋体" w:cs="宋体"/>
          <w:color w:val="auto"/>
          <w:kern w:val="28"/>
          <w:sz w:val="24"/>
          <w:szCs w:val="24"/>
          <w:highlight w:val="none"/>
          <w:lang w:val="en-US" w:eastAsia="zh-CN"/>
        </w:rPr>
        <w:t>服务对象合同期未到的确保完成合同，</w:t>
      </w:r>
      <w:r>
        <w:rPr>
          <w:rFonts w:hint="eastAsia" w:ascii="宋体" w:hAnsi="宋体" w:eastAsia="宋体" w:cs="宋体"/>
          <w:color w:val="auto"/>
          <w:kern w:val="28"/>
          <w:sz w:val="24"/>
          <w:szCs w:val="24"/>
          <w:highlight w:val="none"/>
          <w:lang w:eastAsia="zh-CN"/>
        </w:rPr>
        <w:t>双方应在合同终止60日前向天河区民政部门提交终止合同情况报告及入住对象安置方案，经批准后实施。双方共同委托专业会计师事务所进行资产清算，妥善做好资产和账目交接，运营届满应按时移交政府，移交前产生的一切债务或纠纷由成交人自行负责。</w:t>
      </w:r>
    </w:p>
    <w:p w14:paraId="71BB949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lang w:eastAsia="zh-CN"/>
        </w:rPr>
        <w:t>因不可抗力因素或政府政策原因影响本合同执行的，双方不承担违约责任，相关补偿按当期有关政策执行。</w:t>
      </w:r>
    </w:p>
    <w:p w14:paraId="5287D224">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3.</w:t>
      </w:r>
      <w:r>
        <w:rPr>
          <w:rFonts w:hint="eastAsia" w:ascii="宋体" w:hAnsi="宋体" w:eastAsia="宋体" w:cs="宋体"/>
          <w:color w:val="auto"/>
          <w:kern w:val="28"/>
          <w:sz w:val="24"/>
          <w:szCs w:val="24"/>
          <w:highlight w:val="none"/>
          <w:lang w:eastAsia="zh-CN"/>
        </w:rPr>
        <w:t>本项目合同生效后即具有法律约束力，双方均不得随意变更或解除。合同需要变更或解除时，须经双方共同协商，达成一致意见。</w:t>
      </w:r>
    </w:p>
    <w:p w14:paraId="667871DE">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4.</w:t>
      </w:r>
      <w:r>
        <w:rPr>
          <w:rFonts w:hint="eastAsia" w:ascii="宋体" w:hAnsi="宋体" w:eastAsia="宋体" w:cs="宋体"/>
          <w:color w:val="auto"/>
          <w:kern w:val="28"/>
          <w:sz w:val="24"/>
          <w:szCs w:val="24"/>
          <w:highlight w:val="none"/>
          <w:lang w:eastAsia="zh-CN"/>
        </w:rPr>
        <w:t>成交人有下列情形之一的，采购人及民政部门有权责令其限期整改；情节严重的，解除合同，并移交有关部门依法追究责任：</w:t>
      </w:r>
    </w:p>
    <w:p w14:paraId="3593094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（1）利用本项目场所实施非法活动，违法经营或损害公共利益及违反本合同相关约定的。若因成交人违悖法律法规行为可能造成采购人</w:t>
      </w:r>
      <w:r>
        <w:rPr>
          <w:rFonts w:hint="eastAsia" w:ascii="宋体" w:hAnsi="宋体" w:eastAsia="宋体" w:cs="宋体"/>
          <w:color w:val="auto"/>
          <w:kern w:val="28"/>
          <w:sz w:val="24"/>
          <w:szCs w:val="24"/>
          <w:highlight w:val="none"/>
          <w:lang w:val="en-US" w:eastAsia="zh-CN"/>
        </w:rPr>
        <w:t>承担</w:t>
      </w:r>
      <w:r>
        <w:rPr>
          <w:rFonts w:hint="eastAsia" w:ascii="宋体" w:hAnsi="宋体" w:eastAsia="宋体" w:cs="宋体"/>
          <w:color w:val="auto"/>
          <w:kern w:val="28"/>
          <w:sz w:val="24"/>
          <w:szCs w:val="24"/>
          <w:highlight w:val="none"/>
          <w:lang w:eastAsia="zh-CN"/>
        </w:rPr>
        <w:t>行政、经济上的责任，造成损失的由成交人负全责；</w:t>
      </w:r>
    </w:p>
    <w:p w14:paraId="585556B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lang w:eastAsia="zh-CN"/>
        </w:rPr>
        <w:t>）以本项目的经营权向第三方进行转包、担保、保证、抵押或其他有损害采购人权益的，以及以国有资产进行抵押、融资、贷款，或违反协议约定的收费标准或捐赠管理制度，造成严重后果的；</w:t>
      </w:r>
    </w:p>
    <w:p w14:paraId="6CB4CB4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3</w:t>
      </w:r>
      <w:r>
        <w:rPr>
          <w:rFonts w:hint="eastAsia" w:ascii="宋体" w:hAnsi="宋体" w:eastAsia="宋体" w:cs="宋体"/>
          <w:color w:val="auto"/>
          <w:kern w:val="28"/>
          <w:sz w:val="24"/>
          <w:szCs w:val="24"/>
          <w:highlight w:val="none"/>
          <w:lang w:eastAsia="zh-CN"/>
        </w:rPr>
        <w:t>）未经采购人同意，擅自变更法人代表或运营方的；</w:t>
      </w:r>
    </w:p>
    <w:p w14:paraId="643C0EB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4</w:t>
      </w:r>
      <w:r>
        <w:rPr>
          <w:rFonts w:hint="eastAsia" w:ascii="宋体" w:hAnsi="宋体" w:eastAsia="宋体" w:cs="宋体"/>
          <w:color w:val="auto"/>
          <w:kern w:val="28"/>
          <w:sz w:val="24"/>
          <w:szCs w:val="24"/>
          <w:highlight w:val="none"/>
          <w:lang w:eastAsia="zh-CN"/>
        </w:rPr>
        <w:t>）擅自改变经营范围的；</w:t>
      </w:r>
    </w:p>
    <w:p w14:paraId="7A610689">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5</w:t>
      </w:r>
      <w:r>
        <w:rPr>
          <w:rFonts w:hint="eastAsia" w:ascii="宋体" w:hAnsi="宋体" w:eastAsia="宋体" w:cs="宋体"/>
          <w:color w:val="auto"/>
          <w:kern w:val="28"/>
          <w:sz w:val="24"/>
          <w:szCs w:val="24"/>
          <w:highlight w:val="none"/>
          <w:lang w:eastAsia="zh-CN"/>
        </w:rPr>
        <w:t>）损毁设施或改变设施用途的，无法保障养老机构设施、设备正常运转的；</w:t>
      </w:r>
    </w:p>
    <w:p w14:paraId="159B64E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6</w:t>
      </w:r>
      <w:r>
        <w:rPr>
          <w:rFonts w:hint="eastAsia" w:ascii="宋体" w:hAnsi="宋体" w:eastAsia="宋体" w:cs="宋体"/>
          <w:color w:val="auto"/>
          <w:kern w:val="28"/>
          <w:sz w:val="24"/>
          <w:szCs w:val="24"/>
          <w:highlight w:val="none"/>
          <w:lang w:eastAsia="zh-CN"/>
        </w:rPr>
        <w:t>）造成重大安全事故的；</w:t>
      </w:r>
    </w:p>
    <w:p w14:paraId="0E727C3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7</w:t>
      </w:r>
      <w:r>
        <w:rPr>
          <w:rFonts w:hint="eastAsia" w:ascii="宋体" w:hAnsi="宋体" w:eastAsia="宋体" w:cs="宋体"/>
          <w:color w:val="auto"/>
          <w:kern w:val="28"/>
          <w:sz w:val="24"/>
          <w:szCs w:val="24"/>
          <w:highlight w:val="none"/>
          <w:lang w:eastAsia="zh-CN"/>
        </w:rPr>
        <w:t>）经采购人或上级部门评估为不合格、要求整改后未按时整改或整改后仍然不合要求的；</w:t>
      </w:r>
    </w:p>
    <w:p w14:paraId="6176F04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8</w:t>
      </w:r>
      <w:r>
        <w:rPr>
          <w:rFonts w:hint="eastAsia" w:ascii="宋体" w:hAnsi="宋体" w:eastAsia="宋体" w:cs="宋体"/>
          <w:color w:val="auto"/>
          <w:kern w:val="28"/>
          <w:sz w:val="24"/>
          <w:szCs w:val="24"/>
          <w:highlight w:val="none"/>
          <w:lang w:eastAsia="zh-CN"/>
        </w:rPr>
        <w:t>）经营资质降级或丧失的；</w:t>
      </w:r>
    </w:p>
    <w:p w14:paraId="1354C0E6">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eastAsia="zh-CN"/>
        </w:rPr>
        <w:t>（</w:t>
      </w:r>
      <w:r>
        <w:rPr>
          <w:rFonts w:hint="eastAsia" w:ascii="宋体" w:hAnsi="宋体" w:eastAsia="宋体" w:cs="宋体"/>
          <w:color w:val="auto"/>
          <w:kern w:val="28"/>
          <w:sz w:val="24"/>
          <w:szCs w:val="24"/>
          <w:highlight w:val="none"/>
          <w:lang w:val="en-US" w:eastAsia="zh-CN"/>
        </w:rPr>
        <w:t>9</w:t>
      </w:r>
      <w:r>
        <w:rPr>
          <w:rFonts w:hint="eastAsia" w:ascii="宋体" w:hAnsi="宋体" w:eastAsia="宋体" w:cs="宋体"/>
          <w:color w:val="auto"/>
          <w:kern w:val="28"/>
          <w:sz w:val="24"/>
          <w:szCs w:val="24"/>
          <w:highlight w:val="none"/>
          <w:lang w:eastAsia="zh-CN"/>
        </w:rPr>
        <w:t>）违反国家法律法规、违反本合同的其他情形。</w:t>
      </w:r>
    </w:p>
    <w:p w14:paraId="4530BEA8">
      <w:pPr>
        <w:numPr>
          <w:ilvl w:val="0"/>
          <w:numId w:val="0"/>
        </w:numPr>
        <w:tabs>
          <w:tab w:val="left" w:pos="420"/>
        </w:tabs>
        <w:spacing w:line="360" w:lineRule="auto"/>
        <w:ind w:firstLine="482" w:firstLineChars="200"/>
        <w:rPr>
          <w:rFonts w:hint="eastAsia" w:ascii="宋体" w:hAnsi="宋体" w:eastAsia="宋体" w:cs="宋体"/>
          <w:b/>
          <w:bCs/>
          <w:color w:val="auto"/>
          <w:kern w:val="28"/>
          <w:sz w:val="24"/>
          <w:szCs w:val="24"/>
          <w:highlight w:val="none"/>
          <w:lang w:eastAsia="zh-CN"/>
        </w:rPr>
      </w:pPr>
      <w:r>
        <w:rPr>
          <w:rFonts w:hint="eastAsia" w:ascii="宋体" w:hAnsi="宋体" w:eastAsia="宋体" w:cs="宋体"/>
          <w:b/>
          <w:bCs/>
          <w:color w:val="auto"/>
          <w:kern w:val="28"/>
          <w:sz w:val="24"/>
          <w:szCs w:val="24"/>
          <w:highlight w:val="none"/>
          <w:lang w:val="en-US" w:eastAsia="zh-CN"/>
        </w:rPr>
        <w:t>六</w:t>
      </w:r>
      <w:r>
        <w:rPr>
          <w:rFonts w:hint="eastAsia" w:ascii="宋体" w:hAnsi="宋体" w:eastAsia="宋体" w:cs="宋体"/>
          <w:b/>
          <w:bCs/>
          <w:color w:val="auto"/>
          <w:kern w:val="28"/>
          <w:sz w:val="24"/>
          <w:szCs w:val="24"/>
          <w:highlight w:val="none"/>
          <w:lang w:eastAsia="zh-CN"/>
        </w:rPr>
        <w:t>、其他要求</w:t>
      </w:r>
    </w:p>
    <w:p w14:paraId="1EC0F954">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1.</w:t>
      </w:r>
      <w:r>
        <w:rPr>
          <w:rFonts w:hint="eastAsia" w:ascii="宋体" w:hAnsi="宋体" w:eastAsia="宋体" w:cs="宋体"/>
          <w:color w:val="auto"/>
          <w:kern w:val="28"/>
          <w:sz w:val="24"/>
          <w:szCs w:val="24"/>
          <w:highlight w:val="none"/>
          <w:lang w:eastAsia="zh-CN"/>
        </w:rPr>
        <w:t>成交人应承担社会公共服务职能，保证养老服务设施公益性。</w:t>
      </w:r>
    </w:p>
    <w:p w14:paraId="75D8FCB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2.</w:t>
      </w:r>
      <w:r>
        <w:rPr>
          <w:rFonts w:hint="eastAsia" w:ascii="宋体" w:hAnsi="宋体" w:eastAsia="宋体" w:cs="宋体"/>
          <w:color w:val="auto"/>
          <w:kern w:val="28"/>
          <w:sz w:val="24"/>
          <w:szCs w:val="24"/>
          <w:highlight w:val="none"/>
          <w:lang w:eastAsia="zh-CN"/>
        </w:rPr>
        <w:t>成交人严格按照《广州市人民政府办公厅关于印发广州市居家社区养老服务管理办法的通知》、《广州市天河区居家社区养老服务管理办法》、《广州市老年人助餐配餐服务管理办法》和广州市地方标准《社区居家养老服务规范》的要求开展服务。</w:t>
      </w:r>
    </w:p>
    <w:p w14:paraId="739FA370">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3.</w:t>
      </w:r>
      <w:r>
        <w:rPr>
          <w:rFonts w:hint="eastAsia" w:ascii="宋体" w:hAnsi="宋体" w:eastAsia="宋体" w:cs="宋体"/>
          <w:color w:val="auto"/>
          <w:kern w:val="28"/>
          <w:sz w:val="24"/>
          <w:szCs w:val="24"/>
          <w:highlight w:val="none"/>
          <w:lang w:eastAsia="zh-CN"/>
        </w:rPr>
        <w:t>成交人根据服务对象实际需求制订详细具体服务方案，并做好服务记录。</w:t>
      </w:r>
    </w:p>
    <w:p w14:paraId="00E507F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4.</w:t>
      </w:r>
      <w:r>
        <w:rPr>
          <w:rFonts w:hint="eastAsia" w:ascii="宋体" w:hAnsi="宋体" w:eastAsia="宋体" w:cs="宋体"/>
          <w:color w:val="auto"/>
          <w:kern w:val="28"/>
          <w:sz w:val="24"/>
          <w:szCs w:val="24"/>
          <w:highlight w:val="none"/>
          <w:lang w:eastAsia="zh-CN"/>
        </w:rPr>
        <w:t>服务期间如遇到国家规定的广州市职工最低工资标准发生调整，须以广州市有关部门颁发的文件为准，成交人须及时调整本项目工作人员工作。</w:t>
      </w:r>
    </w:p>
    <w:p w14:paraId="2A64A81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5.</w:t>
      </w:r>
      <w:r>
        <w:rPr>
          <w:rFonts w:hint="eastAsia" w:ascii="宋体" w:hAnsi="宋体" w:eastAsia="宋体" w:cs="宋体"/>
          <w:color w:val="auto"/>
          <w:kern w:val="28"/>
          <w:sz w:val="24"/>
          <w:szCs w:val="24"/>
          <w:highlight w:val="none"/>
          <w:lang w:eastAsia="zh-CN"/>
        </w:rPr>
        <w:t>成交人须对本项目涉及服务对象的个人相关信息进行保密，未经服务对象或其法定监护人书面许可，不得对外披露，不得以任何形式提供给第三方，不得在参与本项目工作之外使用这些保密信息。</w:t>
      </w:r>
      <w:r>
        <w:rPr>
          <w:rFonts w:hint="eastAsia" w:ascii="宋体" w:hAnsi="宋体" w:eastAsia="宋体" w:cs="宋体"/>
          <w:color w:val="auto"/>
          <w:kern w:val="28"/>
          <w:sz w:val="24"/>
          <w:szCs w:val="24"/>
          <w:highlight w:val="none"/>
          <w:lang w:val="en-US" w:eastAsia="zh-CN"/>
        </w:rPr>
        <w:t>否则，造成侵权责任由成交人自行承担法律责任。</w:t>
      </w:r>
    </w:p>
    <w:p w14:paraId="12546272">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eastAsia="zh-CN"/>
        </w:rPr>
      </w:pPr>
      <w:r>
        <w:rPr>
          <w:rFonts w:hint="eastAsia" w:ascii="宋体" w:hAnsi="宋体" w:eastAsia="宋体" w:cs="宋体"/>
          <w:color w:val="auto"/>
          <w:kern w:val="28"/>
          <w:sz w:val="24"/>
          <w:szCs w:val="24"/>
          <w:highlight w:val="none"/>
          <w:lang w:val="en-US" w:eastAsia="zh-CN"/>
        </w:rPr>
        <w:t>6.</w:t>
      </w:r>
      <w:r>
        <w:rPr>
          <w:rFonts w:hint="eastAsia" w:ascii="宋体" w:hAnsi="宋体" w:eastAsia="宋体" w:cs="宋体"/>
          <w:color w:val="auto"/>
          <w:kern w:val="28"/>
          <w:sz w:val="24"/>
          <w:szCs w:val="24"/>
          <w:highlight w:val="none"/>
          <w:lang w:eastAsia="zh-CN"/>
        </w:rPr>
        <w:t>成交人在本项目终止后不得保留以任何形式存储的服务对象的任何信息数据，不得利用该项目的信息数据为其他的单位（包括自办单位）或项目服务。</w:t>
      </w:r>
      <w:r>
        <w:rPr>
          <w:rFonts w:hint="eastAsia" w:ascii="宋体" w:hAnsi="宋体" w:eastAsia="宋体" w:cs="宋体"/>
          <w:color w:val="auto"/>
          <w:kern w:val="28"/>
          <w:sz w:val="24"/>
          <w:szCs w:val="24"/>
          <w:highlight w:val="none"/>
          <w:lang w:val="en-US" w:eastAsia="zh-CN"/>
        </w:rPr>
        <w:t>否则，造成侵权责任由成交人自行承担法律责任。</w:t>
      </w:r>
    </w:p>
    <w:p w14:paraId="53DE7102">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7.供应商需针对本项目提供整体实施方案，内容包括但不限于：①对项目的了解程度；②实施计划；③人员结构及分工、服务供给。</w:t>
      </w:r>
    </w:p>
    <w:p w14:paraId="1CB619DA">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8.供应商需针对本项目提供管理制度方案，内容包括但不限于：①人事管理制度；②档案管理制度和信息保密制度；③巡访工作制度；④志愿服务管理制度。</w:t>
      </w:r>
    </w:p>
    <w:p w14:paraId="7F035ED9">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9.供应商需针对本项目提供财务管理方案，内容包括但不限于：①财务管理、财务审核、财务监督机制；②经费预算、费用报批、物资采购程序。</w:t>
      </w:r>
    </w:p>
    <w:p w14:paraId="4CDD3664">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10.供应商需针对本项目提供人员培训方案，内容包括但不限于：①培训团队的人员安排；②培训计划安排；③培训内容的设置。</w:t>
      </w:r>
    </w:p>
    <w:p w14:paraId="2964BB5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11.供应商需针对本项目提供应急服务方案，内容包括但不限于：①应急情况类型分析；②应急响应流程；③应急人员及物资保障。</w:t>
      </w:r>
    </w:p>
    <w:p w14:paraId="5ACABCC2">
      <w:pPr>
        <w:numPr>
          <w:ilvl w:val="0"/>
          <w:numId w:val="0"/>
        </w:numPr>
        <w:tabs>
          <w:tab w:val="left" w:pos="420"/>
        </w:tabs>
        <w:spacing w:line="360" w:lineRule="auto"/>
        <w:ind w:firstLine="482" w:firstLineChars="200"/>
        <w:rPr>
          <w:rFonts w:hint="eastAsia" w:ascii="宋体" w:hAnsi="宋体" w:eastAsia="宋体" w:cs="宋体"/>
          <w:b/>
          <w:bCs/>
          <w:color w:val="auto"/>
          <w:kern w:val="28"/>
          <w:sz w:val="24"/>
          <w:szCs w:val="24"/>
          <w:highlight w:val="none"/>
          <w:lang w:eastAsia="zh-CN"/>
        </w:rPr>
      </w:pPr>
      <w:r>
        <w:rPr>
          <w:rFonts w:hint="eastAsia" w:ascii="宋体" w:hAnsi="宋体" w:eastAsia="宋体" w:cs="宋体"/>
          <w:b/>
          <w:bCs/>
          <w:color w:val="auto"/>
          <w:kern w:val="28"/>
          <w:sz w:val="24"/>
          <w:szCs w:val="24"/>
          <w:highlight w:val="none"/>
          <w:lang w:val="en-US" w:eastAsia="zh-CN"/>
        </w:rPr>
        <w:t>七</w:t>
      </w:r>
      <w:r>
        <w:rPr>
          <w:rFonts w:hint="eastAsia" w:ascii="宋体" w:hAnsi="宋体" w:eastAsia="宋体" w:cs="宋体"/>
          <w:b/>
          <w:bCs/>
          <w:color w:val="auto"/>
          <w:kern w:val="28"/>
          <w:sz w:val="24"/>
          <w:szCs w:val="24"/>
          <w:highlight w:val="none"/>
          <w:lang w:eastAsia="zh-CN"/>
        </w:rPr>
        <w:t>、付款方式</w:t>
      </w:r>
    </w:p>
    <w:p w14:paraId="6FA9DEF0">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第一期款：协议签订生效之日起三个月内，成交人提交等额有效的税务发票给采购人，采购人于5个工作日内向成交人支付运营经费总额的50%；（如成交人为中小企业的，成交人提交等额有效的税务发票给采购人，采购人在协议签订生效之日起5个工作日内向成交人支付运营经费总额的50%）</w:t>
      </w:r>
    </w:p>
    <w:p w14:paraId="67B60429">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第二期款：协议签订生效之日起三个月至八个月内，成交人提交等额有效的税务发票给采购人，采购人于5个工作日内向成交人支付运营经费总额的30%；</w:t>
      </w:r>
    </w:p>
    <w:p w14:paraId="57CA1FCF">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第三期款：运营期满，并进行年度评估后，评估结果为合格及以上的，在评估结果出具后，成交人提交等额有效的税务发票给采购人，采购人于5个工作日内向成交人支付运营经费总额的20%。服务期间年度评估结果不合格、经整改后仍不合格的，余下的运营经费不予支付，并有权终止合同。注：</w:t>
      </w:r>
    </w:p>
    <w:p w14:paraId="55A51D21">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采购人每次办理支付费用前，成交人需提供对应金额的正式增值税发票。因采购人使用的是财政资金，采购人在前款规定的付款时间为向支付部门提出办理财政支付申请手续的时间（不含政府财政支付部门审核的时间），在规定时间内提出支付申请手续后即视为采购人已经按期支付，因非采购人原因导致延迟到账的，采购人不承担违约责任。如相关政策文件对运营经费的支付方式有新的要求，按最新要求执行。</w:t>
      </w:r>
    </w:p>
    <w:p w14:paraId="20CAF438">
      <w:pPr>
        <w:pStyle w:val="2"/>
        <w:rPr>
          <w:rFonts w:hint="eastAsia" w:ascii="宋体" w:hAnsi="宋体" w:eastAsia="宋体" w:cs="宋体"/>
          <w:b/>
          <w:bCs/>
          <w:color w:val="auto"/>
          <w:kern w:val="28"/>
          <w:sz w:val="24"/>
          <w:szCs w:val="24"/>
          <w:highlight w:val="none"/>
          <w:lang w:eastAsia="zh-CN"/>
        </w:rPr>
      </w:pPr>
      <w:r>
        <w:rPr>
          <w:rFonts w:hint="eastAsia" w:ascii="宋体" w:hAnsi="宋体" w:eastAsia="宋体" w:cs="宋体"/>
          <w:b/>
          <w:bCs/>
          <w:color w:val="auto"/>
          <w:kern w:val="28"/>
          <w:sz w:val="24"/>
          <w:szCs w:val="24"/>
          <w:highlight w:val="none"/>
          <w:lang w:val="en-US" w:eastAsia="zh-CN"/>
        </w:rPr>
        <w:t>八</w:t>
      </w:r>
      <w:r>
        <w:rPr>
          <w:rFonts w:hint="eastAsia" w:ascii="宋体" w:hAnsi="宋体" w:eastAsia="宋体" w:cs="宋体"/>
          <w:b/>
          <w:bCs/>
          <w:color w:val="auto"/>
          <w:kern w:val="28"/>
          <w:sz w:val="24"/>
          <w:szCs w:val="24"/>
          <w:highlight w:val="none"/>
          <w:lang w:eastAsia="zh-CN"/>
        </w:rPr>
        <w:t>、验收要求</w:t>
      </w:r>
    </w:p>
    <w:p w14:paraId="1148AA92">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服务期内接受区养老服务指导单位的服务评估。对承接的服务项目评估定级不合格的成交人，由区民政部门督促整改，整改后仍不合格的，采购人有权不支付对应设施运营经费，该不合格设施年度运营成本由成交人自行承担。如市、区养老服务政策变更，则遵照最新政策执行。</w:t>
      </w:r>
    </w:p>
    <w:p w14:paraId="33981880">
      <w:pPr>
        <w:pStyle w:val="2"/>
        <w:rPr>
          <w:rFonts w:hint="eastAsia" w:ascii="宋体" w:hAnsi="宋体" w:eastAsia="宋体" w:cs="宋体"/>
          <w:b/>
          <w:bCs/>
          <w:color w:val="auto"/>
          <w:kern w:val="28"/>
          <w:sz w:val="24"/>
          <w:szCs w:val="24"/>
          <w:highlight w:val="none"/>
          <w:lang w:val="en-US" w:eastAsia="zh-CN"/>
        </w:rPr>
      </w:pPr>
      <w:r>
        <w:rPr>
          <w:rFonts w:hint="eastAsia" w:ascii="宋体" w:hAnsi="宋体" w:eastAsia="宋体" w:cs="宋体"/>
          <w:b/>
          <w:bCs/>
          <w:color w:val="auto"/>
          <w:kern w:val="28"/>
          <w:sz w:val="24"/>
          <w:szCs w:val="24"/>
          <w:highlight w:val="none"/>
          <w:lang w:val="en-US" w:eastAsia="zh-CN"/>
        </w:rPr>
        <w:t>九</w:t>
      </w:r>
      <w:r>
        <w:rPr>
          <w:rFonts w:hint="eastAsia" w:ascii="宋体" w:hAnsi="宋体" w:eastAsia="宋体" w:cs="宋体"/>
          <w:b/>
          <w:bCs/>
          <w:color w:val="auto"/>
          <w:kern w:val="28"/>
          <w:sz w:val="24"/>
          <w:szCs w:val="24"/>
          <w:highlight w:val="none"/>
          <w:lang w:eastAsia="zh-CN"/>
        </w:rPr>
        <w:t>、</w:t>
      </w:r>
      <w:r>
        <w:rPr>
          <w:rFonts w:hint="eastAsia" w:ascii="宋体" w:hAnsi="宋体" w:eastAsia="宋体" w:cs="宋体"/>
          <w:b/>
          <w:bCs/>
          <w:color w:val="auto"/>
          <w:kern w:val="28"/>
          <w:sz w:val="24"/>
          <w:szCs w:val="24"/>
          <w:highlight w:val="none"/>
          <w:lang w:val="en-US" w:eastAsia="zh-CN"/>
        </w:rPr>
        <w:t>其他商务说明</w:t>
      </w:r>
    </w:p>
    <w:p w14:paraId="139F26E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（一）运营经费。</w:t>
      </w:r>
    </w:p>
    <w:p w14:paraId="50350915">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本项目运营期为2026年8月1日至2027年7月31日，运营经费共125万元人民币（其中颐康中心运营经费为50万元，15个社区颐康服务站运营经费共为75万元（每个服务站为5万元）），运营经费主要用于人员经费、服务活动经费、交通费、办公费、场地设施和设备维修费、场地租赁经费、水费、电费、燃气费、项目税费等。</w:t>
      </w:r>
    </w:p>
    <w:p w14:paraId="32FF1A7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（二）政府购买服务资助。</w:t>
      </w:r>
    </w:p>
    <w:p w14:paraId="21191C09">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成交人的服务对象属于《广州市天河区居家社区养老服务管理办法》规定的政府购买服务资助对象的，资助标准按规定执行，超出服务方案和资助标准的费用由资助对象自行支付。资助费用由采购人按照财务管理规定，以成交人与资助对象的服务协议、广州市为老服务平台服务记录为依据，按期支付给成交人。</w:t>
      </w:r>
    </w:p>
    <w:p w14:paraId="756B3C13">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（三）服务奖励。</w:t>
      </w:r>
    </w:p>
    <w:p w14:paraId="32D65F69">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成交人运营颐康中心、社区颐康服务站且经民政部门组织评估为合格及以上等级的，可以根据《广州市居家社区养老服务管理办法》规定享受相应等级的服务奖励，运营时间不足或超出12个月的按比例支付奖励资金。服务奖励由采购人按照《广州市居家社区养老服务管理办法》和财政相关规定拨付给成交人。</w:t>
      </w:r>
    </w:p>
    <w:p w14:paraId="393F051C">
      <w:pPr>
        <w:numPr>
          <w:ilvl w:val="0"/>
          <w:numId w:val="0"/>
        </w:numPr>
        <w:tabs>
          <w:tab w:val="left" w:pos="420"/>
        </w:tabs>
        <w:spacing w:line="360" w:lineRule="auto"/>
        <w:ind w:firstLine="480" w:firstLineChars="200"/>
        <w:rPr>
          <w:rFonts w:hint="eastAsia" w:ascii="宋体" w:hAnsi="宋体" w:eastAsia="宋体" w:cs="宋体"/>
          <w:color w:val="auto"/>
          <w:kern w:val="28"/>
          <w:sz w:val="24"/>
          <w:szCs w:val="24"/>
          <w:highlight w:val="none"/>
          <w:lang w:val="en-US" w:eastAsia="zh-CN"/>
        </w:rPr>
      </w:pPr>
      <w:r>
        <w:rPr>
          <w:rFonts w:hint="eastAsia" w:ascii="宋体" w:hAnsi="宋体" w:eastAsia="宋体" w:cs="宋体"/>
          <w:color w:val="auto"/>
          <w:kern w:val="28"/>
          <w:sz w:val="24"/>
          <w:szCs w:val="24"/>
          <w:highlight w:val="none"/>
          <w:lang w:val="en-US" w:eastAsia="zh-CN"/>
        </w:rPr>
        <w:t>奖励经费主要用于成交人运营管理、设施设备购置、服务拓展、团队学习培训和能力提升等，不得用于分红。</w:t>
      </w:r>
    </w:p>
    <w:p w14:paraId="66E5E888">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6B01F8"/>
    <w:rsid w:val="02504FA2"/>
    <w:rsid w:val="030A6D0E"/>
    <w:rsid w:val="0A6B01F8"/>
    <w:rsid w:val="0E8946C5"/>
    <w:rsid w:val="115411AB"/>
    <w:rsid w:val="1635642A"/>
    <w:rsid w:val="1A2A25F4"/>
    <w:rsid w:val="1A697F70"/>
    <w:rsid w:val="2355143D"/>
    <w:rsid w:val="24031CA8"/>
    <w:rsid w:val="253455FA"/>
    <w:rsid w:val="2718266E"/>
    <w:rsid w:val="2CBA2FB1"/>
    <w:rsid w:val="31ED0DA1"/>
    <w:rsid w:val="338641AE"/>
    <w:rsid w:val="3BD14C46"/>
    <w:rsid w:val="3BEC7A36"/>
    <w:rsid w:val="42706D28"/>
    <w:rsid w:val="46944417"/>
    <w:rsid w:val="5199505A"/>
    <w:rsid w:val="52D04595"/>
    <w:rsid w:val="57812F2D"/>
    <w:rsid w:val="58E40F64"/>
    <w:rsid w:val="5949377D"/>
    <w:rsid w:val="5EAF13C8"/>
    <w:rsid w:val="6375692C"/>
    <w:rsid w:val="64AF0626"/>
    <w:rsid w:val="74FE30B7"/>
    <w:rsid w:val="75C34BC5"/>
    <w:rsid w:val="793A5B10"/>
    <w:rsid w:val="7D314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2"/>
    <w:basedOn w:val="1"/>
    <w:next w:val="1"/>
    <w:unhideWhenUsed/>
    <w:qFormat/>
    <w:uiPriority w:val="39"/>
    <w:pPr>
      <w:ind w:left="210"/>
      <w:jc w:val="left"/>
    </w:pPr>
    <w:rPr>
      <w:rFonts w:cstheme="minorHAnsi"/>
      <w:smallCaps/>
      <w:sz w:val="20"/>
      <w:szCs w:val="20"/>
    </w:rPr>
  </w:style>
  <w:style w:type="paragraph" w:styleId="4">
    <w:name w:val="annotation text"/>
    <w:basedOn w:val="1"/>
    <w:qFormat/>
    <w:uiPriority w:val="0"/>
    <w:pPr>
      <w:jc w:val="left"/>
    </w:pPr>
  </w:style>
  <w:style w:type="character" w:styleId="7">
    <w:name w:val="Hyperlink"/>
    <w:basedOn w:val="6"/>
    <w:qFormat/>
    <w:uiPriority w:val="0"/>
    <w:rPr>
      <w:color w:val="0000FF"/>
      <w:u w:val="single"/>
    </w:rPr>
  </w:style>
  <w:style w:type="paragraph" w:customStyle="1" w:styleId="8">
    <w:name w:val="null3"/>
    <w:hidden/>
    <w:qFormat/>
    <w:uiPriority w:val="0"/>
    <w:rPr>
      <w:rFonts w:hint="eastAsia" w:asciiTheme="minorHAnsi" w:hAnsiTheme="minorHAnsi" w:eastAsiaTheme="minorEastAsia" w:cstheme="minorBidi"/>
      <w:lang w:val="en-US" w:eastAsia="zh-Hans"/>
    </w:rPr>
  </w:style>
  <w:style w:type="character" w:customStyle="1" w:styleId="9">
    <w:name w:val="font31"/>
    <w:basedOn w:val="6"/>
    <w:qFormat/>
    <w:uiPriority w:val="0"/>
    <w:rPr>
      <w:rFonts w:hint="eastAsia" w:ascii="仿宋_GB2312" w:eastAsia="仿宋_GB2312" w:cs="仿宋_GB2312"/>
      <w:color w:val="000000"/>
      <w:sz w:val="36"/>
      <w:szCs w:val="3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5338</Words>
  <Characters>5550</Characters>
  <Lines>0</Lines>
  <Paragraphs>0</Paragraphs>
  <TotalTime>0</TotalTime>
  <ScaleCrop>false</ScaleCrop>
  <LinksUpToDate>false</LinksUpToDate>
  <CharactersWithSpaces>5578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2025-12-30T10:04:00Z</dcterms:created>
  <dc:creator>1</dc:creator>
  <cp:lastModifiedBy>Stuart</cp:lastModifiedBy>
  <cp:lastPrinted>2026-01-13T03:19:00Z</cp:lastPrinted>
  <dcterms:modified xsi:type="dcterms:W3CDTF">2026-06-02T06:19:21Z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3B870454C6024445BD5ADD19D17DDCC3</vt:lpwstr>
  </property>
  <property fmtid="{D5CDD505-2E9C-101B-9397-08002B2CF9AE}" pid="4" name="KSOTemplateDocerSaveRecord">
    <vt:lpwstr>eyJoZGlkIjoiMzMzMGYzOGNmMmVjYTk5YzVmMTIzZTExMDliODNlM2IiLCJ1c2VySWQiOiI2OTA3NTk4NTcifQ==</vt:lpwstr>
  </property>
</Properties>
</file>