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4947E2">
      <w:pPr>
        <w:pStyle w:val="6"/>
        <w:tabs>
          <w:tab w:val="left" w:pos="0"/>
        </w:tabs>
        <w:autoSpaceDE w:val="0"/>
        <w:autoSpaceDN w:val="0"/>
        <w:adjustRightInd w:val="0"/>
        <w:spacing w:before="156" w:beforeLines="50" w:after="156" w:afterLines="50"/>
        <w:ind w:firstLine="0" w:firstLineChars="0"/>
        <w:jc w:val="center"/>
        <w:rPr>
          <w:rFonts w:asciiTheme="minorEastAsia" w:hAnsiTheme="minorEastAsia" w:eastAsiaTheme="minorEastAsia" w:cstheme="minorEastAsia"/>
          <w:b/>
          <w:bCs/>
          <w:kern w:val="0"/>
          <w:sz w:val="32"/>
          <w:szCs w:val="32"/>
        </w:rPr>
      </w:pPr>
      <w:bookmarkStart w:id="0" w:name="_Toc4053"/>
      <w:r>
        <w:rPr>
          <w:rFonts w:hint="eastAsia" w:asciiTheme="minorEastAsia" w:hAnsiTheme="minorEastAsia" w:eastAsiaTheme="minorEastAsia" w:cstheme="minorEastAsia"/>
          <w:b/>
          <w:bCs/>
          <w:kern w:val="0"/>
          <w:sz w:val="32"/>
          <w:szCs w:val="32"/>
        </w:rPr>
        <w:t>惠州公司IDC合作共建机房框选简介</w:t>
      </w:r>
    </w:p>
    <w:p w14:paraId="7E51B0DD">
      <w:pPr>
        <w:pStyle w:val="6"/>
        <w:tabs>
          <w:tab w:val="left" w:pos="0"/>
        </w:tabs>
        <w:autoSpaceDE w:val="0"/>
        <w:autoSpaceDN w:val="0"/>
        <w:adjustRightInd w:val="0"/>
        <w:spacing w:before="156" w:beforeLines="50" w:after="156" w:afterLines="50"/>
        <w:ind w:firstLine="0" w:firstLineChars="0"/>
        <w:jc w:val="left"/>
        <w:rPr>
          <w:rFonts w:asciiTheme="minorEastAsia" w:hAnsiTheme="minorEastAsia" w:eastAsiaTheme="minorEastAsia" w:cstheme="minorEastAsia"/>
          <w:kern w:val="0"/>
          <w:sz w:val="24"/>
          <w:szCs w:val="24"/>
        </w:rPr>
      </w:pPr>
    </w:p>
    <w:p w14:paraId="1B8B6A71">
      <w:pPr>
        <w:pStyle w:val="6"/>
        <w:tabs>
          <w:tab w:val="left" w:pos="0"/>
        </w:tabs>
        <w:autoSpaceDE w:val="0"/>
        <w:autoSpaceDN w:val="0"/>
        <w:adjustRightInd w:val="0"/>
        <w:spacing w:before="156" w:beforeLines="50" w:after="156" w:afterLines="50"/>
        <w:ind w:firstLine="720" w:firstLineChars="300"/>
        <w:jc w:val="left"/>
        <w:rPr>
          <w:rFonts w:asciiTheme="minorEastAsia" w:hAnsiTheme="minorEastAsia" w:eastAsiaTheme="minorEastAsia" w:cstheme="minorEastAsia"/>
          <w:kern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kern w:val="0"/>
          <w:sz w:val="24"/>
          <w:szCs w:val="24"/>
        </w:rPr>
        <w:t>框选工作不涉及商务条件，结合“宽进”广泛引入机制，符合项目准入条件的机房，通过框选纳入惠州公司IDC合作共建机房储备资源库。</w:t>
      </w:r>
    </w:p>
    <w:p w14:paraId="41DF534E">
      <w:pPr>
        <w:pStyle w:val="6"/>
        <w:tabs>
          <w:tab w:val="left" w:pos="0"/>
        </w:tabs>
        <w:autoSpaceDE w:val="0"/>
        <w:autoSpaceDN w:val="0"/>
        <w:adjustRightInd w:val="0"/>
        <w:spacing w:before="156" w:beforeLines="50" w:after="156" w:afterLines="50"/>
        <w:ind w:firstLine="0" w:firstLineChars="0"/>
        <w:jc w:val="left"/>
        <w:rPr>
          <w:rFonts w:asciiTheme="minorEastAsia" w:hAnsiTheme="minorEastAsia" w:eastAsiaTheme="minorEastAsia" w:cstheme="minorEastAsia"/>
          <w:b/>
          <w:bCs/>
          <w:kern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bCs/>
          <w:kern w:val="0"/>
          <w:sz w:val="24"/>
          <w:szCs w:val="24"/>
        </w:rPr>
        <w:t>一、实施原则</w:t>
      </w:r>
      <w:bookmarkEnd w:id="0"/>
    </w:p>
    <w:p w14:paraId="4C8824A9">
      <w:pPr>
        <w:pStyle w:val="6"/>
        <w:tabs>
          <w:tab w:val="left" w:pos="0"/>
        </w:tabs>
        <w:autoSpaceDE w:val="0"/>
        <w:autoSpaceDN w:val="0"/>
        <w:adjustRightInd w:val="0"/>
        <w:spacing w:before="156" w:beforeLines="50" w:after="156" w:afterLines="50"/>
        <w:ind w:firstLine="480"/>
        <w:jc w:val="left"/>
        <w:rPr>
          <w:rFonts w:asciiTheme="minorEastAsia" w:hAnsiTheme="minorEastAsia" w:eastAsiaTheme="minorEastAsia" w:cstheme="minorEastAsia"/>
          <w:kern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kern w:val="0"/>
          <w:sz w:val="24"/>
          <w:szCs w:val="24"/>
        </w:rPr>
        <w:t>为了保证合作共建项目的规范性，规避审计风险，IDC合作共建项目须遵循以下原则：</w:t>
      </w:r>
    </w:p>
    <w:p w14:paraId="60410AB6">
      <w:pPr>
        <w:autoSpaceDE w:val="0"/>
        <w:autoSpaceDN w:val="0"/>
        <w:adjustRightInd w:val="0"/>
        <w:ind w:firstLine="600" w:firstLineChars="250"/>
        <w:jc w:val="left"/>
        <w:rPr>
          <w:rFonts w:asciiTheme="minorEastAsia" w:hAnsiTheme="minorEastAsia" w:eastAsiaTheme="minorEastAsia" w:cstheme="minorEastAsia"/>
          <w:kern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kern w:val="0"/>
          <w:sz w:val="24"/>
          <w:szCs w:val="24"/>
        </w:rPr>
        <w:t>1、“四个统一”原则</w:t>
      </w:r>
    </w:p>
    <w:p w14:paraId="008FF3A3">
      <w:pPr>
        <w:autoSpaceDE w:val="0"/>
        <w:autoSpaceDN w:val="0"/>
        <w:adjustRightInd w:val="0"/>
        <w:ind w:firstLine="600" w:firstLineChars="250"/>
        <w:jc w:val="left"/>
        <w:rPr>
          <w:rFonts w:asciiTheme="minorEastAsia" w:hAnsiTheme="minorEastAsia" w:eastAsiaTheme="minorEastAsia" w:cstheme="minorEastAsia"/>
          <w:kern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kern w:val="0"/>
          <w:sz w:val="24"/>
          <w:szCs w:val="24"/>
        </w:rPr>
        <w:t>统一规划：移动公司统一对共建机房选址、标准、规模等按照进行规划；</w:t>
      </w:r>
    </w:p>
    <w:p w14:paraId="5D95BFF7">
      <w:pPr>
        <w:autoSpaceDE w:val="0"/>
        <w:autoSpaceDN w:val="0"/>
        <w:adjustRightInd w:val="0"/>
        <w:ind w:firstLine="600" w:firstLineChars="250"/>
        <w:jc w:val="left"/>
        <w:rPr>
          <w:rFonts w:asciiTheme="minorEastAsia" w:hAnsiTheme="minorEastAsia" w:eastAsiaTheme="minorEastAsia" w:cstheme="minorEastAsia"/>
          <w:kern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kern w:val="0"/>
          <w:sz w:val="24"/>
          <w:szCs w:val="24"/>
        </w:rPr>
        <w:t>统一品牌：合作共建机房统一使用“中国移动”品牌；</w:t>
      </w:r>
    </w:p>
    <w:p w14:paraId="66407303">
      <w:pPr>
        <w:autoSpaceDE w:val="0"/>
        <w:autoSpaceDN w:val="0"/>
        <w:adjustRightInd w:val="0"/>
        <w:ind w:firstLine="600" w:firstLineChars="250"/>
        <w:jc w:val="left"/>
        <w:rPr>
          <w:rFonts w:asciiTheme="minorEastAsia" w:hAnsiTheme="minorEastAsia" w:eastAsiaTheme="minorEastAsia" w:cstheme="minorEastAsia"/>
          <w:kern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kern w:val="0"/>
          <w:sz w:val="24"/>
          <w:szCs w:val="24"/>
        </w:rPr>
        <w:t>统一运营：合作共建机房纳入广东移动IDC机房运营管理体系，与自建机房同一标准运维；</w:t>
      </w:r>
    </w:p>
    <w:p w14:paraId="23DF46C0">
      <w:pPr>
        <w:autoSpaceDE w:val="0"/>
        <w:autoSpaceDN w:val="0"/>
        <w:adjustRightInd w:val="0"/>
        <w:ind w:firstLine="600" w:firstLineChars="250"/>
        <w:jc w:val="left"/>
        <w:rPr>
          <w:rFonts w:asciiTheme="minorEastAsia" w:hAnsiTheme="minorEastAsia" w:eastAsiaTheme="minorEastAsia" w:cstheme="minorEastAsia"/>
          <w:kern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kern w:val="0"/>
          <w:sz w:val="24"/>
          <w:szCs w:val="24"/>
        </w:rPr>
        <w:t>统一定价：合作共建机房须按照中国移动IDC机房等级标准进行评级，并遵从我司统一价格体系、统一销售流程。</w:t>
      </w:r>
    </w:p>
    <w:p w14:paraId="1CD0101D">
      <w:pPr>
        <w:autoSpaceDE w:val="0"/>
        <w:autoSpaceDN w:val="0"/>
        <w:adjustRightInd w:val="0"/>
        <w:ind w:firstLine="600" w:firstLineChars="250"/>
        <w:jc w:val="left"/>
        <w:rPr>
          <w:rFonts w:asciiTheme="minorEastAsia" w:hAnsiTheme="minorEastAsia" w:eastAsiaTheme="minorEastAsia" w:cstheme="minorEastAsia"/>
          <w:kern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kern w:val="0"/>
          <w:sz w:val="24"/>
          <w:szCs w:val="24"/>
        </w:rPr>
        <w:t>2、投资产权归属原则：合作共建机房产权遵从“谁投资产权归谁”原则。</w:t>
      </w:r>
    </w:p>
    <w:p w14:paraId="3877C479">
      <w:pPr>
        <w:autoSpaceDE w:val="0"/>
        <w:autoSpaceDN w:val="0"/>
        <w:adjustRightInd w:val="0"/>
        <w:ind w:firstLine="600" w:firstLineChars="250"/>
        <w:jc w:val="left"/>
        <w:rPr>
          <w:rFonts w:asciiTheme="minorEastAsia" w:hAnsiTheme="minorEastAsia" w:eastAsiaTheme="minorEastAsia" w:cstheme="minorEastAsia"/>
          <w:kern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kern w:val="0"/>
          <w:sz w:val="24"/>
          <w:szCs w:val="24"/>
        </w:rPr>
        <w:t>3、资格审查原则：合作共建机房合作方必须为依法成立、正常运营，具有土地或者建筑产权或者承租权，并且具有相关IDC运营资质的公司。</w:t>
      </w:r>
    </w:p>
    <w:p w14:paraId="57D5B5DA">
      <w:pPr>
        <w:rPr>
          <w:rFonts w:asciiTheme="minorEastAsia" w:hAnsiTheme="minorEastAsia" w:eastAsiaTheme="minorEastAsia" w:cstheme="minorEastAsia"/>
          <w:sz w:val="24"/>
          <w:szCs w:val="24"/>
        </w:rPr>
      </w:pPr>
    </w:p>
    <w:p w14:paraId="7C88D3CF">
      <w:pPr>
        <w:snapToGrid w:val="0"/>
        <w:outlineLvl w:val="0"/>
        <w:rPr>
          <w:rFonts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sz w:val="24"/>
          <w:szCs w:val="24"/>
        </w:rPr>
        <w:t>二、框选目标</w:t>
      </w:r>
    </w:p>
    <w:p w14:paraId="71C32BEE">
      <w:pPr>
        <w:snapToGrid w:val="0"/>
        <w:ind w:firstLine="480" w:firstLineChars="200"/>
        <w:rPr>
          <w:rFonts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本次框选目标是对惠州公司IDC机房服务能力资源库进行补充，通过评审的参选方和机房将入围惠州公司IDC合作共建资源库，用于后续客户定制机房或标准机房的甄选。</w:t>
      </w:r>
    </w:p>
    <w:p w14:paraId="3BD82FD9">
      <w:pPr>
        <w:snapToGrid w:val="0"/>
        <w:outlineLvl w:val="0"/>
        <w:rPr>
          <w:rFonts w:asciiTheme="minorEastAsia" w:hAnsiTheme="minorEastAsia" w:eastAsiaTheme="minorEastAsia" w:cstheme="minorEastAsia"/>
          <w:b/>
          <w:sz w:val="24"/>
          <w:szCs w:val="24"/>
        </w:rPr>
      </w:pPr>
    </w:p>
    <w:p w14:paraId="3AE277B8">
      <w:pPr>
        <w:snapToGrid w:val="0"/>
        <w:outlineLvl w:val="0"/>
        <w:rPr>
          <w:rFonts w:asciiTheme="minorEastAsia" w:hAnsiTheme="minorEastAsia" w:eastAsiaTheme="minorEastAsia" w:cstheme="minorEastAsia"/>
          <w:b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sz w:val="24"/>
          <w:szCs w:val="24"/>
        </w:rPr>
        <w:t>三、框选入围标准</w:t>
      </w:r>
    </w:p>
    <w:p w14:paraId="3023CDEF">
      <w:pPr>
        <w:snapToGrid w:val="0"/>
        <w:ind w:firstLine="480" w:firstLineChars="200"/>
        <w:rPr>
          <w:rFonts w:asciiTheme="minorEastAsia" w:hAnsiTheme="minorEastAsia" w:eastAsiaTheme="minorEastAsia" w:cstheme="minorEastAsia"/>
          <w:sz w:val="24"/>
          <w:szCs w:val="24"/>
        </w:rPr>
      </w:pPr>
      <w:bookmarkStart w:id="1" w:name="_Toc28409"/>
      <w:r>
        <w:rPr>
          <w:rFonts w:asciiTheme="minorEastAsia" w:hAnsiTheme="minorEastAsia" w:eastAsiaTheme="minorEastAsia" w:cstheme="minorEastAsia"/>
          <w:sz w:val="24"/>
          <w:szCs w:val="24"/>
        </w:rPr>
        <w:t>合作方准入条件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：</w:t>
      </w:r>
      <w:r>
        <w:rPr>
          <w:rFonts w:asciiTheme="minorEastAsia" w:hAnsiTheme="minorEastAsia" w:eastAsiaTheme="minorEastAsia" w:cstheme="minorEastAsia"/>
          <w:sz w:val="24"/>
          <w:szCs w:val="24"/>
        </w:rPr>
        <w:t>提供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相关</w:t>
      </w:r>
      <w:r>
        <w:rPr>
          <w:rFonts w:asciiTheme="minorEastAsia" w:hAnsiTheme="minorEastAsia" w:eastAsiaTheme="minorEastAsia" w:cstheme="minorEastAsia"/>
          <w:sz w:val="24"/>
          <w:szCs w:val="24"/>
        </w:rPr>
        <w:t>资质材料。</w:t>
      </w:r>
    </w:p>
    <w:p w14:paraId="219109C9">
      <w:pPr>
        <w:snapToGrid w:val="0"/>
        <w:ind w:firstLine="480" w:firstLineChars="200"/>
        <w:rPr>
          <w:rFonts w:asciiTheme="minorEastAsia" w:hAnsiTheme="minorEastAsia" w:eastAsiaTheme="minorEastAsia" w:cstheme="minorEastAsia"/>
          <w:sz w:val="24"/>
          <w:szCs w:val="24"/>
        </w:rPr>
      </w:pPr>
      <w:r>
        <w:rPr>
          <w:rFonts w:asciiTheme="minorEastAsia" w:hAnsiTheme="minorEastAsia" w:eastAsiaTheme="minorEastAsia" w:cstheme="minorEastAsia"/>
          <w:sz w:val="24"/>
          <w:szCs w:val="24"/>
        </w:rPr>
        <w:t>机房基础条件准入条件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：未投产</w:t>
      </w:r>
      <w:r>
        <w:rPr>
          <w:rFonts w:asciiTheme="minorEastAsia" w:hAnsiTheme="minorEastAsia" w:eastAsiaTheme="minorEastAsia" w:cstheme="minorEastAsia"/>
          <w:sz w:val="24"/>
          <w:szCs w:val="24"/>
        </w:rPr>
        <w:t>可提供承诺函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承诺</w:t>
      </w:r>
      <w:r>
        <w:rPr>
          <w:rFonts w:asciiTheme="minorEastAsia" w:hAnsiTheme="minorEastAsia" w:eastAsiaTheme="minorEastAsia" w:cstheme="minorEastAsia"/>
          <w:sz w:val="24"/>
          <w:szCs w:val="24"/>
        </w:rPr>
        <w:t>满足。如已投产机房必须提供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合法合规运营所需的相关审批或资质认证（包括但不限于</w:t>
      </w:r>
      <w:r>
        <w:rPr>
          <w:rFonts w:hint="eastAsia" w:asciiTheme="minorEastAsia" w:hAnsiTheme="minorEastAsia" w:eastAsiaTheme="minorEastAsia" w:cstheme="minorEastAsia"/>
          <w:b/>
          <w:color w:val="FF0000"/>
          <w:sz w:val="24"/>
          <w:szCs w:val="24"/>
        </w:rPr>
        <w:t>节能审查、环评、消防</w:t>
      </w:r>
      <w:r>
        <w:rPr>
          <w:rFonts w:hint="eastAsia" w:asciiTheme="minorEastAsia" w:hAnsiTheme="minorEastAsia" w:eastAsiaTheme="minorEastAsia" w:cstheme="minorEastAsia"/>
          <w:b/>
          <w:color w:val="FF0000"/>
          <w:sz w:val="24"/>
          <w:szCs w:val="24"/>
          <w:lang w:eastAsia="zh-CN"/>
        </w:rPr>
        <w:t>、</w:t>
      </w:r>
      <w:r>
        <w:rPr>
          <w:rFonts w:hint="eastAsia" w:asciiTheme="minorEastAsia" w:hAnsiTheme="minorEastAsia" w:eastAsiaTheme="minorEastAsia" w:cstheme="minorEastAsia"/>
          <w:b/>
          <w:color w:val="FF0000"/>
          <w:sz w:val="24"/>
          <w:szCs w:val="24"/>
          <w:lang w:val="en-US" w:eastAsia="zh-CN"/>
        </w:rPr>
        <w:t>三级等保、ISO27001体系、国标GB50174-2017机房等级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等）</w:t>
      </w:r>
    </w:p>
    <w:p w14:paraId="4451E26B">
      <w:pPr>
        <w:snapToGrid w:val="0"/>
        <w:outlineLvl w:val="0"/>
        <w:rPr>
          <w:rFonts w:asciiTheme="minorEastAsia" w:hAnsiTheme="minorEastAsia" w:eastAsiaTheme="minorEastAsia" w:cstheme="minorEastAsia"/>
          <w:b/>
          <w:sz w:val="24"/>
          <w:szCs w:val="24"/>
        </w:rPr>
      </w:pPr>
    </w:p>
    <w:p w14:paraId="0F1BA4E2">
      <w:pPr>
        <w:snapToGrid w:val="0"/>
        <w:outlineLvl w:val="0"/>
        <w:rPr>
          <w:rFonts w:asciiTheme="minorEastAsia" w:hAnsiTheme="minorEastAsia" w:eastAsiaTheme="minorEastAsia" w:cstheme="minorEastAsia"/>
          <w:b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sz w:val="24"/>
          <w:szCs w:val="24"/>
        </w:rPr>
        <w:t>四、框选范围</w:t>
      </w:r>
    </w:p>
    <w:p w14:paraId="4DF58D65">
      <w:pPr>
        <w:snapToGrid w:val="0"/>
        <w:ind w:firstLine="480" w:firstLineChars="200"/>
        <w:outlineLvl w:val="0"/>
        <w:rPr>
          <w:rFonts w:asciiTheme="minorEastAsia" w:hAnsiTheme="minorEastAsia" w:eastAsiaTheme="minorEastAsia" w:cstheme="minorEastAsia"/>
          <w:bCs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Cs/>
          <w:sz w:val="24"/>
          <w:szCs w:val="24"/>
        </w:rPr>
        <w:t>要求IDC合建机房位于惠州市区域内，机房终局规模不低于</w:t>
      </w:r>
      <w:r>
        <w:rPr>
          <w:rFonts w:hint="eastAsia" w:asciiTheme="minorEastAsia" w:hAnsiTheme="minorEastAsia" w:eastAsiaTheme="minorEastAsia" w:cstheme="minorEastAsia"/>
          <w:bCs/>
          <w:sz w:val="24"/>
          <w:szCs w:val="24"/>
          <w:lang w:val="en-US" w:eastAsia="zh-CN"/>
        </w:rPr>
        <w:t>2</w:t>
      </w:r>
      <w:bookmarkStart w:id="2" w:name="_GoBack"/>
      <w:bookmarkEnd w:id="2"/>
      <w:r>
        <w:rPr>
          <w:rFonts w:hint="eastAsia" w:asciiTheme="minorEastAsia" w:hAnsiTheme="minorEastAsia" w:eastAsiaTheme="minorEastAsia" w:cstheme="minorEastAsia"/>
          <w:bCs/>
          <w:sz w:val="24"/>
          <w:szCs w:val="24"/>
        </w:rPr>
        <w:t>00个机柜。</w:t>
      </w:r>
    </w:p>
    <w:p w14:paraId="75B53786">
      <w:pPr>
        <w:snapToGrid w:val="0"/>
        <w:outlineLvl w:val="0"/>
        <w:rPr>
          <w:rFonts w:asciiTheme="minorEastAsia" w:hAnsiTheme="minorEastAsia" w:eastAsiaTheme="minorEastAsia" w:cstheme="minorEastAsia"/>
          <w:bCs/>
          <w:sz w:val="24"/>
          <w:szCs w:val="24"/>
        </w:rPr>
      </w:pPr>
    </w:p>
    <w:p w14:paraId="442953C0">
      <w:pPr>
        <w:snapToGrid w:val="0"/>
        <w:outlineLvl w:val="0"/>
        <w:rPr>
          <w:rFonts w:asciiTheme="minorEastAsia" w:hAnsiTheme="minorEastAsia" w:eastAsiaTheme="minorEastAsia" w:cstheme="minorEastAsia"/>
          <w:b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sz w:val="24"/>
          <w:szCs w:val="24"/>
        </w:rPr>
        <w:t>五、</w:t>
      </w:r>
      <w:bookmarkEnd w:id="1"/>
      <w:r>
        <w:rPr>
          <w:rFonts w:hint="eastAsia" w:asciiTheme="minorEastAsia" w:hAnsiTheme="minorEastAsia" w:eastAsiaTheme="minorEastAsia" w:cstheme="minorEastAsia"/>
          <w:b/>
          <w:sz w:val="24"/>
          <w:szCs w:val="24"/>
        </w:rPr>
        <w:t>分工界面</w:t>
      </w:r>
    </w:p>
    <w:p w14:paraId="17638053">
      <w:pPr>
        <w:pStyle w:val="9"/>
        <w:tabs>
          <w:tab w:val="left" w:pos="0"/>
        </w:tabs>
        <w:autoSpaceDE w:val="0"/>
        <w:autoSpaceDN w:val="0"/>
        <w:adjustRightInd w:val="0"/>
        <w:spacing w:before="156" w:beforeLines="50" w:after="156" w:afterLines="50"/>
        <w:ind w:firstLine="480"/>
        <w:jc w:val="left"/>
        <w:rPr>
          <w:rFonts w:asciiTheme="minorEastAsia" w:hAnsiTheme="minorEastAsia" w:eastAsiaTheme="minorEastAsia" w:cstheme="minorEastAsia"/>
          <w:bCs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Cs/>
          <w:sz w:val="24"/>
          <w:szCs w:val="24"/>
        </w:rPr>
        <w:t>建设方面我司不参与土建及动力配套，原则上应由合作方负责购地、土建、动力配套</w:t>
      </w:r>
      <w:r>
        <w:rPr>
          <w:rFonts w:asciiTheme="minorEastAsia" w:hAnsiTheme="minorEastAsia" w:eastAsiaTheme="minorEastAsia" w:cstheme="minorEastAsia"/>
          <w:bCs/>
          <w:sz w:val="24"/>
          <w:szCs w:val="24"/>
        </w:rPr>
        <w:t>、机房配套</w:t>
      </w:r>
      <w:r>
        <w:rPr>
          <w:rFonts w:hint="eastAsia" w:asciiTheme="minorEastAsia" w:hAnsiTheme="minorEastAsia" w:eastAsiaTheme="minorEastAsia" w:cstheme="minorEastAsia"/>
          <w:bCs/>
          <w:sz w:val="24"/>
          <w:szCs w:val="24"/>
        </w:rPr>
        <w:t>等机房建设，我司负责网络配套建设及机房运营；具体如下：</w:t>
      </w:r>
    </w:p>
    <w:tbl>
      <w:tblPr>
        <w:tblStyle w:val="4"/>
        <w:tblW w:w="0" w:type="auto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18"/>
        <w:gridCol w:w="2754"/>
        <w:gridCol w:w="1336"/>
        <w:gridCol w:w="1340"/>
        <w:gridCol w:w="1074"/>
      </w:tblGrid>
      <w:tr w14:paraId="4DBFE5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12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0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F8E002"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 xml:space="preserve">工作项 </w:t>
            </w:r>
          </w:p>
        </w:tc>
        <w:tc>
          <w:tcPr>
            <w:tcW w:w="27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0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FED3EA"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细项</w:t>
            </w:r>
          </w:p>
        </w:tc>
        <w:tc>
          <w:tcPr>
            <w:tcW w:w="133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0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783006"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移动</w:t>
            </w:r>
          </w:p>
        </w:tc>
        <w:tc>
          <w:tcPr>
            <w:tcW w:w="13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0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9AEB27"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 xml:space="preserve">合作方 </w:t>
            </w:r>
          </w:p>
        </w:tc>
        <w:tc>
          <w:tcPr>
            <w:tcW w:w="107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0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7D34E4"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客户</w:t>
            </w:r>
          </w:p>
        </w:tc>
      </w:tr>
      <w:tr w14:paraId="55E69A3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1218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DD6E4F"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机房建设</w:t>
            </w:r>
          </w:p>
        </w:tc>
        <w:tc>
          <w:tcPr>
            <w:tcW w:w="27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B56CA4"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购地/租用物业</w:t>
            </w:r>
          </w:p>
        </w:tc>
        <w:tc>
          <w:tcPr>
            <w:tcW w:w="133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0EEBFB"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　</w:t>
            </w:r>
          </w:p>
        </w:tc>
        <w:tc>
          <w:tcPr>
            <w:tcW w:w="13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60BC64"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 xml:space="preserve">√ </w:t>
            </w:r>
          </w:p>
        </w:tc>
        <w:tc>
          <w:tcPr>
            <w:tcW w:w="107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3DF5E2"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bCs/>
                <w:sz w:val="21"/>
                <w:szCs w:val="21"/>
              </w:rPr>
            </w:pPr>
          </w:p>
        </w:tc>
      </w:tr>
      <w:tr w14:paraId="77F27BD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 w:hRule="atLeast"/>
          <w:jc w:val="center"/>
        </w:trPr>
        <w:tc>
          <w:tcPr>
            <w:tcW w:w="1218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8848992">
            <w:pPr>
              <w:widowControl/>
              <w:jc w:val="left"/>
              <w:rPr>
                <w:rFonts w:asciiTheme="minorEastAsia" w:hAnsiTheme="minorEastAsia" w:eastAsiaTheme="minorEastAsia" w:cstheme="minorEastAsia"/>
                <w:bCs/>
                <w:sz w:val="21"/>
                <w:szCs w:val="21"/>
              </w:rPr>
            </w:pPr>
          </w:p>
        </w:tc>
        <w:tc>
          <w:tcPr>
            <w:tcW w:w="27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2CB6AA"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土建（机楼、装修、空调、消防、照明）</w:t>
            </w:r>
          </w:p>
        </w:tc>
        <w:tc>
          <w:tcPr>
            <w:tcW w:w="133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9A21BA"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　</w:t>
            </w:r>
          </w:p>
        </w:tc>
        <w:tc>
          <w:tcPr>
            <w:tcW w:w="13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C08605"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√</w:t>
            </w:r>
          </w:p>
        </w:tc>
        <w:tc>
          <w:tcPr>
            <w:tcW w:w="107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F2FAE9"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bCs/>
                <w:sz w:val="21"/>
                <w:szCs w:val="21"/>
              </w:rPr>
            </w:pPr>
          </w:p>
        </w:tc>
      </w:tr>
      <w:tr w14:paraId="0A2F9D0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1218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248F1B1">
            <w:pPr>
              <w:widowControl/>
              <w:jc w:val="left"/>
              <w:rPr>
                <w:rFonts w:asciiTheme="minorEastAsia" w:hAnsiTheme="minorEastAsia" w:eastAsiaTheme="minorEastAsia" w:cstheme="minorEastAsia"/>
                <w:bCs/>
                <w:sz w:val="21"/>
                <w:szCs w:val="21"/>
              </w:rPr>
            </w:pPr>
          </w:p>
        </w:tc>
        <w:tc>
          <w:tcPr>
            <w:tcW w:w="27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FF5C74"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外电引入（高低压、变压器）</w:t>
            </w:r>
          </w:p>
        </w:tc>
        <w:tc>
          <w:tcPr>
            <w:tcW w:w="133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685D56"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　</w:t>
            </w:r>
          </w:p>
        </w:tc>
        <w:tc>
          <w:tcPr>
            <w:tcW w:w="13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79B6A6"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 xml:space="preserve">√ </w:t>
            </w:r>
          </w:p>
        </w:tc>
        <w:tc>
          <w:tcPr>
            <w:tcW w:w="107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D733A7"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bCs/>
                <w:sz w:val="21"/>
                <w:szCs w:val="21"/>
              </w:rPr>
            </w:pPr>
          </w:p>
        </w:tc>
      </w:tr>
      <w:tr w14:paraId="1DBD389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1218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14CFEBC">
            <w:pPr>
              <w:widowControl/>
              <w:jc w:val="center"/>
              <w:rPr>
                <w:rFonts w:asciiTheme="minorEastAsia" w:hAnsiTheme="minorEastAsia" w:eastAsiaTheme="minorEastAsia" w:cstheme="minorEastAsia"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配套建设</w:t>
            </w:r>
          </w:p>
        </w:tc>
        <w:tc>
          <w:tcPr>
            <w:tcW w:w="27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10A290"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 xml:space="preserve">电源配套（UPS、列头柜） </w:t>
            </w:r>
          </w:p>
        </w:tc>
        <w:tc>
          <w:tcPr>
            <w:tcW w:w="133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E87903"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　</w:t>
            </w:r>
          </w:p>
        </w:tc>
        <w:tc>
          <w:tcPr>
            <w:tcW w:w="13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CA221A"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√</w:t>
            </w:r>
          </w:p>
        </w:tc>
        <w:tc>
          <w:tcPr>
            <w:tcW w:w="107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14B33F"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bCs/>
                <w:sz w:val="21"/>
                <w:szCs w:val="21"/>
              </w:rPr>
            </w:pPr>
          </w:p>
        </w:tc>
      </w:tr>
      <w:tr w14:paraId="34ADD2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1218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A82BBBD">
            <w:pPr>
              <w:widowControl/>
              <w:jc w:val="left"/>
              <w:rPr>
                <w:rFonts w:asciiTheme="minorEastAsia" w:hAnsiTheme="minorEastAsia" w:eastAsiaTheme="minorEastAsia" w:cstheme="minorEastAsia"/>
                <w:bCs/>
                <w:sz w:val="21"/>
                <w:szCs w:val="21"/>
              </w:rPr>
            </w:pPr>
          </w:p>
        </w:tc>
        <w:tc>
          <w:tcPr>
            <w:tcW w:w="27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05A81E"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机房配套（机架、ODF、</w:t>
            </w:r>
            <w:r>
              <w:rPr>
                <w:rFonts w:asciiTheme="minorEastAsia" w:hAnsiTheme="minorEastAsia" w:eastAsiaTheme="minorEastAsia" w:cstheme="minorEastAsia"/>
                <w:bCs/>
                <w:sz w:val="21"/>
                <w:szCs w:val="21"/>
              </w:rPr>
              <w:t>双路由楼间光纤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）</w:t>
            </w:r>
          </w:p>
        </w:tc>
        <w:tc>
          <w:tcPr>
            <w:tcW w:w="133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C6E500"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　</w:t>
            </w:r>
          </w:p>
        </w:tc>
        <w:tc>
          <w:tcPr>
            <w:tcW w:w="13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3F8087"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√</w:t>
            </w:r>
          </w:p>
        </w:tc>
        <w:tc>
          <w:tcPr>
            <w:tcW w:w="107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62673B"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bCs/>
                <w:sz w:val="21"/>
                <w:szCs w:val="21"/>
              </w:rPr>
            </w:pPr>
          </w:p>
        </w:tc>
      </w:tr>
      <w:tr w14:paraId="3838CF8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1218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5A8A2C6">
            <w:pPr>
              <w:widowControl/>
              <w:jc w:val="left"/>
              <w:rPr>
                <w:rFonts w:asciiTheme="minorEastAsia" w:hAnsiTheme="minorEastAsia" w:eastAsiaTheme="minorEastAsia" w:cstheme="minorEastAsia"/>
                <w:bCs/>
                <w:sz w:val="21"/>
                <w:szCs w:val="21"/>
              </w:rPr>
            </w:pPr>
          </w:p>
        </w:tc>
        <w:tc>
          <w:tcPr>
            <w:tcW w:w="27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A3BF6A"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网络</w:t>
            </w:r>
            <w:r>
              <w:rPr>
                <w:rFonts w:asciiTheme="minorEastAsia" w:hAnsiTheme="minorEastAsia" w:eastAsiaTheme="minorEastAsia" w:cstheme="minorEastAsia"/>
                <w:bCs/>
                <w:sz w:val="21"/>
                <w:szCs w:val="21"/>
              </w:rPr>
              <w:t>配套</w:t>
            </w:r>
          </w:p>
        </w:tc>
        <w:tc>
          <w:tcPr>
            <w:tcW w:w="133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F72A97"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√</w:t>
            </w:r>
          </w:p>
        </w:tc>
        <w:tc>
          <w:tcPr>
            <w:tcW w:w="13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55A4AC"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bCs/>
                <w:sz w:val="21"/>
                <w:szCs w:val="21"/>
              </w:rPr>
            </w:pPr>
          </w:p>
        </w:tc>
        <w:tc>
          <w:tcPr>
            <w:tcW w:w="107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666A45"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bCs/>
                <w:sz w:val="21"/>
                <w:szCs w:val="21"/>
              </w:rPr>
            </w:pPr>
          </w:p>
        </w:tc>
      </w:tr>
      <w:tr w14:paraId="72D3B54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1218" w:type="dxa"/>
            <w:vMerge w:val="restart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1BB2CB"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机房运营</w:t>
            </w:r>
          </w:p>
        </w:tc>
        <w:tc>
          <w:tcPr>
            <w:tcW w:w="27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D90322"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业务品牌</w:t>
            </w:r>
          </w:p>
        </w:tc>
        <w:tc>
          <w:tcPr>
            <w:tcW w:w="133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57FC44"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√</w:t>
            </w:r>
          </w:p>
        </w:tc>
        <w:tc>
          <w:tcPr>
            <w:tcW w:w="13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0EE331"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　</w:t>
            </w:r>
          </w:p>
        </w:tc>
        <w:tc>
          <w:tcPr>
            <w:tcW w:w="107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13D5C1"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bCs/>
                <w:sz w:val="21"/>
                <w:szCs w:val="21"/>
              </w:rPr>
            </w:pPr>
          </w:p>
        </w:tc>
      </w:tr>
      <w:tr w14:paraId="1EBDC17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1218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vAlign w:val="center"/>
          </w:tcPr>
          <w:p w14:paraId="66C8897F">
            <w:pPr>
              <w:widowControl/>
              <w:jc w:val="left"/>
              <w:rPr>
                <w:rFonts w:asciiTheme="minorEastAsia" w:hAnsiTheme="minorEastAsia" w:eastAsiaTheme="minorEastAsia" w:cstheme="minorEastAsia"/>
                <w:bCs/>
                <w:sz w:val="21"/>
                <w:szCs w:val="21"/>
              </w:rPr>
            </w:pPr>
          </w:p>
        </w:tc>
        <w:tc>
          <w:tcPr>
            <w:tcW w:w="27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AB90EA"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业务拓展</w:t>
            </w:r>
          </w:p>
        </w:tc>
        <w:tc>
          <w:tcPr>
            <w:tcW w:w="133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D0E8E9"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√</w:t>
            </w:r>
          </w:p>
        </w:tc>
        <w:tc>
          <w:tcPr>
            <w:tcW w:w="13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8F83BD">
            <w:pPr>
              <w:widowControl/>
              <w:jc w:val="center"/>
              <w:rPr>
                <w:rFonts w:asciiTheme="minorEastAsia" w:hAnsiTheme="minorEastAsia" w:eastAsiaTheme="minorEastAsia" w:cstheme="minorEastAsia"/>
                <w:bCs/>
                <w:sz w:val="21"/>
                <w:szCs w:val="21"/>
              </w:rPr>
            </w:pPr>
          </w:p>
        </w:tc>
        <w:tc>
          <w:tcPr>
            <w:tcW w:w="107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56B354">
            <w:pPr>
              <w:widowControl/>
              <w:jc w:val="center"/>
              <w:rPr>
                <w:rFonts w:asciiTheme="minorEastAsia" w:hAnsiTheme="minorEastAsia" w:eastAsiaTheme="minorEastAsia" w:cstheme="minorEastAsia"/>
                <w:bCs/>
                <w:sz w:val="21"/>
                <w:szCs w:val="21"/>
              </w:rPr>
            </w:pPr>
          </w:p>
        </w:tc>
      </w:tr>
      <w:tr w14:paraId="6D62F24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1218" w:type="dxa"/>
            <w:vMerge w:val="continue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AB72C3F">
            <w:pPr>
              <w:widowControl/>
              <w:jc w:val="left"/>
              <w:rPr>
                <w:rFonts w:asciiTheme="minorEastAsia" w:hAnsiTheme="minorEastAsia" w:eastAsiaTheme="minorEastAsia" w:cstheme="minorEastAsia"/>
                <w:bCs/>
                <w:sz w:val="21"/>
                <w:szCs w:val="21"/>
              </w:rPr>
            </w:pPr>
          </w:p>
        </w:tc>
        <w:tc>
          <w:tcPr>
            <w:tcW w:w="27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77A15C"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现场运维</w:t>
            </w:r>
          </w:p>
        </w:tc>
        <w:tc>
          <w:tcPr>
            <w:tcW w:w="133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D49D85"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√</w:t>
            </w:r>
          </w:p>
        </w:tc>
        <w:tc>
          <w:tcPr>
            <w:tcW w:w="13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CFE61B"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√（注</w:t>
            </w:r>
            <w:r>
              <w:rPr>
                <w:rFonts w:asciiTheme="minorEastAsia" w:hAnsiTheme="minorEastAsia" w:eastAsiaTheme="minorEastAsia" w:cstheme="minorEastAsia"/>
                <w:bCs/>
                <w:sz w:val="21"/>
                <w:szCs w:val="21"/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）</w:t>
            </w:r>
          </w:p>
        </w:tc>
        <w:tc>
          <w:tcPr>
            <w:tcW w:w="107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8A5122"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bCs/>
                <w:sz w:val="21"/>
                <w:szCs w:val="21"/>
              </w:rPr>
            </w:pPr>
          </w:p>
        </w:tc>
      </w:tr>
    </w:tbl>
    <w:p w14:paraId="7ECF131D">
      <w:pPr>
        <w:snapToGrid w:val="0"/>
        <w:ind w:firstLine="480" w:firstLineChars="200"/>
        <w:outlineLvl w:val="0"/>
        <w:rPr>
          <w:rFonts w:asciiTheme="minorEastAsia" w:hAnsiTheme="minorEastAsia" w:eastAsiaTheme="minorEastAsia" w:cstheme="minorEastAsia"/>
          <w:bCs/>
          <w:sz w:val="24"/>
          <w:szCs w:val="24"/>
        </w:rPr>
      </w:pPr>
    </w:p>
    <w:p w14:paraId="0757B98D">
      <w:pPr>
        <w:snapToGrid w:val="0"/>
        <w:ind w:firstLine="480" w:firstLineChars="200"/>
        <w:outlineLvl w:val="0"/>
        <w:rPr>
          <w:rFonts w:asciiTheme="minorEastAsia" w:hAnsiTheme="minorEastAsia" w:eastAsiaTheme="minorEastAsia" w:cstheme="minorEastAsia"/>
          <w:bCs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Cs/>
          <w:sz w:val="24"/>
          <w:szCs w:val="24"/>
        </w:rPr>
        <w:t>注1：我司统一全省自建和合建IDC机房的运维信息化手段以及现场驻点运维机制，合建方按我司标准提供其所属资产的现场运维服务。</w:t>
      </w:r>
    </w:p>
    <w:p w14:paraId="2AACCA52">
      <w:pPr>
        <w:snapToGrid w:val="0"/>
        <w:ind w:firstLine="480" w:firstLineChars="200"/>
        <w:outlineLvl w:val="0"/>
        <w:rPr>
          <w:rFonts w:asciiTheme="minorEastAsia" w:hAnsiTheme="minorEastAsia" w:eastAsiaTheme="minorEastAsia" w:cstheme="minorEastAsia"/>
          <w:bCs/>
          <w:sz w:val="24"/>
          <w:szCs w:val="24"/>
        </w:rPr>
      </w:pPr>
    </w:p>
    <w:p w14:paraId="5A189D9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2CD722F"/>
    <w:rsid w:val="00133305"/>
    <w:rsid w:val="002B4F86"/>
    <w:rsid w:val="00334A08"/>
    <w:rsid w:val="003D06A3"/>
    <w:rsid w:val="00466DFC"/>
    <w:rsid w:val="00490A64"/>
    <w:rsid w:val="005008FC"/>
    <w:rsid w:val="0053489E"/>
    <w:rsid w:val="005C45BE"/>
    <w:rsid w:val="00610F67"/>
    <w:rsid w:val="006114F5"/>
    <w:rsid w:val="00826C92"/>
    <w:rsid w:val="008D52EE"/>
    <w:rsid w:val="00A23BBF"/>
    <w:rsid w:val="00BD731D"/>
    <w:rsid w:val="00BD736D"/>
    <w:rsid w:val="00C75A8A"/>
    <w:rsid w:val="00DB166E"/>
    <w:rsid w:val="00DB681C"/>
    <w:rsid w:val="00DE10E5"/>
    <w:rsid w:val="00E4651C"/>
    <w:rsid w:val="00F84961"/>
    <w:rsid w:val="52CD722F"/>
    <w:rsid w:val="57C46E61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jc w:val="both"/>
    </w:pPr>
    <w:rPr>
      <w:rFonts w:ascii="Times New Roman" w:hAnsi="Times New Roman" w:eastAsia="仿宋_GB2312" w:cs="Times New Roman"/>
      <w:kern w:val="2"/>
      <w:sz w:val="28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iPriority w:val="0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3">
    <w:name w:val="header"/>
    <w:basedOn w:val="1"/>
    <w:link w:val="7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6">
    <w:name w:val="List Paragraph"/>
    <w:basedOn w:val="1"/>
    <w:qFormat/>
    <w:uiPriority w:val="34"/>
    <w:pPr>
      <w:ind w:firstLine="420" w:firstLineChars="200"/>
    </w:pPr>
  </w:style>
  <w:style w:type="character" w:customStyle="1" w:styleId="7">
    <w:name w:val="页眉 Char"/>
    <w:basedOn w:val="5"/>
    <w:link w:val="3"/>
    <w:uiPriority w:val="0"/>
    <w:rPr>
      <w:rFonts w:ascii="Times New Roman" w:hAnsi="Times New Roman" w:eastAsia="仿宋_GB2312" w:cs="Times New Roman"/>
      <w:kern w:val="2"/>
      <w:sz w:val="18"/>
      <w:szCs w:val="18"/>
    </w:rPr>
  </w:style>
  <w:style w:type="character" w:customStyle="1" w:styleId="8">
    <w:name w:val="页脚 Char"/>
    <w:basedOn w:val="5"/>
    <w:link w:val="2"/>
    <w:qFormat/>
    <w:uiPriority w:val="0"/>
    <w:rPr>
      <w:rFonts w:ascii="Times New Roman" w:hAnsi="Times New Roman" w:eastAsia="仿宋_GB2312" w:cs="Times New Roman"/>
      <w:kern w:val="2"/>
      <w:sz w:val="18"/>
      <w:szCs w:val="18"/>
    </w:rPr>
  </w:style>
  <w:style w:type="paragraph" w:customStyle="1" w:styleId="9">
    <w:name w:val="列出段落1"/>
    <w:basedOn w:val="1"/>
    <w:qFormat/>
    <w:uiPriority w:val="34"/>
    <w:pPr>
      <w:spacing w:line="240" w:lineRule="auto"/>
      <w:ind w:firstLine="420" w:firstLineChars="200"/>
    </w:pPr>
    <w:rPr>
      <w:rFonts w:ascii="Calibri" w:hAnsi="Calibri" w:eastAsia="宋体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wps\addons\pool\win-i386\knewfileruby_1.0.0.11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0</Template>
  <Company>Lenovo</Company>
  <Pages>2</Pages>
  <Words>457</Words>
  <Characters>503</Characters>
  <Lines>27</Lines>
  <Paragraphs>22</Paragraphs>
  <TotalTime>23</TotalTime>
  <ScaleCrop>false</ScaleCrop>
  <LinksUpToDate>false</LinksUpToDate>
  <CharactersWithSpaces>938</CharactersWithSpaces>
  <Application>WPS Office_12.8.2.19315_F1E327BC-269C-435d-A152-05C5408002CA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2018-11-17T03:13:00Z</dcterms:created>
  <dc:creator>bb</dc:creator>
  <cp:lastModifiedBy>Administrator</cp:lastModifiedBy>
  <dcterms:modified xsi:type="dcterms:W3CDTF">2026-07-30T10:05:19Z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2052-12.8.2.19315</vt:lpwstr>
  </property>
  <property fmtid="{D5CDD505-2E9C-101B-9397-08002B2CF9AE}" pid="3" name="ICV">
    <vt:lpwstr>F6234E3253F84070B30379F879C19752_12</vt:lpwstr>
  </property>
</Properties>
</file>