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90075">
      <w:pPr>
        <w:spacing w:before="480" w:after="480" w:line="288" w:lineRule="auto"/>
        <w:ind w:left="0"/>
        <w:jc w:val="center"/>
        <w:rPr>
          <w:rFonts w:hint="eastAsia" w:ascii="Arial" w:hAnsi="Arial" w:eastAsia="等线" w:cs="Arial"/>
          <w:b/>
          <w:sz w:val="52"/>
        </w:rPr>
      </w:pPr>
      <w:r>
        <w:rPr>
          <w:rFonts w:hint="eastAsia" w:ascii="Arial" w:hAnsi="Arial" w:eastAsia="等线" w:cs="Arial"/>
          <w:b/>
          <w:sz w:val="52"/>
        </w:rPr>
        <w:t>医院终端与核心机房基础设施</w:t>
      </w:r>
    </w:p>
    <w:p w14:paraId="612E86F3">
      <w:pPr>
        <w:spacing w:before="480" w:after="480" w:line="288" w:lineRule="auto"/>
        <w:ind w:left="0"/>
        <w:jc w:val="center"/>
      </w:pPr>
      <w:bookmarkStart w:id="15" w:name="_GoBack"/>
      <w:bookmarkEnd w:id="15"/>
      <w:r>
        <w:rPr>
          <w:rFonts w:hint="eastAsia" w:ascii="Arial" w:hAnsi="Arial" w:eastAsia="等线" w:cs="Arial"/>
          <w:b/>
          <w:sz w:val="52"/>
        </w:rPr>
        <w:t>运维保障服务项目</w:t>
      </w:r>
      <w:r>
        <w:rPr>
          <w:rFonts w:ascii="Arial" w:hAnsi="Arial" w:eastAsia="等线" w:cs="Arial"/>
          <w:b/>
          <w:sz w:val="52"/>
        </w:rPr>
        <w:t>需求</w:t>
      </w:r>
    </w:p>
    <w:p w14:paraId="2A0F0075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一、项目总体概况</w:t>
      </w:r>
      <w:bookmarkEnd w:id="0"/>
    </w:p>
    <w:p w14:paraId="578AE7BA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本项目为医院信息化硬件设备专属运维服务，服务范围覆盖全院业务科室、门诊、病房、行政楼、机房核心区域，保障全院信息化硬件设备7×24小时稳定运行，支撑HIS、LIS、PACS、电子病历、体检系统、办公系统等全院业务连续可用。</w:t>
      </w:r>
    </w:p>
    <w:p w14:paraId="759B0D83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本次运维服务</w:t>
      </w:r>
      <w:r>
        <w:rPr>
          <w:rFonts w:ascii="Arial" w:hAnsi="Arial" w:eastAsia="等线" w:cs="Arial"/>
          <w:b/>
          <w:sz w:val="22"/>
        </w:rPr>
        <w:t>仅针对硬件物理设备运维</w:t>
      </w:r>
      <w:r>
        <w:rPr>
          <w:rFonts w:ascii="Arial" w:hAnsi="Arial" w:eastAsia="等线" w:cs="Arial"/>
          <w:sz w:val="22"/>
        </w:rPr>
        <w:t>，不含信息系统代码开发、数据库调优、安全测评、系统定制开发等工作，符合卫健系统及等级医院评审运维管理要求。</w:t>
      </w:r>
    </w:p>
    <w:p w14:paraId="544EC47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运维设备总量</w:t>
      </w:r>
    </w:p>
    <w:p w14:paraId="008102AA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桌面终端主机：</w:t>
      </w:r>
      <w:r>
        <w:rPr>
          <w:rFonts w:ascii="Arial" w:hAnsi="Arial" w:eastAsia="等线" w:cs="Arial"/>
          <w:b/>
          <w:sz w:val="22"/>
        </w:rPr>
        <w:t>1200台</w:t>
      </w:r>
      <w:r>
        <w:rPr>
          <w:rFonts w:ascii="Arial" w:hAnsi="Arial" w:eastAsia="等线" w:cs="Arial"/>
          <w:sz w:val="22"/>
        </w:rPr>
        <w:t>（全院临床、医技、门诊、行政办公电脑主机）</w:t>
      </w:r>
    </w:p>
    <w:p w14:paraId="01E40011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机房物理服务器：</w:t>
      </w:r>
      <w:r>
        <w:rPr>
          <w:rFonts w:ascii="Arial" w:hAnsi="Arial" w:eastAsia="等线" w:cs="Arial"/>
          <w:b/>
          <w:sz w:val="22"/>
        </w:rPr>
        <w:t>90台</w:t>
      </w:r>
      <w:r>
        <w:rPr>
          <w:rFonts w:ascii="Arial" w:hAnsi="Arial" w:eastAsia="等线" w:cs="Arial"/>
          <w:sz w:val="22"/>
        </w:rPr>
        <w:t>（核心业务服务器、应用服务器、存储服务器、备用服务器）</w:t>
      </w:r>
    </w:p>
    <w:p w14:paraId="2B99CB55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二、服务定位与合规说明</w:t>
      </w:r>
      <w:bookmarkEnd w:id="1"/>
    </w:p>
    <w:p w14:paraId="50CE940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本项目为</w:t>
      </w:r>
      <w:r>
        <w:rPr>
          <w:rFonts w:ascii="Arial" w:hAnsi="Arial" w:eastAsia="等线" w:cs="Arial"/>
          <w:b/>
          <w:sz w:val="22"/>
        </w:rPr>
        <w:t>硬件日常运维、故障处置、巡检保养、硬件保障服务</w:t>
      </w:r>
      <w:r>
        <w:rPr>
          <w:rFonts w:ascii="Arial" w:hAnsi="Arial" w:eastAsia="等线" w:cs="Arial"/>
          <w:sz w:val="22"/>
        </w:rPr>
        <w:t>，不属于法律法规强制第三方测评、法定检测类项目，可第三方驻场运维或院内自运维，本方案为标准化外包运维需求。</w:t>
      </w:r>
    </w:p>
    <w:p w14:paraId="4974CEF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服务严格遵循《网络安全法》《医疗卫生机构网络安全管理办法》《医院信息化建设标准与规范》及三甲医院评审运维管理要求，全程留痕、工单闭环、权限可控、数据安全可控。</w:t>
      </w:r>
    </w:p>
    <w:p w14:paraId="70525B3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服务方仅负责硬件物理维护、故障替换、环境保障，</w:t>
      </w:r>
      <w:r>
        <w:rPr>
          <w:rFonts w:ascii="Arial" w:hAnsi="Arial" w:eastAsia="等线" w:cs="Arial"/>
          <w:b/>
          <w:sz w:val="22"/>
        </w:rPr>
        <w:t>无核心数据库、业务系统后台权限</w:t>
      </w:r>
      <w:r>
        <w:rPr>
          <w:rFonts w:ascii="Arial" w:hAnsi="Arial" w:eastAsia="等线" w:cs="Arial"/>
          <w:sz w:val="22"/>
        </w:rPr>
        <w:t>，医院信息科保留核心管控权限与主体责任。</w:t>
      </w:r>
    </w:p>
    <w:p w14:paraId="16944D22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三、服务范围（纯硬件维度）</w:t>
      </w:r>
      <w:bookmarkEnd w:id="2"/>
    </w:p>
    <w:p w14:paraId="44D93E2C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（一）1200台桌面主机硬件运维范围</w:t>
      </w:r>
      <w:bookmarkEnd w:id="3"/>
    </w:p>
    <w:p w14:paraId="4FA0901A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覆盖全院所有科室台式电脑主机硬件故障排查、硬件修复、硬件更换、定期保养、硬件资产台账管理，不含软件系统开发与数据修改。</w:t>
      </w:r>
    </w:p>
    <w:p w14:paraId="7A3D3DA7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主机硬件故障：不开机、黑屏、蓝屏、反复重启、主板故障、电源故障、内存故障、硬盘物理故障、接口损坏、风扇异响过热等硬件问题排查与修复</w:t>
      </w:r>
    </w:p>
    <w:p w14:paraId="5E87D998">
      <w:pPr>
        <w:numPr>
          <w:ilvl w:val="0"/>
          <w:numId w:val="0"/>
        </w:numPr>
        <w:spacing w:before="120" w:after="120" w:line="288" w:lineRule="auto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硬件部件更换：电源、内存、硬盘、主板、机箱风扇、接口模块等硬件故障更换</w:t>
      </w:r>
    </w:p>
    <w:p w14:paraId="3B477489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终端硬件清洁保养：主机内部除尘、接口紧固、散热风道清理、硬件松动排查，降低硬件故障率</w:t>
      </w:r>
    </w:p>
    <w:p w14:paraId="19086771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终端硬件资产动态管理：1200台主机台账更新、编号核对、报废初审、移位登记、故障统计</w:t>
      </w:r>
    </w:p>
    <w:p w14:paraId="78471158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外设配套硬件协同运维：主机配套键鼠、外接硬件接口故障排查（不含打印机整机维修）</w:t>
      </w:r>
    </w:p>
    <w:p w14:paraId="1843B980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批量保障：科室搬迁、设备轮换、新设备上架、旧设备下架硬件调试与验收</w:t>
      </w:r>
    </w:p>
    <w:p w14:paraId="2B136647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（二）90台机房服务器硬件运维范围</w:t>
      </w:r>
      <w:bookmarkEnd w:id="4"/>
    </w:p>
    <w:p w14:paraId="119F4BA5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针对机房机架式服务器物理硬件、机房运行环境、硬件健康状态进行专项运维，不触碰业务系统数据与核心配置，仅做硬件层保障。</w:t>
      </w:r>
    </w:p>
    <w:p w14:paraId="3DB3A565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服务器硬件状态巡检：电源模块、硬盘阵列、内存、CPU、风扇、主板、指示灯、硬件告警、物理链路状态核查</w:t>
      </w:r>
    </w:p>
    <w:p w14:paraId="40CA60FF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服务器硬件故障处置：硬件报错、硬盘坏道、阵列降级、电源冗余失效、硬件过热、硬件离线等故障排查、隔离、报修、更换配合</w:t>
      </w:r>
    </w:p>
    <w:p w14:paraId="1A7543ED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机房硬件环境运维：服务器机位整理、线缆规整、接口紧固、机架除尘、设备标识更新</w:t>
      </w:r>
    </w:p>
    <w:p w14:paraId="0C84413C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硬件健康监测：服务器温度、风扇转速、硬件告警日志核查，提前预判硬件老化、故障隐患</w:t>
      </w:r>
    </w:p>
    <w:p w14:paraId="2E9D9ECB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服务器上下架服务：新增服务器上架、旧设备下架、硬件点位调整、硬件验收登记</w:t>
      </w:r>
    </w:p>
    <w:p w14:paraId="6B9818AA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冗余硬件管理：备用服务器、备用硬件部件台账管理、状态核验</w:t>
      </w:r>
    </w:p>
    <w:p w14:paraId="0971D29D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四、标准化运维工作内容（日/周/月/季度/年度）</w:t>
      </w:r>
      <w:bookmarkEnd w:id="5"/>
    </w:p>
    <w:p w14:paraId="1568D476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1. 日常故障运维（</w:t>
      </w:r>
      <w:r>
        <w:rPr>
          <w:rFonts w:hint="eastAsia" w:ascii="Arial" w:hAnsi="Arial" w:eastAsia="等线" w:cs="Arial"/>
          <w:b/>
          <w:sz w:val="30"/>
          <w:lang w:val="en-US" w:eastAsia="zh-CN"/>
        </w:rPr>
        <w:t>5</w:t>
      </w:r>
      <w:r>
        <w:rPr>
          <w:rFonts w:ascii="Arial" w:hAnsi="Arial" w:eastAsia="等线" w:cs="Arial"/>
          <w:b/>
          <w:sz w:val="30"/>
        </w:rPr>
        <w:t>×</w:t>
      </w:r>
      <w:r>
        <w:rPr>
          <w:rFonts w:hint="eastAsia" w:ascii="Arial" w:hAnsi="Arial" w:eastAsia="等线" w:cs="Arial"/>
          <w:b/>
          <w:sz w:val="30"/>
          <w:lang w:val="en-US" w:eastAsia="zh-CN"/>
        </w:rPr>
        <w:t>8</w:t>
      </w:r>
      <w:r>
        <w:rPr>
          <w:rFonts w:ascii="Arial" w:hAnsi="Arial" w:eastAsia="等线" w:cs="Arial"/>
          <w:b/>
          <w:sz w:val="30"/>
        </w:rPr>
        <w:t>响应）</w:t>
      </w:r>
      <w:bookmarkEnd w:id="6"/>
    </w:p>
    <w:p w14:paraId="6DE2CEC7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门诊、临床一线终端故障：</w:t>
      </w:r>
      <w:r>
        <w:rPr>
          <w:rFonts w:ascii="Arial" w:hAnsi="Arial" w:eastAsia="等线" w:cs="Arial"/>
          <w:b/>
          <w:sz w:val="22"/>
        </w:rPr>
        <w:t>10分钟响应、30分钟现场处置</w:t>
      </w:r>
    </w:p>
    <w:p w14:paraId="3DA21B5A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普通行政终端故障：20分钟响应、1小时处置</w:t>
      </w:r>
    </w:p>
    <w:p w14:paraId="455F78F5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机房服务器硬件告警、硬件故障：</w:t>
      </w:r>
      <w:r>
        <w:rPr>
          <w:rFonts w:ascii="Arial" w:hAnsi="Arial" w:eastAsia="等线" w:cs="Arial"/>
          <w:b/>
          <w:sz w:val="22"/>
        </w:rPr>
        <w:t>5分钟响应、立即到场处置</w:t>
      </w:r>
      <w:r>
        <w:rPr>
          <w:rFonts w:ascii="Arial" w:hAnsi="Arial" w:eastAsia="等线" w:cs="Arial"/>
          <w:sz w:val="22"/>
        </w:rPr>
        <w:t>，杜绝核心业务硬件停机</w:t>
      </w:r>
    </w:p>
    <w:p w14:paraId="602DA627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所有故障实行工单闭环：报修、派单、处置、复核、归档、统计全流程留痕</w:t>
      </w:r>
    </w:p>
    <w:p w14:paraId="136CB75C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2. 日常巡检（每日）</w:t>
      </w:r>
      <w:bookmarkEnd w:id="7"/>
    </w:p>
    <w:p w14:paraId="5C4CB392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机房90台服务器：硬件指示灯、电源、阵列、温度、告警、机架环境每日巡查</w:t>
      </w:r>
    </w:p>
    <w:p w14:paraId="34B9DDE0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重点临床科室终端随机抽查，处置突发批量硬件故障</w:t>
      </w:r>
    </w:p>
    <w:p w14:paraId="071E69D1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3. 周度巡检（每周全覆盖抽查）</w:t>
      </w:r>
      <w:bookmarkEnd w:id="8"/>
    </w:p>
    <w:p w14:paraId="6FD21448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机房服务器硬件全面体检：风扇、电源、硬盘阵列、物理链路、硬件报错日志</w:t>
      </w:r>
      <w:r>
        <w:rPr>
          <w:rFonts w:hint="eastAsia" w:ascii="Arial" w:hAnsi="Arial" w:eastAsia="等线" w:cs="Arial"/>
          <w:sz w:val="22"/>
          <w:lang w:eastAsia="zh-CN"/>
        </w:rPr>
        <w:t>，</w:t>
      </w:r>
    </w:p>
    <w:p w14:paraId="26503DC9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分片区抽查1200台终端硬件状态，排查松动、过热、老化隐患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ascii="Arial" w:hAnsi="Arial" w:eastAsia="等线" w:cs="Arial"/>
          <w:sz w:val="22"/>
        </w:rPr>
        <w:t>更新硬件故障台账、隐患台账，形成周运维报告</w:t>
      </w:r>
    </w:p>
    <w:p w14:paraId="42BC986F">
      <w:pPr>
        <w:spacing w:before="300" w:after="120" w:line="288" w:lineRule="auto"/>
        <w:ind w:left="0"/>
        <w:jc w:val="left"/>
        <w:outlineLvl w:val="2"/>
      </w:pPr>
      <w:bookmarkStart w:id="9" w:name="heading_9"/>
      <w:r>
        <w:rPr>
          <w:rFonts w:ascii="Arial" w:hAnsi="Arial" w:eastAsia="等线" w:cs="Arial"/>
          <w:b/>
          <w:sz w:val="30"/>
        </w:rPr>
        <w:t>4. 月度深度保养（每月）</w:t>
      </w:r>
      <w:bookmarkEnd w:id="9"/>
    </w:p>
    <w:p w14:paraId="51B256E3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机房服务器整机除尘、接口紧固、硬件健康深度检测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ascii="Arial" w:hAnsi="Arial" w:eastAsia="等线" w:cs="Arial"/>
          <w:sz w:val="22"/>
        </w:rPr>
        <w:t>高故障率科室终端批量除尘、散热优化、硬件隐患整改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ascii="Arial" w:hAnsi="Arial" w:eastAsia="等线" w:cs="Arial"/>
          <w:sz w:val="22"/>
        </w:rPr>
        <w:t>硬件资产盘点、故障统计、高发问题分析、优化建议输出</w:t>
      </w:r>
    </w:p>
    <w:p w14:paraId="423EB56B">
      <w:pPr>
        <w:spacing w:before="300" w:after="120" w:line="288" w:lineRule="auto"/>
        <w:ind w:left="0"/>
        <w:jc w:val="left"/>
        <w:outlineLvl w:val="2"/>
      </w:pPr>
      <w:bookmarkStart w:id="10" w:name="heading_10"/>
      <w:r>
        <w:rPr>
          <w:rFonts w:ascii="Arial" w:hAnsi="Arial" w:eastAsia="等线" w:cs="Arial"/>
          <w:b/>
          <w:sz w:val="30"/>
        </w:rPr>
        <w:t>5. 季度/年度运维</w:t>
      </w:r>
      <w:bookmarkEnd w:id="10"/>
    </w:p>
    <w:p w14:paraId="43B26093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季度：全院硬件资产清查、老旧硬件评估、替换建议、故障率分析报告</w:t>
      </w:r>
    </w:p>
    <w:p w14:paraId="5F3385B5">
      <w:pPr>
        <w:numPr>
          <w:ilvl w:val="0"/>
          <w:numId w:val="0"/>
        </w:numPr>
        <w:spacing w:before="120" w:after="120" w:line="288" w:lineRule="auto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年度：全年硬件运维总结、故障统计、资产台账更新、硬件升级与报废建议</w:t>
      </w:r>
    </w:p>
    <w:p w14:paraId="208029E5">
      <w:pPr>
        <w:spacing w:before="320" w:after="120" w:line="288" w:lineRule="auto"/>
        <w:ind w:left="0"/>
        <w:jc w:val="left"/>
        <w:outlineLvl w:val="1"/>
        <w:rPr>
          <w:rFonts w:hint="eastAsia" w:ascii="Arial" w:hAnsi="Arial" w:eastAsia="等线" w:cs="Arial"/>
          <w:b/>
          <w:sz w:val="32"/>
          <w:lang w:val="en-US" w:eastAsia="zh-CN"/>
        </w:rPr>
      </w:pPr>
      <w:r>
        <w:rPr>
          <w:rFonts w:hint="eastAsia" w:ascii="Arial" w:hAnsi="Arial" w:eastAsia="等线" w:cs="Arial"/>
          <w:b/>
          <w:sz w:val="32"/>
          <w:lang w:val="en-US" w:eastAsia="zh-CN"/>
        </w:rPr>
        <w:t>五、SLA分级服务响应标准</w:t>
      </w:r>
    </w:p>
    <w:p w14:paraId="776689C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为规范运维服务时效管理，结合医院医疗业务连续性要求，参照行业标准及原厂维保服务规范，本项目实行</w:t>
      </w: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四级SLA故障分级响应机制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，7×24小时全天候应急保障，所有故障全程工单闭环、留痕可查，整体服务时效优于常规设备原厂基础维保标准。</w:t>
      </w:r>
    </w:p>
    <w:p w14:paraId="6DC89F4C">
      <w:pPr>
        <w:pStyle w:val="3"/>
        <w:keepNext w:val="0"/>
        <w:keepLines w:val="0"/>
        <w:widowControl/>
        <w:suppressLineNumbers w:val="0"/>
        <w:jc w:val="left"/>
      </w:pPr>
      <w:r>
        <w:t>（一）P1级 重大紧急故障（核心业务中断）</w:t>
      </w:r>
    </w:p>
    <w:p w14:paraId="5FA0DD8D">
      <w:pPr>
        <w:keepNext w:val="0"/>
        <w:keepLines w:val="0"/>
        <w:widowControl/>
        <w:suppressLineNumbers w:val="0"/>
        <w:jc w:val="left"/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适用场景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：机房90台服务器出现硬件故障、阵列降级、整机宕机、电源故障、硬件告警停机；急诊、ICU、手术室、放射科等核心科室终端批量硬件故障，导致诊疗业务中断、系统无法正常运行，严重影响医疗工作开展。</w:t>
      </w:r>
    </w:p>
    <w:p w14:paraId="2DE99900">
      <w:pPr>
        <w:keepNext w:val="0"/>
        <w:keepLines w:val="0"/>
        <w:widowControl/>
        <w:suppressLineNumbers w:val="0"/>
        <w:jc w:val="left"/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SLA响应标准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：5分钟内工单/电话响应，10分钟远程排查处置，30分钟内到达现场，不间断优先处置，第一时间恢复硬件设备正常运行，杜绝长时间业务中断，故障处置全程专人跟进闭环。</w:t>
      </w:r>
    </w:p>
    <w:p w14:paraId="411F81EC">
      <w:pPr>
        <w:pStyle w:val="3"/>
        <w:keepNext w:val="0"/>
        <w:keepLines w:val="0"/>
        <w:widowControl/>
        <w:suppressLineNumbers w:val="0"/>
        <w:jc w:val="left"/>
      </w:pPr>
      <w:r>
        <w:t>（二）P2级 严重故障（局部业务受阻）</w:t>
      </w:r>
    </w:p>
    <w:p w14:paraId="0E91FF3D">
      <w:pPr>
        <w:keepNext w:val="0"/>
        <w:keepLines w:val="0"/>
        <w:widowControl/>
        <w:suppressLineNumbers w:val="0"/>
        <w:jc w:val="left"/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适用场景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：非核心业务服务器硬件告警、间歇性故障、硬件冗余失效；单个临床/医技科室多台终端硬件故障，造成科室业务开展受阻，但未造成全院业务中断。</w:t>
      </w:r>
    </w:p>
    <w:p w14:paraId="50EC38CC">
      <w:pPr>
        <w:keepNext w:val="0"/>
        <w:keepLines w:val="0"/>
        <w:widowControl/>
        <w:suppressLineNumbers w:val="0"/>
        <w:jc w:val="left"/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SLA响应标准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：10分钟内响应对接，20分钟远程排查，1小时内到达现场，当日完成故障修复及隐患排查，同步更新故障台账。</w:t>
      </w:r>
    </w:p>
    <w:p w14:paraId="41E6F006">
      <w:pPr>
        <w:pStyle w:val="3"/>
        <w:keepNext w:val="0"/>
        <w:keepLines w:val="0"/>
        <w:widowControl/>
        <w:suppressLineNumbers w:val="0"/>
        <w:jc w:val="left"/>
      </w:pPr>
      <w:r>
        <w:t>（三）P3级 一般故障（单设备故障）</w:t>
      </w:r>
    </w:p>
    <w:p w14:paraId="3B312DDE">
      <w:pPr>
        <w:keepNext w:val="0"/>
        <w:keepLines w:val="0"/>
        <w:widowControl/>
        <w:suppressLineNumbers w:val="0"/>
        <w:jc w:val="left"/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适用场景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：行政、普通临床科室单台终端主机硬件故障、异响、无法开机、接口故障等，仅影响单设备使用，不影响科室整体业务运行。</w:t>
      </w:r>
    </w:p>
    <w:p w14:paraId="1C231B28">
      <w:pPr>
        <w:keepNext w:val="0"/>
        <w:keepLines w:val="0"/>
        <w:widowControl/>
        <w:suppressLineNumbers w:val="0"/>
        <w:jc w:val="left"/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SLA响应标准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：工作时间15分钟内响应，2小时内到场处置，当日完成故障闭环处理，特殊配件故障报备后限时跟进修复。</w:t>
      </w:r>
    </w:p>
    <w:p w14:paraId="5D5F9A49">
      <w:pPr>
        <w:pStyle w:val="3"/>
        <w:keepNext w:val="0"/>
        <w:keepLines w:val="0"/>
        <w:widowControl/>
        <w:suppressLineNumbers w:val="0"/>
        <w:jc w:val="left"/>
      </w:pPr>
      <w:r>
        <w:t>（四）P4级 日常运维及轻微隐患</w:t>
      </w:r>
    </w:p>
    <w:p w14:paraId="1D84D672">
      <w:pPr>
        <w:keepNext w:val="0"/>
        <w:keepLines w:val="0"/>
        <w:widowControl/>
        <w:suppressLineNumbers w:val="0"/>
        <w:jc w:val="left"/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适用场景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：设备除尘、线缆规整、硬件资产盘点、日常巡检隐患排查、设备移位调试、非紧急硬件保养等常规运维工作。</w:t>
      </w:r>
    </w:p>
    <w:p w14:paraId="66ECC41F">
      <w:pPr>
        <w:keepNext w:val="0"/>
        <w:keepLines w:val="0"/>
        <w:widowControl/>
        <w:suppressLineNumbers w:val="0"/>
        <w:jc w:val="left"/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SLA响应标准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：按日、周、月既定运维计划有序开展，按时完成作业并提交巡检、保养台账及报告，及时整改排查出的轻微硬件隐患。</w:t>
      </w:r>
    </w:p>
    <w:p w14:paraId="1F4FE527">
      <w:pPr>
        <w:numPr>
          <w:ilvl w:val="0"/>
          <w:numId w:val="0"/>
        </w:numPr>
        <w:spacing w:before="120" w:after="120" w:line="288" w:lineRule="auto"/>
        <w:jc w:val="left"/>
        <w:rPr>
          <w:rFonts w:ascii="Arial" w:hAnsi="Arial" w:eastAsia="等线" w:cs="Arial"/>
          <w:sz w:val="22"/>
        </w:rPr>
      </w:pPr>
    </w:p>
    <w:p w14:paraId="139D491A">
      <w:pPr>
        <w:spacing w:before="320" w:after="120" w:line="288" w:lineRule="auto"/>
        <w:ind w:left="0"/>
        <w:jc w:val="left"/>
        <w:outlineLvl w:val="1"/>
      </w:pPr>
      <w:bookmarkStart w:id="11" w:name="heading_12"/>
      <w:r>
        <w:rPr>
          <w:rFonts w:hint="eastAsia" w:ascii="Arial" w:hAnsi="Arial" w:eastAsia="等线" w:cs="Arial"/>
          <w:b/>
          <w:sz w:val="32"/>
          <w:lang w:val="en-US" w:eastAsia="zh-CN"/>
        </w:rPr>
        <w:t>六</w:t>
      </w:r>
      <w:r>
        <w:rPr>
          <w:rFonts w:ascii="Arial" w:hAnsi="Arial" w:eastAsia="等线" w:cs="Arial"/>
          <w:b/>
          <w:sz w:val="32"/>
        </w:rPr>
        <w:t>、服务禁止事项（医院安全红线）</w:t>
      </w:r>
      <w:bookmarkEnd w:id="11"/>
    </w:p>
    <w:p w14:paraId="1F6B768A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为严格保障医疗数据安全，明确服务方禁止行为，纳入考核与合同条款：</w:t>
      </w:r>
    </w:p>
    <w:p w14:paraId="37883BBB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禁止私自操作HIS、LIS、PACS、电子病历等业务系统后台与数据库</w:t>
      </w:r>
    </w:p>
    <w:p w14:paraId="7E07C863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禁止私自拷贝、导出、拍摄、留存患者数据、病历信息</w:t>
      </w:r>
    </w:p>
    <w:p w14:paraId="01278161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禁止私自修改IP、系统配置、业务服务配置</w:t>
      </w:r>
    </w:p>
    <w:p w14:paraId="6ECD87D0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所有硬件拆机、硬件更换、机房操作必须报备信息科，全程留痕</w:t>
      </w:r>
    </w:p>
    <w:p w14:paraId="352A0F58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驻场人员必须背景审查、保密协议、安全责任书全覆盖，离岗立即回收所有权限</w:t>
      </w:r>
    </w:p>
    <w:p w14:paraId="00A3A13D">
      <w:pPr>
        <w:spacing w:before="320" w:after="120" w:line="288" w:lineRule="auto"/>
        <w:ind w:left="0"/>
        <w:jc w:val="left"/>
        <w:outlineLvl w:val="1"/>
      </w:pPr>
      <w:bookmarkStart w:id="12" w:name="heading_13"/>
      <w:r>
        <w:rPr>
          <w:rFonts w:hint="eastAsia" w:ascii="Arial" w:hAnsi="Arial" w:eastAsia="等线" w:cs="Arial"/>
          <w:b/>
          <w:sz w:val="32"/>
          <w:lang w:val="en-US" w:eastAsia="zh-CN"/>
        </w:rPr>
        <w:t>七</w:t>
      </w:r>
      <w:r>
        <w:rPr>
          <w:rFonts w:ascii="Arial" w:hAnsi="Arial" w:eastAsia="等线" w:cs="Arial"/>
          <w:b/>
          <w:sz w:val="32"/>
        </w:rPr>
        <w:t>、交付成果与台账资料要求</w:t>
      </w:r>
      <w:bookmarkEnd w:id="12"/>
    </w:p>
    <w:p w14:paraId="7417DFE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服务期内需常态化输出可归档、可评审、可核查资料：</w:t>
      </w:r>
    </w:p>
    <w:p w14:paraId="4BD4EF52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全院1200台终端、90台服务器硬件资产台账（动态更新）</w:t>
      </w:r>
    </w:p>
    <w:p w14:paraId="4D4D20F9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每日巡检记录、周运维报告、月保养报告、季度评估报告、年度总结报告</w:t>
      </w:r>
    </w:p>
    <w:p w14:paraId="2475CC7A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故障工单全量归档、隐患整改台账、硬件更换登记台账</w:t>
      </w:r>
    </w:p>
    <w:p w14:paraId="542104DD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等级医院评审、网信安全检查所需的硬件运维佐证材料</w:t>
      </w:r>
    </w:p>
    <w:p w14:paraId="33700FBD">
      <w:pPr>
        <w:spacing w:before="320" w:after="120" w:line="288" w:lineRule="auto"/>
        <w:ind w:left="0"/>
        <w:jc w:val="left"/>
        <w:outlineLvl w:val="1"/>
      </w:pPr>
      <w:bookmarkStart w:id="13" w:name="heading_14"/>
      <w:r>
        <w:rPr>
          <w:rFonts w:hint="eastAsia" w:ascii="Arial" w:hAnsi="Arial" w:eastAsia="等线" w:cs="Arial"/>
          <w:b/>
          <w:sz w:val="32"/>
          <w:lang w:val="en-US" w:eastAsia="zh-CN"/>
        </w:rPr>
        <w:t>八</w:t>
      </w:r>
      <w:r>
        <w:rPr>
          <w:rFonts w:ascii="Arial" w:hAnsi="Arial" w:eastAsia="等线" w:cs="Arial"/>
          <w:b/>
          <w:sz w:val="32"/>
        </w:rPr>
        <w:t>、服务考核指标（KPI，可直接进合同）</w:t>
      </w:r>
      <w:bookmarkEnd w:id="13"/>
    </w:p>
    <w:p w14:paraId="235C7C91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临床重点科室故障响应及时率：100%</w:t>
      </w:r>
    </w:p>
    <w:p w14:paraId="1F01560D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一般故障当日处置完成率≥98%</w:t>
      </w:r>
    </w:p>
    <w:p w14:paraId="39673495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机房服务器硬件零重大停机事故</w:t>
      </w:r>
    </w:p>
    <w:p w14:paraId="4148A07E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月度巡检覆盖率100%，无漏检、无假检</w:t>
      </w:r>
    </w:p>
    <w:p w14:paraId="1C80D5B1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工单闭环率100%，资料归档完整率100%</w:t>
      </w:r>
    </w:p>
    <w:p w14:paraId="3F68A712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全年无因硬件运维失误导致的业务中断、数据泄露事件</w:t>
      </w:r>
    </w:p>
    <w:p w14:paraId="4B00D361">
      <w:pPr>
        <w:spacing w:before="320" w:after="120" w:line="288" w:lineRule="auto"/>
        <w:ind w:left="0"/>
        <w:jc w:val="left"/>
        <w:outlineLvl w:val="1"/>
      </w:pPr>
      <w:bookmarkStart w:id="14" w:name="heading_15"/>
      <w:r>
        <w:rPr>
          <w:rFonts w:hint="eastAsia" w:ascii="Arial" w:hAnsi="Arial" w:eastAsia="等线" w:cs="Arial"/>
          <w:b/>
          <w:sz w:val="32"/>
          <w:lang w:val="en-US" w:eastAsia="zh-CN"/>
        </w:rPr>
        <w:t>九</w:t>
      </w:r>
      <w:r>
        <w:rPr>
          <w:rFonts w:ascii="Arial" w:hAnsi="Arial" w:eastAsia="等线" w:cs="Arial"/>
          <w:b/>
          <w:sz w:val="32"/>
        </w:rPr>
        <w:t>、项目总结说明</w:t>
      </w:r>
      <w:bookmarkEnd w:id="14"/>
    </w:p>
    <w:p w14:paraId="35C1E42C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本项目为</w:t>
      </w:r>
      <w:r>
        <w:rPr>
          <w:rFonts w:ascii="Arial" w:hAnsi="Arial" w:eastAsia="等线" w:cs="Arial"/>
          <w:b/>
          <w:sz w:val="22"/>
        </w:rPr>
        <w:t>纯硬件运维服务</w:t>
      </w:r>
      <w:r>
        <w:rPr>
          <w:rFonts w:ascii="Arial" w:hAnsi="Arial" w:eastAsia="等线" w:cs="Arial"/>
          <w:sz w:val="22"/>
        </w:rPr>
        <w:t>，不涉及法定强制第三方测评类工作，完全属于医院信息化日常保障服务。通过标准化驻场运维、分级响应、定期巡检、台账化管理，解决1200台终端高频故障、90台服务器核心硬件隐患问题，保障全院医疗业务持续、稳定、安全运行，满足等级医院评审与网络安全合规要求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5785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2AC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B767F"/>
    <w:rsid w:val="10C26698"/>
    <w:rsid w:val="263C67FA"/>
    <w:rsid w:val="26692352"/>
    <w:rsid w:val="51CE3847"/>
    <w:rsid w:val="54F25695"/>
    <w:rsid w:val="6DEA1D4F"/>
    <w:rsid w:val="78476A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2200</Words>
  <Characters>2273</Characters>
  <TotalTime>35</TotalTime>
  <ScaleCrop>false</ScaleCrop>
  <LinksUpToDate>false</LinksUpToDate>
  <CharactersWithSpaces>2281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2026-07-23T03:52:00Z</dcterms:created>
  <dc:creator>Apache POI</dc:creator>
  <cp:lastModifiedBy>刘凭毅</cp:lastModifiedBy>
  <dcterms:modified xsi:type="dcterms:W3CDTF">2026-07-24T01:51:49Z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{"Label":"1","ContentProducer":"001191110102MACQD9K64010000","ProduceID":"7665566402615512275","ReservedCode1":"","ContentPropagator":"","PropagateID":"","ReservedCode2":""}</vt:lpwstr>
  </property>
  <property fmtid="{D5CDD505-2E9C-101B-9397-08002B2CF9AE}" pid="3" name="KSOProductBuildVer">
    <vt:lpwstr>2052-12.1.0.22529</vt:lpwstr>
  </property>
  <property fmtid="{D5CDD505-2E9C-101B-9397-08002B2CF9AE}" pid="4" name="ICV">
    <vt:lpwstr>7B5DA0C8DFA04C0B9A3C3A39F12F576E_13</vt:lpwstr>
  </property>
  <property fmtid="{D5CDD505-2E9C-101B-9397-08002B2CF9AE}" pid="5" name="KSOTemplateDocerSaveRecord">
    <vt:lpwstr>eyJoZGlkIjoiYmVlZGRlZDllYTkyZWYwOTllM2I3NjlkYjUyY2Q3NWIiLCJ1c2VySWQiOiIxNzUzNTQ5Mjk5In0=</vt:lpwstr>
  </property>
</Properties>
</file>