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D977B4">
      <w:pPr>
        <w:spacing w:after="209" w:afterLines="67"/>
        <w:rPr>
          <w:rFonts w:asciiTheme="minorEastAsia" w:hAnsiTheme="minorEastAsia" w:cstheme="minorEastAsia"/>
          <w:sz w:val="28"/>
          <w:szCs w:val="28"/>
        </w:rPr>
      </w:pPr>
      <w:r>
        <w:rPr>
          <w:rFonts w:hint="eastAsia" w:asciiTheme="minorEastAsia" w:hAnsiTheme="minorEastAsia" w:cstheme="minorEastAsia"/>
          <w:sz w:val="28"/>
          <w:szCs w:val="28"/>
        </w:rPr>
        <w:t>附件2</w:t>
      </w:r>
    </w:p>
    <w:p w14:paraId="5109DEC6">
      <w:pPr>
        <w:spacing w:after="209" w:afterLines="67" w:line="240" w:lineRule="auto"/>
        <w:jc w:val="center"/>
        <w:rPr>
          <w:rFonts w:hint="eastAsia" w:asciiTheme="minorEastAsia" w:hAnsiTheme="minorEastAsia" w:cstheme="minorEastAsia"/>
          <w:b/>
          <w:bCs/>
          <w:sz w:val="28"/>
          <w:szCs w:val="28"/>
        </w:rPr>
      </w:pPr>
      <w:r>
        <w:rPr>
          <w:rFonts w:hint="eastAsia" w:asciiTheme="minorEastAsia" w:hAnsiTheme="minorEastAsia" w:cstheme="minorEastAsia"/>
          <w:b/>
          <w:bCs/>
          <w:sz w:val="28"/>
          <w:szCs w:val="28"/>
        </w:rPr>
        <w:t>广东南方新媒体股份有限公司</w:t>
      </w:r>
    </w:p>
    <w:p w14:paraId="7AC0BC00">
      <w:pPr>
        <w:spacing w:after="209" w:afterLines="67" w:line="240" w:lineRule="auto"/>
        <w:jc w:val="center"/>
        <w:rPr>
          <w:rFonts w:hint="eastAsia" w:asciiTheme="minorEastAsia" w:hAnsiTheme="minorEastAsia" w:eastAsiaTheme="minorEastAsia" w:cstheme="minorEastAsia"/>
          <w:b/>
          <w:bCs/>
          <w:sz w:val="28"/>
          <w:szCs w:val="28"/>
          <w:lang w:eastAsia="zh-CN"/>
        </w:rPr>
      </w:pPr>
      <w:r>
        <w:rPr>
          <w:rFonts w:hint="eastAsia" w:asciiTheme="minorEastAsia" w:hAnsiTheme="minorEastAsia" w:cstheme="minorEastAsia"/>
          <w:b/>
          <w:bCs/>
          <w:sz w:val="28"/>
          <w:szCs w:val="28"/>
          <w:lang w:eastAsia="zh-CN"/>
        </w:rPr>
        <w:t>2026年内容源站和推流服务系统维保项目</w:t>
      </w:r>
    </w:p>
    <w:p w14:paraId="73243D2A">
      <w:pPr>
        <w:spacing w:after="209" w:afterLines="67"/>
        <w:jc w:val="center"/>
        <w:rPr>
          <w:rFonts w:asciiTheme="minorEastAsia" w:hAnsiTheme="minorEastAsia" w:cstheme="minorEastAsia"/>
          <w:b/>
          <w:bCs/>
          <w:sz w:val="24"/>
          <w:szCs w:val="24"/>
        </w:rPr>
      </w:pPr>
      <w:r>
        <w:rPr>
          <w:rFonts w:hint="eastAsia" w:asciiTheme="minorEastAsia" w:hAnsiTheme="minorEastAsia" w:cstheme="minorEastAsia"/>
          <w:b/>
          <w:bCs/>
          <w:sz w:val="28"/>
          <w:szCs w:val="28"/>
        </w:rPr>
        <w:t>市场调研报价文件格式</w:t>
      </w:r>
    </w:p>
    <w:p w14:paraId="44C5061D">
      <w:pPr>
        <w:pStyle w:val="25"/>
        <w:numPr>
          <w:ilvl w:val="0"/>
          <w:numId w:val="2"/>
        </w:numPr>
        <w:spacing w:after="209" w:afterLines="67"/>
        <w:ind w:firstLineChars="0"/>
        <w:rPr>
          <w:rFonts w:asciiTheme="minorEastAsia" w:hAnsiTheme="minorEastAsia" w:cstheme="minorEastAsia"/>
          <w:b/>
          <w:bCs/>
          <w:sz w:val="24"/>
          <w:szCs w:val="24"/>
        </w:rPr>
      </w:pPr>
      <w:r>
        <w:rPr>
          <w:rFonts w:hint="eastAsia" w:asciiTheme="minorEastAsia" w:hAnsiTheme="minorEastAsia" w:cstheme="minorEastAsia"/>
          <w:b/>
          <w:bCs/>
          <w:sz w:val="24"/>
          <w:szCs w:val="24"/>
        </w:rPr>
        <w:t>供应商信息登记表</w:t>
      </w:r>
    </w:p>
    <w:tbl>
      <w:tblPr>
        <w:tblStyle w:val="15"/>
        <w:tblW w:w="54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339"/>
        <w:gridCol w:w="918"/>
        <w:gridCol w:w="2221"/>
        <w:gridCol w:w="1242"/>
        <w:gridCol w:w="2328"/>
      </w:tblGrid>
      <w:tr w14:paraId="14767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1293" w:type="pct"/>
            <w:vAlign w:val="center"/>
          </w:tcPr>
          <w:p w14:paraId="0017FF4A">
            <w:pPr>
              <w:pStyle w:val="26"/>
              <w:kinsoku w:val="0"/>
              <w:overflowPunct w:val="0"/>
              <w:spacing w:line="400" w:lineRule="exact"/>
              <w:ind w:firstLine="0" w:firstLineChars="0"/>
              <w:jc w:val="center"/>
              <w:rPr>
                <w:rFonts w:hAnsi="宋体" w:cs="仿宋"/>
              </w:rPr>
            </w:pPr>
            <w:bookmarkStart w:id="0" w:name="_Hlk199424538"/>
            <w:r>
              <w:rPr>
                <w:rFonts w:hint="eastAsia" w:hAnsi="宋体" w:cs="仿宋"/>
              </w:rPr>
              <w:t>单位名称</w:t>
            </w:r>
          </w:p>
        </w:tc>
        <w:tc>
          <w:tcPr>
            <w:tcW w:w="3706" w:type="pct"/>
            <w:gridSpan w:val="4"/>
            <w:vAlign w:val="center"/>
          </w:tcPr>
          <w:p w14:paraId="40D37690">
            <w:pPr>
              <w:tabs>
                <w:tab w:val="left" w:pos="202"/>
              </w:tabs>
              <w:spacing w:line="400" w:lineRule="exact"/>
              <w:jc w:val="center"/>
              <w:rPr>
                <w:rFonts w:ascii="宋体" w:hAnsi="宋体" w:eastAsia="宋体" w:cs="仿宋"/>
                <w:sz w:val="24"/>
                <w:szCs w:val="24"/>
              </w:rPr>
            </w:pPr>
          </w:p>
        </w:tc>
      </w:tr>
      <w:tr w14:paraId="7F90D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1293" w:type="pct"/>
            <w:vAlign w:val="center"/>
          </w:tcPr>
          <w:p w14:paraId="4FA551AB">
            <w:pPr>
              <w:pStyle w:val="26"/>
              <w:kinsoku w:val="0"/>
              <w:overflowPunct w:val="0"/>
              <w:spacing w:line="400" w:lineRule="exact"/>
              <w:ind w:firstLine="0" w:firstLineChars="0"/>
              <w:jc w:val="center"/>
              <w:rPr>
                <w:rFonts w:hAnsi="宋体" w:cs="仿宋"/>
              </w:rPr>
            </w:pPr>
            <w:r>
              <w:rPr>
                <w:rFonts w:hint="eastAsia" w:hAnsi="宋体" w:cs="仿宋"/>
              </w:rPr>
              <w:t>注册资金</w:t>
            </w:r>
          </w:p>
        </w:tc>
        <w:tc>
          <w:tcPr>
            <w:tcW w:w="1734" w:type="pct"/>
            <w:gridSpan w:val="2"/>
            <w:vAlign w:val="center"/>
          </w:tcPr>
          <w:p w14:paraId="6BF589B6">
            <w:pPr>
              <w:spacing w:line="400" w:lineRule="exact"/>
              <w:jc w:val="center"/>
              <w:rPr>
                <w:rFonts w:ascii="宋体" w:hAnsi="宋体" w:eastAsia="宋体" w:cs="仿宋"/>
                <w:sz w:val="24"/>
                <w:szCs w:val="24"/>
              </w:rPr>
            </w:pPr>
            <w:r>
              <w:rPr>
                <w:rFonts w:hint="eastAsia" w:ascii="宋体" w:hAnsi="宋体" w:eastAsia="宋体" w:cs="仿宋"/>
                <w:sz w:val="24"/>
                <w:szCs w:val="24"/>
              </w:rPr>
              <w:t>万元</w:t>
            </w:r>
          </w:p>
        </w:tc>
        <w:tc>
          <w:tcPr>
            <w:tcW w:w="686" w:type="pct"/>
            <w:vAlign w:val="center"/>
          </w:tcPr>
          <w:p w14:paraId="79D36110">
            <w:pPr>
              <w:pStyle w:val="26"/>
              <w:kinsoku w:val="0"/>
              <w:overflowPunct w:val="0"/>
              <w:spacing w:line="400" w:lineRule="exact"/>
              <w:ind w:firstLine="0" w:firstLineChars="0"/>
              <w:jc w:val="center"/>
              <w:rPr>
                <w:rFonts w:hAnsi="宋体" w:cs="仿宋"/>
              </w:rPr>
            </w:pPr>
            <w:r>
              <w:rPr>
                <w:rFonts w:hint="eastAsia" w:hAnsi="宋体" w:cs="仿宋"/>
              </w:rPr>
              <w:t>成立时间</w:t>
            </w:r>
          </w:p>
        </w:tc>
        <w:tc>
          <w:tcPr>
            <w:tcW w:w="1285" w:type="pct"/>
            <w:vAlign w:val="center"/>
          </w:tcPr>
          <w:p w14:paraId="2233A0C0">
            <w:pPr>
              <w:spacing w:line="400" w:lineRule="exact"/>
              <w:jc w:val="center"/>
              <w:rPr>
                <w:rFonts w:ascii="宋体" w:hAnsi="宋体" w:eastAsia="宋体" w:cs="仿宋"/>
                <w:sz w:val="24"/>
                <w:szCs w:val="24"/>
              </w:rPr>
            </w:pPr>
            <w:r>
              <w:rPr>
                <w:rFonts w:hint="eastAsia" w:ascii="宋体" w:hAnsi="宋体" w:eastAsia="宋体" w:cs="仿宋"/>
                <w:sz w:val="24"/>
                <w:szCs w:val="24"/>
              </w:rPr>
              <w:t>年</w:t>
            </w:r>
            <w:r>
              <w:rPr>
                <w:rFonts w:ascii="宋体" w:hAnsi="宋体" w:eastAsia="宋体" w:cs="仿宋"/>
                <w:sz w:val="24"/>
                <w:szCs w:val="24"/>
              </w:rPr>
              <w:t xml:space="preserve">   </w:t>
            </w:r>
            <w:r>
              <w:rPr>
                <w:rFonts w:hint="eastAsia" w:ascii="宋体" w:hAnsi="宋体" w:eastAsia="宋体" w:cs="仿宋"/>
                <w:sz w:val="24"/>
                <w:szCs w:val="24"/>
              </w:rPr>
              <w:t>月</w:t>
            </w:r>
            <w:r>
              <w:rPr>
                <w:rFonts w:ascii="宋体" w:hAnsi="宋体" w:eastAsia="宋体" w:cs="仿宋"/>
                <w:sz w:val="24"/>
                <w:szCs w:val="24"/>
              </w:rPr>
              <w:t xml:space="preserve">  </w:t>
            </w:r>
            <w:r>
              <w:rPr>
                <w:rFonts w:hint="eastAsia" w:ascii="宋体" w:hAnsi="宋体" w:eastAsia="宋体" w:cs="仿宋"/>
                <w:sz w:val="24"/>
                <w:szCs w:val="24"/>
              </w:rPr>
              <w:t>日</w:t>
            </w:r>
          </w:p>
        </w:tc>
      </w:tr>
      <w:tr w14:paraId="26F69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5" w:hRule="atLeast"/>
          <w:jc w:val="center"/>
        </w:trPr>
        <w:tc>
          <w:tcPr>
            <w:tcW w:w="1293" w:type="pct"/>
            <w:vAlign w:val="center"/>
          </w:tcPr>
          <w:p w14:paraId="71DA2A5C">
            <w:pPr>
              <w:pStyle w:val="26"/>
              <w:kinsoku w:val="0"/>
              <w:overflowPunct w:val="0"/>
              <w:spacing w:line="400" w:lineRule="exact"/>
              <w:ind w:firstLine="0" w:firstLineChars="0"/>
              <w:jc w:val="center"/>
              <w:rPr>
                <w:rFonts w:hAnsi="宋体" w:cs="仿宋"/>
              </w:rPr>
            </w:pPr>
            <w:r>
              <w:rPr>
                <w:rFonts w:hint="eastAsia" w:hAnsi="宋体" w:cs="仿宋"/>
              </w:rPr>
              <w:t>注册地址</w:t>
            </w:r>
          </w:p>
        </w:tc>
        <w:tc>
          <w:tcPr>
            <w:tcW w:w="3706" w:type="pct"/>
            <w:gridSpan w:val="4"/>
            <w:vAlign w:val="center"/>
          </w:tcPr>
          <w:p w14:paraId="1B743F9F">
            <w:pPr>
              <w:spacing w:line="400" w:lineRule="exact"/>
              <w:rPr>
                <w:rFonts w:ascii="宋体" w:hAnsi="宋体" w:eastAsia="宋体" w:cs="仿宋"/>
                <w:sz w:val="24"/>
                <w:szCs w:val="24"/>
              </w:rPr>
            </w:pPr>
          </w:p>
        </w:tc>
      </w:tr>
      <w:tr w14:paraId="3781F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1293" w:type="pct"/>
            <w:vAlign w:val="center"/>
          </w:tcPr>
          <w:p w14:paraId="3CB7E2A7">
            <w:pPr>
              <w:pStyle w:val="26"/>
              <w:kinsoku w:val="0"/>
              <w:overflowPunct w:val="0"/>
              <w:spacing w:line="400" w:lineRule="exact"/>
              <w:ind w:firstLine="0" w:firstLineChars="0"/>
              <w:jc w:val="center"/>
              <w:rPr>
                <w:rFonts w:hAnsi="宋体" w:cs="仿宋"/>
              </w:rPr>
            </w:pPr>
            <w:r>
              <w:rPr>
                <w:rFonts w:hint="eastAsia" w:hAnsi="宋体" w:cs="仿宋"/>
              </w:rPr>
              <w:t>邮政编码</w:t>
            </w:r>
          </w:p>
        </w:tc>
        <w:tc>
          <w:tcPr>
            <w:tcW w:w="1734" w:type="pct"/>
            <w:gridSpan w:val="2"/>
            <w:vAlign w:val="center"/>
          </w:tcPr>
          <w:p w14:paraId="5C193EDD">
            <w:pPr>
              <w:spacing w:line="400" w:lineRule="exact"/>
              <w:jc w:val="center"/>
              <w:rPr>
                <w:rFonts w:ascii="宋体" w:hAnsi="宋体" w:eastAsia="宋体" w:cs="仿宋"/>
                <w:sz w:val="24"/>
                <w:szCs w:val="24"/>
              </w:rPr>
            </w:pPr>
          </w:p>
        </w:tc>
        <w:tc>
          <w:tcPr>
            <w:tcW w:w="686" w:type="pct"/>
            <w:vAlign w:val="center"/>
          </w:tcPr>
          <w:p w14:paraId="20001355">
            <w:pPr>
              <w:pStyle w:val="26"/>
              <w:kinsoku w:val="0"/>
              <w:overflowPunct w:val="0"/>
              <w:spacing w:line="400" w:lineRule="exact"/>
              <w:ind w:firstLine="0" w:firstLineChars="0"/>
              <w:jc w:val="center"/>
              <w:rPr>
                <w:rFonts w:hAnsi="宋体" w:cs="仿宋"/>
              </w:rPr>
            </w:pPr>
            <w:r>
              <w:rPr>
                <w:rFonts w:hint="eastAsia" w:hAnsi="宋体" w:cs="仿宋"/>
              </w:rPr>
              <w:t>员工总数</w:t>
            </w:r>
          </w:p>
        </w:tc>
        <w:tc>
          <w:tcPr>
            <w:tcW w:w="1285" w:type="pct"/>
            <w:vAlign w:val="center"/>
          </w:tcPr>
          <w:p w14:paraId="2142DA8C">
            <w:pPr>
              <w:spacing w:line="400" w:lineRule="exact"/>
              <w:jc w:val="center"/>
              <w:rPr>
                <w:rFonts w:ascii="宋体" w:hAnsi="宋体" w:eastAsia="宋体" w:cs="仿宋"/>
                <w:sz w:val="24"/>
                <w:szCs w:val="24"/>
              </w:rPr>
            </w:pPr>
          </w:p>
        </w:tc>
      </w:tr>
      <w:tr w14:paraId="30B43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jc w:val="center"/>
        </w:trPr>
        <w:tc>
          <w:tcPr>
            <w:tcW w:w="1293" w:type="pct"/>
            <w:vMerge w:val="restart"/>
            <w:vAlign w:val="center"/>
          </w:tcPr>
          <w:p w14:paraId="3092C514">
            <w:pPr>
              <w:pStyle w:val="26"/>
              <w:kinsoku w:val="0"/>
              <w:overflowPunct w:val="0"/>
              <w:spacing w:line="400" w:lineRule="exact"/>
              <w:ind w:firstLine="0" w:firstLineChars="0"/>
              <w:jc w:val="center"/>
              <w:rPr>
                <w:rFonts w:hAnsi="宋体" w:cs="仿宋"/>
              </w:rPr>
            </w:pPr>
            <w:r>
              <w:rPr>
                <w:rFonts w:hint="eastAsia" w:hAnsi="宋体" w:cs="仿宋"/>
              </w:rPr>
              <w:t>联系方式</w:t>
            </w:r>
          </w:p>
        </w:tc>
        <w:tc>
          <w:tcPr>
            <w:tcW w:w="507" w:type="pct"/>
            <w:vAlign w:val="center"/>
          </w:tcPr>
          <w:p w14:paraId="361AA16B">
            <w:pPr>
              <w:pStyle w:val="26"/>
              <w:kinsoku w:val="0"/>
              <w:overflowPunct w:val="0"/>
              <w:spacing w:line="400" w:lineRule="exact"/>
              <w:ind w:firstLine="0" w:firstLineChars="0"/>
              <w:jc w:val="center"/>
              <w:rPr>
                <w:rFonts w:hAnsi="宋体" w:cs="仿宋"/>
              </w:rPr>
            </w:pPr>
            <w:r>
              <w:rPr>
                <w:rFonts w:hint="eastAsia" w:hAnsi="宋体" w:cs="仿宋"/>
              </w:rPr>
              <w:t>联系人</w:t>
            </w:r>
          </w:p>
        </w:tc>
        <w:tc>
          <w:tcPr>
            <w:tcW w:w="1227" w:type="pct"/>
            <w:vAlign w:val="center"/>
          </w:tcPr>
          <w:p w14:paraId="44E828A3">
            <w:pPr>
              <w:spacing w:line="400" w:lineRule="exact"/>
              <w:jc w:val="center"/>
              <w:rPr>
                <w:rFonts w:ascii="宋体" w:hAnsi="宋体" w:eastAsia="宋体" w:cs="仿宋"/>
                <w:sz w:val="24"/>
                <w:szCs w:val="24"/>
              </w:rPr>
            </w:pPr>
          </w:p>
        </w:tc>
        <w:tc>
          <w:tcPr>
            <w:tcW w:w="686" w:type="pct"/>
            <w:vAlign w:val="center"/>
          </w:tcPr>
          <w:p w14:paraId="3C8911C2">
            <w:pPr>
              <w:pStyle w:val="26"/>
              <w:kinsoku w:val="0"/>
              <w:overflowPunct w:val="0"/>
              <w:spacing w:line="400" w:lineRule="exact"/>
              <w:ind w:firstLine="0" w:firstLineChars="0"/>
              <w:jc w:val="center"/>
              <w:rPr>
                <w:rFonts w:hAnsi="宋体" w:cs="仿宋"/>
              </w:rPr>
            </w:pPr>
            <w:r>
              <w:rPr>
                <w:rFonts w:hint="eastAsia" w:hAnsi="宋体" w:cs="仿宋"/>
              </w:rPr>
              <w:t>电话</w:t>
            </w:r>
          </w:p>
        </w:tc>
        <w:tc>
          <w:tcPr>
            <w:tcW w:w="1285" w:type="pct"/>
            <w:vAlign w:val="center"/>
          </w:tcPr>
          <w:p w14:paraId="0D1512C8">
            <w:pPr>
              <w:spacing w:line="400" w:lineRule="exact"/>
              <w:jc w:val="center"/>
              <w:rPr>
                <w:rFonts w:ascii="宋体" w:hAnsi="宋体" w:eastAsia="宋体" w:cs="仿宋"/>
                <w:sz w:val="24"/>
                <w:szCs w:val="24"/>
              </w:rPr>
            </w:pPr>
          </w:p>
        </w:tc>
      </w:tr>
      <w:tr w14:paraId="4700E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jc w:val="center"/>
        </w:trPr>
        <w:tc>
          <w:tcPr>
            <w:tcW w:w="1293" w:type="pct"/>
            <w:vMerge w:val="continue"/>
            <w:vAlign w:val="center"/>
          </w:tcPr>
          <w:p w14:paraId="683EF8FF">
            <w:pPr>
              <w:spacing w:line="400" w:lineRule="exact"/>
              <w:jc w:val="center"/>
              <w:rPr>
                <w:rFonts w:ascii="宋体" w:hAnsi="宋体" w:eastAsia="宋体" w:cs="仿宋"/>
                <w:sz w:val="24"/>
                <w:szCs w:val="24"/>
              </w:rPr>
            </w:pPr>
          </w:p>
        </w:tc>
        <w:tc>
          <w:tcPr>
            <w:tcW w:w="507" w:type="pct"/>
            <w:vAlign w:val="center"/>
          </w:tcPr>
          <w:p w14:paraId="1A755BB5">
            <w:pPr>
              <w:pStyle w:val="26"/>
              <w:kinsoku w:val="0"/>
              <w:overflowPunct w:val="0"/>
              <w:spacing w:line="400" w:lineRule="exact"/>
              <w:ind w:firstLine="0" w:firstLineChars="0"/>
              <w:jc w:val="center"/>
              <w:rPr>
                <w:rFonts w:hAnsi="宋体" w:cs="仿宋"/>
              </w:rPr>
            </w:pPr>
            <w:r>
              <w:rPr>
                <w:rFonts w:hint="eastAsia" w:hAnsi="宋体" w:cs="仿宋"/>
              </w:rPr>
              <w:t>网址</w:t>
            </w:r>
          </w:p>
        </w:tc>
        <w:tc>
          <w:tcPr>
            <w:tcW w:w="1227" w:type="pct"/>
            <w:vAlign w:val="center"/>
          </w:tcPr>
          <w:p w14:paraId="77EAE994">
            <w:pPr>
              <w:spacing w:line="400" w:lineRule="exact"/>
              <w:jc w:val="center"/>
              <w:rPr>
                <w:rFonts w:ascii="宋体" w:hAnsi="宋体" w:eastAsia="宋体" w:cs="仿宋"/>
                <w:sz w:val="24"/>
                <w:szCs w:val="24"/>
              </w:rPr>
            </w:pPr>
          </w:p>
        </w:tc>
        <w:tc>
          <w:tcPr>
            <w:tcW w:w="686" w:type="pct"/>
            <w:vAlign w:val="center"/>
          </w:tcPr>
          <w:p w14:paraId="0E3B68FD">
            <w:pPr>
              <w:pStyle w:val="26"/>
              <w:kinsoku w:val="0"/>
              <w:overflowPunct w:val="0"/>
              <w:spacing w:line="400" w:lineRule="exact"/>
              <w:ind w:firstLine="0" w:firstLineChars="0"/>
              <w:jc w:val="center"/>
              <w:rPr>
                <w:rFonts w:hAnsi="宋体" w:cs="仿宋"/>
              </w:rPr>
            </w:pPr>
            <w:r>
              <w:rPr>
                <w:rFonts w:hint="eastAsia" w:hAnsi="宋体" w:cs="仿宋"/>
              </w:rPr>
              <w:t>传真/邮箱</w:t>
            </w:r>
          </w:p>
        </w:tc>
        <w:tc>
          <w:tcPr>
            <w:tcW w:w="1285" w:type="pct"/>
            <w:vAlign w:val="center"/>
          </w:tcPr>
          <w:p w14:paraId="7905C33C">
            <w:pPr>
              <w:spacing w:line="400" w:lineRule="exact"/>
              <w:jc w:val="center"/>
              <w:rPr>
                <w:rFonts w:ascii="宋体" w:hAnsi="宋体" w:eastAsia="宋体" w:cs="仿宋"/>
                <w:sz w:val="24"/>
                <w:szCs w:val="24"/>
              </w:rPr>
            </w:pPr>
          </w:p>
        </w:tc>
      </w:tr>
      <w:tr w14:paraId="2A4E0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1293" w:type="pct"/>
            <w:vAlign w:val="center"/>
          </w:tcPr>
          <w:p w14:paraId="6C08FD93">
            <w:pPr>
              <w:pStyle w:val="26"/>
              <w:kinsoku w:val="0"/>
              <w:overflowPunct w:val="0"/>
              <w:spacing w:line="400" w:lineRule="exact"/>
              <w:ind w:firstLine="0" w:firstLineChars="0"/>
              <w:jc w:val="center"/>
              <w:rPr>
                <w:rFonts w:hAnsi="宋体" w:cs="仿宋"/>
              </w:rPr>
            </w:pPr>
            <w:r>
              <w:rPr>
                <w:rFonts w:hint="eastAsia" w:hAnsi="宋体" w:cs="仿宋"/>
              </w:rPr>
              <w:t>法定代表人</w:t>
            </w:r>
          </w:p>
          <w:p w14:paraId="284273E6">
            <w:pPr>
              <w:pStyle w:val="26"/>
              <w:kinsoku w:val="0"/>
              <w:overflowPunct w:val="0"/>
              <w:spacing w:line="400" w:lineRule="exact"/>
              <w:ind w:firstLine="0" w:firstLineChars="0"/>
              <w:jc w:val="center"/>
              <w:rPr>
                <w:rFonts w:hAnsi="宋体" w:cs="仿宋"/>
              </w:rPr>
            </w:pPr>
            <w:r>
              <w:rPr>
                <w:rFonts w:hint="eastAsia" w:hAnsi="宋体" w:cs="仿宋"/>
              </w:rPr>
              <w:t>（单位负责人）</w:t>
            </w:r>
          </w:p>
        </w:tc>
        <w:tc>
          <w:tcPr>
            <w:tcW w:w="507" w:type="pct"/>
            <w:vAlign w:val="center"/>
          </w:tcPr>
          <w:p w14:paraId="3B605977">
            <w:pPr>
              <w:pStyle w:val="26"/>
              <w:kinsoku w:val="0"/>
              <w:overflowPunct w:val="0"/>
              <w:spacing w:line="400" w:lineRule="exact"/>
              <w:ind w:firstLine="0" w:firstLineChars="0"/>
              <w:jc w:val="center"/>
              <w:rPr>
                <w:rFonts w:hAnsi="宋体" w:cs="仿宋"/>
              </w:rPr>
            </w:pPr>
            <w:r>
              <w:rPr>
                <w:rFonts w:hint="eastAsia" w:hAnsi="宋体" w:cs="仿宋"/>
              </w:rPr>
              <w:t>姓名</w:t>
            </w:r>
          </w:p>
        </w:tc>
        <w:tc>
          <w:tcPr>
            <w:tcW w:w="1227" w:type="pct"/>
            <w:vAlign w:val="center"/>
          </w:tcPr>
          <w:p w14:paraId="72F35AC4">
            <w:pPr>
              <w:spacing w:line="400" w:lineRule="exact"/>
              <w:jc w:val="center"/>
              <w:rPr>
                <w:rFonts w:ascii="宋体" w:hAnsi="宋体" w:eastAsia="宋体" w:cs="仿宋"/>
                <w:sz w:val="24"/>
                <w:szCs w:val="24"/>
              </w:rPr>
            </w:pPr>
          </w:p>
        </w:tc>
        <w:tc>
          <w:tcPr>
            <w:tcW w:w="686" w:type="pct"/>
            <w:vAlign w:val="center"/>
          </w:tcPr>
          <w:p w14:paraId="026C68D7">
            <w:pPr>
              <w:pStyle w:val="26"/>
              <w:kinsoku w:val="0"/>
              <w:overflowPunct w:val="0"/>
              <w:spacing w:line="400" w:lineRule="exact"/>
              <w:ind w:firstLine="0" w:firstLineChars="0"/>
              <w:jc w:val="center"/>
              <w:rPr>
                <w:rFonts w:hAnsi="宋体" w:cs="仿宋"/>
              </w:rPr>
            </w:pPr>
            <w:r>
              <w:rPr>
                <w:rFonts w:hint="eastAsia" w:hAnsi="宋体" w:cs="仿宋"/>
              </w:rPr>
              <w:t>电话</w:t>
            </w:r>
          </w:p>
        </w:tc>
        <w:tc>
          <w:tcPr>
            <w:tcW w:w="1285" w:type="pct"/>
            <w:vAlign w:val="center"/>
          </w:tcPr>
          <w:p w14:paraId="1EEFE668">
            <w:pPr>
              <w:tabs>
                <w:tab w:val="left" w:pos="1426"/>
              </w:tabs>
              <w:spacing w:line="400" w:lineRule="exact"/>
              <w:jc w:val="center"/>
              <w:rPr>
                <w:rFonts w:ascii="宋体" w:hAnsi="宋体" w:eastAsia="宋体" w:cs="仿宋"/>
                <w:sz w:val="24"/>
                <w:szCs w:val="24"/>
              </w:rPr>
            </w:pPr>
          </w:p>
        </w:tc>
      </w:tr>
      <w:tr w14:paraId="5C07B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5" w:hRule="atLeast"/>
          <w:jc w:val="center"/>
        </w:trPr>
        <w:tc>
          <w:tcPr>
            <w:tcW w:w="1293" w:type="pct"/>
            <w:vAlign w:val="center"/>
          </w:tcPr>
          <w:p w14:paraId="5546D0FE">
            <w:pPr>
              <w:pStyle w:val="26"/>
              <w:kinsoku w:val="0"/>
              <w:overflowPunct w:val="0"/>
              <w:spacing w:line="400" w:lineRule="exact"/>
              <w:ind w:firstLine="0" w:firstLineChars="0"/>
              <w:jc w:val="center"/>
              <w:rPr>
                <w:rFonts w:hAnsi="宋体" w:cs="仿宋"/>
              </w:rPr>
            </w:pPr>
            <w:r>
              <w:rPr>
                <w:rFonts w:hint="eastAsia" w:hAnsi="宋体" w:cs="仿宋"/>
              </w:rPr>
              <w:t>与本项目采购需求相关的资质或者认证证书</w:t>
            </w:r>
          </w:p>
        </w:tc>
        <w:tc>
          <w:tcPr>
            <w:tcW w:w="3706" w:type="pct"/>
            <w:gridSpan w:val="4"/>
            <w:vAlign w:val="center"/>
          </w:tcPr>
          <w:p w14:paraId="08FC7921">
            <w:pPr>
              <w:pStyle w:val="26"/>
              <w:kinsoku w:val="0"/>
              <w:overflowPunct w:val="0"/>
              <w:spacing w:line="400" w:lineRule="exact"/>
              <w:ind w:firstLine="0" w:firstLineChars="0"/>
              <w:rPr>
                <w:rFonts w:hAnsi="宋体" w:cs="仿宋"/>
              </w:rPr>
            </w:pPr>
            <w:r>
              <w:rPr>
                <w:rFonts w:hint="eastAsia" w:hAnsi="宋体" w:cs="仿宋"/>
              </w:rPr>
              <w:t>如有请罗列证书名称：</w:t>
            </w:r>
          </w:p>
        </w:tc>
      </w:tr>
      <w:tr w14:paraId="14FFC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6" w:hRule="atLeast"/>
          <w:jc w:val="center"/>
        </w:trPr>
        <w:tc>
          <w:tcPr>
            <w:tcW w:w="1293" w:type="pct"/>
            <w:vAlign w:val="center"/>
          </w:tcPr>
          <w:p w14:paraId="46F419B5">
            <w:pPr>
              <w:pStyle w:val="26"/>
              <w:kinsoku w:val="0"/>
              <w:overflowPunct w:val="0"/>
              <w:spacing w:line="400" w:lineRule="exact"/>
              <w:ind w:firstLine="0" w:firstLineChars="0"/>
              <w:jc w:val="center"/>
              <w:rPr>
                <w:rFonts w:hAnsi="宋体" w:cs="仿宋"/>
              </w:rPr>
            </w:pPr>
            <w:r>
              <w:rPr>
                <w:rFonts w:hint="eastAsia" w:hAnsi="宋体" w:cs="仿宋"/>
              </w:rPr>
              <w:t>人员情况</w:t>
            </w:r>
          </w:p>
        </w:tc>
        <w:tc>
          <w:tcPr>
            <w:tcW w:w="3706" w:type="pct"/>
            <w:gridSpan w:val="4"/>
            <w:vAlign w:val="center"/>
          </w:tcPr>
          <w:p w14:paraId="1545A375">
            <w:pPr>
              <w:pStyle w:val="26"/>
              <w:kinsoku w:val="0"/>
              <w:overflowPunct w:val="0"/>
              <w:spacing w:line="400" w:lineRule="exact"/>
              <w:ind w:firstLine="0" w:firstLineChars="0"/>
              <w:rPr>
                <w:rFonts w:hAnsi="宋体" w:cs="仿宋"/>
              </w:rPr>
            </w:pPr>
            <w:r>
              <w:rPr>
                <w:rFonts w:hint="eastAsia" w:hAnsi="宋体" w:cs="仿宋"/>
              </w:rPr>
              <w:t>公司实有人员情况：</w:t>
            </w:r>
          </w:p>
          <w:p w14:paraId="00285C2D">
            <w:pPr>
              <w:pStyle w:val="26"/>
              <w:kinsoku w:val="0"/>
              <w:overflowPunct w:val="0"/>
              <w:spacing w:line="400" w:lineRule="exact"/>
              <w:ind w:firstLine="0" w:firstLineChars="0"/>
              <w:rPr>
                <w:rFonts w:hAnsi="宋体" w:cs="仿宋"/>
              </w:rPr>
            </w:pPr>
            <w:r>
              <w:rPr>
                <w:rFonts w:hint="eastAsia" w:hAnsi="宋体" w:cs="仿宋"/>
              </w:rPr>
              <w:t>广州地区人员情况：</w:t>
            </w:r>
          </w:p>
        </w:tc>
      </w:tr>
      <w:tr w14:paraId="6B2CF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5" w:hRule="atLeast"/>
          <w:jc w:val="center"/>
        </w:trPr>
        <w:tc>
          <w:tcPr>
            <w:tcW w:w="1293" w:type="pct"/>
            <w:vAlign w:val="center"/>
          </w:tcPr>
          <w:p w14:paraId="4D9B66BF">
            <w:pPr>
              <w:pStyle w:val="26"/>
              <w:kinsoku w:val="0"/>
              <w:overflowPunct w:val="0"/>
              <w:spacing w:line="440" w:lineRule="exact"/>
              <w:ind w:firstLine="0" w:firstLineChars="0"/>
              <w:jc w:val="center"/>
              <w:rPr>
                <w:rFonts w:hAnsi="宋体" w:cs="仿宋"/>
              </w:rPr>
            </w:pPr>
            <w:r>
              <w:rPr>
                <w:rFonts w:hint="eastAsia" w:hAnsi="宋体" w:cs="仿宋"/>
              </w:rPr>
              <w:t>备注</w:t>
            </w:r>
          </w:p>
        </w:tc>
        <w:tc>
          <w:tcPr>
            <w:tcW w:w="3706" w:type="pct"/>
            <w:gridSpan w:val="4"/>
            <w:vAlign w:val="center"/>
          </w:tcPr>
          <w:p w14:paraId="76F22685">
            <w:pPr>
              <w:spacing w:line="440" w:lineRule="exact"/>
              <w:jc w:val="center"/>
              <w:rPr>
                <w:rFonts w:ascii="宋体" w:hAnsi="宋体" w:eastAsia="宋体" w:cs="仿宋"/>
                <w:sz w:val="24"/>
                <w:szCs w:val="24"/>
              </w:rPr>
            </w:pPr>
          </w:p>
        </w:tc>
      </w:tr>
      <w:bookmarkEnd w:id="0"/>
    </w:tbl>
    <w:p w14:paraId="70A426AB">
      <w:pPr>
        <w:pStyle w:val="14"/>
        <w:ind w:firstLine="0" w:firstLineChars="0"/>
      </w:pPr>
    </w:p>
    <w:p w14:paraId="3F0A306A">
      <w:pPr>
        <w:spacing w:after="209" w:afterLines="67"/>
        <w:rPr>
          <w:rFonts w:asciiTheme="minorEastAsia" w:hAnsiTheme="minorEastAsia" w:cstheme="minorEastAsia"/>
          <w:b/>
          <w:bCs/>
          <w:sz w:val="24"/>
          <w:szCs w:val="24"/>
        </w:rPr>
      </w:pPr>
      <w:r>
        <w:rPr>
          <w:rFonts w:hint="eastAsia" w:asciiTheme="minorEastAsia" w:hAnsiTheme="minorEastAsia" w:cstheme="minorEastAsia"/>
          <w:b/>
          <w:bCs/>
          <w:sz w:val="24"/>
          <w:szCs w:val="24"/>
        </w:rPr>
        <w:t>二、企业证明材料列表</w:t>
      </w:r>
    </w:p>
    <w:p w14:paraId="71555126">
      <w:pPr>
        <w:spacing w:after="209" w:afterLines="67"/>
        <w:rPr>
          <w:rFonts w:asciiTheme="minorEastAsia" w:hAnsiTheme="minorEastAsia" w:cstheme="minorEastAsia"/>
          <w:sz w:val="24"/>
          <w:szCs w:val="24"/>
        </w:rPr>
      </w:pPr>
      <w:r>
        <w:rPr>
          <w:rFonts w:hint="eastAsia" w:asciiTheme="minorEastAsia" w:hAnsiTheme="minorEastAsia" w:cstheme="minorEastAsia"/>
          <w:sz w:val="24"/>
          <w:szCs w:val="24"/>
        </w:rPr>
        <w:t>1、营业执照（加盖公章）</w:t>
      </w:r>
    </w:p>
    <w:p w14:paraId="5375A40A">
      <w:pPr>
        <w:spacing w:after="209" w:afterLines="67"/>
        <w:rPr>
          <w:rFonts w:asciiTheme="minorEastAsia" w:hAnsiTheme="minorEastAsia" w:cstheme="minorEastAsia"/>
          <w:sz w:val="24"/>
          <w:szCs w:val="24"/>
        </w:rPr>
      </w:pPr>
      <w:r>
        <w:rPr>
          <w:rFonts w:hint="eastAsia" w:asciiTheme="minorEastAsia" w:hAnsiTheme="minorEastAsia" w:cstheme="minorEastAsia"/>
          <w:sz w:val="24"/>
          <w:szCs w:val="24"/>
        </w:rPr>
        <w:t>2、法定代表人证明书和法定代表人授权委托书（加盖公章）</w:t>
      </w:r>
    </w:p>
    <w:p w14:paraId="2C844324">
      <w:pPr>
        <w:spacing w:after="209" w:afterLines="67"/>
        <w:rPr>
          <w:rFonts w:asciiTheme="minorEastAsia" w:hAnsiTheme="minorEastAsia" w:cstheme="minorEastAsia"/>
          <w:sz w:val="24"/>
          <w:szCs w:val="24"/>
        </w:rPr>
      </w:pPr>
      <w:r>
        <w:rPr>
          <w:rFonts w:hint="eastAsia" w:asciiTheme="minorEastAsia" w:hAnsiTheme="minorEastAsia" w:cstheme="minorEastAsia"/>
          <w:sz w:val="24"/>
          <w:szCs w:val="24"/>
        </w:rPr>
        <w:t>3、其他（公司简介、近5年类似项目业绩、企业荣誉、团队人员等）</w:t>
      </w:r>
    </w:p>
    <w:p w14:paraId="04AE1713">
      <w:pPr>
        <w:spacing w:after="209" w:afterLines="67" w:line="360" w:lineRule="auto"/>
        <w:rPr>
          <w:rFonts w:hint="eastAsia" w:asciiTheme="minorEastAsia" w:hAnsiTheme="minorEastAsia" w:cstheme="minorEastAsia"/>
          <w:sz w:val="24"/>
          <w:szCs w:val="24"/>
        </w:rPr>
        <w:sectPr>
          <w:footerReference r:id="rId3" w:type="default"/>
          <w:pgSz w:w="11906" w:h="16838"/>
          <w:pgMar w:top="1440" w:right="1800" w:bottom="1440" w:left="1800" w:header="851" w:footer="992" w:gutter="0"/>
          <w:cols w:space="425" w:num="1"/>
          <w:docGrid w:type="lines" w:linePitch="312" w:charSpace="0"/>
        </w:sectPr>
      </w:pPr>
      <w:r>
        <w:rPr>
          <w:rFonts w:hint="eastAsia" w:asciiTheme="minorEastAsia" w:hAnsiTheme="minorEastAsia" w:cstheme="minorEastAsia"/>
          <w:sz w:val="24"/>
          <w:szCs w:val="24"/>
        </w:rPr>
        <w:t>4、对项目采购需求的建议。</w:t>
      </w:r>
    </w:p>
    <w:p w14:paraId="103F7D21">
      <w:pPr>
        <w:spacing w:after="209" w:afterLines="67"/>
        <w:rPr>
          <w:rFonts w:asciiTheme="minorEastAsia" w:hAnsiTheme="minorEastAsia" w:cstheme="minorEastAsia"/>
          <w:b/>
          <w:bCs/>
          <w:sz w:val="24"/>
          <w:szCs w:val="24"/>
        </w:rPr>
      </w:pPr>
      <w:r>
        <w:rPr>
          <w:rFonts w:hint="eastAsia" w:asciiTheme="minorEastAsia" w:hAnsiTheme="minorEastAsia" w:cstheme="minorEastAsia"/>
          <w:b/>
          <w:bCs/>
          <w:sz w:val="24"/>
          <w:szCs w:val="24"/>
        </w:rPr>
        <w:t>三、需求响应情况（加盖公章）</w:t>
      </w:r>
    </w:p>
    <w:tbl>
      <w:tblPr>
        <w:tblStyle w:val="15"/>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8"/>
        <w:gridCol w:w="797"/>
        <w:gridCol w:w="10844"/>
        <w:gridCol w:w="1202"/>
        <w:gridCol w:w="802"/>
      </w:tblGrid>
      <w:tr w14:paraId="1F3BD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82" w:type="pct"/>
            <w:vAlign w:val="center"/>
          </w:tcPr>
          <w:p w14:paraId="263BF77F">
            <w:pPr>
              <w:spacing w:line="200" w:lineRule="atLeas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4109" w:type="pct"/>
            <w:gridSpan w:val="2"/>
            <w:vAlign w:val="center"/>
          </w:tcPr>
          <w:p w14:paraId="7BB90614">
            <w:pPr>
              <w:spacing w:line="200" w:lineRule="atLeas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需求条款</w:t>
            </w:r>
          </w:p>
        </w:tc>
        <w:tc>
          <w:tcPr>
            <w:tcW w:w="424" w:type="pct"/>
            <w:vAlign w:val="center"/>
          </w:tcPr>
          <w:p w14:paraId="3CC531D7">
            <w:pPr>
              <w:spacing w:line="200" w:lineRule="atLeas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响应情况（完全满足/部分满足/不满足）</w:t>
            </w:r>
          </w:p>
        </w:tc>
        <w:tc>
          <w:tcPr>
            <w:tcW w:w="283" w:type="pct"/>
            <w:vAlign w:val="center"/>
          </w:tcPr>
          <w:p w14:paraId="21C2B775">
            <w:pPr>
              <w:spacing w:line="200" w:lineRule="atLeas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备注（描述偏离情况）</w:t>
            </w:r>
          </w:p>
        </w:tc>
      </w:tr>
      <w:tr w14:paraId="16A5C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82" w:type="pct"/>
            <w:shd w:val="clear" w:color="auto" w:fill="auto"/>
            <w:vAlign w:val="center"/>
          </w:tcPr>
          <w:p w14:paraId="69074455">
            <w:pPr>
              <w:numPr>
                <w:ilvl w:val="0"/>
                <w:numId w:val="3"/>
              </w:numPr>
              <w:spacing w:line="200" w:lineRule="atLeast"/>
              <w:ind w:left="425" w:leftChars="0" w:hanging="425" w:firstLineChars="0"/>
              <w:jc w:val="center"/>
              <w:rPr>
                <w:rFonts w:hint="eastAsia" w:asciiTheme="minorEastAsia" w:hAnsiTheme="minorEastAsia" w:eastAsiaTheme="minorEastAsia" w:cstheme="minorEastAsia"/>
                <w:kern w:val="2"/>
                <w:sz w:val="24"/>
                <w:szCs w:val="24"/>
                <w:lang w:val="en-US" w:eastAsia="zh-CN" w:bidi="ar-SA"/>
              </w:rPr>
            </w:pPr>
          </w:p>
        </w:tc>
        <w:tc>
          <w:tcPr>
            <w:tcW w:w="281" w:type="pct"/>
            <w:vAlign w:val="center"/>
          </w:tcPr>
          <w:p w14:paraId="507C6A53">
            <w:pPr>
              <w:jc w:val="left"/>
              <w:rPr>
                <w:rFonts w:hint="eastAsia" w:asciiTheme="minorEastAsia" w:hAnsiTheme="minorEastAsia" w:eastAsiaTheme="minorEastAsia" w:cstheme="minorEastAsia"/>
                <w:spacing w:val="0"/>
                <w:sz w:val="24"/>
                <w:szCs w:val="24"/>
                <w:lang w:val="en-US" w:eastAsia="zh-CN"/>
              </w:rPr>
            </w:pPr>
            <w:bookmarkStart w:id="1" w:name="_Toc227921671"/>
            <w:r>
              <w:rPr>
                <w:rFonts w:hint="eastAsia" w:asciiTheme="minorEastAsia" w:hAnsiTheme="minorEastAsia" w:eastAsiaTheme="minorEastAsia" w:cstheme="minorEastAsia"/>
                <w:spacing w:val="0"/>
                <w:sz w:val="24"/>
                <w:szCs w:val="24"/>
                <w:lang w:val="en-US" w:eastAsia="zh-CN"/>
              </w:rPr>
              <w:t>一、项目背景</w:t>
            </w:r>
            <w:bookmarkEnd w:id="1"/>
          </w:p>
          <w:p w14:paraId="2B62ED2B">
            <w:pPr>
              <w:jc w:val="left"/>
              <w:rPr>
                <w:rFonts w:hint="eastAsia" w:asciiTheme="minorEastAsia" w:hAnsiTheme="minorEastAsia" w:eastAsiaTheme="minorEastAsia" w:cstheme="minorEastAsia"/>
                <w:spacing w:val="0"/>
                <w:sz w:val="24"/>
                <w:szCs w:val="24"/>
                <w:lang w:val="en-US" w:eastAsia="zh-CN"/>
              </w:rPr>
            </w:pPr>
          </w:p>
        </w:tc>
        <w:tc>
          <w:tcPr>
            <w:tcW w:w="3828" w:type="pct"/>
            <w:vAlign w:val="center"/>
          </w:tcPr>
          <w:p w14:paraId="3EC906C2">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招标人采购建设的全国内容服务平台源站系统和公网业务推流服务系统，目前均已超过原厂商质保服务期限。其中：全国内容服务平台源站系统，承担与互联网视频平台的专网节目内容合作业务，系统涵盖全国内容源站及驻地内容源软件；公网业务推流服务系统，当前主要支撑车载移动电视的直播与回看业务，系统包含两套推流服务集群，分别部署于民科园和南翔机房。</w:t>
            </w:r>
          </w:p>
          <w:p w14:paraId="245EA456">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为确保上述系统长期稳定、安全、高效运行，防范因维保缺失引发的重大业务风险，现对相关系统进行维保续保服务采购。</w:t>
            </w:r>
          </w:p>
        </w:tc>
        <w:tc>
          <w:tcPr>
            <w:tcW w:w="424" w:type="pct"/>
            <w:vAlign w:val="center"/>
          </w:tcPr>
          <w:p w14:paraId="04119CF9">
            <w:pPr>
              <w:spacing w:line="240" w:lineRule="auto"/>
              <w:jc w:val="center"/>
              <w:rPr>
                <w:rFonts w:hint="eastAsia" w:asciiTheme="minorEastAsia" w:hAnsiTheme="minorEastAsia" w:eastAsiaTheme="minorEastAsia" w:cstheme="minorEastAsia"/>
                <w:sz w:val="24"/>
                <w:szCs w:val="24"/>
              </w:rPr>
            </w:pPr>
          </w:p>
        </w:tc>
        <w:tc>
          <w:tcPr>
            <w:tcW w:w="283" w:type="pct"/>
            <w:vAlign w:val="center"/>
          </w:tcPr>
          <w:p w14:paraId="0259176B">
            <w:pPr>
              <w:spacing w:line="200" w:lineRule="atLeast"/>
              <w:jc w:val="center"/>
              <w:rPr>
                <w:rFonts w:hint="eastAsia" w:asciiTheme="minorEastAsia" w:hAnsiTheme="minorEastAsia" w:eastAsiaTheme="minorEastAsia" w:cstheme="minorEastAsia"/>
                <w:sz w:val="24"/>
                <w:szCs w:val="24"/>
              </w:rPr>
            </w:pPr>
          </w:p>
        </w:tc>
      </w:tr>
      <w:tr w14:paraId="4F5EE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82" w:type="pct"/>
            <w:vAlign w:val="center"/>
          </w:tcPr>
          <w:p w14:paraId="2962CE53">
            <w:pPr>
              <w:numPr>
                <w:ilvl w:val="0"/>
                <w:numId w:val="3"/>
              </w:numPr>
              <w:spacing w:line="200" w:lineRule="atLeast"/>
              <w:jc w:val="center"/>
              <w:rPr>
                <w:rFonts w:hint="eastAsia" w:asciiTheme="minorEastAsia" w:hAnsiTheme="minorEastAsia" w:eastAsiaTheme="minorEastAsia" w:cstheme="minorEastAsia"/>
                <w:sz w:val="24"/>
                <w:szCs w:val="24"/>
              </w:rPr>
            </w:pPr>
          </w:p>
        </w:tc>
        <w:tc>
          <w:tcPr>
            <w:tcW w:w="281" w:type="pct"/>
            <w:vMerge w:val="restart"/>
            <w:vAlign w:val="center"/>
          </w:tcPr>
          <w:p w14:paraId="5807EEEF">
            <w:pPr>
              <w:jc w:val="left"/>
              <w:rPr>
                <w:rFonts w:hint="eastAsia" w:asciiTheme="minorEastAsia" w:hAnsiTheme="minorEastAsia" w:eastAsiaTheme="minorEastAsia" w:cstheme="minorEastAsia"/>
                <w:sz w:val="24"/>
                <w:szCs w:val="24"/>
                <w:lang w:eastAsia="zh-CN"/>
              </w:rPr>
            </w:pPr>
            <w:bookmarkStart w:id="2" w:name="_Toc231285895"/>
            <w:bookmarkStart w:id="3" w:name="_Toc92295849"/>
            <w:r>
              <w:rPr>
                <w:rFonts w:hint="eastAsia" w:asciiTheme="minorEastAsia" w:hAnsiTheme="minorEastAsia" w:eastAsiaTheme="minorEastAsia" w:cstheme="minorEastAsia"/>
                <w:spacing w:val="0"/>
                <w:sz w:val="24"/>
                <w:szCs w:val="24"/>
                <w:lang w:val="en-US" w:eastAsia="zh-CN"/>
              </w:rPr>
              <w:t>二、</w:t>
            </w:r>
            <w:bookmarkEnd w:id="2"/>
            <w:bookmarkEnd w:id="3"/>
            <w:r>
              <w:rPr>
                <w:rFonts w:hint="eastAsia" w:asciiTheme="minorEastAsia" w:hAnsiTheme="minorEastAsia" w:eastAsiaTheme="minorEastAsia" w:cstheme="minorEastAsia"/>
                <w:spacing w:val="0"/>
                <w:sz w:val="24"/>
                <w:szCs w:val="24"/>
              </w:rPr>
              <w:t>维保服务内容</w:t>
            </w:r>
          </w:p>
        </w:tc>
        <w:tc>
          <w:tcPr>
            <w:tcW w:w="3828" w:type="pct"/>
            <w:vAlign w:val="center"/>
          </w:tcPr>
          <w:p w14:paraId="15031493">
            <w:pPr>
              <w:spacing w:after="156"/>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（一）维护和技术支持服务内容</w:t>
            </w:r>
          </w:p>
          <w:p w14:paraId="4FC9693C">
            <w:pPr>
              <w:spacing w:after="156"/>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1、维护和技术支持服务内容</w:t>
            </w:r>
          </w:p>
          <w:p w14:paraId="049C20B5">
            <w:pPr>
              <w:spacing w:after="156"/>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维护和技术支持服务覆盖系统故障、系统健康检查服务、软件更新服务、技术支持服务和应急保障服务等内容。</w:t>
            </w:r>
          </w:p>
          <w:p w14:paraId="3CA831DA">
            <w:pPr>
              <w:spacing w:after="156"/>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2、服务范围</w:t>
            </w:r>
          </w:p>
          <w:p w14:paraId="7FE7E6B2">
            <w:pPr>
              <w:spacing w:after="156"/>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中标人</w:t>
            </w:r>
            <w:r>
              <w:rPr>
                <w:rFonts w:hint="eastAsia" w:asciiTheme="minorEastAsia" w:hAnsiTheme="minorEastAsia" w:eastAsiaTheme="minorEastAsia" w:cstheme="minorEastAsia"/>
                <w:sz w:val="24"/>
                <w:szCs w:val="24"/>
              </w:rPr>
              <w:t>对维保覆盖软件故障处理服务、软件更新服务、巡检服务、系统健康检查服务</w:t>
            </w:r>
            <w:r>
              <w:rPr>
                <w:rFonts w:hint="eastAsia" w:asciiTheme="minorEastAsia" w:hAnsiTheme="minorEastAsia" w:eastAsiaTheme="minorEastAsia" w:cstheme="minorEastAsia"/>
                <w:sz w:val="24"/>
                <w:szCs w:val="24"/>
                <w:lang w:val="zh-CN"/>
              </w:rPr>
              <w:t>、系统巡检、系统安全防范及整改、系统优化升级、软件漏洞修复、</w:t>
            </w:r>
            <w:r>
              <w:rPr>
                <w:rFonts w:hint="eastAsia" w:asciiTheme="minorEastAsia" w:hAnsiTheme="minorEastAsia" w:eastAsiaTheme="minorEastAsia" w:cstheme="minorEastAsia"/>
                <w:sz w:val="24"/>
                <w:szCs w:val="24"/>
              </w:rPr>
              <w:t>技术支持服务和应急保障服务等，协助业主方开展设备系统优化、业务迁移及割接等工作。</w:t>
            </w:r>
          </w:p>
          <w:p w14:paraId="64CD43BA">
            <w:pPr>
              <w:spacing w:after="156"/>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3、提供巡检服务不少于4次/年。</w:t>
            </w:r>
          </w:p>
          <w:p w14:paraId="43C29448">
            <w:pPr>
              <w:spacing w:after="156"/>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4、客户跟踪服务</w:t>
            </w:r>
          </w:p>
          <w:p w14:paraId="0DE25C76">
            <w:pPr>
              <w:spacing w:after="156"/>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由</w:t>
            </w:r>
            <w:r>
              <w:rPr>
                <w:rFonts w:hint="eastAsia" w:asciiTheme="minorEastAsia" w:hAnsiTheme="minorEastAsia" w:eastAsiaTheme="minorEastAsia" w:cstheme="minorEastAsia"/>
                <w:sz w:val="24"/>
                <w:szCs w:val="24"/>
                <w:lang w:eastAsia="zh-CN"/>
              </w:rPr>
              <w:t>中标人</w:t>
            </w:r>
            <w:r>
              <w:rPr>
                <w:rFonts w:hint="eastAsia" w:asciiTheme="minorEastAsia" w:hAnsiTheme="minorEastAsia" w:eastAsiaTheme="minorEastAsia" w:cstheme="minorEastAsia"/>
                <w:sz w:val="24"/>
                <w:szCs w:val="24"/>
              </w:rPr>
              <w:t>专人定期对</w:t>
            </w:r>
            <w:r>
              <w:rPr>
                <w:rFonts w:hint="eastAsia" w:asciiTheme="minorEastAsia" w:hAnsiTheme="minorEastAsia" w:eastAsiaTheme="minorEastAsia" w:cstheme="minorEastAsia"/>
                <w:sz w:val="24"/>
                <w:szCs w:val="24"/>
                <w:lang w:eastAsia="zh-CN"/>
              </w:rPr>
              <w:t>招标人</w:t>
            </w:r>
            <w:r>
              <w:rPr>
                <w:rFonts w:hint="eastAsia" w:asciiTheme="minorEastAsia" w:hAnsiTheme="minorEastAsia" w:eastAsiaTheme="minorEastAsia" w:cstheme="minorEastAsia"/>
                <w:sz w:val="24"/>
                <w:szCs w:val="24"/>
              </w:rPr>
              <w:t>进行相应调查，了解系统运营状况，及</w:t>
            </w:r>
            <w:r>
              <w:rPr>
                <w:rFonts w:hint="eastAsia" w:asciiTheme="minorEastAsia" w:hAnsiTheme="minorEastAsia" w:eastAsiaTheme="minorEastAsia" w:cstheme="minorEastAsia"/>
                <w:sz w:val="24"/>
                <w:szCs w:val="24"/>
                <w:lang w:eastAsia="zh-CN"/>
              </w:rPr>
              <w:t>招标人</w:t>
            </w:r>
            <w:r>
              <w:rPr>
                <w:rFonts w:hint="eastAsia" w:asciiTheme="minorEastAsia" w:hAnsiTheme="minorEastAsia" w:eastAsiaTheme="minorEastAsia" w:cstheme="minorEastAsia"/>
                <w:sz w:val="24"/>
                <w:szCs w:val="24"/>
              </w:rPr>
              <w:t>需要</w:t>
            </w:r>
            <w:r>
              <w:rPr>
                <w:rFonts w:hint="eastAsia" w:asciiTheme="minorEastAsia" w:hAnsiTheme="minorEastAsia" w:eastAsiaTheme="minorEastAsia" w:cstheme="minorEastAsia"/>
                <w:sz w:val="24"/>
                <w:szCs w:val="24"/>
                <w:lang w:eastAsia="zh-CN"/>
              </w:rPr>
              <w:t>中标人</w:t>
            </w:r>
            <w:r>
              <w:rPr>
                <w:rFonts w:hint="eastAsia" w:asciiTheme="minorEastAsia" w:hAnsiTheme="minorEastAsia" w:eastAsiaTheme="minorEastAsia" w:cstheme="minorEastAsia"/>
                <w:sz w:val="24"/>
                <w:szCs w:val="24"/>
              </w:rPr>
              <w:t>提供服务的方面，并对调查结果进行统计分析，由</w:t>
            </w:r>
            <w:r>
              <w:rPr>
                <w:rFonts w:hint="eastAsia" w:asciiTheme="minorEastAsia" w:hAnsiTheme="minorEastAsia" w:eastAsiaTheme="minorEastAsia" w:cstheme="minorEastAsia"/>
                <w:sz w:val="24"/>
                <w:szCs w:val="24"/>
                <w:lang w:eastAsia="zh-CN"/>
              </w:rPr>
              <w:t>中标人</w:t>
            </w:r>
            <w:r>
              <w:rPr>
                <w:rFonts w:hint="eastAsia" w:asciiTheme="minorEastAsia" w:hAnsiTheme="minorEastAsia" w:eastAsiaTheme="minorEastAsia" w:cstheme="minorEastAsia"/>
                <w:sz w:val="24"/>
                <w:szCs w:val="24"/>
              </w:rPr>
              <w:t>专人根据</w:t>
            </w:r>
            <w:r>
              <w:rPr>
                <w:rFonts w:hint="eastAsia" w:asciiTheme="minorEastAsia" w:hAnsiTheme="minorEastAsia" w:eastAsiaTheme="minorEastAsia" w:cstheme="minorEastAsia"/>
                <w:sz w:val="24"/>
                <w:szCs w:val="24"/>
                <w:lang w:eastAsia="zh-CN"/>
              </w:rPr>
              <w:t>招标人</w:t>
            </w:r>
            <w:r>
              <w:rPr>
                <w:rFonts w:hint="eastAsia" w:asciiTheme="minorEastAsia" w:hAnsiTheme="minorEastAsia" w:eastAsiaTheme="minorEastAsia" w:cstheme="minorEastAsia"/>
                <w:sz w:val="24"/>
                <w:szCs w:val="24"/>
              </w:rPr>
              <w:t>业务进展的发展变化提出新的解决方案，扩大业务范围，提供新的市场机会。</w:t>
            </w:r>
          </w:p>
        </w:tc>
        <w:tc>
          <w:tcPr>
            <w:tcW w:w="424" w:type="pct"/>
            <w:vAlign w:val="center"/>
          </w:tcPr>
          <w:p w14:paraId="1C3E9190">
            <w:pPr>
              <w:spacing w:line="240" w:lineRule="auto"/>
              <w:jc w:val="center"/>
              <w:rPr>
                <w:rFonts w:hint="eastAsia" w:asciiTheme="minorEastAsia" w:hAnsiTheme="minorEastAsia" w:eastAsiaTheme="minorEastAsia" w:cstheme="minorEastAsia"/>
                <w:sz w:val="24"/>
                <w:szCs w:val="24"/>
              </w:rPr>
            </w:pPr>
          </w:p>
        </w:tc>
        <w:tc>
          <w:tcPr>
            <w:tcW w:w="283" w:type="pct"/>
            <w:vAlign w:val="center"/>
          </w:tcPr>
          <w:p w14:paraId="10B96DF5">
            <w:pPr>
              <w:spacing w:line="200" w:lineRule="atLeast"/>
              <w:jc w:val="center"/>
              <w:rPr>
                <w:rFonts w:hint="eastAsia" w:asciiTheme="minorEastAsia" w:hAnsiTheme="minorEastAsia" w:eastAsiaTheme="minorEastAsia" w:cstheme="minorEastAsia"/>
                <w:sz w:val="24"/>
                <w:szCs w:val="24"/>
              </w:rPr>
            </w:pPr>
          </w:p>
        </w:tc>
      </w:tr>
      <w:tr w14:paraId="685E8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82" w:type="pct"/>
            <w:vAlign w:val="center"/>
          </w:tcPr>
          <w:p w14:paraId="7DDE9490">
            <w:pPr>
              <w:numPr>
                <w:ilvl w:val="0"/>
                <w:numId w:val="3"/>
              </w:numPr>
              <w:spacing w:line="200" w:lineRule="atLeast"/>
              <w:jc w:val="center"/>
              <w:rPr>
                <w:rFonts w:hint="eastAsia" w:asciiTheme="minorEastAsia" w:hAnsiTheme="minorEastAsia" w:eastAsiaTheme="minorEastAsia" w:cstheme="minorEastAsia"/>
                <w:sz w:val="24"/>
                <w:szCs w:val="24"/>
              </w:rPr>
            </w:pPr>
          </w:p>
        </w:tc>
        <w:tc>
          <w:tcPr>
            <w:tcW w:w="281" w:type="pct"/>
            <w:vMerge w:val="continue"/>
            <w:vAlign w:val="center"/>
          </w:tcPr>
          <w:p w14:paraId="45E0F59A">
            <w:pPr>
              <w:jc w:val="left"/>
              <w:rPr>
                <w:rFonts w:hint="eastAsia" w:asciiTheme="minorEastAsia" w:hAnsiTheme="minorEastAsia" w:eastAsiaTheme="minorEastAsia" w:cstheme="minorEastAsia"/>
                <w:sz w:val="24"/>
                <w:szCs w:val="24"/>
                <w:lang w:eastAsia="zh-CN"/>
              </w:rPr>
            </w:pPr>
          </w:p>
        </w:tc>
        <w:tc>
          <w:tcPr>
            <w:tcW w:w="3828" w:type="pct"/>
            <w:vAlign w:val="center"/>
          </w:tcPr>
          <w:p w14:paraId="7195E12E">
            <w:pPr>
              <w:spacing w:after="156"/>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（二）服务等级要求</w:t>
            </w:r>
          </w:p>
          <w:p w14:paraId="319CB615">
            <w:pPr>
              <w:spacing w:after="156"/>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1、故障级别定义</w:t>
            </w:r>
          </w:p>
          <w:tbl>
            <w:tblPr>
              <w:tblStyle w:val="15"/>
              <w:tblpPr w:leftFromText="180" w:rightFromText="180" w:vertAnchor="text" w:horzAnchor="page" w:tblpXSpec="center" w:tblpY="225"/>
              <w:tblOverlap w:val="never"/>
              <w:tblW w:w="5000" w:type="pct"/>
              <w:jc w:val="center"/>
              <w:tblLayout w:type="fixed"/>
              <w:tblCellMar>
                <w:top w:w="0" w:type="dxa"/>
                <w:left w:w="108" w:type="dxa"/>
                <w:bottom w:w="0" w:type="dxa"/>
                <w:right w:w="108" w:type="dxa"/>
              </w:tblCellMar>
            </w:tblPr>
            <w:tblGrid>
              <w:gridCol w:w="2311"/>
              <w:gridCol w:w="4871"/>
              <w:gridCol w:w="3446"/>
            </w:tblGrid>
            <w:tr w14:paraId="09E1D0F6">
              <w:tblPrEx>
                <w:tblCellMar>
                  <w:top w:w="0" w:type="dxa"/>
                  <w:left w:w="108" w:type="dxa"/>
                  <w:bottom w:w="0" w:type="dxa"/>
                  <w:right w:w="108" w:type="dxa"/>
                </w:tblCellMar>
              </w:tblPrEx>
              <w:trPr>
                <w:trHeight w:val="170" w:hRule="atLeast"/>
                <w:jc w:val="center"/>
              </w:trPr>
              <w:tc>
                <w:tcPr>
                  <w:tcW w:w="1087" w:type="pct"/>
                  <w:tcBorders>
                    <w:top w:val="single" w:color="auto" w:sz="12" w:space="0"/>
                    <w:left w:val="single" w:color="auto" w:sz="12" w:space="0"/>
                    <w:bottom w:val="single" w:color="auto" w:sz="4" w:space="0"/>
                    <w:right w:val="single" w:color="auto" w:sz="4" w:space="0"/>
                  </w:tcBorders>
                  <w:vAlign w:val="center"/>
                </w:tcPr>
                <w:p w14:paraId="30D482A6">
                  <w:pPr>
                    <w:adjustRightInd w:val="0"/>
                    <w:snapToGrid w:val="0"/>
                    <w:spacing w:after="156"/>
                    <w:jc w:val="center"/>
                    <w:rPr>
                      <w:rFonts w:hint="eastAsia" w:asciiTheme="minorEastAsia" w:hAnsiTheme="minorEastAsia" w:eastAsiaTheme="minorEastAsia" w:cstheme="minorEastAsia"/>
                      <w:color w:val="000000"/>
                      <w:sz w:val="24"/>
                      <w:szCs w:val="24"/>
                    </w:rPr>
                  </w:pPr>
                  <w:bookmarkStart w:id="4" w:name="_Toc514140370"/>
                  <w:r>
                    <w:rPr>
                      <w:rFonts w:hint="eastAsia" w:asciiTheme="minorEastAsia" w:hAnsiTheme="minorEastAsia" w:eastAsiaTheme="minorEastAsia" w:cstheme="minorEastAsia"/>
                      <w:color w:val="000000"/>
                      <w:sz w:val="24"/>
                      <w:szCs w:val="24"/>
                    </w:rPr>
                    <w:t>服务项目</w:t>
                  </w:r>
                </w:p>
              </w:tc>
              <w:tc>
                <w:tcPr>
                  <w:tcW w:w="3912" w:type="pct"/>
                  <w:gridSpan w:val="2"/>
                  <w:tcBorders>
                    <w:top w:val="single" w:color="auto" w:sz="12" w:space="0"/>
                    <w:left w:val="single" w:color="auto" w:sz="4" w:space="0"/>
                    <w:bottom w:val="single" w:color="auto" w:sz="4" w:space="0"/>
                    <w:right w:val="single" w:color="auto" w:sz="12" w:space="0"/>
                  </w:tcBorders>
                  <w:vAlign w:val="center"/>
                </w:tcPr>
                <w:p w14:paraId="2661BEFB">
                  <w:pPr>
                    <w:adjustRightInd w:val="0"/>
                    <w:snapToGrid w:val="0"/>
                    <w:spacing w:after="156"/>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服务等级</w:t>
                  </w:r>
                </w:p>
              </w:tc>
            </w:tr>
            <w:tr w14:paraId="6244E942">
              <w:tblPrEx>
                <w:tblCellMar>
                  <w:top w:w="0" w:type="dxa"/>
                  <w:left w:w="108" w:type="dxa"/>
                  <w:bottom w:w="0" w:type="dxa"/>
                  <w:right w:w="108" w:type="dxa"/>
                </w:tblCellMar>
              </w:tblPrEx>
              <w:trPr>
                <w:trHeight w:val="170" w:hRule="atLeast"/>
                <w:jc w:val="center"/>
              </w:trPr>
              <w:tc>
                <w:tcPr>
                  <w:tcW w:w="1087" w:type="pct"/>
                  <w:tcBorders>
                    <w:top w:val="single" w:color="auto" w:sz="4" w:space="0"/>
                    <w:left w:val="single" w:color="auto" w:sz="12" w:space="0"/>
                    <w:bottom w:val="single" w:color="auto" w:sz="4" w:space="0"/>
                    <w:right w:val="single" w:color="auto" w:sz="4" w:space="0"/>
                  </w:tcBorders>
                  <w:vAlign w:val="center"/>
                </w:tcPr>
                <w:p w14:paraId="2E38A528">
                  <w:pPr>
                    <w:adjustRightInd w:val="0"/>
                    <w:snapToGrid w:val="0"/>
                    <w:spacing w:after="156"/>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电话咨询服务</w:t>
                  </w:r>
                </w:p>
              </w:tc>
              <w:tc>
                <w:tcPr>
                  <w:tcW w:w="3912" w:type="pct"/>
                  <w:gridSpan w:val="2"/>
                  <w:tcBorders>
                    <w:top w:val="single" w:color="auto" w:sz="4" w:space="0"/>
                    <w:left w:val="single" w:color="auto" w:sz="4" w:space="0"/>
                    <w:bottom w:val="single" w:color="auto" w:sz="4" w:space="0"/>
                    <w:right w:val="single" w:color="auto" w:sz="12" w:space="0"/>
                  </w:tcBorders>
                  <w:vAlign w:val="center"/>
                </w:tcPr>
                <w:p w14:paraId="7C5E1E0A">
                  <w:pPr>
                    <w:adjustRightInd w:val="0"/>
                    <w:snapToGrid w:val="0"/>
                    <w:spacing w:after="156"/>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1、受理时间：7x24</w:t>
                  </w:r>
                </w:p>
                <w:p w14:paraId="05BD224B">
                  <w:pPr>
                    <w:adjustRightInd w:val="0"/>
                    <w:snapToGrid w:val="0"/>
                    <w:spacing w:after="156"/>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2、响应时间：≤15分钟</w:t>
                  </w:r>
                </w:p>
              </w:tc>
            </w:tr>
            <w:tr w14:paraId="4BCA6203">
              <w:tblPrEx>
                <w:tblCellMar>
                  <w:top w:w="0" w:type="dxa"/>
                  <w:left w:w="108" w:type="dxa"/>
                  <w:bottom w:w="0" w:type="dxa"/>
                  <w:right w:w="108" w:type="dxa"/>
                </w:tblCellMar>
              </w:tblPrEx>
              <w:trPr>
                <w:trHeight w:val="90" w:hRule="atLeast"/>
                <w:jc w:val="center"/>
              </w:trPr>
              <w:tc>
                <w:tcPr>
                  <w:tcW w:w="1087" w:type="pct"/>
                  <w:tcBorders>
                    <w:top w:val="single" w:color="auto" w:sz="4" w:space="0"/>
                    <w:left w:val="single" w:color="auto" w:sz="12" w:space="0"/>
                    <w:bottom w:val="single" w:color="auto" w:sz="4" w:space="0"/>
                    <w:right w:val="single" w:color="auto" w:sz="4" w:space="0"/>
                  </w:tcBorders>
                  <w:vAlign w:val="center"/>
                </w:tcPr>
                <w:p w14:paraId="440D5138">
                  <w:pPr>
                    <w:adjustRightInd w:val="0"/>
                    <w:snapToGrid w:val="0"/>
                    <w:spacing w:after="156"/>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电话支持服务</w:t>
                  </w:r>
                </w:p>
              </w:tc>
              <w:tc>
                <w:tcPr>
                  <w:tcW w:w="2291" w:type="pct"/>
                  <w:tcBorders>
                    <w:top w:val="single" w:color="auto" w:sz="4" w:space="0"/>
                    <w:left w:val="single" w:color="auto" w:sz="4" w:space="0"/>
                    <w:bottom w:val="single" w:color="auto" w:sz="4" w:space="0"/>
                    <w:right w:val="single" w:color="auto" w:sz="4" w:space="0"/>
                  </w:tcBorders>
                  <w:vAlign w:val="center"/>
                </w:tcPr>
                <w:p w14:paraId="1928A888">
                  <w:pPr>
                    <w:adjustRightInd w:val="0"/>
                    <w:snapToGrid w:val="0"/>
                    <w:spacing w:after="156"/>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响应时间：≤ 15分钟；</w:t>
                  </w:r>
                </w:p>
              </w:tc>
              <w:tc>
                <w:tcPr>
                  <w:tcW w:w="1621" w:type="pct"/>
                  <w:vMerge w:val="restart"/>
                  <w:tcBorders>
                    <w:top w:val="single" w:color="auto" w:sz="4" w:space="0"/>
                    <w:left w:val="single" w:color="auto" w:sz="4" w:space="0"/>
                    <w:bottom w:val="single" w:color="auto" w:sz="4" w:space="0"/>
                    <w:right w:val="single" w:color="auto" w:sz="12" w:space="0"/>
                  </w:tcBorders>
                  <w:vAlign w:val="center"/>
                </w:tcPr>
                <w:p w14:paraId="68BA6495">
                  <w:pPr>
                    <w:adjustRightInd w:val="0"/>
                    <w:snapToGrid w:val="0"/>
                    <w:spacing w:after="156"/>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问题解决率：</w:t>
                  </w:r>
                </w:p>
                <w:p w14:paraId="306CBF12">
                  <w:pPr>
                    <w:adjustRightInd w:val="0"/>
                    <w:snapToGrid w:val="0"/>
                    <w:spacing w:after="156"/>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二级问题：1个自然日内解决；</w:t>
                  </w:r>
                </w:p>
                <w:p w14:paraId="6F72D049">
                  <w:pPr>
                    <w:adjustRightInd w:val="0"/>
                    <w:snapToGrid w:val="0"/>
                    <w:spacing w:after="156"/>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三级问题：3个自然日内解决。</w:t>
                  </w:r>
                </w:p>
              </w:tc>
            </w:tr>
            <w:tr w14:paraId="7B247165">
              <w:tblPrEx>
                <w:tblCellMar>
                  <w:top w:w="0" w:type="dxa"/>
                  <w:left w:w="108" w:type="dxa"/>
                  <w:bottom w:w="0" w:type="dxa"/>
                  <w:right w:w="108" w:type="dxa"/>
                </w:tblCellMar>
              </w:tblPrEx>
              <w:trPr>
                <w:trHeight w:val="170" w:hRule="atLeast"/>
                <w:jc w:val="center"/>
              </w:trPr>
              <w:tc>
                <w:tcPr>
                  <w:tcW w:w="1087" w:type="pct"/>
                  <w:tcBorders>
                    <w:top w:val="single" w:color="auto" w:sz="4" w:space="0"/>
                    <w:left w:val="single" w:color="auto" w:sz="12" w:space="0"/>
                    <w:bottom w:val="single" w:color="auto" w:sz="4" w:space="0"/>
                    <w:right w:val="single" w:color="auto" w:sz="4" w:space="0"/>
                  </w:tcBorders>
                  <w:vAlign w:val="center"/>
                </w:tcPr>
                <w:p w14:paraId="01D14A2C">
                  <w:pPr>
                    <w:adjustRightInd w:val="0"/>
                    <w:snapToGrid w:val="0"/>
                    <w:spacing w:after="156"/>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远程技术支持服务</w:t>
                  </w:r>
                </w:p>
              </w:tc>
              <w:tc>
                <w:tcPr>
                  <w:tcW w:w="2291" w:type="pct"/>
                  <w:tcBorders>
                    <w:top w:val="single" w:color="auto" w:sz="4" w:space="0"/>
                    <w:left w:val="single" w:color="auto" w:sz="4" w:space="0"/>
                    <w:bottom w:val="single" w:color="auto" w:sz="4" w:space="0"/>
                    <w:right w:val="single" w:color="auto" w:sz="4" w:space="0"/>
                  </w:tcBorders>
                  <w:vAlign w:val="center"/>
                </w:tcPr>
                <w:p w14:paraId="507F4963">
                  <w:pPr>
                    <w:adjustRightInd w:val="0"/>
                    <w:snapToGrid w:val="0"/>
                    <w:spacing w:after="156"/>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响应时间：≤ 15分钟；</w:t>
                  </w:r>
                </w:p>
              </w:tc>
              <w:tc>
                <w:tcPr>
                  <w:tcW w:w="1621" w:type="pct"/>
                  <w:vMerge w:val="continue"/>
                  <w:tcBorders>
                    <w:top w:val="single" w:color="auto" w:sz="4" w:space="0"/>
                    <w:left w:val="single" w:color="auto" w:sz="4" w:space="0"/>
                    <w:bottom w:val="single" w:color="auto" w:sz="4" w:space="0"/>
                    <w:right w:val="single" w:color="auto" w:sz="12" w:space="0"/>
                  </w:tcBorders>
                  <w:vAlign w:val="center"/>
                </w:tcPr>
                <w:p w14:paraId="5D72F287">
                  <w:pPr>
                    <w:widowControl/>
                    <w:adjustRightInd w:val="0"/>
                    <w:snapToGrid w:val="0"/>
                    <w:spacing w:after="156"/>
                    <w:jc w:val="left"/>
                    <w:rPr>
                      <w:rFonts w:hint="eastAsia" w:asciiTheme="minorEastAsia" w:hAnsiTheme="minorEastAsia" w:eastAsiaTheme="minorEastAsia" w:cstheme="minorEastAsia"/>
                      <w:color w:val="000000"/>
                      <w:sz w:val="24"/>
                      <w:szCs w:val="24"/>
                    </w:rPr>
                  </w:pPr>
                </w:p>
              </w:tc>
            </w:tr>
            <w:tr w14:paraId="59EF9B76">
              <w:tblPrEx>
                <w:tblCellMar>
                  <w:top w:w="0" w:type="dxa"/>
                  <w:left w:w="108" w:type="dxa"/>
                  <w:bottom w:w="0" w:type="dxa"/>
                  <w:right w:w="108" w:type="dxa"/>
                </w:tblCellMar>
              </w:tblPrEx>
              <w:trPr>
                <w:trHeight w:val="170" w:hRule="atLeast"/>
                <w:jc w:val="center"/>
              </w:trPr>
              <w:tc>
                <w:tcPr>
                  <w:tcW w:w="1087" w:type="pct"/>
                  <w:tcBorders>
                    <w:top w:val="single" w:color="auto" w:sz="4" w:space="0"/>
                    <w:left w:val="single" w:color="auto" w:sz="12" w:space="0"/>
                    <w:bottom w:val="single" w:color="auto" w:sz="4" w:space="0"/>
                    <w:right w:val="single" w:color="auto" w:sz="4" w:space="0"/>
                  </w:tcBorders>
                  <w:vAlign w:val="center"/>
                </w:tcPr>
                <w:p w14:paraId="18A731BB">
                  <w:pPr>
                    <w:adjustRightInd w:val="0"/>
                    <w:snapToGrid w:val="0"/>
                    <w:spacing w:after="156"/>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现场技术支持服务</w:t>
                  </w:r>
                </w:p>
              </w:tc>
              <w:tc>
                <w:tcPr>
                  <w:tcW w:w="2291" w:type="pct"/>
                  <w:tcBorders>
                    <w:top w:val="single" w:color="auto" w:sz="4" w:space="0"/>
                    <w:left w:val="single" w:color="auto" w:sz="4" w:space="0"/>
                    <w:bottom w:val="single" w:color="auto" w:sz="4" w:space="0"/>
                    <w:right w:val="single" w:color="auto" w:sz="4" w:space="0"/>
                  </w:tcBorders>
                  <w:vAlign w:val="center"/>
                </w:tcPr>
                <w:p w14:paraId="5ED0F4F4">
                  <w:pPr>
                    <w:adjustRightInd w:val="0"/>
                    <w:snapToGrid w:val="0"/>
                    <w:spacing w:after="156"/>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1、到达现场时间：&lt; 2小时</w:t>
                  </w:r>
                </w:p>
              </w:tc>
              <w:tc>
                <w:tcPr>
                  <w:tcW w:w="1621" w:type="pct"/>
                  <w:vMerge w:val="continue"/>
                  <w:tcBorders>
                    <w:top w:val="single" w:color="auto" w:sz="4" w:space="0"/>
                    <w:left w:val="single" w:color="auto" w:sz="4" w:space="0"/>
                    <w:bottom w:val="single" w:color="auto" w:sz="4" w:space="0"/>
                    <w:right w:val="single" w:color="auto" w:sz="12" w:space="0"/>
                  </w:tcBorders>
                  <w:vAlign w:val="center"/>
                </w:tcPr>
                <w:p w14:paraId="14C1E5B1">
                  <w:pPr>
                    <w:widowControl/>
                    <w:adjustRightInd w:val="0"/>
                    <w:snapToGrid w:val="0"/>
                    <w:spacing w:after="156"/>
                    <w:jc w:val="left"/>
                    <w:rPr>
                      <w:rFonts w:hint="eastAsia" w:asciiTheme="minorEastAsia" w:hAnsiTheme="minorEastAsia" w:eastAsiaTheme="minorEastAsia" w:cstheme="minorEastAsia"/>
                      <w:color w:val="000000"/>
                      <w:sz w:val="24"/>
                      <w:szCs w:val="24"/>
                    </w:rPr>
                  </w:pPr>
                </w:p>
              </w:tc>
            </w:tr>
            <w:tr w14:paraId="2CB83CB9">
              <w:tblPrEx>
                <w:tblCellMar>
                  <w:top w:w="0" w:type="dxa"/>
                  <w:left w:w="108" w:type="dxa"/>
                  <w:bottom w:w="0" w:type="dxa"/>
                  <w:right w:w="108" w:type="dxa"/>
                </w:tblCellMar>
              </w:tblPrEx>
              <w:trPr>
                <w:trHeight w:val="170" w:hRule="atLeast"/>
                <w:jc w:val="center"/>
              </w:trPr>
              <w:tc>
                <w:tcPr>
                  <w:tcW w:w="1087" w:type="pct"/>
                  <w:tcBorders>
                    <w:top w:val="single" w:color="auto" w:sz="4" w:space="0"/>
                    <w:left w:val="single" w:color="auto" w:sz="12" w:space="0"/>
                    <w:bottom w:val="single" w:color="auto" w:sz="4" w:space="0"/>
                    <w:right w:val="single" w:color="auto" w:sz="4" w:space="0"/>
                  </w:tcBorders>
                  <w:vAlign w:val="center"/>
                </w:tcPr>
                <w:p w14:paraId="4E579CFE">
                  <w:pPr>
                    <w:adjustRightInd w:val="0"/>
                    <w:snapToGrid w:val="0"/>
                    <w:spacing w:after="156"/>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紧急故障排除服务</w:t>
                  </w:r>
                </w:p>
              </w:tc>
              <w:tc>
                <w:tcPr>
                  <w:tcW w:w="2291" w:type="pct"/>
                  <w:tcBorders>
                    <w:top w:val="single" w:color="auto" w:sz="4" w:space="0"/>
                    <w:left w:val="single" w:color="auto" w:sz="4" w:space="0"/>
                    <w:bottom w:val="single" w:color="auto" w:sz="4" w:space="0"/>
                    <w:right w:val="single" w:color="auto" w:sz="4" w:space="0"/>
                  </w:tcBorders>
                  <w:vAlign w:val="center"/>
                </w:tcPr>
                <w:p w14:paraId="4C770985">
                  <w:pPr>
                    <w:adjustRightInd w:val="0"/>
                    <w:snapToGrid w:val="0"/>
                    <w:spacing w:after="156"/>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一级问题：</w:t>
                  </w:r>
                </w:p>
                <w:p w14:paraId="04529690">
                  <w:pPr>
                    <w:adjustRightInd w:val="0"/>
                    <w:snapToGrid w:val="0"/>
                    <w:spacing w:after="156"/>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电话响应时间：&lt; 10分钟；</w:t>
                  </w:r>
                </w:p>
                <w:p w14:paraId="5160214C">
                  <w:pPr>
                    <w:adjustRightInd w:val="0"/>
                    <w:snapToGrid w:val="0"/>
                    <w:spacing w:after="156"/>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远程接入响应时间：&lt; 15分钟；到达现场时间：&lt; 2小时。</w:t>
                  </w:r>
                </w:p>
              </w:tc>
              <w:tc>
                <w:tcPr>
                  <w:tcW w:w="1621" w:type="pct"/>
                  <w:tcBorders>
                    <w:top w:val="single" w:color="auto" w:sz="4" w:space="0"/>
                    <w:left w:val="single" w:color="auto" w:sz="4" w:space="0"/>
                    <w:bottom w:val="single" w:color="auto" w:sz="4" w:space="0"/>
                    <w:right w:val="single" w:color="auto" w:sz="12" w:space="0"/>
                  </w:tcBorders>
                  <w:vAlign w:val="center"/>
                </w:tcPr>
                <w:p w14:paraId="2E2747B3">
                  <w:pPr>
                    <w:adjustRightInd w:val="0"/>
                    <w:snapToGrid w:val="0"/>
                    <w:spacing w:after="156"/>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紧急故障恢复时间：</w:t>
                  </w:r>
                </w:p>
                <w:p w14:paraId="1A5F2591">
                  <w:pPr>
                    <w:adjustRightInd w:val="0"/>
                    <w:snapToGrid w:val="0"/>
                    <w:spacing w:after="156"/>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&lt; 4小时</w:t>
                  </w:r>
                </w:p>
              </w:tc>
            </w:tr>
            <w:tr w14:paraId="3D2D0B35">
              <w:tblPrEx>
                <w:tblCellMar>
                  <w:top w:w="0" w:type="dxa"/>
                  <w:left w:w="108" w:type="dxa"/>
                  <w:bottom w:w="0" w:type="dxa"/>
                  <w:right w:w="108" w:type="dxa"/>
                </w:tblCellMar>
              </w:tblPrEx>
              <w:trPr>
                <w:trHeight w:val="170" w:hRule="atLeast"/>
                <w:jc w:val="center"/>
              </w:trPr>
              <w:tc>
                <w:tcPr>
                  <w:tcW w:w="1087" w:type="pct"/>
                  <w:tcBorders>
                    <w:top w:val="single" w:color="auto" w:sz="4" w:space="0"/>
                    <w:left w:val="single" w:color="auto" w:sz="12" w:space="0"/>
                    <w:bottom w:val="single" w:color="auto" w:sz="4" w:space="0"/>
                    <w:right w:val="single" w:color="auto" w:sz="4" w:space="0"/>
                  </w:tcBorders>
                  <w:vAlign w:val="center"/>
                </w:tcPr>
                <w:p w14:paraId="7E9335D8">
                  <w:pPr>
                    <w:adjustRightInd w:val="0"/>
                    <w:snapToGrid w:val="0"/>
                    <w:spacing w:after="156"/>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软件系统巡检服务</w:t>
                  </w:r>
                </w:p>
              </w:tc>
              <w:tc>
                <w:tcPr>
                  <w:tcW w:w="3912" w:type="pct"/>
                  <w:gridSpan w:val="2"/>
                  <w:tcBorders>
                    <w:top w:val="single" w:color="auto" w:sz="4" w:space="0"/>
                    <w:left w:val="single" w:color="auto" w:sz="4" w:space="0"/>
                    <w:bottom w:val="single" w:color="auto" w:sz="4" w:space="0"/>
                    <w:right w:val="single" w:color="auto" w:sz="12" w:space="0"/>
                  </w:tcBorders>
                  <w:vAlign w:val="center"/>
                </w:tcPr>
                <w:p w14:paraId="3CE7FFCC">
                  <w:pPr>
                    <w:adjustRightInd w:val="0"/>
                    <w:snapToGrid w:val="0"/>
                    <w:spacing w:after="156"/>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≥4次/年</w:t>
                  </w:r>
                </w:p>
              </w:tc>
            </w:tr>
            <w:tr w14:paraId="662B624E">
              <w:tblPrEx>
                <w:tblCellMar>
                  <w:top w:w="0" w:type="dxa"/>
                  <w:left w:w="108" w:type="dxa"/>
                  <w:bottom w:w="0" w:type="dxa"/>
                  <w:right w:w="108" w:type="dxa"/>
                </w:tblCellMar>
              </w:tblPrEx>
              <w:trPr>
                <w:trHeight w:val="170" w:hRule="atLeast"/>
                <w:jc w:val="center"/>
              </w:trPr>
              <w:tc>
                <w:tcPr>
                  <w:tcW w:w="1087" w:type="pct"/>
                  <w:tcBorders>
                    <w:top w:val="single" w:color="auto" w:sz="4" w:space="0"/>
                    <w:left w:val="single" w:color="auto" w:sz="12" w:space="0"/>
                    <w:bottom w:val="single" w:color="auto" w:sz="4" w:space="0"/>
                    <w:right w:val="single" w:color="auto" w:sz="4" w:space="0"/>
                  </w:tcBorders>
                  <w:vAlign w:val="center"/>
                </w:tcPr>
                <w:p w14:paraId="606AEF9E">
                  <w:pPr>
                    <w:adjustRightInd w:val="0"/>
                    <w:snapToGrid w:val="0"/>
                    <w:spacing w:after="156"/>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故障件维修服务</w:t>
                  </w:r>
                </w:p>
              </w:tc>
              <w:tc>
                <w:tcPr>
                  <w:tcW w:w="3912" w:type="pct"/>
                  <w:gridSpan w:val="2"/>
                  <w:tcBorders>
                    <w:top w:val="single" w:color="auto" w:sz="4" w:space="0"/>
                    <w:left w:val="single" w:color="auto" w:sz="4" w:space="0"/>
                    <w:bottom w:val="single" w:color="auto" w:sz="4" w:space="0"/>
                    <w:right w:val="single" w:color="auto" w:sz="12" w:space="0"/>
                  </w:tcBorders>
                  <w:vAlign w:val="center"/>
                </w:tcPr>
                <w:p w14:paraId="690C5D5A">
                  <w:pPr>
                    <w:adjustRightInd w:val="0"/>
                    <w:snapToGrid w:val="0"/>
                    <w:spacing w:after="156"/>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不包含</w:t>
                  </w:r>
                </w:p>
              </w:tc>
            </w:tr>
            <w:tr w14:paraId="67E0CE00">
              <w:tblPrEx>
                <w:tblCellMar>
                  <w:top w:w="0" w:type="dxa"/>
                  <w:left w:w="108" w:type="dxa"/>
                  <w:bottom w:w="0" w:type="dxa"/>
                  <w:right w:w="108" w:type="dxa"/>
                </w:tblCellMar>
              </w:tblPrEx>
              <w:trPr>
                <w:trHeight w:val="170" w:hRule="atLeast"/>
                <w:jc w:val="center"/>
              </w:trPr>
              <w:tc>
                <w:tcPr>
                  <w:tcW w:w="1087" w:type="pct"/>
                  <w:tcBorders>
                    <w:top w:val="single" w:color="auto" w:sz="4" w:space="0"/>
                    <w:left w:val="single" w:color="auto" w:sz="12" w:space="0"/>
                    <w:bottom w:val="single" w:color="auto" w:sz="4" w:space="0"/>
                    <w:right w:val="single" w:color="auto" w:sz="4" w:space="0"/>
                  </w:tcBorders>
                  <w:vAlign w:val="center"/>
                </w:tcPr>
                <w:p w14:paraId="08E566CE">
                  <w:pPr>
                    <w:adjustRightInd w:val="0"/>
                    <w:snapToGrid w:val="0"/>
                    <w:spacing w:after="156"/>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紧急备件支持服务</w:t>
                  </w:r>
                </w:p>
              </w:tc>
              <w:tc>
                <w:tcPr>
                  <w:tcW w:w="3912" w:type="pct"/>
                  <w:gridSpan w:val="2"/>
                  <w:tcBorders>
                    <w:top w:val="single" w:color="auto" w:sz="4" w:space="0"/>
                    <w:left w:val="single" w:color="auto" w:sz="4" w:space="0"/>
                    <w:bottom w:val="single" w:color="auto" w:sz="4" w:space="0"/>
                    <w:right w:val="single" w:color="auto" w:sz="12" w:space="0"/>
                  </w:tcBorders>
                  <w:vAlign w:val="center"/>
                </w:tcPr>
                <w:p w14:paraId="1889CB7E">
                  <w:pPr>
                    <w:adjustRightInd w:val="0"/>
                    <w:snapToGrid w:val="0"/>
                    <w:spacing w:after="156"/>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无</w:t>
                  </w:r>
                </w:p>
              </w:tc>
            </w:tr>
            <w:bookmarkEnd w:id="4"/>
          </w:tbl>
          <w:p w14:paraId="5C26CE9D">
            <w:pPr>
              <w:spacing w:after="156"/>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故障级别由出现问题对</w:t>
            </w:r>
            <w:r>
              <w:rPr>
                <w:rFonts w:hint="eastAsia" w:asciiTheme="minorEastAsia" w:hAnsiTheme="minorEastAsia" w:eastAsiaTheme="minorEastAsia" w:cstheme="minorEastAsia"/>
                <w:sz w:val="24"/>
                <w:szCs w:val="24"/>
                <w:lang w:eastAsia="zh-CN"/>
              </w:rPr>
              <w:t>招标人</w:t>
            </w:r>
            <w:r>
              <w:rPr>
                <w:rFonts w:hint="eastAsia" w:asciiTheme="minorEastAsia" w:hAnsiTheme="minorEastAsia" w:eastAsiaTheme="minorEastAsia" w:cstheme="minorEastAsia"/>
                <w:sz w:val="24"/>
                <w:szCs w:val="24"/>
              </w:rPr>
              <w:t>最终用户的影响的大小来决定。所有申请的级别都将由</w:t>
            </w:r>
            <w:r>
              <w:rPr>
                <w:rFonts w:hint="eastAsia" w:asciiTheme="minorEastAsia" w:hAnsiTheme="minorEastAsia" w:eastAsiaTheme="minorEastAsia" w:cstheme="minorEastAsia"/>
                <w:sz w:val="24"/>
                <w:szCs w:val="24"/>
                <w:lang w:eastAsia="zh-CN"/>
              </w:rPr>
              <w:t>招标人</w:t>
            </w:r>
            <w:r>
              <w:rPr>
                <w:rFonts w:hint="eastAsia" w:asciiTheme="minorEastAsia" w:hAnsiTheme="minorEastAsia" w:eastAsiaTheme="minorEastAsia" w:cstheme="minorEastAsia"/>
                <w:sz w:val="24"/>
                <w:szCs w:val="24"/>
              </w:rPr>
              <w:t>和</w:t>
            </w:r>
            <w:r>
              <w:rPr>
                <w:rFonts w:hint="eastAsia" w:asciiTheme="minorEastAsia" w:hAnsiTheme="minorEastAsia" w:eastAsiaTheme="minorEastAsia" w:cstheme="minorEastAsia"/>
                <w:sz w:val="24"/>
                <w:szCs w:val="24"/>
                <w:lang w:eastAsia="zh-CN"/>
              </w:rPr>
              <w:t>中标人</w:t>
            </w:r>
            <w:r>
              <w:rPr>
                <w:rFonts w:hint="eastAsia" w:asciiTheme="minorEastAsia" w:hAnsiTheme="minorEastAsia" w:eastAsiaTheme="minorEastAsia" w:cstheme="minorEastAsia"/>
                <w:sz w:val="24"/>
                <w:szCs w:val="24"/>
              </w:rPr>
              <w:t>支持机构共同决定，并以最终用户业务为重。</w:t>
            </w:r>
          </w:p>
          <w:p w14:paraId="65F4AB35">
            <w:pPr>
              <w:spacing w:after="156"/>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a)</w:t>
            </w:r>
            <w:r>
              <w:rPr>
                <w:rFonts w:hint="eastAsia" w:asciiTheme="minorEastAsia" w:hAnsiTheme="minorEastAsia" w:eastAsiaTheme="minorEastAsia" w:cstheme="minorEastAsia"/>
                <w:b/>
                <w:sz w:val="24"/>
                <w:szCs w:val="24"/>
              </w:rPr>
              <w:tab/>
            </w:r>
            <w:r>
              <w:rPr>
                <w:rFonts w:hint="eastAsia" w:asciiTheme="minorEastAsia" w:hAnsiTheme="minorEastAsia" w:eastAsiaTheme="minorEastAsia" w:cstheme="minorEastAsia"/>
                <w:b/>
                <w:sz w:val="24"/>
                <w:szCs w:val="24"/>
              </w:rPr>
              <w:t xml:space="preserve">一级故障 </w:t>
            </w:r>
          </w:p>
          <w:p w14:paraId="2891863D">
            <w:pPr>
              <w:spacing w:after="156"/>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-在商业、经济、技术、安全等方面给最终用户造成重大损失的故障。</w:t>
            </w:r>
          </w:p>
          <w:p w14:paraId="7CB65E72">
            <w:pPr>
              <w:spacing w:after="156"/>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-严重影响整个或局部系统运行，系统功能，或系统可靠性的故障。</w:t>
            </w:r>
          </w:p>
          <w:p w14:paraId="667BC38C">
            <w:pPr>
              <w:spacing w:after="156"/>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-严重影响最终用户服务质量的故障。</w:t>
            </w:r>
          </w:p>
          <w:p w14:paraId="338560FE">
            <w:pPr>
              <w:spacing w:after="156"/>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例如：</w:t>
            </w:r>
          </w:p>
          <w:p w14:paraId="1A39B6AF">
            <w:pPr>
              <w:spacing w:after="156"/>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－设备系统瘫痪，致使无法向用户提供业务服务。</w:t>
            </w:r>
          </w:p>
          <w:p w14:paraId="337559D3">
            <w:pPr>
              <w:spacing w:after="156"/>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－分节点故障，致使部分用户无法使用业务服务，不能提供正常网络服务。</w:t>
            </w:r>
          </w:p>
          <w:p w14:paraId="24C3734A">
            <w:pPr>
              <w:spacing w:after="156"/>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－受到大面积的安全攻击，致使大量重要业务无法使用。</w:t>
            </w:r>
          </w:p>
          <w:p w14:paraId="59765D86">
            <w:pPr>
              <w:spacing w:after="156"/>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b)</w:t>
            </w:r>
            <w:r>
              <w:rPr>
                <w:rFonts w:hint="eastAsia" w:asciiTheme="minorEastAsia" w:hAnsiTheme="minorEastAsia" w:eastAsiaTheme="minorEastAsia" w:cstheme="minorEastAsia"/>
                <w:b/>
                <w:sz w:val="24"/>
                <w:szCs w:val="24"/>
              </w:rPr>
              <w:tab/>
            </w:r>
            <w:r>
              <w:rPr>
                <w:rFonts w:hint="eastAsia" w:asciiTheme="minorEastAsia" w:hAnsiTheme="minorEastAsia" w:eastAsiaTheme="minorEastAsia" w:cstheme="minorEastAsia"/>
                <w:b/>
                <w:sz w:val="24"/>
                <w:szCs w:val="24"/>
              </w:rPr>
              <w:t xml:space="preserve">二级故障 </w:t>
            </w:r>
          </w:p>
          <w:p w14:paraId="7CAF46EE">
            <w:pPr>
              <w:spacing w:after="156"/>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－在商业、经济、技术、安全等方面给最终用户造成较严重损失的故障。</w:t>
            </w:r>
          </w:p>
          <w:p w14:paraId="26E25DD6">
            <w:pPr>
              <w:spacing w:after="156"/>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－影响局部系统运行，系统功能，或系统可靠性的故障。</w:t>
            </w:r>
          </w:p>
          <w:p w14:paraId="78C76843">
            <w:pPr>
              <w:spacing w:after="156"/>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－影响最终用户服务质量的故障。</w:t>
            </w:r>
          </w:p>
          <w:p w14:paraId="44695304">
            <w:pPr>
              <w:spacing w:after="156"/>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例如：</w:t>
            </w:r>
          </w:p>
          <w:p w14:paraId="6936C411">
            <w:pPr>
              <w:spacing w:after="156"/>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－单台设备故障，致使失去冗余备份，系统整体的的可靠性降低。</w:t>
            </w:r>
          </w:p>
          <w:p w14:paraId="54B2BF9B">
            <w:pPr>
              <w:spacing w:after="156"/>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－设备性能超负荷，致使最终用户感受到业务性能下降。</w:t>
            </w:r>
          </w:p>
          <w:p w14:paraId="73313DEE">
            <w:pPr>
              <w:spacing w:after="156"/>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c)</w:t>
            </w:r>
            <w:r>
              <w:rPr>
                <w:rFonts w:hint="eastAsia" w:asciiTheme="minorEastAsia" w:hAnsiTheme="minorEastAsia" w:eastAsiaTheme="minorEastAsia" w:cstheme="minorEastAsia"/>
                <w:b/>
                <w:sz w:val="24"/>
                <w:szCs w:val="24"/>
              </w:rPr>
              <w:tab/>
            </w:r>
            <w:r>
              <w:rPr>
                <w:rFonts w:hint="eastAsia" w:asciiTheme="minorEastAsia" w:hAnsiTheme="minorEastAsia" w:eastAsiaTheme="minorEastAsia" w:cstheme="minorEastAsia"/>
                <w:b/>
                <w:sz w:val="24"/>
                <w:szCs w:val="24"/>
              </w:rPr>
              <w:t>三级故障</w:t>
            </w:r>
          </w:p>
          <w:p w14:paraId="60A9B66C">
            <w:pPr>
              <w:spacing w:after="156"/>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－对最终用户造成较轻微影响的故障。</w:t>
            </w:r>
          </w:p>
          <w:p w14:paraId="7FC73295">
            <w:pPr>
              <w:spacing w:after="156"/>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－对产品功能造成轻微影响的故障。</w:t>
            </w:r>
          </w:p>
          <w:p w14:paraId="0B4E2C16">
            <w:pPr>
              <w:spacing w:after="156"/>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－在商业、经济方面给最终用户造成轻微损失的故障。</w:t>
            </w:r>
          </w:p>
          <w:p w14:paraId="5422D54E">
            <w:pPr>
              <w:spacing w:after="156"/>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－除紧急故障和严重故障外的其他问题。</w:t>
            </w:r>
          </w:p>
          <w:p w14:paraId="0795027D">
            <w:pPr>
              <w:spacing w:after="156"/>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例如：</w:t>
            </w:r>
          </w:p>
          <w:p w14:paraId="34281BBD">
            <w:pPr>
              <w:spacing w:after="156"/>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－一般节点故障，导致为部分用户提供的服务质量较差。</w:t>
            </w:r>
          </w:p>
          <w:p w14:paraId="1E9D4AA1">
            <w:pPr>
              <w:spacing w:after="156"/>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－显示错误。</w:t>
            </w:r>
          </w:p>
          <w:p w14:paraId="5FEB9AF3">
            <w:pPr>
              <w:spacing w:after="156"/>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－文件出错。</w:t>
            </w:r>
          </w:p>
          <w:p w14:paraId="69D99CA5">
            <w:pPr>
              <w:spacing w:after="156"/>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2、故障处理服务规范</w:t>
            </w:r>
          </w:p>
          <w:p w14:paraId="614451A5">
            <w:pPr>
              <w:spacing w:after="156"/>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招标人</w:t>
            </w:r>
            <w:r>
              <w:rPr>
                <w:rFonts w:hint="eastAsia" w:asciiTheme="minorEastAsia" w:hAnsiTheme="minorEastAsia" w:eastAsiaTheme="minorEastAsia" w:cstheme="minorEastAsia"/>
                <w:sz w:val="24"/>
                <w:szCs w:val="24"/>
              </w:rPr>
              <w:t>维护人员发现故障后，向</w:t>
            </w:r>
            <w:r>
              <w:rPr>
                <w:rFonts w:hint="eastAsia" w:asciiTheme="minorEastAsia" w:hAnsiTheme="minorEastAsia" w:eastAsiaTheme="minorEastAsia" w:cstheme="minorEastAsia"/>
                <w:sz w:val="24"/>
                <w:szCs w:val="24"/>
                <w:lang w:eastAsia="zh-CN"/>
              </w:rPr>
              <w:t>中标人</w:t>
            </w:r>
            <w:r>
              <w:rPr>
                <w:rFonts w:hint="eastAsia" w:asciiTheme="minorEastAsia" w:hAnsiTheme="minorEastAsia" w:eastAsiaTheme="minorEastAsia" w:cstheme="minorEastAsia"/>
                <w:sz w:val="24"/>
                <w:szCs w:val="24"/>
              </w:rPr>
              <w:t>申告故障，</w:t>
            </w:r>
            <w:r>
              <w:rPr>
                <w:rFonts w:hint="eastAsia" w:asciiTheme="minorEastAsia" w:hAnsiTheme="minorEastAsia" w:eastAsiaTheme="minorEastAsia" w:cstheme="minorEastAsia"/>
                <w:sz w:val="24"/>
                <w:szCs w:val="24"/>
                <w:lang w:eastAsia="zh-CN"/>
              </w:rPr>
              <w:t>中标人</w:t>
            </w:r>
            <w:r>
              <w:rPr>
                <w:rFonts w:hint="eastAsia" w:asciiTheme="minorEastAsia" w:hAnsiTheme="minorEastAsia" w:eastAsiaTheme="minorEastAsia" w:cstheme="minorEastAsia"/>
                <w:sz w:val="24"/>
                <w:szCs w:val="24"/>
              </w:rPr>
              <w:t>在收到</w:t>
            </w:r>
            <w:r>
              <w:rPr>
                <w:rFonts w:hint="eastAsia" w:asciiTheme="minorEastAsia" w:hAnsiTheme="minorEastAsia" w:eastAsiaTheme="minorEastAsia" w:cstheme="minorEastAsia"/>
                <w:sz w:val="24"/>
                <w:szCs w:val="24"/>
                <w:lang w:eastAsia="zh-CN"/>
              </w:rPr>
              <w:t>招标人</w:t>
            </w:r>
            <w:r>
              <w:rPr>
                <w:rFonts w:hint="eastAsia" w:asciiTheme="minorEastAsia" w:hAnsiTheme="minorEastAsia" w:eastAsiaTheme="minorEastAsia" w:cstheme="minorEastAsia"/>
                <w:sz w:val="24"/>
                <w:szCs w:val="24"/>
              </w:rPr>
              <w:t>申告后为</w:t>
            </w:r>
            <w:r>
              <w:rPr>
                <w:rFonts w:hint="eastAsia" w:asciiTheme="minorEastAsia" w:hAnsiTheme="minorEastAsia" w:eastAsiaTheme="minorEastAsia" w:cstheme="minorEastAsia"/>
                <w:sz w:val="24"/>
                <w:szCs w:val="24"/>
                <w:lang w:eastAsia="zh-CN"/>
              </w:rPr>
              <w:t>招标人</w:t>
            </w:r>
            <w:r>
              <w:rPr>
                <w:rFonts w:hint="eastAsia" w:asciiTheme="minorEastAsia" w:hAnsiTheme="minorEastAsia" w:eastAsiaTheme="minorEastAsia" w:cstheme="minorEastAsia"/>
                <w:sz w:val="24"/>
                <w:szCs w:val="24"/>
              </w:rPr>
              <w:t>进行故障处理服务，并根据</w:t>
            </w:r>
            <w:r>
              <w:rPr>
                <w:rFonts w:hint="eastAsia" w:asciiTheme="minorEastAsia" w:hAnsiTheme="minorEastAsia" w:eastAsiaTheme="minorEastAsia" w:cstheme="minorEastAsia"/>
                <w:sz w:val="24"/>
                <w:szCs w:val="24"/>
                <w:lang w:eastAsia="zh-CN"/>
              </w:rPr>
              <w:t>招标人</w:t>
            </w:r>
            <w:r>
              <w:rPr>
                <w:rFonts w:hint="eastAsia" w:asciiTheme="minorEastAsia" w:hAnsiTheme="minorEastAsia" w:eastAsiaTheme="minorEastAsia" w:cstheme="minorEastAsia"/>
                <w:sz w:val="24"/>
                <w:szCs w:val="24"/>
              </w:rPr>
              <w:t>申告的故障级别提供相应的服务。</w:t>
            </w:r>
          </w:p>
          <w:p w14:paraId="05FE0323">
            <w:pPr>
              <w:spacing w:after="156"/>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a)</w:t>
            </w:r>
            <w:r>
              <w:rPr>
                <w:rFonts w:hint="eastAsia" w:asciiTheme="minorEastAsia" w:hAnsiTheme="minorEastAsia" w:eastAsiaTheme="minorEastAsia" w:cstheme="minorEastAsia"/>
                <w:b/>
                <w:sz w:val="24"/>
                <w:szCs w:val="24"/>
              </w:rPr>
              <w:tab/>
            </w:r>
            <w:r>
              <w:rPr>
                <w:rFonts w:hint="eastAsia" w:asciiTheme="minorEastAsia" w:hAnsiTheme="minorEastAsia" w:eastAsiaTheme="minorEastAsia" w:cstheme="minorEastAsia"/>
                <w:b/>
                <w:sz w:val="24"/>
                <w:szCs w:val="24"/>
              </w:rPr>
              <w:t>一级故障</w:t>
            </w:r>
          </w:p>
          <w:p w14:paraId="6C5752D5">
            <w:pPr>
              <w:spacing w:after="156"/>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中标人</w:t>
            </w:r>
            <w:r>
              <w:rPr>
                <w:rFonts w:hint="eastAsia" w:asciiTheme="minorEastAsia" w:hAnsiTheme="minorEastAsia" w:eastAsiaTheme="minorEastAsia" w:cstheme="minorEastAsia"/>
                <w:sz w:val="24"/>
                <w:szCs w:val="24"/>
              </w:rPr>
              <w:t>在收到</w:t>
            </w:r>
            <w:r>
              <w:rPr>
                <w:rFonts w:hint="eastAsia" w:asciiTheme="minorEastAsia" w:hAnsiTheme="minorEastAsia" w:eastAsiaTheme="minorEastAsia" w:cstheme="minorEastAsia"/>
                <w:sz w:val="24"/>
                <w:szCs w:val="24"/>
                <w:lang w:eastAsia="zh-CN"/>
              </w:rPr>
              <w:t>招标人</w:t>
            </w:r>
            <w:r>
              <w:rPr>
                <w:rFonts w:hint="eastAsia" w:asciiTheme="minorEastAsia" w:hAnsiTheme="minorEastAsia" w:eastAsiaTheme="minorEastAsia" w:cstheme="minorEastAsia"/>
                <w:sz w:val="24"/>
                <w:szCs w:val="24"/>
              </w:rPr>
              <w:t>故障申告后，应立即联系相关工程师，</w:t>
            </w:r>
            <w:r>
              <w:rPr>
                <w:rFonts w:hint="eastAsia" w:asciiTheme="minorEastAsia" w:hAnsiTheme="minorEastAsia" w:eastAsiaTheme="minorEastAsia" w:cstheme="minorEastAsia"/>
                <w:sz w:val="24"/>
                <w:szCs w:val="24"/>
                <w:lang w:eastAsia="zh-CN"/>
              </w:rPr>
              <w:t>中标人</w:t>
            </w:r>
            <w:r>
              <w:rPr>
                <w:rFonts w:hint="eastAsia" w:asciiTheme="minorEastAsia" w:hAnsiTheme="minorEastAsia" w:eastAsiaTheme="minorEastAsia" w:cstheme="minorEastAsia"/>
                <w:sz w:val="24"/>
                <w:szCs w:val="24"/>
              </w:rPr>
              <w:t>工程师在5分钟内给予</w:t>
            </w:r>
            <w:r>
              <w:rPr>
                <w:rFonts w:hint="eastAsia" w:asciiTheme="minorEastAsia" w:hAnsiTheme="minorEastAsia" w:eastAsiaTheme="minorEastAsia" w:cstheme="minorEastAsia"/>
                <w:sz w:val="24"/>
                <w:szCs w:val="24"/>
                <w:lang w:eastAsia="zh-CN"/>
              </w:rPr>
              <w:t>招标人</w:t>
            </w:r>
            <w:r>
              <w:rPr>
                <w:rFonts w:hint="eastAsia" w:asciiTheme="minorEastAsia" w:hAnsiTheme="minorEastAsia" w:eastAsiaTheme="minorEastAsia" w:cstheme="minorEastAsia"/>
                <w:sz w:val="24"/>
                <w:szCs w:val="24"/>
              </w:rPr>
              <w:t>电话响应，15分钟内远程登陆网络。</w:t>
            </w:r>
          </w:p>
          <w:p w14:paraId="3D5D2360">
            <w:pPr>
              <w:spacing w:after="156"/>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如果需要到现场，</w:t>
            </w:r>
            <w:r>
              <w:rPr>
                <w:rFonts w:hint="eastAsia" w:asciiTheme="minorEastAsia" w:hAnsiTheme="minorEastAsia" w:eastAsiaTheme="minorEastAsia" w:cstheme="minorEastAsia"/>
                <w:sz w:val="24"/>
                <w:szCs w:val="24"/>
                <w:lang w:eastAsia="zh-CN"/>
              </w:rPr>
              <w:t>中标人</w:t>
            </w:r>
            <w:r>
              <w:rPr>
                <w:rFonts w:hint="eastAsia" w:asciiTheme="minorEastAsia" w:hAnsiTheme="minorEastAsia" w:eastAsiaTheme="minorEastAsia" w:cstheme="minorEastAsia"/>
                <w:sz w:val="24"/>
                <w:szCs w:val="24"/>
              </w:rPr>
              <w:t>需在保证远程处理的同时增派驻点工程师到达现场，广州节点2小时内到达现场。</w:t>
            </w:r>
          </w:p>
          <w:p w14:paraId="5965BA6F">
            <w:pPr>
              <w:spacing w:after="156"/>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中标人</w:t>
            </w:r>
            <w:r>
              <w:rPr>
                <w:rFonts w:hint="eastAsia" w:asciiTheme="minorEastAsia" w:hAnsiTheme="minorEastAsia" w:eastAsiaTheme="minorEastAsia" w:cstheme="minorEastAsia"/>
                <w:sz w:val="24"/>
                <w:szCs w:val="24"/>
              </w:rPr>
              <w:t>工程师需制定可行的临时应急方案，并在</w:t>
            </w:r>
            <w:r>
              <w:rPr>
                <w:rFonts w:hint="eastAsia" w:asciiTheme="minorEastAsia" w:hAnsiTheme="minorEastAsia" w:eastAsiaTheme="minorEastAsia" w:cstheme="minorEastAsia"/>
                <w:sz w:val="24"/>
                <w:szCs w:val="24"/>
                <w:lang w:eastAsia="zh-CN"/>
              </w:rPr>
              <w:t>招标人</w:t>
            </w:r>
            <w:r>
              <w:rPr>
                <w:rFonts w:hint="eastAsia" w:asciiTheme="minorEastAsia" w:hAnsiTheme="minorEastAsia" w:eastAsiaTheme="minorEastAsia" w:cstheme="minorEastAsia"/>
                <w:sz w:val="24"/>
                <w:szCs w:val="24"/>
              </w:rPr>
              <w:t>许可后实施，在30分钟内恢复业务基本运行，使网络恢复到不影响</w:t>
            </w:r>
            <w:r>
              <w:rPr>
                <w:rFonts w:hint="eastAsia" w:asciiTheme="minorEastAsia" w:hAnsiTheme="minorEastAsia" w:eastAsiaTheme="minorEastAsia" w:cstheme="minorEastAsia"/>
                <w:sz w:val="24"/>
                <w:szCs w:val="24"/>
                <w:lang w:eastAsia="zh-CN"/>
              </w:rPr>
              <w:t>招标人</w:t>
            </w:r>
            <w:r>
              <w:rPr>
                <w:rFonts w:hint="eastAsia" w:asciiTheme="minorEastAsia" w:hAnsiTheme="minorEastAsia" w:eastAsiaTheme="minorEastAsia" w:cstheme="minorEastAsia"/>
                <w:sz w:val="24"/>
                <w:szCs w:val="24"/>
              </w:rPr>
              <w:t>重要业务的运行或最终用户仅感受业务质量有轻微下降。</w:t>
            </w:r>
          </w:p>
          <w:p w14:paraId="617209F7">
            <w:pPr>
              <w:spacing w:after="156"/>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中标人</w:t>
            </w:r>
            <w:r>
              <w:rPr>
                <w:rFonts w:hint="eastAsia" w:asciiTheme="minorEastAsia" w:hAnsiTheme="minorEastAsia" w:eastAsiaTheme="minorEastAsia" w:cstheme="minorEastAsia"/>
                <w:sz w:val="24"/>
                <w:szCs w:val="24"/>
              </w:rPr>
              <w:t>工程师在12小时内解决全部故障，其中包括硬件提供和更换的时间。</w:t>
            </w:r>
          </w:p>
          <w:p w14:paraId="76D3CA48">
            <w:pPr>
              <w:spacing w:after="156"/>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中标人</w:t>
            </w:r>
            <w:r>
              <w:rPr>
                <w:rFonts w:hint="eastAsia" w:asciiTheme="minorEastAsia" w:hAnsiTheme="minorEastAsia" w:eastAsiaTheme="minorEastAsia" w:cstheme="minorEastAsia"/>
                <w:sz w:val="24"/>
                <w:szCs w:val="24"/>
              </w:rPr>
              <w:t>工程师在故障最终解决后1个工作日内提供故障报告。</w:t>
            </w:r>
          </w:p>
          <w:p w14:paraId="0CEB3AC1">
            <w:pPr>
              <w:spacing w:after="156"/>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b)</w:t>
            </w:r>
            <w:r>
              <w:rPr>
                <w:rFonts w:hint="eastAsia" w:asciiTheme="minorEastAsia" w:hAnsiTheme="minorEastAsia" w:eastAsiaTheme="minorEastAsia" w:cstheme="minorEastAsia"/>
                <w:b/>
                <w:sz w:val="24"/>
                <w:szCs w:val="24"/>
              </w:rPr>
              <w:tab/>
            </w:r>
            <w:r>
              <w:rPr>
                <w:rFonts w:hint="eastAsia" w:asciiTheme="minorEastAsia" w:hAnsiTheme="minorEastAsia" w:eastAsiaTheme="minorEastAsia" w:cstheme="minorEastAsia"/>
                <w:b/>
                <w:sz w:val="24"/>
                <w:szCs w:val="24"/>
              </w:rPr>
              <w:t>二级故障</w:t>
            </w:r>
          </w:p>
          <w:p w14:paraId="4BB1AB34">
            <w:pPr>
              <w:spacing w:after="156"/>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中标人</w:t>
            </w:r>
            <w:r>
              <w:rPr>
                <w:rFonts w:hint="eastAsia" w:asciiTheme="minorEastAsia" w:hAnsiTheme="minorEastAsia" w:eastAsiaTheme="minorEastAsia" w:cstheme="minorEastAsia"/>
                <w:sz w:val="24"/>
                <w:szCs w:val="24"/>
              </w:rPr>
              <w:t>在收到</w:t>
            </w:r>
            <w:r>
              <w:rPr>
                <w:rFonts w:hint="eastAsia" w:asciiTheme="minorEastAsia" w:hAnsiTheme="minorEastAsia" w:eastAsiaTheme="minorEastAsia" w:cstheme="minorEastAsia"/>
                <w:sz w:val="24"/>
                <w:szCs w:val="24"/>
                <w:lang w:eastAsia="zh-CN"/>
              </w:rPr>
              <w:t>招标人</w:t>
            </w:r>
            <w:r>
              <w:rPr>
                <w:rFonts w:hint="eastAsia" w:asciiTheme="minorEastAsia" w:hAnsiTheme="minorEastAsia" w:eastAsiaTheme="minorEastAsia" w:cstheme="minorEastAsia"/>
                <w:sz w:val="24"/>
                <w:szCs w:val="24"/>
              </w:rPr>
              <w:t>故障申告后，应立即联系相关工程师，</w:t>
            </w:r>
            <w:r>
              <w:rPr>
                <w:rFonts w:hint="eastAsia" w:asciiTheme="minorEastAsia" w:hAnsiTheme="minorEastAsia" w:eastAsiaTheme="minorEastAsia" w:cstheme="minorEastAsia"/>
                <w:sz w:val="24"/>
                <w:szCs w:val="24"/>
                <w:lang w:eastAsia="zh-CN"/>
              </w:rPr>
              <w:t>中标人</w:t>
            </w:r>
            <w:r>
              <w:rPr>
                <w:rFonts w:hint="eastAsia" w:asciiTheme="minorEastAsia" w:hAnsiTheme="minorEastAsia" w:eastAsiaTheme="minorEastAsia" w:cstheme="minorEastAsia"/>
                <w:sz w:val="24"/>
                <w:szCs w:val="24"/>
              </w:rPr>
              <w:t>工程师在10分钟内给予</w:t>
            </w:r>
            <w:r>
              <w:rPr>
                <w:rFonts w:hint="eastAsia" w:asciiTheme="minorEastAsia" w:hAnsiTheme="minorEastAsia" w:eastAsiaTheme="minorEastAsia" w:cstheme="minorEastAsia"/>
                <w:sz w:val="24"/>
                <w:szCs w:val="24"/>
                <w:lang w:eastAsia="zh-CN"/>
              </w:rPr>
              <w:t>招标人</w:t>
            </w:r>
            <w:r>
              <w:rPr>
                <w:rFonts w:hint="eastAsia" w:asciiTheme="minorEastAsia" w:hAnsiTheme="minorEastAsia" w:eastAsiaTheme="minorEastAsia" w:cstheme="minorEastAsia"/>
                <w:sz w:val="24"/>
                <w:szCs w:val="24"/>
              </w:rPr>
              <w:t>电话响应，20分钟内远程登陆网络。</w:t>
            </w:r>
          </w:p>
          <w:p w14:paraId="04A0ADAA">
            <w:pPr>
              <w:spacing w:after="156"/>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如果需要到现场，</w:t>
            </w:r>
            <w:r>
              <w:rPr>
                <w:rFonts w:hint="eastAsia" w:asciiTheme="minorEastAsia" w:hAnsiTheme="minorEastAsia" w:eastAsiaTheme="minorEastAsia" w:cstheme="minorEastAsia"/>
                <w:sz w:val="24"/>
                <w:szCs w:val="24"/>
                <w:lang w:eastAsia="zh-CN"/>
              </w:rPr>
              <w:t>中标人</w:t>
            </w:r>
            <w:r>
              <w:rPr>
                <w:rFonts w:hint="eastAsia" w:asciiTheme="minorEastAsia" w:hAnsiTheme="minorEastAsia" w:eastAsiaTheme="minorEastAsia" w:cstheme="minorEastAsia"/>
                <w:sz w:val="24"/>
                <w:szCs w:val="24"/>
              </w:rPr>
              <w:t>需在保证远程处理的同时增派驻点工程师到达现场，广州节点2小时内到达现场，深圳、佛山等节点4小时内到达现场。</w:t>
            </w:r>
          </w:p>
          <w:p w14:paraId="46C7DBCC">
            <w:pPr>
              <w:spacing w:after="156"/>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中标人</w:t>
            </w:r>
            <w:r>
              <w:rPr>
                <w:rFonts w:hint="eastAsia" w:asciiTheme="minorEastAsia" w:hAnsiTheme="minorEastAsia" w:eastAsiaTheme="minorEastAsia" w:cstheme="minorEastAsia"/>
                <w:sz w:val="24"/>
                <w:szCs w:val="24"/>
              </w:rPr>
              <w:t>工程师需制定可行的临时应急方案，并在</w:t>
            </w:r>
            <w:r>
              <w:rPr>
                <w:rFonts w:hint="eastAsia" w:asciiTheme="minorEastAsia" w:hAnsiTheme="minorEastAsia" w:eastAsiaTheme="minorEastAsia" w:cstheme="minorEastAsia"/>
                <w:sz w:val="24"/>
                <w:szCs w:val="24"/>
                <w:lang w:eastAsia="zh-CN"/>
              </w:rPr>
              <w:t>招标人</w:t>
            </w:r>
            <w:r>
              <w:rPr>
                <w:rFonts w:hint="eastAsia" w:asciiTheme="minorEastAsia" w:hAnsiTheme="minorEastAsia" w:eastAsiaTheme="minorEastAsia" w:cstheme="minorEastAsia"/>
                <w:sz w:val="24"/>
                <w:szCs w:val="24"/>
              </w:rPr>
              <w:t>许可后实施，在30分钟内恢复业务基本运行，使设备或系统恢复到不影响</w:t>
            </w:r>
            <w:r>
              <w:rPr>
                <w:rFonts w:hint="eastAsia" w:asciiTheme="minorEastAsia" w:hAnsiTheme="minorEastAsia" w:eastAsiaTheme="minorEastAsia" w:cstheme="minorEastAsia"/>
                <w:sz w:val="24"/>
                <w:szCs w:val="24"/>
                <w:lang w:eastAsia="zh-CN"/>
              </w:rPr>
              <w:t>招标人</w:t>
            </w:r>
            <w:r>
              <w:rPr>
                <w:rFonts w:hint="eastAsia" w:asciiTheme="minorEastAsia" w:hAnsiTheme="minorEastAsia" w:eastAsiaTheme="minorEastAsia" w:cstheme="minorEastAsia"/>
                <w:sz w:val="24"/>
                <w:szCs w:val="24"/>
              </w:rPr>
              <w:t>重要业务的运行或最终用户仅感受业务质量有轻微下降。</w:t>
            </w:r>
          </w:p>
          <w:p w14:paraId="189D5E0F">
            <w:pPr>
              <w:spacing w:after="156"/>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中标人</w:t>
            </w:r>
            <w:r>
              <w:rPr>
                <w:rFonts w:hint="eastAsia" w:asciiTheme="minorEastAsia" w:hAnsiTheme="minorEastAsia" w:eastAsiaTheme="minorEastAsia" w:cstheme="minorEastAsia"/>
                <w:sz w:val="24"/>
                <w:szCs w:val="24"/>
              </w:rPr>
              <w:t>工程师在12小时内解决全部故障，其中包括硬件更换的时间。</w:t>
            </w:r>
          </w:p>
          <w:p w14:paraId="697657E7">
            <w:pPr>
              <w:spacing w:after="156"/>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中标人</w:t>
            </w:r>
            <w:r>
              <w:rPr>
                <w:rFonts w:hint="eastAsia" w:asciiTheme="minorEastAsia" w:hAnsiTheme="minorEastAsia" w:eastAsiaTheme="minorEastAsia" w:cstheme="minorEastAsia"/>
                <w:sz w:val="24"/>
                <w:szCs w:val="24"/>
              </w:rPr>
              <w:t>工程师在故障最终解决后1个工作日内提供故障报告。</w:t>
            </w:r>
          </w:p>
          <w:p w14:paraId="267EE07E">
            <w:pPr>
              <w:spacing w:after="156"/>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c)</w:t>
            </w:r>
            <w:r>
              <w:rPr>
                <w:rFonts w:hint="eastAsia" w:asciiTheme="minorEastAsia" w:hAnsiTheme="minorEastAsia" w:eastAsiaTheme="minorEastAsia" w:cstheme="minorEastAsia"/>
                <w:b/>
                <w:sz w:val="24"/>
                <w:szCs w:val="24"/>
              </w:rPr>
              <w:tab/>
            </w:r>
            <w:r>
              <w:rPr>
                <w:rFonts w:hint="eastAsia" w:asciiTheme="minorEastAsia" w:hAnsiTheme="minorEastAsia" w:eastAsiaTheme="minorEastAsia" w:cstheme="minorEastAsia"/>
                <w:b/>
                <w:sz w:val="24"/>
                <w:szCs w:val="24"/>
              </w:rPr>
              <w:t>三级故障</w:t>
            </w:r>
          </w:p>
          <w:p w14:paraId="3F0E33B1">
            <w:pPr>
              <w:spacing w:after="156"/>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中标人</w:t>
            </w:r>
            <w:r>
              <w:rPr>
                <w:rFonts w:hint="eastAsia" w:asciiTheme="minorEastAsia" w:hAnsiTheme="minorEastAsia" w:eastAsiaTheme="minorEastAsia" w:cstheme="minorEastAsia"/>
                <w:sz w:val="24"/>
                <w:szCs w:val="24"/>
              </w:rPr>
              <w:t>在收到</w:t>
            </w:r>
            <w:r>
              <w:rPr>
                <w:rFonts w:hint="eastAsia" w:asciiTheme="minorEastAsia" w:hAnsiTheme="minorEastAsia" w:eastAsiaTheme="minorEastAsia" w:cstheme="minorEastAsia"/>
                <w:sz w:val="24"/>
                <w:szCs w:val="24"/>
                <w:lang w:eastAsia="zh-CN"/>
              </w:rPr>
              <w:t>招标人</w:t>
            </w:r>
            <w:r>
              <w:rPr>
                <w:rFonts w:hint="eastAsia" w:asciiTheme="minorEastAsia" w:hAnsiTheme="minorEastAsia" w:eastAsiaTheme="minorEastAsia" w:cstheme="minorEastAsia"/>
                <w:sz w:val="24"/>
                <w:szCs w:val="24"/>
              </w:rPr>
              <w:t>故障申告后，应立即联系相关工程师，</w:t>
            </w:r>
            <w:r>
              <w:rPr>
                <w:rFonts w:hint="eastAsia" w:asciiTheme="minorEastAsia" w:hAnsiTheme="minorEastAsia" w:eastAsiaTheme="minorEastAsia" w:cstheme="minorEastAsia"/>
                <w:sz w:val="24"/>
                <w:szCs w:val="24"/>
                <w:lang w:eastAsia="zh-CN"/>
              </w:rPr>
              <w:t>中标人</w:t>
            </w:r>
            <w:r>
              <w:rPr>
                <w:rFonts w:hint="eastAsia" w:asciiTheme="minorEastAsia" w:hAnsiTheme="minorEastAsia" w:eastAsiaTheme="minorEastAsia" w:cstheme="minorEastAsia"/>
                <w:sz w:val="24"/>
                <w:szCs w:val="24"/>
              </w:rPr>
              <w:t>工程师在30分钟内给予</w:t>
            </w:r>
            <w:r>
              <w:rPr>
                <w:rFonts w:hint="eastAsia" w:asciiTheme="minorEastAsia" w:hAnsiTheme="minorEastAsia" w:eastAsiaTheme="minorEastAsia" w:cstheme="minorEastAsia"/>
                <w:sz w:val="24"/>
                <w:szCs w:val="24"/>
                <w:lang w:eastAsia="zh-CN"/>
              </w:rPr>
              <w:t>招标人</w:t>
            </w:r>
            <w:r>
              <w:rPr>
                <w:rFonts w:hint="eastAsia" w:asciiTheme="minorEastAsia" w:hAnsiTheme="minorEastAsia" w:eastAsiaTheme="minorEastAsia" w:cstheme="minorEastAsia"/>
                <w:sz w:val="24"/>
                <w:szCs w:val="24"/>
              </w:rPr>
              <w:t>电话响应，2小时内远程登陆网络。</w:t>
            </w:r>
          </w:p>
          <w:p w14:paraId="27EA1866">
            <w:pPr>
              <w:spacing w:after="156"/>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如果需要到现场，</w:t>
            </w:r>
            <w:r>
              <w:rPr>
                <w:rFonts w:hint="eastAsia" w:asciiTheme="minorEastAsia" w:hAnsiTheme="minorEastAsia" w:eastAsiaTheme="minorEastAsia" w:cstheme="minorEastAsia"/>
                <w:sz w:val="24"/>
                <w:szCs w:val="24"/>
                <w:lang w:eastAsia="zh-CN"/>
              </w:rPr>
              <w:t>中标人</w:t>
            </w:r>
            <w:r>
              <w:rPr>
                <w:rFonts w:hint="eastAsia" w:asciiTheme="minorEastAsia" w:hAnsiTheme="minorEastAsia" w:eastAsiaTheme="minorEastAsia" w:cstheme="minorEastAsia"/>
                <w:sz w:val="24"/>
                <w:szCs w:val="24"/>
              </w:rPr>
              <w:t>派工程师在1个工作日内到达现场。</w:t>
            </w:r>
          </w:p>
          <w:p w14:paraId="02EF05E7">
            <w:pPr>
              <w:spacing w:after="156"/>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中标人</w:t>
            </w:r>
            <w:r>
              <w:rPr>
                <w:rFonts w:hint="eastAsia" w:asciiTheme="minorEastAsia" w:hAnsiTheme="minorEastAsia" w:eastAsiaTheme="minorEastAsia" w:cstheme="minorEastAsia"/>
                <w:sz w:val="24"/>
                <w:szCs w:val="24"/>
              </w:rPr>
              <w:t>工程师需制定可行的临时应急方案，并在</w:t>
            </w:r>
            <w:r>
              <w:rPr>
                <w:rFonts w:hint="eastAsia" w:asciiTheme="minorEastAsia" w:hAnsiTheme="minorEastAsia" w:eastAsiaTheme="minorEastAsia" w:cstheme="minorEastAsia"/>
                <w:sz w:val="24"/>
                <w:szCs w:val="24"/>
                <w:lang w:eastAsia="zh-CN"/>
              </w:rPr>
              <w:t>招标人</w:t>
            </w:r>
            <w:r>
              <w:rPr>
                <w:rFonts w:hint="eastAsia" w:asciiTheme="minorEastAsia" w:hAnsiTheme="minorEastAsia" w:eastAsiaTheme="minorEastAsia" w:cstheme="minorEastAsia"/>
                <w:sz w:val="24"/>
                <w:szCs w:val="24"/>
              </w:rPr>
              <w:t>许可后实施，在1个工作日内恢复业务基本运行，使网络恢复到不影响</w:t>
            </w:r>
            <w:r>
              <w:rPr>
                <w:rFonts w:hint="eastAsia" w:asciiTheme="minorEastAsia" w:hAnsiTheme="minorEastAsia" w:eastAsiaTheme="minorEastAsia" w:cstheme="minorEastAsia"/>
                <w:sz w:val="24"/>
                <w:szCs w:val="24"/>
                <w:lang w:eastAsia="zh-CN"/>
              </w:rPr>
              <w:t>招标人</w:t>
            </w:r>
            <w:r>
              <w:rPr>
                <w:rFonts w:hint="eastAsia" w:asciiTheme="minorEastAsia" w:hAnsiTheme="minorEastAsia" w:eastAsiaTheme="minorEastAsia" w:cstheme="minorEastAsia"/>
                <w:sz w:val="24"/>
                <w:szCs w:val="24"/>
              </w:rPr>
              <w:t>重要业务的运行或最终用户仅感受业务质量有轻微下降。</w:t>
            </w:r>
          </w:p>
          <w:p w14:paraId="6D1197AD">
            <w:pPr>
              <w:spacing w:after="156"/>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中标人</w:t>
            </w:r>
            <w:r>
              <w:rPr>
                <w:rFonts w:hint="eastAsia" w:asciiTheme="minorEastAsia" w:hAnsiTheme="minorEastAsia" w:eastAsiaTheme="minorEastAsia" w:cstheme="minorEastAsia"/>
                <w:sz w:val="24"/>
                <w:szCs w:val="24"/>
              </w:rPr>
              <w:t>工程师在3个工作日内解决全部故障，其中包括硬件提供和更换的时间。</w:t>
            </w:r>
          </w:p>
          <w:p w14:paraId="1C2B09CC">
            <w:pPr>
              <w:spacing w:after="156"/>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中标人</w:t>
            </w:r>
            <w:r>
              <w:rPr>
                <w:rFonts w:hint="eastAsia" w:asciiTheme="minorEastAsia" w:hAnsiTheme="minorEastAsia" w:eastAsiaTheme="minorEastAsia" w:cstheme="minorEastAsia"/>
                <w:sz w:val="24"/>
                <w:szCs w:val="24"/>
              </w:rPr>
              <w:t>工程师在故障最终解决后2个工作日内提供故障报告。</w:t>
            </w:r>
          </w:p>
          <w:p w14:paraId="17A7728C">
            <w:pPr>
              <w:spacing w:after="156"/>
              <w:ind w:firstLine="480" w:firstLineChars="200"/>
              <w:jc w:val="left"/>
              <w:rPr>
                <w:rFonts w:hint="eastAsia" w:asciiTheme="minorEastAsia" w:hAnsiTheme="minorEastAsia" w:eastAsiaTheme="minorEastAsia" w:cstheme="minorEastAsia"/>
                <w:spacing w:val="0"/>
                <w:sz w:val="24"/>
                <w:szCs w:val="24"/>
              </w:rPr>
            </w:pPr>
            <w:r>
              <w:rPr>
                <w:rFonts w:hint="eastAsia" w:asciiTheme="minorEastAsia" w:hAnsiTheme="minorEastAsia" w:eastAsiaTheme="minorEastAsia" w:cstheme="minorEastAsia"/>
                <w:sz w:val="24"/>
                <w:szCs w:val="24"/>
              </w:rPr>
              <w:t>要求通过先进、标准、可控的技术、工具和方法，安装系统，评估系统趋势，定位系统运行瓶颈，实现系统稳定运行、各项性能指标正常高效、故障响应和处理及时、提升系统运行质量。</w:t>
            </w:r>
          </w:p>
        </w:tc>
        <w:tc>
          <w:tcPr>
            <w:tcW w:w="424" w:type="pct"/>
            <w:vAlign w:val="center"/>
          </w:tcPr>
          <w:p w14:paraId="466FD14E">
            <w:pPr>
              <w:spacing w:line="240" w:lineRule="auto"/>
              <w:jc w:val="center"/>
              <w:rPr>
                <w:rFonts w:hint="eastAsia" w:asciiTheme="minorEastAsia" w:hAnsiTheme="minorEastAsia" w:eastAsiaTheme="minorEastAsia" w:cstheme="minorEastAsia"/>
                <w:sz w:val="24"/>
                <w:szCs w:val="24"/>
              </w:rPr>
            </w:pPr>
          </w:p>
        </w:tc>
        <w:tc>
          <w:tcPr>
            <w:tcW w:w="283" w:type="pct"/>
            <w:vAlign w:val="center"/>
          </w:tcPr>
          <w:p w14:paraId="1A4EB570">
            <w:pPr>
              <w:spacing w:line="200" w:lineRule="atLeast"/>
              <w:jc w:val="center"/>
              <w:rPr>
                <w:rFonts w:hint="eastAsia" w:asciiTheme="minorEastAsia" w:hAnsiTheme="minorEastAsia" w:eastAsiaTheme="minorEastAsia" w:cstheme="minorEastAsia"/>
                <w:sz w:val="24"/>
                <w:szCs w:val="24"/>
              </w:rPr>
            </w:pPr>
          </w:p>
        </w:tc>
      </w:tr>
      <w:tr w14:paraId="4EE13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82" w:type="pct"/>
            <w:vAlign w:val="center"/>
          </w:tcPr>
          <w:p w14:paraId="3C715DDC">
            <w:pPr>
              <w:numPr>
                <w:ilvl w:val="0"/>
                <w:numId w:val="3"/>
              </w:numPr>
              <w:spacing w:line="200" w:lineRule="atLeast"/>
              <w:jc w:val="center"/>
              <w:rPr>
                <w:rFonts w:hint="eastAsia" w:asciiTheme="minorEastAsia" w:hAnsiTheme="minorEastAsia" w:eastAsiaTheme="minorEastAsia" w:cstheme="minorEastAsia"/>
                <w:sz w:val="24"/>
                <w:szCs w:val="24"/>
              </w:rPr>
            </w:pPr>
          </w:p>
        </w:tc>
        <w:tc>
          <w:tcPr>
            <w:tcW w:w="281" w:type="pct"/>
            <w:vAlign w:val="center"/>
          </w:tcPr>
          <w:p w14:paraId="5752DFE0">
            <w:pPr>
              <w:jc w:val="left"/>
              <w:rPr>
                <w:rFonts w:hint="eastAsia" w:asciiTheme="minorEastAsia" w:hAnsiTheme="minorEastAsia" w:eastAsiaTheme="minorEastAsia" w:cstheme="minorEastAsia"/>
                <w:spacing w:val="0"/>
                <w:sz w:val="24"/>
                <w:szCs w:val="24"/>
                <w:lang w:val="en-US" w:eastAsia="zh-CN"/>
              </w:rPr>
            </w:pPr>
            <w:r>
              <w:rPr>
                <w:rFonts w:hint="eastAsia" w:asciiTheme="minorEastAsia" w:hAnsiTheme="minorEastAsia" w:eastAsiaTheme="minorEastAsia" w:cstheme="minorEastAsia"/>
                <w:spacing w:val="0"/>
                <w:sz w:val="24"/>
                <w:szCs w:val="24"/>
                <w:lang w:val="en-US" w:eastAsia="zh-CN"/>
              </w:rPr>
              <w:t>三、服务时间</w:t>
            </w:r>
          </w:p>
        </w:tc>
        <w:tc>
          <w:tcPr>
            <w:tcW w:w="3828" w:type="pct"/>
            <w:vAlign w:val="center"/>
          </w:tcPr>
          <w:p w14:paraId="422E5D1B">
            <w:pPr>
              <w:spacing w:after="156" w:line="240" w:lineRule="auto"/>
              <w:ind w:firstLine="42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服务期：自合同签订之日起三年。</w:t>
            </w:r>
          </w:p>
        </w:tc>
        <w:tc>
          <w:tcPr>
            <w:tcW w:w="424" w:type="pct"/>
            <w:vAlign w:val="center"/>
          </w:tcPr>
          <w:p w14:paraId="19500115">
            <w:pPr>
              <w:spacing w:line="200" w:lineRule="atLeast"/>
              <w:jc w:val="center"/>
              <w:rPr>
                <w:rFonts w:hint="eastAsia" w:asciiTheme="minorEastAsia" w:hAnsiTheme="minorEastAsia" w:eastAsiaTheme="minorEastAsia" w:cstheme="minorEastAsia"/>
                <w:sz w:val="24"/>
                <w:szCs w:val="24"/>
              </w:rPr>
            </w:pPr>
          </w:p>
        </w:tc>
        <w:tc>
          <w:tcPr>
            <w:tcW w:w="283" w:type="pct"/>
            <w:vAlign w:val="center"/>
          </w:tcPr>
          <w:p w14:paraId="7B8A54D2">
            <w:pPr>
              <w:spacing w:line="200" w:lineRule="atLeast"/>
              <w:jc w:val="center"/>
              <w:rPr>
                <w:rFonts w:hint="eastAsia" w:asciiTheme="minorEastAsia" w:hAnsiTheme="minorEastAsia" w:eastAsiaTheme="minorEastAsia" w:cstheme="minorEastAsia"/>
                <w:sz w:val="24"/>
                <w:szCs w:val="24"/>
              </w:rPr>
            </w:pPr>
          </w:p>
        </w:tc>
      </w:tr>
      <w:tr w14:paraId="40CB3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82" w:type="pct"/>
            <w:vAlign w:val="center"/>
          </w:tcPr>
          <w:p w14:paraId="7EE6434D">
            <w:pPr>
              <w:numPr>
                <w:ilvl w:val="0"/>
                <w:numId w:val="3"/>
              </w:numPr>
              <w:spacing w:line="200" w:lineRule="atLeast"/>
              <w:jc w:val="center"/>
              <w:rPr>
                <w:rFonts w:hint="eastAsia" w:asciiTheme="minorEastAsia" w:hAnsiTheme="minorEastAsia" w:eastAsiaTheme="minorEastAsia" w:cstheme="minorEastAsia"/>
                <w:sz w:val="24"/>
                <w:szCs w:val="24"/>
              </w:rPr>
            </w:pPr>
          </w:p>
        </w:tc>
        <w:tc>
          <w:tcPr>
            <w:tcW w:w="281" w:type="pct"/>
            <w:vAlign w:val="center"/>
          </w:tcPr>
          <w:p w14:paraId="7857E8D0">
            <w:pPr>
              <w:jc w:val="left"/>
              <w:rPr>
                <w:rFonts w:hint="eastAsia" w:asciiTheme="minorEastAsia" w:hAnsiTheme="minorEastAsia" w:eastAsiaTheme="minorEastAsia" w:cstheme="minorEastAsia"/>
                <w:spacing w:val="0"/>
                <w:sz w:val="24"/>
                <w:szCs w:val="24"/>
                <w:lang w:val="en-US" w:eastAsia="zh-CN"/>
              </w:rPr>
            </w:pPr>
            <w:bookmarkStart w:id="5" w:name="_Toc227921681"/>
            <w:r>
              <w:rPr>
                <w:rFonts w:hint="eastAsia" w:asciiTheme="minorEastAsia" w:hAnsiTheme="minorEastAsia" w:eastAsiaTheme="minorEastAsia" w:cstheme="minorEastAsia"/>
                <w:spacing w:val="0"/>
                <w:sz w:val="24"/>
                <w:szCs w:val="24"/>
                <w:lang w:val="en-US" w:eastAsia="zh-CN"/>
              </w:rPr>
              <w:t>四、</w:t>
            </w:r>
            <w:bookmarkEnd w:id="5"/>
            <w:r>
              <w:rPr>
                <w:rFonts w:hint="eastAsia" w:asciiTheme="minorEastAsia" w:hAnsiTheme="minorEastAsia" w:eastAsiaTheme="minorEastAsia" w:cstheme="minorEastAsia"/>
                <w:spacing w:val="0"/>
                <w:sz w:val="24"/>
                <w:szCs w:val="24"/>
                <w:lang w:val="en-US" w:eastAsia="zh-CN"/>
              </w:rPr>
              <w:t>维保覆盖说明</w:t>
            </w:r>
          </w:p>
        </w:tc>
        <w:tc>
          <w:tcPr>
            <w:tcW w:w="3828" w:type="pct"/>
            <w:vAlign w:val="center"/>
          </w:tcPr>
          <w:p w14:paraId="5A9454D2">
            <w:pPr>
              <w:spacing w:after="15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本次采购软件系统维保服务，不涉及硬件设备维保，覆盖范围如下：</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0"/>
              <w:gridCol w:w="1833"/>
              <w:gridCol w:w="2357"/>
              <w:gridCol w:w="4397"/>
              <w:gridCol w:w="1511"/>
            </w:tblGrid>
            <w:tr w14:paraId="47091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45" w:type="pct"/>
                  <w:vAlign w:val="center"/>
                </w:tcPr>
                <w:p w14:paraId="426A9AFC">
                  <w:pPr>
                    <w:spacing w:after="12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序号</w:t>
                  </w:r>
                </w:p>
              </w:tc>
              <w:tc>
                <w:tcPr>
                  <w:tcW w:w="863" w:type="pct"/>
                  <w:shd w:val="clear" w:color="auto" w:fill="auto"/>
                  <w:noWrap/>
                  <w:vAlign w:val="center"/>
                </w:tcPr>
                <w:p w14:paraId="1E01F887">
                  <w:pPr>
                    <w:spacing w:after="12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系统名称</w:t>
                  </w:r>
                </w:p>
              </w:tc>
              <w:tc>
                <w:tcPr>
                  <w:tcW w:w="1110" w:type="pct"/>
                  <w:vAlign w:val="center"/>
                </w:tcPr>
                <w:p w14:paraId="597D314A">
                  <w:pPr>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原合同名称</w:t>
                  </w:r>
                </w:p>
              </w:tc>
              <w:tc>
                <w:tcPr>
                  <w:tcW w:w="2070" w:type="pct"/>
                  <w:shd w:val="clear" w:color="auto" w:fill="auto"/>
                  <w:vAlign w:val="center"/>
                </w:tcPr>
                <w:p w14:paraId="5F8A978F">
                  <w:pPr>
                    <w:spacing w:after="12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维保主要内容</w:t>
                  </w:r>
                </w:p>
              </w:tc>
              <w:tc>
                <w:tcPr>
                  <w:tcW w:w="712" w:type="pct"/>
                  <w:vAlign w:val="center"/>
                </w:tcPr>
                <w:p w14:paraId="7C48FD55">
                  <w:pPr>
                    <w:spacing w:after="12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维保服务期限</w:t>
                  </w:r>
                </w:p>
              </w:tc>
            </w:tr>
            <w:tr w14:paraId="7012A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8" w:hRule="atLeast"/>
                <w:jc w:val="center"/>
              </w:trPr>
              <w:tc>
                <w:tcPr>
                  <w:tcW w:w="245" w:type="pct"/>
                  <w:vMerge w:val="restart"/>
                  <w:vAlign w:val="center"/>
                </w:tcPr>
                <w:p w14:paraId="0E9AB38B">
                  <w:pPr>
                    <w:spacing w:after="12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863" w:type="pct"/>
                  <w:vMerge w:val="restart"/>
                  <w:shd w:val="clear" w:color="auto" w:fill="auto"/>
                  <w:noWrap/>
                  <w:vAlign w:val="center"/>
                </w:tcPr>
                <w:p w14:paraId="554B6555">
                  <w:pPr>
                    <w:spacing w:after="12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全国内容服务平台源站系统</w:t>
                  </w:r>
                </w:p>
              </w:tc>
              <w:tc>
                <w:tcPr>
                  <w:tcW w:w="1110" w:type="pct"/>
                </w:tcPr>
                <w:p w14:paraId="3BFA6C60">
                  <w:pPr>
                    <w:spacing w:after="12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全国内容服务平台源站建设项目合同</w:t>
                  </w:r>
                </w:p>
                <w:p w14:paraId="36556A24">
                  <w:pPr>
                    <w:spacing w:after="12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（FK201904033）</w:t>
                  </w:r>
                </w:p>
              </w:tc>
              <w:tc>
                <w:tcPr>
                  <w:tcW w:w="2070" w:type="pct"/>
                  <w:shd w:val="clear" w:color="auto" w:fill="auto"/>
                  <w:vAlign w:val="center"/>
                </w:tcPr>
                <w:p w14:paraId="54B55F0D">
                  <w:pPr>
                    <w:spacing w:after="12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茗格流服务器软件V1.0 ×1套</w:t>
                  </w:r>
                </w:p>
                <w:p w14:paraId="56B348AD">
                  <w:pPr>
                    <w:spacing w:after="12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 源站基础软件授权；</w:t>
                  </w:r>
                </w:p>
                <w:p w14:paraId="166FA220">
                  <w:pPr>
                    <w:spacing w:after="12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 分布式注入调度模块软件授权；</w:t>
                  </w:r>
                </w:p>
                <w:p w14:paraId="1D570B69">
                  <w:pPr>
                    <w:spacing w:after="12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 注入处理模块软件授权；</w:t>
                  </w:r>
                </w:p>
                <w:p w14:paraId="6A307D0C">
                  <w:pPr>
                    <w:spacing w:after="12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 HLS点播模块授权；</w:t>
                  </w:r>
                </w:p>
                <w:p w14:paraId="105BB136">
                  <w:pPr>
                    <w:spacing w:after="12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 第三方拉流模块授权；</w:t>
                  </w:r>
                </w:p>
                <w:p w14:paraId="058CDD84">
                  <w:pPr>
                    <w:spacing w:after="12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 对接腾讯注入接口，兼容腾讯媒资格式；</w:t>
                  </w:r>
                </w:p>
                <w:p w14:paraId="32DD59E2">
                  <w:pPr>
                    <w:spacing w:after="12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 对接第三方CDN注入接口，提供特定格式媒资文件。</w:t>
                  </w:r>
                </w:p>
              </w:tc>
              <w:tc>
                <w:tcPr>
                  <w:tcW w:w="712" w:type="pct"/>
                  <w:vMerge w:val="restart"/>
                  <w:vAlign w:val="center"/>
                </w:tcPr>
                <w:p w14:paraId="60A34A02">
                  <w:pPr>
                    <w:spacing w:after="12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合同签订之日起3年</w:t>
                  </w:r>
                </w:p>
              </w:tc>
            </w:tr>
            <w:tr w14:paraId="35451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8" w:hRule="atLeast"/>
                <w:jc w:val="center"/>
              </w:trPr>
              <w:tc>
                <w:tcPr>
                  <w:tcW w:w="245" w:type="pct"/>
                  <w:vMerge w:val="continue"/>
                  <w:vAlign w:val="center"/>
                </w:tcPr>
                <w:p w14:paraId="7CDB0526">
                  <w:pPr>
                    <w:spacing w:after="120"/>
                    <w:jc w:val="center"/>
                    <w:rPr>
                      <w:rFonts w:hint="eastAsia" w:asciiTheme="minorEastAsia" w:hAnsiTheme="minorEastAsia" w:eastAsiaTheme="minorEastAsia" w:cstheme="minorEastAsia"/>
                      <w:sz w:val="24"/>
                      <w:szCs w:val="24"/>
                    </w:rPr>
                  </w:pPr>
                </w:p>
              </w:tc>
              <w:tc>
                <w:tcPr>
                  <w:tcW w:w="863" w:type="pct"/>
                  <w:vMerge w:val="continue"/>
                  <w:shd w:val="clear" w:color="auto" w:fill="auto"/>
                  <w:noWrap/>
                  <w:vAlign w:val="center"/>
                </w:tcPr>
                <w:p w14:paraId="24232DFB">
                  <w:pPr>
                    <w:spacing w:after="120"/>
                    <w:jc w:val="center"/>
                    <w:rPr>
                      <w:rFonts w:hint="eastAsia" w:asciiTheme="minorEastAsia" w:hAnsiTheme="minorEastAsia" w:eastAsiaTheme="minorEastAsia" w:cstheme="minorEastAsia"/>
                      <w:sz w:val="24"/>
                      <w:szCs w:val="24"/>
                    </w:rPr>
                  </w:pPr>
                </w:p>
              </w:tc>
              <w:tc>
                <w:tcPr>
                  <w:tcW w:w="1110" w:type="pct"/>
                </w:tcPr>
                <w:p w14:paraId="6DA99DD8">
                  <w:pPr>
                    <w:spacing w:after="12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2023年全国内容服务平台内容源站扩容采购项目合同（FK202403008）</w:t>
                  </w:r>
                </w:p>
              </w:tc>
              <w:tc>
                <w:tcPr>
                  <w:tcW w:w="2070" w:type="pct"/>
                  <w:shd w:val="clear" w:color="auto" w:fill="auto"/>
                  <w:vAlign w:val="center"/>
                </w:tcPr>
                <w:p w14:paraId="557A11FA">
                  <w:pPr>
                    <w:spacing w:after="12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内容源站系统 V1.0×1 套（含系统扩容实施的功能）。</w:t>
                  </w:r>
                </w:p>
              </w:tc>
              <w:tc>
                <w:tcPr>
                  <w:tcW w:w="712" w:type="pct"/>
                  <w:vMerge w:val="continue"/>
                  <w:vAlign w:val="center"/>
                </w:tcPr>
                <w:p w14:paraId="6E57F956">
                  <w:pPr>
                    <w:spacing w:after="120"/>
                    <w:jc w:val="center"/>
                    <w:rPr>
                      <w:rFonts w:hint="eastAsia" w:asciiTheme="minorEastAsia" w:hAnsiTheme="minorEastAsia" w:eastAsiaTheme="minorEastAsia" w:cstheme="minorEastAsia"/>
                      <w:sz w:val="24"/>
                      <w:szCs w:val="24"/>
                    </w:rPr>
                  </w:pPr>
                </w:p>
              </w:tc>
            </w:tr>
            <w:tr w14:paraId="43B5D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8" w:hRule="atLeast"/>
                <w:jc w:val="center"/>
              </w:trPr>
              <w:tc>
                <w:tcPr>
                  <w:tcW w:w="245" w:type="pct"/>
                  <w:vAlign w:val="center"/>
                </w:tcPr>
                <w:p w14:paraId="3D4F60D6">
                  <w:pPr>
                    <w:spacing w:after="12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863" w:type="pct"/>
                  <w:shd w:val="clear" w:color="auto" w:fill="auto"/>
                  <w:noWrap/>
                  <w:vAlign w:val="center"/>
                </w:tcPr>
                <w:p w14:paraId="164C3E74">
                  <w:pPr>
                    <w:spacing w:after="12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公网业务推流服务系统（南翔）</w:t>
                  </w:r>
                </w:p>
              </w:tc>
              <w:tc>
                <w:tcPr>
                  <w:tcW w:w="1110" w:type="pct"/>
                </w:tcPr>
                <w:p w14:paraId="3DE8C981">
                  <w:pPr>
                    <w:spacing w:after="12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新业务推流服务在线热备系统建设项目合同</w:t>
                  </w:r>
                </w:p>
                <w:p w14:paraId="3BBF2A11">
                  <w:pPr>
                    <w:spacing w:after="12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（FK202009007）</w:t>
                  </w:r>
                </w:p>
              </w:tc>
              <w:tc>
                <w:tcPr>
                  <w:tcW w:w="2070" w:type="pct"/>
                  <w:shd w:val="clear" w:color="auto" w:fill="auto"/>
                  <w:vAlign w:val="center"/>
                </w:tcPr>
                <w:p w14:paraId="3CC62B4A">
                  <w:pPr>
                    <w:spacing w:after="12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茗格视频流服务器系统V1.0（6套授权）</w:t>
                  </w:r>
                </w:p>
                <w:p w14:paraId="769E160D">
                  <w:pPr>
                    <w:spacing w:after="12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 点播注入模块（含转码）×4;</w:t>
                  </w:r>
                </w:p>
                <w:p w14:paraId="46341303">
                  <w:pPr>
                    <w:spacing w:after="12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 直播切片模块 ×4;</w:t>
                  </w:r>
                </w:p>
                <w:p w14:paraId="2A761A38">
                  <w:pPr>
                    <w:spacing w:after="12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 回看录制模块 ×4</w:t>
                  </w:r>
                </w:p>
                <w:p w14:paraId="633289CB">
                  <w:pPr>
                    <w:spacing w:after="12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(4)系统调度与缓存管理模块 ×2</w:t>
                  </w:r>
                </w:p>
              </w:tc>
              <w:tc>
                <w:tcPr>
                  <w:tcW w:w="712" w:type="pct"/>
                  <w:vAlign w:val="center"/>
                </w:tcPr>
                <w:p w14:paraId="09DD7CA6">
                  <w:pPr>
                    <w:spacing w:after="12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合同签订之日起3年</w:t>
                  </w:r>
                </w:p>
              </w:tc>
            </w:tr>
            <w:tr w14:paraId="323C2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8" w:hRule="atLeast"/>
                <w:jc w:val="center"/>
              </w:trPr>
              <w:tc>
                <w:tcPr>
                  <w:tcW w:w="245" w:type="pct"/>
                  <w:vMerge w:val="restart"/>
                  <w:vAlign w:val="center"/>
                </w:tcPr>
                <w:p w14:paraId="008AD0E9">
                  <w:pPr>
                    <w:spacing w:after="12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863" w:type="pct"/>
                  <w:vMerge w:val="restart"/>
                  <w:shd w:val="clear" w:color="auto" w:fill="auto"/>
                  <w:noWrap/>
                  <w:vAlign w:val="center"/>
                </w:tcPr>
                <w:p w14:paraId="03338DD8">
                  <w:pPr>
                    <w:spacing w:after="12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公网业务推流服务系统（民科园）</w:t>
                  </w:r>
                </w:p>
              </w:tc>
              <w:tc>
                <w:tcPr>
                  <w:tcW w:w="1110" w:type="pct"/>
                </w:tcPr>
                <w:p w14:paraId="6243131B">
                  <w:pPr>
                    <w:spacing w:after="12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融合平台OTT点播回看推流服务器项目合同（F201505056）</w:t>
                  </w:r>
                </w:p>
              </w:tc>
              <w:tc>
                <w:tcPr>
                  <w:tcW w:w="2070" w:type="pct"/>
                  <w:shd w:val="clear" w:color="auto" w:fill="auto"/>
                  <w:vAlign w:val="center"/>
                </w:tcPr>
                <w:p w14:paraId="19320F9D">
                  <w:pPr>
                    <w:pStyle w:val="25"/>
                    <w:numPr>
                      <w:ilvl w:val="0"/>
                      <w:numId w:val="4"/>
                    </w:numPr>
                    <w:spacing w:after="120"/>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佳创 OS 流媒体服务器系统软件 V1.0授权 2 套（功能覆盖直播切片、点播切片、录制）。</w:t>
                  </w:r>
                </w:p>
                <w:p w14:paraId="47AAA2CC">
                  <w:pPr>
                    <w:pStyle w:val="25"/>
                    <w:numPr>
                      <w:ilvl w:val="0"/>
                      <w:numId w:val="4"/>
                    </w:numPr>
                    <w:spacing w:after="120"/>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服务能力授权（按 1+1 备份设计，数量为需求的 2 倍）</w:t>
                  </w:r>
                </w:p>
                <w:p w14:paraId="45B07053">
                  <w:pPr>
                    <w:spacing w:after="12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 注入节目授权 4 万小时；</w:t>
                  </w:r>
                </w:p>
                <w:p w14:paraId="639F72B9">
                  <w:pPr>
                    <w:spacing w:after="12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 回看直播流输入授权 360 路；</w:t>
                  </w:r>
                </w:p>
                <w:p w14:paraId="653670F3">
                  <w:pPr>
                    <w:spacing w:after="12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 时移直播流输入授权 360 路；</w:t>
                  </w:r>
                </w:p>
                <w:p w14:paraId="6BC4F49D">
                  <w:pPr>
                    <w:spacing w:after="12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 直播流输入授权 360 路；</w:t>
                  </w:r>
                </w:p>
                <w:p w14:paraId="7C2D0558">
                  <w:pPr>
                    <w:spacing w:after="12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 并发用户授权 8000 路。</w:t>
                  </w:r>
                </w:p>
                <w:p w14:paraId="0D86A890">
                  <w:pPr>
                    <w:spacing w:after="12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注：所有授权均按 1.2M 码率折算</w:t>
                  </w:r>
                </w:p>
              </w:tc>
              <w:tc>
                <w:tcPr>
                  <w:tcW w:w="712" w:type="pct"/>
                  <w:vMerge w:val="restart"/>
                  <w:vAlign w:val="center"/>
                </w:tcPr>
                <w:p w14:paraId="48B6AF43">
                  <w:pPr>
                    <w:spacing w:after="12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合同签订之日起3年</w:t>
                  </w:r>
                </w:p>
              </w:tc>
            </w:tr>
            <w:tr w14:paraId="5E513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8" w:hRule="atLeast"/>
                <w:jc w:val="center"/>
              </w:trPr>
              <w:tc>
                <w:tcPr>
                  <w:tcW w:w="245" w:type="pct"/>
                  <w:vMerge w:val="continue"/>
                  <w:vAlign w:val="center"/>
                </w:tcPr>
                <w:p w14:paraId="1E079C26">
                  <w:pPr>
                    <w:spacing w:after="120"/>
                    <w:jc w:val="center"/>
                    <w:rPr>
                      <w:rFonts w:hint="eastAsia" w:asciiTheme="minorEastAsia" w:hAnsiTheme="minorEastAsia" w:eastAsiaTheme="minorEastAsia" w:cstheme="minorEastAsia"/>
                      <w:sz w:val="24"/>
                      <w:szCs w:val="24"/>
                    </w:rPr>
                  </w:pPr>
                </w:p>
              </w:tc>
              <w:tc>
                <w:tcPr>
                  <w:tcW w:w="863" w:type="pct"/>
                  <w:vMerge w:val="continue"/>
                  <w:shd w:val="clear" w:color="auto" w:fill="auto"/>
                  <w:noWrap/>
                  <w:vAlign w:val="center"/>
                </w:tcPr>
                <w:p w14:paraId="23B780DE">
                  <w:pPr>
                    <w:spacing w:after="120"/>
                    <w:jc w:val="center"/>
                    <w:rPr>
                      <w:rFonts w:hint="eastAsia" w:asciiTheme="minorEastAsia" w:hAnsiTheme="minorEastAsia" w:eastAsiaTheme="minorEastAsia" w:cstheme="minorEastAsia"/>
                      <w:sz w:val="24"/>
                      <w:szCs w:val="24"/>
                    </w:rPr>
                  </w:pPr>
                </w:p>
              </w:tc>
              <w:tc>
                <w:tcPr>
                  <w:tcW w:w="1110" w:type="pct"/>
                </w:tcPr>
                <w:p w14:paraId="78E83B41">
                  <w:pPr>
                    <w:spacing w:after="12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流媒体新增功能开发服务采购项目合同（F201603051）</w:t>
                  </w:r>
                </w:p>
              </w:tc>
              <w:tc>
                <w:tcPr>
                  <w:tcW w:w="2070" w:type="pct"/>
                  <w:shd w:val="clear" w:color="auto" w:fill="auto"/>
                  <w:vAlign w:val="center"/>
                </w:tcPr>
                <w:p w14:paraId="5120D0D9">
                  <w:pPr>
                    <w:pStyle w:val="25"/>
                    <w:numPr>
                      <w:ilvl w:val="0"/>
                      <w:numId w:val="5"/>
                    </w:numPr>
                    <w:spacing w:after="120"/>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防盗链系统包授权X 2;</w:t>
                  </w:r>
                </w:p>
                <w:p w14:paraId="4FE822FF">
                  <w:pPr>
                    <w:pStyle w:val="25"/>
                    <w:numPr>
                      <w:ilvl w:val="0"/>
                      <w:numId w:val="5"/>
                    </w:numPr>
                    <w:spacing w:after="120"/>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服务能力授权</w:t>
                  </w:r>
                </w:p>
                <w:p w14:paraId="5212573D">
                  <w:pPr>
                    <w:spacing w:after="12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 防盗链并发授权16000路;</w:t>
                  </w:r>
                </w:p>
                <w:p w14:paraId="71D65037">
                  <w:pPr>
                    <w:spacing w:after="12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 多CDN逻辑切片授权X 2; </w:t>
                  </w:r>
                </w:p>
                <w:p w14:paraId="613DFD05">
                  <w:pPr>
                    <w:spacing w:after="12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(3) IPTV协议规范注入授权X 2; </w:t>
                  </w:r>
                </w:p>
                <w:p w14:paraId="1CD8AE1F">
                  <w:pPr>
                    <w:spacing w:after="12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 IPTV数据迁移以及切片转换工具授权X 2。</w:t>
                  </w:r>
                </w:p>
              </w:tc>
              <w:tc>
                <w:tcPr>
                  <w:tcW w:w="712" w:type="pct"/>
                  <w:vMerge w:val="continue"/>
                  <w:vAlign w:val="center"/>
                </w:tcPr>
                <w:p w14:paraId="03B9D752">
                  <w:pPr>
                    <w:spacing w:after="120"/>
                    <w:jc w:val="center"/>
                    <w:rPr>
                      <w:rFonts w:hint="eastAsia" w:asciiTheme="minorEastAsia" w:hAnsiTheme="minorEastAsia" w:eastAsiaTheme="minorEastAsia" w:cstheme="minorEastAsia"/>
                      <w:sz w:val="24"/>
                      <w:szCs w:val="24"/>
                    </w:rPr>
                  </w:pPr>
                </w:p>
              </w:tc>
            </w:tr>
            <w:tr w14:paraId="0E040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245" w:type="pct"/>
                  <w:vMerge w:val="continue"/>
                  <w:vAlign w:val="center"/>
                </w:tcPr>
                <w:p w14:paraId="08B98C86">
                  <w:pPr>
                    <w:spacing w:after="120"/>
                    <w:jc w:val="center"/>
                    <w:rPr>
                      <w:rFonts w:hint="eastAsia" w:asciiTheme="minorEastAsia" w:hAnsiTheme="minorEastAsia" w:eastAsiaTheme="minorEastAsia" w:cstheme="minorEastAsia"/>
                      <w:sz w:val="24"/>
                      <w:szCs w:val="24"/>
                    </w:rPr>
                  </w:pPr>
                </w:p>
              </w:tc>
              <w:tc>
                <w:tcPr>
                  <w:tcW w:w="863" w:type="pct"/>
                  <w:vMerge w:val="continue"/>
                  <w:shd w:val="clear" w:color="auto" w:fill="auto"/>
                  <w:noWrap/>
                  <w:vAlign w:val="center"/>
                </w:tcPr>
                <w:p w14:paraId="59391B2A">
                  <w:pPr>
                    <w:spacing w:after="120"/>
                    <w:jc w:val="center"/>
                    <w:rPr>
                      <w:rFonts w:hint="eastAsia" w:asciiTheme="minorEastAsia" w:hAnsiTheme="minorEastAsia" w:eastAsiaTheme="minorEastAsia" w:cstheme="minorEastAsia"/>
                      <w:sz w:val="24"/>
                      <w:szCs w:val="24"/>
                    </w:rPr>
                  </w:pPr>
                </w:p>
              </w:tc>
              <w:tc>
                <w:tcPr>
                  <w:tcW w:w="1110" w:type="pct"/>
                </w:tcPr>
                <w:p w14:paraId="042F5D32">
                  <w:pPr>
                    <w:spacing w:after="12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南方新媒体内容安全保障系统建设采购推流服务器项目</w:t>
                  </w:r>
                </w:p>
                <w:p w14:paraId="608E8AD4">
                  <w:pPr>
                    <w:spacing w:after="12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（F201704065）</w:t>
                  </w:r>
                </w:p>
              </w:tc>
              <w:tc>
                <w:tcPr>
                  <w:tcW w:w="2070" w:type="pct"/>
                  <w:shd w:val="clear" w:color="auto" w:fill="auto"/>
                  <w:vAlign w:val="center"/>
                </w:tcPr>
                <w:p w14:paraId="4ED55E91">
                  <w:pPr>
                    <w:pStyle w:val="25"/>
                    <w:numPr>
                      <w:ilvl w:val="0"/>
                      <w:numId w:val="6"/>
                    </w:numPr>
                    <w:spacing w:after="120"/>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佳创OS流媒体服务器系统软件 V1.0 授权X 4。</w:t>
                  </w:r>
                </w:p>
                <w:p w14:paraId="3F7B193E">
                  <w:pPr>
                    <w:pStyle w:val="25"/>
                    <w:numPr>
                      <w:ilvl w:val="0"/>
                      <w:numId w:val="6"/>
                    </w:numPr>
                    <w:spacing w:after="120"/>
                    <w:ind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服务能力授权</w:t>
                  </w:r>
                </w:p>
                <w:p w14:paraId="3FD11B24">
                  <w:pPr>
                    <w:spacing w:after="12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 转码器MP4 Demuxer 授权X 4;</w:t>
                  </w:r>
                </w:p>
                <w:p w14:paraId="05F6AC2A">
                  <w:pPr>
                    <w:spacing w:after="12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 转码TS Demuxer 授权X 4;</w:t>
                  </w:r>
                </w:p>
                <w:p w14:paraId="5E12DB7E">
                  <w:pPr>
                    <w:spacing w:after="12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 转码MPEG2 解码授权X 4;</w:t>
                  </w:r>
                </w:p>
                <w:p w14:paraId="574EDFD2">
                  <w:pPr>
                    <w:spacing w:after="12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 转码MP3 解码授权X 4;</w:t>
                  </w:r>
                </w:p>
                <w:p w14:paraId="1B479D5C">
                  <w:pPr>
                    <w:spacing w:after="12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 转码H.264 编码授权X 4;</w:t>
                  </w:r>
                </w:p>
                <w:p w14:paraId="421D97F9">
                  <w:pPr>
                    <w:spacing w:after="12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 转码AAC 编码授权X 4;</w:t>
                  </w:r>
                </w:p>
                <w:p w14:paraId="52052B50">
                  <w:pPr>
                    <w:spacing w:after="12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 推流服务器缓存模块套件X 2;</w:t>
                  </w:r>
                </w:p>
                <w:p w14:paraId="49E3234D">
                  <w:pPr>
                    <w:spacing w:after="12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 推流服务器加扰并发授权8000路。</w:t>
                  </w:r>
                </w:p>
              </w:tc>
              <w:tc>
                <w:tcPr>
                  <w:tcW w:w="712" w:type="pct"/>
                  <w:vMerge w:val="continue"/>
                  <w:vAlign w:val="center"/>
                </w:tcPr>
                <w:p w14:paraId="73891F4E">
                  <w:pPr>
                    <w:spacing w:after="120"/>
                    <w:jc w:val="center"/>
                    <w:rPr>
                      <w:rFonts w:hint="eastAsia" w:asciiTheme="minorEastAsia" w:hAnsiTheme="minorEastAsia" w:eastAsiaTheme="minorEastAsia" w:cstheme="minorEastAsia"/>
                      <w:sz w:val="24"/>
                      <w:szCs w:val="24"/>
                    </w:rPr>
                  </w:pPr>
                </w:p>
              </w:tc>
            </w:tr>
          </w:tbl>
          <w:p w14:paraId="7A504FB9">
            <w:pPr>
              <w:keepNext w:val="0"/>
              <w:keepLines w:val="0"/>
              <w:pageBreakBefore w:val="0"/>
              <w:widowControl w:val="0"/>
              <w:numPr>
                <w:ilvl w:val="0"/>
                <w:numId w:val="0"/>
              </w:numPr>
              <w:kinsoku/>
              <w:wordWrap/>
              <w:overflowPunct/>
              <w:topLinePunct w:val="0"/>
              <w:autoSpaceDE/>
              <w:autoSpaceDN/>
              <w:bidi w:val="0"/>
              <w:adjustRightInd/>
              <w:snapToGrid/>
              <w:spacing w:after="156" w:line="240" w:lineRule="auto"/>
              <w:ind w:firstLine="480" w:firstLineChars="200"/>
              <w:textAlignment w:val="auto"/>
              <w:rPr>
                <w:rFonts w:hint="eastAsia" w:asciiTheme="minorEastAsia" w:hAnsiTheme="minorEastAsia" w:eastAsiaTheme="minorEastAsia" w:cstheme="minorEastAsia"/>
                <w:sz w:val="24"/>
                <w:szCs w:val="24"/>
              </w:rPr>
            </w:pPr>
          </w:p>
        </w:tc>
        <w:tc>
          <w:tcPr>
            <w:tcW w:w="424" w:type="pct"/>
            <w:vAlign w:val="center"/>
          </w:tcPr>
          <w:p w14:paraId="68E71089">
            <w:pPr>
              <w:spacing w:line="240" w:lineRule="auto"/>
              <w:jc w:val="center"/>
              <w:rPr>
                <w:rFonts w:hint="eastAsia" w:asciiTheme="minorEastAsia" w:hAnsiTheme="minorEastAsia" w:eastAsiaTheme="minorEastAsia" w:cstheme="minorEastAsia"/>
                <w:sz w:val="24"/>
                <w:szCs w:val="24"/>
              </w:rPr>
            </w:pPr>
          </w:p>
        </w:tc>
        <w:tc>
          <w:tcPr>
            <w:tcW w:w="283" w:type="pct"/>
            <w:vAlign w:val="center"/>
          </w:tcPr>
          <w:p w14:paraId="5EAFCFCE">
            <w:pPr>
              <w:spacing w:line="200" w:lineRule="atLeast"/>
              <w:jc w:val="center"/>
              <w:rPr>
                <w:rFonts w:hint="eastAsia" w:asciiTheme="minorEastAsia" w:hAnsiTheme="minorEastAsia" w:eastAsiaTheme="minorEastAsia" w:cstheme="minorEastAsia"/>
                <w:sz w:val="24"/>
                <w:szCs w:val="24"/>
              </w:rPr>
            </w:pPr>
          </w:p>
        </w:tc>
      </w:tr>
      <w:tr w14:paraId="66094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82" w:type="pct"/>
            <w:vAlign w:val="center"/>
          </w:tcPr>
          <w:p w14:paraId="4FF1CF7C">
            <w:pPr>
              <w:numPr>
                <w:ilvl w:val="0"/>
                <w:numId w:val="3"/>
              </w:numPr>
              <w:spacing w:line="200" w:lineRule="atLeast"/>
              <w:jc w:val="center"/>
              <w:rPr>
                <w:rFonts w:hint="eastAsia" w:asciiTheme="minorEastAsia" w:hAnsiTheme="minorEastAsia" w:eastAsiaTheme="minorEastAsia" w:cstheme="minorEastAsia"/>
                <w:sz w:val="24"/>
                <w:szCs w:val="24"/>
              </w:rPr>
            </w:pPr>
          </w:p>
        </w:tc>
        <w:tc>
          <w:tcPr>
            <w:tcW w:w="281" w:type="pct"/>
            <w:vMerge w:val="restart"/>
            <w:vAlign w:val="center"/>
          </w:tcPr>
          <w:p w14:paraId="0A7424F5">
            <w:pPr>
              <w:jc w:val="left"/>
              <w:rPr>
                <w:rFonts w:hint="eastAsia" w:asciiTheme="minorEastAsia" w:hAnsiTheme="minorEastAsia" w:eastAsiaTheme="minorEastAsia" w:cstheme="minorEastAsia"/>
                <w:spacing w:val="0"/>
                <w:sz w:val="24"/>
                <w:szCs w:val="24"/>
                <w:lang w:val="en-US" w:eastAsia="zh-CN"/>
              </w:rPr>
            </w:pPr>
            <w:r>
              <w:rPr>
                <w:rFonts w:hint="eastAsia" w:asciiTheme="minorEastAsia" w:hAnsiTheme="minorEastAsia" w:eastAsiaTheme="minorEastAsia" w:cstheme="minorEastAsia"/>
                <w:spacing w:val="0"/>
                <w:sz w:val="24"/>
                <w:szCs w:val="24"/>
                <w:lang w:val="en-US" w:eastAsia="zh-CN"/>
              </w:rPr>
              <w:t>五、安全要求</w:t>
            </w:r>
          </w:p>
        </w:tc>
        <w:tc>
          <w:tcPr>
            <w:tcW w:w="3828" w:type="pct"/>
            <w:vAlign w:val="center"/>
          </w:tcPr>
          <w:p w14:paraId="6653678E">
            <w:pPr>
              <w:keepNext w:val="0"/>
              <w:keepLines w:val="0"/>
              <w:pageBreakBefore w:val="0"/>
              <w:widowControl w:val="0"/>
              <w:numPr>
                <w:ilvl w:val="0"/>
                <w:numId w:val="0"/>
              </w:numPr>
              <w:kinsoku/>
              <w:wordWrap/>
              <w:overflowPunct/>
              <w:topLinePunct w:val="0"/>
              <w:autoSpaceDE/>
              <w:autoSpaceDN/>
              <w:bidi w:val="0"/>
              <w:adjustRightInd/>
              <w:snapToGrid/>
              <w:spacing w:after="156" w:line="24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1、应用安全：为保证系统安全，需要根据公布的漏洞情况进行升级修复。</w:t>
            </w:r>
          </w:p>
        </w:tc>
        <w:tc>
          <w:tcPr>
            <w:tcW w:w="424" w:type="pct"/>
            <w:vAlign w:val="center"/>
          </w:tcPr>
          <w:p w14:paraId="2D090D11">
            <w:pPr>
              <w:spacing w:line="240" w:lineRule="auto"/>
              <w:jc w:val="center"/>
              <w:rPr>
                <w:rFonts w:hint="eastAsia" w:asciiTheme="minorEastAsia" w:hAnsiTheme="minorEastAsia" w:eastAsiaTheme="minorEastAsia" w:cstheme="minorEastAsia"/>
                <w:sz w:val="24"/>
                <w:szCs w:val="24"/>
              </w:rPr>
            </w:pPr>
          </w:p>
        </w:tc>
        <w:tc>
          <w:tcPr>
            <w:tcW w:w="283" w:type="pct"/>
            <w:vAlign w:val="center"/>
          </w:tcPr>
          <w:p w14:paraId="3B588BC0">
            <w:pPr>
              <w:spacing w:line="200" w:lineRule="atLeast"/>
              <w:jc w:val="center"/>
              <w:rPr>
                <w:rFonts w:hint="eastAsia" w:asciiTheme="minorEastAsia" w:hAnsiTheme="minorEastAsia" w:eastAsiaTheme="minorEastAsia" w:cstheme="minorEastAsia"/>
                <w:sz w:val="24"/>
                <w:szCs w:val="24"/>
              </w:rPr>
            </w:pPr>
          </w:p>
        </w:tc>
      </w:tr>
      <w:tr w14:paraId="12111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82" w:type="pct"/>
            <w:vAlign w:val="center"/>
          </w:tcPr>
          <w:p w14:paraId="061D1EF3">
            <w:pPr>
              <w:numPr>
                <w:ilvl w:val="0"/>
                <w:numId w:val="3"/>
              </w:numPr>
              <w:spacing w:line="200" w:lineRule="atLeast"/>
              <w:jc w:val="center"/>
              <w:rPr>
                <w:rFonts w:hint="eastAsia" w:asciiTheme="minorEastAsia" w:hAnsiTheme="minorEastAsia" w:eastAsiaTheme="minorEastAsia" w:cstheme="minorEastAsia"/>
                <w:sz w:val="24"/>
                <w:szCs w:val="24"/>
              </w:rPr>
            </w:pPr>
          </w:p>
        </w:tc>
        <w:tc>
          <w:tcPr>
            <w:tcW w:w="281" w:type="pct"/>
            <w:vMerge w:val="continue"/>
            <w:vAlign w:val="center"/>
          </w:tcPr>
          <w:p w14:paraId="7235C2BC">
            <w:pPr>
              <w:jc w:val="left"/>
              <w:rPr>
                <w:rFonts w:hint="eastAsia" w:asciiTheme="minorEastAsia" w:hAnsiTheme="minorEastAsia" w:eastAsiaTheme="minorEastAsia" w:cstheme="minorEastAsia"/>
                <w:spacing w:val="0"/>
                <w:sz w:val="24"/>
                <w:szCs w:val="24"/>
                <w:lang w:val="en-US" w:eastAsia="zh-CN"/>
              </w:rPr>
            </w:pPr>
          </w:p>
        </w:tc>
        <w:tc>
          <w:tcPr>
            <w:tcW w:w="3828" w:type="pct"/>
            <w:vAlign w:val="center"/>
          </w:tcPr>
          <w:p w14:paraId="756674BC">
            <w:pPr>
              <w:keepNext w:val="0"/>
              <w:keepLines w:val="0"/>
              <w:pageBreakBefore w:val="0"/>
              <w:widowControl w:val="0"/>
              <w:numPr>
                <w:ilvl w:val="0"/>
                <w:numId w:val="0"/>
              </w:numPr>
              <w:kinsoku/>
              <w:wordWrap/>
              <w:overflowPunct/>
              <w:topLinePunct w:val="0"/>
              <w:autoSpaceDE/>
              <w:autoSpaceDN/>
              <w:bidi w:val="0"/>
              <w:adjustRightInd/>
              <w:snapToGrid/>
              <w:spacing w:after="156" w:line="24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2、数据安全：本项目为维保项目，经评估本项目不涉及数据安全范畴。</w:t>
            </w:r>
          </w:p>
        </w:tc>
        <w:tc>
          <w:tcPr>
            <w:tcW w:w="424" w:type="pct"/>
            <w:vAlign w:val="center"/>
          </w:tcPr>
          <w:p w14:paraId="5FA8C17A">
            <w:pPr>
              <w:spacing w:line="240" w:lineRule="auto"/>
              <w:jc w:val="center"/>
              <w:rPr>
                <w:rFonts w:hint="eastAsia" w:asciiTheme="minorEastAsia" w:hAnsiTheme="minorEastAsia" w:eastAsiaTheme="minorEastAsia" w:cstheme="minorEastAsia"/>
                <w:sz w:val="24"/>
                <w:szCs w:val="24"/>
              </w:rPr>
            </w:pPr>
          </w:p>
        </w:tc>
        <w:tc>
          <w:tcPr>
            <w:tcW w:w="283" w:type="pct"/>
            <w:vAlign w:val="center"/>
          </w:tcPr>
          <w:p w14:paraId="6CC6D155">
            <w:pPr>
              <w:spacing w:line="200" w:lineRule="atLeast"/>
              <w:jc w:val="center"/>
              <w:rPr>
                <w:rFonts w:hint="eastAsia" w:asciiTheme="minorEastAsia" w:hAnsiTheme="minorEastAsia" w:eastAsiaTheme="minorEastAsia" w:cstheme="minorEastAsia"/>
                <w:sz w:val="24"/>
                <w:szCs w:val="24"/>
              </w:rPr>
            </w:pPr>
          </w:p>
        </w:tc>
      </w:tr>
      <w:tr w14:paraId="272E1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82" w:type="pct"/>
            <w:vAlign w:val="center"/>
          </w:tcPr>
          <w:p w14:paraId="50D395CC">
            <w:pPr>
              <w:numPr>
                <w:ilvl w:val="0"/>
                <w:numId w:val="3"/>
              </w:numPr>
              <w:spacing w:line="200" w:lineRule="atLeast"/>
              <w:jc w:val="center"/>
              <w:rPr>
                <w:rFonts w:hint="eastAsia" w:asciiTheme="minorEastAsia" w:hAnsiTheme="minorEastAsia" w:eastAsiaTheme="minorEastAsia" w:cstheme="minorEastAsia"/>
                <w:sz w:val="24"/>
                <w:szCs w:val="24"/>
              </w:rPr>
            </w:pPr>
          </w:p>
        </w:tc>
        <w:tc>
          <w:tcPr>
            <w:tcW w:w="281" w:type="pct"/>
            <w:vMerge w:val="restart"/>
            <w:vAlign w:val="center"/>
          </w:tcPr>
          <w:p w14:paraId="719FA158">
            <w:pPr>
              <w:jc w:val="left"/>
              <w:rPr>
                <w:rFonts w:hint="eastAsia" w:asciiTheme="minorEastAsia" w:hAnsiTheme="minorEastAsia" w:eastAsiaTheme="minorEastAsia" w:cstheme="minorEastAsia"/>
                <w:spacing w:val="0"/>
                <w:sz w:val="24"/>
                <w:szCs w:val="24"/>
                <w:lang w:val="en-US" w:eastAsia="zh-CN"/>
              </w:rPr>
            </w:pPr>
            <w:r>
              <w:rPr>
                <w:rFonts w:hint="eastAsia" w:asciiTheme="minorEastAsia" w:hAnsiTheme="minorEastAsia" w:eastAsiaTheme="minorEastAsia" w:cstheme="minorEastAsia"/>
                <w:spacing w:val="0"/>
                <w:sz w:val="24"/>
                <w:szCs w:val="24"/>
                <w:lang w:val="en-US" w:eastAsia="zh-CN"/>
              </w:rPr>
              <w:t>六、项目预算及采购内容</w:t>
            </w:r>
          </w:p>
        </w:tc>
        <w:tc>
          <w:tcPr>
            <w:tcW w:w="3828" w:type="pct"/>
            <w:vAlign w:val="center"/>
          </w:tcPr>
          <w:p w14:paraId="2040A1C3">
            <w:pPr>
              <w:spacing w:after="156"/>
              <w:outlineLvl w:val="1"/>
              <w:rPr>
                <w:rFonts w:hint="eastAsia" w:asciiTheme="minorEastAsia" w:hAnsiTheme="minorEastAsia" w:eastAsiaTheme="minorEastAsia" w:cstheme="minorEastAsia"/>
                <w:sz w:val="24"/>
                <w:szCs w:val="24"/>
              </w:rPr>
            </w:pPr>
            <w:bookmarkStart w:id="6" w:name="_Toc236237920"/>
            <w:r>
              <w:rPr>
                <w:rFonts w:hint="eastAsia" w:asciiTheme="minorEastAsia" w:hAnsiTheme="minorEastAsia" w:eastAsiaTheme="minorEastAsia" w:cstheme="minorEastAsia"/>
                <w:sz w:val="24"/>
                <w:szCs w:val="24"/>
              </w:rPr>
              <w:t>1、采购内容</w:t>
            </w:r>
            <w:bookmarkEnd w:id="6"/>
          </w:p>
          <w:p w14:paraId="469651E2">
            <w:pPr>
              <w:pStyle w:val="25"/>
              <w:spacing w:after="156" w:line="360" w:lineRule="auto"/>
              <w:ind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期项目拟采购全国内容服务平台源站系统和公网业务推流服务系统为期三年的7*24小时维保服务，其中全国内容服务平台源站系统要求涵盖全国内容源站及驻地内容源软件，公网业务推流服务系统包含两套推流服务集群（分别部署于民科园和南翔机房），维保服务期为自合同签订之日起三年，如招标人因战略调整可提前一月书面通知终止，中标人须配合完成善后交接。</w:t>
            </w:r>
          </w:p>
          <w:p w14:paraId="678CE9B6">
            <w:pPr>
              <w:keepNext w:val="0"/>
              <w:keepLines w:val="0"/>
              <w:pageBreakBefore w:val="0"/>
              <w:widowControl w:val="0"/>
              <w:numPr>
                <w:ilvl w:val="0"/>
                <w:numId w:val="0"/>
              </w:numPr>
              <w:kinsoku/>
              <w:wordWrap/>
              <w:overflowPunct/>
              <w:topLinePunct w:val="0"/>
              <w:autoSpaceDE/>
              <w:autoSpaceDN/>
              <w:bidi w:val="0"/>
              <w:adjustRightInd/>
              <w:snapToGrid/>
              <w:spacing w:after="156" w:line="240" w:lineRule="auto"/>
              <w:ind w:firstLine="480" w:firstLineChars="200"/>
              <w:textAlignment w:val="auto"/>
              <w:rPr>
                <w:rFonts w:hint="eastAsia" w:asciiTheme="minorEastAsia" w:hAnsiTheme="minorEastAsia" w:eastAsiaTheme="minorEastAsia" w:cstheme="minorEastAsia"/>
                <w:sz w:val="24"/>
                <w:szCs w:val="24"/>
              </w:rPr>
            </w:pPr>
          </w:p>
        </w:tc>
        <w:tc>
          <w:tcPr>
            <w:tcW w:w="424" w:type="pct"/>
            <w:vAlign w:val="center"/>
          </w:tcPr>
          <w:p w14:paraId="70DE82D8">
            <w:pPr>
              <w:spacing w:line="240" w:lineRule="auto"/>
              <w:jc w:val="center"/>
              <w:rPr>
                <w:rFonts w:hint="eastAsia" w:asciiTheme="minorEastAsia" w:hAnsiTheme="minorEastAsia" w:eastAsiaTheme="minorEastAsia" w:cstheme="minorEastAsia"/>
                <w:sz w:val="24"/>
                <w:szCs w:val="24"/>
              </w:rPr>
            </w:pPr>
          </w:p>
        </w:tc>
        <w:tc>
          <w:tcPr>
            <w:tcW w:w="283" w:type="pct"/>
            <w:vAlign w:val="center"/>
          </w:tcPr>
          <w:p w14:paraId="023DD93A">
            <w:pPr>
              <w:spacing w:line="200" w:lineRule="atLeast"/>
              <w:jc w:val="center"/>
              <w:rPr>
                <w:rFonts w:hint="eastAsia" w:asciiTheme="minorEastAsia" w:hAnsiTheme="minorEastAsia" w:eastAsiaTheme="minorEastAsia" w:cstheme="minorEastAsia"/>
                <w:sz w:val="24"/>
                <w:szCs w:val="24"/>
              </w:rPr>
            </w:pPr>
          </w:p>
        </w:tc>
      </w:tr>
      <w:tr w14:paraId="2BD11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82" w:type="pct"/>
            <w:vAlign w:val="center"/>
          </w:tcPr>
          <w:p w14:paraId="182BE578">
            <w:pPr>
              <w:numPr>
                <w:ilvl w:val="0"/>
                <w:numId w:val="3"/>
              </w:numPr>
              <w:spacing w:line="200" w:lineRule="atLeast"/>
              <w:jc w:val="center"/>
              <w:rPr>
                <w:rFonts w:hint="eastAsia" w:asciiTheme="minorEastAsia" w:hAnsiTheme="minorEastAsia" w:eastAsiaTheme="minorEastAsia" w:cstheme="minorEastAsia"/>
                <w:sz w:val="24"/>
                <w:szCs w:val="24"/>
              </w:rPr>
            </w:pPr>
          </w:p>
        </w:tc>
        <w:tc>
          <w:tcPr>
            <w:tcW w:w="281" w:type="pct"/>
            <w:vMerge w:val="continue"/>
            <w:vAlign w:val="center"/>
          </w:tcPr>
          <w:p w14:paraId="5711C98B">
            <w:pPr>
              <w:jc w:val="left"/>
              <w:rPr>
                <w:rFonts w:hint="eastAsia" w:asciiTheme="minorEastAsia" w:hAnsiTheme="minorEastAsia" w:eastAsiaTheme="minorEastAsia" w:cstheme="minorEastAsia"/>
                <w:spacing w:val="0"/>
                <w:sz w:val="24"/>
                <w:szCs w:val="24"/>
                <w:lang w:val="en-US" w:eastAsia="zh-CN"/>
              </w:rPr>
            </w:pPr>
          </w:p>
        </w:tc>
        <w:tc>
          <w:tcPr>
            <w:tcW w:w="3828" w:type="pct"/>
            <w:vAlign w:val="center"/>
          </w:tcPr>
          <w:p w14:paraId="2E604E2F">
            <w:pPr>
              <w:spacing w:after="156"/>
              <w:outlineLvl w:val="1"/>
              <w:rPr>
                <w:rFonts w:hint="eastAsia" w:asciiTheme="minorEastAsia" w:hAnsiTheme="minorEastAsia" w:eastAsiaTheme="minorEastAsia" w:cstheme="minorEastAsia"/>
                <w:sz w:val="24"/>
                <w:szCs w:val="24"/>
              </w:rPr>
            </w:pPr>
            <w:bookmarkStart w:id="7" w:name="_Toc236237921"/>
            <w:r>
              <w:rPr>
                <w:rFonts w:hint="eastAsia" w:asciiTheme="minorEastAsia" w:hAnsiTheme="minorEastAsia" w:eastAsiaTheme="minorEastAsia" w:cstheme="minorEastAsia"/>
                <w:sz w:val="24"/>
                <w:szCs w:val="24"/>
              </w:rPr>
              <w:t>2、项目报价</w:t>
            </w:r>
            <w:bookmarkEnd w:id="7"/>
          </w:p>
          <w:tbl>
            <w:tblPr>
              <w:tblStyle w:val="15"/>
              <w:tblW w:w="517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
              <w:gridCol w:w="2409"/>
              <w:gridCol w:w="3046"/>
              <w:gridCol w:w="1633"/>
              <w:gridCol w:w="1092"/>
              <w:gridCol w:w="1919"/>
            </w:tblGrid>
            <w:tr w14:paraId="082C2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2" w:hRule="atLeast"/>
                <w:jc w:val="center"/>
              </w:trPr>
              <w:tc>
                <w:tcPr>
                  <w:tcW w:w="405" w:type="pct"/>
                  <w:vAlign w:val="center"/>
                </w:tcPr>
                <w:p w14:paraId="51F12D7B">
                  <w:pPr>
                    <w:pStyle w:val="4"/>
                    <w:spacing w:after="156"/>
                    <w:ind w:firstLine="0" w:firstLineChars="0"/>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序号</w:t>
                  </w:r>
                </w:p>
              </w:tc>
              <w:tc>
                <w:tcPr>
                  <w:tcW w:w="1096" w:type="pct"/>
                  <w:vAlign w:val="center"/>
                </w:tcPr>
                <w:p w14:paraId="756B3F50">
                  <w:pPr>
                    <w:pStyle w:val="4"/>
                    <w:spacing w:after="156"/>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货物名称</w:t>
                  </w:r>
                </w:p>
              </w:tc>
              <w:tc>
                <w:tcPr>
                  <w:tcW w:w="1386" w:type="pct"/>
                  <w:vAlign w:val="center"/>
                </w:tcPr>
                <w:p w14:paraId="296F44C4">
                  <w:pPr>
                    <w:pStyle w:val="4"/>
                    <w:spacing w:after="156" w:line="240" w:lineRule="auto"/>
                    <w:ind w:firstLine="0" w:firstLineChars="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原采购</w:t>
                  </w:r>
                  <w:r>
                    <w:rPr>
                      <w:rFonts w:hint="eastAsia" w:asciiTheme="minorEastAsia" w:hAnsiTheme="minorEastAsia" w:eastAsiaTheme="minorEastAsia" w:cstheme="minorEastAsia"/>
                      <w:bCs/>
                      <w:sz w:val="24"/>
                      <w:szCs w:val="24"/>
                    </w:rPr>
                    <w:t>合同</w:t>
                  </w:r>
                </w:p>
              </w:tc>
              <w:tc>
                <w:tcPr>
                  <w:tcW w:w="743" w:type="pct"/>
                  <w:vAlign w:val="center"/>
                </w:tcPr>
                <w:p w14:paraId="27E7014E">
                  <w:pPr>
                    <w:pStyle w:val="4"/>
                    <w:spacing w:after="156" w:line="240" w:lineRule="auto"/>
                    <w:ind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维保单价（元/年）</w:t>
                  </w:r>
                </w:p>
              </w:tc>
              <w:tc>
                <w:tcPr>
                  <w:tcW w:w="497" w:type="pct"/>
                  <w:vAlign w:val="center"/>
                </w:tcPr>
                <w:p w14:paraId="787CE91E">
                  <w:pPr>
                    <w:pStyle w:val="4"/>
                    <w:spacing w:after="156" w:line="240" w:lineRule="auto"/>
                    <w:ind w:firstLine="0" w:firstLineChars="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维保时间（年）</w:t>
                  </w:r>
                </w:p>
              </w:tc>
              <w:tc>
                <w:tcPr>
                  <w:tcW w:w="873" w:type="pct"/>
                  <w:vAlign w:val="center"/>
                </w:tcPr>
                <w:p w14:paraId="029E8932">
                  <w:pPr>
                    <w:pStyle w:val="4"/>
                    <w:spacing w:after="156" w:line="240" w:lineRule="auto"/>
                    <w:ind w:firstLine="0" w:firstLineChars="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预算小计（元）</w:t>
                  </w:r>
                </w:p>
              </w:tc>
            </w:tr>
            <w:tr w14:paraId="601C9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405" w:type="pct"/>
                  <w:vMerge w:val="restart"/>
                  <w:vAlign w:val="center"/>
                </w:tcPr>
                <w:p w14:paraId="3A4B46D6">
                  <w:pPr>
                    <w:pStyle w:val="4"/>
                    <w:spacing w:after="156"/>
                    <w:ind w:firstLine="0" w:firstLine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096" w:type="pct"/>
                  <w:vMerge w:val="restart"/>
                  <w:vAlign w:val="center"/>
                </w:tcPr>
                <w:p w14:paraId="73A050E7">
                  <w:pPr>
                    <w:pStyle w:val="4"/>
                    <w:spacing w:after="156"/>
                    <w:ind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全国内容服务平台源站系统</w:t>
                  </w:r>
                </w:p>
              </w:tc>
              <w:tc>
                <w:tcPr>
                  <w:tcW w:w="1386" w:type="pct"/>
                </w:tcPr>
                <w:p w14:paraId="150BDCF4">
                  <w:pPr>
                    <w:spacing w:after="12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全国内容服务平台源站建设项目合同</w:t>
                  </w:r>
                </w:p>
                <w:p w14:paraId="6258FAFE">
                  <w:pPr>
                    <w:spacing w:after="12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（FK201904033）</w:t>
                  </w:r>
                </w:p>
              </w:tc>
              <w:tc>
                <w:tcPr>
                  <w:tcW w:w="743" w:type="pct"/>
                  <w:vMerge w:val="restart"/>
                  <w:vAlign w:val="center"/>
                </w:tcPr>
                <w:p w14:paraId="395F904C">
                  <w:pPr>
                    <w:pStyle w:val="4"/>
                    <w:spacing w:after="156"/>
                    <w:rPr>
                      <w:rFonts w:hint="eastAsia" w:asciiTheme="minorEastAsia" w:hAnsiTheme="minorEastAsia" w:eastAsiaTheme="minorEastAsia" w:cstheme="minorEastAsia"/>
                      <w:sz w:val="24"/>
                      <w:szCs w:val="24"/>
                    </w:rPr>
                  </w:pPr>
                </w:p>
              </w:tc>
              <w:tc>
                <w:tcPr>
                  <w:tcW w:w="497" w:type="pct"/>
                  <w:vMerge w:val="restart"/>
                  <w:vAlign w:val="center"/>
                </w:tcPr>
                <w:p w14:paraId="7AED3D5B">
                  <w:pPr>
                    <w:pStyle w:val="4"/>
                    <w:spacing w:after="156"/>
                    <w:ind w:firstLine="0" w:firstLine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873" w:type="pct"/>
                  <w:vMerge w:val="restart"/>
                  <w:vAlign w:val="center"/>
                </w:tcPr>
                <w:p w14:paraId="2137C2AC">
                  <w:pPr>
                    <w:pStyle w:val="4"/>
                    <w:spacing w:after="156"/>
                    <w:rPr>
                      <w:rFonts w:hint="eastAsia" w:asciiTheme="minorEastAsia" w:hAnsiTheme="minorEastAsia" w:eastAsiaTheme="minorEastAsia" w:cstheme="minorEastAsia"/>
                      <w:sz w:val="24"/>
                      <w:szCs w:val="24"/>
                    </w:rPr>
                  </w:pPr>
                </w:p>
              </w:tc>
            </w:tr>
            <w:tr w14:paraId="44B65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jc w:val="center"/>
              </w:trPr>
              <w:tc>
                <w:tcPr>
                  <w:tcW w:w="405" w:type="pct"/>
                  <w:vMerge w:val="continue"/>
                  <w:vAlign w:val="center"/>
                </w:tcPr>
                <w:p w14:paraId="35DFB5FC">
                  <w:pPr>
                    <w:pStyle w:val="4"/>
                    <w:spacing w:after="156"/>
                    <w:ind w:firstLine="0" w:firstLineChars="0"/>
                    <w:jc w:val="center"/>
                    <w:rPr>
                      <w:rFonts w:hint="eastAsia" w:asciiTheme="minorEastAsia" w:hAnsiTheme="minorEastAsia" w:eastAsiaTheme="minorEastAsia" w:cstheme="minorEastAsia"/>
                      <w:sz w:val="24"/>
                      <w:szCs w:val="24"/>
                    </w:rPr>
                  </w:pPr>
                </w:p>
              </w:tc>
              <w:tc>
                <w:tcPr>
                  <w:tcW w:w="1096" w:type="pct"/>
                  <w:vMerge w:val="continue"/>
                  <w:vAlign w:val="center"/>
                </w:tcPr>
                <w:p w14:paraId="28E502F5">
                  <w:pPr>
                    <w:pStyle w:val="4"/>
                    <w:spacing w:after="156"/>
                    <w:ind w:firstLine="0" w:firstLineChars="0"/>
                    <w:rPr>
                      <w:rFonts w:hint="eastAsia" w:asciiTheme="minorEastAsia" w:hAnsiTheme="minorEastAsia" w:eastAsiaTheme="minorEastAsia" w:cstheme="minorEastAsia"/>
                      <w:sz w:val="24"/>
                      <w:szCs w:val="24"/>
                    </w:rPr>
                  </w:pPr>
                </w:p>
              </w:tc>
              <w:tc>
                <w:tcPr>
                  <w:tcW w:w="1386" w:type="pct"/>
                </w:tcPr>
                <w:p w14:paraId="10B280E5">
                  <w:pPr>
                    <w:spacing w:after="12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2023年全国内容服务平台内容源站扩容采购项目合同（FK202403008）</w:t>
                  </w:r>
                </w:p>
              </w:tc>
              <w:tc>
                <w:tcPr>
                  <w:tcW w:w="743" w:type="pct"/>
                  <w:vMerge w:val="continue"/>
                  <w:vAlign w:val="center"/>
                </w:tcPr>
                <w:p w14:paraId="0C2DD90E">
                  <w:pPr>
                    <w:pStyle w:val="4"/>
                    <w:spacing w:after="156"/>
                    <w:rPr>
                      <w:rFonts w:hint="eastAsia" w:asciiTheme="minorEastAsia" w:hAnsiTheme="minorEastAsia" w:eastAsiaTheme="minorEastAsia" w:cstheme="minorEastAsia"/>
                      <w:sz w:val="24"/>
                      <w:szCs w:val="24"/>
                    </w:rPr>
                  </w:pPr>
                </w:p>
              </w:tc>
              <w:tc>
                <w:tcPr>
                  <w:tcW w:w="497" w:type="pct"/>
                  <w:vMerge w:val="continue"/>
                  <w:vAlign w:val="center"/>
                </w:tcPr>
                <w:p w14:paraId="7706A293">
                  <w:pPr>
                    <w:pStyle w:val="4"/>
                    <w:spacing w:after="156"/>
                    <w:jc w:val="center"/>
                    <w:rPr>
                      <w:rFonts w:hint="eastAsia" w:asciiTheme="minorEastAsia" w:hAnsiTheme="minorEastAsia" w:eastAsiaTheme="minorEastAsia" w:cstheme="minorEastAsia"/>
                      <w:sz w:val="24"/>
                      <w:szCs w:val="24"/>
                    </w:rPr>
                  </w:pPr>
                </w:p>
              </w:tc>
              <w:tc>
                <w:tcPr>
                  <w:tcW w:w="873" w:type="pct"/>
                  <w:vMerge w:val="continue"/>
                  <w:vAlign w:val="center"/>
                </w:tcPr>
                <w:p w14:paraId="3201EE6E">
                  <w:pPr>
                    <w:pStyle w:val="4"/>
                    <w:spacing w:after="156"/>
                    <w:rPr>
                      <w:rFonts w:hint="eastAsia" w:asciiTheme="minorEastAsia" w:hAnsiTheme="minorEastAsia" w:eastAsiaTheme="minorEastAsia" w:cstheme="minorEastAsia"/>
                      <w:sz w:val="24"/>
                      <w:szCs w:val="24"/>
                    </w:rPr>
                  </w:pPr>
                </w:p>
              </w:tc>
            </w:tr>
            <w:tr w14:paraId="4D108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jc w:val="center"/>
              </w:trPr>
              <w:tc>
                <w:tcPr>
                  <w:tcW w:w="405" w:type="pct"/>
                  <w:vAlign w:val="center"/>
                </w:tcPr>
                <w:p w14:paraId="6EAE8FFA">
                  <w:pPr>
                    <w:pStyle w:val="4"/>
                    <w:spacing w:after="156"/>
                    <w:ind w:firstLine="0" w:firstLine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096" w:type="pct"/>
                  <w:vAlign w:val="center"/>
                </w:tcPr>
                <w:p w14:paraId="5FA6EA22">
                  <w:pPr>
                    <w:spacing w:after="12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公网业务推流服务系统（南翔）</w:t>
                  </w:r>
                </w:p>
              </w:tc>
              <w:tc>
                <w:tcPr>
                  <w:tcW w:w="1386" w:type="pct"/>
                </w:tcPr>
                <w:p w14:paraId="441A4662">
                  <w:pPr>
                    <w:spacing w:after="12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新业务推流服务在线热备系统建设项目合同</w:t>
                  </w:r>
                </w:p>
                <w:p w14:paraId="3E84F898">
                  <w:pPr>
                    <w:spacing w:after="12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（FK202009007）</w:t>
                  </w:r>
                </w:p>
              </w:tc>
              <w:tc>
                <w:tcPr>
                  <w:tcW w:w="743" w:type="pct"/>
                  <w:vAlign w:val="center"/>
                </w:tcPr>
                <w:p w14:paraId="754309B5">
                  <w:pPr>
                    <w:pStyle w:val="4"/>
                    <w:spacing w:after="156"/>
                    <w:rPr>
                      <w:rFonts w:hint="eastAsia" w:asciiTheme="minorEastAsia" w:hAnsiTheme="minorEastAsia" w:eastAsiaTheme="minorEastAsia" w:cstheme="minorEastAsia"/>
                      <w:sz w:val="24"/>
                      <w:szCs w:val="24"/>
                    </w:rPr>
                  </w:pPr>
                </w:p>
              </w:tc>
              <w:tc>
                <w:tcPr>
                  <w:tcW w:w="497" w:type="pct"/>
                  <w:vAlign w:val="center"/>
                </w:tcPr>
                <w:p w14:paraId="2BD27457">
                  <w:pPr>
                    <w:pStyle w:val="4"/>
                    <w:spacing w:after="156"/>
                    <w:ind w:firstLine="0" w:firstLine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873" w:type="pct"/>
                  <w:vAlign w:val="center"/>
                </w:tcPr>
                <w:p w14:paraId="1BEC8591">
                  <w:pPr>
                    <w:pStyle w:val="4"/>
                    <w:spacing w:after="156"/>
                    <w:rPr>
                      <w:rFonts w:hint="eastAsia" w:asciiTheme="minorEastAsia" w:hAnsiTheme="minorEastAsia" w:eastAsiaTheme="minorEastAsia" w:cstheme="minorEastAsia"/>
                      <w:sz w:val="24"/>
                      <w:szCs w:val="24"/>
                    </w:rPr>
                  </w:pPr>
                </w:p>
              </w:tc>
            </w:tr>
            <w:tr w14:paraId="1FFD5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405" w:type="pct"/>
                  <w:vMerge w:val="restart"/>
                  <w:vAlign w:val="center"/>
                </w:tcPr>
                <w:p w14:paraId="1BD20713">
                  <w:pPr>
                    <w:pStyle w:val="4"/>
                    <w:spacing w:after="156"/>
                    <w:ind w:firstLine="0" w:firstLine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096" w:type="pct"/>
                  <w:vMerge w:val="restart"/>
                  <w:vAlign w:val="center"/>
                </w:tcPr>
                <w:p w14:paraId="04A12474">
                  <w:pPr>
                    <w:spacing w:after="12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公网业务推流服务系统（民科园）</w:t>
                  </w:r>
                </w:p>
              </w:tc>
              <w:tc>
                <w:tcPr>
                  <w:tcW w:w="1386" w:type="pct"/>
                </w:tcPr>
                <w:p w14:paraId="693E1EAA">
                  <w:pPr>
                    <w:spacing w:after="12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融合平台OTT点播回看推流服务器项目合同（F201505056）</w:t>
                  </w:r>
                </w:p>
              </w:tc>
              <w:tc>
                <w:tcPr>
                  <w:tcW w:w="743" w:type="pct"/>
                  <w:vMerge w:val="restart"/>
                  <w:vAlign w:val="center"/>
                </w:tcPr>
                <w:p w14:paraId="33A5AAA3">
                  <w:pPr>
                    <w:pStyle w:val="4"/>
                    <w:spacing w:after="156"/>
                    <w:rPr>
                      <w:rFonts w:hint="eastAsia" w:asciiTheme="minorEastAsia" w:hAnsiTheme="minorEastAsia" w:eastAsiaTheme="minorEastAsia" w:cstheme="minorEastAsia"/>
                      <w:sz w:val="24"/>
                      <w:szCs w:val="24"/>
                    </w:rPr>
                  </w:pPr>
                </w:p>
              </w:tc>
              <w:tc>
                <w:tcPr>
                  <w:tcW w:w="497" w:type="pct"/>
                  <w:vMerge w:val="restart"/>
                  <w:vAlign w:val="center"/>
                </w:tcPr>
                <w:p w14:paraId="5A4C3B1B">
                  <w:pPr>
                    <w:pStyle w:val="4"/>
                    <w:spacing w:after="156"/>
                    <w:ind w:firstLine="0" w:firstLine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873" w:type="pct"/>
                  <w:vMerge w:val="restart"/>
                  <w:vAlign w:val="center"/>
                </w:tcPr>
                <w:p w14:paraId="50BB53CC">
                  <w:pPr>
                    <w:pStyle w:val="4"/>
                    <w:spacing w:after="156"/>
                    <w:rPr>
                      <w:rFonts w:hint="eastAsia" w:asciiTheme="minorEastAsia" w:hAnsiTheme="minorEastAsia" w:eastAsiaTheme="minorEastAsia" w:cstheme="minorEastAsia"/>
                      <w:sz w:val="24"/>
                      <w:szCs w:val="24"/>
                    </w:rPr>
                  </w:pPr>
                </w:p>
                <w:p w14:paraId="075860DF">
                  <w:pPr>
                    <w:rPr>
                      <w:rFonts w:hint="eastAsia" w:asciiTheme="minorEastAsia" w:hAnsiTheme="minorEastAsia" w:eastAsiaTheme="minorEastAsia" w:cstheme="minorEastAsia"/>
                      <w:sz w:val="24"/>
                      <w:szCs w:val="24"/>
                    </w:rPr>
                  </w:pPr>
                </w:p>
              </w:tc>
            </w:tr>
            <w:tr w14:paraId="03A36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405" w:type="pct"/>
                  <w:vMerge w:val="continue"/>
                  <w:vAlign w:val="center"/>
                </w:tcPr>
                <w:p w14:paraId="272D3DD9">
                  <w:pPr>
                    <w:pStyle w:val="4"/>
                    <w:spacing w:after="156"/>
                    <w:ind w:firstLine="0" w:firstLineChars="0"/>
                    <w:jc w:val="center"/>
                    <w:rPr>
                      <w:rFonts w:hint="eastAsia" w:asciiTheme="minorEastAsia" w:hAnsiTheme="minorEastAsia" w:eastAsiaTheme="minorEastAsia" w:cstheme="minorEastAsia"/>
                      <w:sz w:val="24"/>
                      <w:szCs w:val="24"/>
                    </w:rPr>
                  </w:pPr>
                </w:p>
              </w:tc>
              <w:tc>
                <w:tcPr>
                  <w:tcW w:w="1096" w:type="pct"/>
                  <w:vMerge w:val="continue"/>
                  <w:vAlign w:val="center"/>
                </w:tcPr>
                <w:p w14:paraId="72A1665A">
                  <w:pPr>
                    <w:spacing w:after="120"/>
                    <w:jc w:val="center"/>
                    <w:rPr>
                      <w:rFonts w:hint="eastAsia" w:asciiTheme="minorEastAsia" w:hAnsiTheme="minorEastAsia" w:eastAsiaTheme="minorEastAsia" w:cstheme="minorEastAsia"/>
                      <w:sz w:val="24"/>
                      <w:szCs w:val="24"/>
                    </w:rPr>
                  </w:pPr>
                </w:p>
              </w:tc>
              <w:tc>
                <w:tcPr>
                  <w:tcW w:w="1386" w:type="pct"/>
                </w:tcPr>
                <w:p w14:paraId="79B73F91">
                  <w:pPr>
                    <w:spacing w:after="12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流媒体新增功能开发服务采购项目合同（F201603051）</w:t>
                  </w:r>
                </w:p>
              </w:tc>
              <w:tc>
                <w:tcPr>
                  <w:tcW w:w="743" w:type="pct"/>
                  <w:vMerge w:val="continue"/>
                  <w:vAlign w:val="center"/>
                </w:tcPr>
                <w:p w14:paraId="6E82A1DA">
                  <w:pPr>
                    <w:pStyle w:val="4"/>
                    <w:spacing w:after="156"/>
                    <w:rPr>
                      <w:rFonts w:hint="eastAsia" w:asciiTheme="minorEastAsia" w:hAnsiTheme="minorEastAsia" w:eastAsiaTheme="minorEastAsia" w:cstheme="minorEastAsia"/>
                      <w:sz w:val="24"/>
                      <w:szCs w:val="24"/>
                    </w:rPr>
                  </w:pPr>
                </w:p>
              </w:tc>
              <w:tc>
                <w:tcPr>
                  <w:tcW w:w="497" w:type="pct"/>
                  <w:vMerge w:val="continue"/>
                  <w:vAlign w:val="center"/>
                </w:tcPr>
                <w:p w14:paraId="44253AAE">
                  <w:pPr>
                    <w:pStyle w:val="4"/>
                    <w:spacing w:after="156"/>
                    <w:ind w:firstLine="0" w:firstLineChars="0"/>
                    <w:jc w:val="center"/>
                    <w:rPr>
                      <w:rFonts w:hint="eastAsia" w:asciiTheme="minorEastAsia" w:hAnsiTheme="minorEastAsia" w:eastAsiaTheme="minorEastAsia" w:cstheme="minorEastAsia"/>
                      <w:sz w:val="24"/>
                      <w:szCs w:val="24"/>
                    </w:rPr>
                  </w:pPr>
                </w:p>
              </w:tc>
              <w:tc>
                <w:tcPr>
                  <w:tcW w:w="873" w:type="pct"/>
                  <w:vMerge w:val="continue"/>
                  <w:vAlign w:val="center"/>
                </w:tcPr>
                <w:p w14:paraId="795F81B3">
                  <w:pPr>
                    <w:pStyle w:val="4"/>
                    <w:spacing w:after="156"/>
                    <w:rPr>
                      <w:rFonts w:hint="eastAsia" w:asciiTheme="minorEastAsia" w:hAnsiTheme="minorEastAsia" w:eastAsiaTheme="minorEastAsia" w:cstheme="minorEastAsia"/>
                      <w:sz w:val="24"/>
                      <w:szCs w:val="24"/>
                    </w:rPr>
                  </w:pPr>
                </w:p>
              </w:tc>
            </w:tr>
            <w:tr w14:paraId="56A59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jc w:val="center"/>
              </w:trPr>
              <w:tc>
                <w:tcPr>
                  <w:tcW w:w="405" w:type="pct"/>
                  <w:vMerge w:val="continue"/>
                  <w:vAlign w:val="center"/>
                </w:tcPr>
                <w:p w14:paraId="35470A26">
                  <w:pPr>
                    <w:pStyle w:val="4"/>
                    <w:spacing w:after="156"/>
                    <w:ind w:firstLine="0" w:firstLineChars="0"/>
                    <w:jc w:val="center"/>
                    <w:rPr>
                      <w:rFonts w:hint="eastAsia" w:asciiTheme="minorEastAsia" w:hAnsiTheme="minorEastAsia" w:eastAsiaTheme="minorEastAsia" w:cstheme="minorEastAsia"/>
                      <w:sz w:val="24"/>
                      <w:szCs w:val="24"/>
                    </w:rPr>
                  </w:pPr>
                </w:p>
              </w:tc>
              <w:tc>
                <w:tcPr>
                  <w:tcW w:w="1096" w:type="pct"/>
                  <w:vMerge w:val="continue"/>
                  <w:vAlign w:val="center"/>
                </w:tcPr>
                <w:p w14:paraId="29BA77C2">
                  <w:pPr>
                    <w:spacing w:after="120"/>
                    <w:jc w:val="center"/>
                    <w:rPr>
                      <w:rFonts w:hint="eastAsia" w:asciiTheme="minorEastAsia" w:hAnsiTheme="minorEastAsia" w:eastAsiaTheme="minorEastAsia" w:cstheme="minorEastAsia"/>
                      <w:sz w:val="24"/>
                      <w:szCs w:val="24"/>
                    </w:rPr>
                  </w:pPr>
                </w:p>
              </w:tc>
              <w:tc>
                <w:tcPr>
                  <w:tcW w:w="1386" w:type="pct"/>
                </w:tcPr>
                <w:p w14:paraId="3CE8609B">
                  <w:pPr>
                    <w:spacing w:after="12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南方新媒体内容安全保障系统建设采购推流服务器项目（F201704065）</w:t>
                  </w:r>
                </w:p>
              </w:tc>
              <w:tc>
                <w:tcPr>
                  <w:tcW w:w="743" w:type="pct"/>
                  <w:vMerge w:val="continue"/>
                  <w:vAlign w:val="center"/>
                </w:tcPr>
                <w:p w14:paraId="52F4D4F3">
                  <w:pPr>
                    <w:pStyle w:val="4"/>
                    <w:spacing w:after="156"/>
                    <w:rPr>
                      <w:rFonts w:hint="eastAsia" w:asciiTheme="minorEastAsia" w:hAnsiTheme="minorEastAsia" w:eastAsiaTheme="minorEastAsia" w:cstheme="minorEastAsia"/>
                      <w:sz w:val="24"/>
                      <w:szCs w:val="24"/>
                    </w:rPr>
                  </w:pPr>
                </w:p>
              </w:tc>
              <w:tc>
                <w:tcPr>
                  <w:tcW w:w="497" w:type="pct"/>
                  <w:vMerge w:val="continue"/>
                  <w:vAlign w:val="center"/>
                </w:tcPr>
                <w:p w14:paraId="0AC6D551">
                  <w:pPr>
                    <w:pStyle w:val="4"/>
                    <w:spacing w:after="156"/>
                    <w:ind w:firstLine="0" w:firstLineChars="0"/>
                    <w:jc w:val="center"/>
                    <w:rPr>
                      <w:rFonts w:hint="eastAsia" w:asciiTheme="minorEastAsia" w:hAnsiTheme="minorEastAsia" w:eastAsiaTheme="minorEastAsia" w:cstheme="minorEastAsia"/>
                      <w:sz w:val="24"/>
                      <w:szCs w:val="24"/>
                    </w:rPr>
                  </w:pPr>
                </w:p>
              </w:tc>
              <w:tc>
                <w:tcPr>
                  <w:tcW w:w="873" w:type="pct"/>
                  <w:vMerge w:val="continue"/>
                  <w:vAlign w:val="center"/>
                </w:tcPr>
                <w:p w14:paraId="0AB8B6ED">
                  <w:pPr>
                    <w:pStyle w:val="4"/>
                    <w:spacing w:after="156"/>
                    <w:rPr>
                      <w:rFonts w:hint="eastAsia" w:asciiTheme="minorEastAsia" w:hAnsiTheme="minorEastAsia" w:eastAsiaTheme="minorEastAsia" w:cstheme="minorEastAsia"/>
                      <w:sz w:val="24"/>
                      <w:szCs w:val="24"/>
                    </w:rPr>
                  </w:pPr>
                </w:p>
              </w:tc>
            </w:tr>
            <w:tr w14:paraId="46234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jc w:val="center"/>
              </w:trPr>
              <w:tc>
                <w:tcPr>
                  <w:tcW w:w="4127" w:type="pct"/>
                  <w:gridSpan w:val="5"/>
                  <w:vAlign w:val="center"/>
                </w:tcPr>
                <w:p w14:paraId="22FD31D0">
                  <w:pPr>
                    <w:pStyle w:val="4"/>
                    <w:spacing w:after="156"/>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 计：</w:t>
                  </w:r>
                </w:p>
              </w:tc>
              <w:tc>
                <w:tcPr>
                  <w:tcW w:w="873" w:type="pct"/>
                  <w:vAlign w:val="center"/>
                </w:tcPr>
                <w:p w14:paraId="427EB605">
                  <w:pPr>
                    <w:pStyle w:val="4"/>
                    <w:spacing w:after="156"/>
                    <w:rPr>
                      <w:rFonts w:hint="eastAsia" w:asciiTheme="minorEastAsia" w:hAnsiTheme="minorEastAsia" w:eastAsiaTheme="minorEastAsia" w:cstheme="minorEastAsia"/>
                      <w:sz w:val="24"/>
                      <w:szCs w:val="24"/>
                    </w:rPr>
                  </w:pPr>
                </w:p>
              </w:tc>
            </w:tr>
          </w:tbl>
          <w:p w14:paraId="2A7501CE">
            <w:pPr>
              <w:keepNext w:val="0"/>
              <w:keepLines w:val="0"/>
              <w:pageBreakBefore w:val="0"/>
              <w:widowControl w:val="0"/>
              <w:numPr>
                <w:ilvl w:val="0"/>
                <w:numId w:val="0"/>
              </w:numPr>
              <w:kinsoku/>
              <w:wordWrap/>
              <w:overflowPunct/>
              <w:topLinePunct w:val="0"/>
              <w:autoSpaceDE/>
              <w:autoSpaceDN/>
              <w:bidi w:val="0"/>
              <w:adjustRightInd/>
              <w:snapToGrid/>
              <w:spacing w:after="156" w:line="240" w:lineRule="auto"/>
              <w:ind w:firstLine="480" w:firstLineChars="200"/>
              <w:textAlignment w:val="auto"/>
              <w:rPr>
                <w:rFonts w:hint="eastAsia" w:asciiTheme="minorEastAsia" w:hAnsiTheme="minorEastAsia" w:eastAsiaTheme="minorEastAsia" w:cstheme="minorEastAsia"/>
                <w:sz w:val="24"/>
                <w:szCs w:val="24"/>
              </w:rPr>
            </w:pPr>
          </w:p>
        </w:tc>
        <w:tc>
          <w:tcPr>
            <w:tcW w:w="424" w:type="pct"/>
            <w:vAlign w:val="center"/>
          </w:tcPr>
          <w:p w14:paraId="03136561">
            <w:pPr>
              <w:spacing w:line="240" w:lineRule="auto"/>
              <w:jc w:val="center"/>
              <w:rPr>
                <w:rFonts w:hint="eastAsia" w:asciiTheme="minorEastAsia" w:hAnsiTheme="minorEastAsia" w:eastAsiaTheme="minorEastAsia" w:cstheme="minorEastAsia"/>
                <w:sz w:val="24"/>
                <w:szCs w:val="24"/>
              </w:rPr>
            </w:pPr>
          </w:p>
        </w:tc>
        <w:tc>
          <w:tcPr>
            <w:tcW w:w="283" w:type="pct"/>
            <w:vAlign w:val="center"/>
          </w:tcPr>
          <w:p w14:paraId="6453929E">
            <w:pPr>
              <w:spacing w:line="200" w:lineRule="atLeast"/>
              <w:jc w:val="center"/>
              <w:rPr>
                <w:rFonts w:hint="eastAsia" w:asciiTheme="minorEastAsia" w:hAnsiTheme="minorEastAsia" w:eastAsiaTheme="minorEastAsia" w:cstheme="minorEastAsia"/>
                <w:sz w:val="24"/>
                <w:szCs w:val="24"/>
              </w:rPr>
            </w:pPr>
          </w:p>
        </w:tc>
      </w:tr>
      <w:tr w14:paraId="229C2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82" w:type="pct"/>
            <w:vAlign w:val="center"/>
          </w:tcPr>
          <w:p w14:paraId="4889F9B8">
            <w:pPr>
              <w:numPr>
                <w:ilvl w:val="0"/>
                <w:numId w:val="3"/>
              </w:numPr>
              <w:spacing w:line="200" w:lineRule="atLeast"/>
              <w:jc w:val="center"/>
              <w:rPr>
                <w:rFonts w:hint="eastAsia" w:asciiTheme="minorEastAsia" w:hAnsiTheme="minorEastAsia" w:eastAsiaTheme="minorEastAsia" w:cstheme="minorEastAsia"/>
                <w:sz w:val="24"/>
                <w:szCs w:val="24"/>
              </w:rPr>
            </w:pPr>
          </w:p>
        </w:tc>
        <w:tc>
          <w:tcPr>
            <w:tcW w:w="281" w:type="pct"/>
            <w:vMerge w:val="continue"/>
            <w:vAlign w:val="center"/>
          </w:tcPr>
          <w:p w14:paraId="01FF312F">
            <w:pPr>
              <w:jc w:val="left"/>
              <w:rPr>
                <w:rFonts w:hint="eastAsia" w:asciiTheme="minorEastAsia" w:hAnsiTheme="minorEastAsia" w:eastAsiaTheme="minorEastAsia" w:cstheme="minorEastAsia"/>
                <w:spacing w:val="0"/>
                <w:sz w:val="24"/>
                <w:szCs w:val="24"/>
                <w:lang w:val="en-US" w:eastAsia="zh-CN"/>
              </w:rPr>
            </w:pPr>
          </w:p>
        </w:tc>
        <w:tc>
          <w:tcPr>
            <w:tcW w:w="3828" w:type="pct"/>
            <w:vAlign w:val="center"/>
          </w:tcPr>
          <w:p w14:paraId="7F18C87D">
            <w:pPr>
              <w:keepNext w:val="0"/>
              <w:keepLines w:val="0"/>
              <w:pageBreakBefore w:val="0"/>
              <w:widowControl w:val="0"/>
              <w:numPr>
                <w:ilvl w:val="0"/>
                <w:numId w:val="0"/>
              </w:numPr>
              <w:kinsoku/>
              <w:wordWrap/>
              <w:overflowPunct/>
              <w:topLinePunct w:val="0"/>
              <w:autoSpaceDE/>
              <w:autoSpaceDN/>
              <w:bidi w:val="0"/>
              <w:adjustRightInd/>
              <w:snapToGrid/>
              <w:spacing w:after="156" w:line="24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3、付款方式</w:t>
            </w:r>
          </w:p>
          <w:p w14:paraId="724B80C6">
            <w:pPr>
              <w:keepNext w:val="0"/>
              <w:keepLines w:val="0"/>
              <w:pageBreakBefore w:val="0"/>
              <w:widowControl w:val="0"/>
              <w:numPr>
                <w:ilvl w:val="0"/>
                <w:numId w:val="0"/>
              </w:numPr>
              <w:kinsoku/>
              <w:wordWrap/>
              <w:overflowPunct/>
              <w:topLinePunct w:val="0"/>
              <w:autoSpaceDE/>
              <w:autoSpaceDN/>
              <w:bidi w:val="0"/>
              <w:adjustRightInd/>
              <w:snapToGrid/>
              <w:spacing w:after="156" w:line="24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本项目拟按季度与中标单位进行结算，通过项目阶段验收或提供证明材料并根据考核评分结果，在完成该周期服务后，分期支付。</w:t>
            </w:r>
          </w:p>
        </w:tc>
        <w:tc>
          <w:tcPr>
            <w:tcW w:w="424" w:type="pct"/>
            <w:vAlign w:val="center"/>
          </w:tcPr>
          <w:p w14:paraId="2D1055F9">
            <w:pPr>
              <w:spacing w:line="240" w:lineRule="auto"/>
              <w:jc w:val="center"/>
              <w:rPr>
                <w:rFonts w:hint="eastAsia" w:asciiTheme="minorEastAsia" w:hAnsiTheme="minorEastAsia" w:eastAsiaTheme="minorEastAsia" w:cstheme="minorEastAsia"/>
                <w:sz w:val="24"/>
                <w:szCs w:val="24"/>
              </w:rPr>
            </w:pPr>
          </w:p>
        </w:tc>
        <w:tc>
          <w:tcPr>
            <w:tcW w:w="283" w:type="pct"/>
            <w:vAlign w:val="center"/>
          </w:tcPr>
          <w:p w14:paraId="1E9FE287">
            <w:pPr>
              <w:spacing w:line="200" w:lineRule="atLeast"/>
              <w:jc w:val="center"/>
              <w:rPr>
                <w:rFonts w:hint="eastAsia" w:asciiTheme="minorEastAsia" w:hAnsiTheme="minorEastAsia" w:eastAsiaTheme="minorEastAsia" w:cstheme="minorEastAsia"/>
                <w:sz w:val="24"/>
                <w:szCs w:val="24"/>
              </w:rPr>
            </w:pPr>
          </w:p>
        </w:tc>
      </w:tr>
    </w:tbl>
    <w:p w14:paraId="18082952">
      <w:pPr>
        <w:spacing w:after="209" w:afterLines="67"/>
        <w:rPr>
          <w:rFonts w:asciiTheme="minorEastAsia" w:hAnsiTheme="minorEastAsia" w:cstheme="minorEastAsia"/>
          <w:b/>
          <w:bCs/>
          <w:sz w:val="24"/>
          <w:szCs w:val="24"/>
        </w:rPr>
      </w:pPr>
    </w:p>
    <w:p w14:paraId="7B2213B6">
      <w:pPr>
        <w:spacing w:after="209" w:afterLines="67"/>
        <w:rPr>
          <w:rFonts w:hint="eastAsia" w:asciiTheme="minorEastAsia" w:hAnsiTheme="minorEastAsia" w:cstheme="minorEastAsia"/>
          <w:b/>
          <w:bCs/>
          <w:sz w:val="24"/>
          <w:szCs w:val="24"/>
        </w:rPr>
        <w:sectPr>
          <w:pgSz w:w="16838" w:h="11906" w:orient="landscape"/>
          <w:pgMar w:top="1800" w:right="1440" w:bottom="1800" w:left="1440" w:header="851" w:footer="992" w:gutter="0"/>
          <w:cols w:space="425" w:num="1"/>
          <w:docGrid w:type="lines" w:linePitch="312" w:charSpace="0"/>
        </w:sectPr>
      </w:pPr>
    </w:p>
    <w:p w14:paraId="1F6A1EBD">
      <w:pPr>
        <w:spacing w:after="209" w:afterLines="67"/>
        <w:rPr>
          <w:rFonts w:asciiTheme="minorEastAsia" w:hAnsiTheme="minorEastAsia" w:cstheme="minorEastAsia"/>
          <w:b/>
          <w:bCs/>
          <w:sz w:val="24"/>
          <w:szCs w:val="24"/>
        </w:rPr>
      </w:pPr>
      <w:r>
        <w:rPr>
          <w:rFonts w:hint="eastAsia" w:asciiTheme="minorEastAsia" w:hAnsiTheme="minorEastAsia" w:cstheme="minorEastAsia"/>
          <w:b/>
          <w:bCs/>
          <w:sz w:val="24"/>
          <w:szCs w:val="24"/>
        </w:rPr>
        <w:t>四、报价内容（加盖公章）</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42"/>
        <w:gridCol w:w="6914"/>
        <w:gridCol w:w="3518"/>
      </w:tblGrid>
      <w:tr w14:paraId="67791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320" w:type="pct"/>
            <w:vAlign w:val="center"/>
          </w:tcPr>
          <w:p w14:paraId="3FBFFFEA">
            <w:pPr>
              <w:spacing w:line="360" w:lineRule="auto"/>
              <w:jc w:val="center"/>
              <w:rPr>
                <w:rFonts w:hint="eastAsia" w:ascii="宋体" w:hAnsi="宋体" w:cs="宋体"/>
                <w:b/>
                <w:color w:val="000000"/>
                <w:kern w:val="0"/>
                <w:szCs w:val="21"/>
              </w:rPr>
            </w:pPr>
            <w:r>
              <w:rPr>
                <w:rFonts w:hint="eastAsia" w:ascii="宋体" w:hAnsi="宋体" w:cs="宋体"/>
                <w:b/>
                <w:color w:val="000000"/>
                <w:kern w:val="0"/>
                <w:szCs w:val="21"/>
              </w:rPr>
              <w:t>项目名称</w:t>
            </w:r>
          </w:p>
        </w:tc>
        <w:tc>
          <w:tcPr>
            <w:tcW w:w="2439" w:type="pct"/>
            <w:vAlign w:val="center"/>
          </w:tcPr>
          <w:p w14:paraId="2F62E72D">
            <w:pPr>
              <w:spacing w:line="360" w:lineRule="auto"/>
              <w:jc w:val="center"/>
              <w:rPr>
                <w:rFonts w:hint="eastAsia" w:ascii="宋体" w:hAnsi="宋体" w:cs="宋体"/>
                <w:b/>
                <w:color w:val="000000"/>
                <w:kern w:val="0"/>
                <w:szCs w:val="21"/>
              </w:rPr>
            </w:pPr>
            <w:r>
              <w:rPr>
                <w:rFonts w:hint="eastAsia" w:ascii="宋体" w:hAnsi="宋体" w:cs="宋体"/>
                <w:b/>
                <w:color w:val="000000"/>
                <w:kern w:val="0"/>
                <w:szCs w:val="21"/>
              </w:rPr>
              <w:t>服务内容</w:t>
            </w:r>
          </w:p>
        </w:tc>
        <w:tc>
          <w:tcPr>
            <w:tcW w:w="1241" w:type="pct"/>
            <w:vAlign w:val="center"/>
          </w:tcPr>
          <w:p w14:paraId="3094229E">
            <w:pPr>
              <w:spacing w:line="360" w:lineRule="auto"/>
              <w:jc w:val="center"/>
              <w:rPr>
                <w:rFonts w:ascii="宋体" w:hAnsi="宋体" w:cs="宋体"/>
                <w:b/>
                <w:bCs/>
                <w:color w:val="000000"/>
                <w:kern w:val="0"/>
                <w:szCs w:val="21"/>
              </w:rPr>
            </w:pPr>
            <w:r>
              <w:rPr>
                <w:rFonts w:hint="eastAsia" w:ascii="宋体" w:hAnsi="宋体" w:cs="宋体"/>
                <w:b/>
                <w:color w:val="000000"/>
                <w:kern w:val="0"/>
                <w:szCs w:val="21"/>
              </w:rPr>
              <w:t>报价</w:t>
            </w:r>
            <w:r>
              <w:rPr>
                <w:rFonts w:hint="eastAsia" w:ascii="宋体" w:hAnsi="宋体" w:cs="宋体"/>
                <w:b/>
                <w:bCs/>
                <w:color w:val="000000"/>
                <w:kern w:val="0"/>
                <w:szCs w:val="21"/>
              </w:rPr>
              <w:t>（含增值税）</w:t>
            </w:r>
          </w:p>
          <w:p w14:paraId="598B54C7">
            <w:pPr>
              <w:spacing w:line="360" w:lineRule="auto"/>
              <w:jc w:val="center"/>
              <w:rPr>
                <w:rFonts w:ascii="宋体" w:hAnsi="宋体" w:cs="宋体"/>
                <w:b/>
                <w:bCs/>
                <w:color w:val="000000"/>
                <w:kern w:val="0"/>
                <w:szCs w:val="21"/>
              </w:rPr>
            </w:pPr>
            <w:r>
              <w:rPr>
                <w:rFonts w:hint="eastAsia" w:ascii="宋体" w:hAnsi="宋体" w:cs="宋体"/>
                <w:b/>
                <w:bCs/>
                <w:color w:val="000000"/>
                <w:kern w:val="0"/>
                <w:szCs w:val="21"/>
              </w:rPr>
              <w:t>（元）</w:t>
            </w:r>
          </w:p>
          <w:p w14:paraId="60B84ECC">
            <w:pPr>
              <w:spacing w:line="360" w:lineRule="auto"/>
              <w:jc w:val="center"/>
              <w:rPr>
                <w:rFonts w:hint="eastAsia" w:ascii="宋体" w:hAnsi="宋体" w:cs="宋体"/>
                <w:b/>
                <w:color w:val="000000"/>
                <w:kern w:val="0"/>
                <w:szCs w:val="21"/>
              </w:rPr>
            </w:pPr>
          </w:p>
        </w:tc>
      </w:tr>
      <w:tr w14:paraId="7CCA2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320" w:type="pct"/>
            <w:vAlign w:val="center"/>
          </w:tcPr>
          <w:p w14:paraId="01D110FE">
            <w:pPr>
              <w:spacing w:line="360" w:lineRule="auto"/>
              <w:jc w:val="center"/>
              <w:rPr>
                <w:rFonts w:hint="eastAsia" w:ascii="宋体" w:hAnsi="宋体" w:cs="宋体" w:eastAsiaTheme="minorEastAsia"/>
                <w:color w:val="000000"/>
                <w:kern w:val="0"/>
                <w:sz w:val="24"/>
                <w:szCs w:val="24"/>
                <w:lang w:eastAsia="zh-CN"/>
              </w:rPr>
            </w:pPr>
            <w:r>
              <w:rPr>
                <w:rFonts w:hint="eastAsia" w:ascii="宋体" w:hAnsi="宋体" w:cs="宋体"/>
                <w:color w:val="000000"/>
                <w:sz w:val="24"/>
                <w:szCs w:val="24"/>
              </w:rPr>
              <w:t>广东南方新媒体股份有限公司</w:t>
            </w:r>
            <w:r>
              <w:rPr>
                <w:rFonts w:hint="eastAsia" w:ascii="宋体" w:hAnsi="宋体" w:cs="宋体"/>
                <w:color w:val="000000"/>
                <w:sz w:val="24"/>
                <w:szCs w:val="24"/>
                <w:lang w:eastAsia="zh-CN"/>
              </w:rPr>
              <w:t>2026年内容源站和推流服务系统维保项目</w:t>
            </w:r>
          </w:p>
        </w:tc>
        <w:tc>
          <w:tcPr>
            <w:tcW w:w="2439" w:type="pct"/>
            <w:vAlign w:val="center"/>
          </w:tcPr>
          <w:p w14:paraId="3EAFB185">
            <w:pPr>
              <w:spacing w:line="360" w:lineRule="auto"/>
              <w:rPr>
                <w:rFonts w:ascii="宋体" w:hAnsi="宋体" w:cs="宋体"/>
                <w:color w:val="000000"/>
                <w:kern w:val="0"/>
                <w:szCs w:val="21"/>
              </w:rPr>
            </w:pPr>
            <w:r>
              <w:rPr>
                <w:rFonts w:hint="eastAsia" w:ascii="宋体" w:hAnsi="宋体" w:eastAsia="宋体" w:cs="宋体"/>
                <w:sz w:val="24"/>
                <w:szCs w:val="24"/>
              </w:rPr>
              <w:t>本期项目拟采购全国内容服务平台源站系统和公网业务推流服务系统为期三年的7*24小时维保服务，其中全国内容服务平台源站系统要求涵盖全国内容源站及驻地内容源软件，公网业务推流服务系统包含两套推流服务集群（分别部署于民科园和南翔机房），维保服务期为自合同签订之日起三年，如招标人因战略调整可提前一月书面通知终止，中标人须配合完成善后交接。</w:t>
            </w:r>
          </w:p>
        </w:tc>
        <w:tc>
          <w:tcPr>
            <w:tcW w:w="1241" w:type="pct"/>
            <w:vAlign w:val="center"/>
          </w:tcPr>
          <w:p w14:paraId="256BF9AA">
            <w:pPr>
              <w:spacing w:line="360" w:lineRule="auto"/>
              <w:rPr>
                <w:rFonts w:ascii="宋体" w:hAnsi="宋体" w:cs="宋体"/>
                <w:bCs/>
                <w:color w:val="000000"/>
                <w:kern w:val="0"/>
                <w:szCs w:val="21"/>
              </w:rPr>
            </w:pPr>
            <w:r>
              <w:rPr>
                <w:rFonts w:hint="eastAsia" w:ascii="宋体" w:hAnsi="宋体" w:cs="宋体"/>
                <w:bCs/>
                <w:color w:val="000000"/>
                <w:kern w:val="0"/>
                <w:szCs w:val="21"/>
              </w:rPr>
              <w:t>大写：人民币</w:t>
            </w:r>
            <w:r>
              <w:rPr>
                <w:rFonts w:hint="eastAsia" w:ascii="宋体" w:hAnsi="宋体" w:cs="宋体"/>
                <w:bCs/>
                <w:color w:val="000000"/>
                <w:kern w:val="0"/>
                <w:szCs w:val="21"/>
                <w:u w:val="single"/>
              </w:rPr>
              <w:t xml:space="preserve">                          </w:t>
            </w:r>
          </w:p>
          <w:p w14:paraId="3D38F76F">
            <w:pPr>
              <w:spacing w:line="360" w:lineRule="auto"/>
              <w:rPr>
                <w:rFonts w:ascii="宋体" w:hAnsi="宋体" w:cs="宋体"/>
                <w:color w:val="000000"/>
                <w:kern w:val="0"/>
                <w:szCs w:val="21"/>
              </w:rPr>
            </w:pPr>
            <w:r>
              <w:rPr>
                <w:rFonts w:hint="eastAsia" w:ascii="宋体" w:hAnsi="宋体" w:cs="宋体"/>
                <w:bCs/>
                <w:color w:val="000000"/>
                <w:kern w:val="0"/>
                <w:szCs w:val="21"/>
              </w:rPr>
              <w:t>小写：¥</w:t>
            </w:r>
            <w:r>
              <w:rPr>
                <w:rFonts w:hint="eastAsia" w:ascii="宋体" w:hAnsi="宋体" w:cs="宋体"/>
                <w:bCs/>
                <w:color w:val="000000"/>
                <w:kern w:val="0"/>
                <w:szCs w:val="21"/>
                <w:u w:val="single"/>
              </w:rPr>
              <w:t xml:space="preserve">                               </w:t>
            </w:r>
          </w:p>
        </w:tc>
      </w:tr>
    </w:tbl>
    <w:p w14:paraId="5F625F03">
      <w:pPr>
        <w:rPr>
          <w:rFonts w:asciiTheme="minorEastAsia" w:hAnsiTheme="minorEastAsia" w:cstheme="minorEastAsia"/>
          <w:b/>
          <w:bCs/>
          <w:sz w:val="11"/>
          <w:szCs w:val="11"/>
        </w:rPr>
      </w:pPr>
      <w:r>
        <w:rPr>
          <w:rFonts w:asciiTheme="minorEastAsia" w:hAnsiTheme="minorEastAsia" w:cstheme="minorEastAsia"/>
          <w:b/>
          <w:bCs/>
          <w:sz w:val="11"/>
          <w:szCs w:val="11"/>
        </w:rPr>
        <w:br w:type="page"/>
      </w:r>
    </w:p>
    <w:tbl>
      <w:tblPr>
        <w:tblStyle w:val="15"/>
        <w:tblW w:w="4996" w:type="pct"/>
        <w:jc w:val="center"/>
        <w:tblLayout w:type="fixed"/>
        <w:tblCellMar>
          <w:top w:w="0" w:type="dxa"/>
          <w:left w:w="108" w:type="dxa"/>
          <w:bottom w:w="0" w:type="dxa"/>
          <w:right w:w="108" w:type="dxa"/>
        </w:tblCellMar>
      </w:tblPr>
      <w:tblGrid>
        <w:gridCol w:w="719"/>
        <w:gridCol w:w="1967"/>
        <w:gridCol w:w="4279"/>
        <w:gridCol w:w="1901"/>
        <w:gridCol w:w="1255"/>
        <w:gridCol w:w="2008"/>
        <w:gridCol w:w="2034"/>
      </w:tblGrid>
      <w:tr w14:paraId="65D9BB33">
        <w:tblPrEx>
          <w:tblCellMar>
            <w:top w:w="0" w:type="dxa"/>
            <w:left w:w="108" w:type="dxa"/>
            <w:bottom w:w="0" w:type="dxa"/>
            <w:right w:w="108" w:type="dxa"/>
          </w:tblCellMar>
        </w:tblPrEx>
        <w:trPr>
          <w:trHeight w:val="321" w:hRule="atLeast"/>
          <w:jc w:val="center"/>
        </w:trPr>
        <w:tc>
          <w:tcPr>
            <w:tcW w:w="253" w:type="pct"/>
            <w:tcBorders>
              <w:top w:val="single" w:color="auto" w:sz="4" w:space="0"/>
              <w:left w:val="single" w:color="auto" w:sz="4" w:space="0"/>
              <w:bottom w:val="single" w:color="auto" w:sz="4" w:space="0"/>
              <w:right w:val="single" w:color="auto" w:sz="4" w:space="0"/>
            </w:tcBorders>
            <w:noWrap/>
            <w:vAlign w:val="center"/>
          </w:tcPr>
          <w:p w14:paraId="15BA4925">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序号</w:t>
            </w:r>
          </w:p>
        </w:tc>
        <w:tc>
          <w:tcPr>
            <w:tcW w:w="694" w:type="pct"/>
            <w:tcBorders>
              <w:top w:val="single" w:color="auto" w:sz="4" w:space="0"/>
              <w:left w:val="nil"/>
              <w:bottom w:val="single" w:color="auto" w:sz="4" w:space="0"/>
              <w:right w:val="single" w:color="auto" w:sz="4" w:space="0"/>
            </w:tcBorders>
            <w:noWrap/>
            <w:vAlign w:val="center"/>
          </w:tcPr>
          <w:p w14:paraId="355BBFA7">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货物名称</w:t>
            </w:r>
          </w:p>
        </w:tc>
        <w:tc>
          <w:tcPr>
            <w:tcW w:w="1510" w:type="pct"/>
            <w:tcBorders>
              <w:top w:val="single" w:color="auto" w:sz="4" w:space="0"/>
              <w:left w:val="nil"/>
              <w:bottom w:val="single" w:color="auto" w:sz="4" w:space="0"/>
              <w:right w:val="single" w:color="auto" w:sz="4" w:space="0"/>
            </w:tcBorders>
            <w:noWrap w:val="0"/>
            <w:vAlign w:val="center"/>
          </w:tcPr>
          <w:p w14:paraId="7C676A90">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原采购合同</w:t>
            </w:r>
          </w:p>
        </w:tc>
        <w:tc>
          <w:tcPr>
            <w:tcW w:w="671" w:type="pct"/>
            <w:tcBorders>
              <w:top w:val="single" w:color="auto" w:sz="4" w:space="0"/>
              <w:left w:val="nil"/>
              <w:bottom w:val="single" w:color="auto" w:sz="4" w:space="0"/>
              <w:right w:val="single" w:color="auto" w:sz="4" w:space="0"/>
            </w:tcBorders>
            <w:noWrap w:val="0"/>
            <w:vAlign w:val="center"/>
          </w:tcPr>
          <w:p w14:paraId="44D6C75B">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维保单价</w:t>
            </w:r>
          </w:p>
          <w:p w14:paraId="14F5E657">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（元/年）</w:t>
            </w:r>
          </w:p>
        </w:tc>
        <w:tc>
          <w:tcPr>
            <w:tcW w:w="443" w:type="pct"/>
            <w:tcBorders>
              <w:top w:val="single" w:color="auto" w:sz="4" w:space="0"/>
              <w:left w:val="nil"/>
              <w:bottom w:val="single" w:color="auto" w:sz="4" w:space="0"/>
              <w:right w:val="single" w:color="auto" w:sz="4" w:space="0"/>
            </w:tcBorders>
            <w:noWrap w:val="0"/>
            <w:vAlign w:val="center"/>
          </w:tcPr>
          <w:p w14:paraId="772A8BC6">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维保时间（年）</w:t>
            </w:r>
          </w:p>
        </w:tc>
        <w:tc>
          <w:tcPr>
            <w:tcW w:w="708" w:type="pct"/>
            <w:tcBorders>
              <w:top w:val="single" w:color="auto" w:sz="4" w:space="0"/>
              <w:left w:val="nil"/>
              <w:bottom w:val="single" w:color="auto" w:sz="4" w:space="0"/>
              <w:right w:val="single" w:color="auto" w:sz="4" w:space="0"/>
            </w:tcBorders>
            <w:noWrap w:val="0"/>
            <w:vAlign w:val="center"/>
          </w:tcPr>
          <w:p w14:paraId="45F96520">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预算小计（元）</w:t>
            </w:r>
          </w:p>
        </w:tc>
        <w:tc>
          <w:tcPr>
            <w:tcW w:w="718" w:type="pct"/>
            <w:tcBorders>
              <w:top w:val="single" w:color="auto" w:sz="4" w:space="0"/>
              <w:left w:val="nil"/>
              <w:bottom w:val="single" w:color="auto" w:sz="4" w:space="0"/>
              <w:right w:val="single" w:color="auto" w:sz="4" w:space="0"/>
            </w:tcBorders>
            <w:noWrap w:val="0"/>
            <w:vAlign w:val="center"/>
          </w:tcPr>
          <w:p w14:paraId="2D138912">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备注</w:t>
            </w:r>
          </w:p>
        </w:tc>
      </w:tr>
      <w:tr w14:paraId="5DAB0428">
        <w:tblPrEx>
          <w:tblCellMar>
            <w:top w:w="0" w:type="dxa"/>
            <w:left w:w="108" w:type="dxa"/>
            <w:bottom w:w="0" w:type="dxa"/>
            <w:right w:w="108" w:type="dxa"/>
          </w:tblCellMar>
        </w:tblPrEx>
        <w:trPr>
          <w:trHeight w:val="314" w:hRule="atLeast"/>
          <w:jc w:val="center"/>
        </w:trPr>
        <w:tc>
          <w:tcPr>
            <w:tcW w:w="253" w:type="pct"/>
            <w:vMerge w:val="restart"/>
            <w:tcBorders>
              <w:top w:val="single" w:color="auto" w:sz="4" w:space="0"/>
              <w:left w:val="single" w:color="auto" w:sz="4" w:space="0"/>
              <w:right w:val="single" w:color="auto" w:sz="4" w:space="0"/>
            </w:tcBorders>
            <w:noWrap/>
            <w:vAlign w:val="center"/>
          </w:tcPr>
          <w:p w14:paraId="431ECA8A">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1</w:t>
            </w:r>
          </w:p>
        </w:tc>
        <w:tc>
          <w:tcPr>
            <w:tcW w:w="694" w:type="pct"/>
            <w:vMerge w:val="restart"/>
            <w:tcBorders>
              <w:top w:val="single" w:color="auto" w:sz="4" w:space="0"/>
              <w:left w:val="nil"/>
              <w:right w:val="single" w:color="auto" w:sz="4" w:space="0"/>
            </w:tcBorders>
            <w:noWrap/>
            <w:vAlign w:val="center"/>
          </w:tcPr>
          <w:p w14:paraId="14BDB6ED">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全国内容服务平台源站系统</w:t>
            </w:r>
          </w:p>
        </w:tc>
        <w:tc>
          <w:tcPr>
            <w:tcW w:w="1510" w:type="pct"/>
            <w:tcBorders>
              <w:top w:val="single" w:color="auto" w:sz="4" w:space="0"/>
              <w:left w:val="nil"/>
              <w:bottom w:val="single" w:color="auto" w:sz="4" w:space="0"/>
              <w:right w:val="single" w:color="auto" w:sz="4" w:space="0"/>
            </w:tcBorders>
            <w:noWrap/>
            <w:vAlign w:val="center"/>
          </w:tcPr>
          <w:p w14:paraId="29625054">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全国内容服务平台源站建设项目合同</w:t>
            </w:r>
          </w:p>
          <w:p w14:paraId="28D7603F">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（FK201904033）</w:t>
            </w:r>
          </w:p>
        </w:tc>
        <w:tc>
          <w:tcPr>
            <w:tcW w:w="671" w:type="pct"/>
            <w:vMerge w:val="restart"/>
            <w:tcBorders>
              <w:top w:val="single" w:color="auto" w:sz="4" w:space="0"/>
              <w:left w:val="nil"/>
              <w:right w:val="single" w:color="auto" w:sz="4" w:space="0"/>
            </w:tcBorders>
            <w:shd w:val="clear" w:color="auto" w:fill="FFFF00"/>
            <w:noWrap/>
            <w:vAlign w:val="center"/>
          </w:tcPr>
          <w:p w14:paraId="783DBAF6">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rPr>
                <w:rFonts w:hint="eastAsia" w:ascii="宋体" w:hAnsi="宋体" w:eastAsia="宋体" w:cs="宋体"/>
                <w:b/>
                <w:bCs/>
                <w:i w:val="0"/>
                <w:iCs w:val="0"/>
                <w:color w:val="000000"/>
                <w:kern w:val="0"/>
                <w:sz w:val="24"/>
                <w:szCs w:val="24"/>
                <w:u w:val="none"/>
                <w:lang w:val="en-US" w:eastAsia="zh-CN" w:bidi="ar"/>
              </w:rPr>
            </w:pPr>
          </w:p>
        </w:tc>
        <w:tc>
          <w:tcPr>
            <w:tcW w:w="443" w:type="pct"/>
            <w:vMerge w:val="restart"/>
            <w:tcBorders>
              <w:top w:val="single" w:color="auto" w:sz="4" w:space="0"/>
              <w:left w:val="nil"/>
              <w:right w:val="single" w:color="auto" w:sz="4" w:space="0"/>
            </w:tcBorders>
            <w:noWrap/>
            <w:vAlign w:val="center"/>
          </w:tcPr>
          <w:p w14:paraId="57015EA8">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3</w:t>
            </w:r>
          </w:p>
        </w:tc>
        <w:tc>
          <w:tcPr>
            <w:tcW w:w="708" w:type="pct"/>
            <w:vMerge w:val="restart"/>
            <w:tcBorders>
              <w:top w:val="single" w:color="auto" w:sz="4" w:space="0"/>
              <w:left w:val="nil"/>
              <w:right w:val="single" w:color="auto" w:sz="4" w:space="0"/>
            </w:tcBorders>
            <w:shd w:val="clear" w:color="auto" w:fill="FFFF00"/>
            <w:noWrap/>
            <w:vAlign w:val="center"/>
          </w:tcPr>
          <w:p w14:paraId="0A957CCF">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rPr>
                <w:rFonts w:hint="eastAsia" w:ascii="宋体" w:hAnsi="宋体" w:eastAsia="宋体" w:cs="宋体"/>
                <w:b/>
                <w:bCs/>
                <w:i w:val="0"/>
                <w:iCs w:val="0"/>
                <w:color w:val="000000"/>
                <w:kern w:val="0"/>
                <w:sz w:val="24"/>
                <w:szCs w:val="24"/>
                <w:highlight w:val="yellow"/>
                <w:u w:val="none"/>
                <w:lang w:val="en-US" w:eastAsia="zh-CN" w:bidi="ar"/>
              </w:rPr>
            </w:pPr>
          </w:p>
        </w:tc>
        <w:tc>
          <w:tcPr>
            <w:tcW w:w="718" w:type="pct"/>
            <w:vMerge w:val="restart"/>
            <w:tcBorders>
              <w:top w:val="single" w:color="auto" w:sz="4" w:space="0"/>
              <w:left w:val="nil"/>
              <w:right w:val="single" w:color="auto" w:sz="4" w:space="0"/>
            </w:tcBorders>
            <w:shd w:val="clear" w:color="auto" w:fill="FFFF00"/>
            <w:noWrap/>
            <w:vAlign w:val="center"/>
          </w:tcPr>
          <w:p w14:paraId="4D3915F6">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rPr>
                <w:rFonts w:hint="eastAsia" w:ascii="宋体" w:hAnsi="宋体" w:eastAsia="宋体" w:cs="宋体"/>
                <w:b/>
                <w:bCs/>
                <w:i w:val="0"/>
                <w:iCs w:val="0"/>
                <w:color w:val="000000"/>
                <w:kern w:val="0"/>
                <w:sz w:val="24"/>
                <w:szCs w:val="24"/>
                <w:u w:val="none"/>
                <w:lang w:val="en-US" w:eastAsia="zh-CN" w:bidi="ar"/>
              </w:rPr>
            </w:pPr>
          </w:p>
        </w:tc>
      </w:tr>
      <w:tr w14:paraId="253D4135">
        <w:tblPrEx>
          <w:tblCellMar>
            <w:top w:w="0" w:type="dxa"/>
            <w:left w:w="108" w:type="dxa"/>
            <w:bottom w:w="0" w:type="dxa"/>
            <w:right w:w="108" w:type="dxa"/>
          </w:tblCellMar>
        </w:tblPrEx>
        <w:trPr>
          <w:trHeight w:val="314" w:hRule="atLeast"/>
          <w:jc w:val="center"/>
        </w:trPr>
        <w:tc>
          <w:tcPr>
            <w:tcW w:w="253" w:type="pct"/>
            <w:vMerge w:val="continue"/>
            <w:tcBorders>
              <w:left w:val="single" w:color="auto" w:sz="4" w:space="0"/>
              <w:bottom w:val="single" w:color="auto" w:sz="4" w:space="0"/>
              <w:right w:val="single" w:color="auto" w:sz="4" w:space="0"/>
            </w:tcBorders>
            <w:noWrap/>
            <w:vAlign w:val="center"/>
          </w:tcPr>
          <w:p w14:paraId="3E7A74FE">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pPr>
          </w:p>
        </w:tc>
        <w:tc>
          <w:tcPr>
            <w:tcW w:w="694" w:type="pct"/>
            <w:vMerge w:val="continue"/>
            <w:tcBorders>
              <w:left w:val="nil"/>
              <w:bottom w:val="single" w:color="auto" w:sz="4" w:space="0"/>
              <w:right w:val="single" w:color="auto" w:sz="4" w:space="0"/>
            </w:tcBorders>
            <w:noWrap/>
            <w:vAlign w:val="center"/>
          </w:tcPr>
          <w:p w14:paraId="7C9AA953">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rPr>
                <w:rFonts w:hint="eastAsia" w:ascii="宋体" w:hAnsi="宋体" w:eastAsia="宋体" w:cs="宋体"/>
                <w:b/>
                <w:bCs/>
                <w:i w:val="0"/>
                <w:iCs w:val="0"/>
                <w:color w:val="000000"/>
                <w:kern w:val="0"/>
                <w:sz w:val="24"/>
                <w:szCs w:val="24"/>
                <w:u w:val="none"/>
                <w:lang w:val="en-US" w:eastAsia="zh-CN" w:bidi="ar"/>
              </w:rPr>
            </w:pPr>
          </w:p>
        </w:tc>
        <w:tc>
          <w:tcPr>
            <w:tcW w:w="1510" w:type="pct"/>
            <w:tcBorders>
              <w:top w:val="single" w:color="auto" w:sz="4" w:space="0"/>
              <w:left w:val="nil"/>
              <w:bottom w:val="single" w:color="auto" w:sz="4" w:space="0"/>
              <w:right w:val="single" w:color="auto" w:sz="4" w:space="0"/>
            </w:tcBorders>
            <w:noWrap/>
            <w:vAlign w:val="center"/>
          </w:tcPr>
          <w:p w14:paraId="425426B5">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2023年全国内容服务平台内容源站扩容采购项目合同（FK202403008）</w:t>
            </w:r>
          </w:p>
        </w:tc>
        <w:tc>
          <w:tcPr>
            <w:tcW w:w="671" w:type="pct"/>
            <w:vMerge w:val="continue"/>
            <w:tcBorders>
              <w:left w:val="nil"/>
              <w:bottom w:val="single" w:color="auto" w:sz="4" w:space="0"/>
              <w:right w:val="single" w:color="auto" w:sz="4" w:space="0"/>
            </w:tcBorders>
            <w:shd w:val="clear" w:color="auto" w:fill="FFFF00"/>
            <w:noWrap/>
            <w:vAlign w:val="center"/>
          </w:tcPr>
          <w:p w14:paraId="3864C228">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rPr>
                <w:rFonts w:hint="eastAsia" w:ascii="宋体" w:hAnsi="宋体" w:eastAsia="宋体" w:cs="宋体"/>
                <w:b/>
                <w:bCs/>
                <w:i w:val="0"/>
                <w:iCs w:val="0"/>
                <w:color w:val="000000"/>
                <w:kern w:val="0"/>
                <w:sz w:val="24"/>
                <w:szCs w:val="24"/>
                <w:u w:val="none"/>
                <w:lang w:val="en-US" w:eastAsia="zh-CN" w:bidi="ar"/>
              </w:rPr>
            </w:pPr>
          </w:p>
        </w:tc>
        <w:tc>
          <w:tcPr>
            <w:tcW w:w="443" w:type="pct"/>
            <w:vMerge w:val="continue"/>
            <w:tcBorders>
              <w:left w:val="nil"/>
              <w:bottom w:val="single" w:color="auto" w:sz="4" w:space="0"/>
              <w:right w:val="single" w:color="auto" w:sz="4" w:space="0"/>
            </w:tcBorders>
            <w:noWrap/>
            <w:vAlign w:val="center"/>
          </w:tcPr>
          <w:p w14:paraId="08A25939">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rPr>
                <w:rFonts w:hint="eastAsia" w:ascii="宋体" w:hAnsi="宋体" w:eastAsia="宋体" w:cs="宋体"/>
                <w:b/>
                <w:bCs/>
                <w:i w:val="0"/>
                <w:iCs w:val="0"/>
                <w:color w:val="000000"/>
                <w:kern w:val="0"/>
                <w:sz w:val="24"/>
                <w:szCs w:val="24"/>
                <w:u w:val="none"/>
                <w:lang w:val="en-US" w:eastAsia="zh-CN" w:bidi="ar"/>
              </w:rPr>
            </w:pPr>
          </w:p>
        </w:tc>
        <w:tc>
          <w:tcPr>
            <w:tcW w:w="708" w:type="pct"/>
            <w:vMerge w:val="continue"/>
            <w:tcBorders>
              <w:left w:val="nil"/>
              <w:bottom w:val="single" w:color="auto" w:sz="4" w:space="0"/>
              <w:right w:val="single" w:color="auto" w:sz="4" w:space="0"/>
            </w:tcBorders>
            <w:shd w:val="clear" w:color="auto" w:fill="FFFF00"/>
            <w:noWrap/>
            <w:vAlign w:val="center"/>
          </w:tcPr>
          <w:p w14:paraId="26B7C2B3">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rPr>
                <w:rFonts w:hint="eastAsia" w:ascii="宋体" w:hAnsi="宋体" w:eastAsia="宋体" w:cs="宋体"/>
                <w:b/>
                <w:bCs/>
                <w:i w:val="0"/>
                <w:iCs w:val="0"/>
                <w:color w:val="000000"/>
                <w:kern w:val="0"/>
                <w:sz w:val="24"/>
                <w:szCs w:val="24"/>
                <w:u w:val="none"/>
                <w:lang w:val="en-US" w:eastAsia="zh-CN" w:bidi="ar"/>
              </w:rPr>
            </w:pPr>
          </w:p>
        </w:tc>
        <w:tc>
          <w:tcPr>
            <w:tcW w:w="718" w:type="pct"/>
            <w:vMerge w:val="continue"/>
            <w:tcBorders>
              <w:left w:val="nil"/>
              <w:bottom w:val="single" w:color="auto" w:sz="4" w:space="0"/>
              <w:right w:val="single" w:color="auto" w:sz="4" w:space="0"/>
            </w:tcBorders>
            <w:shd w:val="clear" w:color="auto" w:fill="FFFF00"/>
            <w:noWrap/>
            <w:vAlign w:val="center"/>
          </w:tcPr>
          <w:p w14:paraId="003E3F7C">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rPr>
                <w:rFonts w:hint="eastAsia" w:ascii="宋体" w:hAnsi="宋体" w:eastAsia="宋体" w:cs="宋体"/>
                <w:b/>
                <w:bCs/>
                <w:i w:val="0"/>
                <w:iCs w:val="0"/>
                <w:color w:val="000000"/>
                <w:kern w:val="0"/>
                <w:sz w:val="24"/>
                <w:szCs w:val="24"/>
                <w:u w:val="none"/>
                <w:lang w:val="en-US" w:eastAsia="zh-CN" w:bidi="ar"/>
              </w:rPr>
            </w:pPr>
          </w:p>
        </w:tc>
      </w:tr>
      <w:tr w14:paraId="66854D50">
        <w:tblPrEx>
          <w:tblCellMar>
            <w:top w:w="0" w:type="dxa"/>
            <w:left w:w="108" w:type="dxa"/>
            <w:bottom w:w="0" w:type="dxa"/>
            <w:right w:w="108" w:type="dxa"/>
          </w:tblCellMar>
        </w:tblPrEx>
        <w:trPr>
          <w:trHeight w:val="1596" w:hRule="atLeast"/>
          <w:jc w:val="center"/>
        </w:trPr>
        <w:tc>
          <w:tcPr>
            <w:tcW w:w="253" w:type="pct"/>
            <w:vMerge w:val="restart"/>
            <w:tcBorders>
              <w:top w:val="single" w:color="auto" w:sz="4" w:space="0"/>
              <w:left w:val="single" w:color="auto" w:sz="4" w:space="0"/>
              <w:right w:val="single" w:color="auto" w:sz="4" w:space="0"/>
            </w:tcBorders>
            <w:noWrap/>
            <w:vAlign w:val="center"/>
          </w:tcPr>
          <w:p w14:paraId="3E50E4FF">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2</w:t>
            </w:r>
          </w:p>
        </w:tc>
        <w:tc>
          <w:tcPr>
            <w:tcW w:w="694" w:type="pct"/>
            <w:vMerge w:val="restart"/>
            <w:tcBorders>
              <w:top w:val="single" w:color="auto" w:sz="4" w:space="0"/>
              <w:left w:val="nil"/>
              <w:right w:val="single" w:color="auto" w:sz="4" w:space="0"/>
            </w:tcBorders>
            <w:noWrap/>
            <w:vAlign w:val="center"/>
          </w:tcPr>
          <w:p w14:paraId="65855516">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公网业务推流服务系统（南翔）</w:t>
            </w:r>
          </w:p>
        </w:tc>
        <w:tc>
          <w:tcPr>
            <w:tcW w:w="1510" w:type="pct"/>
            <w:tcBorders>
              <w:top w:val="single" w:color="auto" w:sz="4" w:space="0"/>
              <w:left w:val="nil"/>
              <w:bottom w:val="single" w:color="auto" w:sz="4" w:space="0"/>
              <w:right w:val="single" w:color="auto" w:sz="4" w:space="0"/>
            </w:tcBorders>
            <w:noWrap/>
            <w:vAlign w:val="center"/>
          </w:tcPr>
          <w:p w14:paraId="1AA58906">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新业务推流服务在线热备系统建设项目合同</w:t>
            </w:r>
          </w:p>
          <w:p w14:paraId="5639EEC1">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（FK202009007）</w:t>
            </w:r>
          </w:p>
        </w:tc>
        <w:tc>
          <w:tcPr>
            <w:tcW w:w="671" w:type="pct"/>
            <w:tcBorders>
              <w:top w:val="single" w:color="auto" w:sz="4" w:space="0"/>
              <w:left w:val="nil"/>
              <w:right w:val="single" w:color="auto" w:sz="4" w:space="0"/>
            </w:tcBorders>
            <w:shd w:val="clear" w:color="auto" w:fill="FFFF00"/>
            <w:noWrap/>
            <w:vAlign w:val="center"/>
          </w:tcPr>
          <w:p w14:paraId="78136C3B">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rPr>
                <w:rFonts w:hint="eastAsia" w:ascii="宋体" w:hAnsi="宋体" w:eastAsia="宋体" w:cs="宋体"/>
                <w:b/>
                <w:bCs/>
                <w:i w:val="0"/>
                <w:iCs w:val="0"/>
                <w:color w:val="000000"/>
                <w:kern w:val="0"/>
                <w:sz w:val="24"/>
                <w:szCs w:val="24"/>
                <w:u w:val="none"/>
                <w:lang w:val="en-US" w:eastAsia="zh-CN" w:bidi="ar"/>
              </w:rPr>
            </w:pPr>
          </w:p>
        </w:tc>
        <w:tc>
          <w:tcPr>
            <w:tcW w:w="443" w:type="pct"/>
            <w:tcBorders>
              <w:top w:val="single" w:color="auto" w:sz="4" w:space="0"/>
              <w:left w:val="nil"/>
              <w:right w:val="single" w:color="auto" w:sz="4" w:space="0"/>
            </w:tcBorders>
            <w:noWrap/>
            <w:vAlign w:val="center"/>
          </w:tcPr>
          <w:p w14:paraId="741484A7">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3</w:t>
            </w:r>
          </w:p>
        </w:tc>
        <w:tc>
          <w:tcPr>
            <w:tcW w:w="708" w:type="pct"/>
            <w:tcBorders>
              <w:top w:val="single" w:color="auto" w:sz="4" w:space="0"/>
              <w:left w:val="nil"/>
              <w:right w:val="single" w:color="auto" w:sz="4" w:space="0"/>
            </w:tcBorders>
            <w:shd w:val="clear" w:color="auto" w:fill="FFFF00"/>
            <w:noWrap/>
            <w:vAlign w:val="center"/>
          </w:tcPr>
          <w:p w14:paraId="009EF2AF">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rPr>
                <w:rFonts w:hint="eastAsia" w:ascii="宋体" w:hAnsi="宋体" w:eastAsia="宋体" w:cs="宋体"/>
                <w:b/>
                <w:bCs/>
                <w:i w:val="0"/>
                <w:iCs w:val="0"/>
                <w:color w:val="000000"/>
                <w:kern w:val="0"/>
                <w:sz w:val="24"/>
                <w:szCs w:val="24"/>
                <w:highlight w:val="yellow"/>
                <w:u w:val="none"/>
                <w:lang w:val="en-US" w:eastAsia="zh-CN" w:bidi="ar"/>
              </w:rPr>
            </w:pPr>
          </w:p>
        </w:tc>
        <w:tc>
          <w:tcPr>
            <w:tcW w:w="718" w:type="pct"/>
            <w:tcBorders>
              <w:top w:val="single" w:color="auto" w:sz="4" w:space="0"/>
              <w:left w:val="nil"/>
              <w:right w:val="single" w:color="auto" w:sz="4" w:space="0"/>
            </w:tcBorders>
            <w:shd w:val="clear" w:color="auto" w:fill="FFFF00"/>
            <w:noWrap/>
            <w:vAlign w:val="center"/>
          </w:tcPr>
          <w:p w14:paraId="28569D11">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rPr>
                <w:rFonts w:hint="eastAsia" w:ascii="宋体" w:hAnsi="宋体" w:eastAsia="宋体" w:cs="宋体"/>
                <w:b/>
                <w:bCs/>
                <w:i w:val="0"/>
                <w:iCs w:val="0"/>
                <w:color w:val="000000"/>
                <w:kern w:val="0"/>
                <w:sz w:val="24"/>
                <w:szCs w:val="24"/>
                <w:u w:val="none"/>
                <w:lang w:val="en-US" w:eastAsia="zh-CN" w:bidi="ar"/>
              </w:rPr>
            </w:pPr>
          </w:p>
        </w:tc>
      </w:tr>
      <w:tr w14:paraId="2409922D">
        <w:tblPrEx>
          <w:tblCellMar>
            <w:top w:w="0" w:type="dxa"/>
            <w:left w:w="108" w:type="dxa"/>
            <w:bottom w:w="0" w:type="dxa"/>
            <w:right w:w="108" w:type="dxa"/>
          </w:tblCellMar>
        </w:tblPrEx>
        <w:trPr>
          <w:trHeight w:val="232" w:hRule="atLeast"/>
          <w:jc w:val="center"/>
        </w:trPr>
        <w:tc>
          <w:tcPr>
            <w:tcW w:w="253" w:type="pct"/>
            <w:vMerge w:val="restart"/>
            <w:tcBorders>
              <w:top w:val="single" w:color="auto" w:sz="4" w:space="0"/>
              <w:left w:val="single" w:color="auto" w:sz="4" w:space="0"/>
              <w:right w:val="single" w:color="auto" w:sz="4" w:space="0"/>
            </w:tcBorders>
            <w:noWrap/>
            <w:vAlign w:val="center"/>
          </w:tcPr>
          <w:p w14:paraId="76022A1B">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3</w:t>
            </w:r>
          </w:p>
        </w:tc>
        <w:tc>
          <w:tcPr>
            <w:tcW w:w="694" w:type="pct"/>
            <w:vMerge w:val="restart"/>
            <w:tcBorders>
              <w:top w:val="single" w:color="auto" w:sz="4" w:space="0"/>
              <w:left w:val="nil"/>
              <w:right w:val="single" w:color="auto" w:sz="4" w:space="0"/>
            </w:tcBorders>
            <w:noWrap/>
            <w:vAlign w:val="center"/>
          </w:tcPr>
          <w:p w14:paraId="5A31F0FA">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公网业务推流服务系统（民科园）</w:t>
            </w:r>
          </w:p>
        </w:tc>
        <w:tc>
          <w:tcPr>
            <w:tcW w:w="1510" w:type="pct"/>
            <w:tcBorders>
              <w:top w:val="single" w:color="auto" w:sz="4" w:space="0"/>
              <w:left w:val="nil"/>
              <w:bottom w:val="single" w:color="auto" w:sz="4" w:space="0"/>
              <w:right w:val="single" w:color="auto" w:sz="4" w:space="0"/>
            </w:tcBorders>
            <w:noWrap/>
            <w:vAlign w:val="center"/>
          </w:tcPr>
          <w:p w14:paraId="78F06659">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融合平台OTT点播回看推流服务器项目合同（F201505056）</w:t>
            </w:r>
          </w:p>
        </w:tc>
        <w:tc>
          <w:tcPr>
            <w:tcW w:w="671" w:type="pct"/>
            <w:tcBorders>
              <w:top w:val="single" w:color="auto" w:sz="4" w:space="0"/>
              <w:left w:val="nil"/>
              <w:right w:val="single" w:color="auto" w:sz="4" w:space="0"/>
            </w:tcBorders>
            <w:shd w:val="clear" w:color="auto" w:fill="FFFF00"/>
            <w:noWrap/>
            <w:vAlign w:val="center"/>
          </w:tcPr>
          <w:p w14:paraId="218CD77E">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rPr>
                <w:rFonts w:hint="eastAsia" w:ascii="宋体" w:hAnsi="宋体" w:eastAsia="宋体" w:cs="宋体"/>
                <w:b/>
                <w:bCs/>
                <w:i w:val="0"/>
                <w:iCs w:val="0"/>
                <w:color w:val="000000"/>
                <w:kern w:val="0"/>
                <w:sz w:val="24"/>
                <w:szCs w:val="24"/>
                <w:u w:val="none"/>
                <w:lang w:val="en-US" w:eastAsia="zh-CN" w:bidi="ar"/>
              </w:rPr>
            </w:pPr>
            <w:bookmarkStart w:id="8" w:name="_GoBack"/>
            <w:bookmarkEnd w:id="8"/>
          </w:p>
        </w:tc>
        <w:tc>
          <w:tcPr>
            <w:tcW w:w="443" w:type="pct"/>
            <w:tcBorders>
              <w:top w:val="single" w:color="auto" w:sz="4" w:space="0"/>
              <w:left w:val="nil"/>
              <w:right w:val="single" w:color="auto" w:sz="4" w:space="0"/>
            </w:tcBorders>
            <w:noWrap/>
            <w:vAlign w:val="center"/>
          </w:tcPr>
          <w:p w14:paraId="1CC60BE6">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rPr>
                <w:rFonts w:hint="eastAsia" w:ascii="宋体" w:hAnsi="宋体" w:eastAsia="宋体" w:cs="宋体"/>
                <w:b/>
                <w:bCs/>
                <w:i w:val="0"/>
                <w:iCs w:val="0"/>
                <w:color w:val="000000"/>
                <w:kern w:val="0"/>
                <w:sz w:val="24"/>
                <w:szCs w:val="24"/>
                <w:u w:val="none"/>
                <w:lang w:val="en-US" w:eastAsia="zh-CN" w:bidi="ar"/>
              </w:rPr>
            </w:pPr>
          </w:p>
        </w:tc>
        <w:tc>
          <w:tcPr>
            <w:tcW w:w="708" w:type="pct"/>
            <w:tcBorders>
              <w:top w:val="single" w:color="auto" w:sz="4" w:space="0"/>
              <w:left w:val="nil"/>
              <w:right w:val="single" w:color="auto" w:sz="4" w:space="0"/>
            </w:tcBorders>
            <w:shd w:val="clear" w:color="auto" w:fill="FFFF00"/>
            <w:noWrap/>
            <w:vAlign w:val="center"/>
          </w:tcPr>
          <w:p w14:paraId="697DAD86">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rPr>
                <w:rFonts w:hint="eastAsia" w:ascii="宋体" w:hAnsi="宋体" w:eastAsia="宋体" w:cs="宋体"/>
                <w:b/>
                <w:bCs/>
                <w:i w:val="0"/>
                <w:iCs w:val="0"/>
                <w:color w:val="000000"/>
                <w:kern w:val="0"/>
                <w:sz w:val="24"/>
                <w:szCs w:val="24"/>
                <w:highlight w:val="yellow"/>
                <w:u w:val="none"/>
                <w:lang w:val="en-US" w:eastAsia="zh-CN" w:bidi="ar"/>
              </w:rPr>
            </w:pPr>
          </w:p>
        </w:tc>
        <w:tc>
          <w:tcPr>
            <w:tcW w:w="718" w:type="pct"/>
            <w:tcBorders>
              <w:top w:val="single" w:color="auto" w:sz="4" w:space="0"/>
              <w:left w:val="nil"/>
              <w:right w:val="single" w:color="auto" w:sz="4" w:space="0"/>
            </w:tcBorders>
            <w:shd w:val="clear" w:color="auto" w:fill="FFFF00"/>
            <w:noWrap/>
            <w:vAlign w:val="center"/>
          </w:tcPr>
          <w:p w14:paraId="480388CF">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rPr>
                <w:rFonts w:hint="eastAsia" w:ascii="宋体" w:hAnsi="宋体" w:eastAsia="宋体" w:cs="宋体"/>
                <w:b/>
                <w:bCs/>
                <w:i w:val="0"/>
                <w:iCs w:val="0"/>
                <w:color w:val="000000"/>
                <w:kern w:val="0"/>
                <w:sz w:val="24"/>
                <w:szCs w:val="24"/>
                <w:u w:val="none"/>
                <w:lang w:val="en-US" w:eastAsia="zh-CN" w:bidi="ar"/>
              </w:rPr>
            </w:pPr>
          </w:p>
        </w:tc>
      </w:tr>
      <w:tr w14:paraId="6185D1FB">
        <w:tblPrEx>
          <w:tblCellMar>
            <w:top w:w="0" w:type="dxa"/>
            <w:left w:w="108" w:type="dxa"/>
            <w:bottom w:w="0" w:type="dxa"/>
            <w:right w:w="108" w:type="dxa"/>
          </w:tblCellMar>
        </w:tblPrEx>
        <w:trPr>
          <w:trHeight w:val="232" w:hRule="atLeast"/>
          <w:jc w:val="center"/>
        </w:trPr>
        <w:tc>
          <w:tcPr>
            <w:tcW w:w="253" w:type="pct"/>
            <w:vMerge w:val="continue"/>
            <w:tcBorders>
              <w:left w:val="single" w:color="auto" w:sz="4" w:space="0"/>
              <w:right w:val="single" w:color="auto" w:sz="4" w:space="0"/>
            </w:tcBorders>
            <w:noWrap/>
            <w:vAlign w:val="center"/>
          </w:tcPr>
          <w:p w14:paraId="3E62ED1B">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rPr>
                <w:rFonts w:hint="eastAsia" w:ascii="宋体" w:hAnsi="宋体" w:eastAsia="宋体" w:cs="宋体"/>
                <w:b/>
                <w:bCs/>
                <w:i w:val="0"/>
                <w:iCs w:val="0"/>
                <w:color w:val="000000"/>
                <w:kern w:val="0"/>
                <w:sz w:val="24"/>
                <w:szCs w:val="24"/>
                <w:u w:val="none"/>
                <w:lang w:val="en-US" w:eastAsia="zh-CN" w:bidi="ar"/>
              </w:rPr>
            </w:pPr>
          </w:p>
        </w:tc>
        <w:tc>
          <w:tcPr>
            <w:tcW w:w="694" w:type="pct"/>
            <w:vMerge w:val="continue"/>
            <w:tcBorders>
              <w:left w:val="nil"/>
              <w:right w:val="single" w:color="auto" w:sz="4" w:space="0"/>
            </w:tcBorders>
            <w:noWrap/>
            <w:vAlign w:val="center"/>
          </w:tcPr>
          <w:p w14:paraId="134ED9EE">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rPr>
                <w:rFonts w:hint="eastAsia" w:ascii="宋体" w:hAnsi="宋体" w:eastAsia="宋体" w:cs="宋体"/>
                <w:b/>
                <w:bCs/>
                <w:i w:val="0"/>
                <w:iCs w:val="0"/>
                <w:color w:val="000000"/>
                <w:kern w:val="0"/>
                <w:sz w:val="24"/>
                <w:szCs w:val="24"/>
                <w:u w:val="none"/>
                <w:lang w:val="en-US" w:eastAsia="zh-CN" w:bidi="ar"/>
              </w:rPr>
            </w:pPr>
          </w:p>
        </w:tc>
        <w:tc>
          <w:tcPr>
            <w:tcW w:w="1510" w:type="pct"/>
            <w:tcBorders>
              <w:top w:val="single" w:color="auto" w:sz="4" w:space="0"/>
              <w:left w:val="nil"/>
              <w:bottom w:val="single" w:color="auto" w:sz="4" w:space="0"/>
              <w:right w:val="single" w:color="auto" w:sz="4" w:space="0"/>
            </w:tcBorders>
            <w:noWrap/>
            <w:vAlign w:val="center"/>
          </w:tcPr>
          <w:p w14:paraId="2B6BD14F">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流媒体新增功能开发服务采购项目合同（F201603051）</w:t>
            </w:r>
          </w:p>
        </w:tc>
        <w:tc>
          <w:tcPr>
            <w:tcW w:w="671" w:type="pct"/>
            <w:vMerge w:val="restart"/>
            <w:tcBorders>
              <w:top w:val="single" w:color="auto" w:sz="4" w:space="0"/>
              <w:left w:val="nil"/>
              <w:right w:val="single" w:color="auto" w:sz="4" w:space="0"/>
            </w:tcBorders>
            <w:shd w:val="clear" w:color="auto" w:fill="FFFF00"/>
            <w:noWrap/>
            <w:vAlign w:val="center"/>
          </w:tcPr>
          <w:p w14:paraId="4AC30098">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rPr>
                <w:rFonts w:hint="eastAsia" w:ascii="宋体" w:hAnsi="宋体" w:eastAsia="宋体" w:cs="宋体"/>
                <w:b/>
                <w:bCs/>
                <w:i w:val="0"/>
                <w:iCs w:val="0"/>
                <w:color w:val="000000"/>
                <w:kern w:val="0"/>
                <w:sz w:val="24"/>
                <w:szCs w:val="24"/>
                <w:u w:val="none"/>
                <w:lang w:val="en-US" w:eastAsia="zh-CN" w:bidi="ar"/>
              </w:rPr>
            </w:pPr>
          </w:p>
        </w:tc>
        <w:tc>
          <w:tcPr>
            <w:tcW w:w="443" w:type="pct"/>
            <w:vMerge w:val="restart"/>
            <w:tcBorders>
              <w:top w:val="single" w:color="auto" w:sz="4" w:space="0"/>
              <w:left w:val="nil"/>
              <w:right w:val="single" w:color="auto" w:sz="4" w:space="0"/>
            </w:tcBorders>
            <w:noWrap/>
            <w:vAlign w:val="center"/>
          </w:tcPr>
          <w:p w14:paraId="3E9C628D">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3</w:t>
            </w:r>
          </w:p>
        </w:tc>
        <w:tc>
          <w:tcPr>
            <w:tcW w:w="708" w:type="pct"/>
            <w:vMerge w:val="restart"/>
            <w:tcBorders>
              <w:top w:val="single" w:color="auto" w:sz="4" w:space="0"/>
              <w:left w:val="nil"/>
              <w:right w:val="single" w:color="auto" w:sz="4" w:space="0"/>
            </w:tcBorders>
            <w:shd w:val="clear" w:color="auto" w:fill="FFFF00"/>
            <w:noWrap/>
            <w:vAlign w:val="center"/>
          </w:tcPr>
          <w:p w14:paraId="5778F12D">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rPr>
                <w:rFonts w:hint="eastAsia" w:ascii="宋体" w:hAnsi="宋体" w:eastAsia="宋体" w:cs="宋体"/>
                <w:b/>
                <w:bCs/>
                <w:i w:val="0"/>
                <w:iCs w:val="0"/>
                <w:color w:val="000000"/>
                <w:kern w:val="0"/>
                <w:sz w:val="24"/>
                <w:szCs w:val="24"/>
                <w:highlight w:val="yellow"/>
                <w:u w:val="none"/>
                <w:lang w:val="en-US" w:eastAsia="zh-CN" w:bidi="ar"/>
              </w:rPr>
            </w:pPr>
          </w:p>
        </w:tc>
        <w:tc>
          <w:tcPr>
            <w:tcW w:w="718" w:type="pct"/>
            <w:vMerge w:val="restart"/>
            <w:tcBorders>
              <w:top w:val="single" w:color="auto" w:sz="4" w:space="0"/>
              <w:left w:val="nil"/>
              <w:right w:val="single" w:color="auto" w:sz="4" w:space="0"/>
            </w:tcBorders>
            <w:shd w:val="clear" w:color="auto" w:fill="FFFF00"/>
            <w:noWrap/>
            <w:vAlign w:val="center"/>
          </w:tcPr>
          <w:p w14:paraId="6B4B115C">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rPr>
                <w:rFonts w:hint="eastAsia" w:ascii="宋体" w:hAnsi="宋体" w:eastAsia="宋体" w:cs="宋体"/>
                <w:b/>
                <w:bCs/>
                <w:i w:val="0"/>
                <w:iCs w:val="0"/>
                <w:color w:val="000000"/>
                <w:kern w:val="0"/>
                <w:sz w:val="24"/>
                <w:szCs w:val="24"/>
                <w:u w:val="none"/>
                <w:lang w:val="en-US" w:eastAsia="zh-CN" w:bidi="ar"/>
              </w:rPr>
            </w:pPr>
          </w:p>
        </w:tc>
      </w:tr>
      <w:tr w14:paraId="74F434F4">
        <w:tblPrEx>
          <w:tblCellMar>
            <w:top w:w="0" w:type="dxa"/>
            <w:left w:w="108" w:type="dxa"/>
            <w:bottom w:w="0" w:type="dxa"/>
            <w:right w:w="108" w:type="dxa"/>
          </w:tblCellMar>
        </w:tblPrEx>
        <w:trPr>
          <w:trHeight w:val="232" w:hRule="atLeast"/>
          <w:jc w:val="center"/>
        </w:trPr>
        <w:tc>
          <w:tcPr>
            <w:tcW w:w="253" w:type="pct"/>
            <w:vMerge w:val="continue"/>
            <w:tcBorders>
              <w:left w:val="single" w:color="auto" w:sz="4" w:space="0"/>
              <w:bottom w:val="single" w:color="auto" w:sz="4" w:space="0"/>
              <w:right w:val="single" w:color="auto" w:sz="4" w:space="0"/>
            </w:tcBorders>
            <w:noWrap/>
            <w:vAlign w:val="center"/>
          </w:tcPr>
          <w:p w14:paraId="5C539C02">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pPr>
          </w:p>
        </w:tc>
        <w:tc>
          <w:tcPr>
            <w:tcW w:w="694" w:type="pct"/>
            <w:vMerge w:val="continue"/>
            <w:tcBorders>
              <w:left w:val="nil"/>
              <w:bottom w:val="single" w:color="auto" w:sz="4" w:space="0"/>
              <w:right w:val="single" w:color="auto" w:sz="4" w:space="0"/>
            </w:tcBorders>
            <w:noWrap/>
            <w:vAlign w:val="center"/>
          </w:tcPr>
          <w:p w14:paraId="3378E270">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rPr>
                <w:rFonts w:hint="eastAsia" w:ascii="宋体" w:hAnsi="宋体" w:eastAsia="宋体" w:cs="宋体"/>
                <w:b/>
                <w:bCs/>
                <w:i w:val="0"/>
                <w:iCs w:val="0"/>
                <w:color w:val="000000"/>
                <w:kern w:val="0"/>
                <w:sz w:val="24"/>
                <w:szCs w:val="24"/>
                <w:u w:val="none"/>
                <w:lang w:val="en-US" w:eastAsia="zh-CN" w:bidi="ar"/>
              </w:rPr>
            </w:pPr>
          </w:p>
        </w:tc>
        <w:tc>
          <w:tcPr>
            <w:tcW w:w="1510" w:type="pct"/>
            <w:tcBorders>
              <w:top w:val="single" w:color="auto" w:sz="4" w:space="0"/>
              <w:left w:val="nil"/>
              <w:bottom w:val="single" w:color="auto" w:sz="4" w:space="0"/>
              <w:right w:val="single" w:color="auto" w:sz="4" w:space="0"/>
            </w:tcBorders>
            <w:noWrap/>
            <w:vAlign w:val="center"/>
          </w:tcPr>
          <w:p w14:paraId="664A4B4B">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南方新媒体内容安全保障系统建设采购推流服务器项目（F201704065）</w:t>
            </w:r>
          </w:p>
        </w:tc>
        <w:tc>
          <w:tcPr>
            <w:tcW w:w="671" w:type="pct"/>
            <w:vMerge w:val="continue"/>
            <w:tcBorders>
              <w:left w:val="nil"/>
              <w:bottom w:val="single" w:color="auto" w:sz="4" w:space="0"/>
              <w:right w:val="single" w:color="auto" w:sz="4" w:space="0"/>
            </w:tcBorders>
            <w:shd w:val="clear" w:color="auto" w:fill="FFFF00"/>
            <w:noWrap/>
            <w:vAlign w:val="center"/>
          </w:tcPr>
          <w:p w14:paraId="6FFC3B5C">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rPr>
                <w:rFonts w:hint="eastAsia" w:ascii="宋体" w:hAnsi="宋体" w:eastAsia="宋体" w:cs="宋体"/>
                <w:b/>
                <w:bCs/>
                <w:i w:val="0"/>
                <w:iCs w:val="0"/>
                <w:color w:val="000000"/>
                <w:kern w:val="0"/>
                <w:sz w:val="24"/>
                <w:szCs w:val="24"/>
                <w:u w:val="none"/>
                <w:lang w:val="en-US" w:eastAsia="zh-CN" w:bidi="ar"/>
              </w:rPr>
            </w:pPr>
          </w:p>
        </w:tc>
        <w:tc>
          <w:tcPr>
            <w:tcW w:w="443" w:type="pct"/>
            <w:vMerge w:val="continue"/>
            <w:tcBorders>
              <w:left w:val="nil"/>
              <w:bottom w:val="single" w:color="auto" w:sz="4" w:space="0"/>
              <w:right w:val="single" w:color="auto" w:sz="4" w:space="0"/>
            </w:tcBorders>
            <w:noWrap/>
            <w:vAlign w:val="center"/>
          </w:tcPr>
          <w:p w14:paraId="05CDA04A">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rPr>
                <w:rFonts w:hint="eastAsia" w:ascii="宋体" w:hAnsi="宋体" w:eastAsia="宋体" w:cs="宋体"/>
                <w:b/>
                <w:bCs/>
                <w:i w:val="0"/>
                <w:iCs w:val="0"/>
                <w:color w:val="000000"/>
                <w:kern w:val="0"/>
                <w:sz w:val="24"/>
                <w:szCs w:val="24"/>
                <w:u w:val="none"/>
                <w:lang w:val="en-US" w:eastAsia="zh-CN" w:bidi="ar"/>
              </w:rPr>
            </w:pPr>
          </w:p>
        </w:tc>
        <w:tc>
          <w:tcPr>
            <w:tcW w:w="708" w:type="pct"/>
            <w:vMerge w:val="continue"/>
            <w:tcBorders>
              <w:left w:val="nil"/>
              <w:bottom w:val="single" w:color="auto" w:sz="4" w:space="0"/>
              <w:right w:val="single" w:color="auto" w:sz="4" w:space="0"/>
            </w:tcBorders>
            <w:shd w:val="clear" w:color="auto" w:fill="FFFF00"/>
            <w:noWrap/>
            <w:vAlign w:val="center"/>
          </w:tcPr>
          <w:p w14:paraId="4D268B2C">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rPr>
                <w:rFonts w:hint="eastAsia" w:ascii="宋体" w:hAnsi="宋体" w:eastAsia="宋体" w:cs="宋体"/>
                <w:b/>
                <w:bCs/>
                <w:i w:val="0"/>
                <w:iCs w:val="0"/>
                <w:color w:val="000000"/>
                <w:kern w:val="0"/>
                <w:sz w:val="24"/>
                <w:szCs w:val="24"/>
                <w:u w:val="none"/>
                <w:lang w:val="en-US" w:eastAsia="zh-CN" w:bidi="ar"/>
              </w:rPr>
            </w:pPr>
          </w:p>
        </w:tc>
        <w:tc>
          <w:tcPr>
            <w:tcW w:w="718" w:type="pct"/>
            <w:vMerge w:val="continue"/>
            <w:tcBorders>
              <w:left w:val="nil"/>
              <w:bottom w:val="single" w:color="auto" w:sz="4" w:space="0"/>
              <w:right w:val="single" w:color="auto" w:sz="4" w:space="0"/>
            </w:tcBorders>
            <w:shd w:val="clear" w:color="auto" w:fill="FFFF00"/>
            <w:noWrap/>
            <w:vAlign w:val="center"/>
          </w:tcPr>
          <w:p w14:paraId="3ED20F89">
            <w:pPr>
              <w:keepNext w:val="0"/>
              <w:keepLines w:val="0"/>
              <w:pageBreakBefore w:val="0"/>
              <w:widowControl/>
              <w:kinsoku/>
              <w:wordWrap/>
              <w:overflowPunct/>
              <w:topLinePunct w:val="0"/>
              <w:autoSpaceDE/>
              <w:autoSpaceDN/>
              <w:bidi w:val="0"/>
              <w:adjustRightInd/>
              <w:snapToGrid/>
              <w:spacing w:before="65" w:beforeLines="20" w:after="65" w:afterLines="20"/>
              <w:jc w:val="center"/>
              <w:textAlignment w:val="auto"/>
              <w:rPr>
                <w:rFonts w:hint="eastAsia" w:ascii="宋体" w:hAnsi="宋体" w:eastAsia="宋体" w:cs="宋体"/>
                <w:b/>
                <w:bCs/>
                <w:i w:val="0"/>
                <w:iCs w:val="0"/>
                <w:color w:val="000000"/>
                <w:kern w:val="0"/>
                <w:sz w:val="24"/>
                <w:szCs w:val="24"/>
                <w:u w:val="none"/>
                <w:lang w:val="en-US" w:eastAsia="zh-CN" w:bidi="ar"/>
              </w:rPr>
            </w:pPr>
          </w:p>
        </w:tc>
      </w:tr>
      <w:tr w14:paraId="7E121AC3">
        <w:tblPrEx>
          <w:tblCellMar>
            <w:top w:w="0" w:type="dxa"/>
            <w:left w:w="108" w:type="dxa"/>
            <w:bottom w:w="0" w:type="dxa"/>
            <w:right w:w="108" w:type="dxa"/>
          </w:tblCellMar>
        </w:tblPrEx>
        <w:trPr>
          <w:trHeight w:val="202" w:hRule="atLeast"/>
          <w:jc w:val="center"/>
        </w:trPr>
        <w:tc>
          <w:tcPr>
            <w:tcW w:w="3573" w:type="pct"/>
            <w:gridSpan w:val="5"/>
            <w:tcBorders>
              <w:top w:val="single" w:color="auto" w:sz="4" w:space="0"/>
              <w:left w:val="single" w:color="auto" w:sz="4" w:space="0"/>
              <w:bottom w:val="single" w:color="auto" w:sz="4" w:space="0"/>
              <w:right w:val="single" w:color="auto" w:sz="4" w:space="0"/>
            </w:tcBorders>
            <w:noWrap/>
            <w:vAlign w:val="center"/>
          </w:tcPr>
          <w:p w14:paraId="57BB3394">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合计：</w:t>
            </w:r>
          </w:p>
        </w:tc>
        <w:tc>
          <w:tcPr>
            <w:tcW w:w="1426" w:type="pct"/>
            <w:gridSpan w:val="2"/>
            <w:tcBorders>
              <w:top w:val="single" w:color="auto" w:sz="4" w:space="0"/>
              <w:left w:val="nil"/>
              <w:bottom w:val="single" w:color="auto" w:sz="4" w:space="0"/>
              <w:right w:val="single" w:color="auto" w:sz="4" w:space="0"/>
            </w:tcBorders>
            <w:shd w:val="clear" w:color="auto" w:fill="FFFF00"/>
            <w:noWrap/>
            <w:vAlign w:val="center"/>
          </w:tcPr>
          <w:p w14:paraId="7B2F7C98">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b/>
                <w:bCs/>
                <w:i w:val="0"/>
                <w:iCs w:val="0"/>
                <w:color w:val="000000"/>
                <w:kern w:val="0"/>
                <w:sz w:val="24"/>
                <w:szCs w:val="24"/>
                <w:highlight w:val="yellow"/>
                <w:u w:val="none"/>
                <w:lang w:val="en-US" w:eastAsia="zh-CN" w:bidi="ar"/>
              </w:rPr>
            </w:pPr>
          </w:p>
        </w:tc>
      </w:tr>
      <w:tr w14:paraId="2AF73C0E">
        <w:tblPrEx>
          <w:tblCellMar>
            <w:top w:w="0" w:type="dxa"/>
            <w:left w:w="108" w:type="dxa"/>
            <w:bottom w:w="0" w:type="dxa"/>
            <w:right w:w="108" w:type="dxa"/>
          </w:tblCellMar>
        </w:tblPrEx>
        <w:trPr>
          <w:trHeight w:val="465" w:hRule="atLeast"/>
          <w:jc w:val="center"/>
        </w:trPr>
        <w:tc>
          <w:tcPr>
            <w:tcW w:w="5000" w:type="pct"/>
            <w:gridSpan w:val="7"/>
            <w:tcBorders>
              <w:top w:val="single" w:color="auto" w:sz="4" w:space="0"/>
              <w:left w:val="single" w:color="auto" w:sz="4" w:space="0"/>
              <w:bottom w:val="single" w:color="auto" w:sz="4" w:space="0"/>
              <w:right w:val="single" w:color="auto" w:sz="4" w:space="0"/>
            </w:tcBorders>
            <w:noWrap/>
            <w:vAlign w:val="center"/>
          </w:tcPr>
          <w:p w14:paraId="07AF1113">
            <w:pPr>
              <w:keepNext w:val="0"/>
              <w:keepLines w:val="0"/>
              <w:pageBreakBefore w:val="0"/>
              <w:widowControl/>
              <w:kinsoku/>
              <w:wordWrap/>
              <w:overflowPunct/>
              <w:topLinePunct w:val="0"/>
              <w:autoSpaceDE/>
              <w:autoSpaceDN/>
              <w:bidi w:val="0"/>
              <w:adjustRightInd/>
              <w:snapToGrid/>
              <w:spacing w:before="65" w:beforeLines="20" w:after="65" w:afterLines="20"/>
              <w:jc w:val="left"/>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填写说明：</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产品配置要求请查看附件1：《用户需求书》；</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参与调研的供应商仅需填写标黄部分，且价格保留两位小数；</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如有其他说明，请填写至“备注”内；</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此表需打印扫描加盖公章并将填写后的word文件一同发送至调研邮箱。</w:t>
            </w:r>
          </w:p>
        </w:tc>
      </w:tr>
    </w:tbl>
    <w:p w14:paraId="25B624A5">
      <w:pPr>
        <w:spacing w:after="209" w:afterLines="67"/>
        <w:jc w:val="both"/>
        <w:rPr>
          <w:rFonts w:asciiTheme="minorEastAsia" w:hAnsiTheme="minorEastAsia" w:cstheme="minorEastAsia"/>
          <w:b/>
          <w:bCs/>
          <w:sz w:val="24"/>
          <w:szCs w:val="24"/>
        </w:rPr>
      </w:pPr>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auto"/>
    <w:pitch w:val="default"/>
    <w:sig w:usb0="E1002EFF" w:usb1="C000605B" w:usb2="00000029" w:usb3="00000000" w:csb0="200101FF" w:csb1="2028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09354303"/>
    </w:sdtPr>
    <w:sdtEndPr>
      <w:rPr>
        <w:rFonts w:asciiTheme="minorEastAsia" w:hAnsiTheme="minorEastAsia"/>
        <w:sz w:val="24"/>
        <w:szCs w:val="24"/>
      </w:rPr>
    </w:sdtEndPr>
    <w:sdtContent>
      <w:p w14:paraId="4F386978">
        <w:pPr>
          <w:pStyle w:val="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PAGE   \* MERGEFORMAT</w:instrText>
        </w:r>
        <w:r>
          <w:rPr>
            <w:rFonts w:asciiTheme="minorEastAsia" w:hAnsiTheme="minorEastAsia"/>
            <w:sz w:val="24"/>
            <w:szCs w:val="24"/>
          </w:rPr>
          <w:fldChar w:fldCharType="separate"/>
        </w:r>
        <w:r>
          <w:rPr>
            <w:rFonts w:asciiTheme="minorEastAsia" w:hAnsiTheme="minorEastAsia"/>
            <w:sz w:val="24"/>
            <w:szCs w:val="24"/>
            <w:lang w:val="zh-CN"/>
          </w:rPr>
          <w:t>4</w:t>
        </w:r>
        <w:r>
          <w:rPr>
            <w:rFonts w:asciiTheme="minorEastAsia" w:hAnsiTheme="minorEastAsia"/>
            <w:sz w:val="24"/>
            <w:szCs w:val="24"/>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7E4C18"/>
    <w:multiLevelType w:val="singleLevel"/>
    <w:tmpl w:val="9A7E4C18"/>
    <w:lvl w:ilvl="0" w:tentative="0">
      <w:start w:val="1"/>
      <w:numFmt w:val="decimal"/>
      <w:lvlText w:val="%1."/>
      <w:lvlJc w:val="left"/>
      <w:pPr>
        <w:ind w:left="425" w:hanging="425"/>
      </w:pPr>
      <w:rPr>
        <w:rFonts w:hint="default"/>
      </w:rPr>
    </w:lvl>
  </w:abstractNum>
  <w:abstractNum w:abstractNumId="1">
    <w:nsid w:val="26007FCA"/>
    <w:multiLevelType w:val="multilevel"/>
    <w:tmpl w:val="26007FCA"/>
    <w:lvl w:ilvl="0" w:tentative="0">
      <w:start w:val="1"/>
      <w:numFmt w:val="chineseCountingThousand"/>
      <w:pStyle w:val="2"/>
      <w:lvlText w:val="%1、"/>
      <w:lvlJc w:val="left"/>
      <w:pPr>
        <w:tabs>
          <w:tab w:val="left" w:pos="432"/>
        </w:tabs>
        <w:ind w:left="432" w:hanging="432"/>
      </w:pPr>
      <w:rPr>
        <w:rFonts w:hint="eastAsia"/>
      </w:rPr>
    </w:lvl>
    <w:lvl w:ilvl="1" w:tentative="0">
      <w:start w:val="1"/>
      <w:numFmt w:val="decimal"/>
      <w:lvlText w:val="3.%2"/>
      <w:lvlJc w:val="left"/>
      <w:pPr>
        <w:tabs>
          <w:tab w:val="left" w:pos="576"/>
        </w:tabs>
        <w:ind w:left="576" w:hanging="576"/>
      </w:pPr>
      <w:rPr>
        <w:rFonts w:hint="eastAsia"/>
      </w:rPr>
    </w:lvl>
    <w:lvl w:ilvl="2" w:tentative="0">
      <w:start w:val="1"/>
      <w:numFmt w:val="decimal"/>
      <w:lvlText w:val="3.5.%3 "/>
      <w:lvlJc w:val="left"/>
      <w:pPr>
        <w:tabs>
          <w:tab w:val="left" w:pos="720"/>
        </w:tabs>
        <w:ind w:left="720" w:hanging="720"/>
      </w:pPr>
      <w:rPr>
        <w:rFonts w:hint="eastAsia"/>
      </w:rPr>
    </w:lvl>
    <w:lvl w:ilvl="3" w:tentative="0">
      <w:start w:val="1"/>
      <w:numFmt w:val="decimal"/>
      <w:lvlText w:val="3.5.1.%4 "/>
      <w:lvlJc w:val="left"/>
      <w:pPr>
        <w:tabs>
          <w:tab w:val="left" w:pos="1440"/>
        </w:tabs>
        <w:ind w:left="1000" w:hanging="1000"/>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2">
    <w:nsid w:val="2BEE12A5"/>
    <w:multiLevelType w:val="multilevel"/>
    <w:tmpl w:val="2BEE12A5"/>
    <w:lvl w:ilvl="0" w:tentative="0">
      <w:start w:val="1"/>
      <w:numFmt w:val="japaneseCounting"/>
      <w:lvlText w:val="%1、"/>
      <w:lvlJc w:val="left"/>
      <w:pPr>
        <w:ind w:left="495" w:hanging="49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9CD3CA3"/>
    <w:multiLevelType w:val="multilevel"/>
    <w:tmpl w:val="39CD3CA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1E53D21"/>
    <w:multiLevelType w:val="multilevel"/>
    <w:tmpl w:val="71E53D2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C4B288E"/>
    <w:multiLevelType w:val="multilevel"/>
    <w:tmpl w:val="7C4B288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dkNmU4ZTA0YjI0Zjg3NjA5OWQ4ZDUyMWVkYjZkNzIifQ=="/>
  </w:docVars>
  <w:rsids>
    <w:rsidRoot w:val="509C3417"/>
    <w:rsid w:val="00231D84"/>
    <w:rsid w:val="005E15D2"/>
    <w:rsid w:val="00687B51"/>
    <w:rsid w:val="006E3F95"/>
    <w:rsid w:val="00706D87"/>
    <w:rsid w:val="007D69C4"/>
    <w:rsid w:val="00943FEC"/>
    <w:rsid w:val="009A44E3"/>
    <w:rsid w:val="00B419DF"/>
    <w:rsid w:val="00B73413"/>
    <w:rsid w:val="00DF1D82"/>
    <w:rsid w:val="00EC18DF"/>
    <w:rsid w:val="01544C76"/>
    <w:rsid w:val="02AE1145"/>
    <w:rsid w:val="036C34DA"/>
    <w:rsid w:val="03A4265D"/>
    <w:rsid w:val="04B35139"/>
    <w:rsid w:val="050A1AB6"/>
    <w:rsid w:val="069521F9"/>
    <w:rsid w:val="0730481F"/>
    <w:rsid w:val="078D3A1F"/>
    <w:rsid w:val="08601134"/>
    <w:rsid w:val="09675FB7"/>
    <w:rsid w:val="0AC97464"/>
    <w:rsid w:val="0BBA6DAD"/>
    <w:rsid w:val="101A3C7B"/>
    <w:rsid w:val="10CE4387"/>
    <w:rsid w:val="11A150AB"/>
    <w:rsid w:val="11EA0E33"/>
    <w:rsid w:val="13C857F6"/>
    <w:rsid w:val="18491716"/>
    <w:rsid w:val="186B5062"/>
    <w:rsid w:val="1AD47E27"/>
    <w:rsid w:val="1EF65EF6"/>
    <w:rsid w:val="21FD7606"/>
    <w:rsid w:val="220420C6"/>
    <w:rsid w:val="258B383C"/>
    <w:rsid w:val="25B33FCA"/>
    <w:rsid w:val="25EE55BB"/>
    <w:rsid w:val="27C63FD7"/>
    <w:rsid w:val="2A050591"/>
    <w:rsid w:val="2E2B5035"/>
    <w:rsid w:val="2E9322F5"/>
    <w:rsid w:val="30E12562"/>
    <w:rsid w:val="324A4137"/>
    <w:rsid w:val="33F705B7"/>
    <w:rsid w:val="35750372"/>
    <w:rsid w:val="35F745D6"/>
    <w:rsid w:val="360712B0"/>
    <w:rsid w:val="38B40117"/>
    <w:rsid w:val="3CAB670C"/>
    <w:rsid w:val="3CE32368"/>
    <w:rsid w:val="3FD057F7"/>
    <w:rsid w:val="402B55A8"/>
    <w:rsid w:val="426A1DB3"/>
    <w:rsid w:val="450F36EA"/>
    <w:rsid w:val="45F750AA"/>
    <w:rsid w:val="46384F0C"/>
    <w:rsid w:val="476C2E05"/>
    <w:rsid w:val="4B246E03"/>
    <w:rsid w:val="4CAC5CC3"/>
    <w:rsid w:val="4EAB089F"/>
    <w:rsid w:val="4EE243ED"/>
    <w:rsid w:val="50792C6A"/>
    <w:rsid w:val="509C3417"/>
    <w:rsid w:val="51E87E4E"/>
    <w:rsid w:val="52EE0219"/>
    <w:rsid w:val="5326524A"/>
    <w:rsid w:val="5A4B1C58"/>
    <w:rsid w:val="5C975811"/>
    <w:rsid w:val="5EC75FCE"/>
    <w:rsid w:val="5F660EF9"/>
    <w:rsid w:val="61FEF1DB"/>
    <w:rsid w:val="62E745B8"/>
    <w:rsid w:val="62F010AB"/>
    <w:rsid w:val="630B0E65"/>
    <w:rsid w:val="63C27722"/>
    <w:rsid w:val="640B3432"/>
    <w:rsid w:val="671609C5"/>
    <w:rsid w:val="67E7681B"/>
    <w:rsid w:val="68E83A44"/>
    <w:rsid w:val="69F643AD"/>
    <w:rsid w:val="6AD46028"/>
    <w:rsid w:val="6B590552"/>
    <w:rsid w:val="6CA53D7D"/>
    <w:rsid w:val="6FB46293"/>
    <w:rsid w:val="715156A2"/>
    <w:rsid w:val="76343069"/>
    <w:rsid w:val="77515232"/>
    <w:rsid w:val="779605E4"/>
    <w:rsid w:val="77BB3365"/>
    <w:rsid w:val="7AAF67FA"/>
    <w:rsid w:val="7B117AF2"/>
    <w:rsid w:val="7CB00608"/>
    <w:rsid w:val="F7FFBC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pageBreakBefore/>
      <w:numPr>
        <w:ilvl w:val="0"/>
        <w:numId w:val="1"/>
      </w:numPr>
      <w:spacing w:before="340" w:afterLines="50" w:line="578" w:lineRule="auto"/>
      <w:outlineLvl w:val="0"/>
    </w:pPr>
    <w:rPr>
      <w:rFonts w:eastAsia="黑体" w:cs="Times New Roman"/>
      <w:b/>
      <w:bCs/>
      <w:spacing w:val="20"/>
      <w:kern w:val="44"/>
      <w:sz w:val="36"/>
      <w:szCs w:val="44"/>
    </w:rPr>
  </w:style>
  <w:style w:type="paragraph" w:styleId="3">
    <w:name w:val="heading 2"/>
    <w:basedOn w:val="1"/>
    <w:next w:val="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4"/>
    <w:unhideWhenUsed/>
    <w:qFormat/>
    <w:uiPriority w:val="9"/>
    <w:pPr>
      <w:keepNext/>
      <w:keepLines/>
      <w:spacing w:before="260" w:after="260" w:line="416" w:lineRule="auto"/>
      <w:outlineLvl w:val="2"/>
    </w:pPr>
    <w:rPr>
      <w:b/>
      <w:bCs/>
      <w:sz w:val="32"/>
      <w:szCs w:val="32"/>
    </w:rPr>
  </w:style>
  <w:style w:type="paragraph" w:styleId="6">
    <w:name w:val="heading 4"/>
    <w:basedOn w:val="1"/>
    <w:next w:val="4"/>
    <w:qFormat/>
    <w:uiPriority w:val="9"/>
    <w:pPr>
      <w:keepNext/>
      <w:keepLines/>
      <w:tabs>
        <w:tab w:val="left" w:pos="1079"/>
        <w:tab w:val="left" w:pos="1440"/>
      </w:tabs>
      <w:spacing w:before="280" w:line="377" w:lineRule="auto"/>
      <w:outlineLvl w:val="3"/>
    </w:pPr>
    <w:rPr>
      <w:rFonts w:ascii="Arial" w:hAnsi="Arial" w:eastAsia="黑体"/>
      <w:b/>
      <w:bCs/>
      <w:spacing w:val="10"/>
      <w:sz w:val="28"/>
      <w:szCs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spacing w:afterLines="50" w:line="360" w:lineRule="auto"/>
      <w:ind w:firstLine="420" w:firstLineChars="200"/>
    </w:pPr>
    <w:rPr>
      <w:rFonts w:ascii="Times New Roman" w:hAnsi="Times New Roman" w:eastAsia="宋体" w:cs="Times New Roman"/>
      <w:szCs w:val="24"/>
    </w:rPr>
  </w:style>
  <w:style w:type="paragraph" w:styleId="7">
    <w:name w:val="annotation text"/>
    <w:basedOn w:val="1"/>
    <w:semiHidden/>
    <w:qFormat/>
    <w:uiPriority w:val="0"/>
    <w:pPr>
      <w:jc w:val="left"/>
    </w:pPr>
  </w:style>
  <w:style w:type="paragraph" w:styleId="8">
    <w:name w:val="Body Text"/>
    <w:basedOn w:val="1"/>
    <w:qFormat/>
    <w:uiPriority w:val="99"/>
    <w:pPr>
      <w:spacing w:after="120"/>
    </w:pPr>
  </w:style>
  <w:style w:type="paragraph" w:styleId="9">
    <w:name w:val="Balloon Text"/>
    <w:basedOn w:val="1"/>
    <w:link w:val="20"/>
    <w:qFormat/>
    <w:uiPriority w:val="0"/>
    <w:rPr>
      <w:sz w:val="18"/>
      <w:szCs w:val="18"/>
    </w:rPr>
  </w:style>
  <w:style w:type="paragraph" w:styleId="10">
    <w:name w:val="footer"/>
    <w:basedOn w:val="1"/>
    <w:link w:val="19"/>
    <w:qFormat/>
    <w:uiPriority w:val="99"/>
    <w:pPr>
      <w:tabs>
        <w:tab w:val="center" w:pos="4153"/>
        <w:tab w:val="right" w:pos="8306"/>
      </w:tabs>
      <w:snapToGrid w:val="0"/>
      <w:jc w:val="left"/>
    </w:pPr>
    <w:rPr>
      <w:sz w:val="18"/>
      <w:szCs w:val="18"/>
    </w:rPr>
  </w:style>
  <w:style w:type="paragraph" w:styleId="11">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12">
    <w:name w:val="index 1"/>
    <w:basedOn w:val="1"/>
    <w:next w:val="1"/>
    <w:unhideWhenUsed/>
    <w:qFormat/>
    <w:uiPriority w:val="99"/>
    <w:pPr>
      <w:spacing w:line="200" w:lineRule="atLeast"/>
      <w:jc w:val="center"/>
    </w:pPr>
    <w:rPr>
      <w:rFonts w:ascii="宋体" w:hAnsi="宋体"/>
    </w:rPr>
  </w:style>
  <w:style w:type="paragraph" w:styleId="13">
    <w:name w:val="Title"/>
    <w:basedOn w:val="1"/>
    <w:next w:val="1"/>
    <w:qFormat/>
    <w:uiPriority w:val="0"/>
    <w:pPr>
      <w:keepNext/>
      <w:keepLines/>
      <w:spacing w:before="240" w:after="60" w:afterLines="0" w:line="415" w:lineRule="auto"/>
      <w:jc w:val="left"/>
      <w:outlineLvl w:val="2"/>
    </w:pPr>
    <w:rPr>
      <w:rFonts w:ascii="等线 Light" w:hAnsi="等线 Light" w:eastAsia="黑体"/>
      <w:sz w:val="28"/>
      <w:szCs w:val="32"/>
    </w:rPr>
  </w:style>
  <w:style w:type="paragraph" w:styleId="14">
    <w:name w:val="Body Text First Indent"/>
    <w:basedOn w:val="8"/>
    <w:qFormat/>
    <w:uiPriority w:val="0"/>
    <w:pPr>
      <w:ind w:firstLine="420" w:firstLineChars="100"/>
    </w:pPr>
    <w:rPr>
      <w:szCs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页眉 Char"/>
    <w:basedOn w:val="17"/>
    <w:link w:val="11"/>
    <w:qFormat/>
    <w:uiPriority w:val="0"/>
    <w:rPr>
      <w:kern w:val="2"/>
      <w:sz w:val="18"/>
      <w:szCs w:val="18"/>
    </w:rPr>
  </w:style>
  <w:style w:type="character" w:customStyle="1" w:styleId="19">
    <w:name w:val="页脚 Char"/>
    <w:basedOn w:val="17"/>
    <w:link w:val="10"/>
    <w:qFormat/>
    <w:uiPriority w:val="99"/>
    <w:rPr>
      <w:kern w:val="2"/>
      <w:sz w:val="18"/>
      <w:szCs w:val="18"/>
    </w:rPr>
  </w:style>
  <w:style w:type="character" w:customStyle="1" w:styleId="20">
    <w:name w:val="批注框文本 Char"/>
    <w:basedOn w:val="17"/>
    <w:link w:val="9"/>
    <w:qFormat/>
    <w:uiPriority w:val="0"/>
    <w:rPr>
      <w:kern w:val="2"/>
      <w:sz w:val="18"/>
      <w:szCs w:val="18"/>
    </w:rPr>
  </w:style>
  <w:style w:type="character" w:customStyle="1" w:styleId="21">
    <w:name w:val="font31"/>
    <w:qFormat/>
    <w:uiPriority w:val="0"/>
    <w:rPr>
      <w:rFonts w:hint="eastAsia" w:ascii="宋体" w:hAnsi="宋体" w:eastAsia="宋体" w:cs="宋体"/>
      <w:color w:val="000000"/>
      <w:sz w:val="20"/>
      <w:szCs w:val="20"/>
      <w:u w:val="none"/>
    </w:rPr>
  </w:style>
  <w:style w:type="character" w:customStyle="1" w:styleId="22">
    <w:name w:val="font01"/>
    <w:qFormat/>
    <w:uiPriority w:val="0"/>
    <w:rPr>
      <w:rFonts w:hint="default" w:ascii="Arial" w:hAnsi="Arial" w:cs="Arial"/>
      <w:color w:val="000000"/>
      <w:sz w:val="20"/>
      <w:szCs w:val="20"/>
      <w:u w:val="none"/>
    </w:rPr>
  </w:style>
  <w:style w:type="paragraph" w:customStyle="1" w:styleId="23">
    <w:name w:val="Table Text"/>
    <w:basedOn w:val="1"/>
    <w:semiHidden/>
    <w:qFormat/>
    <w:uiPriority w:val="0"/>
    <w:rPr>
      <w:rFonts w:ascii="宋体" w:hAnsi="宋体" w:eastAsia="宋体" w:cs="宋体"/>
      <w:sz w:val="20"/>
      <w:szCs w:val="20"/>
      <w:lang w:eastAsia="en-US"/>
    </w:rPr>
  </w:style>
  <w:style w:type="table" w:customStyle="1" w:styleId="24">
    <w:name w:val="Table Normal"/>
    <w:semiHidden/>
    <w:unhideWhenUsed/>
    <w:qFormat/>
    <w:uiPriority w:val="0"/>
    <w:tblPr>
      <w:tblCellMar>
        <w:top w:w="0" w:type="dxa"/>
        <w:left w:w="0" w:type="dxa"/>
        <w:bottom w:w="0" w:type="dxa"/>
        <w:right w:w="0" w:type="dxa"/>
      </w:tblCellMar>
    </w:tblPr>
  </w:style>
  <w:style w:type="paragraph" w:styleId="25">
    <w:name w:val="List Paragraph"/>
    <w:basedOn w:val="1"/>
    <w:qFormat/>
    <w:uiPriority w:val="99"/>
    <w:pPr>
      <w:ind w:firstLine="420" w:firstLineChars="200"/>
    </w:pPr>
  </w:style>
  <w:style w:type="paragraph" w:customStyle="1" w:styleId="26">
    <w:name w:val="Table Paragraph"/>
    <w:basedOn w:val="1"/>
    <w:qFormat/>
    <w:uiPriority w:val="1"/>
    <w:pPr>
      <w:autoSpaceDE w:val="0"/>
      <w:autoSpaceDN w:val="0"/>
      <w:adjustRightInd w:val="0"/>
      <w:spacing w:line="360" w:lineRule="auto"/>
      <w:ind w:firstLine="200" w:firstLineChars="200"/>
    </w:pPr>
    <w:rPr>
      <w:rFonts w:ascii="宋体" w:hAnsi="Times New Roman" w:eastAsia="宋体" w:cs="宋体"/>
      <w:kern w:val="0"/>
      <w:sz w:val="24"/>
      <w:szCs w:val="24"/>
    </w:rPr>
  </w:style>
  <w:style w:type="paragraph" w:customStyle="1" w:styleId="27">
    <w:name w:val="正文正文"/>
    <w:basedOn w:val="25"/>
    <w:qFormat/>
    <w:uiPriority w:val="0"/>
    <w:pPr>
      <w:spacing w:line="360" w:lineRule="auto"/>
      <w:ind w:right="42" w:rightChars="20" w:firstLine="480"/>
    </w:pPr>
    <w:rPr>
      <w:rFonts w:ascii="Calibri" w:hAnsi="Calibri" w:eastAsia="宋体" w:cs="Times New Roman"/>
      <w:sz w:val="24"/>
      <w:szCs w:val="24"/>
    </w:rPr>
  </w:style>
  <w:style w:type="paragraph" w:customStyle="1" w:styleId="28">
    <w:name w:val="列出段落1"/>
    <w:basedOn w:val="1"/>
    <w:qFormat/>
    <w:uiPriority w:val="0"/>
    <w:pPr>
      <w:spacing w:after="0" w:afterLines="0" w:line="240" w:lineRule="auto"/>
      <w:ind w:firstLine="420" w:firstLineChars="200"/>
    </w:pPr>
    <w:rPr>
      <w:rFonts w:ascii="Tahoma" w:hAnsi="Tahoma" w:eastAsia="PMingLiU"/>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4378</Words>
  <Characters>4746</Characters>
  <Lines>8</Lines>
  <Paragraphs>2</Paragraphs>
  <TotalTime>0</TotalTime>
  <ScaleCrop>false</ScaleCrop>
  <LinksUpToDate>false</LinksUpToDate>
  <CharactersWithSpaces>4902</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2025-05-29T07:26:00Z</dcterms:created>
  <dc:creator>ZFCG</dc:creator>
  <cp:lastModifiedBy>gc</cp:lastModifiedBy>
  <dcterms:modified xsi:type="dcterms:W3CDTF">2026-07-30T03:17:23Z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06A602B205A548D5A6FC3390B4B08F0E_13</vt:lpwstr>
  </property>
  <property fmtid="{D5CDD505-2E9C-101B-9397-08002B2CF9AE}" pid="4" name="KSOTemplateDocerSaveRecord">
    <vt:lpwstr>eyJoZGlkIjoiOWI4OTFhYjYwMGQ4YzZhNjgxNmU0NDAzNjc3MzdhODkiLCJ1c2VySWQiOiI2MjU5ODg1NTIifQ==</vt:lpwstr>
  </property>
</Properties>
</file>