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BEDD01">
      <w:pPr>
        <w:rPr>
          <w:rFonts w:ascii="黑体" w:hAnsi="黑体" w:eastAsia="黑体"/>
          <w:sz w:val="32"/>
          <w:szCs w:val="32"/>
        </w:rPr>
      </w:pPr>
    </w:p>
    <w:p w14:paraId="38FC6F38">
      <w:pPr>
        <w:rPr>
          <w:rFonts w:ascii="黑体" w:hAnsi="黑体" w:eastAsia="黑体"/>
          <w:sz w:val="32"/>
          <w:szCs w:val="32"/>
        </w:rPr>
      </w:pPr>
    </w:p>
    <w:p w14:paraId="3DB3B384">
      <w:pPr>
        <w:tabs>
          <w:tab w:val="left" w:pos="2537"/>
        </w:tabs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ab/>
      </w:r>
    </w:p>
    <w:p w14:paraId="67F882B8">
      <w:pPr>
        <w:spacing w:line="360" w:lineRule="auto"/>
        <w:rPr>
          <w:rFonts w:ascii="黑体" w:hAnsi="黑体" w:eastAsia="黑体"/>
          <w:sz w:val="32"/>
          <w:szCs w:val="32"/>
        </w:rPr>
      </w:pPr>
    </w:p>
    <w:p w14:paraId="3C20A1A2">
      <w:pPr>
        <w:spacing w:line="360" w:lineRule="auto"/>
        <w:ind w:right="-197" w:rightChars="-94"/>
        <w:jc w:val="center"/>
        <w:rPr>
          <w:rFonts w:ascii="仿宋_GB2312" w:eastAsia="仿宋_GB2312"/>
          <w:sz w:val="44"/>
          <w:szCs w:val="28"/>
        </w:rPr>
      </w:pPr>
      <w:r>
        <w:rPr>
          <w:rFonts w:hint="eastAsia" w:ascii="仿宋_GB2312" w:eastAsia="仿宋_GB2312"/>
          <w:sz w:val="44"/>
          <w:szCs w:val="28"/>
        </w:rPr>
        <w:t>广东南方新媒体股份有限公司</w:t>
      </w:r>
    </w:p>
    <w:p w14:paraId="7ACDAD83">
      <w:pPr>
        <w:spacing w:line="360" w:lineRule="auto"/>
        <w:ind w:right="-197" w:rightChars="-94"/>
        <w:jc w:val="center"/>
        <w:rPr>
          <w:rFonts w:ascii="仿宋_GB2312" w:eastAsia="仿宋_GB2312"/>
          <w:sz w:val="44"/>
          <w:szCs w:val="28"/>
        </w:rPr>
      </w:pPr>
      <w:r>
        <w:rPr>
          <w:rFonts w:hint="eastAsia" w:ascii="仿宋_GB2312" w:eastAsia="仿宋_GB2312"/>
          <w:sz w:val="44"/>
          <w:szCs w:val="28"/>
        </w:rPr>
        <w:t>202</w:t>
      </w:r>
      <w:r>
        <w:rPr>
          <w:rFonts w:ascii="仿宋_GB2312" w:eastAsia="仿宋_GB2312"/>
          <w:sz w:val="44"/>
          <w:szCs w:val="28"/>
        </w:rPr>
        <w:t>6</w:t>
      </w:r>
      <w:r>
        <w:rPr>
          <w:rFonts w:hint="eastAsia" w:ascii="仿宋_GB2312" w:eastAsia="仿宋_GB2312"/>
          <w:sz w:val="44"/>
          <w:szCs w:val="28"/>
        </w:rPr>
        <w:t>年内容源站和推流服务系统维保项目采购</w:t>
      </w:r>
      <w:r>
        <w:rPr>
          <w:rFonts w:ascii="仿宋_GB2312" w:eastAsia="仿宋_GB2312"/>
          <w:sz w:val="44"/>
          <w:szCs w:val="28"/>
        </w:rPr>
        <w:t>需求</w:t>
      </w:r>
    </w:p>
    <w:p w14:paraId="462B5C29">
      <w:pPr>
        <w:rPr>
          <w:rFonts w:ascii="黑体" w:hAnsi="黑体" w:eastAsia="黑体"/>
          <w:sz w:val="32"/>
          <w:szCs w:val="32"/>
        </w:rPr>
      </w:pPr>
    </w:p>
    <w:p w14:paraId="1287137A">
      <w:pPr>
        <w:rPr>
          <w:rFonts w:ascii="黑体" w:hAnsi="黑体" w:eastAsia="黑体"/>
          <w:sz w:val="32"/>
          <w:szCs w:val="32"/>
        </w:rPr>
      </w:pPr>
    </w:p>
    <w:p w14:paraId="1CE3177C"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 w14:paraId="0884EBC6">
      <w:pPr>
        <w:widowControl/>
        <w:jc w:val="left"/>
      </w:pPr>
    </w:p>
    <w:p w14:paraId="3BE57FB7">
      <w:pPr>
        <w:widowControl/>
        <w:jc w:val="left"/>
      </w:pPr>
    </w:p>
    <w:p w14:paraId="0BA2D316">
      <w:pPr>
        <w:pStyle w:val="16"/>
        <w:tabs>
          <w:tab w:val="right" w:leader="dot" w:pos="8306"/>
        </w:tabs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目录</w:t>
      </w:r>
    </w:p>
    <w:p w14:paraId="43FEF7BE">
      <w:pPr>
        <w:pStyle w:val="16"/>
        <w:tabs>
          <w:tab w:val="right" w:leader="dot" w:pos="8296"/>
        </w:tabs>
      </w:pPr>
      <w:r>
        <w:rPr>
          <w:rFonts w:ascii="仿宋" w:hAnsi="仿宋" w:eastAsia="仿宋"/>
        </w:rPr>
        <w:fldChar w:fldCharType="begin"/>
      </w:r>
      <w:r>
        <w:rPr>
          <w:rFonts w:ascii="仿宋" w:hAnsi="仿宋" w:eastAsia="仿宋"/>
        </w:rPr>
        <w:instrText xml:space="preserve"> TOC \o "1-2" \h \z \u </w:instrText>
      </w:r>
      <w:r>
        <w:rPr>
          <w:rFonts w:ascii="仿宋" w:hAnsi="仿宋" w:eastAsia="仿宋"/>
        </w:rPr>
        <w:fldChar w:fldCharType="separate"/>
      </w:r>
      <w:r>
        <w:fldChar w:fldCharType="begin"/>
      </w:r>
      <w:r>
        <w:instrText xml:space="preserve"> HYPERLINK \l "_Toc236237914"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一、 项目背景</w:t>
      </w:r>
      <w:r>
        <w:tab/>
      </w:r>
      <w:r>
        <w:fldChar w:fldCharType="begin"/>
      </w:r>
      <w:r>
        <w:instrText xml:space="preserve"> PAGEREF _Toc236237914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1069770B">
      <w:pPr>
        <w:pStyle w:val="16"/>
        <w:tabs>
          <w:tab w:val="right" w:leader="dot" w:pos="8296"/>
        </w:tabs>
      </w:pPr>
      <w:r>
        <w:fldChar w:fldCharType="begin"/>
      </w:r>
      <w:r>
        <w:instrText xml:space="preserve"> HYPERLINK \l "_Toc236237915"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二、 维保服务内容</w:t>
      </w:r>
      <w:r>
        <w:tab/>
      </w:r>
      <w:r>
        <w:fldChar w:fldCharType="begin"/>
      </w:r>
      <w:r>
        <w:instrText xml:space="preserve"> PAGEREF _Toc236237915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3373954F">
      <w:pPr>
        <w:pStyle w:val="16"/>
        <w:tabs>
          <w:tab w:val="right" w:leader="dot" w:pos="8296"/>
        </w:tabs>
      </w:pPr>
      <w:r>
        <w:fldChar w:fldCharType="begin"/>
      </w:r>
      <w:r>
        <w:instrText xml:space="preserve"> HYPERLINK \l "_Toc236237916"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三、 服务时间</w:t>
      </w:r>
      <w:r>
        <w:tab/>
      </w:r>
      <w:r>
        <w:fldChar w:fldCharType="begin"/>
      </w:r>
      <w:r>
        <w:instrText xml:space="preserve"> PAGEREF _Toc236237916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306A0C1">
      <w:pPr>
        <w:pStyle w:val="16"/>
        <w:tabs>
          <w:tab w:val="right" w:leader="dot" w:pos="8296"/>
        </w:tabs>
      </w:pPr>
      <w:r>
        <w:fldChar w:fldCharType="begin"/>
      </w:r>
      <w:r>
        <w:instrText xml:space="preserve"> HYPERLINK \l "_Toc236237917"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四、 维保覆盖说明</w:t>
      </w:r>
      <w:r>
        <w:tab/>
      </w:r>
      <w:r>
        <w:fldChar w:fldCharType="begin"/>
      </w:r>
      <w:r>
        <w:instrText xml:space="preserve"> PAGEREF _Toc236237917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F5AF86B">
      <w:pPr>
        <w:pStyle w:val="16"/>
        <w:tabs>
          <w:tab w:val="right" w:leader="dot" w:pos="8296"/>
        </w:tabs>
      </w:pPr>
      <w:r>
        <w:fldChar w:fldCharType="begin"/>
      </w:r>
      <w:r>
        <w:instrText xml:space="preserve"> HYPERLINK \l "_Toc236237918"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五、 安全要求</w:t>
      </w:r>
      <w:r>
        <w:tab/>
      </w:r>
      <w:r>
        <w:fldChar w:fldCharType="begin"/>
      </w:r>
      <w:r>
        <w:instrText xml:space="preserve"> PAGEREF _Toc236237918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1518B871">
      <w:pPr>
        <w:pStyle w:val="16"/>
        <w:tabs>
          <w:tab w:val="right" w:leader="dot" w:pos="8296"/>
        </w:tabs>
      </w:pPr>
      <w:r>
        <w:fldChar w:fldCharType="begin"/>
      </w:r>
      <w:r>
        <w:instrText xml:space="preserve"> HYPERLINK \l "_Toc236237919" </w:instrText>
      </w:r>
      <w:r>
        <w:fldChar w:fldCharType="separate"/>
      </w:r>
      <w:r>
        <w:rPr>
          <w:rStyle w:val="26"/>
          <w:rFonts w:hint="eastAsia" w:ascii="仿宋" w:hAnsi="仿宋" w:eastAsia="仿宋"/>
        </w:rPr>
        <w:t>六、 项目预算及采购内容</w:t>
      </w:r>
      <w:r>
        <w:tab/>
      </w:r>
      <w:r>
        <w:fldChar w:fldCharType="begin"/>
      </w:r>
      <w:r>
        <w:instrText xml:space="preserve"> PAGEREF _Toc236237919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07E1D70">
      <w:pPr>
        <w:pStyle w:val="19"/>
        <w:tabs>
          <w:tab w:val="right" w:leader="dot" w:pos="8296"/>
        </w:tabs>
      </w:pPr>
      <w:r>
        <w:fldChar w:fldCharType="begin"/>
      </w:r>
      <w:r>
        <w:instrText xml:space="preserve"> HYPERLINK \l "_Toc236237920" </w:instrText>
      </w:r>
      <w:r>
        <w:fldChar w:fldCharType="separate"/>
      </w:r>
      <w:r>
        <w:rPr>
          <w:rStyle w:val="26"/>
          <w:rFonts w:ascii="仿宋" w:hAnsi="仿宋" w:eastAsia="仿宋"/>
        </w:rPr>
        <w:t>1</w:t>
      </w:r>
      <w:r>
        <w:rPr>
          <w:rStyle w:val="26"/>
          <w:rFonts w:hint="eastAsia" w:ascii="仿宋" w:hAnsi="仿宋" w:eastAsia="仿宋"/>
        </w:rPr>
        <w:t>、采购内容</w:t>
      </w:r>
      <w:r>
        <w:tab/>
      </w:r>
      <w:r>
        <w:fldChar w:fldCharType="begin"/>
      </w:r>
      <w:r>
        <w:instrText xml:space="preserve"> PAGEREF _Toc236237920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275E86AA">
      <w:pPr>
        <w:pStyle w:val="19"/>
        <w:tabs>
          <w:tab w:val="right" w:leader="dot" w:pos="8296"/>
        </w:tabs>
      </w:pPr>
      <w:r>
        <w:fldChar w:fldCharType="begin"/>
      </w:r>
      <w:r>
        <w:instrText xml:space="preserve"> HYPERLINK \l "_Toc236237921" </w:instrText>
      </w:r>
      <w:r>
        <w:fldChar w:fldCharType="separate"/>
      </w:r>
      <w:r>
        <w:rPr>
          <w:rStyle w:val="26"/>
          <w:rFonts w:ascii="仿宋" w:hAnsi="仿宋" w:eastAsia="仿宋"/>
        </w:rPr>
        <w:t>2</w:t>
      </w:r>
      <w:r>
        <w:rPr>
          <w:rStyle w:val="26"/>
          <w:rFonts w:hint="eastAsia" w:ascii="仿宋" w:hAnsi="仿宋" w:eastAsia="仿宋"/>
        </w:rPr>
        <w:t>、项目报价</w:t>
      </w:r>
      <w:r>
        <w:tab/>
      </w:r>
      <w:r>
        <w:fldChar w:fldCharType="begin"/>
      </w:r>
      <w:r>
        <w:instrText xml:space="preserve"> PAGEREF _Toc236237921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FCF3D76">
      <w:pPr>
        <w:pStyle w:val="19"/>
        <w:tabs>
          <w:tab w:val="right" w:leader="dot" w:pos="8296"/>
        </w:tabs>
      </w:pPr>
      <w:r>
        <w:fldChar w:fldCharType="begin"/>
      </w:r>
      <w:r>
        <w:instrText xml:space="preserve"> HYPERLINK \l "_Toc236237922" </w:instrText>
      </w:r>
      <w:r>
        <w:fldChar w:fldCharType="separate"/>
      </w:r>
      <w:r>
        <w:rPr>
          <w:rStyle w:val="26"/>
          <w:rFonts w:ascii="仿宋" w:hAnsi="仿宋" w:eastAsia="仿宋" w:cs="Times New Roman"/>
        </w:rPr>
        <w:t>3</w:t>
      </w:r>
      <w:r>
        <w:rPr>
          <w:rStyle w:val="26"/>
          <w:rFonts w:hint="eastAsia" w:ascii="仿宋" w:hAnsi="仿宋" w:eastAsia="仿宋" w:cs="Times New Roman"/>
        </w:rPr>
        <w:t>、付款方式</w:t>
      </w:r>
      <w:r>
        <w:tab/>
      </w:r>
      <w:r>
        <w:fldChar w:fldCharType="begin"/>
      </w:r>
      <w:r>
        <w:instrText xml:space="preserve"> PAGEREF _Toc236237922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7FF4F603">
      <w:pPr>
        <w:rPr>
          <w:rFonts w:ascii="仿宋" w:hAnsi="仿宋" w:eastAsia="仿宋"/>
        </w:rPr>
      </w:pPr>
      <w:r>
        <w:rPr>
          <w:rFonts w:ascii="仿宋" w:hAnsi="仿宋" w:eastAsia="仿宋"/>
        </w:rPr>
        <w:fldChar w:fldCharType="end"/>
      </w:r>
    </w:p>
    <w:p w14:paraId="7BF269DE">
      <w:pPr>
        <w:widowControl/>
        <w:jc w:val="left"/>
        <w:rPr>
          <w:rFonts w:ascii="仿宋" w:hAnsi="仿宋" w:eastAsia="仿宋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lowerRoman" w:start="1"/>
          <w:cols w:space="425" w:num="1"/>
          <w:docGrid w:type="lines" w:linePitch="312" w:charSpace="0"/>
        </w:sectPr>
      </w:pPr>
      <w:r>
        <w:rPr>
          <w:rFonts w:ascii="仿宋" w:hAnsi="仿宋" w:eastAsia="仿宋"/>
        </w:rPr>
        <w:br w:type="page"/>
      </w:r>
    </w:p>
    <w:p w14:paraId="6D4E7ECA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0" w:name="_Toc236237914"/>
      <w:bookmarkStart w:id="1" w:name="_Toc22631175"/>
      <w:bookmarkStart w:id="2" w:name="_Toc176419774"/>
      <w:r>
        <w:rPr>
          <w:rFonts w:hint="eastAsia" w:ascii="仿宋" w:hAnsi="仿宋" w:eastAsia="仿宋"/>
          <w:sz w:val="32"/>
          <w:szCs w:val="32"/>
        </w:rPr>
        <w:t>项目背景</w:t>
      </w:r>
      <w:bookmarkEnd w:id="0"/>
      <w:bookmarkEnd w:id="1"/>
      <w:bookmarkEnd w:id="2"/>
    </w:p>
    <w:p w14:paraId="113711E5">
      <w:pPr>
        <w:ind w:firstLine="560" w:firstLineChars="200"/>
        <w:rPr>
          <w:rFonts w:ascii="仿宋" w:hAnsi="仿宋" w:eastAsia="仿宋" w:cs="微软雅黑"/>
          <w:sz w:val="28"/>
          <w:szCs w:val="28"/>
        </w:rPr>
      </w:pPr>
      <w:r>
        <w:rPr>
          <w:rFonts w:hint="eastAsia" w:ascii="仿宋" w:hAnsi="仿宋" w:eastAsia="仿宋" w:cs="微软雅黑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 w:cs="微软雅黑"/>
          <w:sz w:val="28"/>
          <w:szCs w:val="28"/>
        </w:rPr>
        <w:t>采购建设的全国内容服务平台源站系统和公网业务推流服务系统，目前均已超过原厂商</w:t>
      </w:r>
      <w:r>
        <w:rPr>
          <w:rFonts w:ascii="仿宋" w:hAnsi="仿宋" w:eastAsia="仿宋" w:cs="微软雅黑"/>
          <w:sz w:val="28"/>
          <w:szCs w:val="28"/>
        </w:rPr>
        <w:t>质保服务期限</w:t>
      </w:r>
      <w:r>
        <w:rPr>
          <w:rFonts w:hint="eastAsia" w:ascii="仿宋" w:hAnsi="仿宋" w:eastAsia="仿宋" w:cs="微软雅黑"/>
          <w:sz w:val="28"/>
          <w:szCs w:val="28"/>
        </w:rPr>
        <w:t>。其中：全国内容服务平台源站系统，</w:t>
      </w:r>
      <w:r>
        <w:rPr>
          <w:rFonts w:ascii="仿宋" w:hAnsi="仿宋" w:eastAsia="仿宋" w:cs="微软雅黑"/>
          <w:sz w:val="28"/>
          <w:szCs w:val="28"/>
        </w:rPr>
        <w:t>承担与互联网视频平台的专网节目内容合作业务，系统涵盖全国内容源站及驻地内容源软件</w:t>
      </w:r>
      <w:r>
        <w:rPr>
          <w:rFonts w:hint="eastAsia" w:ascii="仿宋" w:hAnsi="仿宋" w:eastAsia="仿宋" w:cs="微软雅黑"/>
          <w:sz w:val="28"/>
          <w:szCs w:val="28"/>
        </w:rPr>
        <w:t>；公网业务推流服务系统，</w:t>
      </w:r>
      <w:r>
        <w:rPr>
          <w:rFonts w:ascii="仿宋" w:hAnsi="仿宋" w:eastAsia="仿宋" w:cs="微软雅黑"/>
          <w:sz w:val="28"/>
          <w:szCs w:val="28"/>
        </w:rPr>
        <w:t>当前主要支撑车载移动电视的直播与回看业务，系统包含两套推流服务集群，分别部署于民科园和南翔机房。</w:t>
      </w:r>
    </w:p>
    <w:p w14:paraId="27B089C9">
      <w:pPr>
        <w:spacing w:after="120"/>
        <w:ind w:firstLine="420"/>
        <w:rPr>
          <w:rFonts w:ascii="仿宋" w:hAnsi="仿宋" w:eastAsia="仿宋" w:cs="微软雅黑"/>
          <w:sz w:val="28"/>
          <w:szCs w:val="28"/>
        </w:rPr>
      </w:pPr>
      <w:r>
        <w:rPr>
          <w:rFonts w:ascii="仿宋" w:hAnsi="仿宋" w:eastAsia="仿宋" w:cs="微软雅黑"/>
          <w:sz w:val="28"/>
          <w:szCs w:val="28"/>
        </w:rPr>
        <w:t>为确保上述系统长期稳定、安全、高效运行，防范因维保缺失引发的重大业务风险，现对相关系统进行维保续保服务采购</w:t>
      </w:r>
      <w:r>
        <w:rPr>
          <w:rFonts w:hint="eastAsia" w:ascii="仿宋" w:hAnsi="仿宋" w:eastAsia="仿宋" w:cs="微软雅黑"/>
          <w:sz w:val="28"/>
          <w:szCs w:val="28"/>
        </w:rPr>
        <w:t>。</w:t>
      </w:r>
    </w:p>
    <w:p w14:paraId="203756C1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3" w:name="_Toc257552706"/>
      <w:bookmarkStart w:id="4" w:name="_Toc176419775"/>
      <w:bookmarkStart w:id="5" w:name="_Toc151047917"/>
      <w:bookmarkStart w:id="6" w:name="_Toc236237915"/>
      <w:r>
        <w:rPr>
          <w:rFonts w:hint="eastAsia" w:ascii="仿宋" w:hAnsi="仿宋" w:eastAsia="仿宋"/>
          <w:sz w:val="32"/>
          <w:szCs w:val="32"/>
        </w:rPr>
        <w:t>维保服务内容</w:t>
      </w:r>
      <w:bookmarkEnd w:id="3"/>
      <w:bookmarkEnd w:id="4"/>
      <w:bookmarkEnd w:id="5"/>
      <w:bookmarkEnd w:id="6"/>
    </w:p>
    <w:p w14:paraId="15031493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（一）维护和技术支持服务内容</w:t>
      </w:r>
    </w:p>
    <w:p w14:paraId="4FC9693C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1、维护和技术支持服务内容</w:t>
      </w:r>
    </w:p>
    <w:p w14:paraId="049C20B5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维护和技术支持服务覆盖</w:t>
      </w:r>
      <w:r>
        <w:rPr>
          <w:rFonts w:hint="eastAsia" w:ascii="仿宋" w:hAnsi="仿宋" w:eastAsia="仿宋" w:cs="仿宋"/>
          <w:sz w:val="28"/>
          <w:szCs w:val="28"/>
        </w:rPr>
        <w:t>系统故障、</w:t>
      </w:r>
      <w:r>
        <w:rPr>
          <w:rFonts w:hint="eastAsia" w:ascii="仿宋" w:hAnsi="仿宋" w:eastAsia="仿宋"/>
          <w:sz w:val="28"/>
          <w:szCs w:val="28"/>
        </w:rPr>
        <w:t>系统健康检查服务、软件更新服务、技术支持服务和应急保障服务等内容。</w:t>
      </w:r>
    </w:p>
    <w:p w14:paraId="3CA831DA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2、服务范围</w:t>
      </w:r>
    </w:p>
    <w:p w14:paraId="7FE7E6B2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对维保覆盖软件故障处理服务、软件更新服务、巡检服务、系统健康检查服务</w:t>
      </w:r>
      <w:r>
        <w:rPr>
          <w:rFonts w:hint="eastAsia" w:ascii="仿宋" w:hAnsi="仿宋" w:eastAsia="仿宋" w:cs="微软雅黑"/>
          <w:sz w:val="28"/>
          <w:szCs w:val="28"/>
          <w:lang w:val="zh-CN"/>
        </w:rPr>
        <w:t>、系统巡检、系统安全防范及整改、系统优化升级、软件漏洞修复、</w:t>
      </w:r>
      <w:r>
        <w:rPr>
          <w:rFonts w:hint="eastAsia" w:ascii="仿宋" w:hAnsi="仿宋" w:eastAsia="仿宋"/>
          <w:sz w:val="28"/>
          <w:szCs w:val="28"/>
        </w:rPr>
        <w:t>技术支持服务和应急保障服务等，协助业主方开展设备系统优化、业务迁移及割接等工作。</w:t>
      </w:r>
    </w:p>
    <w:p w14:paraId="64CD43BA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3、提供巡检服务不少于4次/年。</w:t>
      </w:r>
    </w:p>
    <w:p w14:paraId="43C29448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4、客户跟踪服务</w:t>
      </w:r>
    </w:p>
    <w:p w14:paraId="2FFE3A06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由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专人定期对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进行相应调查，了解系统运营状况，及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需要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提供服务的方面，并对调查结果进行统计分析，由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专人根据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业务进展的发展变化提出新的解决方案，扩大业务范围，提供新的市场机会。</w:t>
      </w:r>
    </w:p>
    <w:p w14:paraId="7195E12E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（二）服务等级要求</w:t>
      </w:r>
    </w:p>
    <w:p w14:paraId="319CB615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1、故障级别定义</w:t>
      </w:r>
    </w:p>
    <w:tbl>
      <w:tblPr>
        <w:tblStyle w:val="23"/>
        <w:tblpPr w:leftFromText="180" w:rightFromText="180" w:vertAnchor="text" w:horzAnchor="page" w:tblpXSpec="center" w:tblpY="225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3906"/>
        <w:gridCol w:w="2763"/>
      </w:tblGrid>
      <w:tr w14:paraId="09E1D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82A6">
            <w:pPr>
              <w:adjustRightInd w:val="0"/>
              <w:snapToGrid w:val="0"/>
              <w:spacing w:after="156"/>
              <w:jc w:val="center"/>
              <w:rPr>
                <w:rFonts w:ascii="宋体" w:hAnsi="宋体" w:cs="宋体"/>
                <w:color w:val="000000"/>
                <w:szCs w:val="21"/>
              </w:rPr>
            </w:pPr>
            <w:bookmarkStart w:id="7" w:name="_Toc514140370"/>
            <w:r>
              <w:rPr>
                <w:rFonts w:hint="eastAsia" w:ascii="宋体" w:hAnsi="宋体" w:cs="宋体"/>
                <w:color w:val="000000"/>
                <w:szCs w:val="21"/>
              </w:rPr>
              <w:t>服务项目</w:t>
            </w:r>
          </w:p>
        </w:tc>
        <w:tc>
          <w:tcPr>
            <w:tcW w:w="3912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61BEFB">
            <w:pPr>
              <w:adjustRightInd w:val="0"/>
              <w:snapToGrid w:val="0"/>
              <w:spacing w:after="156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服务等级</w:t>
            </w:r>
          </w:p>
        </w:tc>
      </w:tr>
      <w:tr w14:paraId="6244E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A528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电话咨询服务</w:t>
            </w:r>
          </w:p>
        </w:tc>
        <w:tc>
          <w:tcPr>
            <w:tcW w:w="39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5E1E0A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1、受理时间：7x24</w:t>
            </w:r>
          </w:p>
          <w:p w14:paraId="05BD224B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2、响应时间：≤15分钟</w:t>
            </w:r>
          </w:p>
        </w:tc>
      </w:tr>
      <w:tr w14:paraId="4BCA6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D5138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电话支持服务</w:t>
            </w:r>
          </w:p>
        </w:tc>
        <w:tc>
          <w:tcPr>
            <w:tcW w:w="2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A888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响应时间：≤ 15分钟；</w:t>
            </w:r>
          </w:p>
        </w:tc>
        <w:tc>
          <w:tcPr>
            <w:tcW w:w="16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BA6495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问题解决率：</w:t>
            </w:r>
          </w:p>
          <w:p w14:paraId="306CBF12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二级问题：</w:t>
            </w: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个自然日内解决；</w:t>
            </w:r>
          </w:p>
          <w:p w14:paraId="6F72D049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三级问题：3个自然日内解决。</w:t>
            </w:r>
          </w:p>
        </w:tc>
      </w:tr>
      <w:tr w14:paraId="7B24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4A2C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远程技术支持服务</w:t>
            </w:r>
          </w:p>
        </w:tc>
        <w:tc>
          <w:tcPr>
            <w:tcW w:w="2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F4963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响应时间：≤ 15分钟；</w:t>
            </w:r>
          </w:p>
        </w:tc>
        <w:tc>
          <w:tcPr>
            <w:tcW w:w="16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72F287">
            <w:pPr>
              <w:widowControl/>
              <w:adjustRightInd w:val="0"/>
              <w:snapToGrid w:val="0"/>
              <w:spacing w:after="156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9EF9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31BB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现场技术支持服务</w:t>
            </w:r>
          </w:p>
        </w:tc>
        <w:tc>
          <w:tcPr>
            <w:tcW w:w="2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0F4F4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1、到达现场时间：&lt; 2小时</w:t>
            </w:r>
          </w:p>
        </w:tc>
        <w:tc>
          <w:tcPr>
            <w:tcW w:w="16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C1E5B1">
            <w:pPr>
              <w:widowControl/>
              <w:adjustRightInd w:val="0"/>
              <w:snapToGrid w:val="0"/>
              <w:spacing w:after="156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CB83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79CFE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紧急故障排除服务</w:t>
            </w:r>
          </w:p>
        </w:tc>
        <w:tc>
          <w:tcPr>
            <w:tcW w:w="2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0985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一级问题：</w:t>
            </w:r>
          </w:p>
          <w:p w14:paraId="04529690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电话响应时间：&lt; 10分钟；</w:t>
            </w:r>
          </w:p>
          <w:p w14:paraId="5160214C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远程接入响应时间：&lt; 15分钟；到达现场时间：&lt; 2小时。</w:t>
            </w:r>
          </w:p>
        </w:tc>
        <w:tc>
          <w:tcPr>
            <w:tcW w:w="1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2747B3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紧急故障恢复时间：</w:t>
            </w:r>
          </w:p>
          <w:p w14:paraId="1A5F2591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&lt; 4小时</w:t>
            </w:r>
          </w:p>
        </w:tc>
      </w:tr>
      <w:tr w14:paraId="3D2D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35D8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软件系统巡检服务</w:t>
            </w:r>
          </w:p>
        </w:tc>
        <w:tc>
          <w:tcPr>
            <w:tcW w:w="39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E7FFCC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≥4次/年</w:t>
            </w:r>
          </w:p>
        </w:tc>
      </w:tr>
      <w:tr w14:paraId="662B6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EF9E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故障件维修服务</w:t>
            </w:r>
          </w:p>
        </w:tc>
        <w:tc>
          <w:tcPr>
            <w:tcW w:w="39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0C5D5A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不包含</w:t>
            </w:r>
          </w:p>
        </w:tc>
      </w:tr>
      <w:tr w14:paraId="67E0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66CE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紧急备件支持服务</w:t>
            </w:r>
          </w:p>
        </w:tc>
        <w:tc>
          <w:tcPr>
            <w:tcW w:w="39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89CB7E">
            <w:pPr>
              <w:adjustRightInd w:val="0"/>
              <w:snapToGrid w:val="0"/>
              <w:spacing w:after="156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无</w:t>
            </w:r>
          </w:p>
        </w:tc>
      </w:tr>
      <w:bookmarkEnd w:id="7"/>
    </w:tbl>
    <w:p w14:paraId="5C26CE9D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故障级别由出现问题对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最终用户的影响的大小来决定。所有申请的级别都将由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支持机构共同决定，并以最终用户业务为重。</w:t>
      </w:r>
    </w:p>
    <w:p w14:paraId="65F4AB35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a)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 xml:space="preserve">一级故障 </w:t>
      </w:r>
    </w:p>
    <w:p w14:paraId="2891863D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-在商业、经济、技术、安全等方面给最终用户造成重大损失的故障。</w:t>
      </w:r>
    </w:p>
    <w:p w14:paraId="7CB65E72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-严重影响整个或局部系统运行，系统功能，或系统可靠性的故障。</w:t>
      </w:r>
    </w:p>
    <w:p w14:paraId="667BC38C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-严重影响最终用户服务质量的故障。</w:t>
      </w:r>
    </w:p>
    <w:p w14:paraId="338560FE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例如：</w:t>
      </w:r>
    </w:p>
    <w:p w14:paraId="1A39B6AF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－设备系统瘫痪，致使无法向用户提供业务服务。</w:t>
      </w:r>
    </w:p>
    <w:p w14:paraId="337559D3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－分节点故障，致使部分用户无法使用业务服务，不能提供正常网络服务。</w:t>
      </w:r>
    </w:p>
    <w:p w14:paraId="24C3734A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－受到大面积的安全攻击，致使大量重要业务无法使用。</w:t>
      </w:r>
    </w:p>
    <w:p w14:paraId="59765D86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b)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 xml:space="preserve">二级故障 </w:t>
      </w:r>
    </w:p>
    <w:p w14:paraId="7CAF46EE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－在商业、经济、技术、安全等方面给最终用户造成较严重损失的故障。</w:t>
      </w:r>
    </w:p>
    <w:p w14:paraId="26E25DD6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－影响局部系统运行，系统功能，或系统可靠性的故障。</w:t>
      </w:r>
    </w:p>
    <w:p w14:paraId="78C76843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－影响最终用户服务质量的故障。</w:t>
      </w:r>
    </w:p>
    <w:p w14:paraId="44695304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例如：</w:t>
      </w:r>
    </w:p>
    <w:p w14:paraId="6936C411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－单台设备故障，致使失去冗余备份，系统整体的的可靠性降低。</w:t>
      </w:r>
    </w:p>
    <w:p w14:paraId="54B2BF9B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－设备性能超负荷，致使最终用户感受到业务性能下降。</w:t>
      </w:r>
    </w:p>
    <w:p w14:paraId="73313DEE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c)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>三级故障</w:t>
      </w:r>
    </w:p>
    <w:p w14:paraId="60A9B66C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－对最终用户造成较轻微影响的故障。</w:t>
      </w:r>
    </w:p>
    <w:p w14:paraId="7FC73295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－对产品功能造成轻微影响的故障。</w:t>
      </w:r>
    </w:p>
    <w:p w14:paraId="0B4E2C16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－在商业、经济方面给最终用户造成轻微损失的故障。</w:t>
      </w:r>
    </w:p>
    <w:p w14:paraId="5422D54E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－除紧急故障和严重故障外的其他问题。</w:t>
      </w:r>
    </w:p>
    <w:p w14:paraId="0795027D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例如：</w:t>
      </w:r>
    </w:p>
    <w:p w14:paraId="34281BBD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－一般节点故障，导致为部分用户提供的服务质量较差。</w:t>
      </w:r>
    </w:p>
    <w:p w14:paraId="1E9D4AA1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－显示错误。</w:t>
      </w:r>
    </w:p>
    <w:p w14:paraId="5FEB9AF3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－文件出错。</w:t>
      </w:r>
    </w:p>
    <w:p w14:paraId="69D99CA5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2、故障处理服务规范</w:t>
      </w:r>
    </w:p>
    <w:p w14:paraId="614451A5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维护人员发现故障后，向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bookmarkStart w:id="29" w:name="_GoBack"/>
      <w:bookmarkEnd w:id="29"/>
      <w:r>
        <w:rPr>
          <w:rFonts w:hint="eastAsia" w:ascii="仿宋" w:hAnsi="仿宋" w:eastAsia="仿宋"/>
          <w:sz w:val="28"/>
          <w:szCs w:val="28"/>
        </w:rPr>
        <w:t>申告故障，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在收到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申告后为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进行故障处理服务，并根据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申告的故障级别提供相应的服务。</w:t>
      </w:r>
    </w:p>
    <w:p w14:paraId="05FE0323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a)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>一级故障</w:t>
      </w:r>
    </w:p>
    <w:p w14:paraId="6C5752D5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在收到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工程师在5分钟内给予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电话响应，15分钟内远程登陆网络。</w:t>
      </w:r>
    </w:p>
    <w:p w14:paraId="3D5D2360">
      <w:pPr>
        <w:spacing w:after="15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如果需要到现场，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需在保证远程处理的同时增派驻点工程师到达现场，广州节点2小时内到达现场。</w:t>
      </w:r>
    </w:p>
    <w:p w14:paraId="5965BA6F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许可后实施，在30分钟内恢复业务基本运行，使网络恢复到不影响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重要业务的运行或最终用户仅感受业务质量有轻微下降。</w:t>
      </w:r>
    </w:p>
    <w:p w14:paraId="617209F7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</w:t>
      </w:r>
      <w:r>
        <w:rPr>
          <w:rFonts w:ascii="仿宋" w:hAnsi="仿宋" w:eastAsia="仿宋"/>
          <w:sz w:val="28"/>
          <w:szCs w:val="28"/>
        </w:rPr>
        <w:t>12</w:t>
      </w:r>
      <w:r>
        <w:rPr>
          <w:rFonts w:hint="eastAsia" w:ascii="仿宋" w:hAnsi="仿宋" w:eastAsia="仿宋"/>
          <w:sz w:val="28"/>
          <w:szCs w:val="28"/>
        </w:rPr>
        <w:t>小时内解决全部故障，其中包括硬件提供和更换的时间。</w:t>
      </w:r>
    </w:p>
    <w:p w14:paraId="76D3CA48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工程师在故障最终解决后1个工作日内提供故障报告。</w:t>
      </w:r>
    </w:p>
    <w:p w14:paraId="0CEB3AC1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b)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>二级故障</w:t>
      </w:r>
    </w:p>
    <w:p w14:paraId="4BB1AB34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在收到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工程师在10分钟内给予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电话响应，20分钟内远程登陆网络。</w:t>
      </w:r>
    </w:p>
    <w:p w14:paraId="04A0ADAA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如果需要到现场，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需在保证远程处理的同时增派驻点工程师到达现场，广州节点2小时内到达现场，深圳、佛山等节点4小时内到达现场。</w:t>
      </w:r>
    </w:p>
    <w:p w14:paraId="46C7DBCC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许可后实施，在30分钟内恢复业务基本运行，使设备或系统恢复到不影响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重要业务的运行或最终用户仅感受业务质量有轻微下降。</w:t>
      </w:r>
    </w:p>
    <w:p w14:paraId="189D5E0F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</w:t>
      </w:r>
      <w:r>
        <w:rPr>
          <w:rFonts w:ascii="仿宋" w:hAnsi="仿宋" w:eastAsia="仿宋"/>
          <w:sz w:val="28"/>
          <w:szCs w:val="28"/>
        </w:rPr>
        <w:t>12</w:t>
      </w:r>
      <w:r>
        <w:rPr>
          <w:rFonts w:hint="eastAsia" w:ascii="仿宋" w:hAnsi="仿宋" w:eastAsia="仿宋"/>
          <w:sz w:val="28"/>
          <w:szCs w:val="28"/>
        </w:rPr>
        <w:t>小时内解决全部故障，其中包括硬件更换的时间。</w:t>
      </w:r>
    </w:p>
    <w:p w14:paraId="697657E7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工程师在故障最终解决后1个工作日内提供故障报告。</w:t>
      </w:r>
    </w:p>
    <w:p w14:paraId="267EE07E">
      <w:pPr>
        <w:spacing w:after="156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c)</w:t>
      </w:r>
      <w:r>
        <w:rPr>
          <w:rFonts w:hint="eastAsia" w:ascii="仿宋" w:hAnsi="仿宋" w:eastAsia="仿宋"/>
          <w:b/>
          <w:sz w:val="28"/>
          <w:szCs w:val="28"/>
        </w:rPr>
        <w:tab/>
      </w:r>
      <w:r>
        <w:rPr>
          <w:rFonts w:hint="eastAsia" w:ascii="仿宋" w:hAnsi="仿宋" w:eastAsia="仿宋"/>
          <w:b/>
          <w:sz w:val="28"/>
          <w:szCs w:val="28"/>
        </w:rPr>
        <w:t>三级故障</w:t>
      </w:r>
    </w:p>
    <w:p w14:paraId="3F0E33B1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在收到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故障申告后，应立即联系相关工程师，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工程师在30分钟内给予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电话响应，2小时内远程登陆网络。</w:t>
      </w:r>
    </w:p>
    <w:p w14:paraId="27EA1866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如果需要到现场，</w:t>
      </w: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派工程师在1个工作日内到达现场。</w:t>
      </w:r>
    </w:p>
    <w:p w14:paraId="02EF05E7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工程师需制定可行的临时应急方案，并在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许可后实施，在1个工作日内恢复业务基本运行，使网络恢复到不影响</w:t>
      </w:r>
      <w:r>
        <w:rPr>
          <w:rFonts w:hint="eastAsia" w:ascii="仿宋" w:hAnsi="仿宋" w:eastAsia="仿宋"/>
          <w:sz w:val="28"/>
          <w:szCs w:val="28"/>
          <w:lang w:eastAsia="zh-CN"/>
        </w:rPr>
        <w:t>招标人</w:t>
      </w:r>
      <w:r>
        <w:rPr>
          <w:rFonts w:hint="eastAsia" w:ascii="仿宋" w:hAnsi="仿宋" w:eastAsia="仿宋"/>
          <w:sz w:val="28"/>
          <w:szCs w:val="28"/>
        </w:rPr>
        <w:t>重要业务的运行或最终用户仅感受业务质量有轻微下降。</w:t>
      </w:r>
    </w:p>
    <w:p w14:paraId="6D1197AD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个工作日内解决全部故障，其中包括硬件提供和更换的时间。</w:t>
      </w:r>
    </w:p>
    <w:p w14:paraId="1C2B09CC">
      <w:pPr>
        <w:spacing w:after="156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工程师在故障最终解决后2个工作日内提供故障报告。</w:t>
      </w:r>
    </w:p>
    <w:p w14:paraId="50E93DF8">
      <w:pPr>
        <w:spacing w:after="156"/>
        <w:ind w:firstLine="56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8"/>
          <w:szCs w:val="28"/>
        </w:rPr>
        <w:t>要求通过先进、标准、可控的技术、工具和方法，安装系统，评估系统趋势，定位系统运行瓶颈，实现系统稳定运行、各项性能指标正常高效、故障响应和处理及时、提升系统运行质量。</w:t>
      </w:r>
    </w:p>
    <w:p w14:paraId="0AEC213F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8" w:name="_Toc1508781037"/>
      <w:bookmarkStart w:id="9" w:name="_Toc176419776"/>
      <w:bookmarkStart w:id="10" w:name="_Toc151047918"/>
      <w:bookmarkStart w:id="11" w:name="_Toc236237916"/>
      <w:r>
        <w:rPr>
          <w:rFonts w:hint="eastAsia" w:ascii="仿宋" w:hAnsi="仿宋" w:eastAsia="仿宋"/>
          <w:sz w:val="32"/>
          <w:szCs w:val="32"/>
        </w:rPr>
        <w:t>服务时间</w:t>
      </w:r>
      <w:bookmarkEnd w:id="8"/>
      <w:bookmarkEnd w:id="9"/>
      <w:bookmarkEnd w:id="10"/>
      <w:bookmarkEnd w:id="11"/>
    </w:p>
    <w:p w14:paraId="156DDBF4">
      <w:pPr>
        <w:pStyle w:val="40"/>
        <w:spacing w:after="156" w:line="360" w:lineRule="auto"/>
        <w:ind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服务期：自合同签订之日起三年</w:t>
      </w:r>
      <w:r>
        <w:rPr>
          <w:rFonts w:ascii="仿宋" w:hAnsi="仿宋" w:eastAsia="仿宋"/>
          <w:sz w:val="30"/>
          <w:szCs w:val="30"/>
        </w:rPr>
        <w:t>。</w:t>
      </w:r>
    </w:p>
    <w:p w14:paraId="0D4CE1BD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12" w:name="_Toc176419777"/>
      <w:bookmarkStart w:id="13" w:name="_Toc236237917"/>
      <w:bookmarkStart w:id="14" w:name="_Toc151047919"/>
      <w:bookmarkStart w:id="15" w:name="_Toc595985083"/>
      <w:r>
        <w:rPr>
          <w:rFonts w:hint="eastAsia" w:ascii="仿宋" w:hAnsi="仿宋" w:eastAsia="仿宋"/>
          <w:sz w:val="32"/>
          <w:szCs w:val="32"/>
        </w:rPr>
        <w:t>维保覆盖说明</w:t>
      </w:r>
      <w:bookmarkEnd w:id="12"/>
      <w:bookmarkEnd w:id="13"/>
      <w:bookmarkEnd w:id="14"/>
      <w:bookmarkEnd w:id="15"/>
    </w:p>
    <w:p w14:paraId="53414EFE">
      <w:pPr>
        <w:spacing w:after="156"/>
      </w:pPr>
    </w:p>
    <w:p w14:paraId="5A9454D2">
      <w:pPr>
        <w:spacing w:after="1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本次采购软件系统维保服务，不涉及硬件设备维保，覆盖范围如下：</w:t>
      </w:r>
    </w:p>
    <w:tbl>
      <w:tblPr>
        <w:tblStyle w:val="2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471"/>
        <w:gridCol w:w="1892"/>
        <w:gridCol w:w="3529"/>
        <w:gridCol w:w="1213"/>
      </w:tblGrid>
      <w:tr w14:paraId="4709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5" w:type="pct"/>
            <w:vAlign w:val="center"/>
          </w:tcPr>
          <w:p w14:paraId="426A9AFC">
            <w:pPr>
              <w:spacing w:after="12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序号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E01F887">
            <w:pPr>
              <w:spacing w:after="12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系统名称</w:t>
            </w:r>
          </w:p>
        </w:tc>
        <w:tc>
          <w:tcPr>
            <w:tcW w:w="1110" w:type="pct"/>
            <w:vAlign w:val="center"/>
          </w:tcPr>
          <w:p w14:paraId="597D314A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原合同名称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5F8A978F">
            <w:pPr>
              <w:spacing w:after="12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维保主要内容</w:t>
            </w:r>
          </w:p>
        </w:tc>
        <w:tc>
          <w:tcPr>
            <w:tcW w:w="712" w:type="pct"/>
            <w:vAlign w:val="center"/>
          </w:tcPr>
          <w:p w14:paraId="7C48FD55">
            <w:pPr>
              <w:spacing w:after="120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维保服务期限</w:t>
            </w:r>
          </w:p>
        </w:tc>
      </w:tr>
      <w:tr w14:paraId="7012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45" w:type="pct"/>
            <w:vMerge w:val="restart"/>
            <w:vAlign w:val="center"/>
          </w:tcPr>
          <w:p w14:paraId="0E9AB38B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</w:tcPr>
          <w:p w14:paraId="554B6555">
            <w:pPr>
              <w:spacing w:after="120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1"/>
              </w:rPr>
              <w:t>全国内容服务平台源站系统</w:t>
            </w:r>
          </w:p>
        </w:tc>
        <w:tc>
          <w:tcPr>
            <w:tcW w:w="1110" w:type="pct"/>
          </w:tcPr>
          <w:p w14:paraId="3BFA6C60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全国内容服务平台源站建设项目合同</w:t>
            </w:r>
          </w:p>
          <w:p w14:paraId="36556A24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（FK201904033）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54B55F0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茗格流服务器软件V1.0 ×1套</w:t>
            </w:r>
          </w:p>
          <w:p w14:paraId="56B348A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(1) 源站基础软件授权；</w:t>
            </w:r>
          </w:p>
          <w:p w14:paraId="166FA220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(2) 分布式注入调度模块软件授权；</w:t>
            </w:r>
          </w:p>
          <w:p w14:paraId="1D570B69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(3) 注入处理模块软件授权；</w:t>
            </w:r>
          </w:p>
          <w:p w14:paraId="6A307D0C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(4) HLS点播模块授权；</w:t>
            </w:r>
          </w:p>
          <w:p w14:paraId="105BB136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(5) 第三方拉流模块授权；</w:t>
            </w:r>
          </w:p>
          <w:p w14:paraId="058CDD84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(6) 对接腾讯注入接口，兼容腾讯媒资格式；</w:t>
            </w:r>
          </w:p>
          <w:p w14:paraId="32DD59E2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(7) 对接第三方CDN注入接口，提供特定格式媒资文件。</w:t>
            </w:r>
          </w:p>
        </w:tc>
        <w:tc>
          <w:tcPr>
            <w:tcW w:w="712" w:type="pct"/>
            <w:vMerge w:val="restart"/>
            <w:vAlign w:val="center"/>
          </w:tcPr>
          <w:p w14:paraId="60A34A02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合同签订之日起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</w:p>
        </w:tc>
      </w:tr>
      <w:tr w14:paraId="3545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45" w:type="pct"/>
            <w:vMerge w:val="continue"/>
            <w:vAlign w:val="center"/>
          </w:tcPr>
          <w:p w14:paraId="7CDB052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63" w:type="pct"/>
            <w:vMerge w:val="continue"/>
            <w:shd w:val="clear" w:color="auto" w:fill="auto"/>
            <w:noWrap/>
            <w:vAlign w:val="center"/>
          </w:tcPr>
          <w:p w14:paraId="24232DFB">
            <w:pPr>
              <w:spacing w:after="120"/>
              <w:jc w:val="center"/>
              <w:rPr>
                <w:rFonts w:ascii="仿宋" w:hAnsi="仿宋" w:eastAsia="仿宋"/>
                <w:szCs w:val="24"/>
              </w:rPr>
            </w:pPr>
          </w:p>
        </w:tc>
        <w:tc>
          <w:tcPr>
            <w:tcW w:w="1110" w:type="pct"/>
          </w:tcPr>
          <w:p w14:paraId="6DA99DD8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2023年全国内容服务平台内容源站扩容采购项目合同（FK</w:t>
            </w:r>
            <w:r>
              <w:rPr>
                <w:rFonts w:ascii="仿宋" w:hAnsi="仿宋" w:eastAsia="仿宋"/>
                <w:szCs w:val="21"/>
              </w:rPr>
              <w:t>202403008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557A11FA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内容源站系统 V1.0×1 套（含系统扩容实施的功能）。</w:t>
            </w:r>
          </w:p>
        </w:tc>
        <w:tc>
          <w:tcPr>
            <w:tcW w:w="712" w:type="pct"/>
            <w:vMerge w:val="continue"/>
            <w:vAlign w:val="center"/>
          </w:tcPr>
          <w:p w14:paraId="6E57F95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B5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45" w:type="pct"/>
            <w:vAlign w:val="center"/>
          </w:tcPr>
          <w:p w14:paraId="3D4F60D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64C3E74">
            <w:pPr>
              <w:spacing w:after="120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1"/>
              </w:rPr>
              <w:t>公网业务推流服务系统（南翔）</w:t>
            </w:r>
          </w:p>
        </w:tc>
        <w:tc>
          <w:tcPr>
            <w:tcW w:w="1110" w:type="pct"/>
          </w:tcPr>
          <w:p w14:paraId="3DE8C981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新业务推流服务在线热备系统建设项目合同</w:t>
            </w:r>
          </w:p>
          <w:p w14:paraId="3BBF2A11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（FK202009007）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3CC62B4A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茗格视频流服务器系统V1.0（6套授权）</w:t>
            </w:r>
          </w:p>
          <w:p w14:paraId="769E160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(1) 点播注入模块（含转码）×4;</w:t>
            </w:r>
          </w:p>
          <w:p w14:paraId="46341303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(2) 直播切片模块 ×4;</w:t>
            </w:r>
          </w:p>
          <w:p w14:paraId="2A761A38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(3) 回看录制模块 ×4</w:t>
            </w:r>
          </w:p>
          <w:p w14:paraId="633289CB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(4)系统调度与缓存管理模块 ×2</w:t>
            </w:r>
          </w:p>
        </w:tc>
        <w:tc>
          <w:tcPr>
            <w:tcW w:w="712" w:type="pct"/>
            <w:vAlign w:val="center"/>
          </w:tcPr>
          <w:p w14:paraId="09DD7CA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合同签订之日起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</w:p>
        </w:tc>
      </w:tr>
      <w:tr w14:paraId="323C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45" w:type="pct"/>
            <w:vMerge w:val="restart"/>
            <w:vAlign w:val="center"/>
          </w:tcPr>
          <w:p w14:paraId="008AD0E9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</w:tcPr>
          <w:p w14:paraId="03338DD8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公网业务推流服务系统（民科园）</w:t>
            </w:r>
          </w:p>
        </w:tc>
        <w:tc>
          <w:tcPr>
            <w:tcW w:w="1110" w:type="pct"/>
          </w:tcPr>
          <w:p w14:paraId="6243131B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融合平台OTT点播回看推流服务器项目合同（F201505056）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19320F9D">
            <w:pPr>
              <w:pStyle w:val="40"/>
              <w:numPr>
                <w:ilvl w:val="0"/>
                <w:numId w:val="2"/>
              </w:numPr>
              <w:spacing w:after="120"/>
              <w:ind w:firstLineChars="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佳创 OS 流媒体服务器系统软件 V1.0授权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2 套（功能覆盖直播切片、点播切片、录制）。</w:t>
            </w:r>
          </w:p>
          <w:p w14:paraId="47AAA2CC">
            <w:pPr>
              <w:pStyle w:val="40"/>
              <w:numPr>
                <w:ilvl w:val="0"/>
                <w:numId w:val="2"/>
              </w:numPr>
              <w:spacing w:after="120"/>
              <w:ind w:firstLineChars="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服务能力授权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（按 1+1 备份设计，数量为需求的 2 倍）</w:t>
            </w:r>
          </w:p>
          <w:p w14:paraId="45B07053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) 注入节目授权 4 万小时；</w:t>
            </w:r>
          </w:p>
          <w:p w14:paraId="639F72B9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) 回看直播流输入授权 360 路；</w:t>
            </w:r>
          </w:p>
          <w:p w14:paraId="653670F3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) 时移直播流输入授权 360 路；</w:t>
            </w:r>
          </w:p>
          <w:p w14:paraId="6BC4F49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) 直播流输入授权 360 路；</w:t>
            </w:r>
          </w:p>
          <w:p w14:paraId="7C2D0558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5</w:t>
            </w:r>
            <w:r>
              <w:rPr>
                <w:rFonts w:hint="eastAsia" w:ascii="仿宋" w:hAnsi="仿宋" w:eastAsia="仿宋"/>
                <w:szCs w:val="21"/>
              </w:rPr>
              <w:t>) 并发用户授权 8000 路。</w:t>
            </w:r>
          </w:p>
          <w:p w14:paraId="0D86A890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注：所有授权均按 1.2M 码率折算</w:t>
            </w:r>
          </w:p>
        </w:tc>
        <w:tc>
          <w:tcPr>
            <w:tcW w:w="712" w:type="pct"/>
            <w:vMerge w:val="restart"/>
            <w:vAlign w:val="center"/>
          </w:tcPr>
          <w:p w14:paraId="48B6AF43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合同签订之日起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年</w:t>
            </w:r>
          </w:p>
        </w:tc>
      </w:tr>
      <w:tr w14:paraId="5E51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45" w:type="pct"/>
            <w:vMerge w:val="continue"/>
            <w:vAlign w:val="center"/>
          </w:tcPr>
          <w:p w14:paraId="1E079C2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63" w:type="pct"/>
            <w:vMerge w:val="continue"/>
            <w:shd w:val="clear" w:color="auto" w:fill="auto"/>
            <w:noWrap/>
            <w:vAlign w:val="center"/>
          </w:tcPr>
          <w:p w14:paraId="23B780DE">
            <w:pPr>
              <w:spacing w:after="120"/>
              <w:jc w:val="center"/>
              <w:rPr>
                <w:rFonts w:ascii="仿宋" w:hAnsi="仿宋" w:eastAsia="仿宋" w:cs="微软雅黑"/>
                <w:sz w:val="28"/>
                <w:szCs w:val="28"/>
              </w:rPr>
            </w:pPr>
          </w:p>
        </w:tc>
        <w:tc>
          <w:tcPr>
            <w:tcW w:w="1110" w:type="pct"/>
          </w:tcPr>
          <w:p w14:paraId="78E83B41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流媒体新增功能开发服务采购项目合同（F201603051）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5120D0D9">
            <w:pPr>
              <w:pStyle w:val="40"/>
              <w:numPr>
                <w:ilvl w:val="0"/>
                <w:numId w:val="3"/>
              </w:numPr>
              <w:spacing w:after="120"/>
              <w:ind w:firstLineChars="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防盗链系统包授权X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2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;</w:t>
            </w:r>
          </w:p>
          <w:p w14:paraId="4FE822FF">
            <w:pPr>
              <w:pStyle w:val="40"/>
              <w:numPr>
                <w:ilvl w:val="0"/>
                <w:numId w:val="3"/>
              </w:numPr>
              <w:spacing w:after="120"/>
              <w:ind w:firstLineChars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服务能力授权</w:t>
            </w:r>
          </w:p>
          <w:p w14:paraId="5212573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) 防盗链并发授权16000路;</w:t>
            </w:r>
          </w:p>
          <w:p w14:paraId="71D65037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) 多CDN逻辑切片授权X</w:t>
            </w:r>
            <w:r>
              <w:rPr>
                <w:rFonts w:ascii="仿宋" w:hAnsi="仿宋" w:eastAsia="仿宋"/>
                <w:szCs w:val="21"/>
              </w:rPr>
              <w:t xml:space="preserve"> 2</w:t>
            </w:r>
            <w:r>
              <w:rPr>
                <w:rFonts w:hint="eastAsia" w:ascii="仿宋" w:hAnsi="仿宋" w:eastAsia="仿宋"/>
                <w:szCs w:val="21"/>
              </w:rPr>
              <w:t xml:space="preserve">; </w:t>
            </w:r>
          </w:p>
          <w:p w14:paraId="613DFD05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) IPTV协议规范注入授权X</w:t>
            </w:r>
            <w:r>
              <w:rPr>
                <w:rFonts w:ascii="仿宋" w:hAnsi="仿宋" w:eastAsia="仿宋"/>
                <w:szCs w:val="21"/>
              </w:rPr>
              <w:t xml:space="preserve"> 2</w:t>
            </w:r>
            <w:r>
              <w:rPr>
                <w:rFonts w:hint="eastAsia" w:ascii="仿宋" w:hAnsi="仿宋" w:eastAsia="仿宋"/>
                <w:szCs w:val="21"/>
              </w:rPr>
              <w:t xml:space="preserve">; </w:t>
            </w:r>
          </w:p>
          <w:p w14:paraId="1CD8AE1F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</w:t>
            </w:r>
            <w:r>
              <w:rPr>
                <w:rFonts w:ascii="仿宋" w:hAnsi="仿宋" w:eastAsia="仿宋"/>
                <w:szCs w:val="21"/>
              </w:rPr>
              <w:t>4</w:t>
            </w:r>
            <w:r>
              <w:rPr>
                <w:rFonts w:hint="eastAsia" w:ascii="仿宋" w:hAnsi="仿宋" w:eastAsia="仿宋"/>
                <w:szCs w:val="21"/>
              </w:rPr>
              <w:t>) IPTV数据迁移以及切片转换工具授权X</w:t>
            </w:r>
            <w:r>
              <w:rPr>
                <w:rFonts w:ascii="仿宋" w:hAnsi="仿宋" w:eastAsia="仿宋"/>
                <w:szCs w:val="21"/>
              </w:rPr>
              <w:t xml:space="preserve"> 2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</w:p>
        </w:tc>
        <w:tc>
          <w:tcPr>
            <w:tcW w:w="712" w:type="pct"/>
            <w:vMerge w:val="continue"/>
            <w:vAlign w:val="center"/>
          </w:tcPr>
          <w:p w14:paraId="03B9D752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E04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45" w:type="pct"/>
            <w:vMerge w:val="continue"/>
            <w:vAlign w:val="center"/>
          </w:tcPr>
          <w:p w14:paraId="08B98C86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63" w:type="pct"/>
            <w:vMerge w:val="continue"/>
            <w:shd w:val="clear" w:color="auto" w:fill="auto"/>
            <w:noWrap/>
            <w:vAlign w:val="center"/>
          </w:tcPr>
          <w:p w14:paraId="59391B2A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0" w:type="pct"/>
          </w:tcPr>
          <w:p w14:paraId="042F5D32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南方新媒体内容安全保障系统建设采购推流服务器项目</w:t>
            </w:r>
          </w:p>
          <w:p w14:paraId="608E8AD4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（F201704065）</w:t>
            </w:r>
          </w:p>
        </w:tc>
        <w:tc>
          <w:tcPr>
            <w:tcW w:w="2070" w:type="pct"/>
            <w:shd w:val="clear" w:color="auto" w:fill="auto"/>
            <w:vAlign w:val="center"/>
          </w:tcPr>
          <w:p w14:paraId="4ED55E91">
            <w:pPr>
              <w:pStyle w:val="40"/>
              <w:numPr>
                <w:ilvl w:val="0"/>
                <w:numId w:val="4"/>
              </w:numPr>
              <w:spacing w:after="120"/>
              <w:ind w:firstLineChars="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佳创OS流媒体服务器系统软件 V1.0 授权X</w:t>
            </w:r>
            <w:r>
              <w:rPr>
                <w:rFonts w:ascii="仿宋" w:hAnsi="仿宋" w:eastAsia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4。</w:t>
            </w:r>
          </w:p>
          <w:p w14:paraId="3F7B193E">
            <w:pPr>
              <w:pStyle w:val="40"/>
              <w:numPr>
                <w:ilvl w:val="0"/>
                <w:numId w:val="4"/>
              </w:numPr>
              <w:spacing w:after="120"/>
              <w:ind w:firstLineChars="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服务能力授权</w:t>
            </w:r>
          </w:p>
          <w:p w14:paraId="3FD11B24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(1) 转码器MP4 Demuxer 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05F6AC2A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(2) 转码TS Demuxer 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5E12DB7E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(3) 转码MPEG2 解码授权X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574EDFD2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(4) 转码MP3 解码授权X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1B479D5C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(5) 转码H.264 编码授权X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421D97F9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(6) 转码AAC 编码授权X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4;</w:t>
            </w:r>
          </w:p>
          <w:p w14:paraId="52052B50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(7) 推流服务器缓存模块套件X</w:t>
            </w:r>
            <w:r>
              <w:rPr>
                <w:rFonts w:ascii="仿宋" w:hAnsi="仿宋" w:eastAsia="仿宋"/>
                <w:szCs w:val="21"/>
              </w:rPr>
              <w:t xml:space="preserve"> 2</w:t>
            </w:r>
            <w:r>
              <w:rPr>
                <w:rFonts w:hint="eastAsia" w:ascii="仿宋" w:hAnsi="仿宋" w:eastAsia="仿宋"/>
                <w:szCs w:val="21"/>
              </w:rPr>
              <w:t>;</w:t>
            </w:r>
          </w:p>
          <w:p w14:paraId="49E3234D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(8) 推流服务器加扰并发授权8000路。</w:t>
            </w:r>
          </w:p>
        </w:tc>
        <w:tc>
          <w:tcPr>
            <w:tcW w:w="712" w:type="pct"/>
            <w:vMerge w:val="continue"/>
            <w:vAlign w:val="center"/>
          </w:tcPr>
          <w:p w14:paraId="73891F4E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7BC519B">
      <w:bookmarkStart w:id="16" w:name="_Toc151047920"/>
      <w:bookmarkStart w:id="17" w:name="_Toc857560373"/>
      <w:bookmarkStart w:id="18" w:name="_Toc176419778"/>
    </w:p>
    <w:p w14:paraId="52DCDDFD"/>
    <w:p w14:paraId="206698FA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19" w:name="_Toc236237918"/>
      <w:r>
        <w:rPr>
          <w:rFonts w:hint="eastAsia" w:ascii="仿宋" w:hAnsi="仿宋" w:eastAsia="仿宋"/>
          <w:sz w:val="32"/>
          <w:szCs w:val="32"/>
        </w:rPr>
        <w:t>安全要求</w:t>
      </w:r>
      <w:bookmarkEnd w:id="16"/>
      <w:bookmarkEnd w:id="17"/>
      <w:bookmarkEnd w:id="18"/>
      <w:bookmarkEnd w:id="19"/>
    </w:p>
    <w:p w14:paraId="5E528AFD">
      <w:pPr>
        <w:pStyle w:val="7"/>
        <w:spacing w:after="156"/>
        <w:ind w:firstLine="560"/>
        <w:rPr>
          <w:rFonts w:ascii="仿宋" w:hAnsi="仿宋" w:eastAsia="仿宋" w:cs="微软雅黑"/>
          <w:sz w:val="28"/>
          <w:szCs w:val="28"/>
        </w:rPr>
      </w:pPr>
      <w:r>
        <w:rPr>
          <w:rFonts w:hint="eastAsia" w:ascii="仿宋" w:hAnsi="仿宋" w:eastAsia="仿宋" w:cs="微软雅黑"/>
          <w:sz w:val="28"/>
          <w:szCs w:val="28"/>
        </w:rPr>
        <w:t>1、应用安全：为保证系统安全，需要根据公布的漏洞情况进行升级修复。</w:t>
      </w:r>
    </w:p>
    <w:p w14:paraId="51B5760E">
      <w:pPr>
        <w:pStyle w:val="7"/>
        <w:spacing w:after="156"/>
        <w:ind w:firstLine="560"/>
        <w:rPr>
          <w:rFonts w:ascii="仿宋" w:hAnsi="仿宋" w:eastAsia="仿宋" w:cs="微软雅黑"/>
          <w:sz w:val="28"/>
          <w:szCs w:val="28"/>
        </w:rPr>
      </w:pPr>
      <w:r>
        <w:rPr>
          <w:rFonts w:ascii="仿宋" w:hAnsi="仿宋" w:eastAsia="仿宋" w:cs="微软雅黑"/>
          <w:sz w:val="28"/>
          <w:szCs w:val="28"/>
        </w:rPr>
        <w:t>2</w:t>
      </w:r>
      <w:r>
        <w:rPr>
          <w:rFonts w:hint="eastAsia" w:ascii="仿宋" w:hAnsi="仿宋" w:eastAsia="仿宋" w:cs="微软雅黑"/>
          <w:sz w:val="28"/>
          <w:szCs w:val="28"/>
        </w:rPr>
        <w:t>、数据安全：本项目为维保项目，经评估本项目不涉及数据安全范畴。</w:t>
      </w:r>
    </w:p>
    <w:p w14:paraId="2B5ED720">
      <w:pPr>
        <w:pStyle w:val="2"/>
        <w:numPr>
          <w:ilvl w:val="0"/>
          <w:numId w:val="1"/>
        </w:numPr>
        <w:spacing w:before="0" w:after="0" w:line="240" w:lineRule="auto"/>
        <w:rPr>
          <w:rFonts w:ascii="仿宋" w:hAnsi="仿宋" w:eastAsia="仿宋"/>
          <w:sz w:val="32"/>
          <w:szCs w:val="32"/>
        </w:rPr>
      </w:pPr>
      <w:bookmarkStart w:id="20" w:name="_Toc151047921"/>
      <w:bookmarkStart w:id="21" w:name="_Toc1254433994"/>
      <w:bookmarkStart w:id="22" w:name="_Toc176419779"/>
      <w:bookmarkStart w:id="23" w:name="_Toc236237919"/>
      <w:r>
        <w:rPr>
          <w:rFonts w:ascii="仿宋" w:hAnsi="仿宋" w:eastAsia="仿宋"/>
          <w:sz w:val="32"/>
          <w:szCs w:val="32"/>
        </w:rPr>
        <w:t>项目预算及采购内容</w:t>
      </w:r>
      <w:bookmarkEnd w:id="20"/>
      <w:bookmarkEnd w:id="21"/>
      <w:bookmarkEnd w:id="22"/>
      <w:bookmarkEnd w:id="23"/>
    </w:p>
    <w:p w14:paraId="2040A1C3">
      <w:pPr>
        <w:spacing w:after="156"/>
        <w:outlineLvl w:val="1"/>
        <w:rPr>
          <w:rFonts w:ascii="仿宋" w:hAnsi="仿宋" w:eastAsia="仿宋"/>
          <w:sz w:val="28"/>
          <w:szCs w:val="28"/>
        </w:rPr>
      </w:pPr>
      <w:bookmarkStart w:id="24" w:name="_Toc236237920"/>
      <w:r>
        <w:rPr>
          <w:rFonts w:hint="eastAsia" w:ascii="仿宋" w:hAnsi="仿宋" w:eastAsia="仿宋"/>
          <w:sz w:val="28"/>
          <w:szCs w:val="28"/>
        </w:rPr>
        <w:t>1、采购内容</w:t>
      </w:r>
      <w:bookmarkEnd w:id="24"/>
    </w:p>
    <w:p w14:paraId="469651E2">
      <w:pPr>
        <w:pStyle w:val="40"/>
        <w:spacing w:after="156" w:line="360" w:lineRule="auto"/>
        <w:ind w:firstLineChars="0"/>
        <w:rPr>
          <w:rFonts w:ascii="仿宋" w:hAnsi="仿宋" w:eastAsia="仿宋" w:cs="微软雅黑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本期项目拟采购</w:t>
      </w:r>
      <w:r>
        <w:rPr>
          <w:rFonts w:hint="eastAsia" w:ascii="仿宋" w:hAnsi="仿宋" w:eastAsia="仿宋" w:cs="微软雅黑"/>
          <w:sz w:val="28"/>
          <w:szCs w:val="28"/>
        </w:rPr>
        <w:t>全国内容服务平台源站系</w:t>
      </w:r>
      <w:r>
        <w:rPr>
          <w:rFonts w:hint="eastAsia" w:ascii="仿宋" w:hAnsi="仿宋" w:eastAsia="仿宋"/>
          <w:sz w:val="28"/>
          <w:szCs w:val="28"/>
        </w:rPr>
        <w:t>统和公网业务推流服务系统为期三年的7*24小时维保服务，其中</w:t>
      </w:r>
      <w:r>
        <w:rPr>
          <w:rFonts w:ascii="仿宋" w:hAnsi="仿宋" w:eastAsia="仿宋"/>
          <w:sz w:val="28"/>
          <w:szCs w:val="28"/>
        </w:rPr>
        <w:t>全国内容服务平台源站系统</w:t>
      </w:r>
      <w:r>
        <w:rPr>
          <w:rFonts w:hint="eastAsia" w:ascii="仿宋" w:hAnsi="仿宋" w:eastAsia="仿宋"/>
          <w:sz w:val="28"/>
          <w:szCs w:val="28"/>
        </w:rPr>
        <w:t>要求</w:t>
      </w:r>
      <w:r>
        <w:rPr>
          <w:rFonts w:ascii="仿宋" w:hAnsi="仿宋" w:eastAsia="仿宋" w:cs="微软雅黑"/>
          <w:sz w:val="28"/>
          <w:szCs w:val="28"/>
        </w:rPr>
        <w:t>涵盖全国内容源站及驻地内容源软件</w:t>
      </w:r>
      <w:r>
        <w:rPr>
          <w:rFonts w:hint="eastAsia" w:ascii="仿宋" w:hAnsi="仿宋" w:eastAsia="仿宋"/>
          <w:sz w:val="28"/>
          <w:szCs w:val="28"/>
        </w:rPr>
        <w:t>，公网业务推流服务系统</w:t>
      </w:r>
      <w:r>
        <w:rPr>
          <w:rFonts w:ascii="仿宋" w:hAnsi="仿宋" w:eastAsia="仿宋" w:cs="微软雅黑"/>
          <w:sz w:val="28"/>
          <w:szCs w:val="28"/>
        </w:rPr>
        <w:t>包含两套推流服务集群（分别部署于民科园和南翔机房），</w:t>
      </w:r>
      <w:r>
        <w:rPr>
          <w:rFonts w:hint="eastAsia" w:ascii="仿宋" w:hAnsi="仿宋" w:eastAsia="仿宋"/>
          <w:sz w:val="28"/>
          <w:szCs w:val="28"/>
        </w:rPr>
        <w:t>维保服务期为自合同签订之日起三年</w:t>
      </w:r>
      <w:r>
        <w:rPr>
          <w:rFonts w:hint="eastAsia" w:ascii="仿宋" w:hAnsi="仿宋" w:eastAsia="仿宋" w:cs="微软雅黑"/>
          <w:sz w:val="28"/>
          <w:szCs w:val="28"/>
        </w:rPr>
        <w:t>，如</w:t>
      </w:r>
      <w:r>
        <w:rPr>
          <w:rFonts w:ascii="仿宋" w:hAnsi="仿宋" w:eastAsia="仿宋" w:cs="微软雅黑"/>
          <w:sz w:val="28"/>
          <w:szCs w:val="28"/>
        </w:rPr>
        <w:t>招标人因战略调整可提前一月书面通知终止，中标人须配合完成善后交接。</w:t>
      </w:r>
    </w:p>
    <w:p w14:paraId="2E604E2F">
      <w:pPr>
        <w:spacing w:after="156"/>
        <w:outlineLvl w:val="1"/>
        <w:rPr>
          <w:rFonts w:ascii="仿宋" w:hAnsi="仿宋" w:eastAsia="仿宋"/>
          <w:sz w:val="28"/>
          <w:szCs w:val="28"/>
        </w:rPr>
      </w:pPr>
      <w:bookmarkStart w:id="25" w:name="_Toc236237921"/>
      <w:r>
        <w:rPr>
          <w:rFonts w:hint="eastAsia" w:ascii="仿宋" w:hAnsi="仿宋" w:eastAsia="仿宋"/>
          <w:sz w:val="28"/>
          <w:szCs w:val="28"/>
        </w:rPr>
        <w:t>2、项目报价</w:t>
      </w:r>
      <w:bookmarkEnd w:id="25"/>
    </w:p>
    <w:tbl>
      <w:tblPr>
        <w:tblStyle w:val="23"/>
        <w:tblW w:w="51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33"/>
        <w:gridCol w:w="2445"/>
        <w:gridCol w:w="1311"/>
        <w:gridCol w:w="877"/>
        <w:gridCol w:w="1540"/>
      </w:tblGrid>
      <w:tr w14:paraId="082C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05" w:type="pct"/>
            <w:vAlign w:val="center"/>
          </w:tcPr>
          <w:p w14:paraId="51F12D7B">
            <w:pPr>
              <w:pStyle w:val="7"/>
              <w:spacing w:after="156"/>
              <w:ind w:firstLine="0" w:firstLineChars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1096" w:type="pct"/>
            <w:vAlign w:val="center"/>
          </w:tcPr>
          <w:p w14:paraId="756B3F50">
            <w:pPr>
              <w:pStyle w:val="7"/>
              <w:spacing w:after="156"/>
              <w:rPr>
                <w:bCs/>
              </w:rPr>
            </w:pPr>
            <w:r>
              <w:rPr>
                <w:rFonts w:hint="eastAsia"/>
                <w:bCs/>
              </w:rPr>
              <w:t>货物名称</w:t>
            </w:r>
          </w:p>
        </w:tc>
        <w:tc>
          <w:tcPr>
            <w:tcW w:w="1386" w:type="pct"/>
            <w:vAlign w:val="center"/>
          </w:tcPr>
          <w:p w14:paraId="296F44C4">
            <w:pPr>
              <w:pStyle w:val="7"/>
              <w:spacing w:after="156" w:line="240" w:lineRule="auto"/>
              <w:ind w:firstLine="0" w:firstLineChars="0"/>
              <w:rPr>
                <w:bCs/>
              </w:rPr>
            </w:pPr>
            <w:r>
              <w:rPr>
                <w:rFonts w:hint="eastAsia"/>
              </w:rPr>
              <w:t>原采购</w:t>
            </w:r>
            <w:r>
              <w:rPr>
                <w:rFonts w:hint="eastAsia"/>
                <w:bCs/>
              </w:rPr>
              <w:t>合同</w:t>
            </w:r>
          </w:p>
        </w:tc>
        <w:tc>
          <w:tcPr>
            <w:tcW w:w="743" w:type="pct"/>
            <w:vAlign w:val="center"/>
          </w:tcPr>
          <w:p w14:paraId="27E7014E">
            <w:pPr>
              <w:pStyle w:val="7"/>
              <w:spacing w:after="156" w:line="240" w:lineRule="auto"/>
              <w:ind w:firstLine="0" w:firstLineChars="0"/>
            </w:pPr>
            <w:r>
              <w:rPr>
                <w:rFonts w:hint="eastAsia"/>
              </w:rPr>
              <w:t>维保单价（元/年）</w:t>
            </w:r>
          </w:p>
        </w:tc>
        <w:tc>
          <w:tcPr>
            <w:tcW w:w="497" w:type="pct"/>
            <w:vAlign w:val="center"/>
          </w:tcPr>
          <w:p w14:paraId="787CE91E">
            <w:pPr>
              <w:pStyle w:val="7"/>
              <w:spacing w:after="156" w:line="240" w:lineRule="auto"/>
              <w:ind w:firstLine="0" w:firstLineChars="0"/>
              <w:rPr>
                <w:bCs/>
              </w:rPr>
            </w:pPr>
            <w:r>
              <w:rPr>
                <w:rFonts w:hint="eastAsia"/>
                <w:bCs/>
              </w:rPr>
              <w:t>维保时间（年）</w:t>
            </w:r>
          </w:p>
        </w:tc>
        <w:tc>
          <w:tcPr>
            <w:tcW w:w="873" w:type="pct"/>
            <w:vAlign w:val="center"/>
          </w:tcPr>
          <w:p w14:paraId="029E8932">
            <w:pPr>
              <w:pStyle w:val="7"/>
              <w:spacing w:after="156" w:line="240" w:lineRule="auto"/>
              <w:ind w:firstLine="0" w:firstLineChars="0"/>
              <w:rPr>
                <w:bCs/>
              </w:rPr>
            </w:pPr>
            <w:r>
              <w:rPr>
                <w:rFonts w:hint="eastAsia"/>
                <w:bCs/>
              </w:rPr>
              <w:t>预算小计（元）</w:t>
            </w:r>
          </w:p>
        </w:tc>
      </w:tr>
      <w:tr w14:paraId="601C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405" w:type="pct"/>
            <w:vMerge w:val="restart"/>
            <w:vAlign w:val="center"/>
          </w:tcPr>
          <w:p w14:paraId="3A4B46D6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96" w:type="pct"/>
            <w:vMerge w:val="restart"/>
            <w:vAlign w:val="center"/>
          </w:tcPr>
          <w:p w14:paraId="73A050E7">
            <w:pPr>
              <w:pStyle w:val="7"/>
              <w:spacing w:after="156"/>
              <w:ind w:firstLine="0" w:firstLineChars="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全国内容服务平台源站系统</w:t>
            </w:r>
          </w:p>
        </w:tc>
        <w:tc>
          <w:tcPr>
            <w:tcW w:w="1386" w:type="pct"/>
          </w:tcPr>
          <w:p w14:paraId="150BDCF4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全国内容服务平台源站建设项目合同</w:t>
            </w:r>
          </w:p>
          <w:p w14:paraId="6258FAFE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（FK201904033）</w:t>
            </w:r>
          </w:p>
        </w:tc>
        <w:tc>
          <w:tcPr>
            <w:tcW w:w="743" w:type="pct"/>
            <w:vMerge w:val="restart"/>
            <w:vAlign w:val="center"/>
          </w:tcPr>
          <w:p w14:paraId="395F904C">
            <w:pPr>
              <w:pStyle w:val="7"/>
              <w:spacing w:after="156"/>
            </w:pPr>
          </w:p>
        </w:tc>
        <w:tc>
          <w:tcPr>
            <w:tcW w:w="497" w:type="pct"/>
            <w:vMerge w:val="restart"/>
            <w:vAlign w:val="center"/>
          </w:tcPr>
          <w:p w14:paraId="7AED3D5B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2137C2AC">
            <w:pPr>
              <w:pStyle w:val="7"/>
              <w:spacing w:after="156"/>
            </w:pPr>
          </w:p>
        </w:tc>
      </w:tr>
      <w:tr w14:paraId="44B6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405" w:type="pct"/>
            <w:vMerge w:val="continue"/>
            <w:vAlign w:val="center"/>
          </w:tcPr>
          <w:p w14:paraId="35DFB5FC">
            <w:pPr>
              <w:pStyle w:val="7"/>
              <w:spacing w:after="156"/>
              <w:ind w:firstLine="0" w:firstLineChars="0"/>
              <w:jc w:val="center"/>
            </w:pPr>
          </w:p>
        </w:tc>
        <w:tc>
          <w:tcPr>
            <w:tcW w:w="1096" w:type="pct"/>
            <w:vMerge w:val="continue"/>
            <w:vAlign w:val="center"/>
          </w:tcPr>
          <w:p w14:paraId="28E502F5">
            <w:pPr>
              <w:pStyle w:val="7"/>
              <w:spacing w:after="156"/>
              <w:ind w:firstLine="0" w:firstLineChars="0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6" w:type="pct"/>
          </w:tcPr>
          <w:p w14:paraId="10B280E5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2023年全国内容服务平台内容源站扩容采购项目合同（FK</w:t>
            </w:r>
            <w:r>
              <w:rPr>
                <w:rFonts w:ascii="仿宋" w:hAnsi="仿宋" w:eastAsia="仿宋"/>
                <w:szCs w:val="21"/>
              </w:rPr>
              <w:t>202403008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743" w:type="pct"/>
            <w:vMerge w:val="continue"/>
            <w:vAlign w:val="center"/>
          </w:tcPr>
          <w:p w14:paraId="0C2DD90E">
            <w:pPr>
              <w:pStyle w:val="7"/>
              <w:spacing w:after="156"/>
            </w:pPr>
          </w:p>
        </w:tc>
        <w:tc>
          <w:tcPr>
            <w:tcW w:w="497" w:type="pct"/>
            <w:vMerge w:val="continue"/>
            <w:vAlign w:val="center"/>
          </w:tcPr>
          <w:p w14:paraId="7706A293">
            <w:pPr>
              <w:pStyle w:val="7"/>
              <w:spacing w:after="156"/>
              <w:jc w:val="center"/>
            </w:pPr>
          </w:p>
        </w:tc>
        <w:tc>
          <w:tcPr>
            <w:tcW w:w="873" w:type="pct"/>
            <w:vMerge w:val="continue"/>
            <w:vAlign w:val="center"/>
          </w:tcPr>
          <w:p w14:paraId="3201EE6E">
            <w:pPr>
              <w:pStyle w:val="7"/>
              <w:spacing w:after="156"/>
            </w:pPr>
          </w:p>
        </w:tc>
      </w:tr>
      <w:tr w14:paraId="4D10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405" w:type="pct"/>
            <w:vAlign w:val="center"/>
          </w:tcPr>
          <w:p w14:paraId="6EAE8FFA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96" w:type="pct"/>
            <w:vAlign w:val="center"/>
          </w:tcPr>
          <w:p w14:paraId="5FA6EA22">
            <w:pPr>
              <w:spacing w:after="120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1"/>
              </w:rPr>
              <w:t>公网业务推流服务系统（南翔）</w:t>
            </w:r>
          </w:p>
        </w:tc>
        <w:tc>
          <w:tcPr>
            <w:tcW w:w="1386" w:type="pct"/>
          </w:tcPr>
          <w:p w14:paraId="441A4662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新业务推流服务在线热备系统建设项目合同</w:t>
            </w:r>
          </w:p>
          <w:p w14:paraId="3E84F898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（FK202009007）</w:t>
            </w:r>
          </w:p>
        </w:tc>
        <w:tc>
          <w:tcPr>
            <w:tcW w:w="743" w:type="pct"/>
            <w:vAlign w:val="center"/>
          </w:tcPr>
          <w:p w14:paraId="754309B5">
            <w:pPr>
              <w:pStyle w:val="7"/>
              <w:spacing w:after="156"/>
            </w:pPr>
          </w:p>
        </w:tc>
        <w:tc>
          <w:tcPr>
            <w:tcW w:w="497" w:type="pct"/>
            <w:vAlign w:val="center"/>
          </w:tcPr>
          <w:p w14:paraId="2BD27457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73" w:type="pct"/>
            <w:vAlign w:val="center"/>
          </w:tcPr>
          <w:p w14:paraId="1BEC8591">
            <w:pPr>
              <w:pStyle w:val="7"/>
              <w:spacing w:after="156"/>
            </w:pPr>
          </w:p>
        </w:tc>
      </w:tr>
      <w:tr w14:paraId="1FFD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405" w:type="pct"/>
            <w:vMerge w:val="restart"/>
            <w:vAlign w:val="center"/>
          </w:tcPr>
          <w:p w14:paraId="1BD20713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96" w:type="pct"/>
            <w:vMerge w:val="restart"/>
            <w:vAlign w:val="center"/>
          </w:tcPr>
          <w:p w14:paraId="04A12474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公网业务推流服务系统（民科园）</w:t>
            </w:r>
          </w:p>
        </w:tc>
        <w:tc>
          <w:tcPr>
            <w:tcW w:w="1386" w:type="pct"/>
          </w:tcPr>
          <w:p w14:paraId="693E1EAA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融合平台OTT点播回看推流服务器项目合同（F201505056）</w:t>
            </w:r>
          </w:p>
        </w:tc>
        <w:tc>
          <w:tcPr>
            <w:tcW w:w="743" w:type="pct"/>
            <w:vMerge w:val="restart"/>
            <w:vAlign w:val="center"/>
          </w:tcPr>
          <w:p w14:paraId="33A5AAA3">
            <w:pPr>
              <w:pStyle w:val="7"/>
              <w:spacing w:after="156"/>
            </w:pPr>
          </w:p>
        </w:tc>
        <w:tc>
          <w:tcPr>
            <w:tcW w:w="497" w:type="pct"/>
            <w:vMerge w:val="restart"/>
            <w:vAlign w:val="center"/>
          </w:tcPr>
          <w:p w14:paraId="5A4C3B1B">
            <w:pPr>
              <w:pStyle w:val="7"/>
              <w:spacing w:after="156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73" w:type="pct"/>
            <w:vMerge w:val="restart"/>
            <w:vAlign w:val="center"/>
          </w:tcPr>
          <w:p w14:paraId="50BB53CC">
            <w:pPr>
              <w:pStyle w:val="7"/>
              <w:spacing w:after="156"/>
            </w:pPr>
          </w:p>
          <w:p w14:paraId="075860DF"/>
        </w:tc>
      </w:tr>
      <w:tr w14:paraId="03A36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405" w:type="pct"/>
            <w:vMerge w:val="continue"/>
            <w:vAlign w:val="center"/>
          </w:tcPr>
          <w:p w14:paraId="272D3DD9">
            <w:pPr>
              <w:pStyle w:val="7"/>
              <w:spacing w:after="156"/>
              <w:ind w:firstLine="0" w:firstLineChars="0"/>
              <w:jc w:val="center"/>
            </w:pPr>
          </w:p>
        </w:tc>
        <w:tc>
          <w:tcPr>
            <w:tcW w:w="1096" w:type="pct"/>
            <w:vMerge w:val="continue"/>
            <w:vAlign w:val="center"/>
          </w:tcPr>
          <w:p w14:paraId="72A1665A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86" w:type="pct"/>
          </w:tcPr>
          <w:p w14:paraId="79B73F91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流媒体新增功能开发服务采购项目合同（F201603051）</w:t>
            </w:r>
          </w:p>
        </w:tc>
        <w:tc>
          <w:tcPr>
            <w:tcW w:w="743" w:type="pct"/>
            <w:vMerge w:val="continue"/>
            <w:vAlign w:val="center"/>
          </w:tcPr>
          <w:p w14:paraId="6E82A1DA">
            <w:pPr>
              <w:pStyle w:val="7"/>
              <w:spacing w:after="156"/>
            </w:pPr>
          </w:p>
        </w:tc>
        <w:tc>
          <w:tcPr>
            <w:tcW w:w="497" w:type="pct"/>
            <w:vMerge w:val="continue"/>
            <w:vAlign w:val="center"/>
          </w:tcPr>
          <w:p w14:paraId="44253AAE">
            <w:pPr>
              <w:pStyle w:val="7"/>
              <w:spacing w:after="156"/>
              <w:ind w:firstLine="0" w:firstLineChars="0"/>
              <w:jc w:val="center"/>
            </w:pPr>
          </w:p>
        </w:tc>
        <w:tc>
          <w:tcPr>
            <w:tcW w:w="873" w:type="pct"/>
            <w:vMerge w:val="continue"/>
            <w:vAlign w:val="center"/>
          </w:tcPr>
          <w:p w14:paraId="795F81B3">
            <w:pPr>
              <w:pStyle w:val="7"/>
              <w:spacing w:after="156"/>
            </w:pPr>
          </w:p>
        </w:tc>
      </w:tr>
      <w:tr w14:paraId="56A5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405" w:type="pct"/>
            <w:vMerge w:val="continue"/>
            <w:vAlign w:val="center"/>
          </w:tcPr>
          <w:p w14:paraId="35470A26">
            <w:pPr>
              <w:pStyle w:val="7"/>
              <w:spacing w:after="156"/>
              <w:ind w:firstLine="0" w:firstLineChars="0"/>
              <w:jc w:val="center"/>
            </w:pPr>
          </w:p>
        </w:tc>
        <w:tc>
          <w:tcPr>
            <w:tcW w:w="1096" w:type="pct"/>
            <w:vMerge w:val="continue"/>
            <w:vAlign w:val="center"/>
          </w:tcPr>
          <w:p w14:paraId="29BA77C2">
            <w:pPr>
              <w:spacing w:after="12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86" w:type="pct"/>
          </w:tcPr>
          <w:p w14:paraId="3CE8609B">
            <w:pPr>
              <w:spacing w:after="12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南方新媒体内容安全保障系统建设采购推流服务器项目（F201704065）</w:t>
            </w:r>
          </w:p>
        </w:tc>
        <w:tc>
          <w:tcPr>
            <w:tcW w:w="743" w:type="pct"/>
            <w:vMerge w:val="continue"/>
            <w:vAlign w:val="center"/>
          </w:tcPr>
          <w:p w14:paraId="52F4D4F3">
            <w:pPr>
              <w:pStyle w:val="7"/>
              <w:spacing w:after="156"/>
            </w:pPr>
          </w:p>
        </w:tc>
        <w:tc>
          <w:tcPr>
            <w:tcW w:w="497" w:type="pct"/>
            <w:vMerge w:val="continue"/>
            <w:vAlign w:val="center"/>
          </w:tcPr>
          <w:p w14:paraId="0AC6D551">
            <w:pPr>
              <w:pStyle w:val="7"/>
              <w:spacing w:after="156"/>
              <w:ind w:firstLine="0" w:firstLineChars="0"/>
              <w:jc w:val="center"/>
            </w:pPr>
          </w:p>
        </w:tc>
        <w:tc>
          <w:tcPr>
            <w:tcW w:w="873" w:type="pct"/>
            <w:vMerge w:val="continue"/>
            <w:vAlign w:val="center"/>
          </w:tcPr>
          <w:p w14:paraId="0AB8B6ED">
            <w:pPr>
              <w:pStyle w:val="7"/>
              <w:spacing w:after="156"/>
            </w:pPr>
          </w:p>
        </w:tc>
      </w:tr>
      <w:tr w14:paraId="46234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127" w:type="pct"/>
            <w:gridSpan w:val="5"/>
            <w:vAlign w:val="center"/>
          </w:tcPr>
          <w:p w14:paraId="22FD31D0">
            <w:pPr>
              <w:pStyle w:val="7"/>
              <w:spacing w:after="156"/>
              <w:jc w:val="center"/>
            </w:pPr>
            <w:r>
              <w:rPr>
                <w:rFonts w:hint="eastAsia"/>
              </w:rPr>
              <w:t>合 计：</w:t>
            </w:r>
          </w:p>
        </w:tc>
        <w:tc>
          <w:tcPr>
            <w:tcW w:w="873" w:type="pct"/>
            <w:vAlign w:val="center"/>
          </w:tcPr>
          <w:p w14:paraId="427EB605">
            <w:pPr>
              <w:pStyle w:val="7"/>
              <w:spacing w:after="156"/>
            </w:pPr>
          </w:p>
        </w:tc>
      </w:tr>
    </w:tbl>
    <w:p w14:paraId="6C1F8720">
      <w:pPr>
        <w:spacing w:after="156"/>
        <w:outlineLvl w:val="1"/>
        <w:rPr>
          <w:rFonts w:ascii="仿宋" w:hAnsi="仿宋" w:eastAsia="仿宋" w:cs="Times New Roman"/>
          <w:sz w:val="28"/>
          <w:szCs w:val="28"/>
        </w:rPr>
      </w:pPr>
      <w:bookmarkStart w:id="26" w:name="_Toc230882753"/>
      <w:bookmarkStart w:id="27" w:name="_Toc236237922"/>
      <w:bookmarkStart w:id="28" w:name="_Toc231285919"/>
      <w:r>
        <w:rPr>
          <w:rFonts w:ascii="仿宋" w:hAnsi="仿宋" w:eastAsia="仿宋" w:cs="Times New Roman"/>
          <w:sz w:val="28"/>
          <w:szCs w:val="28"/>
        </w:rPr>
        <w:t>3、</w:t>
      </w:r>
      <w:r>
        <w:rPr>
          <w:rFonts w:hint="eastAsia" w:ascii="仿宋" w:hAnsi="仿宋" w:eastAsia="仿宋" w:cs="Times New Roman"/>
          <w:sz w:val="28"/>
          <w:szCs w:val="28"/>
        </w:rPr>
        <w:t>付款方式</w:t>
      </w:r>
      <w:bookmarkEnd w:id="26"/>
      <w:bookmarkEnd w:id="27"/>
      <w:bookmarkEnd w:id="28"/>
    </w:p>
    <w:p w14:paraId="30A796A5">
      <w:pPr>
        <w:spacing w:after="156"/>
        <w:ind w:firstLine="420"/>
        <w:rPr>
          <w:rFonts w:ascii="仿宋" w:hAnsi="仿宋" w:eastAsia="仿宋" w:cs="微软雅黑"/>
          <w:sz w:val="28"/>
          <w:szCs w:val="28"/>
        </w:rPr>
      </w:pPr>
      <w:r>
        <w:rPr>
          <w:rFonts w:ascii="仿宋" w:hAnsi="仿宋" w:eastAsia="仿宋" w:cs="微软雅黑"/>
          <w:sz w:val="28"/>
          <w:szCs w:val="28"/>
        </w:rPr>
        <w:t>本项目拟按季度与中标单位进行结算，</w:t>
      </w:r>
      <w:r>
        <w:rPr>
          <w:rFonts w:hint="eastAsia" w:ascii="仿宋" w:hAnsi="仿宋" w:eastAsia="仿宋" w:cs="微软雅黑"/>
          <w:sz w:val="28"/>
          <w:szCs w:val="28"/>
        </w:rPr>
        <w:t>通过项目阶段验收或提供证明材料并根据考核评分结果，在完成该周期服务后，分期支付。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439231"/>
    </w:sdtPr>
    <w:sdtContent>
      <w:p w14:paraId="2B13EA74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6FF1D88E">
    <w:pPr>
      <w:pStyle w:val="1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CD3CA3"/>
    <w:multiLevelType w:val="multilevel"/>
    <w:tmpl w:val="39CD3CA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D508B5"/>
    <w:multiLevelType w:val="multilevel"/>
    <w:tmpl w:val="52D508B5"/>
    <w:lvl w:ilvl="0" w:tentative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121" w:hanging="420"/>
      </w:pPr>
    </w:lvl>
    <w:lvl w:ilvl="2" w:tentative="0">
      <w:start w:val="1"/>
      <w:numFmt w:val="lowerRoman"/>
      <w:lvlText w:val="%3."/>
      <w:lvlJc w:val="right"/>
      <w:pPr>
        <w:ind w:left="1541" w:hanging="420"/>
      </w:pPr>
    </w:lvl>
    <w:lvl w:ilvl="3" w:tentative="0">
      <w:start w:val="1"/>
      <w:numFmt w:val="decimal"/>
      <w:lvlText w:val="%4."/>
      <w:lvlJc w:val="left"/>
      <w:pPr>
        <w:ind w:left="1961" w:hanging="420"/>
      </w:pPr>
    </w:lvl>
    <w:lvl w:ilvl="4" w:tentative="0">
      <w:start w:val="1"/>
      <w:numFmt w:val="lowerLetter"/>
      <w:lvlText w:val="%5)"/>
      <w:lvlJc w:val="left"/>
      <w:pPr>
        <w:ind w:left="2381" w:hanging="420"/>
      </w:pPr>
    </w:lvl>
    <w:lvl w:ilvl="5" w:tentative="0">
      <w:start w:val="1"/>
      <w:numFmt w:val="lowerRoman"/>
      <w:lvlText w:val="%6."/>
      <w:lvlJc w:val="right"/>
      <w:pPr>
        <w:ind w:left="2801" w:hanging="420"/>
      </w:pPr>
    </w:lvl>
    <w:lvl w:ilvl="6" w:tentative="0">
      <w:start w:val="1"/>
      <w:numFmt w:val="decimal"/>
      <w:lvlText w:val="%7."/>
      <w:lvlJc w:val="left"/>
      <w:pPr>
        <w:ind w:left="3221" w:hanging="420"/>
      </w:pPr>
    </w:lvl>
    <w:lvl w:ilvl="7" w:tentative="0">
      <w:start w:val="1"/>
      <w:numFmt w:val="lowerLetter"/>
      <w:lvlText w:val="%8)"/>
      <w:lvlJc w:val="left"/>
      <w:pPr>
        <w:ind w:left="3641" w:hanging="420"/>
      </w:pPr>
    </w:lvl>
    <w:lvl w:ilvl="8" w:tentative="0">
      <w:start w:val="1"/>
      <w:numFmt w:val="lowerRoman"/>
      <w:lvlText w:val="%9."/>
      <w:lvlJc w:val="right"/>
      <w:pPr>
        <w:ind w:left="4061" w:hanging="420"/>
      </w:pPr>
    </w:lvl>
  </w:abstractNum>
  <w:abstractNum w:abstractNumId="2">
    <w:nsid w:val="71E53D21"/>
    <w:multiLevelType w:val="multilevel"/>
    <w:tmpl w:val="71E53D2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4B288E"/>
    <w:multiLevelType w:val="multilevel"/>
    <w:tmpl w:val="7C4B288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DA"/>
    <w:rsid w:val="00011372"/>
    <w:rsid w:val="000114B5"/>
    <w:rsid w:val="000127FA"/>
    <w:rsid w:val="0001603C"/>
    <w:rsid w:val="000204A3"/>
    <w:rsid w:val="00021B00"/>
    <w:rsid w:val="00024FC4"/>
    <w:rsid w:val="00041D91"/>
    <w:rsid w:val="0004758D"/>
    <w:rsid w:val="00054E00"/>
    <w:rsid w:val="00056BB3"/>
    <w:rsid w:val="0006128E"/>
    <w:rsid w:val="00061DBC"/>
    <w:rsid w:val="0006204A"/>
    <w:rsid w:val="0006480A"/>
    <w:rsid w:val="00083212"/>
    <w:rsid w:val="00085BF1"/>
    <w:rsid w:val="0009212D"/>
    <w:rsid w:val="000935A2"/>
    <w:rsid w:val="000942BF"/>
    <w:rsid w:val="00097BA0"/>
    <w:rsid w:val="000A0C3F"/>
    <w:rsid w:val="000A25EB"/>
    <w:rsid w:val="000A6B09"/>
    <w:rsid w:val="000C26D1"/>
    <w:rsid w:val="000D30D2"/>
    <w:rsid w:val="000D4B8D"/>
    <w:rsid w:val="000D6D49"/>
    <w:rsid w:val="000E0129"/>
    <w:rsid w:val="000E56F8"/>
    <w:rsid w:val="000E57D1"/>
    <w:rsid w:val="000E5E95"/>
    <w:rsid w:val="000E6D8F"/>
    <w:rsid w:val="000E70D0"/>
    <w:rsid w:val="000E796E"/>
    <w:rsid w:val="001033AB"/>
    <w:rsid w:val="00107A46"/>
    <w:rsid w:val="001106D4"/>
    <w:rsid w:val="00110E8D"/>
    <w:rsid w:val="00111B91"/>
    <w:rsid w:val="00116A6B"/>
    <w:rsid w:val="001176DD"/>
    <w:rsid w:val="001237C6"/>
    <w:rsid w:val="00126074"/>
    <w:rsid w:val="00126FFC"/>
    <w:rsid w:val="0013213E"/>
    <w:rsid w:val="00135BF4"/>
    <w:rsid w:val="001369EA"/>
    <w:rsid w:val="00136FCF"/>
    <w:rsid w:val="001419F0"/>
    <w:rsid w:val="00141B16"/>
    <w:rsid w:val="00145969"/>
    <w:rsid w:val="001468EE"/>
    <w:rsid w:val="00152090"/>
    <w:rsid w:val="00153237"/>
    <w:rsid w:val="0015446F"/>
    <w:rsid w:val="001613E2"/>
    <w:rsid w:val="001616CA"/>
    <w:rsid w:val="00162932"/>
    <w:rsid w:val="00164ACB"/>
    <w:rsid w:val="00166BDA"/>
    <w:rsid w:val="00170293"/>
    <w:rsid w:val="0017144F"/>
    <w:rsid w:val="00171B6F"/>
    <w:rsid w:val="0017346F"/>
    <w:rsid w:val="0018402A"/>
    <w:rsid w:val="00192E79"/>
    <w:rsid w:val="00194D8E"/>
    <w:rsid w:val="00196F5F"/>
    <w:rsid w:val="001A0C88"/>
    <w:rsid w:val="001A516D"/>
    <w:rsid w:val="001B1102"/>
    <w:rsid w:val="001C0656"/>
    <w:rsid w:val="001C1098"/>
    <w:rsid w:val="001C2798"/>
    <w:rsid w:val="001C5C9F"/>
    <w:rsid w:val="001C6CD9"/>
    <w:rsid w:val="001D3B5C"/>
    <w:rsid w:val="001D52B0"/>
    <w:rsid w:val="001D6B89"/>
    <w:rsid w:val="001E7A70"/>
    <w:rsid w:val="001F3969"/>
    <w:rsid w:val="001F5839"/>
    <w:rsid w:val="00213E73"/>
    <w:rsid w:val="00221F23"/>
    <w:rsid w:val="00222898"/>
    <w:rsid w:val="00224D97"/>
    <w:rsid w:val="00225F47"/>
    <w:rsid w:val="00226484"/>
    <w:rsid w:val="002265C2"/>
    <w:rsid w:val="00230E23"/>
    <w:rsid w:val="00234411"/>
    <w:rsid w:val="00241D3D"/>
    <w:rsid w:val="00242903"/>
    <w:rsid w:val="002518E2"/>
    <w:rsid w:val="0025264E"/>
    <w:rsid w:val="0025437F"/>
    <w:rsid w:val="002576A1"/>
    <w:rsid w:val="002630CD"/>
    <w:rsid w:val="00263F43"/>
    <w:rsid w:val="00264FF5"/>
    <w:rsid w:val="00265EE0"/>
    <w:rsid w:val="00277641"/>
    <w:rsid w:val="00277C96"/>
    <w:rsid w:val="00282C18"/>
    <w:rsid w:val="00283C98"/>
    <w:rsid w:val="00284ED8"/>
    <w:rsid w:val="00285254"/>
    <w:rsid w:val="00287DAA"/>
    <w:rsid w:val="0029255B"/>
    <w:rsid w:val="002930FA"/>
    <w:rsid w:val="002A4110"/>
    <w:rsid w:val="002A445E"/>
    <w:rsid w:val="002B4412"/>
    <w:rsid w:val="002B549A"/>
    <w:rsid w:val="002B7994"/>
    <w:rsid w:val="002B7D23"/>
    <w:rsid w:val="002C3AB2"/>
    <w:rsid w:val="002C4F17"/>
    <w:rsid w:val="002D25DA"/>
    <w:rsid w:val="002D5BAB"/>
    <w:rsid w:val="002D5D13"/>
    <w:rsid w:val="002E0184"/>
    <w:rsid w:val="002E04A8"/>
    <w:rsid w:val="002E5D67"/>
    <w:rsid w:val="002F5AC6"/>
    <w:rsid w:val="00301ADA"/>
    <w:rsid w:val="00313B09"/>
    <w:rsid w:val="00315205"/>
    <w:rsid w:val="00315B63"/>
    <w:rsid w:val="003174B4"/>
    <w:rsid w:val="00326463"/>
    <w:rsid w:val="00327055"/>
    <w:rsid w:val="003307D2"/>
    <w:rsid w:val="0033644D"/>
    <w:rsid w:val="0034252B"/>
    <w:rsid w:val="00350E14"/>
    <w:rsid w:val="003534D6"/>
    <w:rsid w:val="00354B3B"/>
    <w:rsid w:val="0035547B"/>
    <w:rsid w:val="0035581C"/>
    <w:rsid w:val="0035617B"/>
    <w:rsid w:val="00360222"/>
    <w:rsid w:val="0036038B"/>
    <w:rsid w:val="00361785"/>
    <w:rsid w:val="00362BBF"/>
    <w:rsid w:val="003652DD"/>
    <w:rsid w:val="00370CFB"/>
    <w:rsid w:val="00372865"/>
    <w:rsid w:val="00375DC0"/>
    <w:rsid w:val="003778D2"/>
    <w:rsid w:val="00381256"/>
    <w:rsid w:val="003836D6"/>
    <w:rsid w:val="00385812"/>
    <w:rsid w:val="00385AE7"/>
    <w:rsid w:val="00391D61"/>
    <w:rsid w:val="00395D93"/>
    <w:rsid w:val="003A0C40"/>
    <w:rsid w:val="003A1FA7"/>
    <w:rsid w:val="003A35C4"/>
    <w:rsid w:val="003A3625"/>
    <w:rsid w:val="003A4241"/>
    <w:rsid w:val="003B5592"/>
    <w:rsid w:val="003B628A"/>
    <w:rsid w:val="003C5A05"/>
    <w:rsid w:val="003D0AB5"/>
    <w:rsid w:val="003D31FB"/>
    <w:rsid w:val="003D6020"/>
    <w:rsid w:val="003D7E59"/>
    <w:rsid w:val="003E6EF6"/>
    <w:rsid w:val="003F6602"/>
    <w:rsid w:val="003F747F"/>
    <w:rsid w:val="004015F6"/>
    <w:rsid w:val="004039DB"/>
    <w:rsid w:val="004053CC"/>
    <w:rsid w:val="00407B30"/>
    <w:rsid w:val="00407EBF"/>
    <w:rsid w:val="004121F5"/>
    <w:rsid w:val="0041572A"/>
    <w:rsid w:val="00423C20"/>
    <w:rsid w:val="00426511"/>
    <w:rsid w:val="004324EA"/>
    <w:rsid w:val="00436303"/>
    <w:rsid w:val="004418F3"/>
    <w:rsid w:val="004529C4"/>
    <w:rsid w:val="004533B8"/>
    <w:rsid w:val="0046597F"/>
    <w:rsid w:val="00467819"/>
    <w:rsid w:val="00467A78"/>
    <w:rsid w:val="004724D0"/>
    <w:rsid w:val="00473283"/>
    <w:rsid w:val="00475011"/>
    <w:rsid w:val="00476871"/>
    <w:rsid w:val="004819AE"/>
    <w:rsid w:val="00490EBC"/>
    <w:rsid w:val="004A3EF6"/>
    <w:rsid w:val="004B662F"/>
    <w:rsid w:val="004D35F2"/>
    <w:rsid w:val="004D44FC"/>
    <w:rsid w:val="004D7192"/>
    <w:rsid w:val="004E183E"/>
    <w:rsid w:val="004E186D"/>
    <w:rsid w:val="004E5F19"/>
    <w:rsid w:val="005043A2"/>
    <w:rsid w:val="005101DD"/>
    <w:rsid w:val="00510D2A"/>
    <w:rsid w:val="00510F46"/>
    <w:rsid w:val="00515FD5"/>
    <w:rsid w:val="00522390"/>
    <w:rsid w:val="00522AE2"/>
    <w:rsid w:val="00524800"/>
    <w:rsid w:val="00527DBA"/>
    <w:rsid w:val="00531346"/>
    <w:rsid w:val="00534B51"/>
    <w:rsid w:val="00537F9D"/>
    <w:rsid w:val="00552C63"/>
    <w:rsid w:val="00552D59"/>
    <w:rsid w:val="005577FE"/>
    <w:rsid w:val="0056620B"/>
    <w:rsid w:val="00570F46"/>
    <w:rsid w:val="00571480"/>
    <w:rsid w:val="00572FA5"/>
    <w:rsid w:val="005759E2"/>
    <w:rsid w:val="005826C1"/>
    <w:rsid w:val="005832D4"/>
    <w:rsid w:val="00584FC4"/>
    <w:rsid w:val="00590FC3"/>
    <w:rsid w:val="00594AED"/>
    <w:rsid w:val="00594FE2"/>
    <w:rsid w:val="005951BE"/>
    <w:rsid w:val="00597515"/>
    <w:rsid w:val="005A0C06"/>
    <w:rsid w:val="005B39A8"/>
    <w:rsid w:val="005B5FA6"/>
    <w:rsid w:val="005B63A6"/>
    <w:rsid w:val="005B75FF"/>
    <w:rsid w:val="005C49B3"/>
    <w:rsid w:val="005C687F"/>
    <w:rsid w:val="005D059F"/>
    <w:rsid w:val="005D1575"/>
    <w:rsid w:val="005D3660"/>
    <w:rsid w:val="005E04F8"/>
    <w:rsid w:val="005E1E17"/>
    <w:rsid w:val="005E582E"/>
    <w:rsid w:val="005F0029"/>
    <w:rsid w:val="005F2A55"/>
    <w:rsid w:val="005F2AB8"/>
    <w:rsid w:val="005F52B4"/>
    <w:rsid w:val="005F644E"/>
    <w:rsid w:val="006036B0"/>
    <w:rsid w:val="00607AD8"/>
    <w:rsid w:val="006102AF"/>
    <w:rsid w:val="00617E72"/>
    <w:rsid w:val="006238B8"/>
    <w:rsid w:val="006255D8"/>
    <w:rsid w:val="006323E6"/>
    <w:rsid w:val="006329AB"/>
    <w:rsid w:val="00633A2E"/>
    <w:rsid w:val="00634B92"/>
    <w:rsid w:val="00637AF1"/>
    <w:rsid w:val="0065207E"/>
    <w:rsid w:val="0065450D"/>
    <w:rsid w:val="0065530E"/>
    <w:rsid w:val="00660AA9"/>
    <w:rsid w:val="00664891"/>
    <w:rsid w:val="006678A2"/>
    <w:rsid w:val="006726F4"/>
    <w:rsid w:val="00675CD7"/>
    <w:rsid w:val="00676500"/>
    <w:rsid w:val="00677A01"/>
    <w:rsid w:val="00682E38"/>
    <w:rsid w:val="0068407F"/>
    <w:rsid w:val="0068451B"/>
    <w:rsid w:val="006855EF"/>
    <w:rsid w:val="006879D0"/>
    <w:rsid w:val="00695020"/>
    <w:rsid w:val="00695D74"/>
    <w:rsid w:val="006A0B04"/>
    <w:rsid w:val="006A703C"/>
    <w:rsid w:val="006C1B35"/>
    <w:rsid w:val="006D2BAD"/>
    <w:rsid w:val="006D3C76"/>
    <w:rsid w:val="006E023D"/>
    <w:rsid w:val="006E28B1"/>
    <w:rsid w:val="006E3160"/>
    <w:rsid w:val="006E72D5"/>
    <w:rsid w:val="006F0595"/>
    <w:rsid w:val="006F135F"/>
    <w:rsid w:val="006F1504"/>
    <w:rsid w:val="006F343C"/>
    <w:rsid w:val="006F3591"/>
    <w:rsid w:val="006F4099"/>
    <w:rsid w:val="00704811"/>
    <w:rsid w:val="00706BD0"/>
    <w:rsid w:val="00710379"/>
    <w:rsid w:val="0071068A"/>
    <w:rsid w:val="00710817"/>
    <w:rsid w:val="0071090F"/>
    <w:rsid w:val="0071182F"/>
    <w:rsid w:val="00713831"/>
    <w:rsid w:val="0071472E"/>
    <w:rsid w:val="007258EC"/>
    <w:rsid w:val="00727DB0"/>
    <w:rsid w:val="00733669"/>
    <w:rsid w:val="00734B3F"/>
    <w:rsid w:val="0074479C"/>
    <w:rsid w:val="007522F1"/>
    <w:rsid w:val="00756AB4"/>
    <w:rsid w:val="00760EF3"/>
    <w:rsid w:val="0076141C"/>
    <w:rsid w:val="00764036"/>
    <w:rsid w:val="00766184"/>
    <w:rsid w:val="00770766"/>
    <w:rsid w:val="007874B6"/>
    <w:rsid w:val="00792443"/>
    <w:rsid w:val="00794F6F"/>
    <w:rsid w:val="00795735"/>
    <w:rsid w:val="0079662E"/>
    <w:rsid w:val="007A0048"/>
    <w:rsid w:val="007A1641"/>
    <w:rsid w:val="007A3079"/>
    <w:rsid w:val="007A3FB6"/>
    <w:rsid w:val="007A4579"/>
    <w:rsid w:val="007B39AB"/>
    <w:rsid w:val="007B3BD7"/>
    <w:rsid w:val="007B7955"/>
    <w:rsid w:val="007C7D82"/>
    <w:rsid w:val="007D4E23"/>
    <w:rsid w:val="007D598D"/>
    <w:rsid w:val="007D75B7"/>
    <w:rsid w:val="007E27FE"/>
    <w:rsid w:val="007E3337"/>
    <w:rsid w:val="007E4D51"/>
    <w:rsid w:val="007E65FF"/>
    <w:rsid w:val="007F1916"/>
    <w:rsid w:val="007F6A55"/>
    <w:rsid w:val="0081266A"/>
    <w:rsid w:val="0082275D"/>
    <w:rsid w:val="008229D7"/>
    <w:rsid w:val="00825025"/>
    <w:rsid w:val="00826E69"/>
    <w:rsid w:val="00834FCB"/>
    <w:rsid w:val="0083586C"/>
    <w:rsid w:val="00837D2D"/>
    <w:rsid w:val="008408DF"/>
    <w:rsid w:val="00843405"/>
    <w:rsid w:val="00843F5F"/>
    <w:rsid w:val="0085240C"/>
    <w:rsid w:val="008525E7"/>
    <w:rsid w:val="008545FB"/>
    <w:rsid w:val="0086049E"/>
    <w:rsid w:val="00860988"/>
    <w:rsid w:val="00861403"/>
    <w:rsid w:val="008634F0"/>
    <w:rsid w:val="00864BA0"/>
    <w:rsid w:val="008657B7"/>
    <w:rsid w:val="00872B2D"/>
    <w:rsid w:val="008733AE"/>
    <w:rsid w:val="008772BE"/>
    <w:rsid w:val="0088159B"/>
    <w:rsid w:val="00881DB3"/>
    <w:rsid w:val="008912F3"/>
    <w:rsid w:val="008A3A73"/>
    <w:rsid w:val="008A6387"/>
    <w:rsid w:val="008C002B"/>
    <w:rsid w:val="008C6E01"/>
    <w:rsid w:val="008D3E26"/>
    <w:rsid w:val="008D561B"/>
    <w:rsid w:val="008E17A5"/>
    <w:rsid w:val="008E3C20"/>
    <w:rsid w:val="008F2B5F"/>
    <w:rsid w:val="00907563"/>
    <w:rsid w:val="00907F8D"/>
    <w:rsid w:val="00913876"/>
    <w:rsid w:val="0091468E"/>
    <w:rsid w:val="00914A53"/>
    <w:rsid w:val="0091528A"/>
    <w:rsid w:val="009269B0"/>
    <w:rsid w:val="00932DDA"/>
    <w:rsid w:val="009352D8"/>
    <w:rsid w:val="00936B7B"/>
    <w:rsid w:val="00936FB2"/>
    <w:rsid w:val="00937C7A"/>
    <w:rsid w:val="00941C70"/>
    <w:rsid w:val="009429BF"/>
    <w:rsid w:val="00942AA4"/>
    <w:rsid w:val="009453AA"/>
    <w:rsid w:val="009478DC"/>
    <w:rsid w:val="00952D34"/>
    <w:rsid w:val="00973F24"/>
    <w:rsid w:val="0098108D"/>
    <w:rsid w:val="0098187E"/>
    <w:rsid w:val="0098197D"/>
    <w:rsid w:val="00981BFB"/>
    <w:rsid w:val="0098769E"/>
    <w:rsid w:val="009947CA"/>
    <w:rsid w:val="009A1D8D"/>
    <w:rsid w:val="009A1F44"/>
    <w:rsid w:val="009A6074"/>
    <w:rsid w:val="009A6E16"/>
    <w:rsid w:val="009B0661"/>
    <w:rsid w:val="009B2217"/>
    <w:rsid w:val="009D4E2A"/>
    <w:rsid w:val="009F1F65"/>
    <w:rsid w:val="009F28A5"/>
    <w:rsid w:val="009F591B"/>
    <w:rsid w:val="009F748F"/>
    <w:rsid w:val="009F760F"/>
    <w:rsid w:val="00A00509"/>
    <w:rsid w:val="00A02898"/>
    <w:rsid w:val="00A111DE"/>
    <w:rsid w:val="00A13522"/>
    <w:rsid w:val="00A13A3D"/>
    <w:rsid w:val="00A15A72"/>
    <w:rsid w:val="00A22805"/>
    <w:rsid w:val="00A23570"/>
    <w:rsid w:val="00A255CD"/>
    <w:rsid w:val="00A25C2A"/>
    <w:rsid w:val="00A2671A"/>
    <w:rsid w:val="00A315E7"/>
    <w:rsid w:val="00A31A42"/>
    <w:rsid w:val="00A34447"/>
    <w:rsid w:val="00A47742"/>
    <w:rsid w:val="00A51B71"/>
    <w:rsid w:val="00A52ED8"/>
    <w:rsid w:val="00A55F06"/>
    <w:rsid w:val="00A56251"/>
    <w:rsid w:val="00A62C38"/>
    <w:rsid w:val="00A63A41"/>
    <w:rsid w:val="00A64858"/>
    <w:rsid w:val="00A75FEC"/>
    <w:rsid w:val="00A80435"/>
    <w:rsid w:val="00A8442D"/>
    <w:rsid w:val="00A857EF"/>
    <w:rsid w:val="00A9426D"/>
    <w:rsid w:val="00AA2353"/>
    <w:rsid w:val="00AA263C"/>
    <w:rsid w:val="00AA3B04"/>
    <w:rsid w:val="00AA5699"/>
    <w:rsid w:val="00AA664A"/>
    <w:rsid w:val="00AB4BBB"/>
    <w:rsid w:val="00AC40DC"/>
    <w:rsid w:val="00AC4DED"/>
    <w:rsid w:val="00AD0F38"/>
    <w:rsid w:val="00AD3699"/>
    <w:rsid w:val="00AE60F4"/>
    <w:rsid w:val="00AE68D5"/>
    <w:rsid w:val="00AE77AC"/>
    <w:rsid w:val="00AF04D7"/>
    <w:rsid w:val="00AF093D"/>
    <w:rsid w:val="00B02816"/>
    <w:rsid w:val="00B03AB0"/>
    <w:rsid w:val="00B068B5"/>
    <w:rsid w:val="00B104B5"/>
    <w:rsid w:val="00B11D6C"/>
    <w:rsid w:val="00B1344F"/>
    <w:rsid w:val="00B13741"/>
    <w:rsid w:val="00B13945"/>
    <w:rsid w:val="00B15BDD"/>
    <w:rsid w:val="00B15EFE"/>
    <w:rsid w:val="00B1766E"/>
    <w:rsid w:val="00B17C48"/>
    <w:rsid w:val="00B2328F"/>
    <w:rsid w:val="00B24D74"/>
    <w:rsid w:val="00B3026B"/>
    <w:rsid w:val="00B332BC"/>
    <w:rsid w:val="00B3576F"/>
    <w:rsid w:val="00B36AA6"/>
    <w:rsid w:val="00B4536D"/>
    <w:rsid w:val="00B46E5B"/>
    <w:rsid w:val="00B510C9"/>
    <w:rsid w:val="00B519E0"/>
    <w:rsid w:val="00B532AF"/>
    <w:rsid w:val="00B53F73"/>
    <w:rsid w:val="00B606C6"/>
    <w:rsid w:val="00B60AFA"/>
    <w:rsid w:val="00B628FF"/>
    <w:rsid w:val="00B64F69"/>
    <w:rsid w:val="00B7054E"/>
    <w:rsid w:val="00B726B1"/>
    <w:rsid w:val="00B73988"/>
    <w:rsid w:val="00B7557D"/>
    <w:rsid w:val="00B763D6"/>
    <w:rsid w:val="00B81C5A"/>
    <w:rsid w:val="00B8785A"/>
    <w:rsid w:val="00B93F3F"/>
    <w:rsid w:val="00BA05C4"/>
    <w:rsid w:val="00BA32B5"/>
    <w:rsid w:val="00BA4B49"/>
    <w:rsid w:val="00BA7025"/>
    <w:rsid w:val="00BB2F52"/>
    <w:rsid w:val="00BB57BC"/>
    <w:rsid w:val="00BB68BC"/>
    <w:rsid w:val="00BC2FEE"/>
    <w:rsid w:val="00BC354E"/>
    <w:rsid w:val="00BC5972"/>
    <w:rsid w:val="00BD0EDE"/>
    <w:rsid w:val="00BD2791"/>
    <w:rsid w:val="00BD3B67"/>
    <w:rsid w:val="00BD49F0"/>
    <w:rsid w:val="00BE038C"/>
    <w:rsid w:val="00BE1660"/>
    <w:rsid w:val="00BE3AD6"/>
    <w:rsid w:val="00BE6266"/>
    <w:rsid w:val="00BF3741"/>
    <w:rsid w:val="00C0192B"/>
    <w:rsid w:val="00C0775E"/>
    <w:rsid w:val="00C1080D"/>
    <w:rsid w:val="00C11122"/>
    <w:rsid w:val="00C11D41"/>
    <w:rsid w:val="00C17D84"/>
    <w:rsid w:val="00C2170C"/>
    <w:rsid w:val="00C23FF0"/>
    <w:rsid w:val="00C26CC6"/>
    <w:rsid w:val="00C31E06"/>
    <w:rsid w:val="00C3436C"/>
    <w:rsid w:val="00C370CB"/>
    <w:rsid w:val="00C37DF0"/>
    <w:rsid w:val="00C430D5"/>
    <w:rsid w:val="00C51BA9"/>
    <w:rsid w:val="00C530AB"/>
    <w:rsid w:val="00C624A2"/>
    <w:rsid w:val="00C633E6"/>
    <w:rsid w:val="00C77915"/>
    <w:rsid w:val="00C779AA"/>
    <w:rsid w:val="00C8402E"/>
    <w:rsid w:val="00C8453D"/>
    <w:rsid w:val="00C8453E"/>
    <w:rsid w:val="00C91066"/>
    <w:rsid w:val="00C92266"/>
    <w:rsid w:val="00C922F3"/>
    <w:rsid w:val="00C93731"/>
    <w:rsid w:val="00C955AD"/>
    <w:rsid w:val="00C95700"/>
    <w:rsid w:val="00C9635D"/>
    <w:rsid w:val="00C97269"/>
    <w:rsid w:val="00CA1726"/>
    <w:rsid w:val="00CA35DF"/>
    <w:rsid w:val="00CA3632"/>
    <w:rsid w:val="00CA4C8C"/>
    <w:rsid w:val="00CA66DA"/>
    <w:rsid w:val="00CA6AB3"/>
    <w:rsid w:val="00CB5EA5"/>
    <w:rsid w:val="00CC18B3"/>
    <w:rsid w:val="00CC1B79"/>
    <w:rsid w:val="00CC1EFC"/>
    <w:rsid w:val="00CC3FD8"/>
    <w:rsid w:val="00CD0CF5"/>
    <w:rsid w:val="00CD2FD7"/>
    <w:rsid w:val="00CD5E2C"/>
    <w:rsid w:val="00CE307D"/>
    <w:rsid w:val="00CE5616"/>
    <w:rsid w:val="00CF7A98"/>
    <w:rsid w:val="00D0171F"/>
    <w:rsid w:val="00D11129"/>
    <w:rsid w:val="00D12CCB"/>
    <w:rsid w:val="00D136BB"/>
    <w:rsid w:val="00D16AA1"/>
    <w:rsid w:val="00D1753B"/>
    <w:rsid w:val="00D17DBA"/>
    <w:rsid w:val="00D22450"/>
    <w:rsid w:val="00D22A68"/>
    <w:rsid w:val="00D2314D"/>
    <w:rsid w:val="00D24AB3"/>
    <w:rsid w:val="00D2600D"/>
    <w:rsid w:val="00D343E3"/>
    <w:rsid w:val="00D37EFE"/>
    <w:rsid w:val="00D40324"/>
    <w:rsid w:val="00D4174A"/>
    <w:rsid w:val="00D43805"/>
    <w:rsid w:val="00D50BF5"/>
    <w:rsid w:val="00D56646"/>
    <w:rsid w:val="00D56F4B"/>
    <w:rsid w:val="00D602EA"/>
    <w:rsid w:val="00D61C18"/>
    <w:rsid w:val="00D7223A"/>
    <w:rsid w:val="00D73F1E"/>
    <w:rsid w:val="00D81C2D"/>
    <w:rsid w:val="00D81F29"/>
    <w:rsid w:val="00D82788"/>
    <w:rsid w:val="00D83116"/>
    <w:rsid w:val="00D84041"/>
    <w:rsid w:val="00D87947"/>
    <w:rsid w:val="00D90B35"/>
    <w:rsid w:val="00D941ED"/>
    <w:rsid w:val="00D95F19"/>
    <w:rsid w:val="00DA12F8"/>
    <w:rsid w:val="00DA12FF"/>
    <w:rsid w:val="00DA46C2"/>
    <w:rsid w:val="00DA4AB5"/>
    <w:rsid w:val="00DA6034"/>
    <w:rsid w:val="00DB360E"/>
    <w:rsid w:val="00DB3C92"/>
    <w:rsid w:val="00DB78B9"/>
    <w:rsid w:val="00DC1018"/>
    <w:rsid w:val="00DC57AE"/>
    <w:rsid w:val="00DD5C18"/>
    <w:rsid w:val="00DE33C5"/>
    <w:rsid w:val="00DE3485"/>
    <w:rsid w:val="00DE65A1"/>
    <w:rsid w:val="00DF03C3"/>
    <w:rsid w:val="00DF09E8"/>
    <w:rsid w:val="00DF0C2C"/>
    <w:rsid w:val="00DF3F3A"/>
    <w:rsid w:val="00DF404C"/>
    <w:rsid w:val="00E0029A"/>
    <w:rsid w:val="00E00F86"/>
    <w:rsid w:val="00E11212"/>
    <w:rsid w:val="00E25C7A"/>
    <w:rsid w:val="00E27A95"/>
    <w:rsid w:val="00E3297D"/>
    <w:rsid w:val="00E343D0"/>
    <w:rsid w:val="00E3751F"/>
    <w:rsid w:val="00E3778A"/>
    <w:rsid w:val="00E4303F"/>
    <w:rsid w:val="00E45ECF"/>
    <w:rsid w:val="00E5036B"/>
    <w:rsid w:val="00E5118E"/>
    <w:rsid w:val="00E5288B"/>
    <w:rsid w:val="00E55451"/>
    <w:rsid w:val="00E56574"/>
    <w:rsid w:val="00E617C2"/>
    <w:rsid w:val="00E71823"/>
    <w:rsid w:val="00E80942"/>
    <w:rsid w:val="00E90AD8"/>
    <w:rsid w:val="00E94932"/>
    <w:rsid w:val="00EA0BB9"/>
    <w:rsid w:val="00EA17DB"/>
    <w:rsid w:val="00EA28DB"/>
    <w:rsid w:val="00EB04DB"/>
    <w:rsid w:val="00EB162F"/>
    <w:rsid w:val="00ED2AE6"/>
    <w:rsid w:val="00ED79A7"/>
    <w:rsid w:val="00EE5287"/>
    <w:rsid w:val="00EE65DA"/>
    <w:rsid w:val="00EE7589"/>
    <w:rsid w:val="00F0403B"/>
    <w:rsid w:val="00F06262"/>
    <w:rsid w:val="00F07F4E"/>
    <w:rsid w:val="00F10E5D"/>
    <w:rsid w:val="00F169EB"/>
    <w:rsid w:val="00F16B68"/>
    <w:rsid w:val="00F16BA9"/>
    <w:rsid w:val="00F20491"/>
    <w:rsid w:val="00F21254"/>
    <w:rsid w:val="00F307C9"/>
    <w:rsid w:val="00F342F3"/>
    <w:rsid w:val="00F404A7"/>
    <w:rsid w:val="00F408AF"/>
    <w:rsid w:val="00F418D4"/>
    <w:rsid w:val="00F43157"/>
    <w:rsid w:val="00F43B2C"/>
    <w:rsid w:val="00F460C5"/>
    <w:rsid w:val="00F503EF"/>
    <w:rsid w:val="00F50A62"/>
    <w:rsid w:val="00F53EA6"/>
    <w:rsid w:val="00F5698B"/>
    <w:rsid w:val="00F578E7"/>
    <w:rsid w:val="00F6177A"/>
    <w:rsid w:val="00F6331A"/>
    <w:rsid w:val="00F63EFD"/>
    <w:rsid w:val="00F64819"/>
    <w:rsid w:val="00F65A05"/>
    <w:rsid w:val="00F65B17"/>
    <w:rsid w:val="00F65F57"/>
    <w:rsid w:val="00F721D6"/>
    <w:rsid w:val="00F72839"/>
    <w:rsid w:val="00F8346B"/>
    <w:rsid w:val="00F841A4"/>
    <w:rsid w:val="00F86FED"/>
    <w:rsid w:val="00F90345"/>
    <w:rsid w:val="00F910C1"/>
    <w:rsid w:val="00F94412"/>
    <w:rsid w:val="00F961BA"/>
    <w:rsid w:val="00FA190E"/>
    <w:rsid w:val="00FA206F"/>
    <w:rsid w:val="00FB538B"/>
    <w:rsid w:val="00FB7C50"/>
    <w:rsid w:val="00FC1CAB"/>
    <w:rsid w:val="00FC5318"/>
    <w:rsid w:val="00FD4425"/>
    <w:rsid w:val="00FD4B73"/>
    <w:rsid w:val="00FD50AF"/>
    <w:rsid w:val="00FE7BD7"/>
    <w:rsid w:val="00FF126C"/>
    <w:rsid w:val="00FF399C"/>
    <w:rsid w:val="03D55BD2"/>
    <w:rsid w:val="04256C0E"/>
    <w:rsid w:val="052960B5"/>
    <w:rsid w:val="076560DE"/>
    <w:rsid w:val="08C20C9B"/>
    <w:rsid w:val="0B58726C"/>
    <w:rsid w:val="0C0659BE"/>
    <w:rsid w:val="0C281202"/>
    <w:rsid w:val="122522F4"/>
    <w:rsid w:val="139B018B"/>
    <w:rsid w:val="13D61FE2"/>
    <w:rsid w:val="14B96F56"/>
    <w:rsid w:val="164E1A01"/>
    <w:rsid w:val="16BE03AC"/>
    <w:rsid w:val="172506DA"/>
    <w:rsid w:val="19BD757E"/>
    <w:rsid w:val="1B8FBE10"/>
    <w:rsid w:val="1BB78F78"/>
    <w:rsid w:val="1CA81895"/>
    <w:rsid w:val="1D1E60A9"/>
    <w:rsid w:val="1D1F38BF"/>
    <w:rsid w:val="1E3632BD"/>
    <w:rsid w:val="1E7A7700"/>
    <w:rsid w:val="1F7B1058"/>
    <w:rsid w:val="1FCF395D"/>
    <w:rsid w:val="1FFF4E33"/>
    <w:rsid w:val="20B162B9"/>
    <w:rsid w:val="21CF5D7C"/>
    <w:rsid w:val="268A389E"/>
    <w:rsid w:val="2A8B7A11"/>
    <w:rsid w:val="2C4F2738"/>
    <w:rsid w:val="2FB58058"/>
    <w:rsid w:val="30D70554"/>
    <w:rsid w:val="316456CD"/>
    <w:rsid w:val="338807C0"/>
    <w:rsid w:val="33CA7BFC"/>
    <w:rsid w:val="33D440C7"/>
    <w:rsid w:val="37AA182E"/>
    <w:rsid w:val="38E52E02"/>
    <w:rsid w:val="3A041D3D"/>
    <w:rsid w:val="3B135A43"/>
    <w:rsid w:val="3BEEC453"/>
    <w:rsid w:val="3C69480E"/>
    <w:rsid w:val="3CD978C5"/>
    <w:rsid w:val="3D26294C"/>
    <w:rsid w:val="3D6454D9"/>
    <w:rsid w:val="3D944055"/>
    <w:rsid w:val="3E53BCCD"/>
    <w:rsid w:val="3EC75767"/>
    <w:rsid w:val="3EF502BE"/>
    <w:rsid w:val="3FB34096"/>
    <w:rsid w:val="3FBBE8C2"/>
    <w:rsid w:val="422D4448"/>
    <w:rsid w:val="46691EFA"/>
    <w:rsid w:val="46D23EEA"/>
    <w:rsid w:val="48C23411"/>
    <w:rsid w:val="4A82013F"/>
    <w:rsid w:val="4A8F63AA"/>
    <w:rsid w:val="4B67C3BB"/>
    <w:rsid w:val="4BFE3F03"/>
    <w:rsid w:val="4C3D02C1"/>
    <w:rsid w:val="4DDD0018"/>
    <w:rsid w:val="4EF72D25"/>
    <w:rsid w:val="52C668E9"/>
    <w:rsid w:val="565B6F0A"/>
    <w:rsid w:val="57511686"/>
    <w:rsid w:val="578F9565"/>
    <w:rsid w:val="59BD6361"/>
    <w:rsid w:val="5A516A1E"/>
    <w:rsid w:val="5D50AD71"/>
    <w:rsid w:val="5D5F6ECF"/>
    <w:rsid w:val="5EFC225E"/>
    <w:rsid w:val="5F1E74DF"/>
    <w:rsid w:val="5F7FCB78"/>
    <w:rsid w:val="5FBF1F84"/>
    <w:rsid w:val="5FF3C0AA"/>
    <w:rsid w:val="60B817EE"/>
    <w:rsid w:val="6267001B"/>
    <w:rsid w:val="628A1B75"/>
    <w:rsid w:val="63621236"/>
    <w:rsid w:val="6397B245"/>
    <w:rsid w:val="66837560"/>
    <w:rsid w:val="66DFAAFB"/>
    <w:rsid w:val="66E0179E"/>
    <w:rsid w:val="67BF1ED5"/>
    <w:rsid w:val="69865550"/>
    <w:rsid w:val="6BBFD04B"/>
    <w:rsid w:val="6DDD0CF7"/>
    <w:rsid w:val="6F2EAA9A"/>
    <w:rsid w:val="6F863C50"/>
    <w:rsid w:val="6FEF00E3"/>
    <w:rsid w:val="6FEFBBA5"/>
    <w:rsid w:val="6FF9ACA0"/>
    <w:rsid w:val="6FFB4978"/>
    <w:rsid w:val="6FFE7877"/>
    <w:rsid w:val="6FFF0080"/>
    <w:rsid w:val="7137E98D"/>
    <w:rsid w:val="714F4AD5"/>
    <w:rsid w:val="71A206D3"/>
    <w:rsid w:val="72872937"/>
    <w:rsid w:val="72A77305"/>
    <w:rsid w:val="75D4EA8F"/>
    <w:rsid w:val="75DE4CA6"/>
    <w:rsid w:val="760B6BC4"/>
    <w:rsid w:val="7694498C"/>
    <w:rsid w:val="775D82AE"/>
    <w:rsid w:val="776D5F2C"/>
    <w:rsid w:val="777F30E2"/>
    <w:rsid w:val="77EDE3C8"/>
    <w:rsid w:val="77FFA061"/>
    <w:rsid w:val="7B0347D2"/>
    <w:rsid w:val="7B3AEC3E"/>
    <w:rsid w:val="7B537692"/>
    <w:rsid w:val="7BE2E5B7"/>
    <w:rsid w:val="7BFE7CA4"/>
    <w:rsid w:val="7BFFAAD7"/>
    <w:rsid w:val="7C3470DC"/>
    <w:rsid w:val="7C3D0260"/>
    <w:rsid w:val="7CAE2607"/>
    <w:rsid w:val="7CCF517B"/>
    <w:rsid w:val="7DB11369"/>
    <w:rsid w:val="7DEF326F"/>
    <w:rsid w:val="7E6A0128"/>
    <w:rsid w:val="7EBD7D63"/>
    <w:rsid w:val="7EDC0D63"/>
    <w:rsid w:val="7EDE6EE0"/>
    <w:rsid w:val="7F54B299"/>
    <w:rsid w:val="7F762A0F"/>
    <w:rsid w:val="7FDFE421"/>
    <w:rsid w:val="7FEB09C7"/>
    <w:rsid w:val="7FEF293D"/>
    <w:rsid w:val="7FEFAB0E"/>
    <w:rsid w:val="7FFA6EF7"/>
    <w:rsid w:val="8FDFE648"/>
    <w:rsid w:val="8FE77EF3"/>
    <w:rsid w:val="99EF1429"/>
    <w:rsid w:val="9FFF13B4"/>
    <w:rsid w:val="A579A6EB"/>
    <w:rsid w:val="A7D6CA1A"/>
    <w:rsid w:val="AEF86186"/>
    <w:rsid w:val="B6FD23D2"/>
    <w:rsid w:val="B7BFAA22"/>
    <w:rsid w:val="BB7591CE"/>
    <w:rsid w:val="BFE5FFA9"/>
    <w:rsid w:val="BFEBD202"/>
    <w:rsid w:val="BFFFD8CD"/>
    <w:rsid w:val="C8FC8005"/>
    <w:rsid w:val="CEFF2830"/>
    <w:rsid w:val="D8FEFDD0"/>
    <w:rsid w:val="D96DF666"/>
    <w:rsid w:val="DBFF2ED5"/>
    <w:rsid w:val="DF77A827"/>
    <w:rsid w:val="DFB58686"/>
    <w:rsid w:val="E73BF976"/>
    <w:rsid w:val="E77DD265"/>
    <w:rsid w:val="E7F747AC"/>
    <w:rsid w:val="ED1F7F69"/>
    <w:rsid w:val="ED64D499"/>
    <w:rsid w:val="EDF78C11"/>
    <w:rsid w:val="EECE5159"/>
    <w:rsid w:val="EEF661CB"/>
    <w:rsid w:val="EEFBD308"/>
    <w:rsid w:val="EEFD2F60"/>
    <w:rsid w:val="EF9DF5A0"/>
    <w:rsid w:val="EFCBBA1D"/>
    <w:rsid w:val="EFD5A46C"/>
    <w:rsid w:val="F26A6A41"/>
    <w:rsid w:val="F3F71731"/>
    <w:rsid w:val="F5D5A921"/>
    <w:rsid w:val="F5FFEFD1"/>
    <w:rsid w:val="F6FEEA36"/>
    <w:rsid w:val="F7FFD454"/>
    <w:rsid w:val="F97A30FE"/>
    <w:rsid w:val="F9D7ABA8"/>
    <w:rsid w:val="F9F358BF"/>
    <w:rsid w:val="FB7E026E"/>
    <w:rsid w:val="FB7FC9A7"/>
    <w:rsid w:val="FBDA03A3"/>
    <w:rsid w:val="FBEBACA1"/>
    <w:rsid w:val="FBFF3205"/>
    <w:rsid w:val="FC751FC4"/>
    <w:rsid w:val="FCF7D76B"/>
    <w:rsid w:val="FD5D4D4F"/>
    <w:rsid w:val="FDA4F51F"/>
    <w:rsid w:val="FDDD59FC"/>
    <w:rsid w:val="FEFFEF16"/>
    <w:rsid w:val="FF3B7800"/>
    <w:rsid w:val="FF7E5B2D"/>
    <w:rsid w:val="FF859BC8"/>
    <w:rsid w:val="FF8FB896"/>
    <w:rsid w:val="FFDB48DE"/>
    <w:rsid w:val="FFEBC9C1"/>
    <w:rsid w:val="FFFC85A3"/>
    <w:rsid w:val="FFFDAF8E"/>
    <w:rsid w:val="FFFFAE47"/>
    <w:rsid w:val="FFFFC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7">
    <w:name w:val="Normal Indent"/>
    <w:basedOn w:val="1"/>
    <w:link w:val="41"/>
    <w:qFormat/>
    <w:uiPriority w:val="0"/>
    <w:pPr>
      <w:spacing w:after="50" w:afterLines="50"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8">
    <w:name w:val="Document Map"/>
    <w:basedOn w:val="1"/>
    <w:link w:val="34"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38"/>
    <w:semiHidden/>
    <w:unhideWhenUsed/>
    <w:qFormat/>
    <w:uiPriority w:val="99"/>
    <w:pPr>
      <w:jc w:val="left"/>
    </w:pPr>
  </w:style>
  <w:style w:type="paragraph" w:styleId="10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13">
    <w:name w:val="Balloon Text"/>
    <w:basedOn w:val="1"/>
    <w:link w:val="33"/>
    <w:unhideWhenUsed/>
    <w:qFormat/>
    <w:uiPriority w:val="99"/>
    <w:rPr>
      <w:sz w:val="16"/>
      <w:szCs w:val="16"/>
    </w:rPr>
  </w:style>
  <w:style w:type="paragraph" w:styleId="14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</w:style>
  <w:style w:type="paragraph" w:styleId="17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8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annotation subject"/>
    <w:basedOn w:val="9"/>
    <w:next w:val="9"/>
    <w:link w:val="39"/>
    <w:semiHidden/>
    <w:unhideWhenUsed/>
    <w:qFormat/>
    <w:uiPriority w:val="99"/>
    <w:rPr>
      <w:b/>
      <w:bCs/>
    </w:rPr>
  </w:style>
  <w:style w:type="table" w:styleId="24">
    <w:name w:val="Table Grid"/>
    <w:basedOn w:val="2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basedOn w:val="2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7">
    <w:name w:val="annotation reference"/>
    <w:basedOn w:val="25"/>
    <w:semiHidden/>
    <w:unhideWhenUsed/>
    <w:qFormat/>
    <w:uiPriority w:val="99"/>
    <w:rPr>
      <w:sz w:val="21"/>
      <w:szCs w:val="21"/>
    </w:rPr>
  </w:style>
  <w:style w:type="character" w:customStyle="1" w:styleId="28">
    <w:name w:val="页眉 Char"/>
    <w:basedOn w:val="25"/>
    <w:link w:val="15"/>
    <w:qFormat/>
    <w:uiPriority w:val="99"/>
    <w:rPr>
      <w:sz w:val="18"/>
      <w:szCs w:val="18"/>
    </w:rPr>
  </w:style>
  <w:style w:type="character" w:customStyle="1" w:styleId="29">
    <w:name w:val="页脚 Char"/>
    <w:basedOn w:val="25"/>
    <w:link w:val="14"/>
    <w:qFormat/>
    <w:uiPriority w:val="99"/>
    <w:rPr>
      <w:sz w:val="18"/>
      <w:szCs w:val="18"/>
    </w:rPr>
  </w:style>
  <w:style w:type="character" w:customStyle="1" w:styleId="30">
    <w:name w:val="标题 1 Char"/>
    <w:basedOn w:val="2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1">
    <w:name w:val="标题 2 Char"/>
    <w:basedOn w:val="2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Char"/>
    <w:basedOn w:val="25"/>
    <w:link w:val="4"/>
    <w:semiHidden/>
    <w:qFormat/>
    <w:uiPriority w:val="9"/>
    <w:rPr>
      <w:b/>
      <w:bCs/>
      <w:sz w:val="32"/>
      <w:szCs w:val="32"/>
    </w:rPr>
  </w:style>
  <w:style w:type="character" w:customStyle="1" w:styleId="33">
    <w:name w:val="批注框文本 Char"/>
    <w:basedOn w:val="25"/>
    <w:link w:val="13"/>
    <w:semiHidden/>
    <w:qFormat/>
    <w:uiPriority w:val="99"/>
    <w:rPr>
      <w:sz w:val="16"/>
      <w:szCs w:val="16"/>
    </w:rPr>
  </w:style>
  <w:style w:type="character" w:customStyle="1" w:styleId="34">
    <w:name w:val="文档结构图 Char"/>
    <w:basedOn w:val="25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36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7">
    <w:name w:val="标题 4 Char"/>
    <w:basedOn w:val="25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8">
    <w:name w:val="批注文字 Char"/>
    <w:basedOn w:val="25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9">
    <w:name w:val="批注主题 Char"/>
    <w:basedOn w:val="38"/>
    <w:link w:val="22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40">
    <w:name w:val="List Paragraph"/>
    <w:basedOn w:val="1"/>
    <w:link w:val="42"/>
    <w:qFormat/>
    <w:uiPriority w:val="34"/>
    <w:pPr>
      <w:ind w:firstLine="420" w:firstLineChars="200"/>
    </w:pPr>
    <w:rPr>
      <w:rFonts w:ascii="Tahoma" w:hAnsi="Tahoma" w:eastAsia="宋体" w:cs="Times New Roman"/>
      <w:sz w:val="24"/>
      <w:szCs w:val="24"/>
    </w:rPr>
  </w:style>
  <w:style w:type="character" w:customStyle="1" w:styleId="41">
    <w:name w:val="正文缩进 Char"/>
    <w:link w:val="7"/>
    <w:qFormat/>
    <w:uiPriority w:val="0"/>
    <w:rPr>
      <w:kern w:val="2"/>
      <w:sz w:val="21"/>
      <w:szCs w:val="24"/>
    </w:rPr>
  </w:style>
  <w:style w:type="character" w:customStyle="1" w:styleId="42">
    <w:name w:val="列出段落 Char"/>
    <w:link w:val="40"/>
    <w:qFormat/>
    <w:uiPriority w:val="34"/>
    <w:rPr>
      <w:rFonts w:ascii="Tahoma" w:hAnsi="Tahoma"/>
      <w:kern w:val="2"/>
      <w:sz w:val="24"/>
      <w:szCs w:val="24"/>
    </w:rPr>
  </w:style>
  <w:style w:type="paragraph" w:customStyle="1" w:styleId="43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DA7EF-4BEA-4C6A-830E-E6A102BA0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3752</Words>
  <Characters>4054</Characters>
  <Lines>34</Lines>
  <Paragraphs>9</Paragraphs>
  <TotalTime>19</TotalTime>
  <ScaleCrop>false</ScaleCrop>
  <LinksUpToDate>false</LinksUpToDate>
  <CharactersWithSpaces>4164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2024-09-22T15:40:00Z</dcterms:created>
  <dc:creator>Anson YanzonkiC</dc:creator>
  <cp:lastModifiedBy>gc</cp:lastModifiedBy>
  <cp:lastPrinted>2018-03-29T11:29:00Z</cp:lastPrinted>
  <dcterms:modified xsi:type="dcterms:W3CDTF">2026-07-30T03:03:25Z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CAC8EED0BE734BA49633B3FA915565AD_13</vt:lpwstr>
  </property>
  <property fmtid="{D5CDD505-2E9C-101B-9397-08002B2CF9AE}" pid="4" name="KSOTemplateDocerSaveRecord">
    <vt:lpwstr>eyJoZGlkIjoiOWI4OTFhYjYwMGQ4YzZhNjgxNmU0NDAzNjc3MzdhODkiLCJ1c2VySWQiOiI2MjU5ODg1NTIifQ==</vt:lpwstr>
  </property>
</Properties>
</file>