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7D751">
      <w:pPr>
        <w:spacing w:line="360" w:lineRule="auto"/>
        <w:jc w:val="center"/>
        <w:rPr>
          <w:rFonts w:ascii="幼圆" w:hAnsi="Calibri" w:eastAsia="幼圆"/>
          <w:b/>
          <w:color w:val="auto"/>
          <w:spacing w:val="30"/>
          <w:sz w:val="48"/>
          <w:szCs w:val="48"/>
          <w:highlight w:val="none"/>
        </w:rPr>
      </w:pPr>
      <w:bookmarkStart w:id="0" w:name="OLE_LINK1"/>
    </w:p>
    <w:p w14:paraId="048BDE80">
      <w:pPr>
        <w:jc w:val="center"/>
        <w:rPr>
          <w:rFonts w:hint="eastAsia" w:ascii="宋体" w:hAnsi="宋体" w:cs="宋体"/>
          <w:b/>
          <w:bCs/>
          <w:color w:val="auto"/>
          <w:sz w:val="44"/>
          <w:szCs w:val="44"/>
          <w:highlight w:val="none"/>
        </w:rPr>
      </w:pPr>
      <w:r>
        <w:rPr>
          <w:rFonts w:ascii="宋体" w:hAnsi="宋体" w:cs="宋体"/>
          <w:b/>
          <w:color w:val="auto"/>
          <w:sz w:val="44"/>
          <w:szCs w:val="44"/>
          <w:highlight w:val="none"/>
        </w:rPr>
        <w:drawing>
          <wp:inline distT="0" distB="0" distL="114300" distR="114300">
            <wp:extent cx="488315" cy="488315"/>
            <wp:effectExtent l="0" t="0" r="6985" b="6985"/>
            <wp:docPr id="2" name="图片 1" descr="8dc398a9-b84f-48b4-b641-18b8eedbf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8dc398a9-b84f-48b4-b641-18b8eedbf416"/>
                    <pic:cNvPicPr>
                      <a:picLocks noChangeAspect="1"/>
                    </pic:cNvPicPr>
                  </pic:nvPicPr>
                  <pic:blipFill>
                    <a:blip r:embed="rId13"/>
                    <a:stretch>
                      <a:fillRect/>
                    </a:stretch>
                  </pic:blipFill>
                  <pic:spPr>
                    <a:xfrm>
                      <a:off x="0" y="0"/>
                      <a:ext cx="488315" cy="488315"/>
                    </a:xfrm>
                    <a:prstGeom prst="rect">
                      <a:avLst/>
                    </a:prstGeom>
                    <a:noFill/>
                    <a:ln>
                      <a:noFill/>
                    </a:ln>
                  </pic:spPr>
                </pic:pic>
              </a:graphicData>
            </a:graphic>
          </wp:inline>
        </w:drawing>
      </w:r>
    </w:p>
    <w:p w14:paraId="04E37E17">
      <w:pPr>
        <w:jc w:val="center"/>
        <w:rPr>
          <w:rFonts w:hint="eastAsia" w:ascii="宋体" w:hAnsi="宋体" w:cs="宋体"/>
          <w:b/>
          <w:bCs/>
          <w:color w:val="auto"/>
          <w:sz w:val="52"/>
          <w:highlight w:val="none"/>
        </w:rPr>
      </w:pPr>
      <w:r>
        <w:rPr>
          <w:rFonts w:hint="eastAsia" w:ascii="宋体" w:hAnsi="宋体" w:cs="宋体"/>
          <w:b/>
          <w:bCs/>
          <w:color w:val="auto"/>
          <w:sz w:val="44"/>
          <w:szCs w:val="44"/>
          <w:highlight w:val="none"/>
        </w:rPr>
        <w:t>公诚管理咨询有限公司</w:t>
      </w:r>
    </w:p>
    <w:p w14:paraId="2668E491">
      <w:pPr>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Gongcheng Management Consulting Co. , Ltd.</w:t>
      </w:r>
    </w:p>
    <w:p w14:paraId="21154899">
      <w:pPr>
        <w:spacing w:after="120"/>
        <w:ind w:firstLine="404"/>
        <w:rPr>
          <w:rFonts w:hint="eastAsia" w:ascii="宋体" w:hAnsi="宋体" w:cs="宋体"/>
          <w:b/>
          <w:bCs/>
          <w:color w:val="auto"/>
          <w:sz w:val="10"/>
          <w:highlight w:val="none"/>
        </w:rPr>
      </w:pPr>
      <w:r>
        <w:rPr>
          <w:rFonts w:ascii="宋体" w:hAnsi="宋体" w:cs="宋体"/>
          <w:color w:val="auto"/>
          <w:sz w:val="20"/>
          <w:highlight w:val="none"/>
          <w:u w:val="single"/>
        </w:rPr>
        <mc:AlternateContent>
          <mc:Choice Requires="wps">
            <w:drawing>
              <wp:anchor distT="0" distB="0" distL="114300" distR="114300" simplePos="0" relativeHeight="251660288" behindDoc="0" locked="0" layoutInCell="1" allowOverlap="1">
                <wp:simplePos x="0" y="0"/>
                <wp:positionH relativeFrom="column">
                  <wp:posOffset>-289560</wp:posOffset>
                </wp:positionH>
                <wp:positionV relativeFrom="paragraph">
                  <wp:posOffset>58420</wp:posOffset>
                </wp:positionV>
                <wp:extent cx="6282055" cy="0"/>
                <wp:effectExtent l="0" t="13970" r="4445" b="24130"/>
                <wp:wrapNone/>
                <wp:docPr id="1" name="直接连接符 1"/>
                <wp:cNvGraphicFramePr/>
                <a:graphic xmlns:a="http://schemas.openxmlformats.org/drawingml/2006/main">
                  <a:graphicData uri="http://schemas.microsoft.com/office/word/2010/wordprocessingShape">
                    <wps:wsp>
                      <wps:cNvCnPr/>
                      <wps:spPr>
                        <a:xfrm flipV="1">
                          <a:off x="0" y="0"/>
                          <a:ext cx="6282055" cy="0"/>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22.8pt;margin-top:4.6pt;height:0pt;width:494.65pt;z-index:251660288;mso-width-relative:page;mso-height-relative:page;" filled="f" stroked="t" coordsize="21600,21600" o:gfxdata="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XFLFTWAAAABwEAAA8AAAAAAAAAAQAgAAAAIgAAAGRycy9kb3ducmV2LnhtbFBL&#10;AQIUABQAAAAIAIdO4kDPxtb6+AEAAPEDAAAOAAAAAAAAAAEAIAAAACUBAABkcnMvZTJvRG9jLnht&#10;bFBLBQYAAAAABgAGAFkBAACPBQAAAAA=&#10;">
                <v:fill on="f" focussize="0,0"/>
                <v:stroke weight="2.25pt" color="#000000" joinstyle="round"/>
                <v:imagedata o:title=""/>
                <o:lock v:ext="edit" aspectratio="f"/>
              </v:line>
            </w:pict>
          </mc:Fallback>
        </mc:AlternateContent>
      </w:r>
      <w:r>
        <w:rPr>
          <w:rFonts w:hint="eastAsia" w:ascii="宋体" w:hAnsi="宋体" w:cs="宋体"/>
          <w:b/>
          <w:bCs/>
          <w:color w:val="auto"/>
          <w:sz w:val="10"/>
          <w:highlight w:val="none"/>
        </w:rPr>
        <w:t xml:space="preserve">                                                                                                                                                                                       </w:t>
      </w:r>
    </w:p>
    <w:p w14:paraId="488ED8B8">
      <w:pPr>
        <w:spacing w:before="120" w:beforeLines="50" w:line="360" w:lineRule="auto"/>
        <w:jc w:val="center"/>
        <w:rPr>
          <w:rFonts w:hint="eastAsia" w:ascii="仿宋_GB2312" w:hAnsi="宋体" w:eastAsia="仿宋_GB2312"/>
          <w:b/>
          <w:color w:val="auto"/>
          <w:sz w:val="48"/>
          <w:szCs w:val="48"/>
          <w:highlight w:val="none"/>
        </w:rPr>
      </w:pPr>
    </w:p>
    <w:p w14:paraId="2B1CDB18">
      <w:pPr>
        <w:spacing w:before="120" w:beforeLines="50" w:line="360" w:lineRule="auto"/>
        <w:jc w:val="center"/>
        <w:rPr>
          <w:rFonts w:hint="eastAsia" w:ascii="仿宋_GB2312" w:hAnsi="宋体" w:eastAsia="仿宋_GB2312"/>
          <w:b/>
          <w:color w:val="auto"/>
          <w:sz w:val="48"/>
          <w:szCs w:val="48"/>
          <w:highlight w:val="none"/>
        </w:rPr>
      </w:pPr>
    </w:p>
    <w:p w14:paraId="0D0DEFCE">
      <w:pPr>
        <w:snapToGrid w:val="0"/>
        <w:spacing w:before="120" w:beforeLines="50" w:line="360" w:lineRule="auto"/>
        <w:jc w:val="center"/>
        <w:rPr>
          <w:rFonts w:hint="eastAsia" w:ascii="华文新魏" w:hAnsi="宋体" w:eastAsia="华文新魏"/>
          <w:color w:val="auto"/>
          <w:sz w:val="84"/>
          <w:szCs w:val="84"/>
          <w:highlight w:val="none"/>
        </w:rPr>
      </w:pPr>
      <w:r>
        <w:rPr>
          <w:rFonts w:hint="eastAsia" w:ascii="华文新魏" w:hAnsi="宋体" w:eastAsia="华文新魏"/>
          <w:color w:val="auto"/>
          <w:sz w:val="84"/>
          <w:szCs w:val="84"/>
          <w:highlight w:val="none"/>
        </w:rPr>
        <w:t>招 标 文 件</w:t>
      </w:r>
    </w:p>
    <w:p w14:paraId="6AB55B45">
      <w:pPr>
        <w:snapToGrid w:val="0"/>
        <w:spacing w:before="120" w:beforeLines="50" w:line="360" w:lineRule="auto"/>
        <w:rPr>
          <w:rFonts w:hint="eastAsia" w:ascii="仿宋_GB2312" w:hAnsi="宋体" w:eastAsia="仿宋_GB2312"/>
          <w:color w:val="auto"/>
          <w:sz w:val="30"/>
          <w:szCs w:val="72"/>
          <w:highlight w:val="none"/>
        </w:rPr>
      </w:pPr>
    </w:p>
    <w:p w14:paraId="4A7B5110">
      <w:pPr>
        <w:snapToGrid w:val="0"/>
        <w:spacing w:before="120" w:beforeLines="50" w:line="360" w:lineRule="auto"/>
        <w:rPr>
          <w:rFonts w:hint="eastAsia" w:ascii="仿宋_GB2312" w:hAnsi="宋体" w:eastAsia="仿宋_GB2312"/>
          <w:color w:val="auto"/>
          <w:sz w:val="30"/>
          <w:szCs w:val="72"/>
          <w:highlight w:val="none"/>
        </w:rPr>
      </w:pPr>
    </w:p>
    <w:p w14:paraId="77E1BB56">
      <w:pPr>
        <w:pStyle w:val="23"/>
        <w:tabs>
          <w:tab w:val="left" w:pos="993"/>
        </w:tabs>
        <w:snapToGrid w:val="0"/>
        <w:spacing w:line="480" w:lineRule="auto"/>
        <w:ind w:left="1" w:firstLine="992"/>
        <w:jc w:val="left"/>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w w:val="95"/>
          <w:sz w:val="30"/>
          <w:szCs w:val="30"/>
          <w:highlight w:val="none"/>
        </w:rPr>
        <w:t>自然资源部第四海洋研究所（广西海洋发展研究院）</w:t>
      </w:r>
      <w:r>
        <w:rPr>
          <w:rFonts w:hint="eastAsia" w:ascii="仿宋_GB2312" w:hAnsi="宋体" w:eastAsia="仿宋_GB2312"/>
          <w:b/>
          <w:bCs/>
          <w:color w:val="auto"/>
          <w:sz w:val="30"/>
          <w:szCs w:val="30"/>
          <w:highlight w:val="none"/>
        </w:rPr>
        <w:t>科考船舶租赁服务</w:t>
      </w:r>
    </w:p>
    <w:p w14:paraId="29DCBAFE">
      <w:pPr>
        <w:tabs>
          <w:tab w:val="left" w:pos="993"/>
        </w:tabs>
        <w:snapToGrid w:val="0"/>
        <w:spacing w:line="480" w:lineRule="auto"/>
        <w:ind w:left="-6" w:firstLine="992"/>
        <w:rPr>
          <w:rFonts w:hint="eastAsia" w:ascii="仿宋_GB2312" w:hAnsi="宋体" w:eastAsia="仿宋_GB2312"/>
          <w:color w:val="auto"/>
          <w:sz w:val="30"/>
          <w:szCs w:val="72"/>
          <w:highlight w:val="none"/>
          <w:lang w:eastAsia="zh-CN"/>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w:t>
      </w:r>
      <w:r>
        <w:rPr>
          <w:rFonts w:hint="eastAsia" w:ascii="仿宋_GB2312" w:hAnsi="宋体" w:eastAsia="仿宋_GB2312" w:cs="Courier New"/>
          <w:b/>
          <w:bCs/>
          <w:color w:val="auto"/>
          <w:w w:val="95"/>
          <w:sz w:val="30"/>
          <w:szCs w:val="30"/>
          <w:highlight w:val="none"/>
          <w:lang w:eastAsia="zh-CN"/>
        </w:rPr>
        <w:t>07-15-04A-2026-D-F-E17910</w:t>
      </w:r>
    </w:p>
    <w:p w14:paraId="13FE79B8">
      <w:pPr>
        <w:pStyle w:val="23"/>
        <w:tabs>
          <w:tab w:val="left" w:pos="993"/>
        </w:tabs>
        <w:snapToGrid w:val="0"/>
        <w:spacing w:line="480" w:lineRule="auto"/>
        <w:ind w:left="-6" w:firstLine="992"/>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 购 人：自然资源部第四海洋研究所</w:t>
      </w:r>
    </w:p>
    <w:p w14:paraId="24903A59">
      <w:pPr>
        <w:pStyle w:val="23"/>
        <w:tabs>
          <w:tab w:val="left" w:pos="993"/>
        </w:tabs>
        <w:snapToGrid w:val="0"/>
        <w:spacing w:line="480" w:lineRule="auto"/>
        <w:ind w:left="-6" w:firstLine="992"/>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采购代理机构：公诚管理咨询有限公司</w:t>
      </w:r>
    </w:p>
    <w:p w14:paraId="4C1B2C24">
      <w:pPr>
        <w:pStyle w:val="23"/>
        <w:snapToGrid w:val="0"/>
        <w:spacing w:before="50" w:after="120" w:line="360" w:lineRule="auto"/>
        <w:ind w:firstLine="841" w:firstLineChars="294"/>
        <w:rPr>
          <w:rFonts w:ascii="仿宋_GB2312" w:eastAsia="仿宋_GB2312"/>
          <w:color w:val="auto"/>
          <w:szCs w:val="20"/>
          <w:highlight w:val="none"/>
        </w:rPr>
      </w:pPr>
      <w:r>
        <w:rPr>
          <w:rFonts w:hint="eastAsia" w:ascii="仿宋_GB2312" w:hAnsi="宋体" w:eastAsia="仿宋_GB2312"/>
          <w:b/>
          <w:bCs/>
          <w:color w:val="auto"/>
          <w:w w:val="95"/>
          <w:sz w:val="30"/>
          <w:szCs w:val="30"/>
          <w:highlight w:val="none"/>
        </w:rPr>
        <w:t xml:space="preserve">               2026年</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月</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日</w:t>
      </w:r>
    </w:p>
    <w:p w14:paraId="2F5E2D34">
      <w:pPr>
        <w:pStyle w:val="15"/>
        <w:ind w:firstLine="803"/>
        <w:jc w:val="center"/>
        <w:rPr>
          <w:rFonts w:hint="eastAsia" w:ascii="仿宋_GB2312" w:hAnsi="宋体" w:eastAsia="仿宋_GB2312"/>
          <w:b/>
          <w:bCs/>
          <w:color w:val="auto"/>
          <w:sz w:val="32"/>
          <w:szCs w:val="32"/>
          <w:highlight w:val="none"/>
        </w:rPr>
        <w:sectPr>
          <w:headerReference r:id="rId5" w:type="first"/>
          <w:footerReference r:id="rId7" w:type="first"/>
          <w:headerReference r:id="rId3" w:type="default"/>
          <w:headerReference r:id="rId4" w:type="even"/>
          <w:footerReference r:id="rId6" w:type="even"/>
          <w:pgSz w:w="11906" w:h="16838"/>
          <w:pgMar w:top="1134" w:right="1247" w:bottom="1560" w:left="1247" w:header="851" w:footer="992" w:gutter="0"/>
          <w:pgNumType w:start="0"/>
          <w:cols w:space="720" w:num="1"/>
          <w:titlePg/>
          <w:docGrid w:linePitch="312" w:charSpace="0"/>
        </w:sectPr>
      </w:pPr>
    </w:p>
    <w:p w14:paraId="4AF8F616">
      <w:pPr>
        <w:pStyle w:val="15"/>
        <w:ind w:firstLine="803"/>
        <w:jc w:val="center"/>
        <w:rPr>
          <w:rFonts w:hint="eastAsia" w:ascii="宋体" w:hAnsi="宋体" w:cs="宋体"/>
          <w:b/>
          <w:bCs/>
          <w:color w:val="auto"/>
          <w:sz w:val="48"/>
          <w:szCs w:val="48"/>
          <w:highlight w:val="none"/>
        </w:rPr>
      </w:pPr>
      <w:r>
        <w:rPr>
          <w:rFonts w:hint="eastAsia" w:ascii="宋体" w:hAnsi="宋体" w:cs="宋体"/>
          <w:b/>
          <w:bCs/>
          <w:color w:val="auto"/>
          <w:sz w:val="48"/>
          <w:szCs w:val="48"/>
          <w:highlight w:val="none"/>
        </w:rPr>
        <w:t>目    录</w:t>
      </w:r>
    </w:p>
    <w:p w14:paraId="4C058DCC">
      <w:pPr>
        <w:pStyle w:val="37"/>
        <w:tabs>
          <w:tab w:val="right" w:leader="dot" w:pos="9402"/>
        </w:tabs>
        <w:spacing w:line="360" w:lineRule="auto"/>
        <w:rPr>
          <w:rFonts w:hint="eastAsia" w:ascii="宋体" w:hAnsi="宋体" w:cs="宋体"/>
          <w:b/>
          <w:color w:val="auto"/>
          <w:sz w:val="28"/>
          <w:szCs w:val="28"/>
          <w:highlight w:val="none"/>
        </w:rPr>
      </w:pPr>
    </w:p>
    <w:p w14:paraId="0C1DA2DB">
      <w:pPr>
        <w:pStyle w:val="37"/>
        <w:tabs>
          <w:tab w:val="right" w:leader="dot" w:pos="9402"/>
        </w:tabs>
        <w:spacing w:line="360" w:lineRule="auto"/>
        <w:rPr>
          <w:rFonts w:hint="eastAsia" w:ascii="宋体" w:hAnsi="宋体" w:cs="宋体"/>
          <w:bCs/>
          <w:color w:val="auto"/>
          <w:sz w:val="24"/>
          <w:highlight w:val="none"/>
        </w:rPr>
      </w:pPr>
      <w:r>
        <w:rPr>
          <w:rFonts w:hint="eastAsia" w:ascii="宋体" w:hAnsi="宋体" w:cs="宋体"/>
          <w:b/>
          <w:color w:val="auto"/>
          <w:sz w:val="28"/>
          <w:szCs w:val="28"/>
          <w:highlight w:val="none"/>
        </w:rPr>
        <w:fldChar w:fldCharType="begin"/>
      </w:r>
      <w:r>
        <w:rPr>
          <w:rFonts w:hint="eastAsia" w:ascii="宋体" w:hAnsi="宋体" w:cs="宋体"/>
          <w:b/>
          <w:color w:val="auto"/>
          <w:sz w:val="28"/>
          <w:szCs w:val="28"/>
          <w:highlight w:val="none"/>
        </w:rPr>
        <w:instrText xml:space="preserve"> TOC \o "1-2" \h \z \u </w:instrText>
      </w:r>
      <w:r>
        <w:rPr>
          <w:rFonts w:hint="eastAsia" w:ascii="宋体" w:hAnsi="宋体" w:cs="宋体"/>
          <w:b/>
          <w:color w:val="auto"/>
          <w:sz w:val="28"/>
          <w:szCs w:val="28"/>
          <w:highlight w:val="none"/>
        </w:rPr>
        <w:fldChar w:fldCharType="separate"/>
      </w:r>
      <w:r>
        <w:rPr>
          <w:color w:val="auto"/>
          <w:highlight w:val="none"/>
        </w:rPr>
        <w:fldChar w:fldCharType="begin"/>
      </w:r>
      <w:r>
        <w:rPr>
          <w:color w:val="auto"/>
          <w:highlight w:val="none"/>
        </w:rPr>
        <w:instrText xml:space="preserve"> HYPERLINK \l "_Toc19686829" </w:instrText>
      </w:r>
      <w:r>
        <w:rPr>
          <w:color w:val="auto"/>
          <w:highlight w:val="none"/>
        </w:rPr>
        <w:fldChar w:fldCharType="separate"/>
      </w:r>
      <w:r>
        <w:rPr>
          <w:rStyle w:val="53"/>
          <w:rFonts w:hint="eastAsia" w:ascii="宋体" w:hAnsi="宋体" w:cs="宋体"/>
          <w:bCs/>
          <w:color w:val="auto"/>
          <w:sz w:val="24"/>
          <w:highlight w:val="none"/>
        </w:rPr>
        <w:t>第一章  招标公告</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_Toc19686829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3</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67FD5391">
      <w:pPr>
        <w:pStyle w:val="37"/>
        <w:tabs>
          <w:tab w:val="right" w:leader="dot" w:pos="9402"/>
        </w:tabs>
        <w:spacing w:line="360" w:lineRule="auto"/>
        <w:rPr>
          <w:rFonts w:hint="eastAsia" w:ascii="宋体" w:hAnsi="宋体" w:cs="宋体"/>
          <w:bCs/>
          <w:color w:val="auto"/>
          <w:sz w:val="24"/>
          <w:highlight w:val="none"/>
        </w:rPr>
      </w:pPr>
      <w:r>
        <w:rPr>
          <w:color w:val="auto"/>
          <w:highlight w:val="none"/>
        </w:rPr>
        <w:fldChar w:fldCharType="begin"/>
      </w:r>
      <w:r>
        <w:rPr>
          <w:color w:val="auto"/>
          <w:highlight w:val="none"/>
        </w:rPr>
        <w:instrText xml:space="preserve"> HYPERLINK \l "_Toc19686830" </w:instrText>
      </w:r>
      <w:r>
        <w:rPr>
          <w:color w:val="auto"/>
          <w:highlight w:val="none"/>
        </w:rPr>
        <w:fldChar w:fldCharType="separate"/>
      </w:r>
      <w:r>
        <w:rPr>
          <w:rStyle w:val="53"/>
          <w:rFonts w:hint="eastAsia" w:ascii="宋体" w:hAnsi="宋体" w:cs="宋体"/>
          <w:bCs/>
          <w:color w:val="auto"/>
          <w:sz w:val="24"/>
          <w:highlight w:val="none"/>
        </w:rPr>
        <w:t>第二章  采购</w:t>
      </w:r>
      <w:bookmarkStart w:id="1" w:name="_Hlt54940052"/>
      <w:bookmarkStart w:id="2" w:name="_Hlt54940053"/>
      <w:r>
        <w:rPr>
          <w:rStyle w:val="53"/>
          <w:rFonts w:hint="eastAsia" w:ascii="宋体" w:hAnsi="宋体" w:cs="宋体"/>
          <w:bCs/>
          <w:color w:val="auto"/>
          <w:sz w:val="24"/>
          <w:highlight w:val="none"/>
        </w:rPr>
        <w:t>需</w:t>
      </w:r>
      <w:bookmarkEnd w:id="1"/>
      <w:bookmarkEnd w:id="2"/>
      <w:r>
        <w:rPr>
          <w:rStyle w:val="53"/>
          <w:rFonts w:hint="eastAsia" w:ascii="宋体" w:hAnsi="宋体" w:cs="宋体"/>
          <w:bCs/>
          <w:color w:val="auto"/>
          <w:sz w:val="24"/>
          <w:highlight w:val="none"/>
        </w:rPr>
        <w:t>求</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_Toc19686830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7</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7C7BE1BA">
      <w:pPr>
        <w:pStyle w:val="37"/>
        <w:tabs>
          <w:tab w:val="right" w:leader="dot" w:pos="9402"/>
        </w:tabs>
        <w:spacing w:line="360" w:lineRule="auto"/>
        <w:rPr>
          <w:rFonts w:hint="eastAsia" w:ascii="宋体" w:hAnsi="宋体" w:cs="宋体"/>
          <w:bCs/>
          <w:color w:val="auto"/>
          <w:sz w:val="24"/>
          <w:highlight w:val="none"/>
        </w:rPr>
      </w:pPr>
      <w:r>
        <w:rPr>
          <w:color w:val="auto"/>
          <w:highlight w:val="none"/>
        </w:rPr>
        <w:fldChar w:fldCharType="begin"/>
      </w:r>
      <w:r>
        <w:rPr>
          <w:color w:val="auto"/>
          <w:highlight w:val="none"/>
        </w:rPr>
        <w:instrText xml:space="preserve"> HYPERLINK \l "_Toc19686831" </w:instrText>
      </w:r>
      <w:r>
        <w:rPr>
          <w:color w:val="auto"/>
          <w:highlight w:val="none"/>
        </w:rPr>
        <w:fldChar w:fldCharType="separate"/>
      </w:r>
      <w:r>
        <w:rPr>
          <w:rStyle w:val="53"/>
          <w:rFonts w:hint="eastAsia" w:ascii="宋体" w:hAnsi="宋体" w:cs="宋体"/>
          <w:bCs/>
          <w:color w:val="auto"/>
          <w:sz w:val="24"/>
          <w:highlight w:val="none"/>
        </w:rPr>
        <w:t>第三章  投标</w:t>
      </w:r>
      <w:bookmarkStart w:id="3" w:name="_Hlt30431883"/>
      <w:r>
        <w:rPr>
          <w:rStyle w:val="53"/>
          <w:rFonts w:hint="eastAsia" w:ascii="宋体" w:hAnsi="宋体" w:cs="宋体"/>
          <w:bCs/>
          <w:color w:val="auto"/>
          <w:sz w:val="24"/>
          <w:highlight w:val="none"/>
        </w:rPr>
        <w:t>人</w:t>
      </w:r>
      <w:bookmarkEnd w:id="3"/>
      <w:bookmarkStart w:id="4" w:name="_Hlt43803608"/>
      <w:bookmarkStart w:id="5" w:name="_Hlt43803607"/>
      <w:r>
        <w:rPr>
          <w:rStyle w:val="53"/>
          <w:rFonts w:hint="eastAsia" w:ascii="宋体" w:hAnsi="宋体" w:cs="宋体"/>
          <w:bCs/>
          <w:color w:val="auto"/>
          <w:sz w:val="24"/>
          <w:highlight w:val="none"/>
        </w:rPr>
        <w:t>须</w:t>
      </w:r>
      <w:bookmarkEnd w:id="4"/>
      <w:bookmarkEnd w:id="5"/>
      <w:r>
        <w:rPr>
          <w:rStyle w:val="53"/>
          <w:rFonts w:hint="eastAsia" w:ascii="宋体" w:hAnsi="宋体" w:cs="宋体"/>
          <w:bCs/>
          <w:color w:val="auto"/>
          <w:sz w:val="24"/>
          <w:highlight w:val="none"/>
        </w:rPr>
        <w:t>知</w:t>
      </w:r>
      <w:bookmarkStart w:id="6" w:name="_Hlt43479156"/>
      <w:bookmarkStart w:id="7" w:name="_Hlt43479155"/>
      <w:r>
        <w:rPr>
          <w:rFonts w:hint="eastAsia" w:ascii="宋体" w:hAnsi="宋体" w:cs="宋体"/>
          <w:bCs/>
          <w:color w:val="auto"/>
          <w:sz w:val="24"/>
          <w:highlight w:val="none"/>
        </w:rPr>
        <w:tab/>
      </w:r>
      <w:bookmarkEnd w:id="6"/>
      <w:bookmarkEnd w:id="7"/>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_Toc19686831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11</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378F86AB">
      <w:pPr>
        <w:pStyle w:val="37"/>
        <w:tabs>
          <w:tab w:val="right" w:leader="dot" w:pos="9402"/>
        </w:tabs>
        <w:spacing w:line="360" w:lineRule="auto"/>
        <w:rPr>
          <w:rFonts w:hint="eastAsia" w:ascii="宋体" w:hAnsi="宋体" w:cs="宋体"/>
          <w:bCs/>
          <w:color w:val="auto"/>
          <w:sz w:val="24"/>
          <w:highlight w:val="none"/>
        </w:rPr>
      </w:pPr>
      <w:r>
        <w:rPr>
          <w:color w:val="auto"/>
          <w:highlight w:val="none"/>
        </w:rPr>
        <w:fldChar w:fldCharType="begin"/>
      </w:r>
      <w:r>
        <w:rPr>
          <w:color w:val="auto"/>
          <w:highlight w:val="none"/>
        </w:rPr>
        <w:instrText xml:space="preserve"> HYPERLINK \l "_Toc19686832" </w:instrText>
      </w:r>
      <w:r>
        <w:rPr>
          <w:color w:val="auto"/>
          <w:highlight w:val="none"/>
        </w:rPr>
        <w:fldChar w:fldCharType="separate"/>
      </w:r>
      <w:r>
        <w:rPr>
          <w:rStyle w:val="53"/>
          <w:rFonts w:hint="eastAsia" w:ascii="宋体" w:hAnsi="宋体" w:cs="宋体"/>
          <w:bCs/>
          <w:color w:val="auto"/>
          <w:sz w:val="24"/>
          <w:highlight w:val="none"/>
        </w:rPr>
        <w:t>第四章  评标方</w:t>
      </w:r>
      <w:bookmarkStart w:id="8" w:name="_Hlt43881606"/>
      <w:r>
        <w:rPr>
          <w:rStyle w:val="53"/>
          <w:rFonts w:hint="eastAsia" w:ascii="宋体" w:hAnsi="宋体" w:cs="宋体"/>
          <w:bCs/>
          <w:color w:val="auto"/>
          <w:sz w:val="24"/>
          <w:highlight w:val="none"/>
        </w:rPr>
        <w:t>法</w:t>
      </w:r>
      <w:bookmarkEnd w:id="8"/>
      <w:r>
        <w:rPr>
          <w:rStyle w:val="53"/>
          <w:rFonts w:hint="eastAsia" w:ascii="宋体" w:hAnsi="宋体" w:cs="宋体"/>
          <w:bCs/>
          <w:color w:val="auto"/>
          <w:sz w:val="24"/>
          <w:highlight w:val="none"/>
        </w:rPr>
        <w:t>及评标标准</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_Toc19686832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33</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182E2FC1">
      <w:pPr>
        <w:pStyle w:val="37"/>
        <w:tabs>
          <w:tab w:val="right" w:leader="dot" w:pos="9402"/>
        </w:tabs>
        <w:spacing w:line="360" w:lineRule="auto"/>
        <w:rPr>
          <w:rFonts w:hint="eastAsia" w:ascii="宋体" w:hAnsi="宋体" w:cs="宋体"/>
          <w:bCs/>
          <w:color w:val="auto"/>
          <w:sz w:val="24"/>
          <w:highlight w:val="none"/>
        </w:rPr>
      </w:pPr>
      <w:r>
        <w:rPr>
          <w:color w:val="auto"/>
          <w:highlight w:val="none"/>
        </w:rPr>
        <w:fldChar w:fldCharType="begin"/>
      </w:r>
      <w:r>
        <w:rPr>
          <w:color w:val="auto"/>
          <w:highlight w:val="none"/>
        </w:rPr>
        <w:instrText xml:space="preserve"> HYPERLINK \l "_Toc19686833" </w:instrText>
      </w:r>
      <w:r>
        <w:rPr>
          <w:color w:val="auto"/>
          <w:highlight w:val="none"/>
        </w:rPr>
        <w:fldChar w:fldCharType="separate"/>
      </w:r>
      <w:r>
        <w:rPr>
          <w:rStyle w:val="53"/>
          <w:rFonts w:hint="eastAsia" w:ascii="宋体" w:hAnsi="宋体" w:cs="宋体"/>
          <w:bCs/>
          <w:color w:val="auto"/>
          <w:sz w:val="24"/>
          <w:highlight w:val="none"/>
        </w:rPr>
        <w:t>第五章  拟签订的合同文本</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_Toc19686833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41</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3EEACC97">
      <w:pPr>
        <w:pStyle w:val="37"/>
        <w:tabs>
          <w:tab w:val="right" w:leader="dot" w:pos="9402"/>
        </w:tabs>
        <w:spacing w:line="360" w:lineRule="auto"/>
        <w:rPr>
          <w:rFonts w:hint="eastAsia" w:ascii="宋体" w:hAnsi="宋体" w:cs="宋体"/>
          <w:bCs/>
          <w:color w:val="auto"/>
          <w:sz w:val="24"/>
          <w:highlight w:val="none"/>
        </w:rPr>
      </w:pPr>
      <w:r>
        <w:rPr>
          <w:color w:val="auto"/>
          <w:highlight w:val="none"/>
        </w:rPr>
        <w:fldChar w:fldCharType="begin"/>
      </w:r>
      <w:r>
        <w:rPr>
          <w:color w:val="auto"/>
          <w:highlight w:val="none"/>
        </w:rPr>
        <w:instrText xml:space="preserve"> HYPERLINK \l "_Toc19686834" </w:instrText>
      </w:r>
      <w:r>
        <w:rPr>
          <w:color w:val="auto"/>
          <w:highlight w:val="none"/>
        </w:rPr>
        <w:fldChar w:fldCharType="separate"/>
      </w:r>
      <w:r>
        <w:rPr>
          <w:rStyle w:val="53"/>
          <w:rFonts w:hint="eastAsia" w:ascii="宋体" w:hAnsi="宋体" w:cs="宋体"/>
          <w:bCs/>
          <w:color w:val="auto"/>
          <w:sz w:val="24"/>
          <w:highlight w:val="none"/>
        </w:rPr>
        <w:t>第六章　投标文件格式</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_Toc19686834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49</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50B78FA7">
      <w:pPr>
        <w:pStyle w:val="37"/>
        <w:tabs>
          <w:tab w:val="right" w:leader="dot" w:pos="9402"/>
        </w:tabs>
        <w:rPr>
          <w:rFonts w:hint="eastAsia" w:ascii="宋体" w:hAnsi="宋体" w:cs="宋体"/>
          <w:color w:val="auto"/>
          <w:sz w:val="22"/>
          <w:highlight w:val="none"/>
        </w:rPr>
      </w:pPr>
    </w:p>
    <w:p w14:paraId="2D0EC87E">
      <w:pPr>
        <w:pStyle w:val="3"/>
        <w:keepNext w:val="0"/>
        <w:keepLines w:val="0"/>
        <w:jc w:val="center"/>
        <w:rPr>
          <w:b w:val="0"/>
          <w:color w:val="auto"/>
          <w:sz w:val="44"/>
          <w:szCs w:val="44"/>
          <w:highlight w:val="none"/>
        </w:rPr>
      </w:pPr>
      <w:r>
        <w:rPr>
          <w:rFonts w:hint="eastAsia" w:ascii="宋体" w:hAnsi="宋体" w:eastAsia="宋体" w:cs="宋体"/>
          <w:b w:val="0"/>
          <w:color w:val="auto"/>
          <w:sz w:val="28"/>
          <w:szCs w:val="36"/>
          <w:highlight w:val="none"/>
        </w:rPr>
        <w:fldChar w:fldCharType="end"/>
      </w:r>
      <w:bookmarkStart w:id="9" w:name="_Toc254970489"/>
      <w:bookmarkStart w:id="10" w:name="_Toc254970630"/>
      <w:r>
        <w:rPr>
          <w:rFonts w:ascii="宋体" w:hAnsi="宋体" w:cs="宋体"/>
          <w:b w:val="0"/>
          <w:bCs w:val="0"/>
          <w:color w:val="auto"/>
          <w:highlight w:val="none"/>
        </w:rPr>
        <w:br w:type="page"/>
      </w:r>
      <w:bookmarkStart w:id="11" w:name="_Toc19686829"/>
      <w:bookmarkStart w:id="12" w:name="OLE_LINK2"/>
      <w:bookmarkStart w:id="13" w:name="OLE_LINK32"/>
      <w:r>
        <w:rPr>
          <w:rFonts w:hint="eastAsia"/>
          <w:color w:val="auto"/>
          <w:highlight w:val="none"/>
        </w:rPr>
        <w:t>第一章</w:t>
      </w:r>
      <w:bookmarkEnd w:id="9"/>
      <w:bookmarkEnd w:id="10"/>
      <w:bookmarkEnd w:id="11"/>
      <w:bookmarkStart w:id="14" w:name="_Toc35393789"/>
      <w:bookmarkStart w:id="15" w:name="_Toc28359001"/>
      <w:r>
        <w:rPr>
          <w:rFonts w:hint="eastAsia"/>
          <w:color w:val="auto"/>
          <w:highlight w:val="none"/>
        </w:rPr>
        <w:t xml:space="preserve"> 招标公告</w:t>
      </w:r>
      <w:bookmarkEnd w:id="14"/>
      <w:bookmarkEnd w:id="15"/>
    </w:p>
    <w:p w14:paraId="2B2E66E9">
      <w:pPr>
        <w:pBdr>
          <w:top w:val="single" w:color="auto" w:sz="4" w:space="1"/>
          <w:left w:val="single" w:color="auto" w:sz="4" w:space="4"/>
          <w:bottom w:val="single" w:color="auto" w:sz="4" w:space="1"/>
          <w:right w:val="single" w:color="auto" w:sz="4" w:space="4"/>
        </w:pBdr>
        <w:spacing w:line="360" w:lineRule="auto"/>
        <w:rPr>
          <w:rFonts w:hint="eastAsia" w:ascii="宋体" w:hAnsi="宋体"/>
          <w:color w:val="auto"/>
          <w:szCs w:val="21"/>
          <w:highlight w:val="none"/>
        </w:rPr>
      </w:pPr>
      <w:r>
        <w:rPr>
          <w:rFonts w:hint="eastAsia" w:ascii="宋体" w:hAnsi="宋体"/>
          <w:color w:val="auto"/>
          <w:szCs w:val="21"/>
          <w:highlight w:val="none"/>
        </w:rPr>
        <w:t>项目概况</w:t>
      </w:r>
    </w:p>
    <w:p w14:paraId="2E2ECA05">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rPr>
        <w:t>自然资源部第四海洋研究所（广西海洋发展研究院）科考船舶租赁服务</w:t>
      </w:r>
      <w:r>
        <w:rPr>
          <w:rFonts w:hint="eastAsia" w:ascii="宋体" w:hAnsi="宋体"/>
          <w:color w:val="auto"/>
          <w:szCs w:val="21"/>
          <w:highlight w:val="none"/>
        </w:rPr>
        <w:t>招标项目的潜在投标人应在</w:t>
      </w:r>
      <w:r>
        <w:rPr>
          <w:rFonts w:hint="eastAsia" w:ascii="宋体" w:hAnsi="宋体"/>
          <w:color w:val="auto"/>
          <w:szCs w:val="21"/>
          <w:highlight w:val="none"/>
          <w:u w:val="single"/>
        </w:rPr>
        <w:t>诚 E 招电子采购交易平台（https://www.chengezhao.com/）或广西南宁市青秀区金湖北路52-1号东方曼哈顿25楼公诚管理咨询有限公司</w:t>
      </w:r>
      <w:r>
        <w:rPr>
          <w:rFonts w:hint="eastAsia" w:ascii="宋体" w:hAnsi="宋体"/>
          <w:color w:val="auto"/>
          <w:szCs w:val="21"/>
          <w:highlight w:val="none"/>
        </w:rPr>
        <w:t>获取招标文件，并于</w:t>
      </w:r>
      <w:r>
        <w:rPr>
          <w:rFonts w:hint="eastAsia" w:ascii="宋体" w:hAnsi="宋体"/>
          <w:color w:val="auto"/>
          <w:szCs w:val="21"/>
          <w:highlight w:val="none"/>
          <w:u w:val="single"/>
        </w:rPr>
        <w:t xml:space="preserve"> 2026年</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28</w:t>
      </w:r>
      <w:r>
        <w:rPr>
          <w:rFonts w:hint="eastAsia" w:ascii="宋体" w:hAnsi="宋体"/>
          <w:color w:val="auto"/>
          <w:szCs w:val="21"/>
          <w:highlight w:val="none"/>
          <w:u w:val="single"/>
        </w:rPr>
        <w:t>日</w:t>
      </w:r>
      <w:r>
        <w:rPr>
          <w:rFonts w:hint="eastAsia" w:ascii="宋体" w:hAnsi="宋体"/>
          <w:bCs/>
          <w:color w:val="auto"/>
          <w:szCs w:val="21"/>
          <w:highlight w:val="none"/>
          <w:u w:val="single"/>
          <w:lang w:val="en-US" w:eastAsia="zh-CN"/>
        </w:rPr>
        <w:t>15</w:t>
      </w:r>
      <w:r>
        <w:rPr>
          <w:rFonts w:hint="eastAsia" w:ascii="宋体" w:hAnsi="宋体"/>
          <w:bCs/>
          <w:color w:val="auto"/>
          <w:szCs w:val="21"/>
          <w:highlight w:val="none"/>
          <w:u w:val="single"/>
        </w:rPr>
        <w:t>时</w:t>
      </w:r>
      <w:r>
        <w:rPr>
          <w:rFonts w:hint="eastAsia" w:ascii="宋体" w:hAnsi="宋体"/>
          <w:bCs/>
          <w:color w:val="auto"/>
          <w:szCs w:val="21"/>
          <w:highlight w:val="none"/>
          <w:u w:val="single"/>
          <w:lang w:val="en-US" w:eastAsia="zh-CN"/>
        </w:rPr>
        <w:t>00</w:t>
      </w:r>
      <w:r>
        <w:rPr>
          <w:rFonts w:hint="eastAsia" w:ascii="宋体" w:hAnsi="宋体"/>
          <w:bCs/>
          <w:color w:val="auto"/>
          <w:szCs w:val="21"/>
          <w:highlight w:val="none"/>
          <w:u w:val="single"/>
        </w:rPr>
        <w:t>分（北京时间）</w:t>
      </w:r>
      <w:r>
        <w:rPr>
          <w:rFonts w:hint="eastAsia" w:ascii="宋体" w:hAnsi="宋体"/>
          <w:bCs/>
          <w:color w:val="auto"/>
          <w:szCs w:val="21"/>
          <w:highlight w:val="none"/>
        </w:rPr>
        <w:t>前递交投标</w:t>
      </w:r>
      <w:r>
        <w:rPr>
          <w:rFonts w:ascii="宋体" w:hAnsi="宋体"/>
          <w:bCs/>
          <w:color w:val="auto"/>
          <w:szCs w:val="21"/>
          <w:highlight w:val="none"/>
        </w:rPr>
        <w:t>文件</w:t>
      </w:r>
      <w:r>
        <w:rPr>
          <w:rFonts w:hint="eastAsia" w:ascii="宋体" w:hAnsi="宋体"/>
          <w:color w:val="auto"/>
          <w:szCs w:val="21"/>
          <w:highlight w:val="none"/>
        </w:rPr>
        <w:t>。</w:t>
      </w:r>
    </w:p>
    <w:p w14:paraId="5408DF55">
      <w:pPr>
        <w:spacing w:line="360" w:lineRule="auto"/>
        <w:outlineLvl w:val="2"/>
        <w:rPr>
          <w:rFonts w:hint="eastAsia" w:ascii="黑体" w:hAnsi="黑体" w:eastAsia="黑体"/>
          <w:b/>
          <w:bCs/>
          <w:color w:val="auto"/>
          <w:sz w:val="24"/>
          <w:highlight w:val="none"/>
        </w:rPr>
      </w:pPr>
      <w:bookmarkStart w:id="16" w:name="_Toc35393790"/>
      <w:bookmarkStart w:id="17" w:name="_Toc28359079"/>
      <w:bookmarkStart w:id="18" w:name="_Toc35393621"/>
      <w:bookmarkStart w:id="19" w:name="_Toc28359002"/>
      <w:bookmarkStart w:id="20" w:name="_Hlk24379207"/>
      <w:r>
        <w:rPr>
          <w:rFonts w:hint="eastAsia" w:ascii="黑体" w:hAnsi="黑体" w:eastAsia="黑体"/>
          <w:b/>
          <w:bCs/>
          <w:color w:val="auto"/>
          <w:sz w:val="24"/>
          <w:highlight w:val="none"/>
        </w:rPr>
        <w:t>一、项目基本</w:t>
      </w:r>
      <w:bookmarkEnd w:id="16"/>
      <w:bookmarkEnd w:id="17"/>
      <w:bookmarkEnd w:id="18"/>
      <w:bookmarkEnd w:id="19"/>
      <w:r>
        <w:rPr>
          <w:rFonts w:hint="eastAsia" w:ascii="黑体" w:hAnsi="黑体" w:eastAsia="黑体"/>
          <w:b/>
          <w:bCs/>
          <w:color w:val="auto"/>
          <w:sz w:val="24"/>
          <w:highlight w:val="none"/>
        </w:rPr>
        <w:t>情况</w:t>
      </w:r>
    </w:p>
    <w:p w14:paraId="736C9E96">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1.项目编号：</w:t>
      </w:r>
      <w:r>
        <w:rPr>
          <w:rFonts w:hint="eastAsia" w:ascii="宋体" w:hAnsi="宋体"/>
          <w:color w:val="auto"/>
          <w:szCs w:val="21"/>
          <w:highlight w:val="none"/>
          <w:lang w:eastAsia="zh-CN"/>
        </w:rPr>
        <w:t>07-15-04A-2026-D-F-E17910</w:t>
      </w:r>
    </w:p>
    <w:p w14:paraId="290CD1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2.项目名称：</w:t>
      </w:r>
      <w:bookmarkStart w:id="21" w:name="OLE_LINK8"/>
      <w:r>
        <w:rPr>
          <w:rFonts w:hint="eastAsia" w:ascii="宋体" w:hAnsi="宋体"/>
          <w:color w:val="auto"/>
          <w:szCs w:val="21"/>
          <w:highlight w:val="none"/>
        </w:rPr>
        <w:t>自然资源部第四海洋研究</w:t>
      </w:r>
      <w:r>
        <w:rPr>
          <w:rFonts w:hint="eastAsia" w:ascii="宋体" w:hAnsi="宋体"/>
          <w:color w:val="auto"/>
          <w:szCs w:val="21"/>
          <w:highlight w:val="none"/>
          <w:u w:val="none"/>
        </w:rPr>
        <w:t>所（广西海洋发展研究院）科考船舶</w:t>
      </w:r>
      <w:r>
        <w:rPr>
          <w:rFonts w:hint="eastAsia" w:ascii="宋体" w:hAnsi="宋体"/>
          <w:color w:val="auto"/>
          <w:szCs w:val="21"/>
          <w:highlight w:val="none"/>
        </w:rPr>
        <w:t>租赁服务</w:t>
      </w:r>
    </w:p>
    <w:bookmarkEnd w:id="20"/>
    <w:bookmarkEnd w:id="21"/>
    <w:p w14:paraId="6BBEF9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3.预算金额：160.00万元</w:t>
      </w:r>
      <w:r>
        <w:rPr>
          <w:rFonts w:hint="eastAsia" w:ascii="宋体" w:hAnsi="宋体" w:cs="宋体"/>
          <w:color w:val="auto"/>
          <w:spacing w:val="-2"/>
          <w:szCs w:val="21"/>
          <w:highlight w:val="none"/>
        </w:rPr>
        <w:t>（人民币）</w:t>
      </w:r>
    </w:p>
    <w:p w14:paraId="186F393F">
      <w:pPr>
        <w:spacing w:line="360" w:lineRule="auto"/>
        <w:ind w:firstLine="420" w:firstLineChars="200"/>
        <w:rPr>
          <w:rFonts w:hint="eastAsia" w:ascii="宋体" w:hAnsi="宋体" w:cs="宋体"/>
          <w:color w:val="auto"/>
          <w:spacing w:val="-2"/>
          <w:szCs w:val="21"/>
          <w:highlight w:val="none"/>
        </w:rPr>
      </w:pPr>
      <w:r>
        <w:rPr>
          <w:rFonts w:hint="eastAsia" w:ascii="宋体" w:hAnsi="宋体" w:cs="宋体"/>
          <w:color w:val="auto"/>
          <w:szCs w:val="21"/>
          <w:highlight w:val="none"/>
        </w:rPr>
        <w:t>4.最高限价（如有）：</w:t>
      </w:r>
      <w:r>
        <w:rPr>
          <w:rFonts w:hint="eastAsia" w:ascii="宋体" w:hAnsi="宋体" w:cs="宋体"/>
          <w:color w:val="auto"/>
          <w:spacing w:val="-2"/>
          <w:szCs w:val="21"/>
          <w:highlight w:val="none"/>
        </w:rPr>
        <w:t>本项目各类型船舶单艘船舶租赁单价最高限价详见招标文件第二章。</w:t>
      </w:r>
    </w:p>
    <w:p w14:paraId="7DF3EEF0">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color w:val="auto"/>
          <w:szCs w:val="21"/>
          <w:highlight w:val="none"/>
        </w:rPr>
        <w:t>5.采购需求：</w:t>
      </w:r>
      <w:r>
        <w:rPr>
          <w:rFonts w:hint="eastAsia" w:ascii="宋体" w:hAnsi="宋体" w:cs="宋体"/>
          <w:bCs/>
          <w:color w:val="auto"/>
          <w:kern w:val="0"/>
          <w:szCs w:val="21"/>
          <w:highlight w:val="none"/>
        </w:rPr>
        <w:t>本项目需采购</w:t>
      </w:r>
      <w:r>
        <w:rPr>
          <w:rFonts w:ascii="宋体" w:hAnsi="宋体" w:cs="宋体"/>
          <w:bCs/>
          <w:color w:val="auto"/>
          <w:kern w:val="0"/>
          <w:szCs w:val="21"/>
          <w:highlight w:val="none"/>
        </w:rPr>
        <w:t>船舶租赁服务</w:t>
      </w:r>
      <w:r>
        <w:rPr>
          <w:rFonts w:hint="eastAsia" w:ascii="宋体" w:hAnsi="宋体" w:cs="宋体"/>
          <w:bCs/>
          <w:color w:val="auto"/>
          <w:kern w:val="0"/>
          <w:szCs w:val="21"/>
          <w:highlight w:val="none"/>
        </w:rPr>
        <w:t>1项，具体采购需求及要求详见招标文件。</w:t>
      </w:r>
    </w:p>
    <w:p w14:paraId="1222713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6.合同履约期限：</w:t>
      </w:r>
      <w:r>
        <w:rPr>
          <w:rFonts w:ascii="宋体" w:hAnsi="宋体" w:cs="宋体"/>
          <w:color w:val="auto"/>
          <w:szCs w:val="21"/>
          <w:highlight w:val="none"/>
        </w:rPr>
        <w:t>签订合同之日起一年或合同款项执行完毕止，先到为准</w:t>
      </w:r>
      <w:r>
        <w:rPr>
          <w:rFonts w:hint="eastAsia" w:ascii="宋体" w:hAnsi="宋体" w:cs="宋体"/>
          <w:color w:val="auto"/>
          <w:szCs w:val="21"/>
          <w:highlight w:val="none"/>
        </w:rPr>
        <w:t>。</w:t>
      </w:r>
    </w:p>
    <w:p w14:paraId="4E5E00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7.本项目（不接受）联合体投标。</w:t>
      </w:r>
    </w:p>
    <w:p w14:paraId="07481C8F">
      <w:pPr>
        <w:spacing w:line="360" w:lineRule="auto"/>
        <w:outlineLvl w:val="2"/>
        <w:rPr>
          <w:rFonts w:hint="eastAsia" w:ascii="黑体" w:hAnsi="黑体" w:eastAsia="黑体"/>
          <w:b/>
          <w:bCs/>
          <w:color w:val="auto"/>
          <w:sz w:val="24"/>
          <w:highlight w:val="none"/>
        </w:rPr>
      </w:pPr>
      <w:bookmarkStart w:id="22" w:name="_Toc35393791"/>
      <w:bookmarkStart w:id="23" w:name="_Toc28359080"/>
      <w:bookmarkStart w:id="24" w:name="_Toc28359003"/>
      <w:bookmarkStart w:id="25" w:name="_Toc35393622"/>
      <w:r>
        <w:rPr>
          <w:rFonts w:hint="eastAsia" w:ascii="黑体" w:hAnsi="黑体" w:eastAsia="黑体"/>
          <w:b/>
          <w:bCs/>
          <w:color w:val="auto"/>
          <w:sz w:val="24"/>
          <w:highlight w:val="none"/>
        </w:rPr>
        <w:t>二、投标人的资格要求</w:t>
      </w:r>
      <w:bookmarkEnd w:id="22"/>
      <w:bookmarkEnd w:id="23"/>
      <w:bookmarkEnd w:id="24"/>
      <w:bookmarkEnd w:id="25"/>
    </w:p>
    <w:p w14:paraId="747C4CAC">
      <w:pPr>
        <w:spacing w:line="360" w:lineRule="auto"/>
        <w:ind w:firstLine="420" w:firstLineChars="200"/>
        <w:rPr>
          <w:rFonts w:hint="eastAsia" w:ascii="宋体" w:hAnsi="宋体"/>
          <w:color w:val="auto"/>
          <w:szCs w:val="21"/>
          <w:highlight w:val="none"/>
        </w:rPr>
      </w:pPr>
      <w:bookmarkStart w:id="26" w:name="_Hlk51746371"/>
      <w:r>
        <w:rPr>
          <w:rFonts w:hint="eastAsia" w:ascii="宋体" w:hAnsi="宋体"/>
          <w:color w:val="auto"/>
          <w:szCs w:val="21"/>
          <w:highlight w:val="none"/>
        </w:rPr>
        <w:t>1.满足《中华人民共和国政府采购法》第二十二条规定；</w:t>
      </w:r>
    </w:p>
    <w:p w14:paraId="5F966190">
      <w:pPr>
        <w:spacing w:line="360" w:lineRule="auto"/>
        <w:ind w:firstLine="420" w:firstLineChars="200"/>
        <w:rPr>
          <w:rFonts w:hint="eastAsia" w:ascii="宋体" w:hAnsi="宋体"/>
          <w:color w:val="auto"/>
          <w:szCs w:val="21"/>
          <w:highlight w:val="none"/>
        </w:rPr>
      </w:pPr>
      <w:bookmarkStart w:id="27" w:name="_Toc28359004"/>
      <w:bookmarkStart w:id="28" w:name="_Toc28359081"/>
      <w:r>
        <w:rPr>
          <w:rFonts w:hint="eastAsia" w:ascii="宋体" w:hAnsi="宋体"/>
          <w:color w:val="auto"/>
          <w:szCs w:val="21"/>
          <w:highlight w:val="none"/>
        </w:rPr>
        <w:t>2.落实政府采购政策需满足的资格要求：本项目专门面向中小企业采购项目，</w:t>
      </w:r>
      <w:r>
        <w:rPr>
          <w:rFonts w:ascii="宋体" w:hAnsi="宋体"/>
          <w:color w:val="auto"/>
          <w:szCs w:val="21"/>
          <w:highlight w:val="none"/>
        </w:rPr>
        <w:t>供应商应为中小微企业</w:t>
      </w:r>
      <w:r>
        <w:rPr>
          <w:rFonts w:hint="eastAsia" w:ascii="宋体" w:hAnsi="宋体"/>
          <w:color w:val="auto"/>
          <w:szCs w:val="21"/>
          <w:highlight w:val="none"/>
        </w:rPr>
        <w:t>或</w:t>
      </w:r>
      <w:r>
        <w:rPr>
          <w:rFonts w:ascii="宋体" w:hAnsi="宋体"/>
          <w:color w:val="auto"/>
          <w:szCs w:val="21"/>
          <w:highlight w:val="none"/>
        </w:rPr>
        <w:t>监狱企业</w:t>
      </w:r>
      <w:r>
        <w:rPr>
          <w:rFonts w:hint="eastAsia" w:ascii="宋体" w:hAnsi="宋体"/>
          <w:color w:val="auto"/>
          <w:szCs w:val="21"/>
          <w:highlight w:val="none"/>
        </w:rPr>
        <w:t>或</w:t>
      </w:r>
      <w:r>
        <w:rPr>
          <w:rFonts w:ascii="宋体" w:hAnsi="宋体"/>
          <w:color w:val="auto"/>
          <w:szCs w:val="21"/>
          <w:highlight w:val="none"/>
        </w:rPr>
        <w:t>残疾人福利性单位</w:t>
      </w:r>
      <w:r>
        <w:rPr>
          <w:rFonts w:hint="eastAsia" w:ascii="宋体" w:hAnsi="宋体"/>
          <w:color w:val="auto"/>
          <w:szCs w:val="21"/>
          <w:highlight w:val="none"/>
        </w:rPr>
        <w:t>。</w:t>
      </w:r>
    </w:p>
    <w:p w14:paraId="2729AD8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3.本项目的特定资格要求：</w:t>
      </w:r>
    </w:p>
    <w:bookmarkEnd w:id="26"/>
    <w:p w14:paraId="04F3C4B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单位负责人为同一人或者存在直接控股、管理关系的不同供应商，不得参加同一合同项下的政府采购活动。除单一来源采购项目外，为本项目提供过整体设计、规范编制或者项目管理、监理、检测等服务的供应商，不得再参加本项目上述服务以外的其他采购活动。</w:t>
      </w:r>
    </w:p>
    <w:p w14:paraId="16CDF60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66311D9">
      <w:pPr>
        <w:spacing w:line="360" w:lineRule="auto"/>
        <w:outlineLvl w:val="2"/>
        <w:rPr>
          <w:rFonts w:hint="eastAsia" w:ascii="黑体" w:hAnsi="黑体" w:eastAsia="黑体"/>
          <w:b/>
          <w:bCs/>
          <w:color w:val="auto"/>
          <w:sz w:val="24"/>
          <w:highlight w:val="none"/>
        </w:rPr>
      </w:pPr>
      <w:bookmarkStart w:id="29" w:name="_Toc35393623"/>
      <w:bookmarkStart w:id="30" w:name="_Toc35393792"/>
      <w:r>
        <w:rPr>
          <w:rFonts w:hint="eastAsia" w:ascii="黑体" w:hAnsi="黑体" w:eastAsia="黑体"/>
          <w:b/>
          <w:bCs/>
          <w:color w:val="auto"/>
          <w:sz w:val="24"/>
          <w:highlight w:val="none"/>
        </w:rPr>
        <w:t>三、获取招标文件</w:t>
      </w:r>
      <w:bookmarkEnd w:id="27"/>
      <w:bookmarkEnd w:id="28"/>
      <w:bookmarkEnd w:id="29"/>
      <w:bookmarkEnd w:id="30"/>
    </w:p>
    <w:p w14:paraId="51B0A658">
      <w:pPr>
        <w:spacing w:line="360" w:lineRule="auto"/>
        <w:ind w:firstLine="420" w:firstLineChars="200"/>
        <w:rPr>
          <w:rFonts w:hint="eastAsia" w:ascii="宋体" w:hAnsi="宋体" w:cs="宋体"/>
          <w:bCs/>
          <w:color w:val="auto"/>
          <w:kern w:val="0"/>
          <w:szCs w:val="21"/>
          <w:highlight w:val="none"/>
        </w:rPr>
      </w:pPr>
      <w:bookmarkStart w:id="31" w:name="_Toc28359005"/>
      <w:bookmarkStart w:id="32" w:name="_Toc28359082"/>
      <w:bookmarkStart w:id="33" w:name="_Toc35393624"/>
      <w:bookmarkStart w:id="34" w:name="_Toc35393793"/>
      <w:r>
        <w:rPr>
          <w:rFonts w:hint="eastAsia" w:ascii="宋体" w:hAnsi="宋体" w:cs="宋体"/>
          <w:bCs/>
          <w:color w:val="auto"/>
          <w:kern w:val="0"/>
          <w:szCs w:val="21"/>
          <w:highlight w:val="none"/>
        </w:rPr>
        <w:t>1.时间：</w:t>
      </w:r>
      <w:r>
        <w:rPr>
          <w:rFonts w:hint="eastAsia" w:ascii="宋体" w:hAnsi="宋体" w:cs="宋体"/>
          <w:bCs/>
          <w:color w:val="auto"/>
          <w:kern w:val="0"/>
          <w:szCs w:val="21"/>
          <w:highlight w:val="none"/>
          <w:u w:val="single"/>
        </w:rPr>
        <w:t xml:space="preserve"> 2026年</w:t>
      </w:r>
      <w:r>
        <w:rPr>
          <w:rFonts w:hint="eastAsia" w:ascii="宋体" w:hAnsi="宋体" w:cs="宋体"/>
          <w:bCs/>
          <w:color w:val="auto"/>
          <w:kern w:val="0"/>
          <w:szCs w:val="21"/>
          <w:highlight w:val="none"/>
          <w:u w:val="single"/>
          <w:lang w:val="en-US" w:eastAsia="zh-CN"/>
        </w:rPr>
        <w:t>7</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7</w:t>
      </w:r>
      <w:r>
        <w:rPr>
          <w:rFonts w:hint="eastAsia" w:ascii="宋体" w:hAnsi="宋体" w:cs="宋体"/>
          <w:bCs/>
          <w:color w:val="auto"/>
          <w:kern w:val="0"/>
          <w:szCs w:val="21"/>
          <w:highlight w:val="none"/>
          <w:u w:val="single"/>
        </w:rPr>
        <w:t>日至 2026年</w:t>
      </w:r>
      <w:r>
        <w:rPr>
          <w:rFonts w:hint="eastAsia" w:ascii="宋体" w:hAnsi="宋体" w:cs="宋体"/>
          <w:bCs/>
          <w:color w:val="auto"/>
          <w:kern w:val="0"/>
          <w:szCs w:val="21"/>
          <w:highlight w:val="none"/>
          <w:u w:val="single"/>
          <w:lang w:val="en-US" w:eastAsia="zh-CN"/>
        </w:rPr>
        <w:t>7</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14</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，每天上午8点30分至12点00 分，下午14点30 分至18点00分（北京时间，法定节假日除外）。</w:t>
      </w:r>
    </w:p>
    <w:p w14:paraId="00EA6932">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2.地点：诚 E 招电子采购交易平台（https://www.chengezhao.com/）或广西南宁市青秀区金湖北路52-1号东方曼哈顿25楼公诚管理咨询有限公司。</w:t>
      </w:r>
    </w:p>
    <w:p w14:paraId="3BD253DE">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w:t>
      </w:r>
    </w:p>
    <w:p w14:paraId="0EE8480A">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3.1网上获取：注册并登录诚 E 招电子采购交易平台（https://www.chengezhao.com/）进行项目获取招标文件，具体获取方式如下：</w:t>
      </w:r>
    </w:p>
    <w:p w14:paraId="00206527">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（1）“注册”方式详见【诚 E 招电子采购交易平台-帮助中心-操作指南-注册指引】，注册成功后请登录，登录后可在【常用文件】处下载《投标人&amp;供应商操作手册》；</w:t>
      </w:r>
    </w:p>
    <w:p w14:paraId="75D54183">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（2）投标人根据《投标人&amp;供应商操作手册》获取招标文件。（注：“购买文件、支付及下载文件”方式详见《投标人&amp;供应商操作手册》-“购买文件”。）</w:t>
      </w:r>
    </w:p>
    <w:p w14:paraId="113F2F36">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（3）投标人可选择下列任一种方式支付招标文件费用：</w:t>
      </w:r>
    </w:p>
    <w:p w14:paraId="4002ECC7">
      <w:pPr>
        <w:spacing w:line="360" w:lineRule="auto"/>
        <w:ind w:firstLine="707" w:firstLineChars="337"/>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①网上支付：选择【网上支付】方式后，点击【提交】，使用微信支付文件费用；</w:t>
      </w:r>
    </w:p>
    <w:p w14:paraId="4B42770B">
      <w:pPr>
        <w:spacing w:line="360" w:lineRule="auto"/>
        <w:ind w:firstLine="707" w:firstLineChars="337"/>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②电汇：以转账方式支付文件费用，并在支付阶段，将“转账凭证”上传至【附件】处（转 账凭证建议备注说明“项目编号及项目简称”）；（注：开户名：公诚管理咨询有限公司；开户银行：中信银行广州花园支行；账号：</w:t>
      </w:r>
      <w:r>
        <w:rPr>
          <w:rFonts w:hint="eastAsia" w:ascii="宋体" w:hAnsi="宋体" w:cs="宋体"/>
          <w:bCs/>
          <w:color w:val="auto"/>
          <w:kern w:val="0"/>
          <w:szCs w:val="21"/>
          <w:highlight w:val="none"/>
          <w:lang w:eastAsia="zh-CN"/>
        </w:rPr>
        <w:t>3110910037672617910</w:t>
      </w:r>
      <w:r>
        <w:rPr>
          <w:rFonts w:hint="eastAsia" w:ascii="宋体" w:hAnsi="宋体" w:cs="宋体"/>
          <w:bCs/>
          <w:color w:val="auto"/>
          <w:kern w:val="0"/>
          <w:szCs w:val="21"/>
          <w:highlight w:val="none"/>
        </w:rPr>
        <w:t>）</w:t>
      </w:r>
    </w:p>
    <w:p w14:paraId="4FDDB849">
      <w:pPr>
        <w:spacing w:line="360" w:lineRule="auto"/>
        <w:ind w:firstLine="735" w:firstLineChars="35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（4）在诚 E 招电子采购交易平台完成操作后可下载本项目招标文件。</w:t>
      </w:r>
    </w:p>
    <w:p w14:paraId="07F3B9D1">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3.2现场获取：投标人携带法定代表人（负责人）身份证明或法定代表人（负责人）授权委托书、标书费转账凭证复印件前往广西南宁市青秀区金湖北路52-1号东方曼哈顿25楼公诚管理咨询有限公司现场领取，标书费转账账户如下：</w:t>
      </w:r>
    </w:p>
    <w:p w14:paraId="2C2C2C9E">
      <w:pPr>
        <w:spacing w:line="360" w:lineRule="auto"/>
        <w:ind w:firstLine="735" w:firstLineChars="35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（1）开户名：公诚管理咨询有限公司</w:t>
      </w:r>
    </w:p>
    <w:p w14:paraId="35B86AE3">
      <w:pPr>
        <w:spacing w:line="360" w:lineRule="auto"/>
        <w:ind w:firstLine="735" w:firstLineChars="35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（2）开户银行：中信银行广州花园支行</w:t>
      </w:r>
    </w:p>
    <w:p w14:paraId="7EE956DC">
      <w:pPr>
        <w:spacing w:line="360" w:lineRule="auto"/>
        <w:ind w:firstLine="735" w:firstLineChars="350"/>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（3）账号：</w:t>
      </w:r>
      <w:r>
        <w:rPr>
          <w:rFonts w:hint="eastAsia" w:ascii="宋体" w:hAnsi="宋体" w:cs="宋体"/>
          <w:bCs/>
          <w:color w:val="auto"/>
          <w:kern w:val="0"/>
          <w:szCs w:val="21"/>
          <w:highlight w:val="none"/>
          <w:lang w:eastAsia="zh-CN"/>
        </w:rPr>
        <w:t>3110910037672617910</w:t>
      </w:r>
    </w:p>
    <w:p w14:paraId="58B6324D">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4.售价：¥200.00元</w:t>
      </w:r>
    </w:p>
    <w:p w14:paraId="60B4A1E4">
      <w:pPr>
        <w:spacing w:line="360" w:lineRule="auto"/>
        <w:outlineLvl w:val="2"/>
        <w:rPr>
          <w:rFonts w:hint="eastAsia" w:ascii="黑体" w:hAnsi="黑体" w:eastAsia="黑体"/>
          <w:b/>
          <w:bCs/>
          <w:color w:val="auto"/>
          <w:sz w:val="24"/>
          <w:highlight w:val="none"/>
        </w:rPr>
      </w:pPr>
      <w:r>
        <w:rPr>
          <w:rFonts w:hint="eastAsia" w:ascii="黑体" w:hAnsi="黑体" w:eastAsia="黑体"/>
          <w:b/>
          <w:bCs/>
          <w:color w:val="auto"/>
          <w:sz w:val="24"/>
          <w:highlight w:val="none"/>
        </w:rPr>
        <w:t>四、提交投标文件</w:t>
      </w:r>
      <w:bookmarkEnd w:id="31"/>
      <w:bookmarkEnd w:id="32"/>
      <w:r>
        <w:rPr>
          <w:rFonts w:hint="eastAsia" w:ascii="黑体" w:hAnsi="黑体" w:eastAsia="黑体"/>
          <w:b/>
          <w:bCs/>
          <w:color w:val="auto"/>
          <w:sz w:val="24"/>
          <w:highlight w:val="none"/>
        </w:rPr>
        <w:t>截止时间、开标时间和地点</w:t>
      </w:r>
      <w:bookmarkEnd w:id="33"/>
      <w:bookmarkEnd w:id="34"/>
    </w:p>
    <w:p w14:paraId="0CB39394">
      <w:pPr>
        <w:spacing w:line="360" w:lineRule="auto"/>
        <w:ind w:firstLine="420" w:firstLineChars="200"/>
        <w:rPr>
          <w:rFonts w:hint="eastAsia" w:ascii="宋体" w:hAnsi="宋体" w:cs="宋体"/>
          <w:color w:val="auto"/>
          <w:szCs w:val="21"/>
          <w:highlight w:val="none"/>
          <w:u w:val="single"/>
        </w:rPr>
      </w:pPr>
      <w:r>
        <w:rPr>
          <w:rFonts w:hint="eastAsia" w:ascii="宋体" w:hAnsi="宋体"/>
          <w:bCs/>
          <w:color w:val="auto"/>
          <w:szCs w:val="21"/>
          <w:highlight w:val="none"/>
        </w:rPr>
        <w:t>1.</w:t>
      </w:r>
      <w:bookmarkStart w:id="35" w:name="OLE_LINK10"/>
      <w:r>
        <w:rPr>
          <w:rFonts w:hint="eastAsia" w:ascii="宋体" w:hAnsi="宋体"/>
          <w:bCs/>
          <w:color w:val="auto"/>
          <w:szCs w:val="21"/>
          <w:highlight w:val="none"/>
        </w:rPr>
        <w:t>提交投标文件</w:t>
      </w:r>
      <w:bookmarkEnd w:id="35"/>
      <w:r>
        <w:rPr>
          <w:rFonts w:hint="eastAsia" w:ascii="宋体" w:hAnsi="宋体"/>
          <w:bCs/>
          <w:color w:val="auto"/>
          <w:szCs w:val="21"/>
          <w:highlight w:val="none"/>
        </w:rPr>
        <w:t>截止时间：</w:t>
      </w:r>
      <w:r>
        <w:rPr>
          <w:rFonts w:hint="eastAsia" w:ascii="宋体" w:hAnsi="宋体"/>
          <w:color w:val="auto"/>
          <w:szCs w:val="21"/>
          <w:highlight w:val="none"/>
          <w:u w:val="single"/>
        </w:rPr>
        <w:t>2026年7月28日15时00分</w:t>
      </w:r>
      <w:r>
        <w:rPr>
          <w:rFonts w:hint="eastAsia" w:ascii="宋体" w:hAnsi="宋体"/>
          <w:bCs/>
          <w:color w:val="auto"/>
          <w:szCs w:val="21"/>
          <w:highlight w:val="none"/>
          <w:u w:val="single"/>
        </w:rPr>
        <w:t>（北京时间）</w:t>
      </w:r>
    </w:p>
    <w:p w14:paraId="60314FE2">
      <w:pPr>
        <w:spacing w:line="360" w:lineRule="auto"/>
        <w:ind w:firstLine="420" w:firstLineChars="200"/>
        <w:rPr>
          <w:rFonts w:hint="eastAsia" w:ascii="宋体" w:hAnsi="宋体"/>
          <w:bCs/>
          <w:color w:val="auto"/>
          <w:szCs w:val="21"/>
          <w:highlight w:val="none"/>
        </w:rPr>
      </w:pPr>
      <w:bookmarkStart w:id="36" w:name="_Hlk37428909"/>
      <w:r>
        <w:rPr>
          <w:rFonts w:hint="eastAsia" w:ascii="宋体" w:hAnsi="宋体"/>
          <w:bCs/>
          <w:color w:val="auto"/>
          <w:szCs w:val="21"/>
          <w:highlight w:val="none"/>
        </w:rPr>
        <w:t>2.开标时间：</w:t>
      </w:r>
      <w:bookmarkEnd w:id="36"/>
      <w:r>
        <w:rPr>
          <w:rFonts w:hint="eastAsia" w:ascii="宋体" w:hAnsi="宋体"/>
          <w:color w:val="auto"/>
          <w:szCs w:val="21"/>
          <w:highlight w:val="none"/>
          <w:u w:val="single"/>
        </w:rPr>
        <w:t>2026年7月28日15时00分</w:t>
      </w:r>
      <w:r>
        <w:rPr>
          <w:rFonts w:hint="eastAsia" w:ascii="宋体" w:hAnsi="宋体"/>
          <w:bCs/>
          <w:color w:val="auto"/>
          <w:szCs w:val="21"/>
          <w:highlight w:val="none"/>
          <w:u w:val="single"/>
        </w:rPr>
        <w:t>（北京时间）</w:t>
      </w:r>
    </w:p>
    <w:p w14:paraId="5ED2770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3.提交投标文件及开标地点：</w:t>
      </w:r>
      <w:r>
        <w:rPr>
          <w:rFonts w:hint="eastAsia" w:ascii="宋体" w:hAnsi="宋体" w:cs="宋体"/>
          <w:color w:val="auto"/>
          <w:szCs w:val="21"/>
          <w:highlight w:val="none"/>
        </w:rPr>
        <w:t>广西南宁市青秀区金湖北路52-1号东方曼哈顿25楼公诚管理咨询有限公司开标室一。</w:t>
      </w:r>
    </w:p>
    <w:p w14:paraId="4B2C3C67">
      <w:pPr>
        <w:spacing w:line="360" w:lineRule="auto"/>
        <w:outlineLvl w:val="2"/>
        <w:rPr>
          <w:rFonts w:hint="eastAsia" w:ascii="黑体" w:hAnsi="黑体" w:eastAsia="黑体"/>
          <w:b/>
          <w:bCs/>
          <w:color w:val="auto"/>
          <w:sz w:val="24"/>
          <w:highlight w:val="none"/>
        </w:rPr>
      </w:pPr>
      <w:bookmarkStart w:id="37" w:name="_Toc35393794"/>
      <w:bookmarkStart w:id="38" w:name="_Toc28359084"/>
      <w:bookmarkStart w:id="39" w:name="_Toc35393625"/>
      <w:bookmarkStart w:id="40" w:name="_Toc28359007"/>
      <w:r>
        <w:rPr>
          <w:rFonts w:hint="eastAsia" w:ascii="黑体" w:hAnsi="黑体" w:eastAsia="黑体"/>
          <w:b/>
          <w:bCs/>
          <w:color w:val="auto"/>
          <w:sz w:val="24"/>
          <w:highlight w:val="none"/>
        </w:rPr>
        <w:t>五、公告期限</w:t>
      </w:r>
      <w:bookmarkEnd w:id="37"/>
      <w:bookmarkEnd w:id="38"/>
      <w:bookmarkEnd w:id="39"/>
      <w:bookmarkEnd w:id="40"/>
    </w:p>
    <w:p w14:paraId="7B16097D">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17770AF5">
      <w:pPr>
        <w:spacing w:line="360" w:lineRule="auto"/>
        <w:outlineLvl w:val="2"/>
        <w:rPr>
          <w:rFonts w:hint="eastAsia" w:ascii="黑体" w:hAnsi="黑体" w:eastAsia="黑体"/>
          <w:b/>
          <w:bCs/>
          <w:color w:val="auto"/>
          <w:sz w:val="24"/>
          <w:highlight w:val="none"/>
        </w:rPr>
      </w:pPr>
      <w:bookmarkStart w:id="41" w:name="_Toc35393626"/>
      <w:bookmarkStart w:id="42" w:name="_Toc35393795"/>
      <w:r>
        <w:rPr>
          <w:rFonts w:hint="eastAsia" w:ascii="黑体" w:hAnsi="黑体" w:eastAsia="黑体"/>
          <w:b/>
          <w:bCs/>
          <w:color w:val="auto"/>
          <w:sz w:val="24"/>
          <w:highlight w:val="none"/>
        </w:rPr>
        <w:t>六、其他补充事宜</w:t>
      </w:r>
      <w:bookmarkEnd w:id="41"/>
      <w:bookmarkEnd w:id="42"/>
    </w:p>
    <w:p w14:paraId="4CEC06EF">
      <w:pPr>
        <w:spacing w:line="360" w:lineRule="auto"/>
        <w:ind w:firstLine="420" w:firstLineChars="200"/>
        <w:rPr>
          <w:rFonts w:hint="eastAsia" w:ascii="宋体" w:hAnsi="宋体"/>
          <w:color w:val="auto"/>
          <w:szCs w:val="21"/>
          <w:highlight w:val="none"/>
        </w:rPr>
      </w:pPr>
      <w:bookmarkStart w:id="43" w:name="_Hlk37429585"/>
      <w:r>
        <w:rPr>
          <w:rFonts w:hint="eastAsia" w:ascii="宋体" w:hAnsi="宋体"/>
          <w:color w:val="auto"/>
          <w:szCs w:val="21"/>
          <w:highlight w:val="none"/>
        </w:rPr>
        <w:t>1.投标</w:t>
      </w:r>
      <w:r>
        <w:rPr>
          <w:rFonts w:ascii="宋体" w:hAnsi="宋体"/>
          <w:color w:val="auto"/>
          <w:szCs w:val="21"/>
          <w:highlight w:val="none"/>
        </w:rPr>
        <w:t>保证金：</w:t>
      </w:r>
    </w:p>
    <w:p w14:paraId="15D2E5E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投标保证金的金额：人民币壹万陆仟元整（¥16000</w:t>
      </w:r>
      <w:r>
        <w:rPr>
          <w:rFonts w:ascii="宋体" w:hAnsi="宋体"/>
          <w:color w:val="auto"/>
          <w:szCs w:val="21"/>
          <w:highlight w:val="none"/>
        </w:rPr>
        <w:t>.00</w:t>
      </w:r>
      <w:r>
        <w:rPr>
          <w:rFonts w:hint="eastAsia" w:ascii="宋体" w:hAnsi="宋体"/>
          <w:color w:val="auto"/>
          <w:szCs w:val="21"/>
          <w:highlight w:val="none"/>
        </w:rPr>
        <w:t>元）。</w:t>
      </w:r>
    </w:p>
    <w:p w14:paraId="56CB8C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备注：缴纳方式详见投标人须知前附表。</w:t>
      </w:r>
    </w:p>
    <w:p w14:paraId="59DB62FF">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.本项目需要落实的政府采购政策</w:t>
      </w:r>
    </w:p>
    <w:p w14:paraId="5071BAC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（1）政府采购促进中小企业发展。</w:t>
      </w:r>
    </w:p>
    <w:p w14:paraId="36187FC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（2）政府采购支持采用本国产品的政策。</w:t>
      </w:r>
    </w:p>
    <w:p w14:paraId="64EBA4D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（3）强制采购节能产品；优先采购节能产品、环境标志产品。</w:t>
      </w:r>
    </w:p>
    <w:p w14:paraId="3F1F2C3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（4）政府采购促进残疾人就业政策。</w:t>
      </w:r>
    </w:p>
    <w:p w14:paraId="29EEF8B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（5）政府采购支持监狱企业发展。</w:t>
      </w:r>
    </w:p>
    <w:p w14:paraId="4FC959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（6）扶持不发达地区和少数民族政策。</w:t>
      </w:r>
    </w:p>
    <w:p w14:paraId="7A7D6FD4">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w:t>
      </w:r>
      <w:bookmarkStart w:id="44" w:name="_Hlk37429595"/>
      <w:r>
        <w:rPr>
          <w:rFonts w:hint="eastAsia" w:ascii="宋体" w:hAnsi="宋体"/>
          <w:color w:val="auto"/>
          <w:szCs w:val="21"/>
          <w:highlight w:val="none"/>
        </w:rPr>
        <w:t>公告发布</w:t>
      </w:r>
      <w:r>
        <w:rPr>
          <w:rFonts w:ascii="宋体" w:hAnsi="宋体"/>
          <w:color w:val="auto"/>
          <w:szCs w:val="21"/>
          <w:highlight w:val="none"/>
        </w:rPr>
        <w:t>媒介</w:t>
      </w:r>
      <w:r>
        <w:rPr>
          <w:rFonts w:hint="eastAsia" w:ascii="宋体" w:hAnsi="宋体"/>
          <w:color w:val="auto"/>
          <w:szCs w:val="21"/>
          <w:highlight w:val="none"/>
        </w:rPr>
        <w:t>：本项目</w:t>
      </w:r>
      <w:r>
        <w:rPr>
          <w:rFonts w:ascii="宋体" w:hAnsi="宋体"/>
          <w:color w:val="auto"/>
          <w:szCs w:val="21"/>
          <w:highlight w:val="none"/>
        </w:rPr>
        <w:t>公告在</w:t>
      </w:r>
      <w:r>
        <w:rPr>
          <w:rFonts w:hint="eastAsia" w:ascii="宋体" w:hAnsi="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color w:val="auto"/>
          <w:highlight w:val="none"/>
        </w:rPr>
        <w:t>www.ccgp.gov.cn</w:t>
      </w:r>
      <w:r>
        <w:rPr>
          <w:rFonts w:hint="eastAsia"/>
          <w:color w:val="auto"/>
          <w:highlight w:val="none"/>
        </w:rPr>
        <w:fldChar w:fldCharType="end"/>
      </w:r>
      <w:r>
        <w:rPr>
          <w:rFonts w:hint="eastAsia" w:ascii="宋体" w:hAnsi="宋体"/>
          <w:color w:val="auto"/>
          <w:szCs w:val="21"/>
          <w:highlight w:val="none"/>
        </w:rPr>
        <w:t>）</w:t>
      </w:r>
      <w:bookmarkEnd w:id="43"/>
      <w:r>
        <w:rPr>
          <w:rFonts w:hint="eastAsia" w:ascii="宋体" w:hAnsi="宋体"/>
          <w:color w:val="auto"/>
          <w:szCs w:val="21"/>
          <w:highlight w:val="none"/>
        </w:rPr>
        <w:t>、中国采购与招标网（www.chinabidding.com.cn）、诚E招电子采购交易平台（ https://www.chengezhao.com/）上</w:t>
      </w:r>
      <w:r>
        <w:rPr>
          <w:rFonts w:ascii="宋体" w:hAnsi="宋体"/>
          <w:color w:val="auto"/>
          <w:szCs w:val="21"/>
          <w:highlight w:val="none"/>
        </w:rPr>
        <w:t>发布。</w:t>
      </w:r>
    </w:p>
    <w:bookmarkEnd w:id="44"/>
    <w:p w14:paraId="393810A7">
      <w:pPr>
        <w:spacing w:line="360" w:lineRule="auto"/>
        <w:ind w:firstLine="420" w:firstLineChars="200"/>
        <w:rPr>
          <w:rFonts w:hint="eastAsia" w:ascii="宋体" w:hAnsi="宋体"/>
          <w:color w:val="auto"/>
          <w:szCs w:val="21"/>
          <w:highlight w:val="none"/>
        </w:rPr>
      </w:pPr>
      <w:bookmarkStart w:id="45" w:name="_Toc28359008"/>
      <w:bookmarkStart w:id="46" w:name="_Toc35393627"/>
      <w:bookmarkStart w:id="47" w:name="_Toc28359085"/>
      <w:bookmarkStart w:id="48" w:name="_Toc35393796"/>
      <w:r>
        <w:rPr>
          <w:rFonts w:hint="eastAsia" w:ascii="宋体" w:hAnsi="宋体"/>
          <w:color w:val="auto"/>
          <w:szCs w:val="21"/>
          <w:highlight w:val="none"/>
        </w:rPr>
        <w:t>4.其他注意事项</w:t>
      </w:r>
    </w:p>
    <w:p w14:paraId="36E39B3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投标人可自行选择到现场递交投标文件或通过邮寄方式寄送。如投标人的投标文件通过邮寄快递的方式送达，邮寄快递相关要求如下：</w:t>
      </w:r>
    </w:p>
    <w:p w14:paraId="54C6E1A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接收邮寄包裹的时间为工作日上午8：30～12：00，下午14：30～18:00。投标文件必须在提交投标文件截止时间前送达，采购代理机构工作人员签收邮寄包裹的时间即为投标文件的送达时间，且须交由采购代理机构当面签收，逾期送达的投标文件作无效处理。逾期送达的，后果由投标人自行承担。为确保邮寄包裹能及时送达，应选择邮寄运送时间有保障的快递公司寄送投标文件，并尽量在提交投标文件截止日期1日前送达。</w:t>
      </w:r>
    </w:p>
    <w:p w14:paraId="6CCAA3F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（2）投标文件邮寄地址：广西南宁市青秀区金湖北路52-1号东方曼哈顿25楼公诚管理咨询有限公司，收件人：陈雅冰，电话：15078828204。</w:t>
      </w:r>
    </w:p>
    <w:p w14:paraId="350244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人按照招标文件要求装订密封好投标文件后，应使用不透明、防水的邮寄袋或箱子再次包裹已密封的投标文件，并在邮寄袋或箱子上粘牢注明项目名称、项目编号、项目开标日期、投标人联系人及联系方式、有效的电子邮箱等信息。</w:t>
      </w:r>
    </w:p>
    <w:p w14:paraId="330CCA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如评标过程中评标委员会需要投标人澄清、说明或补正时：通过邮寄快递方式递交投标文件的投标人，可在评标委员会要求的合理期限内通过电子邮件书面形式作出澄清、说明或补正；通过现场递交方式递交投标文件的投标人，由授权代表对投标文件以书面形式作出澄清、说明或补正。</w:t>
      </w:r>
    </w:p>
    <w:p w14:paraId="0CAF9BEE">
      <w:pPr>
        <w:spacing w:line="360" w:lineRule="auto"/>
        <w:outlineLvl w:val="2"/>
        <w:rPr>
          <w:rFonts w:hint="eastAsia" w:ascii="黑体" w:hAnsi="黑体" w:eastAsia="黑体"/>
          <w:b/>
          <w:bCs/>
          <w:color w:val="auto"/>
          <w:sz w:val="24"/>
          <w:highlight w:val="none"/>
        </w:rPr>
      </w:pPr>
      <w:r>
        <w:rPr>
          <w:rFonts w:hint="eastAsia" w:ascii="黑体" w:hAnsi="黑体" w:eastAsia="黑体"/>
          <w:b/>
          <w:bCs/>
          <w:color w:val="auto"/>
          <w:sz w:val="24"/>
          <w:highlight w:val="none"/>
        </w:rPr>
        <w:t>七、对本次招标提出询问，请按以下方式联系。</w:t>
      </w:r>
      <w:bookmarkEnd w:id="45"/>
      <w:bookmarkEnd w:id="46"/>
      <w:bookmarkEnd w:id="47"/>
      <w:bookmarkEnd w:id="48"/>
    </w:p>
    <w:p w14:paraId="47FDB913">
      <w:pPr>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　　　1.采购人信息</w:t>
      </w:r>
    </w:p>
    <w:p w14:paraId="6BB1EFE8">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u w:val="single"/>
        </w:rPr>
        <w:t>自然资源部第四海洋研究所</w:t>
      </w:r>
    </w:p>
    <w:p w14:paraId="244D879A">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广西壮族自治区北海市银海区海景大道201号北海海洋产业科技园区海滨路1号1幢</w:t>
      </w:r>
    </w:p>
    <w:p w14:paraId="4D57DD36">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联系方式：</w:t>
      </w:r>
      <w:bookmarkStart w:id="49" w:name="_Toc28359086"/>
      <w:bookmarkStart w:id="50" w:name="_Toc28359009"/>
      <w:r>
        <w:rPr>
          <w:rFonts w:hint="eastAsia" w:ascii="宋体" w:hAnsi="宋体"/>
          <w:color w:val="auto"/>
          <w:szCs w:val="21"/>
          <w:highlight w:val="none"/>
          <w:u w:val="single"/>
        </w:rPr>
        <w:t>李老师，0779-6850529</w:t>
      </w:r>
    </w:p>
    <w:p w14:paraId="3ECE3849">
      <w:pPr>
        <w:spacing w:line="360" w:lineRule="auto"/>
        <w:ind w:firstLine="630" w:firstLineChars="300"/>
        <w:rPr>
          <w:rFonts w:hint="eastAsia" w:ascii="宋体" w:hAnsi="宋体"/>
          <w:color w:val="auto"/>
          <w:szCs w:val="21"/>
          <w:highlight w:val="none"/>
        </w:rPr>
      </w:pPr>
      <w:r>
        <w:rPr>
          <w:rFonts w:hint="eastAsia" w:ascii="宋体" w:hAnsi="宋体" w:cs="宋体"/>
          <w:color w:val="auto"/>
          <w:szCs w:val="21"/>
          <w:highlight w:val="none"/>
        </w:rPr>
        <w:t>2.采购代理机构信息</w:t>
      </w:r>
      <w:bookmarkEnd w:id="49"/>
      <w:bookmarkEnd w:id="50"/>
    </w:p>
    <w:p w14:paraId="08520FEE">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u w:val="single"/>
        </w:rPr>
        <w:t>公诚管理咨询有限公司</w:t>
      </w:r>
    </w:p>
    <w:p w14:paraId="4F39D4E8">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广西南宁市青秀区金湖北路52-1号东方曼哈顿25楼</w:t>
      </w:r>
    </w:p>
    <w:p w14:paraId="78A9B200">
      <w:pPr>
        <w:spacing w:line="360" w:lineRule="auto"/>
        <w:ind w:firstLine="630" w:firstLineChars="300"/>
        <w:rPr>
          <w:rFonts w:hint="eastAsia" w:hAnsi="宋体"/>
          <w:color w:val="auto"/>
          <w:highlight w:val="none"/>
          <w:u w:val="single"/>
        </w:rPr>
      </w:pPr>
      <w:r>
        <w:rPr>
          <w:rFonts w:hint="eastAsia" w:ascii="宋体" w:hAnsi="宋体"/>
          <w:color w:val="auto"/>
          <w:szCs w:val="21"/>
          <w:highlight w:val="none"/>
        </w:rPr>
        <w:t>联系方式：</w:t>
      </w:r>
      <w:bookmarkStart w:id="51" w:name="_Toc28359010"/>
      <w:bookmarkStart w:id="52" w:name="_Toc28359087"/>
      <w:r>
        <w:rPr>
          <w:rFonts w:hint="eastAsia" w:hAnsi="宋体"/>
          <w:color w:val="auto"/>
          <w:highlight w:val="none"/>
          <w:u w:val="single"/>
        </w:rPr>
        <w:t>陈雅冰、劳德、张鹏、盛菲、李涛，15078828204</w:t>
      </w:r>
    </w:p>
    <w:p w14:paraId="211EB585">
      <w:pPr>
        <w:spacing w:line="360" w:lineRule="auto"/>
        <w:ind w:firstLine="630" w:firstLineChars="300"/>
        <w:rPr>
          <w:rFonts w:hint="eastAsia" w:ascii="宋体" w:hAnsi="宋体"/>
          <w:color w:val="auto"/>
          <w:szCs w:val="21"/>
          <w:highlight w:val="none"/>
          <w:u w:val="singl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51"/>
      <w:bookmarkEnd w:id="52"/>
    </w:p>
    <w:p w14:paraId="32266B2F">
      <w:pPr>
        <w:pStyle w:val="23"/>
        <w:spacing w:line="360" w:lineRule="auto"/>
        <w:ind w:firstLine="630" w:firstLineChars="300"/>
        <w:rPr>
          <w:rFonts w:hint="eastAsia" w:hAnsi="宋体"/>
          <w:color w:val="auto"/>
          <w:sz w:val="21"/>
          <w:highlight w:val="none"/>
          <w:u w:val="single"/>
        </w:rPr>
      </w:pPr>
      <w:r>
        <w:rPr>
          <w:rFonts w:hint="eastAsia" w:hAnsi="宋体"/>
          <w:color w:val="auto"/>
          <w:sz w:val="21"/>
          <w:highlight w:val="none"/>
        </w:rPr>
        <w:t>项目联系人：</w:t>
      </w:r>
      <w:r>
        <w:rPr>
          <w:rFonts w:hint="eastAsia" w:hAnsi="宋体"/>
          <w:color w:val="auto"/>
          <w:sz w:val="21"/>
          <w:highlight w:val="none"/>
          <w:u w:val="single"/>
        </w:rPr>
        <w:t>陈雅冰、劳德、张鹏、盛菲、李涛</w:t>
      </w:r>
    </w:p>
    <w:p w14:paraId="06EAC8F0">
      <w:pPr>
        <w:spacing w:line="360" w:lineRule="auto"/>
        <w:ind w:firstLine="630" w:firstLineChars="300"/>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15078828204</w:t>
      </w:r>
    </w:p>
    <w:p w14:paraId="782B5103">
      <w:pPr>
        <w:spacing w:line="360" w:lineRule="auto"/>
        <w:rPr>
          <w:rFonts w:hint="eastAsia" w:ascii="宋体" w:hAnsi="宋体"/>
          <w:color w:val="auto"/>
          <w:szCs w:val="21"/>
          <w:highlight w:val="none"/>
        </w:rPr>
      </w:pPr>
    </w:p>
    <w:p w14:paraId="30CFD847">
      <w:pPr>
        <w:spacing w:line="360" w:lineRule="auto"/>
        <w:jc w:val="right"/>
        <w:rPr>
          <w:rFonts w:hint="eastAsia" w:ascii="宋体" w:hAnsi="宋体"/>
          <w:color w:val="auto"/>
          <w:szCs w:val="21"/>
          <w:highlight w:val="none"/>
        </w:rPr>
      </w:pPr>
      <w:r>
        <w:rPr>
          <w:rFonts w:hint="eastAsia" w:ascii="宋体" w:hAnsi="宋体"/>
          <w:color w:val="auto"/>
          <w:szCs w:val="21"/>
          <w:highlight w:val="none"/>
        </w:rPr>
        <w:t>采购</w:t>
      </w:r>
      <w:r>
        <w:rPr>
          <w:rFonts w:ascii="宋体" w:hAnsi="宋体"/>
          <w:color w:val="auto"/>
          <w:szCs w:val="21"/>
          <w:highlight w:val="none"/>
        </w:rPr>
        <w:t>代理机构：</w:t>
      </w:r>
      <w:r>
        <w:rPr>
          <w:rFonts w:hint="eastAsia" w:ascii="宋体" w:hAnsi="宋体"/>
          <w:color w:val="auto"/>
          <w:szCs w:val="21"/>
          <w:highlight w:val="none"/>
          <w:u w:val="single"/>
        </w:rPr>
        <w:t>公诚管理</w:t>
      </w:r>
      <w:r>
        <w:rPr>
          <w:rFonts w:ascii="宋体" w:hAnsi="宋体"/>
          <w:color w:val="auto"/>
          <w:szCs w:val="21"/>
          <w:highlight w:val="none"/>
          <w:u w:val="single"/>
        </w:rPr>
        <w:t>咨询有限公司</w:t>
      </w:r>
    </w:p>
    <w:p w14:paraId="30A8DCC2">
      <w:pPr>
        <w:spacing w:line="360" w:lineRule="auto"/>
        <w:ind w:firstLine="210" w:firstLineChars="100"/>
        <w:jc w:val="right"/>
        <w:rPr>
          <w:rFonts w:hint="eastAsia" w:ascii="宋体" w:hAnsi="宋体"/>
          <w:color w:val="auto"/>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2026年</w:t>
      </w:r>
      <w:r>
        <w:rPr>
          <w:rFonts w:hint="eastAsia" w:ascii="宋体" w:hAnsi="宋体"/>
          <w:bCs/>
          <w:color w:val="auto"/>
          <w:szCs w:val="21"/>
          <w:highlight w:val="none"/>
          <w:u w:val="single"/>
          <w:lang w:val="en-US" w:eastAsia="zh-CN"/>
        </w:rPr>
        <w:t>7</w:t>
      </w:r>
      <w:r>
        <w:rPr>
          <w:rFonts w:hint="eastAsia" w:ascii="宋体" w:hAnsi="宋体"/>
          <w:color w:val="auto"/>
          <w:szCs w:val="21"/>
          <w:highlight w:val="none"/>
          <w:u w:val="single"/>
        </w:rPr>
        <w:t>月</w:t>
      </w:r>
      <w:r>
        <w:rPr>
          <w:rFonts w:hint="eastAsia" w:ascii="宋体" w:hAnsi="宋体"/>
          <w:bCs/>
          <w:color w:val="auto"/>
          <w:szCs w:val="21"/>
          <w:highlight w:val="none"/>
          <w:u w:val="single"/>
          <w:lang w:val="en-US" w:eastAsia="zh-CN"/>
        </w:rPr>
        <w:t>7</w:t>
      </w:r>
      <w:r>
        <w:rPr>
          <w:rFonts w:hint="eastAsia" w:ascii="宋体" w:hAnsi="宋体"/>
          <w:color w:val="auto"/>
          <w:szCs w:val="21"/>
          <w:highlight w:val="none"/>
          <w:u w:val="single"/>
        </w:rPr>
        <w:t>日</w:t>
      </w:r>
      <w:bookmarkEnd w:id="0"/>
      <w:bookmarkEnd w:id="12"/>
    </w:p>
    <w:bookmarkEnd w:id="13"/>
    <w:p w14:paraId="5929C475">
      <w:pPr>
        <w:pStyle w:val="3"/>
        <w:keepNext w:val="0"/>
        <w:keepLines w:val="0"/>
        <w:jc w:val="center"/>
        <w:rPr>
          <w:color w:val="auto"/>
          <w:sz w:val="30"/>
          <w:szCs w:val="30"/>
          <w:highlight w:val="none"/>
        </w:rPr>
      </w:pPr>
      <w:r>
        <w:rPr>
          <w:rFonts w:ascii="仿宋_GB2312" w:hAnsi="宋体" w:eastAsia="仿宋_GB2312"/>
          <w:color w:val="auto"/>
          <w:sz w:val="24"/>
          <w:szCs w:val="20"/>
          <w:highlight w:val="none"/>
        </w:rPr>
        <w:br w:type="page"/>
      </w:r>
      <w:bookmarkStart w:id="53" w:name="_Toc19686830"/>
      <w:r>
        <w:rPr>
          <w:rFonts w:hint="eastAsia"/>
          <w:color w:val="auto"/>
          <w:highlight w:val="none"/>
        </w:rPr>
        <w:t>第二章  采购需求</w:t>
      </w:r>
      <w:bookmarkEnd w:id="53"/>
    </w:p>
    <w:p w14:paraId="3262AF5F">
      <w:pPr>
        <w:tabs>
          <w:tab w:val="left" w:pos="180"/>
          <w:tab w:val="left" w:pos="1620"/>
        </w:tabs>
        <w:spacing w:line="380" w:lineRule="exact"/>
        <w:ind w:firstLine="422" w:firstLineChars="200"/>
        <w:rPr>
          <w:rFonts w:hint="eastAsia" w:asciiTheme="minorEastAsia" w:hAnsiTheme="minorEastAsia" w:eastAsiaTheme="minorEastAsia" w:cstheme="minorEastAsia"/>
          <w:b/>
          <w:color w:val="auto"/>
          <w:szCs w:val="21"/>
          <w:highlight w:val="none"/>
        </w:rPr>
      </w:pPr>
      <w:bookmarkStart w:id="54" w:name="_Toc254970490"/>
      <w:bookmarkStart w:id="55" w:name="_Toc254970631"/>
      <w:r>
        <w:rPr>
          <w:rFonts w:hint="eastAsia" w:asciiTheme="minorEastAsia" w:hAnsiTheme="minorEastAsia" w:eastAsiaTheme="minorEastAsia" w:cstheme="minorEastAsia"/>
          <w:b/>
          <w:color w:val="auto"/>
          <w:szCs w:val="21"/>
          <w:highlight w:val="none"/>
        </w:rPr>
        <w:t>说明：</w:t>
      </w:r>
      <w:r>
        <w:rPr>
          <w:rFonts w:hint="eastAsia" w:asciiTheme="minorEastAsia" w:hAnsiTheme="minorEastAsia" w:eastAsiaTheme="minorEastAsia" w:cstheme="minorEastAsia"/>
          <w:bCs/>
          <w:color w:val="auto"/>
          <w:szCs w:val="21"/>
          <w:highlight w:val="none"/>
        </w:rPr>
        <w:t xml:space="preserve"> </w:t>
      </w:r>
    </w:p>
    <w:p w14:paraId="0EEE9473">
      <w:pPr>
        <w:tabs>
          <w:tab w:val="left" w:pos="180"/>
          <w:tab w:val="left" w:pos="1620"/>
        </w:tabs>
        <w:spacing w:line="400" w:lineRule="exact"/>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1.“实质性要求”是指采购需求中带“▲”的条款或者不能负偏离的条款或者已经指明不满足按投标无效处理的条款。</w:t>
      </w:r>
    </w:p>
    <w:p w14:paraId="71C1B772">
      <w:pPr>
        <w:tabs>
          <w:tab w:val="left" w:pos="180"/>
          <w:tab w:val="left" w:pos="1620"/>
        </w:tabs>
        <w:spacing w:line="400" w:lineRule="exact"/>
        <w:ind w:firstLine="42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2.投标人必须自行为其投标产品侵犯他人的知识产权或者专利成果的行为承担相应法律责任。</w:t>
      </w:r>
    </w:p>
    <w:p w14:paraId="2FA78F0B">
      <w:pPr>
        <w:tabs>
          <w:tab w:val="left" w:pos="180"/>
          <w:tab w:val="left" w:pos="1620"/>
        </w:tabs>
        <w:spacing w:line="400" w:lineRule="exact"/>
        <w:ind w:firstLine="422"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投标人应根据自身实际情况响应招标文件采购需求中的各项需求，对于重要技术参数（带“◆”的条款）应当在投标文件中提供技术支持资料。技术支持资料以投标供应商公开发布的印刷资料或国家认定的第三方检测机构出具的检测报告或官网截图或招标文件中允许的其它形式为准，否则将视为无效技术支持资料。</w:t>
      </w:r>
    </w:p>
    <w:p w14:paraId="4A2771F0">
      <w:pPr>
        <w:tabs>
          <w:tab w:val="left" w:pos="180"/>
          <w:tab w:val="left" w:pos="1620"/>
        </w:tabs>
        <w:spacing w:line="400" w:lineRule="exact"/>
        <w:ind w:firstLine="422" w:firstLineChars="200"/>
        <w:rPr>
          <w:rFonts w:hint="eastAsia" w:asciiTheme="minorEastAsia" w:hAnsiTheme="minorEastAsia" w:eastAsiaTheme="minorEastAsia" w:cstheme="minorEastAsia"/>
          <w:b/>
          <w:color w:val="auto"/>
          <w:szCs w:val="21"/>
          <w:highlight w:val="none"/>
        </w:rPr>
      </w:pPr>
      <w:bookmarkStart w:id="56" w:name="OLE_LINK104"/>
      <w:r>
        <w:rPr>
          <w:rFonts w:hint="eastAsia" w:asciiTheme="minorEastAsia" w:hAnsiTheme="minorEastAsia" w:eastAsiaTheme="minorEastAsia" w:cstheme="minorEastAsia"/>
          <w:b/>
          <w:color w:val="auto"/>
          <w:szCs w:val="21"/>
          <w:highlight w:val="none"/>
        </w:rPr>
        <w:t>4.</w:t>
      </w:r>
      <w:r>
        <w:rPr>
          <w:rFonts w:hint="eastAsia" w:asciiTheme="minorEastAsia" w:hAnsiTheme="minorEastAsia" w:eastAsiaTheme="minorEastAsia" w:cstheme="minorEastAsia"/>
          <w:b/>
          <w:bCs/>
          <w:color w:val="auto"/>
          <w:szCs w:val="21"/>
          <w:highlight w:val="none"/>
        </w:rPr>
        <w:t>本项目标的所属行业：</w:t>
      </w:r>
      <w:bookmarkEnd w:id="56"/>
      <w:r>
        <w:rPr>
          <w:rFonts w:asciiTheme="minorEastAsia" w:hAnsiTheme="minorEastAsia" w:eastAsiaTheme="minorEastAsia" w:cstheme="minorEastAsia"/>
          <w:b/>
          <w:bCs/>
          <w:color w:val="auto"/>
          <w:szCs w:val="21"/>
          <w:highlight w:val="none"/>
        </w:rPr>
        <w:t>租赁和商务服务业。从业人员300人以下或资产总额120000万元以下的为中小微型企业。其中，从业人员100人及以上，且资产总额8000万元及以上的为中型企业；从业人员10人及以上，且资产总额 100 万元及以上的为小型企业；从业人员10人以下或资产总额100万元以下的为微型企业。</w:t>
      </w:r>
    </w:p>
    <w:p w14:paraId="664ACEF7">
      <w:pPr>
        <w:tabs>
          <w:tab w:val="left" w:pos="180"/>
          <w:tab w:val="left" w:pos="1620"/>
        </w:tabs>
        <w:spacing w:line="400" w:lineRule="exact"/>
        <w:ind w:firstLine="422" w:firstLineChars="200"/>
        <w:rPr>
          <w:rFonts w:hint="eastAsia" w:asciiTheme="minorEastAsia" w:hAnsiTheme="minorEastAsia" w:eastAsiaTheme="minorEastAsia" w:cstheme="minorEastAsia"/>
          <w:b/>
          <w:color w:val="auto"/>
          <w:szCs w:val="21"/>
          <w:highlight w:val="none"/>
        </w:rPr>
      </w:pPr>
      <w:bookmarkStart w:id="57" w:name="OLE_LINK81"/>
      <w:r>
        <w:rPr>
          <w:rFonts w:hint="eastAsia" w:asciiTheme="minorEastAsia" w:hAnsiTheme="minorEastAsia" w:eastAsiaTheme="minorEastAsia" w:cstheme="minorEastAsia"/>
          <w:b/>
          <w:color w:val="auto"/>
          <w:szCs w:val="21"/>
          <w:highlight w:val="none"/>
        </w:rPr>
        <w:t>5.进口产品说明：本项目接受进口产品参与投标。</w:t>
      </w:r>
    </w:p>
    <w:p w14:paraId="5EF2BE35">
      <w:pPr>
        <w:tabs>
          <w:tab w:val="left" w:pos="180"/>
          <w:tab w:val="left" w:pos="1620"/>
        </w:tabs>
        <w:spacing w:line="400" w:lineRule="exact"/>
        <w:ind w:firstLine="420" w:firstLineChars="200"/>
        <w:rPr>
          <w:rFonts w:hint="eastAsia" w:asciiTheme="minorEastAsia" w:hAnsiTheme="minorEastAsia" w:eastAsiaTheme="minorEastAsia" w:cstheme="minorEastAsia"/>
          <w:bCs/>
          <w:color w:val="auto"/>
          <w:szCs w:val="21"/>
          <w:highlight w:val="none"/>
        </w:rPr>
      </w:pPr>
    </w:p>
    <w:bookmarkEnd w:id="57"/>
    <w:tbl>
      <w:tblPr>
        <w:tblStyle w:val="4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3"/>
        <w:gridCol w:w="785"/>
        <w:gridCol w:w="178"/>
        <w:gridCol w:w="692"/>
        <w:gridCol w:w="7410"/>
      </w:tblGrid>
      <w:tr w14:paraId="0FF31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9" w:hRule="atLeast"/>
          <w:jc w:val="center"/>
        </w:trPr>
        <w:tc>
          <w:tcPr>
            <w:tcW w:w="9628" w:type="dxa"/>
            <w:gridSpan w:val="5"/>
            <w:vAlign w:val="center"/>
          </w:tcPr>
          <w:p w14:paraId="2177E759">
            <w:pPr>
              <w:tabs>
                <w:tab w:val="left" w:pos="180"/>
                <w:tab w:val="left" w:pos="1620"/>
              </w:tabs>
              <w:spacing w:line="36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一、技术服务要求</w:t>
            </w:r>
          </w:p>
        </w:tc>
      </w:tr>
      <w:tr w14:paraId="0EC6A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9" w:hRule="atLeast"/>
          <w:jc w:val="center"/>
        </w:trPr>
        <w:tc>
          <w:tcPr>
            <w:tcW w:w="563" w:type="dxa"/>
            <w:vAlign w:val="center"/>
          </w:tcPr>
          <w:p w14:paraId="7ADF4A3E">
            <w:pPr>
              <w:tabs>
                <w:tab w:val="left" w:pos="180"/>
                <w:tab w:val="left" w:pos="1620"/>
              </w:tabs>
              <w:spacing w:line="36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序号</w:t>
            </w:r>
          </w:p>
        </w:tc>
        <w:tc>
          <w:tcPr>
            <w:tcW w:w="785" w:type="dxa"/>
            <w:vAlign w:val="center"/>
          </w:tcPr>
          <w:p w14:paraId="63301D4A">
            <w:pPr>
              <w:tabs>
                <w:tab w:val="left" w:pos="180"/>
                <w:tab w:val="left" w:pos="1620"/>
              </w:tabs>
              <w:spacing w:line="36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标的名称</w:t>
            </w:r>
          </w:p>
        </w:tc>
        <w:tc>
          <w:tcPr>
            <w:tcW w:w="870" w:type="dxa"/>
            <w:gridSpan w:val="2"/>
            <w:vAlign w:val="center"/>
          </w:tcPr>
          <w:p w14:paraId="47E087F5">
            <w:pPr>
              <w:tabs>
                <w:tab w:val="left" w:pos="180"/>
                <w:tab w:val="left" w:pos="1620"/>
              </w:tabs>
              <w:spacing w:line="36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数量及单位</w:t>
            </w:r>
          </w:p>
        </w:tc>
        <w:tc>
          <w:tcPr>
            <w:tcW w:w="7410" w:type="dxa"/>
            <w:vAlign w:val="center"/>
          </w:tcPr>
          <w:p w14:paraId="0BCCA74F">
            <w:pPr>
              <w:tabs>
                <w:tab w:val="left" w:pos="180"/>
                <w:tab w:val="left" w:pos="1620"/>
              </w:tabs>
              <w:spacing w:line="360" w:lineRule="exact"/>
              <w:jc w:val="center"/>
              <w:rPr>
                <w:rFonts w:hint="eastAsia" w:asciiTheme="minorEastAsia" w:hAnsiTheme="minorEastAsia" w:eastAsiaTheme="minorEastAsia" w:cstheme="minorEastAsia"/>
                <w:b/>
                <w:bCs/>
                <w:color w:val="auto"/>
                <w:szCs w:val="21"/>
                <w:highlight w:val="none"/>
              </w:rPr>
            </w:pPr>
            <w:bookmarkStart w:id="58" w:name="OLE_LINK13"/>
            <w:r>
              <w:rPr>
                <w:rFonts w:hint="eastAsia" w:asciiTheme="minorEastAsia" w:hAnsiTheme="minorEastAsia" w:eastAsiaTheme="minorEastAsia" w:cstheme="minorEastAsia"/>
                <w:b/>
                <w:bCs/>
                <w:color w:val="auto"/>
                <w:szCs w:val="21"/>
                <w:highlight w:val="none"/>
              </w:rPr>
              <w:t>技术</w:t>
            </w:r>
            <w:bookmarkEnd w:id="58"/>
            <w:r>
              <w:rPr>
                <w:rFonts w:hint="eastAsia" w:asciiTheme="minorEastAsia" w:hAnsiTheme="minorEastAsia" w:eastAsiaTheme="minorEastAsia" w:cstheme="minorEastAsia"/>
                <w:b/>
                <w:bCs/>
                <w:color w:val="auto"/>
                <w:szCs w:val="21"/>
                <w:highlight w:val="none"/>
              </w:rPr>
              <w:t>指标</w:t>
            </w:r>
          </w:p>
        </w:tc>
      </w:tr>
      <w:tr w14:paraId="047A9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0" w:hRule="atLeast"/>
          <w:jc w:val="center"/>
        </w:trPr>
        <w:tc>
          <w:tcPr>
            <w:tcW w:w="563" w:type="dxa"/>
            <w:vAlign w:val="center"/>
          </w:tcPr>
          <w:p w14:paraId="7690F5D7">
            <w:pPr>
              <w:tabs>
                <w:tab w:val="left" w:pos="180"/>
                <w:tab w:val="left" w:pos="1620"/>
              </w:tabs>
              <w:spacing w:line="36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785" w:type="dxa"/>
            <w:vAlign w:val="center"/>
          </w:tcPr>
          <w:p w14:paraId="32342980">
            <w:pPr>
              <w:tabs>
                <w:tab w:val="left" w:pos="180"/>
                <w:tab w:val="left" w:pos="1620"/>
              </w:tabs>
              <w:spacing w:line="36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船舶租赁服务</w:t>
            </w:r>
          </w:p>
        </w:tc>
        <w:tc>
          <w:tcPr>
            <w:tcW w:w="870" w:type="dxa"/>
            <w:gridSpan w:val="2"/>
            <w:vAlign w:val="center"/>
          </w:tcPr>
          <w:p w14:paraId="1628D8A9">
            <w:pPr>
              <w:pStyle w:val="15"/>
              <w:spacing w:line="360" w:lineRule="exact"/>
              <w:jc w:val="center"/>
              <w:rPr>
                <w:rFonts w:hint="eastAsia" w:asciiTheme="minorEastAsia" w:hAnsiTheme="minorEastAsia" w:eastAsiaTheme="minorEastAsia" w:cstheme="minorEastAsia"/>
                <w:color w:val="auto"/>
                <w:szCs w:val="21"/>
                <w:highlight w:val="none"/>
              </w:rPr>
            </w:pPr>
            <w:bookmarkStart w:id="59" w:name="OLE_LINK6"/>
            <w:r>
              <w:rPr>
                <w:rFonts w:hint="eastAsia" w:asciiTheme="minorEastAsia" w:hAnsiTheme="minorEastAsia" w:eastAsiaTheme="minorEastAsia" w:cstheme="minorEastAsia"/>
                <w:color w:val="auto"/>
                <w:szCs w:val="21"/>
                <w:highlight w:val="none"/>
              </w:rPr>
              <w:t>1</w:t>
            </w:r>
            <w:bookmarkEnd w:id="59"/>
            <w:r>
              <w:rPr>
                <w:rFonts w:hint="eastAsia" w:asciiTheme="minorEastAsia" w:hAnsiTheme="minorEastAsia" w:eastAsiaTheme="minorEastAsia" w:cstheme="minorEastAsia"/>
                <w:color w:val="auto"/>
                <w:szCs w:val="21"/>
                <w:highlight w:val="none"/>
              </w:rPr>
              <w:t>项</w:t>
            </w:r>
          </w:p>
        </w:tc>
        <w:tc>
          <w:tcPr>
            <w:tcW w:w="7410" w:type="dxa"/>
            <w:vAlign w:val="center"/>
          </w:tcPr>
          <w:p w14:paraId="380C97F9">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一、远海调查船舶</w:t>
            </w:r>
          </w:p>
          <w:p w14:paraId="562EF75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 船舶总吨及单价</w:t>
            </w:r>
          </w:p>
          <w:p w14:paraId="62D45E5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▲（1）船舶总吨大于300小于等于700，单艘船舶租赁单价不超过2.5万元/天；</w:t>
            </w:r>
          </w:p>
          <w:p w14:paraId="496D705F">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▲（2）船舶总吨大于700小于等于1000，单艘船舶租赁单价不超过4.9万元/天。</w:t>
            </w:r>
          </w:p>
          <w:p w14:paraId="2E20AFF1">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避风及靠港期间单价为单艘船舶租赁单价的50%。如遇恶劣海况等不可抗力导致航次延期，可按照此次招标单价延长服务期限。</w:t>
            </w:r>
          </w:p>
          <w:p w14:paraId="370A6D05">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 服务要求：</w:t>
            </w:r>
          </w:p>
          <w:p w14:paraId="260522B3">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（1）调查船必须可以在3级海况下作业；</w:t>
            </w:r>
          </w:p>
          <w:p w14:paraId="2E10E44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（2）调查船需满足连续15天以上持续作业的条件，提供不少于18名调查队员的床位、饮食、卫生等基本生活需求；</w:t>
            </w:r>
          </w:p>
          <w:p w14:paraId="59114011">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（3）调查船需保证消防、救生、防疫等设备安全可靠，提供所有调查队员的救生设备；</w:t>
            </w:r>
          </w:p>
          <w:p w14:paraId="05D3BDB2">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（4）调查船需配套完整的作业设备，包括但不限于导航、龙门吊、绞车等，提供至少3名船员操作设备并辅助作业；</w:t>
            </w:r>
          </w:p>
          <w:p w14:paraId="27211043">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（5）调查船需提供15m</w:t>
            </w:r>
            <w:r>
              <w:rPr>
                <w:rFonts w:hint="eastAsia" w:asciiTheme="minorEastAsia" w:hAnsiTheme="minorEastAsia" w:eastAsiaTheme="minorEastAsia" w:cstheme="minorEastAsia"/>
                <w:color w:val="auto"/>
                <w:szCs w:val="21"/>
                <w:highlight w:val="none"/>
                <w:vertAlign w:val="superscript"/>
              </w:rPr>
              <w:t>2</w:t>
            </w:r>
            <w:r>
              <w:rPr>
                <w:rFonts w:hint="eastAsia" w:asciiTheme="minorEastAsia" w:hAnsiTheme="minorEastAsia" w:eastAsiaTheme="minorEastAsia" w:cstheme="minorEastAsia"/>
                <w:color w:val="auto"/>
                <w:szCs w:val="21"/>
                <w:highlight w:val="none"/>
              </w:rPr>
              <w:t>以上的实验室并配套试验台、供电等基本设施。</w:t>
            </w:r>
          </w:p>
          <w:p w14:paraId="648199C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二、近海调查船舶</w:t>
            </w:r>
          </w:p>
          <w:p w14:paraId="5AF44C91">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 船舶总吨及单价</w:t>
            </w:r>
          </w:p>
          <w:p w14:paraId="692A2D2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▲（1）船舶总吨大于50小于等于100，单艘船舶租赁单价不超过1.0万元/天；</w:t>
            </w:r>
          </w:p>
          <w:p w14:paraId="1212AF73">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▲（2）船舶总吨大于100小于等于150，单艘船舶租赁单价不超过1.5万元/天；</w:t>
            </w:r>
          </w:p>
          <w:p w14:paraId="78CCEC5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▲（3）快艇，长度小于9米，宽度小于2.5米，总功率小于45千瓦。单价：3小时以内（含3小时）2000元/船次，超过3小时后700元/小时·船次。</w:t>
            </w:r>
          </w:p>
          <w:p w14:paraId="68948805">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 服务要求：</w:t>
            </w:r>
          </w:p>
          <w:p w14:paraId="253318B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（1）调查船必须可以在3级海况作业；快艇不做此类要求。</w:t>
            </w:r>
          </w:p>
          <w:p w14:paraId="3448B3DF">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（2）调查船需满足连续5天以上持续作业的条件，提供2-4名调查队员的床位、饮食、卫生等基本生活需求；快艇不做此类要求。</w:t>
            </w:r>
          </w:p>
          <w:p w14:paraId="6429481A">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（3）调查船需保证消防、救生、防疫等设备安全可靠，提供所有调查队员的救生设备；快艇需证件齐全，作业时油料充足，提供不小于5名调查队员的救生设备。</w:t>
            </w:r>
          </w:p>
          <w:p w14:paraId="1EC0025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（4）调查船需配套完整的作业设备，包括但不限于导航、龙门吊、绞车等，提供至少2名船员操作设备并辅助作业；快艇不做此类要求。</w:t>
            </w:r>
          </w:p>
          <w:p w14:paraId="47265E81">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三、定点测流观测船舶</w:t>
            </w:r>
          </w:p>
          <w:p w14:paraId="26045CB9">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 船舶总吨及单价</w:t>
            </w:r>
          </w:p>
          <w:p w14:paraId="1065E13A">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▲（1）船舶总吨小于等于50，单艘船舶租赁单价为不超过0.7万元/船次；</w:t>
            </w:r>
          </w:p>
          <w:p w14:paraId="2F7E3481">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▲（2）船舶总吨大于50小于等于100，单艘船舶租赁单价为不超过1.0万元/船次；</w:t>
            </w:r>
          </w:p>
          <w:p w14:paraId="17B108D1">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▲（3）船舶总吨大于100小于等于150，单艘船舶租赁单价为不超过1.5万元/船次；</w:t>
            </w:r>
          </w:p>
          <w:p w14:paraId="7DABE621">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b/>
                <w:bCs w:val="0"/>
                <w:color w:val="auto"/>
                <w:szCs w:val="21"/>
                <w:highlight w:val="none"/>
              </w:rPr>
              <w:t>▲（4）船舶总吨大于150小于等于200，单艘船舶租赁单价为不超过1.8万元/船次；</w:t>
            </w:r>
          </w:p>
          <w:p w14:paraId="46A886A2">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val="0"/>
                <w:color w:val="auto"/>
                <w:szCs w:val="21"/>
                <w:highlight w:val="none"/>
              </w:rPr>
              <w:t>▲（5）船舶总吨大于200吨小于等于250吨，单艘船舶租赁单价为不超过2.0万元/船次。</w:t>
            </w:r>
          </w:p>
          <w:p w14:paraId="59EA5FE2">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 服务要求：</w:t>
            </w:r>
          </w:p>
          <w:p w14:paraId="0F6D57A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（1）船舶必须可以在3级以下海况作业；</w:t>
            </w:r>
          </w:p>
          <w:p w14:paraId="70C7EFB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（2）调查船需满足连续2天以上持续作业的条件，提供2-4名调查队员的床位、饮食、卫生等基本生活需求。</w:t>
            </w:r>
          </w:p>
          <w:p w14:paraId="41432D39">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（3）调查船需保证消防、救生、防疫等设备安全可靠，提供满足所有调查队员救生设备。</w:t>
            </w:r>
          </w:p>
          <w:p w14:paraId="492AA7F7">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（4）调查船需保证作业设备的可靠性，提供不少于1名船员辅助甲板作业。</w:t>
            </w:r>
          </w:p>
        </w:tc>
      </w:tr>
      <w:tr w14:paraId="310A1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9628" w:type="dxa"/>
            <w:gridSpan w:val="5"/>
            <w:tcBorders>
              <w:top w:val="single" w:color="auto" w:sz="4" w:space="0"/>
              <w:left w:val="single" w:color="auto" w:sz="4" w:space="0"/>
              <w:bottom w:val="single" w:color="auto" w:sz="4" w:space="0"/>
              <w:right w:val="single" w:color="auto" w:sz="4" w:space="0"/>
            </w:tcBorders>
            <w:vAlign w:val="center"/>
          </w:tcPr>
          <w:p w14:paraId="6E909B48">
            <w:pPr>
              <w:spacing w:line="36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▲二、商务条款</w:t>
            </w:r>
          </w:p>
        </w:tc>
      </w:tr>
      <w:tr w14:paraId="4B4D6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6B3CFA8F">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合同签订期</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1D651E7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自中标通知书发出之日起30日内。</w:t>
            </w:r>
          </w:p>
        </w:tc>
      </w:tr>
      <w:tr w14:paraId="79BF1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73067390">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实施时间</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598C6302">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签订合同之日起一年或合同款项执行完毕止，先到为准。</w:t>
            </w:r>
          </w:p>
        </w:tc>
      </w:tr>
      <w:tr w14:paraId="61635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33991874">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实施地点</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134BE38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采购人指定地点。</w:t>
            </w:r>
          </w:p>
        </w:tc>
      </w:tr>
      <w:tr w14:paraId="0E7D0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3A596C01">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付款方式</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13912AE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按单艘船舶租赁时间进行结算。在航次开始前，按照航次计划，采购人可最高预付50%船费用于航次准备工作，航次结束后，向采购人提交《租船费用结算单》，经采购人审核合格后，由采购人在收到中标人开具的</w:t>
            </w:r>
            <w:r>
              <w:rPr>
                <w:rFonts w:hint="eastAsia" w:asciiTheme="minorEastAsia" w:hAnsiTheme="minorEastAsia" w:eastAsiaTheme="minorEastAsia" w:cstheme="minorEastAsia"/>
                <w:color w:val="auto"/>
                <w:szCs w:val="21"/>
                <w:highlight w:val="none"/>
                <w:lang w:eastAsia="zh-CN"/>
              </w:rPr>
              <w:t>合格等额发票后10个工作日内支付</w:t>
            </w:r>
            <w:r>
              <w:rPr>
                <w:rFonts w:hint="eastAsia" w:asciiTheme="minorEastAsia" w:hAnsiTheme="minorEastAsia" w:eastAsiaTheme="minorEastAsia" w:cstheme="minorEastAsia"/>
                <w:color w:val="auto"/>
                <w:szCs w:val="21"/>
                <w:highlight w:val="none"/>
              </w:rPr>
              <w:t>剩余租赁船舶的费用。</w:t>
            </w:r>
          </w:p>
        </w:tc>
      </w:tr>
      <w:tr w14:paraId="0573E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6E1881C1">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报价要求</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3D36C5A5">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（1）项目</w:t>
            </w:r>
            <w:r>
              <w:rPr>
                <w:rFonts w:hint="eastAsia" w:asciiTheme="minorEastAsia" w:hAnsiTheme="minorEastAsia" w:eastAsiaTheme="minorEastAsia" w:cstheme="minorEastAsia"/>
                <w:color w:val="auto"/>
                <w:szCs w:val="21"/>
                <w:highlight w:val="none"/>
              </w:rPr>
              <w:t>投标</w:t>
            </w:r>
            <w:r>
              <w:rPr>
                <w:rFonts w:asciiTheme="minorEastAsia" w:hAnsiTheme="minorEastAsia" w:eastAsiaTheme="minorEastAsia" w:cstheme="minorEastAsia"/>
                <w:color w:val="auto"/>
                <w:szCs w:val="21"/>
                <w:highlight w:val="none"/>
              </w:rPr>
              <w:t>报价包括本次采购范围内的油费、服务所用耗材、人工费、差旅费（含出差补助、交通费、食宿费等）、救援费、维修费、税费及相关的其他配合费、政策性文件规定的各项费用及所有风险、责任、合同实施过程中的应预见和不可预见费用等完成合同规定责任和义务的一切费用及企业利润（中标人</w:t>
            </w:r>
            <w:r>
              <w:rPr>
                <w:rFonts w:hint="eastAsia" w:asciiTheme="minorEastAsia" w:hAnsiTheme="minorEastAsia" w:eastAsiaTheme="minorEastAsia" w:cstheme="minorEastAsia"/>
                <w:color w:val="auto"/>
                <w:szCs w:val="21"/>
                <w:highlight w:val="none"/>
              </w:rPr>
              <w:t>折扣率</w:t>
            </w:r>
            <w:r>
              <w:rPr>
                <w:rFonts w:hint="eastAsia" w:asciiTheme="minorEastAsia" w:hAnsiTheme="minorEastAsia" w:eastAsiaTheme="minorEastAsia" w:cstheme="minorEastAsia"/>
                <w:color w:val="auto"/>
                <w:szCs w:val="21"/>
                <w:highlight w:val="none"/>
                <w:lang w:val="en-US" w:eastAsia="zh-CN"/>
              </w:rPr>
              <w:t>报价</w:t>
            </w:r>
            <w:r>
              <w:rPr>
                <w:rFonts w:asciiTheme="minorEastAsia" w:hAnsiTheme="minorEastAsia" w:eastAsiaTheme="minorEastAsia" w:cstheme="minorEastAsia"/>
                <w:color w:val="auto"/>
                <w:szCs w:val="21"/>
                <w:highlight w:val="none"/>
              </w:rPr>
              <w:t>为签订合同价格。在合同有效期内，合同价格不受市场价格变化的影响）等全部费用供应商综合考虑在报价中。</w:t>
            </w:r>
          </w:p>
          <w:p w14:paraId="7ED4E691">
            <w:pPr>
              <w:widowControl/>
              <w:kinsoku w:val="0"/>
              <w:autoSpaceDE w:val="0"/>
              <w:autoSpaceDN w:val="0"/>
              <w:adjustRightInd w:val="0"/>
              <w:snapToGrid w:val="0"/>
              <w:spacing w:line="400" w:lineRule="exact"/>
              <w:textAlignment w:val="baseline"/>
              <w:rPr>
                <w:rFonts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（2）供应商应对本项目的所有内容范围及服务进行</w:t>
            </w:r>
            <w:r>
              <w:rPr>
                <w:rFonts w:hint="eastAsia" w:asciiTheme="minorEastAsia" w:hAnsiTheme="minorEastAsia" w:eastAsiaTheme="minorEastAsia" w:cstheme="minorEastAsia"/>
                <w:color w:val="auto"/>
                <w:szCs w:val="21"/>
                <w:highlight w:val="none"/>
              </w:rPr>
              <w:t>折扣率报价</w:t>
            </w:r>
            <w:r>
              <w:rPr>
                <w:rFonts w:asciiTheme="minorEastAsia" w:hAnsiTheme="minorEastAsia" w:eastAsiaTheme="minorEastAsia" w:cstheme="minorEastAsia"/>
                <w:color w:val="auto"/>
                <w:szCs w:val="21"/>
                <w:highlight w:val="none"/>
              </w:rPr>
              <w:t>；采购人不再支付任何费用。</w:t>
            </w:r>
          </w:p>
          <w:p w14:paraId="79492095">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lang w:eastAsia="zh-CN"/>
              </w:rPr>
              <w:t>）</w:t>
            </w:r>
            <w:r>
              <w:rPr>
                <w:rFonts w:hint="eastAsia" w:ascii="宋体" w:hAnsi="宋体" w:cs="Arial"/>
                <w:color w:val="auto"/>
                <w:kern w:val="0"/>
                <w:szCs w:val="21"/>
                <w:highlight w:val="none"/>
              </w:rPr>
              <w:t>结算单价=单艘船舶租赁单价*（1-折扣率）。示例：折扣率报价15%，即报价85折。</w:t>
            </w:r>
            <w:r>
              <w:rPr>
                <w:rFonts w:hint="eastAsia" w:ascii="宋体" w:hAnsi="宋体" w:cs="Arial"/>
                <w:color w:val="auto"/>
                <w:kern w:val="0"/>
                <w:szCs w:val="21"/>
                <w:highlight w:val="none"/>
                <w:lang w:val="en-US" w:eastAsia="zh-CN"/>
              </w:rPr>
              <w:t xml:space="preserve"> </w:t>
            </w:r>
          </w:p>
        </w:tc>
      </w:tr>
      <w:tr w14:paraId="0E79C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4A3AEC2D">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验收要求</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518367E4">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（1）验收过程中所产生的一切费用均由中标人承担。报价时应考虑相关费用。</w:t>
            </w:r>
          </w:p>
          <w:p w14:paraId="39358519">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（2）验收方法：现场验收，租赁船舶技术性能应良好并符合海事部门的管理要求，各类船舶及人员证书齐全并处在有效期内，各项船舶配套设施或设备齐全、功能完备。船员证书包括</w:t>
            </w:r>
            <w:r>
              <w:rPr>
                <w:rFonts w:hint="eastAsia" w:asciiTheme="minorEastAsia" w:hAnsiTheme="minorEastAsia" w:eastAsiaTheme="minorEastAsia" w:cstheme="minorEastAsia"/>
                <w:color w:val="auto"/>
                <w:szCs w:val="21"/>
                <w:highlight w:val="none"/>
              </w:rPr>
              <w:t>《</w:t>
            </w:r>
            <w:r>
              <w:rPr>
                <w:rFonts w:asciiTheme="minorEastAsia" w:hAnsiTheme="minorEastAsia" w:eastAsiaTheme="minorEastAsia" w:cstheme="minorEastAsia"/>
                <w:color w:val="auto"/>
                <w:szCs w:val="21"/>
                <w:highlight w:val="none"/>
              </w:rPr>
              <w:t>中华人民共和国海船船员适任证书</w:t>
            </w:r>
            <w:r>
              <w:rPr>
                <w:rFonts w:hint="eastAsia" w:asciiTheme="minorEastAsia" w:hAnsiTheme="minorEastAsia" w:eastAsiaTheme="minorEastAsia" w:cstheme="minorEastAsia"/>
                <w:color w:val="auto"/>
                <w:szCs w:val="21"/>
                <w:highlight w:val="none"/>
              </w:rPr>
              <w:t>》、《中华人民共和国海船船员健康证明》、《中华人民共和国海船船员培训合格证书》、《中华人民共和国</w:t>
            </w:r>
            <w:r>
              <w:rPr>
                <w:rFonts w:asciiTheme="minorEastAsia" w:hAnsiTheme="minorEastAsia" w:eastAsiaTheme="minorEastAsia" w:cstheme="minorEastAsia"/>
                <w:color w:val="auto"/>
                <w:szCs w:val="21"/>
                <w:highlight w:val="none"/>
              </w:rPr>
              <w:t>船员服务簿</w:t>
            </w:r>
            <w:r>
              <w:rPr>
                <w:rFonts w:hint="eastAsia" w:asciiTheme="minorEastAsia" w:hAnsiTheme="minorEastAsia" w:eastAsiaTheme="minorEastAsia" w:cstheme="minorEastAsia"/>
                <w:color w:val="auto"/>
                <w:szCs w:val="21"/>
                <w:highlight w:val="none"/>
              </w:rPr>
              <w:t>》</w:t>
            </w:r>
            <w:r>
              <w:rPr>
                <w:rFonts w:asciiTheme="minorEastAsia" w:hAnsiTheme="minorEastAsia" w:eastAsiaTheme="minorEastAsia" w:cstheme="minorEastAsia"/>
                <w:color w:val="auto"/>
                <w:szCs w:val="21"/>
                <w:highlight w:val="none"/>
              </w:rPr>
              <w:t>。</w:t>
            </w:r>
          </w:p>
        </w:tc>
      </w:tr>
      <w:tr w14:paraId="454EA9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70A89BEE">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保险</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0F72E1D7">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所租船舶由供应商负责船上工作人员和船舶的保险，登船人员的保险由采购人负责。</w:t>
            </w:r>
          </w:p>
        </w:tc>
      </w:tr>
      <w:tr w14:paraId="695261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75CE6BFD">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违约责任</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0B11B55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（1）中标人在项目实施要求时间内因自身原因不能按时提供船只进行服务的，每延期一天扣除履约保证金的1%作为违约金；因采购人原因或由于不可抗力原因导致的项目延期除外。</w:t>
            </w:r>
          </w:p>
          <w:p w14:paraId="4166516D">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若中标人所提供的船舶不满足采购需求，供应商必须在两个工作日内作出整改，并达到验收标准。如整改3次完毕仍达不到合格要求的，采购人将扣除所有履约保证金，并有权终止采购合同。中标人的违约给采购人造成经济损失，履约保证金不足以赔偿的，中标人须做出经济赔偿。</w:t>
            </w:r>
          </w:p>
          <w:p w14:paraId="0D4E8A62">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（3）中标人不得以任何理由推迟、降低、减少有关合同履行的标准。</w:t>
            </w:r>
          </w:p>
          <w:p w14:paraId="191F8588">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（4）合同履行中履约保证金不足合同金额5%的，中标人必须在2个工作日将履约保证金补足。</w:t>
            </w:r>
          </w:p>
        </w:tc>
      </w:tr>
      <w:tr w14:paraId="7F4269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186648EC">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特别说明</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27085636">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远海调查船舶</w:t>
            </w:r>
            <w:r>
              <w:rPr>
                <w:rFonts w:asciiTheme="minorEastAsia" w:hAnsiTheme="minorEastAsia" w:eastAsiaTheme="minorEastAsia" w:cstheme="minorEastAsia"/>
                <w:color w:val="auto"/>
                <w:szCs w:val="21"/>
                <w:highlight w:val="none"/>
              </w:rPr>
              <w:t>避风及靠港期间单价为单艘船舶租赁单价的50%。如遇恶劣海况等不可抗力导致航次延期，可按照此次招标单价延长服务期限。</w:t>
            </w:r>
          </w:p>
        </w:tc>
      </w:tr>
      <w:tr w14:paraId="23F551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jc w:val="center"/>
        </w:trPr>
        <w:tc>
          <w:tcPr>
            <w:tcW w:w="9628" w:type="dxa"/>
            <w:gridSpan w:val="5"/>
            <w:tcBorders>
              <w:top w:val="single" w:color="auto" w:sz="4" w:space="0"/>
              <w:left w:val="single" w:color="auto" w:sz="4" w:space="0"/>
              <w:bottom w:val="single" w:color="auto" w:sz="4" w:space="0"/>
              <w:right w:val="single" w:color="auto" w:sz="4" w:space="0"/>
            </w:tcBorders>
            <w:vAlign w:val="center"/>
          </w:tcPr>
          <w:p w14:paraId="31E7C820">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三、其他要求</w:t>
            </w:r>
          </w:p>
        </w:tc>
      </w:tr>
      <w:tr w14:paraId="544342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8" w:hRule="atLeast"/>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154A98AA">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服务方案</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69CF642F">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rPr>
              <w:t>根据自身情况</w:t>
            </w:r>
            <w:r>
              <w:rPr>
                <w:rFonts w:asciiTheme="minorEastAsia" w:hAnsiTheme="minorEastAsia" w:eastAsiaTheme="minorEastAsia" w:cstheme="minorEastAsia"/>
                <w:color w:val="auto"/>
                <w:szCs w:val="21"/>
                <w:highlight w:val="none"/>
              </w:rPr>
              <w:t>提供的服务方案（包括项目执行组织措施、项目执行保障措施详细、拟投入的船员相关、项目流程及业务熟悉度等内容）</w:t>
            </w:r>
          </w:p>
        </w:tc>
      </w:tr>
      <w:tr w14:paraId="7D155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8" w:hRule="atLeast"/>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33528A84">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船舶服务保证措施</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0098B2F0">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rPr>
              <w:t>根据自身情况</w:t>
            </w:r>
            <w:r>
              <w:rPr>
                <w:rFonts w:asciiTheme="minorEastAsia" w:hAnsiTheme="minorEastAsia" w:eastAsiaTheme="minorEastAsia" w:cstheme="minorEastAsia"/>
                <w:color w:val="auto"/>
                <w:szCs w:val="21"/>
                <w:highlight w:val="none"/>
              </w:rPr>
              <w:t>提供的船舶服务保证措施（包括项目管理制度、管理机构及相应岗位责任划分及保密措施等内容）</w:t>
            </w:r>
          </w:p>
        </w:tc>
      </w:tr>
      <w:tr w14:paraId="2910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8" w:hRule="atLeast"/>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35E514DD">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船舶的适用度</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305E347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rPr>
              <w:t>根据自身情况提供</w:t>
            </w:r>
            <w:r>
              <w:rPr>
                <w:rFonts w:asciiTheme="minorEastAsia" w:hAnsiTheme="minorEastAsia" w:eastAsiaTheme="minorEastAsia" w:cstheme="minorEastAsia"/>
                <w:color w:val="auto"/>
                <w:szCs w:val="21"/>
                <w:highlight w:val="none"/>
              </w:rPr>
              <w:t>拟投入船舶的自持力、续航力、稳定性、抗浪性、操纵性、供电能力、节油能力等指标</w:t>
            </w:r>
            <w:r>
              <w:rPr>
                <w:rFonts w:hint="eastAsia" w:asciiTheme="minorEastAsia" w:hAnsiTheme="minorEastAsia" w:eastAsiaTheme="minorEastAsia" w:cstheme="minorEastAsia"/>
                <w:color w:val="auto"/>
                <w:szCs w:val="21"/>
                <w:highlight w:val="none"/>
              </w:rPr>
              <w:t>等内容进行编制。</w:t>
            </w:r>
          </w:p>
        </w:tc>
      </w:tr>
      <w:tr w14:paraId="775E7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1526" w:type="dxa"/>
            <w:gridSpan w:val="3"/>
            <w:tcBorders>
              <w:top w:val="single" w:color="auto" w:sz="4" w:space="0"/>
              <w:left w:val="single" w:color="auto" w:sz="4" w:space="0"/>
              <w:bottom w:val="single" w:color="auto" w:sz="4" w:space="0"/>
              <w:right w:val="single" w:color="auto" w:sz="4" w:space="0"/>
            </w:tcBorders>
            <w:vAlign w:val="center"/>
          </w:tcPr>
          <w:p w14:paraId="6E073126">
            <w:pPr>
              <w:widowControl/>
              <w:kinsoku w:val="0"/>
              <w:autoSpaceDE w:val="0"/>
              <w:autoSpaceDN w:val="0"/>
              <w:adjustRightInd w:val="0"/>
              <w:snapToGrid w:val="0"/>
              <w:spacing w:line="400" w:lineRule="exact"/>
              <w:jc w:val="center"/>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应急处理方案</w:t>
            </w:r>
          </w:p>
        </w:tc>
        <w:tc>
          <w:tcPr>
            <w:tcW w:w="8102" w:type="dxa"/>
            <w:gridSpan w:val="2"/>
            <w:tcBorders>
              <w:top w:val="single" w:color="auto" w:sz="4" w:space="0"/>
              <w:left w:val="single" w:color="auto" w:sz="4" w:space="0"/>
              <w:bottom w:val="single" w:color="auto" w:sz="4" w:space="0"/>
              <w:right w:val="single" w:color="auto" w:sz="4" w:space="0"/>
            </w:tcBorders>
            <w:vAlign w:val="center"/>
          </w:tcPr>
          <w:p w14:paraId="24F5738C">
            <w:pPr>
              <w:widowControl/>
              <w:kinsoku w:val="0"/>
              <w:autoSpaceDE w:val="0"/>
              <w:autoSpaceDN w:val="0"/>
              <w:adjustRightInd w:val="0"/>
              <w:snapToGrid w:val="0"/>
              <w:spacing w:line="400" w:lineRule="exact"/>
              <w:textAlignment w:val="baseline"/>
              <w:rPr>
                <w:rFonts w:hint="eastAsia" w:asciiTheme="minorEastAsia" w:hAnsiTheme="minorEastAsia" w:eastAsiaTheme="minorEastAsia" w:cstheme="minorEastAsia"/>
                <w:color w:val="auto"/>
                <w:szCs w:val="21"/>
                <w:highlight w:val="none"/>
              </w:rPr>
            </w:pPr>
            <w:r>
              <w:rPr>
                <w:rFonts w:asciiTheme="minorEastAsia" w:hAnsiTheme="minorEastAsia" w:eastAsiaTheme="minorEastAsia" w:cstheme="minorEastAsia"/>
                <w:color w:val="auto"/>
                <w:szCs w:val="21"/>
                <w:highlight w:val="none"/>
              </w:rPr>
              <w:t>投标人</w:t>
            </w:r>
            <w:r>
              <w:rPr>
                <w:rFonts w:hint="eastAsia" w:asciiTheme="minorEastAsia" w:hAnsiTheme="minorEastAsia" w:eastAsiaTheme="minorEastAsia" w:cstheme="minorEastAsia"/>
                <w:color w:val="auto"/>
                <w:szCs w:val="21"/>
                <w:highlight w:val="none"/>
              </w:rPr>
              <w:t>根据自身情况</w:t>
            </w:r>
            <w:r>
              <w:rPr>
                <w:rFonts w:asciiTheme="minorEastAsia" w:hAnsiTheme="minorEastAsia" w:eastAsiaTheme="minorEastAsia" w:cstheme="minorEastAsia"/>
                <w:color w:val="auto"/>
                <w:szCs w:val="21"/>
                <w:highlight w:val="none"/>
              </w:rPr>
              <w:t>提供应急处理方案，</w:t>
            </w:r>
            <w:r>
              <w:rPr>
                <w:rFonts w:hint="eastAsia" w:asciiTheme="minorEastAsia" w:hAnsiTheme="minorEastAsia" w:eastAsiaTheme="minorEastAsia" w:cstheme="minorEastAsia"/>
                <w:color w:val="auto"/>
                <w:szCs w:val="21"/>
                <w:highlight w:val="none"/>
              </w:rPr>
              <w:t>包括</w:t>
            </w:r>
            <w:r>
              <w:rPr>
                <w:rFonts w:asciiTheme="minorEastAsia" w:hAnsiTheme="minorEastAsia" w:eastAsiaTheme="minorEastAsia" w:cstheme="minorEastAsia"/>
                <w:color w:val="auto"/>
                <w:szCs w:val="21"/>
                <w:highlight w:val="none"/>
              </w:rPr>
              <w:t>应急处理方案的响应流程和措施等应对工作的方式方法</w:t>
            </w:r>
            <w:r>
              <w:rPr>
                <w:rFonts w:hint="eastAsia" w:asciiTheme="minorEastAsia" w:hAnsiTheme="minorEastAsia" w:eastAsiaTheme="minorEastAsia" w:cstheme="minorEastAsia"/>
                <w:color w:val="auto"/>
                <w:szCs w:val="21"/>
                <w:highlight w:val="none"/>
              </w:rPr>
              <w:t>等。</w:t>
            </w:r>
          </w:p>
        </w:tc>
      </w:tr>
      <w:bookmarkEnd w:id="54"/>
      <w:bookmarkEnd w:id="55"/>
    </w:tbl>
    <w:p w14:paraId="7DC835E9">
      <w:pPr>
        <w:pStyle w:val="3"/>
        <w:keepNext w:val="0"/>
        <w:keepLines w:val="0"/>
        <w:jc w:val="center"/>
        <w:rPr>
          <w:color w:val="auto"/>
          <w:highlight w:val="none"/>
        </w:rPr>
      </w:pPr>
      <w:r>
        <w:rPr>
          <w:color w:val="auto"/>
          <w:highlight w:val="none"/>
        </w:rPr>
        <w:br w:type="page"/>
      </w:r>
      <w:bookmarkStart w:id="60" w:name="_Toc19686831"/>
      <w:r>
        <w:rPr>
          <w:rFonts w:hint="eastAsia"/>
          <w:color w:val="auto"/>
          <w:highlight w:val="none"/>
        </w:rPr>
        <w:t>第三章  投标人须知</w:t>
      </w:r>
      <w:bookmarkEnd w:id="60"/>
    </w:p>
    <w:p w14:paraId="04C92B8D">
      <w:pPr>
        <w:pStyle w:val="3"/>
        <w:keepNext w:val="0"/>
        <w:keepLines w:val="0"/>
        <w:jc w:val="center"/>
        <w:rPr>
          <w:color w:val="auto"/>
          <w:highlight w:val="none"/>
        </w:rPr>
      </w:pPr>
      <w:bookmarkStart w:id="61" w:name="_Toc254970526"/>
      <w:bookmarkStart w:id="62" w:name="_Toc254970667"/>
      <w:r>
        <w:rPr>
          <w:rFonts w:hint="eastAsia"/>
          <w:color w:val="auto"/>
          <w:highlight w:val="none"/>
        </w:rPr>
        <w:t>投标人须知前附表</w:t>
      </w:r>
      <w:bookmarkEnd w:id="61"/>
      <w:bookmarkEnd w:id="62"/>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03"/>
        <w:gridCol w:w="8599"/>
      </w:tblGrid>
      <w:tr w14:paraId="494CC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blHeader/>
        </w:trPr>
        <w:tc>
          <w:tcPr>
            <w:tcW w:w="0" w:type="auto"/>
            <w:tcBorders>
              <w:top w:val="single" w:color="auto" w:sz="4" w:space="0"/>
              <w:left w:val="single" w:color="auto" w:sz="4" w:space="0"/>
              <w:bottom w:val="single" w:color="auto" w:sz="4" w:space="0"/>
              <w:right w:val="single" w:color="auto" w:sz="4" w:space="0"/>
            </w:tcBorders>
            <w:shd w:val="clear" w:color="auto" w:fill="D9D9D9"/>
            <w:vAlign w:val="center"/>
          </w:tcPr>
          <w:p w14:paraId="34987619">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条款号</w:t>
            </w:r>
          </w:p>
        </w:tc>
        <w:tc>
          <w:tcPr>
            <w:tcW w:w="0" w:type="auto"/>
            <w:tcBorders>
              <w:top w:val="single" w:color="auto" w:sz="4" w:space="0"/>
              <w:left w:val="single" w:color="auto" w:sz="4" w:space="0"/>
              <w:bottom w:val="single" w:color="auto" w:sz="4" w:space="0"/>
              <w:right w:val="single" w:color="auto" w:sz="4" w:space="0"/>
            </w:tcBorders>
            <w:shd w:val="clear" w:color="auto" w:fill="D9D9D9"/>
            <w:vAlign w:val="center"/>
          </w:tcPr>
          <w:p w14:paraId="57F7678F">
            <w:pPr>
              <w:snapToGrid w:val="0"/>
              <w:spacing w:line="360" w:lineRule="exact"/>
              <w:ind w:firstLine="420" w:firstLineChars="200"/>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26E8E2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219E5C96">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0" w:type="auto"/>
            <w:tcBorders>
              <w:top w:val="single" w:color="auto" w:sz="4" w:space="0"/>
              <w:left w:val="single" w:color="auto" w:sz="4" w:space="0"/>
              <w:bottom w:val="single" w:color="auto" w:sz="4" w:space="0"/>
              <w:right w:val="single" w:color="auto" w:sz="4" w:space="0"/>
            </w:tcBorders>
            <w:vAlign w:val="center"/>
          </w:tcPr>
          <w:p w14:paraId="5352B4A4">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投标人的资格要求：详见招标公告。</w:t>
            </w:r>
          </w:p>
        </w:tc>
      </w:tr>
      <w:tr w14:paraId="15624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F4EC9AB">
            <w:pPr>
              <w:spacing w:line="360" w:lineRule="exact"/>
              <w:jc w:val="center"/>
              <w:rPr>
                <w:rFonts w:hint="eastAsia" w:ascii="宋体" w:hAnsi="宋体"/>
                <w:color w:val="auto"/>
                <w:szCs w:val="21"/>
                <w:highlight w:val="none"/>
              </w:rPr>
            </w:pPr>
            <w:bookmarkStart w:id="63" w:name="_9.2"/>
            <w:bookmarkEnd w:id="63"/>
            <w:bookmarkStart w:id="64" w:name="_5"/>
            <w:bookmarkEnd w:id="64"/>
            <w:bookmarkStart w:id="65" w:name="_8.1"/>
            <w:bookmarkEnd w:id="65"/>
            <w:r>
              <w:rPr>
                <w:rFonts w:hint="eastAsia" w:ascii="宋体" w:hAnsi="宋体"/>
                <w:color w:val="auto"/>
                <w:szCs w:val="21"/>
                <w:highlight w:val="none"/>
              </w:rPr>
              <w:t>6.1</w:t>
            </w:r>
          </w:p>
        </w:tc>
        <w:tc>
          <w:tcPr>
            <w:tcW w:w="0" w:type="auto"/>
            <w:tcBorders>
              <w:top w:val="single" w:color="auto" w:sz="4" w:space="0"/>
              <w:left w:val="single" w:color="auto" w:sz="4" w:space="0"/>
              <w:bottom w:val="single" w:color="auto" w:sz="4" w:space="0"/>
              <w:right w:val="single" w:color="auto" w:sz="4" w:space="0"/>
            </w:tcBorders>
            <w:vAlign w:val="center"/>
          </w:tcPr>
          <w:p w14:paraId="1C9B85A2">
            <w:pPr>
              <w:pStyle w:val="15"/>
              <w:spacing w:line="360" w:lineRule="exact"/>
              <w:rPr>
                <w:rFonts w:hint="eastAsia" w:ascii="宋体" w:hAnsi="宋体"/>
                <w:color w:val="auto"/>
                <w:szCs w:val="21"/>
                <w:highlight w:val="none"/>
              </w:rPr>
            </w:pPr>
            <w:r>
              <w:rPr>
                <w:rFonts w:hint="eastAsia" w:ascii="宋体" w:hAnsi="宋体"/>
                <w:color w:val="auto"/>
                <w:szCs w:val="21"/>
                <w:highlight w:val="none"/>
              </w:rPr>
              <w:t>本项目是否接受联合体投标：详见招标公告。</w:t>
            </w:r>
          </w:p>
        </w:tc>
      </w:tr>
      <w:tr w14:paraId="4306CF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6ABAA4A">
            <w:pPr>
              <w:spacing w:line="360" w:lineRule="exact"/>
              <w:jc w:val="center"/>
              <w:rPr>
                <w:rFonts w:hint="eastAsia" w:ascii="宋体" w:hAnsi="宋体"/>
                <w:color w:val="auto"/>
                <w:szCs w:val="21"/>
                <w:highlight w:val="none"/>
              </w:rPr>
            </w:pPr>
            <w:r>
              <w:rPr>
                <w:rFonts w:ascii="宋体" w:hAnsi="宋体"/>
                <w:color w:val="auto"/>
                <w:szCs w:val="21"/>
                <w:highlight w:val="none"/>
              </w:rPr>
              <w:t>6.2</w:t>
            </w:r>
          </w:p>
        </w:tc>
        <w:tc>
          <w:tcPr>
            <w:tcW w:w="0" w:type="auto"/>
            <w:tcBorders>
              <w:top w:val="single" w:color="auto" w:sz="4" w:space="0"/>
              <w:left w:val="single" w:color="auto" w:sz="4" w:space="0"/>
              <w:bottom w:val="single" w:color="auto" w:sz="4" w:space="0"/>
              <w:right w:val="single" w:color="auto" w:sz="4" w:space="0"/>
            </w:tcBorders>
            <w:vAlign w:val="center"/>
          </w:tcPr>
          <w:p w14:paraId="32B0C874">
            <w:pPr>
              <w:pStyle w:val="15"/>
              <w:spacing w:line="360" w:lineRule="exact"/>
              <w:rPr>
                <w:rFonts w:hint="eastAsia" w:ascii="宋体" w:hAnsi="宋体"/>
                <w:color w:val="auto"/>
                <w:szCs w:val="21"/>
                <w:highlight w:val="none"/>
              </w:rPr>
            </w:pPr>
            <w:r>
              <w:rPr>
                <w:rFonts w:hint="eastAsia" w:ascii="宋体" w:hAnsi="宋体"/>
                <w:color w:val="auto"/>
                <w:szCs w:val="21"/>
                <w:highlight w:val="none"/>
              </w:rPr>
              <w:t>联合体投标要求如下：/</w:t>
            </w:r>
          </w:p>
        </w:tc>
      </w:tr>
      <w:tr w14:paraId="0D38E1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751494A">
            <w:pPr>
              <w:spacing w:line="360" w:lineRule="exact"/>
              <w:jc w:val="center"/>
              <w:rPr>
                <w:rFonts w:hint="eastAsia" w:ascii="宋体" w:hAnsi="宋体"/>
                <w:color w:val="auto"/>
                <w:szCs w:val="21"/>
                <w:highlight w:val="none"/>
              </w:rPr>
            </w:pPr>
            <w:r>
              <w:rPr>
                <w:rFonts w:hint="eastAsia" w:ascii="宋体" w:hAnsi="宋体"/>
                <w:color w:val="auto"/>
                <w:szCs w:val="21"/>
                <w:highlight w:val="none"/>
              </w:rPr>
              <w:t>7.2</w:t>
            </w:r>
          </w:p>
        </w:tc>
        <w:tc>
          <w:tcPr>
            <w:tcW w:w="0" w:type="auto"/>
            <w:tcBorders>
              <w:top w:val="single" w:color="auto" w:sz="4" w:space="0"/>
              <w:left w:val="single" w:color="auto" w:sz="4" w:space="0"/>
              <w:bottom w:val="single" w:color="auto" w:sz="4" w:space="0"/>
              <w:right w:val="single" w:color="auto" w:sz="4" w:space="0"/>
            </w:tcBorders>
            <w:vAlign w:val="center"/>
          </w:tcPr>
          <w:p w14:paraId="047585E9">
            <w:pPr>
              <w:pStyle w:val="15"/>
              <w:spacing w:line="360" w:lineRule="exact"/>
              <w:rPr>
                <w:rFonts w:hint="eastAsia" w:ascii="宋体" w:hAnsi="宋体"/>
                <w:color w:val="auto"/>
                <w:szCs w:val="21"/>
                <w:highlight w:val="none"/>
              </w:rPr>
            </w:pPr>
            <w:r>
              <w:rPr>
                <w:rFonts w:ascii="Segoe UI Symbol" w:hAnsi="Segoe UI Symbol" w:cs="Segoe UI Symbol"/>
                <w:b/>
                <w:bCs/>
                <w:color w:val="auto"/>
                <w:szCs w:val="21"/>
                <w:highlight w:val="none"/>
              </w:rPr>
              <w:t>☑</w:t>
            </w:r>
            <w:r>
              <w:rPr>
                <w:rFonts w:hint="eastAsia" w:ascii="宋体" w:hAnsi="宋体"/>
                <w:color w:val="auto"/>
                <w:szCs w:val="21"/>
                <w:highlight w:val="none"/>
              </w:rPr>
              <w:t>不允许分包</w:t>
            </w:r>
          </w:p>
          <w:p w14:paraId="2B9EF005">
            <w:pPr>
              <w:pStyle w:val="15"/>
              <w:spacing w:line="360" w:lineRule="exact"/>
              <w:rPr>
                <w:rFonts w:hint="eastAsia" w:ascii="宋体" w:hAnsi="宋体"/>
                <w:color w:val="auto"/>
                <w:szCs w:val="21"/>
                <w:highlight w:val="none"/>
              </w:rPr>
            </w:pPr>
            <w:r>
              <w:rPr>
                <w:rFonts w:hint="eastAsia" w:ascii="宋体" w:hAnsi="宋体"/>
                <w:color w:val="auto"/>
                <w:szCs w:val="21"/>
                <w:highlight w:val="none"/>
              </w:rPr>
              <w:t>□允许分包</w:t>
            </w:r>
          </w:p>
          <w:p w14:paraId="0B6AC863">
            <w:pPr>
              <w:pStyle w:val="15"/>
              <w:spacing w:line="360" w:lineRule="exact"/>
              <w:rPr>
                <w:rFonts w:hint="eastAsia"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A9625E7">
            <w:pPr>
              <w:pStyle w:val="15"/>
              <w:spacing w:line="360" w:lineRule="exact"/>
              <w:rPr>
                <w:rFonts w:hint="eastAsia" w:ascii="宋体" w:hAnsi="宋体"/>
                <w:color w:val="auto"/>
                <w:szCs w:val="21"/>
                <w:highlight w:val="none"/>
                <w:u w:val="singl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14:paraId="4A237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A35186F">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0" w:type="auto"/>
            <w:tcBorders>
              <w:top w:val="single" w:color="auto" w:sz="4" w:space="0"/>
              <w:left w:val="single" w:color="auto" w:sz="4" w:space="0"/>
              <w:bottom w:val="single" w:color="auto" w:sz="4" w:space="0"/>
              <w:right w:val="single" w:color="auto" w:sz="4" w:space="0"/>
            </w:tcBorders>
            <w:vAlign w:val="center"/>
          </w:tcPr>
          <w:p w14:paraId="41F73B95">
            <w:pPr>
              <w:snapToGrid w:val="0"/>
              <w:spacing w:line="360" w:lineRule="exact"/>
              <w:jc w:val="left"/>
              <w:rPr>
                <w:rFonts w:hint="eastAsia" w:ascii="宋体" w:hAnsi="宋体"/>
                <w:color w:val="auto"/>
                <w:szCs w:val="21"/>
                <w:highlight w:val="none"/>
              </w:rPr>
            </w:pPr>
            <w:r>
              <w:rPr>
                <w:rFonts w:ascii="Segoe UI Symbol" w:hAnsi="Segoe UI Symbol" w:cs="Segoe UI Symbol"/>
                <w:b/>
                <w:bCs/>
                <w:color w:val="auto"/>
                <w:szCs w:val="21"/>
                <w:highlight w:val="none"/>
              </w:rPr>
              <w:t>☑</w:t>
            </w:r>
            <w:r>
              <w:rPr>
                <w:rFonts w:hint="eastAsia" w:ascii="宋体" w:hAnsi="宋体"/>
                <w:color w:val="auto"/>
                <w:szCs w:val="21"/>
                <w:highlight w:val="none"/>
              </w:rPr>
              <w:t>不组织现场考察</w:t>
            </w:r>
          </w:p>
          <w:p w14:paraId="44B59420">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□组织现场考察：</w:t>
            </w:r>
          </w:p>
          <w:p w14:paraId="05007708">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集中时间：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w:t>
            </w:r>
          </w:p>
          <w:p w14:paraId="7DE3147E">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集中地点：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p w14:paraId="0B961485">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联 系 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p w14:paraId="179DF7C7">
            <w:pPr>
              <w:snapToGrid w:val="0"/>
              <w:spacing w:line="360" w:lineRule="exact"/>
              <w:jc w:val="left"/>
              <w:rPr>
                <w:rFonts w:hint="eastAsia" w:ascii="宋体" w:hAnsi="宋体"/>
                <w:color w:val="auto"/>
                <w:szCs w:val="21"/>
                <w:highlight w:val="none"/>
                <w:u w:val="single"/>
              </w:rPr>
            </w:pPr>
            <w:r>
              <w:rPr>
                <w:rFonts w:hint="eastAsia" w:ascii="宋体" w:hAnsi="宋体"/>
                <w:color w:val="auto"/>
                <w:szCs w:val="21"/>
                <w:highlight w:val="none"/>
              </w:rPr>
              <w:t>联系电话：</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p w14:paraId="22374F62">
            <w:pPr>
              <w:snapToGrid w:val="0"/>
              <w:spacing w:line="360" w:lineRule="exact"/>
              <w:jc w:val="left"/>
              <w:rPr>
                <w:rFonts w:hint="eastAsia" w:ascii="宋体" w:hAnsi="宋体"/>
                <w:color w:val="auto"/>
                <w:szCs w:val="21"/>
                <w:highlight w:val="none"/>
              </w:rPr>
            </w:pPr>
            <w:r>
              <w:rPr>
                <w:rFonts w:ascii="Segoe UI Symbol" w:hAnsi="Segoe UI Symbol" w:cs="Segoe UI Symbol"/>
                <w:b/>
                <w:bCs/>
                <w:color w:val="auto"/>
                <w:szCs w:val="21"/>
                <w:highlight w:val="none"/>
              </w:rPr>
              <w:t>☑</w:t>
            </w:r>
            <w:r>
              <w:rPr>
                <w:rFonts w:hint="eastAsia" w:ascii="宋体" w:hAnsi="宋体"/>
                <w:color w:val="auto"/>
                <w:szCs w:val="21"/>
                <w:highlight w:val="none"/>
              </w:rPr>
              <w:t>不组织召开开标前答疑会</w:t>
            </w:r>
          </w:p>
          <w:p w14:paraId="3EED1E05">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□组织召开开标前答疑会</w:t>
            </w:r>
          </w:p>
          <w:p w14:paraId="29A5813B">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会议开始时间：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r>
              <w:rPr>
                <w:rFonts w:hint="eastAsia" w:ascii="宋体" w:hAnsi="宋体"/>
                <w:color w:val="auto"/>
                <w:szCs w:val="21"/>
                <w:highlight w:val="none"/>
                <w:u w:val="single"/>
              </w:rPr>
              <w:t xml:space="preserve">  </w:t>
            </w:r>
            <w:r>
              <w:rPr>
                <w:rFonts w:hint="eastAsia" w:ascii="宋体" w:hAnsi="宋体"/>
                <w:color w:val="auto"/>
                <w:szCs w:val="21"/>
                <w:highlight w:val="none"/>
              </w:rPr>
              <w:t>时</w:t>
            </w:r>
            <w:r>
              <w:rPr>
                <w:rFonts w:hint="eastAsia" w:ascii="宋体" w:hAnsi="宋体"/>
                <w:color w:val="auto"/>
                <w:szCs w:val="21"/>
                <w:highlight w:val="none"/>
                <w:u w:val="single"/>
              </w:rPr>
              <w:t xml:space="preserve">  分</w:t>
            </w:r>
            <w:r>
              <w:rPr>
                <w:rFonts w:hint="eastAsia" w:ascii="宋体" w:hAnsi="宋体"/>
                <w:color w:val="auto"/>
                <w:szCs w:val="21"/>
                <w:highlight w:val="none"/>
              </w:rPr>
              <w:t>，逾期后果自负。</w:t>
            </w:r>
          </w:p>
          <w:p w14:paraId="4D5B7EFD">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会议地点：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tc>
      </w:tr>
      <w:tr w14:paraId="5AFC0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restart"/>
            <w:tcBorders>
              <w:top w:val="single" w:color="auto" w:sz="4" w:space="0"/>
              <w:left w:val="single" w:color="auto" w:sz="4" w:space="0"/>
              <w:right w:val="single" w:color="auto" w:sz="4" w:space="0"/>
            </w:tcBorders>
            <w:vAlign w:val="center"/>
          </w:tcPr>
          <w:p w14:paraId="4EDE8E24">
            <w:pPr>
              <w:spacing w:line="360" w:lineRule="exact"/>
              <w:jc w:val="center"/>
              <w:rPr>
                <w:rFonts w:hint="eastAsia" w:ascii="宋体" w:hAnsi="宋体"/>
                <w:color w:val="auto"/>
                <w:szCs w:val="21"/>
                <w:highlight w:val="none"/>
              </w:rPr>
            </w:pPr>
            <w:bookmarkStart w:id="66" w:name="_13.1"/>
            <w:bookmarkEnd w:id="66"/>
            <w:r>
              <w:rPr>
                <w:rFonts w:hint="eastAsia" w:ascii="宋体" w:hAnsi="宋体"/>
                <w:color w:val="auto"/>
                <w:szCs w:val="21"/>
                <w:highlight w:val="none"/>
              </w:rPr>
              <w:t>13.</w:t>
            </w:r>
            <w:bookmarkStart w:id="67" w:name="_Hlt19632543"/>
            <w:r>
              <w:rPr>
                <w:rFonts w:hint="eastAsia" w:ascii="宋体" w:hAnsi="宋体"/>
                <w:color w:val="auto"/>
                <w:szCs w:val="21"/>
                <w:highlight w:val="none"/>
              </w:rPr>
              <w:t>1</w:t>
            </w:r>
            <w:bookmarkEnd w:id="67"/>
          </w:p>
        </w:tc>
        <w:tc>
          <w:tcPr>
            <w:tcW w:w="0" w:type="auto"/>
            <w:tcBorders>
              <w:top w:val="single" w:color="auto" w:sz="4" w:space="0"/>
              <w:left w:val="single" w:color="auto" w:sz="4" w:space="0"/>
              <w:bottom w:val="single" w:color="auto" w:sz="4" w:space="0"/>
              <w:right w:val="single" w:color="auto" w:sz="4" w:space="0"/>
            </w:tcBorders>
            <w:vAlign w:val="center"/>
          </w:tcPr>
          <w:p w14:paraId="4AFFC99A">
            <w:pPr>
              <w:snapToGrid w:val="0"/>
              <w:spacing w:line="360" w:lineRule="exact"/>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51E60092">
            <w:pPr>
              <w:snapToGrid w:val="0"/>
              <w:spacing w:line="360" w:lineRule="exact"/>
              <w:ind w:firstLine="422" w:firstLineChars="200"/>
              <w:jc w:val="left"/>
              <w:rPr>
                <w:rFonts w:hint="eastAsia" w:ascii="宋体" w:hAnsi="宋体" w:cs="Courier New"/>
                <w:b/>
                <w:color w:val="auto"/>
                <w:szCs w:val="21"/>
                <w:highlight w:val="none"/>
              </w:rPr>
            </w:pPr>
            <w:r>
              <w:rPr>
                <w:rFonts w:ascii="宋体" w:hAnsi="宋体" w:cs="Courier New"/>
                <w:b/>
                <w:color w:val="auto"/>
                <w:szCs w:val="21"/>
                <w:highlight w:val="none"/>
              </w:rPr>
              <w:t>1.</w:t>
            </w:r>
            <w:r>
              <w:rPr>
                <w:rFonts w:hint="eastAsia" w:ascii="宋体" w:hAnsi="宋体"/>
                <w:color w:val="auto"/>
                <w:szCs w:val="21"/>
                <w:highlight w:val="none"/>
              </w:rPr>
              <w:t>投标函（格式后附）；</w:t>
            </w:r>
            <w:r>
              <w:rPr>
                <w:rFonts w:hint="eastAsia" w:ascii="宋体" w:hAnsi="宋体"/>
                <w:b/>
                <w:color w:val="auto"/>
                <w:szCs w:val="21"/>
                <w:highlight w:val="none"/>
              </w:rPr>
              <w:t>（必须提供，否则作无效投标处理）</w:t>
            </w:r>
          </w:p>
          <w:p w14:paraId="7FB0C2E4">
            <w:pPr>
              <w:snapToGrid w:val="0"/>
              <w:spacing w:line="360" w:lineRule="exact"/>
              <w:ind w:firstLine="422" w:firstLineChars="200"/>
              <w:jc w:val="left"/>
              <w:rPr>
                <w:rFonts w:hint="eastAsia" w:ascii="宋体" w:hAnsi="宋体"/>
                <w:color w:val="auto"/>
                <w:szCs w:val="21"/>
                <w:highlight w:val="none"/>
              </w:rPr>
            </w:pPr>
            <w:r>
              <w:rPr>
                <w:rFonts w:ascii="宋体" w:hAnsi="宋体"/>
                <w:b/>
                <w:color w:val="auto"/>
                <w:szCs w:val="21"/>
                <w:highlight w:val="none"/>
              </w:rPr>
              <w:t>2.</w:t>
            </w:r>
            <w:r>
              <w:rPr>
                <w:rFonts w:hint="eastAsia" w:ascii="宋体" w:hAnsi="宋体"/>
                <w:color w:val="auto"/>
                <w:szCs w:val="21"/>
                <w:highlight w:val="none"/>
              </w:rPr>
              <w:t>开标一览表（格式后附）； （</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3B31AD93">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3</w:t>
            </w:r>
            <w:r>
              <w:rPr>
                <w:rFonts w:ascii="宋体" w:hAnsi="宋体" w:cs="Courier New"/>
                <w:b/>
                <w:color w:val="auto"/>
                <w:szCs w:val="21"/>
                <w:highlight w:val="none"/>
              </w:rPr>
              <w:t>.</w:t>
            </w:r>
            <w:r>
              <w:rPr>
                <w:rFonts w:hint="eastAsia" w:ascii="宋体" w:hAnsi="宋体" w:cs="Courier New"/>
                <w:bCs/>
                <w:color w:val="auto"/>
                <w:szCs w:val="21"/>
                <w:highlight w:val="none"/>
              </w:rPr>
              <w:t>投标人针对报价需要说明的其他文件和说明。</w:t>
            </w:r>
            <w:r>
              <w:rPr>
                <w:rFonts w:hint="eastAsia" w:ascii="宋体" w:hAnsi="宋体" w:cs="Courier New"/>
                <w:b/>
                <w:color w:val="auto"/>
                <w:szCs w:val="21"/>
                <w:highlight w:val="none"/>
              </w:rPr>
              <w:t>（格式自拟，如有，请提供）</w:t>
            </w:r>
          </w:p>
          <w:p w14:paraId="7BDCA6E8">
            <w:pPr>
              <w:snapToGrid w:val="0"/>
              <w:spacing w:line="36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注：投标函、开标一览表必须由法定代表人或者委托代理人在规定签章处逐一签字并加盖投标人公章，否则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58A471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right w:val="single" w:color="auto" w:sz="4" w:space="0"/>
            </w:tcBorders>
            <w:vAlign w:val="center"/>
          </w:tcPr>
          <w:p w14:paraId="12EDD5C4">
            <w:pPr>
              <w:spacing w:line="360" w:lineRule="exact"/>
              <w:ind w:firstLine="420" w:firstLineChars="200"/>
              <w:rPr>
                <w:rFonts w:hint="eastAsia" w:ascii="宋体" w:hAnsi="宋体"/>
                <w:color w:val="auto"/>
                <w:szCs w:val="21"/>
                <w:highlight w:val="none"/>
              </w:rPr>
            </w:pPr>
            <w:bookmarkStart w:id="68" w:name="_13.2"/>
            <w:bookmarkEnd w:id="68"/>
          </w:p>
        </w:tc>
        <w:tc>
          <w:tcPr>
            <w:tcW w:w="0" w:type="auto"/>
            <w:tcBorders>
              <w:top w:val="single" w:color="auto" w:sz="4" w:space="0"/>
              <w:left w:val="single" w:color="auto" w:sz="4" w:space="0"/>
              <w:bottom w:val="single" w:color="auto" w:sz="4" w:space="0"/>
              <w:right w:val="single" w:color="auto" w:sz="4" w:space="0"/>
            </w:tcBorders>
            <w:vAlign w:val="center"/>
          </w:tcPr>
          <w:p w14:paraId="492E7A7F">
            <w:pPr>
              <w:snapToGrid w:val="0"/>
              <w:spacing w:line="360" w:lineRule="exact"/>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171E401E">
            <w:pPr>
              <w:snapToGrid w:val="0"/>
              <w:spacing w:line="360" w:lineRule="exact"/>
              <w:ind w:firstLine="420" w:firstLineChars="200"/>
              <w:jc w:val="left"/>
              <w:rPr>
                <w:rFonts w:hint="eastAsia" w:ascii="宋体" w:hAnsi="宋体"/>
                <w:b/>
                <w:bCs/>
                <w:color w:val="auto"/>
                <w:szCs w:val="21"/>
                <w:highlight w:val="none"/>
              </w:rPr>
            </w:pPr>
            <w:bookmarkStart w:id="69" w:name="OLE_LINK18"/>
            <w:r>
              <w:rPr>
                <w:rFonts w:hint="eastAsia" w:ascii="宋体" w:hAnsi="宋体"/>
                <w:color w:val="auto"/>
                <w:szCs w:val="21"/>
                <w:highlight w:val="none"/>
              </w:rPr>
              <w:t>1.投标人为法人或者其他组织的提供营业执照等证明文件（如营业执照或者事业单位法人证书或者执业许可证等），投标人为自然人的，提供身份证复印件（投标人为分支机构的，须提供总公司和分公司营业执照复印件，总公司出具给分支机构的授权书）；</w:t>
            </w:r>
            <w:r>
              <w:rPr>
                <w:rFonts w:hint="eastAsia" w:ascii="宋体" w:hAnsi="宋体"/>
                <w:b/>
                <w:bCs/>
                <w:color w:val="auto"/>
                <w:szCs w:val="21"/>
                <w:highlight w:val="none"/>
              </w:rPr>
              <w:t>（必须提供，否则作无效投标处理）</w:t>
            </w:r>
          </w:p>
          <w:p w14:paraId="7E8E7A8A">
            <w:pPr>
              <w:snapToGrid w:val="0"/>
              <w:spacing w:line="360" w:lineRule="exact"/>
              <w:ind w:firstLine="422" w:firstLineChars="200"/>
              <w:jc w:val="left"/>
              <w:rPr>
                <w:rFonts w:hint="eastAsia" w:ascii="宋体" w:hAnsi="宋体" w:cs="Courier New"/>
                <w:b/>
                <w:color w:val="auto"/>
                <w:szCs w:val="21"/>
                <w:highlight w:val="none"/>
              </w:rPr>
            </w:pPr>
            <w:bookmarkStart w:id="70" w:name="OLE_LINK29"/>
            <w:r>
              <w:rPr>
                <w:rFonts w:hint="eastAsia" w:ascii="宋体" w:hAnsi="宋体" w:cs="Courier New"/>
                <w:b/>
                <w:color w:val="auto"/>
                <w:szCs w:val="21"/>
                <w:highlight w:val="none"/>
              </w:rPr>
              <w:t>2</w:t>
            </w:r>
            <w:r>
              <w:rPr>
                <w:rFonts w:ascii="宋体" w:hAnsi="宋体" w:cs="Courier New"/>
                <w:b/>
                <w:color w:val="auto"/>
                <w:szCs w:val="21"/>
                <w:highlight w:val="none"/>
              </w:rPr>
              <w:t>.</w:t>
            </w:r>
            <w:r>
              <w:rPr>
                <w:rFonts w:hint="eastAsia" w:ascii="宋体" w:hAnsi="宋体" w:cs="宋体"/>
                <w:color w:val="auto"/>
                <w:szCs w:val="21"/>
                <w:highlight w:val="none"/>
              </w:rPr>
              <w:t>投标人依法缴纳税收的相关材料（2025年11月至提交投标文件截止时间前任意1个月的依法缴纳税收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b/>
                <w:bCs/>
                <w:color w:val="auto"/>
                <w:szCs w:val="21"/>
                <w:highlight w:val="none"/>
              </w:rPr>
              <w:t>（必须提供，否则作无效投标处理）</w:t>
            </w:r>
          </w:p>
          <w:p w14:paraId="3AFFF073">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3</w:t>
            </w:r>
            <w:r>
              <w:rPr>
                <w:rFonts w:ascii="宋体" w:hAnsi="宋体" w:cs="Courier New"/>
                <w:b/>
                <w:color w:val="auto"/>
                <w:szCs w:val="21"/>
                <w:highlight w:val="none"/>
              </w:rPr>
              <w:t>.</w:t>
            </w:r>
            <w:bookmarkStart w:id="71" w:name="OLE_LINK28"/>
            <w:r>
              <w:rPr>
                <w:rFonts w:hint="eastAsia" w:ascii="宋体" w:hAnsi="宋体" w:cs="宋体"/>
                <w:color w:val="auto"/>
                <w:szCs w:val="21"/>
                <w:highlight w:val="none"/>
              </w:rPr>
              <w:t>投标人依法缴纳社会保障资金的相关材料</w:t>
            </w:r>
            <w:bookmarkEnd w:id="71"/>
            <w:r>
              <w:rPr>
                <w:rFonts w:hint="eastAsia" w:ascii="宋体" w:hAnsi="宋体" w:cs="宋体"/>
                <w:color w:val="auto"/>
                <w:szCs w:val="21"/>
                <w:highlight w:val="none"/>
              </w:rPr>
              <w:t>（2025年11月至提交投标文件截止时间前任意1个月的依法缴纳社会保障资金的缴费凭证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w:t>
            </w:r>
            <w:bookmarkEnd w:id="70"/>
            <w:r>
              <w:rPr>
                <w:rFonts w:hint="eastAsia" w:ascii="宋体" w:hAnsi="宋体" w:cs="宋体"/>
                <w:b/>
                <w:bCs/>
                <w:color w:val="auto"/>
                <w:szCs w:val="21"/>
                <w:highlight w:val="none"/>
              </w:rPr>
              <w:t>（必须提供，否则作无效投标处理）</w:t>
            </w:r>
          </w:p>
          <w:p w14:paraId="07B85069">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4</w:t>
            </w:r>
            <w:r>
              <w:rPr>
                <w:rFonts w:ascii="宋体" w:hAnsi="宋体" w:cs="Courier New"/>
                <w:b/>
                <w:color w:val="auto"/>
                <w:szCs w:val="21"/>
                <w:highlight w:val="none"/>
              </w:rPr>
              <w:t>.</w:t>
            </w:r>
            <w:r>
              <w:rPr>
                <w:rFonts w:hint="eastAsia" w:ascii="宋体" w:hAnsi="宋体" w:cs="宋体"/>
                <w:color w:val="auto"/>
                <w:szCs w:val="21"/>
                <w:highlight w:val="none"/>
              </w:rPr>
              <w:t>投标人财务状况报告（应提供</w:t>
            </w:r>
            <w:r>
              <w:rPr>
                <w:rFonts w:hint="eastAsia" w:ascii="宋体" w:hAnsi="宋体" w:cs="宋体"/>
                <w:b/>
                <w:bCs/>
                <w:color w:val="auto"/>
                <w:szCs w:val="21"/>
                <w:highlight w:val="none"/>
              </w:rPr>
              <w:t>2024年或2025年</w:t>
            </w:r>
            <w:r>
              <w:rPr>
                <w:rFonts w:hint="eastAsia" w:ascii="宋体" w:hAnsi="宋体" w:cs="宋体"/>
                <w:color w:val="auto"/>
                <w:szCs w:val="21"/>
                <w:highlight w:val="none"/>
              </w:rPr>
              <w:t>的财务报表或经审计的财务报告（审计报告）复印件，或者提供银行出具的资信证明复印件；投标人属于成立时间在规定年度之后的，需提供成立之日起至投标文件提交截止时间前的月报表或银行出具的资信证明；资信证明应在有效期内，未注明有效期的，银行出具时间至投标文件提交截止时间不超过一年）；</w:t>
            </w:r>
            <w:r>
              <w:rPr>
                <w:rFonts w:hint="eastAsia" w:ascii="宋体" w:hAnsi="宋体" w:cs="宋体"/>
                <w:b/>
                <w:bCs/>
                <w:color w:val="auto"/>
                <w:szCs w:val="21"/>
                <w:highlight w:val="none"/>
              </w:rPr>
              <w:t>（必须提供，否则作无效投标处理）</w:t>
            </w:r>
          </w:p>
          <w:p w14:paraId="44F17D73">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5</w:t>
            </w:r>
            <w:r>
              <w:rPr>
                <w:rFonts w:ascii="宋体" w:hAnsi="宋体" w:cs="Courier New"/>
                <w:b/>
                <w:color w:val="auto"/>
                <w:szCs w:val="21"/>
                <w:highlight w:val="none"/>
              </w:rPr>
              <w:t>.</w:t>
            </w:r>
            <w:r>
              <w:rPr>
                <w:rFonts w:hint="eastAsia" w:ascii="宋体" w:hAnsi="宋体"/>
                <w:color w:val="auto"/>
                <w:szCs w:val="21"/>
                <w:highlight w:val="none"/>
              </w:rPr>
              <w:t>投标人直接控股、管理关系信息表（格式后附）；（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F666C2E">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6</w:t>
            </w:r>
            <w:r>
              <w:rPr>
                <w:rFonts w:ascii="宋体" w:hAnsi="宋体" w:cs="Courier New"/>
                <w:b/>
                <w:color w:val="auto"/>
                <w:szCs w:val="21"/>
                <w:highlight w:val="none"/>
              </w:rPr>
              <w:t>.</w:t>
            </w:r>
            <w:r>
              <w:rPr>
                <w:rFonts w:ascii="宋体" w:hAnsi="宋体" w:cs="Courier New"/>
                <w:bCs/>
                <w:color w:val="auto"/>
                <w:szCs w:val="21"/>
                <w:highlight w:val="none"/>
              </w:rPr>
              <w:t>供应商提供中小企业声明函或者残疾人福利性单位声明函或者供应商属于监狱企业的证明材料（格式后附）；</w:t>
            </w:r>
            <w:r>
              <w:rPr>
                <w:rFonts w:ascii="宋体" w:hAnsi="宋体" w:cs="Courier New"/>
                <w:b/>
                <w:color w:val="auto"/>
                <w:szCs w:val="21"/>
                <w:highlight w:val="none"/>
              </w:rPr>
              <w:t>（必须提供，否则作无效投标处理）</w:t>
            </w:r>
          </w:p>
          <w:p w14:paraId="175124E3">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7</w:t>
            </w:r>
            <w:r>
              <w:rPr>
                <w:rFonts w:ascii="宋体" w:hAnsi="宋体" w:cs="Courier New"/>
                <w:b/>
                <w:color w:val="auto"/>
                <w:szCs w:val="21"/>
                <w:highlight w:val="none"/>
              </w:rPr>
              <w:t>.</w:t>
            </w:r>
            <w:r>
              <w:rPr>
                <w:rFonts w:hint="eastAsia" w:ascii="宋体" w:hAnsi="宋体"/>
                <w:color w:val="auto"/>
                <w:szCs w:val="21"/>
                <w:highlight w:val="none"/>
              </w:rPr>
              <w:t>投标声明书（格式后附）；（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F00DBD4">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8</w:t>
            </w:r>
            <w:r>
              <w:rPr>
                <w:rFonts w:ascii="宋体" w:hAnsi="宋体" w:cs="Courier New"/>
                <w:b/>
                <w:color w:val="auto"/>
                <w:szCs w:val="21"/>
                <w:highlight w:val="none"/>
              </w:rPr>
              <w:t>.</w:t>
            </w:r>
            <w:r>
              <w:rPr>
                <w:rFonts w:hint="eastAsia" w:ascii="宋体" w:hAnsi="宋体"/>
                <w:color w:val="auto"/>
                <w:szCs w:val="21"/>
                <w:highlight w:val="none"/>
              </w:rPr>
              <w:t>除招标文件规定必须提供以外，投标人认为需要提供的其他证明材料（格式自拟）。</w:t>
            </w:r>
          </w:p>
          <w:p w14:paraId="7EFE12CD">
            <w:pPr>
              <w:snapToGrid w:val="0"/>
              <w:spacing w:line="360" w:lineRule="exact"/>
              <w:jc w:val="left"/>
              <w:rPr>
                <w:rFonts w:hint="eastAsia" w:ascii="宋体" w:hAnsi="宋体"/>
                <w:b/>
                <w:bCs/>
                <w:color w:val="auto"/>
                <w:szCs w:val="21"/>
                <w:highlight w:val="none"/>
              </w:rPr>
            </w:pPr>
            <w:r>
              <w:rPr>
                <w:rFonts w:hint="eastAsia" w:ascii="宋体" w:hAnsi="宋体"/>
                <w:b/>
                <w:bCs/>
                <w:color w:val="auto"/>
                <w:szCs w:val="21"/>
                <w:highlight w:val="none"/>
              </w:rPr>
              <w:t>注：</w:t>
            </w:r>
            <w:bookmarkEnd w:id="69"/>
          </w:p>
          <w:p w14:paraId="74244AEA">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b/>
                <w:bCs/>
                <w:color w:val="auto"/>
                <w:szCs w:val="21"/>
                <w:highlight w:val="none"/>
              </w:rPr>
              <w:t>1.以上标明“必须提供”的材料属于复印件的，必须加盖投标人公章，否则</w:t>
            </w:r>
            <w:r>
              <w:rPr>
                <w:rFonts w:hint="eastAsia" w:ascii="宋体" w:hAnsi="宋体" w:cs="Courier New"/>
                <w:b/>
                <w:color w:val="auto"/>
                <w:szCs w:val="21"/>
                <w:highlight w:val="none"/>
              </w:rPr>
              <w:t>作无效投标处理。</w:t>
            </w:r>
          </w:p>
          <w:p w14:paraId="2F5AEA5F">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cs="Courier New"/>
                <w:b/>
                <w:color w:val="auto"/>
                <w:szCs w:val="21"/>
                <w:highlight w:val="none"/>
              </w:rPr>
              <w:t>2.投标声明必须由法定代表人</w:t>
            </w:r>
            <w:r>
              <w:rPr>
                <w:rFonts w:hint="eastAsia" w:ascii="宋体" w:hAnsi="宋体"/>
                <w:b/>
                <w:bCs/>
                <w:color w:val="auto"/>
                <w:szCs w:val="21"/>
                <w:highlight w:val="none"/>
              </w:rPr>
              <w:t>或委托代理人</w:t>
            </w:r>
            <w:r>
              <w:rPr>
                <w:rFonts w:hint="eastAsia" w:ascii="宋体" w:hAnsi="宋体" w:cs="Courier New"/>
                <w:b/>
                <w:color w:val="auto"/>
                <w:szCs w:val="21"/>
                <w:highlight w:val="none"/>
              </w:rPr>
              <w:t>在规定签章处签字并加盖投标人公章，否则作无效投标处理。</w:t>
            </w:r>
          </w:p>
          <w:p w14:paraId="4DDDFFA0">
            <w:pPr>
              <w:snapToGrid w:val="0"/>
              <w:spacing w:line="36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3.投标人直接控股、管理关系信息表必须由法定代表人或者委托代理人在规定签章处签字并加盖投标人公章，否则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6AF3DE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right w:val="single" w:color="auto" w:sz="4" w:space="0"/>
            </w:tcBorders>
            <w:vAlign w:val="center"/>
          </w:tcPr>
          <w:p w14:paraId="37919D9F">
            <w:pPr>
              <w:spacing w:line="360" w:lineRule="exact"/>
              <w:ind w:firstLine="420" w:firstLineChars="200"/>
              <w:rPr>
                <w:rFonts w:hint="eastAsia" w:ascii="宋体" w:hAnsi="宋体"/>
                <w:color w:val="auto"/>
                <w:szCs w:val="21"/>
                <w:highlight w:val="none"/>
              </w:rPr>
            </w:pPr>
            <w:bookmarkStart w:id="72" w:name="_13.3"/>
            <w:bookmarkEnd w:id="72"/>
          </w:p>
        </w:tc>
        <w:tc>
          <w:tcPr>
            <w:tcW w:w="0" w:type="auto"/>
            <w:tcBorders>
              <w:top w:val="single" w:color="auto" w:sz="4" w:space="0"/>
              <w:left w:val="single" w:color="auto" w:sz="4" w:space="0"/>
              <w:bottom w:val="single" w:color="auto" w:sz="4" w:space="0"/>
              <w:right w:val="single" w:color="auto" w:sz="4" w:space="0"/>
            </w:tcBorders>
            <w:vAlign w:val="center"/>
          </w:tcPr>
          <w:p w14:paraId="6858A271">
            <w:pPr>
              <w:snapToGrid w:val="0"/>
              <w:spacing w:line="360" w:lineRule="exact"/>
              <w:jc w:val="left"/>
              <w:rPr>
                <w:rFonts w:hint="eastAsia" w:ascii="宋体" w:hAnsi="宋体" w:cs="Courier New"/>
                <w:b/>
                <w:color w:val="auto"/>
                <w:szCs w:val="21"/>
                <w:highlight w:val="none"/>
              </w:rPr>
            </w:pPr>
            <w:r>
              <w:rPr>
                <w:rFonts w:hint="eastAsia" w:ascii="宋体" w:hAnsi="宋体" w:cs="Courier New"/>
                <w:b/>
                <w:color w:val="auto"/>
                <w:szCs w:val="21"/>
                <w:highlight w:val="none"/>
              </w:rPr>
              <w:t>商务文件：</w:t>
            </w:r>
          </w:p>
          <w:p w14:paraId="2B5CC668">
            <w:pPr>
              <w:snapToGrid w:val="0"/>
              <w:spacing w:line="360" w:lineRule="exact"/>
              <w:ind w:firstLine="420" w:firstLineChars="200"/>
              <w:jc w:val="left"/>
              <w:rPr>
                <w:rFonts w:hint="eastAsia" w:ascii="宋体" w:hAnsi="宋体" w:cs="Courier New"/>
                <w:b/>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1345934">
            <w:pPr>
              <w:snapToGrid w:val="0"/>
              <w:spacing w:line="360" w:lineRule="exact"/>
              <w:ind w:firstLine="420" w:firstLineChars="200"/>
              <w:jc w:val="left"/>
              <w:rPr>
                <w:rFonts w:hint="eastAsia" w:ascii="宋体" w:hAnsi="宋体" w:cs="Courier New"/>
                <w:b/>
                <w:bCs/>
                <w:color w:val="auto"/>
                <w:szCs w:val="21"/>
                <w:highlight w:val="none"/>
              </w:rPr>
            </w:pPr>
            <w:r>
              <w:rPr>
                <w:rFonts w:hint="eastAsia" w:ascii="宋体" w:hAnsi="宋体"/>
                <w:color w:val="auto"/>
                <w:szCs w:val="21"/>
                <w:highlight w:val="none"/>
              </w:rPr>
              <w:t>2.投标保证金提交凭证；</w:t>
            </w:r>
            <w:r>
              <w:rPr>
                <w:rFonts w:hint="eastAsia" w:ascii="宋体" w:hAnsi="宋体"/>
                <w:b/>
                <w:bCs/>
                <w:color w:val="auto"/>
                <w:szCs w:val="21"/>
                <w:highlight w:val="none"/>
              </w:rPr>
              <w:t>（如要求缴纳投标保证金的，必须提供，否则作无效投标处理）</w:t>
            </w:r>
          </w:p>
          <w:p w14:paraId="704ED610">
            <w:pPr>
              <w:snapToGrid w:val="0"/>
              <w:spacing w:line="360" w:lineRule="exact"/>
              <w:ind w:firstLine="420" w:firstLineChars="200"/>
              <w:jc w:val="left"/>
              <w:rPr>
                <w:rFonts w:hint="eastAsia" w:ascii="宋体" w:hAnsi="宋体" w:cs="Courier New"/>
                <w:b/>
                <w:color w:val="auto"/>
                <w:szCs w:val="21"/>
                <w:highlight w:val="none"/>
              </w:rPr>
            </w:pPr>
            <w:r>
              <w:rPr>
                <w:rFonts w:hint="eastAsia" w:ascii="宋体" w:hAnsi="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B770A2B">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4.法定代表人授权委托书及委托代理人有效身份证正反面复印件（格式后附）；（</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40CDCBE4">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w:t>
            </w:r>
            <w:r>
              <w:rPr>
                <w:rFonts w:hint="eastAsia" w:ascii="宋体" w:hAnsi="宋体"/>
                <w:color w:val="auto"/>
                <w:szCs w:val="21"/>
                <w:highlight w:val="none"/>
              </w:rPr>
              <w:t>商务条款偏离表（格式后附）；（</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3213D37A">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6.投标人情况介绍（格式自拟）；</w:t>
            </w:r>
          </w:p>
          <w:p w14:paraId="3DA4CD81">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7.业绩证明文件（如有，请提供）；</w:t>
            </w:r>
          </w:p>
          <w:p w14:paraId="766CB410">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8.除招标文件规定必须提供以外，投标人认为需要提供的其他证明材料（格式自拟）。</w:t>
            </w:r>
          </w:p>
          <w:p w14:paraId="4344C0B9">
            <w:pPr>
              <w:snapToGrid w:val="0"/>
              <w:spacing w:line="360" w:lineRule="exact"/>
              <w:jc w:val="left"/>
              <w:rPr>
                <w:rFonts w:hint="eastAsia" w:ascii="宋体" w:hAnsi="宋体"/>
                <w:color w:val="auto"/>
                <w:szCs w:val="21"/>
                <w:highlight w:val="none"/>
              </w:rPr>
            </w:pPr>
            <w:r>
              <w:rPr>
                <w:rFonts w:hint="eastAsia" w:ascii="宋体" w:hAnsi="宋体"/>
                <w:b/>
                <w:bCs/>
                <w:color w:val="auto"/>
                <w:szCs w:val="21"/>
                <w:highlight w:val="none"/>
              </w:rPr>
              <w:t>注：</w:t>
            </w:r>
          </w:p>
          <w:p w14:paraId="3FA25D3D">
            <w:pPr>
              <w:snapToGrid w:val="0"/>
              <w:spacing w:line="36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1.法定代表人授权委托书必须由法定代表人及委托代理人签字，并加盖投标人公章，否则作无效投标处理。</w:t>
            </w:r>
          </w:p>
          <w:p w14:paraId="52DFB371">
            <w:pPr>
              <w:snapToGrid w:val="0"/>
              <w:spacing w:line="360" w:lineRule="exact"/>
              <w:ind w:firstLine="422" w:firstLineChars="200"/>
              <w:jc w:val="left"/>
              <w:rPr>
                <w:rFonts w:hint="eastAsia" w:ascii="宋体" w:hAnsi="宋体" w:cs="Courier New"/>
                <w:b/>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以上标明“必须提供”的材料属于复印件的，必须加盖投标人公章，否则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0F8E0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vMerge w:val="continue"/>
            <w:tcBorders>
              <w:left w:val="single" w:color="auto" w:sz="4" w:space="0"/>
              <w:bottom w:val="single" w:color="auto" w:sz="4" w:space="0"/>
              <w:right w:val="single" w:color="auto" w:sz="4" w:space="0"/>
            </w:tcBorders>
            <w:vAlign w:val="center"/>
          </w:tcPr>
          <w:p w14:paraId="28A8D66A">
            <w:pPr>
              <w:spacing w:line="360" w:lineRule="exact"/>
              <w:ind w:firstLine="420" w:firstLineChars="200"/>
              <w:rPr>
                <w:rFonts w:hint="eastAsia" w:ascii="宋体" w:hAnsi="宋体"/>
                <w:color w:val="auto"/>
                <w:szCs w:val="21"/>
                <w:highlight w:val="none"/>
              </w:rPr>
            </w:pPr>
            <w:bookmarkStart w:id="73" w:name="_13.4"/>
            <w:bookmarkEnd w:id="73"/>
          </w:p>
        </w:tc>
        <w:tc>
          <w:tcPr>
            <w:tcW w:w="0" w:type="auto"/>
            <w:tcBorders>
              <w:top w:val="single" w:color="auto" w:sz="4" w:space="0"/>
              <w:left w:val="single" w:color="auto" w:sz="4" w:space="0"/>
              <w:bottom w:val="single" w:color="auto" w:sz="4" w:space="0"/>
              <w:right w:val="single" w:color="auto" w:sz="4" w:space="0"/>
            </w:tcBorders>
            <w:vAlign w:val="center"/>
          </w:tcPr>
          <w:p w14:paraId="703659AD">
            <w:pPr>
              <w:snapToGrid w:val="0"/>
              <w:spacing w:line="360" w:lineRule="exact"/>
              <w:jc w:val="left"/>
              <w:rPr>
                <w:rFonts w:hint="eastAsia" w:ascii="宋体" w:hAnsi="宋体" w:cs="Courier New"/>
                <w:b/>
                <w:color w:val="auto"/>
                <w:szCs w:val="21"/>
                <w:highlight w:val="none"/>
              </w:rPr>
            </w:pPr>
            <w:r>
              <w:rPr>
                <w:rFonts w:hint="eastAsia" w:ascii="宋体" w:hAnsi="宋体" w:cs="Courier New"/>
                <w:b/>
                <w:color w:val="auto"/>
                <w:szCs w:val="21"/>
                <w:highlight w:val="none"/>
              </w:rPr>
              <w:t>技术文件：</w:t>
            </w:r>
          </w:p>
          <w:p w14:paraId="701B3263">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1.技术偏离表（格式后附）；</w:t>
            </w:r>
            <w:r>
              <w:rPr>
                <w:rFonts w:hint="eastAsia" w:ascii="宋体" w:hAnsi="宋体"/>
                <w:b/>
                <w:color w:val="auto"/>
                <w:szCs w:val="21"/>
                <w:highlight w:val="none"/>
              </w:rPr>
              <w:t>（必须提供，否则作无效投标处理）</w:t>
            </w:r>
          </w:p>
          <w:p w14:paraId="5E68F992">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2.项目实施人员一览表（格式后附）；</w:t>
            </w:r>
          </w:p>
          <w:p w14:paraId="7C3B4EBF">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3.同类业绩（格式后附）；</w:t>
            </w:r>
          </w:p>
          <w:p w14:paraId="0A48E722">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服务方案</w:t>
            </w:r>
            <w:bookmarkStart w:id="74" w:name="OLE_LINK14"/>
            <w:r>
              <w:rPr>
                <w:rFonts w:hint="eastAsia" w:ascii="宋体" w:hAnsi="宋体"/>
                <w:color w:val="auto"/>
                <w:szCs w:val="21"/>
                <w:highlight w:val="none"/>
              </w:rPr>
              <w:t>；（格式自拟）</w:t>
            </w:r>
          </w:p>
          <w:bookmarkEnd w:id="74"/>
          <w:p w14:paraId="29D7ACA4">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船舶服务保证措施</w:t>
            </w:r>
            <w:r>
              <w:rPr>
                <w:rFonts w:hint="eastAsia" w:ascii="宋体" w:hAnsi="宋体"/>
                <w:color w:val="auto"/>
                <w:szCs w:val="21"/>
                <w:highlight w:val="none"/>
              </w:rPr>
              <w:t>；（格式自拟）</w:t>
            </w:r>
          </w:p>
          <w:p w14:paraId="5206C646">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船舶的适用度</w:t>
            </w:r>
            <w:r>
              <w:rPr>
                <w:rFonts w:hint="eastAsia" w:ascii="宋体" w:hAnsi="宋体"/>
                <w:color w:val="auto"/>
                <w:szCs w:val="21"/>
                <w:highlight w:val="none"/>
              </w:rPr>
              <w:t>；（格式自拟）</w:t>
            </w:r>
          </w:p>
          <w:p w14:paraId="68F15C32">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应急处理方案</w:t>
            </w:r>
            <w:r>
              <w:rPr>
                <w:rFonts w:hint="eastAsia" w:ascii="宋体" w:hAnsi="宋体"/>
                <w:color w:val="auto"/>
                <w:szCs w:val="21"/>
                <w:highlight w:val="none"/>
              </w:rPr>
              <w:t>；（格式自拟）</w:t>
            </w:r>
          </w:p>
          <w:p w14:paraId="0E6AD22B">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7.根据《第四章 评标方法及评标标准》提供有关评审材料；（如有，请提供）</w:t>
            </w:r>
          </w:p>
          <w:p w14:paraId="330D7398">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8.除招标文件规定必须提供以外，投标人认为需要提供的其他证明材料（格式自拟）。</w:t>
            </w:r>
          </w:p>
          <w:p w14:paraId="26185BFF">
            <w:pPr>
              <w:snapToGrid w:val="0"/>
              <w:spacing w:line="360" w:lineRule="exact"/>
              <w:jc w:val="left"/>
              <w:rPr>
                <w:rFonts w:hint="eastAsia" w:ascii="宋体" w:hAnsi="宋体"/>
                <w:b/>
                <w:bCs/>
                <w:color w:val="auto"/>
                <w:szCs w:val="21"/>
                <w:highlight w:val="none"/>
              </w:rPr>
            </w:pPr>
            <w:r>
              <w:rPr>
                <w:rFonts w:hint="eastAsia" w:ascii="宋体" w:hAnsi="宋体"/>
                <w:b/>
                <w:bCs/>
                <w:color w:val="auto"/>
                <w:szCs w:val="21"/>
                <w:highlight w:val="none"/>
              </w:rPr>
              <w:t>注：以上标明“必须提供”的材料属于复印件的，必须加盖投标人公章，否则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3BB19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7B9BB41">
            <w:pPr>
              <w:spacing w:line="360" w:lineRule="exact"/>
              <w:jc w:val="center"/>
              <w:rPr>
                <w:rFonts w:hint="eastAsia" w:ascii="宋体" w:hAnsi="宋体"/>
                <w:color w:val="auto"/>
                <w:szCs w:val="21"/>
                <w:highlight w:val="none"/>
              </w:rPr>
            </w:pPr>
            <w:bookmarkStart w:id="75" w:name="_13.5"/>
            <w:bookmarkEnd w:id="75"/>
            <w:r>
              <w:rPr>
                <w:rFonts w:hint="eastAsia" w:ascii="宋体" w:hAnsi="宋体"/>
                <w:color w:val="auto"/>
                <w:szCs w:val="21"/>
                <w:highlight w:val="none"/>
              </w:rPr>
              <w:t>13.</w:t>
            </w:r>
            <w:r>
              <w:rPr>
                <w:rFonts w:ascii="宋体" w:hAnsi="宋体"/>
                <w:color w:val="auto"/>
                <w:szCs w:val="21"/>
                <w:highlight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0B518B40">
            <w:pPr>
              <w:snapToGrid w:val="0"/>
              <w:spacing w:line="360" w:lineRule="exact"/>
              <w:jc w:val="left"/>
              <w:rPr>
                <w:rFonts w:hint="eastAsia" w:ascii="宋体" w:hAnsi="宋体" w:cs="Courier New"/>
                <w:color w:val="auto"/>
                <w:szCs w:val="21"/>
                <w:highlight w:val="none"/>
              </w:rPr>
            </w:pPr>
            <w:r>
              <w:rPr>
                <w:rFonts w:hint="eastAsia" w:ascii="宋体" w:hAnsi="宋体" w:cs="Courier New"/>
                <w:color w:val="auto"/>
                <w:szCs w:val="21"/>
                <w:highlight w:val="none"/>
              </w:rPr>
              <w:t>投标文件电子版。投标人在递交投标文件时，同时递交投标文件电子版。</w:t>
            </w:r>
          </w:p>
          <w:p w14:paraId="5257D989">
            <w:pPr>
              <w:snapToGrid w:val="0"/>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1.投标文件电子版内容：与纸质投标文件全部内容一致。</w:t>
            </w:r>
          </w:p>
          <w:p w14:paraId="0F413AF5">
            <w:pPr>
              <w:snapToGrid w:val="0"/>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2.投标文件电子版形式：可编辑的word文档格式1份</w:t>
            </w:r>
            <w:r>
              <w:rPr>
                <w:rFonts w:hint="eastAsia" w:ascii="宋体" w:hAnsi="宋体"/>
                <w:color w:val="auto"/>
                <w:szCs w:val="21"/>
                <w:highlight w:val="none"/>
              </w:rPr>
              <w:t>和已签字盖章的投标文件正本的扫描件（PDF格式）</w:t>
            </w:r>
            <w:r>
              <w:rPr>
                <w:rFonts w:hint="eastAsia" w:ascii="宋体" w:hAnsi="宋体" w:cs="Courier New"/>
                <w:color w:val="auto"/>
                <w:szCs w:val="21"/>
                <w:highlight w:val="none"/>
              </w:rPr>
              <w:t>1份。</w:t>
            </w:r>
          </w:p>
          <w:p w14:paraId="547F88D8">
            <w:pPr>
              <w:snapToGrid w:val="0"/>
              <w:spacing w:line="360" w:lineRule="exact"/>
              <w:ind w:firstLine="420" w:firstLineChars="200"/>
              <w:jc w:val="left"/>
              <w:rPr>
                <w:rFonts w:hint="eastAsia" w:ascii="宋体" w:hAnsi="宋体" w:cs="Courier New"/>
                <w:color w:val="auto"/>
                <w:szCs w:val="21"/>
                <w:highlight w:val="none"/>
              </w:rPr>
            </w:pPr>
            <w:r>
              <w:rPr>
                <w:rFonts w:hint="eastAsia" w:ascii="宋体" w:hAnsi="宋体" w:cs="Courier New"/>
                <w:color w:val="auto"/>
                <w:szCs w:val="21"/>
                <w:highlight w:val="none"/>
              </w:rPr>
              <w:t>3.投标文件电子版密封方式：投标文件电子版光盘（或者U盘）与纸质版投标文件一并装入投标文件袋中。</w:t>
            </w:r>
          </w:p>
        </w:tc>
      </w:tr>
      <w:tr w14:paraId="05B0F9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26FB5869">
            <w:pPr>
              <w:spacing w:line="360" w:lineRule="exact"/>
              <w:jc w:val="center"/>
              <w:rPr>
                <w:rFonts w:hint="eastAsia" w:ascii="宋体" w:hAnsi="宋体"/>
                <w:color w:val="auto"/>
                <w:szCs w:val="21"/>
                <w:highlight w:val="none"/>
              </w:rPr>
            </w:pPr>
            <w:bookmarkStart w:id="76" w:name="_16.2"/>
            <w:bookmarkEnd w:id="76"/>
            <w:r>
              <w:rPr>
                <w:rFonts w:hint="eastAsia" w:ascii="宋体" w:hAnsi="宋体"/>
                <w:color w:val="auto"/>
                <w:szCs w:val="21"/>
                <w:highlight w:val="none"/>
              </w:rPr>
              <w:t>16</w:t>
            </w:r>
            <w:bookmarkStart w:id="77" w:name="_Hlt19194067"/>
            <w:bookmarkStart w:id="78" w:name="_Hlt19693759"/>
            <w:bookmarkStart w:id="79" w:name="_Hlt19693758"/>
            <w:bookmarkStart w:id="80" w:name="_Hlt19194066"/>
            <w:r>
              <w:rPr>
                <w:rFonts w:hint="eastAsia" w:ascii="宋体" w:hAnsi="宋体"/>
                <w:color w:val="auto"/>
                <w:szCs w:val="21"/>
                <w:highlight w:val="none"/>
              </w:rPr>
              <w:t>.</w:t>
            </w:r>
            <w:bookmarkEnd w:id="77"/>
            <w:bookmarkEnd w:id="78"/>
            <w:bookmarkEnd w:id="79"/>
            <w:bookmarkEnd w:id="80"/>
            <w:r>
              <w:rPr>
                <w:rFonts w:hint="eastAsia" w:ascii="宋体" w:hAnsi="宋体"/>
                <w:color w:val="auto"/>
                <w:szCs w:val="21"/>
                <w:highlight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0B28BEDB">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1）项目投标报价包括本次采购范围内的油费、服务所用耗材、人工费、差旅费（含出差补助、交通费、食宿费等）、救援费、维修费、税费及相关的其他配合费、政策性文件规定的各项费用及所有风险、责任、合同实施过程中的应预见和不可预见费用等完成合同规定责任和义务的一切费用及企业利润（中标人折扣率报价为签订合同价格。在合同有效期内，合同价格不受市场价格变化的影响）等全部费用供应商综合考虑在报价中。</w:t>
            </w:r>
          </w:p>
          <w:p w14:paraId="3F1DD4D9">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（2）供应商应对本项目的所有内容范围及服务进行折扣率报价；采购人不再支付任何费用。</w:t>
            </w:r>
          </w:p>
          <w:p w14:paraId="137B7376">
            <w:pPr>
              <w:snapToGrid w:val="0"/>
              <w:spacing w:line="360" w:lineRule="exact"/>
              <w:rPr>
                <w:rFonts w:hint="eastAsia" w:ascii="宋体" w:hAnsi="宋体"/>
                <w:b/>
                <w:color w:val="auto"/>
                <w:szCs w:val="21"/>
                <w:highlight w:val="none"/>
              </w:rPr>
            </w:pPr>
            <w:r>
              <w:rPr>
                <w:rFonts w:hint="eastAsia" w:ascii="宋体" w:hAnsi="宋体"/>
                <w:color w:val="auto"/>
                <w:szCs w:val="21"/>
                <w:highlight w:val="none"/>
              </w:rPr>
              <w:t xml:space="preserve">（3）结算单价=单艘船舶租赁单价*（1-折扣率）。示例：折扣率报价15%，即报价85折。 </w:t>
            </w:r>
          </w:p>
          <w:p w14:paraId="02093C01">
            <w:pPr>
              <w:snapToGrid w:val="0"/>
              <w:spacing w:line="360" w:lineRule="exact"/>
              <w:rPr>
                <w:rFonts w:hint="eastAsia" w:ascii="宋体" w:hAnsi="宋体"/>
                <w:b/>
                <w:color w:val="auto"/>
                <w:szCs w:val="21"/>
                <w:highlight w:val="none"/>
              </w:rPr>
            </w:pPr>
            <w:r>
              <w:rPr>
                <w:rFonts w:hint="eastAsia" w:ascii="宋体" w:hAnsi="宋体"/>
                <w:b/>
                <w:color w:val="auto"/>
                <w:szCs w:val="21"/>
                <w:highlight w:val="none"/>
              </w:rPr>
              <w:t>☑投标报价包含验收费用</w:t>
            </w:r>
          </w:p>
          <w:p w14:paraId="374FA670">
            <w:pPr>
              <w:snapToGrid w:val="0"/>
              <w:spacing w:line="360" w:lineRule="exact"/>
              <w:rPr>
                <w:rFonts w:hint="eastAsia" w:ascii="宋体" w:hAnsi="宋体"/>
                <w:b/>
                <w:color w:val="auto"/>
                <w:szCs w:val="21"/>
                <w:highlight w:val="none"/>
              </w:rPr>
            </w:pPr>
            <w:r>
              <w:rPr>
                <w:rFonts w:hint="eastAsia" w:ascii="宋体" w:hAnsi="宋体"/>
                <w:b/>
                <w:color w:val="auto"/>
                <w:szCs w:val="21"/>
                <w:highlight w:val="none"/>
              </w:rPr>
              <w:t>□投标报价不包含验收费用</w:t>
            </w:r>
          </w:p>
        </w:tc>
      </w:tr>
      <w:tr w14:paraId="15EBEB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7169E3CF">
            <w:pPr>
              <w:spacing w:line="360" w:lineRule="exact"/>
              <w:jc w:val="center"/>
              <w:rPr>
                <w:rFonts w:hint="eastAsia" w:ascii="宋体" w:hAnsi="宋体"/>
                <w:color w:val="auto"/>
                <w:szCs w:val="21"/>
                <w:highlight w:val="none"/>
              </w:rPr>
            </w:pPr>
            <w:bookmarkStart w:id="81" w:name="_17.1"/>
            <w:bookmarkEnd w:id="81"/>
            <w:r>
              <w:rPr>
                <w:rFonts w:hint="eastAsia" w:ascii="宋体" w:hAnsi="宋体"/>
                <w:color w:val="auto"/>
                <w:szCs w:val="21"/>
                <w:highlight w:val="none"/>
              </w:rPr>
              <w:t>17.</w:t>
            </w:r>
            <w:r>
              <w:rPr>
                <w:rFonts w:ascii="宋体" w:hAnsi="宋体"/>
                <w:color w:val="auto"/>
                <w:szCs w:val="21"/>
                <w:highlight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06556AB9">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rPr>
              <w:t>90</w:t>
            </w:r>
            <w:r>
              <w:rPr>
                <w:rFonts w:hint="eastAsia" w:ascii="宋体" w:hAnsi="宋体"/>
                <w:color w:val="auto"/>
                <w:szCs w:val="21"/>
                <w:highlight w:val="none"/>
              </w:rPr>
              <w:t>日。</w:t>
            </w:r>
          </w:p>
        </w:tc>
      </w:tr>
      <w:tr w14:paraId="31084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16BD866C">
            <w:pPr>
              <w:spacing w:line="360" w:lineRule="exact"/>
              <w:jc w:val="center"/>
              <w:rPr>
                <w:rFonts w:hint="eastAsia" w:ascii="宋体" w:hAnsi="宋体"/>
                <w:color w:val="auto"/>
                <w:szCs w:val="21"/>
                <w:highlight w:val="none"/>
              </w:rPr>
            </w:pPr>
            <w:bookmarkStart w:id="82" w:name="_18"/>
            <w:bookmarkEnd w:id="82"/>
            <w:r>
              <w:rPr>
                <w:rFonts w:hint="eastAsia" w:ascii="宋体" w:hAnsi="宋体"/>
                <w:color w:val="auto"/>
                <w:szCs w:val="21"/>
                <w:highlight w:val="none"/>
              </w:rPr>
              <w:t>18</w:t>
            </w:r>
            <w:r>
              <w:rPr>
                <w:rFonts w:ascii="宋体" w:hAnsi="宋体"/>
                <w:color w:val="auto"/>
                <w:szCs w:val="21"/>
                <w:highlight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7FDA9BA5">
            <w:pPr>
              <w:autoSpaceDE w:val="0"/>
              <w:autoSpaceDN w:val="0"/>
              <w:snapToGrid w:val="0"/>
              <w:spacing w:line="360" w:lineRule="exact"/>
              <w:ind w:firstLine="420" w:firstLineChars="200"/>
              <w:textAlignment w:val="bottom"/>
              <w:rPr>
                <w:rFonts w:hint="eastAsia" w:ascii="宋体" w:hAnsi="宋体"/>
                <w:color w:val="auto"/>
                <w:szCs w:val="21"/>
                <w:highlight w:val="none"/>
              </w:rPr>
            </w:pPr>
            <w:bookmarkStart w:id="83" w:name="OLE_LINK16"/>
            <w:r>
              <w:rPr>
                <w:rFonts w:hint="eastAsia" w:ascii="宋体" w:hAnsi="宋体"/>
                <w:color w:val="auto"/>
                <w:szCs w:val="21"/>
                <w:highlight w:val="none"/>
              </w:rPr>
              <w:t>□本项目不收取投标保证金。</w:t>
            </w:r>
          </w:p>
          <w:p w14:paraId="009214E9">
            <w:pPr>
              <w:snapToGrid w:val="0"/>
              <w:spacing w:line="360" w:lineRule="exact"/>
              <w:ind w:firstLine="422" w:firstLineChars="200"/>
              <w:rPr>
                <w:rFonts w:hint="eastAsia" w:ascii="宋体" w:hAnsi="宋体"/>
                <w:color w:val="auto"/>
                <w:szCs w:val="21"/>
                <w:highlight w:val="none"/>
              </w:rPr>
            </w:pPr>
            <w:r>
              <w:rPr>
                <w:rFonts w:ascii="Segoe UI Symbol" w:hAnsi="Segoe UI Symbol" w:cs="Segoe UI Symbol"/>
                <w:b/>
                <w:bCs/>
                <w:color w:val="auto"/>
                <w:szCs w:val="21"/>
                <w:highlight w:val="none"/>
              </w:rPr>
              <w:t>☑</w:t>
            </w:r>
            <w:r>
              <w:rPr>
                <w:rFonts w:hint="eastAsia" w:ascii="宋体" w:hAnsi="宋体"/>
                <w:color w:val="auto"/>
                <w:szCs w:val="21"/>
                <w:highlight w:val="none"/>
              </w:rPr>
              <w:t>本项目收取投标保证金，具体规定如下：</w:t>
            </w:r>
          </w:p>
          <w:bookmarkEnd w:id="83"/>
          <w:p w14:paraId="7F38EDCE">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投标保证金的交纳方式：银行转账、支票、汇票、本票或者金融、担保机构出具的保函、保险机构的保单，禁止采用现钞方式。</w:t>
            </w:r>
          </w:p>
          <w:p w14:paraId="4607FCC3">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投标保证金的金额：人民币壹万陆仟元整（¥16000.00元）</w:t>
            </w:r>
            <w:r>
              <w:rPr>
                <w:rFonts w:hint="eastAsia" w:ascii="宋体" w:hAnsi="宋体"/>
                <w:b/>
                <w:bCs/>
                <w:color w:val="auto"/>
                <w:szCs w:val="21"/>
                <w:highlight w:val="none"/>
              </w:rPr>
              <w:t>。</w:t>
            </w:r>
          </w:p>
          <w:p w14:paraId="3B788CB2">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相关要求：</w:t>
            </w:r>
          </w:p>
          <w:p w14:paraId="1ABA69EC">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1.投标保证金采用银行转账交纳方式的，在投标文件提交截止时间前交至采购代理机构指定账户并且到账，投标人应将银行转账底单的复印件作为投标保证金提交凭证，放置于投标文件中，</w:t>
            </w:r>
            <w:r>
              <w:rPr>
                <w:rFonts w:hint="eastAsia" w:ascii="宋体" w:hAnsi="宋体"/>
                <w:b/>
                <w:bCs/>
                <w:color w:val="auto"/>
                <w:szCs w:val="21"/>
                <w:highlight w:val="none"/>
              </w:rPr>
              <w:t>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p w14:paraId="7C7E53BA">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2.投标保证金采用支票、汇票、本票或者金融、担保机构出具的保函交纳方式的，投标人应将支票、汇票、本票或者金融、担保机构出具的保函的复印件作为投标保证金提交凭证，放置于投标文件中，</w:t>
            </w:r>
            <w:r>
              <w:rPr>
                <w:rFonts w:hint="eastAsia" w:ascii="宋体" w:hAnsi="宋体"/>
                <w:b/>
                <w:bCs/>
                <w:color w:val="auto"/>
                <w:szCs w:val="21"/>
                <w:highlight w:val="none"/>
              </w:rPr>
              <w:t>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r>
              <w:rPr>
                <w:rFonts w:hint="eastAsia" w:ascii="宋体" w:hAnsi="宋体"/>
                <w:color w:val="auto"/>
                <w:szCs w:val="21"/>
                <w:highlight w:val="none"/>
              </w:rPr>
              <w:t>投标人必须于递交投标文件时将支票、汇票、本票或者金融、担保机构出具的保函原件提交给采购人或者采购代理机构</w:t>
            </w:r>
            <w:r>
              <w:rPr>
                <w:rFonts w:hint="eastAsia" w:ascii="宋体" w:hAnsi="宋体"/>
                <w:b/>
                <w:bCs/>
                <w:color w:val="auto"/>
                <w:szCs w:val="21"/>
                <w:highlight w:val="none"/>
              </w:rPr>
              <w:t>（提交地址：广西南宁市青秀区金湖北路52-1号东方曼哈顿25楼公诚管理咨询有限公司，联系人：陈雅冰，联系电话：15078828204）</w:t>
            </w:r>
            <w:r>
              <w:rPr>
                <w:rFonts w:hint="eastAsia" w:ascii="宋体" w:hAnsi="宋体"/>
                <w:color w:val="auto"/>
                <w:szCs w:val="21"/>
                <w:highlight w:val="none"/>
              </w:rPr>
              <w:t>，由采购人或者采购代理机构向投标人出具回执，并妥善保管。</w:t>
            </w:r>
          </w:p>
          <w:p w14:paraId="155F1456">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3.投标保证金指定账户信息如下：</w:t>
            </w:r>
          </w:p>
          <w:p w14:paraId="7B9BF431">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开户名称：公诚管理咨询有限公司</w:t>
            </w:r>
          </w:p>
          <w:p w14:paraId="28F3EA8C">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开户行：中信银行广州花园支行</w:t>
            </w:r>
          </w:p>
          <w:p w14:paraId="3079C252">
            <w:pPr>
              <w:snapToGrid w:val="0"/>
              <w:spacing w:line="3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账号：</w:t>
            </w:r>
            <w:r>
              <w:rPr>
                <w:rFonts w:hint="eastAsia" w:ascii="宋体" w:hAnsi="宋体"/>
                <w:color w:val="auto"/>
                <w:szCs w:val="21"/>
                <w:highlight w:val="none"/>
                <w:lang w:eastAsia="zh-CN"/>
              </w:rPr>
              <w:t>3110910037672617910</w:t>
            </w:r>
          </w:p>
          <w:p w14:paraId="4A2085E0">
            <w:pPr>
              <w:snapToGrid w:val="0"/>
              <w:spacing w:line="360" w:lineRule="exact"/>
              <w:rPr>
                <w:rFonts w:hint="eastAsia" w:ascii="宋体" w:hAnsi="宋体"/>
                <w:b/>
                <w:color w:val="auto"/>
                <w:szCs w:val="21"/>
                <w:highlight w:val="none"/>
              </w:rPr>
            </w:pPr>
            <w:r>
              <w:rPr>
                <w:rFonts w:hint="eastAsia" w:ascii="宋体" w:hAnsi="宋体"/>
                <w:b/>
                <w:color w:val="auto"/>
                <w:szCs w:val="21"/>
                <w:highlight w:val="none"/>
              </w:rPr>
              <w:t>备注：</w:t>
            </w:r>
          </w:p>
          <w:p w14:paraId="5CBCC428">
            <w:pPr>
              <w:snapToGrid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1.投标保证金在投标文件提交截止时间后提交的，或者不按规定交纳方式交纳的，或者未足额交纳的（包含保函额度不足的），视为无效投标保证金。</w:t>
            </w:r>
          </w:p>
          <w:p w14:paraId="50BE0DF1">
            <w:pPr>
              <w:snapToGrid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2.投标人采用现钞方式或者从个人账户（自然人竞标除外）转出的投标保证金，视为无效投标保证金。</w:t>
            </w:r>
          </w:p>
          <w:p w14:paraId="2629C778">
            <w:pPr>
              <w:snapToGrid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3.支票、汇票或者本票出现无效或者背书情形的，视为无效投标保证金。</w:t>
            </w:r>
          </w:p>
          <w:p w14:paraId="2BD6162B">
            <w:pPr>
              <w:snapToGrid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4.保函有效期低于投标有效期的，视为无效投标保证金。</w:t>
            </w:r>
          </w:p>
          <w:p w14:paraId="4F1D45B7">
            <w:pPr>
              <w:snapToGrid w:val="0"/>
              <w:spacing w:line="36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5.采用金融、担保机构出具保函的，必须为无条件保函，否则视为无效投标保证金。</w:t>
            </w:r>
          </w:p>
        </w:tc>
      </w:tr>
      <w:tr w14:paraId="5DA68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2658A9FE">
            <w:pPr>
              <w:spacing w:line="360" w:lineRule="exact"/>
              <w:jc w:val="center"/>
              <w:rPr>
                <w:rFonts w:hint="eastAsia" w:ascii="宋体" w:hAnsi="宋体"/>
                <w:color w:val="auto"/>
                <w:szCs w:val="21"/>
                <w:highlight w:val="none"/>
              </w:rPr>
            </w:pPr>
            <w:bookmarkStart w:id="84" w:name="_19.2"/>
            <w:bookmarkEnd w:id="84"/>
            <w:r>
              <w:rPr>
                <w:rFonts w:hint="eastAsia" w:ascii="宋体" w:hAnsi="宋体"/>
                <w:color w:val="auto"/>
                <w:szCs w:val="21"/>
                <w:highlight w:val="none"/>
              </w:rPr>
              <w:t>19.2</w:t>
            </w:r>
          </w:p>
        </w:tc>
        <w:tc>
          <w:tcPr>
            <w:tcW w:w="0" w:type="auto"/>
            <w:tcBorders>
              <w:top w:val="single" w:color="auto" w:sz="4" w:space="0"/>
              <w:left w:val="single" w:color="auto" w:sz="4" w:space="0"/>
              <w:bottom w:val="single" w:color="auto" w:sz="4" w:space="0"/>
              <w:right w:val="single" w:color="auto" w:sz="4" w:space="0"/>
            </w:tcBorders>
            <w:vAlign w:val="center"/>
          </w:tcPr>
          <w:p w14:paraId="327E30C5">
            <w:pPr>
              <w:autoSpaceDE w:val="0"/>
              <w:autoSpaceDN w:val="0"/>
              <w:snapToGrid w:val="0"/>
              <w:spacing w:line="360" w:lineRule="exact"/>
              <w:textAlignment w:val="bottom"/>
              <w:rPr>
                <w:rFonts w:hint="eastAsia" w:ascii="宋体" w:hAnsi="宋体"/>
                <w:b/>
                <w:color w:val="auto"/>
                <w:szCs w:val="21"/>
                <w:highlight w:val="none"/>
              </w:rPr>
            </w:pPr>
            <w:r>
              <w:rPr>
                <w:rFonts w:hint="eastAsia" w:ascii="宋体" w:hAnsi="宋体"/>
                <w:b/>
                <w:color w:val="auto"/>
                <w:szCs w:val="21"/>
                <w:highlight w:val="none"/>
              </w:rPr>
              <w:t>投标文件份数：正本</w:t>
            </w:r>
            <w:r>
              <w:rPr>
                <w:rFonts w:hint="eastAsia" w:ascii="宋体" w:hAnsi="宋体" w:cs="Arial"/>
                <w:b/>
                <w:color w:val="auto"/>
                <w:szCs w:val="21"/>
                <w:highlight w:val="none"/>
                <w:u w:val="single"/>
              </w:rPr>
              <w:t xml:space="preserve"> 一 </w:t>
            </w:r>
            <w:r>
              <w:rPr>
                <w:rFonts w:hint="eastAsia" w:ascii="宋体" w:hAnsi="宋体"/>
                <w:b/>
                <w:color w:val="auto"/>
                <w:szCs w:val="21"/>
                <w:highlight w:val="none"/>
              </w:rPr>
              <w:t>份、副本</w:t>
            </w:r>
            <w:r>
              <w:rPr>
                <w:rFonts w:hint="eastAsia" w:ascii="宋体" w:hAnsi="宋体"/>
                <w:b/>
                <w:color w:val="auto"/>
                <w:szCs w:val="21"/>
                <w:highlight w:val="none"/>
                <w:u w:val="single"/>
              </w:rPr>
              <w:t xml:space="preserve"> </w:t>
            </w:r>
            <w:r>
              <w:rPr>
                <w:rFonts w:hint="eastAsia" w:ascii="宋体" w:hAnsi="宋体" w:cs="Arial"/>
                <w:b/>
                <w:color w:val="auto"/>
                <w:szCs w:val="21"/>
                <w:highlight w:val="none"/>
                <w:u w:val="single"/>
              </w:rPr>
              <w:t xml:space="preserve">四 </w:t>
            </w:r>
            <w:r>
              <w:rPr>
                <w:rFonts w:hint="eastAsia" w:ascii="宋体" w:hAnsi="宋体"/>
                <w:b/>
                <w:color w:val="auto"/>
                <w:szCs w:val="21"/>
                <w:highlight w:val="none"/>
              </w:rPr>
              <w:t>份。</w:t>
            </w:r>
          </w:p>
          <w:p w14:paraId="2E21B196">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投标文件的封装要求：投标文件应按报价文件、资格证明文件、商务文件、技术文件顺序编制</w:t>
            </w:r>
            <w:r>
              <w:rPr>
                <w:rFonts w:hint="eastAsia" w:ascii="宋体" w:hAnsi="宋体"/>
                <w:b/>
                <w:color w:val="auto"/>
                <w:szCs w:val="21"/>
                <w:highlight w:val="none"/>
                <w:u w:val="single"/>
              </w:rPr>
              <w:t>合并装订成一册（如文件内容过多，可分册装订）</w:t>
            </w:r>
            <w:r>
              <w:rPr>
                <w:rFonts w:hint="eastAsia" w:ascii="宋体" w:hAnsi="宋体"/>
                <w:b/>
                <w:color w:val="auto"/>
                <w:szCs w:val="21"/>
                <w:highlight w:val="none"/>
              </w:rPr>
              <w:t>。</w:t>
            </w:r>
          </w:p>
        </w:tc>
      </w:tr>
      <w:tr w14:paraId="38AD5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0" w:type="auto"/>
            <w:tcBorders>
              <w:top w:val="single" w:color="auto" w:sz="4" w:space="0"/>
              <w:left w:val="single" w:color="auto" w:sz="4" w:space="0"/>
              <w:bottom w:val="single" w:color="auto" w:sz="4" w:space="0"/>
              <w:right w:val="single" w:color="auto" w:sz="4" w:space="0"/>
            </w:tcBorders>
            <w:vAlign w:val="center"/>
          </w:tcPr>
          <w:p w14:paraId="599F8D0B">
            <w:pPr>
              <w:spacing w:line="360" w:lineRule="exact"/>
              <w:jc w:val="center"/>
              <w:rPr>
                <w:rFonts w:hint="eastAsia" w:ascii="宋体" w:hAnsi="宋体"/>
                <w:color w:val="auto"/>
                <w:szCs w:val="21"/>
                <w:highlight w:val="none"/>
              </w:rPr>
            </w:pPr>
            <w:bookmarkStart w:id="85" w:name="_21.1"/>
            <w:bookmarkEnd w:id="85"/>
            <w:r>
              <w:rPr>
                <w:rFonts w:hint="eastAsia" w:ascii="宋体" w:hAnsi="宋体"/>
                <w:color w:val="auto"/>
                <w:szCs w:val="21"/>
                <w:highlight w:val="none"/>
              </w:rPr>
              <w:t>21.1</w:t>
            </w:r>
          </w:p>
        </w:tc>
        <w:tc>
          <w:tcPr>
            <w:tcW w:w="0" w:type="auto"/>
            <w:tcBorders>
              <w:top w:val="single" w:color="auto" w:sz="4" w:space="0"/>
              <w:left w:val="single" w:color="auto" w:sz="4" w:space="0"/>
              <w:bottom w:val="single" w:color="auto" w:sz="4" w:space="0"/>
              <w:right w:val="single" w:color="auto" w:sz="4" w:space="0"/>
            </w:tcBorders>
            <w:vAlign w:val="center"/>
          </w:tcPr>
          <w:p w14:paraId="58F2D7EE">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投标截止时间：详见</w:t>
            </w:r>
            <w:bookmarkStart w:id="86" w:name="OLE_LINK15"/>
            <w:r>
              <w:rPr>
                <w:rFonts w:hint="eastAsia" w:ascii="宋体" w:hAnsi="宋体"/>
                <w:color w:val="auto"/>
                <w:szCs w:val="21"/>
                <w:highlight w:val="none"/>
              </w:rPr>
              <w:t>“第一章 招标公告”</w:t>
            </w:r>
            <w:bookmarkEnd w:id="86"/>
          </w:p>
          <w:p w14:paraId="7752A5BE">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投标地点：详见“第一章 招标公告”</w:t>
            </w:r>
          </w:p>
        </w:tc>
      </w:tr>
      <w:tr w14:paraId="278C3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6C6A0BED">
            <w:pPr>
              <w:spacing w:line="360" w:lineRule="exact"/>
              <w:jc w:val="center"/>
              <w:rPr>
                <w:rFonts w:hint="eastAsia" w:ascii="宋体" w:hAnsi="宋体"/>
                <w:color w:val="auto"/>
                <w:szCs w:val="21"/>
                <w:highlight w:val="none"/>
              </w:rPr>
            </w:pPr>
            <w:bookmarkStart w:id="87" w:name="_23"/>
            <w:bookmarkEnd w:id="87"/>
            <w:r>
              <w:rPr>
                <w:rFonts w:hint="eastAsia" w:ascii="宋体" w:hAnsi="宋体"/>
                <w:color w:val="auto"/>
                <w:szCs w:val="21"/>
                <w:highlight w:val="none"/>
              </w:rPr>
              <w:t>23</w:t>
            </w:r>
          </w:p>
        </w:tc>
        <w:tc>
          <w:tcPr>
            <w:tcW w:w="0" w:type="auto"/>
            <w:tcBorders>
              <w:top w:val="single" w:color="auto" w:sz="4" w:space="0"/>
              <w:left w:val="single" w:color="auto" w:sz="4" w:space="0"/>
              <w:bottom w:val="single" w:color="auto" w:sz="4" w:space="0"/>
              <w:right w:val="single" w:color="auto" w:sz="4" w:space="0"/>
            </w:tcBorders>
            <w:vAlign w:val="center"/>
          </w:tcPr>
          <w:p w14:paraId="3B58718B">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开标时间：详见“第一章 招标公告”</w:t>
            </w:r>
          </w:p>
          <w:p w14:paraId="4B08B172">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开标地点：详见“第一章 招标公告”</w:t>
            </w:r>
          </w:p>
        </w:tc>
      </w:tr>
      <w:tr w14:paraId="7798A8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8D987D4">
            <w:pPr>
              <w:spacing w:line="360" w:lineRule="exact"/>
              <w:jc w:val="center"/>
              <w:rPr>
                <w:rFonts w:hint="eastAsia" w:ascii="宋体" w:hAnsi="宋体"/>
                <w:color w:val="auto"/>
                <w:szCs w:val="21"/>
                <w:highlight w:val="none"/>
              </w:rPr>
            </w:pPr>
            <w:bookmarkStart w:id="88" w:name="_25.3"/>
            <w:bookmarkEnd w:id="88"/>
            <w:r>
              <w:rPr>
                <w:rFonts w:hint="eastAsia" w:ascii="宋体" w:hAnsi="宋体"/>
                <w:color w:val="auto"/>
                <w:szCs w:val="21"/>
                <w:highlight w:val="none"/>
              </w:rPr>
              <w:t>25.3（2）</w:t>
            </w:r>
          </w:p>
        </w:tc>
        <w:tc>
          <w:tcPr>
            <w:tcW w:w="0" w:type="auto"/>
            <w:tcBorders>
              <w:top w:val="single" w:color="auto" w:sz="4" w:space="0"/>
              <w:left w:val="single" w:color="auto" w:sz="4" w:space="0"/>
              <w:bottom w:val="single" w:color="auto" w:sz="4" w:space="0"/>
              <w:right w:val="single" w:color="auto" w:sz="4" w:space="0"/>
            </w:tcBorders>
            <w:vAlign w:val="center"/>
          </w:tcPr>
          <w:p w14:paraId="5C3CB983">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20A5CD34">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13BE0BFA">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信用查询截止时点：资格审查结束前</w:t>
            </w:r>
          </w:p>
          <w:p w14:paraId="7CDE1F41">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查询记录和证据留存方式：在查询网站中直接打印查询记录，打印材料作为评审资料保存。</w:t>
            </w:r>
          </w:p>
          <w:p w14:paraId="7061EB9C">
            <w:pPr>
              <w:snapToGrid w:val="0"/>
              <w:spacing w:line="360" w:lineRule="exact"/>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auto"/>
                <w:szCs w:val="21"/>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3C64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36796EFD">
            <w:pPr>
              <w:spacing w:line="360" w:lineRule="exact"/>
              <w:jc w:val="center"/>
              <w:rPr>
                <w:rFonts w:hint="eastAsia" w:ascii="宋体" w:hAnsi="宋体"/>
                <w:color w:val="auto"/>
                <w:szCs w:val="21"/>
                <w:highlight w:val="none"/>
              </w:rPr>
            </w:pPr>
            <w:bookmarkStart w:id="89" w:name="_26"/>
            <w:bookmarkEnd w:id="89"/>
            <w:r>
              <w:rPr>
                <w:rFonts w:hint="eastAsia" w:ascii="宋体" w:hAnsi="宋体"/>
                <w:color w:val="auto"/>
                <w:szCs w:val="21"/>
                <w:highlight w:val="none"/>
              </w:rPr>
              <w:t>26</w:t>
            </w:r>
          </w:p>
        </w:tc>
        <w:tc>
          <w:tcPr>
            <w:tcW w:w="0" w:type="auto"/>
            <w:tcBorders>
              <w:top w:val="single" w:color="auto" w:sz="4" w:space="0"/>
              <w:left w:val="single" w:color="auto" w:sz="4" w:space="0"/>
              <w:bottom w:val="single" w:color="auto" w:sz="4" w:space="0"/>
              <w:right w:val="single" w:color="auto" w:sz="4" w:space="0"/>
            </w:tcBorders>
            <w:vAlign w:val="center"/>
          </w:tcPr>
          <w:p w14:paraId="6BA3BE3E">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5</w:t>
            </w:r>
            <w:r>
              <w:rPr>
                <w:rFonts w:hint="eastAsia" w:ascii="宋体" w:hAnsi="宋体"/>
                <w:color w:val="auto"/>
                <w:szCs w:val="21"/>
                <w:highlight w:val="none"/>
              </w:rPr>
              <w:t>人</w:t>
            </w:r>
          </w:p>
        </w:tc>
      </w:tr>
      <w:tr w14:paraId="62FA8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6844F636">
            <w:pPr>
              <w:spacing w:line="360" w:lineRule="exact"/>
              <w:jc w:val="center"/>
              <w:rPr>
                <w:rFonts w:hint="eastAsia" w:ascii="宋体" w:hAnsi="宋体"/>
                <w:color w:val="auto"/>
                <w:szCs w:val="21"/>
                <w:highlight w:val="none"/>
              </w:rPr>
            </w:pPr>
            <w:bookmarkStart w:id="90" w:name="_28.3"/>
            <w:bookmarkEnd w:id="90"/>
            <w:r>
              <w:rPr>
                <w:rFonts w:ascii="宋体" w:hAnsi="宋体"/>
                <w:color w:val="auto"/>
                <w:szCs w:val="21"/>
                <w:highlight w:val="none"/>
              </w:rPr>
              <w:t>29.1</w:t>
            </w:r>
          </w:p>
        </w:tc>
        <w:tc>
          <w:tcPr>
            <w:tcW w:w="0" w:type="auto"/>
            <w:tcBorders>
              <w:top w:val="single" w:color="auto" w:sz="4" w:space="0"/>
              <w:left w:val="single" w:color="auto" w:sz="4" w:space="0"/>
              <w:bottom w:val="single" w:color="auto" w:sz="4" w:space="0"/>
              <w:right w:val="single" w:color="auto" w:sz="4" w:space="0"/>
            </w:tcBorders>
            <w:vAlign w:val="center"/>
          </w:tcPr>
          <w:p w14:paraId="38A66842">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评标方法：</w:t>
            </w:r>
            <w:r>
              <w:rPr>
                <w:rFonts w:ascii="Segoe UI Symbol" w:hAnsi="Segoe UI Symbol" w:cs="Segoe UI Symbol"/>
                <w:b/>
                <w:bCs/>
                <w:color w:val="auto"/>
                <w:szCs w:val="21"/>
                <w:highlight w:val="none"/>
              </w:rPr>
              <w:t>☑</w:t>
            </w:r>
            <w:r>
              <w:rPr>
                <w:rFonts w:hint="eastAsia" w:ascii="宋体" w:hAnsi="宋体"/>
                <w:color w:val="auto"/>
                <w:szCs w:val="21"/>
                <w:highlight w:val="none"/>
              </w:rPr>
              <w:t xml:space="preserve">综合评分法 </w:t>
            </w:r>
            <w:r>
              <w:rPr>
                <w:rFonts w:ascii="宋体" w:hAnsi="宋体"/>
                <w:color w:val="auto"/>
                <w:szCs w:val="21"/>
                <w:highlight w:val="none"/>
              </w:rPr>
              <w:t xml:space="preserve">      </w:t>
            </w:r>
            <w:r>
              <w:rPr>
                <w:rFonts w:hint="eastAsia" w:ascii="宋体" w:hAnsi="宋体"/>
                <w:color w:val="auto"/>
                <w:szCs w:val="21"/>
                <w:highlight w:val="none"/>
              </w:rPr>
              <w:t>□最低评标价法</w:t>
            </w:r>
          </w:p>
        </w:tc>
      </w:tr>
      <w:tr w14:paraId="7D29B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3F683A8C">
            <w:pPr>
              <w:spacing w:line="360" w:lineRule="exact"/>
              <w:jc w:val="center"/>
              <w:rPr>
                <w:rFonts w:hint="eastAsia" w:ascii="宋体" w:hAnsi="宋体"/>
                <w:color w:val="auto"/>
                <w:szCs w:val="21"/>
                <w:highlight w:val="none"/>
              </w:rPr>
            </w:pPr>
            <w:r>
              <w:rPr>
                <w:rFonts w:hint="eastAsia" w:ascii="宋体" w:hAnsi="宋体"/>
                <w:color w:val="auto"/>
                <w:szCs w:val="21"/>
                <w:highlight w:val="none"/>
              </w:rPr>
              <w:t>29.3</w:t>
            </w:r>
          </w:p>
        </w:tc>
        <w:tc>
          <w:tcPr>
            <w:tcW w:w="0" w:type="auto"/>
            <w:tcBorders>
              <w:top w:val="single" w:color="auto" w:sz="4" w:space="0"/>
              <w:left w:val="single" w:color="auto" w:sz="4" w:space="0"/>
              <w:bottom w:val="single" w:color="auto" w:sz="4" w:space="0"/>
              <w:right w:val="single" w:color="auto" w:sz="4" w:space="0"/>
            </w:tcBorders>
            <w:vAlign w:val="center"/>
          </w:tcPr>
          <w:p w14:paraId="1C9AE401">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s="宋体"/>
                <w:b/>
                <w:bCs/>
                <w:color w:val="auto"/>
                <w:szCs w:val="21"/>
                <w:highlight w:val="none"/>
              </w:rPr>
              <w:t>商务要求</w:t>
            </w:r>
            <w:r>
              <w:rPr>
                <w:rFonts w:hint="eastAsia" w:ascii="宋体" w:hAnsi="宋体"/>
                <w:b/>
                <w:bCs/>
                <w:color w:val="auto"/>
                <w:szCs w:val="21"/>
                <w:highlight w:val="none"/>
              </w:rPr>
              <w:t>评审中允许负偏离的条款（非实质性条款）数：</w:t>
            </w:r>
            <w:r>
              <w:rPr>
                <w:rFonts w:hint="eastAsia" w:ascii="宋体" w:hAnsi="宋体"/>
                <w:b/>
                <w:bCs/>
                <w:color w:val="auto"/>
                <w:szCs w:val="21"/>
                <w:highlight w:val="none"/>
                <w:u w:val="single"/>
              </w:rPr>
              <w:t xml:space="preserve"> 0 </w:t>
            </w:r>
            <w:r>
              <w:rPr>
                <w:rFonts w:hint="eastAsia" w:ascii="宋体" w:hAnsi="宋体"/>
                <w:b/>
                <w:bCs/>
                <w:color w:val="auto"/>
                <w:szCs w:val="21"/>
                <w:highlight w:val="none"/>
              </w:rPr>
              <w:t>项。</w:t>
            </w:r>
          </w:p>
        </w:tc>
      </w:tr>
      <w:tr w14:paraId="05C54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446BF25A">
            <w:pPr>
              <w:spacing w:line="360" w:lineRule="exact"/>
              <w:jc w:val="center"/>
              <w:rPr>
                <w:rFonts w:hint="eastAsia" w:ascii="宋体" w:hAnsi="宋体"/>
                <w:color w:val="auto"/>
                <w:szCs w:val="21"/>
                <w:highlight w:val="none"/>
              </w:rPr>
            </w:pPr>
            <w:bookmarkStart w:id="91" w:name="_29.2.2（2）"/>
            <w:bookmarkEnd w:id="91"/>
            <w:r>
              <w:rPr>
                <w:rFonts w:hint="eastAsia" w:ascii="宋体" w:hAnsi="宋体"/>
                <w:color w:val="auto"/>
                <w:szCs w:val="21"/>
                <w:highlight w:val="none"/>
              </w:rPr>
              <w:t>30</w:t>
            </w:r>
            <w:r>
              <w:rPr>
                <w:rFonts w:ascii="宋体" w:hAnsi="宋体"/>
                <w:color w:val="auto"/>
                <w:szCs w:val="21"/>
                <w:highlight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7C3D4DDE">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采购人确定中标人时，出现中标候选人并列的情形，采购人按以下的方式确定中标人：</w:t>
            </w:r>
          </w:p>
          <w:p w14:paraId="56E1426C">
            <w:pPr>
              <w:autoSpaceDE w:val="0"/>
              <w:autoSpaceDN w:val="0"/>
              <w:snapToGrid w:val="0"/>
              <w:spacing w:line="360" w:lineRule="exact"/>
              <w:ind w:firstLine="420" w:firstLineChars="200"/>
              <w:textAlignment w:val="bottom"/>
              <w:rPr>
                <w:rFonts w:hint="eastAsia" w:ascii="宋体" w:hAnsi="宋体"/>
                <w:color w:val="auto"/>
                <w:szCs w:val="21"/>
                <w:highlight w:val="none"/>
              </w:rPr>
            </w:pPr>
            <w:r>
              <w:rPr>
                <w:rFonts w:ascii="Segoe UI Symbol" w:hAnsi="Segoe UI Symbol" w:cs="Segoe UI Symbol"/>
                <w:color w:val="auto"/>
                <w:szCs w:val="21"/>
                <w:highlight w:val="none"/>
              </w:rPr>
              <w:t>☑</w:t>
            </w:r>
            <w:r>
              <w:rPr>
                <w:rFonts w:hint="eastAsia" w:ascii="宋体" w:hAnsi="宋体"/>
                <w:color w:val="auto"/>
                <w:szCs w:val="21"/>
                <w:highlight w:val="none"/>
              </w:rPr>
              <w:t>依次按</w:t>
            </w:r>
            <w:r>
              <w:rPr>
                <w:rFonts w:ascii="宋体" w:hAnsi="宋体" w:cs="宋体"/>
                <w:color w:val="auto"/>
                <w:spacing w:val="-3"/>
                <w:szCs w:val="21"/>
                <w:highlight w:val="none"/>
              </w:rPr>
              <w:t>投标报价</w:t>
            </w:r>
            <w:r>
              <w:rPr>
                <w:rFonts w:hint="eastAsia" w:ascii="宋体" w:hAnsi="宋体" w:cs="宋体"/>
                <w:color w:val="auto"/>
                <w:spacing w:val="-3"/>
                <w:szCs w:val="21"/>
                <w:highlight w:val="none"/>
                <w:lang w:eastAsia="zh-CN"/>
              </w:rPr>
              <w:t>（</w:t>
            </w:r>
            <w:r>
              <w:rPr>
                <w:rFonts w:hint="eastAsia" w:ascii="宋体" w:hAnsi="宋体" w:cs="宋体"/>
                <w:color w:val="auto"/>
                <w:spacing w:val="-3"/>
                <w:szCs w:val="21"/>
                <w:highlight w:val="none"/>
                <w:lang w:val="en-US" w:eastAsia="zh-CN"/>
              </w:rPr>
              <w:t>1-折扣率报价</w:t>
            </w:r>
            <w:r>
              <w:rPr>
                <w:rFonts w:hint="eastAsia" w:ascii="宋体" w:hAnsi="宋体" w:cs="宋体"/>
                <w:color w:val="auto"/>
                <w:spacing w:val="-3"/>
                <w:szCs w:val="21"/>
                <w:highlight w:val="none"/>
                <w:lang w:eastAsia="zh-CN"/>
              </w:rPr>
              <w:t>）</w:t>
            </w:r>
            <w:r>
              <w:rPr>
                <w:rFonts w:ascii="宋体" w:hAnsi="宋体" w:cs="宋体"/>
                <w:color w:val="auto"/>
                <w:spacing w:val="-3"/>
                <w:szCs w:val="21"/>
                <w:highlight w:val="none"/>
              </w:rPr>
              <w:t>低的优先</w:t>
            </w:r>
            <w:r>
              <w:rPr>
                <w:rFonts w:hint="eastAsia" w:ascii="宋体" w:hAnsi="宋体" w:cs="宋体"/>
                <w:color w:val="auto"/>
                <w:spacing w:val="-3"/>
                <w:szCs w:val="21"/>
                <w:highlight w:val="none"/>
              </w:rPr>
              <w:t>、</w:t>
            </w:r>
            <w:r>
              <w:rPr>
                <w:rFonts w:hint="eastAsia" w:ascii="宋体" w:hAnsi="宋体"/>
                <w:color w:val="auto"/>
                <w:szCs w:val="21"/>
                <w:highlight w:val="none"/>
              </w:rPr>
              <w:t>政策分得分高的优先、技术评分高的优先、商务评分高的优先、项目质保期长优先、交货期短优先、故障响应时间短优先的顺序确定。</w:t>
            </w:r>
          </w:p>
          <w:p w14:paraId="1ABDFDFB">
            <w:pPr>
              <w:snapToGrid w:val="0"/>
              <w:spacing w:line="360" w:lineRule="exact"/>
              <w:ind w:firstLine="420" w:firstLineChars="200"/>
              <w:rPr>
                <w:rFonts w:hint="eastAsia" w:ascii="宋体" w:hAnsi="宋体"/>
                <w:b/>
                <w:color w:val="auto"/>
                <w:szCs w:val="21"/>
                <w:highlight w:val="none"/>
              </w:rPr>
            </w:pPr>
            <w:r>
              <w:rPr>
                <w:rFonts w:hint="eastAsia" w:ascii="宋体" w:hAnsi="宋体"/>
                <w:color w:val="auto"/>
                <w:szCs w:val="21"/>
                <w:highlight w:val="none"/>
              </w:rPr>
              <w:t>□随机抽取</w:t>
            </w:r>
          </w:p>
        </w:tc>
      </w:tr>
      <w:tr w14:paraId="54072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auto" w:sz="4" w:space="0"/>
              <w:left w:val="single" w:color="auto" w:sz="4" w:space="0"/>
              <w:bottom w:val="single" w:color="auto" w:sz="4" w:space="0"/>
              <w:right w:val="single" w:color="auto" w:sz="4" w:space="0"/>
            </w:tcBorders>
            <w:vAlign w:val="center"/>
          </w:tcPr>
          <w:p w14:paraId="7CC2DD39">
            <w:pPr>
              <w:spacing w:line="360" w:lineRule="exact"/>
              <w:jc w:val="center"/>
              <w:rPr>
                <w:rFonts w:hint="eastAsia" w:ascii="宋体" w:hAnsi="宋体"/>
                <w:color w:val="auto"/>
                <w:szCs w:val="21"/>
                <w:highlight w:val="none"/>
              </w:rPr>
            </w:pPr>
            <w:bookmarkStart w:id="92" w:name="_39.1"/>
            <w:bookmarkEnd w:id="92"/>
            <w:r>
              <w:rPr>
                <w:rFonts w:hint="eastAsia" w:ascii="宋体" w:hAnsi="宋体"/>
                <w:color w:val="auto"/>
                <w:szCs w:val="21"/>
                <w:highlight w:val="none"/>
              </w:rPr>
              <w:t>35</w:t>
            </w:r>
            <w:r>
              <w:rPr>
                <w:rFonts w:ascii="宋体" w:hAnsi="宋体"/>
                <w:color w:val="auto"/>
                <w:szCs w:val="21"/>
                <w:highlight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5AADD52F">
            <w:pPr>
              <w:autoSpaceDE w:val="0"/>
              <w:autoSpaceDN w:val="0"/>
              <w:snapToGrid w:val="0"/>
              <w:spacing w:line="36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□本项目不收取履约保证金。</w:t>
            </w:r>
          </w:p>
          <w:p w14:paraId="59D8411E">
            <w:pPr>
              <w:snapToGrid w:val="0"/>
              <w:spacing w:line="360" w:lineRule="exact"/>
              <w:ind w:firstLine="422" w:firstLineChars="200"/>
              <w:rPr>
                <w:rFonts w:hint="eastAsia" w:ascii="宋体" w:hAnsi="宋体"/>
                <w:color w:val="auto"/>
                <w:szCs w:val="21"/>
                <w:highlight w:val="none"/>
              </w:rPr>
            </w:pPr>
            <w:r>
              <w:rPr>
                <w:rFonts w:hint="eastAsia" w:ascii="Segoe UI Symbol" w:hAnsi="Segoe UI Symbol" w:cs="Segoe UI Symbol"/>
                <w:b/>
                <w:bCs/>
                <w:color w:val="auto"/>
                <w:szCs w:val="21"/>
                <w:highlight w:val="none"/>
              </w:rPr>
              <w:t>☑</w:t>
            </w:r>
            <w:r>
              <w:rPr>
                <w:rFonts w:hint="eastAsia" w:ascii="宋体" w:hAnsi="宋体"/>
                <w:color w:val="auto"/>
                <w:szCs w:val="21"/>
                <w:highlight w:val="none"/>
              </w:rPr>
              <w:t>本项目收取履约保证金，具体规定如下：</w:t>
            </w:r>
          </w:p>
          <w:p w14:paraId="5846FBF5">
            <w:pPr>
              <w:autoSpaceDE w:val="0"/>
              <w:autoSpaceDN w:val="0"/>
              <w:snapToGrid w:val="0"/>
              <w:spacing w:line="360" w:lineRule="exact"/>
              <w:textAlignment w:val="bottom"/>
              <w:rPr>
                <w:rFonts w:hint="eastAsia" w:ascii="宋体" w:hAnsi="宋体"/>
                <w:color w:val="auto"/>
                <w:szCs w:val="21"/>
                <w:highlight w:val="none"/>
              </w:rPr>
            </w:pPr>
            <w:bookmarkStart w:id="93" w:name="OLE_LINK17"/>
            <w:r>
              <w:rPr>
                <w:rFonts w:hint="eastAsia" w:ascii="宋体" w:hAnsi="宋体"/>
                <w:color w:val="auto"/>
                <w:szCs w:val="21"/>
                <w:highlight w:val="none"/>
              </w:rPr>
              <w:t>履约保证金</w:t>
            </w:r>
            <w:bookmarkEnd w:id="93"/>
            <w:r>
              <w:rPr>
                <w:rFonts w:hint="eastAsia" w:ascii="宋体" w:hAnsi="宋体"/>
                <w:color w:val="auto"/>
                <w:szCs w:val="21"/>
                <w:highlight w:val="none"/>
              </w:rPr>
              <w:t>金额：按中标金额的</w:t>
            </w:r>
            <w:r>
              <w:rPr>
                <w:rFonts w:hint="eastAsia" w:ascii="宋体" w:hAnsi="宋体" w:cs="Arial"/>
                <w:color w:val="auto"/>
                <w:szCs w:val="21"/>
                <w:highlight w:val="none"/>
                <w:u w:val="single"/>
              </w:rPr>
              <w:t xml:space="preserve"> </w:t>
            </w:r>
            <w:r>
              <w:rPr>
                <w:rFonts w:ascii="宋体" w:hAnsi="宋体" w:cs="Arial"/>
                <w:color w:val="auto"/>
                <w:szCs w:val="21"/>
                <w:highlight w:val="none"/>
                <w:u w:val="single"/>
              </w:rPr>
              <w:t>5</w:t>
            </w:r>
            <w:r>
              <w:rPr>
                <w:rFonts w:hint="eastAsia" w:ascii="宋体" w:hAnsi="宋体" w:cs="Arial"/>
                <w:color w:val="auto"/>
                <w:szCs w:val="21"/>
                <w:highlight w:val="none"/>
                <w:u w:val="single"/>
              </w:rPr>
              <w:t xml:space="preserve"> </w:t>
            </w:r>
            <w:r>
              <w:rPr>
                <w:rFonts w:hint="eastAsia" w:ascii="宋体" w:hAnsi="宋体"/>
                <w:color w:val="auto"/>
                <w:szCs w:val="21"/>
                <w:highlight w:val="none"/>
              </w:rPr>
              <w:t>%。</w:t>
            </w:r>
          </w:p>
          <w:p w14:paraId="7810B11E">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履约保证金递交方式：</w:t>
            </w:r>
            <w:bookmarkStart w:id="94" w:name="OLE_LINK25"/>
            <w:r>
              <w:rPr>
                <w:rFonts w:hint="eastAsia" w:ascii="宋体" w:hAnsi="宋体"/>
                <w:color w:val="auto"/>
                <w:szCs w:val="21"/>
                <w:highlight w:val="none"/>
              </w:rPr>
              <w:t>银行转账、支票、汇票、本票或者金融、担保机构出具的保函、保险机构的保单，禁止采用现钞方式。</w:t>
            </w:r>
            <w:bookmarkEnd w:id="94"/>
          </w:p>
          <w:p w14:paraId="3367CCA0">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履约保证金退付方式、时间及条件：</w:t>
            </w:r>
            <w:bookmarkStart w:id="95" w:name="OLE_LINK20"/>
            <w:r>
              <w:rPr>
                <w:rFonts w:hint="eastAsia" w:ascii="宋体" w:hAnsi="宋体"/>
                <w:color w:val="auto"/>
                <w:szCs w:val="21"/>
                <w:highlight w:val="none"/>
                <w:u w:val="single"/>
              </w:rPr>
              <w:t>由中标人向履约保证金收取单位提供《政府采购项目合同验收书》，保证金收取单位在收到合格材料后5个工作日内办理退还手续（不计利息）</w:t>
            </w:r>
            <w:bookmarkEnd w:id="95"/>
            <w:r>
              <w:rPr>
                <w:rFonts w:hint="eastAsia" w:ascii="宋体" w:hAnsi="宋体"/>
                <w:color w:val="auto"/>
                <w:szCs w:val="21"/>
                <w:highlight w:val="none"/>
              </w:rPr>
              <w:t>。</w:t>
            </w:r>
          </w:p>
          <w:p w14:paraId="3021F25D">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履约保证金指定账户：</w:t>
            </w:r>
          </w:p>
          <w:p w14:paraId="215BA444">
            <w:pPr>
              <w:autoSpaceDE w:val="0"/>
              <w:autoSpaceDN w:val="0"/>
              <w:snapToGrid w:val="0"/>
              <w:spacing w:line="36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开户名称：</w:t>
            </w:r>
            <w:r>
              <w:rPr>
                <w:rFonts w:hint="eastAsia" w:ascii="宋体" w:hAnsi="宋体"/>
                <w:color w:val="auto"/>
                <w:szCs w:val="21"/>
                <w:highlight w:val="none"/>
                <w:u w:val="single"/>
              </w:rPr>
              <w:t>自然资源部第四海洋研究所</w:t>
            </w:r>
          </w:p>
          <w:p w14:paraId="53B98D4F">
            <w:pPr>
              <w:autoSpaceDE w:val="0"/>
              <w:autoSpaceDN w:val="0"/>
              <w:snapToGrid w:val="0"/>
              <w:spacing w:line="360" w:lineRule="exact"/>
              <w:ind w:firstLine="420" w:firstLineChars="200"/>
              <w:textAlignment w:val="bottom"/>
              <w:rPr>
                <w:rFonts w:hint="eastAsia" w:ascii="宋体" w:hAnsi="宋体" w:cs="Arial"/>
                <w:color w:val="auto"/>
                <w:szCs w:val="21"/>
                <w:highlight w:val="none"/>
              </w:rPr>
            </w:pPr>
            <w:r>
              <w:rPr>
                <w:rFonts w:hint="eastAsia" w:ascii="宋体" w:hAnsi="宋体"/>
                <w:color w:val="auto"/>
                <w:szCs w:val="21"/>
                <w:highlight w:val="none"/>
              </w:rPr>
              <w:t>开户银行：</w:t>
            </w:r>
            <w:r>
              <w:rPr>
                <w:rFonts w:hint="eastAsia" w:ascii="宋体" w:hAnsi="宋体" w:cs="Arial"/>
                <w:color w:val="auto"/>
                <w:szCs w:val="21"/>
                <w:highlight w:val="none"/>
                <w:u w:val="single"/>
              </w:rPr>
              <w:t>建设银行北海分行</w:t>
            </w:r>
          </w:p>
          <w:p w14:paraId="106EE9EB">
            <w:pPr>
              <w:autoSpaceDE w:val="0"/>
              <w:autoSpaceDN w:val="0"/>
              <w:snapToGrid w:val="0"/>
              <w:spacing w:line="360" w:lineRule="exact"/>
              <w:ind w:firstLine="420" w:firstLineChars="200"/>
              <w:textAlignment w:val="bottom"/>
              <w:rPr>
                <w:rFonts w:hint="eastAsia" w:ascii="宋体" w:hAnsi="宋体"/>
                <w:color w:val="auto"/>
                <w:szCs w:val="21"/>
                <w:highlight w:val="none"/>
              </w:rPr>
            </w:pPr>
            <w:r>
              <w:rPr>
                <w:rFonts w:hint="eastAsia" w:ascii="宋体" w:hAnsi="宋体"/>
                <w:color w:val="auto"/>
                <w:szCs w:val="21"/>
                <w:highlight w:val="none"/>
              </w:rPr>
              <w:t>银行账号：</w:t>
            </w:r>
            <w:r>
              <w:rPr>
                <w:rFonts w:hint="eastAsia" w:ascii="宋体" w:hAnsi="宋体" w:cs="Arial"/>
                <w:color w:val="auto"/>
                <w:szCs w:val="21"/>
                <w:highlight w:val="none"/>
                <w:u w:val="single"/>
              </w:rPr>
              <w:t>45050165511000000232</w:t>
            </w:r>
          </w:p>
          <w:p w14:paraId="0A108429">
            <w:pPr>
              <w:spacing w:line="360" w:lineRule="exact"/>
              <w:jc w:val="left"/>
              <w:rPr>
                <w:rFonts w:hint="eastAsia" w:ascii="宋体" w:hAnsi="宋体" w:cs="Courier New"/>
                <w:b/>
                <w:color w:val="auto"/>
                <w:szCs w:val="21"/>
                <w:highlight w:val="none"/>
              </w:rPr>
            </w:pPr>
            <w:r>
              <w:rPr>
                <w:rFonts w:ascii="宋体" w:hAnsi="宋体" w:cs="Courier New"/>
                <w:b/>
                <w:color w:val="auto"/>
                <w:szCs w:val="21"/>
                <w:highlight w:val="none"/>
              </w:rPr>
              <w:t>备注：</w:t>
            </w:r>
          </w:p>
          <w:p w14:paraId="36AADDAE">
            <w:pPr>
              <w:spacing w:line="360" w:lineRule="exact"/>
              <w:ind w:firstLine="422" w:firstLineChars="200"/>
              <w:jc w:val="left"/>
              <w:rPr>
                <w:rFonts w:hint="eastAsia" w:ascii="宋体" w:hAnsi="宋体"/>
                <w:b/>
                <w:color w:val="auto"/>
                <w:szCs w:val="21"/>
                <w:highlight w:val="none"/>
              </w:rPr>
            </w:pPr>
            <w:bookmarkStart w:id="96" w:name="OLE_LINK30"/>
            <w:r>
              <w:rPr>
                <w:rFonts w:hint="eastAsia" w:ascii="宋体" w:hAnsi="宋体"/>
                <w:b/>
                <w:color w:val="auto"/>
                <w:szCs w:val="21"/>
                <w:highlight w:val="none"/>
              </w:rPr>
              <w:t>本项目中约定的履约保证金，系为保证中标人在招投标材料/投标文件中的相关承诺以及本合同中的全部合同义务得到切实履行。在签订合同之前，中标人需把履约保证金足额交到采购人指定账户。未提交履约保证金的，不予签订本合同。中标人逾期支付的，应按以逾期金额为本金，逾期支付期间以中国人民银行授权全国银行间同业拆借中心月发布的一年期贷款市场报价利率的四倍向收款方支付违约金，同时仍应履行支付义务。逾期超过10个工作日的，采购人有权解除合同，并要求中标人承担违约责任。履约保证金自项目验收合格后，待中标人无违约情况下中标人提出书面申请后，5个工作日内采购人无息退还。本合同履行期间，中标人存在违约的，采购人有权从履约保证金中先行扣除违约金，不足部分由中标人另行支付，采购人直接从履约保证金中扣除违约金或中标人应付的其他款项的，中标人应于接到采购人补足履约保证金通知之日起3个工作日内补足，采购人未按合同约定退还的，每超3个月需向中标人偿付延期款项1‰的滞纳金，但滞纳金累计不得超过延期款项的2%。</w:t>
            </w:r>
            <w:bookmarkEnd w:id="96"/>
          </w:p>
        </w:tc>
      </w:tr>
      <w:tr w14:paraId="1881B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323BB335">
            <w:pPr>
              <w:spacing w:line="360" w:lineRule="exact"/>
              <w:jc w:val="center"/>
              <w:rPr>
                <w:rFonts w:hint="eastAsia" w:ascii="宋体" w:hAnsi="宋体"/>
                <w:color w:val="auto"/>
                <w:szCs w:val="21"/>
                <w:highlight w:val="none"/>
              </w:rPr>
            </w:pPr>
            <w:bookmarkStart w:id="97" w:name="_40.1"/>
            <w:bookmarkEnd w:id="97"/>
            <w:r>
              <w:rPr>
                <w:rFonts w:hint="eastAsia" w:ascii="宋体" w:hAnsi="宋体"/>
                <w:color w:val="auto"/>
                <w:szCs w:val="21"/>
                <w:highlight w:val="none"/>
              </w:rPr>
              <w:t>36.1</w:t>
            </w:r>
          </w:p>
        </w:tc>
        <w:tc>
          <w:tcPr>
            <w:tcW w:w="0" w:type="auto"/>
            <w:tcBorders>
              <w:top w:val="single" w:color="auto" w:sz="4" w:space="0"/>
              <w:left w:val="single" w:color="auto" w:sz="4" w:space="0"/>
              <w:bottom w:val="single" w:color="auto" w:sz="4" w:space="0"/>
              <w:right w:val="single" w:color="auto" w:sz="4" w:space="0"/>
            </w:tcBorders>
            <w:vAlign w:val="center"/>
          </w:tcPr>
          <w:p w14:paraId="3756D04C">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签订合同携带的证明材料：委托代理人负责签订合同的，须携带授权委托书及委托代理人身份证原件等其他资格证件。法定代表人负责签订合同的，须携带法定代表人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5A8708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10" w:hRule="atLeast"/>
        </w:trPr>
        <w:tc>
          <w:tcPr>
            <w:tcW w:w="0" w:type="auto"/>
            <w:tcBorders>
              <w:top w:val="single" w:color="auto" w:sz="4" w:space="0"/>
              <w:left w:val="single" w:color="auto" w:sz="4" w:space="0"/>
              <w:bottom w:val="single" w:color="auto" w:sz="4" w:space="0"/>
              <w:right w:val="single" w:color="auto" w:sz="4" w:space="0"/>
            </w:tcBorders>
            <w:vAlign w:val="center"/>
          </w:tcPr>
          <w:p w14:paraId="43694C57">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0" w:type="auto"/>
            <w:tcBorders>
              <w:top w:val="single" w:color="auto" w:sz="4" w:space="0"/>
              <w:left w:val="single" w:color="auto" w:sz="4" w:space="0"/>
              <w:bottom w:val="single" w:color="auto" w:sz="4" w:space="0"/>
              <w:right w:val="single" w:color="auto" w:sz="4" w:space="0"/>
            </w:tcBorders>
            <w:vAlign w:val="center"/>
          </w:tcPr>
          <w:p w14:paraId="39A29134">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2CA94B70">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u w:val="single"/>
              </w:rPr>
              <w:t>公诚管理咨询有限公司</w:t>
            </w:r>
            <w:r>
              <w:rPr>
                <w:rFonts w:hint="eastAsia" w:ascii="宋体" w:hAnsi="宋体"/>
                <w:color w:val="auto"/>
                <w:szCs w:val="21"/>
                <w:highlight w:val="none"/>
              </w:rPr>
              <w:t>，联系人：</w:t>
            </w:r>
            <w:r>
              <w:rPr>
                <w:rFonts w:hint="eastAsia" w:ascii="宋体" w:hAnsi="宋体"/>
                <w:color w:val="auto"/>
                <w:szCs w:val="21"/>
                <w:highlight w:val="none"/>
                <w:u w:val="single"/>
              </w:rPr>
              <w:t>陈雅冰</w:t>
            </w:r>
            <w:r>
              <w:rPr>
                <w:rFonts w:hint="eastAsia" w:ascii="宋体" w:hAnsi="宋体"/>
                <w:color w:val="auto"/>
                <w:szCs w:val="21"/>
                <w:highlight w:val="none"/>
              </w:rPr>
              <w:t>，</w:t>
            </w:r>
            <w:r>
              <w:rPr>
                <w:rFonts w:ascii="宋体" w:hAnsi="宋体"/>
                <w:color w:val="auto"/>
                <w:szCs w:val="21"/>
                <w:highlight w:val="none"/>
              </w:rPr>
              <w:t>联系电话</w:t>
            </w:r>
            <w:r>
              <w:rPr>
                <w:rFonts w:hint="eastAsia" w:ascii="宋体" w:hAnsi="宋体"/>
                <w:color w:val="auto"/>
                <w:szCs w:val="21"/>
                <w:highlight w:val="none"/>
              </w:rPr>
              <w:t>：</w:t>
            </w:r>
            <w:r>
              <w:rPr>
                <w:rFonts w:hint="eastAsia" w:ascii="宋体" w:hAnsi="宋体"/>
                <w:color w:val="auto"/>
                <w:szCs w:val="21"/>
                <w:highlight w:val="none"/>
                <w:u w:val="single"/>
              </w:rPr>
              <w:t>15078828204</w:t>
            </w:r>
            <w:r>
              <w:rPr>
                <w:rFonts w:hint="eastAsia" w:ascii="宋体" w:hAnsi="宋体"/>
                <w:color w:val="auto"/>
                <w:szCs w:val="21"/>
                <w:highlight w:val="none"/>
              </w:rPr>
              <w:t>，</w:t>
            </w: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s="宋体"/>
                <w:color w:val="auto"/>
                <w:szCs w:val="21"/>
                <w:highlight w:val="none"/>
              </w:rPr>
              <w:t>广西南宁市青秀区金湖北路52-1号东方曼哈顿25楼公诚管理咨询有限公司</w:t>
            </w:r>
            <w:r>
              <w:rPr>
                <w:rFonts w:hint="eastAsia" w:ascii="宋体" w:hAnsi="宋体"/>
                <w:color w:val="auto"/>
                <w:szCs w:val="21"/>
                <w:highlight w:val="none"/>
              </w:rPr>
              <w:t>。</w:t>
            </w:r>
          </w:p>
          <w:p w14:paraId="75BFCF77">
            <w:pPr>
              <w:autoSpaceDE w:val="0"/>
              <w:autoSpaceDN w:val="0"/>
              <w:snapToGrid w:val="0"/>
              <w:spacing w:line="360" w:lineRule="exact"/>
              <w:textAlignment w:val="bottom"/>
              <w:rPr>
                <w:rFonts w:hint="eastAsia" w:ascii="宋体" w:hAnsi="宋体"/>
                <w:color w:val="auto"/>
                <w:szCs w:val="21"/>
                <w:highlight w:val="none"/>
              </w:rPr>
            </w:pPr>
            <w:r>
              <w:rPr>
                <w:rFonts w:hint="eastAsia" w:hAnsi="宋体"/>
                <w:color w:val="auto"/>
                <w:highlight w:val="none"/>
              </w:rPr>
              <w:t>现场提交质疑办理业务时间：每天8时00分到12时00分，1</w:t>
            </w:r>
            <w:r>
              <w:rPr>
                <w:rFonts w:hAnsi="宋体"/>
                <w:color w:val="auto"/>
                <w:highlight w:val="none"/>
              </w:rPr>
              <w:t>4</w:t>
            </w:r>
            <w:r>
              <w:rPr>
                <w:rFonts w:hint="eastAsia" w:hAnsi="宋体"/>
                <w:color w:val="auto"/>
                <w:highlight w:val="none"/>
              </w:rPr>
              <w:t>时</w:t>
            </w:r>
            <w:r>
              <w:rPr>
                <w:rFonts w:hAnsi="宋体"/>
                <w:color w:val="auto"/>
                <w:highlight w:val="none"/>
              </w:rPr>
              <w:t>3</w:t>
            </w:r>
            <w:r>
              <w:rPr>
                <w:rFonts w:hint="eastAsia" w:hAnsi="宋体"/>
                <w:color w:val="auto"/>
                <w:highlight w:val="none"/>
              </w:rPr>
              <w:t>0分到18时00分，业务时间以外、双休日和法定节假日不办理业务。</w:t>
            </w:r>
          </w:p>
        </w:tc>
      </w:tr>
      <w:tr w14:paraId="08E8C9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096C9B4C">
            <w:pPr>
              <w:spacing w:line="360" w:lineRule="exact"/>
              <w:jc w:val="center"/>
              <w:rPr>
                <w:rFonts w:hint="eastAsia" w:ascii="宋体" w:hAnsi="宋体"/>
                <w:color w:val="auto"/>
                <w:szCs w:val="21"/>
                <w:highlight w:val="none"/>
              </w:rPr>
            </w:pPr>
            <w:bookmarkStart w:id="98" w:name="_41"/>
            <w:bookmarkEnd w:id="98"/>
            <w:bookmarkStart w:id="99" w:name="_42"/>
            <w:bookmarkEnd w:id="99"/>
            <w:bookmarkStart w:id="100" w:name="_Hlt17709148"/>
            <w:r>
              <w:rPr>
                <w:rFonts w:hint="eastAsia" w:ascii="宋体" w:hAnsi="宋体"/>
                <w:color w:val="auto"/>
                <w:szCs w:val="21"/>
                <w:highlight w:val="none"/>
              </w:rPr>
              <w:t>3</w:t>
            </w:r>
            <w:bookmarkEnd w:id="100"/>
            <w:r>
              <w:rPr>
                <w:rFonts w:ascii="宋体" w:hAnsi="宋体"/>
                <w:color w:val="auto"/>
                <w:szCs w:val="21"/>
                <w:highlight w:val="none"/>
              </w:rPr>
              <w:t>9.1</w:t>
            </w:r>
          </w:p>
        </w:tc>
        <w:tc>
          <w:tcPr>
            <w:tcW w:w="0" w:type="auto"/>
            <w:tcBorders>
              <w:top w:val="single" w:color="auto" w:sz="4" w:space="0"/>
              <w:left w:val="single" w:color="auto" w:sz="4" w:space="0"/>
              <w:bottom w:val="single" w:color="auto" w:sz="4" w:space="0"/>
              <w:right w:val="single" w:color="auto" w:sz="4" w:space="0"/>
            </w:tcBorders>
            <w:vAlign w:val="center"/>
          </w:tcPr>
          <w:p w14:paraId="268E7A3E">
            <w:pPr>
              <w:pStyle w:val="23"/>
              <w:snapToGrid w:val="0"/>
              <w:spacing w:line="360" w:lineRule="exact"/>
              <w:rPr>
                <w:rFonts w:hint="eastAsia" w:hAnsi="宋体" w:cs="宋体"/>
                <w:color w:val="auto"/>
                <w:sz w:val="21"/>
                <w:highlight w:val="none"/>
              </w:rPr>
            </w:pPr>
            <w:r>
              <w:rPr>
                <w:rFonts w:hint="eastAsia" w:hAnsi="宋体" w:cs="宋体"/>
                <w:color w:val="auto"/>
                <w:sz w:val="21"/>
                <w:highlight w:val="none"/>
              </w:rPr>
              <w:t>1.招标代理费支付方式：本项目代理服务费由</w:t>
            </w:r>
            <w:r>
              <w:rPr>
                <w:rFonts w:hint="eastAsia" w:hAnsi="宋体" w:cs="宋体"/>
                <w:color w:val="auto"/>
                <w:sz w:val="21"/>
                <w:highlight w:val="none"/>
                <w:u w:val="single"/>
              </w:rPr>
              <w:t>中标人</w:t>
            </w:r>
            <w:r>
              <w:rPr>
                <w:rFonts w:hint="eastAsia" w:hAnsi="宋体" w:cs="宋体"/>
                <w:color w:val="auto"/>
                <w:sz w:val="21"/>
                <w:highlight w:val="none"/>
              </w:rPr>
              <w:t>支付，一次性向采购代理机构支付。</w:t>
            </w:r>
          </w:p>
          <w:p w14:paraId="42F468E0">
            <w:pPr>
              <w:pStyle w:val="23"/>
              <w:snapToGrid w:val="0"/>
              <w:spacing w:line="360" w:lineRule="exact"/>
              <w:rPr>
                <w:rFonts w:hint="eastAsia" w:hAnsi="宋体" w:cs="宋体"/>
                <w:color w:val="auto"/>
                <w:sz w:val="21"/>
                <w:highlight w:val="none"/>
              </w:rPr>
            </w:pPr>
            <w:r>
              <w:rPr>
                <w:rFonts w:hint="eastAsia" w:hAnsi="宋体" w:cs="宋体"/>
                <w:color w:val="auto"/>
                <w:sz w:val="21"/>
                <w:highlight w:val="none"/>
              </w:rPr>
              <w:t>2.招标代理费收取标准：以项目（如分标，按分标）中标金额为计费额，按本须知正文第</w:t>
            </w:r>
            <w:r>
              <w:rPr>
                <w:rFonts w:hAnsi="宋体" w:cs="宋体"/>
                <w:color w:val="auto"/>
                <w:sz w:val="21"/>
                <w:highlight w:val="none"/>
              </w:rPr>
              <w:t>39</w:t>
            </w:r>
            <w:r>
              <w:rPr>
                <w:rFonts w:hint="eastAsia" w:hAnsi="宋体" w:cs="宋体"/>
                <w:color w:val="auto"/>
                <w:sz w:val="21"/>
                <w:highlight w:val="none"/>
              </w:rPr>
              <w:t>.</w:t>
            </w:r>
            <w:r>
              <w:rPr>
                <w:rFonts w:hAnsi="宋体" w:cs="宋体"/>
                <w:color w:val="auto"/>
                <w:sz w:val="21"/>
                <w:highlight w:val="none"/>
              </w:rPr>
              <w:t>2</w:t>
            </w:r>
            <w:r>
              <w:rPr>
                <w:rFonts w:hint="eastAsia" w:hAnsi="宋体" w:cs="宋体"/>
                <w:color w:val="auto"/>
                <w:sz w:val="21"/>
                <w:highlight w:val="none"/>
              </w:rPr>
              <w:t>条规定的收费计算标准采用</w:t>
            </w:r>
            <w:r>
              <w:rPr>
                <w:rFonts w:hint="eastAsia" w:hAnsi="宋体" w:cs="宋体"/>
                <w:b/>
                <w:bCs/>
                <w:color w:val="auto"/>
                <w:sz w:val="21"/>
                <w:highlight w:val="none"/>
              </w:rPr>
              <w:t>服务类</w:t>
            </w:r>
            <w:r>
              <w:rPr>
                <w:rFonts w:hint="eastAsia" w:hAnsi="宋体" w:cs="宋体"/>
                <w:color w:val="auto"/>
                <w:sz w:val="21"/>
                <w:highlight w:val="none"/>
              </w:rPr>
              <w:t>差额定率累进法计算出收费基准价格，采购代理收费以收费基准价格</w:t>
            </w:r>
            <w:r>
              <w:rPr>
                <w:rFonts w:hint="eastAsia" w:hAnsi="宋体" w:cs="宋体"/>
                <w:b/>
                <w:bCs/>
                <w:color w:val="auto"/>
                <w:sz w:val="21"/>
                <w:highlight w:val="none"/>
              </w:rPr>
              <w:t>下浮25%</w:t>
            </w:r>
            <w:r>
              <w:rPr>
                <w:rFonts w:hint="eastAsia" w:hAnsi="宋体" w:cs="宋体"/>
                <w:color w:val="auto"/>
                <w:sz w:val="21"/>
                <w:highlight w:val="none"/>
              </w:rPr>
              <w:t>收取。</w:t>
            </w:r>
          </w:p>
          <w:p w14:paraId="356836BD">
            <w:pPr>
              <w:pStyle w:val="23"/>
              <w:snapToGrid w:val="0"/>
              <w:spacing w:line="360" w:lineRule="exact"/>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w:t>
            </w:r>
            <w:r>
              <w:rPr>
                <w:rFonts w:hint="eastAsia" w:hAnsi="宋体" w:cs="宋体"/>
                <w:color w:val="auto"/>
                <w:sz w:val="21"/>
                <w:highlight w:val="none"/>
              </w:rPr>
              <w:t>招标代理费收取银行账户</w:t>
            </w:r>
          </w:p>
          <w:p w14:paraId="7A08B092">
            <w:pPr>
              <w:pStyle w:val="23"/>
              <w:snapToGrid w:val="0"/>
              <w:spacing w:line="360" w:lineRule="exact"/>
              <w:rPr>
                <w:rFonts w:hint="eastAsia" w:hAnsi="宋体" w:cs="宋体"/>
                <w:color w:val="auto"/>
                <w:sz w:val="21"/>
                <w:highlight w:val="none"/>
              </w:rPr>
            </w:pPr>
            <w:r>
              <w:rPr>
                <w:rFonts w:hint="eastAsia" w:hAnsi="宋体" w:cs="宋体"/>
                <w:color w:val="auto"/>
                <w:sz w:val="21"/>
                <w:highlight w:val="none"/>
              </w:rPr>
              <w:t>开户名称：公诚管理咨询有限公司</w:t>
            </w:r>
          </w:p>
          <w:p w14:paraId="3A6ACEEB">
            <w:pPr>
              <w:pStyle w:val="23"/>
              <w:snapToGrid w:val="0"/>
              <w:spacing w:line="360" w:lineRule="exact"/>
              <w:rPr>
                <w:rFonts w:hint="eastAsia" w:hAnsi="宋体" w:cs="宋体"/>
                <w:color w:val="auto"/>
                <w:sz w:val="21"/>
                <w:highlight w:val="none"/>
              </w:rPr>
            </w:pPr>
            <w:r>
              <w:rPr>
                <w:rFonts w:hint="eastAsia" w:hAnsi="宋体" w:cs="宋体"/>
                <w:color w:val="auto"/>
                <w:sz w:val="21"/>
                <w:highlight w:val="none"/>
              </w:rPr>
              <w:t>开户银行：中信银行广州花园支行</w:t>
            </w:r>
          </w:p>
          <w:p w14:paraId="2E90ED35">
            <w:pPr>
              <w:pStyle w:val="23"/>
              <w:snapToGrid w:val="0"/>
              <w:spacing w:line="360" w:lineRule="exact"/>
              <w:rPr>
                <w:rFonts w:hint="eastAsia" w:hAnsi="宋体" w:eastAsia="宋体"/>
                <w:color w:val="auto"/>
                <w:sz w:val="21"/>
                <w:highlight w:val="none"/>
                <w:lang w:eastAsia="zh-CN"/>
              </w:rPr>
            </w:pPr>
            <w:r>
              <w:rPr>
                <w:rFonts w:hint="eastAsia" w:hAnsi="宋体" w:cs="宋体"/>
                <w:color w:val="auto"/>
                <w:sz w:val="21"/>
                <w:highlight w:val="none"/>
              </w:rPr>
              <w:t>银行账号：</w:t>
            </w:r>
            <w:r>
              <w:rPr>
                <w:rFonts w:hint="eastAsia" w:hAnsi="宋体" w:cs="宋体"/>
                <w:color w:val="auto"/>
                <w:sz w:val="21"/>
                <w:highlight w:val="none"/>
                <w:lang w:eastAsia="zh-CN"/>
              </w:rPr>
              <w:t>3110910037672617910</w:t>
            </w:r>
          </w:p>
        </w:tc>
      </w:tr>
      <w:tr w14:paraId="15AB1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65980B86">
            <w:pPr>
              <w:snapToGrid w:val="0"/>
              <w:spacing w:line="360" w:lineRule="exact"/>
              <w:jc w:val="center"/>
              <w:rPr>
                <w:rFonts w:hint="eastAsia" w:ascii="宋体" w:hAnsi="宋体"/>
                <w:color w:val="auto"/>
                <w:szCs w:val="21"/>
                <w:highlight w:val="none"/>
              </w:rPr>
            </w:pPr>
            <w:r>
              <w:rPr>
                <w:rFonts w:ascii="宋体" w:hAnsi="宋体"/>
                <w:color w:val="auto"/>
                <w:szCs w:val="21"/>
                <w:highlight w:val="none"/>
              </w:rPr>
              <w:t>40.1</w:t>
            </w:r>
          </w:p>
        </w:tc>
        <w:tc>
          <w:tcPr>
            <w:tcW w:w="0" w:type="auto"/>
            <w:tcBorders>
              <w:top w:val="single" w:color="auto" w:sz="4" w:space="0"/>
              <w:left w:val="single" w:color="auto" w:sz="4" w:space="0"/>
              <w:bottom w:val="single" w:color="auto" w:sz="4" w:space="0"/>
              <w:right w:val="single" w:color="auto" w:sz="4" w:space="0"/>
            </w:tcBorders>
            <w:vAlign w:val="center"/>
          </w:tcPr>
          <w:p w14:paraId="14FEFFE1">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w:t>
            </w:r>
            <w:r>
              <w:rPr>
                <w:rFonts w:ascii="宋体" w:hAnsi="宋体"/>
                <w:color w:val="auto"/>
                <w:szCs w:val="21"/>
                <w:highlight w:val="none"/>
              </w:rPr>
              <w:t>投标人须知、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39EB6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5FF69283">
            <w:pPr>
              <w:snapToGrid w:val="0"/>
              <w:spacing w:line="360" w:lineRule="exact"/>
              <w:jc w:val="center"/>
              <w:rPr>
                <w:rFonts w:hint="eastAsia" w:ascii="宋体" w:hAnsi="宋体"/>
                <w:color w:val="auto"/>
                <w:szCs w:val="21"/>
                <w:highlight w:val="none"/>
              </w:rPr>
            </w:pPr>
            <w:r>
              <w:rPr>
                <w:rFonts w:ascii="宋体" w:hAnsi="宋体"/>
                <w:color w:val="auto"/>
                <w:szCs w:val="21"/>
                <w:highlight w:val="none"/>
              </w:rPr>
              <w:t>40.2</w:t>
            </w:r>
          </w:p>
        </w:tc>
        <w:tc>
          <w:tcPr>
            <w:tcW w:w="0" w:type="auto"/>
            <w:tcBorders>
              <w:top w:val="single" w:color="auto" w:sz="4" w:space="0"/>
              <w:left w:val="single" w:color="auto" w:sz="4" w:space="0"/>
              <w:bottom w:val="single" w:color="auto" w:sz="4" w:space="0"/>
              <w:right w:val="single" w:color="auto" w:sz="4" w:space="0"/>
            </w:tcBorders>
            <w:vAlign w:val="center"/>
          </w:tcPr>
          <w:p w14:paraId="115F88E1">
            <w:pPr>
              <w:pStyle w:val="23"/>
              <w:snapToGrid w:val="0"/>
              <w:spacing w:line="360" w:lineRule="exact"/>
              <w:ind w:firstLine="422" w:firstLineChars="200"/>
              <w:rPr>
                <w:rFonts w:hint="eastAsia" w:hAnsi="宋体" w:cs="宋体"/>
                <w:b/>
                <w:bCs/>
                <w:color w:val="auto"/>
                <w:sz w:val="21"/>
                <w:highlight w:val="none"/>
              </w:rPr>
            </w:pPr>
            <w:r>
              <w:rPr>
                <w:rFonts w:hint="eastAsia" w:hAnsi="宋体" w:cs="宋体"/>
                <w:b/>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912D8B0">
            <w:pPr>
              <w:pStyle w:val="23"/>
              <w:snapToGrid w:val="0"/>
              <w:spacing w:line="360" w:lineRule="exact"/>
              <w:ind w:firstLine="422" w:firstLineChars="200"/>
              <w:rPr>
                <w:rFonts w:hint="eastAsia" w:hAnsi="宋体" w:cs="宋体"/>
                <w:b/>
                <w:bCs/>
                <w:color w:val="auto"/>
                <w:sz w:val="21"/>
                <w:highlight w:val="none"/>
              </w:rPr>
            </w:pPr>
            <w:r>
              <w:rPr>
                <w:rFonts w:hint="eastAsia" w:hAnsi="宋体" w:cs="宋体"/>
                <w:b/>
                <w:bCs/>
                <w:color w:val="auto"/>
                <w:sz w:val="21"/>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030F8D37">
            <w:pPr>
              <w:pStyle w:val="23"/>
              <w:snapToGrid w:val="0"/>
              <w:spacing w:line="360" w:lineRule="exact"/>
              <w:ind w:firstLine="422" w:firstLineChars="200"/>
              <w:rPr>
                <w:rFonts w:hint="eastAsia" w:hAnsi="宋体" w:cs="宋体"/>
                <w:b/>
                <w:bCs/>
                <w:color w:val="auto"/>
                <w:sz w:val="21"/>
                <w:highlight w:val="none"/>
              </w:rPr>
            </w:pPr>
            <w:r>
              <w:rPr>
                <w:rFonts w:hAnsi="宋体" w:cs="宋体"/>
                <w:b/>
                <w:bCs/>
                <w:color w:val="auto"/>
                <w:sz w:val="21"/>
                <w:highlight w:val="none"/>
              </w:rPr>
              <w:t>3</w:t>
            </w:r>
            <w:r>
              <w:rPr>
                <w:rFonts w:hint="eastAsia" w:hAnsi="宋体" w:cs="宋体"/>
                <w:b/>
                <w:bCs/>
                <w:color w:val="auto"/>
                <w:sz w:val="21"/>
                <w:highlight w:val="none"/>
              </w:rPr>
              <w:t>.自然人投标的，招标文件规定盖公章处由自然人摁手指指印。</w:t>
            </w:r>
          </w:p>
          <w:p w14:paraId="06A93014">
            <w:pPr>
              <w:spacing w:line="360" w:lineRule="exact"/>
              <w:ind w:firstLine="422" w:firstLineChars="200"/>
              <w:jc w:val="left"/>
              <w:rPr>
                <w:rFonts w:hint="eastAsia" w:ascii="宋体" w:hAnsi="宋体" w:cs="宋体"/>
                <w:b/>
                <w:bCs/>
                <w:color w:val="auto"/>
                <w:szCs w:val="21"/>
                <w:highlight w:val="none"/>
              </w:rPr>
            </w:pPr>
            <w:r>
              <w:rPr>
                <w:rFonts w:ascii="宋体" w:hAnsi="宋体" w:cs="宋体"/>
                <w:b/>
                <w:bCs/>
                <w:color w:val="auto"/>
                <w:szCs w:val="21"/>
                <w:highlight w:val="none"/>
              </w:rPr>
              <w:t>4</w:t>
            </w:r>
            <w:r>
              <w:rPr>
                <w:rFonts w:hint="eastAsia" w:ascii="宋体" w:hAnsi="宋体" w:cs="宋体"/>
                <w:b/>
                <w:bCs/>
                <w:color w:val="auto"/>
                <w:szCs w:val="21"/>
                <w:highlight w:val="none"/>
              </w:rPr>
              <w:t>.本招标文件所称的“以上”“以下”“以内”“届满”，包括本数；所称的“不满”“超过”“以外”，不包括本数。（法律、行政法规、管理办法等另有规定的，从其规定。）</w:t>
            </w:r>
          </w:p>
          <w:p w14:paraId="23A6327B">
            <w:pPr>
              <w:spacing w:line="360" w:lineRule="exact"/>
              <w:ind w:firstLine="422" w:firstLineChars="200"/>
              <w:jc w:val="left"/>
              <w:rPr>
                <w:rFonts w:hint="eastAsia" w:ascii="宋体" w:hAnsi="宋体"/>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w:t>
            </w:r>
            <w:r>
              <w:rPr>
                <w:rFonts w:hint="eastAsia" w:ascii="宋体" w:hAnsi="宋体" w:cs="宋体"/>
                <w:b/>
                <w:bCs/>
                <w:color w:val="auto"/>
                <w:szCs w:val="21"/>
                <w:highlight w:val="none"/>
              </w:rPr>
              <w:t>根据</w:t>
            </w:r>
            <w:r>
              <w:rPr>
                <w:rFonts w:ascii="宋体" w:hAnsi="宋体" w:cs="宋体"/>
                <w:b/>
                <w:bCs/>
                <w:color w:val="auto"/>
                <w:szCs w:val="21"/>
                <w:highlight w:val="none"/>
              </w:rPr>
              <w:t>《</w:t>
            </w:r>
            <w:r>
              <w:rPr>
                <w:rFonts w:hint="eastAsia" w:ascii="宋体" w:hAnsi="宋体" w:cs="宋体"/>
                <w:b/>
                <w:bCs/>
                <w:color w:val="auto"/>
                <w:szCs w:val="21"/>
                <w:highlight w:val="none"/>
              </w:rPr>
              <w:t>关于印发中小企业划型标准规定的通知</w:t>
            </w:r>
            <w:r>
              <w:rPr>
                <w:rFonts w:ascii="宋体" w:hAnsi="宋体" w:cs="宋体"/>
                <w:b/>
                <w:bCs/>
                <w:color w:val="auto"/>
                <w:szCs w:val="21"/>
                <w:highlight w:val="none"/>
              </w:rPr>
              <w:t>》</w:t>
            </w:r>
            <w:r>
              <w:rPr>
                <w:rFonts w:hint="eastAsia" w:ascii="宋体" w:hAnsi="宋体" w:cs="宋体"/>
                <w:b/>
                <w:bCs/>
                <w:color w:val="auto"/>
                <w:szCs w:val="21"/>
                <w:highlight w:val="none"/>
              </w:rPr>
              <w:t>（工信部联企业〔2011〕300号），本项目标的所属行业：</w:t>
            </w:r>
            <w:r>
              <w:rPr>
                <w:rFonts w:ascii="宋体" w:hAnsi="宋体" w:cs="宋体"/>
                <w:b/>
                <w:bCs/>
                <w:color w:val="auto"/>
                <w:szCs w:val="21"/>
                <w:highlight w:val="none"/>
              </w:rPr>
              <w:t>租赁和商务服务业。从业人员300人以下或资产总额120000万元以下的为中小微型企业。其中，从业人员100人及以上，且资产总额8000万元及以上的为中型企业；从业人员10人及以上，且资产总额 100 万元及以上的为小型企业；从业人员10人以下或资产总额100万元以下的为微型企业。</w:t>
            </w:r>
          </w:p>
        </w:tc>
      </w:tr>
      <w:tr w14:paraId="5B1224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14:paraId="15E3136B">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40.3</w:t>
            </w:r>
          </w:p>
        </w:tc>
        <w:tc>
          <w:tcPr>
            <w:tcW w:w="0" w:type="auto"/>
            <w:tcBorders>
              <w:top w:val="single" w:color="auto" w:sz="4" w:space="0"/>
              <w:left w:val="single" w:color="auto" w:sz="4" w:space="0"/>
              <w:bottom w:val="single" w:color="auto" w:sz="4" w:space="0"/>
              <w:right w:val="single" w:color="auto" w:sz="4" w:space="0"/>
            </w:tcBorders>
            <w:vAlign w:val="center"/>
          </w:tcPr>
          <w:p w14:paraId="436CAF1C">
            <w:pPr>
              <w:pStyle w:val="23"/>
              <w:tabs>
                <w:tab w:val="left" w:pos="312"/>
              </w:tabs>
              <w:adjustRightInd w:val="0"/>
              <w:spacing w:line="360" w:lineRule="exact"/>
              <w:rPr>
                <w:rFonts w:hint="eastAsia" w:hAnsi="宋体"/>
                <w:color w:val="auto"/>
                <w:kern w:val="2"/>
                <w:sz w:val="21"/>
                <w:highlight w:val="none"/>
              </w:rPr>
            </w:pPr>
            <w:r>
              <w:rPr>
                <w:rFonts w:hint="eastAsia" w:hAnsi="宋体"/>
                <w:color w:val="auto"/>
                <w:kern w:val="2"/>
                <w:sz w:val="21"/>
                <w:highlight w:val="none"/>
              </w:rPr>
              <w:t>支持本国产品</w:t>
            </w:r>
          </w:p>
          <w:p w14:paraId="3B86AAB3">
            <w:pPr>
              <w:pStyle w:val="23"/>
              <w:tabs>
                <w:tab w:val="left" w:pos="312"/>
              </w:tabs>
              <w:adjustRightInd w:val="0"/>
              <w:spacing w:line="360" w:lineRule="exact"/>
              <w:rPr>
                <w:rFonts w:hint="eastAsia" w:hAnsi="宋体"/>
                <w:color w:val="auto"/>
                <w:kern w:val="2"/>
                <w:sz w:val="21"/>
                <w:highlight w:val="none"/>
              </w:rPr>
            </w:pPr>
            <w:r>
              <w:rPr>
                <w:rFonts w:hint="eastAsia" w:hAnsi="宋体"/>
                <w:color w:val="auto"/>
                <w:kern w:val="2"/>
                <w:sz w:val="21"/>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4F7396">
            <w:pPr>
              <w:spacing w:line="360" w:lineRule="exact"/>
              <w:jc w:val="left"/>
              <w:rPr>
                <w:rFonts w:hint="eastAsia" w:ascii="宋体" w:hAnsi="宋体" w:cs="宋体"/>
                <w:b/>
                <w:bCs/>
                <w:color w:val="auto"/>
                <w:szCs w:val="21"/>
                <w:highlight w:val="none"/>
              </w:rPr>
            </w:pPr>
            <w:r>
              <w:rPr>
                <w:rFonts w:ascii="宋体" w:hAnsi="宋体"/>
                <w:color w:val="auto"/>
                <w:szCs w:val="21"/>
                <w:highlight w:val="none"/>
              </w:rPr>
              <w:t>☑</w:t>
            </w:r>
            <w:r>
              <w:rPr>
                <w:rFonts w:hint="eastAsia" w:ascii="宋体" w:hAnsi="宋体"/>
                <w:color w:val="auto"/>
                <w:szCs w:val="21"/>
                <w:highlight w:val="none"/>
              </w:rPr>
              <w:t>不适用</w:t>
            </w:r>
          </w:p>
        </w:tc>
      </w:tr>
    </w:tbl>
    <w:p w14:paraId="62028E4A">
      <w:pPr>
        <w:jc w:val="center"/>
        <w:outlineLvl w:val="1"/>
        <w:rPr>
          <w:color w:val="auto"/>
          <w:highlight w:val="none"/>
        </w:rPr>
      </w:pPr>
      <w:r>
        <w:rPr>
          <w:color w:val="auto"/>
          <w:highlight w:val="none"/>
        </w:rPr>
        <w:br w:type="page"/>
      </w:r>
      <w:r>
        <w:rPr>
          <w:rFonts w:hint="eastAsia"/>
          <w:color w:val="auto"/>
          <w:sz w:val="36"/>
          <w:szCs w:val="36"/>
          <w:highlight w:val="none"/>
        </w:rPr>
        <w:t>投标人须知正文</w:t>
      </w:r>
    </w:p>
    <w:p w14:paraId="171992B7">
      <w:pPr>
        <w:pStyle w:val="4"/>
        <w:keepNext w:val="0"/>
        <w:keepLines w:val="0"/>
        <w:jc w:val="center"/>
        <w:rPr>
          <w:color w:val="auto"/>
          <w:highlight w:val="none"/>
        </w:rPr>
      </w:pPr>
      <w:r>
        <w:rPr>
          <w:rFonts w:hint="eastAsia"/>
          <w:color w:val="auto"/>
          <w:highlight w:val="none"/>
        </w:rPr>
        <w:t>一、总  则</w:t>
      </w:r>
    </w:p>
    <w:p w14:paraId="4B1E2430">
      <w:pPr>
        <w:pStyle w:val="5"/>
        <w:keepNext w:val="0"/>
        <w:keepLines w:val="0"/>
        <w:spacing w:before="0" w:after="0" w:line="360" w:lineRule="auto"/>
        <w:ind w:left="420" w:leftChars="200"/>
        <w:rPr>
          <w:rFonts w:hint="eastAsia" w:ascii="黑体" w:hAnsi="黑体"/>
          <w:color w:val="auto"/>
          <w:sz w:val="24"/>
          <w:highlight w:val="none"/>
        </w:rPr>
      </w:pPr>
      <w:bookmarkStart w:id="101" w:name="_Toc254970527"/>
      <w:bookmarkStart w:id="102" w:name="_Toc254970668"/>
      <w:r>
        <w:rPr>
          <w:rFonts w:hint="eastAsia" w:ascii="黑体" w:hAnsi="黑体"/>
          <w:color w:val="auto"/>
          <w:sz w:val="24"/>
          <w:highlight w:val="none"/>
        </w:rPr>
        <w:t>1.适用范围</w:t>
      </w:r>
      <w:bookmarkEnd w:id="101"/>
      <w:bookmarkEnd w:id="102"/>
    </w:p>
    <w:p w14:paraId="5E5F17A2">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11A85A9">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18655C5">
      <w:pPr>
        <w:pStyle w:val="5"/>
        <w:keepNext w:val="0"/>
        <w:keepLines w:val="0"/>
        <w:spacing w:before="0" w:after="0" w:line="360" w:lineRule="auto"/>
        <w:ind w:left="420" w:leftChars="200"/>
        <w:rPr>
          <w:rFonts w:hint="eastAsia" w:ascii="黑体" w:hAnsi="黑体"/>
          <w:color w:val="auto"/>
          <w:sz w:val="24"/>
          <w:highlight w:val="none"/>
        </w:rPr>
      </w:pPr>
      <w:bookmarkStart w:id="103" w:name="_Toc254970669"/>
      <w:bookmarkStart w:id="104" w:name="_Toc254970528"/>
      <w:r>
        <w:rPr>
          <w:rFonts w:hint="eastAsia" w:ascii="黑体" w:hAnsi="黑体"/>
          <w:color w:val="auto"/>
          <w:sz w:val="24"/>
          <w:highlight w:val="none"/>
        </w:rPr>
        <w:t>2.定义</w:t>
      </w:r>
      <w:bookmarkEnd w:id="103"/>
      <w:bookmarkEnd w:id="104"/>
    </w:p>
    <w:p w14:paraId="49955B4E">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2.1“采购人”是指依法进行政府采购的国家机关、事业单位、团体组织。</w:t>
      </w:r>
    </w:p>
    <w:p w14:paraId="01DCA491">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2.2“采购代理机构”是指集中采购机构以外、受采购人委托从事政府采购代理业务的社会中介机构。</w:t>
      </w:r>
    </w:p>
    <w:p w14:paraId="08A2115E">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2.3“供应商”是指向采购人提供货物、工程或者服务的法人、其他组织或者自然人。</w:t>
      </w:r>
    </w:p>
    <w:p w14:paraId="4C80E997">
      <w:pPr>
        <w:pStyle w:val="7"/>
        <w:spacing w:line="360" w:lineRule="auto"/>
        <w:rPr>
          <w:rFonts w:hint="eastAsia" w:ascii="宋体" w:hAnsi="宋体"/>
          <w:bCs/>
          <w:color w:val="auto"/>
          <w:szCs w:val="21"/>
          <w:highlight w:val="none"/>
        </w:rPr>
      </w:pPr>
      <w:r>
        <w:rPr>
          <w:rFonts w:hint="eastAsia" w:ascii="宋体" w:hAnsi="宋体"/>
          <w:bCs/>
          <w:color w:val="auto"/>
          <w:szCs w:val="21"/>
          <w:highlight w:val="none"/>
        </w:rPr>
        <w:t>2.4“投标人”是指响应招标、参加投标竞争的法人、非法人组织或者自然人。</w:t>
      </w:r>
    </w:p>
    <w:p w14:paraId="088E174C">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2.5“货物”是指各种形态和种类的物品，包括原材料、燃料、设备、产品等。</w:t>
      </w:r>
    </w:p>
    <w:p w14:paraId="4E2073CF">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2.6“售后服务” 是指商品出售以后所提供的各种服务，包含但不限于投标人须承担的备品备件、包装、运输、装卸、保险、货到就位以及安装、调试、培训、保修以及其他各种服务。</w:t>
      </w:r>
    </w:p>
    <w:p w14:paraId="4E07A4B0">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2.7“书面形式”是指合同书、信件和数据电文（包括电报、电传、传真、电子数据交换和电子邮件）等可以有形地表现所载内容的形式。</w:t>
      </w:r>
    </w:p>
    <w:p w14:paraId="1645E1A3">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2.8“实质性要求”是指招标文件中已经指明不满足则投标无效的条款，或者不能负偏离的条款，或者采购需求中带“▲”的条款。</w:t>
      </w:r>
    </w:p>
    <w:p w14:paraId="11EDDAB2">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bCs/>
          <w:color w:val="auto"/>
          <w:szCs w:val="21"/>
          <w:highlight w:val="none"/>
        </w:rPr>
        <w:t xml:space="preserve">2.9 </w:t>
      </w:r>
      <w:r>
        <w:rPr>
          <w:rFonts w:hint="eastAsia" w:ascii="宋体" w:hAnsi="宋体" w:cs="宋体"/>
          <w:bCs/>
          <w:color w:val="auto"/>
          <w:szCs w:val="21"/>
          <w:highlight w:val="none"/>
        </w:rPr>
        <w:t>“正偏离”，是指投标文件对招标文件“采购需求”中有关条款作出的响应优于条款要求并有利于采购人的情形。</w:t>
      </w:r>
    </w:p>
    <w:p w14:paraId="6CEBA625">
      <w:pPr>
        <w:snapToGrid w:val="0"/>
        <w:spacing w:line="360" w:lineRule="auto"/>
        <w:ind w:firstLine="420" w:firstLineChars="200"/>
        <w:jc w:val="left"/>
        <w:rPr>
          <w:rFonts w:hint="eastAsia" w:ascii="宋体" w:hAnsi="宋体" w:cs="宋体"/>
          <w:bCs/>
          <w:color w:val="auto"/>
          <w:szCs w:val="21"/>
          <w:highlight w:val="none"/>
        </w:rPr>
      </w:pPr>
      <w:r>
        <w:rPr>
          <w:rFonts w:ascii="宋体" w:hAnsi="宋体" w:cs="宋体"/>
          <w:bCs/>
          <w:color w:val="auto"/>
          <w:szCs w:val="21"/>
          <w:highlight w:val="none"/>
        </w:rPr>
        <w:t>2.10</w:t>
      </w:r>
      <w:r>
        <w:rPr>
          <w:rFonts w:hint="eastAsia" w:ascii="宋体" w:hAnsi="宋体" w:cs="宋体"/>
          <w:bCs/>
          <w:color w:val="auto"/>
          <w:szCs w:val="21"/>
          <w:highlight w:val="none"/>
        </w:rPr>
        <w:t>“负偏离”，是指投标文件对招标文件“采购需求”中有关条款作出的响应不满足条款要求，导致采购人要求不能得到满足的情形。</w:t>
      </w:r>
    </w:p>
    <w:p w14:paraId="2751BE39">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bCs/>
          <w:color w:val="auto"/>
          <w:szCs w:val="21"/>
          <w:highlight w:val="none"/>
        </w:rPr>
        <w:t>2.1</w:t>
      </w:r>
      <w:r>
        <w:rPr>
          <w:rFonts w:ascii="宋体" w:hAnsi="宋体"/>
          <w:bCs/>
          <w:color w:val="auto"/>
          <w:szCs w:val="21"/>
          <w:highlight w:val="none"/>
        </w:rPr>
        <w:t>1</w:t>
      </w:r>
      <w:r>
        <w:rPr>
          <w:rFonts w:hint="eastAsia" w:ascii="宋体" w:hAnsi="宋体" w:cs="宋体"/>
          <w:bCs/>
          <w:color w:val="auto"/>
          <w:szCs w:val="21"/>
          <w:highlight w:val="none"/>
        </w:rPr>
        <w:t>“允许负偏离的条款”是指采购需求中的不属于“实质性要求”的条款。</w:t>
      </w:r>
      <w:bookmarkStart w:id="105" w:name="_Toc254970670"/>
      <w:bookmarkStart w:id="106" w:name="_Toc254970529"/>
    </w:p>
    <w:p w14:paraId="05FB5006">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3.</w:t>
      </w:r>
      <w:bookmarkEnd w:id="105"/>
      <w:bookmarkEnd w:id="106"/>
      <w:r>
        <w:rPr>
          <w:rFonts w:hint="eastAsia" w:ascii="黑体" w:hAnsi="黑体"/>
          <w:color w:val="auto"/>
          <w:sz w:val="24"/>
          <w:highlight w:val="none"/>
        </w:rPr>
        <w:t>投标人的资格要求</w:t>
      </w:r>
    </w:p>
    <w:p w14:paraId="1539BC51">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62FA2380">
      <w:pPr>
        <w:pStyle w:val="5"/>
        <w:keepNext w:val="0"/>
        <w:keepLines w:val="0"/>
        <w:spacing w:before="0" w:after="0" w:line="360" w:lineRule="auto"/>
        <w:ind w:left="420" w:leftChars="200"/>
        <w:rPr>
          <w:rFonts w:hint="eastAsia" w:ascii="黑体" w:hAnsi="黑体"/>
          <w:color w:val="auto"/>
          <w:sz w:val="24"/>
          <w:highlight w:val="none"/>
        </w:rPr>
      </w:pPr>
      <w:bookmarkStart w:id="107" w:name="_Toc254970671"/>
      <w:bookmarkStart w:id="108" w:name="_Toc254970530"/>
      <w:r>
        <w:rPr>
          <w:rFonts w:hint="eastAsia" w:ascii="黑体" w:hAnsi="黑体"/>
          <w:color w:val="auto"/>
          <w:sz w:val="24"/>
          <w:highlight w:val="none"/>
        </w:rPr>
        <w:t>4.投标委托</w:t>
      </w:r>
      <w:bookmarkEnd w:id="107"/>
      <w:bookmarkEnd w:id="108"/>
    </w:p>
    <w:p w14:paraId="3130C88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378ACE5F">
      <w:pPr>
        <w:pStyle w:val="5"/>
        <w:keepNext w:val="0"/>
        <w:keepLines w:val="0"/>
        <w:spacing w:before="0" w:after="0" w:line="360" w:lineRule="auto"/>
        <w:ind w:left="420" w:leftChars="200"/>
        <w:rPr>
          <w:rFonts w:hint="eastAsia" w:ascii="黑体" w:hAnsi="黑体"/>
          <w:color w:val="auto"/>
          <w:sz w:val="24"/>
          <w:highlight w:val="none"/>
        </w:rPr>
      </w:pPr>
      <w:bookmarkStart w:id="109" w:name="_5.投标费用"/>
      <w:bookmarkEnd w:id="109"/>
      <w:bookmarkStart w:id="110" w:name="_Toc254970531"/>
      <w:bookmarkStart w:id="111" w:name="_Toc254970672"/>
      <w:r>
        <w:rPr>
          <w:rFonts w:hint="eastAsia" w:ascii="黑体" w:hAnsi="黑体"/>
          <w:color w:val="auto"/>
          <w:sz w:val="24"/>
          <w:highlight w:val="none"/>
        </w:rPr>
        <w:t>5.投标费用</w:t>
      </w:r>
      <w:bookmarkEnd w:id="110"/>
      <w:bookmarkEnd w:id="111"/>
    </w:p>
    <w:p w14:paraId="631BE3BB">
      <w:pPr>
        <w:snapToGrid w:val="0"/>
        <w:spacing w:line="360"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3FFC793D">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6.联合体投标</w:t>
      </w:r>
    </w:p>
    <w:p w14:paraId="53C4001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2145220B">
      <w:pPr>
        <w:snapToGrid w:val="0"/>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7437BABD">
      <w:pPr>
        <w:snapToGrid w:val="0"/>
        <w:spacing w:line="360" w:lineRule="auto"/>
        <w:ind w:firstLine="420" w:firstLineChars="200"/>
        <w:jc w:val="left"/>
        <w:rPr>
          <w:rFonts w:hint="eastAsia" w:ascii="宋体" w:hAnsi="宋体"/>
          <w:color w:val="auto"/>
          <w:szCs w:val="21"/>
          <w:highlight w:val="none"/>
        </w:rPr>
      </w:pPr>
      <w:r>
        <w:rPr>
          <w:rFonts w:hint="eastAsia" w:ascii="宋体" w:hAnsi="宋体"/>
          <w:bCs/>
          <w:color w:val="auto"/>
          <w:szCs w:val="21"/>
          <w:highlight w:val="none"/>
        </w:rPr>
        <w:t>6.3根据《政府采购促进中小企业发展管理办法》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4%-6%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1903CE16">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7.转包与分包</w:t>
      </w:r>
    </w:p>
    <w:p w14:paraId="4205EB59">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7.1本项目不允许转包。</w:t>
      </w:r>
    </w:p>
    <w:p w14:paraId="78228880">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FDB882A">
      <w:pPr>
        <w:pStyle w:val="5"/>
        <w:keepNext w:val="0"/>
        <w:keepLines w:val="0"/>
        <w:spacing w:before="0" w:after="0" w:line="360" w:lineRule="auto"/>
        <w:ind w:left="420" w:leftChars="200"/>
        <w:rPr>
          <w:rFonts w:hint="eastAsia" w:ascii="黑体" w:hAnsi="黑体"/>
          <w:color w:val="auto"/>
          <w:sz w:val="24"/>
          <w:highlight w:val="none"/>
        </w:rPr>
      </w:pPr>
      <w:bookmarkStart w:id="112" w:name="_Toc254970532"/>
      <w:bookmarkStart w:id="113" w:name="_Toc254970673"/>
      <w:r>
        <w:rPr>
          <w:rFonts w:hint="eastAsia" w:ascii="黑体" w:hAnsi="黑体"/>
          <w:color w:val="auto"/>
          <w:sz w:val="24"/>
          <w:highlight w:val="none"/>
        </w:rPr>
        <w:t>8.特别说明：</w:t>
      </w:r>
      <w:bookmarkEnd w:id="112"/>
      <w:bookmarkEnd w:id="113"/>
    </w:p>
    <w:p w14:paraId="0403A23B">
      <w:pPr>
        <w:pStyle w:val="6"/>
        <w:keepNext w:val="0"/>
        <w:keepLines w:val="0"/>
        <w:spacing w:before="0" w:after="0" w:line="360" w:lineRule="auto"/>
        <w:ind w:firstLine="369" w:firstLineChars="175"/>
        <w:rPr>
          <w:rFonts w:hint="eastAsia" w:ascii="宋体" w:hAnsi="宋体"/>
          <w:color w:val="auto"/>
          <w:sz w:val="21"/>
          <w:szCs w:val="21"/>
          <w:highlight w:val="none"/>
        </w:rPr>
      </w:pPr>
      <w:bookmarkStart w:id="114" w:name="_8.1提供相同品牌产品且通过资格审查、符合性审查的不同投标人参加同一合"/>
      <w:bookmarkEnd w:id="114"/>
      <w:r>
        <w:rPr>
          <w:rFonts w:ascii="宋体" w:hAnsi="宋体"/>
          <w:color w:val="auto"/>
          <w:sz w:val="21"/>
          <w:szCs w:val="21"/>
          <w:highlight w:val="none"/>
        </w:rPr>
        <w:fldChar w:fldCharType="begin"/>
      </w:r>
      <w:r>
        <w:rPr>
          <w:rFonts w:ascii="宋体" w:hAnsi="宋体"/>
          <w:color w:val="auto"/>
          <w:sz w:val="21"/>
          <w:szCs w:val="21"/>
          <w:highlight w:val="none"/>
        </w:rPr>
        <w:instrText xml:space="preserve"> HYPERLINK  \l "_8.1" </w:instrText>
      </w:r>
      <w:r>
        <w:rPr>
          <w:rFonts w:ascii="宋体" w:hAnsi="宋体"/>
          <w:color w:val="auto"/>
          <w:sz w:val="21"/>
          <w:szCs w:val="21"/>
          <w:highlight w:val="none"/>
        </w:rPr>
        <w:fldChar w:fldCharType="separate"/>
      </w:r>
      <w:r>
        <w:rPr>
          <w:rFonts w:hint="eastAsia" w:ascii="宋体" w:hAnsi="宋体"/>
          <w:color w:val="auto"/>
          <w:sz w:val="21"/>
          <w:szCs w:val="21"/>
          <w:highlight w:val="none"/>
        </w:rPr>
        <w:t>8.1</w:t>
      </w:r>
      <w:r>
        <w:rPr>
          <w:rFonts w:ascii="宋体" w:hAnsi="宋体"/>
          <w:color w:val="auto"/>
          <w:sz w:val="21"/>
          <w:szCs w:val="21"/>
          <w:highlight w:val="none"/>
        </w:rPr>
        <w:fldChar w:fldCharType="end"/>
      </w:r>
      <w:r>
        <w:rPr>
          <w:rFonts w:hint="eastAsia" w:ascii="宋体" w:hAnsi="宋体"/>
          <w:color w:val="auto"/>
          <w:sz w:val="21"/>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A736549">
      <w:pPr>
        <w:pStyle w:val="23"/>
        <w:snapToGrid w:val="0"/>
        <w:spacing w:line="360" w:lineRule="auto"/>
        <w:ind w:left="2" w:leftChars="1" w:firstLine="422" w:firstLineChars="200"/>
        <w:rPr>
          <w:rFonts w:hint="eastAsia" w:hAnsi="宋体"/>
          <w:b/>
          <w:color w:val="auto"/>
          <w:kern w:val="2"/>
          <w:sz w:val="21"/>
          <w:highlight w:val="none"/>
        </w:rPr>
      </w:pPr>
      <w:r>
        <w:rPr>
          <w:rFonts w:hint="eastAsia" w:hAnsi="宋体"/>
          <w:b/>
          <w:color w:val="auto"/>
          <w:kern w:val="2"/>
          <w:sz w:val="21"/>
          <w:highlight w:val="none"/>
        </w:rPr>
        <w:t>非单一产品采购项目，多家投标人提供的核心产品品牌相同的，按前款规定处理。</w:t>
      </w:r>
    </w:p>
    <w:p w14:paraId="58016FAB">
      <w:pPr>
        <w:pStyle w:val="6"/>
        <w:keepNext w:val="0"/>
        <w:keepLines w:val="0"/>
        <w:spacing w:before="0" w:after="0" w:line="360" w:lineRule="auto"/>
        <w:ind w:firstLine="369" w:firstLineChars="175"/>
        <w:rPr>
          <w:rFonts w:hint="eastAsia" w:ascii="宋体" w:hAnsi="宋体"/>
          <w:color w:val="auto"/>
          <w:sz w:val="21"/>
          <w:szCs w:val="21"/>
          <w:highlight w:val="none"/>
        </w:rPr>
      </w:pPr>
      <w:r>
        <w:rPr>
          <w:rFonts w:hint="eastAsia" w:ascii="宋体" w:hAnsi="宋体"/>
          <w:color w:val="auto"/>
          <w:sz w:val="21"/>
          <w:szCs w:val="21"/>
          <w:highlight w:val="none"/>
        </w:rPr>
        <w:t>8.2如果本招标文件要求投标人提供资格、信誉、荣誉、业绩与企业认证等材料的，则投标人所提供的以上材料必须为投标人所拥有。</w:t>
      </w:r>
    </w:p>
    <w:p w14:paraId="4A25DE45">
      <w:pPr>
        <w:pStyle w:val="6"/>
        <w:keepNext w:val="0"/>
        <w:keepLines w:val="0"/>
        <w:spacing w:before="0" w:after="0" w:line="360" w:lineRule="auto"/>
        <w:ind w:firstLine="369" w:firstLineChars="175"/>
        <w:rPr>
          <w:rFonts w:hint="eastAsia" w:ascii="宋体" w:hAnsi="宋体"/>
          <w:color w:val="auto"/>
          <w:sz w:val="21"/>
          <w:szCs w:val="21"/>
          <w:highlight w:val="none"/>
        </w:rPr>
      </w:pPr>
      <w:r>
        <w:rPr>
          <w:rFonts w:hint="eastAsia" w:ascii="宋体" w:hAnsi="宋体"/>
          <w:color w:val="auto"/>
          <w:sz w:val="21"/>
          <w:szCs w:val="21"/>
          <w:highlight w:val="none"/>
        </w:rPr>
        <w:t>8.3投标人应仔细阅读招标文件的所有内容，按照招标文件的要求提交投标文件，并对所提供的全部资料的真实性承担法律责任。</w:t>
      </w:r>
    </w:p>
    <w:p w14:paraId="29CCCD2B">
      <w:pPr>
        <w:pStyle w:val="6"/>
        <w:keepNext w:val="0"/>
        <w:keepLines w:val="0"/>
        <w:spacing w:before="0" w:after="0" w:line="360" w:lineRule="auto"/>
        <w:ind w:firstLine="369" w:firstLineChars="175"/>
        <w:rPr>
          <w:rFonts w:hint="eastAsia" w:ascii="宋体" w:hAnsi="宋体"/>
          <w:color w:val="auto"/>
          <w:sz w:val="21"/>
          <w:szCs w:val="21"/>
          <w:highlight w:val="none"/>
        </w:rPr>
      </w:pPr>
      <w:r>
        <w:rPr>
          <w:rFonts w:hint="eastAsia" w:ascii="宋体" w:hAnsi="宋体"/>
          <w:color w:val="auto"/>
          <w:sz w:val="21"/>
          <w:szCs w:val="21"/>
          <w:highlight w:val="none"/>
        </w:rPr>
        <w:t>8.4投标人在投标活动中提供任何虚假材料，将报监管部门查处；中标后发现的，中标人须依照《中华人民共和国消费者权益保护法》规定赔偿采购人，且民事赔偿并不免除违法投标人的行政与刑事责任。</w:t>
      </w:r>
    </w:p>
    <w:p w14:paraId="30E7A4C4">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9.回避与串通投标</w:t>
      </w:r>
    </w:p>
    <w:p w14:paraId="41A8CB3E">
      <w:pPr>
        <w:spacing w:line="360" w:lineRule="auto"/>
        <w:ind w:firstLine="369" w:firstLineChars="175"/>
        <w:rPr>
          <w:rFonts w:hint="eastAsia" w:ascii="宋体" w:hAnsi="宋体"/>
          <w:b/>
          <w:bCs/>
          <w:color w:val="auto"/>
          <w:szCs w:val="21"/>
          <w:highlight w:val="none"/>
        </w:rPr>
      </w:pPr>
      <w:r>
        <w:rPr>
          <w:rFonts w:hint="eastAsia" w:ascii="宋体" w:hAnsi="宋体"/>
          <w:b/>
          <w:bCs/>
          <w:color w:val="auto"/>
          <w:szCs w:val="21"/>
          <w:highlight w:val="none"/>
        </w:rPr>
        <w:t>9</w:t>
      </w:r>
      <w:r>
        <w:rPr>
          <w:rFonts w:ascii="宋体" w:hAnsi="宋体"/>
          <w:b/>
          <w:bCs/>
          <w:color w:val="auto"/>
          <w:szCs w:val="21"/>
          <w:highlight w:val="none"/>
        </w:rPr>
        <w:t>.1在政府采购活动中，采购人员及相关人员与</w:t>
      </w:r>
      <w:r>
        <w:rPr>
          <w:rFonts w:hint="eastAsia" w:ascii="宋体" w:hAnsi="宋体"/>
          <w:b/>
          <w:bCs/>
          <w:color w:val="auto"/>
          <w:szCs w:val="21"/>
          <w:highlight w:val="none"/>
        </w:rPr>
        <w:t>供应商</w:t>
      </w:r>
      <w:r>
        <w:rPr>
          <w:rFonts w:ascii="宋体" w:hAnsi="宋体"/>
          <w:b/>
          <w:bCs/>
          <w:color w:val="auto"/>
          <w:szCs w:val="21"/>
          <w:highlight w:val="none"/>
        </w:rPr>
        <w:t>有下列利害关系之一的，应当回避：</w:t>
      </w:r>
    </w:p>
    <w:p w14:paraId="0389F3C7">
      <w:pPr>
        <w:pStyle w:val="23"/>
        <w:snapToGrid w:val="0"/>
        <w:spacing w:line="360" w:lineRule="auto"/>
        <w:ind w:left="2" w:leftChars="1" w:firstLine="422" w:firstLineChars="200"/>
        <w:rPr>
          <w:rFonts w:hint="eastAsia" w:hAnsi="宋体"/>
          <w:b/>
          <w:bCs/>
          <w:color w:val="auto"/>
          <w:kern w:val="2"/>
          <w:sz w:val="21"/>
          <w:highlight w:val="none"/>
        </w:rPr>
      </w:pPr>
      <w:r>
        <w:rPr>
          <w:rFonts w:hAnsi="宋体"/>
          <w:b/>
          <w:bCs/>
          <w:color w:val="auto"/>
          <w:kern w:val="2"/>
          <w:sz w:val="21"/>
          <w:highlight w:val="none"/>
        </w:rPr>
        <w:t>（</w:t>
      </w:r>
      <w:r>
        <w:rPr>
          <w:rFonts w:hint="eastAsia" w:hAnsi="宋体"/>
          <w:b/>
          <w:bCs/>
          <w:color w:val="auto"/>
          <w:kern w:val="2"/>
          <w:sz w:val="21"/>
          <w:highlight w:val="none"/>
        </w:rPr>
        <w:t>1</w:t>
      </w:r>
      <w:r>
        <w:rPr>
          <w:rFonts w:hAnsi="宋体"/>
          <w:b/>
          <w:bCs/>
          <w:color w:val="auto"/>
          <w:kern w:val="2"/>
          <w:sz w:val="21"/>
          <w:highlight w:val="none"/>
        </w:rPr>
        <w:t>）参加采购活动前3年内与</w:t>
      </w:r>
      <w:r>
        <w:rPr>
          <w:rFonts w:hint="eastAsia" w:hAnsi="宋体"/>
          <w:b/>
          <w:bCs/>
          <w:color w:val="auto"/>
          <w:kern w:val="2"/>
          <w:sz w:val="21"/>
          <w:highlight w:val="none"/>
        </w:rPr>
        <w:t>供应商</w:t>
      </w:r>
      <w:r>
        <w:rPr>
          <w:rFonts w:hAnsi="宋体"/>
          <w:b/>
          <w:bCs/>
          <w:color w:val="auto"/>
          <w:kern w:val="2"/>
          <w:sz w:val="21"/>
          <w:highlight w:val="none"/>
        </w:rPr>
        <w:t>存在劳动关系；</w:t>
      </w:r>
    </w:p>
    <w:p w14:paraId="5E59BC22">
      <w:pPr>
        <w:pStyle w:val="23"/>
        <w:snapToGrid w:val="0"/>
        <w:spacing w:line="360" w:lineRule="auto"/>
        <w:ind w:left="2" w:leftChars="1" w:firstLine="422" w:firstLineChars="200"/>
        <w:rPr>
          <w:rFonts w:hint="eastAsia" w:hAnsi="宋体"/>
          <w:b/>
          <w:bCs/>
          <w:color w:val="auto"/>
          <w:kern w:val="2"/>
          <w:sz w:val="21"/>
          <w:highlight w:val="none"/>
        </w:rPr>
      </w:pPr>
      <w:r>
        <w:rPr>
          <w:rFonts w:hAnsi="宋体"/>
          <w:b/>
          <w:bCs/>
          <w:color w:val="auto"/>
          <w:kern w:val="2"/>
          <w:sz w:val="21"/>
          <w:highlight w:val="none"/>
        </w:rPr>
        <w:t>（</w:t>
      </w:r>
      <w:r>
        <w:rPr>
          <w:rFonts w:hint="eastAsia" w:hAnsi="宋体"/>
          <w:b/>
          <w:bCs/>
          <w:color w:val="auto"/>
          <w:kern w:val="2"/>
          <w:sz w:val="21"/>
          <w:highlight w:val="none"/>
        </w:rPr>
        <w:t>2</w:t>
      </w:r>
      <w:r>
        <w:rPr>
          <w:rFonts w:hAnsi="宋体"/>
          <w:b/>
          <w:bCs/>
          <w:color w:val="auto"/>
          <w:kern w:val="2"/>
          <w:sz w:val="21"/>
          <w:highlight w:val="none"/>
        </w:rPr>
        <w:t>）参加采购活动前3年内担任</w:t>
      </w:r>
      <w:r>
        <w:rPr>
          <w:rFonts w:hint="eastAsia" w:hAnsi="宋体"/>
          <w:b/>
          <w:bCs/>
          <w:color w:val="auto"/>
          <w:kern w:val="2"/>
          <w:sz w:val="21"/>
          <w:highlight w:val="none"/>
        </w:rPr>
        <w:t>供应商</w:t>
      </w:r>
      <w:r>
        <w:rPr>
          <w:rFonts w:hAnsi="宋体"/>
          <w:b/>
          <w:bCs/>
          <w:color w:val="auto"/>
          <w:kern w:val="2"/>
          <w:sz w:val="21"/>
          <w:highlight w:val="none"/>
        </w:rPr>
        <w:t>的董事、监事；</w:t>
      </w:r>
    </w:p>
    <w:p w14:paraId="33934FF3">
      <w:pPr>
        <w:pStyle w:val="23"/>
        <w:snapToGrid w:val="0"/>
        <w:spacing w:line="360" w:lineRule="auto"/>
        <w:ind w:left="2" w:leftChars="1" w:firstLine="422" w:firstLineChars="200"/>
        <w:rPr>
          <w:rFonts w:hint="eastAsia" w:hAnsi="宋体"/>
          <w:b/>
          <w:bCs/>
          <w:color w:val="auto"/>
          <w:kern w:val="2"/>
          <w:sz w:val="21"/>
          <w:highlight w:val="none"/>
        </w:rPr>
      </w:pPr>
      <w:r>
        <w:rPr>
          <w:rFonts w:hAnsi="宋体"/>
          <w:b/>
          <w:bCs/>
          <w:color w:val="auto"/>
          <w:kern w:val="2"/>
          <w:sz w:val="21"/>
          <w:highlight w:val="none"/>
        </w:rPr>
        <w:t>（</w:t>
      </w:r>
      <w:r>
        <w:rPr>
          <w:rFonts w:hint="eastAsia" w:hAnsi="宋体"/>
          <w:b/>
          <w:bCs/>
          <w:color w:val="auto"/>
          <w:kern w:val="2"/>
          <w:sz w:val="21"/>
          <w:highlight w:val="none"/>
        </w:rPr>
        <w:t>3</w:t>
      </w:r>
      <w:r>
        <w:rPr>
          <w:rFonts w:hAnsi="宋体"/>
          <w:b/>
          <w:bCs/>
          <w:color w:val="auto"/>
          <w:kern w:val="2"/>
          <w:sz w:val="21"/>
          <w:highlight w:val="none"/>
        </w:rPr>
        <w:t>）参加采购活动前3年内是</w:t>
      </w:r>
      <w:r>
        <w:rPr>
          <w:rFonts w:hint="eastAsia" w:hAnsi="宋体"/>
          <w:b/>
          <w:bCs/>
          <w:color w:val="auto"/>
          <w:kern w:val="2"/>
          <w:sz w:val="21"/>
          <w:highlight w:val="none"/>
        </w:rPr>
        <w:t>供应商</w:t>
      </w:r>
      <w:r>
        <w:rPr>
          <w:rFonts w:hAnsi="宋体"/>
          <w:b/>
          <w:bCs/>
          <w:color w:val="auto"/>
          <w:kern w:val="2"/>
          <w:sz w:val="21"/>
          <w:highlight w:val="none"/>
        </w:rPr>
        <w:t>的控股股东或者实际控制人；</w:t>
      </w:r>
    </w:p>
    <w:p w14:paraId="356EF0D3">
      <w:pPr>
        <w:pStyle w:val="23"/>
        <w:snapToGrid w:val="0"/>
        <w:spacing w:line="360" w:lineRule="auto"/>
        <w:ind w:left="2" w:leftChars="1" w:firstLine="422" w:firstLineChars="200"/>
        <w:rPr>
          <w:rFonts w:hint="eastAsia" w:hAnsi="宋体"/>
          <w:b/>
          <w:bCs/>
          <w:color w:val="auto"/>
          <w:kern w:val="2"/>
          <w:sz w:val="21"/>
          <w:highlight w:val="none"/>
        </w:rPr>
      </w:pPr>
      <w:r>
        <w:rPr>
          <w:rFonts w:hAnsi="宋体"/>
          <w:b/>
          <w:bCs/>
          <w:color w:val="auto"/>
          <w:kern w:val="2"/>
          <w:sz w:val="21"/>
          <w:highlight w:val="none"/>
        </w:rPr>
        <w:t>（</w:t>
      </w:r>
      <w:r>
        <w:rPr>
          <w:rFonts w:hint="eastAsia" w:hAnsi="宋体"/>
          <w:b/>
          <w:bCs/>
          <w:color w:val="auto"/>
          <w:kern w:val="2"/>
          <w:sz w:val="21"/>
          <w:highlight w:val="none"/>
        </w:rPr>
        <w:t>4</w:t>
      </w:r>
      <w:r>
        <w:rPr>
          <w:rFonts w:hAnsi="宋体"/>
          <w:b/>
          <w:bCs/>
          <w:color w:val="auto"/>
          <w:kern w:val="2"/>
          <w:sz w:val="21"/>
          <w:highlight w:val="none"/>
        </w:rPr>
        <w:t>）与</w:t>
      </w:r>
      <w:r>
        <w:rPr>
          <w:rFonts w:hint="eastAsia" w:hAnsi="宋体"/>
          <w:b/>
          <w:bCs/>
          <w:color w:val="auto"/>
          <w:kern w:val="2"/>
          <w:sz w:val="21"/>
          <w:highlight w:val="none"/>
        </w:rPr>
        <w:t>供应商</w:t>
      </w:r>
      <w:r>
        <w:rPr>
          <w:rFonts w:hAnsi="宋体"/>
          <w:b/>
          <w:bCs/>
          <w:color w:val="auto"/>
          <w:kern w:val="2"/>
          <w:sz w:val="21"/>
          <w:highlight w:val="none"/>
        </w:rPr>
        <w:t>的法定代表人或者负责人有夫妻、直系血亲、三代以内旁系血亲或者近姻亲关系；</w:t>
      </w:r>
    </w:p>
    <w:p w14:paraId="7C19966E">
      <w:pPr>
        <w:pStyle w:val="23"/>
        <w:snapToGrid w:val="0"/>
        <w:spacing w:line="360" w:lineRule="auto"/>
        <w:ind w:left="2" w:leftChars="1" w:firstLine="422" w:firstLineChars="200"/>
        <w:rPr>
          <w:rFonts w:hint="eastAsia" w:hAnsi="宋体"/>
          <w:b/>
          <w:bCs/>
          <w:color w:val="auto"/>
          <w:kern w:val="2"/>
          <w:sz w:val="21"/>
          <w:highlight w:val="none"/>
        </w:rPr>
      </w:pPr>
      <w:r>
        <w:rPr>
          <w:rFonts w:hAnsi="宋体"/>
          <w:b/>
          <w:bCs/>
          <w:color w:val="auto"/>
          <w:kern w:val="2"/>
          <w:sz w:val="21"/>
          <w:highlight w:val="none"/>
        </w:rPr>
        <w:t>（</w:t>
      </w:r>
      <w:r>
        <w:rPr>
          <w:rFonts w:hint="eastAsia" w:hAnsi="宋体"/>
          <w:b/>
          <w:bCs/>
          <w:color w:val="auto"/>
          <w:kern w:val="2"/>
          <w:sz w:val="21"/>
          <w:highlight w:val="none"/>
        </w:rPr>
        <w:t>5</w:t>
      </w:r>
      <w:r>
        <w:rPr>
          <w:rFonts w:hAnsi="宋体"/>
          <w:b/>
          <w:bCs/>
          <w:color w:val="auto"/>
          <w:kern w:val="2"/>
          <w:sz w:val="21"/>
          <w:highlight w:val="none"/>
        </w:rPr>
        <w:t>）与</w:t>
      </w:r>
      <w:r>
        <w:rPr>
          <w:rFonts w:hint="eastAsia" w:hAnsi="宋体"/>
          <w:b/>
          <w:bCs/>
          <w:color w:val="auto"/>
          <w:kern w:val="2"/>
          <w:sz w:val="21"/>
          <w:highlight w:val="none"/>
        </w:rPr>
        <w:t>供应商</w:t>
      </w:r>
      <w:r>
        <w:rPr>
          <w:rFonts w:hAnsi="宋体"/>
          <w:b/>
          <w:bCs/>
          <w:color w:val="auto"/>
          <w:kern w:val="2"/>
          <w:sz w:val="21"/>
          <w:highlight w:val="none"/>
        </w:rPr>
        <w:t>有其他可能影响政府采购活动公平、公正进行的关系。</w:t>
      </w:r>
    </w:p>
    <w:p w14:paraId="7CACFA9C">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供应商</w:t>
      </w:r>
      <w:r>
        <w:rPr>
          <w:rFonts w:hAnsi="宋体"/>
          <w:b/>
          <w:bCs/>
          <w:color w:val="auto"/>
          <w:kern w:val="2"/>
          <w:sz w:val="21"/>
          <w:highlight w:val="none"/>
        </w:rPr>
        <w:t>认为采购人员及相关人员与其他</w:t>
      </w:r>
      <w:r>
        <w:rPr>
          <w:rFonts w:hint="eastAsia" w:hAnsi="宋体"/>
          <w:b/>
          <w:bCs/>
          <w:color w:val="auto"/>
          <w:kern w:val="2"/>
          <w:sz w:val="21"/>
          <w:highlight w:val="none"/>
        </w:rPr>
        <w:t>供应商</w:t>
      </w:r>
      <w:r>
        <w:rPr>
          <w:rFonts w:hAnsi="宋体"/>
          <w:b/>
          <w:bCs/>
          <w:color w:val="auto"/>
          <w:kern w:val="2"/>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13172E3B">
      <w:pPr>
        <w:spacing w:line="360" w:lineRule="auto"/>
        <w:ind w:left="420" w:leftChars="200"/>
        <w:rPr>
          <w:rFonts w:hint="eastAsia" w:ascii="宋体" w:hAnsi="宋体"/>
          <w:b/>
          <w:bCs/>
          <w:color w:val="auto"/>
          <w:szCs w:val="21"/>
          <w:highlight w:val="none"/>
        </w:rPr>
      </w:pPr>
      <w:r>
        <w:rPr>
          <w:rFonts w:ascii="宋体" w:hAnsi="宋体"/>
          <w:b/>
          <w:bCs/>
          <w:color w:val="auto"/>
          <w:szCs w:val="21"/>
          <w:highlight w:val="none"/>
        </w:rPr>
        <w:t>9.2</w:t>
      </w:r>
      <w:r>
        <w:rPr>
          <w:rFonts w:hint="eastAsia" w:ascii="宋体" w:hAnsi="宋体"/>
          <w:b/>
          <w:bCs/>
          <w:color w:val="auto"/>
          <w:szCs w:val="21"/>
          <w:highlight w:val="none"/>
        </w:rPr>
        <w:t>有下列情形之一的视为投标人相互串通投标，投标文件将被视为无效：</w:t>
      </w:r>
    </w:p>
    <w:p w14:paraId="7B555523">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（1）不同投标人的投标文件由同一单位或者个人编制；或者不同投标人报名的IP地址一致的；</w:t>
      </w:r>
    </w:p>
    <w:p w14:paraId="13B01967">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（2）不同投标人委托同一单位或者个人办理投标事宜；</w:t>
      </w:r>
    </w:p>
    <w:p w14:paraId="65CB374B">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（3）不同的投标人的投标文件载明的项目管理员为同一个人；</w:t>
      </w:r>
    </w:p>
    <w:p w14:paraId="40151EE6">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（4）不同投标人的投标文件异常一致或者投标报价呈规律性差异；</w:t>
      </w:r>
    </w:p>
    <w:p w14:paraId="054F318E">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（5）不同投标人的投标文件相互混装；</w:t>
      </w:r>
    </w:p>
    <w:p w14:paraId="4A2CB973">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（6）不同投标人的投标保证金从同一单位或者个人账户转出。</w:t>
      </w:r>
    </w:p>
    <w:p w14:paraId="30D358B4">
      <w:pPr>
        <w:spacing w:line="360" w:lineRule="auto"/>
        <w:ind w:left="420" w:leftChars="200"/>
        <w:rPr>
          <w:rFonts w:hint="eastAsia" w:ascii="宋体" w:hAnsi="宋体"/>
          <w:b/>
          <w:bCs/>
          <w:color w:val="auto"/>
          <w:szCs w:val="21"/>
          <w:highlight w:val="none"/>
        </w:rPr>
      </w:pPr>
      <w:r>
        <w:rPr>
          <w:rFonts w:ascii="宋体" w:hAnsi="宋体"/>
          <w:b/>
          <w:bCs/>
          <w:color w:val="auto"/>
          <w:szCs w:val="21"/>
          <w:highlight w:val="none"/>
        </w:rPr>
        <w:t>9.3</w:t>
      </w:r>
      <w:r>
        <w:rPr>
          <w:rFonts w:hint="eastAsia" w:ascii="宋体" w:hAnsi="宋体"/>
          <w:b/>
          <w:bCs/>
          <w:color w:val="auto"/>
          <w:szCs w:val="21"/>
          <w:highlight w:val="none"/>
        </w:rPr>
        <w:t>供应商有下列情形之一的，属于恶意串通行为，将报同级监督管理部门：</w:t>
      </w:r>
    </w:p>
    <w:p w14:paraId="36FEC8C2">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（1）供应商直接或者间接从采购人或者采购代理机构处获得其他供应商的相关信息并修改其投标文件或者响应文件；</w:t>
      </w:r>
    </w:p>
    <w:p w14:paraId="67688C5F">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（2）供应商按照采购人或者采购代理机构的授意撤换、修改投标文件或者响应文件；</w:t>
      </w:r>
    </w:p>
    <w:p w14:paraId="30DE06CF">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（3）供应商之间协商报价、技术方案等投标文件或者响应文件的实质性内容；</w:t>
      </w:r>
    </w:p>
    <w:p w14:paraId="50B7F50F">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（4）属于同一集团、协会、商会等组织成员的供应商按照该组织要求协同参加政府采购活动；</w:t>
      </w:r>
    </w:p>
    <w:p w14:paraId="3C4133B1">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2C68CEB7">
      <w:pPr>
        <w:pStyle w:val="23"/>
        <w:snapToGrid w:val="0"/>
        <w:spacing w:line="360" w:lineRule="auto"/>
        <w:ind w:left="2" w:leftChars="1" w:firstLine="422" w:firstLineChars="200"/>
        <w:rPr>
          <w:rFonts w:hint="eastAsia" w:hAnsi="宋体"/>
          <w:b/>
          <w:bCs/>
          <w:color w:val="auto"/>
          <w:kern w:val="2"/>
          <w:sz w:val="21"/>
          <w:highlight w:val="none"/>
        </w:rPr>
      </w:pPr>
      <w:r>
        <w:rPr>
          <w:rFonts w:hint="eastAsia" w:hAnsi="宋体"/>
          <w:b/>
          <w:bCs/>
          <w:color w:val="auto"/>
          <w:kern w:val="2"/>
          <w:sz w:val="21"/>
          <w:highlight w:val="none"/>
        </w:rPr>
        <w:t>（6）供应商之间商定部分供应商放弃参加政府采购活动或者放弃中标；</w:t>
      </w:r>
    </w:p>
    <w:p w14:paraId="4BCF0BE9">
      <w:pPr>
        <w:pStyle w:val="23"/>
        <w:snapToGrid w:val="0"/>
        <w:spacing w:line="360" w:lineRule="auto"/>
        <w:ind w:left="2" w:leftChars="1" w:firstLine="422" w:firstLineChars="200"/>
        <w:rPr>
          <w:rFonts w:hint="eastAsia" w:hAnsi="宋体"/>
          <w:b/>
          <w:color w:val="auto"/>
          <w:kern w:val="2"/>
          <w:sz w:val="21"/>
          <w:highlight w:val="none"/>
        </w:rPr>
      </w:pPr>
      <w:r>
        <w:rPr>
          <w:rFonts w:hint="eastAsia" w:hAnsi="宋体"/>
          <w:b/>
          <w:bCs/>
          <w:color w:val="auto"/>
          <w:kern w:val="2"/>
          <w:sz w:val="21"/>
          <w:highlight w:val="none"/>
        </w:rPr>
        <w:t>（7）供应商与采购人或者采购代理机构之间、供应商相互之间，为谋求特定供应商中标或者排斥其他供应商的其他串通行为。</w:t>
      </w:r>
    </w:p>
    <w:p w14:paraId="6108C3C8">
      <w:pPr>
        <w:pStyle w:val="4"/>
        <w:keepNext w:val="0"/>
        <w:keepLines w:val="0"/>
        <w:jc w:val="center"/>
        <w:rPr>
          <w:color w:val="auto"/>
          <w:highlight w:val="none"/>
        </w:rPr>
      </w:pPr>
      <w:bookmarkStart w:id="115" w:name="_Toc254970675"/>
      <w:bookmarkStart w:id="116" w:name="_Toc254970534"/>
      <w:r>
        <w:rPr>
          <w:rFonts w:hint="eastAsia"/>
          <w:color w:val="auto"/>
          <w:highlight w:val="none"/>
        </w:rPr>
        <w:t>二、招标文件</w:t>
      </w:r>
      <w:bookmarkEnd w:id="115"/>
      <w:bookmarkEnd w:id="116"/>
    </w:p>
    <w:p w14:paraId="284BBD34">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10.招标文件的组成</w:t>
      </w:r>
    </w:p>
    <w:p w14:paraId="7CA63CCB">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（1）招标公告；</w:t>
      </w:r>
    </w:p>
    <w:p w14:paraId="10772DD6">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（2）采购需求； </w:t>
      </w:r>
    </w:p>
    <w:p w14:paraId="47262868">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1DE90A6E">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1041DFFA">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4A3A2E45">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350DEC9A">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11.招标文件的澄清、修改 、现场考察和答疑会</w:t>
      </w:r>
    </w:p>
    <w:p w14:paraId="723A9A1F">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D3790B8">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7B7CD9D">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117"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117"/>
    <w:p w14:paraId="1157FA06">
      <w:pPr>
        <w:pStyle w:val="4"/>
        <w:keepNext w:val="0"/>
        <w:keepLines w:val="0"/>
        <w:jc w:val="center"/>
        <w:rPr>
          <w:color w:val="auto"/>
          <w:highlight w:val="none"/>
        </w:rPr>
      </w:pPr>
      <w:bookmarkStart w:id="118" w:name="_Toc254970676"/>
      <w:bookmarkStart w:id="119" w:name="_Toc254970535"/>
      <w:r>
        <w:rPr>
          <w:rFonts w:hint="eastAsia"/>
          <w:color w:val="auto"/>
          <w:highlight w:val="none"/>
        </w:rPr>
        <w:t>三、投标文件的编制</w:t>
      </w:r>
      <w:bookmarkEnd w:id="118"/>
      <w:bookmarkEnd w:id="119"/>
    </w:p>
    <w:p w14:paraId="771F6090">
      <w:pPr>
        <w:pStyle w:val="5"/>
        <w:keepNext w:val="0"/>
        <w:keepLines w:val="0"/>
        <w:spacing w:before="0" w:after="0" w:line="360" w:lineRule="auto"/>
        <w:ind w:left="420" w:leftChars="200"/>
        <w:rPr>
          <w:rFonts w:hint="eastAsia" w:ascii="黑体" w:hAnsi="黑体"/>
          <w:color w:val="auto"/>
          <w:sz w:val="24"/>
          <w:highlight w:val="none"/>
        </w:rPr>
      </w:pPr>
      <w:bookmarkStart w:id="120" w:name="_Toc254970536"/>
      <w:bookmarkStart w:id="121" w:name="_Toc254970677"/>
      <w:r>
        <w:rPr>
          <w:rFonts w:hint="eastAsia" w:ascii="黑体" w:hAnsi="黑体"/>
          <w:color w:val="auto"/>
          <w:sz w:val="24"/>
          <w:highlight w:val="none"/>
        </w:rPr>
        <w:t>12.投标文件的编制原则</w:t>
      </w:r>
    </w:p>
    <w:p w14:paraId="09C870D9">
      <w:pPr>
        <w:snapToGrid w:val="0"/>
        <w:spacing w:line="360" w:lineRule="auto"/>
        <w:ind w:firstLine="420"/>
        <w:jc w:val="left"/>
        <w:rPr>
          <w:rFonts w:hint="eastAsia" w:ascii="宋体" w:hAnsi="宋体" w:cs="Courier New"/>
          <w:color w:val="auto"/>
          <w:szCs w:val="21"/>
          <w:highlight w:val="none"/>
        </w:rPr>
      </w:pPr>
      <w:r>
        <w:rPr>
          <w:rFonts w:ascii="宋体" w:hAnsi="宋体"/>
          <w:color w:val="auto"/>
          <w:szCs w:val="21"/>
          <w:highlight w:val="none"/>
        </w:rPr>
        <w:t>投标人必须按照招标文件的要求编制投标文件。投标文件必须对招标文件提出的要求和条件作出明确响应。</w:t>
      </w:r>
    </w:p>
    <w:p w14:paraId="699DE41C">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13.投标文件的组成</w:t>
      </w:r>
      <w:bookmarkEnd w:id="120"/>
      <w:bookmarkEnd w:id="121"/>
    </w:p>
    <w:p w14:paraId="6944F79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3.1</w:t>
      </w:r>
      <w:r>
        <w:rPr>
          <w:rFonts w:hint="eastAsia" w:ascii="宋体" w:hAnsi="宋体"/>
          <w:color w:val="auto"/>
          <w:szCs w:val="21"/>
          <w:highlight w:val="none"/>
        </w:rPr>
        <w:t>投标文件由报价文件、资格证明文件、商务文件、技术文件四部分组成。</w:t>
      </w:r>
    </w:p>
    <w:p w14:paraId="15DC1C07">
      <w:pPr>
        <w:spacing w:line="360" w:lineRule="auto"/>
        <w:ind w:left="420" w:leftChars="200"/>
        <w:rPr>
          <w:rFonts w:hint="eastAsia" w:ascii="宋体" w:hAnsi="宋体"/>
          <w:color w:val="auto"/>
          <w:szCs w:val="21"/>
          <w:highlight w:val="none"/>
        </w:rPr>
      </w:pPr>
      <w:bookmarkStart w:id="122" w:name="_13.1报价文件:_具体材料见“投标人须知前附表”。"/>
      <w:bookmarkEnd w:id="122"/>
      <w:r>
        <w:rPr>
          <w:rFonts w:hint="eastAsia" w:ascii="宋体" w:hAnsi="宋体"/>
          <w:color w:val="auto"/>
          <w:szCs w:val="21"/>
          <w:highlight w:val="none"/>
        </w:rPr>
        <w:t>（1）报价文件：</w:t>
      </w:r>
      <w:r>
        <w:rPr>
          <w:rFonts w:ascii="宋体" w:hAnsi="宋体"/>
          <w:color w:val="auto"/>
          <w:szCs w:val="21"/>
          <w:highlight w:val="none"/>
        </w:rPr>
        <w:t xml:space="preserve"> 具体材料见“投标人须知前附表”</w:t>
      </w:r>
      <w:r>
        <w:rPr>
          <w:rFonts w:hint="eastAsia" w:ascii="宋体" w:hAnsi="宋体"/>
          <w:color w:val="auto"/>
          <w:szCs w:val="21"/>
          <w:highlight w:val="none"/>
        </w:rPr>
        <w:t>。</w:t>
      </w:r>
    </w:p>
    <w:p w14:paraId="382BF1CA">
      <w:pPr>
        <w:spacing w:line="360" w:lineRule="auto"/>
        <w:ind w:left="420" w:leftChars="200"/>
        <w:rPr>
          <w:rFonts w:hint="eastAsia" w:ascii="宋体" w:hAnsi="宋体"/>
          <w:color w:val="auto"/>
          <w:szCs w:val="21"/>
          <w:highlight w:val="none"/>
        </w:rPr>
      </w:pPr>
      <w:bookmarkStart w:id="123" w:name="_13.2资格证明文件：具体材料见“投标人须知前附表”。"/>
      <w:bookmarkEnd w:id="123"/>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）资格证明文件：</w:t>
      </w:r>
      <w:r>
        <w:rPr>
          <w:rFonts w:ascii="宋体" w:hAnsi="宋体"/>
          <w:color w:val="auto"/>
          <w:szCs w:val="21"/>
          <w:highlight w:val="none"/>
        </w:rPr>
        <w:t>具体材料见“投标人须知前附表”</w:t>
      </w:r>
      <w:r>
        <w:rPr>
          <w:rFonts w:hint="eastAsia" w:ascii="宋体" w:hAnsi="宋体"/>
          <w:color w:val="auto"/>
          <w:szCs w:val="21"/>
          <w:highlight w:val="none"/>
        </w:rPr>
        <w:t>。</w:t>
      </w:r>
    </w:p>
    <w:p w14:paraId="08E7A389">
      <w:pPr>
        <w:spacing w:line="360" w:lineRule="auto"/>
        <w:ind w:left="420" w:leftChars="200"/>
        <w:rPr>
          <w:rFonts w:hint="eastAsia" w:ascii="宋体" w:hAnsi="宋体"/>
          <w:color w:val="auto"/>
          <w:szCs w:val="21"/>
          <w:highlight w:val="none"/>
        </w:rPr>
      </w:pPr>
      <w:bookmarkStart w:id="124" w:name="_13.3商务文件:_具体材料见“投标人须知前附表”。"/>
      <w:bookmarkEnd w:id="124"/>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）商务文件：</w:t>
      </w:r>
      <w:r>
        <w:rPr>
          <w:rFonts w:ascii="宋体" w:hAnsi="宋体"/>
          <w:color w:val="auto"/>
          <w:szCs w:val="21"/>
          <w:highlight w:val="none"/>
        </w:rPr>
        <w:t>具体材料见“投标人须知前附表”</w:t>
      </w:r>
      <w:r>
        <w:rPr>
          <w:rFonts w:hint="eastAsia" w:ascii="宋体" w:hAnsi="宋体"/>
          <w:color w:val="auto"/>
          <w:szCs w:val="21"/>
          <w:highlight w:val="none"/>
        </w:rPr>
        <w:t>。</w:t>
      </w:r>
    </w:p>
    <w:p w14:paraId="39796762">
      <w:pPr>
        <w:spacing w:line="360" w:lineRule="auto"/>
        <w:ind w:left="420" w:leftChars="200"/>
        <w:rPr>
          <w:rFonts w:hint="eastAsia" w:ascii="宋体" w:hAnsi="宋体"/>
          <w:color w:val="auto"/>
          <w:szCs w:val="21"/>
          <w:highlight w:val="none"/>
        </w:rPr>
      </w:pPr>
      <w:bookmarkStart w:id="125" w:name="_13.4技术文件：具体材料见“投标人须知前附表”。"/>
      <w:bookmarkEnd w:id="125"/>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）技术文件：</w:t>
      </w:r>
      <w:r>
        <w:rPr>
          <w:rFonts w:ascii="宋体" w:hAnsi="宋体"/>
          <w:color w:val="auto"/>
          <w:szCs w:val="21"/>
          <w:highlight w:val="none"/>
        </w:rPr>
        <w:t>具体材料见“投标人须知前附表”</w:t>
      </w:r>
      <w:r>
        <w:rPr>
          <w:rFonts w:hint="eastAsia" w:ascii="宋体" w:hAnsi="宋体"/>
          <w:color w:val="auto"/>
          <w:szCs w:val="21"/>
          <w:highlight w:val="none"/>
        </w:rPr>
        <w:t>。</w:t>
      </w:r>
    </w:p>
    <w:p w14:paraId="017FDF51">
      <w:pPr>
        <w:spacing w:line="360" w:lineRule="auto"/>
        <w:ind w:left="420" w:leftChars="200"/>
        <w:rPr>
          <w:rFonts w:hint="eastAsia" w:ascii="宋体" w:hAnsi="宋体"/>
          <w:color w:val="auto"/>
          <w:szCs w:val="21"/>
          <w:highlight w:val="none"/>
        </w:rPr>
      </w:pPr>
      <w:bookmarkStart w:id="126" w:name="_13.5投标文件电子版：具体材料见“投标人须知前附表”。"/>
      <w:bookmarkEnd w:id="126"/>
      <w:r>
        <w:rPr>
          <w:rFonts w:hint="eastAsia" w:ascii="宋体" w:hAnsi="宋体"/>
          <w:color w:val="auto"/>
          <w:szCs w:val="21"/>
          <w:highlight w:val="none"/>
        </w:rPr>
        <w:t>13.</w:t>
      </w:r>
      <w:r>
        <w:rPr>
          <w:rFonts w:ascii="宋体" w:hAnsi="宋体"/>
          <w:color w:val="auto"/>
          <w:szCs w:val="21"/>
          <w:highlight w:val="none"/>
        </w:rPr>
        <w:t>2</w:t>
      </w:r>
      <w:r>
        <w:rPr>
          <w:rFonts w:hint="eastAsia" w:ascii="宋体" w:hAnsi="宋体"/>
          <w:color w:val="auto"/>
          <w:szCs w:val="21"/>
          <w:highlight w:val="none"/>
        </w:rPr>
        <w:t>投标文件电子版：</w:t>
      </w:r>
      <w:r>
        <w:rPr>
          <w:rFonts w:ascii="宋体" w:hAnsi="宋体"/>
          <w:color w:val="auto"/>
          <w:szCs w:val="21"/>
          <w:highlight w:val="none"/>
        </w:rPr>
        <w:t>具体</w:t>
      </w:r>
      <w:r>
        <w:rPr>
          <w:rFonts w:hint="eastAsia" w:ascii="宋体" w:hAnsi="宋体"/>
          <w:color w:val="auto"/>
          <w:szCs w:val="21"/>
          <w:highlight w:val="none"/>
        </w:rPr>
        <w:t>要求</w:t>
      </w:r>
      <w:r>
        <w:rPr>
          <w:rFonts w:ascii="宋体" w:hAnsi="宋体"/>
          <w:color w:val="auto"/>
          <w:szCs w:val="21"/>
          <w:highlight w:val="none"/>
        </w:rPr>
        <w:t>见“投标人须知前附表”</w:t>
      </w:r>
      <w:r>
        <w:rPr>
          <w:rFonts w:hint="eastAsia" w:ascii="宋体" w:hAnsi="宋体"/>
          <w:color w:val="auto"/>
          <w:szCs w:val="21"/>
          <w:highlight w:val="none"/>
        </w:rPr>
        <w:t>。</w:t>
      </w:r>
    </w:p>
    <w:p w14:paraId="21A6C932">
      <w:pPr>
        <w:pStyle w:val="5"/>
        <w:keepNext w:val="0"/>
        <w:keepLines w:val="0"/>
        <w:spacing w:before="0" w:after="0" w:line="360" w:lineRule="auto"/>
        <w:ind w:left="420" w:leftChars="200"/>
        <w:rPr>
          <w:rFonts w:hint="eastAsia" w:ascii="黑体" w:hAnsi="黑体"/>
          <w:color w:val="auto"/>
          <w:sz w:val="24"/>
          <w:highlight w:val="none"/>
        </w:rPr>
      </w:pPr>
      <w:bookmarkStart w:id="127" w:name="_Toc254970678"/>
      <w:bookmarkStart w:id="128" w:name="_Toc254970537"/>
      <w:r>
        <w:rPr>
          <w:rFonts w:hint="eastAsia" w:ascii="黑体" w:hAnsi="黑体"/>
          <w:color w:val="auto"/>
          <w:sz w:val="24"/>
          <w:highlight w:val="none"/>
        </w:rPr>
        <w:t>14.投标文件的语言及计量</w:t>
      </w:r>
      <w:bookmarkEnd w:id="127"/>
      <w:bookmarkEnd w:id="128"/>
    </w:p>
    <w:p w14:paraId="1681416F">
      <w:pPr>
        <w:spacing w:line="360" w:lineRule="auto"/>
        <w:ind w:left="420" w:leftChars="200"/>
        <w:rPr>
          <w:rFonts w:hint="eastAsia" w:ascii="宋体" w:hAnsi="宋体"/>
          <w:b/>
          <w:color w:val="auto"/>
          <w:szCs w:val="21"/>
          <w:highlight w:val="none"/>
        </w:rPr>
      </w:pPr>
      <w:r>
        <w:rPr>
          <w:rFonts w:hint="eastAsia" w:ascii="宋体" w:hAnsi="宋体"/>
          <w:b/>
          <w:color w:val="auto"/>
          <w:szCs w:val="21"/>
          <w:highlight w:val="none"/>
        </w:rPr>
        <w:t>14.1语言文字</w:t>
      </w:r>
    </w:p>
    <w:p w14:paraId="77B7FC20">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850540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14.2投标计量单位</w:t>
      </w:r>
    </w:p>
    <w:p w14:paraId="6CB50854">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招标文件已有明确规定的，使用招标文件规定的计量单位；招标文件没有规定的，应采用中华人民共和国法定计量单位，货币种类为人民币，否则视同未响应。</w:t>
      </w:r>
    </w:p>
    <w:p w14:paraId="780D72A7">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15.投标的风险</w:t>
      </w:r>
    </w:p>
    <w:p w14:paraId="36F45F7D">
      <w:pPr>
        <w:pStyle w:val="23"/>
        <w:snapToGrid w:val="0"/>
        <w:spacing w:line="360" w:lineRule="auto"/>
        <w:ind w:firstLine="420" w:firstLineChars="200"/>
        <w:jc w:val="left"/>
        <w:rPr>
          <w:rFonts w:hint="eastAsia"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58000AC3">
      <w:pPr>
        <w:pStyle w:val="5"/>
        <w:keepNext w:val="0"/>
        <w:keepLines w:val="0"/>
        <w:spacing w:before="0" w:after="0" w:line="360" w:lineRule="auto"/>
        <w:ind w:left="420" w:leftChars="200"/>
        <w:rPr>
          <w:rFonts w:hint="eastAsia" w:ascii="黑体" w:hAnsi="黑体"/>
          <w:color w:val="auto"/>
          <w:sz w:val="24"/>
          <w:highlight w:val="none"/>
        </w:rPr>
      </w:pPr>
      <w:bookmarkStart w:id="129" w:name="_Toc254970679"/>
      <w:bookmarkStart w:id="130" w:name="_Toc254970538"/>
      <w:r>
        <w:rPr>
          <w:rFonts w:hint="eastAsia" w:ascii="黑体" w:hAnsi="黑体"/>
          <w:color w:val="auto"/>
          <w:sz w:val="24"/>
          <w:highlight w:val="none"/>
        </w:rPr>
        <w:t>16.投标报价</w:t>
      </w:r>
      <w:bookmarkEnd w:id="129"/>
      <w:bookmarkEnd w:id="130"/>
    </w:p>
    <w:p w14:paraId="14A9B834">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16.1投标报价应按“第六章　投标文件格式”中“开标一览表”格式填写。</w:t>
      </w:r>
    </w:p>
    <w:p w14:paraId="4E0C62CE">
      <w:pPr>
        <w:spacing w:line="360" w:lineRule="auto"/>
        <w:ind w:left="420" w:leftChars="200"/>
        <w:rPr>
          <w:rFonts w:hint="eastAsia" w:ascii="宋体" w:hAnsi="宋体"/>
          <w:bCs/>
          <w:color w:val="auto"/>
          <w:szCs w:val="21"/>
          <w:highlight w:val="none"/>
        </w:rPr>
      </w:pPr>
      <w:bookmarkStart w:id="131" w:name="_16.2投标报价具体定义见投标人须知前附表。"/>
      <w:bookmarkEnd w:id="131"/>
      <w:r>
        <w:rPr>
          <w:rFonts w:hint="eastAsia" w:ascii="宋体" w:hAnsi="宋体"/>
          <w:bCs/>
          <w:color w:val="auto"/>
          <w:szCs w:val="21"/>
          <w:highlight w:val="none"/>
        </w:rPr>
        <w:t>16.2投标报价具体包括内容详见“投标人须知前附表”。</w:t>
      </w:r>
    </w:p>
    <w:p w14:paraId="4C37505A">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16.3投标人必须就所投每个分标的全部内容分别作完整唯一总价报价，不得存在漏项报价；投标人必须就所投分标的单项内容作唯一报价。</w:t>
      </w:r>
    </w:p>
    <w:p w14:paraId="01126C88">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17.投标有效期</w:t>
      </w:r>
    </w:p>
    <w:p w14:paraId="3ADA5D19">
      <w:pPr>
        <w:spacing w:line="360" w:lineRule="auto"/>
        <w:ind w:left="420" w:leftChars="200"/>
        <w:rPr>
          <w:rFonts w:hint="eastAsia" w:ascii="宋体" w:hAnsi="宋体"/>
          <w:bCs/>
          <w:color w:val="auto"/>
          <w:szCs w:val="21"/>
          <w:highlight w:val="none"/>
        </w:rPr>
      </w:pPr>
      <w:bookmarkStart w:id="132" w:name="_17.1投标有效期应按“投标人须知中的前附表”规定的期限。"/>
      <w:bookmarkEnd w:id="132"/>
      <w:r>
        <w:rPr>
          <w:rFonts w:hint="eastAsia" w:ascii="宋体" w:hAnsi="宋体"/>
          <w:bCs/>
          <w:color w:val="auto"/>
          <w:szCs w:val="21"/>
          <w:highlight w:val="none"/>
        </w:rPr>
        <w:t>17.1投标有效期是指为保证采购人有足够的时间在开标后完成评标、定标、合同签订等工作而要求投标人提交的投标文件在一定时间内保持有效的期限。</w:t>
      </w:r>
    </w:p>
    <w:p w14:paraId="66324AB1">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17.2</w:t>
      </w:r>
      <w:bookmarkStart w:id="133" w:name="_Toc254970681"/>
      <w:bookmarkStart w:id="134" w:name="_Toc254970540"/>
      <w:r>
        <w:rPr>
          <w:rFonts w:hint="eastAsia" w:ascii="宋体" w:hAnsi="宋体"/>
          <w:bCs/>
          <w:color w:val="auto"/>
          <w:szCs w:val="21"/>
          <w:highlight w:val="none"/>
        </w:rPr>
        <w:t xml:space="preserve"> 投标有效期应按规定的期限作出承诺，具体详见“投标人须知前附表”。</w:t>
      </w:r>
    </w:p>
    <w:p w14:paraId="32685FF6">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17.3投标人的投标文件在投标有效期内均保持有效。</w:t>
      </w:r>
      <w:bookmarkEnd w:id="133"/>
      <w:bookmarkEnd w:id="134"/>
    </w:p>
    <w:p w14:paraId="69363D47">
      <w:pPr>
        <w:pStyle w:val="5"/>
        <w:keepNext w:val="0"/>
        <w:keepLines w:val="0"/>
        <w:spacing w:before="0" w:after="0" w:line="360" w:lineRule="auto"/>
        <w:ind w:left="420" w:leftChars="200"/>
        <w:rPr>
          <w:rFonts w:hint="eastAsia" w:ascii="黑体" w:hAnsi="黑体"/>
          <w:color w:val="auto"/>
          <w:sz w:val="24"/>
          <w:highlight w:val="none"/>
        </w:rPr>
      </w:pPr>
      <w:bookmarkStart w:id="135" w:name="_18.投标保证金"/>
      <w:bookmarkEnd w:id="135"/>
      <w:bookmarkStart w:id="136" w:name="_Toc254970682"/>
      <w:bookmarkStart w:id="137" w:name="_Toc254970541"/>
      <w:r>
        <w:rPr>
          <w:rFonts w:hint="eastAsia" w:ascii="黑体" w:hAnsi="黑体"/>
          <w:color w:val="auto"/>
          <w:sz w:val="24"/>
          <w:highlight w:val="none"/>
        </w:rPr>
        <w:t>18.投标保证金</w:t>
      </w:r>
      <w:bookmarkEnd w:id="136"/>
      <w:bookmarkEnd w:id="137"/>
    </w:p>
    <w:p w14:paraId="60D9AF9F">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18.1投标人须按“投标人须知前附表” 的规定提交投标保证金。</w:t>
      </w:r>
    </w:p>
    <w:p w14:paraId="1A335702">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18.2投标保证金的退还</w:t>
      </w:r>
    </w:p>
    <w:p w14:paraId="3E9D9EF3">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18.2.1未中标人的投标保证金自中标通知书发出之日起5个工作日内退还，退还方式如下：</w:t>
      </w:r>
    </w:p>
    <w:p w14:paraId="3FE7A519">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（1）采用银行转账方式的，以转账方式退回到投标人银行账户。</w:t>
      </w:r>
    </w:p>
    <w:p w14:paraId="34B57B3C">
      <w:pPr>
        <w:pStyle w:val="7"/>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（2）采用支票、汇票、本票或者金融、担保机构出具的保函方式的，由投标人代表持相关授权证明材料至采购人或者采购代理机构办理支票、汇票、本票或者金融、担保机构出具的保函原件退还手续。 </w:t>
      </w:r>
    </w:p>
    <w:p w14:paraId="31458DC1">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18.2.2中标人的投标保证金自采购合同签订之日起5个工作日内退还，退还方式同本须知正文第1</w:t>
      </w:r>
      <w:r>
        <w:rPr>
          <w:rFonts w:ascii="宋体" w:hAnsi="宋体"/>
          <w:bCs/>
          <w:color w:val="auto"/>
          <w:szCs w:val="21"/>
          <w:highlight w:val="none"/>
        </w:rPr>
        <w:t>8.2.1</w:t>
      </w:r>
      <w:r>
        <w:rPr>
          <w:rFonts w:hint="eastAsia" w:ascii="宋体" w:hAnsi="宋体"/>
          <w:bCs/>
          <w:color w:val="auto"/>
          <w:szCs w:val="21"/>
          <w:highlight w:val="none"/>
        </w:rPr>
        <w:t xml:space="preserve">。 </w:t>
      </w:r>
    </w:p>
    <w:p w14:paraId="545C009A">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18.</w:t>
      </w:r>
      <w:r>
        <w:rPr>
          <w:rFonts w:ascii="宋体" w:hAnsi="宋体"/>
          <w:bCs/>
          <w:color w:val="auto"/>
          <w:szCs w:val="21"/>
          <w:highlight w:val="none"/>
        </w:rPr>
        <w:t>3</w:t>
      </w:r>
      <w:r>
        <w:rPr>
          <w:rFonts w:hint="eastAsia" w:ascii="宋体" w:hAnsi="宋体"/>
          <w:bCs/>
          <w:color w:val="auto"/>
          <w:szCs w:val="21"/>
          <w:highlight w:val="none"/>
        </w:rPr>
        <w:t xml:space="preserve">投标人有下列情形之一的，投标保证金将不予退还： </w:t>
      </w:r>
    </w:p>
    <w:p w14:paraId="688FE577">
      <w:pPr>
        <w:snapToGrid w:val="0"/>
        <w:spacing w:line="360" w:lineRule="auto"/>
        <w:ind w:firstLine="411" w:firstLineChars="196"/>
        <w:jc w:val="left"/>
        <w:rPr>
          <w:rFonts w:hint="eastAsia" w:ascii="宋体" w:hAnsi="宋体"/>
          <w:bCs/>
          <w:color w:val="auto"/>
          <w:szCs w:val="21"/>
          <w:highlight w:val="none"/>
        </w:rPr>
      </w:pPr>
      <w:r>
        <w:rPr>
          <w:rFonts w:hint="eastAsia" w:ascii="宋体" w:hAnsi="宋体"/>
          <w:bCs/>
          <w:color w:val="auto"/>
          <w:szCs w:val="21"/>
          <w:highlight w:val="none"/>
        </w:rPr>
        <w:t>（1）投标人在投标有效期内撤销投标文件的；</w:t>
      </w:r>
    </w:p>
    <w:p w14:paraId="7362F80B">
      <w:pPr>
        <w:snapToGrid w:val="0"/>
        <w:spacing w:line="360" w:lineRule="auto"/>
        <w:ind w:firstLine="411" w:firstLineChars="196"/>
        <w:jc w:val="left"/>
        <w:rPr>
          <w:rFonts w:hint="eastAsia" w:ascii="宋体" w:hAnsi="宋体"/>
          <w:bCs/>
          <w:color w:val="auto"/>
          <w:szCs w:val="21"/>
          <w:highlight w:val="none"/>
        </w:rPr>
      </w:pPr>
      <w:r>
        <w:rPr>
          <w:rFonts w:hint="eastAsia" w:ascii="宋体" w:hAnsi="宋体"/>
          <w:bCs/>
          <w:color w:val="auto"/>
          <w:szCs w:val="21"/>
          <w:highlight w:val="none"/>
        </w:rPr>
        <w:t>（2）未按规定提交履约保证金的；</w:t>
      </w:r>
    </w:p>
    <w:p w14:paraId="36D2BAD4">
      <w:pPr>
        <w:snapToGrid w:val="0"/>
        <w:spacing w:line="360" w:lineRule="auto"/>
        <w:ind w:firstLine="411" w:firstLineChars="196"/>
        <w:jc w:val="left"/>
        <w:rPr>
          <w:rFonts w:hint="eastAsia" w:ascii="宋体" w:hAnsi="宋体"/>
          <w:bCs/>
          <w:color w:val="auto"/>
          <w:szCs w:val="21"/>
          <w:highlight w:val="none"/>
        </w:rPr>
      </w:pPr>
      <w:r>
        <w:rPr>
          <w:rFonts w:hint="eastAsia" w:ascii="宋体" w:hAnsi="宋体"/>
          <w:bCs/>
          <w:color w:val="auto"/>
          <w:szCs w:val="21"/>
          <w:highlight w:val="none"/>
        </w:rPr>
        <w:t>（3）投标人在投标过程中弄虚作假，提供虚假材料的；</w:t>
      </w:r>
    </w:p>
    <w:p w14:paraId="4D56222B">
      <w:pPr>
        <w:snapToGrid w:val="0"/>
        <w:spacing w:line="360" w:lineRule="auto"/>
        <w:ind w:firstLine="411" w:firstLineChars="196"/>
        <w:rPr>
          <w:rFonts w:hint="eastAsia" w:ascii="宋体" w:hAnsi="宋体"/>
          <w:bCs/>
          <w:color w:val="auto"/>
          <w:szCs w:val="21"/>
          <w:highlight w:val="none"/>
        </w:rPr>
      </w:pPr>
      <w:r>
        <w:rPr>
          <w:rFonts w:hint="eastAsia" w:ascii="宋体" w:hAnsi="宋体"/>
          <w:bCs/>
          <w:color w:val="auto"/>
          <w:szCs w:val="21"/>
          <w:highlight w:val="none"/>
        </w:rPr>
        <w:t>（4）中标人无正当理由不与采购人签订合同的；</w:t>
      </w:r>
    </w:p>
    <w:p w14:paraId="7C69AC93">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（5）投标人出现本章第9.2、9.3情形的；</w:t>
      </w:r>
    </w:p>
    <w:p w14:paraId="7D0E8540">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（6）其他严重扰乱招投标程序的。</w:t>
      </w:r>
    </w:p>
    <w:p w14:paraId="311AE036">
      <w:pPr>
        <w:pStyle w:val="5"/>
        <w:keepNext w:val="0"/>
        <w:keepLines w:val="0"/>
        <w:spacing w:before="0" w:after="0" w:line="360" w:lineRule="auto"/>
        <w:ind w:left="420" w:leftChars="200"/>
        <w:rPr>
          <w:rFonts w:hint="eastAsia" w:ascii="黑体" w:hAnsi="黑体"/>
          <w:color w:val="auto"/>
          <w:sz w:val="24"/>
          <w:highlight w:val="none"/>
        </w:rPr>
      </w:pPr>
      <w:bookmarkStart w:id="138" w:name="_Toc254970683"/>
      <w:bookmarkStart w:id="139" w:name="_Toc254970542"/>
      <w:r>
        <w:rPr>
          <w:rFonts w:hint="eastAsia" w:ascii="黑体" w:hAnsi="黑体"/>
          <w:color w:val="auto"/>
          <w:sz w:val="24"/>
          <w:highlight w:val="none"/>
        </w:rPr>
        <w:t>19.投标文件的</w:t>
      </w:r>
      <w:bookmarkEnd w:id="138"/>
      <w:bookmarkEnd w:id="139"/>
      <w:r>
        <w:rPr>
          <w:rFonts w:hint="eastAsia" w:ascii="黑体" w:hAnsi="黑体"/>
          <w:color w:val="auto"/>
          <w:sz w:val="24"/>
          <w:highlight w:val="none"/>
        </w:rPr>
        <w:t>编制</w:t>
      </w:r>
    </w:p>
    <w:p w14:paraId="6F184A1C">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11E013DA">
      <w:pPr>
        <w:spacing w:line="360" w:lineRule="auto"/>
        <w:ind w:firstLine="315" w:firstLineChars="150"/>
        <w:rPr>
          <w:rFonts w:hint="eastAsia" w:ascii="宋体" w:hAnsi="宋体"/>
          <w:bCs/>
          <w:color w:val="auto"/>
          <w:szCs w:val="21"/>
          <w:highlight w:val="none"/>
        </w:rPr>
      </w:pPr>
      <w:bookmarkStart w:id="140" w:name="_19.2投标文件应按报价文件、资格证明文件、商务文件、技术文件分别编制"/>
      <w:bookmarkEnd w:id="140"/>
      <w:r>
        <w:rPr>
          <w:rFonts w:hint="eastAsia" w:ascii="宋体" w:hAnsi="宋体"/>
          <w:bCs/>
          <w:color w:val="auto"/>
          <w:szCs w:val="21"/>
          <w:highlight w:val="none"/>
        </w:rPr>
        <w:t xml:space="preserve"> 19.2投标文件应按报价文件、资格证明文件、商务文件、技术文件的</w:t>
      </w:r>
      <w:r>
        <w:rPr>
          <w:rFonts w:ascii="宋体" w:hAnsi="宋体"/>
          <w:bCs/>
          <w:color w:val="auto"/>
          <w:szCs w:val="21"/>
          <w:highlight w:val="none"/>
        </w:rPr>
        <w:t>顺序</w:t>
      </w:r>
      <w:r>
        <w:rPr>
          <w:rFonts w:hint="eastAsia" w:ascii="宋体" w:hAnsi="宋体"/>
          <w:bCs/>
          <w:color w:val="auto"/>
          <w:szCs w:val="21"/>
          <w:highlight w:val="none"/>
        </w:rPr>
        <w:t>编制，报价文件、资格证明文件、商务文件和技术文件合并装订成册，投标文件正本一份，副本份数详见“投标人须知前附表”，投标文件的封面应注明“正本”、“副本”字样。由于投标文件装订松散而造成的丢失或者其他后果由投标人自行承担。</w:t>
      </w:r>
    </w:p>
    <w:p w14:paraId="5C665973">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19.3投标文件的正本应用不褪色的材料书写或者打印，投标文件正本除本“投标人须知”中规定的可提供复印件外均须提供原件，副本可为正本签字、盖章后的复印件，当副本和正本不一致时，以正本为准。</w:t>
      </w:r>
    </w:p>
    <w:p w14:paraId="5D828703">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19.4投标文件须由投标人在规定位置盖公章并由法定代表人或者委托代理人签字，</w:t>
      </w:r>
      <w:r>
        <w:rPr>
          <w:rFonts w:hint="eastAsia" w:ascii="宋体" w:hAnsi="宋体"/>
          <w:b/>
          <w:color w:val="auto"/>
          <w:szCs w:val="21"/>
          <w:highlight w:val="none"/>
        </w:rPr>
        <w:t>否则作无效投标处理</w:t>
      </w:r>
      <w:r>
        <w:rPr>
          <w:rFonts w:hint="eastAsia" w:ascii="宋体" w:hAnsi="宋体"/>
          <w:bCs/>
          <w:color w:val="auto"/>
          <w:szCs w:val="21"/>
          <w:highlight w:val="none"/>
        </w:rPr>
        <w:t>。</w:t>
      </w:r>
      <w:r>
        <w:rPr>
          <w:rFonts w:hint="eastAsia" w:hAnsi="宋体" w:cs="宋体"/>
          <w:bCs/>
          <w:color w:val="auto"/>
          <w:highlight w:val="none"/>
        </w:rPr>
        <w:t>骑缝盖公章不视为</w:t>
      </w:r>
      <w:r>
        <w:rPr>
          <w:rFonts w:hint="eastAsia" w:ascii="宋体" w:hAnsi="宋体"/>
          <w:bCs/>
          <w:color w:val="auto"/>
          <w:szCs w:val="21"/>
          <w:highlight w:val="none"/>
        </w:rPr>
        <w:t>在规定位置</w:t>
      </w:r>
      <w:r>
        <w:rPr>
          <w:rFonts w:hint="eastAsia" w:hAnsi="宋体" w:cs="宋体"/>
          <w:bCs/>
          <w:color w:val="auto"/>
          <w:highlight w:val="none"/>
        </w:rPr>
        <w:t>盖章。</w:t>
      </w:r>
    </w:p>
    <w:p w14:paraId="7382700E">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19.5投标文件中标注的投标人名称应与主体资格证明（如营业执照、事业单位法人证书、执业许可证、自然人身份证等）及公章一致，</w:t>
      </w:r>
      <w:r>
        <w:rPr>
          <w:rFonts w:hint="eastAsia" w:ascii="宋体" w:hAnsi="宋体"/>
          <w:b/>
          <w:color w:val="auto"/>
          <w:szCs w:val="21"/>
          <w:highlight w:val="none"/>
        </w:rPr>
        <w:t>否则作无效投标处理</w:t>
      </w:r>
      <w:r>
        <w:rPr>
          <w:rFonts w:hint="eastAsia" w:ascii="宋体" w:hAnsi="宋体"/>
          <w:bCs/>
          <w:color w:val="auto"/>
          <w:szCs w:val="21"/>
          <w:highlight w:val="none"/>
        </w:rPr>
        <w:t>。</w:t>
      </w:r>
    </w:p>
    <w:p w14:paraId="6E11AD7D">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19.6投标文件应尽量避免涂改、行间插字或者删除。如果出现上述情况，改动之处应由投标人的法定代表人或者其委托代理人签字或者加盖公章。投标文件因字迹潦草或者表达不清所引起的后果由投标人承担。</w:t>
      </w:r>
    </w:p>
    <w:p w14:paraId="37397D89">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20.投标文件的密封</w:t>
      </w:r>
    </w:p>
    <w:p w14:paraId="3391C49E">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20.1投标文件正、副本全部装入一个或者多个包封袋/箱（投标文件的补充、修改可另行单独递交）中并加以密封，封口处必须加盖投标人公章或者法定代表人签字或者委托代理人签字，以示密封。</w:t>
      </w:r>
    </w:p>
    <w:p w14:paraId="7A309EB0">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20.2投标文件外层包装封面上应写明“投标人名称、投标人地址、项目名称、项目编号、所投分标及投标截止时间前不得启封”字样。</w:t>
      </w:r>
    </w:p>
    <w:p w14:paraId="3644B61B">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20.3未按上述规定密封的投标文件将被拒收。</w:t>
      </w:r>
    </w:p>
    <w:p w14:paraId="050B0081">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21.投标文件的提交</w:t>
      </w:r>
    </w:p>
    <w:p w14:paraId="121F0E69">
      <w:pPr>
        <w:spacing w:line="360" w:lineRule="auto"/>
        <w:ind w:firstLine="420" w:firstLineChars="200"/>
        <w:rPr>
          <w:rFonts w:hint="eastAsia" w:ascii="宋体" w:hAnsi="宋体"/>
          <w:bCs/>
          <w:color w:val="auto"/>
          <w:szCs w:val="21"/>
          <w:highlight w:val="none"/>
        </w:rPr>
      </w:pPr>
      <w:bookmarkStart w:id="141" w:name="_21.1投标人必须在“投标人须知中的前附表”规定的投标文件接收时间和投"/>
      <w:bookmarkEnd w:id="141"/>
      <w:r>
        <w:rPr>
          <w:rFonts w:hint="eastAsia" w:ascii="宋体" w:hAnsi="宋体"/>
          <w:bCs/>
          <w:color w:val="auto"/>
          <w:szCs w:val="21"/>
          <w:highlight w:val="none"/>
        </w:rPr>
        <w:t>21.1投标人必须在“投标人须知前附表”规定的投标文件接收时间和投标地点提交投标文件。</w:t>
      </w:r>
    </w:p>
    <w:p w14:paraId="4C7898CD">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21.2采购代理机构工作人员收到投标文件后，应当如实记载投标文件的送达时间和密封情况，签收保存，并向投标人出具签收回执。</w:t>
      </w:r>
    </w:p>
    <w:p w14:paraId="498AD553">
      <w:pPr>
        <w:spacing w:line="360" w:lineRule="auto"/>
        <w:ind w:left="420"/>
        <w:rPr>
          <w:rFonts w:hint="eastAsia" w:ascii="宋体" w:hAnsi="宋体"/>
          <w:bCs/>
          <w:color w:val="auto"/>
          <w:szCs w:val="21"/>
          <w:highlight w:val="none"/>
        </w:rPr>
      </w:pPr>
      <w:r>
        <w:rPr>
          <w:rFonts w:hint="eastAsia" w:ascii="宋体" w:hAnsi="宋体"/>
          <w:bCs/>
          <w:color w:val="auto"/>
          <w:szCs w:val="21"/>
          <w:highlight w:val="none"/>
        </w:rPr>
        <w:t>21.3未在规定时间内送达或者未按照招标文件要求密封或者标记的投标文件，采购代理机构必须拒收。</w:t>
      </w:r>
    </w:p>
    <w:p w14:paraId="6E26BDB9">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22. 投标文件的补充、修改、撤回与退回</w:t>
      </w:r>
    </w:p>
    <w:p w14:paraId="5F49439D">
      <w:pPr>
        <w:snapToGrid w:val="0"/>
        <w:spacing w:line="360" w:lineRule="auto"/>
        <w:ind w:firstLine="420"/>
        <w:jc w:val="left"/>
        <w:rPr>
          <w:rFonts w:hint="eastAsia" w:ascii="宋体" w:hAnsi="宋体"/>
          <w:color w:val="auto"/>
          <w:szCs w:val="21"/>
          <w:highlight w:val="none"/>
        </w:rPr>
      </w:pPr>
      <w:bookmarkStart w:id="142" w:name="_Toc254970543"/>
      <w:bookmarkStart w:id="143" w:name="_Toc254970684"/>
      <w:r>
        <w:rPr>
          <w:rFonts w:hint="eastAsia" w:ascii="宋体" w:hAnsi="宋体"/>
          <w:color w:val="auto"/>
          <w:szCs w:val="21"/>
          <w:highlight w:val="none"/>
        </w:rPr>
        <w:t>2</w:t>
      </w:r>
      <w:r>
        <w:rPr>
          <w:rFonts w:ascii="宋体" w:hAnsi="宋体"/>
          <w:color w:val="auto"/>
          <w:szCs w:val="21"/>
          <w:highlight w:val="none"/>
        </w:rPr>
        <w:t>2.1</w:t>
      </w:r>
      <w:r>
        <w:rPr>
          <w:rFonts w:hint="eastAsia" w:ascii="宋体" w:hAnsi="宋体"/>
          <w:color w:val="auto"/>
          <w:szCs w:val="21"/>
          <w:highlight w:val="none"/>
        </w:rPr>
        <w:t>投标人在投标截止时间之前，可以对已提交的投标文件进行补充、修改或者撤回，并书面通知采购人或者采购代理机构。补充、修改的内容必须按照本须知前附表第</w:t>
      </w:r>
      <w:r>
        <w:rPr>
          <w:rFonts w:ascii="宋体" w:hAnsi="宋体"/>
          <w:color w:val="auto"/>
          <w:szCs w:val="21"/>
          <w:highlight w:val="none"/>
        </w:rPr>
        <w:t>40.2</w:t>
      </w:r>
      <w:r>
        <w:rPr>
          <w:rFonts w:hint="eastAsia" w:ascii="宋体" w:hAnsi="宋体"/>
          <w:color w:val="auto"/>
          <w:szCs w:val="21"/>
          <w:highlight w:val="none"/>
        </w:rPr>
        <w:t>条签署、盖章，并按照本须知正文第</w:t>
      </w:r>
      <w:r>
        <w:rPr>
          <w:rFonts w:ascii="宋体" w:hAnsi="宋体"/>
          <w:color w:val="auto"/>
          <w:szCs w:val="21"/>
          <w:highlight w:val="none"/>
        </w:rPr>
        <w:t>20</w:t>
      </w:r>
      <w:r>
        <w:rPr>
          <w:rFonts w:hint="eastAsia" w:ascii="宋体" w:hAnsi="宋体"/>
          <w:color w:val="auto"/>
          <w:szCs w:val="21"/>
          <w:highlight w:val="none"/>
        </w:rPr>
        <w:t>条密封后，作为投标文件的组成部分</w:t>
      </w:r>
      <w:r>
        <w:rPr>
          <w:rFonts w:hint="eastAsia" w:ascii="宋体" w:hAnsi="宋体"/>
          <w:b/>
          <w:color w:val="auto"/>
          <w:szCs w:val="21"/>
          <w:highlight w:val="none"/>
        </w:rPr>
        <w:t>。</w:t>
      </w:r>
    </w:p>
    <w:bookmarkEnd w:id="142"/>
    <w:bookmarkEnd w:id="143"/>
    <w:p w14:paraId="18B3BC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2</w:t>
      </w:r>
      <w:r>
        <w:rPr>
          <w:rFonts w:hint="eastAsia" w:ascii="宋体" w:hAnsi="宋体" w:cs="宋体"/>
          <w:color w:val="auto"/>
          <w:szCs w:val="21"/>
          <w:highlight w:val="none"/>
        </w:rPr>
        <w:t>在投标截止时间止提交投标文件的投标人不足3家时，应当由投标人签字领回投标文件，除此之外采购人和采购代理机构对已提交的投标文件概不退回。</w:t>
      </w:r>
    </w:p>
    <w:p w14:paraId="426555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2.3</w:t>
      </w:r>
      <w:r>
        <w:rPr>
          <w:rFonts w:hint="eastAsia" w:ascii="宋体" w:hAnsi="宋体" w:cs="宋体"/>
          <w:color w:val="auto"/>
          <w:szCs w:val="21"/>
          <w:highlight w:val="none"/>
        </w:rPr>
        <w:t xml:space="preserve"> 投标人在投标截止时间后向采购人、采购代理机构书面申请撤回投标文件的，将根据本须知正文1</w:t>
      </w:r>
      <w:r>
        <w:rPr>
          <w:rFonts w:ascii="宋体" w:hAnsi="宋体" w:cs="宋体"/>
          <w:color w:val="auto"/>
          <w:szCs w:val="21"/>
          <w:highlight w:val="none"/>
        </w:rPr>
        <w:t>8</w:t>
      </w:r>
      <w:r>
        <w:rPr>
          <w:rFonts w:hint="eastAsia" w:ascii="宋体" w:hAnsi="宋体" w:cs="宋体"/>
          <w:color w:val="auto"/>
          <w:szCs w:val="21"/>
          <w:highlight w:val="none"/>
        </w:rPr>
        <w:t>.4的规定不予退还其投标保证金。</w:t>
      </w:r>
    </w:p>
    <w:p w14:paraId="44846C50">
      <w:pPr>
        <w:pStyle w:val="4"/>
        <w:keepNext w:val="0"/>
        <w:keepLines w:val="0"/>
        <w:jc w:val="center"/>
        <w:rPr>
          <w:color w:val="auto"/>
          <w:highlight w:val="none"/>
        </w:rPr>
      </w:pPr>
      <w:bookmarkStart w:id="144" w:name="_Toc254970685"/>
      <w:bookmarkStart w:id="145" w:name="_Toc254970544"/>
      <w:r>
        <w:rPr>
          <w:rFonts w:hint="eastAsia"/>
          <w:color w:val="auto"/>
          <w:highlight w:val="none"/>
        </w:rPr>
        <w:t>四、开    标</w:t>
      </w:r>
      <w:bookmarkEnd w:id="144"/>
      <w:bookmarkEnd w:id="145"/>
    </w:p>
    <w:p w14:paraId="273C20C4">
      <w:pPr>
        <w:pStyle w:val="5"/>
        <w:keepNext w:val="0"/>
        <w:keepLines w:val="0"/>
        <w:spacing w:before="0" w:after="0" w:line="360" w:lineRule="auto"/>
        <w:ind w:left="420" w:leftChars="200"/>
        <w:rPr>
          <w:rFonts w:hint="eastAsia" w:ascii="黑体" w:hAnsi="黑体"/>
          <w:color w:val="auto"/>
          <w:sz w:val="24"/>
          <w:highlight w:val="none"/>
        </w:rPr>
      </w:pPr>
      <w:bookmarkStart w:id="146" w:name="_23.开标时间和地点"/>
      <w:bookmarkEnd w:id="146"/>
      <w:r>
        <w:rPr>
          <w:rFonts w:hint="eastAsia" w:ascii="黑体" w:hAnsi="黑体"/>
          <w:color w:val="auto"/>
          <w:sz w:val="24"/>
          <w:highlight w:val="none"/>
        </w:rPr>
        <w:t>23.开标时间和地点</w:t>
      </w:r>
    </w:p>
    <w:p w14:paraId="48C1C1AA">
      <w:pPr>
        <w:pStyle w:val="23"/>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采购代理机构将在“投标人须知前附表”规定的时间和地点进行开标，投标人未参加开标的，视同认可开标过程和结果。本项目开标过程实行全程录音、录像监控。</w:t>
      </w:r>
    </w:p>
    <w:p w14:paraId="4C2F7504">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24.开标程序</w:t>
      </w:r>
    </w:p>
    <w:p w14:paraId="53A9079F">
      <w:pPr>
        <w:pStyle w:val="7"/>
        <w:spacing w:line="360" w:lineRule="auto"/>
        <w:rPr>
          <w:color w:val="auto"/>
          <w:highlight w:val="none"/>
        </w:rPr>
      </w:pPr>
      <w:r>
        <w:rPr>
          <w:rFonts w:hint="eastAsia"/>
          <w:color w:val="auto"/>
          <w:highlight w:val="none"/>
        </w:rPr>
        <w:t>主持人按以下程序进行开标：</w:t>
      </w:r>
    </w:p>
    <w:p w14:paraId="1696518E">
      <w:pPr>
        <w:pStyle w:val="23"/>
        <w:snapToGrid w:val="0"/>
        <w:spacing w:line="360" w:lineRule="auto"/>
        <w:ind w:firstLine="420"/>
        <w:rPr>
          <w:rFonts w:hint="eastAsia" w:hAnsi="宋体"/>
          <w:color w:val="auto"/>
          <w:sz w:val="21"/>
          <w:highlight w:val="none"/>
        </w:rPr>
      </w:pPr>
      <w:r>
        <w:rPr>
          <w:rFonts w:hint="eastAsia" w:hAnsi="宋体"/>
          <w:color w:val="auto"/>
          <w:sz w:val="21"/>
          <w:highlight w:val="none"/>
        </w:rPr>
        <w:t>（1）宣布开标：开标会由采购代理机构主持，主持人宣布开标开始；</w:t>
      </w:r>
    </w:p>
    <w:p w14:paraId="1FC3728E">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（2）主持人介绍参加开标会的人员名单；</w:t>
      </w:r>
    </w:p>
    <w:p w14:paraId="280E6D61">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（3）主持人宣布开标纪律；</w:t>
      </w:r>
    </w:p>
    <w:p w14:paraId="4C86FA21">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（4）检查文件：由各投标人检查各自的投标文件密封情况并签字确认。</w:t>
      </w:r>
    </w:p>
    <w:p w14:paraId="7136A04C">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（5）唱标：经投标人确认各自投标文件密封无误后，由采购代理机构工作当众拆封，宣布投标人名称、投标价格和其他需要宣布的内容。</w:t>
      </w:r>
    </w:p>
    <w:p w14:paraId="57B07B6B">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（6）开标过程由采购代理机构如实记录，由参加开标的各投标人代表对开标记录进行当场校核及勘误，并签字确认。投标人代表未到场签字确认或者拒绝签字确认的，视同认可开标结果；</w:t>
      </w:r>
    </w:p>
    <w:p w14:paraId="287BA2CC">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7）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A21274E">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（8）开标结束。</w:t>
      </w:r>
    </w:p>
    <w:p w14:paraId="54EDA1D8">
      <w:pPr>
        <w:pStyle w:val="4"/>
        <w:keepNext w:val="0"/>
        <w:keepLines w:val="0"/>
        <w:jc w:val="center"/>
        <w:rPr>
          <w:color w:val="auto"/>
          <w:highlight w:val="none"/>
        </w:rPr>
      </w:pPr>
      <w:r>
        <w:rPr>
          <w:rFonts w:hint="eastAsia"/>
          <w:color w:val="auto"/>
          <w:highlight w:val="none"/>
        </w:rPr>
        <w:t>五、资格审查</w:t>
      </w:r>
    </w:p>
    <w:p w14:paraId="3B66B263">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25.资格审查</w:t>
      </w:r>
    </w:p>
    <w:p w14:paraId="6DD64E6A">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25.1</w:t>
      </w:r>
      <w:r>
        <w:rPr>
          <w:rFonts w:ascii="宋体" w:hAnsi="宋体"/>
          <w:bCs/>
          <w:color w:val="auto"/>
          <w:szCs w:val="21"/>
          <w:highlight w:val="none"/>
        </w:rPr>
        <w:t>开标结束后，</w:t>
      </w:r>
      <w:r>
        <w:rPr>
          <w:rFonts w:hint="eastAsia" w:ascii="宋体" w:hAnsi="宋体"/>
          <w:bCs/>
          <w:color w:val="auto"/>
          <w:szCs w:val="21"/>
          <w:highlight w:val="none"/>
        </w:rPr>
        <w:t>采购人或者采购代理机构</w:t>
      </w:r>
      <w:r>
        <w:rPr>
          <w:rFonts w:ascii="宋体" w:hAnsi="宋体"/>
          <w:bCs/>
          <w:color w:val="auto"/>
          <w:szCs w:val="21"/>
          <w:highlight w:val="none"/>
        </w:rPr>
        <w:t>依法对投标人的资格进行审查。</w:t>
      </w:r>
    </w:p>
    <w:p w14:paraId="518B192A">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60514662">
      <w:pPr>
        <w:spacing w:line="360" w:lineRule="auto"/>
        <w:ind w:firstLine="422" w:firstLineChars="200"/>
        <w:rPr>
          <w:rFonts w:hint="eastAsia" w:ascii="宋体" w:hAnsi="宋体"/>
          <w:b/>
          <w:color w:val="auto"/>
          <w:szCs w:val="21"/>
          <w:highlight w:val="none"/>
        </w:rPr>
      </w:pPr>
      <w:bookmarkStart w:id="147" w:name="_25.3_投标人有下列情形之一的，资格审查不通过而导致其投标无效："/>
      <w:bookmarkEnd w:id="147"/>
      <w:r>
        <w:rPr>
          <w:rFonts w:hint="eastAsia" w:ascii="宋体" w:hAnsi="宋体"/>
          <w:b/>
          <w:color w:val="auto"/>
          <w:szCs w:val="21"/>
          <w:highlight w:val="none"/>
        </w:rPr>
        <w:t>25.3 投标人有下列情形之一的，资格审查不通过，作无效投标处理：</w:t>
      </w:r>
    </w:p>
    <w:p w14:paraId="29060D8C">
      <w:pPr>
        <w:pStyle w:val="23"/>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（1）不具备招标文件中规定的资格要求的；（注：其中信用查询规则见“投标人须知前附表”）</w:t>
      </w:r>
    </w:p>
    <w:p w14:paraId="68427592">
      <w:pPr>
        <w:pStyle w:val="23"/>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（2）投标文件未提供任一项“投标人须知前附表”资格证明文件规定的“必须提供”的文件资料的；</w:t>
      </w:r>
    </w:p>
    <w:p w14:paraId="58A54757">
      <w:pPr>
        <w:pStyle w:val="23"/>
        <w:snapToGrid w:val="0"/>
        <w:spacing w:line="360" w:lineRule="auto"/>
        <w:ind w:firstLine="422" w:firstLineChars="200"/>
        <w:rPr>
          <w:rFonts w:hint="eastAsia" w:hAnsi="宋体"/>
          <w:b/>
          <w:color w:val="auto"/>
          <w:sz w:val="21"/>
          <w:highlight w:val="none"/>
        </w:rPr>
      </w:pPr>
      <w:r>
        <w:rPr>
          <w:rFonts w:hint="eastAsia" w:hAnsi="宋体"/>
          <w:b/>
          <w:color w:val="auto"/>
          <w:sz w:val="21"/>
          <w:highlight w:val="none"/>
        </w:rPr>
        <w:t>（3）投标文件提供的资格证明文件出现任一项不符合“投标人须知前附表”资格证明文件规定的“必须提供”的文件资料要求或者无效的。</w:t>
      </w:r>
    </w:p>
    <w:p w14:paraId="57AEC49F">
      <w:pPr>
        <w:spacing w:line="360" w:lineRule="auto"/>
        <w:ind w:left="420" w:leftChars="200"/>
        <w:rPr>
          <w:rFonts w:hint="eastAsia" w:ascii="宋体" w:hAnsi="宋体"/>
          <w:b/>
          <w:color w:val="auto"/>
          <w:szCs w:val="21"/>
          <w:highlight w:val="none"/>
        </w:rPr>
      </w:pPr>
      <w:r>
        <w:rPr>
          <w:rFonts w:hint="eastAsia" w:ascii="宋体" w:hAnsi="宋体"/>
          <w:b/>
          <w:color w:val="auto"/>
          <w:szCs w:val="21"/>
          <w:highlight w:val="none"/>
        </w:rPr>
        <w:t>25.4资格审查的合格投标人不足3家的，不得评标。</w:t>
      </w:r>
    </w:p>
    <w:p w14:paraId="66B9F6CE">
      <w:pPr>
        <w:pStyle w:val="4"/>
        <w:keepNext w:val="0"/>
        <w:keepLines w:val="0"/>
        <w:jc w:val="center"/>
        <w:rPr>
          <w:color w:val="auto"/>
          <w:highlight w:val="none"/>
        </w:rPr>
      </w:pPr>
      <w:r>
        <w:rPr>
          <w:rFonts w:hint="eastAsia"/>
          <w:color w:val="auto"/>
          <w:highlight w:val="none"/>
        </w:rPr>
        <w:t>六、评   标</w:t>
      </w:r>
    </w:p>
    <w:p w14:paraId="073E1E06">
      <w:pPr>
        <w:pStyle w:val="5"/>
        <w:keepNext w:val="0"/>
        <w:keepLines w:val="0"/>
        <w:spacing w:before="0" w:after="0" w:line="360" w:lineRule="auto"/>
        <w:ind w:left="420" w:leftChars="200"/>
        <w:rPr>
          <w:rFonts w:hint="eastAsia" w:ascii="黑体" w:hAnsi="黑体"/>
          <w:color w:val="auto"/>
          <w:sz w:val="24"/>
          <w:highlight w:val="none"/>
        </w:rPr>
      </w:pPr>
      <w:bookmarkStart w:id="148" w:name="_26.组建评标委员会"/>
      <w:bookmarkEnd w:id="148"/>
      <w:r>
        <w:rPr>
          <w:rFonts w:hint="eastAsia" w:ascii="黑体" w:hAnsi="黑体"/>
          <w:color w:val="auto"/>
          <w:sz w:val="24"/>
          <w:highlight w:val="none"/>
        </w:rPr>
        <w:t>26.组建评标委员会</w:t>
      </w:r>
    </w:p>
    <w:p w14:paraId="75126FD8">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评标委员会由采购人代表和评审专家组成，具体人数详见“投标人须知前附表”，其中评审专家不得少于成员总数的三分之二。</w:t>
      </w:r>
    </w:p>
    <w:p w14:paraId="5F599CFD">
      <w:pPr>
        <w:pStyle w:val="23"/>
        <w:snapToGrid w:val="0"/>
        <w:spacing w:line="360" w:lineRule="auto"/>
        <w:ind w:left="2" w:leftChars="1" w:firstLine="420" w:firstLineChars="200"/>
        <w:rPr>
          <w:rFonts w:hint="eastAsia" w:hAnsi="宋体"/>
          <w:color w:val="auto"/>
          <w:sz w:val="21"/>
          <w:highlight w:val="none"/>
        </w:rPr>
      </w:pPr>
      <w:r>
        <w:rPr>
          <w:rFonts w:hint="eastAsia" w:hAnsi="宋体"/>
          <w:color w:val="auto"/>
          <w:sz w:val="21"/>
          <w:highlight w:val="none"/>
        </w:rPr>
        <w:t>参加过采购项目前期咨询论证的专家，不得参加该采购项目的评审活动。</w:t>
      </w:r>
    </w:p>
    <w:p w14:paraId="0BE888EE">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27.评标的依据</w:t>
      </w:r>
    </w:p>
    <w:p w14:paraId="72D9BEF7">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评标委员会以招标文件为依据对投标文件进行评审，</w:t>
      </w:r>
      <w:r>
        <w:rPr>
          <w:rFonts w:hint="eastAsia" w:hAnsi="宋体" w:cs="宋体"/>
          <w:color w:val="auto"/>
          <w:sz w:val="21"/>
          <w:highlight w:val="none"/>
        </w:rPr>
        <w:t>“第四章 评标方法和评标标准”</w:t>
      </w:r>
      <w:r>
        <w:rPr>
          <w:rFonts w:hAnsi="宋体"/>
          <w:color w:val="auto"/>
          <w:sz w:val="21"/>
          <w:highlight w:val="none"/>
        </w:rPr>
        <w:t>没有规定的方法、评审因素和标准，不作为评标依据。</w:t>
      </w:r>
    </w:p>
    <w:p w14:paraId="268005E3">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28.评标原则</w:t>
      </w:r>
    </w:p>
    <w:p w14:paraId="186EAE8F">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92B564D">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28.2评委表决。在评标过程中出现法律法规和招标文件均没有明确规定的情形时，由评标委员会现场协商解决，协商不一致的，由全体评委投票表决，以得票率二分之一以上专家的意见为准。</w:t>
      </w:r>
      <w:bookmarkStart w:id="149" w:name="_28.3评标方法。本项目将按须知前附表规定的评标办法进行评标，具体评标"/>
      <w:bookmarkEnd w:id="149"/>
    </w:p>
    <w:p w14:paraId="3E9AA436">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D9A7618">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评标过程的监控。本项目评标过程实行全程录音、录像监控，投标人在评标过程中所进行的试图影响评标结果的不公正活动，可能导致其投标按无效处理。</w:t>
      </w:r>
    </w:p>
    <w:p w14:paraId="39B165B0">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29.评标方法及评标标准</w:t>
      </w:r>
    </w:p>
    <w:p w14:paraId="6596EB26">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69C80551">
      <w:pPr>
        <w:pStyle w:val="23"/>
        <w:snapToGrid w:val="0"/>
        <w:spacing w:line="360" w:lineRule="auto"/>
        <w:ind w:firstLine="420" w:firstLineChars="200"/>
        <w:rPr>
          <w:rFonts w:hint="eastAsia" w:hAnsi="宋体" w:cs="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Ansi="宋体"/>
          <w:color w:val="auto"/>
          <w:sz w:val="21"/>
          <w:highlight w:val="none"/>
        </w:rPr>
        <w:t>评标委员会按照</w:t>
      </w:r>
      <w:r>
        <w:rPr>
          <w:rFonts w:hint="eastAsia" w:hAnsi="宋体" w:cs="宋体"/>
          <w:color w:val="auto"/>
          <w:sz w:val="21"/>
          <w:highlight w:val="none"/>
        </w:rPr>
        <w:t>“第四章 评标方法和评标标准”</w:t>
      </w:r>
      <w:r>
        <w:rPr>
          <w:rFonts w:hAnsi="宋体"/>
          <w:color w:val="auto"/>
          <w:sz w:val="21"/>
          <w:highlight w:val="none"/>
        </w:rPr>
        <w:t>规定的方法、评审因素、标准和程序对投标文件进行评审。</w:t>
      </w:r>
    </w:p>
    <w:p w14:paraId="3980DF93">
      <w:pPr>
        <w:pStyle w:val="4"/>
        <w:keepNext w:val="0"/>
        <w:keepLines w:val="0"/>
        <w:jc w:val="center"/>
        <w:rPr>
          <w:color w:val="auto"/>
          <w:highlight w:val="none"/>
        </w:rPr>
      </w:pPr>
      <w:bookmarkStart w:id="150" w:name="_Toc254970546"/>
      <w:bookmarkStart w:id="151" w:name="_Toc254970687"/>
      <w:r>
        <w:rPr>
          <w:rFonts w:hint="eastAsia"/>
          <w:color w:val="auto"/>
          <w:highlight w:val="none"/>
        </w:rPr>
        <w:t>七、</w:t>
      </w:r>
      <w:bookmarkEnd w:id="150"/>
      <w:bookmarkEnd w:id="151"/>
      <w:r>
        <w:rPr>
          <w:rFonts w:hint="eastAsia"/>
          <w:color w:val="auto"/>
          <w:highlight w:val="none"/>
        </w:rPr>
        <w:t>中标和合同</w:t>
      </w:r>
    </w:p>
    <w:p w14:paraId="200DDA81">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30 确定中标人</w:t>
      </w:r>
    </w:p>
    <w:p w14:paraId="4E844102">
      <w:pPr>
        <w:spacing w:line="360" w:lineRule="auto"/>
        <w:ind w:firstLine="420" w:firstLineChars="200"/>
        <w:rPr>
          <w:rFonts w:hint="eastAsia" w:ascii="宋体" w:hAnsi="宋体"/>
          <w:bCs/>
          <w:color w:val="auto"/>
          <w:szCs w:val="21"/>
          <w:highlight w:val="none"/>
        </w:rPr>
      </w:pPr>
      <w:r>
        <w:rPr>
          <w:rFonts w:ascii="宋体" w:hAnsi="宋体"/>
          <w:bCs/>
          <w:color w:val="auto"/>
          <w:szCs w:val="21"/>
          <w:highlight w:val="none"/>
        </w:rPr>
        <w:t>30.1</w:t>
      </w:r>
      <w:r>
        <w:rPr>
          <w:rFonts w:hint="eastAsia" w:ascii="宋体" w:hAnsi="宋体"/>
          <w:bCs/>
          <w:color w:val="auto"/>
          <w:szCs w:val="21"/>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42BEC1C4">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14:paraId="2B1C6674">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30.3</w:t>
      </w:r>
      <w:r>
        <w:rPr>
          <w:rFonts w:hint="eastAsia" w:ascii="宋体" w:hAnsi="宋体" w:cs="Courier New"/>
          <w:color w:val="auto"/>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7B933958">
      <w:pPr>
        <w:snapToGrid w:val="0"/>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30.4</w:t>
      </w:r>
      <w:r>
        <w:rPr>
          <w:rFonts w:hint="eastAsia" w:ascii="宋体" w:hAnsi="宋体" w:cs="Courier New"/>
          <w:color w:val="auto"/>
          <w:szCs w:val="21"/>
          <w:highlight w:val="none"/>
        </w:rPr>
        <w:t>排名第一的中标候选人放弃中标、因不可抗力提出不能履行合同，采购人可以确定排名第二的中标候选人为中标人。排名第二的中标候选人因前款规定的同样原因不能签订合同的，采购人可以确定排名第三的中标候选人为中标人，以此类推。</w:t>
      </w:r>
    </w:p>
    <w:p w14:paraId="5A0BD091">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31. 结果公告</w:t>
      </w:r>
    </w:p>
    <w:p w14:paraId="124D1E39">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1.1</w:t>
      </w:r>
      <w:r>
        <w:rPr>
          <w:rFonts w:hint="eastAsia" w:ascii="宋体" w:hAnsi="宋体"/>
          <w:bCs/>
          <w:color w:val="auto"/>
          <w:szCs w:val="21"/>
          <w:highlight w:val="none"/>
        </w:rPr>
        <w:t>中标人确定后，于中标人确定之日起2个工作日内，中标结果将在招标公告发布媒体上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w:t>
      </w:r>
    </w:p>
    <w:p w14:paraId="338D387D">
      <w:pPr>
        <w:snapToGrid w:val="0"/>
        <w:spacing w:line="360" w:lineRule="auto"/>
        <w:ind w:firstLine="420" w:firstLineChars="200"/>
        <w:rPr>
          <w:rFonts w:hint="eastAsia" w:ascii="宋体" w:hAnsi="宋体" w:cs="Courier New"/>
          <w:color w:val="auto"/>
          <w:szCs w:val="21"/>
          <w:highlight w:val="none"/>
        </w:rPr>
      </w:pPr>
      <w:r>
        <w:rPr>
          <w:rFonts w:hint="eastAsia" w:ascii="宋体" w:hAnsi="宋体"/>
          <w:color w:val="auto"/>
          <w:szCs w:val="21"/>
          <w:highlight w:val="none"/>
        </w:rPr>
        <w:t>排名第二的中标候选人因前款规定的同样原因被取消中标资格的，采购人可以确定排名第三的中标候选人为中标人，以此类推。</w:t>
      </w:r>
    </w:p>
    <w:p w14:paraId="4BBCEDB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29F7C126">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中小企业在政府采购活动过程中，请根据企业的真实情况出具《中小企业声明函》。依法享受中小企业优惠政策的，采购人或者采购代理机构在公告中标结果时，同时公告其《中小企业声明函》，接受社会监督。</w:t>
      </w:r>
    </w:p>
    <w:p w14:paraId="20B98F78">
      <w:pPr>
        <w:snapToGrid w:val="0"/>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政府采购活动过程中，请根据投标产品的真实情况出具《关于符合本国产品标准的声明函》。依法享受本国产品优惠政策的，采购人或者采购代理机构在公告中标结果时，同时公告中标供应商提供的《关于符合本国产品标准的声明函》或有关证明文件，接受社会监督。</w:t>
      </w:r>
    </w:p>
    <w:p w14:paraId="09C1BF12">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32.发出中标通知书</w:t>
      </w:r>
    </w:p>
    <w:p w14:paraId="68CBCC29">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在发布中标公告的同时，采购代理机构向中标人发出中标通知书。对未通过资格审查的投标人，应当告知其未通过的原因；采用综合评分办法评审的，还应当告知未中标人本人的评审得分与排序。</w:t>
      </w:r>
    </w:p>
    <w:p w14:paraId="6D642AB1">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33. 无义务解释未中标原因</w:t>
      </w:r>
    </w:p>
    <w:p w14:paraId="36C6B46C">
      <w:pPr>
        <w:spacing w:line="360" w:lineRule="auto"/>
        <w:ind w:left="420" w:leftChars="200"/>
        <w:rPr>
          <w:rFonts w:hint="eastAsia" w:ascii="宋体" w:hAnsi="宋体"/>
          <w:bCs/>
          <w:color w:val="auto"/>
          <w:szCs w:val="21"/>
          <w:highlight w:val="none"/>
        </w:rPr>
      </w:pPr>
      <w:r>
        <w:rPr>
          <w:rFonts w:hint="eastAsia" w:ascii="宋体" w:hAnsi="宋体"/>
          <w:bCs/>
          <w:color w:val="auto"/>
          <w:szCs w:val="21"/>
          <w:highlight w:val="none"/>
        </w:rPr>
        <w:t>采购代理机构无义务向未中标的投标人解释未中标原因和退还投标文件。</w:t>
      </w:r>
    </w:p>
    <w:p w14:paraId="00047146">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34.合同授予标准</w:t>
      </w:r>
    </w:p>
    <w:p w14:paraId="457A3C55">
      <w:pPr>
        <w:snapToGrid w:val="0"/>
        <w:spacing w:line="360" w:lineRule="auto"/>
        <w:ind w:firstLine="420" w:firstLineChars="20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合同将授予被确定实质上响应招标文件要求，具备履行合同能力的中标人（招标文件另有约定多名中标人的除外）。</w:t>
      </w:r>
    </w:p>
    <w:p w14:paraId="7D6961AB">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35.履约保证金</w:t>
      </w:r>
    </w:p>
    <w:p w14:paraId="4ED4CE30">
      <w:pPr>
        <w:spacing w:line="360" w:lineRule="auto"/>
        <w:ind w:firstLine="315" w:firstLineChars="150"/>
        <w:rPr>
          <w:rFonts w:hint="eastAsia" w:ascii="宋体" w:hAnsi="宋体"/>
          <w:bCs/>
          <w:color w:val="auto"/>
          <w:szCs w:val="21"/>
          <w:highlight w:val="none"/>
        </w:rPr>
      </w:pPr>
      <w:bookmarkStart w:id="152" w:name="_39.1中标人须于签订合同前按本须知前附表规定的金额转账或电汇到指定账"/>
      <w:bookmarkEnd w:id="152"/>
      <w:r>
        <w:rPr>
          <w:rFonts w:ascii="宋体" w:hAnsi="宋体"/>
          <w:bCs/>
          <w:color w:val="auto"/>
          <w:szCs w:val="21"/>
          <w:highlight w:val="none"/>
        </w:rPr>
        <w:t xml:space="preserve"> </w:t>
      </w:r>
      <w:r>
        <w:rPr>
          <w:rFonts w:hint="eastAsia" w:ascii="宋体" w:hAnsi="宋体"/>
          <w:bCs/>
          <w:color w:val="auto"/>
          <w:szCs w:val="21"/>
          <w:highlight w:val="none"/>
        </w:rPr>
        <w:t>3</w:t>
      </w:r>
      <w:r>
        <w:rPr>
          <w:rFonts w:ascii="宋体" w:hAnsi="宋体"/>
          <w:bCs/>
          <w:color w:val="auto"/>
          <w:szCs w:val="21"/>
          <w:highlight w:val="none"/>
        </w:rPr>
        <w:t>5</w:t>
      </w:r>
      <w:r>
        <w:rPr>
          <w:rFonts w:hint="eastAsia" w:ascii="宋体" w:hAnsi="宋体"/>
          <w:bCs/>
          <w:color w:val="auto"/>
          <w:szCs w:val="21"/>
          <w:highlight w:val="none"/>
        </w:rPr>
        <w:t>.1 履约保证金的金额、提交方式、退付的时间和条件详见 “投标人须知前附表”。中标人未按规定提交履约保证金的，视为拒绝与采购人签订合同，采购人可以按照评标报告推荐的中标候选人名单排序，确定下一候选人为中标人，也可以重新开展政府采购活动。</w:t>
      </w:r>
    </w:p>
    <w:p w14:paraId="54F6E506">
      <w:pPr>
        <w:spacing w:line="360" w:lineRule="auto"/>
        <w:ind w:firstLine="315" w:firstLineChars="150"/>
        <w:rPr>
          <w:rFonts w:hint="eastAsia" w:ascii="宋体" w:hAnsi="宋体"/>
          <w:bCs/>
          <w:color w:val="auto"/>
          <w:szCs w:val="21"/>
          <w:highlight w:val="none"/>
        </w:rPr>
      </w:pPr>
      <w:r>
        <w:rPr>
          <w:rFonts w:ascii="宋体" w:hAnsi="宋体"/>
          <w:bCs/>
          <w:color w:val="auto"/>
          <w:szCs w:val="21"/>
          <w:highlight w:val="none"/>
        </w:rPr>
        <w:t xml:space="preserve"> </w:t>
      </w:r>
      <w:r>
        <w:rPr>
          <w:rFonts w:hint="eastAsia" w:ascii="宋体" w:hAnsi="宋体"/>
          <w:bCs/>
          <w:color w:val="auto"/>
          <w:szCs w:val="21"/>
          <w:highlight w:val="none"/>
        </w:rPr>
        <w:t>3</w:t>
      </w:r>
      <w:r>
        <w:rPr>
          <w:rFonts w:ascii="宋体" w:hAnsi="宋体"/>
          <w:bCs/>
          <w:color w:val="auto"/>
          <w:szCs w:val="21"/>
          <w:highlight w:val="none"/>
        </w:rPr>
        <w:t>5</w:t>
      </w:r>
      <w:r>
        <w:rPr>
          <w:rFonts w:hint="eastAsia" w:ascii="宋体" w:hAnsi="宋体"/>
          <w:bCs/>
          <w:color w:val="auto"/>
          <w:szCs w:val="21"/>
          <w:highlight w:val="none"/>
        </w:rPr>
        <w:t>.2签订合同后，如中标人不按双方签订的合同规定履约，则没收其全部履约保证金，履约保证金不足以赔偿损失的，按实际损失赔偿。</w:t>
      </w:r>
    </w:p>
    <w:p w14:paraId="1EBCEC00">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5</w:t>
      </w:r>
      <w:r>
        <w:rPr>
          <w:rFonts w:hint="eastAsia" w:ascii="宋体" w:hAnsi="宋体"/>
          <w:bCs/>
          <w:color w:val="auto"/>
          <w:szCs w:val="21"/>
          <w:highlight w:val="none"/>
        </w:rPr>
        <w:t>.3在履约保证金退还日期前，若中标人的开户名称、开户银行、账号有变动的，请以书面形式通知履约保证金收取单位，否则由此产生的后果由中标人自行承担。</w:t>
      </w:r>
    </w:p>
    <w:p w14:paraId="50B68727">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36.签订合同</w:t>
      </w:r>
    </w:p>
    <w:p w14:paraId="056BC421">
      <w:pPr>
        <w:spacing w:line="360" w:lineRule="auto"/>
        <w:ind w:firstLine="315" w:firstLineChars="150"/>
        <w:rPr>
          <w:rFonts w:hint="eastAsia" w:ascii="宋体" w:hAnsi="宋体"/>
          <w:bCs/>
          <w:color w:val="auto"/>
          <w:szCs w:val="21"/>
          <w:highlight w:val="none"/>
        </w:rPr>
      </w:pPr>
      <w:bookmarkStart w:id="153" w:name="_40.1投标人接到中标通知书后，按须知前附表规定向采购人出示相关资格证"/>
      <w:bookmarkEnd w:id="153"/>
      <w:r>
        <w:rPr>
          <w:rFonts w:hint="eastAsia" w:ascii="宋体" w:hAnsi="宋体"/>
          <w:bCs/>
          <w:color w:val="auto"/>
          <w:szCs w:val="21"/>
          <w:highlight w:val="none"/>
        </w:rPr>
        <w:t xml:space="preserve"> 36.1投标人领取中标通知书后，按“投标人须知前附表”规定向采购人出示相关证明材料，经采购人核验合格后方可签订合同。</w:t>
      </w:r>
    </w:p>
    <w:p w14:paraId="124FDB1E">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36.2签订合同时间：按中标通知书规定的时间与采购人签订合同。</w:t>
      </w:r>
    </w:p>
    <w:p w14:paraId="1C95B90F">
      <w:pPr>
        <w:spacing w:line="360" w:lineRule="auto"/>
        <w:ind w:firstLine="315" w:firstLineChars="150"/>
        <w:rPr>
          <w:rFonts w:hint="eastAsia" w:ascii="宋体" w:hAnsi="宋体"/>
          <w:bCs/>
          <w:color w:val="auto"/>
          <w:szCs w:val="21"/>
          <w:highlight w:val="none"/>
        </w:rPr>
      </w:pPr>
      <w:r>
        <w:rPr>
          <w:rFonts w:hint="eastAsia" w:ascii="宋体" w:hAnsi="宋体"/>
          <w:bCs/>
          <w:color w:val="auto"/>
          <w:szCs w:val="21"/>
          <w:highlight w:val="none"/>
        </w:rPr>
        <w:t xml:space="preserve"> 36.</w:t>
      </w:r>
      <w:r>
        <w:rPr>
          <w:rFonts w:ascii="宋体" w:hAnsi="宋体"/>
          <w:bCs/>
          <w:color w:val="auto"/>
          <w:szCs w:val="21"/>
          <w:highlight w:val="none"/>
        </w:rPr>
        <w:t>3</w:t>
      </w:r>
      <w:r>
        <w:rPr>
          <w:rFonts w:hint="eastAsia" w:ascii="宋体" w:hAnsi="宋体"/>
          <w:bCs/>
          <w:color w:val="auto"/>
          <w:szCs w:val="21"/>
          <w:highlight w:val="none"/>
        </w:rPr>
        <w:t>中标人拒绝与采购人签订合同的，采购人可以按照评审报告推荐的中标候选人名单排序，确定下一候选人为中标人，也可以重新开展政府采购活动。</w:t>
      </w:r>
    </w:p>
    <w:p w14:paraId="36E93FE7">
      <w:pPr>
        <w:pStyle w:val="5"/>
        <w:keepNext w:val="0"/>
        <w:keepLines w:val="0"/>
        <w:spacing w:before="0" w:after="0" w:line="360" w:lineRule="auto"/>
        <w:ind w:left="420" w:leftChars="200"/>
        <w:rPr>
          <w:rFonts w:hint="eastAsia" w:ascii="黑体" w:hAnsi="黑体"/>
          <w:color w:val="auto"/>
          <w:sz w:val="24"/>
          <w:highlight w:val="none"/>
        </w:rPr>
      </w:pPr>
      <w:bookmarkStart w:id="154" w:name="_41.政府采购合同公告"/>
      <w:bookmarkEnd w:id="154"/>
      <w:r>
        <w:rPr>
          <w:rFonts w:hint="eastAsia" w:ascii="黑体" w:hAnsi="黑体"/>
          <w:color w:val="auto"/>
          <w:sz w:val="24"/>
          <w:highlight w:val="none"/>
        </w:rPr>
        <w:t>37.政府采购合同公告</w:t>
      </w:r>
    </w:p>
    <w:p w14:paraId="2D455763">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58363BF8">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38. 询问、质疑和投诉</w:t>
      </w:r>
    </w:p>
    <w:p w14:paraId="33A76C1E">
      <w:pPr>
        <w:pStyle w:val="7"/>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供应商对政府采购活动事项有疑问的，可以向采购人提出询问，采购人应当及时作出答复，但答复的内容不得涉及商业秘密。</w:t>
      </w:r>
    </w:p>
    <w:p w14:paraId="38EB7844">
      <w:pPr>
        <w:spacing w:line="360" w:lineRule="auto"/>
        <w:ind w:firstLine="315" w:firstLineChars="150"/>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38</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C71997A">
      <w:pPr>
        <w:pStyle w:val="23"/>
        <w:snapToGrid w:val="0"/>
        <w:spacing w:line="360" w:lineRule="auto"/>
        <w:ind w:firstLine="420" w:firstLineChars="20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6D19AFD0">
      <w:pPr>
        <w:pStyle w:val="23"/>
        <w:snapToGrid w:val="0"/>
        <w:spacing w:line="360" w:lineRule="auto"/>
        <w:ind w:firstLine="420" w:firstLineChars="20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0D7ABE3E">
      <w:pPr>
        <w:pStyle w:val="23"/>
        <w:snapToGrid w:val="0"/>
        <w:spacing w:line="360" w:lineRule="auto"/>
        <w:ind w:firstLine="420" w:firstLineChars="20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38E117C8">
      <w:pPr>
        <w:pStyle w:val="23"/>
        <w:snapToGrid w:val="0"/>
        <w:spacing w:line="360" w:lineRule="auto"/>
        <w:ind w:firstLine="420" w:firstLineChars="200"/>
        <w:rPr>
          <w:rFonts w:hint="eastAsia" w:hAnsi="宋体"/>
          <w:color w:val="auto"/>
          <w:sz w:val="21"/>
          <w:highlight w:val="none"/>
        </w:rPr>
      </w:pPr>
      <w:r>
        <w:rPr>
          <w:rFonts w:hint="eastAsia" w:hAnsi="宋体"/>
          <w:color w:val="auto"/>
          <w:sz w:val="21"/>
          <w:highlight w:val="none"/>
        </w:rPr>
        <w:t>供应商对采购人、采购代理机构的质疑答复不满意，或者采购人、采购代理机构未在规定时间内作出答复的，可以在答复期满后十五个工作日内向同级政府采购监管部门投诉。</w:t>
      </w:r>
    </w:p>
    <w:p w14:paraId="2E5A2388">
      <w:pPr>
        <w:spacing w:line="360" w:lineRule="auto"/>
        <w:ind w:firstLine="316" w:firstLineChars="150"/>
        <w:rPr>
          <w:rFonts w:hint="eastAsia" w:ascii="宋体" w:hAnsi="宋体"/>
          <w:b/>
          <w:color w:val="auto"/>
          <w:szCs w:val="21"/>
          <w:highlight w:val="none"/>
        </w:rPr>
      </w:pPr>
      <w:bookmarkStart w:id="155" w:name="_9.2质疑、投诉应当采用书面形式，质疑函、投诉书均应明确阐述招标文件、"/>
      <w:bookmarkEnd w:id="155"/>
      <w:r>
        <w:rPr>
          <w:rFonts w:hint="eastAsia" w:ascii="宋体" w:hAnsi="宋体"/>
          <w:b/>
          <w:color w:val="auto"/>
          <w:szCs w:val="21"/>
          <w:highlight w:val="none"/>
        </w:rPr>
        <w:t xml:space="preserve"> </w:t>
      </w:r>
      <w:r>
        <w:rPr>
          <w:rFonts w:ascii="宋体" w:hAnsi="宋体"/>
          <w:b/>
          <w:color w:val="auto"/>
          <w:szCs w:val="21"/>
          <w:highlight w:val="none"/>
        </w:rPr>
        <w:t>38</w:t>
      </w:r>
      <w:r>
        <w:rPr>
          <w:rFonts w:hint="eastAsia" w:ascii="宋体" w:hAnsi="宋体"/>
          <w:b/>
          <w:color w:val="auto"/>
          <w:szCs w:val="21"/>
          <w:highlight w:val="none"/>
        </w:rPr>
        <w:t>.</w:t>
      </w:r>
      <w:r>
        <w:rPr>
          <w:rFonts w:ascii="宋体" w:hAnsi="宋体"/>
          <w:b/>
          <w:color w:val="auto"/>
          <w:szCs w:val="21"/>
          <w:highlight w:val="none"/>
        </w:rPr>
        <w:t>3</w:t>
      </w:r>
      <w:r>
        <w:rPr>
          <w:rFonts w:hint="eastAsia" w:ascii="宋体" w:hAnsi="宋体"/>
          <w:b/>
          <w:color w:val="auto"/>
          <w:szCs w:val="21"/>
          <w:highlight w:val="none"/>
        </w:rPr>
        <w:t xml:space="preserve"> </w:t>
      </w:r>
      <w:r>
        <w:rPr>
          <w:rFonts w:hAnsi="宋体"/>
          <w:b/>
          <w:color w:val="auto"/>
          <w:highlight w:val="none"/>
        </w:rPr>
        <w:t>供应商提出质疑应当提交质疑函和必要的证明材料</w:t>
      </w:r>
      <w:r>
        <w:rPr>
          <w:rFonts w:hint="eastAsia" w:hAnsi="宋体"/>
          <w:b/>
          <w:color w:val="auto"/>
          <w:highlight w:val="none"/>
        </w:rPr>
        <w:t>，</w:t>
      </w:r>
      <w:r>
        <w:rPr>
          <w:rFonts w:hAnsi="宋体"/>
          <w:b/>
          <w:color w:val="auto"/>
          <w:highlight w:val="none"/>
        </w:rPr>
        <w:t>针对同一采购程序环节的质疑</w:t>
      </w:r>
      <w:r>
        <w:rPr>
          <w:rFonts w:hint="eastAsia" w:hAnsi="宋体"/>
          <w:b/>
          <w:color w:val="auto"/>
          <w:highlight w:val="none"/>
        </w:rPr>
        <w:t>必须</w:t>
      </w:r>
      <w:r>
        <w:rPr>
          <w:rFonts w:hAnsi="宋体"/>
          <w:b/>
          <w:color w:val="auto"/>
          <w:highlight w:val="none"/>
        </w:rPr>
        <w:t>在法定质疑期内一次性提出。质疑函应当包括下列内容</w:t>
      </w:r>
      <w:r>
        <w:rPr>
          <w:rFonts w:hint="eastAsia" w:hAnsi="宋体"/>
          <w:b/>
          <w:color w:val="auto"/>
          <w:highlight w:val="none"/>
        </w:rPr>
        <w:t>（质疑函格式后附）</w:t>
      </w:r>
      <w:r>
        <w:rPr>
          <w:rFonts w:hAnsi="宋体"/>
          <w:b/>
          <w:color w:val="auto"/>
          <w:highlight w:val="none"/>
        </w:rPr>
        <w:t>：</w:t>
      </w:r>
    </w:p>
    <w:p w14:paraId="5311E402">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70650521">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6E82AC1C">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2611A862">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0E7574F9">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4B151EDE">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044DFD26">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供应商为自然人的，应当由本人签字；供应商为法人或者其他组织的，应当由法定代表人、主要负责人，或者其委托代理人签字或者盖章，并加盖公章</w:t>
      </w:r>
      <w:r>
        <w:rPr>
          <w:rFonts w:hint="eastAsia" w:hAnsi="宋体"/>
          <w:bCs/>
          <w:color w:val="auto"/>
          <w:sz w:val="21"/>
          <w:highlight w:val="none"/>
        </w:rPr>
        <w:t>。</w:t>
      </w:r>
    </w:p>
    <w:p w14:paraId="3EF54DC2">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38.4</w:t>
      </w:r>
      <w:r>
        <w:rPr>
          <w:rFonts w:hint="eastAsia" w:ascii="宋体" w:hAnsi="宋体"/>
          <w:b/>
          <w:color w:val="auto"/>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63B4D2BB">
      <w:pPr>
        <w:pStyle w:val="23"/>
        <w:snapToGrid w:val="0"/>
        <w:spacing w:line="360" w:lineRule="auto"/>
        <w:rPr>
          <w:rFonts w:hint="eastAsia"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2B05462C">
      <w:pPr>
        <w:pStyle w:val="23"/>
        <w:snapToGrid w:val="0"/>
        <w:spacing w:line="360" w:lineRule="auto"/>
        <w:rPr>
          <w:rFonts w:hint="eastAsia"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（二）对采购过程、中标结果提出的质疑，合格供应商符合法定数量时，可以从合格的中标候选人中另行确定中标人的，应当依法另行确定中标人；否则应当重新开展采购活动。</w:t>
      </w:r>
    </w:p>
    <w:p w14:paraId="0461D197">
      <w:pPr>
        <w:pStyle w:val="23"/>
        <w:snapToGrid w:val="0"/>
        <w:spacing w:line="360" w:lineRule="auto"/>
        <w:ind w:firstLine="420"/>
        <w:rPr>
          <w:rFonts w:hint="eastAsia"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37B24BE6">
      <w:pPr>
        <w:pStyle w:val="23"/>
        <w:snapToGrid w:val="0"/>
        <w:spacing w:line="360" w:lineRule="auto"/>
        <w:ind w:firstLine="422" w:firstLineChars="200"/>
        <w:rPr>
          <w:rFonts w:hint="eastAsia" w:hAnsi="宋体"/>
          <w:b/>
          <w:color w:val="auto"/>
          <w:sz w:val="21"/>
          <w:highlight w:val="none"/>
        </w:rPr>
      </w:pPr>
      <w:r>
        <w:rPr>
          <w:rFonts w:hAnsi="宋体"/>
          <w:b/>
          <w:color w:val="auto"/>
          <w:sz w:val="21"/>
          <w:highlight w:val="none"/>
        </w:rPr>
        <w:t>38</w:t>
      </w:r>
      <w:r>
        <w:rPr>
          <w:rFonts w:hint="eastAsia" w:hAnsi="宋体"/>
          <w:b/>
          <w:color w:val="auto"/>
          <w:sz w:val="21"/>
          <w:highlight w:val="none"/>
        </w:rPr>
        <w:t>.</w:t>
      </w:r>
      <w:r>
        <w:rPr>
          <w:rFonts w:hAnsi="宋体"/>
          <w:b/>
          <w:color w:val="auto"/>
          <w:sz w:val="21"/>
          <w:highlight w:val="none"/>
        </w:rPr>
        <w:t>5</w:t>
      </w:r>
      <w:r>
        <w:rPr>
          <w:rFonts w:hint="eastAsia" w:hAnsi="宋体"/>
          <w:b/>
          <w:color w:val="auto"/>
          <w:sz w:val="21"/>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E167951">
      <w:pPr>
        <w:pStyle w:val="4"/>
        <w:keepNext w:val="0"/>
        <w:keepLines w:val="0"/>
        <w:jc w:val="center"/>
        <w:rPr>
          <w:color w:val="auto"/>
          <w:highlight w:val="none"/>
        </w:rPr>
      </w:pPr>
      <w:bookmarkStart w:id="156" w:name="_八、其他事项"/>
      <w:bookmarkEnd w:id="156"/>
      <w:r>
        <w:rPr>
          <w:rFonts w:hint="eastAsia"/>
          <w:color w:val="auto"/>
          <w:highlight w:val="none"/>
        </w:rPr>
        <w:t>八、其他事项</w:t>
      </w:r>
    </w:p>
    <w:p w14:paraId="4F38EC32">
      <w:pPr>
        <w:pStyle w:val="5"/>
        <w:keepNext w:val="0"/>
        <w:keepLines w:val="0"/>
        <w:spacing w:before="0" w:after="0" w:line="360" w:lineRule="auto"/>
        <w:ind w:left="420" w:leftChars="200"/>
        <w:rPr>
          <w:rFonts w:hint="eastAsia" w:ascii="黑体" w:hAnsi="黑体"/>
          <w:color w:val="auto"/>
          <w:sz w:val="24"/>
          <w:highlight w:val="none"/>
        </w:rPr>
      </w:pPr>
      <w:bookmarkStart w:id="157" w:name="_42.代理服务费"/>
      <w:bookmarkEnd w:id="157"/>
      <w:r>
        <w:rPr>
          <w:rFonts w:hint="eastAsia" w:ascii="黑体" w:hAnsi="黑体"/>
          <w:color w:val="auto"/>
          <w:sz w:val="24"/>
          <w:highlight w:val="none"/>
        </w:rPr>
        <w:t>39.代理服务费</w:t>
      </w:r>
    </w:p>
    <w:p w14:paraId="55CA16D9">
      <w:pPr>
        <w:pStyle w:val="23"/>
        <w:snapToGrid w:val="0"/>
        <w:spacing w:line="360" w:lineRule="auto"/>
        <w:ind w:firstLine="420"/>
        <w:rPr>
          <w:rFonts w:hint="eastAsia" w:hAnsi="宋体"/>
          <w:bCs/>
          <w:color w:val="auto"/>
          <w:sz w:val="21"/>
          <w:highlight w:val="none"/>
        </w:rPr>
      </w:pPr>
      <w:r>
        <w:rPr>
          <w:rFonts w:hint="eastAsia" w:hAnsi="宋体"/>
          <w:bCs/>
          <w:color w:val="auto"/>
          <w:sz w:val="21"/>
          <w:highlight w:val="none"/>
        </w:rPr>
        <w:t>3</w:t>
      </w:r>
      <w:r>
        <w:rPr>
          <w:rFonts w:hAnsi="宋体"/>
          <w:bCs/>
          <w:color w:val="auto"/>
          <w:sz w:val="21"/>
          <w:highlight w:val="none"/>
        </w:rPr>
        <w:t>9</w:t>
      </w:r>
      <w:r>
        <w:rPr>
          <w:rFonts w:hint="eastAsia" w:hAnsi="宋体"/>
          <w:bCs/>
          <w:color w:val="auto"/>
          <w:sz w:val="21"/>
          <w:highlight w:val="none"/>
        </w:rPr>
        <w:t>.1代理服务收费标准及缴费账户详见“投标人须知前附表”，投标人为联合体的，可以由联合体中的一方或者多方共同交纳代理服务费。</w:t>
      </w:r>
    </w:p>
    <w:p w14:paraId="44DB771F">
      <w:pPr>
        <w:pStyle w:val="23"/>
        <w:snapToGrid w:val="0"/>
        <w:spacing w:line="360" w:lineRule="auto"/>
        <w:ind w:firstLine="420"/>
        <w:rPr>
          <w:rFonts w:hint="eastAsia" w:hAnsi="宋体"/>
          <w:bCs/>
          <w:color w:val="auto"/>
          <w:sz w:val="21"/>
          <w:highlight w:val="none"/>
        </w:rPr>
      </w:pPr>
      <w:r>
        <w:rPr>
          <w:rFonts w:hint="eastAsia" w:hAnsi="宋体"/>
          <w:bCs/>
          <w:color w:val="auto"/>
          <w:sz w:val="21"/>
          <w:highlight w:val="none"/>
        </w:rPr>
        <w:t>3</w:t>
      </w:r>
      <w:r>
        <w:rPr>
          <w:rFonts w:hAnsi="宋体"/>
          <w:bCs/>
          <w:color w:val="auto"/>
          <w:sz w:val="21"/>
          <w:highlight w:val="none"/>
        </w:rPr>
        <w:t>9</w:t>
      </w:r>
      <w:r>
        <w:rPr>
          <w:rFonts w:hint="eastAsia" w:hAnsi="宋体"/>
          <w:bCs/>
          <w:color w:val="auto"/>
          <w:sz w:val="21"/>
          <w:highlight w:val="none"/>
        </w:rPr>
        <w:t>.2代理服务收费标准：</w:t>
      </w:r>
    </w:p>
    <w:tbl>
      <w:tblPr>
        <w:tblStyle w:val="4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1"/>
        <w:gridCol w:w="1989"/>
        <w:gridCol w:w="1809"/>
        <w:gridCol w:w="1809"/>
      </w:tblGrid>
      <w:tr w14:paraId="0D83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Borders>
              <w:tl2br w:val="single" w:color="auto" w:sz="4" w:space="0"/>
            </w:tcBorders>
          </w:tcPr>
          <w:p w14:paraId="3275B68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费率</w:t>
            </w:r>
          </w:p>
          <w:p w14:paraId="68E74F53">
            <w:pPr>
              <w:spacing w:line="360" w:lineRule="auto"/>
              <w:rPr>
                <w:rFonts w:hint="eastAsia" w:ascii="宋体" w:hAnsi="宋体"/>
                <w:color w:val="auto"/>
                <w:szCs w:val="21"/>
                <w:highlight w:val="none"/>
              </w:rPr>
            </w:pPr>
            <w:r>
              <w:rPr>
                <w:rFonts w:hint="eastAsia" w:ascii="宋体" w:hAnsi="宋体"/>
                <w:color w:val="auto"/>
                <w:szCs w:val="21"/>
                <w:highlight w:val="none"/>
              </w:rPr>
              <w:t>中标金额</w:t>
            </w:r>
          </w:p>
        </w:tc>
        <w:tc>
          <w:tcPr>
            <w:tcW w:w="1058" w:type="pct"/>
            <w:vAlign w:val="center"/>
          </w:tcPr>
          <w:p w14:paraId="0CDB028A">
            <w:pPr>
              <w:spacing w:line="360" w:lineRule="auto"/>
              <w:ind w:firstLine="105" w:firstLineChars="50"/>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962" w:type="pct"/>
            <w:vAlign w:val="center"/>
          </w:tcPr>
          <w:p w14:paraId="48FD2460">
            <w:pPr>
              <w:spacing w:line="360" w:lineRule="auto"/>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962" w:type="pct"/>
            <w:vAlign w:val="center"/>
          </w:tcPr>
          <w:p w14:paraId="32695237">
            <w:pPr>
              <w:spacing w:line="360" w:lineRule="auto"/>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0A65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14254D60">
            <w:pPr>
              <w:spacing w:line="360" w:lineRule="auto"/>
              <w:rPr>
                <w:rFonts w:hint="eastAsia" w:ascii="宋体" w:hAnsi="宋体"/>
                <w:color w:val="auto"/>
                <w:szCs w:val="21"/>
                <w:highlight w:val="none"/>
              </w:rPr>
            </w:pPr>
            <w:r>
              <w:rPr>
                <w:rFonts w:hint="eastAsia" w:ascii="宋体" w:hAnsi="宋体"/>
                <w:color w:val="auto"/>
                <w:szCs w:val="21"/>
                <w:highlight w:val="none"/>
              </w:rPr>
              <w:t>100万元以下</w:t>
            </w:r>
          </w:p>
        </w:tc>
        <w:tc>
          <w:tcPr>
            <w:tcW w:w="1058" w:type="pct"/>
          </w:tcPr>
          <w:p w14:paraId="76160B3A">
            <w:pPr>
              <w:spacing w:line="360" w:lineRule="auto"/>
              <w:rPr>
                <w:rFonts w:hint="eastAsia"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1.5%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962" w:type="pct"/>
          </w:tcPr>
          <w:p w14:paraId="46B9A87B">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1.5%</w:t>
            </w:r>
          </w:p>
        </w:tc>
        <w:tc>
          <w:tcPr>
            <w:tcW w:w="962" w:type="pct"/>
          </w:tcPr>
          <w:p w14:paraId="5B814CA0">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1.0% </w:t>
            </w:r>
          </w:p>
        </w:tc>
      </w:tr>
      <w:tr w14:paraId="4A4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727C31C4">
            <w:pPr>
              <w:spacing w:line="360" w:lineRule="auto"/>
              <w:rPr>
                <w:rFonts w:hint="eastAsia" w:ascii="宋体" w:hAnsi="宋体"/>
                <w:color w:val="auto"/>
                <w:szCs w:val="21"/>
                <w:highlight w:val="none"/>
              </w:rPr>
            </w:pPr>
            <w:r>
              <w:rPr>
                <w:rFonts w:hint="eastAsia" w:ascii="宋体" w:hAnsi="宋体"/>
                <w:color w:val="auto"/>
                <w:szCs w:val="21"/>
                <w:highlight w:val="none"/>
              </w:rPr>
              <w:t>100～500万元</w:t>
            </w:r>
          </w:p>
        </w:tc>
        <w:tc>
          <w:tcPr>
            <w:tcW w:w="1058" w:type="pct"/>
          </w:tcPr>
          <w:p w14:paraId="218E33AD">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1.1% </w:t>
            </w:r>
            <w:r>
              <w:rPr>
                <w:rFonts w:hint="eastAsia" w:ascii="宋体" w:hAnsi="宋体" w:cs="宋体"/>
                <w:color w:val="auto"/>
                <w:kern w:val="0"/>
                <w:szCs w:val="21"/>
                <w:highlight w:val="none"/>
              </w:rPr>
              <w:t xml:space="preserve">                </w:t>
            </w:r>
          </w:p>
        </w:tc>
        <w:tc>
          <w:tcPr>
            <w:tcW w:w="962" w:type="pct"/>
          </w:tcPr>
          <w:p w14:paraId="676136E8">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0.8%</w:t>
            </w:r>
          </w:p>
        </w:tc>
        <w:tc>
          <w:tcPr>
            <w:tcW w:w="962" w:type="pct"/>
          </w:tcPr>
          <w:p w14:paraId="178451ED">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0.7% </w:t>
            </w:r>
          </w:p>
        </w:tc>
      </w:tr>
      <w:tr w14:paraId="4147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3D360266">
            <w:pPr>
              <w:spacing w:line="360" w:lineRule="auto"/>
              <w:rPr>
                <w:rFonts w:hint="eastAsia" w:ascii="宋体" w:hAnsi="宋体"/>
                <w:color w:val="auto"/>
                <w:szCs w:val="21"/>
                <w:highlight w:val="none"/>
              </w:rPr>
            </w:pPr>
            <w:r>
              <w:rPr>
                <w:rFonts w:hint="eastAsia" w:ascii="宋体" w:hAnsi="宋体"/>
                <w:color w:val="auto"/>
                <w:szCs w:val="21"/>
                <w:highlight w:val="none"/>
              </w:rPr>
              <w:t>500～1000万元</w:t>
            </w:r>
          </w:p>
        </w:tc>
        <w:tc>
          <w:tcPr>
            <w:tcW w:w="1058" w:type="pct"/>
          </w:tcPr>
          <w:p w14:paraId="5C06CB36">
            <w:pPr>
              <w:spacing w:line="360" w:lineRule="auto"/>
              <w:rPr>
                <w:rFonts w:hint="eastAsia" w:ascii="宋体" w:hAnsi="宋体"/>
                <w:color w:val="auto"/>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0.8% </w:t>
            </w:r>
            <w:r>
              <w:rPr>
                <w:rFonts w:hint="eastAsia" w:ascii="宋体" w:hAnsi="宋体" w:cs="宋体"/>
                <w:color w:val="auto"/>
                <w:kern w:val="0"/>
                <w:szCs w:val="21"/>
                <w:highlight w:val="none"/>
              </w:rPr>
              <w:t xml:space="preserve">               </w:t>
            </w:r>
          </w:p>
        </w:tc>
        <w:tc>
          <w:tcPr>
            <w:tcW w:w="962" w:type="pct"/>
          </w:tcPr>
          <w:p w14:paraId="0BAEAD63">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0.45%</w:t>
            </w:r>
          </w:p>
        </w:tc>
        <w:tc>
          <w:tcPr>
            <w:tcW w:w="962" w:type="pct"/>
          </w:tcPr>
          <w:p w14:paraId="473E6F7A">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0.55%</w:t>
            </w:r>
          </w:p>
        </w:tc>
      </w:tr>
      <w:tr w14:paraId="0642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6FA83D92">
            <w:pPr>
              <w:spacing w:line="360" w:lineRule="auto"/>
              <w:rPr>
                <w:rFonts w:hint="eastAsia" w:ascii="宋体" w:hAnsi="宋体"/>
                <w:color w:val="auto"/>
                <w:szCs w:val="21"/>
                <w:highlight w:val="none"/>
              </w:rPr>
            </w:pPr>
            <w:r>
              <w:rPr>
                <w:rFonts w:hint="eastAsia" w:ascii="宋体" w:hAnsi="宋体"/>
                <w:color w:val="auto"/>
                <w:szCs w:val="21"/>
                <w:highlight w:val="none"/>
              </w:rPr>
              <w:t>1000～5000万元</w:t>
            </w:r>
          </w:p>
        </w:tc>
        <w:tc>
          <w:tcPr>
            <w:tcW w:w="1058" w:type="pct"/>
          </w:tcPr>
          <w:p w14:paraId="244EF317">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0.5% </w:t>
            </w:r>
            <w:r>
              <w:rPr>
                <w:rFonts w:hint="eastAsia" w:ascii="宋体" w:hAnsi="宋体" w:cs="宋体"/>
                <w:color w:val="auto"/>
                <w:kern w:val="0"/>
                <w:szCs w:val="21"/>
                <w:highlight w:val="none"/>
              </w:rPr>
              <w:t xml:space="preserve">               </w:t>
            </w:r>
          </w:p>
        </w:tc>
        <w:tc>
          <w:tcPr>
            <w:tcW w:w="962" w:type="pct"/>
          </w:tcPr>
          <w:p w14:paraId="03D08650">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0.25%</w:t>
            </w:r>
          </w:p>
        </w:tc>
        <w:tc>
          <w:tcPr>
            <w:tcW w:w="962" w:type="pct"/>
          </w:tcPr>
          <w:p w14:paraId="71BD4D14">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0.35% </w:t>
            </w:r>
          </w:p>
        </w:tc>
      </w:tr>
      <w:tr w14:paraId="3A91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4F2F48C6">
            <w:pPr>
              <w:spacing w:line="360" w:lineRule="auto"/>
              <w:rPr>
                <w:rFonts w:hint="eastAsia" w:ascii="宋体" w:hAnsi="宋体"/>
                <w:color w:val="auto"/>
                <w:szCs w:val="21"/>
                <w:highlight w:val="none"/>
              </w:rPr>
            </w:pPr>
            <w:r>
              <w:rPr>
                <w:rFonts w:hint="eastAsia" w:ascii="宋体" w:hAnsi="宋体"/>
                <w:color w:val="auto"/>
                <w:szCs w:val="21"/>
                <w:highlight w:val="none"/>
              </w:rPr>
              <w:t>5000万元～1亿元</w:t>
            </w:r>
          </w:p>
        </w:tc>
        <w:tc>
          <w:tcPr>
            <w:tcW w:w="1058" w:type="pct"/>
          </w:tcPr>
          <w:p w14:paraId="6407C4EB">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 xml:space="preserve">0.25% </w:t>
            </w: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 xml:space="preserve">         </w:t>
            </w:r>
          </w:p>
        </w:tc>
        <w:tc>
          <w:tcPr>
            <w:tcW w:w="962" w:type="pct"/>
          </w:tcPr>
          <w:p w14:paraId="191A6847">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0.1%</w:t>
            </w:r>
          </w:p>
        </w:tc>
        <w:tc>
          <w:tcPr>
            <w:tcW w:w="962" w:type="pct"/>
          </w:tcPr>
          <w:p w14:paraId="251F3DC4">
            <w:pPr>
              <w:spacing w:line="360" w:lineRule="auto"/>
              <w:ind w:firstLine="210" w:firstLineChars="100"/>
              <w:rPr>
                <w:rFonts w:hint="eastAsia" w:ascii="宋体" w:hAnsi="宋体"/>
                <w:color w:val="auto"/>
                <w:szCs w:val="21"/>
                <w:highlight w:val="none"/>
              </w:rPr>
            </w:pPr>
            <w:r>
              <w:rPr>
                <w:rFonts w:ascii="宋体" w:hAnsi="宋体" w:cs="宋体"/>
                <w:color w:val="auto"/>
                <w:kern w:val="0"/>
                <w:szCs w:val="21"/>
                <w:highlight w:val="none"/>
              </w:rPr>
              <w:t>0.2%</w:t>
            </w:r>
          </w:p>
        </w:tc>
      </w:tr>
      <w:tr w14:paraId="6C62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74C7648C">
            <w:pPr>
              <w:spacing w:line="360" w:lineRule="auto"/>
              <w:rPr>
                <w:rFonts w:hint="eastAsia" w:ascii="宋体" w:hAnsi="宋体"/>
                <w:color w:val="auto"/>
                <w:szCs w:val="21"/>
                <w:highlight w:val="none"/>
              </w:rPr>
            </w:pPr>
            <w:r>
              <w:rPr>
                <w:rFonts w:hint="eastAsia" w:ascii="宋体" w:hAnsi="宋体"/>
                <w:color w:val="auto"/>
                <w:szCs w:val="21"/>
                <w:highlight w:val="none"/>
              </w:rPr>
              <w:t>1～5亿元</w:t>
            </w:r>
          </w:p>
        </w:tc>
        <w:tc>
          <w:tcPr>
            <w:tcW w:w="1058" w:type="pct"/>
          </w:tcPr>
          <w:p w14:paraId="2069427A">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0.05%</w:t>
            </w:r>
          </w:p>
        </w:tc>
        <w:tc>
          <w:tcPr>
            <w:tcW w:w="962" w:type="pct"/>
          </w:tcPr>
          <w:p w14:paraId="0128004A">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c>
          <w:tcPr>
            <w:tcW w:w="962" w:type="pct"/>
          </w:tcPr>
          <w:p w14:paraId="769FD2AC">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r>
      <w:tr w14:paraId="6C52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08DC5097">
            <w:pPr>
              <w:spacing w:line="360" w:lineRule="auto"/>
              <w:rPr>
                <w:rFonts w:hint="eastAsia" w:ascii="宋体" w:hAnsi="宋体"/>
                <w:color w:val="auto"/>
                <w:szCs w:val="21"/>
                <w:highlight w:val="none"/>
              </w:rPr>
            </w:pPr>
            <w:r>
              <w:rPr>
                <w:rFonts w:hint="eastAsia" w:ascii="宋体" w:hAnsi="宋体"/>
                <w:color w:val="auto"/>
                <w:szCs w:val="21"/>
                <w:highlight w:val="none"/>
              </w:rPr>
              <w:t>5～10亿元</w:t>
            </w:r>
          </w:p>
        </w:tc>
        <w:tc>
          <w:tcPr>
            <w:tcW w:w="1058" w:type="pct"/>
          </w:tcPr>
          <w:p w14:paraId="070C61F0">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c>
          <w:tcPr>
            <w:tcW w:w="962" w:type="pct"/>
          </w:tcPr>
          <w:p w14:paraId="0115E6B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0.035%</w:t>
            </w:r>
          </w:p>
        </w:tc>
        <w:tc>
          <w:tcPr>
            <w:tcW w:w="962" w:type="pct"/>
          </w:tcPr>
          <w:p w14:paraId="403FD81C">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0.035%</w:t>
            </w:r>
          </w:p>
        </w:tc>
      </w:tr>
      <w:tr w14:paraId="688E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36D58AC0">
            <w:pPr>
              <w:spacing w:line="360" w:lineRule="auto"/>
              <w:rPr>
                <w:rFonts w:hint="eastAsia" w:ascii="宋体" w:hAnsi="宋体"/>
                <w:color w:val="auto"/>
                <w:szCs w:val="21"/>
                <w:highlight w:val="none"/>
              </w:rPr>
            </w:pPr>
            <w:r>
              <w:rPr>
                <w:rFonts w:hint="eastAsia" w:ascii="宋体" w:hAnsi="宋体"/>
                <w:color w:val="auto"/>
                <w:szCs w:val="21"/>
                <w:highlight w:val="none"/>
              </w:rPr>
              <w:t>10～50亿元</w:t>
            </w:r>
          </w:p>
        </w:tc>
        <w:tc>
          <w:tcPr>
            <w:tcW w:w="1058" w:type="pct"/>
          </w:tcPr>
          <w:p w14:paraId="3938B2E7">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c>
          <w:tcPr>
            <w:tcW w:w="962" w:type="pct"/>
          </w:tcPr>
          <w:p w14:paraId="4F3428E0">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0.008%</w:t>
            </w:r>
          </w:p>
        </w:tc>
        <w:tc>
          <w:tcPr>
            <w:tcW w:w="962" w:type="pct"/>
          </w:tcPr>
          <w:p w14:paraId="1F10F4DD">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0.008%</w:t>
            </w:r>
          </w:p>
        </w:tc>
      </w:tr>
      <w:tr w14:paraId="3D73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40C937A7">
            <w:pPr>
              <w:spacing w:line="360" w:lineRule="auto"/>
              <w:rPr>
                <w:rFonts w:hint="eastAsia" w:ascii="宋体" w:hAnsi="宋体"/>
                <w:color w:val="auto"/>
                <w:szCs w:val="21"/>
                <w:highlight w:val="none"/>
              </w:rPr>
            </w:pPr>
            <w:r>
              <w:rPr>
                <w:rFonts w:hint="eastAsia" w:ascii="宋体" w:hAnsi="宋体"/>
                <w:color w:val="auto"/>
                <w:szCs w:val="21"/>
                <w:highlight w:val="none"/>
              </w:rPr>
              <w:t>50～100亿元</w:t>
            </w:r>
          </w:p>
        </w:tc>
        <w:tc>
          <w:tcPr>
            <w:tcW w:w="1058" w:type="pct"/>
          </w:tcPr>
          <w:p w14:paraId="0268D824">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0.006%</w:t>
            </w:r>
          </w:p>
        </w:tc>
        <w:tc>
          <w:tcPr>
            <w:tcW w:w="962" w:type="pct"/>
          </w:tcPr>
          <w:p w14:paraId="0B3881B9">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0.006%</w:t>
            </w:r>
          </w:p>
        </w:tc>
        <w:tc>
          <w:tcPr>
            <w:tcW w:w="962" w:type="pct"/>
          </w:tcPr>
          <w:p w14:paraId="11D542DF">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0.006%</w:t>
            </w:r>
          </w:p>
        </w:tc>
      </w:tr>
      <w:tr w14:paraId="7D45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7" w:type="pct"/>
          </w:tcPr>
          <w:p w14:paraId="02AD128D">
            <w:pPr>
              <w:spacing w:line="360" w:lineRule="auto"/>
              <w:rPr>
                <w:rFonts w:hint="eastAsia" w:ascii="宋体" w:hAnsi="宋体"/>
                <w:color w:val="auto"/>
                <w:szCs w:val="21"/>
                <w:highlight w:val="none"/>
              </w:rPr>
            </w:pPr>
            <w:r>
              <w:rPr>
                <w:rFonts w:hint="eastAsia" w:ascii="宋体" w:hAnsi="宋体"/>
                <w:color w:val="auto"/>
                <w:szCs w:val="21"/>
                <w:highlight w:val="none"/>
              </w:rPr>
              <w:t>100亿以上</w:t>
            </w:r>
          </w:p>
        </w:tc>
        <w:tc>
          <w:tcPr>
            <w:tcW w:w="1058" w:type="pct"/>
          </w:tcPr>
          <w:p w14:paraId="44AD6CB6">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0.004%</w:t>
            </w:r>
          </w:p>
        </w:tc>
        <w:tc>
          <w:tcPr>
            <w:tcW w:w="962" w:type="pct"/>
          </w:tcPr>
          <w:p w14:paraId="4C305284">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0.004%</w:t>
            </w:r>
          </w:p>
        </w:tc>
        <w:tc>
          <w:tcPr>
            <w:tcW w:w="962" w:type="pct"/>
          </w:tcPr>
          <w:p w14:paraId="74DA7EF9">
            <w:pPr>
              <w:spacing w:line="360" w:lineRule="auto"/>
              <w:ind w:firstLine="105" w:firstLineChars="50"/>
              <w:rPr>
                <w:rFonts w:hint="eastAsia" w:ascii="宋体" w:hAnsi="宋体"/>
                <w:color w:val="auto"/>
                <w:szCs w:val="21"/>
                <w:highlight w:val="none"/>
              </w:rPr>
            </w:pPr>
            <w:r>
              <w:rPr>
                <w:rFonts w:hint="eastAsia" w:ascii="宋体" w:hAnsi="宋体"/>
                <w:color w:val="auto"/>
                <w:szCs w:val="21"/>
                <w:highlight w:val="none"/>
              </w:rPr>
              <w:t>0.004%</w:t>
            </w:r>
          </w:p>
        </w:tc>
      </w:tr>
    </w:tbl>
    <w:p w14:paraId="00C6F26D">
      <w:pPr>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6B4EE24A">
      <w:pPr>
        <w:pStyle w:val="23"/>
        <w:snapToGrid w:val="0"/>
        <w:spacing w:line="360" w:lineRule="auto"/>
        <w:ind w:firstLine="420"/>
        <w:rPr>
          <w:rFonts w:hint="eastAsia" w:hAnsi="宋体"/>
          <w:bCs/>
          <w:color w:val="auto"/>
          <w:sz w:val="21"/>
          <w:highlight w:val="none"/>
        </w:rPr>
      </w:pPr>
      <w:r>
        <w:rPr>
          <w:rFonts w:hint="eastAsia" w:hAnsi="宋体"/>
          <w:bCs/>
          <w:color w:val="auto"/>
          <w:sz w:val="21"/>
          <w:highlight w:val="none"/>
        </w:rPr>
        <w:t>（1）</w:t>
      </w:r>
      <w:r>
        <w:rPr>
          <w:rFonts w:hAnsi="宋体"/>
          <w:bCs/>
          <w:color w:val="auto"/>
          <w:sz w:val="21"/>
          <w:highlight w:val="none"/>
        </w:rPr>
        <w:t>按本表费率计算的收费为</w:t>
      </w:r>
      <w:r>
        <w:rPr>
          <w:rFonts w:hint="eastAsia" w:hAnsi="宋体"/>
          <w:bCs/>
          <w:color w:val="auto"/>
          <w:sz w:val="21"/>
          <w:highlight w:val="none"/>
        </w:rPr>
        <w:t>采购</w:t>
      </w:r>
      <w:r>
        <w:rPr>
          <w:rFonts w:hAnsi="宋体"/>
          <w:bCs/>
          <w:color w:val="auto"/>
          <w:sz w:val="21"/>
          <w:highlight w:val="none"/>
        </w:rPr>
        <w:t>代理的收费基准价格</w:t>
      </w:r>
      <w:r>
        <w:rPr>
          <w:rFonts w:hint="eastAsia" w:hAnsi="宋体"/>
          <w:bCs/>
          <w:color w:val="auto"/>
          <w:sz w:val="21"/>
          <w:highlight w:val="none"/>
        </w:rPr>
        <w:t>；</w:t>
      </w:r>
    </w:p>
    <w:p w14:paraId="4C4C0E8B">
      <w:pPr>
        <w:pStyle w:val="23"/>
        <w:snapToGrid w:val="0"/>
        <w:spacing w:line="360" w:lineRule="auto"/>
        <w:ind w:firstLine="420"/>
        <w:rPr>
          <w:rFonts w:hint="eastAsia" w:hAnsi="宋体"/>
          <w:bCs/>
          <w:color w:val="auto"/>
          <w:sz w:val="21"/>
          <w:highlight w:val="none"/>
        </w:rPr>
      </w:pPr>
      <w:r>
        <w:rPr>
          <w:rFonts w:hint="eastAsia" w:hAnsi="宋体"/>
          <w:bCs/>
          <w:color w:val="auto"/>
          <w:sz w:val="21"/>
          <w:highlight w:val="none"/>
        </w:rPr>
        <w:t>（2）采购</w:t>
      </w:r>
      <w:r>
        <w:rPr>
          <w:rFonts w:hAnsi="宋体"/>
          <w:bCs/>
          <w:color w:val="auto"/>
          <w:sz w:val="21"/>
          <w:highlight w:val="none"/>
        </w:rPr>
        <w:t>代理收费按差额定率累进法计算。</w:t>
      </w:r>
    </w:p>
    <w:p w14:paraId="1CD6D1D3">
      <w:pPr>
        <w:pStyle w:val="23"/>
        <w:snapToGrid w:val="0"/>
        <w:spacing w:line="360" w:lineRule="auto"/>
        <w:ind w:firstLine="420"/>
        <w:rPr>
          <w:rFonts w:hint="eastAsia" w:hAnsi="宋体"/>
          <w:bCs/>
          <w:color w:val="auto"/>
          <w:sz w:val="21"/>
          <w:highlight w:val="none"/>
        </w:rPr>
      </w:pPr>
      <w:r>
        <w:rPr>
          <w:rFonts w:hAnsi="宋体"/>
          <w:bCs/>
          <w:color w:val="auto"/>
          <w:sz w:val="21"/>
          <w:highlight w:val="none"/>
        </w:rPr>
        <w:t>例如：某</w:t>
      </w:r>
      <w:r>
        <w:rPr>
          <w:rFonts w:hint="eastAsia" w:hAnsi="宋体"/>
          <w:bCs/>
          <w:color w:val="auto"/>
          <w:sz w:val="21"/>
          <w:highlight w:val="none"/>
        </w:rPr>
        <w:t>货物采购</w:t>
      </w:r>
      <w:r>
        <w:rPr>
          <w:rFonts w:hAnsi="宋体"/>
          <w:bCs/>
          <w:color w:val="auto"/>
          <w:sz w:val="21"/>
          <w:highlight w:val="none"/>
        </w:rPr>
        <w:t>代理业务</w:t>
      </w:r>
      <w:r>
        <w:rPr>
          <w:rFonts w:hint="eastAsia" w:hAnsi="宋体"/>
          <w:bCs/>
          <w:color w:val="auto"/>
          <w:sz w:val="21"/>
          <w:highlight w:val="none"/>
        </w:rPr>
        <w:t>中标</w:t>
      </w:r>
      <w:r>
        <w:rPr>
          <w:rFonts w:hAnsi="宋体"/>
          <w:bCs/>
          <w:color w:val="auto"/>
          <w:sz w:val="21"/>
          <w:highlight w:val="none"/>
        </w:rPr>
        <w:t>金额</w:t>
      </w:r>
      <w:r>
        <w:rPr>
          <w:rFonts w:hint="eastAsia" w:hAnsi="宋体"/>
          <w:bCs/>
          <w:color w:val="auto"/>
          <w:sz w:val="21"/>
          <w:highlight w:val="none"/>
        </w:rPr>
        <w:t>或者暂定价</w:t>
      </w:r>
      <w:r>
        <w:rPr>
          <w:rFonts w:hAnsi="宋体"/>
          <w:bCs/>
          <w:color w:val="auto"/>
          <w:sz w:val="21"/>
          <w:highlight w:val="none"/>
        </w:rPr>
        <w:t>为200万元，</w:t>
      </w:r>
      <w:r>
        <w:rPr>
          <w:rFonts w:hint="eastAsia" w:hAnsi="宋体"/>
          <w:bCs/>
          <w:color w:val="auto"/>
          <w:sz w:val="21"/>
          <w:highlight w:val="none"/>
        </w:rPr>
        <w:t>下浮25%计取，</w:t>
      </w:r>
      <w:r>
        <w:rPr>
          <w:rFonts w:hAnsi="宋体"/>
          <w:bCs/>
          <w:color w:val="auto"/>
          <w:sz w:val="21"/>
          <w:highlight w:val="none"/>
        </w:rPr>
        <w:t>计算</w:t>
      </w:r>
      <w:r>
        <w:rPr>
          <w:rFonts w:hint="eastAsia" w:hAnsi="宋体"/>
          <w:bCs/>
          <w:color w:val="auto"/>
          <w:sz w:val="21"/>
          <w:highlight w:val="none"/>
        </w:rPr>
        <w:t>采购</w:t>
      </w:r>
      <w:r>
        <w:rPr>
          <w:rFonts w:hAnsi="宋体"/>
          <w:bCs/>
          <w:color w:val="auto"/>
          <w:sz w:val="21"/>
          <w:highlight w:val="none"/>
        </w:rPr>
        <w:t>代理收费额如下：</w:t>
      </w:r>
    </w:p>
    <w:p w14:paraId="783C51A2">
      <w:pPr>
        <w:pStyle w:val="23"/>
        <w:snapToGrid w:val="0"/>
        <w:spacing w:line="360" w:lineRule="auto"/>
        <w:ind w:firstLine="420"/>
        <w:rPr>
          <w:rFonts w:hint="eastAsia" w:hAnsi="宋体"/>
          <w:bCs/>
          <w:color w:val="auto"/>
          <w:sz w:val="21"/>
          <w:highlight w:val="none"/>
        </w:rPr>
      </w:pPr>
      <w:r>
        <w:rPr>
          <w:rFonts w:hAnsi="宋体"/>
          <w:bCs/>
          <w:color w:val="auto"/>
          <w:sz w:val="21"/>
          <w:highlight w:val="none"/>
        </w:rPr>
        <w:t>100 万元×l.5 ％＝ 1.5 万元</w:t>
      </w:r>
    </w:p>
    <w:p w14:paraId="3D14A6B8">
      <w:pPr>
        <w:pStyle w:val="23"/>
        <w:snapToGrid w:val="0"/>
        <w:spacing w:line="360" w:lineRule="auto"/>
        <w:ind w:firstLine="420"/>
        <w:rPr>
          <w:rFonts w:hint="eastAsia" w:hAnsi="宋体"/>
          <w:bCs/>
          <w:color w:val="auto"/>
          <w:sz w:val="21"/>
          <w:highlight w:val="none"/>
        </w:rPr>
      </w:pPr>
      <w:r>
        <w:rPr>
          <w:rFonts w:hAnsi="宋体"/>
          <w:bCs/>
          <w:color w:val="auto"/>
          <w:sz w:val="21"/>
          <w:highlight w:val="none"/>
        </w:rPr>
        <w:t>（ 200 － 100 ）万元 ×1.1％＝1.1万元</w:t>
      </w:r>
    </w:p>
    <w:p w14:paraId="5C4CA5DA">
      <w:pPr>
        <w:pStyle w:val="23"/>
        <w:snapToGrid w:val="0"/>
        <w:spacing w:line="360" w:lineRule="auto"/>
        <w:ind w:firstLine="420"/>
        <w:rPr>
          <w:rFonts w:hint="eastAsia" w:hAnsi="宋体"/>
          <w:bCs/>
          <w:color w:val="auto"/>
          <w:sz w:val="21"/>
          <w:highlight w:val="none"/>
        </w:rPr>
      </w:pPr>
      <w:r>
        <w:rPr>
          <w:rFonts w:hAnsi="宋体"/>
          <w:bCs/>
          <w:color w:val="auto"/>
          <w:sz w:val="21"/>
          <w:highlight w:val="none"/>
        </w:rPr>
        <w:t>合计收费＝</w:t>
      </w:r>
      <w:r>
        <w:rPr>
          <w:rFonts w:hint="eastAsia" w:hAnsi="宋体"/>
          <w:bCs/>
          <w:color w:val="auto"/>
          <w:sz w:val="21"/>
          <w:highlight w:val="none"/>
        </w:rPr>
        <w:t>（1.5+1.1）×75%</w:t>
      </w:r>
      <w:r>
        <w:rPr>
          <w:rFonts w:hAnsi="宋体"/>
          <w:bCs/>
          <w:color w:val="auto"/>
          <w:sz w:val="21"/>
          <w:highlight w:val="none"/>
        </w:rPr>
        <w:t>＝</w:t>
      </w:r>
      <w:r>
        <w:rPr>
          <w:rFonts w:hint="eastAsia" w:hAnsi="宋体"/>
          <w:bCs/>
          <w:color w:val="auto"/>
          <w:sz w:val="21"/>
          <w:highlight w:val="none"/>
        </w:rPr>
        <w:t>1.95</w:t>
      </w:r>
      <w:r>
        <w:rPr>
          <w:rFonts w:hAnsi="宋体"/>
          <w:bCs/>
          <w:color w:val="auto"/>
          <w:sz w:val="21"/>
          <w:highlight w:val="none"/>
        </w:rPr>
        <w:t>（万元）</w:t>
      </w:r>
    </w:p>
    <w:p w14:paraId="03838134">
      <w:pPr>
        <w:pStyle w:val="5"/>
        <w:keepNext w:val="0"/>
        <w:keepLines w:val="0"/>
        <w:spacing w:before="0" w:after="0" w:line="360" w:lineRule="auto"/>
        <w:ind w:left="420" w:leftChars="200"/>
        <w:rPr>
          <w:rFonts w:hint="eastAsia" w:ascii="黑体" w:hAnsi="黑体"/>
          <w:color w:val="auto"/>
          <w:sz w:val="24"/>
          <w:highlight w:val="none"/>
        </w:rPr>
      </w:pPr>
      <w:r>
        <w:rPr>
          <w:rFonts w:hint="eastAsia" w:ascii="黑体" w:hAnsi="黑体"/>
          <w:color w:val="auto"/>
          <w:sz w:val="24"/>
          <w:highlight w:val="none"/>
        </w:rPr>
        <w:t>40. 需要补充的其他内容</w:t>
      </w:r>
    </w:p>
    <w:p w14:paraId="670055AB">
      <w:pPr>
        <w:pStyle w:val="23"/>
        <w:snapToGrid w:val="0"/>
        <w:spacing w:line="360" w:lineRule="auto"/>
        <w:ind w:firstLine="420"/>
        <w:rPr>
          <w:rFonts w:hint="eastAsia" w:hAnsi="宋体"/>
          <w:bCs/>
          <w:color w:val="auto"/>
          <w:sz w:val="21"/>
          <w:highlight w:val="none"/>
        </w:rPr>
      </w:pPr>
      <w:r>
        <w:rPr>
          <w:rFonts w:hAnsi="宋体"/>
          <w:bCs/>
          <w:color w:val="auto"/>
          <w:sz w:val="21"/>
          <w:highlight w:val="none"/>
        </w:rPr>
        <w:t>40.1</w:t>
      </w:r>
      <w:r>
        <w:rPr>
          <w:rFonts w:hint="eastAsia" w:hAnsi="宋体"/>
          <w:bCs/>
          <w:color w:val="auto"/>
          <w:sz w:val="21"/>
          <w:highlight w:val="none"/>
        </w:rPr>
        <w:t>本招标文件解释规则详见“投标人须知前附表”。</w:t>
      </w:r>
    </w:p>
    <w:p w14:paraId="12E380A7">
      <w:pPr>
        <w:pStyle w:val="23"/>
        <w:snapToGrid w:val="0"/>
        <w:spacing w:line="360" w:lineRule="auto"/>
        <w:ind w:firstLine="420"/>
        <w:rPr>
          <w:rFonts w:hint="eastAsia" w:hAnsi="宋体"/>
          <w:bCs/>
          <w:color w:val="auto"/>
          <w:sz w:val="21"/>
          <w:highlight w:val="none"/>
        </w:rPr>
      </w:pPr>
      <w:r>
        <w:rPr>
          <w:rFonts w:hAnsi="宋体"/>
          <w:bCs/>
          <w:color w:val="auto"/>
          <w:sz w:val="21"/>
          <w:highlight w:val="none"/>
        </w:rPr>
        <w:t>40.2</w:t>
      </w:r>
      <w:r>
        <w:rPr>
          <w:rFonts w:hint="eastAsia" w:hAnsi="宋体"/>
          <w:bCs/>
          <w:color w:val="auto"/>
          <w:sz w:val="21"/>
          <w:highlight w:val="none"/>
        </w:rPr>
        <w:t xml:space="preserve"> 其他事项详见“投标人须知前附表”。</w:t>
      </w:r>
    </w:p>
    <w:p w14:paraId="3CCB3FFD">
      <w:pPr>
        <w:pStyle w:val="23"/>
        <w:snapToGrid w:val="0"/>
        <w:spacing w:line="360" w:lineRule="auto"/>
        <w:ind w:firstLine="420"/>
        <w:rPr>
          <w:rFonts w:hint="eastAsia" w:hAnsi="宋体"/>
          <w:bCs/>
          <w:color w:val="auto"/>
          <w:sz w:val="21"/>
          <w:highlight w:val="none"/>
        </w:rPr>
      </w:pPr>
      <w:r>
        <w:rPr>
          <w:rFonts w:hint="eastAsia" w:hAnsi="宋体"/>
          <w:bCs/>
          <w:color w:val="auto"/>
          <w:sz w:val="21"/>
          <w:highlight w:val="none"/>
        </w:rPr>
        <w:t>40.3支持本国产品</w:t>
      </w:r>
    </w:p>
    <w:p w14:paraId="5C62A506">
      <w:pPr>
        <w:pStyle w:val="23"/>
        <w:snapToGrid w:val="0"/>
        <w:spacing w:line="360" w:lineRule="auto"/>
        <w:ind w:firstLine="420"/>
        <w:rPr>
          <w:rFonts w:hint="eastAsia" w:hAnsi="宋体"/>
          <w:bCs/>
          <w:color w:val="auto"/>
          <w:sz w:val="21"/>
          <w:highlight w:val="none"/>
        </w:rPr>
      </w:pPr>
      <w:r>
        <w:rPr>
          <w:rFonts w:hint="eastAsia" w:hAnsi="宋体"/>
          <w:bCs/>
          <w:color w:val="auto"/>
          <w:sz w:val="21"/>
          <w:highlight w:val="none"/>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六章 投标文件格式）或财政部会同有关部门规定的有关证明文件，《声明函》或有关证明文件符合要求的，该产品视为本国产品。本项目适用情形详见“投标人须知前附表”的规定。</w:t>
      </w:r>
    </w:p>
    <w:p w14:paraId="4F61C865">
      <w:pPr>
        <w:pStyle w:val="23"/>
        <w:snapToGrid w:val="0"/>
        <w:spacing w:before="120" w:after="120"/>
        <w:ind w:firstLine="400" w:firstLineChars="200"/>
        <w:rPr>
          <w:rFonts w:hint="eastAsia" w:hAnsi="宋体"/>
          <w:color w:val="auto"/>
          <w:highlight w:val="none"/>
        </w:rPr>
      </w:pPr>
      <w:r>
        <w:rPr>
          <w:rFonts w:hAnsi="宋体"/>
          <w:color w:val="auto"/>
          <w:highlight w:val="none"/>
        </w:rPr>
        <w:br w:type="page"/>
      </w:r>
      <w:r>
        <w:rPr>
          <w:rFonts w:hint="eastAsia" w:hAnsi="宋体"/>
          <w:color w:val="auto"/>
          <w:highlight w:val="none"/>
        </w:rPr>
        <w:t>附件1：</w:t>
      </w:r>
    </w:p>
    <w:p w14:paraId="7551B623">
      <w:pPr>
        <w:shd w:val="clear" w:color="auto" w:fill="FFFFFF"/>
        <w:spacing w:after="240" w:afterLines="100" w:line="480" w:lineRule="atLeast"/>
        <w:jc w:val="center"/>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政府采购项目合同验收书（格式）</w:t>
      </w:r>
    </w:p>
    <w:p w14:paraId="5AC548AF">
      <w:pPr>
        <w:shd w:val="clear" w:color="auto" w:fill="FFFFFF"/>
        <w:snapToGrid w:val="0"/>
        <w:spacing w:line="320" w:lineRule="atLeast"/>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 政府采购项目中标（或者成交）投标人（</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 提供的货物（或者工程、服务）进行了验收，验收情况如下：</w:t>
      </w:r>
    </w:p>
    <w:tbl>
      <w:tblPr>
        <w:tblStyle w:val="45"/>
        <w:tblW w:w="0" w:type="auto"/>
        <w:jc w:val="center"/>
        <w:tblLayout w:type="autofit"/>
        <w:tblCellMar>
          <w:top w:w="0" w:type="dxa"/>
          <w:left w:w="0" w:type="dxa"/>
          <w:bottom w:w="0" w:type="dxa"/>
          <w:right w:w="0" w:type="dxa"/>
        </w:tblCellMar>
      </w:tblPr>
      <w:tblGrid>
        <w:gridCol w:w="806"/>
        <w:gridCol w:w="649"/>
        <w:gridCol w:w="1642"/>
        <w:gridCol w:w="1642"/>
        <w:gridCol w:w="1638"/>
        <w:gridCol w:w="276"/>
        <w:gridCol w:w="276"/>
        <w:gridCol w:w="2483"/>
      </w:tblGrid>
      <w:tr w14:paraId="5A1A7755">
        <w:tblPrEx>
          <w:tblCellMar>
            <w:top w:w="0" w:type="dxa"/>
            <w:left w:w="0" w:type="dxa"/>
            <w:bottom w:w="0" w:type="dxa"/>
            <w:right w:w="0" w:type="dxa"/>
          </w:tblCellMar>
        </w:tblPrEx>
        <w:trPr>
          <w:trHeight w:val="497" w:hRule="atLeast"/>
          <w:jc w:val="center"/>
        </w:trPr>
        <w:tc>
          <w:tcPr>
            <w:tcW w:w="0" w:type="auto"/>
            <w:gridSpan w:val="2"/>
            <w:tcBorders>
              <w:top w:val="single" w:color="auto" w:sz="8" w:space="0"/>
              <w:left w:val="single" w:color="auto" w:sz="8" w:space="0"/>
              <w:bottom w:val="single" w:color="auto" w:sz="8" w:space="0"/>
              <w:right w:val="single" w:color="auto" w:sz="8" w:space="0"/>
            </w:tcBorders>
            <w:vAlign w:val="center"/>
          </w:tcPr>
          <w:p w14:paraId="5D825809">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验收方式：</w:t>
            </w:r>
          </w:p>
        </w:tc>
        <w:tc>
          <w:tcPr>
            <w:tcW w:w="0" w:type="auto"/>
            <w:gridSpan w:val="6"/>
            <w:tcBorders>
              <w:top w:val="single" w:color="auto" w:sz="8" w:space="0"/>
              <w:left w:val="nil"/>
              <w:bottom w:val="single" w:color="auto" w:sz="8" w:space="0"/>
              <w:right w:val="single" w:color="auto" w:sz="8" w:space="0"/>
            </w:tcBorders>
            <w:vAlign w:val="center"/>
          </w:tcPr>
          <w:p w14:paraId="6C7831C6">
            <w:pPr>
              <w:snapToGrid w:val="0"/>
              <w:spacing w:before="100" w:beforeAutospacing="1" w:after="100" w:afterAutospacing="1" w:line="320" w:lineRule="atLeast"/>
              <w:ind w:firstLine="480"/>
              <w:jc w:val="center"/>
              <w:rPr>
                <w:rFonts w:ascii="Verdana" w:hAnsi="Verdana" w:cs="宋体"/>
                <w:color w:val="auto"/>
                <w:kern w:val="0"/>
                <w:szCs w:val="21"/>
                <w:highlight w:val="none"/>
              </w:rPr>
            </w:pPr>
            <w:r>
              <w:rPr>
                <w:rFonts w:ascii="Verdana" w:hAnsi="Verdana" w:cs="宋体"/>
                <w:color w:val="auto"/>
                <w:kern w:val="0"/>
                <w:szCs w:val="21"/>
                <w:highlight w:val="none"/>
              </w:rPr>
              <w:t>□自行验收 □委托验收</w:t>
            </w:r>
          </w:p>
        </w:tc>
      </w:tr>
      <w:tr w14:paraId="3FF2BBC4">
        <w:tblPrEx>
          <w:tblCellMar>
            <w:top w:w="0" w:type="dxa"/>
            <w:left w:w="0" w:type="dxa"/>
            <w:bottom w:w="0" w:type="dxa"/>
            <w:right w:w="0" w:type="dxa"/>
          </w:tblCellMar>
        </w:tblPrEx>
        <w:trPr>
          <w:trHeight w:val="622" w:hRule="atLeast"/>
          <w:jc w:val="center"/>
        </w:trPr>
        <w:tc>
          <w:tcPr>
            <w:tcW w:w="0" w:type="auto"/>
            <w:tcBorders>
              <w:top w:val="nil"/>
              <w:left w:val="single" w:color="auto" w:sz="8" w:space="0"/>
              <w:bottom w:val="single" w:color="auto" w:sz="8" w:space="0"/>
              <w:right w:val="single" w:color="auto" w:sz="8" w:space="0"/>
            </w:tcBorders>
            <w:vAlign w:val="center"/>
          </w:tcPr>
          <w:p w14:paraId="4460E234">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序号</w:t>
            </w:r>
          </w:p>
        </w:tc>
        <w:tc>
          <w:tcPr>
            <w:tcW w:w="0" w:type="auto"/>
            <w:tcBorders>
              <w:top w:val="nil"/>
              <w:left w:val="nil"/>
              <w:bottom w:val="single" w:color="auto" w:sz="8" w:space="0"/>
              <w:right w:val="single" w:color="auto" w:sz="8" w:space="0"/>
            </w:tcBorders>
            <w:vAlign w:val="center"/>
          </w:tcPr>
          <w:p w14:paraId="53D2B510">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名 称</w:t>
            </w:r>
          </w:p>
        </w:tc>
        <w:tc>
          <w:tcPr>
            <w:tcW w:w="0" w:type="auto"/>
            <w:gridSpan w:val="3"/>
            <w:tcBorders>
              <w:top w:val="nil"/>
              <w:left w:val="nil"/>
              <w:bottom w:val="single" w:color="auto" w:sz="8" w:space="0"/>
              <w:right w:val="single" w:color="auto" w:sz="8" w:space="0"/>
            </w:tcBorders>
            <w:vAlign w:val="center"/>
          </w:tcPr>
          <w:p w14:paraId="55790E4A">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货物型号规格、标准及配置等（或者服务内容、标准）</w:t>
            </w:r>
          </w:p>
        </w:tc>
        <w:tc>
          <w:tcPr>
            <w:tcW w:w="0" w:type="auto"/>
            <w:gridSpan w:val="2"/>
            <w:tcBorders>
              <w:top w:val="nil"/>
              <w:left w:val="nil"/>
              <w:bottom w:val="single" w:color="auto" w:sz="8" w:space="0"/>
              <w:right w:val="single" w:color="auto" w:sz="8" w:space="0"/>
            </w:tcBorders>
            <w:vAlign w:val="center"/>
          </w:tcPr>
          <w:p w14:paraId="202600CE">
            <w:pPr>
              <w:snapToGrid w:val="0"/>
              <w:spacing w:before="100" w:beforeAutospacing="1" w:after="100" w:afterAutospacing="1" w:line="320" w:lineRule="atLeast"/>
              <w:jc w:val="center"/>
              <w:rPr>
                <w:rFonts w:ascii="Verdana" w:hAnsi="Verdana" w:cs="宋体"/>
                <w:color w:val="auto"/>
                <w:kern w:val="0"/>
                <w:szCs w:val="21"/>
                <w:highlight w:val="none"/>
              </w:rPr>
            </w:pPr>
            <w:r>
              <w:rPr>
                <w:rFonts w:ascii="Verdana" w:hAnsi="Verdana" w:cs="宋体"/>
                <w:color w:val="auto"/>
                <w:kern w:val="0"/>
                <w:szCs w:val="21"/>
                <w:highlight w:val="none"/>
              </w:rPr>
              <w:t>数量</w:t>
            </w:r>
          </w:p>
        </w:tc>
        <w:tc>
          <w:tcPr>
            <w:tcW w:w="0" w:type="auto"/>
            <w:tcBorders>
              <w:top w:val="nil"/>
              <w:left w:val="nil"/>
              <w:bottom w:val="single" w:color="auto" w:sz="8" w:space="0"/>
              <w:right w:val="single" w:color="auto" w:sz="8" w:space="0"/>
            </w:tcBorders>
            <w:vAlign w:val="center"/>
          </w:tcPr>
          <w:p w14:paraId="6CF9A318">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金 额</w:t>
            </w:r>
          </w:p>
        </w:tc>
      </w:tr>
      <w:tr w14:paraId="0513B28F">
        <w:tblPrEx>
          <w:tblCellMar>
            <w:top w:w="0" w:type="dxa"/>
            <w:left w:w="0" w:type="dxa"/>
            <w:bottom w:w="0" w:type="dxa"/>
            <w:right w:w="0" w:type="dxa"/>
          </w:tblCellMar>
        </w:tblPrEx>
        <w:trPr>
          <w:trHeight w:val="487" w:hRule="atLeast"/>
          <w:jc w:val="center"/>
        </w:trPr>
        <w:tc>
          <w:tcPr>
            <w:tcW w:w="0" w:type="auto"/>
            <w:tcBorders>
              <w:top w:val="nil"/>
              <w:left w:val="single" w:color="auto" w:sz="8" w:space="0"/>
              <w:bottom w:val="single" w:color="auto" w:sz="8" w:space="0"/>
              <w:right w:val="single" w:color="auto" w:sz="8" w:space="0"/>
            </w:tcBorders>
            <w:vAlign w:val="center"/>
          </w:tcPr>
          <w:p w14:paraId="5E1A2558">
            <w:pPr>
              <w:spacing w:before="100" w:beforeAutospacing="1" w:after="100" w:afterAutospacing="1" w:line="240" w:lineRule="atLeast"/>
              <w:jc w:val="center"/>
              <w:rPr>
                <w:rFonts w:ascii="Verdana" w:hAnsi="Verdana" w:cs="宋体"/>
                <w:color w:val="auto"/>
                <w:kern w:val="0"/>
                <w:szCs w:val="21"/>
                <w:highlight w:val="none"/>
              </w:rPr>
            </w:pPr>
          </w:p>
        </w:tc>
        <w:tc>
          <w:tcPr>
            <w:tcW w:w="0" w:type="auto"/>
            <w:tcBorders>
              <w:top w:val="nil"/>
              <w:left w:val="nil"/>
              <w:bottom w:val="single" w:color="auto" w:sz="8" w:space="0"/>
              <w:right w:val="single" w:color="auto" w:sz="8" w:space="0"/>
            </w:tcBorders>
            <w:vAlign w:val="center"/>
          </w:tcPr>
          <w:p w14:paraId="2C178453">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3"/>
            <w:tcBorders>
              <w:top w:val="nil"/>
              <w:left w:val="nil"/>
              <w:bottom w:val="single" w:color="auto" w:sz="8" w:space="0"/>
              <w:right w:val="single" w:color="auto" w:sz="8" w:space="0"/>
            </w:tcBorders>
            <w:vAlign w:val="center"/>
          </w:tcPr>
          <w:p w14:paraId="1D3C3873">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2"/>
            <w:tcBorders>
              <w:top w:val="nil"/>
              <w:left w:val="nil"/>
              <w:bottom w:val="single" w:color="auto" w:sz="8" w:space="0"/>
              <w:right w:val="single" w:color="auto" w:sz="8" w:space="0"/>
            </w:tcBorders>
            <w:vAlign w:val="center"/>
          </w:tcPr>
          <w:p w14:paraId="2A4E5484">
            <w:pPr>
              <w:spacing w:before="100" w:beforeAutospacing="1" w:after="100" w:afterAutospacing="1" w:line="240" w:lineRule="atLeast"/>
              <w:jc w:val="center"/>
              <w:rPr>
                <w:rFonts w:ascii="Verdana" w:hAnsi="Verdana" w:cs="宋体"/>
                <w:color w:val="auto"/>
                <w:kern w:val="0"/>
                <w:szCs w:val="21"/>
                <w:highlight w:val="none"/>
              </w:rPr>
            </w:pPr>
          </w:p>
        </w:tc>
        <w:tc>
          <w:tcPr>
            <w:tcW w:w="0" w:type="auto"/>
            <w:tcBorders>
              <w:top w:val="nil"/>
              <w:left w:val="nil"/>
              <w:bottom w:val="single" w:color="auto" w:sz="8" w:space="0"/>
              <w:right w:val="single" w:color="auto" w:sz="8" w:space="0"/>
            </w:tcBorders>
            <w:vAlign w:val="center"/>
          </w:tcPr>
          <w:p w14:paraId="1A0D2366">
            <w:pPr>
              <w:spacing w:before="100" w:beforeAutospacing="1" w:after="100" w:afterAutospacing="1" w:line="240" w:lineRule="atLeast"/>
              <w:jc w:val="center"/>
              <w:rPr>
                <w:rFonts w:ascii="Verdana" w:hAnsi="Verdana" w:cs="宋体"/>
                <w:color w:val="auto"/>
                <w:kern w:val="0"/>
                <w:szCs w:val="21"/>
                <w:highlight w:val="none"/>
              </w:rPr>
            </w:pPr>
          </w:p>
        </w:tc>
      </w:tr>
      <w:tr w14:paraId="12386586">
        <w:tblPrEx>
          <w:tblCellMar>
            <w:top w:w="0" w:type="dxa"/>
            <w:left w:w="0" w:type="dxa"/>
            <w:bottom w:w="0" w:type="dxa"/>
            <w:right w:w="0" w:type="dxa"/>
          </w:tblCellMar>
        </w:tblPrEx>
        <w:trPr>
          <w:trHeight w:val="487" w:hRule="atLeast"/>
          <w:jc w:val="center"/>
        </w:trPr>
        <w:tc>
          <w:tcPr>
            <w:tcW w:w="0" w:type="auto"/>
            <w:tcBorders>
              <w:top w:val="nil"/>
              <w:left w:val="single" w:color="auto" w:sz="8" w:space="0"/>
              <w:bottom w:val="single" w:color="auto" w:sz="8" w:space="0"/>
              <w:right w:val="single" w:color="auto" w:sz="8" w:space="0"/>
            </w:tcBorders>
            <w:vAlign w:val="center"/>
          </w:tcPr>
          <w:p w14:paraId="5FB5DBC2">
            <w:pPr>
              <w:spacing w:before="100" w:beforeAutospacing="1" w:after="100" w:afterAutospacing="1" w:line="240" w:lineRule="atLeast"/>
              <w:jc w:val="center"/>
              <w:rPr>
                <w:rFonts w:ascii="Verdana" w:hAnsi="Verdana" w:cs="宋体"/>
                <w:color w:val="auto"/>
                <w:kern w:val="0"/>
                <w:szCs w:val="21"/>
                <w:highlight w:val="none"/>
              </w:rPr>
            </w:pPr>
          </w:p>
        </w:tc>
        <w:tc>
          <w:tcPr>
            <w:tcW w:w="0" w:type="auto"/>
            <w:tcBorders>
              <w:top w:val="nil"/>
              <w:left w:val="nil"/>
              <w:bottom w:val="single" w:color="auto" w:sz="8" w:space="0"/>
              <w:right w:val="single" w:color="auto" w:sz="8" w:space="0"/>
            </w:tcBorders>
            <w:vAlign w:val="center"/>
          </w:tcPr>
          <w:p w14:paraId="5EBC8A13">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3"/>
            <w:tcBorders>
              <w:top w:val="nil"/>
              <w:left w:val="nil"/>
              <w:bottom w:val="single" w:color="auto" w:sz="8" w:space="0"/>
              <w:right w:val="single" w:color="auto" w:sz="8" w:space="0"/>
            </w:tcBorders>
            <w:vAlign w:val="center"/>
          </w:tcPr>
          <w:p w14:paraId="0209EAA0">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2"/>
            <w:tcBorders>
              <w:top w:val="nil"/>
              <w:left w:val="nil"/>
              <w:bottom w:val="single" w:color="auto" w:sz="8" w:space="0"/>
              <w:right w:val="single" w:color="auto" w:sz="8" w:space="0"/>
            </w:tcBorders>
            <w:vAlign w:val="center"/>
          </w:tcPr>
          <w:p w14:paraId="517AA8EE">
            <w:pPr>
              <w:spacing w:before="100" w:beforeAutospacing="1" w:after="100" w:afterAutospacing="1" w:line="240" w:lineRule="atLeast"/>
              <w:jc w:val="center"/>
              <w:rPr>
                <w:rFonts w:ascii="Verdana" w:hAnsi="Verdana" w:cs="宋体"/>
                <w:color w:val="auto"/>
                <w:kern w:val="0"/>
                <w:szCs w:val="21"/>
                <w:highlight w:val="none"/>
              </w:rPr>
            </w:pPr>
          </w:p>
        </w:tc>
        <w:tc>
          <w:tcPr>
            <w:tcW w:w="0" w:type="auto"/>
            <w:tcBorders>
              <w:top w:val="nil"/>
              <w:left w:val="nil"/>
              <w:bottom w:val="single" w:color="auto" w:sz="8" w:space="0"/>
              <w:right w:val="single" w:color="auto" w:sz="8" w:space="0"/>
            </w:tcBorders>
            <w:vAlign w:val="center"/>
          </w:tcPr>
          <w:p w14:paraId="69AFA421">
            <w:pPr>
              <w:spacing w:before="100" w:beforeAutospacing="1" w:after="100" w:afterAutospacing="1" w:line="240" w:lineRule="atLeast"/>
              <w:jc w:val="center"/>
              <w:rPr>
                <w:rFonts w:ascii="Verdana" w:hAnsi="Verdana" w:cs="宋体"/>
                <w:color w:val="auto"/>
                <w:kern w:val="0"/>
                <w:szCs w:val="21"/>
                <w:highlight w:val="none"/>
              </w:rPr>
            </w:pPr>
          </w:p>
        </w:tc>
      </w:tr>
      <w:tr w14:paraId="047DAFD7">
        <w:tblPrEx>
          <w:tblCellMar>
            <w:top w:w="0" w:type="dxa"/>
            <w:left w:w="0" w:type="dxa"/>
            <w:bottom w:w="0" w:type="dxa"/>
            <w:right w:w="0" w:type="dxa"/>
          </w:tblCellMar>
        </w:tblPrEx>
        <w:trPr>
          <w:trHeight w:val="487" w:hRule="atLeast"/>
          <w:jc w:val="center"/>
        </w:trPr>
        <w:tc>
          <w:tcPr>
            <w:tcW w:w="0" w:type="auto"/>
            <w:tcBorders>
              <w:top w:val="nil"/>
              <w:left w:val="single" w:color="auto" w:sz="8" w:space="0"/>
              <w:bottom w:val="single" w:color="auto" w:sz="8" w:space="0"/>
              <w:right w:val="single" w:color="auto" w:sz="8" w:space="0"/>
            </w:tcBorders>
            <w:vAlign w:val="center"/>
          </w:tcPr>
          <w:p w14:paraId="189B8FDD">
            <w:pPr>
              <w:spacing w:before="100" w:beforeAutospacing="1" w:after="100" w:afterAutospacing="1" w:line="240" w:lineRule="atLeast"/>
              <w:jc w:val="center"/>
              <w:rPr>
                <w:rFonts w:ascii="Verdana" w:hAnsi="Verdana" w:cs="宋体"/>
                <w:color w:val="auto"/>
                <w:kern w:val="0"/>
                <w:szCs w:val="21"/>
                <w:highlight w:val="none"/>
              </w:rPr>
            </w:pPr>
          </w:p>
        </w:tc>
        <w:tc>
          <w:tcPr>
            <w:tcW w:w="0" w:type="auto"/>
            <w:tcBorders>
              <w:top w:val="nil"/>
              <w:left w:val="nil"/>
              <w:bottom w:val="single" w:color="auto" w:sz="8" w:space="0"/>
              <w:right w:val="single" w:color="auto" w:sz="8" w:space="0"/>
            </w:tcBorders>
            <w:vAlign w:val="center"/>
          </w:tcPr>
          <w:p w14:paraId="22EABE05">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3"/>
            <w:tcBorders>
              <w:top w:val="nil"/>
              <w:left w:val="nil"/>
              <w:bottom w:val="single" w:color="auto" w:sz="8" w:space="0"/>
              <w:right w:val="single" w:color="auto" w:sz="8" w:space="0"/>
            </w:tcBorders>
            <w:vAlign w:val="center"/>
          </w:tcPr>
          <w:p w14:paraId="22888A27">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2"/>
            <w:tcBorders>
              <w:top w:val="nil"/>
              <w:left w:val="nil"/>
              <w:bottom w:val="single" w:color="auto" w:sz="8" w:space="0"/>
              <w:right w:val="single" w:color="auto" w:sz="8" w:space="0"/>
            </w:tcBorders>
            <w:vAlign w:val="center"/>
          </w:tcPr>
          <w:p w14:paraId="6B28C6D1">
            <w:pPr>
              <w:spacing w:before="100" w:beforeAutospacing="1" w:after="100" w:afterAutospacing="1" w:line="240" w:lineRule="atLeast"/>
              <w:jc w:val="center"/>
              <w:rPr>
                <w:rFonts w:ascii="Verdana" w:hAnsi="Verdana" w:cs="宋体"/>
                <w:color w:val="auto"/>
                <w:kern w:val="0"/>
                <w:szCs w:val="21"/>
                <w:highlight w:val="none"/>
              </w:rPr>
            </w:pPr>
          </w:p>
        </w:tc>
        <w:tc>
          <w:tcPr>
            <w:tcW w:w="0" w:type="auto"/>
            <w:tcBorders>
              <w:top w:val="nil"/>
              <w:left w:val="nil"/>
              <w:bottom w:val="single" w:color="auto" w:sz="8" w:space="0"/>
              <w:right w:val="single" w:color="auto" w:sz="8" w:space="0"/>
            </w:tcBorders>
            <w:vAlign w:val="center"/>
          </w:tcPr>
          <w:p w14:paraId="1660392A">
            <w:pPr>
              <w:spacing w:before="100" w:beforeAutospacing="1" w:after="100" w:afterAutospacing="1" w:line="240" w:lineRule="atLeast"/>
              <w:jc w:val="center"/>
              <w:rPr>
                <w:rFonts w:ascii="Verdana" w:hAnsi="Verdana" w:cs="宋体"/>
                <w:color w:val="auto"/>
                <w:kern w:val="0"/>
                <w:szCs w:val="21"/>
                <w:highlight w:val="none"/>
              </w:rPr>
            </w:pPr>
          </w:p>
        </w:tc>
      </w:tr>
      <w:tr w14:paraId="7B18EFFE">
        <w:tblPrEx>
          <w:tblCellMar>
            <w:top w:w="0" w:type="dxa"/>
            <w:left w:w="0" w:type="dxa"/>
            <w:bottom w:w="0" w:type="dxa"/>
            <w:right w:w="0" w:type="dxa"/>
          </w:tblCellMar>
        </w:tblPrEx>
        <w:trPr>
          <w:trHeight w:val="487" w:hRule="atLeast"/>
          <w:jc w:val="center"/>
        </w:trPr>
        <w:tc>
          <w:tcPr>
            <w:tcW w:w="0" w:type="auto"/>
            <w:gridSpan w:val="5"/>
            <w:tcBorders>
              <w:top w:val="nil"/>
              <w:left w:val="single" w:color="auto" w:sz="8" w:space="0"/>
              <w:bottom w:val="single" w:color="auto" w:sz="8" w:space="0"/>
              <w:right w:val="single" w:color="auto" w:sz="8" w:space="0"/>
            </w:tcBorders>
            <w:vAlign w:val="center"/>
          </w:tcPr>
          <w:p w14:paraId="64CF8BB1">
            <w:pPr>
              <w:snapToGrid w:val="0"/>
              <w:spacing w:before="100" w:beforeAutospacing="1" w:after="100" w:afterAutospacing="1" w:line="320" w:lineRule="atLeast"/>
              <w:ind w:firstLine="5"/>
              <w:jc w:val="center"/>
              <w:rPr>
                <w:rFonts w:ascii="Verdana" w:hAnsi="Verdana" w:cs="宋体"/>
                <w:color w:val="auto"/>
                <w:kern w:val="0"/>
                <w:szCs w:val="21"/>
                <w:highlight w:val="none"/>
              </w:rPr>
            </w:pPr>
            <w:r>
              <w:rPr>
                <w:rFonts w:ascii="Verdana" w:hAnsi="Verdana" w:cs="宋体"/>
                <w:color w:val="auto"/>
                <w:kern w:val="0"/>
                <w:szCs w:val="21"/>
                <w:highlight w:val="none"/>
              </w:rPr>
              <w:t>合 计</w:t>
            </w:r>
          </w:p>
        </w:tc>
        <w:tc>
          <w:tcPr>
            <w:tcW w:w="0" w:type="auto"/>
            <w:gridSpan w:val="2"/>
            <w:tcBorders>
              <w:top w:val="nil"/>
              <w:left w:val="nil"/>
              <w:bottom w:val="single" w:color="auto" w:sz="8" w:space="0"/>
              <w:right w:val="single" w:color="auto" w:sz="8" w:space="0"/>
            </w:tcBorders>
            <w:vAlign w:val="center"/>
          </w:tcPr>
          <w:p w14:paraId="092EF52C">
            <w:pPr>
              <w:spacing w:before="100" w:beforeAutospacing="1" w:after="100" w:afterAutospacing="1" w:line="240" w:lineRule="atLeast"/>
              <w:jc w:val="center"/>
              <w:rPr>
                <w:rFonts w:ascii="Verdana" w:hAnsi="Verdana" w:cs="宋体"/>
                <w:color w:val="auto"/>
                <w:kern w:val="0"/>
                <w:szCs w:val="21"/>
                <w:highlight w:val="none"/>
              </w:rPr>
            </w:pPr>
          </w:p>
        </w:tc>
        <w:tc>
          <w:tcPr>
            <w:tcW w:w="0" w:type="auto"/>
            <w:tcBorders>
              <w:top w:val="nil"/>
              <w:left w:val="nil"/>
              <w:bottom w:val="single" w:color="auto" w:sz="8" w:space="0"/>
              <w:right w:val="single" w:color="auto" w:sz="8" w:space="0"/>
            </w:tcBorders>
            <w:vAlign w:val="center"/>
          </w:tcPr>
          <w:p w14:paraId="698053BA">
            <w:pPr>
              <w:spacing w:before="100" w:beforeAutospacing="1" w:after="100" w:afterAutospacing="1" w:line="240" w:lineRule="atLeast"/>
              <w:jc w:val="center"/>
              <w:rPr>
                <w:rFonts w:ascii="Verdana" w:hAnsi="Verdana" w:cs="宋体"/>
                <w:color w:val="auto"/>
                <w:kern w:val="0"/>
                <w:szCs w:val="21"/>
                <w:highlight w:val="none"/>
              </w:rPr>
            </w:pPr>
          </w:p>
        </w:tc>
      </w:tr>
      <w:tr w14:paraId="6E974DB8">
        <w:tblPrEx>
          <w:tblCellMar>
            <w:top w:w="0" w:type="dxa"/>
            <w:left w:w="0" w:type="dxa"/>
            <w:bottom w:w="0" w:type="dxa"/>
            <w:right w:w="0" w:type="dxa"/>
          </w:tblCellMar>
        </w:tblPrEx>
        <w:trPr>
          <w:trHeight w:val="641" w:hRule="atLeast"/>
          <w:jc w:val="center"/>
        </w:trPr>
        <w:tc>
          <w:tcPr>
            <w:tcW w:w="0" w:type="auto"/>
            <w:gridSpan w:val="8"/>
            <w:tcBorders>
              <w:top w:val="nil"/>
              <w:left w:val="single" w:color="auto" w:sz="8" w:space="0"/>
              <w:bottom w:val="single" w:color="auto" w:sz="8" w:space="0"/>
              <w:right w:val="single" w:color="auto" w:sz="8" w:space="0"/>
            </w:tcBorders>
            <w:vAlign w:val="center"/>
          </w:tcPr>
          <w:p w14:paraId="06BBD2EC">
            <w:pPr>
              <w:snapToGrid w:val="0"/>
              <w:spacing w:before="100" w:beforeAutospacing="1" w:after="100" w:afterAutospacing="1" w:line="320" w:lineRule="atLeast"/>
              <w:ind w:firstLine="2"/>
              <w:jc w:val="left"/>
              <w:rPr>
                <w:rFonts w:ascii="Verdana" w:hAnsi="Verdana" w:cs="宋体"/>
                <w:color w:val="auto"/>
                <w:kern w:val="0"/>
                <w:szCs w:val="21"/>
                <w:highlight w:val="none"/>
              </w:rPr>
            </w:pPr>
            <w:r>
              <w:rPr>
                <w:rFonts w:ascii="Verdana" w:hAnsi="Verdana" w:cs="宋体"/>
                <w:color w:val="auto"/>
                <w:kern w:val="0"/>
                <w:szCs w:val="21"/>
                <w:highlight w:val="none"/>
              </w:rPr>
              <w:t xml:space="preserve">合计大写金额： </w:t>
            </w:r>
            <w:r>
              <w:rPr>
                <w:rFonts w:hint="eastAsia" w:ascii="Verdana" w:hAnsi="Verdana" w:cs="宋体"/>
                <w:color w:val="auto"/>
                <w:kern w:val="0"/>
                <w:szCs w:val="21"/>
                <w:highlight w:val="none"/>
              </w:rPr>
              <w:t xml:space="preserve">亿 </w:t>
            </w:r>
            <w:r>
              <w:rPr>
                <w:rFonts w:ascii="Verdana" w:hAnsi="Verdana" w:cs="宋体"/>
                <w:color w:val="auto"/>
                <w:kern w:val="0"/>
                <w:szCs w:val="21"/>
                <w:highlight w:val="none"/>
              </w:rPr>
              <w:t>仟 佰 拾 万 仟 佰 拾 元</w:t>
            </w:r>
          </w:p>
        </w:tc>
      </w:tr>
      <w:tr w14:paraId="39E262FC">
        <w:tblPrEx>
          <w:tblCellMar>
            <w:top w:w="0" w:type="dxa"/>
            <w:left w:w="0" w:type="dxa"/>
            <w:bottom w:w="0" w:type="dxa"/>
            <w:right w:w="0" w:type="dxa"/>
          </w:tblCellMar>
        </w:tblPrEx>
        <w:trPr>
          <w:trHeight w:val="641" w:hRule="atLeast"/>
          <w:jc w:val="center"/>
        </w:trPr>
        <w:tc>
          <w:tcPr>
            <w:tcW w:w="0" w:type="auto"/>
            <w:tcBorders>
              <w:top w:val="nil"/>
              <w:left w:val="single" w:color="auto" w:sz="8" w:space="0"/>
              <w:bottom w:val="single" w:color="auto" w:sz="8" w:space="0"/>
              <w:right w:val="single" w:color="auto" w:sz="8" w:space="0"/>
            </w:tcBorders>
            <w:vAlign w:val="center"/>
          </w:tcPr>
          <w:p w14:paraId="3D8D8F91">
            <w:pPr>
              <w:snapToGrid w:val="0"/>
              <w:spacing w:before="100" w:beforeAutospacing="1" w:after="100" w:afterAutospacing="1" w:line="320" w:lineRule="atLeast"/>
              <w:ind w:firstLine="2"/>
              <w:jc w:val="center"/>
              <w:rPr>
                <w:rFonts w:ascii="Verdana" w:hAnsi="Verdana" w:cs="宋体"/>
                <w:color w:val="auto"/>
                <w:kern w:val="0"/>
                <w:szCs w:val="21"/>
                <w:highlight w:val="none"/>
              </w:rPr>
            </w:pPr>
            <w:r>
              <w:rPr>
                <w:rFonts w:ascii="Verdana" w:hAnsi="Verdana" w:cs="宋体"/>
                <w:color w:val="auto"/>
                <w:kern w:val="0"/>
                <w:szCs w:val="21"/>
                <w:highlight w:val="none"/>
              </w:rPr>
              <w:t>实际供货日期</w:t>
            </w:r>
          </w:p>
        </w:tc>
        <w:tc>
          <w:tcPr>
            <w:tcW w:w="0" w:type="auto"/>
            <w:gridSpan w:val="2"/>
            <w:tcBorders>
              <w:top w:val="nil"/>
              <w:left w:val="nil"/>
              <w:bottom w:val="single" w:color="auto" w:sz="8" w:space="0"/>
              <w:right w:val="single" w:color="auto" w:sz="8" w:space="0"/>
            </w:tcBorders>
            <w:vAlign w:val="center"/>
          </w:tcPr>
          <w:p w14:paraId="7AC99419">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3"/>
            <w:tcBorders>
              <w:top w:val="nil"/>
              <w:left w:val="nil"/>
              <w:bottom w:val="single" w:color="auto" w:sz="8" w:space="0"/>
              <w:right w:val="single" w:color="auto" w:sz="8" w:space="0"/>
            </w:tcBorders>
            <w:vAlign w:val="center"/>
          </w:tcPr>
          <w:p w14:paraId="22438EE6">
            <w:pPr>
              <w:snapToGrid w:val="0"/>
              <w:spacing w:before="100" w:beforeAutospacing="1" w:after="100" w:afterAutospacing="1" w:line="320" w:lineRule="atLeast"/>
              <w:ind w:firstLine="46"/>
              <w:jc w:val="center"/>
              <w:rPr>
                <w:rFonts w:ascii="Verdana" w:hAnsi="Verdana" w:cs="宋体"/>
                <w:color w:val="auto"/>
                <w:kern w:val="0"/>
                <w:szCs w:val="21"/>
                <w:highlight w:val="none"/>
              </w:rPr>
            </w:pPr>
            <w:r>
              <w:rPr>
                <w:rFonts w:ascii="Verdana" w:hAnsi="Verdana" w:cs="宋体"/>
                <w:color w:val="auto"/>
                <w:kern w:val="0"/>
                <w:szCs w:val="21"/>
                <w:highlight w:val="none"/>
              </w:rPr>
              <w:t>合同交货验收日期</w:t>
            </w:r>
          </w:p>
        </w:tc>
        <w:tc>
          <w:tcPr>
            <w:tcW w:w="0" w:type="auto"/>
            <w:gridSpan w:val="2"/>
            <w:tcBorders>
              <w:top w:val="nil"/>
              <w:left w:val="nil"/>
              <w:bottom w:val="single" w:color="auto" w:sz="8" w:space="0"/>
              <w:right w:val="single" w:color="auto" w:sz="8" w:space="0"/>
            </w:tcBorders>
            <w:vAlign w:val="center"/>
          </w:tcPr>
          <w:p w14:paraId="14CDE54C">
            <w:pPr>
              <w:spacing w:before="100" w:beforeAutospacing="1" w:after="100" w:afterAutospacing="1" w:line="240" w:lineRule="atLeast"/>
              <w:jc w:val="center"/>
              <w:rPr>
                <w:rFonts w:ascii="Verdana" w:hAnsi="Verdana" w:cs="宋体"/>
                <w:color w:val="auto"/>
                <w:kern w:val="0"/>
                <w:szCs w:val="21"/>
                <w:highlight w:val="none"/>
              </w:rPr>
            </w:pPr>
          </w:p>
        </w:tc>
      </w:tr>
      <w:tr w14:paraId="3D24ACC9">
        <w:tblPrEx>
          <w:tblCellMar>
            <w:top w:w="0" w:type="dxa"/>
            <w:left w:w="0" w:type="dxa"/>
            <w:bottom w:w="0" w:type="dxa"/>
            <w:right w:w="0" w:type="dxa"/>
          </w:tblCellMar>
        </w:tblPrEx>
        <w:trPr>
          <w:trHeight w:val="394" w:hRule="atLeast"/>
          <w:jc w:val="center"/>
        </w:trPr>
        <w:tc>
          <w:tcPr>
            <w:tcW w:w="0" w:type="auto"/>
            <w:tcBorders>
              <w:top w:val="nil"/>
              <w:left w:val="single" w:color="auto" w:sz="8" w:space="0"/>
              <w:bottom w:val="single" w:color="auto" w:sz="8" w:space="0"/>
              <w:right w:val="single" w:color="auto" w:sz="8" w:space="0"/>
            </w:tcBorders>
            <w:vAlign w:val="center"/>
          </w:tcPr>
          <w:p w14:paraId="3CFC373D">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2"/>
            <w:tcBorders>
              <w:top w:val="nil"/>
              <w:left w:val="nil"/>
              <w:bottom w:val="single" w:color="auto" w:sz="8" w:space="0"/>
              <w:right w:val="single" w:color="auto" w:sz="8" w:space="0"/>
            </w:tcBorders>
            <w:vAlign w:val="center"/>
          </w:tcPr>
          <w:p w14:paraId="32DFE2E5">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3"/>
            <w:tcBorders>
              <w:top w:val="nil"/>
              <w:left w:val="nil"/>
              <w:bottom w:val="single" w:color="auto" w:sz="8" w:space="0"/>
              <w:right w:val="single" w:color="auto" w:sz="8" w:space="0"/>
            </w:tcBorders>
            <w:vAlign w:val="center"/>
          </w:tcPr>
          <w:p w14:paraId="52104CD2">
            <w:pPr>
              <w:spacing w:before="100" w:beforeAutospacing="1" w:after="100" w:afterAutospacing="1" w:line="240" w:lineRule="atLeast"/>
              <w:jc w:val="center"/>
              <w:rPr>
                <w:rFonts w:ascii="Verdana" w:hAnsi="Verdana" w:cs="宋体"/>
                <w:color w:val="auto"/>
                <w:kern w:val="0"/>
                <w:szCs w:val="21"/>
                <w:highlight w:val="none"/>
              </w:rPr>
            </w:pPr>
          </w:p>
        </w:tc>
        <w:tc>
          <w:tcPr>
            <w:tcW w:w="0" w:type="auto"/>
            <w:gridSpan w:val="2"/>
            <w:tcBorders>
              <w:top w:val="nil"/>
              <w:left w:val="nil"/>
              <w:bottom w:val="single" w:color="auto" w:sz="8" w:space="0"/>
              <w:right w:val="single" w:color="auto" w:sz="8" w:space="0"/>
            </w:tcBorders>
            <w:vAlign w:val="center"/>
          </w:tcPr>
          <w:p w14:paraId="56600821">
            <w:pPr>
              <w:spacing w:before="100" w:beforeAutospacing="1" w:after="100" w:afterAutospacing="1" w:line="240" w:lineRule="atLeast"/>
              <w:jc w:val="center"/>
              <w:rPr>
                <w:rFonts w:ascii="Verdana" w:hAnsi="Verdana" w:cs="宋体"/>
                <w:color w:val="auto"/>
                <w:kern w:val="0"/>
                <w:szCs w:val="21"/>
                <w:highlight w:val="none"/>
              </w:rPr>
            </w:pPr>
          </w:p>
        </w:tc>
      </w:tr>
      <w:tr w14:paraId="2618EBAF">
        <w:tblPrEx>
          <w:tblCellMar>
            <w:top w:w="0" w:type="dxa"/>
            <w:left w:w="0" w:type="dxa"/>
            <w:bottom w:w="0" w:type="dxa"/>
            <w:right w:w="0" w:type="dxa"/>
          </w:tblCellMar>
        </w:tblPrEx>
        <w:trPr>
          <w:trHeight w:val="693" w:hRule="atLeast"/>
          <w:jc w:val="center"/>
        </w:trPr>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0569D8">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验收具体内容</w:t>
            </w:r>
          </w:p>
        </w:tc>
        <w:tc>
          <w:tcPr>
            <w:tcW w:w="0" w:type="auto"/>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41BA609B">
            <w:pPr>
              <w:snapToGrid w:val="0"/>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220A496F">
        <w:tblPrEx>
          <w:tblCellMar>
            <w:top w:w="0" w:type="dxa"/>
            <w:left w:w="0" w:type="dxa"/>
            <w:bottom w:w="0" w:type="dxa"/>
            <w:right w:w="0" w:type="dxa"/>
          </w:tblCellMar>
        </w:tblPrEx>
        <w:trPr>
          <w:trHeight w:val="1281" w:hRule="atLeast"/>
          <w:jc w:val="center"/>
        </w:trPr>
        <w:tc>
          <w:tcPr>
            <w:tcW w:w="0" w:type="auto"/>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165618">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验收小组意见</w:t>
            </w:r>
          </w:p>
        </w:tc>
        <w:tc>
          <w:tcPr>
            <w:tcW w:w="0" w:type="auto"/>
            <w:gridSpan w:val="7"/>
            <w:tcBorders>
              <w:top w:val="nil"/>
              <w:left w:val="nil"/>
              <w:bottom w:val="single" w:color="auto" w:sz="8" w:space="0"/>
              <w:right w:val="single" w:color="auto" w:sz="8" w:space="0"/>
            </w:tcBorders>
            <w:vAlign w:val="center"/>
          </w:tcPr>
          <w:p w14:paraId="64F18F10">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验收结论性意见：</w:t>
            </w:r>
          </w:p>
        </w:tc>
      </w:tr>
      <w:tr w14:paraId="346B7A16">
        <w:tblPrEx>
          <w:tblCellMar>
            <w:top w:w="0" w:type="dxa"/>
            <w:left w:w="0" w:type="dxa"/>
            <w:bottom w:w="0" w:type="dxa"/>
            <w:right w:w="0" w:type="dxa"/>
          </w:tblCellMar>
        </w:tblPrEx>
        <w:trPr>
          <w:trHeight w:val="607"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7FAFDB05">
            <w:pPr>
              <w:jc w:val="left"/>
              <w:rPr>
                <w:rFonts w:ascii="Verdana" w:hAnsi="Verdana" w:cs="宋体"/>
                <w:color w:val="auto"/>
                <w:kern w:val="0"/>
                <w:szCs w:val="21"/>
                <w:highlight w:val="none"/>
              </w:rPr>
            </w:pPr>
          </w:p>
        </w:tc>
        <w:tc>
          <w:tcPr>
            <w:tcW w:w="0" w:type="auto"/>
            <w:gridSpan w:val="7"/>
            <w:tcBorders>
              <w:top w:val="nil"/>
              <w:left w:val="nil"/>
              <w:bottom w:val="single" w:color="auto" w:sz="8" w:space="0"/>
              <w:right w:val="single" w:color="auto" w:sz="8" w:space="0"/>
            </w:tcBorders>
            <w:vAlign w:val="center"/>
          </w:tcPr>
          <w:p w14:paraId="18725BC2">
            <w:pPr>
              <w:spacing w:before="100" w:beforeAutospacing="1" w:after="100" w:afterAutospacing="1" w:line="320" w:lineRule="atLeast"/>
              <w:ind w:firstLine="96"/>
              <w:jc w:val="left"/>
              <w:rPr>
                <w:rFonts w:ascii="Verdana" w:hAnsi="Verdana" w:cs="宋体"/>
                <w:color w:val="auto"/>
                <w:kern w:val="0"/>
                <w:szCs w:val="21"/>
                <w:highlight w:val="none"/>
              </w:rPr>
            </w:pPr>
            <w:r>
              <w:rPr>
                <w:rFonts w:ascii="Verdana" w:hAnsi="Verdana" w:cs="宋体"/>
                <w:color w:val="auto"/>
                <w:kern w:val="0"/>
                <w:szCs w:val="21"/>
                <w:highlight w:val="none"/>
              </w:rPr>
              <w:t>有异议的意见和说明理由：</w:t>
            </w:r>
          </w:p>
          <w:p w14:paraId="7636EE93">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签字：</w:t>
            </w:r>
          </w:p>
        </w:tc>
      </w:tr>
      <w:tr w14:paraId="58AD29B6">
        <w:tblPrEx>
          <w:tblCellMar>
            <w:top w:w="0" w:type="dxa"/>
            <w:left w:w="0" w:type="dxa"/>
            <w:bottom w:w="0" w:type="dxa"/>
            <w:right w:w="0" w:type="dxa"/>
          </w:tblCellMar>
        </w:tblPrEx>
        <w:trPr>
          <w:trHeight w:val="507" w:hRule="atLeast"/>
          <w:jc w:val="center"/>
        </w:trPr>
        <w:tc>
          <w:tcPr>
            <w:tcW w:w="0" w:type="auto"/>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375B10">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验收小组成员签字：</w:t>
            </w:r>
          </w:p>
        </w:tc>
      </w:tr>
      <w:tr w14:paraId="44B0C8E6">
        <w:tblPrEx>
          <w:tblCellMar>
            <w:top w:w="0" w:type="dxa"/>
            <w:left w:w="0" w:type="dxa"/>
            <w:bottom w:w="0" w:type="dxa"/>
            <w:right w:w="0" w:type="dxa"/>
          </w:tblCellMar>
        </w:tblPrEx>
        <w:trPr>
          <w:trHeight w:val="736" w:hRule="atLeast"/>
          <w:jc w:val="center"/>
        </w:trPr>
        <w:tc>
          <w:tcPr>
            <w:tcW w:w="0" w:type="auto"/>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260E1A">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监督人员或者其他相关人员签字：</w:t>
            </w:r>
          </w:p>
          <w:p w14:paraId="7CF7ACE5">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或者受邀机构的意见（盖章）：</w:t>
            </w:r>
          </w:p>
        </w:tc>
      </w:tr>
      <w:tr w14:paraId="1A2F707E">
        <w:tblPrEx>
          <w:tblCellMar>
            <w:top w:w="0" w:type="dxa"/>
            <w:left w:w="0" w:type="dxa"/>
            <w:bottom w:w="0" w:type="dxa"/>
            <w:right w:w="0" w:type="dxa"/>
          </w:tblCellMar>
        </w:tblPrEx>
        <w:trPr>
          <w:trHeight w:val="758" w:hRule="atLeast"/>
          <w:jc w:val="center"/>
        </w:trPr>
        <w:tc>
          <w:tcPr>
            <w:tcW w:w="0" w:type="auto"/>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4D17F532">
            <w:pPr>
              <w:spacing w:before="100" w:beforeAutospacing="1" w:after="100" w:afterAutospacing="1" w:line="320" w:lineRule="atLeast"/>
              <w:ind w:firstLine="74"/>
              <w:jc w:val="left"/>
              <w:rPr>
                <w:rFonts w:ascii="Verdana" w:hAnsi="Verdana" w:cs="宋体"/>
                <w:color w:val="auto"/>
                <w:kern w:val="0"/>
                <w:szCs w:val="21"/>
                <w:highlight w:val="none"/>
              </w:rPr>
            </w:pPr>
            <w:r>
              <w:rPr>
                <w:rFonts w:ascii="Verdana" w:hAnsi="Verdana" w:cs="宋体"/>
                <w:color w:val="auto"/>
                <w:kern w:val="0"/>
                <w:szCs w:val="21"/>
                <w:highlight w:val="none"/>
              </w:rPr>
              <w:t>中标或者成交人负责人签字或者盖章：</w:t>
            </w:r>
          </w:p>
          <w:p w14:paraId="2B26709B">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c>
          <w:tcPr>
            <w:tcW w:w="0" w:type="auto"/>
            <w:gridSpan w:val="4"/>
            <w:tcBorders>
              <w:top w:val="nil"/>
              <w:left w:val="nil"/>
              <w:bottom w:val="single" w:color="auto" w:sz="8" w:space="0"/>
              <w:right w:val="single" w:color="auto" w:sz="8" w:space="0"/>
            </w:tcBorders>
            <w:vAlign w:val="center"/>
          </w:tcPr>
          <w:p w14:paraId="7CBAC44B">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采购人或者受托机构的意见（盖章）：</w:t>
            </w:r>
          </w:p>
          <w:p w14:paraId="24097738">
            <w:pPr>
              <w:spacing w:before="100" w:beforeAutospacing="1" w:after="100" w:afterAutospacing="1" w:line="320" w:lineRule="atLeast"/>
              <w:jc w:val="left"/>
              <w:rPr>
                <w:rFonts w:ascii="Verdana" w:hAnsi="Verdana" w:cs="宋体"/>
                <w:color w:val="auto"/>
                <w:kern w:val="0"/>
                <w:szCs w:val="21"/>
                <w:highlight w:val="none"/>
              </w:rPr>
            </w:pPr>
            <w:r>
              <w:rPr>
                <w:rFonts w:ascii="Verdana" w:hAnsi="Verdana" w:cs="宋体"/>
                <w:color w:val="auto"/>
                <w:kern w:val="0"/>
                <w:szCs w:val="21"/>
                <w:highlight w:val="none"/>
              </w:rPr>
              <w:t>联系电话： 年 月 日</w:t>
            </w:r>
          </w:p>
        </w:tc>
      </w:tr>
    </w:tbl>
    <w:p w14:paraId="28FB60C0">
      <w:pPr>
        <w:jc w:val="left"/>
        <w:rPr>
          <w:rFonts w:hint="eastAsia" w:hAnsi="宋体"/>
          <w:color w:val="auto"/>
          <w:highlight w:val="none"/>
        </w:rPr>
      </w:pPr>
      <w:r>
        <w:rPr>
          <w:rFonts w:hAnsi="宋体"/>
          <w:color w:val="auto"/>
          <w:highlight w:val="none"/>
        </w:rPr>
        <w:br w:type="page"/>
      </w:r>
      <w:r>
        <w:rPr>
          <w:rFonts w:hint="eastAsia" w:hAnsi="宋体"/>
          <w:color w:val="auto"/>
          <w:highlight w:val="none"/>
        </w:rPr>
        <w:t>附件2：</w:t>
      </w:r>
    </w:p>
    <w:p w14:paraId="4EBB6A75">
      <w:pPr>
        <w:shd w:val="clear" w:color="auto" w:fill="FFFFFF"/>
        <w:spacing w:after="240" w:afterLines="100" w:line="480" w:lineRule="atLeast"/>
        <w:jc w:val="center"/>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政府采购项目履约保证金退付意见书（参考）</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4"/>
        <w:gridCol w:w="8730"/>
      </w:tblGrid>
      <w:tr w14:paraId="6536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0" w:type="auto"/>
            <w:vMerge w:val="restart"/>
            <w:vAlign w:val="center"/>
          </w:tcPr>
          <w:p w14:paraId="06EFFA00">
            <w:pPr>
              <w:jc w:val="center"/>
              <w:rPr>
                <w:color w:val="auto"/>
                <w:sz w:val="24"/>
                <w:highlight w:val="none"/>
              </w:rPr>
            </w:pPr>
            <w:r>
              <w:rPr>
                <w:rFonts w:hint="eastAsia"/>
                <w:color w:val="auto"/>
                <w:sz w:val="24"/>
                <w:highlight w:val="none"/>
              </w:rPr>
              <w:t>供</w:t>
            </w:r>
          </w:p>
          <w:p w14:paraId="3F569044">
            <w:pPr>
              <w:jc w:val="center"/>
              <w:rPr>
                <w:color w:val="auto"/>
                <w:sz w:val="24"/>
                <w:highlight w:val="none"/>
              </w:rPr>
            </w:pPr>
            <w:r>
              <w:rPr>
                <w:rFonts w:hint="eastAsia"/>
                <w:color w:val="auto"/>
                <w:sz w:val="24"/>
                <w:highlight w:val="none"/>
              </w:rPr>
              <w:t>应</w:t>
            </w:r>
          </w:p>
          <w:p w14:paraId="76E9585E">
            <w:pPr>
              <w:jc w:val="center"/>
              <w:rPr>
                <w:color w:val="auto"/>
                <w:sz w:val="24"/>
                <w:highlight w:val="none"/>
              </w:rPr>
            </w:pPr>
            <w:r>
              <w:rPr>
                <w:rFonts w:hint="eastAsia"/>
                <w:color w:val="auto"/>
                <w:sz w:val="24"/>
                <w:highlight w:val="none"/>
              </w:rPr>
              <w:t>商</w:t>
            </w:r>
          </w:p>
          <w:p w14:paraId="70EFFBEA">
            <w:pPr>
              <w:jc w:val="center"/>
              <w:rPr>
                <w:color w:val="auto"/>
                <w:sz w:val="24"/>
                <w:highlight w:val="none"/>
              </w:rPr>
            </w:pPr>
            <w:r>
              <w:rPr>
                <w:rFonts w:hint="eastAsia"/>
                <w:color w:val="auto"/>
                <w:sz w:val="24"/>
                <w:highlight w:val="none"/>
              </w:rPr>
              <w:t>申</w:t>
            </w:r>
          </w:p>
          <w:p w14:paraId="41A04442">
            <w:pPr>
              <w:jc w:val="center"/>
              <w:rPr>
                <w:color w:val="auto"/>
                <w:sz w:val="24"/>
                <w:highlight w:val="none"/>
              </w:rPr>
            </w:pPr>
            <w:r>
              <w:rPr>
                <w:rFonts w:hint="eastAsia"/>
                <w:color w:val="auto"/>
                <w:sz w:val="24"/>
                <w:highlight w:val="none"/>
              </w:rPr>
              <w:t>请</w:t>
            </w:r>
          </w:p>
        </w:tc>
        <w:tc>
          <w:tcPr>
            <w:tcW w:w="0" w:type="auto"/>
            <w:vAlign w:val="center"/>
          </w:tcPr>
          <w:p w14:paraId="3C676262">
            <w:pPr>
              <w:rPr>
                <w:color w:val="auto"/>
                <w:sz w:val="24"/>
                <w:highlight w:val="none"/>
              </w:rPr>
            </w:pPr>
            <w:r>
              <w:rPr>
                <w:rFonts w:hint="eastAsia"/>
                <w:color w:val="auto"/>
                <w:sz w:val="24"/>
                <w:highlight w:val="none"/>
              </w:rPr>
              <w:t>项目编号：</w:t>
            </w:r>
          </w:p>
        </w:tc>
      </w:tr>
      <w:tr w14:paraId="74C6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0" w:type="auto"/>
            <w:vMerge w:val="continue"/>
            <w:vAlign w:val="center"/>
          </w:tcPr>
          <w:p w14:paraId="655A017E">
            <w:pPr>
              <w:rPr>
                <w:color w:val="auto"/>
                <w:sz w:val="24"/>
                <w:highlight w:val="none"/>
              </w:rPr>
            </w:pPr>
          </w:p>
        </w:tc>
        <w:tc>
          <w:tcPr>
            <w:tcW w:w="0" w:type="auto"/>
            <w:vAlign w:val="center"/>
          </w:tcPr>
          <w:p w14:paraId="48F832E9">
            <w:pPr>
              <w:rPr>
                <w:color w:val="auto"/>
                <w:sz w:val="24"/>
                <w:highlight w:val="none"/>
              </w:rPr>
            </w:pPr>
            <w:r>
              <w:rPr>
                <w:rFonts w:hint="eastAsia"/>
                <w:color w:val="auto"/>
                <w:sz w:val="24"/>
                <w:highlight w:val="none"/>
              </w:rPr>
              <w:t>项目名称：</w:t>
            </w:r>
          </w:p>
        </w:tc>
      </w:tr>
      <w:tr w14:paraId="599E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0" w:type="auto"/>
            <w:vMerge w:val="continue"/>
          </w:tcPr>
          <w:p w14:paraId="6B79F8C4">
            <w:pPr>
              <w:rPr>
                <w:color w:val="auto"/>
                <w:sz w:val="24"/>
                <w:highlight w:val="none"/>
              </w:rPr>
            </w:pPr>
          </w:p>
        </w:tc>
        <w:tc>
          <w:tcPr>
            <w:tcW w:w="0" w:type="auto"/>
          </w:tcPr>
          <w:p w14:paraId="414955D6">
            <w:pPr>
              <w:rPr>
                <w:color w:val="auto"/>
                <w:sz w:val="24"/>
                <w:highlight w:val="none"/>
              </w:rPr>
            </w:pPr>
            <w:r>
              <w:rPr>
                <w:rFonts w:hint="eastAsia"/>
                <w:color w:val="auto"/>
                <w:sz w:val="24"/>
                <w:highlight w:val="none"/>
              </w:rPr>
              <w:t xml:space="preserve">  </w:t>
            </w:r>
          </w:p>
          <w:p w14:paraId="356EDC78">
            <w:pPr>
              <w:spacing w:line="400" w:lineRule="exact"/>
              <w:ind w:firstLine="480" w:firstLineChars="200"/>
              <w:rPr>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w:t>
            </w:r>
          </w:p>
          <w:p w14:paraId="790CA661">
            <w:pPr>
              <w:spacing w:line="400" w:lineRule="exact"/>
              <w:rPr>
                <w:color w:val="auto"/>
                <w:sz w:val="24"/>
                <w:highlight w:val="none"/>
              </w:rPr>
            </w:pP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（小写）退付到达以下账户。</w:t>
            </w:r>
          </w:p>
          <w:p w14:paraId="7557DFAE">
            <w:pPr>
              <w:spacing w:line="400" w:lineRule="exact"/>
              <w:ind w:firstLine="705"/>
              <w:rPr>
                <w:color w:val="auto"/>
                <w:sz w:val="24"/>
                <w:highlight w:val="none"/>
              </w:rPr>
            </w:pPr>
            <w:r>
              <w:rPr>
                <w:rFonts w:hint="eastAsia"/>
                <w:color w:val="auto"/>
                <w:sz w:val="24"/>
                <w:highlight w:val="none"/>
              </w:rPr>
              <w:t>单位名称：</w:t>
            </w:r>
          </w:p>
          <w:p w14:paraId="472D0D92">
            <w:pPr>
              <w:spacing w:line="400" w:lineRule="exact"/>
              <w:ind w:firstLine="705"/>
              <w:rPr>
                <w:color w:val="auto"/>
                <w:sz w:val="24"/>
                <w:highlight w:val="none"/>
              </w:rPr>
            </w:pPr>
            <w:r>
              <w:rPr>
                <w:rFonts w:hint="eastAsia"/>
                <w:color w:val="auto"/>
                <w:sz w:val="24"/>
                <w:highlight w:val="none"/>
              </w:rPr>
              <w:t>开户银行：</w:t>
            </w:r>
          </w:p>
          <w:p w14:paraId="266E8184">
            <w:pPr>
              <w:spacing w:line="400" w:lineRule="exact"/>
              <w:ind w:firstLine="705"/>
              <w:rPr>
                <w:color w:val="auto"/>
                <w:sz w:val="24"/>
                <w:highlight w:val="none"/>
              </w:rPr>
            </w:pPr>
            <w:r>
              <w:rPr>
                <w:rFonts w:hint="eastAsia"/>
                <w:color w:val="auto"/>
                <w:sz w:val="24"/>
                <w:highlight w:val="none"/>
              </w:rPr>
              <w:t>账   号：</w:t>
            </w:r>
          </w:p>
          <w:p w14:paraId="786B78DF">
            <w:pPr>
              <w:spacing w:line="400" w:lineRule="exact"/>
              <w:rPr>
                <w:color w:val="auto"/>
                <w:sz w:val="24"/>
                <w:highlight w:val="none"/>
              </w:rPr>
            </w:pPr>
            <w:r>
              <w:rPr>
                <w:rFonts w:hint="eastAsia"/>
                <w:color w:val="auto"/>
                <w:sz w:val="24"/>
                <w:highlight w:val="none"/>
              </w:rPr>
              <w:t>联系人及电话：</w:t>
            </w:r>
          </w:p>
          <w:p w14:paraId="4E08EDA2">
            <w:pPr>
              <w:spacing w:line="400" w:lineRule="exact"/>
              <w:rPr>
                <w:color w:val="auto"/>
                <w:sz w:val="24"/>
                <w:highlight w:val="none"/>
              </w:rPr>
            </w:pPr>
          </w:p>
          <w:p w14:paraId="47914BF9">
            <w:pPr>
              <w:spacing w:line="520" w:lineRule="exact"/>
              <w:jc w:val="center"/>
              <w:rPr>
                <w:color w:val="auto"/>
                <w:sz w:val="24"/>
                <w:highlight w:val="none"/>
              </w:rPr>
            </w:pPr>
            <w:r>
              <w:rPr>
                <w:rFonts w:hint="eastAsia"/>
                <w:color w:val="auto"/>
                <w:sz w:val="24"/>
                <w:highlight w:val="none"/>
              </w:rPr>
              <w:t xml:space="preserve">         投标人签章：</w:t>
            </w:r>
          </w:p>
          <w:p w14:paraId="2C1C6D6B">
            <w:pPr>
              <w:spacing w:line="520" w:lineRule="exact"/>
              <w:jc w:val="center"/>
              <w:rPr>
                <w:color w:val="auto"/>
                <w:sz w:val="24"/>
                <w:highlight w:val="none"/>
              </w:rPr>
            </w:pPr>
            <w:r>
              <w:rPr>
                <w:rFonts w:hint="eastAsia"/>
                <w:color w:val="auto"/>
                <w:sz w:val="24"/>
                <w:highlight w:val="none"/>
              </w:rPr>
              <w:t xml:space="preserve">                           年    月     日</w:t>
            </w:r>
          </w:p>
        </w:tc>
      </w:tr>
      <w:tr w14:paraId="0ADA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0" w:type="auto"/>
            <w:vAlign w:val="center"/>
          </w:tcPr>
          <w:p w14:paraId="2EB51589">
            <w:pPr>
              <w:jc w:val="center"/>
              <w:rPr>
                <w:color w:val="auto"/>
                <w:sz w:val="24"/>
                <w:highlight w:val="none"/>
              </w:rPr>
            </w:pPr>
            <w:r>
              <w:rPr>
                <w:rFonts w:hint="eastAsia"/>
                <w:color w:val="auto"/>
                <w:sz w:val="24"/>
                <w:highlight w:val="none"/>
              </w:rPr>
              <w:t>采</w:t>
            </w:r>
          </w:p>
          <w:p w14:paraId="7407E53C">
            <w:pPr>
              <w:jc w:val="center"/>
              <w:rPr>
                <w:color w:val="auto"/>
                <w:sz w:val="24"/>
                <w:highlight w:val="none"/>
              </w:rPr>
            </w:pPr>
            <w:r>
              <w:rPr>
                <w:rFonts w:hint="eastAsia"/>
                <w:color w:val="auto"/>
                <w:sz w:val="24"/>
                <w:highlight w:val="none"/>
              </w:rPr>
              <w:t>购</w:t>
            </w:r>
          </w:p>
          <w:p w14:paraId="6DF21F09">
            <w:pPr>
              <w:jc w:val="center"/>
              <w:rPr>
                <w:color w:val="auto"/>
                <w:sz w:val="24"/>
                <w:highlight w:val="none"/>
              </w:rPr>
            </w:pPr>
            <w:r>
              <w:rPr>
                <w:rFonts w:hint="eastAsia"/>
                <w:color w:val="auto"/>
                <w:sz w:val="24"/>
                <w:highlight w:val="none"/>
              </w:rPr>
              <w:t>人</w:t>
            </w:r>
          </w:p>
          <w:p w14:paraId="7C9DA05D">
            <w:pPr>
              <w:jc w:val="center"/>
              <w:rPr>
                <w:color w:val="auto"/>
                <w:sz w:val="24"/>
                <w:highlight w:val="none"/>
              </w:rPr>
            </w:pPr>
            <w:r>
              <w:rPr>
                <w:rFonts w:hint="eastAsia"/>
                <w:color w:val="auto"/>
                <w:sz w:val="24"/>
                <w:highlight w:val="none"/>
              </w:rPr>
              <w:t>意</w:t>
            </w:r>
          </w:p>
          <w:p w14:paraId="461E18FB">
            <w:pPr>
              <w:jc w:val="center"/>
              <w:rPr>
                <w:color w:val="auto"/>
                <w:sz w:val="24"/>
                <w:highlight w:val="none"/>
              </w:rPr>
            </w:pPr>
            <w:r>
              <w:rPr>
                <w:rFonts w:hint="eastAsia"/>
                <w:color w:val="auto"/>
                <w:sz w:val="24"/>
                <w:highlight w:val="none"/>
              </w:rPr>
              <w:t>见</w:t>
            </w:r>
          </w:p>
        </w:tc>
        <w:tc>
          <w:tcPr>
            <w:tcW w:w="0" w:type="auto"/>
          </w:tcPr>
          <w:p w14:paraId="0BB11F24">
            <w:pPr>
              <w:rPr>
                <w:color w:val="auto"/>
                <w:sz w:val="24"/>
                <w:highlight w:val="none"/>
              </w:rPr>
            </w:pPr>
          </w:p>
          <w:p w14:paraId="25046645">
            <w:pPr>
              <w:rPr>
                <w:color w:val="auto"/>
                <w:sz w:val="24"/>
                <w:highlight w:val="none"/>
              </w:rPr>
            </w:pPr>
            <w:r>
              <w:rPr>
                <w:rFonts w:hint="eastAsia"/>
                <w:color w:val="auto"/>
                <w:sz w:val="24"/>
                <w:highlight w:val="none"/>
              </w:rPr>
              <w:t>退付意见：（是否同意退付履约保证金及退付金额）</w:t>
            </w:r>
          </w:p>
          <w:p w14:paraId="34D435C4">
            <w:pPr>
              <w:rPr>
                <w:color w:val="auto"/>
                <w:sz w:val="24"/>
                <w:highlight w:val="none"/>
              </w:rPr>
            </w:pPr>
          </w:p>
          <w:p w14:paraId="4C1F6BBB">
            <w:pPr>
              <w:rPr>
                <w:color w:val="auto"/>
                <w:sz w:val="24"/>
                <w:highlight w:val="none"/>
              </w:rPr>
            </w:pPr>
          </w:p>
          <w:p w14:paraId="6C74C25E">
            <w:pPr>
              <w:rPr>
                <w:color w:val="auto"/>
                <w:sz w:val="24"/>
                <w:highlight w:val="none"/>
              </w:rPr>
            </w:pPr>
          </w:p>
          <w:p w14:paraId="56517D65">
            <w:pPr>
              <w:rPr>
                <w:color w:val="auto"/>
                <w:sz w:val="24"/>
                <w:highlight w:val="none"/>
              </w:rPr>
            </w:pPr>
          </w:p>
          <w:p w14:paraId="0F445F3D">
            <w:pPr>
              <w:spacing w:line="520" w:lineRule="exact"/>
              <w:rPr>
                <w:color w:val="auto"/>
                <w:sz w:val="24"/>
                <w:highlight w:val="none"/>
              </w:rPr>
            </w:pPr>
            <w:r>
              <w:rPr>
                <w:rFonts w:hint="eastAsia"/>
                <w:color w:val="auto"/>
                <w:sz w:val="24"/>
                <w:highlight w:val="none"/>
              </w:rPr>
              <w:t>联系人及电话：                         采购人签章</w:t>
            </w:r>
          </w:p>
          <w:p w14:paraId="4D066EF1">
            <w:pPr>
              <w:spacing w:line="520" w:lineRule="exact"/>
              <w:jc w:val="center"/>
              <w:rPr>
                <w:color w:val="auto"/>
                <w:sz w:val="24"/>
                <w:highlight w:val="none"/>
              </w:rPr>
            </w:pPr>
            <w:r>
              <w:rPr>
                <w:rFonts w:hint="eastAsia"/>
                <w:color w:val="auto"/>
                <w:sz w:val="24"/>
                <w:highlight w:val="none"/>
              </w:rPr>
              <w:t xml:space="preserve">                                        年    月     日</w:t>
            </w:r>
          </w:p>
        </w:tc>
      </w:tr>
      <w:tr w14:paraId="031F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0" w:type="auto"/>
            <w:vAlign w:val="center"/>
          </w:tcPr>
          <w:p w14:paraId="0BE3263A">
            <w:pPr>
              <w:jc w:val="center"/>
              <w:rPr>
                <w:color w:val="auto"/>
                <w:sz w:val="24"/>
                <w:highlight w:val="none"/>
              </w:rPr>
            </w:pPr>
            <w:r>
              <w:rPr>
                <w:rFonts w:hint="eastAsia"/>
                <w:color w:val="auto"/>
                <w:sz w:val="24"/>
                <w:highlight w:val="none"/>
              </w:rPr>
              <w:t>备注</w:t>
            </w:r>
          </w:p>
        </w:tc>
        <w:tc>
          <w:tcPr>
            <w:tcW w:w="0" w:type="auto"/>
          </w:tcPr>
          <w:p w14:paraId="243E3FBC">
            <w:pPr>
              <w:rPr>
                <w:color w:val="auto"/>
                <w:sz w:val="24"/>
                <w:highlight w:val="none"/>
              </w:rPr>
            </w:pPr>
          </w:p>
        </w:tc>
      </w:tr>
    </w:tbl>
    <w:p w14:paraId="78D8658D">
      <w:pPr>
        <w:pStyle w:val="17"/>
        <w:ind w:left="420" w:leftChars="114" w:hanging="181" w:hangingChars="100"/>
        <w:rPr>
          <w:rFonts w:ascii="宋体"/>
          <w:b/>
          <w:bCs/>
          <w:color w:val="auto"/>
          <w:sz w:val="18"/>
          <w:highlight w:val="none"/>
        </w:rPr>
      </w:pPr>
      <w:r>
        <w:rPr>
          <w:rFonts w:hint="eastAsia" w:ascii="宋体"/>
          <w:b/>
          <w:bCs/>
          <w:color w:val="auto"/>
          <w:sz w:val="18"/>
          <w:highlight w:val="none"/>
        </w:rPr>
        <w:t>注：投标人凭经采购人审批的退付意见书到保证金收取单位办理履约保证金退付事宜。</w:t>
      </w:r>
    </w:p>
    <w:p w14:paraId="20BCBC07">
      <w:pPr>
        <w:rPr>
          <w:rFonts w:ascii="宋体"/>
          <w:b/>
          <w:bCs/>
          <w:color w:val="auto"/>
          <w:sz w:val="18"/>
          <w:highlight w:val="none"/>
        </w:rPr>
      </w:pPr>
      <w:r>
        <w:rPr>
          <w:rFonts w:hint="eastAsia" w:ascii="宋体"/>
          <w:b/>
          <w:bCs/>
          <w:color w:val="auto"/>
          <w:sz w:val="18"/>
          <w:highlight w:val="none"/>
        </w:rPr>
        <w:br w:type="page"/>
      </w:r>
    </w:p>
    <w:p w14:paraId="03860F05">
      <w:pPr>
        <w:jc w:val="left"/>
        <w:rPr>
          <w:rFonts w:hint="eastAsia" w:hAnsi="宋体"/>
          <w:color w:val="auto"/>
          <w:highlight w:val="none"/>
        </w:rPr>
      </w:pPr>
      <w:r>
        <w:rPr>
          <w:rFonts w:hint="eastAsia" w:hAnsi="宋体"/>
          <w:color w:val="auto"/>
          <w:highlight w:val="none"/>
        </w:rPr>
        <w:t>附件3：</w:t>
      </w:r>
    </w:p>
    <w:p w14:paraId="48FAE851">
      <w:pPr>
        <w:shd w:val="clear" w:color="auto" w:fill="FFFFFF"/>
        <w:spacing w:after="240" w:afterLines="100" w:line="480" w:lineRule="atLeast"/>
        <w:jc w:val="center"/>
        <w:rPr>
          <w:rFonts w:hint="eastAsia"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rPr>
        <w:t>中国境内生产的组件成本核算基本规则</w:t>
      </w:r>
    </w:p>
    <w:p w14:paraId="5CAF396D">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93AE7C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一、产品的一级组件是指直接组成产品的组件。产品的二级组件是指直接组成产品一级组件的组件。一级组件不可分解的，视同二级组件。</w:t>
      </w:r>
    </w:p>
    <w:p w14:paraId="73DBC88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二、二级组件在中国境内生产的，其全部成本计入中国境内生产的组件成本；二级组件不在中国境内生产的，其成本不计入中国境内生产的组件成本。</w:t>
      </w:r>
    </w:p>
    <w:p w14:paraId="51A935E4">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三、产品总成本和组件成本以相关会计核算数据、采购合同、进货记录等为基础进行计算。</w:t>
      </w:r>
    </w:p>
    <w:p w14:paraId="63854B0F">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四、需要对成本核算规则予以进一步明确的其他有关事项，由财政部会同有关部门另行规定。</w:t>
      </w:r>
    </w:p>
    <w:p w14:paraId="0B9D797C">
      <w:pPr>
        <w:pStyle w:val="17"/>
        <w:ind w:left="480" w:leftChars="114" w:hanging="241" w:hangingChars="100"/>
        <w:rPr>
          <w:rFonts w:hint="eastAsia" w:asciiTheme="minorEastAsia" w:hAnsiTheme="minorEastAsia" w:eastAsiaTheme="minorEastAsia" w:cstheme="minorEastAsia"/>
          <w:b/>
          <w:bCs/>
          <w:color w:val="auto"/>
          <w:highlight w:val="none"/>
        </w:rPr>
      </w:pPr>
    </w:p>
    <w:p w14:paraId="334A4744">
      <w:pPr>
        <w:pStyle w:val="23"/>
        <w:snapToGrid w:val="0"/>
        <w:spacing w:before="120" w:after="120"/>
        <w:rPr>
          <w:rFonts w:hint="eastAsia" w:hAnsi="宋体"/>
          <w:color w:val="auto"/>
          <w:highlight w:val="none"/>
        </w:rPr>
      </w:pPr>
    </w:p>
    <w:p w14:paraId="439CBE8A">
      <w:pPr>
        <w:pStyle w:val="3"/>
        <w:keepNext w:val="0"/>
        <w:keepLines w:val="0"/>
        <w:jc w:val="center"/>
        <w:rPr>
          <w:color w:val="auto"/>
          <w:highlight w:val="none"/>
        </w:rPr>
      </w:pPr>
      <w:r>
        <w:rPr>
          <w:rFonts w:hAnsi="宋体"/>
          <w:color w:val="auto"/>
          <w:highlight w:val="none"/>
        </w:rPr>
        <w:br w:type="page"/>
      </w:r>
      <w:bookmarkStart w:id="158" w:name="_Toc254970689"/>
      <w:bookmarkStart w:id="159" w:name="_Toc19686832"/>
      <w:bookmarkStart w:id="160" w:name="_Toc330456896"/>
      <w:bookmarkStart w:id="161" w:name="_Toc254970548"/>
      <w:r>
        <w:rPr>
          <w:rFonts w:hint="eastAsia"/>
          <w:color w:val="auto"/>
          <w:highlight w:val="none"/>
        </w:rPr>
        <w:t>第四章  评标方法及评标标准</w:t>
      </w:r>
      <w:bookmarkEnd w:id="158"/>
      <w:bookmarkEnd w:id="159"/>
      <w:bookmarkEnd w:id="160"/>
      <w:bookmarkEnd w:id="161"/>
    </w:p>
    <w:p w14:paraId="6F468EDE">
      <w:pPr>
        <w:pStyle w:val="4"/>
        <w:keepNext w:val="0"/>
        <w:keepLines w:val="0"/>
        <w:spacing w:line="240" w:lineRule="auto"/>
        <w:jc w:val="left"/>
        <w:rPr>
          <w:rFonts w:hint="eastAsia" w:ascii="宋体" w:hAnsi="宋体" w:cs="宋体"/>
          <w:color w:val="auto"/>
          <w:highlight w:val="none"/>
        </w:rPr>
      </w:pPr>
      <w:r>
        <w:rPr>
          <w:rFonts w:hint="eastAsia" w:ascii="宋体" w:hAnsi="宋体" w:cs="宋体"/>
          <w:color w:val="auto"/>
          <w:highlight w:val="none"/>
        </w:rPr>
        <w:t>一、评标方法</w:t>
      </w:r>
    </w:p>
    <w:p w14:paraId="00E3D995">
      <w:pPr>
        <w:pStyle w:val="23"/>
        <w:spacing w:line="360" w:lineRule="auto"/>
        <w:ind w:firstLine="420"/>
        <w:rPr>
          <w:rFonts w:hint="eastAsia" w:hAnsi="宋体" w:cs="宋体"/>
          <w:color w:val="auto"/>
          <w:sz w:val="21"/>
          <w:highlight w:val="none"/>
        </w:rPr>
      </w:pPr>
      <w:r>
        <w:rPr>
          <w:rFonts w:hint="eastAsia" w:hAnsi="宋体" w:cs="宋体"/>
          <w:color w:val="auto"/>
          <w:sz w:val="21"/>
          <w:highlight w:val="none"/>
        </w:rPr>
        <w:t>综合评分法，是指投标文件满足招标文件全部实质性要求，且按照评审因素的量化指标评审得分最高的投标人为中标候选人的评标方法。</w:t>
      </w:r>
    </w:p>
    <w:p w14:paraId="401ED137">
      <w:pPr>
        <w:pStyle w:val="4"/>
        <w:keepNext w:val="0"/>
        <w:keepLines w:val="0"/>
        <w:spacing w:line="240" w:lineRule="auto"/>
        <w:jc w:val="left"/>
        <w:rPr>
          <w:rFonts w:hint="eastAsia" w:ascii="宋体" w:hAnsi="宋体" w:cs="宋体"/>
          <w:color w:val="auto"/>
          <w:highlight w:val="none"/>
        </w:rPr>
      </w:pPr>
      <w:r>
        <w:rPr>
          <w:rFonts w:hint="eastAsia" w:ascii="宋体" w:hAnsi="宋体" w:cs="宋体"/>
          <w:color w:val="auto"/>
          <w:highlight w:val="none"/>
        </w:rPr>
        <w:t>二、评标程序</w:t>
      </w:r>
    </w:p>
    <w:p w14:paraId="794D0BA3">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1.资格审查</w:t>
      </w:r>
    </w:p>
    <w:p w14:paraId="1BC45DA9">
      <w:pPr>
        <w:pStyle w:val="23"/>
        <w:snapToGrid w:val="0"/>
        <w:spacing w:line="360" w:lineRule="auto"/>
        <w:ind w:left="1" w:firstLine="420"/>
        <w:rPr>
          <w:rFonts w:hint="eastAsia" w:hAnsi="宋体" w:cs="宋体"/>
          <w:b/>
          <w:color w:val="auto"/>
          <w:kern w:val="2"/>
          <w:sz w:val="21"/>
          <w:highlight w:val="none"/>
        </w:rPr>
      </w:pPr>
      <w:r>
        <w:rPr>
          <w:rFonts w:hint="eastAsia" w:hAnsi="宋体" w:cs="宋体"/>
          <w:b/>
          <w:color w:val="auto"/>
          <w:kern w:val="2"/>
          <w:sz w:val="21"/>
          <w:highlight w:val="none"/>
        </w:rPr>
        <w:t>采购人代表或采购代理机构对所有投标人的投标文件进行资格审查。以确定投标人是否具备投标资格。资格审查表如下，缺少任何一项或有任何一项不合格者，其资格审查视为不合格。</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770"/>
        <w:gridCol w:w="7175"/>
      </w:tblGrid>
      <w:tr w14:paraId="0B0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0" w:type="auto"/>
            <w:vAlign w:val="center"/>
          </w:tcPr>
          <w:p w14:paraId="5749D02B">
            <w:pPr>
              <w:spacing w:line="36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0" w:type="auto"/>
            <w:vAlign w:val="center"/>
          </w:tcPr>
          <w:p w14:paraId="45C3EF2B">
            <w:pPr>
              <w:spacing w:line="36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0" w:type="auto"/>
            <w:vAlign w:val="center"/>
          </w:tcPr>
          <w:p w14:paraId="08BB0D88">
            <w:pPr>
              <w:spacing w:line="36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评审标准</w:t>
            </w:r>
          </w:p>
        </w:tc>
      </w:tr>
      <w:tr w14:paraId="41D8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2" w:hRule="atLeast"/>
          <w:jc w:val="center"/>
        </w:trPr>
        <w:tc>
          <w:tcPr>
            <w:tcW w:w="0" w:type="auto"/>
            <w:vMerge w:val="restart"/>
            <w:vAlign w:val="center"/>
          </w:tcPr>
          <w:p w14:paraId="041D1A3D">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0" w:type="auto"/>
            <w:vAlign w:val="center"/>
          </w:tcPr>
          <w:p w14:paraId="6B843614">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0" w:type="auto"/>
          </w:tcPr>
          <w:p w14:paraId="4A1B85A4">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审查法人或者其他组织的营业执照等证明文件、自然人的身份证明。须按以下要求提供，材料须有效。</w:t>
            </w:r>
          </w:p>
          <w:p w14:paraId="1CE2BF78">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投标人是企业则审查营业执照（副本）复印件；投标人是事业单位，则审查事业单位法人证书（副本）复印件；投标人是非企业专业服务机构的，则审查执业许可证等证明文件复印件；投标人是个体工商户，则审查个体工商户营业执照复印件；投标人是自然人，则审查自然人身份证明复印件；如投标人不是以上所列的法人、组织、自然人的，则提供国家规定的相关证明材料。投标人为分支机构的，须提供总公司和分公司营业执照复印件，总公司出具给分支机构的授权书。</w:t>
            </w:r>
          </w:p>
        </w:tc>
      </w:tr>
      <w:tr w14:paraId="25681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0" w:type="auto"/>
            <w:vMerge w:val="continue"/>
            <w:vAlign w:val="center"/>
          </w:tcPr>
          <w:p w14:paraId="1B1FD85B">
            <w:pPr>
              <w:spacing w:line="360" w:lineRule="exact"/>
              <w:jc w:val="center"/>
              <w:rPr>
                <w:rFonts w:hint="eastAsia" w:ascii="宋体" w:hAnsi="宋体" w:cs="宋体"/>
                <w:color w:val="auto"/>
                <w:szCs w:val="21"/>
                <w:highlight w:val="none"/>
              </w:rPr>
            </w:pPr>
          </w:p>
        </w:tc>
        <w:tc>
          <w:tcPr>
            <w:tcW w:w="0" w:type="auto"/>
            <w:vAlign w:val="center"/>
          </w:tcPr>
          <w:p w14:paraId="2FBBEE88">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0" w:type="auto"/>
          </w:tcPr>
          <w:p w14:paraId="57BA9838">
            <w:pPr>
              <w:spacing w:line="360" w:lineRule="exact"/>
              <w:jc w:val="left"/>
              <w:rPr>
                <w:color w:val="auto"/>
                <w:highlight w:val="none"/>
              </w:rPr>
            </w:pPr>
            <w:r>
              <w:rPr>
                <w:rFonts w:hint="eastAsia"/>
                <w:color w:val="auto"/>
                <w:highlight w:val="none"/>
              </w:rPr>
              <w:t>①审查商业信誉声明。须提供，格式见</w:t>
            </w:r>
            <w:bookmarkStart w:id="162" w:name="OLE_LINK19"/>
            <w:r>
              <w:rPr>
                <w:rFonts w:hint="eastAsia"/>
                <w:color w:val="auto"/>
                <w:highlight w:val="none"/>
              </w:rPr>
              <w:t>“第六章 投标文件格式”中的</w:t>
            </w:r>
            <w:bookmarkEnd w:id="162"/>
            <w:r>
              <w:rPr>
                <w:rFonts w:hint="eastAsia"/>
                <w:color w:val="auto"/>
                <w:highlight w:val="none"/>
              </w:rPr>
              <w:t>“投标声明书”。</w:t>
            </w:r>
          </w:p>
          <w:p w14:paraId="2C6E7AC1">
            <w:pPr>
              <w:spacing w:line="360" w:lineRule="exact"/>
              <w:jc w:val="left"/>
              <w:rPr>
                <w:color w:val="auto"/>
                <w:highlight w:val="none"/>
              </w:rPr>
            </w:pPr>
            <w:r>
              <w:rPr>
                <w:rFonts w:hint="eastAsia"/>
                <w:color w:val="auto"/>
                <w:highlight w:val="none"/>
              </w:rPr>
              <w:t>②审查投标人财务状况报告（</w:t>
            </w:r>
            <w:r>
              <w:rPr>
                <w:rFonts w:hint="eastAsia" w:ascii="宋体" w:hAnsi="宋体" w:cs="宋体"/>
                <w:color w:val="auto"/>
                <w:szCs w:val="21"/>
                <w:highlight w:val="none"/>
              </w:rPr>
              <w:t>应提供</w:t>
            </w:r>
            <w:r>
              <w:rPr>
                <w:rFonts w:hint="eastAsia" w:ascii="宋体" w:hAnsi="宋体" w:cs="宋体"/>
                <w:b/>
                <w:bCs/>
                <w:color w:val="auto"/>
                <w:szCs w:val="21"/>
                <w:highlight w:val="none"/>
              </w:rPr>
              <w:t>2024年或2025年</w:t>
            </w:r>
            <w:r>
              <w:rPr>
                <w:rFonts w:hint="eastAsia" w:ascii="宋体" w:hAnsi="宋体" w:cs="宋体"/>
                <w:color w:val="auto"/>
                <w:szCs w:val="21"/>
                <w:highlight w:val="none"/>
              </w:rPr>
              <w:t>的财务报表或经审计的财务报告（审计报告）复印件，或者提供银行出具的资信证明复印件；投标人属于成立时间在规定年度之后的，需提供成立之日起至投标文件提交截止时间前的月报表或银行出具的资信证明；资信证明应在有效期内，未注明有效期的，银行出具时间至投标文件提交截止时间不超过一年</w:t>
            </w:r>
            <w:r>
              <w:rPr>
                <w:rFonts w:hint="eastAsia"/>
                <w:color w:val="auto"/>
                <w:highlight w:val="none"/>
              </w:rPr>
              <w:t>）。</w:t>
            </w:r>
          </w:p>
        </w:tc>
      </w:tr>
      <w:tr w14:paraId="21B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0" w:type="auto"/>
            <w:vMerge w:val="continue"/>
            <w:vAlign w:val="center"/>
          </w:tcPr>
          <w:p w14:paraId="24A8461C">
            <w:pPr>
              <w:spacing w:line="360" w:lineRule="exact"/>
              <w:jc w:val="center"/>
              <w:rPr>
                <w:rFonts w:hint="eastAsia" w:ascii="宋体" w:hAnsi="宋体" w:cs="宋体"/>
                <w:color w:val="auto"/>
                <w:szCs w:val="21"/>
                <w:highlight w:val="none"/>
              </w:rPr>
            </w:pPr>
          </w:p>
        </w:tc>
        <w:tc>
          <w:tcPr>
            <w:tcW w:w="0" w:type="auto"/>
            <w:vAlign w:val="center"/>
          </w:tcPr>
          <w:p w14:paraId="66965EE3">
            <w:pPr>
              <w:spacing w:line="36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0" w:type="auto"/>
          </w:tcPr>
          <w:p w14:paraId="31C30594">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审查书面声明。须提供，格式见</w:t>
            </w:r>
            <w:bookmarkStart w:id="163" w:name="OLE_LINK22"/>
            <w:r>
              <w:rPr>
                <w:rFonts w:hint="eastAsia"/>
                <w:color w:val="auto"/>
                <w:highlight w:val="none"/>
              </w:rPr>
              <w:t>“第六章 投标文件格式”中的</w:t>
            </w:r>
            <w:bookmarkEnd w:id="163"/>
            <w:r>
              <w:rPr>
                <w:rFonts w:hint="eastAsia" w:ascii="宋体" w:hAnsi="宋体" w:cs="宋体"/>
                <w:color w:val="auto"/>
                <w:szCs w:val="21"/>
                <w:highlight w:val="none"/>
              </w:rPr>
              <w:t>“投标声明书”。</w:t>
            </w:r>
          </w:p>
        </w:tc>
      </w:tr>
      <w:tr w14:paraId="7A8B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0" w:type="auto"/>
            <w:vMerge w:val="continue"/>
            <w:vAlign w:val="center"/>
          </w:tcPr>
          <w:p w14:paraId="70FF8C41">
            <w:pPr>
              <w:spacing w:line="360" w:lineRule="exact"/>
              <w:jc w:val="center"/>
              <w:rPr>
                <w:rFonts w:hint="eastAsia" w:ascii="宋体" w:hAnsi="宋体" w:cs="宋体"/>
                <w:color w:val="auto"/>
                <w:szCs w:val="21"/>
                <w:highlight w:val="none"/>
              </w:rPr>
            </w:pPr>
          </w:p>
        </w:tc>
        <w:tc>
          <w:tcPr>
            <w:tcW w:w="0" w:type="auto"/>
            <w:vAlign w:val="center"/>
          </w:tcPr>
          <w:p w14:paraId="16B49493">
            <w:pPr>
              <w:spacing w:line="36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0" w:type="auto"/>
          </w:tcPr>
          <w:p w14:paraId="28B481BA">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①审查投标人依法缴纳税收的相关材料（2025年11月至提交投标文件截止时间前任意1个月的依法缴纳税收的凭据复印件；依法免税的投标人，必须提供相应文件证明其依法免税。从成立之日起到投标文件提交截止时间止不足要求月数的，只需提供从成立之日起的依法缴纳税收相应证明文件）。</w:t>
            </w:r>
          </w:p>
          <w:p w14:paraId="2FE18A7F">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②审查投标人依法缴纳社会保障资金的相关材料（2025年11月至提交投标文件截止时间前任意1个月的依法缴纳社会保障资金的缴费凭证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w:t>
            </w:r>
          </w:p>
        </w:tc>
      </w:tr>
      <w:tr w14:paraId="2510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3" w:hRule="atLeast"/>
          <w:jc w:val="center"/>
        </w:trPr>
        <w:tc>
          <w:tcPr>
            <w:tcW w:w="0" w:type="auto"/>
            <w:vMerge w:val="continue"/>
            <w:vAlign w:val="center"/>
          </w:tcPr>
          <w:p w14:paraId="419A65B3">
            <w:pPr>
              <w:spacing w:line="360" w:lineRule="exact"/>
              <w:jc w:val="center"/>
              <w:rPr>
                <w:rFonts w:hint="eastAsia" w:ascii="宋体" w:hAnsi="宋体" w:cs="宋体"/>
                <w:color w:val="auto"/>
                <w:szCs w:val="21"/>
                <w:highlight w:val="none"/>
              </w:rPr>
            </w:pPr>
          </w:p>
        </w:tc>
        <w:tc>
          <w:tcPr>
            <w:tcW w:w="0" w:type="auto"/>
            <w:vAlign w:val="center"/>
          </w:tcPr>
          <w:p w14:paraId="5B3C638F">
            <w:pPr>
              <w:spacing w:line="36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（5）参加政府采购活动前三年内，在经营活动中没有重大违法记录及不良信用记录</w:t>
            </w:r>
          </w:p>
        </w:tc>
        <w:tc>
          <w:tcPr>
            <w:tcW w:w="0" w:type="auto"/>
            <w:vAlign w:val="center"/>
          </w:tcPr>
          <w:p w14:paraId="36C4557E">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审查无重大违法记录声明。须提供，格式见</w:t>
            </w:r>
            <w:r>
              <w:rPr>
                <w:rFonts w:hint="eastAsia"/>
                <w:color w:val="auto"/>
                <w:highlight w:val="none"/>
              </w:rPr>
              <w:t>“第六章 投标文件格式”中的</w:t>
            </w:r>
            <w:r>
              <w:rPr>
                <w:rFonts w:hint="eastAsia" w:ascii="宋体" w:hAnsi="宋体" w:cs="宋体"/>
                <w:color w:val="auto"/>
                <w:szCs w:val="21"/>
                <w:highlight w:val="none"/>
              </w:rPr>
              <w:t>“投标声明书”。一旦发现投标人提供的投标声明书不实时，则按照《政府采购法》有关提供虚假材料的规定给予处罚。</w:t>
            </w:r>
          </w:p>
        </w:tc>
      </w:tr>
      <w:tr w14:paraId="3C82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3" w:hRule="atLeast"/>
          <w:jc w:val="center"/>
        </w:trPr>
        <w:tc>
          <w:tcPr>
            <w:tcW w:w="0" w:type="auto"/>
            <w:vAlign w:val="center"/>
          </w:tcPr>
          <w:p w14:paraId="0852505A">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0" w:type="auto"/>
            <w:vAlign w:val="center"/>
          </w:tcPr>
          <w:p w14:paraId="58E132FC">
            <w:pPr>
              <w:spacing w:line="360" w:lineRule="exact"/>
              <w:rPr>
                <w:rFonts w:hint="eastAsia" w:ascii="宋体" w:hAnsi="宋体" w:cs="宋体"/>
                <w:color w:val="auto"/>
                <w:szCs w:val="21"/>
                <w:highlight w:val="none"/>
              </w:rPr>
            </w:pPr>
            <w:r>
              <w:rPr>
                <w:rFonts w:ascii="宋体" w:hAnsi="宋体" w:cs="宋体"/>
                <w:color w:val="auto"/>
                <w:szCs w:val="21"/>
                <w:highlight w:val="none"/>
              </w:rPr>
              <w:t>落实政府采购政策需满足的资格要求</w:t>
            </w:r>
          </w:p>
        </w:tc>
        <w:tc>
          <w:tcPr>
            <w:tcW w:w="0" w:type="auto"/>
            <w:vAlign w:val="center"/>
          </w:tcPr>
          <w:p w14:paraId="526DC06B">
            <w:pPr>
              <w:spacing w:line="360" w:lineRule="exact"/>
              <w:jc w:val="left"/>
              <w:rPr>
                <w:rFonts w:hint="eastAsia" w:ascii="宋体" w:hAnsi="宋体" w:cs="宋体"/>
                <w:color w:val="auto"/>
                <w:szCs w:val="21"/>
                <w:highlight w:val="none"/>
              </w:rPr>
            </w:pPr>
            <w:r>
              <w:rPr>
                <w:rFonts w:ascii="宋体" w:hAnsi="宋体" w:cs="宋体"/>
                <w:color w:val="auto"/>
                <w:szCs w:val="21"/>
                <w:highlight w:val="none"/>
              </w:rPr>
              <w:t>本项目专门面向中小企业采购项目，供应商应为中小微企业或监狱企业或残疾人福利性单位。</w:t>
            </w:r>
          </w:p>
          <w:p w14:paraId="577B9EAA">
            <w:pPr>
              <w:spacing w:line="360" w:lineRule="exact"/>
              <w:jc w:val="left"/>
              <w:rPr>
                <w:rFonts w:hint="eastAsia" w:ascii="宋体" w:hAnsi="宋体" w:cs="宋体"/>
                <w:color w:val="auto"/>
                <w:szCs w:val="21"/>
                <w:highlight w:val="none"/>
              </w:rPr>
            </w:pPr>
            <w:r>
              <w:rPr>
                <w:rFonts w:ascii="宋体" w:hAnsi="宋体" w:cs="宋体"/>
                <w:color w:val="auto"/>
                <w:szCs w:val="21"/>
                <w:highlight w:val="none"/>
              </w:rPr>
              <w:t>格式见“第六章 投标文件格式”中的“中小企业声明函、监狱企业声明函、残疾人福利性单位声明函”。</w:t>
            </w:r>
          </w:p>
        </w:tc>
      </w:tr>
      <w:tr w14:paraId="0130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jc w:val="center"/>
        </w:trPr>
        <w:tc>
          <w:tcPr>
            <w:tcW w:w="0" w:type="auto"/>
            <w:vAlign w:val="center"/>
          </w:tcPr>
          <w:p w14:paraId="7DF755AC">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0" w:type="auto"/>
            <w:vAlign w:val="center"/>
          </w:tcPr>
          <w:p w14:paraId="149EAE35">
            <w:pPr>
              <w:spacing w:line="36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特定资格要求</w:t>
            </w:r>
          </w:p>
        </w:tc>
        <w:tc>
          <w:tcPr>
            <w:tcW w:w="0" w:type="auto"/>
            <w:vAlign w:val="center"/>
          </w:tcPr>
          <w:p w14:paraId="268DF182">
            <w:pPr>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E76E24B">
            <w:pPr>
              <w:spacing w:line="36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1D41776">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①审核标准：供应商如被列入失信被执行人、重大税收违法失信主体、政府采购严重违法失信行为记录名单，则资格审查不予通过，其投标被否决。</w:t>
            </w:r>
          </w:p>
          <w:p w14:paraId="6094D6E4">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②信用信息查询渠道：中国政府采购网 “政府采购严重违法失信行为记录名单” 信用中国网：“失信被执行人”、“重大税收违法失信主体”。</w:t>
            </w:r>
          </w:p>
          <w:p w14:paraId="4904DE8A">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③查询方式：资格审查时，采购人或采购代理机构通过上述渠道查询供应商的信用记录供评委审核。</w:t>
            </w:r>
          </w:p>
          <w:p w14:paraId="5ADA3BAF">
            <w:p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④信用信息查询记录和证据留存的具体方式：通过上述查询渠道查询的供应商信用记录查询结果，将作为政府采购活动档案留存。</w:t>
            </w:r>
          </w:p>
        </w:tc>
      </w:tr>
    </w:tbl>
    <w:p w14:paraId="3D302C5F">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2.符合性审查</w:t>
      </w:r>
    </w:p>
    <w:p w14:paraId="7C22FE91">
      <w:pPr>
        <w:pStyle w:val="23"/>
        <w:snapToGrid w:val="0"/>
        <w:spacing w:line="360" w:lineRule="auto"/>
        <w:ind w:left="1" w:firstLine="420"/>
        <w:rPr>
          <w:rFonts w:hint="eastAsia" w:hAnsi="宋体" w:cs="宋体"/>
          <w:b/>
          <w:color w:val="auto"/>
          <w:kern w:val="2"/>
          <w:sz w:val="21"/>
          <w:highlight w:val="none"/>
        </w:rPr>
      </w:pPr>
      <w:r>
        <w:rPr>
          <w:rFonts w:hint="eastAsia" w:hAnsi="宋体" w:cs="宋体"/>
          <w:b/>
          <w:color w:val="auto"/>
          <w:kern w:val="2"/>
          <w:sz w:val="21"/>
          <w:highlight w:val="none"/>
        </w:rPr>
        <w:t>评标委员会应当对符合资格的投标人的投标文件进行投标报价、商务、技术等实质性内容符合性审查，以确定其是否满足招标文件的实质性要求。符合性检查表如下，缺少任何一项或有任何一项不合格者，其符合性检查视为不合格。</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1446"/>
        <w:gridCol w:w="1724"/>
        <w:gridCol w:w="5712"/>
      </w:tblGrid>
      <w:tr w14:paraId="0E9C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 w:hRule="atLeast"/>
        </w:trPr>
        <w:tc>
          <w:tcPr>
            <w:tcW w:w="0" w:type="auto"/>
            <w:vAlign w:val="center"/>
          </w:tcPr>
          <w:p w14:paraId="658D05F9">
            <w:pPr>
              <w:spacing w:line="360" w:lineRule="exact"/>
              <w:jc w:val="center"/>
              <w:rPr>
                <w:b/>
                <w:color w:val="auto"/>
                <w:kern w:val="0"/>
                <w:szCs w:val="21"/>
                <w:highlight w:val="none"/>
              </w:rPr>
            </w:pPr>
            <w:r>
              <w:rPr>
                <w:b/>
                <w:color w:val="auto"/>
                <w:kern w:val="0"/>
                <w:szCs w:val="21"/>
                <w:highlight w:val="none"/>
              </w:rPr>
              <w:t>序号</w:t>
            </w:r>
          </w:p>
        </w:tc>
        <w:tc>
          <w:tcPr>
            <w:tcW w:w="0" w:type="auto"/>
            <w:gridSpan w:val="2"/>
            <w:vAlign w:val="center"/>
          </w:tcPr>
          <w:p w14:paraId="6E2B00B0">
            <w:pPr>
              <w:spacing w:line="360" w:lineRule="exact"/>
              <w:jc w:val="center"/>
              <w:rPr>
                <w:b/>
                <w:color w:val="auto"/>
                <w:kern w:val="0"/>
                <w:szCs w:val="21"/>
                <w:highlight w:val="none"/>
              </w:rPr>
            </w:pPr>
            <w:r>
              <w:rPr>
                <w:rFonts w:hint="eastAsia"/>
                <w:b/>
                <w:color w:val="auto"/>
                <w:kern w:val="0"/>
                <w:szCs w:val="21"/>
                <w:highlight w:val="none"/>
              </w:rPr>
              <w:t>评审</w:t>
            </w:r>
            <w:r>
              <w:rPr>
                <w:b/>
                <w:color w:val="auto"/>
                <w:kern w:val="0"/>
                <w:szCs w:val="21"/>
                <w:highlight w:val="none"/>
              </w:rPr>
              <w:t>因素</w:t>
            </w:r>
          </w:p>
        </w:tc>
        <w:tc>
          <w:tcPr>
            <w:tcW w:w="0" w:type="auto"/>
            <w:vAlign w:val="center"/>
          </w:tcPr>
          <w:p w14:paraId="02C65AF9">
            <w:pPr>
              <w:spacing w:line="360" w:lineRule="exact"/>
              <w:jc w:val="center"/>
              <w:rPr>
                <w:b/>
                <w:color w:val="auto"/>
                <w:kern w:val="0"/>
                <w:szCs w:val="21"/>
                <w:highlight w:val="none"/>
              </w:rPr>
            </w:pPr>
            <w:r>
              <w:rPr>
                <w:rFonts w:hint="eastAsia"/>
                <w:b/>
                <w:color w:val="auto"/>
                <w:kern w:val="0"/>
                <w:szCs w:val="21"/>
                <w:highlight w:val="none"/>
              </w:rPr>
              <w:t>评审</w:t>
            </w:r>
            <w:r>
              <w:rPr>
                <w:b/>
                <w:color w:val="auto"/>
                <w:kern w:val="0"/>
                <w:szCs w:val="21"/>
                <w:highlight w:val="none"/>
              </w:rPr>
              <w:t>标准</w:t>
            </w:r>
          </w:p>
        </w:tc>
      </w:tr>
      <w:tr w14:paraId="1ABC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0" w:type="auto"/>
            <w:vMerge w:val="restart"/>
            <w:vAlign w:val="center"/>
          </w:tcPr>
          <w:p w14:paraId="2E77D26E">
            <w:pPr>
              <w:spacing w:line="360" w:lineRule="exact"/>
              <w:jc w:val="center"/>
              <w:rPr>
                <w:color w:val="auto"/>
                <w:szCs w:val="21"/>
                <w:highlight w:val="none"/>
              </w:rPr>
            </w:pPr>
            <w:r>
              <w:rPr>
                <w:rFonts w:hint="eastAsia"/>
                <w:color w:val="auto"/>
                <w:szCs w:val="21"/>
                <w:highlight w:val="none"/>
              </w:rPr>
              <w:t>1</w:t>
            </w:r>
          </w:p>
        </w:tc>
        <w:tc>
          <w:tcPr>
            <w:tcW w:w="0" w:type="auto"/>
            <w:vMerge w:val="restart"/>
            <w:vAlign w:val="center"/>
          </w:tcPr>
          <w:p w14:paraId="45D08919">
            <w:pPr>
              <w:spacing w:line="360" w:lineRule="exact"/>
              <w:rPr>
                <w:color w:val="auto"/>
                <w:kern w:val="0"/>
                <w:szCs w:val="21"/>
                <w:highlight w:val="none"/>
              </w:rPr>
            </w:pPr>
            <w:r>
              <w:rPr>
                <w:color w:val="auto"/>
                <w:kern w:val="0"/>
                <w:szCs w:val="21"/>
                <w:highlight w:val="none"/>
              </w:rPr>
              <w:t>有效性审查</w:t>
            </w:r>
          </w:p>
        </w:tc>
        <w:tc>
          <w:tcPr>
            <w:tcW w:w="0" w:type="auto"/>
            <w:vAlign w:val="center"/>
          </w:tcPr>
          <w:p w14:paraId="6C285454">
            <w:pPr>
              <w:spacing w:line="360" w:lineRule="exact"/>
              <w:rPr>
                <w:color w:val="auto"/>
                <w:kern w:val="0"/>
                <w:szCs w:val="21"/>
                <w:highlight w:val="none"/>
              </w:rPr>
            </w:pPr>
            <w:r>
              <w:rPr>
                <w:color w:val="auto"/>
                <w:szCs w:val="21"/>
                <w:highlight w:val="none"/>
              </w:rPr>
              <w:t>投标文件签署</w:t>
            </w:r>
          </w:p>
        </w:tc>
        <w:tc>
          <w:tcPr>
            <w:tcW w:w="0" w:type="auto"/>
            <w:vAlign w:val="center"/>
          </w:tcPr>
          <w:p w14:paraId="623808F5">
            <w:pPr>
              <w:spacing w:line="360" w:lineRule="exact"/>
              <w:rPr>
                <w:color w:val="auto"/>
                <w:kern w:val="0"/>
                <w:szCs w:val="21"/>
                <w:highlight w:val="none"/>
              </w:rPr>
            </w:pPr>
            <w:r>
              <w:rPr>
                <w:color w:val="auto"/>
                <w:szCs w:val="21"/>
                <w:highlight w:val="none"/>
              </w:rPr>
              <w:t>投标文件上法定代表人或其授权代表人已按要求签字盖章。</w:t>
            </w:r>
          </w:p>
        </w:tc>
      </w:tr>
      <w:tr w14:paraId="056F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0" w:type="auto"/>
            <w:vMerge w:val="continue"/>
            <w:vAlign w:val="center"/>
          </w:tcPr>
          <w:p w14:paraId="4FB916FF">
            <w:pPr>
              <w:spacing w:line="360" w:lineRule="exact"/>
              <w:jc w:val="center"/>
              <w:rPr>
                <w:color w:val="auto"/>
                <w:szCs w:val="21"/>
                <w:highlight w:val="none"/>
              </w:rPr>
            </w:pPr>
          </w:p>
        </w:tc>
        <w:tc>
          <w:tcPr>
            <w:tcW w:w="0" w:type="auto"/>
            <w:vMerge w:val="continue"/>
            <w:vAlign w:val="center"/>
          </w:tcPr>
          <w:p w14:paraId="0AB414EC">
            <w:pPr>
              <w:spacing w:line="360" w:lineRule="exact"/>
              <w:rPr>
                <w:color w:val="auto"/>
                <w:kern w:val="0"/>
                <w:szCs w:val="21"/>
                <w:highlight w:val="none"/>
              </w:rPr>
            </w:pPr>
          </w:p>
        </w:tc>
        <w:tc>
          <w:tcPr>
            <w:tcW w:w="0" w:type="auto"/>
            <w:vAlign w:val="center"/>
          </w:tcPr>
          <w:p w14:paraId="399364DF">
            <w:pPr>
              <w:spacing w:line="360" w:lineRule="exact"/>
              <w:rPr>
                <w:color w:val="auto"/>
                <w:szCs w:val="21"/>
                <w:highlight w:val="none"/>
              </w:rPr>
            </w:pPr>
            <w:r>
              <w:rPr>
                <w:color w:val="auto"/>
                <w:szCs w:val="21"/>
                <w:highlight w:val="none"/>
              </w:rPr>
              <w:t>法定代表人身份证明及授权委托书</w:t>
            </w:r>
          </w:p>
        </w:tc>
        <w:tc>
          <w:tcPr>
            <w:tcW w:w="0" w:type="auto"/>
            <w:vAlign w:val="center"/>
          </w:tcPr>
          <w:p w14:paraId="66918F42">
            <w:pPr>
              <w:spacing w:line="36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参加投标</w:t>
            </w:r>
            <w:r>
              <w:rPr>
                <w:color w:val="auto"/>
                <w:szCs w:val="21"/>
                <w:highlight w:val="none"/>
              </w:rPr>
              <w:t>时审查</w:t>
            </w:r>
            <w:r>
              <w:rPr>
                <w:color w:val="auto"/>
                <w:highlight w:val="none"/>
              </w:rPr>
              <w:t>：</w:t>
            </w:r>
            <w:r>
              <w:rPr>
                <w:rFonts w:ascii="宋体" w:hAnsi="宋体"/>
                <w:color w:val="auto"/>
                <w:szCs w:val="21"/>
                <w:highlight w:val="none"/>
              </w:rPr>
              <w:t>法定代表人授权委托书及附件，格式及附件见</w:t>
            </w:r>
            <w:bookmarkStart w:id="164" w:name="OLE_LINK21"/>
            <w:r>
              <w:rPr>
                <w:rFonts w:hint="eastAsia" w:ascii="宋体" w:hAnsi="宋体"/>
                <w:color w:val="auto"/>
                <w:szCs w:val="21"/>
                <w:highlight w:val="none"/>
              </w:rPr>
              <w:t>“</w:t>
            </w:r>
            <w:r>
              <w:rPr>
                <w:rFonts w:ascii="宋体" w:hAnsi="宋体"/>
                <w:color w:val="auto"/>
                <w:szCs w:val="21"/>
                <w:highlight w:val="none"/>
              </w:rPr>
              <w:t>第六章</w:t>
            </w:r>
            <w:r>
              <w:rPr>
                <w:rFonts w:hint="eastAsia" w:ascii="宋体" w:hAnsi="宋体"/>
                <w:color w:val="auto"/>
                <w:szCs w:val="21"/>
                <w:highlight w:val="none"/>
              </w:rPr>
              <w:t xml:space="preserve"> </w:t>
            </w:r>
            <w:r>
              <w:rPr>
                <w:rFonts w:ascii="宋体" w:hAnsi="宋体"/>
                <w:color w:val="auto"/>
                <w:szCs w:val="21"/>
                <w:highlight w:val="none"/>
              </w:rPr>
              <w:t>投标文件格式</w:t>
            </w:r>
            <w:r>
              <w:rPr>
                <w:rFonts w:hint="eastAsia" w:ascii="宋体" w:hAnsi="宋体"/>
                <w:color w:val="auto"/>
                <w:szCs w:val="21"/>
                <w:highlight w:val="none"/>
              </w:rPr>
              <w:t>”</w:t>
            </w:r>
            <w:bookmarkEnd w:id="164"/>
            <w:r>
              <w:rPr>
                <w:rFonts w:ascii="宋体" w:hAnsi="宋体"/>
                <w:color w:val="auto"/>
                <w:szCs w:val="21"/>
                <w:highlight w:val="none"/>
              </w:rPr>
              <w:t>要求；</w:t>
            </w:r>
          </w:p>
          <w:p w14:paraId="7931C56B">
            <w:pPr>
              <w:spacing w:line="360" w:lineRule="exact"/>
              <w:rPr>
                <w:color w:val="auto"/>
                <w:szCs w:val="21"/>
                <w:highlight w:val="none"/>
              </w:rPr>
            </w:pPr>
            <w:r>
              <w:rPr>
                <w:rFonts w:hint="eastAsia"/>
                <w:color w:val="auto"/>
                <w:szCs w:val="21"/>
                <w:highlight w:val="none"/>
              </w:rPr>
              <w:t>法定代表人直接参加投标</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附件，格式及附件见</w:t>
            </w:r>
            <w:r>
              <w:rPr>
                <w:rFonts w:hint="eastAsia" w:ascii="宋体" w:hAnsi="宋体"/>
                <w:color w:val="auto"/>
                <w:szCs w:val="21"/>
                <w:highlight w:val="none"/>
              </w:rPr>
              <w:t>“</w:t>
            </w:r>
            <w:r>
              <w:rPr>
                <w:rFonts w:ascii="宋体" w:hAnsi="宋体"/>
                <w:color w:val="auto"/>
                <w:szCs w:val="21"/>
                <w:highlight w:val="none"/>
              </w:rPr>
              <w:t>第六章</w:t>
            </w:r>
            <w:r>
              <w:rPr>
                <w:rFonts w:hint="eastAsia" w:ascii="宋体" w:hAnsi="宋体"/>
                <w:color w:val="auto"/>
                <w:szCs w:val="21"/>
                <w:highlight w:val="none"/>
              </w:rPr>
              <w:t xml:space="preserve"> </w:t>
            </w:r>
            <w:r>
              <w:rPr>
                <w:rFonts w:ascii="宋体" w:hAnsi="宋体"/>
                <w:color w:val="auto"/>
                <w:szCs w:val="21"/>
                <w:highlight w:val="none"/>
              </w:rPr>
              <w:t>投标文件格式</w:t>
            </w:r>
            <w:r>
              <w:rPr>
                <w:rFonts w:hint="eastAsia" w:ascii="宋体" w:hAnsi="宋体"/>
                <w:color w:val="auto"/>
                <w:szCs w:val="21"/>
                <w:highlight w:val="none"/>
              </w:rPr>
              <w:t>”</w:t>
            </w:r>
            <w:r>
              <w:rPr>
                <w:rFonts w:ascii="宋体" w:hAnsi="宋体"/>
                <w:color w:val="auto"/>
                <w:szCs w:val="21"/>
                <w:highlight w:val="none"/>
              </w:rPr>
              <w:t>要求</w:t>
            </w:r>
            <w:r>
              <w:rPr>
                <w:rFonts w:hint="eastAsia" w:ascii="宋体" w:hAnsi="宋体"/>
                <w:color w:val="auto"/>
                <w:szCs w:val="21"/>
                <w:highlight w:val="none"/>
              </w:rPr>
              <w:t>。</w:t>
            </w:r>
          </w:p>
        </w:tc>
      </w:tr>
      <w:tr w14:paraId="07D7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0" w:type="auto"/>
            <w:vMerge w:val="continue"/>
            <w:vAlign w:val="center"/>
          </w:tcPr>
          <w:p w14:paraId="23F56DFB">
            <w:pPr>
              <w:spacing w:line="360" w:lineRule="exact"/>
              <w:jc w:val="center"/>
              <w:rPr>
                <w:color w:val="auto"/>
                <w:kern w:val="0"/>
                <w:szCs w:val="21"/>
                <w:highlight w:val="none"/>
              </w:rPr>
            </w:pPr>
          </w:p>
        </w:tc>
        <w:tc>
          <w:tcPr>
            <w:tcW w:w="0" w:type="auto"/>
            <w:vMerge w:val="continue"/>
            <w:vAlign w:val="center"/>
          </w:tcPr>
          <w:p w14:paraId="1988FF51">
            <w:pPr>
              <w:spacing w:line="360" w:lineRule="exact"/>
              <w:rPr>
                <w:color w:val="auto"/>
                <w:kern w:val="0"/>
                <w:szCs w:val="21"/>
                <w:highlight w:val="none"/>
              </w:rPr>
            </w:pPr>
          </w:p>
        </w:tc>
        <w:tc>
          <w:tcPr>
            <w:tcW w:w="0" w:type="auto"/>
            <w:vAlign w:val="center"/>
          </w:tcPr>
          <w:p w14:paraId="37B784B1">
            <w:pPr>
              <w:spacing w:line="360" w:lineRule="exact"/>
              <w:rPr>
                <w:color w:val="auto"/>
                <w:szCs w:val="21"/>
                <w:highlight w:val="none"/>
                <w:lang w:val="zh-CN"/>
              </w:rPr>
            </w:pPr>
            <w:r>
              <w:rPr>
                <w:rFonts w:hint="eastAsia"/>
                <w:color w:val="auto"/>
                <w:highlight w:val="none"/>
              </w:rPr>
              <w:t>投标文件或者投标报价唯一性</w:t>
            </w:r>
          </w:p>
        </w:tc>
        <w:tc>
          <w:tcPr>
            <w:tcW w:w="0" w:type="auto"/>
            <w:vAlign w:val="center"/>
          </w:tcPr>
          <w:p w14:paraId="166A51F8">
            <w:pPr>
              <w:spacing w:line="360" w:lineRule="exact"/>
              <w:rPr>
                <w:color w:val="auto"/>
                <w:kern w:val="0"/>
                <w:szCs w:val="21"/>
                <w:highlight w:val="none"/>
              </w:rPr>
            </w:pPr>
            <w:r>
              <w:rPr>
                <w:rFonts w:hint="eastAsia"/>
                <w:color w:val="auto"/>
                <w:highlight w:val="none"/>
              </w:rPr>
              <w:t>同</w:t>
            </w:r>
            <w:r>
              <w:rPr>
                <w:rFonts w:hint="eastAsia"/>
                <w:color w:val="auto"/>
                <w:szCs w:val="21"/>
                <w:highlight w:val="none"/>
              </w:rPr>
              <w:t>一投标人不得提交两个以上不同的投标文件或者投标报价，但招标文件要求提交</w:t>
            </w:r>
            <w:r>
              <w:rPr>
                <w:color w:val="auto"/>
                <w:szCs w:val="21"/>
                <w:highlight w:val="none"/>
              </w:rPr>
              <w:t>备选</w:t>
            </w:r>
            <w:r>
              <w:rPr>
                <w:rFonts w:hint="eastAsia"/>
                <w:color w:val="auto"/>
                <w:szCs w:val="21"/>
                <w:highlight w:val="none"/>
              </w:rPr>
              <w:t>投标的除外。</w:t>
            </w:r>
          </w:p>
        </w:tc>
      </w:tr>
      <w:tr w14:paraId="2433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0" w:type="auto"/>
            <w:vMerge w:val="continue"/>
            <w:vAlign w:val="center"/>
          </w:tcPr>
          <w:p w14:paraId="6C51324F">
            <w:pPr>
              <w:spacing w:line="360" w:lineRule="exact"/>
              <w:jc w:val="center"/>
              <w:rPr>
                <w:color w:val="auto"/>
                <w:kern w:val="0"/>
                <w:szCs w:val="21"/>
                <w:highlight w:val="none"/>
              </w:rPr>
            </w:pPr>
          </w:p>
        </w:tc>
        <w:tc>
          <w:tcPr>
            <w:tcW w:w="0" w:type="auto"/>
            <w:vMerge w:val="continue"/>
            <w:vAlign w:val="center"/>
          </w:tcPr>
          <w:p w14:paraId="0203EA6D">
            <w:pPr>
              <w:spacing w:line="360" w:lineRule="exact"/>
              <w:rPr>
                <w:color w:val="auto"/>
                <w:kern w:val="0"/>
                <w:szCs w:val="21"/>
                <w:highlight w:val="none"/>
              </w:rPr>
            </w:pPr>
          </w:p>
        </w:tc>
        <w:tc>
          <w:tcPr>
            <w:tcW w:w="0" w:type="auto"/>
            <w:vAlign w:val="center"/>
          </w:tcPr>
          <w:p w14:paraId="6B451676">
            <w:pPr>
              <w:spacing w:line="360" w:lineRule="exact"/>
              <w:rPr>
                <w:color w:val="auto"/>
                <w:highlight w:val="none"/>
              </w:rPr>
            </w:pPr>
            <w:r>
              <w:rPr>
                <w:color w:val="auto"/>
                <w:highlight w:val="none"/>
              </w:rPr>
              <w:t>投标报价</w:t>
            </w:r>
          </w:p>
        </w:tc>
        <w:tc>
          <w:tcPr>
            <w:tcW w:w="0" w:type="auto"/>
          </w:tcPr>
          <w:p w14:paraId="547B95EB">
            <w:pPr>
              <w:spacing w:line="360" w:lineRule="exact"/>
              <w:rPr>
                <w:color w:val="auto"/>
                <w:highlight w:val="none"/>
              </w:rPr>
            </w:pPr>
            <w:r>
              <w:rPr>
                <w:color w:val="auto"/>
                <w:szCs w:val="21"/>
                <w:highlight w:val="none"/>
              </w:rPr>
              <w:t>报价超出最高限价（如有）的，否决其投标</w:t>
            </w:r>
            <w:r>
              <w:rPr>
                <w:color w:val="auto"/>
                <w:highlight w:val="none"/>
              </w:rPr>
              <w:t>。</w:t>
            </w:r>
            <w:r>
              <w:rPr>
                <w:color w:val="auto"/>
                <w:szCs w:val="21"/>
                <w:highlight w:val="none"/>
              </w:rPr>
              <w:t>提交选择性报价的，否决其投标。</w:t>
            </w:r>
          </w:p>
        </w:tc>
      </w:tr>
      <w:tr w14:paraId="35DC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vMerge w:val="continue"/>
            <w:vAlign w:val="center"/>
          </w:tcPr>
          <w:p w14:paraId="5C9B41F5">
            <w:pPr>
              <w:spacing w:line="360" w:lineRule="exact"/>
              <w:jc w:val="center"/>
              <w:rPr>
                <w:color w:val="auto"/>
                <w:kern w:val="0"/>
                <w:szCs w:val="21"/>
                <w:highlight w:val="none"/>
              </w:rPr>
            </w:pPr>
          </w:p>
        </w:tc>
        <w:tc>
          <w:tcPr>
            <w:tcW w:w="0" w:type="auto"/>
            <w:vMerge w:val="continue"/>
            <w:vAlign w:val="center"/>
          </w:tcPr>
          <w:p w14:paraId="4B3E449F">
            <w:pPr>
              <w:spacing w:line="360" w:lineRule="exact"/>
              <w:rPr>
                <w:color w:val="auto"/>
                <w:kern w:val="0"/>
                <w:szCs w:val="21"/>
                <w:highlight w:val="none"/>
              </w:rPr>
            </w:pPr>
          </w:p>
        </w:tc>
        <w:tc>
          <w:tcPr>
            <w:tcW w:w="0" w:type="auto"/>
            <w:vAlign w:val="center"/>
          </w:tcPr>
          <w:p w14:paraId="2EDB61D4">
            <w:pPr>
              <w:spacing w:line="360" w:lineRule="exact"/>
              <w:rPr>
                <w:color w:val="auto"/>
                <w:szCs w:val="21"/>
                <w:highlight w:val="none"/>
                <w:lang w:val="zh-CN"/>
              </w:rPr>
            </w:pPr>
            <w:r>
              <w:rPr>
                <w:color w:val="auto"/>
                <w:szCs w:val="21"/>
                <w:highlight w:val="none"/>
                <w:lang w:val="zh-CN"/>
              </w:rPr>
              <w:t>联合体</w:t>
            </w:r>
            <w:r>
              <w:rPr>
                <w:rFonts w:hint="eastAsia"/>
                <w:color w:val="auto"/>
                <w:szCs w:val="21"/>
                <w:highlight w:val="none"/>
              </w:rPr>
              <w:t>投标</w:t>
            </w:r>
          </w:p>
        </w:tc>
        <w:tc>
          <w:tcPr>
            <w:tcW w:w="0" w:type="auto"/>
            <w:vAlign w:val="center"/>
          </w:tcPr>
          <w:p w14:paraId="3144C23B">
            <w:pPr>
              <w:spacing w:line="360" w:lineRule="exact"/>
              <w:rPr>
                <w:color w:val="auto"/>
                <w:kern w:val="0"/>
                <w:szCs w:val="21"/>
                <w:highlight w:val="none"/>
              </w:rPr>
            </w:pPr>
            <w:r>
              <w:rPr>
                <w:rFonts w:hint="eastAsia"/>
                <w:color w:val="auto"/>
                <w:szCs w:val="21"/>
                <w:highlight w:val="none"/>
                <w:lang w:val="zh-CN"/>
              </w:rPr>
              <w:t>不</w:t>
            </w:r>
            <w:r>
              <w:rPr>
                <w:color w:val="auto"/>
                <w:szCs w:val="21"/>
                <w:highlight w:val="none"/>
                <w:lang w:val="zh-CN"/>
              </w:rPr>
              <w:t>接受联合体</w:t>
            </w:r>
            <w:r>
              <w:rPr>
                <w:rFonts w:hint="eastAsia"/>
                <w:color w:val="auto"/>
                <w:szCs w:val="21"/>
                <w:highlight w:val="none"/>
                <w:lang w:val="zh-CN"/>
              </w:rPr>
              <w:t>。联合体投标的，作无效投标处理。</w:t>
            </w:r>
          </w:p>
        </w:tc>
      </w:tr>
      <w:tr w14:paraId="3D3C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0" w:type="auto"/>
            <w:vMerge w:val="continue"/>
            <w:vAlign w:val="center"/>
          </w:tcPr>
          <w:p w14:paraId="58896437">
            <w:pPr>
              <w:spacing w:line="360" w:lineRule="exact"/>
              <w:jc w:val="center"/>
              <w:rPr>
                <w:color w:val="auto"/>
                <w:kern w:val="0"/>
                <w:szCs w:val="21"/>
                <w:highlight w:val="none"/>
              </w:rPr>
            </w:pPr>
          </w:p>
        </w:tc>
        <w:tc>
          <w:tcPr>
            <w:tcW w:w="0" w:type="auto"/>
            <w:vMerge w:val="continue"/>
            <w:vAlign w:val="center"/>
          </w:tcPr>
          <w:p w14:paraId="29D67988">
            <w:pPr>
              <w:spacing w:line="360" w:lineRule="exact"/>
              <w:rPr>
                <w:color w:val="auto"/>
                <w:kern w:val="0"/>
                <w:szCs w:val="21"/>
                <w:highlight w:val="none"/>
              </w:rPr>
            </w:pPr>
          </w:p>
        </w:tc>
        <w:tc>
          <w:tcPr>
            <w:tcW w:w="0" w:type="auto"/>
            <w:vAlign w:val="center"/>
          </w:tcPr>
          <w:p w14:paraId="2401314C">
            <w:pPr>
              <w:spacing w:line="360" w:lineRule="exact"/>
              <w:rPr>
                <w:color w:val="auto"/>
                <w:szCs w:val="21"/>
                <w:highlight w:val="none"/>
              </w:rPr>
            </w:pPr>
            <w:r>
              <w:rPr>
                <w:color w:val="auto"/>
                <w:szCs w:val="21"/>
                <w:highlight w:val="none"/>
              </w:rPr>
              <w:t>转包</w:t>
            </w:r>
            <w:r>
              <w:rPr>
                <w:rFonts w:hint="eastAsia"/>
                <w:color w:val="auto"/>
                <w:szCs w:val="21"/>
                <w:highlight w:val="none"/>
              </w:rPr>
              <w:t>及</w:t>
            </w:r>
            <w:r>
              <w:rPr>
                <w:color w:val="auto"/>
                <w:szCs w:val="21"/>
                <w:highlight w:val="none"/>
              </w:rPr>
              <w:t>分包</w:t>
            </w:r>
          </w:p>
        </w:tc>
        <w:tc>
          <w:tcPr>
            <w:tcW w:w="0" w:type="auto"/>
            <w:vAlign w:val="center"/>
          </w:tcPr>
          <w:p w14:paraId="5CCCF0BF">
            <w:pPr>
              <w:spacing w:line="360" w:lineRule="exact"/>
              <w:rPr>
                <w:color w:val="auto"/>
                <w:szCs w:val="21"/>
                <w:highlight w:val="none"/>
              </w:rPr>
            </w:pPr>
            <w:r>
              <w:rPr>
                <w:color w:val="auto"/>
                <w:szCs w:val="21"/>
                <w:highlight w:val="none"/>
              </w:rPr>
              <w:t>满足招标文件规定</w:t>
            </w:r>
            <w:r>
              <w:rPr>
                <w:rFonts w:hint="eastAsia"/>
                <w:color w:val="auto"/>
                <w:szCs w:val="21"/>
                <w:highlight w:val="none"/>
              </w:rPr>
              <w:t>。</w:t>
            </w:r>
          </w:p>
        </w:tc>
      </w:tr>
      <w:tr w14:paraId="7D48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0" w:type="auto"/>
            <w:vMerge w:val="restart"/>
            <w:vAlign w:val="center"/>
          </w:tcPr>
          <w:p w14:paraId="5DFDC7AB">
            <w:pPr>
              <w:spacing w:line="360" w:lineRule="exact"/>
              <w:jc w:val="center"/>
              <w:rPr>
                <w:color w:val="auto"/>
                <w:szCs w:val="21"/>
                <w:highlight w:val="none"/>
              </w:rPr>
            </w:pPr>
            <w:r>
              <w:rPr>
                <w:rFonts w:hint="eastAsia"/>
                <w:color w:val="auto"/>
                <w:szCs w:val="21"/>
                <w:highlight w:val="none"/>
              </w:rPr>
              <w:t>2</w:t>
            </w:r>
          </w:p>
        </w:tc>
        <w:tc>
          <w:tcPr>
            <w:tcW w:w="0" w:type="auto"/>
            <w:vMerge w:val="restart"/>
            <w:vAlign w:val="center"/>
          </w:tcPr>
          <w:p w14:paraId="6BE1D24C">
            <w:pPr>
              <w:spacing w:line="360" w:lineRule="exact"/>
              <w:rPr>
                <w:color w:val="auto"/>
                <w:szCs w:val="21"/>
                <w:highlight w:val="none"/>
                <w:lang w:val="zh-CN"/>
              </w:rPr>
            </w:pPr>
            <w:r>
              <w:rPr>
                <w:color w:val="auto"/>
                <w:kern w:val="0"/>
                <w:szCs w:val="21"/>
                <w:highlight w:val="none"/>
              </w:rPr>
              <w:t>对招标文件的响应程度审查</w:t>
            </w:r>
          </w:p>
        </w:tc>
        <w:tc>
          <w:tcPr>
            <w:tcW w:w="0" w:type="auto"/>
            <w:vAlign w:val="center"/>
          </w:tcPr>
          <w:p w14:paraId="514D8C05">
            <w:pPr>
              <w:spacing w:line="360" w:lineRule="exact"/>
              <w:rPr>
                <w:color w:val="auto"/>
                <w:szCs w:val="21"/>
                <w:highlight w:val="none"/>
                <w:lang w:val="zh-CN"/>
              </w:rPr>
            </w:pPr>
            <w:r>
              <w:rPr>
                <w:color w:val="auto"/>
                <w:szCs w:val="21"/>
                <w:highlight w:val="none"/>
                <w:lang w:val="zh-CN"/>
              </w:rPr>
              <w:t>实质性条款响应</w:t>
            </w:r>
          </w:p>
        </w:tc>
        <w:tc>
          <w:tcPr>
            <w:tcW w:w="0" w:type="auto"/>
            <w:vAlign w:val="center"/>
          </w:tcPr>
          <w:p w14:paraId="27017090">
            <w:pPr>
              <w:spacing w:line="360" w:lineRule="exact"/>
              <w:rPr>
                <w:color w:val="auto"/>
                <w:szCs w:val="21"/>
                <w:highlight w:val="none"/>
                <w:lang w:val="zh-CN"/>
              </w:rPr>
            </w:pPr>
            <w:r>
              <w:rPr>
                <w:rFonts w:hint="eastAsia"/>
                <w:color w:val="auto"/>
                <w:szCs w:val="21"/>
                <w:highlight w:val="none"/>
                <w:lang w:val="zh-CN"/>
              </w:rPr>
              <w:t>对招标文件中所有标注▲号的实质性条款要求响应均无负偏离，并符合招标文件其他实质性要求。</w:t>
            </w:r>
          </w:p>
        </w:tc>
      </w:tr>
      <w:tr w14:paraId="7CA1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vMerge w:val="continue"/>
            <w:vAlign w:val="center"/>
          </w:tcPr>
          <w:p w14:paraId="4F7AD537">
            <w:pPr>
              <w:spacing w:line="360" w:lineRule="exact"/>
              <w:jc w:val="center"/>
              <w:rPr>
                <w:color w:val="auto"/>
                <w:kern w:val="0"/>
                <w:szCs w:val="21"/>
                <w:highlight w:val="none"/>
              </w:rPr>
            </w:pPr>
          </w:p>
        </w:tc>
        <w:tc>
          <w:tcPr>
            <w:tcW w:w="0" w:type="auto"/>
            <w:vMerge w:val="continue"/>
            <w:vAlign w:val="center"/>
          </w:tcPr>
          <w:p w14:paraId="36527A2B">
            <w:pPr>
              <w:spacing w:line="360" w:lineRule="exact"/>
              <w:rPr>
                <w:color w:val="auto"/>
                <w:szCs w:val="21"/>
                <w:highlight w:val="none"/>
                <w:lang w:val="zh-CN"/>
              </w:rPr>
            </w:pPr>
          </w:p>
        </w:tc>
        <w:tc>
          <w:tcPr>
            <w:tcW w:w="0" w:type="auto"/>
            <w:vAlign w:val="center"/>
          </w:tcPr>
          <w:p w14:paraId="15259FA3">
            <w:pPr>
              <w:spacing w:line="360" w:lineRule="exact"/>
              <w:rPr>
                <w:color w:val="auto"/>
                <w:szCs w:val="21"/>
                <w:highlight w:val="none"/>
              </w:rPr>
            </w:pPr>
            <w:r>
              <w:rPr>
                <w:color w:val="auto"/>
                <w:szCs w:val="21"/>
                <w:highlight w:val="none"/>
              </w:rPr>
              <w:t>投标有效期</w:t>
            </w:r>
          </w:p>
        </w:tc>
        <w:tc>
          <w:tcPr>
            <w:tcW w:w="0" w:type="auto"/>
            <w:vAlign w:val="center"/>
          </w:tcPr>
          <w:p w14:paraId="5F69E5C9">
            <w:pPr>
              <w:spacing w:line="360" w:lineRule="exact"/>
              <w:rPr>
                <w:color w:val="auto"/>
                <w:szCs w:val="21"/>
                <w:highlight w:val="none"/>
              </w:rPr>
            </w:pPr>
            <w:bookmarkStart w:id="165" w:name="OLE_LINK26"/>
            <w:r>
              <w:rPr>
                <w:color w:val="auto"/>
                <w:szCs w:val="21"/>
                <w:highlight w:val="none"/>
              </w:rPr>
              <w:t>满足招标文件规定。</w:t>
            </w:r>
            <w:bookmarkEnd w:id="165"/>
          </w:p>
        </w:tc>
      </w:tr>
      <w:tr w14:paraId="56B0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vMerge w:val="continue"/>
            <w:vAlign w:val="center"/>
          </w:tcPr>
          <w:p w14:paraId="52D494C9">
            <w:pPr>
              <w:spacing w:line="360" w:lineRule="exact"/>
              <w:jc w:val="center"/>
              <w:rPr>
                <w:color w:val="auto"/>
                <w:kern w:val="0"/>
                <w:szCs w:val="21"/>
                <w:highlight w:val="none"/>
              </w:rPr>
            </w:pPr>
          </w:p>
        </w:tc>
        <w:tc>
          <w:tcPr>
            <w:tcW w:w="0" w:type="auto"/>
            <w:vMerge w:val="continue"/>
            <w:vAlign w:val="center"/>
          </w:tcPr>
          <w:p w14:paraId="405CBBCF">
            <w:pPr>
              <w:spacing w:line="360" w:lineRule="exact"/>
              <w:rPr>
                <w:color w:val="auto"/>
                <w:szCs w:val="21"/>
                <w:highlight w:val="none"/>
                <w:lang w:val="zh-CN"/>
              </w:rPr>
            </w:pPr>
          </w:p>
        </w:tc>
        <w:tc>
          <w:tcPr>
            <w:tcW w:w="0" w:type="auto"/>
            <w:vAlign w:val="center"/>
          </w:tcPr>
          <w:p w14:paraId="409DD768">
            <w:pPr>
              <w:spacing w:line="360" w:lineRule="exact"/>
              <w:rPr>
                <w:color w:val="auto"/>
                <w:szCs w:val="21"/>
                <w:highlight w:val="none"/>
              </w:rPr>
            </w:pPr>
            <w:r>
              <w:rPr>
                <w:rFonts w:hint="eastAsia"/>
                <w:color w:val="auto"/>
                <w:szCs w:val="21"/>
                <w:highlight w:val="none"/>
              </w:rPr>
              <w:t>投标保证金</w:t>
            </w:r>
          </w:p>
        </w:tc>
        <w:tc>
          <w:tcPr>
            <w:tcW w:w="0" w:type="auto"/>
            <w:vAlign w:val="center"/>
          </w:tcPr>
          <w:p w14:paraId="025D7725">
            <w:pPr>
              <w:spacing w:line="360" w:lineRule="exact"/>
              <w:rPr>
                <w:color w:val="auto"/>
                <w:szCs w:val="21"/>
                <w:highlight w:val="none"/>
              </w:rPr>
            </w:pPr>
            <w:r>
              <w:rPr>
                <w:rFonts w:hint="eastAsia"/>
                <w:color w:val="auto"/>
                <w:szCs w:val="21"/>
                <w:highlight w:val="none"/>
              </w:rPr>
              <w:t>按照招标文件要求足额缴纳投标保证金。</w:t>
            </w:r>
          </w:p>
        </w:tc>
      </w:tr>
      <w:tr w14:paraId="13A2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0" w:type="auto"/>
            <w:vMerge w:val="continue"/>
            <w:vAlign w:val="center"/>
          </w:tcPr>
          <w:p w14:paraId="48BB3B25">
            <w:pPr>
              <w:spacing w:line="360" w:lineRule="exact"/>
              <w:jc w:val="center"/>
              <w:rPr>
                <w:color w:val="auto"/>
                <w:kern w:val="0"/>
                <w:szCs w:val="21"/>
                <w:highlight w:val="none"/>
              </w:rPr>
            </w:pPr>
          </w:p>
        </w:tc>
        <w:tc>
          <w:tcPr>
            <w:tcW w:w="0" w:type="auto"/>
            <w:vMerge w:val="continue"/>
            <w:vAlign w:val="center"/>
          </w:tcPr>
          <w:p w14:paraId="51D8CAFD">
            <w:pPr>
              <w:spacing w:line="360" w:lineRule="exact"/>
              <w:rPr>
                <w:color w:val="auto"/>
                <w:szCs w:val="21"/>
                <w:highlight w:val="none"/>
                <w:lang w:val="zh-CN"/>
              </w:rPr>
            </w:pPr>
          </w:p>
        </w:tc>
        <w:tc>
          <w:tcPr>
            <w:tcW w:w="0" w:type="auto"/>
            <w:vAlign w:val="center"/>
          </w:tcPr>
          <w:p w14:paraId="04F02FDE">
            <w:pPr>
              <w:spacing w:line="360" w:lineRule="exact"/>
              <w:rPr>
                <w:color w:val="auto"/>
                <w:szCs w:val="21"/>
                <w:highlight w:val="none"/>
              </w:rPr>
            </w:pPr>
            <w:r>
              <w:rPr>
                <w:rFonts w:hint="eastAsia"/>
                <w:color w:val="auto"/>
                <w:szCs w:val="21"/>
                <w:highlight w:val="none"/>
              </w:rPr>
              <w:t>应答</w:t>
            </w:r>
            <w:r>
              <w:rPr>
                <w:color w:val="auto"/>
                <w:szCs w:val="21"/>
                <w:highlight w:val="none"/>
                <w:lang w:val="zh-CN"/>
              </w:rPr>
              <w:t>响应</w:t>
            </w:r>
            <w:r>
              <w:rPr>
                <w:rFonts w:hint="eastAsia"/>
                <w:color w:val="auto"/>
                <w:szCs w:val="21"/>
                <w:highlight w:val="none"/>
              </w:rPr>
              <w:t>有效性</w:t>
            </w:r>
          </w:p>
        </w:tc>
        <w:tc>
          <w:tcPr>
            <w:tcW w:w="0" w:type="auto"/>
            <w:vAlign w:val="center"/>
          </w:tcPr>
          <w:p w14:paraId="0D6916F7">
            <w:pPr>
              <w:spacing w:line="360" w:lineRule="exact"/>
              <w:rPr>
                <w:color w:val="auto"/>
                <w:szCs w:val="21"/>
                <w:highlight w:val="none"/>
              </w:rPr>
            </w:pPr>
            <w:r>
              <w:rPr>
                <w:rFonts w:hint="eastAsia"/>
                <w:color w:val="auto"/>
                <w:szCs w:val="21"/>
                <w:highlight w:val="none"/>
              </w:rPr>
              <w:t>不属于招标文件“第四章  评标方法及评标标准”中“3.符合性审查不通过而导致投标无效的情形”被视为投标文件无效的情形。</w:t>
            </w:r>
          </w:p>
        </w:tc>
      </w:tr>
    </w:tbl>
    <w:p w14:paraId="66DA43B9">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bookmarkStart w:id="166" w:name="OLE_LINK27"/>
      <w:r>
        <w:rPr>
          <w:rFonts w:hint="eastAsia" w:ascii="宋体" w:hAnsi="宋体" w:eastAsia="宋体" w:cs="宋体"/>
          <w:color w:val="auto"/>
          <w:sz w:val="21"/>
          <w:szCs w:val="21"/>
          <w:highlight w:val="none"/>
        </w:rPr>
        <w:t>3.符合性审查不通过而导致投标无效的情形</w:t>
      </w:r>
    </w:p>
    <w:bookmarkEnd w:id="166"/>
    <w:p w14:paraId="5E64F343">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61D5301F">
      <w:pPr>
        <w:pStyle w:val="6"/>
        <w:keepNext w:val="0"/>
        <w:keepLines w:val="0"/>
        <w:spacing w:before="0" w:after="0"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3.1在报价评审时，如发现下列情形之一的，将被视为投标无效：</w:t>
      </w:r>
    </w:p>
    <w:p w14:paraId="4AA40CD9">
      <w:pPr>
        <w:pStyle w:val="7"/>
        <w:numPr>
          <w:ilvl w:val="0"/>
          <w:numId w:val="3"/>
        </w:num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投标文件未提供“投标人须知前附表”第13.1条规定中“必须提供”的文件资料的;</w:t>
      </w:r>
    </w:p>
    <w:p w14:paraId="128DB6C7">
      <w:pPr>
        <w:pStyle w:val="7"/>
        <w:numPr>
          <w:ilvl w:val="0"/>
          <w:numId w:val="3"/>
        </w:num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61A9B0E1">
      <w:pPr>
        <w:pStyle w:val="7"/>
        <w:numPr>
          <w:ilvl w:val="0"/>
          <w:numId w:val="3"/>
        </w:num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报价超出招标文件规定最高限价，或者超出采购预算金额的；</w:t>
      </w:r>
    </w:p>
    <w:p w14:paraId="45F3979B">
      <w:pPr>
        <w:pStyle w:val="7"/>
        <w:numPr>
          <w:ilvl w:val="0"/>
          <w:numId w:val="3"/>
        </w:num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D0BF66B">
      <w:pPr>
        <w:pStyle w:val="7"/>
        <w:numPr>
          <w:ilvl w:val="0"/>
          <w:numId w:val="3"/>
        </w:num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3EF929EF">
      <w:pPr>
        <w:pStyle w:val="7"/>
        <w:numPr>
          <w:ilvl w:val="0"/>
          <w:numId w:val="3"/>
        </w:num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投标人属于本章第5条第（2）项情形的。</w:t>
      </w:r>
      <w:r>
        <w:rPr>
          <w:rFonts w:hint="eastAsia" w:ascii="宋体" w:hAnsi="宋体" w:cs="宋体"/>
          <w:color w:val="auto"/>
          <w:szCs w:val="21"/>
          <w:highlight w:val="none"/>
        </w:rPr>
        <w:t> </w:t>
      </w:r>
    </w:p>
    <w:p w14:paraId="77CA7F1A">
      <w:pPr>
        <w:pStyle w:val="6"/>
        <w:keepNext w:val="0"/>
        <w:keepLines w:val="0"/>
        <w:spacing w:before="0" w:after="0"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3.2在商务评审时，如发现下列情形之一的，将被视为投标无效：</w:t>
      </w:r>
    </w:p>
    <w:p w14:paraId="2E7AFB03">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3EFC7197">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委托代理人未能出具有效身份证明或者出具的身份证明与授权委托书中的信息不符的； </w:t>
      </w:r>
    </w:p>
    <w:p w14:paraId="759E7CFA">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5C2D7BD4">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57F45B57">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投标有效期、项目完成时间（交货时间、服务完成时间或者服务期等）、质保期、售后服务等招标文件中标“▲”的商务条款发生负偏离的；</w:t>
      </w:r>
    </w:p>
    <w:p w14:paraId="546104F3">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商务条款评审允许负偏离的条款数超过“投标人须知前附表”规定项数的。</w:t>
      </w:r>
    </w:p>
    <w:p w14:paraId="2907D125">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2BEF3D61">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141269EA">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2175E7EA">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434EAE6F">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3C86BB88">
      <w:pPr>
        <w:numPr>
          <w:ilvl w:val="0"/>
          <w:numId w:val="4"/>
        </w:num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17D516C4">
      <w:pPr>
        <w:pStyle w:val="6"/>
        <w:keepNext w:val="0"/>
        <w:keepLines w:val="0"/>
        <w:spacing w:before="0" w:after="0"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3.3在技术评审时，如发现下列情形之一的，将被视为投标无效：</w:t>
      </w:r>
    </w:p>
    <w:p w14:paraId="64D7262E">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（1）明显不满足招标文件要求的技术规格、安全、质量标准，或者与招标文件中标“▲”的技术需求发生负偏离的；</w:t>
      </w:r>
    </w:p>
    <w:p w14:paraId="2CE0AFC5">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（2）技术需求评审允许负偏离的条款数超过“投标人须知前附表”规定项数的；</w:t>
      </w:r>
    </w:p>
    <w:p w14:paraId="42C3D21D">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（3）投标文件未提供“投标人须知前附表”第13.1条规定中“必须提供”的文件资料的;</w:t>
      </w:r>
    </w:p>
    <w:p w14:paraId="6D606931">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（4）虚假投标，或者出现其他情形而导致被评标委员会认定无效的；</w:t>
      </w:r>
    </w:p>
    <w:p w14:paraId="26B061A8">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（5）投标技术方案不明确，招标文件未允许但存在一个或者一个以上备选（替代）投标方案的。</w:t>
      </w:r>
    </w:p>
    <w:p w14:paraId="579F3063">
      <w:pPr>
        <w:pStyle w:val="18"/>
        <w:snapToGrid w:val="0"/>
        <w:spacing w:line="360" w:lineRule="auto"/>
        <w:ind w:firstLine="413" w:firstLineChars="196"/>
        <w:outlineLvl w:val="4"/>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3.4异常低价说明</w:t>
      </w:r>
    </w:p>
    <w:p w14:paraId="11103550">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（1）根据《关于推动解决政府采购异常低价问题的通知》财库〔2026〕2号要求，政府采购评审中出现下列情形之一的，评标委员会应当启动异常低价响应审查程序：</w:t>
      </w:r>
    </w:p>
    <w:p w14:paraId="35D9EE64">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①投标报价低于全部通过符合性审查供应商投标报价平均值50%的，即投标报价&lt;全部通过符合性审查供应商投标报价平均值×50%；</w:t>
      </w:r>
    </w:p>
    <w:p w14:paraId="049B523E">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②投标报价低于通过符合性审查的次低报价供应商投标报价50%的，即投标报价&lt;通过符合性审查的次低报价供应商投标（响应）报价×50%；</w:t>
      </w:r>
    </w:p>
    <w:p w14:paraId="55AEB4D1">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③投标报价低于采购项目最高限价45%的，即投标报价&lt;采购项目最高限价×45%；</w:t>
      </w:r>
    </w:p>
    <w:p w14:paraId="2A5B9AC8">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④评标委员会基于专业判断，认为供应商报价过低，有可能影响产品质量或者不能诚信履约的其他情形。</w:t>
      </w:r>
    </w:p>
    <w:p w14:paraId="174DB0DE">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评标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1A86EFB2">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评标委员会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标委员会应当将其作为无效响应处理。</w:t>
      </w:r>
    </w:p>
    <w:p w14:paraId="45A6383C">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14:paraId="14C834F5">
      <w:pPr>
        <w:pStyle w:val="18"/>
        <w:snapToGrid w:val="0"/>
        <w:spacing w:line="36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（5）异常低价投标（响应）审查的启动原因、审查意见和审查结果应当在评审报告中记录，并随供应商提供的相关书面说明及证明材料，以及评标委员会有关互联网浏览、查询历史一并归档。</w:t>
      </w:r>
    </w:p>
    <w:p w14:paraId="5FA468B4">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4.澄清补正</w:t>
      </w:r>
    </w:p>
    <w:p w14:paraId="4151A91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以书面形式要求投标人在规定时间内作出必要的澄清、说明或者纠正。投标人的澄清、说明或者补正必须采用书面形式，并加盖公章，或者由法定代表人或者其授权的代表签字。投标人的澄清、说明或者补正不得超出投标文件的范围或者改变投标文件的实质性内容。</w:t>
      </w:r>
    </w:p>
    <w:p w14:paraId="74D0C02D">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5.投标文件修正</w:t>
      </w:r>
    </w:p>
    <w:p w14:paraId="076982F9">
      <w:pPr>
        <w:pStyle w:val="6"/>
        <w:keepNext w:val="0"/>
        <w:keepLines w:val="0"/>
        <w:spacing w:before="0" w:after="0" w:line="360" w:lineRule="auto"/>
        <w:ind w:left="420" w:leftChars="200"/>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 xml:space="preserve">5.1投标文件报价出现前后不一致的，按照下列规定修正： </w:t>
      </w:r>
    </w:p>
    <w:p w14:paraId="75D25169">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（1）投标文件中开标一览表（报价表）内容与投标文件中相应内容不一致的，以开标一览表（报价表）为准；</w:t>
      </w:r>
    </w:p>
    <w:p w14:paraId="208A29E0">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（2）大写金额和小写金额不一致的，以大写金额为准；</w:t>
      </w:r>
    </w:p>
    <w:p w14:paraId="6F752C3F">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（3）单价金额小数点或者百分比有明显错位的，以开标一览表的总价为准，并修改单价；</w:t>
      </w:r>
    </w:p>
    <w:p w14:paraId="7D2F5DBA">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（4）总价金额与按单价汇总金额不一致的，以单价金额计算结果为准。</w:t>
      </w:r>
    </w:p>
    <w:p w14:paraId="1D2B97B1">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同时出现两种以上不一致的，按照以上（1）-（4）规定的顺序修正。修正后的报价经投标人确认后产生约束力，投标人不确认的，</w:t>
      </w:r>
      <w:r>
        <w:rPr>
          <w:rFonts w:hint="eastAsia" w:hAnsi="宋体" w:cs="宋体"/>
          <w:b/>
          <w:color w:val="auto"/>
          <w:kern w:val="2"/>
          <w:sz w:val="21"/>
          <w:highlight w:val="none"/>
        </w:rPr>
        <w:t>其投标无效</w:t>
      </w:r>
      <w:r>
        <w:rPr>
          <w:rFonts w:hint="eastAsia" w:hAnsi="宋体" w:cs="宋体"/>
          <w:color w:val="auto"/>
          <w:sz w:val="21"/>
          <w:highlight w:val="none"/>
        </w:rPr>
        <w:t>。</w:t>
      </w:r>
    </w:p>
    <w:p w14:paraId="2C67232A">
      <w:pPr>
        <w:pStyle w:val="23"/>
        <w:snapToGrid w:val="0"/>
        <w:spacing w:line="360" w:lineRule="auto"/>
        <w:ind w:firstLine="422" w:firstLineChars="200"/>
        <w:outlineLvl w:val="4"/>
        <w:rPr>
          <w:rFonts w:hint="eastAsia" w:hAnsi="宋体" w:cs="宋体"/>
          <w:b/>
          <w:color w:val="auto"/>
          <w:sz w:val="21"/>
          <w:highlight w:val="none"/>
        </w:rPr>
      </w:pPr>
      <w:r>
        <w:rPr>
          <w:rFonts w:hint="eastAsia" w:hAnsi="宋体" w:cs="宋体"/>
          <w:b/>
          <w:color w:val="auto"/>
          <w:sz w:val="21"/>
          <w:highlight w:val="none"/>
        </w:rPr>
        <w:t>5.2经投标人确认修正后的报价若超过采购预算金额或者最高限价，投标人的投标文件作无效投标处理。</w:t>
      </w:r>
    </w:p>
    <w:p w14:paraId="0BBCCF23">
      <w:pPr>
        <w:snapToGrid w:val="0"/>
        <w:spacing w:line="360" w:lineRule="auto"/>
        <w:ind w:firstLine="422" w:firstLineChars="200"/>
        <w:outlineLvl w:val="4"/>
        <w:rPr>
          <w:rFonts w:hint="eastAsia" w:ascii="宋体" w:hAnsi="宋体" w:cs="宋体"/>
          <w:color w:val="auto"/>
          <w:szCs w:val="21"/>
          <w:highlight w:val="none"/>
        </w:rPr>
      </w:pPr>
      <w:r>
        <w:rPr>
          <w:rFonts w:hint="eastAsia" w:ascii="宋体" w:hAnsi="宋体" w:cs="宋体"/>
          <w:b/>
          <w:color w:val="auto"/>
          <w:szCs w:val="21"/>
          <w:highlight w:val="none"/>
        </w:rPr>
        <w:t>5.3经投标人确认修正后的报价作为签订合同的依据，并以此报价计算价格分。</w:t>
      </w:r>
    </w:p>
    <w:p w14:paraId="65633320">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bookmarkStart w:id="167" w:name="_Hlk47714684"/>
      <w:r>
        <w:rPr>
          <w:rFonts w:hint="eastAsia" w:ascii="宋体" w:hAnsi="宋体" w:eastAsia="宋体" w:cs="宋体"/>
          <w:color w:val="auto"/>
          <w:sz w:val="21"/>
          <w:szCs w:val="21"/>
          <w:highlight w:val="none"/>
        </w:rPr>
        <w:t>6.部分节能产品强制性采购要求</w:t>
      </w:r>
    </w:p>
    <w:p w14:paraId="29AD426B">
      <w:pPr>
        <w:suppressAutoHyphens/>
        <w:spacing w:line="360" w:lineRule="auto"/>
        <w:ind w:firstLine="420" w:firstLineChars="200"/>
        <w:rPr>
          <w:color w:val="auto"/>
          <w:szCs w:val="21"/>
          <w:highlight w:val="none"/>
        </w:rPr>
      </w:pPr>
      <w:r>
        <w:rPr>
          <w:color w:val="auto"/>
          <w:szCs w:val="21"/>
          <w:highlight w:val="none"/>
        </w:rPr>
        <w:t>本项目采购范围如果包括</w:t>
      </w:r>
      <w:r>
        <w:rPr>
          <w:color w:val="auto"/>
          <w:kern w:val="1"/>
          <w:szCs w:val="21"/>
          <w:highlight w:val="none"/>
        </w:rPr>
        <w:t>政府强制采购的节能产品时</w:t>
      </w:r>
      <w:r>
        <w:rPr>
          <w:rFonts w:hint="eastAsia"/>
          <w:color w:val="auto"/>
          <w:kern w:val="1"/>
          <w:szCs w:val="21"/>
          <w:highlight w:val="none"/>
        </w:rPr>
        <w:t>，</w:t>
      </w:r>
      <w:r>
        <w:rPr>
          <w:color w:val="auto"/>
          <w:highlight w:val="none"/>
        </w:rPr>
        <w:t>评标委员会须根据</w:t>
      </w:r>
      <w:r>
        <w:rPr>
          <w:rFonts w:hint="eastAsia"/>
          <w:color w:val="auto"/>
          <w:highlight w:val="none"/>
        </w:rPr>
        <w:t>以下</w:t>
      </w:r>
      <w:r>
        <w:rPr>
          <w:color w:val="auto"/>
          <w:highlight w:val="none"/>
        </w:rPr>
        <w:t>规定评审</w:t>
      </w:r>
      <w:r>
        <w:rPr>
          <w:bCs/>
          <w:color w:val="auto"/>
          <w:kern w:val="0"/>
          <w:szCs w:val="21"/>
          <w:highlight w:val="none"/>
        </w:rPr>
        <w:t>投标有效性</w:t>
      </w:r>
      <w:r>
        <w:rPr>
          <w:color w:val="auto"/>
          <w:highlight w:val="none"/>
        </w:rPr>
        <w:t>。</w:t>
      </w:r>
    </w:p>
    <w:p w14:paraId="76D9DD02">
      <w:pPr>
        <w:suppressAutoHyphens/>
        <w:spacing w:line="360" w:lineRule="auto"/>
        <w:ind w:firstLine="420" w:firstLineChars="200"/>
        <w:rPr>
          <w:color w:val="auto"/>
          <w:szCs w:val="21"/>
          <w:highlight w:val="none"/>
        </w:rPr>
      </w:pPr>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配套货物属于品目清单内标注“★”的产品时，</w:t>
      </w:r>
      <w:r>
        <w:rPr>
          <w:rFonts w:hint="eastAsia"/>
          <w:b/>
          <w:bCs/>
          <w:color w:val="auto"/>
          <w:szCs w:val="21"/>
          <w:highlight w:val="none"/>
        </w:rPr>
        <w:t>供应商的投标产品必须使用政府强制采购的节能产品，供应商必须在投标文件中提供所投产品的节能产品认证证书复印件（加盖供应商公章），否则投标文件作无效处理。</w:t>
      </w:r>
    </w:p>
    <w:p w14:paraId="1F008346">
      <w:pPr>
        <w:suppressAutoHyphens/>
        <w:spacing w:line="360" w:lineRule="auto"/>
        <w:ind w:firstLine="420" w:firstLineChars="200"/>
        <w:rPr>
          <w:b/>
          <w:bCs/>
          <w:color w:val="auto"/>
          <w:szCs w:val="21"/>
          <w:highlight w:val="none"/>
        </w:rPr>
      </w:pPr>
      <w:r>
        <w:rPr>
          <w:color w:val="auto"/>
          <w:szCs w:val="21"/>
          <w:highlight w:val="none"/>
        </w:rPr>
        <w:t>本项目采购范围如果包括政府强制采购节能产品，</w:t>
      </w:r>
      <w:r>
        <w:rPr>
          <w:b/>
          <w:bCs/>
          <w:color w:val="auto"/>
          <w:szCs w:val="21"/>
          <w:highlight w:val="none"/>
        </w:rPr>
        <w:t>相应产品</w:t>
      </w:r>
      <w:r>
        <w:rPr>
          <w:rFonts w:hint="eastAsia"/>
          <w:b/>
          <w:bCs/>
          <w:color w:val="auto"/>
          <w:szCs w:val="21"/>
          <w:highlight w:val="none"/>
        </w:rPr>
        <w:t>必须使用节能产品政府采购品目清单内的产品，并处于有效期之内。否则，投标无效。</w:t>
      </w:r>
    </w:p>
    <w:bookmarkEnd w:id="167"/>
    <w:p w14:paraId="71B8DD7B">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7.相同品牌投标有效性认定</w:t>
      </w:r>
    </w:p>
    <w:p w14:paraId="5C15BBB5">
      <w:pPr>
        <w:spacing w:line="360" w:lineRule="auto"/>
        <w:ind w:firstLine="420" w:firstLineChars="200"/>
        <w:rPr>
          <w:color w:val="auto"/>
          <w:highlight w:val="none"/>
        </w:rPr>
      </w:pPr>
      <w:r>
        <w:rPr>
          <w:color w:val="auto"/>
          <w:highlight w:val="none"/>
        </w:rPr>
        <w:t>不同供应商提供的投标产品品牌相同时，评标委员会须根据</w:t>
      </w:r>
      <w:r>
        <w:rPr>
          <w:rFonts w:hint="eastAsia"/>
          <w:color w:val="auto"/>
          <w:highlight w:val="none"/>
        </w:rPr>
        <w:t>以下</w:t>
      </w:r>
      <w:r>
        <w:rPr>
          <w:color w:val="auto"/>
          <w:highlight w:val="none"/>
        </w:rPr>
        <w:t>规定评审</w:t>
      </w:r>
      <w:r>
        <w:rPr>
          <w:bCs/>
          <w:color w:val="auto"/>
          <w:kern w:val="0"/>
          <w:szCs w:val="21"/>
          <w:highlight w:val="none"/>
        </w:rPr>
        <w:t>相同品牌的投标有效性</w:t>
      </w:r>
      <w:r>
        <w:rPr>
          <w:color w:val="auto"/>
          <w:highlight w:val="none"/>
        </w:rPr>
        <w:t>。</w:t>
      </w:r>
    </w:p>
    <w:p w14:paraId="48CEEAB1">
      <w:pPr>
        <w:spacing w:line="360" w:lineRule="auto"/>
        <w:ind w:firstLine="420" w:firstLineChars="200"/>
        <w:rPr>
          <w:color w:val="auto"/>
          <w:szCs w:val="21"/>
          <w:highlight w:val="none"/>
        </w:rPr>
      </w:pPr>
      <w:r>
        <w:rPr>
          <w:rFonts w:hint="eastAsia"/>
          <w:color w:val="auto"/>
          <w:szCs w:val="21"/>
          <w:highlight w:val="none"/>
        </w:rPr>
        <w:t>（1）</w:t>
      </w:r>
      <w:r>
        <w:rPr>
          <w:color w:val="auto"/>
          <w:szCs w:val="21"/>
          <w:highlight w:val="none"/>
        </w:rPr>
        <w:t>如若提供相同品牌产品且通过资格审查、符合性审查的不同供应商参加同一合同项下投标的，按一家供应商计算，评审后得分最高的同品牌供应商获得中标人推荐资格；评审得分相同的，</w:t>
      </w:r>
      <w:r>
        <w:rPr>
          <w:color w:val="auto"/>
          <w:highlight w:val="none"/>
        </w:rPr>
        <w:t>由（</w:t>
      </w:r>
      <w:r>
        <w:rPr>
          <w:color w:val="auto"/>
          <w:szCs w:val="21"/>
          <w:highlight w:val="none"/>
        </w:rPr>
        <w:sym w:font="Wingdings 2" w:char="F052"/>
      </w:r>
      <w:r>
        <w:rPr>
          <w:color w:val="auto"/>
          <w:highlight w:val="none"/>
        </w:rPr>
        <w:t>采购人</w:t>
      </w:r>
      <w:r>
        <w:rPr>
          <w:color w:val="auto"/>
          <w:szCs w:val="21"/>
          <w:highlight w:val="none"/>
        </w:rPr>
        <w:t>；</w:t>
      </w:r>
      <w:r>
        <w:rPr>
          <w:color w:val="auto"/>
          <w:szCs w:val="21"/>
          <w:highlight w:val="none"/>
        </w:rPr>
        <w:sym w:font="Wingdings 2" w:char="F0A3"/>
      </w:r>
      <w:r>
        <w:rPr>
          <w:color w:val="auto"/>
          <w:highlight w:val="none"/>
        </w:rPr>
        <w:t>采购人委托评标委员会）按照报价低者推荐</w:t>
      </w:r>
      <w:r>
        <w:rPr>
          <w:color w:val="auto"/>
          <w:szCs w:val="21"/>
          <w:highlight w:val="none"/>
        </w:rPr>
        <w:t>中标人资格</w:t>
      </w:r>
      <w:r>
        <w:rPr>
          <w:color w:val="auto"/>
          <w:highlight w:val="none"/>
        </w:rPr>
        <w:t>，如报价仍相同，则按技术部分得分高者推荐</w:t>
      </w:r>
      <w:r>
        <w:rPr>
          <w:color w:val="auto"/>
          <w:szCs w:val="21"/>
          <w:highlight w:val="none"/>
        </w:rPr>
        <w:t>中标人资格</w:t>
      </w:r>
      <w:r>
        <w:rPr>
          <w:color w:val="auto"/>
          <w:highlight w:val="none"/>
        </w:rPr>
        <w:t>，仍相同的，则按商务部分得分高者推荐</w:t>
      </w:r>
      <w:r>
        <w:rPr>
          <w:color w:val="auto"/>
          <w:szCs w:val="21"/>
          <w:highlight w:val="none"/>
        </w:rPr>
        <w:t>中标人资格</w:t>
      </w:r>
      <w:r>
        <w:rPr>
          <w:color w:val="auto"/>
          <w:highlight w:val="none"/>
        </w:rPr>
        <w:t>，若仍相同，则按业绩得分高者推荐中标人资格，其他同品牌供应商不作为中标候选人。</w:t>
      </w:r>
    </w:p>
    <w:p w14:paraId="450E5D45">
      <w:pPr>
        <w:spacing w:line="360" w:lineRule="auto"/>
        <w:ind w:firstLine="420" w:firstLineChars="200"/>
        <w:rPr>
          <w:color w:val="auto"/>
          <w:szCs w:val="21"/>
          <w:highlight w:val="none"/>
        </w:rPr>
      </w:pPr>
      <w:r>
        <w:rPr>
          <w:rFonts w:hint="eastAsia"/>
          <w:color w:val="auto"/>
          <w:szCs w:val="21"/>
          <w:highlight w:val="none"/>
        </w:rPr>
        <w:t>（2）</w:t>
      </w:r>
      <w:r>
        <w:rPr>
          <w:color w:val="auto"/>
          <w:szCs w:val="21"/>
          <w:highlight w:val="none"/>
        </w:rPr>
        <w:t>非单一产品采购项目，采购人应当确定核心产品，并在招标文件中载明。多家供应商提供的核心产品品牌相同的，按上述规定处理。核心产品的定义见“采购需求”规定。</w:t>
      </w:r>
    </w:p>
    <w:p w14:paraId="531CF928">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8.比较与评价</w:t>
      </w:r>
    </w:p>
    <w:p w14:paraId="198F4C40">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（1）评标委员会按照招标文件中规定的评标方法和评标标准（见后文），对符合性审查合格的投标文件进行商务和技术评估，综合比较与评价。</w:t>
      </w:r>
    </w:p>
    <w:p w14:paraId="296CE920">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（2）评标委员会独立对每个投标人的投标文件进行评价，并汇总每个投标人的得分。</w:t>
      </w:r>
    </w:p>
    <w:p w14:paraId="52383B1A">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hAnsi="宋体" w:cs="宋体"/>
          <w:b/>
          <w:color w:val="auto"/>
          <w:kern w:val="2"/>
          <w:sz w:val="21"/>
          <w:highlight w:val="none"/>
        </w:rPr>
        <w:t>评标委员会将其作为无效投标处理</w:t>
      </w:r>
      <w:r>
        <w:rPr>
          <w:rFonts w:hint="eastAsia" w:hAnsi="宋体" w:cs="宋体"/>
          <w:color w:val="auto"/>
          <w:sz w:val="21"/>
          <w:highlight w:val="none"/>
        </w:rPr>
        <w:t>。</w:t>
      </w:r>
    </w:p>
    <w:p w14:paraId="5240436A">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（3）评标委员会按照招标文件中规定的评标方法和标准计算各投标人的报价得分。在计算过程中，不得去掉最高报价或者最低报价。</w:t>
      </w:r>
    </w:p>
    <w:p w14:paraId="066713BA">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（4）各投标人的得分为所有评委的有效评分的算术平均数。</w:t>
      </w:r>
    </w:p>
    <w:p w14:paraId="3B6C6E5C">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（5）评标委员会按照招标文件中的规定推荐中标候选人。</w:t>
      </w:r>
    </w:p>
    <w:p w14:paraId="49D28435">
      <w:pPr>
        <w:pStyle w:val="23"/>
        <w:snapToGrid w:val="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C26B55B">
      <w:pPr>
        <w:pStyle w:val="4"/>
        <w:keepNext w:val="0"/>
        <w:keepLines w:val="0"/>
        <w:spacing w:line="240" w:lineRule="auto"/>
        <w:jc w:val="center"/>
        <w:rPr>
          <w:rFonts w:hint="eastAsia" w:ascii="宋体" w:hAnsi="宋体" w:cs="宋体"/>
          <w:color w:val="auto"/>
          <w:highlight w:val="none"/>
        </w:rPr>
      </w:pPr>
      <w:r>
        <w:rPr>
          <w:rFonts w:hint="eastAsia" w:ascii="宋体" w:hAnsi="宋体" w:cs="宋体"/>
          <w:color w:val="auto"/>
          <w:highlight w:val="none"/>
        </w:rPr>
        <w:t>三、评标标准（综合评分法，计分方法按四舍五入取至百分位）</w:t>
      </w:r>
    </w:p>
    <w:p w14:paraId="64081E33">
      <w:pPr>
        <w:spacing w:line="360" w:lineRule="auto"/>
        <w:ind w:left="420" w:leftChars="200"/>
        <w:rPr>
          <w:rFonts w:hint="eastAsia" w:ascii="宋体" w:hAnsi="宋体" w:cs="宋体"/>
          <w:color w:val="auto"/>
          <w:szCs w:val="21"/>
          <w:highlight w:val="none"/>
        </w:rPr>
      </w:pPr>
    </w:p>
    <w:p w14:paraId="267B88EF">
      <w:pPr>
        <w:spacing w:line="360" w:lineRule="auto"/>
        <w:ind w:left="420" w:leftChars="200"/>
        <w:rPr>
          <w:rFonts w:hint="eastAsia" w:ascii="宋体" w:hAnsi="宋体" w:cs="宋体"/>
          <w:color w:val="auto"/>
          <w:szCs w:val="21"/>
          <w:highlight w:val="none"/>
        </w:rPr>
      </w:pPr>
    </w:p>
    <w:p w14:paraId="6C40FCB5">
      <w:pPr>
        <w:pStyle w:val="5"/>
        <w:keepNext w:val="0"/>
        <w:keepLines w:val="0"/>
        <w:spacing w:before="0" w:after="0"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1.评分表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791"/>
        <w:gridCol w:w="785"/>
        <w:gridCol w:w="6848"/>
        <w:gridCol w:w="427"/>
      </w:tblGrid>
      <w:tr w14:paraId="3E7E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Align w:val="center"/>
          </w:tcPr>
          <w:p w14:paraId="142B9B53">
            <w:pPr>
              <w:widowControl/>
              <w:spacing w:line="276" w:lineRule="auto"/>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序号</w:t>
            </w:r>
          </w:p>
        </w:tc>
        <w:tc>
          <w:tcPr>
            <w:tcW w:w="1593" w:type="dxa"/>
            <w:gridSpan w:val="2"/>
            <w:vAlign w:val="center"/>
          </w:tcPr>
          <w:p w14:paraId="67F28475">
            <w:pPr>
              <w:widowControl/>
              <w:spacing w:line="276" w:lineRule="auto"/>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评审因素</w:t>
            </w:r>
          </w:p>
        </w:tc>
        <w:tc>
          <w:tcPr>
            <w:tcW w:w="7052" w:type="dxa"/>
            <w:vAlign w:val="center"/>
          </w:tcPr>
          <w:p w14:paraId="5DD07D61">
            <w:pPr>
              <w:widowControl/>
              <w:spacing w:line="276" w:lineRule="auto"/>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评标标准</w:t>
            </w:r>
          </w:p>
        </w:tc>
        <w:tc>
          <w:tcPr>
            <w:tcW w:w="427" w:type="dxa"/>
            <w:vAlign w:val="center"/>
          </w:tcPr>
          <w:p w14:paraId="6F8AE4F5">
            <w:pPr>
              <w:widowControl/>
              <w:spacing w:line="276" w:lineRule="auto"/>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分值</w:t>
            </w:r>
          </w:p>
        </w:tc>
      </w:tr>
      <w:tr w14:paraId="29E3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Align w:val="center"/>
          </w:tcPr>
          <w:p w14:paraId="1692AEBB">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w:t>
            </w:r>
          </w:p>
        </w:tc>
        <w:tc>
          <w:tcPr>
            <w:tcW w:w="796" w:type="dxa"/>
            <w:vAlign w:val="center"/>
          </w:tcPr>
          <w:p w14:paraId="14460750">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价格分（满分30分）</w:t>
            </w:r>
          </w:p>
        </w:tc>
        <w:tc>
          <w:tcPr>
            <w:tcW w:w="797" w:type="dxa"/>
            <w:vAlign w:val="center"/>
          </w:tcPr>
          <w:p w14:paraId="7892FE6F">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投标报价</w:t>
            </w:r>
          </w:p>
        </w:tc>
        <w:tc>
          <w:tcPr>
            <w:tcW w:w="7052" w:type="dxa"/>
            <w:vAlign w:val="center"/>
          </w:tcPr>
          <w:p w14:paraId="3A37E156">
            <w:pPr>
              <w:widowControl/>
              <w:spacing w:line="276" w:lineRule="auto"/>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本项目专门面向</w:t>
            </w:r>
            <w:r>
              <w:rPr>
                <w:rFonts w:hint="eastAsia" w:ascii="宋体" w:hAnsi="宋体" w:cs="宋体"/>
                <w:color w:val="auto"/>
                <w:szCs w:val="21"/>
                <w:highlight w:val="none"/>
              </w:rPr>
              <w:t>中小</w:t>
            </w:r>
            <w:r>
              <w:rPr>
                <w:rFonts w:ascii="宋体" w:hAnsi="宋体" w:cs="宋体"/>
                <w:color w:val="auto"/>
                <w:szCs w:val="21"/>
                <w:highlight w:val="none"/>
              </w:rPr>
              <w:t>企业采购，不再执行中小企业扶持价格扣除的政策，残疾人福利性单位和监狱企业视同小型、微型企业。</w:t>
            </w:r>
          </w:p>
          <w:p w14:paraId="0CCC6135">
            <w:pPr>
              <w:widowControl/>
              <w:spacing w:line="276" w:lineRule="auto"/>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（2）满足招标文件要求且</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1-折扣率报价</w:t>
            </w:r>
            <w:r>
              <w:rPr>
                <w:rFonts w:hint="eastAsia" w:ascii="宋体" w:hAnsi="宋体" w:cs="宋体"/>
                <w:color w:val="auto"/>
                <w:szCs w:val="21"/>
                <w:highlight w:val="none"/>
                <w:lang w:eastAsia="zh-CN"/>
              </w:rPr>
              <w:t>）</w:t>
            </w:r>
            <w:r>
              <w:rPr>
                <w:rFonts w:hint="eastAsia" w:ascii="宋体" w:hAnsi="宋体" w:cs="宋体"/>
                <w:color w:val="auto"/>
                <w:szCs w:val="21"/>
                <w:highlight w:val="none"/>
              </w:rPr>
              <w:t>最低的评标报价为评标基准价，基准价报价得分为30分。</w:t>
            </w:r>
          </w:p>
          <w:p w14:paraId="17B9F43D">
            <w:pPr>
              <w:widowControl/>
              <w:spacing w:line="276" w:lineRule="auto"/>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）价格分计算公式：价格分=(评标基准价／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1-折扣率报价</w:t>
            </w:r>
            <w:r>
              <w:rPr>
                <w:rFonts w:hint="eastAsia" w:ascii="宋体" w:hAnsi="宋体" w:cs="宋体"/>
                <w:color w:val="auto"/>
                <w:szCs w:val="21"/>
                <w:highlight w:val="none"/>
                <w:lang w:eastAsia="zh-CN"/>
              </w:rPr>
              <w:t>）</w:t>
            </w:r>
            <w:r>
              <w:rPr>
                <w:rFonts w:hint="eastAsia" w:ascii="宋体" w:hAnsi="宋体" w:cs="宋体"/>
                <w:color w:val="auto"/>
                <w:szCs w:val="21"/>
                <w:highlight w:val="none"/>
              </w:rPr>
              <w:t>)× 30分。</w:t>
            </w:r>
          </w:p>
        </w:tc>
        <w:tc>
          <w:tcPr>
            <w:tcW w:w="427" w:type="dxa"/>
            <w:vAlign w:val="center"/>
          </w:tcPr>
          <w:p w14:paraId="53DB94A9">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30</w:t>
            </w:r>
          </w:p>
        </w:tc>
      </w:tr>
      <w:tr w14:paraId="2ACA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9" w:hRule="atLeast"/>
          <w:jc w:val="center"/>
        </w:trPr>
        <w:tc>
          <w:tcPr>
            <w:tcW w:w="556" w:type="dxa"/>
            <w:vMerge w:val="restart"/>
            <w:vAlign w:val="center"/>
          </w:tcPr>
          <w:p w14:paraId="04EB1E57">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2</w:t>
            </w:r>
          </w:p>
        </w:tc>
        <w:tc>
          <w:tcPr>
            <w:tcW w:w="796" w:type="dxa"/>
            <w:vMerge w:val="restart"/>
            <w:vAlign w:val="center"/>
          </w:tcPr>
          <w:p w14:paraId="4AF7A182">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技术分（满分60分）</w:t>
            </w:r>
          </w:p>
        </w:tc>
        <w:tc>
          <w:tcPr>
            <w:tcW w:w="797" w:type="dxa"/>
            <w:vAlign w:val="center"/>
          </w:tcPr>
          <w:p w14:paraId="18FBD105">
            <w:pPr>
              <w:widowControl/>
              <w:spacing w:line="276" w:lineRule="auto"/>
              <w:jc w:val="center"/>
              <w:textAlignment w:val="center"/>
              <w:rPr>
                <w:rFonts w:hint="eastAsia" w:ascii="宋体" w:hAnsi="宋体" w:cs="宋体"/>
                <w:color w:val="auto"/>
                <w:szCs w:val="21"/>
                <w:highlight w:val="none"/>
              </w:rPr>
            </w:pPr>
            <w:r>
              <w:rPr>
                <w:rFonts w:ascii="宋体" w:hAnsi="宋体" w:cs="宋体"/>
                <w:color w:val="auto"/>
                <w:szCs w:val="21"/>
                <w:highlight w:val="none"/>
              </w:rPr>
              <w:t>服务方案分</w:t>
            </w:r>
          </w:p>
        </w:tc>
        <w:tc>
          <w:tcPr>
            <w:tcW w:w="7052" w:type="dxa"/>
            <w:vAlign w:val="center"/>
          </w:tcPr>
          <w:p w14:paraId="0F8E69A9">
            <w:pPr>
              <w:widowControl/>
              <w:spacing w:line="276" w:lineRule="auto"/>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根据投标人提供的服务方</w:t>
            </w:r>
            <w:bookmarkStart w:id="178" w:name="_GoBack"/>
            <w:bookmarkEnd w:id="178"/>
            <w:r>
              <w:rPr>
                <w:rFonts w:hint="eastAsia" w:ascii="宋体" w:hAnsi="宋体" w:cs="宋体"/>
                <w:color w:val="auto"/>
                <w:kern w:val="0"/>
                <w:szCs w:val="21"/>
                <w:highlight w:val="none"/>
                <w:lang w:bidi="ar"/>
              </w:rPr>
              <w:t>案（包括项目执行组织措施、项目执行保障措施详细、拟投入的船员相关、项目流程及业务熟悉度等内容）进行独立评审并在相应档次内打分，服务方案内容未达到一档要求的，不得分：</w:t>
            </w:r>
          </w:p>
          <w:p w14:paraId="65783EC0">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一档：项目执行组织措施、项目执行保障措施详细，方案资料齐全、完整，实施组织方案可行，得5分。</w:t>
            </w:r>
          </w:p>
          <w:p w14:paraId="510C3B18">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二档：项目执行组织措施、项目执行保障措施详细可行，针对本项目情况投入的船员相关经验丰富；熟悉项目流程及业务，方案资料齐全、完整，实施组织方案良好；服务承诺的内容周全，有一定可行性，有相应的保障措施等，得10分。</w:t>
            </w:r>
          </w:p>
          <w:p w14:paraId="5D43DE69">
            <w:pPr>
              <w:widowControl/>
              <w:spacing w:line="276" w:lineRule="auto"/>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三档：项目执行组织措施、项目执行保障措施详细可行，针对本项目情况投入的船员相关经验丰富；熟悉项目流程及业务，方案资料齐全、完整，实施组织方案优秀，实施安全保证体系健全、科学合理的；服务承诺的内容周全，有明确的服务时效承诺，服务承诺的内容能为采购人考虑周全，可行性高，有较为可行的服务保障措施，得15分。</w:t>
            </w:r>
          </w:p>
        </w:tc>
        <w:tc>
          <w:tcPr>
            <w:tcW w:w="427" w:type="dxa"/>
            <w:vAlign w:val="center"/>
          </w:tcPr>
          <w:p w14:paraId="0FB8420E">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15</w:t>
            </w:r>
          </w:p>
        </w:tc>
      </w:tr>
      <w:tr w14:paraId="5CCE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Merge w:val="continue"/>
            <w:vAlign w:val="center"/>
          </w:tcPr>
          <w:p w14:paraId="431032E1">
            <w:pPr>
              <w:spacing w:line="276" w:lineRule="auto"/>
              <w:jc w:val="center"/>
              <w:rPr>
                <w:rFonts w:hint="eastAsia" w:ascii="宋体" w:hAnsi="宋体" w:cs="宋体"/>
                <w:color w:val="auto"/>
                <w:szCs w:val="21"/>
                <w:highlight w:val="none"/>
              </w:rPr>
            </w:pPr>
          </w:p>
        </w:tc>
        <w:tc>
          <w:tcPr>
            <w:tcW w:w="796" w:type="dxa"/>
            <w:vMerge w:val="continue"/>
            <w:vAlign w:val="center"/>
          </w:tcPr>
          <w:p w14:paraId="5F7CA7F2">
            <w:pPr>
              <w:spacing w:line="276" w:lineRule="auto"/>
              <w:jc w:val="center"/>
              <w:rPr>
                <w:rFonts w:hint="eastAsia" w:ascii="宋体" w:hAnsi="宋体" w:cs="宋体"/>
                <w:color w:val="auto"/>
                <w:szCs w:val="21"/>
                <w:highlight w:val="none"/>
              </w:rPr>
            </w:pPr>
          </w:p>
        </w:tc>
        <w:tc>
          <w:tcPr>
            <w:tcW w:w="797" w:type="dxa"/>
            <w:vAlign w:val="center"/>
          </w:tcPr>
          <w:p w14:paraId="4C43D052">
            <w:pPr>
              <w:widowControl/>
              <w:spacing w:line="276" w:lineRule="auto"/>
              <w:jc w:val="center"/>
              <w:textAlignment w:val="center"/>
              <w:rPr>
                <w:rFonts w:hint="eastAsia" w:ascii="宋体" w:hAnsi="宋体" w:cs="宋体"/>
                <w:color w:val="auto"/>
                <w:szCs w:val="21"/>
                <w:highlight w:val="none"/>
              </w:rPr>
            </w:pPr>
            <w:r>
              <w:rPr>
                <w:rFonts w:ascii="宋体" w:hAnsi="宋体" w:cs="宋体"/>
                <w:color w:val="auto"/>
                <w:kern w:val="0"/>
                <w:szCs w:val="21"/>
                <w:highlight w:val="none"/>
                <w:lang w:bidi="ar"/>
              </w:rPr>
              <w:t>船舶服务保证措施分</w:t>
            </w:r>
          </w:p>
        </w:tc>
        <w:tc>
          <w:tcPr>
            <w:tcW w:w="7052" w:type="dxa"/>
            <w:vAlign w:val="center"/>
          </w:tcPr>
          <w:p w14:paraId="609BB8B9">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根据投标人提供的船舶服务保证措施（包括项目管理制度、管理机构及相应岗位责任划分及保密措施等内容）进行独立评审并在相应档次内打分，未提供船舶服务保证措施或提供的内容未达到一档要求的，不得分：</w:t>
            </w:r>
          </w:p>
          <w:p w14:paraId="510A705E">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一档：具备管理制度、岗位责任、信息保密措施，但不够完善，得2分。</w:t>
            </w:r>
          </w:p>
          <w:p w14:paraId="188593DA">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二档：管理制度基本健全、岗位责任划分基本明确、信息保密措施基本可行，得6分。</w:t>
            </w:r>
          </w:p>
          <w:p w14:paraId="4410F13B">
            <w:pPr>
              <w:widowControl/>
              <w:spacing w:line="276" w:lineRule="auto"/>
              <w:textAlignment w:val="center"/>
              <w:rPr>
                <w:rFonts w:hint="eastAsia" w:ascii="宋体" w:hAnsi="宋体" w:cs="宋体"/>
                <w:color w:val="auto"/>
                <w:szCs w:val="21"/>
                <w:highlight w:val="none"/>
              </w:rPr>
            </w:pPr>
            <w:r>
              <w:rPr>
                <w:rFonts w:hint="eastAsia" w:ascii="宋体" w:hAnsi="宋体" w:cs="宋体"/>
                <w:color w:val="auto"/>
                <w:szCs w:val="21"/>
                <w:highlight w:val="none"/>
              </w:rPr>
              <w:t>三档：管理制度基本完善、岗位责任划分比较清晰明确、信息保密措施比较可行，得10分。</w:t>
            </w:r>
          </w:p>
          <w:p w14:paraId="590342B1">
            <w:pPr>
              <w:widowControl/>
              <w:spacing w:line="276" w:lineRule="auto"/>
              <w:textAlignment w:val="center"/>
              <w:rPr>
                <w:rFonts w:hint="eastAsia" w:ascii="宋体" w:hAnsi="宋体" w:cs="宋体"/>
                <w:color w:val="auto"/>
                <w:szCs w:val="21"/>
                <w:highlight w:val="none"/>
              </w:rPr>
            </w:pPr>
            <w:r>
              <w:rPr>
                <w:rFonts w:hint="eastAsia" w:ascii="宋体" w:hAnsi="宋体" w:cs="宋体"/>
                <w:color w:val="auto"/>
                <w:szCs w:val="21"/>
                <w:highlight w:val="none"/>
              </w:rPr>
              <w:t>四档：管理制度健全、岗位责任划分清晰明确、信息保密措施得当，得15分。</w:t>
            </w:r>
          </w:p>
        </w:tc>
        <w:tc>
          <w:tcPr>
            <w:tcW w:w="427" w:type="dxa"/>
            <w:vAlign w:val="center"/>
          </w:tcPr>
          <w:p w14:paraId="6D226D78">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15</w:t>
            </w:r>
          </w:p>
        </w:tc>
      </w:tr>
      <w:tr w14:paraId="0521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jc w:val="center"/>
        </w:trPr>
        <w:tc>
          <w:tcPr>
            <w:tcW w:w="556" w:type="dxa"/>
            <w:vMerge w:val="continue"/>
            <w:vAlign w:val="center"/>
          </w:tcPr>
          <w:p w14:paraId="7A2C9EED">
            <w:pPr>
              <w:spacing w:line="276" w:lineRule="auto"/>
              <w:jc w:val="center"/>
              <w:rPr>
                <w:rFonts w:hint="eastAsia" w:ascii="宋体" w:hAnsi="宋体" w:cs="宋体"/>
                <w:color w:val="auto"/>
                <w:szCs w:val="21"/>
                <w:highlight w:val="none"/>
              </w:rPr>
            </w:pPr>
          </w:p>
        </w:tc>
        <w:tc>
          <w:tcPr>
            <w:tcW w:w="796" w:type="dxa"/>
            <w:vMerge w:val="continue"/>
            <w:vAlign w:val="center"/>
          </w:tcPr>
          <w:p w14:paraId="1CD9F29F">
            <w:pPr>
              <w:spacing w:line="276" w:lineRule="auto"/>
              <w:jc w:val="center"/>
              <w:rPr>
                <w:rFonts w:hint="eastAsia" w:ascii="宋体" w:hAnsi="宋体" w:cs="宋体"/>
                <w:color w:val="auto"/>
                <w:szCs w:val="21"/>
                <w:highlight w:val="none"/>
              </w:rPr>
            </w:pPr>
          </w:p>
        </w:tc>
        <w:tc>
          <w:tcPr>
            <w:tcW w:w="797" w:type="dxa"/>
            <w:vAlign w:val="center"/>
          </w:tcPr>
          <w:p w14:paraId="703D6F70">
            <w:pPr>
              <w:widowControl/>
              <w:spacing w:line="276" w:lineRule="auto"/>
              <w:jc w:val="center"/>
              <w:textAlignment w:val="center"/>
              <w:rPr>
                <w:rFonts w:hint="eastAsia" w:ascii="宋体" w:hAnsi="宋体" w:cs="宋体"/>
                <w:color w:val="auto"/>
                <w:szCs w:val="21"/>
                <w:highlight w:val="none"/>
              </w:rPr>
            </w:pPr>
            <w:r>
              <w:rPr>
                <w:rFonts w:ascii="宋体" w:hAnsi="宋体" w:cs="宋体"/>
                <w:color w:val="auto"/>
                <w:kern w:val="0"/>
                <w:szCs w:val="21"/>
                <w:highlight w:val="none"/>
                <w:lang w:bidi="ar"/>
              </w:rPr>
              <w:t>船舶的适用度分</w:t>
            </w:r>
          </w:p>
        </w:tc>
        <w:tc>
          <w:tcPr>
            <w:tcW w:w="7052" w:type="dxa"/>
            <w:vAlign w:val="center"/>
          </w:tcPr>
          <w:p w14:paraId="7FE905EF">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根据投标人拟投入船舶的自持力、续航力、稳定性、抗浪性、操纵性、供电能力、节油能力等指标独立评审并在相应档次内打分，未提供船舶的适用度或提供的内容未达到一档要求的，不得分：</w:t>
            </w:r>
          </w:p>
          <w:p w14:paraId="2995918B">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一档：船舶功能基本满足使用需求，性能基本可靠，操作基本正常，得5分。</w:t>
            </w:r>
          </w:p>
          <w:p w14:paraId="69FD54BD">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二档：船舶功能基本满足使用需求，船舶的自持力、续航力、稳定性、抗浪性、操纵性、供电能力、节油能力等总体性能较优，可进行正常工作操作，得10分。</w:t>
            </w:r>
          </w:p>
          <w:p w14:paraId="36A8CF4C">
            <w:pPr>
              <w:widowControl/>
              <w:spacing w:line="276" w:lineRule="auto"/>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三档：船舶功能完全满足使用需求，船舶的自持力、续航力、稳定性、抗浪性、操纵性、供电能力、节油能力等总体性能优，船舶的安全防护设施和供电设施等设施设备满足工作使用要求，可操作性强，得15分。</w:t>
            </w:r>
          </w:p>
        </w:tc>
        <w:tc>
          <w:tcPr>
            <w:tcW w:w="427" w:type="dxa"/>
            <w:vAlign w:val="center"/>
          </w:tcPr>
          <w:p w14:paraId="05255B06">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15</w:t>
            </w:r>
          </w:p>
        </w:tc>
      </w:tr>
      <w:tr w14:paraId="2A42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6" w:type="dxa"/>
            <w:vMerge w:val="continue"/>
            <w:vAlign w:val="center"/>
          </w:tcPr>
          <w:p w14:paraId="7661716F">
            <w:pPr>
              <w:spacing w:line="276" w:lineRule="auto"/>
              <w:jc w:val="center"/>
              <w:rPr>
                <w:rFonts w:hint="eastAsia" w:ascii="宋体" w:hAnsi="宋体" w:cs="宋体"/>
                <w:color w:val="auto"/>
                <w:szCs w:val="21"/>
                <w:highlight w:val="none"/>
              </w:rPr>
            </w:pPr>
          </w:p>
        </w:tc>
        <w:tc>
          <w:tcPr>
            <w:tcW w:w="796" w:type="dxa"/>
            <w:vMerge w:val="continue"/>
            <w:vAlign w:val="center"/>
          </w:tcPr>
          <w:p w14:paraId="1349ABDC">
            <w:pPr>
              <w:spacing w:line="276" w:lineRule="auto"/>
              <w:jc w:val="center"/>
              <w:rPr>
                <w:rFonts w:hint="eastAsia" w:ascii="宋体" w:hAnsi="宋体" w:cs="宋体"/>
                <w:color w:val="auto"/>
                <w:szCs w:val="21"/>
                <w:highlight w:val="none"/>
              </w:rPr>
            </w:pPr>
          </w:p>
        </w:tc>
        <w:tc>
          <w:tcPr>
            <w:tcW w:w="797" w:type="dxa"/>
            <w:vAlign w:val="center"/>
          </w:tcPr>
          <w:p w14:paraId="0C52C635">
            <w:pPr>
              <w:widowControl/>
              <w:spacing w:line="276" w:lineRule="auto"/>
              <w:jc w:val="center"/>
              <w:textAlignment w:val="center"/>
              <w:rPr>
                <w:rFonts w:hint="eastAsia" w:ascii="宋体" w:hAnsi="宋体" w:cs="宋体"/>
                <w:color w:val="auto"/>
                <w:szCs w:val="21"/>
                <w:highlight w:val="none"/>
              </w:rPr>
            </w:pPr>
            <w:r>
              <w:rPr>
                <w:rFonts w:ascii="宋体" w:hAnsi="宋体" w:cs="宋体"/>
                <w:color w:val="auto"/>
                <w:kern w:val="0"/>
                <w:szCs w:val="21"/>
                <w:highlight w:val="none"/>
                <w:lang w:bidi="ar"/>
              </w:rPr>
              <w:t>应急处理方案</w:t>
            </w:r>
          </w:p>
        </w:tc>
        <w:tc>
          <w:tcPr>
            <w:tcW w:w="7052" w:type="dxa"/>
            <w:vAlign w:val="center"/>
          </w:tcPr>
          <w:p w14:paraId="5E8A83F8">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根据投标人提供的应急处理方案进行打分，重点评价应急处理方案的响应流程和措施等应对工作的方式方法，是否明确、合理、有可操作性等指标独立评审并在相应档次内打分，未提供应急处理方案或提供的内容未达到一档要求的，不得分：</w:t>
            </w:r>
          </w:p>
          <w:p w14:paraId="02F59B16">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一档：应急处理方案简单罗列内容，内容基本明确，但缺乏一定针对性，措施基本全面的，得5分。</w:t>
            </w:r>
          </w:p>
          <w:p w14:paraId="234B543D">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二档：应急处理方案罗列内容，内容比较明确，针对性较强，措施比较全面的，得10分。</w:t>
            </w:r>
          </w:p>
          <w:p w14:paraId="1BEB7950">
            <w:pPr>
              <w:widowControl/>
              <w:spacing w:line="276" w:lineRule="auto"/>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三档：应急处理方案明确，针对性强，措施全面、完善的，对于海上作业可能出现的紧急情况均逐条列出并给出详细可行的处理流程及处理措施，得15分。</w:t>
            </w:r>
          </w:p>
        </w:tc>
        <w:tc>
          <w:tcPr>
            <w:tcW w:w="427" w:type="dxa"/>
            <w:vAlign w:val="center"/>
          </w:tcPr>
          <w:p w14:paraId="3399B1AD">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15</w:t>
            </w:r>
          </w:p>
        </w:tc>
      </w:tr>
      <w:tr w14:paraId="331B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556" w:type="dxa"/>
            <w:vAlign w:val="center"/>
          </w:tcPr>
          <w:p w14:paraId="45336A83">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3</w:t>
            </w:r>
          </w:p>
        </w:tc>
        <w:tc>
          <w:tcPr>
            <w:tcW w:w="796" w:type="dxa"/>
            <w:vAlign w:val="center"/>
          </w:tcPr>
          <w:p w14:paraId="608A0824">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商务分（满分10分）</w:t>
            </w:r>
          </w:p>
        </w:tc>
        <w:tc>
          <w:tcPr>
            <w:tcW w:w="797" w:type="dxa"/>
            <w:vAlign w:val="center"/>
          </w:tcPr>
          <w:p w14:paraId="2A674424">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业绩</w:t>
            </w:r>
          </w:p>
        </w:tc>
        <w:tc>
          <w:tcPr>
            <w:tcW w:w="7052" w:type="dxa"/>
            <w:vAlign w:val="center"/>
          </w:tcPr>
          <w:p w14:paraId="56ADE49B">
            <w:pPr>
              <w:widowControl/>
              <w:spacing w:line="276" w:lineRule="auto"/>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投标人2023年1月1日至今（以合同签订日期为准）具备同类项目业绩的，每项得2分，满分10分。</w:t>
            </w:r>
          </w:p>
          <w:p w14:paraId="6827EBBE">
            <w:pPr>
              <w:widowControl/>
              <w:spacing w:line="276" w:lineRule="auto"/>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注：提供合同关键页复印件（包括但不限于合同名称页、合同主要内容页、合同签订日期页、合同双方签字盖章页等）并加盖投标人公章，否则不得分。合同体现签订日期的，以合同签订日期为准；合同未体现签订日期的，但是合同履约期限能明显判断在2023年1月1日或之后开始实施的，该合同应予以认可。若合同无法体现具体内容的，可增加客户方提供的证明材料作为佐证材料，否则不得分。</w:t>
            </w:r>
          </w:p>
        </w:tc>
        <w:tc>
          <w:tcPr>
            <w:tcW w:w="427" w:type="dxa"/>
            <w:vAlign w:val="center"/>
          </w:tcPr>
          <w:p w14:paraId="5E8BC544">
            <w:pPr>
              <w:widowControl/>
              <w:spacing w:line="276" w:lineRule="auto"/>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10</w:t>
            </w:r>
          </w:p>
        </w:tc>
      </w:tr>
      <w:tr w14:paraId="1D38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gridSpan w:val="5"/>
            <w:vAlign w:val="center"/>
          </w:tcPr>
          <w:p w14:paraId="49F37E13">
            <w:pPr>
              <w:widowControl/>
              <w:spacing w:line="276" w:lineRule="auto"/>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总得分＝价格分+技术分+商务分</w:t>
            </w:r>
          </w:p>
        </w:tc>
      </w:tr>
    </w:tbl>
    <w:p w14:paraId="1BCA53B2">
      <w:pPr>
        <w:spacing w:line="360" w:lineRule="auto"/>
        <w:ind w:left="420" w:leftChars="200"/>
        <w:rPr>
          <w:rFonts w:hint="eastAsia" w:ascii="宋体" w:hAnsi="宋体" w:cs="宋体"/>
          <w:color w:val="auto"/>
          <w:szCs w:val="21"/>
          <w:highlight w:val="none"/>
        </w:rPr>
      </w:pPr>
    </w:p>
    <w:p w14:paraId="3BF99B5F">
      <w:pPr>
        <w:pStyle w:val="4"/>
        <w:keepNext w:val="0"/>
        <w:keepLines w:val="0"/>
        <w:spacing w:line="240" w:lineRule="auto"/>
        <w:jc w:val="left"/>
        <w:rPr>
          <w:rFonts w:hint="eastAsia" w:ascii="宋体" w:hAnsi="宋体" w:cs="宋体"/>
          <w:color w:val="auto"/>
          <w:highlight w:val="none"/>
        </w:rPr>
      </w:pPr>
      <w:r>
        <w:rPr>
          <w:rFonts w:hint="eastAsia" w:ascii="宋体" w:hAnsi="宋体" w:cs="宋体"/>
          <w:color w:val="auto"/>
          <w:highlight w:val="none"/>
        </w:rPr>
        <w:t>四、中标候选人推荐原则</w:t>
      </w:r>
    </w:p>
    <w:p w14:paraId="71CA5ED4">
      <w:pPr>
        <w:spacing w:line="360" w:lineRule="auto"/>
        <w:ind w:firstLine="420" w:firstLineChars="200"/>
        <w:rPr>
          <w:color w:val="auto"/>
          <w:szCs w:val="21"/>
          <w:highlight w:val="none"/>
        </w:rPr>
      </w:pPr>
      <w:r>
        <w:rPr>
          <w:rFonts w:hint="eastAsia"/>
          <w:color w:val="auto"/>
          <w:szCs w:val="21"/>
          <w:highlight w:val="none"/>
        </w:rPr>
        <w:t>评标委员会将根据总得分由高到低排列次序并推荐3名中标候选人。得分相同的，以投标报价由低到高顺序排列。得分相同且投标报价相同的并列，投标文件满足招标文件全部实质性要求，且按照政策分得分高的优先、技术评分高的优先、商务评分高的优先、项目质保期长优先、交货期短优先、故障响应时间短优先的顺序确定投标人为中标候选人的排名。</w:t>
      </w:r>
    </w:p>
    <w:p w14:paraId="7BA4EA9D">
      <w:pPr>
        <w:pStyle w:val="3"/>
        <w:keepNext w:val="0"/>
        <w:keepLines w:val="0"/>
        <w:spacing w:line="240" w:lineRule="auto"/>
        <w:jc w:val="center"/>
        <w:rPr>
          <w:rFonts w:ascii="宋体" w:hAnsi="Courier New"/>
          <w:bCs w:val="0"/>
          <w:color w:val="auto"/>
          <w:sz w:val="20"/>
          <w:szCs w:val="21"/>
          <w:highlight w:val="none"/>
        </w:rPr>
      </w:pPr>
      <w:bookmarkStart w:id="168" w:name="_Toc19686833"/>
      <w:r>
        <w:rPr>
          <w:rFonts w:hint="eastAsia"/>
          <w:color w:val="auto"/>
          <w:highlight w:val="none"/>
        </w:rPr>
        <w:br w:type="page"/>
      </w:r>
      <w:r>
        <w:rPr>
          <w:rFonts w:hint="eastAsia"/>
          <w:color w:val="auto"/>
          <w:highlight w:val="none"/>
        </w:rPr>
        <w:t>第五章  拟签订的合同文本</w:t>
      </w:r>
      <w:bookmarkEnd w:id="168"/>
      <w:bookmarkStart w:id="169" w:name="_Hlk55381736"/>
    </w:p>
    <w:p w14:paraId="00C99621">
      <w:pPr>
        <w:jc w:val="center"/>
        <w:rPr>
          <w:rFonts w:hint="eastAsia" w:ascii="黑体" w:hAnsi="黑体" w:eastAsia="黑体"/>
          <w:color w:val="auto"/>
          <w:sz w:val="32"/>
          <w:szCs w:val="32"/>
          <w:highlight w:val="none"/>
        </w:rPr>
      </w:pPr>
      <w:r>
        <w:rPr>
          <w:b/>
          <w:bCs/>
          <w:color w:val="auto"/>
          <w:kern w:val="44"/>
          <w:sz w:val="44"/>
          <w:szCs w:val="44"/>
          <w:highlight w:val="none"/>
        </w:rPr>
        <w:t>合同文本</w:t>
      </w:r>
    </w:p>
    <w:p w14:paraId="6C27EA05">
      <w:pPr>
        <w:spacing w:line="520" w:lineRule="exact"/>
        <w:rPr>
          <w:rFonts w:hint="eastAsia" w:ascii="宋体" w:hAnsi="宋体" w:cs="Courier New"/>
          <w:b/>
          <w:color w:val="auto"/>
          <w:sz w:val="32"/>
          <w:szCs w:val="32"/>
          <w:highlight w:val="none"/>
        </w:rPr>
      </w:pPr>
    </w:p>
    <w:p w14:paraId="5249B488">
      <w:pPr>
        <w:spacing w:line="360" w:lineRule="auto"/>
        <w:ind w:right="800"/>
        <w:rPr>
          <w:rFonts w:hint="eastAsia" w:ascii="宋体" w:hAnsi="宋体" w:cs="宋体"/>
          <w:bCs/>
          <w:color w:val="auto"/>
          <w:szCs w:val="21"/>
          <w:highlight w:val="none"/>
          <w:u w:val="single"/>
        </w:rPr>
      </w:pPr>
      <w:r>
        <w:rPr>
          <w:rFonts w:ascii="宋体" w:hAnsi="宋体" w:cs="宋体"/>
          <w:color w:val="auto"/>
          <w:szCs w:val="21"/>
          <w:highlight w:val="none"/>
        </w:rPr>
        <w:t>采购计划号：</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ascii="宋体" w:hAnsi="宋体" w:cs="宋体"/>
          <w:bCs/>
          <w:color w:val="auto"/>
          <w:szCs w:val="21"/>
          <w:highlight w:val="none"/>
        </w:rPr>
        <w:t>合同编号：</w:t>
      </w:r>
      <w:r>
        <w:rPr>
          <w:rFonts w:ascii="宋体" w:hAnsi="宋体" w:cs="宋体"/>
          <w:color w:val="auto"/>
          <w:szCs w:val="21"/>
          <w:highlight w:val="none"/>
          <w:u w:val="single"/>
        </w:rPr>
        <w:t xml:space="preserve">                  </w:t>
      </w:r>
    </w:p>
    <w:p w14:paraId="709FA2D7">
      <w:pPr>
        <w:spacing w:line="360" w:lineRule="auto"/>
        <w:rPr>
          <w:rFonts w:hint="eastAsia" w:ascii="宋体" w:hAnsi="宋体" w:cs="宋体"/>
          <w:color w:val="auto"/>
          <w:szCs w:val="21"/>
          <w:highlight w:val="none"/>
          <w:u w:val="single"/>
        </w:rPr>
      </w:pPr>
      <w:r>
        <w:rPr>
          <w:rFonts w:ascii="宋体" w:hAnsi="宋体" w:cs="宋体"/>
          <w:color w:val="auto"/>
          <w:szCs w:val="21"/>
          <w:highlight w:val="none"/>
        </w:rPr>
        <w:t>采购人（甲方）：</w:t>
      </w:r>
      <w:r>
        <w:rPr>
          <w:rFonts w:ascii="宋体" w:hAnsi="宋体" w:cs="宋体"/>
          <w:color w:val="auto"/>
          <w:szCs w:val="21"/>
          <w:highlight w:val="none"/>
          <w:u w:val="single"/>
        </w:rPr>
        <w:t xml:space="preserve">                     </w:t>
      </w:r>
      <w:r>
        <w:rPr>
          <w:rFonts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p>
    <w:p w14:paraId="3736FF5A">
      <w:pPr>
        <w:spacing w:line="360" w:lineRule="auto"/>
        <w:rPr>
          <w:rFonts w:hint="eastAsia" w:ascii="宋体" w:hAnsi="宋体" w:cs="宋体"/>
          <w:color w:val="auto"/>
          <w:szCs w:val="21"/>
          <w:highlight w:val="none"/>
          <w:u w:val="single"/>
        </w:rPr>
      </w:pPr>
      <w:r>
        <w:rPr>
          <w:rFonts w:ascii="宋体" w:hAnsi="宋体" w:cs="宋体"/>
          <w:color w:val="auto"/>
          <w:szCs w:val="21"/>
          <w:highlight w:val="none"/>
        </w:rPr>
        <w:t>项目名称：</w:t>
      </w:r>
      <w:r>
        <w:rPr>
          <w:rFonts w:ascii="宋体" w:hAnsi="宋体" w:cs="宋体"/>
          <w:color w:val="auto"/>
          <w:szCs w:val="21"/>
          <w:highlight w:val="none"/>
          <w:u w:val="single"/>
        </w:rPr>
        <w:t xml:space="preserve">                           </w:t>
      </w:r>
      <w:r>
        <w:rPr>
          <w:rFonts w:ascii="宋体" w:hAnsi="宋体" w:cs="宋体"/>
          <w:color w:val="auto"/>
          <w:szCs w:val="21"/>
          <w:highlight w:val="none"/>
        </w:rPr>
        <w:t xml:space="preserve">   项目编号：</w:t>
      </w:r>
      <w:r>
        <w:rPr>
          <w:rFonts w:ascii="宋体" w:hAnsi="宋体" w:cs="宋体"/>
          <w:color w:val="auto"/>
          <w:szCs w:val="21"/>
          <w:highlight w:val="none"/>
          <w:u w:val="single"/>
        </w:rPr>
        <w:t xml:space="preserve">                          </w:t>
      </w:r>
    </w:p>
    <w:p w14:paraId="53EEF33D">
      <w:pPr>
        <w:spacing w:line="360" w:lineRule="auto"/>
        <w:rPr>
          <w:rFonts w:hint="eastAsia" w:ascii="宋体" w:hAnsi="宋体" w:cs="宋体"/>
          <w:color w:val="auto"/>
          <w:szCs w:val="21"/>
          <w:highlight w:val="none"/>
          <w:u w:val="single"/>
        </w:rPr>
      </w:pPr>
      <w:r>
        <w:rPr>
          <w:rFonts w:ascii="宋体" w:hAnsi="宋体" w:cs="宋体"/>
          <w:color w:val="auto"/>
          <w:szCs w:val="21"/>
          <w:highlight w:val="none"/>
        </w:rPr>
        <w:t>签订地点：</w:t>
      </w:r>
      <w:r>
        <w:rPr>
          <w:rFonts w:ascii="宋体" w:hAnsi="宋体" w:cs="宋体"/>
          <w:color w:val="auto"/>
          <w:szCs w:val="21"/>
          <w:highlight w:val="none"/>
          <w:u w:val="single"/>
        </w:rPr>
        <w:t xml:space="preserve">                           </w:t>
      </w:r>
      <w:r>
        <w:rPr>
          <w:rFonts w:ascii="宋体" w:hAnsi="宋体" w:cs="宋体"/>
          <w:color w:val="auto"/>
          <w:szCs w:val="21"/>
          <w:highlight w:val="none"/>
        </w:rPr>
        <w:t xml:space="preserve">   签订时间：</w:t>
      </w:r>
      <w:r>
        <w:rPr>
          <w:rFonts w:ascii="宋体" w:hAnsi="宋体" w:cs="宋体"/>
          <w:color w:val="auto"/>
          <w:szCs w:val="21"/>
          <w:highlight w:val="none"/>
          <w:u w:val="single"/>
        </w:rPr>
        <w:t xml:space="preserve">                        </w:t>
      </w:r>
    </w:p>
    <w:p w14:paraId="10F6594F">
      <w:pPr>
        <w:spacing w:line="360" w:lineRule="auto"/>
        <w:rPr>
          <w:rFonts w:hint="eastAsia" w:ascii="宋体" w:hAnsi="宋体" w:cs="宋体"/>
          <w:color w:val="auto"/>
          <w:szCs w:val="21"/>
          <w:highlight w:val="none"/>
        </w:rPr>
      </w:pPr>
      <w:r>
        <w:rPr>
          <w:rFonts w:ascii="宋体" w:hAnsi="宋体" w:cs="宋体"/>
          <w:color w:val="auto"/>
          <w:szCs w:val="21"/>
          <w:highlight w:val="none"/>
        </w:rPr>
        <w:t>本合同为中小企业预留合同：</w:t>
      </w:r>
      <w:r>
        <w:rPr>
          <w:rFonts w:ascii="宋体" w:hAnsi="宋体" w:cs="宋体"/>
          <w:color w:val="auto"/>
          <w:szCs w:val="21"/>
          <w:highlight w:val="none"/>
          <w:u w:val="single"/>
        </w:rPr>
        <w:t>（是/否）</w:t>
      </w:r>
      <w:r>
        <w:rPr>
          <w:rFonts w:ascii="宋体" w:hAnsi="宋体" w:cs="宋体"/>
          <w:color w:val="auto"/>
          <w:szCs w:val="21"/>
          <w:highlight w:val="none"/>
        </w:rPr>
        <w:t>。</w:t>
      </w:r>
    </w:p>
    <w:p w14:paraId="55CCDFA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根据《中华人民共和国政府采购法》、《中华人民共和国民法典》等法律、法规规定，按照</w:t>
      </w:r>
      <w:r>
        <w:rPr>
          <w:rFonts w:ascii="宋体" w:hAnsi="宋体"/>
          <w:color w:val="auto"/>
          <w:szCs w:val="21"/>
          <w:highlight w:val="none"/>
        </w:rPr>
        <w:t>招标文件规定条款和乙方投标文件及其承诺，甲乙双方签订本合同。</w:t>
      </w:r>
    </w:p>
    <w:p w14:paraId="2FABD23F">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第一条　合同标的</w:t>
      </w:r>
    </w:p>
    <w:p w14:paraId="6DAD7B8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1、项目一览表</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778"/>
        <w:gridCol w:w="658"/>
        <w:gridCol w:w="3434"/>
        <w:gridCol w:w="1019"/>
        <w:gridCol w:w="1346"/>
        <w:gridCol w:w="1675"/>
      </w:tblGrid>
      <w:tr w14:paraId="21D9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61" w:type="pct"/>
            <w:noWrap/>
            <w:vAlign w:val="center"/>
          </w:tcPr>
          <w:p w14:paraId="7646A9CC">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序号</w:t>
            </w:r>
          </w:p>
        </w:tc>
        <w:tc>
          <w:tcPr>
            <w:tcW w:w="414" w:type="pct"/>
            <w:noWrap/>
            <w:vAlign w:val="center"/>
          </w:tcPr>
          <w:p w14:paraId="0FECEED9">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标的名称</w:t>
            </w:r>
          </w:p>
        </w:tc>
        <w:tc>
          <w:tcPr>
            <w:tcW w:w="2176" w:type="pct"/>
            <w:gridSpan w:val="2"/>
            <w:noWrap/>
            <w:vAlign w:val="center"/>
          </w:tcPr>
          <w:p w14:paraId="0F93B880">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船舶总吨及单价最高限价</w:t>
            </w:r>
          </w:p>
        </w:tc>
        <w:tc>
          <w:tcPr>
            <w:tcW w:w="542" w:type="pct"/>
            <w:vAlign w:val="center"/>
          </w:tcPr>
          <w:p w14:paraId="3119CCC9">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数量及单位</w:t>
            </w:r>
          </w:p>
        </w:tc>
        <w:tc>
          <w:tcPr>
            <w:tcW w:w="716" w:type="pct"/>
            <w:vAlign w:val="center"/>
          </w:tcPr>
          <w:p w14:paraId="45D1FD08">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折扣率报价</w:t>
            </w:r>
          </w:p>
        </w:tc>
        <w:tc>
          <w:tcPr>
            <w:tcW w:w="888" w:type="pct"/>
            <w:noWrap/>
            <w:vAlign w:val="center"/>
          </w:tcPr>
          <w:p w14:paraId="23E4F6B9">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结算单价</w:t>
            </w:r>
          </w:p>
        </w:tc>
      </w:tr>
      <w:tr w14:paraId="3AFE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3C1BE36B">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w:t>
            </w:r>
          </w:p>
        </w:tc>
        <w:tc>
          <w:tcPr>
            <w:tcW w:w="414" w:type="pct"/>
            <w:vMerge w:val="restart"/>
            <w:noWrap/>
            <w:vAlign w:val="center"/>
          </w:tcPr>
          <w:p w14:paraId="14F052F8">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船舶租赁服务</w:t>
            </w:r>
          </w:p>
        </w:tc>
        <w:tc>
          <w:tcPr>
            <w:tcW w:w="350" w:type="pct"/>
            <w:vMerge w:val="restart"/>
            <w:noWrap/>
            <w:vAlign w:val="center"/>
          </w:tcPr>
          <w:p w14:paraId="62ABB86D">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远海调查船舶</w:t>
            </w:r>
          </w:p>
        </w:tc>
        <w:tc>
          <w:tcPr>
            <w:tcW w:w="1825" w:type="pct"/>
            <w:noWrap/>
            <w:vAlign w:val="center"/>
          </w:tcPr>
          <w:p w14:paraId="70CF209C">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船舶总吨大于300小于等于700，单艘船舶租赁单价不超过2.5万元/天</w:t>
            </w:r>
          </w:p>
        </w:tc>
        <w:tc>
          <w:tcPr>
            <w:tcW w:w="542" w:type="pct"/>
            <w:noWrap/>
            <w:vAlign w:val="center"/>
          </w:tcPr>
          <w:p w14:paraId="5522F9E8">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restart"/>
            <w:noWrap/>
            <w:vAlign w:val="center"/>
          </w:tcPr>
          <w:p w14:paraId="39DA0F3A">
            <w:pPr>
              <w:widowControl/>
              <w:jc w:val="center"/>
              <w:rPr>
                <w:rFonts w:hint="eastAsia" w:ascii="宋体" w:hAnsi="宋体" w:cs="Arial"/>
                <w:color w:val="auto"/>
                <w:kern w:val="0"/>
                <w:szCs w:val="21"/>
                <w:highlight w:val="none"/>
              </w:rPr>
            </w:pPr>
          </w:p>
        </w:tc>
        <w:tc>
          <w:tcPr>
            <w:tcW w:w="888" w:type="pct"/>
            <w:vMerge w:val="restart"/>
            <w:noWrap/>
            <w:vAlign w:val="center"/>
          </w:tcPr>
          <w:p w14:paraId="7D86E4A8">
            <w:pPr>
              <w:widowControl/>
              <w:kinsoku w:val="0"/>
              <w:autoSpaceDE w:val="0"/>
              <w:autoSpaceDN w:val="0"/>
              <w:adjustRightInd w:val="0"/>
              <w:snapToGrid w:val="0"/>
              <w:spacing w:line="400" w:lineRule="exact"/>
              <w:jc w:val="left"/>
              <w:textAlignment w:val="baseline"/>
              <w:rPr>
                <w:rFonts w:hint="eastAsia" w:ascii="宋体" w:hAnsi="宋体" w:cs="Arial"/>
                <w:color w:val="auto"/>
                <w:kern w:val="0"/>
                <w:szCs w:val="21"/>
                <w:highlight w:val="none"/>
              </w:rPr>
            </w:pPr>
          </w:p>
        </w:tc>
      </w:tr>
      <w:tr w14:paraId="6F45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616C88BC">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2</w:t>
            </w:r>
          </w:p>
        </w:tc>
        <w:tc>
          <w:tcPr>
            <w:tcW w:w="414" w:type="pct"/>
            <w:vMerge w:val="continue"/>
            <w:vAlign w:val="center"/>
          </w:tcPr>
          <w:p w14:paraId="1BC684B1">
            <w:pPr>
              <w:widowControl/>
              <w:jc w:val="left"/>
              <w:rPr>
                <w:rFonts w:hint="eastAsia" w:ascii="宋体" w:hAnsi="宋体" w:cs="Arial"/>
                <w:color w:val="auto"/>
                <w:kern w:val="0"/>
                <w:szCs w:val="21"/>
                <w:highlight w:val="none"/>
              </w:rPr>
            </w:pPr>
          </w:p>
        </w:tc>
        <w:tc>
          <w:tcPr>
            <w:tcW w:w="350" w:type="pct"/>
            <w:vMerge w:val="continue"/>
            <w:vAlign w:val="center"/>
          </w:tcPr>
          <w:p w14:paraId="29DD3F76">
            <w:pPr>
              <w:widowControl/>
              <w:jc w:val="left"/>
              <w:rPr>
                <w:rFonts w:hint="eastAsia" w:ascii="宋体" w:hAnsi="宋体" w:cs="Arial"/>
                <w:color w:val="auto"/>
                <w:kern w:val="0"/>
                <w:szCs w:val="21"/>
                <w:highlight w:val="none"/>
              </w:rPr>
            </w:pPr>
          </w:p>
        </w:tc>
        <w:tc>
          <w:tcPr>
            <w:tcW w:w="1825" w:type="pct"/>
            <w:noWrap/>
            <w:vAlign w:val="center"/>
          </w:tcPr>
          <w:p w14:paraId="27D85E72">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船舶总吨大于700小于等于1000，单艘船舶租赁单价不超过4.9万元/天</w:t>
            </w:r>
          </w:p>
        </w:tc>
        <w:tc>
          <w:tcPr>
            <w:tcW w:w="542" w:type="pct"/>
            <w:noWrap/>
            <w:vAlign w:val="center"/>
          </w:tcPr>
          <w:p w14:paraId="32AC0751">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0CA18858">
            <w:pPr>
              <w:widowControl/>
              <w:jc w:val="center"/>
              <w:rPr>
                <w:rFonts w:hint="eastAsia" w:ascii="宋体" w:hAnsi="宋体" w:cs="Arial"/>
                <w:color w:val="auto"/>
                <w:kern w:val="0"/>
                <w:szCs w:val="21"/>
                <w:highlight w:val="none"/>
              </w:rPr>
            </w:pPr>
          </w:p>
        </w:tc>
        <w:tc>
          <w:tcPr>
            <w:tcW w:w="888" w:type="pct"/>
            <w:vMerge w:val="continue"/>
            <w:noWrap/>
            <w:vAlign w:val="center"/>
          </w:tcPr>
          <w:p w14:paraId="2BF84A3F">
            <w:pPr>
              <w:widowControl/>
              <w:jc w:val="center"/>
              <w:rPr>
                <w:rFonts w:hint="eastAsia" w:ascii="宋体" w:hAnsi="宋体" w:cs="Arial"/>
                <w:color w:val="auto"/>
                <w:kern w:val="0"/>
                <w:szCs w:val="21"/>
                <w:highlight w:val="none"/>
              </w:rPr>
            </w:pPr>
          </w:p>
        </w:tc>
      </w:tr>
      <w:tr w14:paraId="05E4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4B225521">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3</w:t>
            </w:r>
          </w:p>
        </w:tc>
        <w:tc>
          <w:tcPr>
            <w:tcW w:w="414" w:type="pct"/>
            <w:vMerge w:val="continue"/>
            <w:vAlign w:val="center"/>
          </w:tcPr>
          <w:p w14:paraId="7F28C1A7">
            <w:pPr>
              <w:widowControl/>
              <w:jc w:val="left"/>
              <w:rPr>
                <w:rFonts w:hint="eastAsia" w:ascii="宋体" w:hAnsi="宋体" w:cs="Arial"/>
                <w:color w:val="auto"/>
                <w:kern w:val="0"/>
                <w:szCs w:val="21"/>
                <w:highlight w:val="none"/>
              </w:rPr>
            </w:pPr>
          </w:p>
        </w:tc>
        <w:tc>
          <w:tcPr>
            <w:tcW w:w="350" w:type="pct"/>
            <w:vMerge w:val="restart"/>
            <w:noWrap/>
            <w:vAlign w:val="center"/>
          </w:tcPr>
          <w:p w14:paraId="599A2EBC">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近海调查船舶</w:t>
            </w:r>
          </w:p>
        </w:tc>
        <w:tc>
          <w:tcPr>
            <w:tcW w:w="1825" w:type="pct"/>
            <w:noWrap/>
            <w:vAlign w:val="center"/>
          </w:tcPr>
          <w:p w14:paraId="0AFFC0EF">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船舶总吨大于50小于等于100，单艘船舶租赁单价不超过1.0万元/天</w:t>
            </w:r>
          </w:p>
        </w:tc>
        <w:tc>
          <w:tcPr>
            <w:tcW w:w="542" w:type="pct"/>
            <w:noWrap/>
            <w:vAlign w:val="center"/>
          </w:tcPr>
          <w:p w14:paraId="1099541D">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653C945B">
            <w:pPr>
              <w:widowControl/>
              <w:jc w:val="center"/>
              <w:rPr>
                <w:rFonts w:hint="eastAsia" w:ascii="宋体" w:hAnsi="宋体" w:cs="Arial"/>
                <w:color w:val="auto"/>
                <w:kern w:val="0"/>
                <w:szCs w:val="21"/>
                <w:highlight w:val="none"/>
              </w:rPr>
            </w:pPr>
          </w:p>
        </w:tc>
        <w:tc>
          <w:tcPr>
            <w:tcW w:w="888" w:type="pct"/>
            <w:noWrap/>
            <w:vAlign w:val="center"/>
          </w:tcPr>
          <w:p w14:paraId="60144D42">
            <w:pPr>
              <w:widowControl/>
              <w:jc w:val="center"/>
              <w:rPr>
                <w:rFonts w:hint="eastAsia" w:ascii="宋体" w:hAnsi="宋体" w:cs="Arial"/>
                <w:color w:val="auto"/>
                <w:kern w:val="0"/>
                <w:szCs w:val="21"/>
                <w:highlight w:val="none"/>
              </w:rPr>
            </w:pPr>
          </w:p>
        </w:tc>
      </w:tr>
      <w:tr w14:paraId="6797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36A18F6C">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4</w:t>
            </w:r>
          </w:p>
        </w:tc>
        <w:tc>
          <w:tcPr>
            <w:tcW w:w="414" w:type="pct"/>
            <w:vMerge w:val="continue"/>
            <w:vAlign w:val="center"/>
          </w:tcPr>
          <w:p w14:paraId="6F07E18C">
            <w:pPr>
              <w:widowControl/>
              <w:jc w:val="left"/>
              <w:rPr>
                <w:rFonts w:hint="eastAsia" w:ascii="宋体" w:hAnsi="宋体" w:cs="Arial"/>
                <w:color w:val="auto"/>
                <w:kern w:val="0"/>
                <w:szCs w:val="21"/>
                <w:highlight w:val="none"/>
              </w:rPr>
            </w:pPr>
          </w:p>
        </w:tc>
        <w:tc>
          <w:tcPr>
            <w:tcW w:w="350" w:type="pct"/>
            <w:vMerge w:val="continue"/>
            <w:vAlign w:val="center"/>
          </w:tcPr>
          <w:p w14:paraId="1C64A45C">
            <w:pPr>
              <w:widowControl/>
              <w:jc w:val="left"/>
              <w:rPr>
                <w:rFonts w:hint="eastAsia" w:ascii="宋体" w:hAnsi="宋体" w:cs="Arial"/>
                <w:color w:val="auto"/>
                <w:kern w:val="0"/>
                <w:szCs w:val="21"/>
                <w:highlight w:val="none"/>
              </w:rPr>
            </w:pPr>
          </w:p>
        </w:tc>
        <w:tc>
          <w:tcPr>
            <w:tcW w:w="1825" w:type="pct"/>
            <w:noWrap/>
            <w:vAlign w:val="center"/>
          </w:tcPr>
          <w:p w14:paraId="5C02117F">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船舶总吨大于100小于等于150，单艘船舶租赁单价不超过1.5万元/天</w:t>
            </w:r>
          </w:p>
        </w:tc>
        <w:tc>
          <w:tcPr>
            <w:tcW w:w="542" w:type="pct"/>
            <w:noWrap/>
            <w:vAlign w:val="center"/>
          </w:tcPr>
          <w:p w14:paraId="56661831">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25BAEE96">
            <w:pPr>
              <w:widowControl/>
              <w:jc w:val="center"/>
              <w:rPr>
                <w:rFonts w:hint="eastAsia" w:ascii="宋体" w:hAnsi="宋体" w:cs="Arial"/>
                <w:color w:val="auto"/>
                <w:kern w:val="0"/>
                <w:szCs w:val="21"/>
                <w:highlight w:val="none"/>
              </w:rPr>
            </w:pPr>
          </w:p>
        </w:tc>
        <w:tc>
          <w:tcPr>
            <w:tcW w:w="888" w:type="pct"/>
            <w:noWrap/>
            <w:vAlign w:val="center"/>
          </w:tcPr>
          <w:p w14:paraId="0F5FC1B8">
            <w:pPr>
              <w:widowControl/>
              <w:jc w:val="center"/>
              <w:rPr>
                <w:rFonts w:hint="eastAsia" w:ascii="宋体" w:hAnsi="宋体" w:cs="Arial"/>
                <w:color w:val="auto"/>
                <w:kern w:val="0"/>
                <w:szCs w:val="21"/>
                <w:highlight w:val="none"/>
              </w:rPr>
            </w:pPr>
          </w:p>
        </w:tc>
      </w:tr>
      <w:tr w14:paraId="52B0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35349930">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5</w:t>
            </w:r>
          </w:p>
        </w:tc>
        <w:tc>
          <w:tcPr>
            <w:tcW w:w="414" w:type="pct"/>
            <w:vMerge w:val="continue"/>
            <w:vAlign w:val="center"/>
          </w:tcPr>
          <w:p w14:paraId="3DE58FF1">
            <w:pPr>
              <w:widowControl/>
              <w:jc w:val="left"/>
              <w:rPr>
                <w:rFonts w:hint="eastAsia" w:ascii="宋体" w:hAnsi="宋体" w:cs="Arial"/>
                <w:color w:val="auto"/>
                <w:kern w:val="0"/>
                <w:szCs w:val="21"/>
                <w:highlight w:val="none"/>
              </w:rPr>
            </w:pPr>
          </w:p>
        </w:tc>
        <w:tc>
          <w:tcPr>
            <w:tcW w:w="350" w:type="pct"/>
            <w:vMerge w:val="continue"/>
            <w:vAlign w:val="center"/>
          </w:tcPr>
          <w:p w14:paraId="2ACFF1A9">
            <w:pPr>
              <w:widowControl/>
              <w:jc w:val="left"/>
              <w:rPr>
                <w:rFonts w:hint="eastAsia" w:ascii="宋体" w:hAnsi="宋体" w:cs="Arial"/>
                <w:color w:val="auto"/>
                <w:kern w:val="0"/>
                <w:szCs w:val="21"/>
                <w:highlight w:val="none"/>
              </w:rPr>
            </w:pPr>
          </w:p>
        </w:tc>
        <w:tc>
          <w:tcPr>
            <w:tcW w:w="1825" w:type="pct"/>
            <w:noWrap/>
            <w:vAlign w:val="center"/>
          </w:tcPr>
          <w:p w14:paraId="0676A376">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快艇，长度小于9米，宽度小于2.5米，总功率小于45千瓦。单价：3小时以内（含3小时）2000元/船次，超过3小时后700元/小时·船次。</w:t>
            </w:r>
          </w:p>
        </w:tc>
        <w:tc>
          <w:tcPr>
            <w:tcW w:w="542" w:type="pct"/>
            <w:noWrap/>
            <w:vAlign w:val="center"/>
          </w:tcPr>
          <w:p w14:paraId="106988C9">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3BB15339">
            <w:pPr>
              <w:widowControl/>
              <w:jc w:val="center"/>
              <w:rPr>
                <w:rFonts w:hint="eastAsia" w:ascii="宋体" w:hAnsi="宋体" w:cs="Arial"/>
                <w:color w:val="auto"/>
                <w:kern w:val="0"/>
                <w:szCs w:val="21"/>
                <w:highlight w:val="none"/>
              </w:rPr>
            </w:pPr>
          </w:p>
        </w:tc>
        <w:tc>
          <w:tcPr>
            <w:tcW w:w="888" w:type="pct"/>
            <w:noWrap/>
            <w:vAlign w:val="center"/>
          </w:tcPr>
          <w:p w14:paraId="1CD28122">
            <w:pPr>
              <w:widowControl/>
              <w:jc w:val="center"/>
              <w:rPr>
                <w:rFonts w:hint="eastAsia" w:ascii="宋体" w:hAnsi="宋体" w:cs="Arial"/>
                <w:color w:val="auto"/>
                <w:kern w:val="0"/>
                <w:szCs w:val="21"/>
                <w:highlight w:val="none"/>
              </w:rPr>
            </w:pPr>
          </w:p>
        </w:tc>
      </w:tr>
      <w:tr w14:paraId="1F73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6162FAFE">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6</w:t>
            </w:r>
          </w:p>
        </w:tc>
        <w:tc>
          <w:tcPr>
            <w:tcW w:w="414" w:type="pct"/>
            <w:vMerge w:val="continue"/>
            <w:vAlign w:val="center"/>
          </w:tcPr>
          <w:p w14:paraId="2D43C927">
            <w:pPr>
              <w:widowControl/>
              <w:jc w:val="left"/>
              <w:rPr>
                <w:rFonts w:hint="eastAsia" w:ascii="宋体" w:hAnsi="宋体" w:cs="Arial"/>
                <w:color w:val="auto"/>
                <w:kern w:val="0"/>
                <w:szCs w:val="21"/>
                <w:highlight w:val="none"/>
              </w:rPr>
            </w:pPr>
          </w:p>
        </w:tc>
        <w:tc>
          <w:tcPr>
            <w:tcW w:w="350" w:type="pct"/>
            <w:vMerge w:val="restart"/>
            <w:noWrap/>
            <w:vAlign w:val="center"/>
          </w:tcPr>
          <w:p w14:paraId="1C889FB5">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定点测流观测船舶</w:t>
            </w:r>
          </w:p>
        </w:tc>
        <w:tc>
          <w:tcPr>
            <w:tcW w:w="1825" w:type="pct"/>
            <w:noWrap/>
            <w:vAlign w:val="center"/>
          </w:tcPr>
          <w:p w14:paraId="4063A19E">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船舶总吨小于等于50，单艘船舶租赁单价为不超过0.7万元/船次</w:t>
            </w:r>
          </w:p>
        </w:tc>
        <w:tc>
          <w:tcPr>
            <w:tcW w:w="542" w:type="pct"/>
            <w:noWrap/>
            <w:vAlign w:val="center"/>
          </w:tcPr>
          <w:p w14:paraId="493C1373">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20C2EF95">
            <w:pPr>
              <w:widowControl/>
              <w:jc w:val="center"/>
              <w:rPr>
                <w:rFonts w:hint="eastAsia" w:ascii="宋体" w:hAnsi="宋体" w:cs="Arial"/>
                <w:color w:val="auto"/>
                <w:kern w:val="0"/>
                <w:szCs w:val="21"/>
                <w:highlight w:val="none"/>
              </w:rPr>
            </w:pPr>
          </w:p>
        </w:tc>
        <w:tc>
          <w:tcPr>
            <w:tcW w:w="888" w:type="pct"/>
            <w:noWrap/>
            <w:vAlign w:val="center"/>
          </w:tcPr>
          <w:p w14:paraId="716DE192">
            <w:pPr>
              <w:widowControl/>
              <w:jc w:val="center"/>
              <w:rPr>
                <w:rFonts w:hint="eastAsia" w:ascii="宋体" w:hAnsi="宋体" w:cs="Arial"/>
                <w:color w:val="auto"/>
                <w:kern w:val="0"/>
                <w:szCs w:val="21"/>
                <w:highlight w:val="none"/>
              </w:rPr>
            </w:pPr>
          </w:p>
        </w:tc>
      </w:tr>
      <w:tr w14:paraId="7860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2FB3177B">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7</w:t>
            </w:r>
          </w:p>
        </w:tc>
        <w:tc>
          <w:tcPr>
            <w:tcW w:w="414" w:type="pct"/>
            <w:vMerge w:val="continue"/>
            <w:vAlign w:val="center"/>
          </w:tcPr>
          <w:p w14:paraId="04989B5C">
            <w:pPr>
              <w:widowControl/>
              <w:jc w:val="left"/>
              <w:rPr>
                <w:rFonts w:hint="eastAsia" w:ascii="宋体" w:hAnsi="宋体" w:cs="Arial"/>
                <w:color w:val="auto"/>
                <w:kern w:val="0"/>
                <w:szCs w:val="21"/>
                <w:highlight w:val="none"/>
              </w:rPr>
            </w:pPr>
          </w:p>
        </w:tc>
        <w:tc>
          <w:tcPr>
            <w:tcW w:w="350" w:type="pct"/>
            <w:vMerge w:val="continue"/>
            <w:vAlign w:val="center"/>
          </w:tcPr>
          <w:p w14:paraId="6D8CCB72">
            <w:pPr>
              <w:widowControl/>
              <w:jc w:val="left"/>
              <w:rPr>
                <w:rFonts w:hint="eastAsia" w:ascii="宋体" w:hAnsi="宋体" w:cs="Arial"/>
                <w:color w:val="auto"/>
                <w:kern w:val="0"/>
                <w:szCs w:val="21"/>
                <w:highlight w:val="none"/>
              </w:rPr>
            </w:pPr>
          </w:p>
        </w:tc>
        <w:tc>
          <w:tcPr>
            <w:tcW w:w="1825" w:type="pct"/>
            <w:noWrap/>
            <w:vAlign w:val="center"/>
          </w:tcPr>
          <w:p w14:paraId="4D65C901">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船舶总吨大于50小于等于100，单艘船舶租赁单价为不超过1.0万元/船次</w:t>
            </w:r>
          </w:p>
        </w:tc>
        <w:tc>
          <w:tcPr>
            <w:tcW w:w="542" w:type="pct"/>
            <w:noWrap/>
            <w:vAlign w:val="center"/>
          </w:tcPr>
          <w:p w14:paraId="54DCF71D">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3C0105E0">
            <w:pPr>
              <w:widowControl/>
              <w:jc w:val="center"/>
              <w:rPr>
                <w:rFonts w:hint="eastAsia" w:ascii="宋体" w:hAnsi="宋体" w:cs="Arial"/>
                <w:color w:val="auto"/>
                <w:kern w:val="0"/>
                <w:szCs w:val="21"/>
                <w:highlight w:val="none"/>
              </w:rPr>
            </w:pPr>
          </w:p>
        </w:tc>
        <w:tc>
          <w:tcPr>
            <w:tcW w:w="888" w:type="pct"/>
            <w:noWrap/>
            <w:vAlign w:val="center"/>
          </w:tcPr>
          <w:p w14:paraId="0E4B4343">
            <w:pPr>
              <w:widowControl/>
              <w:jc w:val="center"/>
              <w:rPr>
                <w:rFonts w:hint="eastAsia" w:ascii="宋体" w:hAnsi="宋体" w:cs="Arial"/>
                <w:color w:val="auto"/>
                <w:kern w:val="0"/>
                <w:szCs w:val="21"/>
                <w:highlight w:val="none"/>
              </w:rPr>
            </w:pPr>
          </w:p>
        </w:tc>
      </w:tr>
      <w:tr w14:paraId="7902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183F50C8">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8</w:t>
            </w:r>
          </w:p>
        </w:tc>
        <w:tc>
          <w:tcPr>
            <w:tcW w:w="414" w:type="pct"/>
            <w:vMerge w:val="continue"/>
            <w:vAlign w:val="center"/>
          </w:tcPr>
          <w:p w14:paraId="500AD3CF">
            <w:pPr>
              <w:widowControl/>
              <w:jc w:val="left"/>
              <w:rPr>
                <w:rFonts w:hint="eastAsia" w:ascii="宋体" w:hAnsi="宋体" w:cs="Arial"/>
                <w:color w:val="auto"/>
                <w:kern w:val="0"/>
                <w:szCs w:val="21"/>
                <w:highlight w:val="none"/>
              </w:rPr>
            </w:pPr>
          </w:p>
        </w:tc>
        <w:tc>
          <w:tcPr>
            <w:tcW w:w="350" w:type="pct"/>
            <w:vMerge w:val="continue"/>
            <w:vAlign w:val="center"/>
          </w:tcPr>
          <w:p w14:paraId="4A6C8D28">
            <w:pPr>
              <w:widowControl/>
              <w:jc w:val="left"/>
              <w:rPr>
                <w:rFonts w:hint="eastAsia" w:ascii="宋体" w:hAnsi="宋体" w:cs="Arial"/>
                <w:color w:val="auto"/>
                <w:kern w:val="0"/>
                <w:szCs w:val="21"/>
                <w:highlight w:val="none"/>
              </w:rPr>
            </w:pPr>
          </w:p>
        </w:tc>
        <w:tc>
          <w:tcPr>
            <w:tcW w:w="1825" w:type="pct"/>
            <w:noWrap/>
            <w:vAlign w:val="center"/>
          </w:tcPr>
          <w:p w14:paraId="41701305">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船舶总吨大于100小于等于150，单艘船舶租赁单价为不超过1.5万元/船次</w:t>
            </w:r>
          </w:p>
        </w:tc>
        <w:tc>
          <w:tcPr>
            <w:tcW w:w="542" w:type="pct"/>
            <w:noWrap/>
            <w:vAlign w:val="center"/>
          </w:tcPr>
          <w:p w14:paraId="03967858">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3E936D0F">
            <w:pPr>
              <w:widowControl/>
              <w:jc w:val="center"/>
              <w:rPr>
                <w:rFonts w:hint="eastAsia" w:ascii="宋体" w:hAnsi="宋体" w:cs="Arial"/>
                <w:color w:val="auto"/>
                <w:kern w:val="0"/>
                <w:szCs w:val="21"/>
                <w:highlight w:val="none"/>
              </w:rPr>
            </w:pPr>
          </w:p>
        </w:tc>
        <w:tc>
          <w:tcPr>
            <w:tcW w:w="888" w:type="pct"/>
            <w:noWrap/>
            <w:vAlign w:val="center"/>
          </w:tcPr>
          <w:p w14:paraId="38CBAEEB">
            <w:pPr>
              <w:widowControl/>
              <w:jc w:val="center"/>
              <w:rPr>
                <w:rFonts w:hint="eastAsia" w:ascii="宋体" w:hAnsi="宋体" w:cs="Arial"/>
                <w:color w:val="auto"/>
                <w:kern w:val="0"/>
                <w:szCs w:val="21"/>
                <w:highlight w:val="none"/>
              </w:rPr>
            </w:pPr>
          </w:p>
        </w:tc>
      </w:tr>
      <w:tr w14:paraId="75BD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65398DE5">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9</w:t>
            </w:r>
          </w:p>
        </w:tc>
        <w:tc>
          <w:tcPr>
            <w:tcW w:w="414" w:type="pct"/>
            <w:vMerge w:val="continue"/>
            <w:vAlign w:val="center"/>
          </w:tcPr>
          <w:p w14:paraId="6C056DEB">
            <w:pPr>
              <w:widowControl/>
              <w:jc w:val="left"/>
              <w:rPr>
                <w:rFonts w:hint="eastAsia" w:ascii="宋体" w:hAnsi="宋体" w:cs="Arial"/>
                <w:color w:val="auto"/>
                <w:kern w:val="0"/>
                <w:szCs w:val="21"/>
                <w:highlight w:val="none"/>
              </w:rPr>
            </w:pPr>
          </w:p>
        </w:tc>
        <w:tc>
          <w:tcPr>
            <w:tcW w:w="350" w:type="pct"/>
            <w:vMerge w:val="continue"/>
            <w:vAlign w:val="center"/>
          </w:tcPr>
          <w:p w14:paraId="2756C782">
            <w:pPr>
              <w:widowControl/>
              <w:jc w:val="left"/>
              <w:rPr>
                <w:rFonts w:hint="eastAsia" w:ascii="宋体" w:hAnsi="宋体" w:cs="Arial"/>
                <w:color w:val="auto"/>
                <w:kern w:val="0"/>
                <w:szCs w:val="21"/>
                <w:highlight w:val="none"/>
              </w:rPr>
            </w:pPr>
          </w:p>
        </w:tc>
        <w:tc>
          <w:tcPr>
            <w:tcW w:w="1825" w:type="pct"/>
            <w:noWrap/>
            <w:vAlign w:val="center"/>
          </w:tcPr>
          <w:p w14:paraId="473098DF">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船舶总吨大于150小于等于200，单艘船舶租赁单价为不超过1.8万元/船次</w:t>
            </w:r>
          </w:p>
        </w:tc>
        <w:tc>
          <w:tcPr>
            <w:tcW w:w="542" w:type="pct"/>
            <w:noWrap/>
            <w:vAlign w:val="center"/>
          </w:tcPr>
          <w:p w14:paraId="2E658A44">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087611B9">
            <w:pPr>
              <w:widowControl/>
              <w:jc w:val="center"/>
              <w:rPr>
                <w:rFonts w:hint="eastAsia" w:ascii="宋体" w:hAnsi="宋体" w:cs="Arial"/>
                <w:color w:val="auto"/>
                <w:kern w:val="0"/>
                <w:szCs w:val="21"/>
                <w:highlight w:val="none"/>
              </w:rPr>
            </w:pPr>
          </w:p>
        </w:tc>
        <w:tc>
          <w:tcPr>
            <w:tcW w:w="888" w:type="pct"/>
            <w:noWrap/>
            <w:vAlign w:val="center"/>
          </w:tcPr>
          <w:p w14:paraId="34929078">
            <w:pPr>
              <w:widowControl/>
              <w:jc w:val="center"/>
              <w:rPr>
                <w:rFonts w:hint="eastAsia" w:ascii="宋体" w:hAnsi="宋体" w:cs="Arial"/>
                <w:color w:val="auto"/>
                <w:kern w:val="0"/>
                <w:szCs w:val="21"/>
                <w:highlight w:val="none"/>
              </w:rPr>
            </w:pPr>
          </w:p>
        </w:tc>
      </w:tr>
      <w:tr w14:paraId="3DAC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1" w:type="pct"/>
            <w:noWrap/>
            <w:vAlign w:val="center"/>
          </w:tcPr>
          <w:p w14:paraId="712189B9">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10</w:t>
            </w:r>
          </w:p>
        </w:tc>
        <w:tc>
          <w:tcPr>
            <w:tcW w:w="414" w:type="pct"/>
            <w:vMerge w:val="continue"/>
            <w:vAlign w:val="center"/>
          </w:tcPr>
          <w:p w14:paraId="2EAD6B3B">
            <w:pPr>
              <w:widowControl/>
              <w:jc w:val="left"/>
              <w:rPr>
                <w:rFonts w:hint="eastAsia" w:ascii="宋体" w:hAnsi="宋体" w:cs="Arial"/>
                <w:color w:val="auto"/>
                <w:kern w:val="0"/>
                <w:szCs w:val="21"/>
                <w:highlight w:val="none"/>
              </w:rPr>
            </w:pPr>
          </w:p>
        </w:tc>
        <w:tc>
          <w:tcPr>
            <w:tcW w:w="350" w:type="pct"/>
            <w:vMerge w:val="continue"/>
            <w:vAlign w:val="center"/>
          </w:tcPr>
          <w:p w14:paraId="4DF77500">
            <w:pPr>
              <w:widowControl/>
              <w:jc w:val="left"/>
              <w:rPr>
                <w:rFonts w:hint="eastAsia" w:ascii="宋体" w:hAnsi="宋体" w:cs="Arial"/>
                <w:color w:val="auto"/>
                <w:kern w:val="0"/>
                <w:szCs w:val="21"/>
                <w:highlight w:val="none"/>
              </w:rPr>
            </w:pPr>
          </w:p>
        </w:tc>
        <w:tc>
          <w:tcPr>
            <w:tcW w:w="1825" w:type="pct"/>
            <w:noWrap/>
            <w:vAlign w:val="center"/>
          </w:tcPr>
          <w:p w14:paraId="29504E2E">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船舶总吨大于200吨小于等于250吨，单艘船舶租赁单价为不超过2.0万元/船次</w:t>
            </w:r>
          </w:p>
        </w:tc>
        <w:tc>
          <w:tcPr>
            <w:tcW w:w="542" w:type="pct"/>
            <w:noWrap/>
            <w:vAlign w:val="center"/>
          </w:tcPr>
          <w:p w14:paraId="08D3F1A3">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716" w:type="pct"/>
            <w:vMerge w:val="continue"/>
            <w:noWrap/>
            <w:vAlign w:val="center"/>
          </w:tcPr>
          <w:p w14:paraId="45E9B329">
            <w:pPr>
              <w:widowControl/>
              <w:jc w:val="center"/>
              <w:rPr>
                <w:rFonts w:hint="eastAsia" w:ascii="宋体" w:hAnsi="宋体" w:cs="Arial"/>
                <w:color w:val="auto"/>
                <w:kern w:val="0"/>
                <w:szCs w:val="21"/>
                <w:highlight w:val="none"/>
              </w:rPr>
            </w:pPr>
          </w:p>
        </w:tc>
        <w:tc>
          <w:tcPr>
            <w:tcW w:w="888" w:type="pct"/>
            <w:noWrap/>
            <w:vAlign w:val="center"/>
          </w:tcPr>
          <w:p w14:paraId="318B0788">
            <w:pPr>
              <w:widowControl/>
              <w:jc w:val="center"/>
              <w:rPr>
                <w:rFonts w:hint="eastAsia" w:ascii="宋体" w:hAnsi="宋体" w:cs="Arial"/>
                <w:color w:val="auto"/>
                <w:kern w:val="0"/>
                <w:szCs w:val="21"/>
                <w:highlight w:val="none"/>
              </w:rPr>
            </w:pPr>
          </w:p>
        </w:tc>
      </w:tr>
      <w:tr w14:paraId="437A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5000" w:type="pct"/>
            <w:gridSpan w:val="7"/>
            <w:noWrap/>
            <w:vAlign w:val="center"/>
          </w:tcPr>
          <w:p w14:paraId="2915C6DC">
            <w:pPr>
              <w:widowControl/>
              <w:jc w:val="left"/>
              <w:rPr>
                <w:rFonts w:hint="eastAsia" w:ascii="宋体" w:hAnsi="宋体" w:cs="Arial"/>
                <w:color w:val="auto"/>
                <w:kern w:val="0"/>
                <w:szCs w:val="21"/>
                <w:highlight w:val="none"/>
              </w:rPr>
            </w:pPr>
            <w:r>
              <w:rPr>
                <w:rFonts w:hint="eastAsia" w:ascii="宋体" w:hAnsi="宋体" w:cs="Arial"/>
                <w:color w:val="auto"/>
                <w:kern w:val="0"/>
                <w:szCs w:val="21"/>
                <w:highlight w:val="none"/>
              </w:rPr>
              <w:t>特别说明：结算单价=单艘船舶租赁单价*（1-折扣率）。</w:t>
            </w:r>
          </w:p>
        </w:tc>
      </w:tr>
    </w:tbl>
    <w:p w14:paraId="56B6D209">
      <w:pPr>
        <w:spacing w:line="360" w:lineRule="auto"/>
        <w:rPr>
          <w:rFonts w:hint="eastAsia" w:ascii="宋体" w:hAnsi="宋体" w:cs="宋体"/>
          <w:color w:val="auto"/>
          <w:szCs w:val="21"/>
          <w:highlight w:val="none"/>
        </w:rPr>
      </w:pPr>
    </w:p>
    <w:p w14:paraId="3EA499CE">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2、合同合计金额包括但不限于（1）项目</w:t>
      </w:r>
      <w:r>
        <w:rPr>
          <w:rFonts w:hint="eastAsia" w:ascii="宋体" w:hAnsi="宋体" w:cs="宋体"/>
          <w:color w:val="auto"/>
          <w:szCs w:val="21"/>
          <w:highlight w:val="none"/>
        </w:rPr>
        <w:t>投标</w:t>
      </w:r>
      <w:r>
        <w:rPr>
          <w:rFonts w:ascii="宋体" w:hAnsi="宋体" w:cs="宋体"/>
          <w:color w:val="auto"/>
          <w:szCs w:val="21"/>
          <w:highlight w:val="none"/>
        </w:rPr>
        <w:t>报价包括本次采购范围内的油费、服务所用耗材、人工费、差旅费（含出差补助、交通费、食宿费等）、救援费、维修费、税费及相关的其他配合费、政策性文件规定的各项费用及所有风险、责任、合同实施过程中的应预见和不可预见费用等完成合同规定责任和义务的一切费用及企业利润（</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折扣率报价</w:t>
      </w:r>
      <w:r>
        <w:rPr>
          <w:rFonts w:ascii="宋体" w:hAnsi="宋体" w:cs="宋体"/>
          <w:color w:val="auto"/>
          <w:szCs w:val="21"/>
          <w:highlight w:val="none"/>
        </w:rPr>
        <w:t>为签订合同价格。在合同有效期内，合同价格不受市场价格变化的影响）等全部费用</w:t>
      </w:r>
      <w:r>
        <w:rPr>
          <w:rFonts w:hint="eastAsia" w:ascii="宋体" w:hAnsi="宋体" w:cs="宋体"/>
          <w:color w:val="auto"/>
          <w:szCs w:val="21"/>
          <w:highlight w:val="none"/>
          <w:lang w:val="en-US" w:eastAsia="zh-CN"/>
        </w:rPr>
        <w:t>乙方</w:t>
      </w:r>
      <w:r>
        <w:rPr>
          <w:rFonts w:ascii="宋体" w:hAnsi="宋体" w:cs="宋体"/>
          <w:color w:val="auto"/>
          <w:szCs w:val="21"/>
          <w:highlight w:val="none"/>
        </w:rPr>
        <w:t>综合考虑在报价中。（2）</w:t>
      </w:r>
      <w:r>
        <w:rPr>
          <w:rFonts w:hint="eastAsia" w:ascii="宋体" w:hAnsi="宋体" w:cs="宋体"/>
          <w:color w:val="auto"/>
          <w:szCs w:val="21"/>
          <w:highlight w:val="none"/>
          <w:lang w:val="en-US" w:eastAsia="zh-CN"/>
        </w:rPr>
        <w:t>乙方</w:t>
      </w:r>
      <w:r>
        <w:rPr>
          <w:rFonts w:ascii="宋体" w:hAnsi="宋体" w:cs="宋体"/>
          <w:color w:val="auto"/>
          <w:szCs w:val="21"/>
          <w:highlight w:val="none"/>
        </w:rPr>
        <w:t>应对本项目的所有内容范围及服务进行</w:t>
      </w:r>
      <w:r>
        <w:rPr>
          <w:rFonts w:hint="eastAsia" w:ascii="宋体" w:hAnsi="宋体" w:cs="宋体"/>
          <w:color w:val="auto"/>
          <w:szCs w:val="21"/>
          <w:highlight w:val="none"/>
        </w:rPr>
        <w:t>折扣率报价</w:t>
      </w:r>
      <w:r>
        <w:rPr>
          <w:rFonts w:ascii="宋体" w:hAnsi="宋体" w:cs="宋体"/>
          <w:color w:val="auto"/>
          <w:szCs w:val="21"/>
          <w:highlight w:val="none"/>
        </w:rPr>
        <w:t>；采购人不再支付任何费用。如招标文件对其另有规定的，从其规定。</w:t>
      </w:r>
    </w:p>
    <w:p w14:paraId="4BAD5B50">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第二条　质量保证</w:t>
      </w:r>
    </w:p>
    <w:p w14:paraId="5494DFFB">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6E618ACE">
      <w:pPr>
        <w:spacing w:line="360" w:lineRule="auto"/>
        <w:ind w:firstLine="422" w:firstLineChars="200"/>
        <w:rPr>
          <w:rFonts w:hint="eastAsia" w:ascii="宋体" w:hAnsi="宋体" w:cs="宋体"/>
          <w:color w:val="auto"/>
          <w:szCs w:val="21"/>
          <w:highlight w:val="none"/>
        </w:rPr>
      </w:pPr>
      <w:r>
        <w:rPr>
          <w:rFonts w:ascii="宋体" w:hAnsi="宋体" w:cs="宋体"/>
          <w:b/>
          <w:color w:val="auto"/>
          <w:szCs w:val="21"/>
          <w:highlight w:val="none"/>
        </w:rPr>
        <w:t>第三条　权利保证</w:t>
      </w:r>
    </w:p>
    <w:p w14:paraId="2F16ECE2">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1D8A713F">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3273AE0">
      <w:pPr>
        <w:spacing w:line="360" w:lineRule="auto"/>
        <w:ind w:firstLine="422" w:firstLineChars="200"/>
        <w:rPr>
          <w:rFonts w:hint="eastAsia" w:ascii="宋体" w:hAnsi="宋体" w:cs="宋体"/>
          <w:color w:val="auto"/>
          <w:szCs w:val="21"/>
          <w:highlight w:val="none"/>
        </w:rPr>
      </w:pPr>
      <w:r>
        <w:rPr>
          <w:rFonts w:ascii="宋体" w:hAnsi="宋体" w:cs="宋体"/>
          <w:b/>
          <w:color w:val="auto"/>
          <w:szCs w:val="21"/>
          <w:highlight w:val="none"/>
        </w:rPr>
        <w:t>第四条　交付和验收</w:t>
      </w:r>
    </w:p>
    <w:p w14:paraId="730A9E0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1、服务期限：</w:t>
      </w:r>
      <w:r>
        <w:rPr>
          <w:rFonts w:ascii="宋体" w:hAnsi="宋体" w:cs="宋体"/>
          <w:color w:val="auto"/>
          <w:szCs w:val="21"/>
          <w:highlight w:val="none"/>
          <w:u w:val="single"/>
        </w:rPr>
        <w:t xml:space="preserve">           起至              </w:t>
      </w:r>
      <w:r>
        <w:rPr>
          <w:rFonts w:ascii="宋体" w:hAnsi="宋体" w:cs="宋体"/>
          <w:color w:val="auto"/>
          <w:szCs w:val="21"/>
          <w:highlight w:val="none"/>
        </w:rPr>
        <w:t>，服务地点：</w:t>
      </w:r>
      <w:r>
        <w:rPr>
          <w:rFonts w:ascii="宋体" w:hAnsi="宋体" w:cs="宋体"/>
          <w:color w:val="auto"/>
          <w:szCs w:val="21"/>
          <w:highlight w:val="none"/>
          <w:u w:val="single"/>
        </w:rPr>
        <w:t xml:space="preserve">             </w:t>
      </w:r>
      <w:r>
        <w:rPr>
          <w:rFonts w:ascii="宋体" w:hAnsi="宋体" w:cs="宋体"/>
          <w:color w:val="auto"/>
          <w:szCs w:val="21"/>
          <w:highlight w:val="none"/>
        </w:rPr>
        <w:t>。</w:t>
      </w:r>
    </w:p>
    <w:p w14:paraId="795D8001">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2、乙方应按投标文件的承诺向甲方提供相应的服务，并提供所服务内容的相关技术资料。</w:t>
      </w:r>
    </w:p>
    <w:p w14:paraId="1304A42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3、乙方提供不符合投标文件和本合同规定的服务成果，甲方有权拒绝接受。</w:t>
      </w:r>
    </w:p>
    <w:p w14:paraId="341ADE90">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05D90518">
      <w:pPr>
        <w:spacing w:line="360" w:lineRule="auto"/>
        <w:ind w:firstLine="420" w:firstLineChars="200"/>
        <w:rPr>
          <w:rFonts w:hint="eastAsia" w:ascii="宋体" w:hAnsi="宋体"/>
          <w:color w:val="auto"/>
          <w:szCs w:val="21"/>
          <w:highlight w:val="none"/>
        </w:rPr>
      </w:pPr>
      <w:r>
        <w:rPr>
          <w:rFonts w:ascii="宋体" w:hAnsi="宋体" w:cs="宋体"/>
          <w:color w:val="auto"/>
          <w:szCs w:val="21"/>
          <w:highlight w:val="none"/>
        </w:rPr>
        <w:t>5、甲乙双方应按照《财政部关于进一步加强政府采购需求和履约验收管理的指导意见》、双方合同、投标文件验收。</w:t>
      </w:r>
    </w:p>
    <w:p w14:paraId="71A527D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67F6067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64631F9B">
      <w:pPr>
        <w:snapToGrid w:val="0"/>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第五条  售后服务及培训</w:t>
      </w:r>
    </w:p>
    <w:p w14:paraId="49C05A5F">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1、乙方应按照国家有关法律法规和本合同所附的《售后服务承诺》要求为甲方提供相应的售后服务。</w:t>
      </w:r>
    </w:p>
    <w:p w14:paraId="7357B8EA">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2、甲方应提供必要测试条件（如场地、电源、水源等）。</w:t>
      </w:r>
    </w:p>
    <w:p w14:paraId="075DD103">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3、乙方负责甲方有关人员的培训。培训时间、地点：</w:t>
      </w:r>
      <w:r>
        <w:rPr>
          <w:rFonts w:ascii="宋体" w:hAnsi="宋体" w:cs="宋体"/>
          <w:color w:val="auto"/>
          <w:szCs w:val="21"/>
          <w:highlight w:val="none"/>
          <w:u w:val="single"/>
        </w:rPr>
        <w:t xml:space="preserve">                    </w:t>
      </w:r>
      <w:r>
        <w:rPr>
          <w:rFonts w:ascii="宋体" w:hAnsi="宋体" w:cs="宋体"/>
          <w:color w:val="auto"/>
          <w:szCs w:val="21"/>
          <w:highlight w:val="none"/>
        </w:rPr>
        <w:t>。</w:t>
      </w:r>
    </w:p>
    <w:p w14:paraId="35281810">
      <w:pPr>
        <w:snapToGrid w:val="0"/>
        <w:spacing w:line="360" w:lineRule="auto"/>
        <w:ind w:firstLine="422" w:firstLineChars="200"/>
        <w:rPr>
          <w:rFonts w:hint="eastAsia" w:ascii="宋体" w:hAnsi="宋体" w:cs="宋体"/>
          <w:color w:val="auto"/>
          <w:szCs w:val="21"/>
          <w:highlight w:val="none"/>
          <w:u w:val="single"/>
        </w:rPr>
      </w:pPr>
      <w:r>
        <w:rPr>
          <w:rFonts w:ascii="宋体" w:hAnsi="宋体" w:cs="宋体"/>
          <w:b/>
          <w:color w:val="auto"/>
          <w:szCs w:val="21"/>
          <w:highlight w:val="none"/>
        </w:rPr>
        <w:t>第六条　付款方式</w:t>
      </w:r>
    </w:p>
    <w:p w14:paraId="5E2FEB96">
      <w:pPr>
        <w:spacing w:line="360" w:lineRule="auto"/>
        <w:ind w:firstLine="420" w:firstLineChars="200"/>
        <w:rPr>
          <w:rFonts w:hint="eastAsia" w:ascii="宋体" w:hAnsi="宋体"/>
          <w:color w:val="auto"/>
          <w:szCs w:val="21"/>
          <w:highlight w:val="none"/>
          <w:u w:val="single"/>
        </w:rPr>
      </w:pPr>
      <w:r>
        <w:rPr>
          <w:rFonts w:ascii="宋体" w:hAnsi="宋体"/>
          <w:color w:val="auto"/>
          <w:szCs w:val="21"/>
          <w:highlight w:val="none"/>
        </w:rPr>
        <w:t>甲乙双方同意本合同金额的支付按以下第</w:t>
      </w:r>
      <w:r>
        <w:rPr>
          <w:rFonts w:ascii="宋体" w:hAnsi="宋体"/>
          <w:color w:val="auto"/>
          <w:szCs w:val="21"/>
          <w:highlight w:val="none"/>
          <w:u w:val="single"/>
        </w:rPr>
        <w:t xml:space="preserve"> </w:t>
      </w:r>
      <w:r>
        <w:rPr>
          <w:rFonts w:hint="eastAsia" w:ascii="宋体" w:hAnsi="宋体"/>
          <w:color w:val="auto"/>
          <w:szCs w:val="21"/>
          <w:highlight w:val="none"/>
          <w:u w:val="single"/>
        </w:rPr>
        <w:t>2</w:t>
      </w:r>
      <w:r>
        <w:rPr>
          <w:rFonts w:ascii="宋体" w:hAnsi="宋体"/>
          <w:color w:val="auto"/>
          <w:szCs w:val="21"/>
          <w:highlight w:val="none"/>
          <w:u w:val="single"/>
        </w:rPr>
        <w:t xml:space="preserve">  </w:t>
      </w:r>
      <w:r>
        <w:rPr>
          <w:rFonts w:ascii="宋体" w:hAnsi="宋体"/>
          <w:color w:val="auto"/>
          <w:szCs w:val="21"/>
          <w:highlight w:val="none"/>
        </w:rPr>
        <w:t>项约定执行：</w:t>
      </w:r>
    </w:p>
    <w:p w14:paraId="6F6DC829">
      <w:pPr>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1、一次性支付</w:t>
      </w:r>
    </w:p>
    <w:p w14:paraId="40AB9700">
      <w:pPr>
        <w:spacing w:line="360" w:lineRule="auto"/>
        <w:ind w:firstLine="420" w:firstLineChars="200"/>
        <w:rPr>
          <w:rFonts w:ascii="宋体" w:hAnsi="宋体"/>
          <w:color w:val="auto"/>
          <w:szCs w:val="21"/>
          <w:highlight w:val="none"/>
        </w:rPr>
      </w:pPr>
      <w:r>
        <w:rPr>
          <w:rFonts w:ascii="宋体" w:hAnsi="宋体"/>
          <w:color w:val="auto"/>
          <w:szCs w:val="21"/>
          <w:highlight w:val="none"/>
        </w:rPr>
        <w:t>2、分期支付</w:t>
      </w:r>
    </w:p>
    <w:p w14:paraId="063E193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按单艘船舶租赁时间进行结算。在航次开始前，按照航次计划，</w:t>
      </w:r>
      <w:r>
        <w:rPr>
          <w:rFonts w:hint="eastAsia" w:ascii="宋体" w:hAnsi="宋体"/>
          <w:color w:val="auto"/>
          <w:szCs w:val="21"/>
          <w:highlight w:val="none"/>
          <w:lang w:val="en-US" w:eastAsia="zh-CN"/>
        </w:rPr>
        <w:t>甲方</w:t>
      </w:r>
      <w:r>
        <w:rPr>
          <w:rFonts w:hint="eastAsia" w:ascii="宋体" w:hAnsi="宋体"/>
          <w:color w:val="auto"/>
          <w:szCs w:val="21"/>
          <w:highlight w:val="none"/>
        </w:rPr>
        <w:t>可最高预付50%船费用于航次准备工作，航次结束后，</w:t>
      </w:r>
      <w:r>
        <w:rPr>
          <w:rFonts w:hint="eastAsia" w:ascii="宋体" w:hAnsi="宋体"/>
          <w:color w:val="auto"/>
          <w:szCs w:val="21"/>
          <w:highlight w:val="none"/>
          <w:lang w:val="en-US" w:eastAsia="zh-CN"/>
        </w:rPr>
        <w:t>乙方</w:t>
      </w:r>
      <w:r>
        <w:rPr>
          <w:rFonts w:hint="eastAsia" w:ascii="宋体" w:hAnsi="宋体"/>
          <w:color w:val="auto"/>
          <w:szCs w:val="21"/>
          <w:highlight w:val="none"/>
        </w:rPr>
        <w:t>向</w:t>
      </w:r>
      <w:r>
        <w:rPr>
          <w:rFonts w:hint="eastAsia" w:ascii="宋体" w:hAnsi="宋体"/>
          <w:color w:val="auto"/>
          <w:szCs w:val="21"/>
          <w:highlight w:val="none"/>
          <w:lang w:val="en-US" w:eastAsia="zh-CN"/>
        </w:rPr>
        <w:t>甲方</w:t>
      </w:r>
      <w:r>
        <w:rPr>
          <w:rFonts w:hint="eastAsia" w:ascii="宋体" w:hAnsi="宋体"/>
          <w:color w:val="auto"/>
          <w:szCs w:val="21"/>
          <w:highlight w:val="none"/>
        </w:rPr>
        <w:t>提交《租船费用结算单》，经</w:t>
      </w:r>
      <w:r>
        <w:rPr>
          <w:rFonts w:hint="eastAsia" w:ascii="宋体" w:hAnsi="宋体"/>
          <w:color w:val="auto"/>
          <w:szCs w:val="21"/>
          <w:highlight w:val="none"/>
          <w:lang w:val="en-US" w:eastAsia="zh-CN"/>
        </w:rPr>
        <w:t>甲方</w:t>
      </w:r>
      <w:r>
        <w:rPr>
          <w:rFonts w:hint="eastAsia" w:ascii="宋体" w:hAnsi="宋体"/>
          <w:color w:val="auto"/>
          <w:szCs w:val="21"/>
          <w:highlight w:val="none"/>
        </w:rPr>
        <w:t>审核合格后，由</w:t>
      </w:r>
      <w:r>
        <w:rPr>
          <w:rFonts w:hint="eastAsia" w:ascii="宋体" w:hAnsi="宋体"/>
          <w:color w:val="auto"/>
          <w:szCs w:val="21"/>
          <w:highlight w:val="none"/>
          <w:lang w:val="en-US" w:eastAsia="zh-CN"/>
        </w:rPr>
        <w:t>甲方</w:t>
      </w:r>
      <w:r>
        <w:rPr>
          <w:rFonts w:hint="eastAsia" w:ascii="宋体" w:hAnsi="宋体"/>
          <w:color w:val="auto"/>
          <w:szCs w:val="21"/>
          <w:highlight w:val="none"/>
        </w:rPr>
        <w:t>在收到</w:t>
      </w:r>
      <w:r>
        <w:rPr>
          <w:rFonts w:hint="eastAsia" w:ascii="宋体" w:hAnsi="宋体"/>
          <w:color w:val="auto"/>
          <w:szCs w:val="21"/>
          <w:highlight w:val="none"/>
          <w:lang w:val="en-US" w:eastAsia="zh-CN"/>
        </w:rPr>
        <w:t>乙方</w:t>
      </w:r>
      <w:r>
        <w:rPr>
          <w:rFonts w:hint="eastAsia" w:ascii="宋体" w:hAnsi="宋体"/>
          <w:color w:val="auto"/>
          <w:szCs w:val="21"/>
          <w:highlight w:val="none"/>
        </w:rPr>
        <w:t>开具的</w:t>
      </w:r>
      <w:r>
        <w:rPr>
          <w:rFonts w:hint="eastAsia" w:ascii="宋体" w:hAnsi="宋体"/>
          <w:color w:val="auto"/>
          <w:szCs w:val="21"/>
          <w:highlight w:val="none"/>
          <w:lang w:eastAsia="zh-CN"/>
        </w:rPr>
        <w:t>合格等额发票后10个工作日内支付</w:t>
      </w:r>
      <w:r>
        <w:rPr>
          <w:rFonts w:hint="eastAsia" w:ascii="宋体" w:hAnsi="宋体"/>
          <w:color w:val="auto"/>
          <w:szCs w:val="21"/>
          <w:highlight w:val="none"/>
        </w:rPr>
        <w:t>剩余租赁船舶的费用。</w:t>
      </w:r>
    </w:p>
    <w:p w14:paraId="175A3CA2">
      <w:pPr>
        <w:snapToGrid w:val="0"/>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第七条　履约保证金</w:t>
      </w:r>
    </w:p>
    <w:p w14:paraId="7BD4CAA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履约保证金金额：按中标金额的</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5</w:t>
      </w:r>
      <w:r>
        <w:rPr>
          <w:rFonts w:ascii="宋体" w:hAnsi="宋体" w:cs="宋体"/>
          <w:color w:val="auto"/>
          <w:szCs w:val="21"/>
          <w:highlight w:val="none"/>
          <w:u w:val="single"/>
        </w:rPr>
        <w:t xml:space="preserve"> </w:t>
      </w:r>
      <w:r>
        <w:rPr>
          <w:rFonts w:ascii="宋体" w:hAnsi="宋体" w:cs="宋体"/>
          <w:color w:val="auto"/>
          <w:szCs w:val="21"/>
          <w:highlight w:val="none"/>
        </w:rPr>
        <w:t>%。</w:t>
      </w:r>
    </w:p>
    <w:p w14:paraId="2D700EB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履约保证金递交方式：银行转账、支票、汇票、本票或者金融、担保机构出具的保函、保险机构的保单，禁止采用现钞方式。</w:t>
      </w:r>
    </w:p>
    <w:p w14:paraId="3EF0467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履约保证金退付方式、时间及条件：由乙方向履约保证金收取单位提供《政府采购项目合同验收书》，保证金收取单位在收到合格材料后5个工作日内办理退还手续（不计利息）。</w:t>
      </w:r>
    </w:p>
    <w:p w14:paraId="22CCE701">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签订合同后，如</w:t>
      </w:r>
      <w:r>
        <w:rPr>
          <w:rFonts w:hint="eastAsia" w:ascii="宋体" w:hAnsi="宋体" w:cs="宋体"/>
          <w:color w:val="auto"/>
          <w:szCs w:val="21"/>
          <w:highlight w:val="none"/>
          <w:lang w:eastAsia="zh-CN"/>
        </w:rPr>
        <w:t>乙方</w:t>
      </w:r>
      <w:r>
        <w:rPr>
          <w:rFonts w:ascii="宋体" w:hAnsi="宋体" w:cs="宋体"/>
          <w:color w:val="auto"/>
          <w:szCs w:val="21"/>
          <w:highlight w:val="none"/>
        </w:rPr>
        <w:t>不按双方签订的合同规定履约，则没收其全部履约保证金，履约保证金不足以赔偿损失的，按实际损失赔偿。</w:t>
      </w:r>
    </w:p>
    <w:p w14:paraId="29C6D0AE">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第八条  税费</w:t>
      </w:r>
    </w:p>
    <w:p w14:paraId="4B406958">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本合同执行中相关的一切税费均由乙方负担，合同另有约定的除外。</w:t>
      </w:r>
    </w:p>
    <w:p w14:paraId="01162F69">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第九条　违约责任</w:t>
      </w:r>
    </w:p>
    <w:p w14:paraId="4B258BD6">
      <w:pPr>
        <w:snapToGrid w:val="0"/>
        <w:spacing w:line="360" w:lineRule="auto"/>
        <w:ind w:firstLine="420" w:firstLineChars="200"/>
        <w:rPr>
          <w:rFonts w:hint="eastAsia" w:ascii="宋体" w:hAnsi="宋体" w:cs="宋体"/>
          <w:color w:val="auto"/>
          <w:szCs w:val="21"/>
          <w:highlight w:val="none"/>
        </w:rPr>
      </w:pPr>
      <w:r>
        <w:rPr>
          <w:rFonts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ascii="宋体" w:hAnsi="宋体" w:cs="宋体"/>
          <w:color w:val="auto"/>
          <w:szCs w:val="21"/>
          <w:highlight w:val="none"/>
        </w:rPr>
        <w:t xml:space="preserve">                                  </w:t>
      </w:r>
    </w:p>
    <w:p w14:paraId="7A726F86">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2、乙方提供的服务如侵犯了第三方合法权益而引发的任何纠纷或者诉讼，均由乙方负责交涉并承担全部责任。</w:t>
      </w:r>
    </w:p>
    <w:p w14:paraId="132D6ABB">
      <w:pPr>
        <w:snapToGrid w:val="0"/>
        <w:spacing w:line="360" w:lineRule="auto"/>
        <w:ind w:firstLine="420" w:firstLineChars="200"/>
        <w:rPr>
          <w:rFonts w:hint="eastAsia" w:ascii="宋体" w:hAnsi="宋体" w:cs="宋体"/>
          <w:color w:val="auto"/>
          <w:szCs w:val="21"/>
          <w:highlight w:val="none"/>
        </w:rPr>
      </w:pPr>
      <w:r>
        <w:rPr>
          <w:rFonts w:ascii="宋体" w:hAnsi="宋体"/>
          <w:color w:val="auto"/>
          <w:szCs w:val="21"/>
          <w:highlight w:val="none"/>
        </w:rPr>
        <w:t>3、甲方延期付款的，每天向乙方偿付延期款额3‰滞纳金，但滞纳金累计不得超过延期款额5%。</w:t>
      </w:r>
    </w:p>
    <w:p w14:paraId="506455EF">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第十条  不可抗力事件处理</w:t>
      </w:r>
    </w:p>
    <w:p w14:paraId="34418F0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1、在合同有效期内，任何一方因不可抗力事件导致不能履行合同，则合同履行期可延长，其延长期与不可抗力影响期相同。</w:t>
      </w:r>
    </w:p>
    <w:p w14:paraId="5219249C">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2、不可抗力事件发生后，应立即通知对方，并寄送有关权威机构出具的证明。</w:t>
      </w:r>
    </w:p>
    <w:p w14:paraId="299E546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3、不可抗力事件延续一百二十天以上，双方应通过友好协商，确定是否继续履行合同。</w:t>
      </w:r>
    </w:p>
    <w:p w14:paraId="3A19DF0C">
      <w:pPr>
        <w:spacing w:line="360" w:lineRule="auto"/>
        <w:ind w:firstLine="422" w:firstLineChars="200"/>
        <w:rPr>
          <w:rFonts w:hint="eastAsia" w:ascii="宋体" w:hAnsi="宋体" w:cs="宋体"/>
          <w:color w:val="auto"/>
          <w:szCs w:val="21"/>
          <w:highlight w:val="none"/>
        </w:rPr>
      </w:pPr>
      <w:r>
        <w:rPr>
          <w:rFonts w:ascii="宋体" w:hAnsi="宋体" w:cs="宋体"/>
          <w:b/>
          <w:color w:val="auto"/>
          <w:szCs w:val="21"/>
          <w:highlight w:val="none"/>
        </w:rPr>
        <w:t>第十一条  合同争议解决</w:t>
      </w:r>
    </w:p>
    <w:p w14:paraId="0D8E9618">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220DC2E">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2、因履行本合同引起的或者与本合同有关的争议，甲乙双方应首先通过友好协商解决，如果协商不能解决，可向甲方所在地有管辖权人民法院提起诉讼。</w:t>
      </w:r>
    </w:p>
    <w:p w14:paraId="31AB92CD">
      <w:pPr>
        <w:snapToGrid w:val="0"/>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3、诉讼期间，本合同继续履行。</w:t>
      </w:r>
    </w:p>
    <w:p w14:paraId="1E2B7DE5">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第十二条  合同生效及其它</w:t>
      </w:r>
    </w:p>
    <w:p w14:paraId="05896F3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1、合同经双方法定代表人或者授权代表签字并加盖单位公章后生效（委托代理人签字的需后附授权委托书，格式自拟）。</w:t>
      </w:r>
    </w:p>
    <w:p w14:paraId="047D6815">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2、合同执行中涉及采购资金和采购内容修改或者补充的，须经财政部门审批，并签书面补充协议报财政部门备案，方可作为主合同不可分割的一部分。</w:t>
      </w:r>
    </w:p>
    <w:p w14:paraId="5A0E96D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3、本合同未尽事宜，遵照《中华人民共和国民法典》有关条文执行。</w:t>
      </w:r>
    </w:p>
    <w:p w14:paraId="7CBD8C32">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第十三条　合同的变更、终止与转让</w:t>
      </w:r>
    </w:p>
    <w:p w14:paraId="0EB84F0E">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1、除《中华人民共和国政府采购法》第五十条规定的情形外，本合同一经签订，甲乙双方不得擅自变更、中止或者终止。</w:t>
      </w:r>
    </w:p>
    <w:p w14:paraId="4FBD8D5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2、乙方不得擅自转让其应履行的合同义务。</w:t>
      </w:r>
    </w:p>
    <w:p w14:paraId="35E47130">
      <w:pPr>
        <w:spacing w:line="360" w:lineRule="auto"/>
        <w:ind w:firstLine="422" w:firstLineChars="200"/>
        <w:rPr>
          <w:rFonts w:hint="eastAsia" w:ascii="宋体" w:hAnsi="宋体" w:cs="宋体"/>
          <w:b/>
          <w:color w:val="auto"/>
          <w:szCs w:val="21"/>
          <w:highlight w:val="none"/>
        </w:rPr>
      </w:pPr>
      <w:r>
        <w:rPr>
          <w:rFonts w:ascii="宋体" w:hAnsi="宋体" w:cs="宋体"/>
          <w:b/>
          <w:color w:val="auto"/>
          <w:szCs w:val="21"/>
          <w:highlight w:val="none"/>
        </w:rPr>
        <w:t>第十四条　签订本合同依据</w:t>
      </w:r>
    </w:p>
    <w:p w14:paraId="17D720D2">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ascii="宋体" w:hAnsi="宋体"/>
          <w:color w:val="auto"/>
          <w:szCs w:val="21"/>
          <w:highlight w:val="none"/>
        </w:rPr>
        <w:t>中标通知书</w:t>
      </w:r>
      <w:r>
        <w:rPr>
          <w:rFonts w:ascii="宋体" w:hAnsi="宋体" w:cs="宋体"/>
          <w:color w:val="auto"/>
          <w:szCs w:val="21"/>
          <w:highlight w:val="none"/>
        </w:rPr>
        <w:t>；</w:t>
      </w:r>
    </w:p>
    <w:p w14:paraId="3312DEB9">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2、开标一览表；</w:t>
      </w:r>
    </w:p>
    <w:p w14:paraId="75F72F27">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3、商务要求偏离表和技术要求偏离表；</w:t>
      </w:r>
    </w:p>
    <w:p w14:paraId="26D8E41B">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4、服务方案；</w:t>
      </w:r>
    </w:p>
    <w:p w14:paraId="69B399E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5、投标文件中的其他相关文件。</w:t>
      </w:r>
    </w:p>
    <w:p w14:paraId="2A231DD0">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6、上述合同文件互相补充和解释。如果合同文件之间存在矛盾或者不一致之处，以上述文件的排列顺序在先者为准。</w:t>
      </w:r>
    </w:p>
    <w:p w14:paraId="203B7C92">
      <w:pPr>
        <w:spacing w:line="360" w:lineRule="auto"/>
        <w:ind w:firstLine="422" w:firstLineChars="200"/>
        <w:rPr>
          <w:rFonts w:hint="eastAsia" w:ascii="宋体" w:hAnsi="宋体" w:cs="宋体"/>
          <w:color w:val="auto"/>
          <w:szCs w:val="21"/>
          <w:highlight w:val="none"/>
        </w:rPr>
      </w:pPr>
      <w:r>
        <w:rPr>
          <w:rFonts w:ascii="宋体" w:hAnsi="宋体" w:cs="宋体"/>
          <w:b/>
          <w:color w:val="auto"/>
          <w:szCs w:val="21"/>
          <w:highlight w:val="none"/>
        </w:rPr>
        <w:t>第十五条　</w:t>
      </w:r>
      <w:r>
        <w:rPr>
          <w:rFonts w:ascii="宋体" w:hAnsi="宋体" w:cs="宋体"/>
          <w:color w:val="auto"/>
          <w:szCs w:val="21"/>
          <w:highlight w:val="none"/>
        </w:rPr>
        <w:t>本合同一式四份，具有同等法律效力，财政部门（政府采购监管部门）、采购代理机构各一份，甲乙双方各一份（可根据需要另增加）。</w:t>
      </w:r>
    </w:p>
    <w:p w14:paraId="2526B5DF">
      <w:pPr>
        <w:spacing w:line="360" w:lineRule="auto"/>
        <w:ind w:firstLine="420" w:firstLineChars="200"/>
        <w:rPr>
          <w:rFonts w:hint="eastAsia" w:ascii="宋体" w:hAnsi="宋体" w:cs="宋体"/>
          <w:color w:val="auto"/>
          <w:szCs w:val="21"/>
          <w:highlight w:val="none"/>
        </w:rPr>
      </w:pPr>
      <w:r>
        <w:rPr>
          <w:rFonts w:ascii="宋体" w:hAnsi="宋体" w:cs="宋体"/>
          <w:color w:val="auto"/>
          <w:szCs w:val="21"/>
          <w:highlight w:val="none"/>
        </w:rPr>
        <w:t>本合同甲乙双方签字盖章后生效，自签订之日起七个工作日内，甲方应当将合同副本报同级财政部门备案。</w:t>
      </w:r>
    </w:p>
    <w:tbl>
      <w:tblPr>
        <w:tblStyle w:val="45"/>
        <w:tblpPr w:leftFromText="180" w:rightFromText="180" w:vertAnchor="text" w:horzAnchor="margin" w:tblpY="21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9"/>
        <w:gridCol w:w="4701"/>
      </w:tblGrid>
      <w:tr w14:paraId="6864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2499" w:type="pct"/>
            <w:tcBorders>
              <w:top w:val="single" w:color="auto" w:sz="4" w:space="0"/>
              <w:left w:val="single" w:color="auto" w:sz="4" w:space="0"/>
              <w:bottom w:val="single" w:color="auto" w:sz="4" w:space="0"/>
              <w:right w:val="single" w:color="auto" w:sz="4" w:space="0"/>
            </w:tcBorders>
            <w:vAlign w:val="center"/>
          </w:tcPr>
          <w:p w14:paraId="591BF4C4">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甲方：（章）</w:t>
            </w:r>
          </w:p>
          <w:p w14:paraId="2089EB5B">
            <w:pPr>
              <w:snapToGrid w:val="0"/>
              <w:spacing w:line="360" w:lineRule="auto"/>
              <w:rPr>
                <w:rFonts w:hint="eastAsia" w:ascii="宋体" w:hAnsi="宋体" w:cs="宋体"/>
                <w:color w:val="auto"/>
                <w:szCs w:val="21"/>
                <w:highlight w:val="none"/>
              </w:rPr>
            </w:pPr>
          </w:p>
          <w:p w14:paraId="6616C7F7">
            <w:pPr>
              <w:snapToGrid w:val="0"/>
              <w:spacing w:line="360" w:lineRule="auto"/>
              <w:rPr>
                <w:rFonts w:hint="eastAsia" w:ascii="宋体" w:hAnsi="宋体" w:cs="宋体"/>
                <w:color w:val="auto"/>
                <w:szCs w:val="21"/>
                <w:highlight w:val="none"/>
              </w:rPr>
            </w:pPr>
          </w:p>
          <w:p w14:paraId="13023AA1">
            <w:pPr>
              <w:snapToGrid w:val="0"/>
              <w:spacing w:line="360" w:lineRule="auto"/>
              <w:ind w:firstLine="945" w:firstLineChars="450"/>
              <w:jc w:val="right"/>
              <w:rPr>
                <w:rFonts w:hint="eastAsia" w:ascii="宋体" w:hAnsi="宋体" w:cs="宋体"/>
                <w:color w:val="auto"/>
                <w:szCs w:val="21"/>
                <w:highlight w:val="none"/>
              </w:rPr>
            </w:pPr>
          </w:p>
          <w:p w14:paraId="578FFB8B">
            <w:pPr>
              <w:snapToGrid w:val="0"/>
              <w:spacing w:line="360" w:lineRule="auto"/>
              <w:ind w:firstLine="945" w:firstLineChars="450"/>
              <w:jc w:val="right"/>
              <w:rPr>
                <w:rFonts w:hint="eastAsia" w:ascii="宋体" w:hAnsi="宋体" w:cs="宋体"/>
                <w:color w:val="auto"/>
                <w:szCs w:val="21"/>
                <w:highlight w:val="none"/>
              </w:rPr>
            </w:pPr>
            <w:r>
              <w:rPr>
                <w:rFonts w:ascii="宋体" w:hAnsi="宋体" w:cs="宋体"/>
                <w:color w:val="auto"/>
                <w:szCs w:val="21"/>
                <w:highlight w:val="none"/>
              </w:rPr>
              <w:t>年   月   日</w:t>
            </w:r>
          </w:p>
        </w:tc>
        <w:tc>
          <w:tcPr>
            <w:tcW w:w="2500" w:type="pct"/>
            <w:tcBorders>
              <w:top w:val="single" w:color="auto" w:sz="4" w:space="0"/>
              <w:left w:val="single" w:color="auto" w:sz="4" w:space="0"/>
              <w:bottom w:val="single" w:color="auto" w:sz="4" w:space="0"/>
              <w:right w:val="single" w:color="auto" w:sz="4" w:space="0"/>
            </w:tcBorders>
            <w:vAlign w:val="center"/>
          </w:tcPr>
          <w:p w14:paraId="49B1E128">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 xml:space="preserve">乙方：（章）       </w:t>
            </w:r>
          </w:p>
          <w:p w14:paraId="48179751">
            <w:pPr>
              <w:snapToGrid w:val="0"/>
              <w:spacing w:line="360" w:lineRule="auto"/>
              <w:rPr>
                <w:rFonts w:hint="eastAsia" w:ascii="宋体" w:hAnsi="宋体" w:cs="宋体"/>
                <w:color w:val="auto"/>
                <w:szCs w:val="21"/>
                <w:highlight w:val="none"/>
              </w:rPr>
            </w:pPr>
          </w:p>
          <w:p w14:paraId="4C14EBD2">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 xml:space="preserve">       </w:t>
            </w:r>
          </w:p>
          <w:p w14:paraId="59A7B89F">
            <w:pPr>
              <w:snapToGrid w:val="0"/>
              <w:spacing w:line="360" w:lineRule="auto"/>
              <w:jc w:val="right"/>
              <w:rPr>
                <w:rFonts w:hint="eastAsia" w:ascii="宋体" w:hAnsi="宋体" w:cs="宋体"/>
                <w:color w:val="auto"/>
                <w:szCs w:val="21"/>
                <w:highlight w:val="none"/>
              </w:rPr>
            </w:pPr>
          </w:p>
          <w:p w14:paraId="126283BB">
            <w:pPr>
              <w:snapToGrid w:val="0"/>
              <w:spacing w:line="360" w:lineRule="auto"/>
              <w:jc w:val="right"/>
              <w:rPr>
                <w:rFonts w:hint="eastAsia" w:ascii="宋体" w:hAnsi="宋体" w:cs="宋体"/>
                <w:color w:val="auto"/>
                <w:szCs w:val="21"/>
                <w:highlight w:val="none"/>
              </w:rPr>
            </w:pPr>
            <w:r>
              <w:rPr>
                <w:rFonts w:ascii="宋体" w:hAnsi="宋体" w:cs="宋体"/>
                <w:color w:val="auto"/>
                <w:szCs w:val="21"/>
                <w:highlight w:val="none"/>
              </w:rPr>
              <w:t xml:space="preserve"> 年   月   日</w:t>
            </w:r>
          </w:p>
        </w:tc>
      </w:tr>
      <w:tr w14:paraId="110F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499" w:type="pct"/>
            <w:tcBorders>
              <w:top w:val="single" w:color="auto" w:sz="4" w:space="0"/>
              <w:left w:val="single" w:color="auto" w:sz="4" w:space="0"/>
              <w:bottom w:val="single" w:color="auto" w:sz="4" w:space="0"/>
              <w:right w:val="single" w:color="auto" w:sz="4" w:space="0"/>
            </w:tcBorders>
            <w:vAlign w:val="center"/>
          </w:tcPr>
          <w:p w14:paraId="6CD7CD85">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 xml:space="preserve">单位地址： </w:t>
            </w:r>
          </w:p>
        </w:tc>
        <w:tc>
          <w:tcPr>
            <w:tcW w:w="2500" w:type="pct"/>
            <w:tcBorders>
              <w:top w:val="single" w:color="auto" w:sz="4" w:space="0"/>
              <w:left w:val="single" w:color="auto" w:sz="4" w:space="0"/>
              <w:bottom w:val="single" w:color="auto" w:sz="4" w:space="0"/>
              <w:right w:val="single" w:color="auto" w:sz="4" w:space="0"/>
            </w:tcBorders>
            <w:vAlign w:val="center"/>
          </w:tcPr>
          <w:p w14:paraId="2DF4528A">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 xml:space="preserve">单位地址： </w:t>
            </w:r>
          </w:p>
        </w:tc>
      </w:tr>
      <w:tr w14:paraId="6904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499" w:type="pct"/>
            <w:tcBorders>
              <w:top w:val="single" w:color="auto" w:sz="4" w:space="0"/>
              <w:left w:val="single" w:color="auto" w:sz="4" w:space="0"/>
              <w:bottom w:val="single" w:color="auto" w:sz="4" w:space="0"/>
              <w:right w:val="single" w:color="auto" w:sz="4" w:space="0"/>
            </w:tcBorders>
            <w:vAlign w:val="center"/>
          </w:tcPr>
          <w:p w14:paraId="136113CA">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法定代表人：</w:t>
            </w:r>
          </w:p>
        </w:tc>
        <w:tc>
          <w:tcPr>
            <w:tcW w:w="2500" w:type="pct"/>
            <w:tcBorders>
              <w:top w:val="single" w:color="auto" w:sz="4" w:space="0"/>
              <w:left w:val="single" w:color="auto" w:sz="4" w:space="0"/>
              <w:bottom w:val="single" w:color="auto" w:sz="4" w:space="0"/>
              <w:right w:val="single" w:color="auto" w:sz="4" w:space="0"/>
            </w:tcBorders>
            <w:vAlign w:val="center"/>
          </w:tcPr>
          <w:p w14:paraId="0E40DA51">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法定代表人：</w:t>
            </w:r>
          </w:p>
        </w:tc>
      </w:tr>
      <w:tr w14:paraId="7C5E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499" w:type="pct"/>
            <w:tcBorders>
              <w:top w:val="single" w:color="auto" w:sz="4" w:space="0"/>
              <w:left w:val="single" w:color="auto" w:sz="4" w:space="0"/>
              <w:bottom w:val="single" w:color="auto" w:sz="4" w:space="0"/>
              <w:right w:val="single" w:color="auto" w:sz="4" w:space="0"/>
            </w:tcBorders>
            <w:vAlign w:val="center"/>
          </w:tcPr>
          <w:p w14:paraId="5CD320B3">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委托代理人：</w:t>
            </w:r>
          </w:p>
        </w:tc>
        <w:tc>
          <w:tcPr>
            <w:tcW w:w="2500" w:type="pct"/>
            <w:tcBorders>
              <w:top w:val="single" w:color="auto" w:sz="4" w:space="0"/>
              <w:left w:val="single" w:color="auto" w:sz="4" w:space="0"/>
              <w:bottom w:val="single" w:color="auto" w:sz="4" w:space="0"/>
              <w:right w:val="single" w:color="auto" w:sz="4" w:space="0"/>
            </w:tcBorders>
            <w:vAlign w:val="center"/>
          </w:tcPr>
          <w:p w14:paraId="2A9A4BE5">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委托代理人：</w:t>
            </w:r>
          </w:p>
        </w:tc>
      </w:tr>
      <w:tr w14:paraId="01CF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499" w:type="pct"/>
            <w:tcBorders>
              <w:top w:val="single" w:color="auto" w:sz="4" w:space="0"/>
              <w:left w:val="single" w:color="auto" w:sz="4" w:space="0"/>
              <w:bottom w:val="single" w:color="auto" w:sz="4" w:space="0"/>
              <w:right w:val="single" w:color="auto" w:sz="4" w:space="0"/>
            </w:tcBorders>
            <w:vAlign w:val="center"/>
          </w:tcPr>
          <w:p w14:paraId="49C96C9A">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电话：</w:t>
            </w:r>
          </w:p>
        </w:tc>
        <w:tc>
          <w:tcPr>
            <w:tcW w:w="2500" w:type="pct"/>
            <w:tcBorders>
              <w:top w:val="single" w:color="auto" w:sz="4" w:space="0"/>
              <w:left w:val="single" w:color="auto" w:sz="4" w:space="0"/>
              <w:bottom w:val="single" w:color="auto" w:sz="4" w:space="0"/>
              <w:right w:val="single" w:color="auto" w:sz="4" w:space="0"/>
            </w:tcBorders>
            <w:vAlign w:val="center"/>
          </w:tcPr>
          <w:p w14:paraId="4F58194D">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电话：</w:t>
            </w:r>
          </w:p>
        </w:tc>
      </w:tr>
      <w:tr w14:paraId="2385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499" w:type="pct"/>
            <w:tcBorders>
              <w:top w:val="single" w:color="auto" w:sz="4" w:space="0"/>
              <w:left w:val="single" w:color="auto" w:sz="4" w:space="0"/>
              <w:bottom w:val="single" w:color="auto" w:sz="4" w:space="0"/>
              <w:right w:val="single" w:color="auto" w:sz="4" w:space="0"/>
            </w:tcBorders>
            <w:vAlign w:val="center"/>
          </w:tcPr>
          <w:p w14:paraId="0E5AC0BF">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 xml:space="preserve">开户银行： </w:t>
            </w:r>
          </w:p>
        </w:tc>
        <w:tc>
          <w:tcPr>
            <w:tcW w:w="2500" w:type="pct"/>
            <w:tcBorders>
              <w:top w:val="single" w:color="auto" w:sz="4" w:space="0"/>
              <w:left w:val="single" w:color="auto" w:sz="4" w:space="0"/>
              <w:bottom w:val="single" w:color="auto" w:sz="4" w:space="0"/>
              <w:right w:val="single" w:color="auto" w:sz="4" w:space="0"/>
            </w:tcBorders>
            <w:vAlign w:val="center"/>
          </w:tcPr>
          <w:p w14:paraId="4AA127EB">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 xml:space="preserve">开户银行： </w:t>
            </w:r>
          </w:p>
        </w:tc>
      </w:tr>
      <w:tr w14:paraId="199C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499" w:type="pct"/>
            <w:tcBorders>
              <w:top w:val="single" w:color="auto" w:sz="4" w:space="0"/>
              <w:left w:val="single" w:color="auto" w:sz="4" w:space="0"/>
              <w:bottom w:val="single" w:color="auto" w:sz="4" w:space="0"/>
              <w:right w:val="single" w:color="auto" w:sz="4" w:space="0"/>
            </w:tcBorders>
            <w:vAlign w:val="center"/>
          </w:tcPr>
          <w:p w14:paraId="4BD938F7">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账号：</w:t>
            </w:r>
          </w:p>
        </w:tc>
        <w:tc>
          <w:tcPr>
            <w:tcW w:w="2500" w:type="pct"/>
            <w:tcBorders>
              <w:top w:val="single" w:color="auto" w:sz="4" w:space="0"/>
              <w:left w:val="single" w:color="auto" w:sz="4" w:space="0"/>
              <w:bottom w:val="single" w:color="auto" w:sz="4" w:space="0"/>
              <w:right w:val="single" w:color="auto" w:sz="4" w:space="0"/>
            </w:tcBorders>
            <w:vAlign w:val="center"/>
          </w:tcPr>
          <w:p w14:paraId="676B4753">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账号：</w:t>
            </w:r>
          </w:p>
        </w:tc>
      </w:tr>
      <w:tr w14:paraId="7F90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2499" w:type="pct"/>
            <w:tcBorders>
              <w:top w:val="single" w:color="auto" w:sz="4" w:space="0"/>
              <w:left w:val="single" w:color="auto" w:sz="4" w:space="0"/>
              <w:bottom w:val="single" w:color="auto" w:sz="4" w:space="0"/>
              <w:right w:val="single" w:color="auto" w:sz="4" w:space="0"/>
            </w:tcBorders>
            <w:vAlign w:val="center"/>
          </w:tcPr>
          <w:p w14:paraId="18AC6E99">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邮政编码：</w:t>
            </w:r>
          </w:p>
        </w:tc>
        <w:tc>
          <w:tcPr>
            <w:tcW w:w="2500" w:type="pct"/>
            <w:tcBorders>
              <w:top w:val="single" w:color="auto" w:sz="4" w:space="0"/>
              <w:left w:val="single" w:color="auto" w:sz="4" w:space="0"/>
              <w:bottom w:val="single" w:color="auto" w:sz="4" w:space="0"/>
              <w:right w:val="single" w:color="auto" w:sz="4" w:space="0"/>
            </w:tcBorders>
            <w:vAlign w:val="center"/>
          </w:tcPr>
          <w:p w14:paraId="2A1B9782">
            <w:pPr>
              <w:snapToGrid w:val="0"/>
              <w:spacing w:line="360" w:lineRule="auto"/>
              <w:rPr>
                <w:rFonts w:hint="eastAsia" w:ascii="宋体" w:hAnsi="宋体" w:cs="宋体"/>
                <w:color w:val="auto"/>
                <w:szCs w:val="21"/>
                <w:highlight w:val="none"/>
              </w:rPr>
            </w:pPr>
            <w:r>
              <w:rPr>
                <w:rFonts w:ascii="宋体" w:hAnsi="宋体" w:cs="宋体"/>
                <w:color w:val="auto"/>
                <w:szCs w:val="21"/>
                <w:highlight w:val="none"/>
              </w:rPr>
              <w:t>邮政编码：</w:t>
            </w:r>
          </w:p>
        </w:tc>
      </w:tr>
    </w:tbl>
    <w:p w14:paraId="58DBB5FE">
      <w:pPr>
        <w:snapToGrid w:val="0"/>
        <w:spacing w:line="360" w:lineRule="auto"/>
        <w:ind w:left="420" w:hanging="420" w:hangingChars="200"/>
        <w:rPr>
          <w:rFonts w:hint="eastAsia" w:ascii="宋体" w:hAnsi="宋体"/>
          <w:color w:val="auto"/>
          <w:szCs w:val="21"/>
          <w:highlight w:val="none"/>
        </w:rPr>
      </w:pPr>
    </w:p>
    <w:p w14:paraId="7FE1C82E">
      <w:pPr>
        <w:snapToGrid w:val="0"/>
        <w:spacing w:line="360" w:lineRule="auto"/>
        <w:jc w:val="center"/>
        <w:rPr>
          <w:rFonts w:hint="eastAsia" w:ascii="宋体" w:hAnsi="宋体"/>
          <w:b/>
          <w:color w:val="auto"/>
          <w:szCs w:val="21"/>
          <w:highlight w:val="none"/>
        </w:rPr>
      </w:pPr>
      <w:r>
        <w:rPr>
          <w:rFonts w:ascii="宋体" w:hAnsi="宋体"/>
          <w:b/>
          <w:color w:val="auto"/>
          <w:szCs w:val="21"/>
          <w:highlight w:val="none"/>
        </w:rPr>
        <w:br w:type="page"/>
      </w:r>
      <w:r>
        <w:rPr>
          <w:rFonts w:ascii="宋体" w:hAnsi="宋体"/>
          <w:b/>
          <w:color w:val="auto"/>
          <w:szCs w:val="21"/>
          <w:highlight w:val="none"/>
        </w:rPr>
        <w:t>合 同 附 件</w:t>
      </w:r>
    </w:p>
    <w:p w14:paraId="13C99708">
      <w:pPr>
        <w:snapToGrid w:val="0"/>
        <w:spacing w:line="360" w:lineRule="auto"/>
        <w:rPr>
          <w:rFonts w:hint="eastAsia" w:ascii="宋体" w:hAnsi="宋体"/>
          <w:color w:val="auto"/>
          <w:szCs w:val="21"/>
          <w:highlight w:val="none"/>
        </w:rPr>
      </w:pPr>
    </w:p>
    <w:tbl>
      <w:tblPr>
        <w:tblStyle w:val="45"/>
        <w:tblW w:w="0" w:type="auto"/>
        <w:tblInd w:w="0" w:type="dxa"/>
        <w:tblLayout w:type="fixed"/>
        <w:tblCellMar>
          <w:top w:w="0" w:type="dxa"/>
          <w:left w:w="108" w:type="dxa"/>
          <w:bottom w:w="0" w:type="dxa"/>
          <w:right w:w="108" w:type="dxa"/>
        </w:tblCellMar>
      </w:tblPr>
      <w:tblGrid>
        <w:gridCol w:w="4248"/>
        <w:gridCol w:w="4274"/>
      </w:tblGrid>
      <w:tr w14:paraId="07DA8996">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tcPr>
          <w:p w14:paraId="37B3CD5F">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1. 供应商承诺具体事项：</w:t>
            </w:r>
          </w:p>
        </w:tc>
      </w:tr>
      <w:tr w14:paraId="673CB2F4">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tcPr>
          <w:p w14:paraId="65DCEB53">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2. 售后服务具体事项：</w:t>
            </w:r>
          </w:p>
        </w:tc>
      </w:tr>
      <w:tr w14:paraId="034FC5C4">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right w:val="single" w:color="auto" w:sz="4" w:space="0"/>
            </w:tcBorders>
          </w:tcPr>
          <w:p w14:paraId="1EAA38BF">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3. 保修期责任：</w:t>
            </w:r>
          </w:p>
        </w:tc>
      </w:tr>
      <w:tr w14:paraId="31285C25">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tcPr>
          <w:p w14:paraId="2662A388">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4. 其他具体事项：</w:t>
            </w:r>
          </w:p>
        </w:tc>
      </w:tr>
      <w:tr w14:paraId="31DC3948">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vAlign w:val="center"/>
          </w:tcPr>
          <w:p w14:paraId="7463C9B6">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甲方（章）</w:t>
            </w:r>
          </w:p>
          <w:p w14:paraId="333E35E4">
            <w:pPr>
              <w:snapToGrid w:val="0"/>
              <w:spacing w:line="360" w:lineRule="auto"/>
              <w:ind w:firstLine="422" w:firstLineChars="200"/>
              <w:rPr>
                <w:rFonts w:hint="eastAsia" w:ascii="宋体" w:hAnsi="宋体"/>
                <w:b/>
                <w:color w:val="auto"/>
                <w:szCs w:val="21"/>
                <w:highlight w:val="none"/>
              </w:rPr>
            </w:pPr>
          </w:p>
          <w:p w14:paraId="74A63F85">
            <w:pPr>
              <w:snapToGrid w:val="0"/>
              <w:spacing w:line="360" w:lineRule="auto"/>
              <w:rPr>
                <w:rFonts w:hint="eastAsia" w:ascii="宋体" w:hAnsi="宋体"/>
                <w:b/>
                <w:color w:val="auto"/>
                <w:szCs w:val="21"/>
                <w:highlight w:val="none"/>
              </w:rPr>
            </w:pPr>
          </w:p>
          <w:p w14:paraId="28DFCD66">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vAlign w:val="center"/>
          </w:tcPr>
          <w:p w14:paraId="2CD7941A">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乙方（章）</w:t>
            </w:r>
          </w:p>
          <w:p w14:paraId="65597F50">
            <w:pPr>
              <w:snapToGrid w:val="0"/>
              <w:spacing w:line="360" w:lineRule="auto"/>
              <w:ind w:firstLine="422" w:firstLineChars="200"/>
              <w:rPr>
                <w:rFonts w:hint="eastAsia" w:ascii="宋体" w:hAnsi="宋体"/>
                <w:b/>
                <w:color w:val="auto"/>
                <w:szCs w:val="21"/>
                <w:highlight w:val="none"/>
              </w:rPr>
            </w:pPr>
          </w:p>
          <w:p w14:paraId="3576000C">
            <w:pPr>
              <w:snapToGrid w:val="0"/>
              <w:spacing w:line="360" w:lineRule="auto"/>
              <w:rPr>
                <w:rFonts w:hint="eastAsia" w:ascii="宋体" w:hAnsi="宋体"/>
                <w:b/>
                <w:color w:val="auto"/>
                <w:szCs w:val="21"/>
                <w:highlight w:val="none"/>
              </w:rPr>
            </w:pPr>
          </w:p>
          <w:p w14:paraId="0AEC99FD">
            <w:pPr>
              <w:snapToGrid w:val="0"/>
              <w:spacing w:line="360" w:lineRule="auto"/>
              <w:ind w:firstLine="422" w:firstLineChars="200"/>
              <w:rPr>
                <w:rFonts w:hint="eastAsia" w:ascii="宋体" w:hAnsi="宋体"/>
                <w:b/>
                <w:color w:val="auto"/>
                <w:szCs w:val="21"/>
                <w:highlight w:val="none"/>
              </w:rPr>
            </w:pPr>
            <w:r>
              <w:rPr>
                <w:rFonts w:ascii="宋体" w:hAnsi="宋体"/>
                <w:b/>
                <w:color w:val="auto"/>
                <w:szCs w:val="21"/>
                <w:highlight w:val="none"/>
              </w:rPr>
              <w:t xml:space="preserve">                年   月   日</w:t>
            </w:r>
          </w:p>
        </w:tc>
      </w:tr>
    </w:tbl>
    <w:p w14:paraId="688E45BD">
      <w:pPr>
        <w:snapToGrid w:val="0"/>
        <w:spacing w:line="360" w:lineRule="auto"/>
        <w:jc w:val="left"/>
        <w:rPr>
          <w:rFonts w:hint="eastAsia" w:ascii="宋体" w:hAnsi="宋体"/>
          <w:color w:val="auto"/>
          <w:szCs w:val="21"/>
          <w:highlight w:val="none"/>
        </w:rPr>
      </w:pPr>
      <w:r>
        <w:rPr>
          <w:rFonts w:ascii="宋体" w:hAnsi="宋体"/>
          <w:color w:val="auto"/>
          <w:szCs w:val="21"/>
          <w:highlight w:val="none"/>
        </w:rPr>
        <w:t xml:space="preserve">   注：售后服务事项填不下时可另加附页</w:t>
      </w:r>
    </w:p>
    <w:p w14:paraId="3516418C">
      <w:pPr>
        <w:spacing w:before="240" w:beforeLines="100" w:after="240" w:afterLines="100" w:line="360" w:lineRule="auto"/>
        <w:jc w:val="center"/>
        <w:rPr>
          <w:rFonts w:hint="eastAsia" w:ascii="宋体" w:hAnsi="宋体"/>
          <w:b/>
          <w:color w:val="auto"/>
          <w:sz w:val="28"/>
          <w:szCs w:val="21"/>
          <w:highlight w:val="none"/>
        </w:rPr>
      </w:pPr>
      <w:r>
        <w:rPr>
          <w:rFonts w:ascii="宋体" w:hAnsi="宋体"/>
          <w:color w:val="auto"/>
          <w:szCs w:val="21"/>
          <w:highlight w:val="none"/>
        </w:rPr>
        <w:br w:type="page"/>
      </w:r>
      <w:bookmarkStart w:id="170" w:name="_Toc41460689"/>
      <w:r>
        <w:rPr>
          <w:rFonts w:hint="eastAsia" w:ascii="宋体" w:hAnsi="宋体"/>
          <w:b/>
          <w:color w:val="auto"/>
          <w:sz w:val="28"/>
          <w:szCs w:val="21"/>
          <w:highlight w:val="none"/>
        </w:rPr>
        <w:t>项目廉洁合同</w:t>
      </w:r>
      <w:bookmarkEnd w:id="170"/>
      <w:r>
        <w:rPr>
          <w:rFonts w:hint="eastAsia" w:ascii="宋体" w:hAnsi="宋体"/>
          <w:b/>
          <w:color w:val="auto"/>
          <w:sz w:val="28"/>
          <w:szCs w:val="21"/>
          <w:highlight w:val="none"/>
        </w:rPr>
        <w:t>（格式）</w:t>
      </w:r>
    </w:p>
    <w:p w14:paraId="31DD6230">
      <w:pPr>
        <w:spacing w:line="360" w:lineRule="auto"/>
        <w:rPr>
          <w:rFonts w:hint="eastAsia" w:ascii="宋体" w:hAnsi="宋体"/>
          <w:color w:val="auto"/>
          <w:szCs w:val="21"/>
          <w:highlight w:val="none"/>
        </w:rPr>
      </w:pPr>
      <w:r>
        <w:rPr>
          <w:rFonts w:hint="eastAsia" w:ascii="宋体" w:hAnsi="宋体"/>
          <w:color w:val="auto"/>
          <w:szCs w:val="21"/>
          <w:highlight w:val="none"/>
        </w:rPr>
        <w:t>甲    方：自然资源部第四海洋研究所</w:t>
      </w:r>
    </w:p>
    <w:p w14:paraId="150CAC79">
      <w:pPr>
        <w:spacing w:line="360" w:lineRule="auto"/>
        <w:rPr>
          <w:rFonts w:hint="eastAsia" w:ascii="宋体" w:hAnsi="宋体"/>
          <w:color w:val="auto"/>
          <w:szCs w:val="21"/>
          <w:highlight w:val="none"/>
        </w:rPr>
      </w:pPr>
      <w:r>
        <w:rPr>
          <w:rFonts w:hint="eastAsia" w:ascii="宋体" w:hAnsi="宋体"/>
          <w:color w:val="auto"/>
          <w:szCs w:val="21"/>
          <w:highlight w:val="none"/>
        </w:rPr>
        <w:t>乙    方：</w:t>
      </w:r>
      <w:r>
        <w:rPr>
          <w:rFonts w:ascii="宋体" w:hAnsi="宋体"/>
          <w:color w:val="auto"/>
          <w:szCs w:val="21"/>
          <w:highlight w:val="none"/>
        </w:rPr>
        <w:t xml:space="preserve"> </w:t>
      </w:r>
    </w:p>
    <w:p w14:paraId="22415A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为保证甲乙双方合作的公平公正，保护国家、集体和当事人的合法权益，甲乙双方经过共同协商，根据相关法律法规和党风廉政建设有关规定，签订本合同。</w:t>
      </w:r>
    </w:p>
    <w:p w14:paraId="4028722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第一条 甲乙双方的责任 </w:t>
      </w:r>
    </w:p>
    <w:p w14:paraId="6AAF017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（一）严格遵守国家关于市场准入、项目招标投标、工程建设、市场活动等有关法律、法规、相关政策，以及党风廉政建设的有关规定。</w:t>
      </w:r>
    </w:p>
    <w:p w14:paraId="56D7921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（二）严格执行项目合同，自觉按合同办事。</w:t>
      </w:r>
    </w:p>
    <w:p w14:paraId="270C32C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（三）业务活动必须坚持公开、公平、公正、诚信、透明的原则，不得损害国家、集体和他人合法权益。</w:t>
      </w:r>
    </w:p>
    <w:p w14:paraId="1A03EB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（四）加强相互监督，对发现对方在业务活动中有违规、违纪、违法行为的，应及时提醒并予纠正；情节严重的，应及时向其上级主管部门、纪检监察部门或司法机关举报。</w:t>
      </w:r>
    </w:p>
    <w:p w14:paraId="235B7DD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第二条 甲方的责任 </w:t>
      </w:r>
    </w:p>
    <w:p w14:paraId="07F7CAA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应与乙方保持正常的业务交往，按照有关法律法规和程序开展业务工作，并遵守以下规定： </w:t>
      </w:r>
    </w:p>
    <w:p w14:paraId="4826DDF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（一）不准向乙方索要或接受回扣、礼金、有价证券、贵重物品、挂职工资、津贴、好处费、感谢费等，或变相接受贿赂。</w:t>
      </w:r>
    </w:p>
    <w:p w14:paraId="161EDA8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（二）不准在乙方报销任何应由甲方或甲方工作人员支付的费用。</w:t>
      </w:r>
    </w:p>
    <w:p w14:paraId="38B30A1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（三）不准要求、暗示或接受乙方为甲方工作人员装修住房、婚丧嫁娶、配偶子女的工作安排以及出国（境）、旅游等提供方便。</w:t>
      </w:r>
    </w:p>
    <w:p w14:paraId="47962CE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（四）不准参加有可能影响公正执行公务的乙方安排的宴请、健身、娱乐等活动。</w:t>
      </w:r>
    </w:p>
    <w:p w14:paraId="6744937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（五）不准向乙方介绍或推荐配偶、子女、亲属参与乙方同相关单位的经济活动。</w:t>
      </w:r>
    </w:p>
    <w:p w14:paraId="4CDB4E3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第三条 乙方的责任 </w:t>
      </w:r>
    </w:p>
    <w:p w14:paraId="1454A77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应与甲方保持正常的业务交往，按照有关法律法规和程序开展业务工作，并遵守以下规定： </w:t>
      </w:r>
    </w:p>
    <w:p w14:paraId="0EA85F8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（一）不准以任何理由、任何形式向甲方及其工作人员赠送或提供回扣、礼金、有价证券、贵重物品、挂职工资、津贴、好处费、感谢费等。</w:t>
      </w:r>
    </w:p>
    <w:p w14:paraId="6C64E6A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（二）不准以任何理由为甲方报销应由甲方或甲方工作人员个人支付的费用。</w:t>
      </w:r>
    </w:p>
    <w:p w14:paraId="75F25CA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（三）不准提出或暗示为甲方或甲方相关人员装修住房、婚丧嫁娶、配偶子女的工作安排以及出国（境）、旅游等提供方便。</w:t>
      </w:r>
    </w:p>
    <w:p w14:paraId="6DD867F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（四）不准以任何理由为甲方或其相关人员组织有可能影响公正执行公务的宴请、健身、娱乐等活动。</w:t>
      </w:r>
    </w:p>
    <w:p w14:paraId="2219B36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（五）不准为甲方工作人员的配偶、子女、亲属参与乙方和相关单位的经济活动提供方便。</w:t>
      </w:r>
    </w:p>
    <w:p w14:paraId="4F04E25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（六）严禁其他商业贿赂行为。</w:t>
      </w:r>
    </w:p>
    <w:p w14:paraId="096D097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（七）乙方及其工作人员在招标采购及合同执行过程中，必须遵守国家法律、法规和党内法规廉洁自律的其他规定。</w:t>
      </w:r>
    </w:p>
    <w:p w14:paraId="3710E17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第四条 违约责任 </w:t>
      </w:r>
    </w:p>
    <w:p w14:paraId="1DA7484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（一）甲方及其工作人员有违反本合同第一、二条责任行为的，按照管理权限，依据有关法律法规和规定给予党纪、政纪处分或组织处理；涉嫌犯罪的，移交司法机关追究刑事责任。</w:t>
      </w:r>
    </w:p>
    <w:p w14:paraId="358CE42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乙方及其工作人员有违反本合同第一、三条责任行为的，按照管理权限，依据有关法律法规和规定给予以下相应处理：乙方获取的不正当利益应返还甲方；给甲方造成损失的，乙方除支付违约金外，还应全额赔偿甲方的损失，甲方有权单方解除甲乙双方签订的《</w:t>
      </w:r>
      <w:r>
        <w:rPr>
          <w:rFonts w:hint="eastAsia" w:ascii="宋体" w:hAnsi="宋体"/>
          <w:color w:val="auto"/>
          <w:szCs w:val="21"/>
          <w:highlight w:val="none"/>
          <w:u w:val="single"/>
        </w:rPr>
        <w:t xml:space="preserve">  合同名称  </w:t>
      </w:r>
      <w:r>
        <w:rPr>
          <w:rFonts w:hint="eastAsia" w:ascii="宋体" w:hAnsi="宋体"/>
          <w:color w:val="auto"/>
          <w:szCs w:val="21"/>
          <w:highlight w:val="none"/>
        </w:rPr>
        <w:t>》（合同编号：</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），并追究乙方责任；涉嫌犯罪的，移交司法机关追究刑事责任。</w:t>
      </w:r>
    </w:p>
    <w:p w14:paraId="79185DA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甲方人员索贿，乙方不向甲方举报且满足其要求的，或乙方为谋取不正当利益主动向甲方工作人员行贿或提供本合同第三条禁止的好处的，一经查实，纳入甲方的不良行为供应商管理，按行业相关规定处理。</w:t>
      </w:r>
    </w:p>
    <w:p w14:paraId="36CE2BE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第五条 本合同作为《</w:t>
      </w:r>
      <w:r>
        <w:rPr>
          <w:rFonts w:hint="eastAsia" w:ascii="宋体" w:hAnsi="宋体"/>
          <w:color w:val="auto"/>
          <w:szCs w:val="21"/>
          <w:highlight w:val="none"/>
          <w:u w:val="single"/>
        </w:rPr>
        <w:t xml:space="preserve">  合同名称  </w:t>
      </w:r>
      <w:r>
        <w:rPr>
          <w:rFonts w:hint="eastAsia" w:ascii="宋体" w:hAnsi="宋体"/>
          <w:color w:val="auto"/>
          <w:szCs w:val="21"/>
          <w:highlight w:val="none"/>
        </w:rPr>
        <w:t>》（合同编号：</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附件，与主合同具有同等法律效力。经双方签署后立即生效。甲乙双方保证，本合同的约定同样适用于甲乙双方的员工或相关经办人员，甲乙双方应确保各自的员工或经办人员遵守本合同，如有任何一方员工或经办人员违反本合同约定，视为甲方、乙方违反合同。</w:t>
      </w:r>
    </w:p>
    <w:p w14:paraId="1E7650F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第六条 本合同按主合同份数签订，合同有效期为双方签署之日起，至主合同结算完成、款项支付完毕时止。同时，对在此期限之外，经司法机关、纪委等查处、判定的涉及本合同有关内容的，甲方保留对乙方违约导致损失事项的追偿权利。</w:t>
      </w:r>
    </w:p>
    <w:p w14:paraId="3C0C3792">
      <w:pPr>
        <w:tabs>
          <w:tab w:val="left" w:pos="4395"/>
        </w:tabs>
        <w:autoSpaceDE w:val="0"/>
        <w:autoSpaceDN w:val="0"/>
        <w:spacing w:line="360" w:lineRule="auto"/>
        <w:ind w:right="-197" w:rightChars="-94"/>
        <w:jc w:val="left"/>
        <w:rPr>
          <w:rFonts w:hint="eastAsia" w:ascii="宋体" w:hAnsi="宋体"/>
          <w:color w:val="auto"/>
          <w:szCs w:val="21"/>
          <w:highlight w:val="none"/>
        </w:rPr>
      </w:pPr>
    </w:p>
    <w:p w14:paraId="3BBCA5D8">
      <w:pPr>
        <w:tabs>
          <w:tab w:val="left" w:pos="4395"/>
        </w:tabs>
        <w:autoSpaceDE w:val="0"/>
        <w:autoSpaceDN w:val="0"/>
        <w:spacing w:line="360" w:lineRule="auto"/>
        <w:ind w:right="-197" w:rightChars="-94"/>
        <w:jc w:val="left"/>
        <w:rPr>
          <w:rFonts w:hint="eastAsia" w:ascii="宋体" w:hAnsi="宋体" w:cs="宋体"/>
          <w:bCs/>
          <w:color w:val="auto"/>
          <w:szCs w:val="21"/>
          <w:highlight w:val="none"/>
          <w:u w:val="single"/>
        </w:rPr>
      </w:pPr>
      <w:r>
        <w:rPr>
          <w:rFonts w:hint="eastAsia" w:ascii="宋体" w:hAnsi="宋体"/>
          <w:color w:val="auto"/>
          <w:szCs w:val="21"/>
          <w:highlight w:val="none"/>
        </w:rPr>
        <w:t xml:space="preserve">甲方：自然资源部第四海洋研究所       </w:t>
      </w:r>
      <w:r>
        <w:rPr>
          <w:rFonts w:ascii="宋体" w:hAnsi="宋体"/>
          <w:color w:val="auto"/>
          <w:szCs w:val="21"/>
          <w:highlight w:val="none"/>
        </w:rPr>
        <w:t xml:space="preserve"> </w:t>
      </w:r>
      <w:r>
        <w:rPr>
          <w:rFonts w:hint="eastAsia" w:ascii="宋体" w:hAnsi="宋体"/>
          <w:color w:val="auto"/>
          <w:szCs w:val="21"/>
          <w:highlight w:val="none"/>
        </w:rPr>
        <w:t>乙方：</w:t>
      </w:r>
    </w:p>
    <w:p w14:paraId="4F332616">
      <w:pPr>
        <w:spacing w:line="360" w:lineRule="auto"/>
        <w:ind w:right="-197" w:rightChars="-94"/>
        <w:jc w:val="left"/>
        <w:rPr>
          <w:rFonts w:hint="eastAsia" w:ascii="宋体" w:hAnsi="宋体"/>
          <w:color w:val="auto"/>
          <w:szCs w:val="21"/>
          <w:highlight w:val="none"/>
        </w:rPr>
      </w:pPr>
      <w:r>
        <w:rPr>
          <w:rFonts w:hint="eastAsia" w:ascii="宋体" w:hAnsi="宋体"/>
          <w:color w:val="auto"/>
          <w:szCs w:val="21"/>
          <w:highlight w:val="none"/>
        </w:rPr>
        <w:t xml:space="preserve">法定代表人：                         </w:t>
      </w:r>
      <w:r>
        <w:rPr>
          <w:rFonts w:ascii="宋体" w:hAnsi="宋体"/>
          <w:color w:val="auto"/>
          <w:szCs w:val="21"/>
          <w:highlight w:val="none"/>
        </w:rPr>
        <w:t xml:space="preserve"> </w:t>
      </w:r>
      <w:r>
        <w:rPr>
          <w:rFonts w:hint="eastAsia" w:ascii="宋体" w:hAnsi="宋体"/>
          <w:color w:val="auto"/>
          <w:szCs w:val="21"/>
          <w:highlight w:val="none"/>
        </w:rPr>
        <w:t>法定代表人：</w:t>
      </w:r>
    </w:p>
    <w:p w14:paraId="7848F2EE">
      <w:pPr>
        <w:spacing w:line="360" w:lineRule="auto"/>
        <w:ind w:right="-197" w:rightChars="-94"/>
        <w:jc w:val="left"/>
        <w:rPr>
          <w:rFonts w:hint="eastAsia" w:ascii="宋体" w:hAnsi="宋体"/>
          <w:color w:val="auto"/>
          <w:szCs w:val="21"/>
          <w:highlight w:val="none"/>
        </w:rPr>
      </w:pPr>
      <w:r>
        <w:rPr>
          <w:rFonts w:hint="eastAsia" w:ascii="宋体" w:hAnsi="宋体"/>
          <w:color w:val="auto"/>
          <w:szCs w:val="21"/>
          <w:highlight w:val="none"/>
        </w:rPr>
        <w:t>委托代理人（签字）：                   委托代理人（签字）：</w:t>
      </w:r>
    </w:p>
    <w:p w14:paraId="219C859B">
      <w:pPr>
        <w:spacing w:line="360" w:lineRule="auto"/>
        <w:ind w:right="-197" w:rightChars="-94"/>
        <w:jc w:val="left"/>
        <w:rPr>
          <w:rFonts w:ascii="Calibri" w:hAnsi="Calibri"/>
          <w:color w:val="auto"/>
          <w:highlight w:val="none"/>
        </w:rPr>
      </w:pPr>
      <w:r>
        <w:rPr>
          <w:rFonts w:hint="eastAsia" w:ascii="宋体" w:hAnsi="宋体"/>
          <w:color w:val="auto"/>
          <w:szCs w:val="21"/>
          <w:highlight w:val="none"/>
        </w:rPr>
        <w:t xml:space="preserve">日期：      年    月    日          </w:t>
      </w:r>
      <w:r>
        <w:rPr>
          <w:rFonts w:ascii="宋体" w:hAnsi="宋体"/>
          <w:color w:val="auto"/>
          <w:szCs w:val="21"/>
          <w:highlight w:val="none"/>
        </w:rPr>
        <w:t xml:space="preserve">  </w:t>
      </w:r>
      <w:r>
        <w:rPr>
          <w:rFonts w:hint="eastAsia" w:ascii="宋体" w:hAnsi="宋体"/>
          <w:color w:val="auto"/>
          <w:szCs w:val="21"/>
          <w:highlight w:val="none"/>
        </w:rPr>
        <w:t>日期：      年    月    日</w:t>
      </w:r>
    </w:p>
    <w:p w14:paraId="0CBE4994">
      <w:pPr>
        <w:snapToGrid w:val="0"/>
        <w:spacing w:line="360" w:lineRule="auto"/>
        <w:jc w:val="left"/>
        <w:rPr>
          <w:rFonts w:hint="eastAsia" w:ascii="宋体" w:hAnsi="宋体"/>
          <w:color w:val="auto"/>
          <w:szCs w:val="21"/>
          <w:highlight w:val="none"/>
        </w:rPr>
      </w:pPr>
    </w:p>
    <w:p w14:paraId="7B196411">
      <w:pPr>
        <w:pStyle w:val="3"/>
        <w:keepNext w:val="0"/>
        <w:keepLines w:val="0"/>
        <w:jc w:val="center"/>
        <w:rPr>
          <w:color w:val="auto"/>
          <w:highlight w:val="none"/>
        </w:rPr>
      </w:pPr>
      <w:r>
        <w:rPr>
          <w:rFonts w:ascii="宋体" w:hAnsi="宋体"/>
          <w:b w:val="0"/>
          <w:color w:val="auto"/>
          <w:highlight w:val="none"/>
        </w:rPr>
        <w:br w:type="page"/>
      </w:r>
      <w:bookmarkEnd w:id="169"/>
      <w:bookmarkStart w:id="171" w:name="_Toc19686834"/>
      <w:r>
        <w:rPr>
          <w:rFonts w:hint="eastAsia"/>
          <w:color w:val="auto"/>
          <w:highlight w:val="none"/>
        </w:rPr>
        <w:t>第六章　投标文件格式</w:t>
      </w:r>
      <w:bookmarkEnd w:id="171"/>
    </w:p>
    <w:p w14:paraId="1820CDF3">
      <w:pPr>
        <w:snapToGrid w:val="0"/>
        <w:spacing w:before="50" w:after="50"/>
        <w:outlineLvl w:val="1"/>
        <w:rPr>
          <w:rFonts w:hint="eastAsia" w:ascii="宋体" w:hAnsi="宋体"/>
          <w:b/>
          <w:bCs/>
          <w:color w:val="auto"/>
          <w:sz w:val="28"/>
          <w:szCs w:val="28"/>
          <w:highlight w:val="none"/>
        </w:rPr>
      </w:pPr>
      <w:bookmarkStart w:id="172" w:name="_Toc254970556"/>
      <w:bookmarkStart w:id="173" w:name="_Toc19686835"/>
      <w:bookmarkStart w:id="174" w:name="_Toc254970697"/>
      <w:r>
        <w:rPr>
          <w:rFonts w:hint="eastAsia" w:ascii="宋体" w:hAnsi="宋体"/>
          <w:b/>
          <w:bCs/>
          <w:color w:val="auto"/>
          <w:sz w:val="28"/>
          <w:szCs w:val="28"/>
          <w:highlight w:val="none"/>
        </w:rPr>
        <w:t>一、投标文件外层包装封面格式</w:t>
      </w:r>
      <w:bookmarkEnd w:id="172"/>
      <w:bookmarkEnd w:id="173"/>
      <w:bookmarkEnd w:id="174"/>
      <w:r>
        <w:rPr>
          <w:rFonts w:hint="eastAsia" w:ascii="宋体" w:hAnsi="宋体"/>
          <w:b/>
          <w:color w:val="auto"/>
          <w:sz w:val="28"/>
          <w:szCs w:val="28"/>
          <w:highlight w:val="none"/>
        </w:rPr>
        <w:t xml:space="preserve"> </w:t>
      </w:r>
    </w:p>
    <w:p w14:paraId="3D899ACD">
      <w:pPr>
        <w:snapToGrid w:val="0"/>
        <w:spacing w:before="120" w:beforeLines="50" w:after="50"/>
        <w:jc w:val="center"/>
        <w:rPr>
          <w:rFonts w:hint="eastAsia" w:ascii="宋体" w:hAnsi="宋体"/>
          <w:color w:val="auto"/>
          <w:sz w:val="24"/>
          <w:szCs w:val="20"/>
          <w:highlight w:val="none"/>
        </w:rPr>
      </w:pPr>
    </w:p>
    <w:p w14:paraId="630474CD">
      <w:pPr>
        <w:snapToGrid w:val="0"/>
        <w:spacing w:before="120" w:beforeLines="50" w:after="50"/>
        <w:jc w:val="center"/>
        <w:rPr>
          <w:rFonts w:hint="eastAsia" w:ascii="宋体" w:hAnsi="宋体"/>
          <w:bCs/>
          <w:color w:val="auto"/>
          <w:sz w:val="24"/>
          <w:szCs w:val="20"/>
          <w:highlight w:val="none"/>
        </w:rPr>
      </w:pPr>
    </w:p>
    <w:p w14:paraId="3D01BD81">
      <w:pPr>
        <w:snapToGrid w:val="0"/>
        <w:spacing w:before="120" w:beforeLines="50" w:after="50"/>
        <w:jc w:val="center"/>
        <w:rPr>
          <w:rFonts w:hint="eastAsia" w:ascii="宋体" w:hAnsi="宋体"/>
          <w:bCs/>
          <w:color w:val="auto"/>
          <w:sz w:val="24"/>
          <w:szCs w:val="20"/>
          <w:highlight w:val="none"/>
        </w:rPr>
      </w:pPr>
    </w:p>
    <w:p w14:paraId="06CFE053">
      <w:pPr>
        <w:snapToGrid w:val="0"/>
        <w:spacing w:before="120" w:beforeLines="50" w:after="50"/>
        <w:jc w:val="center"/>
        <w:rPr>
          <w:rFonts w:hint="eastAsia" w:ascii="宋体" w:hAnsi="宋体"/>
          <w:bCs/>
          <w:color w:val="auto"/>
          <w:sz w:val="24"/>
          <w:szCs w:val="20"/>
          <w:highlight w:val="none"/>
        </w:rPr>
      </w:pPr>
    </w:p>
    <w:p w14:paraId="6FDD7730">
      <w:pPr>
        <w:snapToGrid w:val="0"/>
        <w:spacing w:before="120" w:beforeLines="50" w:after="50"/>
        <w:jc w:val="center"/>
        <w:rPr>
          <w:rFonts w:hint="eastAsia" w:ascii="宋体" w:hAnsi="宋体"/>
          <w:b/>
          <w:color w:val="auto"/>
          <w:sz w:val="84"/>
          <w:szCs w:val="84"/>
          <w:highlight w:val="none"/>
        </w:rPr>
      </w:pPr>
      <w:r>
        <w:rPr>
          <w:rFonts w:hint="eastAsia" w:ascii="宋体" w:hAnsi="宋体"/>
          <w:b/>
          <w:color w:val="auto"/>
          <w:sz w:val="84"/>
          <w:szCs w:val="84"/>
          <w:highlight w:val="none"/>
        </w:rPr>
        <w:t>投 标 文 件</w:t>
      </w:r>
    </w:p>
    <w:p w14:paraId="1E325EA1">
      <w:pPr>
        <w:snapToGrid w:val="0"/>
        <w:spacing w:before="120" w:beforeLines="50" w:after="50"/>
        <w:jc w:val="center"/>
        <w:rPr>
          <w:rFonts w:hint="eastAsia" w:ascii="宋体" w:hAnsi="宋体"/>
          <w:bCs/>
          <w:color w:val="auto"/>
          <w:sz w:val="24"/>
          <w:szCs w:val="20"/>
          <w:highlight w:val="none"/>
        </w:rPr>
      </w:pPr>
    </w:p>
    <w:p w14:paraId="0D651970">
      <w:pPr>
        <w:snapToGrid w:val="0"/>
        <w:spacing w:before="120" w:beforeLines="50" w:after="50"/>
        <w:jc w:val="center"/>
        <w:rPr>
          <w:rFonts w:hint="eastAsia" w:ascii="宋体" w:hAnsi="宋体"/>
          <w:bCs/>
          <w:color w:val="auto"/>
          <w:sz w:val="24"/>
          <w:szCs w:val="20"/>
          <w:highlight w:val="none"/>
        </w:rPr>
      </w:pPr>
    </w:p>
    <w:p w14:paraId="7A8D9415">
      <w:pPr>
        <w:snapToGrid w:val="0"/>
        <w:spacing w:before="120" w:beforeLines="50" w:after="50"/>
        <w:jc w:val="center"/>
        <w:rPr>
          <w:rFonts w:hint="eastAsia" w:ascii="宋体" w:hAnsi="宋体"/>
          <w:bCs/>
          <w:color w:val="auto"/>
          <w:sz w:val="24"/>
          <w:szCs w:val="20"/>
          <w:highlight w:val="none"/>
        </w:rPr>
      </w:pPr>
    </w:p>
    <w:p w14:paraId="2476E4E3">
      <w:pPr>
        <w:snapToGrid w:val="0"/>
        <w:spacing w:before="120" w:beforeLines="50" w:after="50"/>
        <w:jc w:val="center"/>
        <w:rPr>
          <w:rFonts w:hint="eastAsia" w:ascii="宋体" w:hAnsi="宋体"/>
          <w:bCs/>
          <w:color w:val="auto"/>
          <w:sz w:val="24"/>
          <w:szCs w:val="20"/>
          <w:highlight w:val="none"/>
        </w:rPr>
      </w:pPr>
    </w:p>
    <w:p w14:paraId="0037AAAA">
      <w:pPr>
        <w:snapToGrid w:val="0"/>
        <w:spacing w:before="120" w:beforeLines="50" w:after="50"/>
        <w:jc w:val="center"/>
        <w:rPr>
          <w:rFonts w:hint="eastAsia" w:ascii="宋体" w:hAnsi="宋体"/>
          <w:bCs/>
          <w:color w:val="auto"/>
          <w:sz w:val="24"/>
          <w:szCs w:val="20"/>
          <w:highlight w:val="none"/>
        </w:rPr>
      </w:pPr>
    </w:p>
    <w:p w14:paraId="729AF932">
      <w:pPr>
        <w:snapToGrid w:val="0"/>
        <w:spacing w:before="120" w:beforeLines="50" w:after="50"/>
        <w:jc w:val="center"/>
        <w:rPr>
          <w:rFonts w:hint="eastAsia" w:ascii="宋体" w:hAnsi="宋体"/>
          <w:bCs/>
          <w:color w:val="auto"/>
          <w:sz w:val="24"/>
          <w:szCs w:val="20"/>
          <w:highlight w:val="none"/>
        </w:rPr>
      </w:pPr>
    </w:p>
    <w:p w14:paraId="3E56F145">
      <w:pPr>
        <w:snapToGrid w:val="0"/>
        <w:spacing w:before="120" w:beforeLines="50" w:after="50"/>
        <w:jc w:val="center"/>
        <w:rPr>
          <w:rFonts w:hint="eastAsia" w:ascii="宋体" w:hAnsi="宋体"/>
          <w:bCs/>
          <w:color w:val="auto"/>
          <w:sz w:val="24"/>
          <w:szCs w:val="20"/>
          <w:highlight w:val="none"/>
        </w:rPr>
      </w:pPr>
    </w:p>
    <w:p w14:paraId="2872C0E8">
      <w:pPr>
        <w:snapToGrid w:val="0"/>
        <w:spacing w:before="120" w:beforeLines="50" w:after="50"/>
        <w:jc w:val="center"/>
        <w:rPr>
          <w:rFonts w:hint="eastAsia" w:ascii="宋体" w:hAnsi="宋体"/>
          <w:bCs/>
          <w:color w:val="auto"/>
          <w:sz w:val="24"/>
          <w:szCs w:val="20"/>
          <w:highlight w:val="none"/>
        </w:rPr>
      </w:pPr>
    </w:p>
    <w:p w14:paraId="555F39C7">
      <w:pPr>
        <w:snapToGrid w:val="0"/>
        <w:spacing w:before="120" w:beforeLines="50" w:after="50"/>
        <w:jc w:val="center"/>
        <w:rPr>
          <w:rFonts w:hint="eastAsia" w:ascii="宋体" w:hAnsi="宋体"/>
          <w:bCs/>
          <w:color w:val="auto"/>
          <w:sz w:val="24"/>
          <w:szCs w:val="20"/>
          <w:highlight w:val="none"/>
        </w:rPr>
      </w:pPr>
    </w:p>
    <w:p w14:paraId="41387BA8">
      <w:pPr>
        <w:snapToGrid w:val="0"/>
        <w:spacing w:before="120" w:beforeLines="50" w:after="50"/>
        <w:ind w:firstLine="422" w:firstLineChars="150"/>
        <w:rPr>
          <w:rFonts w:hint="eastAsia" w:ascii="宋体" w:hAnsi="宋体"/>
          <w:b/>
          <w:bCs/>
          <w:color w:val="auto"/>
          <w:sz w:val="28"/>
          <w:szCs w:val="28"/>
          <w:highlight w:val="none"/>
        </w:rPr>
      </w:pPr>
      <w:r>
        <w:rPr>
          <w:rFonts w:hint="eastAsia" w:ascii="宋体" w:hAnsi="宋体"/>
          <w:b/>
          <w:bCs/>
          <w:color w:val="auto"/>
          <w:sz w:val="28"/>
          <w:szCs w:val="28"/>
          <w:highlight w:val="none"/>
        </w:rPr>
        <w:t>项目名称：</w:t>
      </w:r>
      <w:r>
        <w:rPr>
          <w:rFonts w:hint="eastAsia" w:ascii="宋体" w:hAnsi="宋体"/>
          <w:b/>
          <w:bCs/>
          <w:color w:val="auto"/>
          <w:sz w:val="28"/>
          <w:szCs w:val="28"/>
          <w:highlight w:val="none"/>
          <w:u w:val="single"/>
        </w:rPr>
        <w:t xml:space="preserve">                                  </w:t>
      </w:r>
    </w:p>
    <w:p w14:paraId="2EECB93E">
      <w:pPr>
        <w:snapToGrid w:val="0"/>
        <w:spacing w:before="120" w:beforeLines="50" w:after="50"/>
        <w:ind w:firstLine="422" w:firstLineChars="150"/>
        <w:rPr>
          <w:rFonts w:hint="eastAsia" w:ascii="宋体" w:hAnsi="宋体"/>
          <w:b/>
          <w:bCs/>
          <w:color w:val="auto"/>
          <w:sz w:val="28"/>
          <w:szCs w:val="28"/>
          <w:highlight w:val="none"/>
        </w:rPr>
      </w:pPr>
      <w:r>
        <w:rPr>
          <w:rFonts w:hint="eastAsia" w:ascii="宋体" w:hAnsi="宋体"/>
          <w:b/>
          <w:bCs/>
          <w:color w:val="auto"/>
          <w:sz w:val="28"/>
          <w:szCs w:val="28"/>
          <w:highlight w:val="none"/>
        </w:rPr>
        <w:t>项目编号：</w:t>
      </w:r>
      <w:r>
        <w:rPr>
          <w:rFonts w:hint="eastAsia" w:ascii="宋体" w:hAnsi="宋体"/>
          <w:b/>
          <w:bCs/>
          <w:color w:val="auto"/>
          <w:sz w:val="28"/>
          <w:szCs w:val="28"/>
          <w:highlight w:val="none"/>
          <w:u w:val="single"/>
        </w:rPr>
        <w:t xml:space="preserve">                                  </w:t>
      </w:r>
    </w:p>
    <w:p w14:paraId="4A8B57DD">
      <w:pPr>
        <w:snapToGrid w:val="0"/>
        <w:spacing w:before="120" w:beforeLines="50" w:after="50"/>
        <w:ind w:firstLine="422" w:firstLineChars="150"/>
        <w:rPr>
          <w:rFonts w:hint="eastAsia" w:ascii="宋体" w:hAnsi="宋体"/>
          <w:b/>
          <w:bCs/>
          <w:color w:val="auto"/>
          <w:sz w:val="28"/>
          <w:szCs w:val="28"/>
          <w:highlight w:val="none"/>
        </w:rPr>
      </w:pPr>
      <w:r>
        <w:rPr>
          <w:rFonts w:hint="eastAsia" w:ascii="宋体" w:hAnsi="宋体"/>
          <w:b/>
          <w:bCs/>
          <w:color w:val="auto"/>
          <w:sz w:val="28"/>
          <w:szCs w:val="28"/>
          <w:highlight w:val="none"/>
        </w:rPr>
        <w:t>分标名称（如有）：</w:t>
      </w:r>
    </w:p>
    <w:p w14:paraId="5EB6990B">
      <w:pPr>
        <w:snapToGrid w:val="0"/>
        <w:spacing w:before="120" w:beforeLines="50" w:after="50"/>
        <w:ind w:firstLine="422" w:firstLineChars="150"/>
        <w:rPr>
          <w:rFonts w:hint="eastAsia" w:ascii="宋体" w:hAnsi="宋体"/>
          <w:b/>
          <w:bCs/>
          <w:color w:val="auto"/>
          <w:sz w:val="28"/>
          <w:szCs w:val="28"/>
          <w:highlight w:val="none"/>
        </w:rPr>
      </w:pPr>
      <w:r>
        <w:rPr>
          <w:rFonts w:hint="eastAsia" w:ascii="宋体" w:hAnsi="宋体"/>
          <w:b/>
          <w:bCs/>
          <w:color w:val="auto"/>
          <w:sz w:val="28"/>
          <w:szCs w:val="28"/>
          <w:highlight w:val="none"/>
        </w:rPr>
        <w:t>投标人名称：</w:t>
      </w:r>
      <w:r>
        <w:rPr>
          <w:rFonts w:hint="eastAsia" w:ascii="宋体" w:hAnsi="宋体"/>
          <w:b/>
          <w:bCs/>
          <w:color w:val="auto"/>
          <w:sz w:val="28"/>
          <w:szCs w:val="28"/>
          <w:highlight w:val="none"/>
          <w:u w:val="single"/>
        </w:rPr>
        <w:t xml:space="preserve">                                </w:t>
      </w:r>
    </w:p>
    <w:p w14:paraId="1E1A1A15">
      <w:pPr>
        <w:snapToGrid w:val="0"/>
        <w:spacing w:before="120" w:beforeLines="50" w:after="50"/>
        <w:ind w:firstLine="422" w:firstLineChars="150"/>
        <w:rPr>
          <w:rFonts w:hint="eastAsia" w:ascii="宋体" w:hAnsi="宋体"/>
          <w:b/>
          <w:bCs/>
          <w:color w:val="auto"/>
          <w:sz w:val="28"/>
          <w:szCs w:val="28"/>
          <w:highlight w:val="none"/>
          <w:u w:val="single"/>
        </w:rPr>
      </w:pPr>
      <w:r>
        <w:rPr>
          <w:rFonts w:hint="eastAsia" w:ascii="宋体" w:hAnsi="宋体"/>
          <w:b/>
          <w:bCs/>
          <w:color w:val="auto"/>
          <w:sz w:val="28"/>
          <w:szCs w:val="28"/>
          <w:highlight w:val="none"/>
        </w:rPr>
        <w:t>投标人地址：</w:t>
      </w:r>
      <w:r>
        <w:rPr>
          <w:rFonts w:hint="eastAsia" w:ascii="宋体" w:hAnsi="宋体"/>
          <w:b/>
          <w:bCs/>
          <w:color w:val="auto"/>
          <w:sz w:val="28"/>
          <w:szCs w:val="28"/>
          <w:highlight w:val="none"/>
          <w:u w:val="single"/>
        </w:rPr>
        <w:t xml:space="preserve">                                </w:t>
      </w:r>
    </w:p>
    <w:p w14:paraId="6A675E5C">
      <w:pPr>
        <w:snapToGrid w:val="0"/>
        <w:spacing w:before="120" w:beforeLines="50" w:after="50"/>
        <w:ind w:firstLine="422" w:firstLineChars="150"/>
        <w:rPr>
          <w:rFonts w:hint="eastAsia" w:ascii="宋体" w:hAnsi="宋体"/>
          <w:b/>
          <w:bCs/>
          <w:color w:val="auto"/>
          <w:sz w:val="28"/>
          <w:szCs w:val="28"/>
          <w:highlight w:val="none"/>
          <w:u w:val="single"/>
        </w:rPr>
      </w:pPr>
    </w:p>
    <w:p w14:paraId="1A9BDB3F">
      <w:pPr>
        <w:snapToGrid w:val="0"/>
        <w:spacing w:before="120" w:beforeLines="50" w:after="50"/>
        <w:ind w:firstLine="422" w:firstLineChars="150"/>
        <w:rPr>
          <w:rFonts w:hint="eastAsia" w:ascii="宋体" w:hAnsi="宋体"/>
          <w:b/>
          <w:bCs/>
          <w:color w:val="auto"/>
          <w:sz w:val="28"/>
          <w:szCs w:val="28"/>
          <w:highlight w:val="none"/>
          <w:u w:val="single"/>
        </w:rPr>
      </w:pPr>
    </w:p>
    <w:p w14:paraId="6836C1F9">
      <w:pPr>
        <w:snapToGrid w:val="0"/>
        <w:spacing w:before="120" w:beforeLines="50" w:after="50"/>
        <w:jc w:val="center"/>
        <w:rPr>
          <w:rFonts w:hint="eastAsia" w:ascii="宋体" w:hAnsi="宋体"/>
          <w:bCs/>
          <w:color w:val="auto"/>
          <w:sz w:val="24"/>
          <w:highlight w:val="none"/>
        </w:rPr>
      </w:pPr>
      <w:r>
        <w:rPr>
          <w:rFonts w:hint="eastAsia" w:ascii="宋体" w:hAnsi="宋体"/>
          <w:bCs/>
          <w:color w:val="auto"/>
          <w:sz w:val="24"/>
          <w:szCs w:val="20"/>
          <w:highlight w:val="none"/>
        </w:rPr>
        <w:t>投标截止时间前不得启封</w:t>
      </w:r>
    </w:p>
    <w:p w14:paraId="17BC4F3E">
      <w:pPr>
        <w:snapToGrid w:val="0"/>
        <w:spacing w:before="120" w:beforeLines="50" w:after="50"/>
        <w:jc w:val="center"/>
        <w:rPr>
          <w:rFonts w:hint="eastAsia" w:ascii="宋体" w:hAnsi="宋体"/>
          <w:bCs/>
          <w:color w:val="auto"/>
          <w:sz w:val="24"/>
          <w:szCs w:val="20"/>
          <w:highlight w:val="none"/>
        </w:rPr>
      </w:pPr>
      <w:r>
        <w:rPr>
          <w:rFonts w:hint="eastAsia" w:ascii="宋体" w:hAnsi="宋体"/>
          <w:bCs/>
          <w:color w:val="auto"/>
          <w:sz w:val="24"/>
          <w:highlight w:val="none"/>
        </w:rPr>
        <w:t>年    月    日</w:t>
      </w:r>
    </w:p>
    <w:p w14:paraId="2E38B293">
      <w:pPr>
        <w:snapToGrid w:val="0"/>
        <w:spacing w:before="120" w:beforeLines="50" w:after="50"/>
        <w:jc w:val="center"/>
        <w:outlineLvl w:val="1"/>
        <w:rPr>
          <w:rFonts w:hint="eastAsia" w:ascii="宋体" w:hAnsi="宋体"/>
          <w:b/>
          <w:bCs/>
          <w:color w:val="auto"/>
          <w:sz w:val="28"/>
          <w:szCs w:val="28"/>
          <w:highlight w:val="none"/>
        </w:rPr>
      </w:pPr>
      <w:r>
        <w:rPr>
          <w:rFonts w:ascii="宋体" w:hAnsi="宋体"/>
          <w:color w:val="auto"/>
          <w:highlight w:val="none"/>
        </w:rPr>
        <w:br w:type="page"/>
      </w:r>
      <w:bookmarkStart w:id="175" w:name="_Toc19686836"/>
      <w:bookmarkStart w:id="176" w:name="_Toc254970557"/>
      <w:bookmarkStart w:id="177" w:name="_Toc254970698"/>
      <w:r>
        <w:rPr>
          <w:rFonts w:hint="eastAsia" w:ascii="宋体" w:hAnsi="宋体"/>
          <w:b/>
          <w:bCs/>
          <w:color w:val="auto"/>
          <w:sz w:val="28"/>
          <w:szCs w:val="28"/>
          <w:highlight w:val="none"/>
        </w:rPr>
        <w:t>二、投标文件格式</w:t>
      </w:r>
      <w:bookmarkEnd w:id="175"/>
    </w:p>
    <w:p w14:paraId="50277BF5">
      <w:pPr>
        <w:snapToGrid w:val="0"/>
        <w:spacing w:before="120" w:beforeLines="50" w:after="50" w:line="360" w:lineRule="auto"/>
        <w:jc w:val="left"/>
        <w:rPr>
          <w:rFonts w:hint="eastAsia" w:ascii="宋体" w:hAnsi="宋体"/>
          <w:color w:val="auto"/>
          <w:sz w:val="24"/>
          <w:szCs w:val="20"/>
          <w:highlight w:val="none"/>
        </w:rPr>
      </w:pPr>
      <w:r>
        <w:rPr>
          <w:rFonts w:hint="eastAsia" w:ascii="宋体" w:hAnsi="宋体"/>
          <w:b/>
          <w:color w:val="auto"/>
          <w:sz w:val="24"/>
          <w:highlight w:val="none"/>
        </w:rPr>
        <w:t>投标文件封面格式：</w:t>
      </w:r>
    </w:p>
    <w:p w14:paraId="15CB3595">
      <w:pPr>
        <w:snapToGrid w:val="0"/>
        <w:spacing w:before="120" w:beforeLines="50" w:after="50" w:line="400" w:lineRule="exact"/>
        <w:jc w:val="right"/>
        <w:rPr>
          <w:rFonts w:hint="eastAsia" w:ascii="宋体" w:hAnsi="宋体"/>
          <w:b/>
          <w:bCs/>
          <w:color w:val="auto"/>
          <w:sz w:val="32"/>
          <w:szCs w:val="20"/>
          <w:highlight w:val="none"/>
        </w:rPr>
      </w:pPr>
      <w:r>
        <w:rPr>
          <w:rFonts w:hint="eastAsia" w:ascii="宋体" w:hAnsi="宋体"/>
          <w:color w:val="auto"/>
          <w:sz w:val="24"/>
          <w:highlight w:val="none"/>
        </w:rPr>
        <w:t xml:space="preserve">                                                    </w:t>
      </w:r>
      <w:r>
        <w:rPr>
          <w:rFonts w:hint="eastAsia" w:ascii="宋体" w:hAnsi="宋体"/>
          <w:b/>
          <w:bCs/>
          <w:color w:val="auto"/>
          <w:highlight w:val="none"/>
        </w:rPr>
        <w:t>正本/副本</w:t>
      </w:r>
    </w:p>
    <w:p w14:paraId="2FD344DC">
      <w:pPr>
        <w:snapToGrid w:val="0"/>
        <w:spacing w:before="120" w:beforeLines="50" w:after="50" w:line="400" w:lineRule="exact"/>
        <w:jc w:val="center"/>
        <w:rPr>
          <w:rFonts w:hint="eastAsia" w:ascii="宋体" w:hAnsi="宋体"/>
          <w:bCs/>
          <w:color w:val="auto"/>
          <w:sz w:val="24"/>
          <w:szCs w:val="20"/>
          <w:highlight w:val="none"/>
        </w:rPr>
      </w:pPr>
    </w:p>
    <w:p w14:paraId="57057A72">
      <w:pPr>
        <w:snapToGrid w:val="0"/>
        <w:spacing w:before="120" w:beforeLines="50" w:after="50" w:line="400" w:lineRule="exact"/>
        <w:jc w:val="center"/>
        <w:rPr>
          <w:rFonts w:hint="eastAsia" w:ascii="宋体" w:hAnsi="宋体"/>
          <w:bCs/>
          <w:color w:val="auto"/>
          <w:sz w:val="24"/>
          <w:szCs w:val="20"/>
          <w:highlight w:val="none"/>
        </w:rPr>
      </w:pPr>
    </w:p>
    <w:p w14:paraId="08374F0B">
      <w:pPr>
        <w:snapToGrid w:val="0"/>
        <w:spacing w:before="120" w:beforeLines="50" w:after="50" w:line="400" w:lineRule="exact"/>
        <w:jc w:val="center"/>
        <w:rPr>
          <w:rFonts w:hint="eastAsia" w:ascii="宋体" w:hAnsi="宋体"/>
          <w:bCs/>
          <w:color w:val="auto"/>
          <w:sz w:val="24"/>
          <w:szCs w:val="20"/>
          <w:highlight w:val="none"/>
        </w:rPr>
      </w:pPr>
    </w:p>
    <w:p w14:paraId="4CE0147D">
      <w:pPr>
        <w:snapToGrid w:val="0"/>
        <w:spacing w:before="120" w:beforeLines="50" w:after="50" w:line="400" w:lineRule="exact"/>
        <w:jc w:val="center"/>
        <w:rPr>
          <w:rFonts w:hint="eastAsia" w:ascii="宋体" w:hAnsi="宋体"/>
          <w:bCs/>
          <w:color w:val="auto"/>
          <w:sz w:val="24"/>
          <w:szCs w:val="20"/>
          <w:highlight w:val="none"/>
        </w:rPr>
      </w:pPr>
    </w:p>
    <w:p w14:paraId="4B7EE1CA">
      <w:pPr>
        <w:snapToGrid w:val="0"/>
        <w:spacing w:before="120" w:beforeLines="50" w:after="50" w:line="400" w:lineRule="exact"/>
        <w:jc w:val="center"/>
        <w:rPr>
          <w:rFonts w:hint="eastAsia" w:ascii="宋体" w:hAnsi="宋体"/>
          <w:bCs/>
          <w:color w:val="auto"/>
          <w:sz w:val="24"/>
          <w:szCs w:val="20"/>
          <w:highlight w:val="none"/>
        </w:rPr>
      </w:pPr>
    </w:p>
    <w:p w14:paraId="5DA8EF2D">
      <w:pPr>
        <w:snapToGrid w:val="0"/>
        <w:spacing w:before="120" w:beforeLines="50" w:after="50" w:line="400" w:lineRule="exact"/>
        <w:jc w:val="center"/>
        <w:rPr>
          <w:rFonts w:hint="eastAsia" w:ascii="宋体" w:hAnsi="宋体"/>
          <w:bCs/>
          <w:color w:val="auto"/>
          <w:sz w:val="24"/>
          <w:szCs w:val="20"/>
          <w:highlight w:val="none"/>
        </w:rPr>
      </w:pPr>
    </w:p>
    <w:p w14:paraId="34EC87A9">
      <w:pPr>
        <w:snapToGrid w:val="0"/>
        <w:spacing w:before="120" w:beforeLines="50" w:after="50"/>
        <w:jc w:val="center"/>
        <w:rPr>
          <w:rFonts w:hint="eastAsia" w:ascii="宋体" w:hAnsi="宋体"/>
          <w:b/>
          <w:color w:val="auto"/>
          <w:sz w:val="84"/>
          <w:szCs w:val="84"/>
          <w:highlight w:val="none"/>
        </w:rPr>
      </w:pPr>
      <w:r>
        <w:rPr>
          <w:rFonts w:hint="eastAsia" w:ascii="宋体" w:hAnsi="宋体"/>
          <w:b/>
          <w:color w:val="auto"/>
          <w:sz w:val="84"/>
          <w:szCs w:val="84"/>
          <w:highlight w:val="none"/>
        </w:rPr>
        <w:t>投 标 文 件</w:t>
      </w:r>
    </w:p>
    <w:p w14:paraId="711D30F6">
      <w:pPr>
        <w:snapToGrid w:val="0"/>
        <w:spacing w:before="120" w:beforeLines="50" w:after="50" w:line="400" w:lineRule="exact"/>
        <w:jc w:val="center"/>
        <w:rPr>
          <w:rFonts w:hint="eastAsia" w:ascii="宋体" w:hAnsi="宋体"/>
          <w:bCs/>
          <w:color w:val="auto"/>
          <w:sz w:val="24"/>
          <w:szCs w:val="20"/>
          <w:highlight w:val="none"/>
        </w:rPr>
      </w:pPr>
    </w:p>
    <w:p w14:paraId="07EC5404">
      <w:pPr>
        <w:snapToGrid w:val="0"/>
        <w:spacing w:before="120" w:beforeLines="50" w:after="50" w:line="400" w:lineRule="exact"/>
        <w:jc w:val="center"/>
        <w:rPr>
          <w:rFonts w:hint="eastAsia" w:ascii="宋体" w:hAnsi="宋体"/>
          <w:bCs/>
          <w:color w:val="auto"/>
          <w:sz w:val="24"/>
          <w:szCs w:val="20"/>
          <w:highlight w:val="none"/>
        </w:rPr>
      </w:pPr>
    </w:p>
    <w:p w14:paraId="105FE0AB">
      <w:pPr>
        <w:snapToGrid w:val="0"/>
        <w:spacing w:before="120" w:beforeLines="50" w:after="50" w:line="400" w:lineRule="exact"/>
        <w:jc w:val="center"/>
        <w:rPr>
          <w:rFonts w:hint="eastAsia" w:ascii="宋体" w:hAnsi="宋体"/>
          <w:bCs/>
          <w:color w:val="auto"/>
          <w:sz w:val="24"/>
          <w:szCs w:val="20"/>
          <w:highlight w:val="none"/>
        </w:rPr>
      </w:pPr>
    </w:p>
    <w:p w14:paraId="493AB0F9">
      <w:pPr>
        <w:snapToGrid w:val="0"/>
        <w:spacing w:before="120" w:beforeLines="50" w:after="50" w:line="400" w:lineRule="exact"/>
        <w:jc w:val="center"/>
        <w:rPr>
          <w:rFonts w:hint="eastAsia" w:ascii="宋体" w:hAnsi="宋体"/>
          <w:bCs/>
          <w:color w:val="auto"/>
          <w:sz w:val="24"/>
          <w:szCs w:val="20"/>
          <w:highlight w:val="none"/>
        </w:rPr>
      </w:pPr>
    </w:p>
    <w:p w14:paraId="6BA42AC7">
      <w:pPr>
        <w:snapToGrid w:val="0"/>
        <w:spacing w:before="120" w:beforeLines="50" w:after="50" w:line="400" w:lineRule="exact"/>
        <w:jc w:val="center"/>
        <w:rPr>
          <w:rFonts w:hint="eastAsia" w:ascii="宋体" w:hAnsi="宋体"/>
          <w:bCs/>
          <w:color w:val="auto"/>
          <w:sz w:val="24"/>
          <w:szCs w:val="20"/>
          <w:highlight w:val="none"/>
        </w:rPr>
      </w:pPr>
    </w:p>
    <w:p w14:paraId="140A0AD5">
      <w:pPr>
        <w:snapToGrid w:val="0"/>
        <w:spacing w:before="120" w:beforeLines="50" w:after="50" w:line="400" w:lineRule="exact"/>
        <w:jc w:val="center"/>
        <w:rPr>
          <w:rFonts w:hint="eastAsia" w:ascii="宋体" w:hAnsi="宋体"/>
          <w:bCs/>
          <w:color w:val="auto"/>
          <w:sz w:val="24"/>
          <w:szCs w:val="20"/>
          <w:highlight w:val="none"/>
        </w:rPr>
      </w:pPr>
    </w:p>
    <w:p w14:paraId="604E4EA4">
      <w:pPr>
        <w:snapToGrid w:val="0"/>
        <w:spacing w:before="120" w:beforeLines="50" w:after="50" w:line="400" w:lineRule="exact"/>
        <w:jc w:val="center"/>
        <w:rPr>
          <w:rFonts w:hint="eastAsia" w:ascii="宋体" w:hAnsi="宋体"/>
          <w:bCs/>
          <w:color w:val="auto"/>
          <w:sz w:val="24"/>
          <w:szCs w:val="20"/>
          <w:highlight w:val="none"/>
        </w:rPr>
      </w:pPr>
    </w:p>
    <w:p w14:paraId="372BCB6F">
      <w:pPr>
        <w:snapToGrid w:val="0"/>
        <w:spacing w:before="120" w:beforeLines="50" w:after="50"/>
        <w:ind w:firstLine="422" w:firstLineChars="150"/>
        <w:rPr>
          <w:rFonts w:hint="eastAsia" w:ascii="宋体" w:hAnsi="宋体"/>
          <w:b/>
          <w:bCs/>
          <w:color w:val="auto"/>
          <w:sz w:val="28"/>
          <w:szCs w:val="28"/>
          <w:highlight w:val="none"/>
        </w:rPr>
      </w:pPr>
      <w:r>
        <w:rPr>
          <w:rFonts w:hint="eastAsia" w:ascii="宋体" w:hAnsi="宋体"/>
          <w:b/>
          <w:bCs/>
          <w:color w:val="auto"/>
          <w:sz w:val="28"/>
          <w:szCs w:val="28"/>
          <w:highlight w:val="none"/>
        </w:rPr>
        <w:t>项目名称：</w:t>
      </w:r>
      <w:r>
        <w:rPr>
          <w:rFonts w:hint="eastAsia" w:ascii="宋体" w:hAnsi="宋体"/>
          <w:b/>
          <w:bCs/>
          <w:color w:val="auto"/>
          <w:sz w:val="28"/>
          <w:szCs w:val="28"/>
          <w:highlight w:val="none"/>
          <w:u w:val="single"/>
        </w:rPr>
        <w:t xml:space="preserve">                                  </w:t>
      </w:r>
    </w:p>
    <w:p w14:paraId="262843B5">
      <w:pPr>
        <w:snapToGrid w:val="0"/>
        <w:spacing w:before="120" w:beforeLines="50" w:after="50"/>
        <w:ind w:firstLine="422" w:firstLineChars="150"/>
        <w:rPr>
          <w:rFonts w:hint="eastAsia" w:ascii="宋体" w:hAnsi="宋体"/>
          <w:b/>
          <w:bCs/>
          <w:color w:val="auto"/>
          <w:sz w:val="28"/>
          <w:szCs w:val="28"/>
          <w:highlight w:val="none"/>
        </w:rPr>
      </w:pPr>
      <w:r>
        <w:rPr>
          <w:rFonts w:hint="eastAsia" w:ascii="宋体" w:hAnsi="宋体"/>
          <w:b/>
          <w:bCs/>
          <w:color w:val="auto"/>
          <w:sz w:val="28"/>
          <w:szCs w:val="28"/>
          <w:highlight w:val="none"/>
        </w:rPr>
        <w:t>项目编号：</w:t>
      </w:r>
      <w:r>
        <w:rPr>
          <w:rFonts w:hint="eastAsia" w:ascii="宋体" w:hAnsi="宋体"/>
          <w:b/>
          <w:bCs/>
          <w:color w:val="auto"/>
          <w:sz w:val="28"/>
          <w:szCs w:val="28"/>
          <w:highlight w:val="none"/>
          <w:u w:val="single"/>
        </w:rPr>
        <w:t xml:space="preserve">                                  </w:t>
      </w:r>
    </w:p>
    <w:p w14:paraId="71BA3D2F">
      <w:pPr>
        <w:snapToGrid w:val="0"/>
        <w:spacing w:before="120" w:beforeLines="50" w:after="50"/>
        <w:ind w:firstLine="422" w:firstLineChars="150"/>
        <w:rPr>
          <w:rFonts w:hint="eastAsia" w:ascii="宋体" w:hAnsi="宋体"/>
          <w:b/>
          <w:bCs/>
          <w:color w:val="auto"/>
          <w:sz w:val="28"/>
          <w:szCs w:val="28"/>
          <w:highlight w:val="none"/>
        </w:rPr>
      </w:pPr>
      <w:r>
        <w:rPr>
          <w:rFonts w:hint="eastAsia" w:ascii="宋体" w:hAnsi="宋体"/>
          <w:b/>
          <w:bCs/>
          <w:color w:val="auto"/>
          <w:sz w:val="28"/>
          <w:szCs w:val="28"/>
          <w:highlight w:val="none"/>
        </w:rPr>
        <w:t>投标人名称：</w:t>
      </w:r>
      <w:r>
        <w:rPr>
          <w:rFonts w:hint="eastAsia" w:ascii="宋体" w:hAnsi="宋体"/>
          <w:b/>
          <w:bCs/>
          <w:color w:val="auto"/>
          <w:sz w:val="28"/>
          <w:szCs w:val="28"/>
          <w:highlight w:val="none"/>
          <w:u w:val="single"/>
        </w:rPr>
        <w:t xml:space="preserve">                                </w:t>
      </w:r>
    </w:p>
    <w:p w14:paraId="10CA2A64">
      <w:pPr>
        <w:snapToGrid w:val="0"/>
        <w:spacing w:before="120" w:beforeLines="50" w:after="50"/>
        <w:ind w:firstLine="422" w:firstLineChars="150"/>
        <w:rPr>
          <w:rFonts w:hint="eastAsia" w:ascii="宋体" w:hAnsi="宋体"/>
          <w:b/>
          <w:bCs/>
          <w:color w:val="auto"/>
          <w:sz w:val="28"/>
          <w:szCs w:val="28"/>
          <w:highlight w:val="none"/>
          <w:u w:val="single"/>
        </w:rPr>
      </w:pPr>
      <w:r>
        <w:rPr>
          <w:rFonts w:hint="eastAsia" w:ascii="宋体" w:hAnsi="宋体"/>
          <w:b/>
          <w:bCs/>
          <w:color w:val="auto"/>
          <w:sz w:val="28"/>
          <w:szCs w:val="28"/>
          <w:highlight w:val="none"/>
        </w:rPr>
        <w:t>投标人地址：</w:t>
      </w:r>
      <w:r>
        <w:rPr>
          <w:rFonts w:hint="eastAsia" w:ascii="宋体" w:hAnsi="宋体"/>
          <w:b/>
          <w:bCs/>
          <w:color w:val="auto"/>
          <w:sz w:val="28"/>
          <w:szCs w:val="28"/>
          <w:highlight w:val="none"/>
          <w:u w:val="single"/>
        </w:rPr>
        <w:t xml:space="preserve">                                </w:t>
      </w:r>
    </w:p>
    <w:p w14:paraId="36C8EA9D">
      <w:pPr>
        <w:pStyle w:val="7"/>
        <w:snapToGrid w:val="0"/>
        <w:spacing w:before="50" w:after="50" w:line="400" w:lineRule="exact"/>
        <w:ind w:firstLine="960" w:firstLineChars="400"/>
        <w:rPr>
          <w:rFonts w:hint="eastAsia" w:ascii="宋体" w:hAnsi="宋体"/>
          <w:bCs/>
          <w:color w:val="auto"/>
          <w:sz w:val="24"/>
          <w:szCs w:val="24"/>
          <w:highlight w:val="none"/>
        </w:rPr>
      </w:pPr>
    </w:p>
    <w:p w14:paraId="54DD49EC">
      <w:pPr>
        <w:snapToGrid w:val="0"/>
        <w:spacing w:before="120" w:beforeLines="50" w:after="50" w:line="400" w:lineRule="exact"/>
        <w:rPr>
          <w:rFonts w:hint="eastAsia" w:ascii="宋体" w:hAnsi="宋体"/>
          <w:b/>
          <w:color w:val="auto"/>
          <w:sz w:val="30"/>
          <w:szCs w:val="20"/>
          <w:highlight w:val="none"/>
        </w:rPr>
      </w:pPr>
      <w:r>
        <w:rPr>
          <w:rFonts w:hint="eastAsia" w:ascii="宋体" w:hAnsi="宋体"/>
          <w:color w:val="auto"/>
          <w:sz w:val="24"/>
          <w:highlight w:val="none"/>
        </w:rPr>
        <w:t xml:space="preserve">                   </w:t>
      </w:r>
      <w:r>
        <w:rPr>
          <w:rFonts w:hint="eastAsia" w:ascii="宋体" w:hAnsi="宋体"/>
          <w:b/>
          <w:color w:val="auto"/>
          <w:sz w:val="24"/>
          <w:highlight w:val="none"/>
        </w:rPr>
        <w:t xml:space="preserve">                年  </w:t>
      </w:r>
      <w:r>
        <w:rPr>
          <w:rFonts w:ascii="宋体" w:hAnsi="宋体"/>
          <w:b/>
          <w:color w:val="auto"/>
          <w:sz w:val="24"/>
          <w:highlight w:val="none"/>
        </w:rPr>
        <w:t xml:space="preserve"> </w:t>
      </w:r>
      <w:r>
        <w:rPr>
          <w:rFonts w:hint="eastAsia" w:ascii="宋体" w:hAnsi="宋体"/>
          <w:b/>
          <w:color w:val="auto"/>
          <w:sz w:val="24"/>
          <w:highlight w:val="none"/>
        </w:rPr>
        <w:t xml:space="preserve">月  </w:t>
      </w:r>
      <w:r>
        <w:rPr>
          <w:rFonts w:ascii="宋体" w:hAnsi="宋体"/>
          <w:b/>
          <w:color w:val="auto"/>
          <w:sz w:val="24"/>
          <w:highlight w:val="none"/>
        </w:rPr>
        <w:t xml:space="preserve"> </w:t>
      </w:r>
      <w:r>
        <w:rPr>
          <w:rFonts w:hint="eastAsia" w:ascii="宋体" w:hAnsi="宋体"/>
          <w:b/>
          <w:color w:val="auto"/>
          <w:sz w:val="24"/>
          <w:highlight w:val="none"/>
        </w:rPr>
        <w:t>日</w:t>
      </w:r>
    </w:p>
    <w:p w14:paraId="4869C81D">
      <w:pPr>
        <w:snapToGrid w:val="0"/>
        <w:spacing w:before="120" w:beforeLines="50" w:after="50" w:line="360" w:lineRule="auto"/>
        <w:jc w:val="center"/>
        <w:rPr>
          <w:rFonts w:hint="eastAsia" w:ascii="宋体" w:hAnsi="宋体"/>
          <w:color w:val="auto"/>
          <w:sz w:val="24"/>
          <w:szCs w:val="20"/>
          <w:highlight w:val="none"/>
        </w:rPr>
      </w:pPr>
      <w:r>
        <w:rPr>
          <w:rFonts w:ascii="宋体" w:hAnsi="宋体"/>
          <w:b/>
          <w:color w:val="auto"/>
          <w:sz w:val="24"/>
          <w:highlight w:val="none"/>
        </w:rPr>
        <w:br w:type="page"/>
      </w:r>
      <w:r>
        <w:rPr>
          <w:rFonts w:hint="eastAsia" w:ascii="宋体" w:hAnsi="宋体"/>
          <w:b/>
          <w:bCs/>
          <w:color w:val="auto"/>
          <w:sz w:val="24"/>
          <w:highlight w:val="none"/>
        </w:rPr>
        <w:t>投标文件目录</w:t>
      </w:r>
    </w:p>
    <w:p w14:paraId="1D2ED129">
      <w:pPr>
        <w:snapToGrid w:val="0"/>
        <w:spacing w:before="50" w:after="120" w:afterLines="50" w:line="360" w:lineRule="auto"/>
        <w:jc w:val="center"/>
        <w:rPr>
          <w:rFonts w:hint="eastAsia" w:ascii="宋体" w:hAnsi="宋体"/>
          <w:b/>
          <w:color w:val="auto"/>
          <w:sz w:val="24"/>
          <w:highlight w:val="none"/>
        </w:rPr>
      </w:pPr>
      <w:r>
        <w:rPr>
          <w:rFonts w:hint="eastAsia" w:ascii="宋体" w:hAnsi="宋体"/>
          <w:b/>
          <w:color w:val="auto"/>
          <w:szCs w:val="21"/>
          <w:highlight w:val="none"/>
        </w:rPr>
        <w:t>注</w:t>
      </w:r>
      <w:r>
        <w:rPr>
          <w:rFonts w:ascii="宋体" w:hAnsi="宋体"/>
          <w:b/>
          <w:color w:val="auto"/>
          <w:szCs w:val="21"/>
          <w:highlight w:val="none"/>
        </w:rPr>
        <w:t>：</w:t>
      </w:r>
      <w:r>
        <w:rPr>
          <w:rFonts w:hint="eastAsia" w:ascii="宋体" w:hAnsi="宋体"/>
          <w:b/>
          <w:color w:val="auto"/>
          <w:szCs w:val="21"/>
          <w:highlight w:val="none"/>
        </w:rPr>
        <w:t>投标文件目录根据招标文件规定及投标人提供的材料自行编写目录（部分格式后附）。</w:t>
      </w:r>
    </w:p>
    <w:p w14:paraId="281AD675">
      <w:pPr>
        <w:snapToGrid w:val="0"/>
        <w:spacing w:before="120" w:beforeLines="50" w:after="50"/>
        <w:jc w:val="left"/>
        <w:outlineLvl w:val="2"/>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（一）投标函格式</w:t>
      </w:r>
    </w:p>
    <w:p w14:paraId="28A201B3">
      <w:pPr>
        <w:snapToGrid w:val="0"/>
        <w:spacing w:before="120" w:beforeLines="50" w:after="50" w:line="320" w:lineRule="exact"/>
        <w:jc w:val="center"/>
        <w:rPr>
          <w:rFonts w:hint="eastAsia" w:ascii="宋体" w:hAnsi="宋体"/>
          <w:b/>
          <w:color w:val="auto"/>
          <w:szCs w:val="21"/>
          <w:highlight w:val="none"/>
        </w:rPr>
      </w:pPr>
      <w:r>
        <w:rPr>
          <w:rFonts w:hint="eastAsia" w:ascii="宋体" w:hAnsi="宋体"/>
          <w:b/>
          <w:color w:val="auto"/>
          <w:szCs w:val="21"/>
          <w:highlight w:val="none"/>
        </w:rPr>
        <w:t>投 标 函</w:t>
      </w:r>
    </w:p>
    <w:p w14:paraId="6A27F688">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采购人名称</w:t>
      </w:r>
    </w:p>
    <w:p w14:paraId="1A29BCB0">
      <w:pPr>
        <w:snapToGrid w:val="0"/>
        <w:spacing w:line="360" w:lineRule="auto"/>
        <w:ind w:firstLine="480"/>
        <w:rPr>
          <w:rFonts w:hint="eastAsia" w:ascii="宋体" w:hAnsi="宋体"/>
          <w:color w:val="auto"/>
          <w:szCs w:val="21"/>
          <w:highlight w:val="none"/>
        </w:rPr>
      </w:pPr>
      <w:r>
        <w:rPr>
          <w:rFonts w:hint="eastAsia" w:ascii="宋体" w:hAnsi="宋体"/>
          <w:color w:val="auto"/>
          <w:szCs w:val="21"/>
          <w:highlight w:val="none"/>
        </w:rPr>
        <w:t>根据贵方</w:t>
      </w:r>
      <w:r>
        <w:rPr>
          <w:rFonts w:hint="eastAsia" w:ascii="宋体" w:hAnsi="宋体"/>
          <w:color w:val="auto"/>
          <w:szCs w:val="21"/>
          <w:highlight w:val="none"/>
          <w:u w:val="single"/>
        </w:rPr>
        <w:t xml:space="preserve"> 项目名称、分标名称（如有）（项目编号</w:t>
      </w:r>
      <w:r>
        <w:rPr>
          <w:rFonts w:hint="eastAsia" w:ascii="宋体" w:hAnsi="宋体" w:cs="宋体"/>
          <w:color w:val="auto"/>
          <w:kern w:val="0"/>
          <w:szCs w:val="21"/>
          <w:highlight w:val="none"/>
          <w:u w:val="single"/>
        </w:rPr>
        <w:t xml:space="preserve">  </w:t>
      </w:r>
      <w:r>
        <w:rPr>
          <w:rFonts w:hint="eastAsia" w:ascii="宋体" w:hAnsi="宋体"/>
          <w:color w:val="auto"/>
          <w:szCs w:val="21"/>
          <w:highlight w:val="none"/>
          <w:u w:val="single"/>
        </w:rPr>
        <w:t>）</w:t>
      </w:r>
      <w:r>
        <w:rPr>
          <w:rFonts w:hint="eastAsia" w:ascii="宋体" w:hAnsi="宋体"/>
          <w:color w:val="auto"/>
          <w:szCs w:val="21"/>
          <w:highlight w:val="none"/>
        </w:rPr>
        <w:t>的招标公告，签字代表</w:t>
      </w:r>
      <w:r>
        <w:rPr>
          <w:rFonts w:hint="eastAsia" w:ascii="宋体" w:hAnsi="宋体" w:cs="宋体"/>
          <w:color w:val="auto"/>
          <w:kern w:val="0"/>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（姓名）经正式授权并代表投标人</w:t>
      </w:r>
      <w:r>
        <w:rPr>
          <w:rFonts w:hint="eastAsia" w:ascii="宋体" w:hAnsi="宋体" w:cs="宋体"/>
          <w:color w:val="auto"/>
          <w:kern w:val="0"/>
          <w:szCs w:val="21"/>
          <w:highlight w:val="none"/>
          <w:u w:val="single"/>
        </w:rPr>
        <w:t xml:space="preserve">                   </w:t>
      </w:r>
      <w:r>
        <w:rPr>
          <w:rFonts w:hint="eastAsia" w:ascii="宋体" w:hAnsi="宋体"/>
          <w:color w:val="auto"/>
          <w:szCs w:val="21"/>
          <w:highlight w:val="none"/>
        </w:rPr>
        <w:t>投标人名称）提交投标文件。</w:t>
      </w:r>
    </w:p>
    <w:p w14:paraId="4E387A6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据此函，我方宣布同意如下：</w:t>
      </w:r>
    </w:p>
    <w:p w14:paraId="67BC089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33A3A1B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2.我方在投标之前已经完全理解并接受招标文件的各项规定和要求，对招标文件的合理性、合法性不再有异议。</w:t>
      </w:r>
    </w:p>
    <w:p w14:paraId="2780B1A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3.我方</w:t>
      </w:r>
      <w:r>
        <w:rPr>
          <w:rFonts w:ascii="宋体" w:hAnsi="宋体"/>
          <w:color w:val="auto"/>
          <w:szCs w:val="21"/>
          <w:highlight w:val="none"/>
        </w:rPr>
        <w:t>承诺</w:t>
      </w:r>
      <w:r>
        <w:rPr>
          <w:rFonts w:hint="eastAsia" w:ascii="宋体" w:hAnsi="宋体"/>
          <w:color w:val="auto"/>
          <w:szCs w:val="21"/>
          <w:highlight w:val="none"/>
        </w:rPr>
        <w:t>投标文件</w:t>
      </w:r>
      <w:r>
        <w:rPr>
          <w:rFonts w:ascii="宋体" w:hAnsi="宋体"/>
          <w:color w:val="auto"/>
          <w:szCs w:val="21"/>
          <w:highlight w:val="none"/>
        </w:rPr>
        <w:t>的</w:t>
      </w:r>
      <w:r>
        <w:rPr>
          <w:rFonts w:hint="eastAsia" w:ascii="宋体" w:hAnsi="宋体"/>
          <w:color w:val="auto"/>
          <w:szCs w:val="21"/>
          <w:highlight w:val="none"/>
        </w:rPr>
        <w:t>投标有效期与</w:t>
      </w:r>
      <w:r>
        <w:rPr>
          <w:rFonts w:ascii="宋体" w:hAnsi="宋体"/>
          <w:color w:val="auto"/>
          <w:szCs w:val="21"/>
          <w:highlight w:val="none"/>
        </w:rPr>
        <w:t>招标文件第</w:t>
      </w:r>
      <w:r>
        <w:rPr>
          <w:rFonts w:hint="eastAsia" w:ascii="宋体" w:hAnsi="宋体"/>
          <w:color w:val="auto"/>
          <w:szCs w:val="21"/>
          <w:highlight w:val="none"/>
        </w:rPr>
        <w:t>三</w:t>
      </w:r>
      <w:r>
        <w:rPr>
          <w:rFonts w:ascii="宋体" w:hAnsi="宋体"/>
          <w:color w:val="auto"/>
          <w:szCs w:val="21"/>
          <w:highlight w:val="none"/>
        </w:rPr>
        <w:t>章投标人须知前附表</w:t>
      </w:r>
      <w:r>
        <w:rPr>
          <w:rFonts w:hint="eastAsia" w:ascii="宋体" w:hAnsi="宋体"/>
          <w:color w:val="auto"/>
          <w:szCs w:val="21"/>
          <w:highlight w:val="none"/>
        </w:rPr>
        <w:t>中要求</w:t>
      </w:r>
      <w:r>
        <w:rPr>
          <w:rFonts w:ascii="宋体" w:hAnsi="宋体"/>
          <w:color w:val="auto"/>
          <w:szCs w:val="21"/>
          <w:highlight w:val="none"/>
        </w:rPr>
        <w:t>的投标有效期</w:t>
      </w:r>
      <w:r>
        <w:rPr>
          <w:rFonts w:hint="eastAsia" w:ascii="宋体" w:hAnsi="宋体"/>
          <w:color w:val="auto"/>
          <w:szCs w:val="21"/>
          <w:highlight w:val="none"/>
        </w:rPr>
        <w:t>一致</w:t>
      </w:r>
      <w:r>
        <w:rPr>
          <w:rFonts w:ascii="宋体" w:hAnsi="宋体"/>
          <w:color w:val="auto"/>
          <w:szCs w:val="21"/>
          <w:highlight w:val="none"/>
        </w:rPr>
        <w:t>。</w:t>
      </w:r>
    </w:p>
    <w:p w14:paraId="0F2CB71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4.如中标，本投标文件至本项目合同履行完毕止均保持有效，我方将按“招标文件”及政府采购法律、法规的规定履行合同责任和义务。</w:t>
      </w:r>
    </w:p>
    <w:p w14:paraId="4178387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5.我方同意按照贵方要求提供与投标有关的一切数据或者资料。</w:t>
      </w:r>
    </w:p>
    <w:p w14:paraId="3C1AB13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6.我方向贵方提交的所有投标文件、资料都是准确的和真实的。</w:t>
      </w:r>
    </w:p>
    <w:p w14:paraId="670CE36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7.以上事项如有虚假或者隐瞒，我方愿意承担一切后果，并不再寻求任何旨在减轻或者免除法律责任的辩解。</w:t>
      </w:r>
    </w:p>
    <w:p w14:paraId="747D5D4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8.根据</w:t>
      </w:r>
      <w:r>
        <w:rPr>
          <w:rFonts w:ascii="宋体" w:hAnsi="宋体"/>
          <w:color w:val="auto"/>
          <w:szCs w:val="21"/>
          <w:highlight w:val="none"/>
        </w:rPr>
        <w:t>《中华人民共和国政府采购法实施条例》第五十条要求对政府采购合同进行公告</w:t>
      </w:r>
      <w:r>
        <w:rPr>
          <w:rFonts w:hint="eastAsia" w:ascii="宋体" w:hAnsi="宋体"/>
          <w:color w:val="auto"/>
          <w:szCs w:val="21"/>
          <w:highlight w:val="none"/>
        </w:rPr>
        <w:t>，</w:t>
      </w:r>
      <w:r>
        <w:rPr>
          <w:rFonts w:ascii="宋体" w:hAnsi="宋体"/>
          <w:color w:val="auto"/>
          <w:szCs w:val="21"/>
          <w:highlight w:val="none"/>
        </w:rPr>
        <w:t>但政府采购合同中涉及国家秘密、商业秘密的内容除外。</w:t>
      </w:r>
      <w:r>
        <w:rPr>
          <w:rFonts w:hint="eastAsia" w:ascii="宋体" w:hAnsi="宋体"/>
          <w:color w:val="auto"/>
          <w:szCs w:val="21"/>
          <w:highlight w:val="none"/>
        </w:rPr>
        <w:t>我方就对本次投标文件进行注明如下：（两项内容中必须选择一项）</w:t>
      </w:r>
    </w:p>
    <w:p w14:paraId="0871669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□我方本次投标文件</w:t>
      </w:r>
      <w:r>
        <w:rPr>
          <w:rFonts w:ascii="宋体" w:hAnsi="宋体" w:cs="宋体"/>
          <w:color w:val="auto"/>
          <w:kern w:val="0"/>
          <w:szCs w:val="21"/>
          <w:highlight w:val="none"/>
        </w:rPr>
        <w:t>内容中</w:t>
      </w:r>
      <w:r>
        <w:rPr>
          <w:rFonts w:hint="eastAsia" w:ascii="宋体" w:hAnsi="宋体"/>
          <w:color w:val="auto"/>
          <w:szCs w:val="21"/>
          <w:highlight w:val="none"/>
        </w:rPr>
        <w:t>未</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w:t>
      </w:r>
    </w:p>
    <w:p w14:paraId="017935A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□我方本次投标文件</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的</w:t>
      </w:r>
      <w:r>
        <w:rPr>
          <w:rFonts w:ascii="宋体" w:hAnsi="宋体" w:cs="宋体"/>
          <w:color w:val="auto"/>
          <w:kern w:val="0"/>
          <w:szCs w:val="21"/>
          <w:highlight w:val="none"/>
        </w:rPr>
        <w:t>内容</w:t>
      </w:r>
      <w:r>
        <w:rPr>
          <w:rFonts w:hint="eastAsia" w:ascii="宋体" w:hAnsi="宋体" w:cs="宋体"/>
          <w:color w:val="auto"/>
          <w:kern w:val="0"/>
          <w:szCs w:val="21"/>
          <w:highlight w:val="none"/>
        </w:rPr>
        <w:t>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220CF5A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9.与本投标有关的一切正式往来信函请寄：</w:t>
      </w:r>
    </w:p>
    <w:p w14:paraId="6637FBC7">
      <w:pPr>
        <w:snapToGrid w:val="0"/>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邮编：</w:t>
      </w:r>
      <w:r>
        <w:rPr>
          <w:rFonts w:ascii="宋体" w:hAnsi="宋体"/>
          <w:color w:val="auto"/>
          <w:szCs w:val="21"/>
          <w:highlight w:val="none"/>
          <w:u w:val="single"/>
        </w:rPr>
        <w:t>__________</w:t>
      </w:r>
      <w:r>
        <w:rPr>
          <w:rFonts w:hint="eastAsia" w:ascii="宋体" w:hAnsi="宋体"/>
          <w:color w:val="auto"/>
          <w:szCs w:val="21"/>
          <w:highlight w:val="none"/>
          <w:u w:val="single"/>
        </w:rPr>
        <w:t xml:space="preserve"> </w:t>
      </w:r>
      <w:r>
        <w:rPr>
          <w:rFonts w:ascii="宋体" w:hAnsi="宋体"/>
          <w:color w:val="auto"/>
          <w:szCs w:val="21"/>
          <w:highlight w:val="none"/>
          <w:u w:val="single"/>
        </w:rPr>
        <w:t>__________</w:t>
      </w:r>
    </w:p>
    <w:p w14:paraId="0CC2E1E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电话：</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传真：</w:t>
      </w:r>
      <w:r>
        <w:rPr>
          <w:rFonts w:ascii="宋体" w:hAnsi="宋体"/>
          <w:color w:val="auto"/>
          <w:szCs w:val="21"/>
          <w:highlight w:val="none"/>
          <w:u w:val="single"/>
        </w:rPr>
        <w:t>__________</w:t>
      </w:r>
      <w:r>
        <w:rPr>
          <w:rFonts w:hint="eastAsia" w:ascii="宋体" w:hAnsi="宋体"/>
          <w:color w:val="auto"/>
          <w:szCs w:val="21"/>
          <w:highlight w:val="none"/>
          <w:u w:val="single"/>
        </w:rPr>
        <w:t xml:space="preserve"> </w:t>
      </w:r>
      <w:r>
        <w:rPr>
          <w:rFonts w:ascii="宋体" w:hAnsi="宋体"/>
          <w:color w:val="auto"/>
          <w:szCs w:val="21"/>
          <w:highlight w:val="none"/>
          <w:u w:val="single"/>
        </w:rPr>
        <w:t>__________</w:t>
      </w:r>
    </w:p>
    <w:p w14:paraId="2B619D49">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ascii="宋体" w:hAnsi="宋体"/>
          <w:color w:val="auto"/>
          <w:szCs w:val="21"/>
          <w:highlight w:val="none"/>
          <w:u w:val="single"/>
        </w:rPr>
        <w:t>__________</w:t>
      </w:r>
      <w:r>
        <w:rPr>
          <w:rFonts w:hint="eastAsia" w:ascii="宋体" w:hAnsi="宋体"/>
          <w:color w:val="auto"/>
          <w:szCs w:val="21"/>
          <w:highlight w:val="none"/>
          <w:u w:val="single"/>
        </w:rPr>
        <w:t xml:space="preserve"> </w:t>
      </w:r>
      <w:r>
        <w:rPr>
          <w:rFonts w:ascii="宋体" w:hAnsi="宋体"/>
          <w:color w:val="auto"/>
          <w:szCs w:val="21"/>
          <w:highlight w:val="none"/>
          <w:u w:val="single"/>
        </w:rPr>
        <w:t>__________</w:t>
      </w:r>
    </w:p>
    <w:p w14:paraId="5ADBB3BD">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ascii="宋体" w:hAnsi="宋体"/>
          <w:color w:val="auto"/>
          <w:szCs w:val="21"/>
          <w:highlight w:val="none"/>
          <w:u w:val="single"/>
        </w:rPr>
        <w:t>__________</w:t>
      </w:r>
      <w:r>
        <w:rPr>
          <w:rFonts w:hint="eastAsia" w:ascii="宋体" w:hAnsi="宋体"/>
          <w:color w:val="auto"/>
          <w:szCs w:val="21"/>
          <w:highlight w:val="none"/>
          <w:u w:val="single"/>
        </w:rPr>
        <w:t xml:space="preserve"> </w:t>
      </w:r>
      <w:r>
        <w:rPr>
          <w:rFonts w:ascii="宋体" w:hAnsi="宋体"/>
          <w:color w:val="auto"/>
          <w:szCs w:val="21"/>
          <w:highlight w:val="none"/>
          <w:u w:val="single"/>
        </w:rPr>
        <w:t>__________</w:t>
      </w:r>
    </w:p>
    <w:p w14:paraId="398B38AC">
      <w:pPr>
        <w:snapToGrid w:val="0"/>
        <w:spacing w:line="360" w:lineRule="auto"/>
        <w:ind w:firstLine="4830" w:firstLineChars="2300"/>
        <w:jc w:val="left"/>
        <w:rPr>
          <w:rFonts w:hint="eastAsia" w:ascii="宋体" w:hAnsi="宋体"/>
          <w:color w:val="auto"/>
          <w:szCs w:val="21"/>
          <w:highlight w:val="none"/>
        </w:rPr>
      </w:pPr>
    </w:p>
    <w:p w14:paraId="2D09DE40">
      <w:pPr>
        <w:snapToGrid w:val="0"/>
        <w:spacing w:before="120" w:beforeLines="50" w:line="360" w:lineRule="auto"/>
        <w:ind w:right="480" w:firstLine="3471" w:firstLineChars="1653"/>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6EA006D4">
      <w:pPr>
        <w:snapToGrid w:val="0"/>
        <w:spacing w:before="120" w:beforeLines="50" w:after="50" w:line="360" w:lineRule="auto"/>
        <w:ind w:right="480" w:firstLine="4830" w:firstLineChars="2300"/>
        <w:rPr>
          <w:rFonts w:hint="eastAsia" w:ascii="宋体" w:hAnsi="宋体"/>
          <w:color w:val="auto"/>
          <w:szCs w:val="21"/>
          <w:highlight w:val="none"/>
          <w:u w:val="singl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0C32DB18">
      <w:pPr>
        <w:pStyle w:val="23"/>
        <w:tabs>
          <w:tab w:val="left" w:pos="6379"/>
        </w:tabs>
        <w:snapToGrid w:val="0"/>
        <w:spacing w:before="295" w:after="295" w:line="360" w:lineRule="auto"/>
        <w:ind w:firstLine="6720" w:firstLineChars="3200"/>
        <w:rPr>
          <w:rFonts w:hint="eastAsia" w:hAnsi="宋体"/>
          <w:color w:val="auto"/>
          <w:sz w:val="21"/>
          <w:highlight w:val="none"/>
        </w:rPr>
      </w:pPr>
      <w:r>
        <w:rPr>
          <w:rFonts w:hint="eastAsia"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int="eastAsia" w:hAnsi="宋体"/>
          <w:color w:val="auto"/>
          <w:sz w:val="21"/>
          <w:highlight w:val="none"/>
        </w:rPr>
        <w:t>日</w:t>
      </w:r>
    </w:p>
    <w:p w14:paraId="160BE6BD">
      <w:pPr>
        <w:snapToGrid w:val="0"/>
        <w:spacing w:before="120" w:beforeLines="50" w:after="50"/>
        <w:jc w:val="left"/>
        <w:outlineLvl w:val="2"/>
        <w:rPr>
          <w:rFonts w:hint="eastAsia" w:ascii="宋体" w:hAnsi="宋体"/>
          <w:b/>
          <w:color w:val="auto"/>
          <w:sz w:val="24"/>
          <w:highlight w:val="none"/>
        </w:rPr>
      </w:pPr>
      <w:r>
        <w:rPr>
          <w:rFonts w:hAnsi="宋体"/>
          <w:color w:val="auto"/>
          <w:highlight w:val="none"/>
          <w:u w:val="single"/>
        </w:rPr>
        <w:br w:type="page"/>
      </w:r>
      <w:r>
        <w:rPr>
          <w:rFonts w:hint="eastAsia" w:ascii="宋体" w:hAnsi="宋体"/>
          <w:b/>
          <w:color w:val="auto"/>
          <w:sz w:val="24"/>
          <w:highlight w:val="none"/>
        </w:rPr>
        <w:t>（二）开标一览表</w:t>
      </w:r>
    </w:p>
    <w:p w14:paraId="619F8AEB">
      <w:pPr>
        <w:snapToGrid w:val="0"/>
        <w:spacing w:before="50" w:after="50"/>
        <w:jc w:val="center"/>
        <w:rPr>
          <w:rFonts w:hint="eastAsia" w:ascii="宋体" w:hAnsi="宋体"/>
          <w:b/>
          <w:color w:val="auto"/>
          <w:szCs w:val="21"/>
          <w:highlight w:val="none"/>
        </w:rPr>
      </w:pPr>
      <w:r>
        <w:rPr>
          <w:rFonts w:hint="eastAsia" w:ascii="宋体" w:hAnsi="宋体"/>
          <w:b/>
          <w:color w:val="auto"/>
          <w:szCs w:val="21"/>
          <w:highlight w:val="none"/>
        </w:rPr>
        <w:t>开标一览表</w:t>
      </w:r>
    </w:p>
    <w:p w14:paraId="3889A7EA">
      <w:pPr>
        <w:snapToGrid w:val="0"/>
        <w:spacing w:before="50" w:after="50" w:line="360" w:lineRule="auto"/>
        <w:rPr>
          <w:rFonts w:hint="eastAsia" w:ascii="宋体" w:hAnsi="宋体"/>
          <w:color w:val="auto"/>
          <w:szCs w:val="21"/>
          <w:highlight w:val="none"/>
        </w:rPr>
      </w:pPr>
    </w:p>
    <w:p w14:paraId="13FB9CAB">
      <w:pPr>
        <w:snapToGrid w:val="0"/>
        <w:spacing w:before="50" w:after="50" w:line="360" w:lineRule="auto"/>
        <w:rPr>
          <w:color w:val="auto"/>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分标名称（如有）：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6B60BBC">
      <w:pPr>
        <w:snapToGrid w:val="0"/>
        <w:spacing w:before="50" w:after="50" w:line="360" w:lineRule="auto"/>
        <w:rPr>
          <w:rFonts w:hint="eastAsia" w:ascii="宋体" w:hAns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单位：元</w:t>
      </w:r>
    </w:p>
    <w:tbl>
      <w:tblPr>
        <w:tblStyle w:val="4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40"/>
        <w:gridCol w:w="551"/>
        <w:gridCol w:w="3659"/>
        <w:gridCol w:w="688"/>
        <w:gridCol w:w="1184"/>
        <w:gridCol w:w="2116"/>
      </w:tblGrid>
      <w:tr w14:paraId="23E5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46" w:type="pct"/>
            <w:shd w:val="clear" w:color="auto" w:fill="auto"/>
            <w:noWrap/>
            <w:vAlign w:val="center"/>
          </w:tcPr>
          <w:p w14:paraId="7E92BA94">
            <w:pPr>
              <w:widowControl/>
              <w:jc w:val="center"/>
              <w:rPr>
                <w:rFonts w:hint="eastAsia" w:ascii="宋体" w:hAnsi="宋体" w:eastAsia="宋体" w:cs="Arial"/>
                <w:color w:val="auto"/>
                <w:kern w:val="0"/>
                <w:sz w:val="21"/>
                <w:szCs w:val="21"/>
                <w:highlight w:val="none"/>
                <w:lang w:val="en-US" w:eastAsia="zh-CN" w:bidi="ar-SA"/>
              </w:rPr>
            </w:pPr>
            <w:r>
              <w:rPr>
                <w:rFonts w:ascii="宋体" w:hAnsi="宋体" w:cs="Arial"/>
                <w:color w:val="auto"/>
                <w:kern w:val="0"/>
                <w:szCs w:val="21"/>
                <w:highlight w:val="none"/>
              </w:rPr>
              <w:t>序号</w:t>
            </w:r>
          </w:p>
        </w:tc>
        <w:tc>
          <w:tcPr>
            <w:tcW w:w="393" w:type="pct"/>
            <w:shd w:val="clear" w:color="auto" w:fill="auto"/>
            <w:noWrap/>
            <w:vAlign w:val="center"/>
          </w:tcPr>
          <w:p w14:paraId="3D6DF740">
            <w:pPr>
              <w:widowControl/>
              <w:jc w:val="center"/>
              <w:rPr>
                <w:rFonts w:hint="eastAsia" w:ascii="宋体" w:hAnsi="宋体" w:eastAsia="宋体" w:cs="Arial"/>
                <w:color w:val="auto"/>
                <w:kern w:val="0"/>
                <w:sz w:val="21"/>
                <w:szCs w:val="21"/>
                <w:highlight w:val="none"/>
                <w:lang w:val="en-US" w:eastAsia="zh-CN" w:bidi="ar-SA"/>
              </w:rPr>
            </w:pPr>
            <w:r>
              <w:rPr>
                <w:rFonts w:ascii="宋体" w:hAnsi="宋体" w:cs="Arial"/>
                <w:color w:val="auto"/>
                <w:kern w:val="0"/>
                <w:szCs w:val="21"/>
                <w:highlight w:val="none"/>
              </w:rPr>
              <w:t>标的名称</w:t>
            </w:r>
          </w:p>
        </w:tc>
        <w:tc>
          <w:tcPr>
            <w:tcW w:w="2238" w:type="pct"/>
            <w:gridSpan w:val="2"/>
            <w:shd w:val="clear" w:color="auto" w:fill="auto"/>
            <w:noWrap/>
            <w:vAlign w:val="center"/>
          </w:tcPr>
          <w:p w14:paraId="35923941">
            <w:pPr>
              <w:widowControl/>
              <w:jc w:val="center"/>
              <w:rPr>
                <w:rFonts w:hint="eastAsia" w:ascii="宋体" w:hAnsi="宋体" w:eastAsia="宋体" w:cs="Arial"/>
                <w:color w:val="auto"/>
                <w:kern w:val="0"/>
                <w:sz w:val="21"/>
                <w:szCs w:val="21"/>
                <w:highlight w:val="none"/>
                <w:lang w:val="en-US" w:eastAsia="zh-CN" w:bidi="ar-SA"/>
              </w:rPr>
            </w:pPr>
            <w:r>
              <w:rPr>
                <w:rFonts w:hint="eastAsia" w:ascii="宋体" w:hAnsi="宋体" w:cs="Arial"/>
                <w:color w:val="auto"/>
                <w:kern w:val="0"/>
                <w:szCs w:val="21"/>
                <w:highlight w:val="none"/>
              </w:rPr>
              <w:t>船舶总吨及单价最高限价</w:t>
            </w:r>
          </w:p>
        </w:tc>
        <w:tc>
          <w:tcPr>
            <w:tcW w:w="366" w:type="pct"/>
            <w:shd w:val="clear" w:color="auto" w:fill="auto"/>
            <w:vAlign w:val="center"/>
          </w:tcPr>
          <w:p w14:paraId="53584791">
            <w:pPr>
              <w:widowControl/>
              <w:jc w:val="center"/>
              <w:rPr>
                <w:rFonts w:hint="eastAsia" w:ascii="宋体" w:hAnsi="宋体" w:eastAsia="宋体" w:cs="Arial"/>
                <w:color w:val="auto"/>
                <w:kern w:val="0"/>
                <w:sz w:val="21"/>
                <w:szCs w:val="21"/>
                <w:highlight w:val="none"/>
                <w:lang w:val="en-US" w:eastAsia="zh-CN" w:bidi="ar-SA"/>
              </w:rPr>
            </w:pPr>
            <w:r>
              <w:rPr>
                <w:rFonts w:ascii="宋体" w:hAnsi="宋体" w:cs="Arial"/>
                <w:color w:val="auto"/>
                <w:kern w:val="0"/>
                <w:szCs w:val="21"/>
                <w:highlight w:val="none"/>
              </w:rPr>
              <w:t>数量及单位</w:t>
            </w:r>
          </w:p>
        </w:tc>
        <w:tc>
          <w:tcPr>
            <w:tcW w:w="629" w:type="pct"/>
            <w:shd w:val="clear" w:color="auto" w:fill="auto"/>
            <w:vAlign w:val="center"/>
          </w:tcPr>
          <w:p w14:paraId="4FA0BE44">
            <w:pPr>
              <w:widowControl/>
              <w:jc w:val="center"/>
              <w:rPr>
                <w:rFonts w:hint="eastAsia" w:ascii="宋体" w:hAnsi="宋体" w:eastAsia="宋体" w:cs="Arial"/>
                <w:color w:val="auto"/>
                <w:kern w:val="0"/>
                <w:sz w:val="21"/>
                <w:szCs w:val="21"/>
                <w:highlight w:val="none"/>
                <w:lang w:val="en-US" w:eastAsia="zh-CN" w:bidi="ar-SA"/>
              </w:rPr>
            </w:pPr>
            <w:r>
              <w:rPr>
                <w:rFonts w:hint="eastAsia" w:ascii="宋体" w:hAnsi="宋体" w:cs="Arial"/>
                <w:color w:val="auto"/>
                <w:kern w:val="0"/>
                <w:szCs w:val="21"/>
                <w:highlight w:val="none"/>
              </w:rPr>
              <w:t>折扣率报价</w:t>
            </w:r>
          </w:p>
        </w:tc>
        <w:tc>
          <w:tcPr>
            <w:tcW w:w="1125" w:type="pct"/>
            <w:noWrap/>
            <w:vAlign w:val="center"/>
          </w:tcPr>
          <w:p w14:paraId="30632A6C">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备注</w:t>
            </w:r>
          </w:p>
        </w:tc>
      </w:tr>
      <w:tr w14:paraId="6C34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31DF6D69">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w:t>
            </w:r>
          </w:p>
        </w:tc>
        <w:tc>
          <w:tcPr>
            <w:tcW w:w="393" w:type="pct"/>
            <w:vMerge w:val="restart"/>
            <w:noWrap/>
            <w:vAlign w:val="center"/>
          </w:tcPr>
          <w:p w14:paraId="3DDC7ED9">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船舶租赁服务</w:t>
            </w:r>
          </w:p>
        </w:tc>
        <w:tc>
          <w:tcPr>
            <w:tcW w:w="292" w:type="pct"/>
            <w:vMerge w:val="restart"/>
            <w:noWrap/>
            <w:vAlign w:val="center"/>
          </w:tcPr>
          <w:p w14:paraId="1A3BE1AE">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远海调查船舶</w:t>
            </w:r>
          </w:p>
        </w:tc>
        <w:tc>
          <w:tcPr>
            <w:tcW w:w="1945" w:type="pct"/>
            <w:noWrap/>
            <w:vAlign w:val="center"/>
          </w:tcPr>
          <w:p w14:paraId="0AC934A1">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船舶总吨大于300小于等于700，单艘船舶租赁单价不超过2.5万元/天</w:t>
            </w:r>
          </w:p>
        </w:tc>
        <w:tc>
          <w:tcPr>
            <w:tcW w:w="366" w:type="pct"/>
            <w:noWrap/>
            <w:vAlign w:val="center"/>
          </w:tcPr>
          <w:p w14:paraId="5B9E9532">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restart"/>
            <w:noWrap/>
            <w:vAlign w:val="center"/>
          </w:tcPr>
          <w:p w14:paraId="4910E51B">
            <w:pPr>
              <w:widowControl/>
              <w:jc w:val="center"/>
              <w:rPr>
                <w:rFonts w:hint="eastAsia" w:ascii="宋体" w:hAnsi="宋体" w:cs="Arial"/>
                <w:color w:val="auto"/>
                <w:kern w:val="0"/>
                <w:szCs w:val="21"/>
                <w:highlight w:val="none"/>
              </w:rPr>
            </w:pPr>
          </w:p>
        </w:tc>
        <w:tc>
          <w:tcPr>
            <w:tcW w:w="1125" w:type="pct"/>
            <w:vMerge w:val="restart"/>
            <w:noWrap/>
            <w:vAlign w:val="center"/>
          </w:tcPr>
          <w:p w14:paraId="167A466C">
            <w:pPr>
              <w:widowControl/>
              <w:kinsoku w:val="0"/>
              <w:autoSpaceDE w:val="0"/>
              <w:autoSpaceDN w:val="0"/>
              <w:adjustRightInd w:val="0"/>
              <w:snapToGrid w:val="0"/>
              <w:spacing w:line="400" w:lineRule="exact"/>
              <w:jc w:val="left"/>
              <w:textAlignment w:val="baseline"/>
              <w:rPr>
                <w:rFonts w:hint="eastAsia" w:ascii="宋体" w:hAnsi="宋体" w:cs="Arial"/>
                <w:color w:val="auto"/>
                <w:kern w:val="0"/>
                <w:szCs w:val="21"/>
                <w:highlight w:val="none"/>
              </w:rPr>
            </w:pPr>
            <w:r>
              <w:rPr>
                <w:rFonts w:hint="eastAsia" w:ascii="宋体" w:hAnsi="宋体" w:cs="Arial"/>
                <w:color w:val="auto"/>
                <w:kern w:val="0"/>
                <w:szCs w:val="21"/>
                <w:highlight w:val="none"/>
              </w:rPr>
              <w:t>避风及靠港期间单价为单艘船舶租赁单价的50%。如遇恶劣海况等不可抗力导致航次延期，可按照此次招标单价延长服务期限。　</w:t>
            </w:r>
          </w:p>
        </w:tc>
      </w:tr>
      <w:tr w14:paraId="6D26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18013864">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2</w:t>
            </w:r>
          </w:p>
        </w:tc>
        <w:tc>
          <w:tcPr>
            <w:tcW w:w="393" w:type="pct"/>
            <w:vMerge w:val="continue"/>
            <w:vAlign w:val="center"/>
          </w:tcPr>
          <w:p w14:paraId="75E0B791">
            <w:pPr>
              <w:widowControl/>
              <w:jc w:val="left"/>
              <w:rPr>
                <w:rFonts w:hint="eastAsia" w:ascii="宋体" w:hAnsi="宋体" w:cs="Arial"/>
                <w:color w:val="auto"/>
                <w:kern w:val="0"/>
                <w:szCs w:val="21"/>
                <w:highlight w:val="none"/>
              </w:rPr>
            </w:pPr>
          </w:p>
        </w:tc>
        <w:tc>
          <w:tcPr>
            <w:tcW w:w="292" w:type="pct"/>
            <w:vMerge w:val="continue"/>
            <w:vAlign w:val="center"/>
          </w:tcPr>
          <w:p w14:paraId="02570BC7">
            <w:pPr>
              <w:widowControl/>
              <w:jc w:val="left"/>
              <w:rPr>
                <w:rFonts w:hint="eastAsia" w:ascii="宋体" w:hAnsi="宋体" w:cs="Arial"/>
                <w:color w:val="auto"/>
                <w:kern w:val="0"/>
                <w:szCs w:val="21"/>
                <w:highlight w:val="none"/>
              </w:rPr>
            </w:pPr>
          </w:p>
        </w:tc>
        <w:tc>
          <w:tcPr>
            <w:tcW w:w="1945" w:type="pct"/>
            <w:noWrap/>
            <w:vAlign w:val="center"/>
          </w:tcPr>
          <w:p w14:paraId="6DA124B8">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船舶总吨大于700小于等于1000，单艘船舶租赁单价不超过4.9万元/天</w:t>
            </w:r>
          </w:p>
        </w:tc>
        <w:tc>
          <w:tcPr>
            <w:tcW w:w="366" w:type="pct"/>
            <w:noWrap/>
            <w:vAlign w:val="center"/>
          </w:tcPr>
          <w:p w14:paraId="0DF9625D">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6FA8BF2E">
            <w:pPr>
              <w:widowControl/>
              <w:jc w:val="center"/>
              <w:rPr>
                <w:rFonts w:hint="eastAsia" w:ascii="宋体" w:hAnsi="宋体" w:cs="Arial"/>
                <w:color w:val="auto"/>
                <w:kern w:val="0"/>
                <w:szCs w:val="21"/>
                <w:highlight w:val="none"/>
              </w:rPr>
            </w:pPr>
          </w:p>
        </w:tc>
        <w:tc>
          <w:tcPr>
            <w:tcW w:w="1125" w:type="pct"/>
            <w:vMerge w:val="continue"/>
            <w:noWrap/>
            <w:vAlign w:val="center"/>
          </w:tcPr>
          <w:p w14:paraId="76213A43">
            <w:pPr>
              <w:widowControl/>
              <w:jc w:val="center"/>
              <w:rPr>
                <w:rFonts w:hint="eastAsia" w:ascii="宋体" w:hAnsi="宋体" w:cs="Arial"/>
                <w:color w:val="auto"/>
                <w:kern w:val="0"/>
                <w:szCs w:val="21"/>
                <w:highlight w:val="none"/>
              </w:rPr>
            </w:pPr>
          </w:p>
        </w:tc>
      </w:tr>
      <w:tr w14:paraId="2BD0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65882C04">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3</w:t>
            </w:r>
          </w:p>
        </w:tc>
        <w:tc>
          <w:tcPr>
            <w:tcW w:w="393" w:type="pct"/>
            <w:vMerge w:val="continue"/>
            <w:vAlign w:val="center"/>
          </w:tcPr>
          <w:p w14:paraId="44994F59">
            <w:pPr>
              <w:widowControl/>
              <w:jc w:val="left"/>
              <w:rPr>
                <w:rFonts w:hint="eastAsia" w:ascii="宋体" w:hAnsi="宋体" w:cs="Arial"/>
                <w:color w:val="auto"/>
                <w:kern w:val="0"/>
                <w:szCs w:val="21"/>
                <w:highlight w:val="none"/>
              </w:rPr>
            </w:pPr>
          </w:p>
        </w:tc>
        <w:tc>
          <w:tcPr>
            <w:tcW w:w="292" w:type="pct"/>
            <w:vMerge w:val="restart"/>
            <w:noWrap/>
            <w:vAlign w:val="center"/>
          </w:tcPr>
          <w:p w14:paraId="5F5C8751">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近海调查船舶</w:t>
            </w:r>
          </w:p>
        </w:tc>
        <w:tc>
          <w:tcPr>
            <w:tcW w:w="1945" w:type="pct"/>
            <w:noWrap/>
            <w:vAlign w:val="center"/>
          </w:tcPr>
          <w:p w14:paraId="58CCBDF5">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船舶总吨大于50小于等于100，单艘船舶租赁单价不超过1.0万元/天</w:t>
            </w:r>
          </w:p>
        </w:tc>
        <w:tc>
          <w:tcPr>
            <w:tcW w:w="366" w:type="pct"/>
            <w:noWrap/>
            <w:vAlign w:val="center"/>
          </w:tcPr>
          <w:p w14:paraId="55D5A416">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6473DE32">
            <w:pPr>
              <w:widowControl/>
              <w:jc w:val="center"/>
              <w:rPr>
                <w:rFonts w:hint="eastAsia" w:ascii="宋体" w:hAnsi="宋体" w:cs="Arial"/>
                <w:color w:val="auto"/>
                <w:kern w:val="0"/>
                <w:szCs w:val="21"/>
                <w:highlight w:val="none"/>
              </w:rPr>
            </w:pPr>
          </w:p>
        </w:tc>
        <w:tc>
          <w:tcPr>
            <w:tcW w:w="1125" w:type="pct"/>
            <w:noWrap/>
            <w:vAlign w:val="center"/>
          </w:tcPr>
          <w:p w14:paraId="007179D5">
            <w:pPr>
              <w:widowControl/>
              <w:jc w:val="center"/>
              <w:rPr>
                <w:rFonts w:hint="eastAsia" w:ascii="宋体" w:hAnsi="宋体" w:cs="Arial"/>
                <w:color w:val="auto"/>
                <w:kern w:val="0"/>
                <w:szCs w:val="21"/>
                <w:highlight w:val="none"/>
              </w:rPr>
            </w:pPr>
          </w:p>
        </w:tc>
      </w:tr>
      <w:tr w14:paraId="48E1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4060E279">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4</w:t>
            </w:r>
          </w:p>
        </w:tc>
        <w:tc>
          <w:tcPr>
            <w:tcW w:w="393" w:type="pct"/>
            <w:vMerge w:val="continue"/>
            <w:vAlign w:val="center"/>
          </w:tcPr>
          <w:p w14:paraId="591DCB4F">
            <w:pPr>
              <w:widowControl/>
              <w:jc w:val="left"/>
              <w:rPr>
                <w:rFonts w:hint="eastAsia" w:ascii="宋体" w:hAnsi="宋体" w:cs="Arial"/>
                <w:color w:val="auto"/>
                <w:kern w:val="0"/>
                <w:szCs w:val="21"/>
                <w:highlight w:val="none"/>
              </w:rPr>
            </w:pPr>
          </w:p>
        </w:tc>
        <w:tc>
          <w:tcPr>
            <w:tcW w:w="292" w:type="pct"/>
            <w:vMerge w:val="continue"/>
            <w:vAlign w:val="center"/>
          </w:tcPr>
          <w:p w14:paraId="4753DB25">
            <w:pPr>
              <w:widowControl/>
              <w:jc w:val="left"/>
              <w:rPr>
                <w:rFonts w:hint="eastAsia" w:ascii="宋体" w:hAnsi="宋体" w:cs="Arial"/>
                <w:color w:val="auto"/>
                <w:kern w:val="0"/>
                <w:szCs w:val="21"/>
                <w:highlight w:val="none"/>
              </w:rPr>
            </w:pPr>
          </w:p>
        </w:tc>
        <w:tc>
          <w:tcPr>
            <w:tcW w:w="1945" w:type="pct"/>
            <w:noWrap/>
            <w:vAlign w:val="center"/>
          </w:tcPr>
          <w:p w14:paraId="356E83A3">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船舶总吨大于100小于等于150，单艘船舶租赁单价不超过1.5万元/天</w:t>
            </w:r>
          </w:p>
        </w:tc>
        <w:tc>
          <w:tcPr>
            <w:tcW w:w="366" w:type="pct"/>
            <w:noWrap/>
            <w:vAlign w:val="center"/>
          </w:tcPr>
          <w:p w14:paraId="451E2F3C">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2CE6D1E2">
            <w:pPr>
              <w:widowControl/>
              <w:jc w:val="center"/>
              <w:rPr>
                <w:rFonts w:hint="eastAsia" w:ascii="宋体" w:hAnsi="宋体" w:cs="Arial"/>
                <w:color w:val="auto"/>
                <w:kern w:val="0"/>
                <w:szCs w:val="21"/>
                <w:highlight w:val="none"/>
              </w:rPr>
            </w:pPr>
          </w:p>
        </w:tc>
        <w:tc>
          <w:tcPr>
            <w:tcW w:w="1125" w:type="pct"/>
            <w:noWrap/>
            <w:vAlign w:val="center"/>
          </w:tcPr>
          <w:p w14:paraId="15FC870A">
            <w:pPr>
              <w:widowControl/>
              <w:jc w:val="center"/>
              <w:rPr>
                <w:rFonts w:hint="eastAsia" w:ascii="宋体" w:hAnsi="宋体" w:cs="Arial"/>
                <w:color w:val="auto"/>
                <w:kern w:val="0"/>
                <w:szCs w:val="21"/>
                <w:highlight w:val="none"/>
              </w:rPr>
            </w:pPr>
          </w:p>
        </w:tc>
      </w:tr>
      <w:tr w14:paraId="2C9A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594230E3">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5</w:t>
            </w:r>
          </w:p>
        </w:tc>
        <w:tc>
          <w:tcPr>
            <w:tcW w:w="393" w:type="pct"/>
            <w:vMerge w:val="continue"/>
            <w:vAlign w:val="center"/>
          </w:tcPr>
          <w:p w14:paraId="5E5FA2E5">
            <w:pPr>
              <w:widowControl/>
              <w:jc w:val="left"/>
              <w:rPr>
                <w:rFonts w:hint="eastAsia" w:ascii="宋体" w:hAnsi="宋体" w:cs="Arial"/>
                <w:color w:val="auto"/>
                <w:kern w:val="0"/>
                <w:szCs w:val="21"/>
                <w:highlight w:val="none"/>
              </w:rPr>
            </w:pPr>
          </w:p>
        </w:tc>
        <w:tc>
          <w:tcPr>
            <w:tcW w:w="292" w:type="pct"/>
            <w:vMerge w:val="continue"/>
            <w:vAlign w:val="center"/>
          </w:tcPr>
          <w:p w14:paraId="56D185A6">
            <w:pPr>
              <w:widowControl/>
              <w:jc w:val="left"/>
              <w:rPr>
                <w:rFonts w:hint="eastAsia" w:ascii="宋体" w:hAnsi="宋体" w:cs="Arial"/>
                <w:color w:val="auto"/>
                <w:kern w:val="0"/>
                <w:szCs w:val="21"/>
                <w:highlight w:val="none"/>
              </w:rPr>
            </w:pPr>
          </w:p>
        </w:tc>
        <w:tc>
          <w:tcPr>
            <w:tcW w:w="1945" w:type="pct"/>
            <w:noWrap/>
            <w:vAlign w:val="center"/>
          </w:tcPr>
          <w:p w14:paraId="227E1042">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快艇，长度小于9米，宽度小于2.5米，总功率小于45千瓦。单价：3小时以内（含3小时）2000元/船次，超过3小时后700元/小时·船次。</w:t>
            </w:r>
          </w:p>
        </w:tc>
        <w:tc>
          <w:tcPr>
            <w:tcW w:w="366" w:type="pct"/>
            <w:noWrap/>
            <w:vAlign w:val="center"/>
          </w:tcPr>
          <w:p w14:paraId="477F8AF1">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3B9BB99E">
            <w:pPr>
              <w:widowControl/>
              <w:jc w:val="center"/>
              <w:rPr>
                <w:rFonts w:hint="eastAsia" w:ascii="宋体" w:hAnsi="宋体" w:cs="Arial"/>
                <w:color w:val="auto"/>
                <w:kern w:val="0"/>
                <w:szCs w:val="21"/>
                <w:highlight w:val="none"/>
              </w:rPr>
            </w:pPr>
          </w:p>
        </w:tc>
        <w:tc>
          <w:tcPr>
            <w:tcW w:w="1125" w:type="pct"/>
            <w:noWrap/>
            <w:vAlign w:val="center"/>
          </w:tcPr>
          <w:p w14:paraId="25AA5E58">
            <w:pPr>
              <w:widowControl/>
              <w:jc w:val="center"/>
              <w:rPr>
                <w:rFonts w:hint="eastAsia" w:ascii="宋体" w:hAnsi="宋体" w:cs="Arial"/>
                <w:color w:val="auto"/>
                <w:kern w:val="0"/>
                <w:szCs w:val="21"/>
                <w:highlight w:val="none"/>
              </w:rPr>
            </w:pPr>
          </w:p>
        </w:tc>
      </w:tr>
      <w:tr w14:paraId="6CB9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626717DC">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6</w:t>
            </w:r>
          </w:p>
        </w:tc>
        <w:tc>
          <w:tcPr>
            <w:tcW w:w="393" w:type="pct"/>
            <w:vMerge w:val="continue"/>
            <w:vAlign w:val="center"/>
          </w:tcPr>
          <w:p w14:paraId="1957FB83">
            <w:pPr>
              <w:widowControl/>
              <w:jc w:val="left"/>
              <w:rPr>
                <w:rFonts w:hint="eastAsia" w:ascii="宋体" w:hAnsi="宋体" w:cs="Arial"/>
                <w:color w:val="auto"/>
                <w:kern w:val="0"/>
                <w:szCs w:val="21"/>
                <w:highlight w:val="none"/>
              </w:rPr>
            </w:pPr>
          </w:p>
        </w:tc>
        <w:tc>
          <w:tcPr>
            <w:tcW w:w="292" w:type="pct"/>
            <w:vMerge w:val="restart"/>
            <w:noWrap/>
            <w:vAlign w:val="center"/>
          </w:tcPr>
          <w:p w14:paraId="19F6102C">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定点测流观测船舶</w:t>
            </w:r>
          </w:p>
        </w:tc>
        <w:tc>
          <w:tcPr>
            <w:tcW w:w="1945" w:type="pct"/>
            <w:noWrap/>
            <w:vAlign w:val="center"/>
          </w:tcPr>
          <w:p w14:paraId="3CE985EE">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船舶总吨小于等于50，单艘船舶租赁单价为不超过0.7万元/船次</w:t>
            </w:r>
          </w:p>
        </w:tc>
        <w:tc>
          <w:tcPr>
            <w:tcW w:w="366" w:type="pct"/>
            <w:noWrap/>
            <w:vAlign w:val="center"/>
          </w:tcPr>
          <w:p w14:paraId="51760FA7">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331575A8">
            <w:pPr>
              <w:widowControl/>
              <w:jc w:val="center"/>
              <w:rPr>
                <w:rFonts w:hint="eastAsia" w:ascii="宋体" w:hAnsi="宋体" w:cs="Arial"/>
                <w:color w:val="auto"/>
                <w:kern w:val="0"/>
                <w:szCs w:val="21"/>
                <w:highlight w:val="none"/>
              </w:rPr>
            </w:pPr>
          </w:p>
        </w:tc>
        <w:tc>
          <w:tcPr>
            <w:tcW w:w="1125" w:type="pct"/>
            <w:noWrap/>
            <w:vAlign w:val="center"/>
          </w:tcPr>
          <w:p w14:paraId="1C64C4E2">
            <w:pPr>
              <w:widowControl/>
              <w:jc w:val="center"/>
              <w:rPr>
                <w:rFonts w:hint="eastAsia" w:ascii="宋体" w:hAnsi="宋体" w:cs="Arial"/>
                <w:color w:val="auto"/>
                <w:kern w:val="0"/>
                <w:szCs w:val="21"/>
                <w:highlight w:val="none"/>
              </w:rPr>
            </w:pPr>
          </w:p>
        </w:tc>
      </w:tr>
      <w:tr w14:paraId="2309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020E1A27">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7</w:t>
            </w:r>
          </w:p>
        </w:tc>
        <w:tc>
          <w:tcPr>
            <w:tcW w:w="393" w:type="pct"/>
            <w:vMerge w:val="continue"/>
            <w:vAlign w:val="center"/>
          </w:tcPr>
          <w:p w14:paraId="3A920505">
            <w:pPr>
              <w:widowControl/>
              <w:jc w:val="left"/>
              <w:rPr>
                <w:rFonts w:hint="eastAsia" w:ascii="宋体" w:hAnsi="宋体" w:cs="Arial"/>
                <w:color w:val="auto"/>
                <w:kern w:val="0"/>
                <w:szCs w:val="21"/>
                <w:highlight w:val="none"/>
              </w:rPr>
            </w:pPr>
          </w:p>
        </w:tc>
        <w:tc>
          <w:tcPr>
            <w:tcW w:w="292" w:type="pct"/>
            <w:vMerge w:val="continue"/>
            <w:vAlign w:val="center"/>
          </w:tcPr>
          <w:p w14:paraId="4C7D2D9C">
            <w:pPr>
              <w:widowControl/>
              <w:jc w:val="left"/>
              <w:rPr>
                <w:rFonts w:hint="eastAsia" w:ascii="宋体" w:hAnsi="宋体" w:cs="Arial"/>
                <w:color w:val="auto"/>
                <w:kern w:val="0"/>
                <w:szCs w:val="21"/>
                <w:highlight w:val="none"/>
              </w:rPr>
            </w:pPr>
          </w:p>
        </w:tc>
        <w:tc>
          <w:tcPr>
            <w:tcW w:w="1945" w:type="pct"/>
            <w:noWrap/>
            <w:vAlign w:val="center"/>
          </w:tcPr>
          <w:p w14:paraId="26E809D0">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船舶总吨大于50小于等于100，单艘船舶租赁单价为不超过1.0万元/船次</w:t>
            </w:r>
          </w:p>
        </w:tc>
        <w:tc>
          <w:tcPr>
            <w:tcW w:w="366" w:type="pct"/>
            <w:noWrap/>
            <w:vAlign w:val="center"/>
          </w:tcPr>
          <w:p w14:paraId="413078B2">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1EA28AA8">
            <w:pPr>
              <w:widowControl/>
              <w:jc w:val="center"/>
              <w:rPr>
                <w:rFonts w:hint="eastAsia" w:ascii="宋体" w:hAnsi="宋体" w:cs="Arial"/>
                <w:color w:val="auto"/>
                <w:kern w:val="0"/>
                <w:szCs w:val="21"/>
                <w:highlight w:val="none"/>
              </w:rPr>
            </w:pPr>
          </w:p>
        </w:tc>
        <w:tc>
          <w:tcPr>
            <w:tcW w:w="1125" w:type="pct"/>
            <w:noWrap/>
            <w:vAlign w:val="center"/>
          </w:tcPr>
          <w:p w14:paraId="7C75B838">
            <w:pPr>
              <w:widowControl/>
              <w:jc w:val="center"/>
              <w:rPr>
                <w:rFonts w:hint="eastAsia" w:ascii="宋体" w:hAnsi="宋体" w:cs="Arial"/>
                <w:color w:val="auto"/>
                <w:kern w:val="0"/>
                <w:szCs w:val="21"/>
                <w:highlight w:val="none"/>
              </w:rPr>
            </w:pPr>
          </w:p>
        </w:tc>
      </w:tr>
      <w:tr w14:paraId="77C3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76344DD4">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8</w:t>
            </w:r>
          </w:p>
        </w:tc>
        <w:tc>
          <w:tcPr>
            <w:tcW w:w="393" w:type="pct"/>
            <w:vMerge w:val="continue"/>
            <w:vAlign w:val="center"/>
          </w:tcPr>
          <w:p w14:paraId="634CB15D">
            <w:pPr>
              <w:widowControl/>
              <w:jc w:val="left"/>
              <w:rPr>
                <w:rFonts w:hint="eastAsia" w:ascii="宋体" w:hAnsi="宋体" w:cs="Arial"/>
                <w:color w:val="auto"/>
                <w:kern w:val="0"/>
                <w:szCs w:val="21"/>
                <w:highlight w:val="none"/>
              </w:rPr>
            </w:pPr>
          </w:p>
        </w:tc>
        <w:tc>
          <w:tcPr>
            <w:tcW w:w="292" w:type="pct"/>
            <w:vMerge w:val="continue"/>
            <w:vAlign w:val="center"/>
          </w:tcPr>
          <w:p w14:paraId="00612ED9">
            <w:pPr>
              <w:widowControl/>
              <w:jc w:val="left"/>
              <w:rPr>
                <w:rFonts w:hint="eastAsia" w:ascii="宋体" w:hAnsi="宋体" w:cs="Arial"/>
                <w:color w:val="auto"/>
                <w:kern w:val="0"/>
                <w:szCs w:val="21"/>
                <w:highlight w:val="none"/>
              </w:rPr>
            </w:pPr>
          </w:p>
        </w:tc>
        <w:tc>
          <w:tcPr>
            <w:tcW w:w="1945" w:type="pct"/>
            <w:noWrap/>
            <w:vAlign w:val="center"/>
          </w:tcPr>
          <w:p w14:paraId="67DC6FEF">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船舶总吨大于100小于等于150，单艘船舶租赁单价为不超过1.5万元/船次</w:t>
            </w:r>
          </w:p>
        </w:tc>
        <w:tc>
          <w:tcPr>
            <w:tcW w:w="366" w:type="pct"/>
            <w:noWrap/>
            <w:vAlign w:val="center"/>
          </w:tcPr>
          <w:p w14:paraId="736F6084">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22C504A4">
            <w:pPr>
              <w:widowControl/>
              <w:jc w:val="center"/>
              <w:rPr>
                <w:rFonts w:hint="eastAsia" w:ascii="宋体" w:hAnsi="宋体" w:cs="Arial"/>
                <w:color w:val="auto"/>
                <w:kern w:val="0"/>
                <w:szCs w:val="21"/>
                <w:highlight w:val="none"/>
              </w:rPr>
            </w:pPr>
          </w:p>
        </w:tc>
        <w:tc>
          <w:tcPr>
            <w:tcW w:w="1125" w:type="pct"/>
            <w:noWrap/>
            <w:vAlign w:val="center"/>
          </w:tcPr>
          <w:p w14:paraId="0C2B679B">
            <w:pPr>
              <w:widowControl/>
              <w:jc w:val="center"/>
              <w:rPr>
                <w:rFonts w:hint="eastAsia" w:ascii="宋体" w:hAnsi="宋体" w:cs="Arial"/>
                <w:color w:val="auto"/>
                <w:kern w:val="0"/>
                <w:szCs w:val="21"/>
                <w:highlight w:val="none"/>
              </w:rPr>
            </w:pPr>
          </w:p>
        </w:tc>
      </w:tr>
      <w:tr w14:paraId="1840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2602896F">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9</w:t>
            </w:r>
          </w:p>
        </w:tc>
        <w:tc>
          <w:tcPr>
            <w:tcW w:w="393" w:type="pct"/>
            <w:vMerge w:val="continue"/>
            <w:vAlign w:val="center"/>
          </w:tcPr>
          <w:p w14:paraId="279CA407">
            <w:pPr>
              <w:widowControl/>
              <w:jc w:val="left"/>
              <w:rPr>
                <w:rFonts w:hint="eastAsia" w:ascii="宋体" w:hAnsi="宋体" w:cs="Arial"/>
                <w:color w:val="auto"/>
                <w:kern w:val="0"/>
                <w:szCs w:val="21"/>
                <w:highlight w:val="none"/>
              </w:rPr>
            </w:pPr>
          </w:p>
        </w:tc>
        <w:tc>
          <w:tcPr>
            <w:tcW w:w="292" w:type="pct"/>
            <w:vMerge w:val="continue"/>
            <w:vAlign w:val="center"/>
          </w:tcPr>
          <w:p w14:paraId="5740863C">
            <w:pPr>
              <w:widowControl/>
              <w:jc w:val="left"/>
              <w:rPr>
                <w:rFonts w:hint="eastAsia" w:ascii="宋体" w:hAnsi="宋体" w:cs="Arial"/>
                <w:color w:val="auto"/>
                <w:kern w:val="0"/>
                <w:szCs w:val="21"/>
                <w:highlight w:val="none"/>
              </w:rPr>
            </w:pPr>
          </w:p>
        </w:tc>
        <w:tc>
          <w:tcPr>
            <w:tcW w:w="1945" w:type="pct"/>
            <w:noWrap/>
            <w:vAlign w:val="center"/>
          </w:tcPr>
          <w:p w14:paraId="38B468A9">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船舶总吨大于150小于等于200，单艘船舶租赁单价为不超过1.8万元/船次</w:t>
            </w:r>
          </w:p>
        </w:tc>
        <w:tc>
          <w:tcPr>
            <w:tcW w:w="366" w:type="pct"/>
            <w:noWrap/>
            <w:vAlign w:val="center"/>
          </w:tcPr>
          <w:p w14:paraId="75CD80F9">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01E47D70">
            <w:pPr>
              <w:widowControl/>
              <w:jc w:val="center"/>
              <w:rPr>
                <w:rFonts w:hint="eastAsia" w:ascii="宋体" w:hAnsi="宋体" w:cs="Arial"/>
                <w:color w:val="auto"/>
                <w:kern w:val="0"/>
                <w:szCs w:val="21"/>
                <w:highlight w:val="none"/>
              </w:rPr>
            </w:pPr>
          </w:p>
        </w:tc>
        <w:tc>
          <w:tcPr>
            <w:tcW w:w="1125" w:type="pct"/>
            <w:noWrap/>
            <w:vAlign w:val="center"/>
          </w:tcPr>
          <w:p w14:paraId="5DC338DF">
            <w:pPr>
              <w:widowControl/>
              <w:jc w:val="center"/>
              <w:rPr>
                <w:rFonts w:hint="eastAsia" w:ascii="宋体" w:hAnsi="宋体" w:cs="Arial"/>
                <w:color w:val="auto"/>
                <w:kern w:val="0"/>
                <w:szCs w:val="21"/>
                <w:highlight w:val="none"/>
              </w:rPr>
            </w:pPr>
          </w:p>
        </w:tc>
      </w:tr>
      <w:tr w14:paraId="3DC0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46" w:type="pct"/>
            <w:noWrap/>
            <w:vAlign w:val="center"/>
          </w:tcPr>
          <w:p w14:paraId="20FB84F4">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10</w:t>
            </w:r>
          </w:p>
        </w:tc>
        <w:tc>
          <w:tcPr>
            <w:tcW w:w="393" w:type="pct"/>
            <w:vMerge w:val="continue"/>
            <w:vAlign w:val="center"/>
          </w:tcPr>
          <w:p w14:paraId="7A328E89">
            <w:pPr>
              <w:widowControl/>
              <w:jc w:val="left"/>
              <w:rPr>
                <w:rFonts w:hint="eastAsia" w:ascii="宋体" w:hAnsi="宋体" w:cs="Arial"/>
                <w:color w:val="auto"/>
                <w:kern w:val="0"/>
                <w:szCs w:val="21"/>
                <w:highlight w:val="none"/>
              </w:rPr>
            </w:pPr>
          </w:p>
        </w:tc>
        <w:tc>
          <w:tcPr>
            <w:tcW w:w="292" w:type="pct"/>
            <w:vMerge w:val="continue"/>
            <w:vAlign w:val="center"/>
          </w:tcPr>
          <w:p w14:paraId="14EB9EE9">
            <w:pPr>
              <w:widowControl/>
              <w:jc w:val="left"/>
              <w:rPr>
                <w:rFonts w:hint="eastAsia" w:ascii="宋体" w:hAnsi="宋体" w:cs="Arial"/>
                <w:color w:val="auto"/>
                <w:kern w:val="0"/>
                <w:szCs w:val="21"/>
                <w:highlight w:val="none"/>
              </w:rPr>
            </w:pPr>
          </w:p>
        </w:tc>
        <w:tc>
          <w:tcPr>
            <w:tcW w:w="1945" w:type="pct"/>
            <w:noWrap/>
            <w:vAlign w:val="center"/>
          </w:tcPr>
          <w:p w14:paraId="65895956">
            <w:pPr>
              <w:widowControl/>
              <w:jc w:val="center"/>
              <w:rPr>
                <w:rFonts w:hint="eastAsia" w:ascii="宋体" w:hAnsi="宋体" w:cs="Arial"/>
                <w:color w:val="auto"/>
                <w:kern w:val="0"/>
                <w:szCs w:val="21"/>
                <w:highlight w:val="none"/>
              </w:rPr>
            </w:pPr>
            <w:r>
              <w:rPr>
                <w:rFonts w:hint="eastAsia" w:ascii="宋体" w:hAnsi="宋体" w:cs="Arial"/>
                <w:color w:val="auto"/>
                <w:kern w:val="0"/>
                <w:szCs w:val="21"/>
                <w:highlight w:val="none"/>
              </w:rPr>
              <w:t>船舶总吨大于200吨小于等于250吨，单艘船舶租赁单价为不超过2.0万元/船次</w:t>
            </w:r>
          </w:p>
        </w:tc>
        <w:tc>
          <w:tcPr>
            <w:tcW w:w="366" w:type="pct"/>
            <w:noWrap/>
            <w:vAlign w:val="center"/>
          </w:tcPr>
          <w:p w14:paraId="66502ED8">
            <w:pPr>
              <w:widowControl/>
              <w:jc w:val="center"/>
              <w:rPr>
                <w:rFonts w:hint="eastAsia" w:ascii="宋体" w:hAnsi="宋体" w:cs="Arial"/>
                <w:color w:val="auto"/>
                <w:kern w:val="0"/>
                <w:szCs w:val="21"/>
                <w:highlight w:val="none"/>
              </w:rPr>
            </w:pPr>
            <w:r>
              <w:rPr>
                <w:rFonts w:ascii="宋体" w:hAnsi="宋体" w:cs="Arial"/>
                <w:color w:val="auto"/>
                <w:kern w:val="0"/>
                <w:szCs w:val="21"/>
                <w:highlight w:val="none"/>
              </w:rPr>
              <w:t>1艘</w:t>
            </w:r>
          </w:p>
        </w:tc>
        <w:tc>
          <w:tcPr>
            <w:tcW w:w="629" w:type="pct"/>
            <w:vMerge w:val="continue"/>
            <w:noWrap/>
            <w:vAlign w:val="center"/>
          </w:tcPr>
          <w:p w14:paraId="72955F6E">
            <w:pPr>
              <w:widowControl/>
              <w:jc w:val="center"/>
              <w:rPr>
                <w:rFonts w:hint="eastAsia" w:ascii="宋体" w:hAnsi="宋体" w:cs="Arial"/>
                <w:color w:val="auto"/>
                <w:kern w:val="0"/>
                <w:szCs w:val="21"/>
                <w:highlight w:val="none"/>
              </w:rPr>
            </w:pPr>
          </w:p>
        </w:tc>
        <w:tc>
          <w:tcPr>
            <w:tcW w:w="1125" w:type="pct"/>
            <w:noWrap/>
            <w:vAlign w:val="center"/>
          </w:tcPr>
          <w:p w14:paraId="094700A6">
            <w:pPr>
              <w:widowControl/>
              <w:jc w:val="center"/>
              <w:rPr>
                <w:rFonts w:hint="eastAsia" w:ascii="宋体" w:hAnsi="宋体" w:cs="Arial"/>
                <w:color w:val="auto"/>
                <w:kern w:val="0"/>
                <w:szCs w:val="21"/>
                <w:highlight w:val="none"/>
              </w:rPr>
            </w:pPr>
          </w:p>
        </w:tc>
      </w:tr>
      <w:tr w14:paraId="1A1A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5000" w:type="pct"/>
            <w:gridSpan w:val="7"/>
            <w:shd w:val="clear" w:color="auto" w:fill="auto"/>
            <w:noWrap/>
            <w:vAlign w:val="center"/>
          </w:tcPr>
          <w:p w14:paraId="7873F097">
            <w:pPr>
              <w:widowControl/>
              <w:jc w:val="left"/>
              <w:rPr>
                <w:rFonts w:hint="eastAsia" w:ascii="宋体" w:hAnsi="宋体" w:eastAsia="宋体" w:cs="Arial"/>
                <w:color w:val="auto"/>
                <w:kern w:val="0"/>
                <w:sz w:val="21"/>
                <w:szCs w:val="21"/>
                <w:highlight w:val="none"/>
                <w:lang w:val="en-US" w:eastAsia="zh-CN" w:bidi="ar-SA"/>
              </w:rPr>
            </w:pPr>
            <w:r>
              <w:rPr>
                <w:rFonts w:hint="eastAsia" w:ascii="宋体" w:hAnsi="宋体" w:cs="Arial"/>
                <w:color w:val="auto"/>
                <w:kern w:val="0"/>
                <w:szCs w:val="21"/>
                <w:highlight w:val="none"/>
              </w:rPr>
              <w:t>特别说明：结算单价=单艘船舶租赁单价*（1-折扣率）。示例：折扣率报价15%，即报价85折。</w:t>
            </w:r>
            <w:r>
              <w:rPr>
                <w:rFonts w:hint="eastAsia" w:ascii="宋体" w:hAnsi="宋体" w:cs="Arial"/>
                <w:color w:val="auto"/>
                <w:kern w:val="0"/>
                <w:szCs w:val="21"/>
                <w:highlight w:val="none"/>
                <w:lang w:val="en-US" w:eastAsia="zh-CN"/>
              </w:rPr>
              <w:t xml:space="preserve"> </w:t>
            </w:r>
          </w:p>
        </w:tc>
      </w:tr>
    </w:tbl>
    <w:p w14:paraId="369456F9">
      <w:pPr>
        <w:snapToGrid w:val="0"/>
        <w:spacing w:before="50" w:after="50" w:line="360" w:lineRule="auto"/>
        <w:rPr>
          <w:rFonts w:hint="eastAsia" w:ascii="宋体" w:hAnsi="宋体"/>
          <w:color w:val="auto"/>
          <w:szCs w:val="21"/>
          <w:highlight w:val="none"/>
        </w:rPr>
      </w:pPr>
    </w:p>
    <w:p w14:paraId="7F8C0E1D">
      <w:pPr>
        <w:snapToGrid w:val="0"/>
        <w:spacing w:before="50" w:after="50" w:line="360" w:lineRule="auto"/>
        <w:jc w:val="left"/>
        <w:rPr>
          <w:rFonts w:hint="eastAsia" w:ascii="宋体" w:hAnsi="宋体"/>
          <w:color w:val="auto"/>
          <w:szCs w:val="21"/>
          <w:highlight w:val="none"/>
        </w:rPr>
      </w:pPr>
      <w:r>
        <w:rPr>
          <w:rFonts w:hint="eastAsia" w:ascii="宋体" w:hAnsi="宋体"/>
          <w:color w:val="auto"/>
          <w:szCs w:val="21"/>
          <w:highlight w:val="none"/>
        </w:rPr>
        <w:t xml:space="preserve">注: </w:t>
      </w:r>
    </w:p>
    <w:p w14:paraId="3B065B42">
      <w:pPr>
        <w:snapToGrid w:val="0"/>
        <w:spacing w:before="50" w:after="50"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1.投标人的开标一览表必须加盖投标人公章并由</w:t>
      </w:r>
      <w:r>
        <w:rPr>
          <w:rFonts w:ascii="宋体" w:hAnsi="宋体"/>
          <w:color w:val="auto"/>
          <w:szCs w:val="21"/>
          <w:highlight w:val="none"/>
        </w:rPr>
        <w:t>法定代表人或者委托代理人</w:t>
      </w:r>
      <w:r>
        <w:rPr>
          <w:rFonts w:hint="eastAsia" w:ascii="宋体" w:hAnsi="宋体"/>
          <w:color w:val="auto"/>
          <w:szCs w:val="21"/>
          <w:highlight w:val="none"/>
        </w:rPr>
        <w:t>签字，</w:t>
      </w:r>
      <w:r>
        <w:rPr>
          <w:rFonts w:hint="eastAsia" w:ascii="宋体" w:hAnsi="宋体"/>
          <w:b/>
          <w:color w:val="auto"/>
          <w:szCs w:val="21"/>
          <w:highlight w:val="none"/>
        </w:rPr>
        <w:t>否则其投标作无效标处理</w:t>
      </w:r>
      <w:r>
        <w:rPr>
          <w:rFonts w:hint="eastAsia" w:ascii="宋体" w:hAnsi="宋体"/>
          <w:color w:val="auto"/>
          <w:szCs w:val="21"/>
          <w:highlight w:val="none"/>
        </w:rPr>
        <w:t>。</w:t>
      </w:r>
    </w:p>
    <w:p w14:paraId="7DE7BC07">
      <w:pPr>
        <w:snapToGrid w:val="0"/>
        <w:spacing w:before="50" w:after="50" w:line="360" w:lineRule="auto"/>
        <w:ind w:firstLine="420" w:firstLineChars="200"/>
        <w:jc w:val="left"/>
        <w:rPr>
          <w:rFonts w:hint="eastAsia" w:ascii="宋体" w:hAnsi="宋体"/>
          <w:b/>
          <w:color w:val="auto"/>
          <w:szCs w:val="21"/>
          <w:highlight w:val="none"/>
        </w:rPr>
      </w:pPr>
      <w:r>
        <w:rPr>
          <w:rFonts w:hint="eastAsia" w:ascii="宋体" w:hAnsi="宋体"/>
          <w:bCs/>
          <w:color w:val="auto"/>
          <w:szCs w:val="21"/>
          <w:highlight w:val="none"/>
        </w:rPr>
        <w:t>2.</w:t>
      </w:r>
      <w:r>
        <w:rPr>
          <w:rFonts w:hint="eastAsia" w:ascii="宋体" w:hAnsi="宋体"/>
          <w:color w:val="auto"/>
          <w:szCs w:val="21"/>
          <w:highlight w:val="none"/>
        </w:rPr>
        <w:t>报价一经涂改，应在涂改处加盖投标人公章或者由法定代表人或者授权委托人签字或者盖章</w:t>
      </w:r>
      <w:r>
        <w:rPr>
          <w:rFonts w:hint="eastAsia" w:ascii="宋体" w:hAnsi="宋体"/>
          <w:b/>
          <w:color w:val="auto"/>
          <w:szCs w:val="21"/>
          <w:highlight w:val="none"/>
        </w:rPr>
        <w:t>，否则其投标作无效标处理。</w:t>
      </w:r>
    </w:p>
    <w:p w14:paraId="3E255C91">
      <w:pPr>
        <w:snapToGrid w:val="0"/>
        <w:spacing w:before="120" w:beforeLines="50" w:line="360" w:lineRule="auto"/>
        <w:ind w:right="480" w:firstLine="3471" w:firstLineChars="1653"/>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3A5D029D">
      <w:pPr>
        <w:snapToGrid w:val="0"/>
        <w:spacing w:before="120" w:beforeLines="50" w:after="50" w:line="360" w:lineRule="auto"/>
        <w:ind w:right="480" w:firstLine="4830" w:firstLineChars="2300"/>
        <w:rPr>
          <w:rFonts w:hint="eastAsia" w:ascii="宋体" w:hAnsi="宋体"/>
          <w:color w:val="auto"/>
          <w:szCs w:val="21"/>
          <w:highlight w:val="none"/>
          <w:u w:val="singl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1D3A1602">
      <w:pPr>
        <w:tabs>
          <w:tab w:val="left" w:pos="6379"/>
        </w:tabs>
        <w:snapToGrid w:val="0"/>
        <w:spacing w:before="50" w:after="50" w:line="360" w:lineRule="auto"/>
        <w:ind w:left="-8" w:leftChars="-4" w:right="-817" w:rightChars="-389" w:firstLine="6384" w:firstLineChars="3040"/>
        <w:jc w:val="left"/>
        <w:rPr>
          <w:rFonts w:hint="eastAsia" w:ascii="宋体" w:hAnsi="宋体"/>
          <w:color w:val="auto"/>
          <w:szCs w:val="21"/>
          <w:highlight w:val="none"/>
        </w:rPr>
      </w:pP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int="eastAsia" w:hAnsi="宋体"/>
          <w:color w:val="auto"/>
          <w:highlight w:val="none"/>
        </w:rPr>
        <w:t>日</w:t>
      </w:r>
    </w:p>
    <w:bookmarkEnd w:id="176"/>
    <w:bookmarkEnd w:id="177"/>
    <w:p w14:paraId="586AFD74">
      <w:pPr>
        <w:snapToGrid w:val="0"/>
        <w:spacing w:before="120" w:beforeLines="50" w:after="50"/>
        <w:jc w:val="left"/>
        <w:outlineLvl w:val="2"/>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（三）投标人直接控股、管理关系信息表</w:t>
      </w:r>
    </w:p>
    <w:p w14:paraId="1B8A23DC">
      <w:pPr>
        <w:snapToGrid w:val="0"/>
        <w:spacing w:before="240" w:after="120" w:afterLines="50" w:line="360" w:lineRule="auto"/>
        <w:jc w:val="center"/>
        <w:rPr>
          <w:rFonts w:hint="eastAsia" w:ascii="宋体" w:hAnsi="宋体"/>
          <w:b/>
          <w:color w:val="auto"/>
          <w:szCs w:val="21"/>
          <w:highlight w:val="none"/>
        </w:rPr>
      </w:pPr>
      <w:r>
        <w:rPr>
          <w:rFonts w:hint="eastAsia" w:ascii="宋体" w:hAnsi="宋体"/>
          <w:b/>
          <w:color w:val="auto"/>
          <w:szCs w:val="21"/>
          <w:highlight w:val="none"/>
        </w:rPr>
        <w:t>投标人直接控股股东信息表</w:t>
      </w:r>
    </w:p>
    <w:tbl>
      <w:tblPr>
        <w:tblStyle w:val="45"/>
        <w:tblW w:w="4998" w:type="pct"/>
        <w:jc w:val="center"/>
        <w:shd w:val="clear" w:color="auto" w:fill="FBFBFB"/>
        <w:tblLayout w:type="autofit"/>
        <w:tblCellMar>
          <w:top w:w="0" w:type="dxa"/>
          <w:left w:w="0" w:type="dxa"/>
          <w:bottom w:w="0" w:type="dxa"/>
          <w:right w:w="0" w:type="dxa"/>
        </w:tblCellMar>
      </w:tblPr>
      <w:tblGrid>
        <w:gridCol w:w="803"/>
        <w:gridCol w:w="2344"/>
        <w:gridCol w:w="1318"/>
        <w:gridCol w:w="4139"/>
        <w:gridCol w:w="804"/>
      </w:tblGrid>
      <w:tr w14:paraId="0CD2BC56">
        <w:tblPrEx>
          <w:tblCellMar>
            <w:top w:w="0" w:type="dxa"/>
            <w:left w:w="0" w:type="dxa"/>
            <w:bottom w:w="0" w:type="dxa"/>
            <w:right w:w="0" w:type="dxa"/>
          </w:tblCellMar>
        </w:tblPrEx>
        <w:trPr>
          <w:tblHeader/>
          <w:jc w:val="center"/>
        </w:trPr>
        <w:tc>
          <w:tcPr>
            <w:tcW w:w="42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D8E64CC">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245"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BDB096">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700"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2C5976">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2199"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270DE27">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42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F0779A6">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7B9790F2">
        <w:tblPrEx>
          <w:shd w:val="clear" w:color="auto" w:fill="FBFBFB"/>
          <w:tblCellMar>
            <w:top w:w="0" w:type="dxa"/>
            <w:left w:w="0" w:type="dxa"/>
            <w:bottom w:w="0" w:type="dxa"/>
            <w:right w:w="0" w:type="dxa"/>
          </w:tblCellMar>
        </w:tblPrEx>
        <w:trPr>
          <w:jc w:val="center"/>
        </w:trPr>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8FD96E">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245"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950E8E">
            <w:pPr>
              <w:spacing w:line="360" w:lineRule="auto"/>
              <w:jc w:val="center"/>
              <w:rPr>
                <w:rFonts w:hint="eastAsia" w:ascii="宋体" w:hAnsi="宋体" w:cs="宋体"/>
                <w:color w:val="auto"/>
                <w:kern w:val="0"/>
                <w:szCs w:val="21"/>
                <w:highlight w:val="none"/>
              </w:rPr>
            </w:pPr>
          </w:p>
        </w:tc>
        <w:tc>
          <w:tcPr>
            <w:tcW w:w="70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5C1CE6">
            <w:pPr>
              <w:spacing w:line="360" w:lineRule="auto"/>
              <w:jc w:val="center"/>
              <w:rPr>
                <w:rFonts w:hint="eastAsia" w:ascii="宋体" w:hAnsi="宋体" w:cs="宋体"/>
                <w:color w:val="auto"/>
                <w:kern w:val="0"/>
                <w:szCs w:val="21"/>
                <w:highlight w:val="none"/>
              </w:rPr>
            </w:pPr>
          </w:p>
        </w:tc>
        <w:tc>
          <w:tcPr>
            <w:tcW w:w="219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CD900D">
            <w:pPr>
              <w:spacing w:line="360" w:lineRule="auto"/>
              <w:jc w:val="center"/>
              <w:rPr>
                <w:rFonts w:hint="eastAsia" w:ascii="宋体" w:hAnsi="宋体" w:cs="宋体"/>
                <w:color w:val="auto"/>
                <w:kern w:val="0"/>
                <w:szCs w:val="21"/>
                <w:highlight w:val="none"/>
              </w:rPr>
            </w:pPr>
          </w:p>
        </w:tc>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1C1D2A">
            <w:pPr>
              <w:spacing w:line="360" w:lineRule="auto"/>
              <w:jc w:val="center"/>
              <w:rPr>
                <w:rFonts w:hint="eastAsia" w:ascii="宋体" w:hAnsi="宋体" w:cs="宋体"/>
                <w:color w:val="auto"/>
                <w:kern w:val="0"/>
                <w:szCs w:val="21"/>
                <w:highlight w:val="none"/>
              </w:rPr>
            </w:pPr>
          </w:p>
        </w:tc>
      </w:tr>
      <w:tr w14:paraId="7967221F">
        <w:tblPrEx>
          <w:tblCellMar>
            <w:top w:w="0" w:type="dxa"/>
            <w:left w:w="0" w:type="dxa"/>
            <w:bottom w:w="0" w:type="dxa"/>
            <w:right w:w="0" w:type="dxa"/>
          </w:tblCellMar>
        </w:tblPrEx>
        <w:trPr>
          <w:jc w:val="center"/>
        </w:trPr>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A09911">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245"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CCC1C">
            <w:pPr>
              <w:spacing w:line="360" w:lineRule="auto"/>
              <w:jc w:val="center"/>
              <w:rPr>
                <w:rFonts w:hint="eastAsia" w:ascii="宋体" w:hAnsi="宋体" w:cs="宋体"/>
                <w:color w:val="auto"/>
                <w:kern w:val="0"/>
                <w:szCs w:val="21"/>
                <w:highlight w:val="none"/>
              </w:rPr>
            </w:pPr>
          </w:p>
        </w:tc>
        <w:tc>
          <w:tcPr>
            <w:tcW w:w="70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CF2B15">
            <w:pPr>
              <w:spacing w:line="360" w:lineRule="auto"/>
              <w:jc w:val="center"/>
              <w:rPr>
                <w:rFonts w:hint="eastAsia" w:ascii="宋体" w:hAnsi="宋体" w:cs="宋体"/>
                <w:color w:val="auto"/>
                <w:kern w:val="0"/>
                <w:szCs w:val="21"/>
                <w:highlight w:val="none"/>
              </w:rPr>
            </w:pPr>
          </w:p>
        </w:tc>
        <w:tc>
          <w:tcPr>
            <w:tcW w:w="219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B4B2F7">
            <w:pPr>
              <w:spacing w:line="360" w:lineRule="auto"/>
              <w:jc w:val="center"/>
              <w:rPr>
                <w:rFonts w:hint="eastAsia" w:ascii="宋体" w:hAnsi="宋体" w:cs="宋体"/>
                <w:color w:val="auto"/>
                <w:kern w:val="0"/>
                <w:szCs w:val="21"/>
                <w:highlight w:val="none"/>
              </w:rPr>
            </w:pPr>
          </w:p>
        </w:tc>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425FEE">
            <w:pPr>
              <w:spacing w:line="360" w:lineRule="auto"/>
              <w:jc w:val="center"/>
              <w:rPr>
                <w:rFonts w:hint="eastAsia" w:ascii="宋体" w:hAnsi="宋体" w:cs="宋体"/>
                <w:color w:val="auto"/>
                <w:kern w:val="0"/>
                <w:szCs w:val="21"/>
                <w:highlight w:val="none"/>
              </w:rPr>
            </w:pPr>
          </w:p>
        </w:tc>
      </w:tr>
      <w:tr w14:paraId="02D9E5EF">
        <w:tblPrEx>
          <w:tblCellMar>
            <w:top w:w="0" w:type="dxa"/>
            <w:left w:w="0" w:type="dxa"/>
            <w:bottom w:w="0" w:type="dxa"/>
            <w:right w:w="0" w:type="dxa"/>
          </w:tblCellMar>
        </w:tblPrEx>
        <w:trPr>
          <w:jc w:val="center"/>
        </w:trPr>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94F85A">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245"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083630">
            <w:pPr>
              <w:spacing w:line="360" w:lineRule="auto"/>
              <w:jc w:val="center"/>
              <w:rPr>
                <w:rFonts w:hint="eastAsia" w:ascii="宋体" w:hAnsi="宋体" w:cs="宋体"/>
                <w:color w:val="auto"/>
                <w:kern w:val="0"/>
                <w:szCs w:val="21"/>
                <w:highlight w:val="none"/>
              </w:rPr>
            </w:pPr>
          </w:p>
        </w:tc>
        <w:tc>
          <w:tcPr>
            <w:tcW w:w="70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13B0B1">
            <w:pPr>
              <w:spacing w:line="360" w:lineRule="auto"/>
              <w:jc w:val="center"/>
              <w:rPr>
                <w:rFonts w:hint="eastAsia" w:ascii="宋体" w:hAnsi="宋体" w:cs="宋体"/>
                <w:color w:val="auto"/>
                <w:kern w:val="0"/>
                <w:szCs w:val="21"/>
                <w:highlight w:val="none"/>
              </w:rPr>
            </w:pPr>
          </w:p>
        </w:tc>
        <w:tc>
          <w:tcPr>
            <w:tcW w:w="219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6E6DA9">
            <w:pPr>
              <w:spacing w:line="360" w:lineRule="auto"/>
              <w:jc w:val="center"/>
              <w:rPr>
                <w:rFonts w:hint="eastAsia" w:ascii="宋体" w:hAnsi="宋体" w:cs="宋体"/>
                <w:color w:val="auto"/>
                <w:kern w:val="0"/>
                <w:szCs w:val="21"/>
                <w:highlight w:val="none"/>
              </w:rPr>
            </w:pPr>
          </w:p>
        </w:tc>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71D3DF">
            <w:pPr>
              <w:spacing w:line="360" w:lineRule="auto"/>
              <w:jc w:val="center"/>
              <w:rPr>
                <w:rFonts w:hint="eastAsia" w:ascii="宋体" w:hAnsi="宋体" w:cs="宋体"/>
                <w:color w:val="auto"/>
                <w:kern w:val="0"/>
                <w:szCs w:val="21"/>
                <w:highlight w:val="none"/>
              </w:rPr>
            </w:pPr>
          </w:p>
        </w:tc>
      </w:tr>
      <w:tr w14:paraId="3F6762DC">
        <w:tblPrEx>
          <w:tblCellMar>
            <w:top w:w="0" w:type="dxa"/>
            <w:left w:w="0" w:type="dxa"/>
            <w:bottom w:w="0" w:type="dxa"/>
            <w:right w:w="0" w:type="dxa"/>
          </w:tblCellMar>
        </w:tblPrEx>
        <w:trPr>
          <w:jc w:val="center"/>
        </w:trPr>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56C615">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245"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F9FFAE">
            <w:pPr>
              <w:spacing w:line="360" w:lineRule="auto"/>
              <w:jc w:val="center"/>
              <w:rPr>
                <w:rFonts w:hint="eastAsia" w:ascii="宋体" w:hAnsi="宋体" w:cs="宋体"/>
                <w:color w:val="auto"/>
                <w:kern w:val="0"/>
                <w:szCs w:val="21"/>
                <w:highlight w:val="none"/>
              </w:rPr>
            </w:pPr>
          </w:p>
        </w:tc>
        <w:tc>
          <w:tcPr>
            <w:tcW w:w="70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D27DEB">
            <w:pPr>
              <w:spacing w:line="360" w:lineRule="auto"/>
              <w:jc w:val="center"/>
              <w:rPr>
                <w:rFonts w:hint="eastAsia" w:ascii="宋体" w:hAnsi="宋体" w:cs="宋体"/>
                <w:color w:val="auto"/>
                <w:kern w:val="0"/>
                <w:szCs w:val="21"/>
                <w:highlight w:val="none"/>
              </w:rPr>
            </w:pPr>
          </w:p>
        </w:tc>
        <w:tc>
          <w:tcPr>
            <w:tcW w:w="2199"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3573B0">
            <w:pPr>
              <w:spacing w:line="360" w:lineRule="auto"/>
              <w:jc w:val="center"/>
              <w:rPr>
                <w:rFonts w:hint="eastAsia" w:ascii="宋体" w:hAnsi="宋体" w:cs="宋体"/>
                <w:color w:val="auto"/>
                <w:kern w:val="0"/>
                <w:szCs w:val="21"/>
                <w:highlight w:val="none"/>
              </w:rPr>
            </w:pPr>
          </w:p>
        </w:tc>
        <w:tc>
          <w:tcPr>
            <w:tcW w:w="42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A4268B">
            <w:pPr>
              <w:spacing w:line="360" w:lineRule="auto"/>
              <w:jc w:val="center"/>
              <w:rPr>
                <w:rFonts w:hint="eastAsia" w:ascii="宋体" w:hAnsi="宋体" w:cs="宋体"/>
                <w:color w:val="auto"/>
                <w:kern w:val="0"/>
                <w:szCs w:val="21"/>
                <w:highlight w:val="none"/>
              </w:rPr>
            </w:pPr>
          </w:p>
        </w:tc>
      </w:tr>
    </w:tbl>
    <w:p w14:paraId="7C486CE2">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注：</w:t>
      </w:r>
    </w:p>
    <w:p w14:paraId="01860793">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DDD546B">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14:paraId="7EFC4152">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3.投标人不存在直接控股股东的，则填“无”。</w:t>
      </w:r>
    </w:p>
    <w:p w14:paraId="2E62D1D3">
      <w:pPr>
        <w:snapToGrid w:val="0"/>
        <w:spacing w:line="360" w:lineRule="auto"/>
        <w:jc w:val="left"/>
        <w:rPr>
          <w:rFonts w:hint="eastAsia" w:ascii="宋体" w:hAnsi="宋体"/>
          <w:color w:val="auto"/>
          <w:szCs w:val="21"/>
          <w:highlight w:val="none"/>
        </w:rPr>
      </w:pPr>
    </w:p>
    <w:p w14:paraId="20186498">
      <w:pPr>
        <w:snapToGrid w:val="0"/>
        <w:spacing w:line="360" w:lineRule="auto"/>
        <w:jc w:val="left"/>
        <w:rPr>
          <w:rFonts w:hint="eastAsia" w:ascii="宋体" w:hAnsi="宋体"/>
          <w:color w:val="auto"/>
          <w:szCs w:val="21"/>
          <w:highlight w:val="none"/>
        </w:rPr>
      </w:pPr>
    </w:p>
    <w:p w14:paraId="62D7E5FF">
      <w:pPr>
        <w:snapToGrid w:val="0"/>
        <w:spacing w:before="120" w:beforeLines="50" w:line="360" w:lineRule="auto"/>
        <w:ind w:right="480" w:firstLine="3471" w:firstLineChars="1653"/>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0F9F4C1E">
      <w:pPr>
        <w:snapToGrid w:val="0"/>
        <w:spacing w:before="120" w:beforeLines="50" w:after="50" w:line="360" w:lineRule="auto"/>
        <w:ind w:right="480" w:firstLine="4830" w:firstLineChars="2300"/>
        <w:rPr>
          <w:rFonts w:hint="eastAsia" w:ascii="宋体" w:hAnsi="宋体"/>
          <w:color w:val="auto"/>
          <w:szCs w:val="21"/>
          <w:highlight w:val="none"/>
          <w:u w:val="singl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6D37E4A0">
      <w:pPr>
        <w:snapToGrid w:val="0"/>
        <w:ind w:firstLine="6237" w:firstLineChars="2970"/>
        <w:jc w:val="left"/>
        <w:rPr>
          <w:rFonts w:hint="eastAsia" w:ascii="宋体" w:hAnsi="宋体"/>
          <w:b/>
          <w:color w:val="auto"/>
          <w:sz w:val="28"/>
          <w:szCs w:val="28"/>
          <w:highlight w:val="none"/>
        </w:rPr>
      </w:pP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日</w:t>
      </w:r>
      <w:r>
        <w:rPr>
          <w:rFonts w:ascii="宋体" w:hAnsi="宋体"/>
          <w:b/>
          <w:color w:val="auto"/>
          <w:szCs w:val="21"/>
          <w:highlight w:val="none"/>
        </w:rPr>
        <w:br w:type="page"/>
      </w:r>
    </w:p>
    <w:p w14:paraId="144AC424">
      <w:pPr>
        <w:snapToGrid w:val="0"/>
        <w:spacing w:line="360" w:lineRule="auto"/>
        <w:jc w:val="center"/>
        <w:rPr>
          <w:rFonts w:hint="eastAsia" w:ascii="宋体" w:hAnsi="宋体"/>
          <w:color w:val="auto"/>
          <w:szCs w:val="21"/>
          <w:highlight w:val="none"/>
        </w:rPr>
      </w:pPr>
      <w:r>
        <w:rPr>
          <w:rFonts w:hint="eastAsia" w:ascii="宋体" w:hAnsi="宋体"/>
          <w:b/>
          <w:color w:val="auto"/>
          <w:szCs w:val="21"/>
          <w:highlight w:val="none"/>
        </w:rPr>
        <w:t>投标人直接管理关系信息表</w:t>
      </w:r>
    </w:p>
    <w:tbl>
      <w:tblPr>
        <w:tblStyle w:val="45"/>
        <w:tblW w:w="4999" w:type="pct"/>
        <w:jc w:val="center"/>
        <w:shd w:val="clear" w:color="auto" w:fill="FBFBFB"/>
        <w:tblLayout w:type="autofit"/>
        <w:tblCellMar>
          <w:top w:w="0" w:type="dxa"/>
          <w:left w:w="0" w:type="dxa"/>
          <w:bottom w:w="0" w:type="dxa"/>
          <w:right w:w="0" w:type="dxa"/>
        </w:tblCellMar>
      </w:tblPr>
      <w:tblGrid>
        <w:gridCol w:w="1112"/>
        <w:gridCol w:w="3947"/>
        <w:gridCol w:w="3238"/>
        <w:gridCol w:w="1113"/>
      </w:tblGrid>
      <w:tr w14:paraId="378AD4BC">
        <w:tblPrEx>
          <w:shd w:val="clear" w:color="auto" w:fill="FBFBFB"/>
          <w:tblCellMar>
            <w:top w:w="0" w:type="dxa"/>
            <w:left w:w="0" w:type="dxa"/>
            <w:bottom w:w="0" w:type="dxa"/>
            <w:right w:w="0" w:type="dxa"/>
          </w:tblCellMar>
        </w:tblPrEx>
        <w:trPr>
          <w:tblHeader/>
          <w:jc w:val="center"/>
        </w:trPr>
        <w:tc>
          <w:tcPr>
            <w:tcW w:w="59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534FDB">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097"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2B2F90">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1720"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9CCB18E">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591" w:type="pct"/>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CC4735F">
            <w:pPr>
              <w:spacing w:line="360" w:lineRule="auto"/>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0AB4EB16">
        <w:tblPrEx>
          <w:shd w:val="clear" w:color="auto" w:fill="FBFBFB"/>
          <w:tblCellMar>
            <w:top w:w="0" w:type="dxa"/>
            <w:left w:w="0" w:type="dxa"/>
            <w:bottom w:w="0" w:type="dxa"/>
            <w:right w:w="0" w:type="dxa"/>
          </w:tblCellMar>
        </w:tblPrEx>
        <w:trPr>
          <w:jc w:val="center"/>
        </w:trPr>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10063D">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20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CC391C">
            <w:pPr>
              <w:spacing w:line="360" w:lineRule="auto"/>
              <w:jc w:val="center"/>
              <w:rPr>
                <w:rFonts w:hint="eastAsia" w:ascii="宋体" w:hAnsi="宋体" w:cs="宋体"/>
                <w:color w:val="auto"/>
                <w:kern w:val="0"/>
                <w:szCs w:val="21"/>
                <w:highlight w:val="none"/>
              </w:rPr>
            </w:pPr>
          </w:p>
        </w:tc>
        <w:tc>
          <w:tcPr>
            <w:tcW w:w="172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B7D70B">
            <w:pPr>
              <w:spacing w:line="360" w:lineRule="auto"/>
              <w:jc w:val="center"/>
              <w:rPr>
                <w:rFonts w:hint="eastAsia" w:ascii="宋体" w:hAnsi="宋体" w:cs="宋体"/>
                <w:color w:val="auto"/>
                <w:kern w:val="0"/>
                <w:szCs w:val="21"/>
                <w:highlight w:val="none"/>
              </w:rPr>
            </w:pPr>
          </w:p>
        </w:tc>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C17BBE">
            <w:pPr>
              <w:spacing w:line="360" w:lineRule="auto"/>
              <w:jc w:val="center"/>
              <w:rPr>
                <w:rFonts w:hint="eastAsia" w:ascii="宋体" w:hAnsi="宋体" w:cs="宋体"/>
                <w:color w:val="auto"/>
                <w:kern w:val="0"/>
                <w:szCs w:val="21"/>
                <w:highlight w:val="none"/>
              </w:rPr>
            </w:pPr>
          </w:p>
        </w:tc>
      </w:tr>
      <w:tr w14:paraId="1C13871F">
        <w:tblPrEx>
          <w:shd w:val="clear" w:color="auto" w:fill="FBFBFB"/>
          <w:tblCellMar>
            <w:top w:w="0" w:type="dxa"/>
            <w:left w:w="0" w:type="dxa"/>
            <w:bottom w:w="0" w:type="dxa"/>
            <w:right w:w="0" w:type="dxa"/>
          </w:tblCellMar>
        </w:tblPrEx>
        <w:trPr>
          <w:jc w:val="center"/>
        </w:trPr>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AB7445">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20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986DA2">
            <w:pPr>
              <w:spacing w:line="360" w:lineRule="auto"/>
              <w:jc w:val="center"/>
              <w:rPr>
                <w:rFonts w:hint="eastAsia" w:ascii="宋体" w:hAnsi="宋体" w:cs="宋体"/>
                <w:color w:val="auto"/>
                <w:kern w:val="0"/>
                <w:szCs w:val="21"/>
                <w:highlight w:val="none"/>
              </w:rPr>
            </w:pPr>
          </w:p>
        </w:tc>
        <w:tc>
          <w:tcPr>
            <w:tcW w:w="172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B2AF46">
            <w:pPr>
              <w:spacing w:line="360" w:lineRule="auto"/>
              <w:jc w:val="center"/>
              <w:rPr>
                <w:rFonts w:hint="eastAsia" w:ascii="宋体" w:hAnsi="宋体" w:cs="宋体"/>
                <w:color w:val="auto"/>
                <w:kern w:val="0"/>
                <w:szCs w:val="21"/>
                <w:highlight w:val="none"/>
              </w:rPr>
            </w:pPr>
          </w:p>
        </w:tc>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FAFEF3">
            <w:pPr>
              <w:spacing w:line="360" w:lineRule="auto"/>
              <w:jc w:val="center"/>
              <w:rPr>
                <w:rFonts w:hint="eastAsia" w:ascii="宋体" w:hAnsi="宋体" w:cs="宋体"/>
                <w:color w:val="auto"/>
                <w:kern w:val="0"/>
                <w:szCs w:val="21"/>
                <w:highlight w:val="none"/>
              </w:rPr>
            </w:pPr>
          </w:p>
        </w:tc>
      </w:tr>
      <w:tr w14:paraId="634A6685">
        <w:tblPrEx>
          <w:shd w:val="clear" w:color="auto" w:fill="FBFBFB"/>
          <w:tblCellMar>
            <w:top w:w="0" w:type="dxa"/>
            <w:left w:w="0" w:type="dxa"/>
            <w:bottom w:w="0" w:type="dxa"/>
            <w:right w:w="0" w:type="dxa"/>
          </w:tblCellMar>
        </w:tblPrEx>
        <w:trPr>
          <w:jc w:val="center"/>
        </w:trPr>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3377BF">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20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8598CE">
            <w:pPr>
              <w:spacing w:line="360" w:lineRule="auto"/>
              <w:jc w:val="center"/>
              <w:rPr>
                <w:rFonts w:hint="eastAsia" w:ascii="宋体" w:hAnsi="宋体" w:cs="宋体"/>
                <w:color w:val="auto"/>
                <w:kern w:val="0"/>
                <w:szCs w:val="21"/>
                <w:highlight w:val="none"/>
              </w:rPr>
            </w:pPr>
          </w:p>
        </w:tc>
        <w:tc>
          <w:tcPr>
            <w:tcW w:w="172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43D613">
            <w:pPr>
              <w:spacing w:line="360" w:lineRule="auto"/>
              <w:jc w:val="center"/>
              <w:rPr>
                <w:rFonts w:hint="eastAsia" w:ascii="宋体" w:hAnsi="宋体" w:cs="宋体"/>
                <w:color w:val="auto"/>
                <w:kern w:val="0"/>
                <w:szCs w:val="21"/>
                <w:highlight w:val="none"/>
              </w:rPr>
            </w:pPr>
          </w:p>
        </w:tc>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787C6F">
            <w:pPr>
              <w:spacing w:line="360" w:lineRule="auto"/>
              <w:jc w:val="center"/>
              <w:rPr>
                <w:rFonts w:hint="eastAsia" w:ascii="宋体" w:hAnsi="宋体" w:cs="宋体"/>
                <w:color w:val="auto"/>
                <w:kern w:val="0"/>
                <w:szCs w:val="21"/>
                <w:highlight w:val="none"/>
              </w:rPr>
            </w:pPr>
          </w:p>
        </w:tc>
      </w:tr>
      <w:tr w14:paraId="350FB139">
        <w:tblPrEx>
          <w:shd w:val="clear" w:color="auto" w:fill="FBFBFB"/>
          <w:tblCellMar>
            <w:top w:w="0" w:type="dxa"/>
            <w:left w:w="0" w:type="dxa"/>
            <w:bottom w:w="0" w:type="dxa"/>
            <w:right w:w="0" w:type="dxa"/>
          </w:tblCellMar>
        </w:tblPrEx>
        <w:trPr>
          <w:jc w:val="center"/>
        </w:trPr>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4BDF00">
            <w:pPr>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2097"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B6D5F2">
            <w:pPr>
              <w:spacing w:line="360" w:lineRule="auto"/>
              <w:jc w:val="center"/>
              <w:rPr>
                <w:rFonts w:hint="eastAsia" w:ascii="宋体" w:hAnsi="宋体" w:cs="宋体"/>
                <w:color w:val="auto"/>
                <w:kern w:val="0"/>
                <w:szCs w:val="21"/>
                <w:highlight w:val="none"/>
              </w:rPr>
            </w:pPr>
          </w:p>
        </w:tc>
        <w:tc>
          <w:tcPr>
            <w:tcW w:w="1720"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3A81AC">
            <w:pPr>
              <w:spacing w:line="360" w:lineRule="auto"/>
              <w:jc w:val="center"/>
              <w:rPr>
                <w:rFonts w:hint="eastAsia" w:ascii="宋体" w:hAnsi="宋体" w:cs="宋体"/>
                <w:color w:val="auto"/>
                <w:kern w:val="0"/>
                <w:szCs w:val="21"/>
                <w:highlight w:val="none"/>
              </w:rPr>
            </w:pPr>
          </w:p>
        </w:tc>
        <w:tc>
          <w:tcPr>
            <w:tcW w:w="591" w:type="pct"/>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8D9EBE">
            <w:pPr>
              <w:spacing w:line="360" w:lineRule="auto"/>
              <w:jc w:val="center"/>
              <w:rPr>
                <w:rFonts w:hint="eastAsia" w:ascii="宋体" w:hAnsi="宋体" w:cs="宋体"/>
                <w:color w:val="auto"/>
                <w:kern w:val="0"/>
                <w:szCs w:val="21"/>
                <w:highlight w:val="none"/>
              </w:rPr>
            </w:pPr>
          </w:p>
        </w:tc>
      </w:tr>
    </w:tbl>
    <w:p w14:paraId="360E9526">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注：</w:t>
      </w:r>
    </w:p>
    <w:p w14:paraId="687CAA8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14:paraId="11A78B3D">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pacing w:val="-6"/>
          <w:szCs w:val="21"/>
          <w:highlight w:val="none"/>
        </w:rPr>
        <w:t>本表所指的管理关系仅限于直接管理关系，不包括间接的管理关系。</w:t>
      </w:r>
    </w:p>
    <w:p w14:paraId="6395567C">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3.投标人不存在直接管理关系的，则填“无”。</w:t>
      </w:r>
    </w:p>
    <w:p w14:paraId="7323BD24">
      <w:pPr>
        <w:snapToGrid w:val="0"/>
        <w:spacing w:line="360" w:lineRule="auto"/>
        <w:jc w:val="left"/>
        <w:rPr>
          <w:rFonts w:hint="eastAsia" w:ascii="宋体" w:hAnsi="宋体"/>
          <w:color w:val="auto"/>
          <w:szCs w:val="21"/>
          <w:highlight w:val="none"/>
        </w:rPr>
      </w:pPr>
    </w:p>
    <w:p w14:paraId="3D1C1613">
      <w:pPr>
        <w:snapToGrid w:val="0"/>
        <w:spacing w:line="360" w:lineRule="auto"/>
        <w:jc w:val="left"/>
        <w:rPr>
          <w:rFonts w:hint="eastAsia" w:ascii="宋体" w:hAnsi="宋体"/>
          <w:color w:val="auto"/>
          <w:szCs w:val="21"/>
          <w:highlight w:val="none"/>
        </w:rPr>
      </w:pPr>
    </w:p>
    <w:p w14:paraId="7987A473">
      <w:pPr>
        <w:snapToGrid w:val="0"/>
        <w:spacing w:before="120" w:beforeLines="50" w:line="360" w:lineRule="auto"/>
        <w:ind w:right="480" w:firstLine="3471" w:firstLineChars="1653"/>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p>
    <w:p w14:paraId="63BCCFE7">
      <w:pPr>
        <w:snapToGrid w:val="0"/>
        <w:spacing w:before="120" w:beforeLines="50" w:after="50" w:line="360" w:lineRule="auto"/>
        <w:ind w:right="480" w:firstLine="4830" w:firstLineChars="2300"/>
        <w:rPr>
          <w:rFonts w:hint="eastAsia" w:ascii="宋体" w:hAnsi="宋体"/>
          <w:color w:val="auto"/>
          <w:szCs w:val="21"/>
          <w:highlight w:val="non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40A1B9E6">
      <w:pPr>
        <w:snapToGrid w:val="0"/>
        <w:spacing w:before="120" w:beforeLines="50" w:after="50"/>
        <w:ind w:firstLine="6377" w:firstLineChars="3037"/>
        <w:jc w:val="left"/>
        <w:rPr>
          <w:rFonts w:hint="eastAsia" w:ascii="宋体" w:hAnsi="宋体"/>
          <w:b/>
          <w:color w:val="auto"/>
          <w:szCs w:val="21"/>
          <w:highlight w:val="none"/>
        </w:rPr>
        <w:sectPr>
          <w:footerReference r:id="rId9" w:type="first"/>
          <w:footerReference r:id="rId8" w:type="default"/>
          <w:pgSz w:w="11906" w:h="16838"/>
          <w:pgMar w:top="1134" w:right="1247" w:bottom="1560" w:left="1247" w:header="851" w:footer="992" w:gutter="0"/>
          <w:pgNumType w:fmt="decimal" w:start="2"/>
          <w:cols w:space="720" w:num="1"/>
          <w:titlePg/>
          <w:docGrid w:linePitch="312" w:charSpace="0"/>
        </w:sectPr>
      </w:pP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日</w:t>
      </w:r>
    </w:p>
    <w:p w14:paraId="176571A4">
      <w:pPr>
        <w:snapToGrid w:val="0"/>
        <w:spacing w:before="120" w:beforeLines="50" w:after="50"/>
        <w:jc w:val="left"/>
        <w:outlineLvl w:val="2"/>
        <w:rPr>
          <w:rFonts w:hint="eastAsia" w:ascii="宋体" w:hAnsi="宋体"/>
          <w:b/>
          <w:color w:val="auto"/>
          <w:sz w:val="24"/>
          <w:szCs w:val="20"/>
          <w:highlight w:val="none"/>
        </w:rPr>
      </w:pPr>
      <w:r>
        <w:rPr>
          <w:rFonts w:hint="eastAsia" w:ascii="宋体" w:hAnsi="宋体"/>
          <w:b/>
          <w:color w:val="auto"/>
          <w:sz w:val="24"/>
          <w:highlight w:val="none"/>
        </w:rPr>
        <w:t>（四）投标声明书</w:t>
      </w:r>
    </w:p>
    <w:p w14:paraId="29C56630">
      <w:pPr>
        <w:snapToGrid w:val="0"/>
        <w:spacing w:before="50" w:after="120" w:afterLines="50"/>
        <w:jc w:val="center"/>
        <w:rPr>
          <w:rFonts w:hint="eastAsia" w:ascii="宋体" w:hAnsi="宋体"/>
          <w:b/>
          <w:color w:val="auto"/>
          <w:szCs w:val="21"/>
          <w:highlight w:val="none"/>
        </w:rPr>
      </w:pPr>
      <w:r>
        <w:rPr>
          <w:rFonts w:hint="eastAsia" w:ascii="宋体" w:hAnsi="宋体"/>
          <w:b/>
          <w:color w:val="auto"/>
          <w:szCs w:val="21"/>
          <w:highlight w:val="none"/>
        </w:rPr>
        <w:t>投标声明书</w:t>
      </w:r>
    </w:p>
    <w:p w14:paraId="14EE0F77">
      <w:pPr>
        <w:snapToGrid w:val="0"/>
        <w:spacing w:before="50" w:after="120" w:afterLines="50" w:line="360" w:lineRule="auto"/>
        <w:jc w:val="left"/>
        <w:rPr>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采购人名称</w:t>
      </w:r>
    </w:p>
    <w:p w14:paraId="0BD3FB69">
      <w:pPr>
        <w:snapToGrid w:val="0"/>
        <w:spacing w:line="360" w:lineRule="auto"/>
        <w:ind w:firstLine="405"/>
        <w:jc w:val="left"/>
        <w:rPr>
          <w:rFonts w:hint="eastAsia" w:ascii="宋体" w:hAnsi="宋体"/>
          <w:color w:val="auto"/>
          <w:szCs w:val="21"/>
          <w:highlight w:val="none"/>
        </w:rPr>
      </w:pPr>
      <w:r>
        <w:rPr>
          <w:rFonts w:hint="eastAsia" w:ascii="宋体" w:hAnsi="宋体"/>
          <w:color w:val="auto"/>
          <w:szCs w:val="21"/>
          <w:highlight w:val="none"/>
        </w:rPr>
        <w:t>我方参加贵单位组织</w:t>
      </w:r>
      <w:r>
        <w:rPr>
          <w:rFonts w:hint="eastAsia" w:ascii="宋体" w:hAnsi="宋体"/>
          <w:color w:val="auto"/>
          <w:szCs w:val="21"/>
          <w:highlight w:val="none"/>
          <w:u w:val="single"/>
        </w:rPr>
        <w:t xml:space="preserve">      </w:t>
      </w:r>
      <w:r>
        <w:rPr>
          <w:rFonts w:hint="eastAsia" w:ascii="宋体" w:hAnsi="宋体"/>
          <w:color w:val="auto"/>
          <w:szCs w:val="21"/>
          <w:highlight w:val="none"/>
        </w:rPr>
        <w:t>项目</w:t>
      </w:r>
      <w:r>
        <w:rPr>
          <w:rFonts w:hint="eastAsia" w:ascii="宋体" w:hAnsi="宋体"/>
          <w:color w:val="auto"/>
          <w:szCs w:val="21"/>
          <w:highlight w:val="none"/>
          <w:u w:val="single"/>
        </w:rPr>
        <w:t>（分标名称）（如有）</w:t>
      </w: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）的政府采购活动。我方在此郑重声明：</w:t>
      </w:r>
    </w:p>
    <w:p w14:paraId="5E60A0F1">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C0B276D">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color w:val="auto"/>
          <w:szCs w:val="21"/>
          <w:highlight w:val="none"/>
        </w:rPr>
        <w:t xml:space="preserve"> </w:t>
      </w:r>
      <w:r>
        <w:rPr>
          <w:rFonts w:hint="eastAsia" w:ascii="宋体" w:hAnsi="宋体"/>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2F44D5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 我方承诺符合《中华人民共和国政府采购法》第二十二条规定：</w:t>
      </w:r>
    </w:p>
    <w:p w14:paraId="414742F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（一）具有独立承担民事责任的能力；</w:t>
      </w:r>
    </w:p>
    <w:p w14:paraId="65E1DBF1">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（二）具有良好的商业信誉和健全的财务会计制度；</w:t>
      </w:r>
    </w:p>
    <w:p w14:paraId="24BFAC4E">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（三）具有履行合同所必需的设备和专业技术能力；</w:t>
      </w:r>
    </w:p>
    <w:p w14:paraId="6841FA8F">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（四）有依法缴纳税收和社会保障资金的良好记录；</w:t>
      </w:r>
    </w:p>
    <w:p w14:paraId="46363211">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（五）参加政府采购活动前三年内，在经营活动中没有重大违法记录；</w:t>
      </w:r>
    </w:p>
    <w:p w14:paraId="282B8228">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（六）法律、行政法规规定的其他条件。</w:t>
      </w:r>
    </w:p>
    <w:p w14:paraId="282CF30D">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4.以上事项如有虚假或者隐瞒，我方愿意承担一切后果，并不再寻求任何旨在减轻或者免除法律责任的辩解。</w:t>
      </w:r>
    </w:p>
    <w:p w14:paraId="5F750E3D">
      <w:pPr>
        <w:snapToGrid w:val="0"/>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特此承诺。</w:t>
      </w:r>
    </w:p>
    <w:p w14:paraId="28B0362B">
      <w:pPr>
        <w:snapToGrid w:val="0"/>
        <w:spacing w:before="50" w:after="120" w:afterLines="50" w:line="360" w:lineRule="auto"/>
        <w:jc w:val="left"/>
        <w:rPr>
          <w:rFonts w:hint="eastAsia" w:ascii="宋体" w:hAnsi="宋体"/>
          <w:color w:val="auto"/>
          <w:szCs w:val="21"/>
          <w:highlight w:val="none"/>
        </w:rPr>
      </w:pPr>
      <w:r>
        <w:rPr>
          <w:rFonts w:hint="eastAsia" w:ascii="宋体" w:hAnsi="宋体"/>
          <w:color w:val="auto"/>
          <w:szCs w:val="21"/>
          <w:highlight w:val="none"/>
        </w:rPr>
        <w:t xml:space="preserve">                                          法定代表人或者委托代理人签字：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0B1ADAB4">
      <w:pPr>
        <w:snapToGrid w:val="0"/>
        <w:spacing w:before="50" w:after="120" w:afterLines="50" w:line="360" w:lineRule="auto"/>
        <w:ind w:firstLine="4393" w:firstLineChars="2092"/>
        <w:jc w:val="left"/>
        <w:rPr>
          <w:rFonts w:hint="eastAsia" w:ascii="宋体" w:hAnsi="宋体"/>
          <w:color w:val="auto"/>
          <w:szCs w:val="21"/>
          <w:highlight w:val="non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2044DF05">
      <w:pPr>
        <w:snapToGrid w:val="0"/>
        <w:spacing w:before="50" w:after="120" w:afterLines="50" w:line="360" w:lineRule="auto"/>
        <w:jc w:val="right"/>
        <w:rPr>
          <w:rFonts w:hint="eastAsia" w:hAnsi="宋体"/>
          <w:color w:val="auto"/>
          <w:highlight w:val="none"/>
        </w:rPr>
      </w:pP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int="eastAsia" w:hAnsi="宋体"/>
          <w:color w:val="auto"/>
          <w:highlight w:val="none"/>
        </w:rPr>
        <w:t>日</w:t>
      </w:r>
    </w:p>
    <w:p w14:paraId="0D2C7C11">
      <w:pPr>
        <w:snapToGrid w:val="0"/>
        <w:spacing w:before="50" w:after="120" w:afterLines="50" w:line="360" w:lineRule="auto"/>
        <w:jc w:val="left"/>
        <w:outlineLvl w:val="2"/>
        <w:rPr>
          <w:rFonts w:hint="eastAsia" w:ascii="宋体" w:hAnsi="宋体"/>
          <w:b/>
          <w:color w:val="auto"/>
          <w:sz w:val="24"/>
          <w:highlight w:val="none"/>
        </w:rPr>
      </w:pPr>
      <w:r>
        <w:rPr>
          <w:rFonts w:ascii="宋体" w:hAnsi="宋体"/>
          <w:color w:val="auto"/>
          <w:sz w:val="24"/>
          <w:highlight w:val="none"/>
        </w:rPr>
        <w:br w:type="page"/>
      </w:r>
      <w:r>
        <w:rPr>
          <w:rFonts w:hint="eastAsia" w:ascii="宋体" w:hAnsi="宋体"/>
          <w:b/>
          <w:color w:val="auto"/>
          <w:sz w:val="24"/>
          <w:highlight w:val="none"/>
        </w:rPr>
        <w:t>（五）无串通投标行为的承诺函</w:t>
      </w:r>
    </w:p>
    <w:p w14:paraId="7EA042F5">
      <w:pPr>
        <w:snapToGrid w:val="0"/>
        <w:spacing w:before="240" w:beforeLines="100" w:after="240" w:afterLines="100"/>
        <w:ind w:left="420"/>
        <w:jc w:val="center"/>
        <w:rPr>
          <w:rFonts w:hint="eastAsia" w:ascii="宋体" w:hAnsi="宋体"/>
          <w:b/>
          <w:color w:val="auto"/>
          <w:szCs w:val="21"/>
          <w:highlight w:val="none"/>
        </w:rPr>
      </w:pPr>
      <w:r>
        <w:rPr>
          <w:rFonts w:hint="eastAsia" w:ascii="宋体" w:hAnsi="宋体"/>
          <w:b/>
          <w:color w:val="auto"/>
          <w:szCs w:val="21"/>
          <w:highlight w:val="none"/>
        </w:rPr>
        <w:t>无串通投标行为的承诺函</w:t>
      </w:r>
    </w:p>
    <w:p w14:paraId="6535A657">
      <w:pPr>
        <w:snapToGrid w:val="0"/>
        <w:spacing w:before="120" w:beforeLines="50" w:after="50" w:line="360" w:lineRule="auto"/>
        <w:jc w:val="left"/>
        <w:rPr>
          <w:rFonts w:hint="eastAsia" w:ascii="宋体" w:hAnsi="宋体"/>
          <w:b/>
          <w:color w:val="auto"/>
          <w:szCs w:val="21"/>
          <w:highlight w:val="none"/>
        </w:rPr>
      </w:pPr>
      <w:r>
        <w:rPr>
          <w:rFonts w:hint="eastAsia" w:ascii="宋体" w:hAnsi="宋体"/>
          <w:b/>
          <w:color w:val="auto"/>
          <w:szCs w:val="21"/>
          <w:highlight w:val="none"/>
        </w:rPr>
        <w:t>一、我方承诺无下列相互串通投标的情形：</w:t>
      </w:r>
    </w:p>
    <w:p w14:paraId="563B42D4">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1.不同投标人的投标文件由同一单位或者个人编制；或者不同投标人报名的IP地址一致的；</w:t>
      </w:r>
    </w:p>
    <w:p w14:paraId="3A7F9615">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4BAD8004">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3.不同的投标人的投标文件载明的项目管理员为同一个人；</w:t>
      </w:r>
    </w:p>
    <w:p w14:paraId="5A14F1DE">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708FB85F">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5.不同投标人的投标文件相互混装；</w:t>
      </w:r>
    </w:p>
    <w:p w14:paraId="54A115D6">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6.不同投标人的投标保证金从同一单位或者个人账户转出。</w:t>
      </w:r>
    </w:p>
    <w:p w14:paraId="42CFA05D">
      <w:pPr>
        <w:snapToGrid w:val="0"/>
        <w:spacing w:before="120" w:beforeLines="50" w:after="50" w:line="360" w:lineRule="auto"/>
        <w:jc w:val="left"/>
        <w:rPr>
          <w:rFonts w:hint="eastAsia" w:ascii="宋体" w:hAnsi="宋体"/>
          <w:color w:val="auto"/>
          <w:szCs w:val="21"/>
          <w:highlight w:val="none"/>
        </w:rPr>
      </w:pPr>
      <w:r>
        <w:rPr>
          <w:rFonts w:hint="eastAsia" w:ascii="宋体" w:hAnsi="宋体"/>
          <w:b/>
          <w:color w:val="auto"/>
          <w:szCs w:val="21"/>
          <w:highlight w:val="none"/>
        </w:rPr>
        <w:t>二、我方承诺无下列恶意串通的情形：</w:t>
      </w:r>
    </w:p>
    <w:p w14:paraId="3247DFA9">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1.投标人直接或者间接从采购人或者采购代理机构处获得其他投标人的相关信息并修改其投标文件或者响应文件；</w:t>
      </w:r>
    </w:p>
    <w:p w14:paraId="0A5C2200">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2.投标人按照采购人或者采购代理机构的授意撤换、修改投标文件或者响应文件；</w:t>
      </w:r>
    </w:p>
    <w:p w14:paraId="0B91180B">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3.投标人之间协商报价、技术方案等投标文件或者响应文件的实质性内容；</w:t>
      </w:r>
    </w:p>
    <w:p w14:paraId="585420C2">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4.属于同一集团、协会、商会等组织成员的投标人按照该组织要求协同参加政府采购活动；</w:t>
      </w:r>
    </w:p>
    <w:p w14:paraId="2E79863F">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071FFB94">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6.投标人之间商定部分投标人放弃参加政府采购活动或者放弃中标；</w:t>
      </w:r>
    </w:p>
    <w:p w14:paraId="71030453">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7.投标人与采购人或者采购代理机构之间、投标人相互之间，为谋求特定投标人中标或者排斥其他投标人的其他串通行为。</w:t>
      </w:r>
    </w:p>
    <w:p w14:paraId="1BC9E0C3">
      <w:pPr>
        <w:snapToGrid w:val="0"/>
        <w:spacing w:before="120" w:beforeLines="50" w:after="50" w:line="360" w:lineRule="auto"/>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以上情形一经核查属实，我方愿意承担一切后果，并不再寻求任何旨在减轻或者免除法律责任的辩解。</w:t>
      </w:r>
    </w:p>
    <w:p w14:paraId="2AC04F04">
      <w:pPr>
        <w:pStyle w:val="23"/>
        <w:snapToGrid w:val="0"/>
        <w:spacing w:before="295" w:after="295" w:line="360" w:lineRule="auto"/>
        <w:ind w:firstLine="5985" w:firstLineChars="2850"/>
        <w:rPr>
          <w:rFonts w:hint="eastAsia" w:hAnsi="宋体"/>
          <w:color w:val="auto"/>
          <w:sz w:val="21"/>
          <w:highlight w:val="none"/>
        </w:rPr>
      </w:pPr>
    </w:p>
    <w:p w14:paraId="2EA40C71">
      <w:pPr>
        <w:snapToGrid w:val="0"/>
        <w:spacing w:before="50" w:after="120" w:afterLines="50" w:line="360" w:lineRule="auto"/>
        <w:ind w:left="1890" w:leftChars="900"/>
        <w:jc w:val="left"/>
        <w:rPr>
          <w:rFonts w:hint="eastAsia" w:ascii="宋体" w:hAnsi="宋体"/>
          <w:color w:val="auto"/>
          <w:szCs w:val="21"/>
          <w:highlight w:val="none"/>
        </w:rPr>
      </w:pPr>
      <w:r>
        <w:rPr>
          <w:rFonts w:hint="eastAsia" w:ascii="宋体" w:hAnsi="宋体"/>
          <w:color w:val="auto"/>
          <w:szCs w:val="21"/>
          <w:highlight w:val="none"/>
        </w:rPr>
        <w:t xml:space="preserve">                                          投标人（盖公章）：</w:t>
      </w:r>
      <w:r>
        <w:rPr>
          <w:rFonts w:hint="eastAsia" w:ascii="宋体" w:hAnsi="宋体"/>
          <w:color w:val="auto"/>
          <w:szCs w:val="21"/>
          <w:highlight w:val="none"/>
          <w:u w:val="single"/>
        </w:rPr>
        <w:t xml:space="preserve">              </w:t>
      </w:r>
    </w:p>
    <w:p w14:paraId="667E2989">
      <w:pPr>
        <w:tabs>
          <w:tab w:val="left" w:pos="6379"/>
        </w:tabs>
        <w:snapToGrid w:val="0"/>
        <w:spacing w:before="50" w:after="120" w:afterLines="50" w:line="360" w:lineRule="auto"/>
        <w:ind w:left="1890" w:leftChars="900"/>
        <w:jc w:val="left"/>
        <w:rPr>
          <w:rFonts w:hint="eastAsia" w:hAnsi="宋体"/>
          <w:color w:val="auto"/>
          <w:highlight w:val="none"/>
        </w:rPr>
      </w:pPr>
      <w:r>
        <w:rPr>
          <w:rFonts w:hint="eastAsia" w:ascii="宋体" w:hAnsi="宋体"/>
          <w:color w:val="auto"/>
          <w:szCs w:val="21"/>
          <w:highlight w:val="none"/>
        </w:rPr>
        <w:t xml:space="preserve">                                               </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日</w:t>
      </w:r>
    </w:p>
    <w:p w14:paraId="110C487C">
      <w:pPr>
        <w:tabs>
          <w:tab w:val="left" w:pos="6379"/>
        </w:tabs>
        <w:snapToGrid w:val="0"/>
        <w:spacing w:before="50" w:after="120" w:afterLines="50" w:line="360" w:lineRule="auto"/>
        <w:ind w:left="141" w:leftChars="67"/>
        <w:jc w:val="left"/>
        <w:outlineLvl w:val="2"/>
        <w:rPr>
          <w:rFonts w:hint="eastAsia" w:ascii="宋体" w:hAnsi="宋体"/>
          <w:b/>
          <w:color w:val="auto"/>
          <w:sz w:val="24"/>
          <w:szCs w:val="20"/>
          <w:highlight w:val="none"/>
        </w:rPr>
      </w:pPr>
      <w:r>
        <w:rPr>
          <w:rFonts w:hAnsi="宋体"/>
          <w:color w:val="auto"/>
          <w:highlight w:val="none"/>
        </w:rPr>
        <w:br w:type="column"/>
      </w:r>
      <w:r>
        <w:rPr>
          <w:rFonts w:hint="eastAsia" w:ascii="宋体" w:hAnsi="宋体"/>
          <w:b/>
          <w:color w:val="auto"/>
          <w:sz w:val="24"/>
          <w:highlight w:val="none"/>
        </w:rPr>
        <w:t>（六）法定代表人身份证明</w:t>
      </w:r>
    </w:p>
    <w:p w14:paraId="1F457D1D">
      <w:pPr>
        <w:spacing w:before="240" w:beforeLines="100" w:after="120" w:afterLines="50"/>
        <w:ind w:left="540"/>
        <w:jc w:val="center"/>
        <w:rPr>
          <w:rFonts w:hint="eastAsia" w:ascii="黑体" w:hAnsi="宋体" w:eastAsia="黑体"/>
          <w:color w:val="auto"/>
          <w:szCs w:val="21"/>
          <w:highlight w:val="none"/>
        </w:rPr>
      </w:pPr>
      <w:r>
        <w:rPr>
          <w:rFonts w:hint="eastAsia" w:ascii="宋体" w:hAnsi="Courier New"/>
          <w:b/>
          <w:color w:val="auto"/>
          <w:szCs w:val="21"/>
          <w:highlight w:val="none"/>
        </w:rPr>
        <w:t>法定代表人身份证明</w:t>
      </w:r>
    </w:p>
    <w:p w14:paraId="47DD80A0">
      <w:pPr>
        <w:spacing w:line="500" w:lineRule="exact"/>
        <w:ind w:left="540"/>
        <w:rPr>
          <w:rFonts w:hint="eastAsia" w:ascii="宋体" w:hAnsi="宋体"/>
          <w:color w:val="auto"/>
          <w:szCs w:val="21"/>
          <w:highlight w:val="none"/>
        </w:rPr>
      </w:pPr>
      <w:r>
        <w:rPr>
          <w:rFonts w:hint="eastAsia" w:ascii="宋体" w:hAnsi="宋体"/>
          <w:color w:val="auto"/>
          <w:szCs w:val="21"/>
          <w:highlight w:val="none"/>
        </w:rPr>
        <w:t>投 标 人：</w:t>
      </w:r>
      <w:r>
        <w:rPr>
          <w:rFonts w:hint="eastAsia" w:ascii="宋体" w:hAnsi="宋体"/>
          <w:color w:val="auto"/>
          <w:szCs w:val="21"/>
          <w:highlight w:val="none"/>
          <w:u w:val="single"/>
        </w:rPr>
        <w:t xml:space="preserve">                                                        </w:t>
      </w:r>
    </w:p>
    <w:p w14:paraId="179C51B8">
      <w:pPr>
        <w:spacing w:line="500" w:lineRule="exact"/>
        <w:ind w:left="540"/>
        <w:rPr>
          <w:rFonts w:hint="eastAsia"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62F7C048">
      <w:pPr>
        <w:spacing w:line="500" w:lineRule="exact"/>
        <w:ind w:left="540"/>
        <w:rPr>
          <w:rFonts w:hint="eastAsia"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xml:space="preserve">                          </w:t>
      </w:r>
      <w:r>
        <w:rPr>
          <w:rFonts w:hint="eastAsia" w:ascii="宋体" w:hAnsi="宋体"/>
          <w:color w:val="auto"/>
          <w:szCs w:val="21"/>
          <w:highlight w:val="none"/>
        </w:rPr>
        <w:t>性      别：</w:t>
      </w:r>
      <w:r>
        <w:rPr>
          <w:rFonts w:hint="eastAsia" w:ascii="宋体" w:hAnsi="宋体"/>
          <w:color w:val="auto"/>
          <w:szCs w:val="21"/>
          <w:highlight w:val="none"/>
          <w:u w:val="single"/>
        </w:rPr>
        <w:t xml:space="preserve">                </w:t>
      </w:r>
    </w:p>
    <w:p w14:paraId="55986C16">
      <w:pPr>
        <w:spacing w:line="500" w:lineRule="exact"/>
        <w:ind w:left="540"/>
        <w:rPr>
          <w:rFonts w:hint="eastAsia" w:ascii="宋体" w:hAnsi="宋体"/>
          <w:color w:val="auto"/>
          <w:szCs w:val="21"/>
          <w:highlight w:val="none"/>
          <w:u w:val="single"/>
        </w:rPr>
      </w:pPr>
      <w:r>
        <w:rPr>
          <w:rFonts w:hint="eastAsia" w:ascii="宋体" w:hAnsi="宋体"/>
          <w:color w:val="auto"/>
          <w:szCs w:val="21"/>
          <w:highlight w:val="none"/>
        </w:rPr>
        <w:t>年    龄：</w:t>
      </w:r>
      <w:r>
        <w:rPr>
          <w:rFonts w:hint="eastAsia" w:ascii="宋体" w:hAnsi="宋体"/>
          <w:color w:val="auto"/>
          <w:szCs w:val="21"/>
          <w:highlight w:val="none"/>
          <w:u w:val="single"/>
        </w:rPr>
        <w:t xml:space="preserve">                          </w:t>
      </w:r>
      <w:r>
        <w:rPr>
          <w:rFonts w:hint="eastAsia" w:ascii="宋体" w:hAnsi="宋体"/>
          <w:color w:val="auto"/>
          <w:szCs w:val="21"/>
          <w:highlight w:val="none"/>
        </w:rPr>
        <w:t>职      务：</w:t>
      </w:r>
      <w:r>
        <w:rPr>
          <w:rFonts w:hint="eastAsia" w:ascii="宋体" w:hAnsi="宋体"/>
          <w:color w:val="auto"/>
          <w:szCs w:val="21"/>
          <w:highlight w:val="none"/>
          <w:u w:val="single"/>
        </w:rPr>
        <w:t xml:space="preserve">                </w:t>
      </w:r>
    </w:p>
    <w:p w14:paraId="53777157">
      <w:pPr>
        <w:spacing w:line="500" w:lineRule="exact"/>
        <w:ind w:left="540"/>
        <w:rPr>
          <w:rFonts w:hint="eastAsia" w:ascii="宋体" w:hAnsi="宋体"/>
          <w:color w:val="auto"/>
          <w:szCs w:val="21"/>
          <w:highlight w:val="none"/>
        </w:rPr>
      </w:pPr>
      <w:r>
        <w:rPr>
          <w:rFonts w:hint="eastAsia" w:ascii="宋体" w:hAnsi="宋体"/>
          <w:color w:val="auto"/>
          <w:szCs w:val="21"/>
          <w:highlight w:val="none"/>
        </w:rPr>
        <w:t>身份证</w:t>
      </w:r>
      <w:r>
        <w:rPr>
          <w:rFonts w:hint="eastAsia"/>
          <w:color w:val="auto"/>
          <w:szCs w:val="21"/>
          <w:highlight w:val="none"/>
        </w:rPr>
        <w:t>号码：</w:t>
      </w:r>
      <w:r>
        <w:rPr>
          <w:rFonts w:hint="eastAsia"/>
          <w:color w:val="auto"/>
          <w:szCs w:val="21"/>
          <w:highlight w:val="none"/>
          <w:u w:val="single"/>
        </w:rPr>
        <w:t xml:space="preserve">                                 </w:t>
      </w:r>
    </w:p>
    <w:p w14:paraId="2843FF48">
      <w:pPr>
        <w:spacing w:line="500" w:lineRule="exact"/>
        <w:ind w:left="540"/>
        <w:rPr>
          <w:rFonts w:hint="eastAsia" w:ascii="宋体" w:hAnsi="宋体"/>
          <w:color w:val="auto"/>
          <w:szCs w:val="21"/>
          <w:highlight w:val="none"/>
        </w:rPr>
      </w:pPr>
      <w:r>
        <w:rPr>
          <w:rFonts w:hint="eastAsia" w:ascii="宋体" w:hAnsi="宋体"/>
          <w:color w:val="auto"/>
          <w:szCs w:val="21"/>
          <w:highlight w:val="none"/>
        </w:rPr>
        <w:t>系</w:t>
      </w:r>
      <w:r>
        <w:rPr>
          <w:rFonts w:hint="eastAsia" w:ascii="宋体" w:hAnsi="宋体"/>
          <w:color w:val="auto"/>
          <w:szCs w:val="21"/>
          <w:highlight w:val="none"/>
          <w:u w:val="single"/>
        </w:rPr>
        <w:t xml:space="preserve">            （投标人名称）              </w:t>
      </w:r>
      <w:r>
        <w:rPr>
          <w:rFonts w:hint="eastAsia" w:ascii="宋体" w:hAnsi="宋体"/>
          <w:color w:val="auto"/>
          <w:szCs w:val="21"/>
          <w:highlight w:val="none"/>
        </w:rPr>
        <w:t>的法定代表人。</w:t>
      </w:r>
    </w:p>
    <w:p w14:paraId="53A53D7A">
      <w:pPr>
        <w:spacing w:line="500" w:lineRule="exact"/>
        <w:ind w:left="540"/>
        <w:rPr>
          <w:rFonts w:hint="eastAsia" w:ascii="宋体" w:hAnsi="宋体"/>
          <w:color w:val="auto"/>
          <w:szCs w:val="21"/>
          <w:highlight w:val="none"/>
        </w:rPr>
      </w:pPr>
      <w:r>
        <w:rPr>
          <w:rFonts w:hint="eastAsia" w:ascii="宋体" w:hAnsi="宋体"/>
          <w:color w:val="auto"/>
          <w:szCs w:val="21"/>
          <w:highlight w:val="none"/>
        </w:rPr>
        <w:t>特此证明。</w:t>
      </w:r>
    </w:p>
    <w:p w14:paraId="053466BD">
      <w:pPr>
        <w:spacing w:line="500" w:lineRule="exact"/>
        <w:ind w:left="540"/>
        <w:rPr>
          <w:rFonts w:hint="eastAsia" w:ascii="宋体" w:hAnsi="宋体"/>
          <w:color w:val="auto"/>
          <w:szCs w:val="21"/>
          <w:highlight w:val="none"/>
        </w:rPr>
      </w:pPr>
      <w:r>
        <w:rPr>
          <w:rFonts w:hint="eastAsia" w:ascii="宋体" w:hAnsi="宋体"/>
          <w:color w:val="auto"/>
          <w:szCs w:val="21"/>
          <w:highlight w:val="none"/>
        </w:rPr>
        <w:t>附件：法定代表人有效身份证正反面复印件</w:t>
      </w:r>
    </w:p>
    <w:p w14:paraId="465605F9">
      <w:pPr>
        <w:spacing w:line="500" w:lineRule="exact"/>
        <w:rPr>
          <w:rFonts w:hint="eastAsia" w:ascii="宋体" w:hAnsi="宋体"/>
          <w:color w:val="auto"/>
          <w:szCs w:val="21"/>
          <w:highlight w:val="none"/>
        </w:rPr>
      </w:pPr>
    </w:p>
    <w:p w14:paraId="6D300CD4">
      <w:pPr>
        <w:snapToGrid w:val="0"/>
        <w:spacing w:before="50" w:after="120" w:afterLines="50" w:line="360" w:lineRule="auto"/>
        <w:ind w:left="1470" w:leftChars="700"/>
        <w:jc w:val="left"/>
        <w:rPr>
          <w:rFonts w:hint="eastAsia" w:ascii="宋体" w:hAnsi="宋体"/>
          <w:color w:val="auto"/>
          <w:szCs w:val="21"/>
          <w:highlight w:val="none"/>
        </w:rPr>
      </w:pPr>
      <w:r>
        <w:rPr>
          <w:rFonts w:hint="eastAsia" w:ascii="宋体" w:hAnsi="宋体"/>
          <w:color w:val="auto"/>
          <w:szCs w:val="21"/>
          <w:highlight w:val="none"/>
        </w:rPr>
        <w:t xml:space="preserve">                                          投标人（盖公章）：</w:t>
      </w:r>
      <w:r>
        <w:rPr>
          <w:rFonts w:hint="eastAsia" w:ascii="宋体" w:hAnsi="宋体"/>
          <w:color w:val="auto"/>
          <w:szCs w:val="21"/>
          <w:highlight w:val="none"/>
          <w:u w:val="single"/>
        </w:rPr>
        <w:t xml:space="preserve">              </w:t>
      </w:r>
    </w:p>
    <w:p w14:paraId="67690604">
      <w:pPr>
        <w:snapToGrid w:val="0"/>
        <w:spacing w:before="50" w:after="120" w:afterLines="50" w:line="360" w:lineRule="auto"/>
        <w:ind w:left="1470" w:leftChars="700"/>
        <w:jc w:val="left"/>
        <w:rPr>
          <w:rFonts w:hint="eastAsia" w:hAnsi="宋体"/>
          <w:color w:val="auto"/>
          <w:highlight w:val="none"/>
        </w:rPr>
      </w:pPr>
      <w:r>
        <w:rPr>
          <w:rFonts w:hint="eastAsia" w:ascii="宋体" w:hAnsi="宋体"/>
          <w:color w:val="auto"/>
          <w:szCs w:val="21"/>
          <w:highlight w:val="none"/>
        </w:rPr>
        <w:t xml:space="preserve">                                                 </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日</w:t>
      </w:r>
    </w:p>
    <w:p w14:paraId="4318C1F6">
      <w:pPr>
        <w:snapToGrid w:val="0"/>
        <w:spacing w:before="50" w:after="120" w:afterLines="50" w:line="360" w:lineRule="auto"/>
        <w:jc w:val="left"/>
        <w:rPr>
          <w:rFonts w:hint="eastAsia" w:ascii="宋体" w:hAnsi="宋体"/>
          <w:b/>
          <w:color w:val="auto"/>
          <w:szCs w:val="21"/>
          <w:highlight w:val="none"/>
        </w:rPr>
      </w:pPr>
      <w:r>
        <w:rPr>
          <w:rFonts w:hint="eastAsia" w:ascii="宋体" w:hAnsi="宋体"/>
          <w:color w:val="auto"/>
          <w:szCs w:val="21"/>
          <w:highlight w:val="none"/>
        </w:rPr>
        <w:t>注：自然人投标的无需提供</w:t>
      </w:r>
    </w:p>
    <w:p w14:paraId="27D5D389">
      <w:pPr>
        <w:snapToGrid w:val="0"/>
        <w:spacing w:before="120" w:beforeLines="50" w:after="50"/>
        <w:jc w:val="left"/>
        <w:outlineLvl w:val="2"/>
        <w:rPr>
          <w:rFonts w:hint="eastAsia" w:ascii="宋体" w:hAnsi="宋体"/>
          <w:b/>
          <w:color w:val="auto"/>
          <w:sz w:val="24"/>
          <w:szCs w:val="20"/>
          <w:highlight w:val="none"/>
        </w:rPr>
      </w:pPr>
      <w:r>
        <w:rPr>
          <w:rFonts w:ascii="宋体" w:hAnsi="宋体"/>
          <w:b/>
          <w:color w:val="auto"/>
          <w:sz w:val="24"/>
          <w:highlight w:val="none"/>
        </w:rPr>
        <w:br w:type="page"/>
      </w:r>
      <w:r>
        <w:rPr>
          <w:rFonts w:hint="eastAsia" w:ascii="宋体" w:hAnsi="宋体"/>
          <w:b/>
          <w:color w:val="auto"/>
          <w:sz w:val="24"/>
          <w:highlight w:val="none"/>
        </w:rPr>
        <w:t>（七）法定代表人授权委托书格式</w:t>
      </w:r>
    </w:p>
    <w:p w14:paraId="5120E817">
      <w:pPr>
        <w:snapToGrid w:val="0"/>
        <w:spacing w:before="120" w:beforeLines="50" w:after="50"/>
        <w:jc w:val="center"/>
        <w:rPr>
          <w:rFonts w:hint="eastAsia" w:ascii="宋体" w:hAnsi="宋体"/>
          <w:b/>
          <w:color w:val="auto"/>
          <w:szCs w:val="21"/>
          <w:highlight w:val="none"/>
        </w:rPr>
      </w:pPr>
      <w:r>
        <w:rPr>
          <w:rFonts w:hint="eastAsia" w:ascii="宋体" w:hAnsi="宋体"/>
          <w:b/>
          <w:color w:val="auto"/>
          <w:szCs w:val="21"/>
          <w:highlight w:val="none"/>
        </w:rPr>
        <w:t>法定代表人授权委托书（如有委托时）</w:t>
      </w:r>
    </w:p>
    <w:p w14:paraId="76749278">
      <w:pPr>
        <w:snapToGrid w:val="0"/>
        <w:spacing w:line="360" w:lineRule="auto"/>
        <w:rPr>
          <w:rFonts w:hint="eastAsia" w:ascii="宋体" w:hAnsi="宋体"/>
          <w:b/>
          <w:bCs/>
          <w:color w:val="auto"/>
          <w:szCs w:val="21"/>
          <w:highlight w:val="none"/>
        </w:rPr>
      </w:pPr>
      <w:r>
        <w:rPr>
          <w:rFonts w:hint="eastAsia" w:ascii="宋体" w:hAnsi="宋体"/>
          <w:bCs/>
          <w:color w:val="auto"/>
          <w:szCs w:val="21"/>
          <w:highlight w:val="none"/>
        </w:rPr>
        <w:t>致：</w:t>
      </w:r>
      <w:r>
        <w:rPr>
          <w:rFonts w:hint="eastAsia" w:ascii="宋体" w:hAnsi="宋体"/>
          <w:color w:val="auto"/>
          <w:szCs w:val="21"/>
          <w:highlight w:val="none"/>
          <w:u w:val="single"/>
        </w:rPr>
        <w:t>采购人名称</w:t>
      </w:r>
      <w:r>
        <w:rPr>
          <w:rFonts w:hint="eastAsia" w:ascii="宋体" w:hAnsi="宋体"/>
          <w:color w:val="auto"/>
          <w:szCs w:val="21"/>
          <w:highlight w:val="none"/>
        </w:rPr>
        <w:t>：</w:t>
      </w:r>
    </w:p>
    <w:p w14:paraId="7123F6CF">
      <w:pPr>
        <w:snapToGrid w:val="0"/>
        <w:spacing w:line="360" w:lineRule="auto"/>
        <w:ind w:firstLine="495" w:firstLineChars="236"/>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（投标人名称）的法定代表人，现授权委托</w:t>
      </w:r>
      <w:r>
        <w:rPr>
          <w:rFonts w:hint="eastAsia" w:ascii="宋体" w:hAnsi="宋体"/>
          <w:color w:val="auto"/>
          <w:szCs w:val="21"/>
          <w:highlight w:val="none"/>
          <w:u w:val="single"/>
        </w:rPr>
        <w:t xml:space="preserve">              （姓名）</w:t>
      </w:r>
      <w:r>
        <w:rPr>
          <w:rFonts w:hint="eastAsia" w:ascii="宋体" w:hAnsi="宋体"/>
          <w:color w:val="auto"/>
          <w:szCs w:val="21"/>
          <w:highlight w:val="none"/>
        </w:rPr>
        <w:t>以我方的名义参加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项目的投标活动，并代表我方全权办理针对上述项目的所有采购程序和环节的具体事务和签署相关文件。</w:t>
      </w:r>
    </w:p>
    <w:p w14:paraId="0BC04EBA">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我方对委托代理人的签字事项负全部责任。</w:t>
      </w:r>
    </w:p>
    <w:p w14:paraId="6B98DBDB">
      <w:pPr>
        <w:snapToGrid w:val="0"/>
        <w:spacing w:line="360" w:lineRule="auto"/>
        <w:ind w:firstLine="480"/>
        <w:rPr>
          <w:rFonts w:hint="eastAsia" w:ascii="宋体" w:hAnsi="宋体"/>
          <w:color w:val="auto"/>
          <w:szCs w:val="21"/>
          <w:highlight w:val="none"/>
        </w:rPr>
      </w:pPr>
      <w:r>
        <w:rPr>
          <w:rFonts w:hint="eastAsia" w:ascii="宋体" w:hAnsi="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623759CA">
      <w:pPr>
        <w:snapToGrid w:val="0"/>
        <w:spacing w:line="360" w:lineRule="auto"/>
        <w:ind w:firstLine="480"/>
        <w:rPr>
          <w:rFonts w:hint="eastAsia" w:ascii="宋体" w:hAnsi="宋体"/>
          <w:color w:val="auto"/>
          <w:szCs w:val="21"/>
          <w:highlight w:val="none"/>
        </w:rPr>
      </w:pPr>
      <w:r>
        <w:rPr>
          <w:rFonts w:hint="eastAsia" w:ascii="宋体" w:hAnsi="宋体"/>
          <w:color w:val="auto"/>
          <w:szCs w:val="21"/>
          <w:highlight w:val="none"/>
        </w:rPr>
        <w:t>委托代理人无转委托权，特此委托。</w:t>
      </w:r>
    </w:p>
    <w:p w14:paraId="007C96B1">
      <w:pPr>
        <w:snapToGrid w:val="0"/>
        <w:spacing w:line="360" w:lineRule="auto"/>
        <w:ind w:firstLine="480"/>
        <w:rPr>
          <w:rFonts w:hint="eastAsia" w:ascii="宋体" w:hAnsi="宋体"/>
          <w:color w:val="auto"/>
          <w:szCs w:val="21"/>
          <w:highlight w:val="none"/>
        </w:rPr>
      </w:pPr>
      <w:r>
        <w:rPr>
          <w:rFonts w:hint="eastAsia" w:ascii="宋体" w:hAnsi="宋体"/>
          <w:color w:val="auto"/>
          <w:szCs w:val="21"/>
          <w:highlight w:val="none"/>
        </w:rPr>
        <w:t>附：法定代表人身份证明及委托代理人有效身份证正反面复印件</w:t>
      </w:r>
    </w:p>
    <w:p w14:paraId="46ADC4E4">
      <w:pPr>
        <w:snapToGrid w:val="0"/>
        <w:spacing w:before="120" w:beforeLines="50" w:after="50"/>
        <w:rPr>
          <w:rFonts w:hint="eastAsia" w:ascii="宋体" w:hAnsi="宋体"/>
          <w:color w:val="auto"/>
          <w:szCs w:val="21"/>
          <w:highlight w:val="none"/>
        </w:rPr>
      </w:pPr>
    </w:p>
    <w:p w14:paraId="13672856">
      <w:pPr>
        <w:snapToGrid w:val="0"/>
        <w:spacing w:before="120" w:beforeLines="50" w:after="50"/>
        <w:rPr>
          <w:rFonts w:hint="eastAsia" w:ascii="宋体" w:hAnsi="宋体"/>
          <w:color w:val="auto"/>
          <w:szCs w:val="21"/>
          <w:highlight w:val="none"/>
          <w:u w:val="single"/>
        </w:rPr>
      </w:pPr>
      <w:r>
        <w:rPr>
          <w:rFonts w:hint="eastAsia" w:ascii="宋体" w:hAnsi="宋体"/>
          <w:color w:val="auto"/>
          <w:szCs w:val="21"/>
          <w:highlight w:val="none"/>
        </w:rPr>
        <w:t>委托代理人签字：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w:t>
      </w:r>
      <w:r>
        <w:rPr>
          <w:rFonts w:ascii="宋体" w:hAnsi="宋体"/>
          <w:color w:val="auto"/>
          <w:szCs w:val="21"/>
          <w:highlight w:val="none"/>
          <w:u w:val="single"/>
        </w:rPr>
        <w:t>_______________________</w:t>
      </w:r>
    </w:p>
    <w:p w14:paraId="77833172">
      <w:pPr>
        <w:snapToGrid w:val="0"/>
        <w:spacing w:before="120" w:beforeLines="50" w:after="50"/>
        <w:rPr>
          <w:rFonts w:hint="eastAsia" w:ascii="宋体" w:hAnsi="宋体"/>
          <w:color w:val="auto"/>
          <w:szCs w:val="21"/>
          <w:highlight w:val="none"/>
        </w:rPr>
      </w:pPr>
      <w:r>
        <w:rPr>
          <w:rFonts w:hint="eastAsia" w:ascii="宋体" w:hAnsi="宋体"/>
          <w:color w:val="auto"/>
          <w:szCs w:val="21"/>
          <w:highlight w:val="none"/>
        </w:rPr>
        <w:t>所在部门职务：</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ascii="宋体" w:hAnsi="宋体"/>
          <w:color w:val="auto"/>
          <w:szCs w:val="21"/>
          <w:highlight w:val="none"/>
          <w:u w:val="single"/>
        </w:rPr>
        <w:t>_______________________</w:t>
      </w:r>
    </w:p>
    <w:p w14:paraId="7F0CEA2E">
      <w:pPr>
        <w:snapToGrid w:val="0"/>
        <w:spacing w:before="120" w:beforeLines="50" w:after="50"/>
        <w:rPr>
          <w:rFonts w:hint="eastAsia" w:ascii="宋体" w:hAnsi="宋体"/>
          <w:color w:val="auto"/>
          <w:szCs w:val="21"/>
          <w:highlight w:val="none"/>
        </w:rPr>
      </w:pPr>
      <w:r>
        <w:rPr>
          <w:rFonts w:hint="eastAsia" w:ascii="宋体" w:hAnsi="宋体"/>
          <w:color w:val="auto"/>
          <w:szCs w:val="21"/>
          <w:highlight w:val="none"/>
        </w:rPr>
        <w:t>委托代理人身份证号码：</w:t>
      </w:r>
      <w:r>
        <w:rPr>
          <w:rFonts w:ascii="宋体" w:hAnsi="宋体"/>
          <w:color w:val="auto"/>
          <w:szCs w:val="21"/>
          <w:highlight w:val="none"/>
          <w:u w:val="single"/>
        </w:rPr>
        <w:t>___________________________</w:t>
      </w:r>
    </w:p>
    <w:p w14:paraId="2D80EC03">
      <w:pPr>
        <w:snapToGrid w:val="0"/>
        <w:spacing w:before="120" w:beforeLines="50" w:after="50"/>
        <w:rPr>
          <w:rFonts w:hint="eastAsia" w:ascii="宋体" w:hAnsi="宋体"/>
          <w:color w:val="auto"/>
          <w:szCs w:val="21"/>
          <w:highlight w:val="none"/>
        </w:rPr>
      </w:pPr>
    </w:p>
    <w:p w14:paraId="45EAE7F6">
      <w:pPr>
        <w:snapToGrid w:val="0"/>
        <w:spacing w:before="120" w:beforeLines="50" w:after="50"/>
        <w:rPr>
          <w:rFonts w:hint="eastAsia" w:ascii="宋体" w:hAnsi="宋体"/>
          <w:color w:val="auto"/>
          <w:szCs w:val="21"/>
          <w:highlight w:val="none"/>
        </w:rPr>
      </w:pPr>
    </w:p>
    <w:p w14:paraId="5FD19D09">
      <w:pPr>
        <w:snapToGrid w:val="0"/>
        <w:spacing w:before="50" w:after="120" w:afterLines="50" w:line="360" w:lineRule="auto"/>
        <w:ind w:left="1470" w:leftChars="700"/>
        <w:jc w:val="left"/>
        <w:rPr>
          <w:rFonts w:hint="eastAsia" w:ascii="宋体" w:hAnsi="宋体"/>
          <w:color w:val="auto"/>
          <w:szCs w:val="21"/>
          <w:highlight w:val="none"/>
        </w:rPr>
      </w:pPr>
      <w:r>
        <w:rPr>
          <w:rFonts w:hint="eastAsia" w:ascii="宋体" w:hAnsi="宋体"/>
          <w:color w:val="auto"/>
          <w:szCs w:val="21"/>
          <w:highlight w:val="none"/>
        </w:rPr>
        <w:t xml:space="preserve">                                          投标人（盖公章）：</w:t>
      </w:r>
      <w:r>
        <w:rPr>
          <w:rFonts w:hint="eastAsia" w:ascii="宋体" w:hAnsi="宋体"/>
          <w:color w:val="auto"/>
          <w:szCs w:val="21"/>
          <w:highlight w:val="none"/>
          <w:u w:val="single"/>
        </w:rPr>
        <w:t xml:space="preserve">              </w:t>
      </w:r>
    </w:p>
    <w:p w14:paraId="078245DA">
      <w:pPr>
        <w:snapToGrid w:val="0"/>
        <w:spacing w:before="50" w:after="120" w:afterLines="50" w:line="360" w:lineRule="auto"/>
        <w:ind w:left="1470" w:leftChars="700"/>
        <w:jc w:val="left"/>
        <w:rPr>
          <w:rFonts w:hint="eastAsia" w:hAnsi="宋体"/>
          <w:color w:val="auto"/>
          <w:highlight w:val="none"/>
        </w:rPr>
      </w:pPr>
      <w:r>
        <w:rPr>
          <w:rFonts w:hint="eastAsia" w:ascii="宋体" w:hAnsi="宋体"/>
          <w:color w:val="auto"/>
          <w:szCs w:val="21"/>
          <w:highlight w:val="none"/>
        </w:rPr>
        <w:t xml:space="preserve">                                               </w:t>
      </w:r>
      <w:r>
        <w:rPr>
          <w:rFonts w:hint="eastAsia"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日</w:t>
      </w:r>
    </w:p>
    <w:p w14:paraId="2BBE7F08">
      <w:pPr>
        <w:snapToGrid w:val="0"/>
        <w:spacing w:before="50" w:after="120" w:afterLines="50" w:line="360" w:lineRule="auto"/>
        <w:jc w:val="left"/>
        <w:rPr>
          <w:rFonts w:hint="eastAsia" w:ascii="宋体" w:hAnsi="宋体" w:cs="仿宋_GB2312"/>
          <w:b/>
          <w:color w:val="auto"/>
          <w:szCs w:val="21"/>
          <w:highlight w:val="none"/>
        </w:rPr>
      </w:pPr>
      <w:r>
        <w:rPr>
          <w:rFonts w:hint="eastAsia" w:ascii="宋体" w:hAnsi="宋体" w:cs="仿宋_GB2312"/>
          <w:b/>
          <w:color w:val="auto"/>
          <w:szCs w:val="21"/>
          <w:highlight w:val="none"/>
        </w:rPr>
        <w:t>注：</w:t>
      </w:r>
    </w:p>
    <w:p w14:paraId="461C30A5">
      <w:pPr>
        <w:spacing w:line="360" w:lineRule="auto"/>
        <w:ind w:firstLine="422" w:firstLineChars="200"/>
        <w:rPr>
          <w:rFonts w:hint="eastAsia" w:ascii="宋体" w:hAnsi="宋体" w:cs="仿宋_GB2312"/>
          <w:b/>
          <w:color w:val="auto"/>
          <w:szCs w:val="21"/>
          <w:highlight w:val="none"/>
        </w:rPr>
      </w:pPr>
      <w:r>
        <w:rPr>
          <w:rFonts w:hint="eastAsia" w:ascii="宋体" w:hAnsi="宋体" w:cs="仿宋_GB2312"/>
          <w:b/>
          <w:color w:val="auto"/>
          <w:szCs w:val="21"/>
          <w:highlight w:val="none"/>
        </w:rPr>
        <w:t>1.法定代表人和委托代理人必须在授权委托书上签字；</w:t>
      </w:r>
    </w:p>
    <w:p w14:paraId="42830282">
      <w:pPr>
        <w:spacing w:line="360" w:lineRule="auto"/>
        <w:ind w:firstLine="422" w:firstLineChars="200"/>
        <w:jc w:val="left"/>
        <w:rPr>
          <w:rFonts w:hint="eastAsia" w:ascii="宋体" w:hAnsi="宋体" w:cs="仿宋_GB2312"/>
          <w:b/>
          <w:color w:val="auto"/>
          <w:szCs w:val="21"/>
          <w:highlight w:val="none"/>
        </w:rPr>
        <w:sectPr>
          <w:pgSz w:w="11906" w:h="16838"/>
          <w:pgMar w:top="1134" w:right="1247" w:bottom="1560" w:left="1247" w:header="851" w:footer="992" w:gutter="0"/>
          <w:pgNumType w:fmt="decimal"/>
          <w:cols w:space="720" w:num="1"/>
          <w:titlePg/>
          <w:docGrid w:linePitch="312" w:charSpace="0"/>
        </w:sectPr>
      </w:pPr>
      <w:r>
        <w:rPr>
          <w:rFonts w:ascii="宋体" w:hAnsi="宋体" w:cs="仿宋_GB2312"/>
          <w:b/>
          <w:color w:val="auto"/>
          <w:szCs w:val="21"/>
          <w:highlight w:val="none"/>
        </w:rPr>
        <w:t>2</w:t>
      </w:r>
      <w:r>
        <w:rPr>
          <w:rFonts w:hint="eastAsia" w:ascii="宋体" w:hAnsi="宋体" w:cs="仿宋_GB2312"/>
          <w:b/>
          <w:color w:val="auto"/>
          <w:szCs w:val="21"/>
          <w:highlight w:val="none"/>
        </w:rPr>
        <w:t>.投标人为其他组织或者自然人时，本招标文件规定的法定代表人指负责人或者自然人。本招标文件所称负责人是指参加投标的其他组织营业执照上的负责人，本招标文件所称自然人指参与投标的自然人本人。</w:t>
      </w:r>
      <w:r>
        <w:rPr>
          <w:rFonts w:hint="eastAsia" w:ascii="宋体" w:hAnsi="宋体"/>
          <w:color w:val="auto"/>
          <w:szCs w:val="21"/>
          <w:highlight w:val="none"/>
        </w:rPr>
        <w:t xml:space="preserve"> </w:t>
      </w:r>
    </w:p>
    <w:p w14:paraId="37040387">
      <w:pPr>
        <w:outlineLvl w:val="2"/>
        <w:rPr>
          <w:rFonts w:hint="eastAsia" w:ascii="宋体" w:hAnsi="宋体"/>
          <w:b/>
          <w:color w:val="auto"/>
          <w:sz w:val="24"/>
          <w:highlight w:val="none"/>
        </w:rPr>
      </w:pPr>
      <w:r>
        <w:rPr>
          <w:rFonts w:hint="eastAsia" w:ascii="宋体" w:hAnsi="宋体"/>
          <w:b/>
          <w:color w:val="auto"/>
          <w:sz w:val="24"/>
          <w:highlight w:val="none"/>
        </w:rPr>
        <w:t>（八）商务条款偏离表格式(注：按项目需求表具体项目修改)</w:t>
      </w:r>
    </w:p>
    <w:p w14:paraId="300824C4">
      <w:pPr>
        <w:spacing w:before="240" w:beforeLines="100" w:line="360" w:lineRule="auto"/>
        <w:ind w:firstLine="422" w:firstLineChars="200"/>
        <w:jc w:val="center"/>
        <w:rPr>
          <w:rFonts w:hint="eastAsia" w:ascii="宋体" w:hAnsi="宋体"/>
          <w:b/>
          <w:color w:val="auto"/>
          <w:szCs w:val="21"/>
          <w:highlight w:val="none"/>
        </w:rPr>
      </w:pPr>
      <w:r>
        <w:rPr>
          <w:rFonts w:hint="eastAsia" w:ascii="宋体" w:hAnsi="宋体"/>
          <w:b/>
          <w:color w:val="auto"/>
          <w:szCs w:val="21"/>
          <w:highlight w:val="none"/>
        </w:rPr>
        <w:t>商务条款偏离表</w:t>
      </w:r>
    </w:p>
    <w:tbl>
      <w:tblPr>
        <w:tblStyle w:val="45"/>
        <w:tblW w:w="499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62"/>
        <w:gridCol w:w="3506"/>
        <w:gridCol w:w="2234"/>
        <w:gridCol w:w="1598"/>
      </w:tblGrid>
      <w:tr w14:paraId="2CCFB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43773B0F">
            <w:pPr>
              <w:snapToGrid w:val="0"/>
              <w:jc w:val="center"/>
              <w:rPr>
                <w:rFonts w:hint="eastAsia" w:ascii="宋体" w:hAnsi="宋体"/>
                <w:color w:val="auto"/>
                <w:szCs w:val="21"/>
                <w:highlight w:val="none"/>
              </w:rPr>
            </w:pPr>
            <w:r>
              <w:rPr>
                <w:rFonts w:hint="eastAsia" w:ascii="宋体" w:hAnsi="宋体"/>
                <w:color w:val="auto"/>
                <w:szCs w:val="21"/>
                <w:highlight w:val="none"/>
              </w:rPr>
              <w:t>项目</w:t>
            </w:r>
          </w:p>
        </w:tc>
        <w:tc>
          <w:tcPr>
            <w:tcW w:w="2111" w:type="pct"/>
            <w:tcBorders>
              <w:top w:val="single" w:color="auto" w:sz="4" w:space="0"/>
              <w:left w:val="single" w:color="auto" w:sz="4" w:space="0"/>
              <w:bottom w:val="single" w:color="auto" w:sz="4" w:space="0"/>
              <w:right w:val="single" w:color="auto" w:sz="4" w:space="0"/>
            </w:tcBorders>
            <w:vAlign w:val="center"/>
          </w:tcPr>
          <w:p w14:paraId="50218FB5">
            <w:pPr>
              <w:snapToGrid w:val="0"/>
              <w:jc w:val="center"/>
              <w:rPr>
                <w:rFonts w:hint="eastAsia" w:ascii="宋体" w:hAnsi="宋体"/>
                <w:color w:val="auto"/>
                <w:szCs w:val="21"/>
                <w:highlight w:val="none"/>
              </w:rPr>
            </w:pPr>
            <w:r>
              <w:rPr>
                <w:rFonts w:hint="eastAsia" w:ascii="宋体" w:hAnsi="宋体"/>
                <w:color w:val="auto"/>
                <w:szCs w:val="21"/>
                <w:highlight w:val="none"/>
              </w:rPr>
              <w:t>招标文件商务条款要求</w:t>
            </w:r>
          </w:p>
        </w:tc>
        <w:tc>
          <w:tcPr>
            <w:tcW w:w="1345" w:type="pct"/>
            <w:tcBorders>
              <w:top w:val="single" w:color="auto" w:sz="4" w:space="0"/>
              <w:left w:val="single" w:color="auto" w:sz="4" w:space="0"/>
              <w:bottom w:val="single" w:color="auto" w:sz="4" w:space="0"/>
              <w:right w:val="single" w:color="auto" w:sz="4" w:space="0"/>
            </w:tcBorders>
            <w:vAlign w:val="center"/>
          </w:tcPr>
          <w:p w14:paraId="3292E3C1">
            <w:pPr>
              <w:snapToGrid w:val="0"/>
              <w:jc w:val="center"/>
              <w:rPr>
                <w:rFonts w:hint="eastAsia" w:ascii="宋体" w:hAnsi="宋体"/>
                <w:color w:val="auto"/>
                <w:szCs w:val="21"/>
                <w:highlight w:val="none"/>
              </w:rPr>
            </w:pPr>
            <w:r>
              <w:rPr>
                <w:rFonts w:hint="eastAsia" w:ascii="宋体" w:hAnsi="宋体"/>
                <w:color w:val="auto"/>
                <w:szCs w:val="21"/>
                <w:highlight w:val="none"/>
              </w:rPr>
              <w:t>投标人的承诺</w:t>
            </w:r>
          </w:p>
        </w:tc>
        <w:tc>
          <w:tcPr>
            <w:tcW w:w="962" w:type="pct"/>
            <w:tcBorders>
              <w:top w:val="single" w:color="auto" w:sz="4" w:space="0"/>
              <w:left w:val="single" w:color="auto" w:sz="4" w:space="0"/>
              <w:bottom w:val="single" w:color="auto" w:sz="4" w:space="0"/>
              <w:right w:val="single" w:color="auto" w:sz="4" w:space="0"/>
            </w:tcBorders>
            <w:vAlign w:val="center"/>
          </w:tcPr>
          <w:p w14:paraId="48382427">
            <w:pPr>
              <w:snapToGrid w:val="0"/>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61C6C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8"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37FDA2A5">
            <w:pPr>
              <w:jc w:val="center"/>
              <w:rPr>
                <w:rFonts w:hint="eastAsia" w:ascii="宋体" w:hAnsi="宋体"/>
                <w:color w:val="auto"/>
                <w:szCs w:val="21"/>
                <w:highlight w:val="none"/>
              </w:rPr>
            </w:pPr>
          </w:p>
        </w:tc>
        <w:tc>
          <w:tcPr>
            <w:tcW w:w="2111" w:type="pct"/>
            <w:tcBorders>
              <w:top w:val="single" w:color="auto" w:sz="4" w:space="0"/>
              <w:left w:val="single" w:color="auto" w:sz="4" w:space="0"/>
              <w:bottom w:val="single" w:color="auto" w:sz="4" w:space="0"/>
              <w:right w:val="single" w:color="auto" w:sz="4" w:space="0"/>
            </w:tcBorders>
            <w:vAlign w:val="center"/>
          </w:tcPr>
          <w:p w14:paraId="18555941">
            <w:pPr>
              <w:snapToGrid w:val="0"/>
              <w:jc w:val="center"/>
              <w:rPr>
                <w:rFonts w:hint="eastAsia" w:ascii="宋体" w:hAnsi="宋体"/>
                <w:color w:val="auto"/>
                <w:szCs w:val="21"/>
                <w:highlight w:val="none"/>
              </w:rPr>
            </w:pPr>
          </w:p>
        </w:tc>
        <w:tc>
          <w:tcPr>
            <w:tcW w:w="1345" w:type="pct"/>
            <w:tcBorders>
              <w:top w:val="single" w:color="auto" w:sz="4" w:space="0"/>
              <w:left w:val="single" w:color="auto" w:sz="4" w:space="0"/>
              <w:bottom w:val="single" w:color="auto" w:sz="4" w:space="0"/>
              <w:right w:val="single" w:color="auto" w:sz="4" w:space="0"/>
            </w:tcBorders>
            <w:vAlign w:val="center"/>
          </w:tcPr>
          <w:p w14:paraId="1D4DC6C4">
            <w:pPr>
              <w:snapToGrid w:val="0"/>
              <w:jc w:val="center"/>
              <w:rPr>
                <w:rFonts w:hint="eastAsia" w:ascii="宋体" w:hAnsi="宋体"/>
                <w:color w:val="auto"/>
                <w:szCs w:val="21"/>
                <w:highlight w:val="none"/>
              </w:rPr>
            </w:pPr>
          </w:p>
        </w:tc>
        <w:tc>
          <w:tcPr>
            <w:tcW w:w="962" w:type="pct"/>
            <w:tcBorders>
              <w:top w:val="single" w:color="auto" w:sz="4" w:space="0"/>
              <w:left w:val="single" w:color="auto" w:sz="4" w:space="0"/>
              <w:bottom w:val="single" w:color="auto" w:sz="4" w:space="0"/>
              <w:right w:val="single" w:color="auto" w:sz="4" w:space="0"/>
            </w:tcBorders>
            <w:vAlign w:val="center"/>
          </w:tcPr>
          <w:p w14:paraId="4BCF10DD">
            <w:pPr>
              <w:snapToGrid w:val="0"/>
              <w:jc w:val="center"/>
              <w:rPr>
                <w:rFonts w:hint="eastAsia" w:ascii="宋体" w:hAnsi="宋体"/>
                <w:color w:val="auto"/>
                <w:szCs w:val="21"/>
                <w:highlight w:val="none"/>
              </w:rPr>
            </w:pPr>
          </w:p>
        </w:tc>
      </w:tr>
      <w:tr w14:paraId="1F7F9A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2217E3E0">
            <w:pPr>
              <w:jc w:val="center"/>
              <w:rPr>
                <w:rFonts w:hint="eastAsia" w:ascii="宋体" w:hAnsi="宋体"/>
                <w:color w:val="auto"/>
                <w:szCs w:val="21"/>
                <w:highlight w:val="none"/>
              </w:rPr>
            </w:pPr>
          </w:p>
        </w:tc>
        <w:tc>
          <w:tcPr>
            <w:tcW w:w="2111" w:type="pct"/>
            <w:tcBorders>
              <w:top w:val="single" w:color="auto" w:sz="4" w:space="0"/>
              <w:left w:val="single" w:color="auto" w:sz="4" w:space="0"/>
              <w:bottom w:val="single" w:color="auto" w:sz="4" w:space="0"/>
              <w:right w:val="single" w:color="auto" w:sz="4" w:space="0"/>
            </w:tcBorders>
            <w:vAlign w:val="center"/>
          </w:tcPr>
          <w:p w14:paraId="098DDACD">
            <w:pPr>
              <w:snapToGrid w:val="0"/>
              <w:rPr>
                <w:rFonts w:hint="eastAsia" w:ascii="宋体" w:hAnsi="宋体"/>
                <w:color w:val="auto"/>
                <w:szCs w:val="21"/>
                <w:highlight w:val="none"/>
                <w:u w:val="single"/>
              </w:rPr>
            </w:pPr>
          </w:p>
        </w:tc>
        <w:tc>
          <w:tcPr>
            <w:tcW w:w="1345" w:type="pct"/>
            <w:tcBorders>
              <w:top w:val="single" w:color="auto" w:sz="4" w:space="0"/>
              <w:left w:val="single" w:color="auto" w:sz="4" w:space="0"/>
              <w:bottom w:val="single" w:color="auto" w:sz="4" w:space="0"/>
              <w:right w:val="single" w:color="auto" w:sz="4" w:space="0"/>
            </w:tcBorders>
            <w:vAlign w:val="center"/>
          </w:tcPr>
          <w:p w14:paraId="220F9675">
            <w:pPr>
              <w:snapToGrid w:val="0"/>
              <w:jc w:val="center"/>
              <w:rPr>
                <w:rFonts w:hint="eastAsia" w:ascii="宋体" w:hAnsi="宋体"/>
                <w:color w:val="auto"/>
                <w:szCs w:val="21"/>
                <w:highlight w:val="none"/>
              </w:rPr>
            </w:pPr>
          </w:p>
        </w:tc>
        <w:tc>
          <w:tcPr>
            <w:tcW w:w="962" w:type="pct"/>
            <w:tcBorders>
              <w:top w:val="single" w:color="auto" w:sz="4" w:space="0"/>
              <w:left w:val="single" w:color="auto" w:sz="4" w:space="0"/>
              <w:bottom w:val="single" w:color="auto" w:sz="4" w:space="0"/>
              <w:right w:val="single" w:color="auto" w:sz="4" w:space="0"/>
            </w:tcBorders>
            <w:vAlign w:val="center"/>
          </w:tcPr>
          <w:p w14:paraId="4B0BD1E2">
            <w:pPr>
              <w:snapToGrid w:val="0"/>
              <w:jc w:val="center"/>
              <w:rPr>
                <w:rFonts w:hint="eastAsia" w:ascii="宋体" w:hAnsi="宋体"/>
                <w:color w:val="auto"/>
                <w:szCs w:val="21"/>
                <w:highlight w:val="none"/>
              </w:rPr>
            </w:pPr>
          </w:p>
        </w:tc>
      </w:tr>
      <w:tr w14:paraId="779CFC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7D5AD511">
            <w:pPr>
              <w:rPr>
                <w:rFonts w:hint="eastAsia" w:ascii="宋体" w:hAnsi="宋体"/>
                <w:color w:val="auto"/>
                <w:szCs w:val="21"/>
                <w:highlight w:val="none"/>
              </w:rPr>
            </w:pPr>
          </w:p>
        </w:tc>
        <w:tc>
          <w:tcPr>
            <w:tcW w:w="2111" w:type="pct"/>
            <w:tcBorders>
              <w:top w:val="single" w:color="auto" w:sz="4" w:space="0"/>
              <w:left w:val="single" w:color="auto" w:sz="4" w:space="0"/>
              <w:bottom w:val="single" w:color="auto" w:sz="4" w:space="0"/>
              <w:right w:val="single" w:color="auto" w:sz="4" w:space="0"/>
            </w:tcBorders>
            <w:vAlign w:val="center"/>
          </w:tcPr>
          <w:p w14:paraId="20ACE630">
            <w:pPr>
              <w:snapToGrid w:val="0"/>
              <w:jc w:val="center"/>
              <w:rPr>
                <w:rFonts w:hint="eastAsia" w:ascii="宋体" w:hAnsi="宋体"/>
                <w:color w:val="auto"/>
                <w:szCs w:val="21"/>
                <w:highlight w:val="none"/>
              </w:rPr>
            </w:pPr>
          </w:p>
        </w:tc>
        <w:tc>
          <w:tcPr>
            <w:tcW w:w="1345" w:type="pct"/>
            <w:tcBorders>
              <w:top w:val="single" w:color="auto" w:sz="4" w:space="0"/>
              <w:left w:val="single" w:color="auto" w:sz="4" w:space="0"/>
              <w:bottom w:val="single" w:color="auto" w:sz="4" w:space="0"/>
              <w:right w:val="single" w:color="auto" w:sz="4" w:space="0"/>
            </w:tcBorders>
            <w:vAlign w:val="center"/>
          </w:tcPr>
          <w:p w14:paraId="24078067">
            <w:pPr>
              <w:snapToGrid w:val="0"/>
              <w:jc w:val="center"/>
              <w:rPr>
                <w:rFonts w:hint="eastAsia" w:ascii="宋体" w:hAnsi="宋体"/>
                <w:color w:val="auto"/>
                <w:szCs w:val="21"/>
                <w:highlight w:val="none"/>
              </w:rPr>
            </w:pPr>
          </w:p>
        </w:tc>
        <w:tc>
          <w:tcPr>
            <w:tcW w:w="962" w:type="pct"/>
            <w:tcBorders>
              <w:top w:val="single" w:color="auto" w:sz="4" w:space="0"/>
              <w:left w:val="single" w:color="auto" w:sz="4" w:space="0"/>
              <w:bottom w:val="single" w:color="auto" w:sz="4" w:space="0"/>
              <w:right w:val="single" w:color="auto" w:sz="4" w:space="0"/>
            </w:tcBorders>
            <w:vAlign w:val="center"/>
          </w:tcPr>
          <w:p w14:paraId="4ED5B567">
            <w:pPr>
              <w:snapToGrid w:val="0"/>
              <w:jc w:val="center"/>
              <w:rPr>
                <w:rFonts w:hint="eastAsia" w:ascii="宋体" w:hAnsi="宋体"/>
                <w:color w:val="auto"/>
                <w:szCs w:val="21"/>
                <w:highlight w:val="none"/>
              </w:rPr>
            </w:pPr>
          </w:p>
        </w:tc>
      </w:tr>
      <w:tr w14:paraId="510E26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579" w:type="pct"/>
            <w:tcBorders>
              <w:top w:val="single" w:color="auto" w:sz="4" w:space="0"/>
              <w:left w:val="single" w:color="auto" w:sz="4" w:space="0"/>
              <w:bottom w:val="single" w:color="auto" w:sz="4" w:space="0"/>
              <w:right w:val="single" w:color="auto" w:sz="4" w:space="0"/>
            </w:tcBorders>
            <w:vAlign w:val="center"/>
          </w:tcPr>
          <w:p w14:paraId="5C9FAEAB">
            <w:pPr>
              <w:snapToGrid w:val="0"/>
              <w:jc w:val="center"/>
              <w:rPr>
                <w:rFonts w:hint="eastAsia" w:ascii="宋体" w:hAnsi="宋体"/>
                <w:color w:val="auto"/>
                <w:szCs w:val="21"/>
                <w:highlight w:val="none"/>
              </w:rPr>
            </w:pPr>
            <w:r>
              <w:rPr>
                <w:rFonts w:hint="eastAsia" w:ascii="宋体" w:hAnsi="宋体"/>
                <w:color w:val="auto"/>
                <w:szCs w:val="21"/>
                <w:highlight w:val="none"/>
              </w:rPr>
              <w:t>…</w:t>
            </w:r>
          </w:p>
        </w:tc>
        <w:tc>
          <w:tcPr>
            <w:tcW w:w="2111" w:type="pct"/>
            <w:tcBorders>
              <w:top w:val="single" w:color="auto" w:sz="4" w:space="0"/>
              <w:left w:val="single" w:color="auto" w:sz="4" w:space="0"/>
              <w:bottom w:val="single" w:color="auto" w:sz="4" w:space="0"/>
              <w:right w:val="single" w:color="auto" w:sz="4" w:space="0"/>
            </w:tcBorders>
            <w:vAlign w:val="center"/>
          </w:tcPr>
          <w:p w14:paraId="74FCB427">
            <w:pPr>
              <w:snapToGrid w:val="0"/>
              <w:jc w:val="center"/>
              <w:rPr>
                <w:rFonts w:hint="eastAsia" w:ascii="宋体" w:hAnsi="宋体"/>
                <w:color w:val="auto"/>
                <w:szCs w:val="21"/>
                <w:highlight w:val="none"/>
              </w:rPr>
            </w:pPr>
          </w:p>
        </w:tc>
        <w:tc>
          <w:tcPr>
            <w:tcW w:w="1345" w:type="pct"/>
            <w:tcBorders>
              <w:top w:val="single" w:color="auto" w:sz="4" w:space="0"/>
              <w:left w:val="single" w:color="auto" w:sz="4" w:space="0"/>
              <w:bottom w:val="single" w:color="auto" w:sz="4" w:space="0"/>
              <w:right w:val="single" w:color="auto" w:sz="4" w:space="0"/>
            </w:tcBorders>
            <w:vAlign w:val="center"/>
          </w:tcPr>
          <w:p w14:paraId="1D983ACD">
            <w:pPr>
              <w:snapToGrid w:val="0"/>
              <w:jc w:val="center"/>
              <w:rPr>
                <w:rFonts w:hint="eastAsia" w:ascii="宋体" w:hAnsi="宋体"/>
                <w:color w:val="auto"/>
                <w:szCs w:val="21"/>
                <w:highlight w:val="none"/>
              </w:rPr>
            </w:pPr>
          </w:p>
        </w:tc>
        <w:tc>
          <w:tcPr>
            <w:tcW w:w="962" w:type="pct"/>
            <w:tcBorders>
              <w:top w:val="single" w:color="auto" w:sz="4" w:space="0"/>
              <w:left w:val="single" w:color="auto" w:sz="4" w:space="0"/>
              <w:bottom w:val="single" w:color="auto" w:sz="4" w:space="0"/>
              <w:right w:val="single" w:color="auto" w:sz="4" w:space="0"/>
            </w:tcBorders>
            <w:vAlign w:val="center"/>
          </w:tcPr>
          <w:p w14:paraId="74147D0C">
            <w:pPr>
              <w:snapToGrid w:val="0"/>
              <w:jc w:val="center"/>
              <w:rPr>
                <w:rFonts w:hint="eastAsia" w:ascii="宋体" w:hAnsi="宋体"/>
                <w:color w:val="auto"/>
                <w:szCs w:val="21"/>
                <w:highlight w:val="none"/>
              </w:rPr>
            </w:pPr>
          </w:p>
        </w:tc>
      </w:tr>
    </w:tbl>
    <w:p w14:paraId="26E7E121">
      <w:pPr>
        <w:pStyle w:val="16"/>
        <w:spacing w:line="360" w:lineRule="auto"/>
        <w:ind w:firstLine="422" w:firstLineChars="200"/>
        <w:rPr>
          <w:rFonts w:hint="eastAsia" w:ascii="宋体" w:hAnsi="宋体"/>
          <w:color w:val="auto"/>
          <w:sz w:val="21"/>
          <w:szCs w:val="21"/>
          <w:highlight w:val="none"/>
        </w:rPr>
      </w:pPr>
      <w:r>
        <w:rPr>
          <w:rFonts w:hint="eastAsia" w:ascii="宋体" w:hAnsi="宋体"/>
          <w:color w:val="auto"/>
          <w:sz w:val="21"/>
          <w:szCs w:val="21"/>
          <w:highlight w:val="none"/>
        </w:rPr>
        <w:t>注：</w:t>
      </w:r>
    </w:p>
    <w:p w14:paraId="28B486A8">
      <w:pPr>
        <w:pStyle w:val="18"/>
        <w:spacing w:line="360" w:lineRule="auto"/>
        <w:ind w:firstLine="420" w:firstLineChars="200"/>
        <w:rPr>
          <w:rFonts w:hint="eastAsia" w:hAnsi="仿宋_GB2312" w:cs="仿宋_GB2312"/>
          <w:color w:val="auto"/>
          <w:sz w:val="21"/>
          <w:szCs w:val="21"/>
          <w:highlight w:val="none"/>
        </w:rPr>
      </w:pPr>
      <w:r>
        <w:rPr>
          <w:rFonts w:hint="eastAsia" w:ascii="宋体" w:hAnsi="宋体" w:eastAsia="宋体"/>
          <w:color w:val="auto"/>
          <w:sz w:val="21"/>
          <w:szCs w:val="21"/>
          <w:highlight w:val="none"/>
        </w:rPr>
        <w:t>1. 说明：应对照招标文件“第二章 采购需求”中的“商务条款”逐条实质性响应，并作出偏离说明。</w:t>
      </w:r>
    </w:p>
    <w:p w14:paraId="309EA270">
      <w:pPr>
        <w:pStyle w:val="16"/>
        <w:spacing w:line="360" w:lineRule="auto"/>
        <w:ind w:firstLine="420" w:firstLineChars="200"/>
        <w:rPr>
          <w:rFonts w:hint="eastAsia" w:ascii="宋体" w:hAnsi="宋体"/>
          <w:b w:val="0"/>
          <w:bCs w:val="0"/>
          <w:color w:val="auto"/>
          <w:sz w:val="21"/>
          <w:szCs w:val="21"/>
          <w:highlight w:val="none"/>
        </w:rPr>
      </w:pPr>
      <w:r>
        <w:rPr>
          <w:rFonts w:ascii="宋体" w:hAnsi="宋体"/>
          <w:b w:val="0"/>
          <w:bCs w:val="0"/>
          <w:color w:val="auto"/>
          <w:sz w:val="21"/>
          <w:szCs w:val="21"/>
          <w:highlight w:val="none"/>
        </w:rPr>
        <w:t>2.</w:t>
      </w:r>
      <w:r>
        <w:rPr>
          <w:rFonts w:hint="eastAsia" w:ascii="宋体" w:hAnsi="宋体"/>
          <w:b w:val="0"/>
          <w:bCs w:val="0"/>
          <w:color w:val="auto"/>
          <w:sz w:val="21"/>
          <w:szCs w:val="21"/>
          <w:highlight w:val="none"/>
        </w:rPr>
        <w:t>投标人应根据自身的承诺，对照招标文件要求在“偏离说明”中注明“</w:t>
      </w:r>
      <w:r>
        <w:rPr>
          <w:rFonts w:hint="eastAsia" w:ascii="宋体" w:hAnsi="宋体"/>
          <w:color w:val="auto"/>
          <w:sz w:val="21"/>
          <w:szCs w:val="21"/>
          <w:highlight w:val="none"/>
        </w:rPr>
        <w:t>正偏离</w:t>
      </w:r>
      <w:r>
        <w:rPr>
          <w:rFonts w:hint="eastAsia" w:ascii="宋体" w:hAnsi="宋体"/>
          <w:b w:val="0"/>
          <w:bCs w:val="0"/>
          <w:color w:val="auto"/>
          <w:sz w:val="21"/>
          <w:szCs w:val="21"/>
          <w:highlight w:val="none"/>
        </w:rPr>
        <w:t>”、“</w:t>
      </w:r>
      <w:r>
        <w:rPr>
          <w:rFonts w:hint="eastAsia" w:ascii="宋体" w:hAnsi="宋体"/>
          <w:color w:val="auto"/>
          <w:sz w:val="21"/>
          <w:szCs w:val="21"/>
          <w:highlight w:val="none"/>
        </w:rPr>
        <w:t>负偏离</w:t>
      </w:r>
      <w:r>
        <w:rPr>
          <w:rFonts w:hint="eastAsia" w:ascii="宋体" w:hAnsi="宋体"/>
          <w:b w:val="0"/>
          <w:bCs w:val="0"/>
          <w:color w:val="auto"/>
          <w:sz w:val="21"/>
          <w:szCs w:val="21"/>
          <w:highlight w:val="none"/>
        </w:rPr>
        <w:t>”或者“</w:t>
      </w:r>
      <w:r>
        <w:rPr>
          <w:rFonts w:hint="eastAsia" w:ascii="宋体" w:hAnsi="宋体"/>
          <w:color w:val="auto"/>
          <w:sz w:val="21"/>
          <w:szCs w:val="21"/>
          <w:highlight w:val="none"/>
        </w:rPr>
        <w:t>无偏离</w:t>
      </w:r>
      <w:r>
        <w:rPr>
          <w:rFonts w:hint="eastAsia" w:ascii="宋体" w:hAnsi="宋体"/>
          <w:b w:val="0"/>
          <w:bCs w:val="0"/>
          <w:color w:val="auto"/>
          <w:sz w:val="21"/>
          <w:szCs w:val="21"/>
          <w:highlight w:val="none"/>
        </w:rPr>
        <w:t>”。既不属于“</w:t>
      </w:r>
      <w:r>
        <w:rPr>
          <w:rFonts w:hint="eastAsia" w:ascii="宋体" w:hAnsi="宋体"/>
          <w:color w:val="auto"/>
          <w:sz w:val="21"/>
          <w:szCs w:val="21"/>
          <w:highlight w:val="none"/>
        </w:rPr>
        <w:t>正偏离</w:t>
      </w:r>
      <w:r>
        <w:rPr>
          <w:rFonts w:hint="eastAsia" w:ascii="宋体" w:hAnsi="宋体"/>
          <w:b w:val="0"/>
          <w:bCs w:val="0"/>
          <w:color w:val="auto"/>
          <w:sz w:val="21"/>
          <w:szCs w:val="21"/>
          <w:highlight w:val="none"/>
        </w:rPr>
        <w:t>”也不属于“</w:t>
      </w:r>
      <w:r>
        <w:rPr>
          <w:rFonts w:hint="eastAsia" w:ascii="宋体" w:hAnsi="宋体"/>
          <w:color w:val="auto"/>
          <w:sz w:val="21"/>
          <w:szCs w:val="21"/>
          <w:highlight w:val="none"/>
        </w:rPr>
        <w:t>负偏离</w:t>
      </w:r>
      <w:r>
        <w:rPr>
          <w:rFonts w:hint="eastAsia" w:ascii="宋体" w:hAnsi="宋体"/>
          <w:b w:val="0"/>
          <w:bCs w:val="0"/>
          <w:color w:val="auto"/>
          <w:sz w:val="21"/>
          <w:szCs w:val="21"/>
          <w:highlight w:val="none"/>
        </w:rPr>
        <w:t>”即为“</w:t>
      </w:r>
      <w:r>
        <w:rPr>
          <w:rFonts w:hint="eastAsia" w:ascii="宋体" w:hAnsi="宋体"/>
          <w:color w:val="auto"/>
          <w:sz w:val="21"/>
          <w:szCs w:val="21"/>
          <w:highlight w:val="none"/>
        </w:rPr>
        <w:t>无偏离</w:t>
      </w:r>
      <w:r>
        <w:rPr>
          <w:rFonts w:hint="eastAsia" w:ascii="宋体" w:hAnsi="宋体"/>
          <w:b w:val="0"/>
          <w:bCs w:val="0"/>
          <w:color w:val="auto"/>
          <w:sz w:val="21"/>
          <w:szCs w:val="21"/>
          <w:highlight w:val="none"/>
        </w:rPr>
        <w:t>”。</w:t>
      </w:r>
    </w:p>
    <w:p w14:paraId="50CA807F">
      <w:pPr>
        <w:snapToGrid w:val="0"/>
        <w:spacing w:line="360" w:lineRule="auto"/>
        <w:ind w:firstLine="420" w:firstLineChars="200"/>
        <w:rPr>
          <w:rFonts w:hint="eastAsia" w:ascii="宋体" w:hAnsi="宋体"/>
          <w:color w:val="auto"/>
          <w:szCs w:val="21"/>
          <w:highlight w:val="none"/>
        </w:rPr>
      </w:pPr>
    </w:p>
    <w:p w14:paraId="03B071DD">
      <w:pPr>
        <w:snapToGrid w:val="0"/>
        <w:spacing w:before="120" w:beforeLines="50" w:line="360" w:lineRule="auto"/>
        <w:ind w:right="480" w:firstLine="3471" w:firstLineChars="1653"/>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230CEA14">
      <w:pPr>
        <w:snapToGrid w:val="0"/>
        <w:spacing w:before="120" w:beforeLines="50" w:after="50" w:line="360" w:lineRule="auto"/>
        <w:ind w:right="480" w:firstLine="4830" w:firstLineChars="2300"/>
        <w:rPr>
          <w:rFonts w:hint="eastAsia" w:ascii="宋体" w:hAnsi="宋体"/>
          <w:color w:val="auto"/>
          <w:szCs w:val="21"/>
          <w:highlight w:val="none"/>
          <w:u w:val="singl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157B9FCB">
      <w:pPr>
        <w:snapToGrid w:val="0"/>
        <w:spacing w:line="360" w:lineRule="auto"/>
        <w:ind w:left="210" w:leftChars="100" w:firstLine="5317" w:firstLineChars="2532"/>
        <w:jc w:val="left"/>
        <w:rPr>
          <w:rFonts w:hint="eastAsia" w:ascii="宋体" w:hAnsi="宋体"/>
          <w:color w:val="auto"/>
          <w:szCs w:val="21"/>
          <w:highlight w:val="none"/>
        </w:rPr>
        <w:sectPr>
          <w:footerReference r:id="rId11" w:type="first"/>
          <w:footerReference r:id="rId10" w:type="even"/>
          <w:pgSz w:w="11906" w:h="16838"/>
          <w:pgMar w:top="1440" w:right="1797" w:bottom="1440" w:left="1797" w:header="851" w:footer="992" w:gutter="0"/>
          <w:pgNumType w:fmt="decimal"/>
          <w:cols w:space="720" w:num="1"/>
          <w:docGrid w:linePitch="312" w:charSpace="0"/>
        </w:sectPr>
      </w:pP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p>
    <w:p w14:paraId="42ADF089">
      <w:pPr>
        <w:snapToGrid w:val="0"/>
        <w:spacing w:before="120" w:beforeLines="50" w:after="50"/>
        <w:jc w:val="left"/>
        <w:outlineLvl w:val="2"/>
        <w:rPr>
          <w:rFonts w:hint="eastAsia" w:ascii="宋体" w:hAnsi="宋体"/>
          <w:b/>
          <w:color w:val="auto"/>
          <w:szCs w:val="21"/>
          <w:highlight w:val="none"/>
        </w:rPr>
      </w:pPr>
      <w:r>
        <w:rPr>
          <w:rFonts w:hint="eastAsia" w:ascii="宋体" w:hAnsi="宋体"/>
          <w:b/>
          <w:color w:val="auto"/>
          <w:sz w:val="24"/>
          <w:highlight w:val="none"/>
        </w:rPr>
        <w:t>（九）投标人类似的业绩证明文件</w:t>
      </w:r>
    </w:p>
    <w:p w14:paraId="25F17DAE">
      <w:pPr>
        <w:pStyle w:val="33"/>
        <w:snapToGrid w:val="0"/>
        <w:spacing w:after="240" w:afterLines="100"/>
        <w:ind w:left="422" w:hanging="422"/>
        <w:jc w:val="center"/>
        <w:rPr>
          <w:rFonts w:hint="eastAsia" w:ascii="宋体" w:hAnsi="宋体"/>
          <w:b/>
          <w:color w:val="auto"/>
          <w:sz w:val="21"/>
          <w:szCs w:val="21"/>
          <w:highlight w:val="none"/>
        </w:rPr>
      </w:pPr>
      <w:r>
        <w:rPr>
          <w:rFonts w:hint="eastAsia" w:ascii="宋体" w:hAnsi="宋体"/>
          <w:b/>
          <w:color w:val="auto"/>
          <w:sz w:val="21"/>
          <w:szCs w:val="21"/>
          <w:highlight w:val="none"/>
        </w:rPr>
        <w:t>投标人</w:t>
      </w:r>
      <w:r>
        <w:rPr>
          <w:rFonts w:ascii="宋体" w:hAnsi="宋体"/>
          <w:b/>
          <w:color w:val="auto"/>
          <w:sz w:val="21"/>
          <w:szCs w:val="21"/>
          <w:highlight w:val="none"/>
        </w:rPr>
        <w:t>类似业绩情况表</w:t>
      </w:r>
    </w:p>
    <w:p w14:paraId="3C6F41BF">
      <w:pPr>
        <w:pStyle w:val="33"/>
        <w:snapToGrid w:val="0"/>
        <w:ind w:left="420" w:hanging="420"/>
        <w:rPr>
          <w:rFonts w:hint="eastAsia" w:ascii="宋体" w:hAnsi="宋体"/>
          <w:color w:val="auto"/>
          <w:sz w:val="21"/>
          <w:szCs w:val="21"/>
          <w:highlight w:val="none"/>
        </w:rPr>
      </w:pPr>
      <w:r>
        <w:rPr>
          <w:rFonts w:hint="eastAsia" w:ascii="宋体" w:hAnsi="宋体"/>
          <w:color w:val="auto"/>
          <w:sz w:val="21"/>
          <w:szCs w:val="21"/>
          <w:highlight w:val="none"/>
        </w:rPr>
        <w:t>投标人同类项目情况一览表格式：</w:t>
      </w:r>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66"/>
        <w:gridCol w:w="1056"/>
        <w:gridCol w:w="2464"/>
        <w:gridCol w:w="1748"/>
        <w:gridCol w:w="1686"/>
      </w:tblGrid>
      <w:tr w14:paraId="50883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133A0572">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采购人名称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33EF9DB6">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2464" w:type="dxa"/>
            <w:vMerge w:val="restart"/>
            <w:tcBorders>
              <w:top w:val="single" w:color="auto" w:sz="4" w:space="0"/>
              <w:left w:val="single" w:color="auto" w:sz="4" w:space="0"/>
              <w:bottom w:val="single" w:color="auto" w:sz="4" w:space="0"/>
              <w:right w:val="single" w:color="auto" w:sz="4" w:space="0"/>
            </w:tcBorders>
            <w:vAlign w:val="center"/>
          </w:tcPr>
          <w:p w14:paraId="0A822AE8">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合同金额（万元）</w:t>
            </w:r>
          </w:p>
        </w:tc>
        <w:tc>
          <w:tcPr>
            <w:tcW w:w="1748" w:type="dxa"/>
            <w:tcBorders>
              <w:top w:val="single" w:color="auto" w:sz="4" w:space="0"/>
              <w:left w:val="single" w:color="auto" w:sz="4" w:space="0"/>
              <w:bottom w:val="single" w:color="auto" w:sz="4" w:space="0"/>
              <w:right w:val="single" w:color="auto" w:sz="4" w:space="0"/>
            </w:tcBorders>
            <w:vAlign w:val="center"/>
          </w:tcPr>
          <w:p w14:paraId="3EB4CD50">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附件在投标文件中页码</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39355765">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采购人联系人及</w:t>
            </w:r>
          </w:p>
          <w:p w14:paraId="4E6695A8">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联系电话</w:t>
            </w:r>
          </w:p>
        </w:tc>
      </w:tr>
      <w:tr w14:paraId="052284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3D89764">
            <w:pPr>
              <w:jc w:val="left"/>
              <w:rPr>
                <w:rFonts w:hint="eastAsia" w:ascii="宋体" w:hAnsi="宋体"/>
                <w:color w:val="auto"/>
                <w:szCs w:val="21"/>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349C2F">
            <w:pPr>
              <w:jc w:val="left"/>
              <w:rPr>
                <w:rFonts w:hint="eastAsia" w:ascii="宋体" w:hAnsi="宋体"/>
                <w:color w:val="auto"/>
                <w:szCs w:val="21"/>
                <w:highlight w:val="none"/>
              </w:rPr>
            </w:pPr>
          </w:p>
        </w:tc>
        <w:tc>
          <w:tcPr>
            <w:tcW w:w="2464" w:type="dxa"/>
            <w:vMerge w:val="continue"/>
            <w:tcBorders>
              <w:top w:val="single" w:color="auto" w:sz="4" w:space="0"/>
              <w:left w:val="single" w:color="auto" w:sz="4" w:space="0"/>
              <w:bottom w:val="single" w:color="auto" w:sz="4" w:space="0"/>
              <w:right w:val="single" w:color="auto" w:sz="4" w:space="0"/>
            </w:tcBorders>
            <w:vAlign w:val="center"/>
          </w:tcPr>
          <w:p w14:paraId="3858B481">
            <w:pPr>
              <w:jc w:val="left"/>
              <w:rPr>
                <w:rFonts w:hint="eastAsia" w:ascii="宋体" w:hAnsi="宋体"/>
                <w:color w:val="auto"/>
                <w:szCs w:val="21"/>
                <w:highlight w:val="none"/>
              </w:rPr>
            </w:pPr>
          </w:p>
        </w:tc>
        <w:tc>
          <w:tcPr>
            <w:tcW w:w="1748" w:type="dxa"/>
            <w:tcBorders>
              <w:top w:val="single" w:color="auto" w:sz="4" w:space="0"/>
              <w:left w:val="single" w:color="auto" w:sz="4" w:space="0"/>
              <w:bottom w:val="single" w:color="auto" w:sz="4" w:space="0"/>
              <w:right w:val="single" w:color="auto" w:sz="4" w:space="0"/>
            </w:tcBorders>
            <w:vAlign w:val="center"/>
          </w:tcPr>
          <w:p w14:paraId="3E119566">
            <w:pPr>
              <w:snapToGrid w:val="0"/>
              <w:spacing w:line="240" w:lineRule="exact"/>
              <w:jc w:val="center"/>
              <w:rPr>
                <w:rFonts w:hint="eastAsia" w:ascii="宋体" w:hAnsi="宋体"/>
                <w:color w:val="auto"/>
                <w:szCs w:val="21"/>
                <w:highlight w:val="none"/>
              </w:rPr>
            </w:pPr>
            <w:r>
              <w:rPr>
                <w:rFonts w:hint="eastAsia" w:ascii="宋体" w:hAnsi="宋体"/>
                <w:color w:val="auto"/>
                <w:szCs w:val="21"/>
                <w:highlight w:val="none"/>
              </w:rPr>
              <w:t>合同或其他证明材料</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39D5068">
            <w:pPr>
              <w:jc w:val="left"/>
              <w:rPr>
                <w:rFonts w:hint="eastAsia" w:ascii="宋体" w:hAnsi="宋体"/>
                <w:color w:val="auto"/>
                <w:szCs w:val="21"/>
                <w:highlight w:val="none"/>
              </w:rPr>
            </w:pPr>
          </w:p>
        </w:tc>
      </w:tr>
      <w:tr w14:paraId="04843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0" w:type="auto"/>
            <w:tcBorders>
              <w:top w:val="single" w:color="auto" w:sz="4" w:space="0"/>
              <w:left w:val="single" w:color="auto" w:sz="4" w:space="0"/>
              <w:bottom w:val="single" w:color="auto" w:sz="4" w:space="0"/>
              <w:right w:val="single" w:color="auto" w:sz="4" w:space="0"/>
            </w:tcBorders>
          </w:tcPr>
          <w:p w14:paraId="1839006B">
            <w:pPr>
              <w:snapToGrid w:val="0"/>
              <w:spacing w:line="24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5DD1C8EF">
            <w:pPr>
              <w:snapToGrid w:val="0"/>
              <w:spacing w:line="240" w:lineRule="exact"/>
              <w:jc w:val="left"/>
              <w:rPr>
                <w:rFonts w:hint="eastAsia" w:ascii="宋体" w:hAnsi="宋体"/>
                <w:color w:val="auto"/>
                <w:szCs w:val="21"/>
                <w:highlight w:val="none"/>
              </w:rPr>
            </w:pPr>
          </w:p>
        </w:tc>
        <w:tc>
          <w:tcPr>
            <w:tcW w:w="2464" w:type="dxa"/>
            <w:tcBorders>
              <w:top w:val="single" w:color="auto" w:sz="4" w:space="0"/>
              <w:left w:val="single" w:color="auto" w:sz="4" w:space="0"/>
              <w:bottom w:val="single" w:color="auto" w:sz="4" w:space="0"/>
              <w:right w:val="single" w:color="auto" w:sz="4" w:space="0"/>
            </w:tcBorders>
          </w:tcPr>
          <w:p w14:paraId="54165E47">
            <w:pPr>
              <w:snapToGrid w:val="0"/>
              <w:spacing w:line="240" w:lineRule="exact"/>
              <w:jc w:val="left"/>
              <w:rPr>
                <w:rFonts w:hint="eastAsia" w:ascii="宋体" w:hAnsi="宋体"/>
                <w:color w:val="auto"/>
                <w:szCs w:val="21"/>
                <w:highlight w:val="none"/>
              </w:rPr>
            </w:pPr>
          </w:p>
        </w:tc>
        <w:tc>
          <w:tcPr>
            <w:tcW w:w="1748" w:type="dxa"/>
            <w:tcBorders>
              <w:top w:val="single" w:color="auto" w:sz="4" w:space="0"/>
              <w:left w:val="single" w:color="auto" w:sz="4" w:space="0"/>
              <w:bottom w:val="single" w:color="auto" w:sz="4" w:space="0"/>
              <w:right w:val="single" w:color="auto" w:sz="4" w:space="0"/>
            </w:tcBorders>
          </w:tcPr>
          <w:p w14:paraId="792BA162">
            <w:pPr>
              <w:snapToGrid w:val="0"/>
              <w:spacing w:line="24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19DB1368">
            <w:pPr>
              <w:snapToGrid w:val="0"/>
              <w:spacing w:line="240" w:lineRule="exact"/>
              <w:jc w:val="left"/>
              <w:rPr>
                <w:rFonts w:hint="eastAsia" w:ascii="宋体" w:hAnsi="宋体"/>
                <w:color w:val="auto"/>
                <w:szCs w:val="21"/>
                <w:highlight w:val="none"/>
              </w:rPr>
            </w:pPr>
          </w:p>
        </w:tc>
      </w:tr>
      <w:tr w14:paraId="1AFF4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5F7297AE">
            <w:pPr>
              <w:snapToGrid w:val="0"/>
              <w:spacing w:before="50" w:after="120" w:afterLines="50" w:line="40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4A31D6E3">
            <w:pPr>
              <w:snapToGrid w:val="0"/>
              <w:spacing w:before="50" w:after="120" w:afterLines="50" w:line="400" w:lineRule="exact"/>
              <w:jc w:val="left"/>
              <w:rPr>
                <w:rFonts w:hint="eastAsia" w:ascii="宋体" w:hAnsi="宋体"/>
                <w:color w:val="auto"/>
                <w:szCs w:val="21"/>
                <w:highlight w:val="none"/>
              </w:rPr>
            </w:pPr>
          </w:p>
        </w:tc>
        <w:tc>
          <w:tcPr>
            <w:tcW w:w="2464" w:type="dxa"/>
            <w:tcBorders>
              <w:top w:val="single" w:color="auto" w:sz="4" w:space="0"/>
              <w:left w:val="single" w:color="auto" w:sz="4" w:space="0"/>
              <w:bottom w:val="single" w:color="auto" w:sz="4" w:space="0"/>
              <w:right w:val="single" w:color="auto" w:sz="4" w:space="0"/>
            </w:tcBorders>
          </w:tcPr>
          <w:p w14:paraId="750D92C9">
            <w:pPr>
              <w:snapToGrid w:val="0"/>
              <w:spacing w:before="50" w:after="120" w:afterLines="50" w:line="400" w:lineRule="exact"/>
              <w:jc w:val="left"/>
              <w:rPr>
                <w:rFonts w:hint="eastAsia" w:ascii="宋体" w:hAnsi="宋体"/>
                <w:color w:val="auto"/>
                <w:szCs w:val="21"/>
                <w:highlight w:val="none"/>
              </w:rPr>
            </w:pPr>
          </w:p>
        </w:tc>
        <w:tc>
          <w:tcPr>
            <w:tcW w:w="1748" w:type="dxa"/>
            <w:tcBorders>
              <w:top w:val="single" w:color="auto" w:sz="4" w:space="0"/>
              <w:left w:val="single" w:color="auto" w:sz="4" w:space="0"/>
              <w:bottom w:val="single" w:color="auto" w:sz="4" w:space="0"/>
              <w:right w:val="single" w:color="auto" w:sz="4" w:space="0"/>
            </w:tcBorders>
          </w:tcPr>
          <w:p w14:paraId="24C51E6F">
            <w:pPr>
              <w:snapToGrid w:val="0"/>
              <w:spacing w:before="50" w:after="120" w:afterLines="50" w:line="40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392D5414">
            <w:pPr>
              <w:snapToGrid w:val="0"/>
              <w:spacing w:before="50" w:after="120" w:afterLines="50" w:line="400" w:lineRule="exact"/>
              <w:jc w:val="left"/>
              <w:rPr>
                <w:rFonts w:hint="eastAsia" w:ascii="宋体" w:hAnsi="宋体"/>
                <w:color w:val="auto"/>
                <w:szCs w:val="21"/>
                <w:highlight w:val="none"/>
              </w:rPr>
            </w:pPr>
          </w:p>
        </w:tc>
      </w:tr>
      <w:tr w14:paraId="3B76F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0" w:type="auto"/>
            <w:tcBorders>
              <w:top w:val="single" w:color="auto" w:sz="4" w:space="0"/>
              <w:left w:val="single" w:color="auto" w:sz="4" w:space="0"/>
              <w:bottom w:val="single" w:color="auto" w:sz="4" w:space="0"/>
              <w:right w:val="single" w:color="auto" w:sz="4" w:space="0"/>
            </w:tcBorders>
          </w:tcPr>
          <w:p w14:paraId="4F8FDE68">
            <w:pPr>
              <w:snapToGrid w:val="0"/>
              <w:spacing w:before="50" w:after="120" w:afterLines="50" w:line="40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5D54104D">
            <w:pPr>
              <w:snapToGrid w:val="0"/>
              <w:spacing w:before="50" w:after="120" w:afterLines="50" w:line="400" w:lineRule="exact"/>
              <w:jc w:val="left"/>
              <w:rPr>
                <w:rFonts w:hint="eastAsia" w:ascii="宋体" w:hAnsi="宋体"/>
                <w:color w:val="auto"/>
                <w:szCs w:val="21"/>
                <w:highlight w:val="none"/>
              </w:rPr>
            </w:pPr>
          </w:p>
        </w:tc>
        <w:tc>
          <w:tcPr>
            <w:tcW w:w="2464" w:type="dxa"/>
            <w:tcBorders>
              <w:top w:val="single" w:color="auto" w:sz="4" w:space="0"/>
              <w:left w:val="single" w:color="auto" w:sz="4" w:space="0"/>
              <w:bottom w:val="single" w:color="auto" w:sz="4" w:space="0"/>
              <w:right w:val="single" w:color="auto" w:sz="4" w:space="0"/>
            </w:tcBorders>
          </w:tcPr>
          <w:p w14:paraId="7D022F9D">
            <w:pPr>
              <w:snapToGrid w:val="0"/>
              <w:spacing w:before="50" w:after="120" w:afterLines="50" w:line="400" w:lineRule="exact"/>
              <w:jc w:val="left"/>
              <w:rPr>
                <w:rFonts w:hint="eastAsia" w:ascii="宋体" w:hAnsi="宋体"/>
                <w:color w:val="auto"/>
                <w:szCs w:val="21"/>
                <w:highlight w:val="none"/>
              </w:rPr>
            </w:pPr>
          </w:p>
        </w:tc>
        <w:tc>
          <w:tcPr>
            <w:tcW w:w="1748" w:type="dxa"/>
            <w:tcBorders>
              <w:top w:val="single" w:color="auto" w:sz="4" w:space="0"/>
              <w:left w:val="single" w:color="auto" w:sz="4" w:space="0"/>
              <w:bottom w:val="single" w:color="auto" w:sz="4" w:space="0"/>
              <w:right w:val="single" w:color="auto" w:sz="4" w:space="0"/>
            </w:tcBorders>
          </w:tcPr>
          <w:p w14:paraId="57E98B7A">
            <w:pPr>
              <w:snapToGrid w:val="0"/>
              <w:spacing w:before="50" w:after="120" w:afterLines="50" w:line="40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3598A176">
            <w:pPr>
              <w:snapToGrid w:val="0"/>
              <w:spacing w:before="50" w:after="120" w:afterLines="50" w:line="400" w:lineRule="exact"/>
              <w:jc w:val="left"/>
              <w:rPr>
                <w:rFonts w:hint="eastAsia" w:ascii="宋体" w:hAnsi="宋体"/>
                <w:color w:val="auto"/>
                <w:szCs w:val="21"/>
                <w:highlight w:val="none"/>
              </w:rPr>
            </w:pPr>
          </w:p>
        </w:tc>
      </w:tr>
      <w:tr w14:paraId="19390A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5D5702A0">
            <w:pPr>
              <w:snapToGrid w:val="0"/>
              <w:spacing w:before="50" w:after="120" w:afterLines="50" w:line="40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6E0CAA36">
            <w:pPr>
              <w:snapToGrid w:val="0"/>
              <w:spacing w:before="50" w:after="120" w:afterLines="50" w:line="400" w:lineRule="exact"/>
              <w:jc w:val="left"/>
              <w:rPr>
                <w:rFonts w:hint="eastAsia" w:ascii="宋体" w:hAnsi="宋体"/>
                <w:color w:val="auto"/>
                <w:szCs w:val="21"/>
                <w:highlight w:val="none"/>
              </w:rPr>
            </w:pPr>
          </w:p>
        </w:tc>
        <w:tc>
          <w:tcPr>
            <w:tcW w:w="2464" w:type="dxa"/>
            <w:tcBorders>
              <w:top w:val="single" w:color="auto" w:sz="4" w:space="0"/>
              <w:left w:val="single" w:color="auto" w:sz="4" w:space="0"/>
              <w:bottom w:val="single" w:color="auto" w:sz="4" w:space="0"/>
              <w:right w:val="single" w:color="auto" w:sz="4" w:space="0"/>
            </w:tcBorders>
          </w:tcPr>
          <w:p w14:paraId="76EABDA5">
            <w:pPr>
              <w:snapToGrid w:val="0"/>
              <w:spacing w:before="50" w:after="120" w:afterLines="50" w:line="400" w:lineRule="exact"/>
              <w:jc w:val="left"/>
              <w:rPr>
                <w:rFonts w:hint="eastAsia" w:ascii="宋体" w:hAnsi="宋体"/>
                <w:color w:val="auto"/>
                <w:szCs w:val="21"/>
                <w:highlight w:val="none"/>
              </w:rPr>
            </w:pPr>
          </w:p>
        </w:tc>
        <w:tc>
          <w:tcPr>
            <w:tcW w:w="1748" w:type="dxa"/>
            <w:tcBorders>
              <w:top w:val="single" w:color="auto" w:sz="4" w:space="0"/>
              <w:left w:val="single" w:color="auto" w:sz="4" w:space="0"/>
              <w:bottom w:val="single" w:color="auto" w:sz="4" w:space="0"/>
              <w:right w:val="single" w:color="auto" w:sz="4" w:space="0"/>
            </w:tcBorders>
          </w:tcPr>
          <w:p w14:paraId="267A4FAA">
            <w:pPr>
              <w:snapToGrid w:val="0"/>
              <w:spacing w:before="50" w:after="120" w:afterLines="50" w:line="40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3D4EF5D0">
            <w:pPr>
              <w:snapToGrid w:val="0"/>
              <w:spacing w:before="50" w:after="120" w:afterLines="50" w:line="400" w:lineRule="exact"/>
              <w:jc w:val="left"/>
              <w:rPr>
                <w:rFonts w:hint="eastAsia" w:ascii="宋体" w:hAnsi="宋体"/>
                <w:color w:val="auto"/>
                <w:szCs w:val="21"/>
                <w:highlight w:val="none"/>
              </w:rPr>
            </w:pPr>
          </w:p>
        </w:tc>
      </w:tr>
      <w:tr w14:paraId="52840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3C4A087F">
            <w:pPr>
              <w:snapToGrid w:val="0"/>
              <w:spacing w:before="50" w:after="120" w:afterLines="50" w:line="40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7F34B72A">
            <w:pPr>
              <w:snapToGrid w:val="0"/>
              <w:spacing w:before="50" w:after="120" w:afterLines="50" w:line="400" w:lineRule="exact"/>
              <w:jc w:val="left"/>
              <w:rPr>
                <w:rFonts w:hint="eastAsia" w:ascii="宋体" w:hAnsi="宋体"/>
                <w:color w:val="auto"/>
                <w:szCs w:val="21"/>
                <w:highlight w:val="none"/>
              </w:rPr>
            </w:pPr>
          </w:p>
        </w:tc>
        <w:tc>
          <w:tcPr>
            <w:tcW w:w="2464" w:type="dxa"/>
            <w:tcBorders>
              <w:top w:val="single" w:color="auto" w:sz="4" w:space="0"/>
              <w:left w:val="single" w:color="auto" w:sz="4" w:space="0"/>
              <w:bottom w:val="single" w:color="auto" w:sz="4" w:space="0"/>
              <w:right w:val="single" w:color="auto" w:sz="4" w:space="0"/>
            </w:tcBorders>
          </w:tcPr>
          <w:p w14:paraId="2463CDF4">
            <w:pPr>
              <w:snapToGrid w:val="0"/>
              <w:spacing w:before="50" w:after="120" w:afterLines="50" w:line="400" w:lineRule="exact"/>
              <w:jc w:val="left"/>
              <w:rPr>
                <w:rFonts w:hint="eastAsia" w:ascii="宋体" w:hAnsi="宋体"/>
                <w:color w:val="auto"/>
                <w:szCs w:val="21"/>
                <w:highlight w:val="none"/>
              </w:rPr>
            </w:pPr>
          </w:p>
        </w:tc>
        <w:tc>
          <w:tcPr>
            <w:tcW w:w="1748" w:type="dxa"/>
            <w:tcBorders>
              <w:top w:val="single" w:color="auto" w:sz="4" w:space="0"/>
              <w:left w:val="single" w:color="auto" w:sz="4" w:space="0"/>
              <w:bottom w:val="single" w:color="auto" w:sz="4" w:space="0"/>
              <w:right w:val="single" w:color="auto" w:sz="4" w:space="0"/>
            </w:tcBorders>
          </w:tcPr>
          <w:p w14:paraId="23E0E1AF">
            <w:pPr>
              <w:snapToGrid w:val="0"/>
              <w:spacing w:before="50" w:after="120" w:afterLines="50" w:line="400" w:lineRule="exact"/>
              <w:jc w:val="left"/>
              <w:rPr>
                <w:rFonts w:hint="eastAsia" w:ascii="宋体" w:hAnsi="宋体"/>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tcPr>
          <w:p w14:paraId="053EBA77">
            <w:pPr>
              <w:snapToGrid w:val="0"/>
              <w:spacing w:before="50" w:after="120" w:afterLines="50" w:line="400" w:lineRule="exact"/>
              <w:jc w:val="left"/>
              <w:rPr>
                <w:rFonts w:hint="eastAsia" w:ascii="宋体" w:hAnsi="宋体"/>
                <w:color w:val="auto"/>
                <w:szCs w:val="21"/>
                <w:highlight w:val="none"/>
              </w:rPr>
            </w:pPr>
          </w:p>
        </w:tc>
      </w:tr>
    </w:tbl>
    <w:p w14:paraId="2E834023">
      <w:pPr>
        <w:pStyle w:val="14"/>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附合同复印件并加盖投标人单位公章。</w:t>
      </w:r>
    </w:p>
    <w:p w14:paraId="7C405242">
      <w:pPr>
        <w:rPr>
          <w:color w:val="auto"/>
          <w:highlight w:val="none"/>
        </w:rPr>
      </w:pPr>
    </w:p>
    <w:p w14:paraId="4AA09C1F">
      <w:pPr>
        <w:rPr>
          <w:color w:val="auto"/>
          <w:highlight w:val="none"/>
        </w:rPr>
      </w:pPr>
    </w:p>
    <w:p w14:paraId="0E922BB4">
      <w:pPr>
        <w:snapToGrid w:val="0"/>
        <w:spacing w:before="120" w:beforeLines="50" w:line="360" w:lineRule="auto"/>
        <w:ind w:right="480" w:firstLine="3471" w:firstLineChars="1653"/>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18A35516">
      <w:pPr>
        <w:snapToGrid w:val="0"/>
        <w:spacing w:before="120" w:beforeLines="50" w:after="50" w:line="360" w:lineRule="auto"/>
        <w:ind w:right="480" w:firstLine="4830" w:firstLineChars="2300"/>
        <w:rPr>
          <w:rFonts w:hint="eastAsia" w:ascii="宋体" w:hAnsi="宋体"/>
          <w:color w:val="auto"/>
          <w:szCs w:val="21"/>
          <w:highlight w:val="none"/>
          <w:u w:val="singl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4D03E56A">
      <w:pPr>
        <w:snapToGrid w:val="0"/>
        <w:spacing w:before="50" w:line="360" w:lineRule="auto"/>
        <w:ind w:right="480"/>
        <w:jc w:val="right"/>
        <w:rPr>
          <w:rFonts w:hint="eastAsia" w:hAnsi="宋体"/>
          <w:color w:val="auto"/>
          <w:highlight w:val="none"/>
        </w:rPr>
      </w:pP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p>
    <w:p w14:paraId="2984E4BB">
      <w:pPr>
        <w:snapToGrid w:val="0"/>
        <w:spacing w:line="360" w:lineRule="auto"/>
        <w:jc w:val="left"/>
        <w:rPr>
          <w:rFonts w:hint="eastAsia" w:ascii="宋体" w:hAnsi="宋体"/>
          <w:b/>
          <w:color w:val="auto"/>
          <w:sz w:val="24"/>
          <w:highlight w:val="none"/>
        </w:rPr>
      </w:pPr>
    </w:p>
    <w:p w14:paraId="6A47AFE0">
      <w:pPr>
        <w:rPr>
          <w:rFonts w:hint="eastAsia" w:ascii="宋体" w:hAnsi="宋体"/>
          <w:color w:val="auto"/>
          <w:szCs w:val="21"/>
          <w:highlight w:val="none"/>
        </w:rPr>
        <w:sectPr>
          <w:pgSz w:w="11906" w:h="16838"/>
          <w:pgMar w:top="1440" w:right="1797" w:bottom="1440" w:left="1797" w:header="851" w:footer="992" w:gutter="0"/>
          <w:pgNumType w:fmt="decimal"/>
          <w:cols w:space="720" w:num="1"/>
          <w:docGrid w:linePitch="312" w:charSpace="0"/>
        </w:sectPr>
      </w:pPr>
    </w:p>
    <w:p w14:paraId="5B330B53">
      <w:pPr>
        <w:snapToGrid w:val="0"/>
        <w:spacing w:before="120" w:beforeLines="50" w:after="50"/>
        <w:jc w:val="left"/>
        <w:outlineLvl w:val="2"/>
        <w:rPr>
          <w:rFonts w:hint="eastAsia" w:ascii="宋体" w:hAnsi="宋体"/>
          <w:b/>
          <w:color w:val="auto"/>
          <w:sz w:val="24"/>
          <w:highlight w:val="none"/>
        </w:rPr>
      </w:pPr>
      <w:r>
        <w:rPr>
          <w:rFonts w:hint="eastAsia" w:ascii="宋体" w:hAnsi="宋体"/>
          <w:b/>
          <w:color w:val="auto"/>
          <w:szCs w:val="21"/>
          <w:highlight w:val="none"/>
        </w:rPr>
        <w:t>（十）</w:t>
      </w:r>
      <w:r>
        <w:rPr>
          <w:rFonts w:hint="eastAsia" w:ascii="宋体" w:hAnsi="宋体"/>
          <w:b/>
          <w:color w:val="auto"/>
          <w:sz w:val="24"/>
          <w:highlight w:val="none"/>
        </w:rPr>
        <w:t>技术偏离表格式</w:t>
      </w:r>
    </w:p>
    <w:p w14:paraId="50465F05">
      <w:pPr>
        <w:snapToGrid w:val="0"/>
        <w:spacing w:before="120" w:beforeLines="50" w:after="50"/>
        <w:ind w:left="142"/>
        <w:jc w:val="center"/>
        <w:rPr>
          <w:rFonts w:hint="eastAsia" w:ascii="宋体" w:hAnsi="宋体"/>
          <w:b/>
          <w:color w:val="auto"/>
          <w:szCs w:val="21"/>
          <w:highlight w:val="none"/>
        </w:rPr>
      </w:pPr>
      <w:r>
        <w:rPr>
          <w:rFonts w:hint="eastAsia" w:ascii="宋体" w:hAnsi="宋体"/>
          <w:b/>
          <w:color w:val="auto"/>
          <w:szCs w:val="21"/>
          <w:highlight w:val="none"/>
        </w:rPr>
        <w:t>技术偏离表</w:t>
      </w:r>
    </w:p>
    <w:p w14:paraId="36B823ED">
      <w:pPr>
        <w:pStyle w:val="23"/>
        <w:rPr>
          <w:color w:val="auto"/>
          <w:sz w:val="21"/>
          <w:highlight w:val="none"/>
        </w:rPr>
      </w:pPr>
      <w:r>
        <w:rPr>
          <w:rFonts w:hint="eastAsia"/>
          <w:color w:val="auto"/>
          <w:sz w:val="21"/>
          <w:highlight w:val="none"/>
        </w:rPr>
        <w:t>项目名称</w:t>
      </w:r>
      <w:r>
        <w:rPr>
          <w:color w:val="auto"/>
          <w:sz w:val="21"/>
          <w:highlight w:val="none"/>
        </w:rPr>
        <w:t>：</w:t>
      </w:r>
    </w:p>
    <w:tbl>
      <w:tblPr>
        <w:tblStyle w:val="4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1803"/>
        <w:gridCol w:w="1803"/>
        <w:gridCol w:w="1803"/>
        <w:gridCol w:w="1803"/>
      </w:tblGrid>
      <w:tr w14:paraId="013B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54" w:type="pct"/>
            <w:vAlign w:val="center"/>
          </w:tcPr>
          <w:p w14:paraId="5146FE28">
            <w:pPr>
              <w:pStyle w:val="23"/>
              <w:spacing w:line="400" w:lineRule="exact"/>
              <w:jc w:val="center"/>
              <w:rPr>
                <w:rFonts w:hint="eastAsia" w:hAnsi="宋体" w:cs="Courier New"/>
                <w:color w:val="auto"/>
                <w:kern w:val="2"/>
                <w:sz w:val="21"/>
                <w:highlight w:val="none"/>
              </w:rPr>
            </w:pPr>
            <w:r>
              <w:rPr>
                <w:rFonts w:hint="eastAsia" w:hAnsi="宋体" w:cs="Courier New"/>
                <w:color w:val="auto"/>
                <w:kern w:val="2"/>
                <w:sz w:val="21"/>
                <w:highlight w:val="none"/>
              </w:rPr>
              <w:t>项号</w:t>
            </w:r>
          </w:p>
        </w:tc>
        <w:tc>
          <w:tcPr>
            <w:tcW w:w="1086" w:type="pct"/>
            <w:vAlign w:val="center"/>
          </w:tcPr>
          <w:p w14:paraId="2B91342D">
            <w:pPr>
              <w:pStyle w:val="23"/>
              <w:spacing w:line="400" w:lineRule="exact"/>
              <w:jc w:val="center"/>
              <w:rPr>
                <w:rFonts w:hint="eastAsia" w:hAnsi="宋体" w:cs="Courier New"/>
                <w:color w:val="auto"/>
                <w:kern w:val="2"/>
                <w:sz w:val="21"/>
                <w:highlight w:val="none"/>
              </w:rPr>
            </w:pPr>
            <w:r>
              <w:rPr>
                <w:rFonts w:hint="eastAsia" w:hAnsi="宋体" w:cs="Courier New"/>
                <w:color w:val="auto"/>
                <w:kern w:val="2"/>
                <w:sz w:val="21"/>
                <w:highlight w:val="none"/>
              </w:rPr>
              <w:t>标的名称</w:t>
            </w:r>
          </w:p>
        </w:tc>
        <w:tc>
          <w:tcPr>
            <w:tcW w:w="1086" w:type="pct"/>
            <w:vAlign w:val="center"/>
          </w:tcPr>
          <w:p w14:paraId="7C8B6E8C">
            <w:pPr>
              <w:pStyle w:val="23"/>
              <w:spacing w:line="400" w:lineRule="exact"/>
              <w:jc w:val="center"/>
              <w:rPr>
                <w:rFonts w:hint="eastAsia" w:hAnsi="宋体" w:cs="Courier New"/>
                <w:color w:val="auto"/>
                <w:kern w:val="2"/>
                <w:sz w:val="21"/>
                <w:highlight w:val="none"/>
              </w:rPr>
            </w:pPr>
            <w:r>
              <w:rPr>
                <w:rFonts w:hint="eastAsia" w:hAnsi="宋体" w:cs="Courier New"/>
                <w:color w:val="auto"/>
                <w:kern w:val="2"/>
                <w:sz w:val="21"/>
                <w:highlight w:val="none"/>
              </w:rPr>
              <w:t>招标要求</w:t>
            </w:r>
          </w:p>
        </w:tc>
        <w:tc>
          <w:tcPr>
            <w:tcW w:w="1086" w:type="pct"/>
            <w:vAlign w:val="center"/>
          </w:tcPr>
          <w:p w14:paraId="0C1CE6A6">
            <w:pPr>
              <w:pStyle w:val="23"/>
              <w:spacing w:line="400" w:lineRule="exact"/>
              <w:jc w:val="center"/>
              <w:rPr>
                <w:rFonts w:hint="eastAsia" w:hAnsi="宋体" w:cs="Courier New"/>
                <w:color w:val="auto"/>
                <w:kern w:val="2"/>
                <w:sz w:val="21"/>
                <w:highlight w:val="none"/>
              </w:rPr>
            </w:pPr>
            <w:r>
              <w:rPr>
                <w:rFonts w:hint="eastAsia" w:hAnsi="宋体" w:cs="Courier New"/>
                <w:color w:val="auto"/>
                <w:kern w:val="2"/>
                <w:sz w:val="21"/>
                <w:highlight w:val="none"/>
              </w:rPr>
              <w:t>投标响应</w:t>
            </w:r>
          </w:p>
        </w:tc>
        <w:tc>
          <w:tcPr>
            <w:tcW w:w="1086" w:type="pct"/>
            <w:vAlign w:val="center"/>
          </w:tcPr>
          <w:p w14:paraId="4BC93676">
            <w:pPr>
              <w:pStyle w:val="23"/>
              <w:spacing w:line="400" w:lineRule="exact"/>
              <w:jc w:val="center"/>
              <w:rPr>
                <w:rFonts w:hint="eastAsia" w:hAnsi="宋体" w:cs="Courier New"/>
                <w:color w:val="auto"/>
                <w:kern w:val="2"/>
                <w:sz w:val="21"/>
                <w:highlight w:val="none"/>
              </w:rPr>
            </w:pPr>
            <w:r>
              <w:rPr>
                <w:rFonts w:hint="eastAsia" w:hAnsi="宋体" w:cs="Courier New"/>
                <w:color w:val="auto"/>
                <w:kern w:val="2"/>
                <w:sz w:val="21"/>
                <w:highlight w:val="none"/>
              </w:rPr>
              <w:t>偏离说明</w:t>
            </w:r>
          </w:p>
        </w:tc>
      </w:tr>
      <w:tr w14:paraId="7461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54D2E4BA">
            <w:pPr>
              <w:pStyle w:val="23"/>
              <w:spacing w:line="600" w:lineRule="exact"/>
              <w:rPr>
                <w:rFonts w:hint="eastAsia" w:hAnsi="宋体" w:cs="Courier New"/>
                <w:color w:val="auto"/>
                <w:kern w:val="2"/>
                <w:sz w:val="21"/>
                <w:highlight w:val="none"/>
              </w:rPr>
            </w:pPr>
          </w:p>
        </w:tc>
        <w:tc>
          <w:tcPr>
            <w:tcW w:w="1086" w:type="pct"/>
          </w:tcPr>
          <w:p w14:paraId="399D9C79">
            <w:pPr>
              <w:pStyle w:val="23"/>
              <w:spacing w:line="600" w:lineRule="exact"/>
              <w:rPr>
                <w:rFonts w:hint="eastAsia" w:hAnsi="宋体" w:cs="Courier New"/>
                <w:color w:val="auto"/>
                <w:kern w:val="2"/>
                <w:sz w:val="21"/>
                <w:highlight w:val="none"/>
              </w:rPr>
            </w:pPr>
          </w:p>
        </w:tc>
        <w:tc>
          <w:tcPr>
            <w:tcW w:w="1086" w:type="pct"/>
          </w:tcPr>
          <w:p w14:paraId="6E889849">
            <w:pPr>
              <w:pStyle w:val="23"/>
              <w:spacing w:line="600" w:lineRule="exact"/>
              <w:rPr>
                <w:rFonts w:hint="eastAsia" w:hAnsi="宋体" w:cs="Courier New"/>
                <w:color w:val="auto"/>
                <w:kern w:val="2"/>
                <w:sz w:val="21"/>
                <w:highlight w:val="none"/>
              </w:rPr>
            </w:pPr>
          </w:p>
        </w:tc>
        <w:tc>
          <w:tcPr>
            <w:tcW w:w="1086" w:type="pct"/>
          </w:tcPr>
          <w:p w14:paraId="0947098E">
            <w:pPr>
              <w:pStyle w:val="23"/>
              <w:spacing w:line="600" w:lineRule="exact"/>
              <w:rPr>
                <w:rFonts w:hint="eastAsia" w:hAnsi="宋体" w:cs="Courier New"/>
                <w:color w:val="auto"/>
                <w:kern w:val="2"/>
                <w:sz w:val="21"/>
                <w:highlight w:val="none"/>
              </w:rPr>
            </w:pPr>
          </w:p>
        </w:tc>
        <w:tc>
          <w:tcPr>
            <w:tcW w:w="1086" w:type="pct"/>
          </w:tcPr>
          <w:p w14:paraId="054648C2">
            <w:pPr>
              <w:pStyle w:val="23"/>
              <w:spacing w:line="600" w:lineRule="exact"/>
              <w:rPr>
                <w:rFonts w:hint="eastAsia" w:hAnsi="宋体" w:cs="Courier New"/>
                <w:color w:val="auto"/>
                <w:kern w:val="2"/>
                <w:sz w:val="21"/>
                <w:highlight w:val="none"/>
              </w:rPr>
            </w:pPr>
          </w:p>
        </w:tc>
      </w:tr>
      <w:tr w14:paraId="1B7F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6B20A4C0">
            <w:pPr>
              <w:pStyle w:val="23"/>
              <w:spacing w:line="600" w:lineRule="exact"/>
              <w:rPr>
                <w:rFonts w:hint="eastAsia" w:hAnsi="宋体" w:cs="Courier New"/>
                <w:color w:val="auto"/>
                <w:kern w:val="2"/>
                <w:sz w:val="21"/>
                <w:highlight w:val="none"/>
              </w:rPr>
            </w:pPr>
          </w:p>
        </w:tc>
        <w:tc>
          <w:tcPr>
            <w:tcW w:w="1086" w:type="pct"/>
          </w:tcPr>
          <w:p w14:paraId="5E5D5382">
            <w:pPr>
              <w:pStyle w:val="23"/>
              <w:spacing w:line="600" w:lineRule="exact"/>
              <w:rPr>
                <w:rFonts w:hint="eastAsia" w:hAnsi="宋体" w:cs="Courier New"/>
                <w:color w:val="auto"/>
                <w:kern w:val="2"/>
                <w:sz w:val="21"/>
                <w:highlight w:val="none"/>
              </w:rPr>
            </w:pPr>
          </w:p>
        </w:tc>
        <w:tc>
          <w:tcPr>
            <w:tcW w:w="1086" w:type="pct"/>
          </w:tcPr>
          <w:p w14:paraId="3D598283">
            <w:pPr>
              <w:pStyle w:val="23"/>
              <w:spacing w:line="600" w:lineRule="exact"/>
              <w:rPr>
                <w:rFonts w:hint="eastAsia" w:hAnsi="宋体" w:cs="Courier New"/>
                <w:color w:val="auto"/>
                <w:kern w:val="2"/>
                <w:sz w:val="21"/>
                <w:highlight w:val="none"/>
              </w:rPr>
            </w:pPr>
          </w:p>
        </w:tc>
        <w:tc>
          <w:tcPr>
            <w:tcW w:w="1086" w:type="pct"/>
          </w:tcPr>
          <w:p w14:paraId="2DF09EBA">
            <w:pPr>
              <w:pStyle w:val="23"/>
              <w:spacing w:line="600" w:lineRule="exact"/>
              <w:rPr>
                <w:rFonts w:hint="eastAsia" w:hAnsi="宋体" w:cs="Courier New"/>
                <w:color w:val="auto"/>
                <w:kern w:val="2"/>
                <w:sz w:val="21"/>
                <w:highlight w:val="none"/>
              </w:rPr>
            </w:pPr>
          </w:p>
        </w:tc>
        <w:tc>
          <w:tcPr>
            <w:tcW w:w="1086" w:type="pct"/>
          </w:tcPr>
          <w:p w14:paraId="030615D3">
            <w:pPr>
              <w:pStyle w:val="23"/>
              <w:spacing w:line="600" w:lineRule="exact"/>
              <w:rPr>
                <w:rFonts w:hint="eastAsia" w:hAnsi="宋体" w:cs="Courier New"/>
                <w:color w:val="auto"/>
                <w:kern w:val="2"/>
                <w:sz w:val="21"/>
                <w:highlight w:val="none"/>
              </w:rPr>
            </w:pPr>
          </w:p>
        </w:tc>
      </w:tr>
      <w:tr w14:paraId="6DAD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13F5C951">
            <w:pPr>
              <w:pStyle w:val="23"/>
              <w:spacing w:line="600" w:lineRule="exact"/>
              <w:rPr>
                <w:rFonts w:hint="eastAsia" w:hAnsi="宋体" w:cs="Courier New"/>
                <w:color w:val="auto"/>
                <w:kern w:val="2"/>
                <w:sz w:val="21"/>
                <w:highlight w:val="none"/>
              </w:rPr>
            </w:pPr>
          </w:p>
        </w:tc>
        <w:tc>
          <w:tcPr>
            <w:tcW w:w="1086" w:type="pct"/>
          </w:tcPr>
          <w:p w14:paraId="5738DDB3">
            <w:pPr>
              <w:pStyle w:val="23"/>
              <w:spacing w:line="600" w:lineRule="exact"/>
              <w:rPr>
                <w:rFonts w:hint="eastAsia" w:hAnsi="宋体" w:cs="Courier New"/>
                <w:color w:val="auto"/>
                <w:kern w:val="2"/>
                <w:sz w:val="21"/>
                <w:highlight w:val="none"/>
              </w:rPr>
            </w:pPr>
          </w:p>
        </w:tc>
        <w:tc>
          <w:tcPr>
            <w:tcW w:w="1086" w:type="pct"/>
          </w:tcPr>
          <w:p w14:paraId="3B9DFB7D">
            <w:pPr>
              <w:pStyle w:val="23"/>
              <w:spacing w:line="600" w:lineRule="exact"/>
              <w:rPr>
                <w:rFonts w:hint="eastAsia" w:hAnsi="宋体" w:cs="Courier New"/>
                <w:color w:val="auto"/>
                <w:kern w:val="2"/>
                <w:sz w:val="21"/>
                <w:highlight w:val="none"/>
              </w:rPr>
            </w:pPr>
          </w:p>
        </w:tc>
        <w:tc>
          <w:tcPr>
            <w:tcW w:w="1086" w:type="pct"/>
          </w:tcPr>
          <w:p w14:paraId="36C5AD9F">
            <w:pPr>
              <w:pStyle w:val="23"/>
              <w:spacing w:line="600" w:lineRule="exact"/>
              <w:rPr>
                <w:rFonts w:hint="eastAsia" w:hAnsi="宋体" w:cs="Courier New"/>
                <w:color w:val="auto"/>
                <w:kern w:val="2"/>
                <w:sz w:val="21"/>
                <w:highlight w:val="none"/>
              </w:rPr>
            </w:pPr>
          </w:p>
        </w:tc>
        <w:tc>
          <w:tcPr>
            <w:tcW w:w="1086" w:type="pct"/>
          </w:tcPr>
          <w:p w14:paraId="58A283FA">
            <w:pPr>
              <w:pStyle w:val="23"/>
              <w:spacing w:line="600" w:lineRule="exact"/>
              <w:rPr>
                <w:rFonts w:hint="eastAsia" w:hAnsi="宋体" w:cs="Courier New"/>
                <w:color w:val="auto"/>
                <w:kern w:val="2"/>
                <w:sz w:val="21"/>
                <w:highlight w:val="none"/>
              </w:rPr>
            </w:pPr>
          </w:p>
        </w:tc>
      </w:tr>
      <w:tr w14:paraId="07EB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4615739D">
            <w:pPr>
              <w:pStyle w:val="23"/>
              <w:spacing w:line="600" w:lineRule="exact"/>
              <w:rPr>
                <w:rFonts w:hint="eastAsia" w:hAnsi="宋体" w:cs="Courier New"/>
                <w:color w:val="auto"/>
                <w:kern w:val="2"/>
                <w:sz w:val="21"/>
                <w:highlight w:val="none"/>
              </w:rPr>
            </w:pPr>
          </w:p>
        </w:tc>
        <w:tc>
          <w:tcPr>
            <w:tcW w:w="1086" w:type="pct"/>
          </w:tcPr>
          <w:p w14:paraId="400135A9">
            <w:pPr>
              <w:pStyle w:val="23"/>
              <w:spacing w:line="600" w:lineRule="exact"/>
              <w:rPr>
                <w:rFonts w:hint="eastAsia" w:hAnsi="宋体" w:cs="Courier New"/>
                <w:color w:val="auto"/>
                <w:kern w:val="2"/>
                <w:sz w:val="21"/>
                <w:highlight w:val="none"/>
              </w:rPr>
            </w:pPr>
          </w:p>
        </w:tc>
        <w:tc>
          <w:tcPr>
            <w:tcW w:w="1086" w:type="pct"/>
          </w:tcPr>
          <w:p w14:paraId="09747641">
            <w:pPr>
              <w:pStyle w:val="23"/>
              <w:spacing w:line="600" w:lineRule="exact"/>
              <w:rPr>
                <w:rFonts w:hint="eastAsia" w:hAnsi="宋体" w:cs="Courier New"/>
                <w:color w:val="auto"/>
                <w:kern w:val="2"/>
                <w:sz w:val="21"/>
                <w:highlight w:val="none"/>
              </w:rPr>
            </w:pPr>
          </w:p>
        </w:tc>
        <w:tc>
          <w:tcPr>
            <w:tcW w:w="1086" w:type="pct"/>
          </w:tcPr>
          <w:p w14:paraId="53E957A1">
            <w:pPr>
              <w:pStyle w:val="23"/>
              <w:spacing w:line="600" w:lineRule="exact"/>
              <w:rPr>
                <w:rFonts w:hint="eastAsia" w:hAnsi="宋体" w:cs="Courier New"/>
                <w:color w:val="auto"/>
                <w:kern w:val="2"/>
                <w:sz w:val="21"/>
                <w:highlight w:val="none"/>
              </w:rPr>
            </w:pPr>
          </w:p>
        </w:tc>
        <w:tc>
          <w:tcPr>
            <w:tcW w:w="1086" w:type="pct"/>
          </w:tcPr>
          <w:p w14:paraId="39D3A849">
            <w:pPr>
              <w:pStyle w:val="23"/>
              <w:spacing w:line="600" w:lineRule="exact"/>
              <w:rPr>
                <w:rFonts w:hint="eastAsia" w:hAnsi="宋体" w:cs="Courier New"/>
                <w:color w:val="auto"/>
                <w:kern w:val="2"/>
                <w:sz w:val="21"/>
                <w:highlight w:val="none"/>
              </w:rPr>
            </w:pPr>
          </w:p>
        </w:tc>
      </w:tr>
      <w:tr w14:paraId="332A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7B767629">
            <w:pPr>
              <w:pStyle w:val="23"/>
              <w:spacing w:line="600" w:lineRule="exact"/>
              <w:rPr>
                <w:rFonts w:hint="eastAsia" w:hAnsi="宋体" w:cs="Courier New"/>
                <w:color w:val="auto"/>
                <w:kern w:val="2"/>
                <w:sz w:val="21"/>
                <w:highlight w:val="none"/>
              </w:rPr>
            </w:pPr>
          </w:p>
        </w:tc>
        <w:tc>
          <w:tcPr>
            <w:tcW w:w="1086" w:type="pct"/>
          </w:tcPr>
          <w:p w14:paraId="0AA0098B">
            <w:pPr>
              <w:pStyle w:val="23"/>
              <w:spacing w:line="600" w:lineRule="exact"/>
              <w:rPr>
                <w:rFonts w:hint="eastAsia" w:hAnsi="宋体" w:cs="Courier New"/>
                <w:color w:val="auto"/>
                <w:kern w:val="2"/>
                <w:sz w:val="21"/>
                <w:highlight w:val="none"/>
              </w:rPr>
            </w:pPr>
          </w:p>
        </w:tc>
        <w:tc>
          <w:tcPr>
            <w:tcW w:w="1086" w:type="pct"/>
          </w:tcPr>
          <w:p w14:paraId="389ADCB5">
            <w:pPr>
              <w:pStyle w:val="23"/>
              <w:spacing w:line="600" w:lineRule="exact"/>
              <w:rPr>
                <w:rFonts w:hint="eastAsia" w:hAnsi="宋体" w:cs="Courier New"/>
                <w:color w:val="auto"/>
                <w:kern w:val="2"/>
                <w:sz w:val="21"/>
                <w:highlight w:val="none"/>
              </w:rPr>
            </w:pPr>
          </w:p>
        </w:tc>
        <w:tc>
          <w:tcPr>
            <w:tcW w:w="1086" w:type="pct"/>
          </w:tcPr>
          <w:p w14:paraId="2811E2F9">
            <w:pPr>
              <w:pStyle w:val="23"/>
              <w:spacing w:line="600" w:lineRule="exact"/>
              <w:rPr>
                <w:rFonts w:hint="eastAsia" w:hAnsi="宋体" w:cs="Courier New"/>
                <w:color w:val="auto"/>
                <w:kern w:val="2"/>
                <w:sz w:val="21"/>
                <w:highlight w:val="none"/>
              </w:rPr>
            </w:pPr>
          </w:p>
        </w:tc>
        <w:tc>
          <w:tcPr>
            <w:tcW w:w="1086" w:type="pct"/>
          </w:tcPr>
          <w:p w14:paraId="513D2E6B">
            <w:pPr>
              <w:pStyle w:val="23"/>
              <w:spacing w:line="600" w:lineRule="exact"/>
              <w:rPr>
                <w:rFonts w:hint="eastAsia" w:hAnsi="宋体" w:cs="Courier New"/>
                <w:color w:val="auto"/>
                <w:kern w:val="2"/>
                <w:sz w:val="21"/>
                <w:highlight w:val="none"/>
              </w:rPr>
            </w:pPr>
          </w:p>
        </w:tc>
      </w:tr>
      <w:tr w14:paraId="5E99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tcPr>
          <w:p w14:paraId="02BE807A">
            <w:pPr>
              <w:pStyle w:val="23"/>
              <w:spacing w:line="600" w:lineRule="exact"/>
              <w:rPr>
                <w:rFonts w:hint="eastAsia" w:hAnsi="宋体" w:cs="Courier New"/>
                <w:color w:val="auto"/>
                <w:kern w:val="2"/>
                <w:sz w:val="21"/>
                <w:highlight w:val="none"/>
              </w:rPr>
            </w:pPr>
          </w:p>
        </w:tc>
        <w:tc>
          <w:tcPr>
            <w:tcW w:w="1086" w:type="pct"/>
          </w:tcPr>
          <w:p w14:paraId="615375E0">
            <w:pPr>
              <w:pStyle w:val="23"/>
              <w:spacing w:line="600" w:lineRule="exact"/>
              <w:rPr>
                <w:rFonts w:hint="eastAsia" w:hAnsi="宋体" w:cs="Courier New"/>
                <w:color w:val="auto"/>
                <w:kern w:val="2"/>
                <w:sz w:val="21"/>
                <w:highlight w:val="none"/>
              </w:rPr>
            </w:pPr>
          </w:p>
        </w:tc>
        <w:tc>
          <w:tcPr>
            <w:tcW w:w="1086" w:type="pct"/>
          </w:tcPr>
          <w:p w14:paraId="59DDFD00">
            <w:pPr>
              <w:pStyle w:val="23"/>
              <w:spacing w:line="600" w:lineRule="exact"/>
              <w:rPr>
                <w:rFonts w:hint="eastAsia" w:hAnsi="宋体" w:cs="Courier New"/>
                <w:color w:val="auto"/>
                <w:kern w:val="2"/>
                <w:sz w:val="21"/>
                <w:highlight w:val="none"/>
              </w:rPr>
            </w:pPr>
          </w:p>
        </w:tc>
        <w:tc>
          <w:tcPr>
            <w:tcW w:w="1086" w:type="pct"/>
          </w:tcPr>
          <w:p w14:paraId="343FC5B0">
            <w:pPr>
              <w:pStyle w:val="23"/>
              <w:spacing w:line="600" w:lineRule="exact"/>
              <w:rPr>
                <w:rFonts w:hint="eastAsia" w:hAnsi="宋体" w:cs="Courier New"/>
                <w:color w:val="auto"/>
                <w:kern w:val="2"/>
                <w:sz w:val="21"/>
                <w:highlight w:val="none"/>
              </w:rPr>
            </w:pPr>
          </w:p>
        </w:tc>
        <w:tc>
          <w:tcPr>
            <w:tcW w:w="1086" w:type="pct"/>
          </w:tcPr>
          <w:p w14:paraId="0D8FBEDE">
            <w:pPr>
              <w:pStyle w:val="23"/>
              <w:spacing w:line="600" w:lineRule="exact"/>
              <w:rPr>
                <w:rFonts w:hint="eastAsia" w:hAnsi="宋体" w:cs="Courier New"/>
                <w:color w:val="auto"/>
                <w:kern w:val="2"/>
                <w:sz w:val="21"/>
                <w:highlight w:val="none"/>
              </w:rPr>
            </w:pPr>
          </w:p>
        </w:tc>
      </w:tr>
    </w:tbl>
    <w:p w14:paraId="542CE981">
      <w:pPr>
        <w:pStyle w:val="16"/>
        <w:spacing w:line="360" w:lineRule="auto"/>
        <w:rPr>
          <w:rFonts w:hint="eastAsia" w:ascii="宋体" w:hAnsi="宋体"/>
          <w:color w:val="auto"/>
          <w:sz w:val="21"/>
          <w:szCs w:val="21"/>
          <w:highlight w:val="none"/>
        </w:rPr>
      </w:pPr>
      <w:r>
        <w:rPr>
          <w:rFonts w:hint="eastAsia" w:ascii="宋体" w:hAnsi="宋体"/>
          <w:color w:val="auto"/>
          <w:sz w:val="21"/>
          <w:szCs w:val="21"/>
          <w:highlight w:val="none"/>
        </w:rPr>
        <w:t>注：</w:t>
      </w:r>
    </w:p>
    <w:p w14:paraId="5A06D93F">
      <w:pPr>
        <w:pStyle w:val="18"/>
        <w:spacing w:line="360" w:lineRule="auto"/>
        <w:ind w:firstLine="0" w:firstLineChars="0"/>
        <w:rPr>
          <w:rFonts w:hint="eastAsia" w:ascii="宋体" w:hAnsi="宋体" w:eastAsia="宋体" w:cs="仿宋_GB2312"/>
          <w:color w:val="auto"/>
          <w:sz w:val="21"/>
          <w:szCs w:val="21"/>
          <w:highlight w:val="none"/>
        </w:rPr>
      </w:pPr>
      <w:r>
        <w:rPr>
          <w:rFonts w:hint="eastAsia" w:ascii="宋体" w:hAnsi="宋体" w:eastAsia="宋体"/>
          <w:color w:val="auto"/>
          <w:sz w:val="21"/>
          <w:szCs w:val="21"/>
          <w:highlight w:val="none"/>
        </w:rPr>
        <w:t>1. 说明：应对照招标文件“第二章 采购需求”中的“技术服务要求”逐条实质性响应，并作出偏离说明。</w:t>
      </w:r>
    </w:p>
    <w:p w14:paraId="53C9287E">
      <w:pPr>
        <w:pStyle w:val="16"/>
        <w:spacing w:line="360" w:lineRule="auto"/>
        <w:rPr>
          <w:rFonts w:hint="eastAsia" w:ascii="宋体" w:hAnsi="宋体"/>
          <w:color w:val="auto"/>
          <w:sz w:val="21"/>
          <w:szCs w:val="21"/>
          <w:highlight w:val="none"/>
        </w:rPr>
      </w:pPr>
      <w:r>
        <w:rPr>
          <w:rFonts w:ascii="宋体" w:hAnsi="宋体"/>
          <w:b w:val="0"/>
          <w:bCs w:val="0"/>
          <w:color w:val="auto"/>
          <w:sz w:val="21"/>
          <w:szCs w:val="21"/>
          <w:highlight w:val="none"/>
        </w:rPr>
        <w:t>2.</w:t>
      </w:r>
      <w:r>
        <w:rPr>
          <w:rFonts w:hint="eastAsia" w:ascii="宋体" w:hAnsi="宋体"/>
          <w:b w:val="0"/>
          <w:bCs w:val="0"/>
          <w:color w:val="auto"/>
          <w:sz w:val="21"/>
          <w:szCs w:val="21"/>
          <w:highlight w:val="none"/>
        </w:rPr>
        <w:t>投标人应根据投标设备的性能指标，对照招标文件要求，在“偏离说明”中注明“</w:t>
      </w:r>
      <w:r>
        <w:rPr>
          <w:rFonts w:hint="eastAsia" w:ascii="宋体" w:hAnsi="宋体"/>
          <w:color w:val="auto"/>
          <w:sz w:val="21"/>
          <w:szCs w:val="21"/>
          <w:highlight w:val="none"/>
        </w:rPr>
        <w:t>正偏离</w:t>
      </w:r>
      <w:r>
        <w:rPr>
          <w:rFonts w:hint="eastAsia" w:ascii="宋体" w:hAnsi="宋体"/>
          <w:b w:val="0"/>
          <w:bCs w:val="0"/>
          <w:color w:val="auto"/>
          <w:sz w:val="21"/>
          <w:szCs w:val="21"/>
          <w:highlight w:val="none"/>
        </w:rPr>
        <w:t>”、“</w:t>
      </w:r>
      <w:r>
        <w:rPr>
          <w:rFonts w:hint="eastAsia" w:ascii="宋体" w:hAnsi="宋体"/>
          <w:color w:val="auto"/>
          <w:sz w:val="21"/>
          <w:szCs w:val="21"/>
          <w:highlight w:val="none"/>
        </w:rPr>
        <w:t>负偏离</w:t>
      </w:r>
      <w:r>
        <w:rPr>
          <w:rFonts w:hint="eastAsia" w:ascii="宋体" w:hAnsi="宋体"/>
          <w:b w:val="0"/>
          <w:bCs w:val="0"/>
          <w:color w:val="auto"/>
          <w:sz w:val="21"/>
          <w:szCs w:val="21"/>
          <w:highlight w:val="none"/>
        </w:rPr>
        <w:t>”或者“</w:t>
      </w:r>
      <w:r>
        <w:rPr>
          <w:rFonts w:hint="eastAsia" w:ascii="宋体" w:hAnsi="宋体"/>
          <w:color w:val="auto"/>
          <w:sz w:val="21"/>
          <w:szCs w:val="21"/>
          <w:highlight w:val="none"/>
        </w:rPr>
        <w:t>无偏离</w:t>
      </w:r>
      <w:r>
        <w:rPr>
          <w:rFonts w:hint="eastAsia" w:ascii="宋体" w:hAnsi="宋体"/>
          <w:b w:val="0"/>
          <w:bCs w:val="0"/>
          <w:color w:val="auto"/>
          <w:sz w:val="21"/>
          <w:szCs w:val="21"/>
          <w:highlight w:val="none"/>
        </w:rPr>
        <w:t>”。既不属于“</w:t>
      </w:r>
      <w:r>
        <w:rPr>
          <w:rFonts w:hint="eastAsia" w:ascii="宋体" w:hAnsi="宋体"/>
          <w:color w:val="auto"/>
          <w:sz w:val="21"/>
          <w:szCs w:val="21"/>
          <w:highlight w:val="none"/>
        </w:rPr>
        <w:t>正偏离</w:t>
      </w:r>
      <w:r>
        <w:rPr>
          <w:rFonts w:hint="eastAsia" w:ascii="宋体" w:hAnsi="宋体"/>
          <w:b w:val="0"/>
          <w:bCs w:val="0"/>
          <w:color w:val="auto"/>
          <w:sz w:val="21"/>
          <w:szCs w:val="21"/>
          <w:highlight w:val="none"/>
        </w:rPr>
        <w:t>”也不属于“</w:t>
      </w:r>
      <w:r>
        <w:rPr>
          <w:rFonts w:hint="eastAsia" w:ascii="宋体" w:hAnsi="宋体"/>
          <w:color w:val="auto"/>
          <w:sz w:val="21"/>
          <w:szCs w:val="21"/>
          <w:highlight w:val="none"/>
        </w:rPr>
        <w:t>负偏离</w:t>
      </w:r>
      <w:r>
        <w:rPr>
          <w:rFonts w:hint="eastAsia" w:ascii="宋体" w:hAnsi="宋体"/>
          <w:b w:val="0"/>
          <w:bCs w:val="0"/>
          <w:color w:val="auto"/>
          <w:sz w:val="21"/>
          <w:szCs w:val="21"/>
          <w:highlight w:val="none"/>
        </w:rPr>
        <w:t>”即为“</w:t>
      </w:r>
      <w:r>
        <w:rPr>
          <w:rFonts w:hint="eastAsia" w:ascii="宋体" w:hAnsi="宋体"/>
          <w:color w:val="auto"/>
          <w:sz w:val="21"/>
          <w:szCs w:val="21"/>
          <w:highlight w:val="none"/>
        </w:rPr>
        <w:t>无偏离</w:t>
      </w:r>
      <w:r>
        <w:rPr>
          <w:rFonts w:hint="eastAsia" w:ascii="宋体" w:hAnsi="宋体"/>
          <w:b w:val="0"/>
          <w:bCs w:val="0"/>
          <w:color w:val="auto"/>
          <w:sz w:val="21"/>
          <w:szCs w:val="21"/>
          <w:highlight w:val="none"/>
        </w:rPr>
        <w:t>”。</w:t>
      </w:r>
    </w:p>
    <w:p w14:paraId="6723451C">
      <w:pPr>
        <w:pStyle w:val="16"/>
        <w:rPr>
          <w:rFonts w:hint="eastAsia" w:ascii="宋体" w:hAnsi="宋体"/>
          <w:color w:val="auto"/>
          <w:spacing w:val="20"/>
          <w:sz w:val="21"/>
          <w:szCs w:val="21"/>
          <w:highlight w:val="none"/>
        </w:rPr>
      </w:pPr>
    </w:p>
    <w:p w14:paraId="4F1F2D1F">
      <w:pPr>
        <w:snapToGrid w:val="0"/>
        <w:spacing w:before="120" w:beforeLines="50" w:line="360" w:lineRule="auto"/>
        <w:ind w:right="480" w:firstLine="3471" w:firstLineChars="1653"/>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7A12D1F4">
      <w:pPr>
        <w:snapToGrid w:val="0"/>
        <w:spacing w:before="120" w:beforeLines="50" w:after="50" w:line="360" w:lineRule="auto"/>
        <w:ind w:right="480" w:firstLine="4830" w:firstLineChars="2300"/>
        <w:rPr>
          <w:rFonts w:hint="eastAsia" w:ascii="宋体" w:hAnsi="宋体"/>
          <w:color w:val="auto"/>
          <w:szCs w:val="21"/>
          <w:highlight w:val="none"/>
          <w:u w:val="singl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3F0D79B9">
      <w:pPr>
        <w:snapToGrid w:val="0"/>
        <w:spacing w:line="360" w:lineRule="auto"/>
        <w:ind w:firstLine="5880" w:firstLineChars="2800"/>
        <w:rPr>
          <w:rFonts w:hint="eastAsia" w:ascii="宋体" w:hAnsi="宋体"/>
          <w:color w:val="auto"/>
          <w:szCs w:val="21"/>
          <w:highlight w:val="none"/>
        </w:rPr>
      </w:pP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ascii="宋体" w:hAnsi="宋体"/>
          <w:color w:val="auto"/>
          <w:spacing w:val="20"/>
          <w:szCs w:val="21"/>
          <w:highlight w:val="none"/>
          <w:u w:val="single"/>
        </w:rPr>
        <w:t xml:space="preserve">          </w:t>
      </w:r>
    </w:p>
    <w:p w14:paraId="03038042">
      <w:pPr>
        <w:snapToGrid w:val="0"/>
        <w:spacing w:before="120" w:beforeLines="50" w:after="50"/>
        <w:jc w:val="left"/>
        <w:outlineLvl w:val="2"/>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b/>
          <w:color w:val="auto"/>
          <w:sz w:val="24"/>
          <w:highlight w:val="none"/>
        </w:rPr>
        <w:t>（十一）项目实施人员一览表格式</w:t>
      </w:r>
    </w:p>
    <w:p w14:paraId="385C137B">
      <w:pPr>
        <w:snapToGrid w:val="0"/>
        <w:spacing w:line="360" w:lineRule="auto"/>
        <w:jc w:val="center"/>
        <w:rPr>
          <w:rFonts w:hint="eastAsia" w:ascii="宋体" w:hAnsi="宋体"/>
          <w:b/>
          <w:color w:val="auto"/>
          <w:szCs w:val="21"/>
          <w:highlight w:val="none"/>
        </w:rPr>
      </w:pPr>
      <w:r>
        <w:rPr>
          <w:rFonts w:hint="eastAsia" w:ascii="宋体" w:hAnsi="宋体"/>
          <w:b/>
          <w:color w:val="auto"/>
          <w:szCs w:val="21"/>
          <w:highlight w:val="none"/>
        </w:rPr>
        <w:t>项目实施人员一览表</w:t>
      </w:r>
    </w:p>
    <w:p w14:paraId="3F6435AB">
      <w:pPr>
        <w:pStyle w:val="23"/>
        <w:rPr>
          <w:color w:val="auto"/>
          <w:sz w:val="21"/>
          <w:highlight w:val="none"/>
        </w:rPr>
      </w:pPr>
      <w:r>
        <w:rPr>
          <w:rFonts w:hint="eastAsia"/>
          <w:color w:val="auto"/>
          <w:sz w:val="21"/>
          <w:highlight w:val="none"/>
        </w:rPr>
        <w:t>项目名称</w:t>
      </w:r>
      <w:r>
        <w:rPr>
          <w:color w:val="auto"/>
          <w:sz w:val="21"/>
          <w:highlight w:val="none"/>
        </w:rPr>
        <w:t>：</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561"/>
        <w:gridCol w:w="4282"/>
        <w:gridCol w:w="831"/>
        <w:gridCol w:w="966"/>
        <w:gridCol w:w="1101"/>
      </w:tblGrid>
      <w:tr w14:paraId="582B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26BC5C1">
            <w:pPr>
              <w:snapToGrid w:val="0"/>
              <w:jc w:val="center"/>
              <w:rPr>
                <w:rFonts w:hint="eastAsia" w:ascii="宋体" w:hAnsi="宋体"/>
                <w:color w:val="auto"/>
                <w:szCs w:val="21"/>
                <w:highlight w:val="none"/>
              </w:rPr>
            </w:pPr>
            <w:r>
              <w:rPr>
                <w:rFonts w:hint="eastAsia" w:ascii="宋体" w:hAnsi="宋体"/>
                <w:color w:val="auto"/>
                <w:szCs w:val="21"/>
                <w:highlight w:val="none"/>
              </w:rPr>
              <w:t>姓名</w:t>
            </w:r>
          </w:p>
        </w:tc>
        <w:tc>
          <w:tcPr>
            <w:tcW w:w="0" w:type="auto"/>
            <w:vAlign w:val="center"/>
          </w:tcPr>
          <w:p w14:paraId="7B8E2E6A">
            <w:pPr>
              <w:snapToGrid w:val="0"/>
              <w:jc w:val="center"/>
              <w:rPr>
                <w:rFonts w:hint="eastAsia" w:ascii="宋体" w:hAnsi="宋体"/>
                <w:color w:val="auto"/>
                <w:szCs w:val="21"/>
                <w:highlight w:val="none"/>
              </w:rPr>
            </w:pPr>
            <w:r>
              <w:rPr>
                <w:rFonts w:hint="eastAsia" w:ascii="宋体" w:hAnsi="宋体"/>
                <w:color w:val="auto"/>
                <w:szCs w:val="21"/>
                <w:highlight w:val="none"/>
              </w:rPr>
              <w:t>职务</w:t>
            </w:r>
          </w:p>
        </w:tc>
        <w:tc>
          <w:tcPr>
            <w:tcW w:w="0" w:type="auto"/>
            <w:vAlign w:val="center"/>
          </w:tcPr>
          <w:p w14:paraId="18978648">
            <w:pPr>
              <w:snapToGrid w:val="0"/>
              <w:jc w:val="center"/>
              <w:rPr>
                <w:rFonts w:hint="eastAsia" w:ascii="宋体" w:hAnsi="宋体"/>
                <w:color w:val="auto"/>
                <w:szCs w:val="21"/>
                <w:highlight w:val="none"/>
              </w:rPr>
            </w:pPr>
            <w:r>
              <w:rPr>
                <w:rFonts w:hint="eastAsia" w:ascii="宋体" w:hAnsi="宋体"/>
                <w:color w:val="auto"/>
                <w:szCs w:val="21"/>
                <w:highlight w:val="none"/>
              </w:rPr>
              <w:t>专业技术资格（职称）或者职业资格或者执业资格证或者其他证书</w:t>
            </w:r>
          </w:p>
        </w:tc>
        <w:tc>
          <w:tcPr>
            <w:tcW w:w="0" w:type="auto"/>
            <w:vAlign w:val="center"/>
          </w:tcPr>
          <w:p w14:paraId="0807469C">
            <w:pPr>
              <w:snapToGrid w:val="0"/>
              <w:jc w:val="center"/>
              <w:rPr>
                <w:rFonts w:hint="eastAsia" w:ascii="宋体" w:hAnsi="宋体"/>
                <w:color w:val="auto"/>
                <w:szCs w:val="21"/>
                <w:highlight w:val="none"/>
              </w:rPr>
            </w:pPr>
            <w:r>
              <w:rPr>
                <w:rFonts w:hint="eastAsia" w:ascii="宋体" w:hAnsi="宋体"/>
                <w:color w:val="auto"/>
                <w:szCs w:val="21"/>
                <w:highlight w:val="none"/>
              </w:rPr>
              <w:t>证书编号</w:t>
            </w:r>
          </w:p>
        </w:tc>
        <w:tc>
          <w:tcPr>
            <w:tcW w:w="0" w:type="auto"/>
            <w:vAlign w:val="center"/>
          </w:tcPr>
          <w:p w14:paraId="1A2C88F8">
            <w:pPr>
              <w:snapToGrid w:val="0"/>
              <w:jc w:val="center"/>
              <w:rPr>
                <w:rFonts w:hint="eastAsia" w:ascii="宋体" w:hAnsi="宋体"/>
                <w:color w:val="auto"/>
                <w:szCs w:val="21"/>
                <w:highlight w:val="none"/>
              </w:rPr>
            </w:pPr>
            <w:r>
              <w:rPr>
                <w:rFonts w:hint="eastAsia" w:ascii="宋体" w:hAnsi="宋体"/>
                <w:color w:val="auto"/>
                <w:szCs w:val="21"/>
                <w:highlight w:val="none"/>
              </w:rPr>
              <w:t>参加本单位</w:t>
            </w:r>
          </w:p>
          <w:p w14:paraId="398F51B5">
            <w:pPr>
              <w:snapToGrid w:val="0"/>
              <w:jc w:val="center"/>
              <w:rPr>
                <w:rFonts w:hint="eastAsia" w:ascii="宋体" w:hAnsi="宋体"/>
                <w:color w:val="auto"/>
                <w:szCs w:val="21"/>
                <w:highlight w:val="none"/>
              </w:rPr>
            </w:pPr>
            <w:r>
              <w:rPr>
                <w:rFonts w:hint="eastAsia" w:ascii="宋体" w:hAnsi="宋体"/>
                <w:color w:val="auto"/>
                <w:szCs w:val="21"/>
                <w:highlight w:val="none"/>
              </w:rPr>
              <w:t>工作时间</w:t>
            </w:r>
          </w:p>
        </w:tc>
        <w:tc>
          <w:tcPr>
            <w:tcW w:w="0" w:type="auto"/>
            <w:vAlign w:val="center"/>
          </w:tcPr>
          <w:p w14:paraId="4A3E6EC3">
            <w:pPr>
              <w:snapToGrid w:val="0"/>
              <w:jc w:val="center"/>
              <w:rPr>
                <w:rFonts w:hint="eastAsia" w:ascii="宋体" w:hAnsi="宋体"/>
                <w:color w:val="auto"/>
                <w:szCs w:val="21"/>
                <w:highlight w:val="none"/>
              </w:rPr>
            </w:pPr>
            <w:r>
              <w:rPr>
                <w:rFonts w:hint="eastAsia" w:ascii="宋体" w:hAnsi="宋体"/>
                <w:color w:val="auto"/>
                <w:szCs w:val="21"/>
                <w:highlight w:val="none"/>
              </w:rPr>
              <w:t>劳动合同编号</w:t>
            </w:r>
          </w:p>
        </w:tc>
      </w:tr>
      <w:tr w14:paraId="383F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9F4684D">
            <w:pPr>
              <w:snapToGrid w:val="0"/>
              <w:jc w:val="center"/>
              <w:rPr>
                <w:rFonts w:hint="eastAsia" w:ascii="宋体" w:hAnsi="宋体"/>
                <w:color w:val="auto"/>
                <w:szCs w:val="21"/>
                <w:highlight w:val="none"/>
              </w:rPr>
            </w:pPr>
          </w:p>
        </w:tc>
        <w:tc>
          <w:tcPr>
            <w:tcW w:w="0" w:type="auto"/>
            <w:vAlign w:val="center"/>
          </w:tcPr>
          <w:p w14:paraId="205222AC">
            <w:pPr>
              <w:snapToGrid w:val="0"/>
              <w:jc w:val="center"/>
              <w:rPr>
                <w:rFonts w:hint="eastAsia" w:ascii="宋体" w:hAnsi="宋体"/>
                <w:color w:val="auto"/>
                <w:szCs w:val="21"/>
                <w:highlight w:val="none"/>
              </w:rPr>
            </w:pPr>
          </w:p>
        </w:tc>
        <w:tc>
          <w:tcPr>
            <w:tcW w:w="0" w:type="auto"/>
            <w:vAlign w:val="center"/>
          </w:tcPr>
          <w:p w14:paraId="0A08EC04">
            <w:pPr>
              <w:snapToGrid w:val="0"/>
              <w:jc w:val="center"/>
              <w:rPr>
                <w:rFonts w:hint="eastAsia" w:ascii="宋体" w:hAnsi="宋体"/>
                <w:color w:val="auto"/>
                <w:szCs w:val="21"/>
                <w:highlight w:val="none"/>
              </w:rPr>
            </w:pPr>
          </w:p>
        </w:tc>
        <w:tc>
          <w:tcPr>
            <w:tcW w:w="0" w:type="auto"/>
            <w:vAlign w:val="center"/>
          </w:tcPr>
          <w:p w14:paraId="13530C87">
            <w:pPr>
              <w:snapToGrid w:val="0"/>
              <w:jc w:val="center"/>
              <w:rPr>
                <w:rFonts w:hint="eastAsia" w:ascii="宋体" w:hAnsi="宋体"/>
                <w:color w:val="auto"/>
                <w:szCs w:val="21"/>
                <w:highlight w:val="none"/>
              </w:rPr>
            </w:pPr>
          </w:p>
        </w:tc>
        <w:tc>
          <w:tcPr>
            <w:tcW w:w="0" w:type="auto"/>
            <w:vAlign w:val="center"/>
          </w:tcPr>
          <w:p w14:paraId="74145DEC">
            <w:pPr>
              <w:snapToGrid w:val="0"/>
              <w:jc w:val="center"/>
              <w:rPr>
                <w:rFonts w:hint="eastAsia" w:ascii="宋体" w:hAnsi="宋体"/>
                <w:color w:val="auto"/>
                <w:szCs w:val="21"/>
                <w:highlight w:val="none"/>
              </w:rPr>
            </w:pPr>
          </w:p>
        </w:tc>
        <w:tc>
          <w:tcPr>
            <w:tcW w:w="0" w:type="auto"/>
            <w:vAlign w:val="center"/>
          </w:tcPr>
          <w:p w14:paraId="4C64207E">
            <w:pPr>
              <w:snapToGrid w:val="0"/>
              <w:jc w:val="center"/>
              <w:rPr>
                <w:rFonts w:hint="eastAsia" w:ascii="宋体" w:hAnsi="宋体"/>
                <w:color w:val="auto"/>
                <w:szCs w:val="21"/>
                <w:highlight w:val="none"/>
              </w:rPr>
            </w:pPr>
          </w:p>
        </w:tc>
      </w:tr>
      <w:tr w14:paraId="35CD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2A19C95">
            <w:pPr>
              <w:snapToGrid w:val="0"/>
              <w:jc w:val="center"/>
              <w:rPr>
                <w:rFonts w:hint="eastAsia" w:ascii="宋体" w:hAnsi="宋体"/>
                <w:color w:val="auto"/>
                <w:szCs w:val="21"/>
                <w:highlight w:val="none"/>
              </w:rPr>
            </w:pPr>
          </w:p>
        </w:tc>
        <w:tc>
          <w:tcPr>
            <w:tcW w:w="0" w:type="auto"/>
            <w:vAlign w:val="center"/>
          </w:tcPr>
          <w:p w14:paraId="3D00F6BE">
            <w:pPr>
              <w:snapToGrid w:val="0"/>
              <w:jc w:val="center"/>
              <w:rPr>
                <w:rFonts w:hint="eastAsia" w:ascii="宋体" w:hAnsi="宋体"/>
                <w:color w:val="auto"/>
                <w:szCs w:val="21"/>
                <w:highlight w:val="none"/>
              </w:rPr>
            </w:pPr>
          </w:p>
        </w:tc>
        <w:tc>
          <w:tcPr>
            <w:tcW w:w="0" w:type="auto"/>
            <w:vAlign w:val="center"/>
          </w:tcPr>
          <w:p w14:paraId="69069F2D">
            <w:pPr>
              <w:snapToGrid w:val="0"/>
              <w:jc w:val="center"/>
              <w:rPr>
                <w:rFonts w:hint="eastAsia" w:ascii="宋体" w:hAnsi="宋体"/>
                <w:color w:val="auto"/>
                <w:szCs w:val="21"/>
                <w:highlight w:val="none"/>
              </w:rPr>
            </w:pPr>
          </w:p>
        </w:tc>
        <w:tc>
          <w:tcPr>
            <w:tcW w:w="0" w:type="auto"/>
            <w:vAlign w:val="center"/>
          </w:tcPr>
          <w:p w14:paraId="3E157E7A">
            <w:pPr>
              <w:snapToGrid w:val="0"/>
              <w:jc w:val="center"/>
              <w:rPr>
                <w:rFonts w:hint="eastAsia" w:ascii="宋体" w:hAnsi="宋体"/>
                <w:color w:val="auto"/>
                <w:szCs w:val="21"/>
                <w:highlight w:val="none"/>
              </w:rPr>
            </w:pPr>
          </w:p>
        </w:tc>
        <w:tc>
          <w:tcPr>
            <w:tcW w:w="0" w:type="auto"/>
            <w:vAlign w:val="center"/>
          </w:tcPr>
          <w:p w14:paraId="59A1F532">
            <w:pPr>
              <w:snapToGrid w:val="0"/>
              <w:jc w:val="center"/>
              <w:rPr>
                <w:rFonts w:hint="eastAsia" w:ascii="宋体" w:hAnsi="宋体"/>
                <w:color w:val="auto"/>
                <w:szCs w:val="21"/>
                <w:highlight w:val="none"/>
              </w:rPr>
            </w:pPr>
          </w:p>
        </w:tc>
        <w:tc>
          <w:tcPr>
            <w:tcW w:w="0" w:type="auto"/>
            <w:vAlign w:val="center"/>
          </w:tcPr>
          <w:p w14:paraId="35486811">
            <w:pPr>
              <w:snapToGrid w:val="0"/>
              <w:jc w:val="center"/>
              <w:rPr>
                <w:rFonts w:hint="eastAsia" w:ascii="宋体" w:hAnsi="宋体"/>
                <w:color w:val="auto"/>
                <w:szCs w:val="21"/>
                <w:highlight w:val="none"/>
              </w:rPr>
            </w:pPr>
          </w:p>
        </w:tc>
      </w:tr>
      <w:tr w14:paraId="2CED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7604FAF">
            <w:pPr>
              <w:snapToGrid w:val="0"/>
              <w:jc w:val="center"/>
              <w:rPr>
                <w:rFonts w:hint="eastAsia" w:ascii="宋体" w:hAnsi="宋体"/>
                <w:color w:val="auto"/>
                <w:szCs w:val="21"/>
                <w:highlight w:val="none"/>
              </w:rPr>
            </w:pPr>
          </w:p>
        </w:tc>
        <w:tc>
          <w:tcPr>
            <w:tcW w:w="0" w:type="auto"/>
            <w:vAlign w:val="center"/>
          </w:tcPr>
          <w:p w14:paraId="64DDB960">
            <w:pPr>
              <w:snapToGrid w:val="0"/>
              <w:jc w:val="center"/>
              <w:rPr>
                <w:rFonts w:hint="eastAsia" w:ascii="宋体" w:hAnsi="宋体"/>
                <w:color w:val="auto"/>
                <w:szCs w:val="21"/>
                <w:highlight w:val="none"/>
              </w:rPr>
            </w:pPr>
          </w:p>
        </w:tc>
        <w:tc>
          <w:tcPr>
            <w:tcW w:w="0" w:type="auto"/>
            <w:vAlign w:val="center"/>
          </w:tcPr>
          <w:p w14:paraId="291D78AF">
            <w:pPr>
              <w:snapToGrid w:val="0"/>
              <w:jc w:val="center"/>
              <w:rPr>
                <w:rFonts w:hint="eastAsia" w:ascii="宋体" w:hAnsi="宋体"/>
                <w:color w:val="auto"/>
                <w:szCs w:val="21"/>
                <w:highlight w:val="none"/>
              </w:rPr>
            </w:pPr>
          </w:p>
        </w:tc>
        <w:tc>
          <w:tcPr>
            <w:tcW w:w="0" w:type="auto"/>
            <w:vAlign w:val="center"/>
          </w:tcPr>
          <w:p w14:paraId="6AAB9F1F">
            <w:pPr>
              <w:snapToGrid w:val="0"/>
              <w:jc w:val="center"/>
              <w:rPr>
                <w:rFonts w:hint="eastAsia" w:ascii="宋体" w:hAnsi="宋体"/>
                <w:color w:val="auto"/>
                <w:szCs w:val="21"/>
                <w:highlight w:val="none"/>
              </w:rPr>
            </w:pPr>
          </w:p>
        </w:tc>
        <w:tc>
          <w:tcPr>
            <w:tcW w:w="0" w:type="auto"/>
            <w:vAlign w:val="center"/>
          </w:tcPr>
          <w:p w14:paraId="55046863">
            <w:pPr>
              <w:snapToGrid w:val="0"/>
              <w:jc w:val="center"/>
              <w:rPr>
                <w:rFonts w:hint="eastAsia" w:ascii="宋体" w:hAnsi="宋体"/>
                <w:color w:val="auto"/>
                <w:szCs w:val="21"/>
                <w:highlight w:val="none"/>
              </w:rPr>
            </w:pPr>
          </w:p>
        </w:tc>
        <w:tc>
          <w:tcPr>
            <w:tcW w:w="0" w:type="auto"/>
            <w:vAlign w:val="center"/>
          </w:tcPr>
          <w:p w14:paraId="25258F09">
            <w:pPr>
              <w:snapToGrid w:val="0"/>
              <w:jc w:val="center"/>
              <w:rPr>
                <w:rFonts w:hint="eastAsia" w:ascii="宋体" w:hAnsi="宋体"/>
                <w:color w:val="auto"/>
                <w:szCs w:val="21"/>
                <w:highlight w:val="none"/>
              </w:rPr>
            </w:pPr>
          </w:p>
        </w:tc>
      </w:tr>
    </w:tbl>
    <w:p w14:paraId="1BA8EDB9">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rPr>
        <w:t>注：在填写时，如本表格不适合投标人的实际情况，可根据本表格式自行制表填写。</w:t>
      </w:r>
    </w:p>
    <w:p w14:paraId="3AB4A17B">
      <w:pPr>
        <w:snapToGrid w:val="0"/>
        <w:spacing w:line="360" w:lineRule="auto"/>
        <w:jc w:val="left"/>
        <w:rPr>
          <w:rFonts w:hint="eastAsia" w:ascii="宋体" w:hAnsi="宋体"/>
          <w:color w:val="auto"/>
          <w:szCs w:val="21"/>
          <w:highlight w:val="none"/>
        </w:rPr>
      </w:pPr>
    </w:p>
    <w:p w14:paraId="3EA3CC44">
      <w:pPr>
        <w:snapToGrid w:val="0"/>
        <w:spacing w:line="360" w:lineRule="auto"/>
        <w:jc w:val="left"/>
        <w:rPr>
          <w:rFonts w:hint="eastAsia" w:ascii="宋体" w:hAnsi="宋体"/>
          <w:color w:val="auto"/>
          <w:szCs w:val="21"/>
          <w:highlight w:val="none"/>
        </w:rPr>
      </w:pPr>
    </w:p>
    <w:p w14:paraId="2CE02BB7">
      <w:pPr>
        <w:snapToGrid w:val="0"/>
        <w:spacing w:before="120" w:beforeLines="50" w:line="360" w:lineRule="auto"/>
        <w:ind w:right="480" w:firstLine="3471" w:firstLineChars="1653"/>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2EF9CB3F">
      <w:pPr>
        <w:snapToGrid w:val="0"/>
        <w:spacing w:before="120" w:beforeLines="50" w:after="50" w:line="360" w:lineRule="auto"/>
        <w:ind w:right="480" w:firstLine="4830" w:firstLineChars="2300"/>
        <w:rPr>
          <w:rFonts w:hint="eastAsia" w:ascii="宋体" w:hAnsi="宋体"/>
          <w:color w:val="auto"/>
          <w:szCs w:val="21"/>
          <w:highlight w:val="none"/>
          <w:u w:val="single"/>
        </w:rPr>
      </w:pPr>
      <w:r>
        <w:rPr>
          <w:rFonts w:hint="eastAsia" w:ascii="宋体" w:hAnsi="宋体"/>
          <w:color w:val="auto"/>
          <w:szCs w:val="21"/>
          <w:highlight w:val="none"/>
        </w:rPr>
        <w:t>投标人（盖公章）：</w:t>
      </w:r>
      <w:r>
        <w:rPr>
          <w:rFonts w:hint="eastAsia" w:ascii="宋体" w:hAnsi="宋体"/>
          <w:color w:val="auto"/>
          <w:szCs w:val="21"/>
          <w:highlight w:val="none"/>
          <w:u w:val="single"/>
        </w:rPr>
        <w:t xml:space="preserve">                 </w:t>
      </w:r>
    </w:p>
    <w:p w14:paraId="3FF6F977">
      <w:pPr>
        <w:snapToGrid w:val="0"/>
        <w:spacing w:line="360" w:lineRule="auto"/>
        <w:ind w:firstLine="5880" w:firstLineChars="2800"/>
        <w:rPr>
          <w:rFonts w:hint="eastAsia" w:ascii="宋体" w:hAnsi="宋体"/>
          <w:color w:val="auto"/>
          <w:szCs w:val="21"/>
          <w:highlight w:val="none"/>
        </w:rPr>
      </w:pP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ascii="宋体" w:hAnsi="宋体"/>
          <w:color w:val="auto"/>
          <w:spacing w:val="20"/>
          <w:szCs w:val="21"/>
          <w:highlight w:val="none"/>
          <w:u w:val="single"/>
        </w:rPr>
        <w:t xml:space="preserve">          </w:t>
      </w:r>
    </w:p>
    <w:p w14:paraId="00CD324F">
      <w:pPr>
        <w:snapToGrid w:val="0"/>
        <w:spacing w:before="120" w:beforeLines="50" w:after="50"/>
        <w:outlineLvl w:val="2"/>
        <w:rPr>
          <w:color w:val="auto"/>
          <w:highlight w:val="none"/>
        </w:rPr>
      </w:pPr>
      <w:r>
        <w:rPr>
          <w:rFonts w:ascii="宋体" w:hAnsi="宋体"/>
          <w:b/>
          <w:color w:val="auto"/>
          <w:sz w:val="24"/>
          <w:highlight w:val="none"/>
        </w:rPr>
        <w:br w:type="page"/>
      </w:r>
      <w:r>
        <w:rPr>
          <w:rFonts w:hint="eastAsia" w:ascii="宋体" w:hAnsi="宋体"/>
          <w:b/>
          <w:bCs/>
          <w:color w:val="auto"/>
          <w:szCs w:val="21"/>
          <w:highlight w:val="none"/>
        </w:rPr>
        <w:t>（十二）</w:t>
      </w:r>
      <w:r>
        <w:rPr>
          <w:rFonts w:hint="eastAsia" w:ascii="宋体" w:hAnsi="宋体"/>
          <w:b/>
          <w:color w:val="auto"/>
          <w:sz w:val="24"/>
          <w:highlight w:val="none"/>
        </w:rPr>
        <w:t>中小企业声明函格式</w:t>
      </w:r>
    </w:p>
    <w:p w14:paraId="5B0FBFA3">
      <w:pPr>
        <w:snapToGrid w:val="0"/>
        <w:spacing w:before="120" w:beforeLines="50" w:after="240" w:afterLines="100"/>
        <w:jc w:val="center"/>
        <w:rPr>
          <w:rFonts w:hint="eastAsia" w:ascii="仿宋_GB2312" w:hAnsi="仿宋_GB2312" w:eastAsia="仿宋_GB2312" w:cs="仿宋_GB2312"/>
          <w:color w:val="auto"/>
          <w:sz w:val="32"/>
          <w:szCs w:val="32"/>
          <w:highlight w:val="none"/>
        </w:rPr>
      </w:pPr>
      <w:r>
        <w:rPr>
          <w:rFonts w:hint="eastAsia" w:ascii="宋体" w:hAnsi="宋体"/>
          <w:b/>
          <w:color w:val="auto"/>
          <w:sz w:val="32"/>
          <w:szCs w:val="32"/>
          <w:highlight w:val="none"/>
        </w:rPr>
        <w:t>中小企业声明函</w:t>
      </w:r>
    </w:p>
    <w:p w14:paraId="0637C03D">
      <w:pPr>
        <w:autoSpaceDE w:val="0"/>
        <w:autoSpaceDN w:val="0"/>
        <w:adjustRightInd w:val="0"/>
        <w:spacing w:line="400" w:lineRule="exact"/>
        <w:ind w:firstLine="424" w:firstLineChars="20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i/>
          <w:color w:val="auto"/>
          <w:kern w:val="0"/>
          <w:szCs w:val="21"/>
          <w:highlight w:val="none"/>
          <w:u w:val="single"/>
        </w:rPr>
        <w:t>（单位名称）</w:t>
      </w:r>
      <w:r>
        <w:rPr>
          <w:rFonts w:hint="eastAsia" w:asciiTheme="minorEastAsia" w:hAnsiTheme="minorEastAsia" w:eastAsiaTheme="minorEastAsia" w:cstheme="minorEastAsia"/>
          <w:color w:val="auto"/>
          <w:kern w:val="0"/>
          <w:szCs w:val="21"/>
          <w:highlight w:val="none"/>
        </w:rPr>
        <w:t>的</w:t>
      </w:r>
      <w:r>
        <w:rPr>
          <w:rFonts w:hint="eastAsia" w:asciiTheme="minorEastAsia" w:hAnsiTheme="minorEastAsia" w:eastAsiaTheme="minorEastAsia" w:cstheme="minorEastAsia"/>
          <w:i/>
          <w:color w:val="auto"/>
          <w:kern w:val="0"/>
          <w:szCs w:val="21"/>
          <w:highlight w:val="none"/>
          <w:u w:val="single"/>
        </w:rPr>
        <w:t>（项目名称）</w:t>
      </w:r>
      <w:r>
        <w:rPr>
          <w:rFonts w:hint="eastAsia" w:asciiTheme="minorEastAsia" w:hAnsiTheme="minorEastAsia" w:eastAsiaTheme="minorEastAsia" w:cstheme="minorEastAsia"/>
          <w:color w:val="auto"/>
          <w:kern w:val="0"/>
          <w:szCs w:val="21"/>
          <w:highlight w:val="none"/>
        </w:rPr>
        <w:t>采购活动，服务全部由符合政策要求的中小企业承接。相关企业（含联合体中的中小企业、签订分包意向协议的中小企业）的具体情况如下：</w:t>
      </w:r>
    </w:p>
    <w:p w14:paraId="23D691F2">
      <w:pPr>
        <w:autoSpaceDE w:val="0"/>
        <w:autoSpaceDN w:val="0"/>
        <w:adjustRightInd w:val="0"/>
        <w:spacing w:line="400" w:lineRule="exact"/>
        <w:ind w:firstLine="424" w:firstLineChars="20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1. </w:t>
      </w:r>
      <w:r>
        <w:rPr>
          <w:rFonts w:hint="eastAsia" w:asciiTheme="minorEastAsia" w:hAnsiTheme="minorEastAsia" w:eastAsiaTheme="minorEastAsia" w:cstheme="minorEastAsia"/>
          <w:i/>
          <w:color w:val="auto"/>
          <w:kern w:val="0"/>
          <w:szCs w:val="21"/>
          <w:highlight w:val="none"/>
          <w:u w:val="single"/>
        </w:rPr>
        <w:t>（标的名称）</w:t>
      </w:r>
      <w:r>
        <w:rPr>
          <w:rFonts w:hint="eastAsia" w:asciiTheme="minorEastAsia" w:hAnsiTheme="minorEastAsia" w:eastAsiaTheme="minorEastAsia" w:cstheme="minorEastAsia"/>
          <w:color w:val="auto"/>
          <w:kern w:val="0"/>
          <w:szCs w:val="21"/>
          <w:highlight w:val="none"/>
        </w:rPr>
        <w:t>，属于</w:t>
      </w:r>
      <w:r>
        <w:rPr>
          <w:rFonts w:hint="eastAsia" w:asciiTheme="minorEastAsia" w:hAnsiTheme="minorEastAsia" w:eastAsiaTheme="minorEastAsia" w:cstheme="minorEastAsia"/>
          <w:i/>
          <w:color w:val="auto"/>
          <w:kern w:val="0"/>
          <w:szCs w:val="21"/>
          <w:highlight w:val="none"/>
          <w:u w:val="single"/>
        </w:rPr>
        <w:t>（招标文件中明确的所属行业）</w:t>
      </w:r>
      <w:r>
        <w:rPr>
          <w:rFonts w:hint="eastAsia" w:asciiTheme="minorEastAsia" w:hAnsiTheme="minorEastAsia" w:eastAsiaTheme="minorEastAsia" w:cstheme="minorEastAsia"/>
          <w:color w:val="auto"/>
          <w:kern w:val="0"/>
          <w:szCs w:val="21"/>
          <w:highlight w:val="none"/>
        </w:rPr>
        <w:t>；承建（承接）企业为</w:t>
      </w:r>
      <w:r>
        <w:rPr>
          <w:rFonts w:hint="eastAsia" w:asciiTheme="minorEastAsia" w:hAnsiTheme="minorEastAsia" w:eastAsiaTheme="minorEastAsia" w:cstheme="minorEastAsia"/>
          <w:i/>
          <w:color w:val="auto"/>
          <w:kern w:val="0"/>
          <w:szCs w:val="21"/>
          <w:highlight w:val="none"/>
          <w:u w:val="single"/>
        </w:rPr>
        <w:t>（企业名称）</w:t>
      </w:r>
      <w:r>
        <w:rPr>
          <w:rFonts w:hint="eastAsia" w:asciiTheme="minorEastAsia" w:hAnsiTheme="minorEastAsia" w:eastAsiaTheme="minorEastAsia" w:cstheme="minorEastAsia"/>
          <w:color w:val="auto"/>
          <w:kern w:val="0"/>
          <w:szCs w:val="21"/>
          <w:highlight w:val="none"/>
        </w:rPr>
        <w:t>，从业人员人，营业收入为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万元，资产总额为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万元，属于</w:t>
      </w:r>
      <w:r>
        <w:rPr>
          <w:rFonts w:hint="eastAsia" w:asciiTheme="minorEastAsia" w:hAnsiTheme="minorEastAsia" w:eastAsiaTheme="minorEastAsia" w:cstheme="minorEastAsia"/>
          <w:i/>
          <w:color w:val="auto"/>
          <w:kern w:val="0"/>
          <w:szCs w:val="21"/>
          <w:highlight w:val="none"/>
          <w:u w:val="single"/>
        </w:rPr>
        <w:t>（中型企业、小型企业、微型企业）</w:t>
      </w:r>
      <w:r>
        <w:rPr>
          <w:rFonts w:hint="eastAsia" w:asciiTheme="minorEastAsia" w:hAnsiTheme="minorEastAsia" w:eastAsiaTheme="minorEastAsia" w:cstheme="minorEastAsia"/>
          <w:color w:val="auto"/>
          <w:kern w:val="0"/>
          <w:szCs w:val="21"/>
          <w:highlight w:val="none"/>
        </w:rPr>
        <w:t>；</w:t>
      </w:r>
    </w:p>
    <w:p w14:paraId="79A9A3B6">
      <w:pPr>
        <w:autoSpaceDE w:val="0"/>
        <w:autoSpaceDN w:val="0"/>
        <w:adjustRightInd w:val="0"/>
        <w:spacing w:line="400" w:lineRule="exact"/>
        <w:ind w:firstLine="424" w:firstLineChars="20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2. </w:t>
      </w:r>
      <w:r>
        <w:rPr>
          <w:rFonts w:hint="eastAsia" w:asciiTheme="minorEastAsia" w:hAnsiTheme="minorEastAsia" w:eastAsiaTheme="minorEastAsia" w:cstheme="minorEastAsia"/>
          <w:i/>
          <w:color w:val="auto"/>
          <w:kern w:val="0"/>
          <w:szCs w:val="21"/>
          <w:highlight w:val="none"/>
          <w:u w:val="single"/>
        </w:rPr>
        <w:t>（标的名称）</w:t>
      </w:r>
      <w:r>
        <w:rPr>
          <w:rFonts w:hint="eastAsia" w:asciiTheme="minorEastAsia" w:hAnsiTheme="minorEastAsia" w:eastAsiaTheme="minorEastAsia" w:cstheme="minorEastAsia"/>
          <w:color w:val="auto"/>
          <w:kern w:val="0"/>
          <w:szCs w:val="21"/>
          <w:highlight w:val="none"/>
        </w:rPr>
        <w:t>，属于</w:t>
      </w:r>
      <w:r>
        <w:rPr>
          <w:rFonts w:hint="eastAsia" w:asciiTheme="minorEastAsia" w:hAnsiTheme="minorEastAsia" w:eastAsiaTheme="minorEastAsia" w:cstheme="minorEastAsia"/>
          <w:i/>
          <w:color w:val="auto"/>
          <w:kern w:val="0"/>
          <w:szCs w:val="21"/>
          <w:highlight w:val="none"/>
          <w:u w:val="single"/>
        </w:rPr>
        <w:t>（招标文件中明确的所属行业）</w:t>
      </w:r>
      <w:r>
        <w:rPr>
          <w:rFonts w:hint="eastAsia" w:asciiTheme="minorEastAsia" w:hAnsiTheme="minorEastAsia" w:eastAsiaTheme="minorEastAsia" w:cstheme="minorEastAsia"/>
          <w:color w:val="auto"/>
          <w:kern w:val="0"/>
          <w:szCs w:val="21"/>
          <w:highlight w:val="none"/>
        </w:rPr>
        <w:t>；承建（承接）企业为</w:t>
      </w:r>
      <w:r>
        <w:rPr>
          <w:rFonts w:hint="eastAsia" w:asciiTheme="minorEastAsia" w:hAnsiTheme="minorEastAsia" w:eastAsiaTheme="minorEastAsia" w:cstheme="minorEastAsia"/>
          <w:i/>
          <w:color w:val="auto"/>
          <w:kern w:val="0"/>
          <w:szCs w:val="21"/>
          <w:highlight w:val="none"/>
          <w:u w:val="single"/>
        </w:rPr>
        <w:t>（企业名称）</w:t>
      </w:r>
      <w:r>
        <w:rPr>
          <w:rFonts w:hint="eastAsia" w:asciiTheme="minorEastAsia" w:hAnsiTheme="minorEastAsia" w:eastAsiaTheme="minorEastAsia" w:cstheme="minorEastAsia"/>
          <w:color w:val="auto"/>
          <w:kern w:val="0"/>
          <w:szCs w:val="21"/>
          <w:highlight w:val="none"/>
        </w:rPr>
        <w:t>，从业人员人，营业收入为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万元，资产总额为</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万元，属于</w:t>
      </w:r>
      <w:r>
        <w:rPr>
          <w:rFonts w:hint="eastAsia" w:asciiTheme="minorEastAsia" w:hAnsiTheme="minorEastAsia" w:eastAsiaTheme="minorEastAsia" w:cstheme="minorEastAsia"/>
          <w:i/>
          <w:color w:val="auto"/>
          <w:kern w:val="0"/>
          <w:szCs w:val="21"/>
          <w:highlight w:val="none"/>
          <w:u w:val="single"/>
        </w:rPr>
        <w:t>（中型企业、小型企业、微型企业）</w:t>
      </w:r>
      <w:r>
        <w:rPr>
          <w:rFonts w:hint="eastAsia" w:asciiTheme="minorEastAsia" w:hAnsiTheme="minorEastAsia" w:eastAsiaTheme="minorEastAsia" w:cstheme="minorEastAsia"/>
          <w:color w:val="auto"/>
          <w:kern w:val="0"/>
          <w:szCs w:val="21"/>
          <w:highlight w:val="none"/>
        </w:rPr>
        <w:t>；</w:t>
      </w:r>
    </w:p>
    <w:p w14:paraId="7BFA8329">
      <w:pPr>
        <w:autoSpaceDE w:val="0"/>
        <w:autoSpaceDN w:val="0"/>
        <w:adjustRightInd w:val="0"/>
        <w:spacing w:line="400" w:lineRule="exact"/>
        <w:ind w:firstLine="424" w:firstLineChars="20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w:t>
      </w:r>
    </w:p>
    <w:p w14:paraId="5486BA73">
      <w:pPr>
        <w:autoSpaceDE w:val="0"/>
        <w:autoSpaceDN w:val="0"/>
        <w:adjustRightInd w:val="0"/>
        <w:spacing w:line="400" w:lineRule="exact"/>
        <w:ind w:firstLine="424" w:firstLineChars="20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以上企业，不属于大企业的分支机构，不存在控股股东为大企业的情形，也不存在与大企业的负责人为同一人的情形。</w:t>
      </w:r>
    </w:p>
    <w:p w14:paraId="4FAB9FAC">
      <w:pPr>
        <w:autoSpaceDE w:val="0"/>
        <w:autoSpaceDN w:val="0"/>
        <w:adjustRightInd w:val="0"/>
        <w:spacing w:line="400" w:lineRule="exact"/>
        <w:ind w:firstLine="424" w:firstLineChars="202"/>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本企业对上述声明内容的真实性负责。如有虚假，将依法承担相应责任。</w:t>
      </w:r>
    </w:p>
    <w:p w14:paraId="061977C8">
      <w:pPr>
        <w:autoSpaceDE w:val="0"/>
        <w:autoSpaceDN w:val="0"/>
        <w:adjustRightInd w:val="0"/>
        <w:spacing w:line="400" w:lineRule="exact"/>
        <w:ind w:firstLine="424" w:firstLineChars="202"/>
        <w:jc w:val="left"/>
        <w:rPr>
          <w:rFonts w:hint="eastAsia" w:asciiTheme="minorEastAsia" w:hAnsiTheme="minorEastAsia" w:eastAsiaTheme="minorEastAsia" w:cstheme="minorEastAsia"/>
          <w:color w:val="auto"/>
          <w:kern w:val="0"/>
          <w:szCs w:val="21"/>
          <w:highlight w:val="none"/>
        </w:rPr>
      </w:pPr>
    </w:p>
    <w:p w14:paraId="1A14F585">
      <w:pPr>
        <w:autoSpaceDE w:val="0"/>
        <w:autoSpaceDN w:val="0"/>
        <w:adjustRightInd w:val="0"/>
        <w:spacing w:line="400" w:lineRule="exact"/>
        <w:ind w:firstLine="3990" w:firstLineChars="19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企业名称（盖章）：</w:t>
      </w:r>
    </w:p>
    <w:p w14:paraId="311BBC32">
      <w:pPr>
        <w:spacing w:line="360" w:lineRule="auto"/>
        <w:ind w:firstLine="4410" w:firstLineChars="2100"/>
        <w:rPr>
          <w:rFonts w:hint="eastAsia" w:ascii="宋体" w:hAnsi="宋体" w:cs="仿宋_GB2312"/>
          <w:color w:val="auto"/>
          <w:szCs w:val="21"/>
          <w:highlight w:val="none"/>
        </w:rPr>
      </w:pPr>
      <w:r>
        <w:rPr>
          <w:rFonts w:hint="eastAsia" w:asciiTheme="minorEastAsia" w:hAnsiTheme="minorEastAsia" w:eastAsiaTheme="minorEastAsia" w:cstheme="minorEastAsia"/>
          <w:color w:val="auto"/>
          <w:kern w:val="0"/>
          <w:szCs w:val="21"/>
          <w:highlight w:val="none"/>
        </w:rPr>
        <w:t>日期：</w:t>
      </w:r>
    </w:p>
    <w:p w14:paraId="100F8B94">
      <w:pPr>
        <w:spacing w:line="360" w:lineRule="auto"/>
        <w:rPr>
          <w:rFonts w:hint="eastAsia" w:ascii="宋体" w:hAnsi="宋体" w:cs="仿宋_GB2312"/>
          <w:color w:val="auto"/>
          <w:szCs w:val="21"/>
          <w:highlight w:val="none"/>
        </w:rPr>
      </w:pPr>
      <w:r>
        <w:rPr>
          <w:rFonts w:hint="eastAsia" w:ascii="宋体" w:hAnsi="宋体" w:cs="仿宋_GB2312"/>
          <w:color w:val="auto"/>
          <w:szCs w:val="21"/>
          <w:highlight w:val="none"/>
        </w:rPr>
        <w:t>注：</w:t>
      </w:r>
    </w:p>
    <w:p w14:paraId="3F6A7632">
      <w:pPr>
        <w:spacing w:line="360" w:lineRule="auto"/>
        <w:rPr>
          <w:rFonts w:hint="eastAsia" w:ascii="宋体" w:hAnsi="宋体" w:cs="仿宋_GB2312"/>
          <w:color w:val="auto"/>
          <w:szCs w:val="21"/>
          <w:highlight w:val="none"/>
        </w:rPr>
      </w:pPr>
      <w:r>
        <w:rPr>
          <w:rFonts w:hint="eastAsia" w:ascii="宋体" w:hAnsi="宋体" w:cs="仿宋_GB2312"/>
          <w:color w:val="auto"/>
          <w:szCs w:val="21"/>
          <w:highlight w:val="none"/>
        </w:rPr>
        <w:t>（1）请根据自己的真实情况出具《中小企业声明函》。依法享受中小企业优惠政策的，采购人或者采购代理机构在公告成交结果时，同时公告其《中小企业声明函》，接受社会监督。</w:t>
      </w:r>
    </w:p>
    <w:p w14:paraId="7245364D">
      <w:pPr>
        <w:spacing w:line="360" w:lineRule="auto"/>
        <w:rPr>
          <w:rFonts w:ascii="Calibri" w:hAnsi="Calibri"/>
          <w:color w:val="auto"/>
          <w:highlight w:val="none"/>
        </w:rPr>
      </w:pPr>
      <w:r>
        <w:rPr>
          <w:rFonts w:hint="eastAsia" w:ascii="Calibri" w:hAnsi="Calibri"/>
          <w:color w:val="auto"/>
          <w:highlight w:val="none"/>
        </w:rPr>
        <w:t>（2）从业人员、营业收入、资产总额填报上一年度数据，无上一年度数据的新成立企业可不填报</w:t>
      </w:r>
    </w:p>
    <w:p w14:paraId="64411584">
      <w:pPr>
        <w:snapToGrid w:val="0"/>
        <w:spacing w:before="120" w:beforeLines="50" w:after="240" w:afterLines="100"/>
        <w:outlineLvl w:val="2"/>
        <w:rPr>
          <w:rFonts w:hint="eastAsia" w:ascii="宋体" w:hAnsi="宋体"/>
          <w:b/>
          <w:bCs/>
          <w:color w:val="auto"/>
          <w:szCs w:val="21"/>
          <w:highlight w:val="none"/>
        </w:rPr>
      </w:pPr>
      <w:r>
        <w:rPr>
          <w:rFonts w:ascii="宋体" w:hAnsi="宋体"/>
          <w:b/>
          <w:color w:val="auto"/>
          <w:sz w:val="32"/>
          <w:szCs w:val="32"/>
          <w:highlight w:val="none"/>
        </w:rPr>
        <w:br w:type="page"/>
      </w:r>
      <w:r>
        <w:rPr>
          <w:rFonts w:hint="eastAsia" w:ascii="宋体" w:hAnsi="宋体"/>
          <w:b/>
          <w:bCs/>
          <w:color w:val="auto"/>
          <w:szCs w:val="21"/>
          <w:highlight w:val="none"/>
        </w:rPr>
        <w:t>（十三）监狱企业声明函</w:t>
      </w:r>
    </w:p>
    <w:p w14:paraId="2FE3585F">
      <w:pPr>
        <w:snapToGrid w:val="0"/>
        <w:spacing w:before="120" w:beforeLines="50" w:after="240" w:afterLines="100"/>
        <w:jc w:val="center"/>
        <w:rPr>
          <w:rFonts w:hint="eastAsia" w:ascii="宋体" w:hAnsi="宋体"/>
          <w:b/>
          <w:color w:val="auto"/>
          <w:sz w:val="32"/>
          <w:szCs w:val="32"/>
          <w:highlight w:val="none"/>
        </w:rPr>
      </w:pPr>
      <w:r>
        <w:rPr>
          <w:rFonts w:hint="eastAsia" w:ascii="宋体" w:hAnsi="宋体"/>
          <w:b/>
          <w:color w:val="auto"/>
          <w:sz w:val="32"/>
          <w:szCs w:val="32"/>
          <w:highlight w:val="none"/>
        </w:rPr>
        <w:t>监狱企业声明函</w:t>
      </w:r>
    </w:p>
    <w:p w14:paraId="3FC2122C">
      <w:pPr>
        <w:autoSpaceDE w:val="0"/>
        <w:autoSpaceDN w:val="0"/>
        <w:adjustRightInd w:val="0"/>
        <w:snapToGrid w:val="0"/>
        <w:spacing w:line="360" w:lineRule="auto"/>
        <w:ind w:firstLine="420" w:firstLineChars="200"/>
        <w:rPr>
          <w:rFonts w:ascii="宋体"/>
          <w:color w:val="auto"/>
          <w:kern w:val="0"/>
          <w:highlight w:val="none"/>
        </w:rPr>
      </w:pPr>
      <w:r>
        <w:rPr>
          <w:rFonts w:hint="eastAsia" w:ascii="宋体" w:hAnsi="宋体"/>
          <w:color w:val="auto"/>
          <w:kern w:val="0"/>
          <w:highlight w:val="none"/>
        </w:rPr>
        <w:t>本公司郑重声明，根据《关于政府采购支持监狱企业发展有关问题的通知》（财库</w:t>
      </w:r>
      <w:r>
        <w:rPr>
          <w:rFonts w:ascii="宋体" w:hAnsi="宋体"/>
          <w:color w:val="auto"/>
          <w:kern w:val="0"/>
          <w:highlight w:val="none"/>
        </w:rPr>
        <w:t>[2014]68</w:t>
      </w:r>
      <w:r>
        <w:rPr>
          <w:rFonts w:hint="eastAsia" w:ascii="宋体" w:hAnsi="宋体"/>
          <w:color w:val="auto"/>
          <w:kern w:val="0"/>
          <w:highlight w:val="none"/>
        </w:rPr>
        <w:t>号）的规定，本公司为监狱企业。即，本公司同时满足以下条件：</w:t>
      </w:r>
    </w:p>
    <w:p w14:paraId="133FFDC6">
      <w:pPr>
        <w:autoSpaceDE w:val="0"/>
        <w:autoSpaceDN w:val="0"/>
        <w:adjustRightInd w:val="0"/>
        <w:snapToGrid w:val="0"/>
        <w:spacing w:line="360" w:lineRule="auto"/>
        <w:ind w:firstLine="420" w:firstLineChars="200"/>
        <w:jc w:val="left"/>
        <w:rPr>
          <w:rFonts w:ascii="宋体"/>
          <w:color w:val="auto"/>
          <w:kern w:val="0"/>
          <w:highlight w:val="none"/>
        </w:rPr>
      </w:pPr>
      <w:r>
        <w:rPr>
          <w:rFonts w:ascii="宋体" w:hAnsi="宋体"/>
          <w:color w:val="auto"/>
          <w:kern w:val="0"/>
          <w:highlight w:val="none"/>
        </w:rPr>
        <w:t>1.</w:t>
      </w:r>
      <w:r>
        <w:rPr>
          <w:rFonts w:hint="eastAsia" w:ascii="宋体" w:hAnsi="宋体"/>
          <w:color w:val="auto"/>
          <w:kern w:val="0"/>
          <w:highlight w:val="none"/>
        </w:rPr>
        <w:t>根据《关于政府采购支持监狱企业发展有关问题的通知》（财库</w:t>
      </w:r>
      <w:r>
        <w:rPr>
          <w:rFonts w:ascii="宋体" w:hAnsi="宋体"/>
          <w:color w:val="auto"/>
          <w:kern w:val="0"/>
          <w:highlight w:val="none"/>
        </w:rPr>
        <w:t>[2014]68</w:t>
      </w:r>
      <w:r>
        <w:rPr>
          <w:rFonts w:hint="eastAsia" w:ascii="宋体" w:hAnsi="宋体"/>
          <w:color w:val="auto"/>
          <w:kern w:val="0"/>
          <w:highlight w:val="none"/>
        </w:rPr>
        <w:t>号）规定的标准，本公司是由司法部认定的为罪犯、戒毒人员提供生产项目和劳动对象，且全部产权属于司法部监狱管理局、戒毒管理局、直属煤矿管理局，各省、自治区、直辖市监狱管理局、戒毒管理局，各地</w:t>
      </w:r>
      <w:r>
        <w:rPr>
          <w:rFonts w:ascii="宋体" w:hAnsi="宋体"/>
          <w:color w:val="auto"/>
          <w:kern w:val="0"/>
          <w:highlight w:val="none"/>
        </w:rPr>
        <w:t>(</w:t>
      </w:r>
      <w:r>
        <w:rPr>
          <w:rFonts w:hint="eastAsia" w:ascii="宋体" w:hAnsi="宋体"/>
          <w:color w:val="auto"/>
          <w:kern w:val="0"/>
          <w:highlight w:val="none"/>
        </w:rPr>
        <w:t>设区的市</w:t>
      </w:r>
      <w:r>
        <w:rPr>
          <w:rFonts w:ascii="宋体" w:hAnsi="宋体"/>
          <w:color w:val="auto"/>
          <w:kern w:val="0"/>
          <w:highlight w:val="none"/>
        </w:rPr>
        <w:t>)</w:t>
      </w:r>
      <w:r>
        <w:rPr>
          <w:rFonts w:hint="eastAsia" w:ascii="宋体" w:hAnsi="宋体"/>
          <w:color w:val="auto"/>
          <w:kern w:val="0"/>
          <w:highlight w:val="none"/>
        </w:rPr>
        <w:t>监狱、强制隔离戒毒所、戒毒康复所，以及新疆生产建设兵团监狱管理局、戒毒管理局的企业。</w:t>
      </w:r>
    </w:p>
    <w:p w14:paraId="18F75BF7">
      <w:pPr>
        <w:autoSpaceDE w:val="0"/>
        <w:autoSpaceDN w:val="0"/>
        <w:adjustRightInd w:val="0"/>
        <w:snapToGrid w:val="0"/>
        <w:spacing w:line="360" w:lineRule="auto"/>
        <w:ind w:firstLine="420" w:firstLineChars="200"/>
        <w:jc w:val="left"/>
        <w:rPr>
          <w:rFonts w:ascii="宋体"/>
          <w:color w:val="auto"/>
          <w:kern w:val="0"/>
          <w:highlight w:val="none"/>
        </w:rPr>
      </w:pPr>
      <w:r>
        <w:rPr>
          <w:rFonts w:ascii="宋体" w:hAnsi="宋体"/>
          <w:color w:val="auto"/>
          <w:kern w:val="0"/>
          <w:highlight w:val="none"/>
        </w:rPr>
        <w:t>2.</w:t>
      </w:r>
      <w:r>
        <w:rPr>
          <w:rFonts w:hint="eastAsia" w:ascii="宋体" w:hAnsi="宋体"/>
          <w:color w:val="auto"/>
          <w:kern w:val="0"/>
          <w:highlight w:val="none"/>
        </w:rPr>
        <w:t>本公司参加</w:t>
      </w:r>
      <w:r>
        <w:rPr>
          <w:rFonts w:ascii="宋体" w:hAnsi="宋体"/>
          <w:color w:val="auto"/>
          <w:kern w:val="0"/>
          <w:highlight w:val="none"/>
          <w:u w:val="single"/>
        </w:rPr>
        <w:t xml:space="preserve">                           </w:t>
      </w:r>
      <w:r>
        <w:rPr>
          <w:rFonts w:hint="eastAsia" w:ascii="宋体" w:hAnsi="宋体"/>
          <w:color w:val="auto"/>
          <w:kern w:val="0"/>
          <w:highlight w:val="none"/>
        </w:rPr>
        <w:t>项目（项目编号：</w:t>
      </w:r>
      <w:r>
        <w:rPr>
          <w:rFonts w:ascii="宋体" w:hAnsi="宋体"/>
          <w:color w:val="auto"/>
          <w:kern w:val="0"/>
          <w:highlight w:val="none"/>
          <w:u w:val="single"/>
        </w:rPr>
        <w:t xml:space="preserve">            </w:t>
      </w:r>
      <w:r>
        <w:rPr>
          <w:rFonts w:hint="eastAsia" w:ascii="宋体" w:hAnsi="宋体"/>
          <w:color w:val="auto"/>
          <w:kern w:val="0"/>
          <w:highlight w:val="none"/>
        </w:rPr>
        <w:t>）采购活动时提供的是本企业的产品（包括由本企业承担的工程和提供的服务），或者提供的是其他监狱企业制造的产品。</w:t>
      </w:r>
    </w:p>
    <w:p w14:paraId="648FCDB2">
      <w:pPr>
        <w:autoSpaceDE w:val="0"/>
        <w:autoSpaceDN w:val="0"/>
        <w:adjustRightInd w:val="0"/>
        <w:snapToGrid w:val="0"/>
        <w:spacing w:line="360" w:lineRule="auto"/>
        <w:ind w:firstLine="420" w:firstLineChars="200"/>
        <w:jc w:val="left"/>
        <w:rPr>
          <w:rFonts w:ascii="宋体"/>
          <w:color w:val="auto"/>
          <w:kern w:val="0"/>
          <w:highlight w:val="none"/>
        </w:rPr>
      </w:pPr>
      <w:r>
        <w:rPr>
          <w:rFonts w:hint="eastAsia" w:ascii="宋体" w:hAnsi="宋体"/>
          <w:color w:val="auto"/>
          <w:kern w:val="0"/>
          <w:highlight w:val="none"/>
        </w:rPr>
        <w:t>本公司对上述声明的真实性负责。如有虚假，将依法承担相应责任。</w:t>
      </w:r>
    </w:p>
    <w:p w14:paraId="7BD323FD">
      <w:pPr>
        <w:autoSpaceDE w:val="0"/>
        <w:autoSpaceDN w:val="0"/>
        <w:adjustRightInd w:val="0"/>
        <w:snapToGrid w:val="0"/>
        <w:spacing w:line="360" w:lineRule="auto"/>
        <w:ind w:firstLine="422" w:firstLineChars="200"/>
        <w:jc w:val="left"/>
        <w:rPr>
          <w:rFonts w:ascii="宋体"/>
          <w:b/>
          <w:color w:val="auto"/>
          <w:kern w:val="0"/>
          <w:highlight w:val="none"/>
        </w:rPr>
      </w:pPr>
      <w:r>
        <w:rPr>
          <w:rFonts w:hint="eastAsia" w:ascii="宋体" w:hAnsi="宋体"/>
          <w:b/>
          <w:color w:val="auto"/>
          <w:kern w:val="0"/>
          <w:highlight w:val="none"/>
        </w:rPr>
        <w:t>附件：省级以上监狱管理局、戒毒管理局</w:t>
      </w:r>
      <w:r>
        <w:rPr>
          <w:rFonts w:ascii="宋体" w:hAnsi="宋体"/>
          <w:b/>
          <w:color w:val="auto"/>
          <w:kern w:val="0"/>
          <w:highlight w:val="none"/>
        </w:rPr>
        <w:t>(</w:t>
      </w:r>
      <w:r>
        <w:rPr>
          <w:rFonts w:hint="eastAsia" w:ascii="宋体" w:hAnsi="宋体"/>
          <w:b/>
          <w:color w:val="auto"/>
          <w:kern w:val="0"/>
          <w:highlight w:val="none"/>
        </w:rPr>
        <w:t>含新疆生产建设兵团</w:t>
      </w:r>
      <w:r>
        <w:rPr>
          <w:rFonts w:ascii="宋体" w:hAnsi="宋体"/>
          <w:b/>
          <w:color w:val="auto"/>
          <w:kern w:val="0"/>
          <w:highlight w:val="none"/>
        </w:rPr>
        <w:t>)</w:t>
      </w:r>
      <w:r>
        <w:rPr>
          <w:rFonts w:hint="eastAsia" w:ascii="宋体" w:hAnsi="宋体"/>
          <w:b/>
          <w:color w:val="auto"/>
          <w:kern w:val="0"/>
          <w:highlight w:val="none"/>
        </w:rPr>
        <w:t>出具的属于监狱企业的证明文件</w:t>
      </w:r>
    </w:p>
    <w:p w14:paraId="6E18AA8D">
      <w:pPr>
        <w:rPr>
          <w:rFonts w:ascii="金山简黑体" w:hAnsi="Courier New" w:eastAsia="金山简黑体"/>
          <w:b/>
          <w:color w:val="auto"/>
          <w:spacing w:val="-8"/>
          <w:sz w:val="44"/>
          <w:szCs w:val="20"/>
          <w:highlight w:val="none"/>
        </w:rPr>
      </w:pPr>
    </w:p>
    <w:p w14:paraId="4353D6FD">
      <w:pPr>
        <w:spacing w:line="360" w:lineRule="auto"/>
        <w:rPr>
          <w:rFonts w:hint="eastAsia" w:ascii="宋体" w:hAnsi="宋体" w:cs="仿宋_GB2312"/>
          <w:color w:val="auto"/>
          <w:szCs w:val="21"/>
          <w:highlight w:val="none"/>
        </w:rPr>
      </w:pPr>
      <w:r>
        <w:rPr>
          <w:rFonts w:hint="eastAsia" w:ascii="宋体" w:hAnsi="宋体" w:cs="仿宋_GB2312"/>
          <w:color w:val="auto"/>
          <w:szCs w:val="21"/>
          <w:highlight w:val="none"/>
        </w:rPr>
        <w:t xml:space="preserve">                     企业名称（盖章）：</w:t>
      </w:r>
    </w:p>
    <w:p w14:paraId="026B73D1">
      <w:pPr>
        <w:spacing w:line="360" w:lineRule="auto"/>
        <w:rPr>
          <w:rFonts w:hint="eastAsia" w:ascii="宋体" w:hAnsi="宋体" w:cs="仿宋_GB2312"/>
          <w:color w:val="auto"/>
          <w:szCs w:val="21"/>
          <w:highlight w:val="none"/>
        </w:rPr>
      </w:pPr>
      <w:r>
        <w:rPr>
          <w:rFonts w:hint="eastAsia" w:ascii="宋体" w:hAnsi="宋体" w:cs="仿宋_GB2312"/>
          <w:color w:val="auto"/>
          <w:szCs w:val="21"/>
          <w:highlight w:val="none"/>
        </w:rPr>
        <w:t xml:space="preserve">                               日  期：</w:t>
      </w:r>
    </w:p>
    <w:p w14:paraId="6F46CC79">
      <w:pPr>
        <w:spacing w:line="360" w:lineRule="auto"/>
        <w:rPr>
          <w:rFonts w:hint="eastAsia" w:ascii="宋体" w:hAnsi="宋体" w:cs="仿宋_GB2312"/>
          <w:color w:val="auto"/>
          <w:szCs w:val="21"/>
          <w:highlight w:val="none"/>
        </w:rPr>
      </w:pPr>
      <w:r>
        <w:rPr>
          <w:rFonts w:hint="eastAsia" w:ascii="宋体" w:hAnsi="宋体" w:cs="仿宋_GB2312"/>
          <w:color w:val="auto"/>
          <w:szCs w:val="21"/>
          <w:highlight w:val="none"/>
        </w:rPr>
        <w:t>注：请根据自己的真实情况出具《监狱企业声明函》。依法享受中小企业优惠政策的，采购人或者采购代理机构在公告成交结果时，同时公告其《监狱企业声明函》，接受社会监督。</w:t>
      </w:r>
    </w:p>
    <w:p w14:paraId="0A1F3CF7">
      <w:pPr>
        <w:snapToGrid w:val="0"/>
        <w:spacing w:before="120" w:beforeLines="50" w:after="240" w:afterLines="100"/>
        <w:jc w:val="left"/>
        <w:outlineLvl w:val="2"/>
        <w:rPr>
          <w:rFonts w:hint="eastAsia" w:ascii="宋体" w:hAnsi="宋体"/>
          <w:color w:val="auto"/>
          <w:sz w:val="24"/>
          <w:highlight w:val="none"/>
        </w:rPr>
      </w:pPr>
      <w:r>
        <w:rPr>
          <w:rFonts w:ascii="宋体" w:hAnsi="宋体"/>
          <w:color w:val="auto"/>
          <w:sz w:val="24"/>
          <w:highlight w:val="none"/>
        </w:rPr>
        <w:br w:type="page"/>
      </w:r>
      <w:r>
        <w:rPr>
          <w:rFonts w:hint="eastAsia" w:ascii="宋体" w:hAnsi="宋体"/>
          <w:b/>
          <w:bCs/>
          <w:color w:val="auto"/>
          <w:szCs w:val="21"/>
          <w:highlight w:val="none"/>
        </w:rPr>
        <w:t>（十四）残疾人福利性单位声明函</w:t>
      </w:r>
    </w:p>
    <w:p w14:paraId="6B7295A3">
      <w:pPr>
        <w:snapToGrid w:val="0"/>
        <w:spacing w:before="120" w:beforeLines="50" w:after="240" w:afterLines="100"/>
        <w:jc w:val="center"/>
        <w:rPr>
          <w:rFonts w:hint="eastAsia" w:ascii="仿宋_GB2312" w:hAnsi="仿宋_GB2312" w:eastAsia="仿宋_GB2312" w:cs="仿宋_GB2312"/>
          <w:color w:val="auto"/>
          <w:sz w:val="32"/>
          <w:szCs w:val="32"/>
          <w:highlight w:val="none"/>
        </w:rPr>
      </w:pPr>
      <w:r>
        <w:rPr>
          <w:rFonts w:hint="eastAsia" w:ascii="宋体" w:hAnsi="宋体"/>
          <w:b/>
          <w:color w:val="auto"/>
          <w:sz w:val="32"/>
          <w:szCs w:val="32"/>
          <w:highlight w:val="none"/>
        </w:rPr>
        <w:t>残疾人福利性单位声明函</w:t>
      </w:r>
    </w:p>
    <w:p w14:paraId="25E37A1D">
      <w:pPr>
        <w:spacing w:line="360" w:lineRule="auto"/>
        <w:ind w:firstLine="420" w:firstLineChars="200"/>
        <w:rPr>
          <w:rFonts w:hint="eastAsia" w:ascii="宋体" w:hAnsi="宋体" w:cs="仿宋_GB2312"/>
          <w:color w:val="auto"/>
          <w:szCs w:val="21"/>
          <w:highlight w:val="none"/>
        </w:rPr>
      </w:pPr>
      <w:r>
        <w:rPr>
          <w:rFonts w:hint="eastAsia" w:ascii="宋体" w:hAnsi="宋体" w:cs="仿宋_GB2312"/>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单位的</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22D07398">
      <w:pPr>
        <w:spacing w:line="360" w:lineRule="auto"/>
        <w:ind w:firstLine="420" w:firstLineChars="200"/>
        <w:rPr>
          <w:rFonts w:hint="eastAsia" w:ascii="宋体" w:hAnsi="宋体" w:cs="仿宋_GB2312"/>
          <w:color w:val="auto"/>
          <w:szCs w:val="21"/>
          <w:highlight w:val="none"/>
        </w:rPr>
      </w:pPr>
      <w:r>
        <w:rPr>
          <w:rFonts w:hint="eastAsia" w:ascii="宋体" w:hAnsi="宋体" w:cs="仿宋_GB2312"/>
          <w:color w:val="auto"/>
          <w:szCs w:val="21"/>
          <w:highlight w:val="none"/>
        </w:rPr>
        <w:t>本单位对上述声明的真实性负责。如有虚假，将依法承担相应责任。</w:t>
      </w:r>
    </w:p>
    <w:p w14:paraId="31EF4584">
      <w:pPr>
        <w:spacing w:line="360" w:lineRule="auto"/>
        <w:rPr>
          <w:rFonts w:hint="eastAsia" w:ascii="宋体" w:hAnsi="宋体" w:cs="仿宋_GB2312"/>
          <w:color w:val="auto"/>
          <w:szCs w:val="21"/>
          <w:highlight w:val="none"/>
        </w:rPr>
      </w:pPr>
    </w:p>
    <w:p w14:paraId="434AB4BE">
      <w:pPr>
        <w:spacing w:line="360" w:lineRule="auto"/>
        <w:ind w:firstLine="2100" w:firstLineChars="1000"/>
        <w:rPr>
          <w:rFonts w:hint="eastAsia" w:ascii="宋体" w:hAnsi="宋体" w:cs="仿宋_GB2312"/>
          <w:color w:val="auto"/>
          <w:szCs w:val="21"/>
          <w:highlight w:val="none"/>
        </w:rPr>
      </w:pPr>
      <w:r>
        <w:rPr>
          <w:rFonts w:hint="eastAsia" w:ascii="宋体" w:hAnsi="宋体" w:cs="仿宋_GB2312"/>
          <w:color w:val="auto"/>
          <w:szCs w:val="21"/>
          <w:highlight w:val="none"/>
        </w:rPr>
        <w:t>单位名称（盖章）：</w:t>
      </w:r>
    </w:p>
    <w:p w14:paraId="2404A40F">
      <w:pPr>
        <w:spacing w:line="360" w:lineRule="auto"/>
        <w:ind w:firstLine="3150" w:firstLineChars="1500"/>
        <w:rPr>
          <w:rFonts w:hint="eastAsia" w:ascii="宋体" w:hAnsi="宋体" w:cs="仿宋_GB2312"/>
          <w:color w:val="auto"/>
          <w:szCs w:val="21"/>
          <w:highlight w:val="none"/>
        </w:rPr>
      </w:pPr>
      <w:r>
        <w:rPr>
          <w:rFonts w:hint="eastAsia" w:ascii="宋体" w:hAnsi="宋体" w:cs="仿宋_GB2312"/>
          <w:color w:val="auto"/>
          <w:szCs w:val="21"/>
          <w:highlight w:val="none"/>
        </w:rPr>
        <w:t>日  期：</w:t>
      </w:r>
    </w:p>
    <w:p w14:paraId="61168E6B">
      <w:pPr>
        <w:spacing w:line="360" w:lineRule="auto"/>
        <w:rPr>
          <w:rFonts w:hint="eastAsia"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396276D6">
      <w:pPr>
        <w:rPr>
          <w:rFonts w:hint="eastAsia" w:ascii="宋体" w:hAnsi="宋体"/>
          <w:color w:val="auto"/>
          <w:sz w:val="24"/>
          <w:highlight w:val="none"/>
        </w:rPr>
      </w:pPr>
      <w:r>
        <w:rPr>
          <w:rFonts w:ascii="宋体" w:hAnsi="宋体"/>
          <w:color w:val="auto"/>
          <w:sz w:val="24"/>
          <w:highlight w:val="none"/>
        </w:rPr>
        <w:br w:type="page"/>
      </w:r>
    </w:p>
    <w:p w14:paraId="1175D306">
      <w:pPr>
        <w:spacing w:line="360" w:lineRule="auto"/>
        <w:jc w:val="left"/>
        <w:outlineLvl w:val="2"/>
        <w:rPr>
          <w:rFonts w:hint="eastAsia" w:ascii="宋体" w:hAnsi="宋体"/>
          <w:color w:val="auto"/>
          <w:sz w:val="24"/>
          <w:highlight w:val="none"/>
        </w:rPr>
      </w:pPr>
      <w:r>
        <w:rPr>
          <w:rFonts w:hint="eastAsia" w:ascii="宋体" w:hAnsi="宋体"/>
          <w:b/>
          <w:bCs/>
          <w:color w:val="auto"/>
          <w:szCs w:val="21"/>
          <w:highlight w:val="none"/>
        </w:rPr>
        <w:t>（十五）质疑函（格式）</w:t>
      </w:r>
    </w:p>
    <w:p w14:paraId="702D5A81">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质疑函（格式）</w:t>
      </w:r>
    </w:p>
    <w:p w14:paraId="16F5F217">
      <w:pPr>
        <w:pStyle w:val="23"/>
        <w:snapToGrid w:val="0"/>
        <w:spacing w:line="360" w:lineRule="auto"/>
        <w:ind w:firstLine="422" w:firstLineChars="200"/>
        <w:rPr>
          <w:rFonts w:hint="eastAsia" w:hAnsi="宋体"/>
          <w:b/>
          <w:bCs/>
          <w:color w:val="auto"/>
          <w:sz w:val="21"/>
          <w:highlight w:val="none"/>
        </w:rPr>
      </w:pPr>
      <w:r>
        <w:rPr>
          <w:rFonts w:hint="eastAsia" w:hAnsi="宋体"/>
          <w:b/>
          <w:bCs/>
          <w:color w:val="auto"/>
          <w:sz w:val="21"/>
          <w:highlight w:val="none"/>
        </w:rPr>
        <w:t>一、质疑供应商基本信息：</w:t>
      </w:r>
    </w:p>
    <w:p w14:paraId="74550D22">
      <w:pPr>
        <w:pStyle w:val="23"/>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质疑供应商：</w:t>
      </w:r>
      <w:r>
        <w:rPr>
          <w:rFonts w:hAnsi="宋体"/>
          <w:bCs/>
          <w:color w:val="auto"/>
          <w:sz w:val="21"/>
          <w:highlight w:val="none"/>
          <w:u w:val="single"/>
        </w:rPr>
        <w:t>____________________________________</w:t>
      </w:r>
    </w:p>
    <w:p w14:paraId="7DE5B4B4">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Ansi="宋体"/>
          <w:bCs/>
          <w:color w:val="auto"/>
          <w:sz w:val="21"/>
          <w:highlight w:val="none"/>
          <w:u w:val="single"/>
        </w:rPr>
        <w:t>____________</w:t>
      </w:r>
    </w:p>
    <w:p w14:paraId="70525832">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联系人</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联系电话</w:t>
      </w:r>
      <w:r>
        <w:rPr>
          <w:rFonts w:hint="eastAsia" w:hAnsi="宋体"/>
          <w:bCs/>
          <w:color w:val="auto"/>
          <w:sz w:val="21"/>
          <w:highlight w:val="none"/>
        </w:rPr>
        <w:t>：</w:t>
      </w:r>
      <w:r>
        <w:rPr>
          <w:rFonts w:hAnsi="宋体"/>
          <w:bCs/>
          <w:color w:val="auto"/>
          <w:sz w:val="21"/>
          <w:highlight w:val="none"/>
          <w:u w:val="single"/>
        </w:rPr>
        <w:t>____________</w:t>
      </w:r>
    </w:p>
    <w:p w14:paraId="220E6B47">
      <w:pPr>
        <w:pStyle w:val="23"/>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授权代表：</w:t>
      </w:r>
      <w:r>
        <w:rPr>
          <w:rFonts w:hint="eastAsia" w:hAnsi="宋体"/>
          <w:bCs/>
          <w:color w:val="auto"/>
          <w:sz w:val="21"/>
          <w:highlight w:val="none"/>
          <w:u w:val="single"/>
        </w:rPr>
        <w:t xml:space="preserve">                      </w:t>
      </w:r>
      <w:r>
        <w:rPr>
          <w:rFonts w:hAnsi="宋体"/>
          <w:bCs/>
          <w:color w:val="auto"/>
          <w:sz w:val="21"/>
          <w:highlight w:val="none"/>
        </w:rPr>
        <w:t>联系</w:t>
      </w:r>
      <w:r>
        <w:rPr>
          <w:rFonts w:hint="eastAsia" w:hAnsi="宋体"/>
          <w:bCs/>
          <w:color w:val="auto"/>
          <w:sz w:val="21"/>
          <w:highlight w:val="none"/>
        </w:rPr>
        <w:t>电话：</w:t>
      </w:r>
      <w:r>
        <w:rPr>
          <w:rFonts w:hAnsi="宋体"/>
          <w:bCs/>
          <w:color w:val="auto"/>
          <w:sz w:val="21"/>
          <w:highlight w:val="none"/>
          <w:u w:val="single"/>
        </w:rPr>
        <w:t>____________</w:t>
      </w:r>
    </w:p>
    <w:p w14:paraId="1E36590A">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Ansi="宋体"/>
          <w:bCs/>
          <w:color w:val="auto"/>
          <w:sz w:val="21"/>
          <w:highlight w:val="none"/>
          <w:u w:val="single"/>
        </w:rPr>
        <w:t>____________</w:t>
      </w:r>
    </w:p>
    <w:p w14:paraId="26028ABC">
      <w:pPr>
        <w:pStyle w:val="23"/>
        <w:snapToGrid w:val="0"/>
        <w:spacing w:line="360" w:lineRule="auto"/>
        <w:ind w:firstLine="422" w:firstLineChars="200"/>
        <w:rPr>
          <w:rFonts w:hint="eastAsia" w:hAnsi="宋体"/>
          <w:b/>
          <w:bCs/>
          <w:color w:val="auto"/>
          <w:sz w:val="21"/>
          <w:highlight w:val="none"/>
        </w:rPr>
      </w:pPr>
      <w:r>
        <w:rPr>
          <w:rFonts w:hint="eastAsia" w:hAnsi="宋体"/>
          <w:b/>
          <w:bCs/>
          <w:color w:val="auto"/>
          <w:sz w:val="21"/>
          <w:highlight w:val="none"/>
        </w:rPr>
        <w:t>二、质疑项目基本情况：</w:t>
      </w:r>
    </w:p>
    <w:p w14:paraId="4A910751">
      <w:pPr>
        <w:pStyle w:val="23"/>
        <w:spacing w:line="360" w:lineRule="auto"/>
        <w:ind w:left="25" w:leftChars="12" w:firstLine="413" w:firstLineChars="197"/>
        <w:rPr>
          <w:rFonts w:hint="eastAsia" w:hAnsi="宋体"/>
          <w:color w:val="auto"/>
          <w:sz w:val="21"/>
          <w:highlight w:val="none"/>
        </w:rPr>
      </w:pPr>
      <w:r>
        <w:rPr>
          <w:rFonts w:hint="eastAsia" w:hAnsi="宋体"/>
          <w:bCs/>
          <w:color w:val="auto"/>
          <w:sz w:val="21"/>
          <w:highlight w:val="none"/>
        </w:rPr>
        <w:t>质疑</w:t>
      </w:r>
      <w:r>
        <w:rPr>
          <w:rFonts w:hint="eastAsia" w:hAnsi="宋体"/>
          <w:color w:val="auto"/>
          <w:sz w:val="21"/>
          <w:highlight w:val="none"/>
        </w:rPr>
        <w:t>项目的名称：</w:t>
      </w:r>
      <w:r>
        <w:rPr>
          <w:rFonts w:hAnsi="宋体"/>
          <w:bCs/>
          <w:color w:val="auto"/>
          <w:sz w:val="21"/>
          <w:highlight w:val="none"/>
          <w:u w:val="single"/>
        </w:rPr>
        <w:t>____________</w:t>
      </w:r>
    </w:p>
    <w:p w14:paraId="38D29108">
      <w:pPr>
        <w:pStyle w:val="23"/>
        <w:spacing w:line="360" w:lineRule="auto"/>
        <w:ind w:left="25" w:leftChars="12" w:firstLine="413" w:firstLineChars="197"/>
        <w:rPr>
          <w:rFonts w:hint="eastAsia" w:hAnsi="宋体"/>
          <w:color w:val="auto"/>
          <w:sz w:val="21"/>
          <w:highlight w:val="none"/>
        </w:rPr>
      </w:pPr>
      <w:r>
        <w:rPr>
          <w:rFonts w:hint="eastAsia" w:hAnsi="宋体"/>
          <w:bCs/>
          <w:color w:val="auto"/>
          <w:sz w:val="21"/>
          <w:highlight w:val="none"/>
        </w:rPr>
        <w:t>质疑</w:t>
      </w:r>
      <w:r>
        <w:rPr>
          <w:rFonts w:hint="eastAsia" w:hAnsi="宋体"/>
          <w:color w:val="auto"/>
          <w:sz w:val="21"/>
          <w:highlight w:val="none"/>
        </w:rPr>
        <w:t>项目的编号：</w:t>
      </w:r>
      <w:r>
        <w:rPr>
          <w:rFonts w:hAnsi="宋体"/>
          <w:bCs/>
          <w:color w:val="auto"/>
          <w:sz w:val="21"/>
          <w:highlight w:val="none"/>
          <w:u w:val="single"/>
        </w:rPr>
        <w:t>____________</w:t>
      </w:r>
    </w:p>
    <w:p w14:paraId="0112BB3F">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采购人名称：</w:t>
      </w:r>
      <w:r>
        <w:rPr>
          <w:rFonts w:hAnsi="宋体"/>
          <w:bCs/>
          <w:color w:val="auto"/>
          <w:sz w:val="21"/>
          <w:highlight w:val="none"/>
          <w:u w:val="single"/>
        </w:rPr>
        <w:t>____________</w:t>
      </w:r>
    </w:p>
    <w:p w14:paraId="46A62379">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质疑事项：</w:t>
      </w:r>
    </w:p>
    <w:p w14:paraId="6EABACA7">
      <w:pPr>
        <w:pStyle w:val="23"/>
        <w:spacing w:line="360" w:lineRule="auto"/>
        <w:ind w:left="25" w:leftChars="12" w:firstLine="308" w:firstLineChars="147"/>
        <w:rPr>
          <w:rFonts w:hint="eastAsia" w:hAnsi="宋体"/>
          <w:color w:val="auto"/>
          <w:sz w:val="21"/>
          <w:highlight w:val="none"/>
        </w:rPr>
      </w:pPr>
      <w:r>
        <w:rPr>
          <w:rFonts w:hint="eastAsia" w:hAnsi="宋体"/>
          <w:color w:val="auto"/>
          <w:sz w:val="21"/>
          <w:highlight w:val="none"/>
        </w:rPr>
        <w:t>□招标文件   招标文件获取日期：</w:t>
      </w:r>
      <w:r>
        <w:rPr>
          <w:rFonts w:hint="eastAsia" w:hAnsi="宋体"/>
          <w:bCs/>
          <w:color w:val="auto"/>
          <w:sz w:val="21"/>
          <w:highlight w:val="none"/>
          <w:u w:val="single"/>
        </w:rPr>
        <w:t xml:space="preserve">                                   </w:t>
      </w:r>
    </w:p>
    <w:p w14:paraId="4B0B63DA">
      <w:pPr>
        <w:pStyle w:val="23"/>
        <w:spacing w:line="360" w:lineRule="auto"/>
        <w:ind w:left="25" w:leftChars="12" w:firstLine="308" w:firstLineChars="147"/>
        <w:rPr>
          <w:rFonts w:hint="eastAsia" w:hAnsi="宋体"/>
          <w:color w:val="auto"/>
          <w:sz w:val="21"/>
          <w:highlight w:val="none"/>
        </w:rPr>
      </w:pPr>
      <w:r>
        <w:rPr>
          <w:rFonts w:hint="eastAsia" w:hAnsi="宋体"/>
          <w:color w:val="auto"/>
          <w:sz w:val="21"/>
          <w:highlight w:val="none"/>
        </w:rPr>
        <w:t>□采购过程</w:t>
      </w:r>
    </w:p>
    <w:p w14:paraId="0F026C4D">
      <w:pPr>
        <w:pStyle w:val="23"/>
        <w:spacing w:line="360" w:lineRule="auto"/>
        <w:ind w:left="25" w:leftChars="12" w:firstLine="308" w:firstLineChars="147"/>
        <w:rPr>
          <w:rFonts w:hint="eastAsia" w:hAnsi="宋体"/>
          <w:bCs/>
          <w:color w:val="auto"/>
          <w:sz w:val="21"/>
          <w:highlight w:val="none"/>
          <w:u w:val="single"/>
        </w:rPr>
      </w:pPr>
      <w:r>
        <w:rPr>
          <w:rFonts w:hint="eastAsia" w:hAnsi="宋体"/>
          <w:color w:val="auto"/>
          <w:sz w:val="21"/>
          <w:highlight w:val="none"/>
        </w:rPr>
        <w:t>□中标结果</w:t>
      </w:r>
    </w:p>
    <w:p w14:paraId="6B019219">
      <w:pPr>
        <w:pStyle w:val="23"/>
        <w:spacing w:line="360" w:lineRule="auto"/>
        <w:ind w:left="25" w:leftChars="12" w:firstLine="413" w:firstLineChars="196"/>
        <w:rPr>
          <w:rFonts w:hint="eastAsia" w:hAnsi="宋体"/>
          <w:b/>
          <w:color w:val="auto"/>
          <w:sz w:val="21"/>
          <w:highlight w:val="none"/>
        </w:rPr>
      </w:pPr>
      <w:r>
        <w:rPr>
          <w:rFonts w:hint="eastAsia" w:hAnsi="宋体"/>
          <w:b/>
          <w:color w:val="auto"/>
          <w:sz w:val="21"/>
          <w:highlight w:val="none"/>
        </w:rPr>
        <w:t>三、质疑事项具体内容</w:t>
      </w:r>
    </w:p>
    <w:p w14:paraId="364EB7E7">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质疑事项1：</w:t>
      </w:r>
      <w:r>
        <w:rPr>
          <w:rFonts w:hint="eastAsia" w:hAnsi="宋体"/>
          <w:bCs/>
          <w:color w:val="auto"/>
          <w:sz w:val="21"/>
          <w:highlight w:val="none"/>
          <w:u w:val="single"/>
        </w:rPr>
        <w:t xml:space="preserve">                                                        </w:t>
      </w:r>
    </w:p>
    <w:p w14:paraId="04F1E546">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事实依据：</w:t>
      </w:r>
      <w:r>
        <w:rPr>
          <w:rFonts w:hint="eastAsia" w:hAnsi="宋体"/>
          <w:bCs/>
          <w:color w:val="auto"/>
          <w:sz w:val="21"/>
          <w:highlight w:val="none"/>
          <w:u w:val="single"/>
        </w:rPr>
        <w:t xml:space="preserve">                                                          </w:t>
      </w:r>
    </w:p>
    <w:p w14:paraId="4EF5656D">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法律依据：</w:t>
      </w:r>
      <w:r>
        <w:rPr>
          <w:rFonts w:hint="eastAsia" w:hAnsi="宋体"/>
          <w:color w:val="auto"/>
          <w:sz w:val="21"/>
          <w:highlight w:val="none"/>
          <w:u w:val="single"/>
        </w:rPr>
        <w:t xml:space="preserve">                                                        </w:t>
      </w:r>
      <w:r>
        <w:rPr>
          <w:rFonts w:hint="eastAsia" w:hAnsi="宋体"/>
          <w:bCs/>
          <w:color w:val="auto"/>
          <w:sz w:val="21"/>
          <w:highlight w:val="none"/>
          <w:u w:val="single"/>
        </w:rPr>
        <w:t xml:space="preserve">  </w:t>
      </w:r>
    </w:p>
    <w:p w14:paraId="3740ECE0">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质疑事项2</w:t>
      </w:r>
    </w:p>
    <w:p w14:paraId="50CC24E4">
      <w:pPr>
        <w:pStyle w:val="23"/>
        <w:spacing w:line="360" w:lineRule="auto"/>
        <w:ind w:left="25" w:leftChars="12" w:firstLine="413" w:firstLineChars="197"/>
        <w:rPr>
          <w:rFonts w:hint="eastAsia" w:hAnsi="宋体"/>
          <w:color w:val="auto"/>
          <w:sz w:val="21"/>
          <w:highlight w:val="none"/>
        </w:rPr>
      </w:pPr>
      <w:r>
        <w:rPr>
          <w:rFonts w:hAnsi="宋体"/>
          <w:color w:val="auto"/>
          <w:sz w:val="21"/>
          <w:highlight w:val="none"/>
        </w:rPr>
        <w:t>……</w:t>
      </w:r>
    </w:p>
    <w:p w14:paraId="42B01EA9">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四、与质疑事项相关的质疑请求：</w:t>
      </w:r>
    </w:p>
    <w:p w14:paraId="79951F72">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请求：</w:t>
      </w:r>
      <w:r>
        <w:rPr>
          <w:rFonts w:hint="eastAsia" w:hAnsi="宋体"/>
          <w:bCs/>
          <w:color w:val="auto"/>
          <w:sz w:val="21"/>
          <w:highlight w:val="none"/>
          <w:u w:val="single"/>
        </w:rPr>
        <w:t xml:space="preserve">                                                                </w:t>
      </w:r>
    </w:p>
    <w:p w14:paraId="68E44163">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签字（签章）：                                       公章：</w:t>
      </w:r>
    </w:p>
    <w:p w14:paraId="17AD5F3D">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日期：</w:t>
      </w:r>
    </w:p>
    <w:p w14:paraId="712B6CB1">
      <w:pPr>
        <w:pStyle w:val="23"/>
        <w:snapToGrid w:val="0"/>
        <w:spacing w:line="360" w:lineRule="auto"/>
        <w:rPr>
          <w:rFonts w:hint="eastAsia" w:hAnsi="宋体"/>
          <w:b/>
          <w:color w:val="auto"/>
          <w:sz w:val="21"/>
          <w:highlight w:val="none"/>
        </w:rPr>
      </w:pPr>
      <w:r>
        <w:rPr>
          <w:rFonts w:hint="eastAsia" w:hAnsi="宋体"/>
          <w:b/>
          <w:color w:val="auto"/>
          <w:sz w:val="21"/>
          <w:highlight w:val="none"/>
        </w:rPr>
        <w:t>说明：</w:t>
      </w:r>
    </w:p>
    <w:p w14:paraId="29F5B1B9">
      <w:pPr>
        <w:pStyle w:val="23"/>
        <w:spacing w:line="360" w:lineRule="auto"/>
        <w:ind w:left="25" w:leftChars="12" w:firstLine="310" w:firstLineChars="147"/>
        <w:rPr>
          <w:rFonts w:hint="eastAsia" w:hAnsi="宋体"/>
          <w:b/>
          <w:bCs/>
          <w:color w:val="auto"/>
          <w:sz w:val="21"/>
          <w:highlight w:val="none"/>
        </w:rPr>
      </w:pPr>
      <w:r>
        <w:rPr>
          <w:rFonts w:hint="eastAsia" w:hAnsi="宋体"/>
          <w:b/>
          <w:color w:val="auto"/>
          <w:sz w:val="21"/>
          <w:highlight w:val="none"/>
        </w:rPr>
        <w:t>1.投标人提出质疑时，应提交质疑函和必要的证明材料</w:t>
      </w:r>
      <w:r>
        <w:rPr>
          <w:rFonts w:hint="eastAsia" w:hAnsi="宋体"/>
          <w:b/>
          <w:bCs/>
          <w:color w:val="auto"/>
          <w:sz w:val="21"/>
          <w:highlight w:val="none"/>
        </w:rPr>
        <w:t>。</w:t>
      </w:r>
    </w:p>
    <w:p w14:paraId="51AFBD94">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E08B985">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3.质疑函的质疑事项应具体、明确，并有必要的事实依据和法律依据。</w:t>
      </w:r>
    </w:p>
    <w:p w14:paraId="0FC20C98">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4.质疑函的质疑请求应与质疑事项相关。</w:t>
      </w:r>
    </w:p>
    <w:p w14:paraId="2269DE90">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5.质疑供应商为法人或者其他组织的，质疑函应由法定代表人、主要负责人，或者其授权代表签字或者盖章，并加盖公章。</w:t>
      </w:r>
    </w:p>
    <w:p w14:paraId="528C0EC2">
      <w:pPr>
        <w:spacing w:line="460" w:lineRule="exact"/>
        <w:jc w:val="left"/>
        <w:outlineLvl w:val="2"/>
        <w:rPr>
          <w:rFonts w:eastAsia="隶书"/>
          <w:color w:val="auto"/>
          <w:szCs w:val="21"/>
          <w:highlight w:val="none"/>
        </w:rPr>
      </w:pPr>
      <w:r>
        <w:rPr>
          <w:rFonts w:eastAsia="隶书"/>
          <w:color w:val="auto"/>
          <w:szCs w:val="21"/>
          <w:highlight w:val="none"/>
        </w:rPr>
        <w:br w:type="page"/>
      </w:r>
      <w:r>
        <w:rPr>
          <w:rFonts w:hint="eastAsia" w:ascii="宋体" w:hAnsi="宋体"/>
          <w:b/>
          <w:bCs/>
          <w:color w:val="auto"/>
          <w:szCs w:val="21"/>
          <w:highlight w:val="none"/>
        </w:rPr>
        <w:t>（十六）投诉书（格式）</w:t>
      </w:r>
    </w:p>
    <w:p w14:paraId="621EF726">
      <w:pPr>
        <w:spacing w:line="360" w:lineRule="auto"/>
        <w:jc w:val="center"/>
        <w:rPr>
          <w:rFonts w:hint="eastAsia" w:ascii="宋体" w:hAnsi="宋体"/>
          <w:b/>
          <w:bCs/>
          <w:color w:val="auto"/>
          <w:szCs w:val="21"/>
          <w:highlight w:val="none"/>
        </w:rPr>
      </w:pPr>
      <w:r>
        <w:rPr>
          <w:rFonts w:hint="eastAsia" w:ascii="宋体" w:hAnsi="宋体"/>
          <w:b/>
          <w:bCs/>
          <w:color w:val="auto"/>
          <w:szCs w:val="21"/>
          <w:highlight w:val="none"/>
        </w:rPr>
        <w:t>投诉书（格式）</w:t>
      </w:r>
    </w:p>
    <w:p w14:paraId="58FC625E">
      <w:pPr>
        <w:pStyle w:val="23"/>
        <w:snapToGrid w:val="0"/>
        <w:spacing w:line="360" w:lineRule="auto"/>
        <w:ind w:firstLine="422" w:firstLineChars="200"/>
        <w:rPr>
          <w:rFonts w:hint="eastAsia" w:hAnsi="宋体"/>
          <w:b/>
          <w:bCs/>
          <w:color w:val="auto"/>
          <w:sz w:val="21"/>
          <w:highlight w:val="none"/>
        </w:rPr>
      </w:pPr>
      <w:r>
        <w:rPr>
          <w:rFonts w:hint="eastAsia" w:hAnsi="宋体"/>
          <w:b/>
          <w:bCs/>
          <w:color w:val="auto"/>
          <w:sz w:val="21"/>
          <w:highlight w:val="none"/>
        </w:rPr>
        <w:t>一、投诉相关主体基本情况：</w:t>
      </w:r>
    </w:p>
    <w:p w14:paraId="655689C3">
      <w:pPr>
        <w:pStyle w:val="23"/>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投标人：</w:t>
      </w:r>
      <w:r>
        <w:rPr>
          <w:rFonts w:hint="eastAsia" w:hAnsi="宋体"/>
          <w:bCs/>
          <w:color w:val="auto"/>
          <w:sz w:val="21"/>
          <w:highlight w:val="none"/>
          <w:u w:val="single"/>
        </w:rPr>
        <w:t xml:space="preserve">                                                             </w:t>
      </w:r>
    </w:p>
    <w:p w14:paraId="43EFE0F8">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p>
    <w:p w14:paraId="64966FD8">
      <w:pPr>
        <w:pStyle w:val="23"/>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法定代表人/主要负责人：</w:t>
      </w:r>
      <w:r>
        <w:rPr>
          <w:rFonts w:hint="eastAsia" w:hAnsi="宋体"/>
          <w:bCs/>
          <w:color w:val="auto"/>
          <w:sz w:val="21"/>
          <w:highlight w:val="none"/>
          <w:u w:val="single"/>
        </w:rPr>
        <w:t xml:space="preserve">                                                    </w:t>
      </w:r>
    </w:p>
    <w:p w14:paraId="7A4DA4EE">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联系电话</w:t>
      </w:r>
      <w:r>
        <w:rPr>
          <w:rFonts w:hint="eastAsia" w:hAnsi="宋体"/>
          <w:bCs/>
          <w:color w:val="auto"/>
          <w:sz w:val="21"/>
          <w:highlight w:val="none"/>
        </w:rPr>
        <w:t>：</w:t>
      </w:r>
      <w:r>
        <w:rPr>
          <w:rFonts w:hint="eastAsia" w:hAnsi="宋体"/>
          <w:bCs/>
          <w:color w:val="auto"/>
          <w:sz w:val="21"/>
          <w:highlight w:val="none"/>
          <w:u w:val="single"/>
        </w:rPr>
        <w:t xml:space="preserve">                                         </w:t>
      </w:r>
    </w:p>
    <w:p w14:paraId="0FBD3B25">
      <w:pPr>
        <w:pStyle w:val="23"/>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授权代表：</w:t>
      </w:r>
      <w:r>
        <w:rPr>
          <w:rFonts w:hint="eastAsia" w:hAnsi="宋体"/>
          <w:bCs/>
          <w:color w:val="auto"/>
          <w:sz w:val="21"/>
          <w:highlight w:val="none"/>
          <w:u w:val="single"/>
        </w:rPr>
        <w:t xml:space="preserve">                                         </w:t>
      </w:r>
      <w:r>
        <w:rPr>
          <w:rFonts w:hAnsi="宋体"/>
          <w:bCs/>
          <w:color w:val="auto"/>
          <w:sz w:val="21"/>
          <w:highlight w:val="none"/>
        </w:rPr>
        <w:t>联系</w:t>
      </w:r>
      <w:r>
        <w:rPr>
          <w:rFonts w:hint="eastAsia" w:hAnsi="宋体"/>
          <w:bCs/>
          <w:color w:val="auto"/>
          <w:sz w:val="21"/>
          <w:highlight w:val="none"/>
        </w:rPr>
        <w:t>电话：</w:t>
      </w:r>
      <w:r>
        <w:rPr>
          <w:rFonts w:hint="eastAsia" w:hAnsi="宋体"/>
          <w:bCs/>
          <w:color w:val="auto"/>
          <w:sz w:val="21"/>
          <w:highlight w:val="none"/>
          <w:u w:val="single"/>
        </w:rPr>
        <w:t xml:space="preserve">              </w:t>
      </w:r>
    </w:p>
    <w:p w14:paraId="6992B781">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p>
    <w:p w14:paraId="3C96D17D">
      <w:pPr>
        <w:pStyle w:val="23"/>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被投诉人1：</w:t>
      </w:r>
    </w:p>
    <w:p w14:paraId="00EF8B65">
      <w:pPr>
        <w:pStyle w:val="23"/>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地址：</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p>
    <w:p w14:paraId="00C35326">
      <w:pPr>
        <w:pStyle w:val="23"/>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联系人：</w:t>
      </w:r>
      <w:r>
        <w:rPr>
          <w:rFonts w:hint="eastAsia" w:hAnsi="宋体"/>
          <w:bCs/>
          <w:color w:val="auto"/>
          <w:sz w:val="21"/>
          <w:highlight w:val="none"/>
          <w:u w:val="single"/>
        </w:rPr>
        <w:t xml:space="preserve">                                                </w:t>
      </w:r>
      <w:r>
        <w:rPr>
          <w:rFonts w:hAnsi="宋体"/>
          <w:bCs/>
          <w:color w:val="auto"/>
          <w:sz w:val="21"/>
          <w:highlight w:val="none"/>
        </w:rPr>
        <w:t>联系</w:t>
      </w:r>
      <w:r>
        <w:rPr>
          <w:rFonts w:hint="eastAsia" w:hAnsi="宋体"/>
          <w:bCs/>
          <w:color w:val="auto"/>
          <w:sz w:val="21"/>
          <w:highlight w:val="none"/>
        </w:rPr>
        <w:t>电话：</w:t>
      </w:r>
      <w:r>
        <w:rPr>
          <w:rFonts w:hint="eastAsia" w:hAnsi="宋体"/>
          <w:bCs/>
          <w:color w:val="auto"/>
          <w:sz w:val="21"/>
          <w:highlight w:val="none"/>
          <w:u w:val="single"/>
        </w:rPr>
        <w:t xml:space="preserve">         </w:t>
      </w:r>
    </w:p>
    <w:p w14:paraId="605987C9">
      <w:pPr>
        <w:pStyle w:val="23"/>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被投诉人2：</w:t>
      </w:r>
    </w:p>
    <w:p w14:paraId="65BB0B16">
      <w:pPr>
        <w:pStyle w:val="23"/>
        <w:snapToGrid w:val="0"/>
        <w:spacing w:line="360" w:lineRule="auto"/>
        <w:ind w:firstLine="420" w:firstLineChars="200"/>
        <w:rPr>
          <w:rFonts w:hint="eastAsia" w:hAnsi="宋体"/>
          <w:bCs/>
          <w:color w:val="auto"/>
          <w:sz w:val="21"/>
          <w:highlight w:val="none"/>
        </w:rPr>
      </w:pPr>
      <w:r>
        <w:rPr>
          <w:rFonts w:hAnsi="宋体"/>
          <w:bCs/>
          <w:color w:val="auto"/>
          <w:sz w:val="21"/>
          <w:highlight w:val="none"/>
        </w:rPr>
        <w:t>……</w:t>
      </w:r>
    </w:p>
    <w:p w14:paraId="53A52D26">
      <w:pPr>
        <w:pStyle w:val="23"/>
        <w:snapToGrid w:val="0"/>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相关供应商：</w:t>
      </w:r>
      <w:r>
        <w:rPr>
          <w:rFonts w:hint="eastAsia" w:hAnsi="宋体"/>
          <w:bCs/>
          <w:color w:val="auto"/>
          <w:sz w:val="21"/>
          <w:highlight w:val="none"/>
          <w:u w:val="single"/>
        </w:rPr>
        <w:t xml:space="preserve">                                                               </w:t>
      </w:r>
    </w:p>
    <w:p w14:paraId="02C1E2B3">
      <w:pPr>
        <w:pStyle w:val="23"/>
        <w:snapToGrid w:val="0"/>
        <w:spacing w:line="360" w:lineRule="auto"/>
        <w:ind w:firstLine="420" w:firstLineChars="200"/>
        <w:rPr>
          <w:rFonts w:hint="eastAsia" w:hAnsi="宋体"/>
          <w:bCs/>
          <w:color w:val="auto"/>
          <w:sz w:val="21"/>
          <w:highlight w:val="none"/>
          <w:u w:val="single"/>
        </w:rPr>
      </w:pPr>
      <w:r>
        <w:rPr>
          <w:rFonts w:hAnsi="宋体"/>
          <w:bCs/>
          <w:color w:val="auto"/>
          <w:sz w:val="21"/>
          <w:highlight w:val="none"/>
        </w:rPr>
        <w:t>地址</w:t>
      </w:r>
      <w:r>
        <w:rPr>
          <w:rFonts w:hint="eastAsia" w:hAnsi="宋体"/>
          <w:bCs/>
          <w:color w:val="auto"/>
          <w:sz w:val="21"/>
          <w:highlight w:val="none"/>
        </w:rPr>
        <w:t>：</w:t>
      </w:r>
      <w:r>
        <w:rPr>
          <w:rFonts w:hint="eastAsia" w:hAnsi="宋体"/>
          <w:bCs/>
          <w:color w:val="auto"/>
          <w:sz w:val="21"/>
          <w:highlight w:val="none"/>
          <w:u w:val="single"/>
        </w:rPr>
        <w:t xml:space="preserve">                                              </w:t>
      </w:r>
      <w:r>
        <w:rPr>
          <w:rFonts w:hAnsi="宋体"/>
          <w:bCs/>
          <w:color w:val="auto"/>
          <w:sz w:val="21"/>
          <w:highlight w:val="none"/>
        </w:rPr>
        <w:t>邮编</w:t>
      </w:r>
      <w:r>
        <w:rPr>
          <w:rFonts w:hint="eastAsia" w:hAnsi="宋体"/>
          <w:bCs/>
          <w:color w:val="auto"/>
          <w:sz w:val="21"/>
          <w:highlight w:val="none"/>
        </w:rPr>
        <w:t>：</w:t>
      </w:r>
      <w:r>
        <w:rPr>
          <w:rFonts w:hint="eastAsia" w:hAnsi="宋体"/>
          <w:bCs/>
          <w:color w:val="auto"/>
          <w:sz w:val="21"/>
          <w:highlight w:val="none"/>
          <w:u w:val="single"/>
        </w:rPr>
        <w:t xml:space="preserve">                 </w:t>
      </w:r>
    </w:p>
    <w:p w14:paraId="6322A2F9">
      <w:pPr>
        <w:pStyle w:val="23"/>
        <w:snapToGrid w:val="0"/>
        <w:spacing w:line="360" w:lineRule="auto"/>
        <w:ind w:firstLine="420" w:firstLineChars="200"/>
        <w:rPr>
          <w:rFonts w:hint="eastAsia" w:hAnsi="宋体"/>
          <w:bCs/>
          <w:color w:val="auto"/>
          <w:sz w:val="21"/>
          <w:highlight w:val="none"/>
        </w:rPr>
      </w:pPr>
      <w:r>
        <w:rPr>
          <w:rFonts w:hint="eastAsia" w:hAnsi="宋体"/>
          <w:bCs/>
          <w:color w:val="auto"/>
          <w:sz w:val="21"/>
          <w:highlight w:val="none"/>
        </w:rPr>
        <w:t>联系人：</w:t>
      </w:r>
      <w:r>
        <w:rPr>
          <w:rFonts w:hint="eastAsia" w:hAnsi="宋体"/>
          <w:bCs/>
          <w:color w:val="auto"/>
          <w:sz w:val="21"/>
          <w:highlight w:val="none"/>
          <w:u w:val="single"/>
        </w:rPr>
        <w:t xml:space="preserve">                                            </w:t>
      </w:r>
      <w:r>
        <w:rPr>
          <w:rFonts w:hAnsi="宋体"/>
          <w:bCs/>
          <w:color w:val="auto"/>
          <w:sz w:val="21"/>
          <w:highlight w:val="none"/>
        </w:rPr>
        <w:t>联系</w:t>
      </w:r>
      <w:r>
        <w:rPr>
          <w:rFonts w:hint="eastAsia" w:hAnsi="宋体"/>
          <w:bCs/>
          <w:color w:val="auto"/>
          <w:sz w:val="21"/>
          <w:highlight w:val="none"/>
        </w:rPr>
        <w:t>电话：</w:t>
      </w:r>
      <w:r>
        <w:rPr>
          <w:rFonts w:hint="eastAsia" w:hAnsi="宋体"/>
          <w:bCs/>
          <w:color w:val="auto"/>
          <w:sz w:val="21"/>
          <w:highlight w:val="none"/>
          <w:u w:val="single"/>
        </w:rPr>
        <w:t xml:space="preserve">            </w:t>
      </w:r>
    </w:p>
    <w:p w14:paraId="42D32245">
      <w:pPr>
        <w:pStyle w:val="23"/>
        <w:snapToGrid w:val="0"/>
        <w:spacing w:line="360" w:lineRule="auto"/>
        <w:ind w:firstLine="422" w:firstLineChars="200"/>
        <w:rPr>
          <w:rFonts w:hint="eastAsia" w:hAnsi="宋体"/>
          <w:b/>
          <w:bCs/>
          <w:color w:val="auto"/>
          <w:sz w:val="21"/>
          <w:highlight w:val="none"/>
        </w:rPr>
      </w:pPr>
      <w:r>
        <w:rPr>
          <w:rFonts w:hint="eastAsia" w:hAnsi="宋体"/>
          <w:b/>
          <w:bCs/>
          <w:color w:val="auto"/>
          <w:sz w:val="21"/>
          <w:highlight w:val="none"/>
        </w:rPr>
        <w:t>二、投诉项目基本情况：</w:t>
      </w:r>
    </w:p>
    <w:p w14:paraId="38D68C8E">
      <w:pPr>
        <w:pStyle w:val="23"/>
        <w:spacing w:line="360" w:lineRule="auto"/>
        <w:ind w:left="25" w:leftChars="12" w:firstLine="413" w:firstLineChars="197"/>
        <w:rPr>
          <w:rFonts w:hint="eastAsia" w:hAnsi="宋体"/>
          <w:color w:val="auto"/>
          <w:sz w:val="21"/>
          <w:highlight w:val="none"/>
        </w:rPr>
      </w:pPr>
      <w:r>
        <w:rPr>
          <w:rFonts w:hint="eastAsia" w:hAnsi="宋体"/>
          <w:bCs/>
          <w:color w:val="auto"/>
          <w:sz w:val="21"/>
          <w:highlight w:val="none"/>
        </w:rPr>
        <w:t>采购</w:t>
      </w:r>
      <w:r>
        <w:rPr>
          <w:rFonts w:hint="eastAsia" w:hAnsi="宋体"/>
          <w:color w:val="auto"/>
          <w:sz w:val="21"/>
          <w:highlight w:val="none"/>
        </w:rPr>
        <w:t>项目的名称：</w:t>
      </w:r>
      <w:r>
        <w:rPr>
          <w:rFonts w:hint="eastAsia" w:hAnsi="宋体"/>
          <w:bCs/>
          <w:color w:val="auto"/>
          <w:sz w:val="21"/>
          <w:highlight w:val="none"/>
          <w:u w:val="single"/>
        </w:rPr>
        <w:t xml:space="preserve">                                                           </w:t>
      </w:r>
    </w:p>
    <w:p w14:paraId="19DAF51C">
      <w:pPr>
        <w:pStyle w:val="23"/>
        <w:spacing w:line="360" w:lineRule="auto"/>
        <w:ind w:left="25" w:leftChars="12" w:firstLine="413" w:firstLineChars="197"/>
        <w:rPr>
          <w:rFonts w:hint="eastAsia" w:hAnsi="宋体"/>
          <w:color w:val="auto"/>
          <w:sz w:val="21"/>
          <w:highlight w:val="none"/>
        </w:rPr>
      </w:pPr>
      <w:r>
        <w:rPr>
          <w:rFonts w:hint="eastAsia" w:hAnsi="宋体"/>
          <w:bCs/>
          <w:color w:val="auto"/>
          <w:sz w:val="21"/>
          <w:highlight w:val="none"/>
        </w:rPr>
        <w:t>采购</w:t>
      </w:r>
      <w:r>
        <w:rPr>
          <w:rFonts w:hint="eastAsia" w:hAnsi="宋体"/>
          <w:color w:val="auto"/>
          <w:sz w:val="21"/>
          <w:highlight w:val="none"/>
        </w:rPr>
        <w:t>项目的编号：</w:t>
      </w:r>
      <w:r>
        <w:rPr>
          <w:rFonts w:hint="eastAsia" w:hAnsi="宋体"/>
          <w:bCs/>
          <w:color w:val="auto"/>
          <w:sz w:val="21"/>
          <w:highlight w:val="none"/>
          <w:u w:val="single"/>
        </w:rPr>
        <w:t xml:space="preserve">                                          </w:t>
      </w:r>
    </w:p>
    <w:p w14:paraId="7FF9FE9F">
      <w:pPr>
        <w:pStyle w:val="23"/>
        <w:spacing w:line="360" w:lineRule="auto"/>
        <w:ind w:left="25" w:leftChars="12" w:firstLine="413" w:firstLineChars="197"/>
        <w:rPr>
          <w:rFonts w:hint="eastAsia" w:hAnsi="宋体"/>
          <w:bCs/>
          <w:color w:val="auto"/>
          <w:sz w:val="21"/>
          <w:highlight w:val="none"/>
          <w:u w:val="single"/>
        </w:rPr>
      </w:pPr>
      <w:r>
        <w:rPr>
          <w:rFonts w:hint="eastAsia" w:hAnsi="宋体"/>
          <w:color w:val="auto"/>
          <w:sz w:val="21"/>
          <w:highlight w:val="none"/>
        </w:rPr>
        <w:t>采购人名称：</w:t>
      </w:r>
      <w:r>
        <w:rPr>
          <w:rFonts w:hint="eastAsia" w:hAnsi="宋体"/>
          <w:bCs/>
          <w:color w:val="auto"/>
          <w:sz w:val="21"/>
          <w:highlight w:val="none"/>
          <w:u w:val="single"/>
        </w:rPr>
        <w:t xml:space="preserve">                                                               </w:t>
      </w:r>
    </w:p>
    <w:p w14:paraId="34AA1698">
      <w:pPr>
        <w:pStyle w:val="23"/>
        <w:spacing w:line="360" w:lineRule="auto"/>
        <w:ind w:left="25" w:leftChars="12" w:firstLine="413" w:firstLineChars="197"/>
        <w:rPr>
          <w:rFonts w:hint="eastAsia" w:hAnsi="宋体"/>
          <w:bCs/>
          <w:color w:val="auto"/>
          <w:sz w:val="21"/>
          <w:highlight w:val="none"/>
          <w:u w:val="single"/>
        </w:rPr>
      </w:pPr>
      <w:r>
        <w:rPr>
          <w:rFonts w:hint="eastAsia" w:hAnsi="宋体"/>
          <w:color w:val="auto"/>
          <w:sz w:val="21"/>
          <w:highlight w:val="none"/>
        </w:rPr>
        <w:t>代理机构名称：</w:t>
      </w:r>
      <w:r>
        <w:rPr>
          <w:rFonts w:hint="eastAsia" w:hAnsi="宋体"/>
          <w:bCs/>
          <w:color w:val="auto"/>
          <w:sz w:val="21"/>
          <w:highlight w:val="none"/>
          <w:u w:val="single"/>
        </w:rPr>
        <w:t xml:space="preserve">                                                             </w:t>
      </w:r>
    </w:p>
    <w:p w14:paraId="7C31905E">
      <w:pPr>
        <w:pStyle w:val="23"/>
        <w:spacing w:line="360" w:lineRule="auto"/>
        <w:ind w:left="25" w:leftChars="12" w:firstLine="413" w:firstLineChars="197"/>
        <w:rPr>
          <w:rFonts w:hint="eastAsia" w:hAnsi="宋体"/>
          <w:bCs/>
          <w:color w:val="auto"/>
          <w:sz w:val="21"/>
          <w:highlight w:val="none"/>
          <w:u w:val="single"/>
        </w:rPr>
      </w:pPr>
      <w:r>
        <w:rPr>
          <w:rFonts w:hint="eastAsia" w:hAnsi="宋体"/>
          <w:bCs/>
          <w:color w:val="auto"/>
          <w:sz w:val="21"/>
          <w:highlight w:val="none"/>
        </w:rPr>
        <w:t>招标文件公告：</w:t>
      </w:r>
      <w:r>
        <w:rPr>
          <w:rFonts w:hint="eastAsia" w:hAnsi="宋体"/>
          <w:bCs/>
          <w:color w:val="auto"/>
          <w:sz w:val="21"/>
          <w:highlight w:val="none"/>
          <w:u w:val="single"/>
        </w:rPr>
        <w:t>是/否</w:t>
      </w:r>
      <w:r>
        <w:rPr>
          <w:rFonts w:hint="eastAsia" w:hAnsi="宋体"/>
          <w:bCs/>
          <w:color w:val="auto"/>
          <w:sz w:val="21"/>
          <w:highlight w:val="none"/>
        </w:rPr>
        <w:t>公告期限：</w:t>
      </w:r>
      <w:r>
        <w:rPr>
          <w:rFonts w:hint="eastAsia" w:hAnsi="宋体"/>
          <w:bCs/>
          <w:color w:val="auto"/>
          <w:sz w:val="21"/>
          <w:highlight w:val="none"/>
          <w:u w:val="single"/>
        </w:rPr>
        <w:t xml:space="preserve">                                              </w:t>
      </w:r>
    </w:p>
    <w:p w14:paraId="147C6D79">
      <w:pPr>
        <w:pStyle w:val="23"/>
        <w:spacing w:line="360" w:lineRule="auto"/>
        <w:ind w:left="25" w:leftChars="12" w:firstLine="413" w:firstLineChars="197"/>
        <w:rPr>
          <w:rFonts w:hint="eastAsia" w:hAnsi="宋体"/>
          <w:b/>
          <w:color w:val="auto"/>
          <w:sz w:val="21"/>
          <w:highlight w:val="none"/>
        </w:rPr>
      </w:pPr>
      <w:r>
        <w:rPr>
          <w:rFonts w:hint="eastAsia" w:hAnsi="宋体"/>
          <w:bCs/>
          <w:color w:val="auto"/>
          <w:sz w:val="21"/>
          <w:highlight w:val="none"/>
        </w:rPr>
        <w:t>采购结果公告：</w:t>
      </w:r>
      <w:r>
        <w:rPr>
          <w:rFonts w:hint="eastAsia" w:hAnsi="宋体"/>
          <w:bCs/>
          <w:color w:val="auto"/>
          <w:sz w:val="21"/>
          <w:highlight w:val="none"/>
          <w:u w:val="single"/>
        </w:rPr>
        <w:t>是/否</w:t>
      </w:r>
      <w:r>
        <w:rPr>
          <w:rFonts w:hint="eastAsia" w:hAnsi="宋体"/>
          <w:bCs/>
          <w:color w:val="auto"/>
          <w:sz w:val="21"/>
          <w:highlight w:val="none"/>
        </w:rPr>
        <w:t>公告期限：</w:t>
      </w:r>
      <w:r>
        <w:rPr>
          <w:rFonts w:hint="eastAsia" w:hAnsi="宋体"/>
          <w:bCs/>
          <w:color w:val="auto"/>
          <w:sz w:val="21"/>
          <w:highlight w:val="none"/>
          <w:u w:val="single"/>
        </w:rPr>
        <w:t xml:space="preserve">                                              </w:t>
      </w:r>
    </w:p>
    <w:p w14:paraId="0480703C">
      <w:pPr>
        <w:pStyle w:val="23"/>
        <w:spacing w:line="360" w:lineRule="auto"/>
        <w:ind w:left="25" w:leftChars="12" w:firstLine="413" w:firstLineChars="196"/>
        <w:rPr>
          <w:rFonts w:hint="eastAsia" w:hAnsi="宋体"/>
          <w:b/>
          <w:color w:val="auto"/>
          <w:sz w:val="21"/>
          <w:highlight w:val="none"/>
        </w:rPr>
      </w:pPr>
      <w:r>
        <w:rPr>
          <w:rFonts w:hint="eastAsia" w:hAnsi="宋体"/>
          <w:b/>
          <w:color w:val="auto"/>
          <w:sz w:val="21"/>
          <w:highlight w:val="none"/>
        </w:rPr>
        <w:t>三、质疑基本情况</w:t>
      </w:r>
    </w:p>
    <w:p w14:paraId="4E5E66E4">
      <w:pPr>
        <w:pStyle w:val="23"/>
        <w:spacing w:line="360" w:lineRule="auto"/>
        <w:ind w:left="25" w:leftChars="12" w:firstLine="833" w:firstLineChars="397"/>
        <w:rPr>
          <w:rFonts w:hint="eastAsia" w:hAnsi="宋体"/>
          <w:color w:val="auto"/>
          <w:sz w:val="21"/>
          <w:highlight w:val="none"/>
        </w:rPr>
      </w:pPr>
      <w:r>
        <w:rPr>
          <w:rFonts w:hint="eastAsia" w:hAnsi="宋体"/>
          <w:color w:val="auto"/>
          <w:sz w:val="21"/>
          <w:highlight w:val="none"/>
        </w:rPr>
        <w:t>投诉人于</w:t>
      </w:r>
      <w:r>
        <w:rPr>
          <w:rFonts w:hint="eastAsia"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int="eastAsia" w:hAnsi="宋体"/>
          <w:color w:val="auto"/>
          <w:sz w:val="21"/>
          <w:highlight w:val="none"/>
        </w:rPr>
        <w:t>日，向</w:t>
      </w:r>
      <w:r>
        <w:rPr>
          <w:rFonts w:hint="eastAsia" w:hAnsi="宋体"/>
          <w:color w:val="auto"/>
          <w:sz w:val="21"/>
          <w:highlight w:val="none"/>
          <w:u w:val="single"/>
        </w:rPr>
        <w:t xml:space="preserve">                                </w:t>
      </w:r>
      <w:r>
        <w:rPr>
          <w:rFonts w:hint="eastAsia" w:hAnsi="宋体"/>
          <w:color w:val="auto"/>
          <w:sz w:val="21"/>
          <w:highlight w:val="none"/>
        </w:rPr>
        <w:t>提出质疑，质疑事项为：</w:t>
      </w:r>
    </w:p>
    <w:p w14:paraId="169E2268">
      <w:pPr>
        <w:pStyle w:val="23"/>
        <w:spacing w:line="360" w:lineRule="auto"/>
        <w:ind w:firstLine="241"/>
        <w:rPr>
          <w:rFonts w:hint="eastAsia" w:hAnsi="宋体"/>
          <w:bCs/>
          <w:color w:val="auto"/>
          <w:sz w:val="21"/>
          <w:highlight w:val="none"/>
          <w:u w:val="single"/>
        </w:rPr>
      </w:pPr>
      <w:r>
        <w:rPr>
          <w:rFonts w:hint="eastAsia" w:hAnsi="宋体"/>
          <w:color w:val="auto"/>
          <w:sz w:val="21"/>
          <w:highlight w:val="none"/>
        </w:rPr>
        <w:t xml:space="preserve">    </w:t>
      </w:r>
      <w:r>
        <w:rPr>
          <w:rFonts w:hint="eastAsia" w:hAnsi="宋体"/>
          <w:bCs/>
          <w:color w:val="auto"/>
          <w:sz w:val="21"/>
          <w:highlight w:val="none"/>
          <w:u w:val="single"/>
        </w:rPr>
        <w:t xml:space="preserve">                                                                         </w:t>
      </w:r>
    </w:p>
    <w:p w14:paraId="4B9AA0A2">
      <w:pPr>
        <w:pStyle w:val="23"/>
        <w:spacing w:line="360" w:lineRule="auto"/>
        <w:ind w:firstLine="241"/>
        <w:rPr>
          <w:rFonts w:hint="eastAsia" w:hAnsi="宋体"/>
          <w:bCs/>
          <w:color w:val="auto"/>
          <w:sz w:val="21"/>
          <w:highlight w:val="none"/>
          <w:u w:val="single"/>
        </w:rPr>
      </w:pPr>
      <w:r>
        <w:rPr>
          <w:rFonts w:hint="eastAsia" w:hAnsi="宋体"/>
          <w:bCs/>
          <w:color w:val="auto"/>
          <w:sz w:val="21"/>
          <w:highlight w:val="none"/>
        </w:rPr>
        <w:t xml:space="preserve">    </w:t>
      </w:r>
      <w:r>
        <w:rPr>
          <w:rFonts w:hint="eastAsia" w:hAnsi="宋体"/>
          <w:bCs/>
          <w:color w:val="auto"/>
          <w:sz w:val="21"/>
          <w:highlight w:val="none"/>
          <w:u w:val="single"/>
        </w:rPr>
        <w:t xml:space="preserve">                                                                         </w:t>
      </w:r>
    </w:p>
    <w:p w14:paraId="0611512E">
      <w:pPr>
        <w:pStyle w:val="23"/>
        <w:spacing w:line="360" w:lineRule="auto"/>
        <w:ind w:firstLine="241"/>
        <w:rPr>
          <w:rFonts w:hint="eastAsia" w:hAnsi="宋体"/>
          <w:color w:val="auto"/>
          <w:sz w:val="21"/>
          <w:highlight w:val="none"/>
        </w:rPr>
      </w:pPr>
      <w:r>
        <w:rPr>
          <w:rFonts w:hint="eastAsia" w:hAnsi="宋体"/>
          <w:bCs/>
          <w:color w:val="auto"/>
          <w:sz w:val="21"/>
          <w:highlight w:val="none"/>
        </w:rPr>
        <w:t xml:space="preserve">        </w:t>
      </w:r>
      <w:r>
        <w:rPr>
          <w:rFonts w:hint="eastAsia" w:hAnsi="宋体"/>
          <w:bCs/>
          <w:color w:val="auto"/>
          <w:sz w:val="21"/>
          <w:highlight w:val="none"/>
          <w:u w:val="single"/>
        </w:rPr>
        <w:t>采购人/代理机构</w:t>
      </w:r>
      <w:r>
        <w:rPr>
          <w:rFonts w:hint="eastAsia" w:hAnsi="宋体"/>
          <w:bCs/>
          <w:color w:val="auto"/>
          <w:sz w:val="21"/>
          <w:highlight w:val="none"/>
        </w:rPr>
        <w:t>于</w:t>
      </w:r>
      <w:r>
        <w:rPr>
          <w:rFonts w:hint="eastAsia"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int="eastAsia" w:hAnsi="宋体"/>
          <w:color w:val="auto"/>
          <w:sz w:val="21"/>
          <w:highlight w:val="none"/>
        </w:rPr>
        <w:t>日，</w:t>
      </w:r>
      <w:r>
        <w:rPr>
          <w:rFonts w:hint="eastAsia" w:hAnsi="宋体"/>
          <w:bCs/>
          <w:color w:val="auto"/>
          <w:sz w:val="21"/>
          <w:highlight w:val="none"/>
        </w:rPr>
        <w:t xml:space="preserve">就质疑事项作出了答复/没有在法定期限内作出答复。                                                              </w:t>
      </w:r>
    </w:p>
    <w:p w14:paraId="6163FB85">
      <w:pPr>
        <w:pStyle w:val="23"/>
        <w:spacing w:line="360" w:lineRule="auto"/>
        <w:ind w:left="25" w:leftChars="12" w:firstLine="413" w:firstLineChars="196"/>
        <w:rPr>
          <w:rFonts w:hint="eastAsia" w:hAnsi="宋体"/>
          <w:b/>
          <w:color w:val="auto"/>
          <w:sz w:val="21"/>
          <w:highlight w:val="none"/>
        </w:rPr>
      </w:pPr>
      <w:r>
        <w:rPr>
          <w:rFonts w:hint="eastAsia" w:hAnsi="宋体"/>
          <w:b/>
          <w:color w:val="auto"/>
          <w:sz w:val="21"/>
          <w:highlight w:val="none"/>
        </w:rPr>
        <w:t>四、投诉事项具体内容</w:t>
      </w:r>
    </w:p>
    <w:p w14:paraId="53B504CB">
      <w:pPr>
        <w:pStyle w:val="23"/>
        <w:spacing w:line="360" w:lineRule="auto"/>
        <w:ind w:left="25" w:leftChars="12" w:firstLine="413" w:firstLineChars="197"/>
        <w:rPr>
          <w:rFonts w:hint="eastAsia" w:hAnsi="宋体"/>
          <w:bCs/>
          <w:color w:val="auto"/>
          <w:sz w:val="21"/>
          <w:highlight w:val="none"/>
          <w:u w:val="single"/>
        </w:rPr>
      </w:pPr>
      <w:r>
        <w:rPr>
          <w:rFonts w:hint="eastAsia" w:hAnsi="宋体"/>
          <w:color w:val="auto"/>
          <w:sz w:val="21"/>
          <w:highlight w:val="none"/>
        </w:rPr>
        <w:t>投诉事项1：</w:t>
      </w:r>
      <w:r>
        <w:rPr>
          <w:rFonts w:hint="eastAsia" w:hAnsi="宋体"/>
          <w:bCs/>
          <w:color w:val="auto"/>
          <w:sz w:val="21"/>
          <w:highlight w:val="none"/>
          <w:u w:val="single"/>
        </w:rPr>
        <w:t xml:space="preserve">                                                               </w:t>
      </w:r>
    </w:p>
    <w:p w14:paraId="6285B3AA">
      <w:pPr>
        <w:pStyle w:val="23"/>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事实依据：</w:t>
      </w:r>
      <w:r>
        <w:rPr>
          <w:rFonts w:hint="eastAsia" w:hAnsi="宋体"/>
          <w:color w:val="auto"/>
          <w:sz w:val="21"/>
          <w:highlight w:val="none"/>
        </w:rPr>
        <w:t xml:space="preserve"> </w:t>
      </w:r>
      <w:r>
        <w:rPr>
          <w:rFonts w:hint="eastAsia" w:hAnsi="宋体"/>
          <w:bCs/>
          <w:color w:val="auto"/>
          <w:sz w:val="21"/>
          <w:highlight w:val="none"/>
          <w:u w:val="single"/>
        </w:rPr>
        <w:t xml:space="preserve">                                                                </w:t>
      </w:r>
    </w:p>
    <w:p w14:paraId="3E4A6B62">
      <w:pPr>
        <w:pStyle w:val="23"/>
        <w:spacing w:line="360" w:lineRule="auto"/>
        <w:ind w:left="25" w:leftChars="12" w:firstLine="413" w:firstLineChars="197"/>
        <w:rPr>
          <w:rFonts w:hint="eastAsia" w:hAnsi="宋体"/>
          <w:color w:val="auto"/>
          <w:sz w:val="21"/>
          <w:highlight w:val="none"/>
        </w:rPr>
      </w:pPr>
      <w:r>
        <w:rPr>
          <w:rFonts w:hint="eastAsia" w:hAnsi="宋体"/>
          <w:bCs/>
          <w:color w:val="auto"/>
          <w:sz w:val="21"/>
          <w:highlight w:val="none"/>
          <w:u w:val="single"/>
        </w:rPr>
        <w:t xml:space="preserve">                                                                           </w:t>
      </w:r>
    </w:p>
    <w:p w14:paraId="48065449">
      <w:pPr>
        <w:pStyle w:val="23"/>
        <w:spacing w:line="360" w:lineRule="auto"/>
        <w:ind w:firstLine="420" w:firstLineChars="200"/>
        <w:rPr>
          <w:rFonts w:hint="eastAsia" w:hAnsi="宋体"/>
          <w:bCs/>
          <w:color w:val="auto"/>
          <w:sz w:val="21"/>
          <w:highlight w:val="none"/>
          <w:u w:val="single"/>
        </w:rPr>
      </w:pPr>
      <w:r>
        <w:rPr>
          <w:rFonts w:hint="eastAsia" w:hAnsi="宋体"/>
          <w:bCs/>
          <w:color w:val="auto"/>
          <w:sz w:val="21"/>
          <w:highlight w:val="none"/>
        </w:rPr>
        <w:t>法律依据：</w:t>
      </w:r>
      <w:r>
        <w:rPr>
          <w:rFonts w:hint="eastAsia" w:hAnsi="宋体"/>
          <w:color w:val="auto"/>
          <w:sz w:val="21"/>
          <w:highlight w:val="none"/>
        </w:rPr>
        <w:t xml:space="preserve"> </w:t>
      </w:r>
      <w:r>
        <w:rPr>
          <w:rFonts w:hint="eastAsia" w:hAnsi="宋体"/>
          <w:bCs/>
          <w:color w:val="auto"/>
          <w:sz w:val="21"/>
          <w:highlight w:val="none"/>
          <w:u w:val="single"/>
        </w:rPr>
        <w:t xml:space="preserve">                                                                </w:t>
      </w:r>
    </w:p>
    <w:p w14:paraId="35DC4B83">
      <w:pPr>
        <w:pStyle w:val="23"/>
        <w:spacing w:line="360" w:lineRule="auto"/>
        <w:ind w:left="25" w:leftChars="12" w:firstLine="308" w:firstLineChars="147"/>
        <w:rPr>
          <w:rFonts w:hint="eastAsia" w:hAnsi="宋体"/>
          <w:bCs/>
          <w:color w:val="auto"/>
          <w:sz w:val="21"/>
          <w:highlight w:val="none"/>
          <w:u w:val="single"/>
        </w:rPr>
      </w:pPr>
      <w:r>
        <w:rPr>
          <w:rFonts w:hint="eastAsia" w:hAnsi="宋体"/>
          <w:bCs/>
          <w:color w:val="auto"/>
          <w:sz w:val="21"/>
          <w:highlight w:val="none"/>
        </w:rPr>
        <w:t xml:space="preserve"> </w:t>
      </w:r>
      <w:r>
        <w:rPr>
          <w:rFonts w:hint="eastAsia" w:hAnsi="宋体"/>
          <w:bCs/>
          <w:color w:val="auto"/>
          <w:sz w:val="21"/>
          <w:highlight w:val="none"/>
          <w:u w:val="single"/>
        </w:rPr>
        <w:t xml:space="preserve">                                                                           </w:t>
      </w:r>
    </w:p>
    <w:p w14:paraId="5F49B602">
      <w:pPr>
        <w:pStyle w:val="23"/>
        <w:spacing w:line="360" w:lineRule="auto"/>
        <w:ind w:left="25" w:leftChars="12" w:firstLine="413" w:firstLineChars="197"/>
        <w:rPr>
          <w:rFonts w:hint="eastAsia" w:hAnsi="宋体"/>
          <w:bCs/>
          <w:color w:val="auto"/>
          <w:sz w:val="21"/>
          <w:highlight w:val="none"/>
        </w:rPr>
      </w:pPr>
      <w:r>
        <w:rPr>
          <w:rFonts w:hint="eastAsia" w:hAnsi="宋体"/>
          <w:color w:val="auto"/>
          <w:sz w:val="21"/>
          <w:highlight w:val="none"/>
        </w:rPr>
        <w:t xml:space="preserve">投诉事项2  </w:t>
      </w:r>
      <w:r>
        <w:rPr>
          <w:rFonts w:hint="eastAsia" w:hAnsi="宋体"/>
          <w:bCs/>
          <w:color w:val="auto"/>
          <w:sz w:val="21"/>
          <w:highlight w:val="none"/>
        </w:rPr>
        <w:t xml:space="preserve">   </w:t>
      </w:r>
    </w:p>
    <w:p w14:paraId="29D84744">
      <w:pPr>
        <w:pStyle w:val="23"/>
        <w:spacing w:line="360" w:lineRule="auto"/>
        <w:ind w:left="25" w:leftChars="12" w:firstLine="413" w:firstLineChars="197"/>
        <w:rPr>
          <w:rFonts w:hint="eastAsia" w:hAnsi="宋体"/>
          <w:bCs/>
          <w:color w:val="auto"/>
          <w:sz w:val="21"/>
          <w:highlight w:val="none"/>
        </w:rPr>
      </w:pPr>
      <w:r>
        <w:rPr>
          <w:rFonts w:hAnsi="宋体"/>
          <w:bCs/>
          <w:color w:val="auto"/>
          <w:sz w:val="21"/>
          <w:highlight w:val="none"/>
        </w:rPr>
        <w:t>……</w:t>
      </w:r>
    </w:p>
    <w:p w14:paraId="6932BBB1">
      <w:pPr>
        <w:pStyle w:val="23"/>
        <w:spacing w:line="360" w:lineRule="auto"/>
        <w:ind w:left="25" w:leftChars="12" w:firstLine="413" w:firstLineChars="196"/>
        <w:rPr>
          <w:rFonts w:hint="eastAsia" w:hAnsi="宋体"/>
          <w:b/>
          <w:color w:val="auto"/>
          <w:sz w:val="21"/>
          <w:highlight w:val="none"/>
        </w:rPr>
      </w:pPr>
      <w:r>
        <w:rPr>
          <w:rFonts w:hint="eastAsia" w:hAnsi="宋体"/>
          <w:b/>
          <w:color w:val="auto"/>
          <w:sz w:val="21"/>
          <w:highlight w:val="none"/>
        </w:rPr>
        <w:t>五、与投诉事项相关的投诉请求：</w:t>
      </w:r>
    </w:p>
    <w:p w14:paraId="5A5753C9">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请求：</w:t>
      </w:r>
      <w:r>
        <w:rPr>
          <w:rFonts w:hint="eastAsia" w:hAnsi="宋体"/>
          <w:bCs/>
          <w:color w:val="auto"/>
          <w:sz w:val="21"/>
          <w:highlight w:val="none"/>
          <w:u w:val="single"/>
        </w:rPr>
        <w:t xml:space="preserve">                                                                     </w:t>
      </w:r>
    </w:p>
    <w:p w14:paraId="633621BB">
      <w:pPr>
        <w:pStyle w:val="23"/>
        <w:spacing w:line="360" w:lineRule="auto"/>
        <w:ind w:left="25" w:leftChars="12" w:firstLine="413" w:firstLineChars="197"/>
        <w:rPr>
          <w:rFonts w:hint="eastAsia" w:hAnsi="宋体"/>
          <w:color w:val="auto"/>
          <w:sz w:val="21"/>
          <w:highlight w:val="none"/>
        </w:rPr>
      </w:pPr>
    </w:p>
    <w:p w14:paraId="2EB8E95D">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签字（签章）：                                       公章：</w:t>
      </w:r>
    </w:p>
    <w:p w14:paraId="06DD53E1">
      <w:pPr>
        <w:pStyle w:val="23"/>
        <w:spacing w:line="360" w:lineRule="auto"/>
        <w:ind w:left="25" w:leftChars="12" w:firstLine="413" w:firstLineChars="197"/>
        <w:rPr>
          <w:rFonts w:hint="eastAsia" w:hAnsi="宋体"/>
          <w:color w:val="auto"/>
          <w:sz w:val="21"/>
          <w:highlight w:val="none"/>
        </w:rPr>
      </w:pPr>
      <w:r>
        <w:rPr>
          <w:rFonts w:hint="eastAsia" w:hAnsi="宋体"/>
          <w:color w:val="auto"/>
          <w:sz w:val="21"/>
          <w:highlight w:val="none"/>
        </w:rPr>
        <w:t>日期：</w:t>
      </w:r>
    </w:p>
    <w:p w14:paraId="73E78FF7">
      <w:pPr>
        <w:pStyle w:val="23"/>
        <w:snapToGrid w:val="0"/>
        <w:spacing w:line="360" w:lineRule="auto"/>
        <w:rPr>
          <w:rFonts w:hint="eastAsia" w:hAnsi="宋体"/>
          <w:b/>
          <w:color w:val="auto"/>
          <w:sz w:val="21"/>
          <w:highlight w:val="none"/>
        </w:rPr>
      </w:pPr>
      <w:r>
        <w:rPr>
          <w:rFonts w:hint="eastAsia" w:hAnsi="宋体"/>
          <w:b/>
          <w:color w:val="auto"/>
          <w:sz w:val="21"/>
          <w:highlight w:val="none"/>
        </w:rPr>
        <w:t>说明：</w:t>
      </w:r>
    </w:p>
    <w:p w14:paraId="158ADD89">
      <w:pPr>
        <w:pStyle w:val="23"/>
        <w:spacing w:line="360" w:lineRule="auto"/>
        <w:ind w:left="25" w:leftChars="12" w:firstLine="310" w:firstLineChars="147"/>
        <w:rPr>
          <w:rFonts w:hint="eastAsia" w:hAnsi="宋体"/>
          <w:b/>
          <w:bCs/>
          <w:color w:val="auto"/>
          <w:sz w:val="21"/>
          <w:highlight w:val="none"/>
        </w:rPr>
      </w:pPr>
      <w:r>
        <w:rPr>
          <w:rFonts w:hint="eastAsia" w:hAnsi="宋体"/>
          <w:b/>
          <w:color w:val="auto"/>
          <w:sz w:val="21"/>
          <w:highlight w:val="none"/>
        </w:rPr>
        <w:t>1.投诉人提起投诉时，应当提交投诉书和必要的证明材料，并按照被投诉人和与投诉事项有关的供应商数量提供投诉书副本</w:t>
      </w:r>
      <w:r>
        <w:rPr>
          <w:rFonts w:hint="eastAsia" w:hAnsi="宋体"/>
          <w:b/>
          <w:bCs/>
          <w:color w:val="auto"/>
          <w:sz w:val="21"/>
          <w:highlight w:val="none"/>
        </w:rPr>
        <w:t>。</w:t>
      </w:r>
    </w:p>
    <w:p w14:paraId="0B618C57">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851A898">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3.投诉书应简要列明质疑事项，质疑函、质疑答复等作为附件材料提供。</w:t>
      </w:r>
    </w:p>
    <w:p w14:paraId="2FBD9188">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4.投诉书的投诉事项应具体、明确，并有必要的事实依据和法律依据。</w:t>
      </w:r>
    </w:p>
    <w:p w14:paraId="1684DEBB">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5.投诉书的投诉请求应与投诉事项相关。</w:t>
      </w:r>
    </w:p>
    <w:p w14:paraId="02617AFD">
      <w:pPr>
        <w:pStyle w:val="23"/>
        <w:spacing w:line="360" w:lineRule="auto"/>
        <w:ind w:left="25" w:leftChars="12" w:firstLine="310" w:firstLineChars="147"/>
        <w:rPr>
          <w:rFonts w:hint="eastAsia" w:hAnsi="宋体"/>
          <w:b/>
          <w:color w:val="auto"/>
          <w:sz w:val="21"/>
          <w:highlight w:val="none"/>
        </w:rPr>
      </w:pPr>
      <w:r>
        <w:rPr>
          <w:rFonts w:hint="eastAsia" w:hAnsi="宋体"/>
          <w:b/>
          <w:color w:val="auto"/>
          <w:sz w:val="21"/>
          <w:highlight w:val="none"/>
        </w:rPr>
        <w:t>6.投诉人为法人或者其他组织的，投诉书应由法定代表人、主要负责人，或者其授权代表签字或者盖章，并加盖公章。</w:t>
      </w:r>
    </w:p>
    <w:sectPr>
      <w:pgSz w:w="11906" w:h="16838"/>
      <w:pgMar w:top="1440" w:right="1797" w:bottom="1440" w:left="179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00" w:usb3="00000000" w:csb0="00000000" w:csb1="00000000"/>
  </w:font>
  <w:font w:name="Century">
    <w:panose1 w:val="02040604050505020304"/>
    <w:charset w:val="00"/>
    <w:family w:val="roman"/>
    <w:pitch w:val="default"/>
    <w:sig w:usb0="00000287" w:usb1="00000000" w:usb2="00000000" w:usb3="00000000" w:csb0="2000009F" w:csb1="DFD70000"/>
  </w:font>
  <w:font w:name="幼圆">
    <w:panose1 w:val="0201050906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Helvetica">
    <w:altName w:val="Arial"/>
    <w:panose1 w:val="020B0604020202020204"/>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金山简黑体">
    <w:altName w:val="宋体"/>
    <w:panose1 w:val="00000000000000000000"/>
    <w:charset w:val="86"/>
    <w:family w:val="modern"/>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E812E">
    <w:pPr>
      <w:pStyle w:val="29"/>
      <w:framePr w:wrap="around" w:vAnchor="text" w:hAnchor="margin" w:xAlign="center" w:y="1"/>
      <w:rPr>
        <w:rStyle w:val="50"/>
      </w:rPr>
    </w:pPr>
    <w:r>
      <w:fldChar w:fldCharType="begin"/>
    </w:r>
    <w:r>
      <w:rPr>
        <w:rStyle w:val="50"/>
      </w:rPr>
      <w:instrText xml:space="preserve">PAGE  </w:instrText>
    </w:r>
    <w:r>
      <w:fldChar w:fldCharType="end"/>
    </w:r>
  </w:p>
  <w:p w14:paraId="08AEA78B">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1B568">
    <w:pPr>
      <w:pStyle w:val="29"/>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ACD68">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808B8">
                          <w:pPr>
                            <w:pStyle w:val="2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5808B8">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7DCD">
    <w:pPr>
      <w:pStyle w:val="29"/>
      <w:ind w:right="360"/>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74229">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F74229">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8DA67">
    <w:pPr>
      <w:pStyle w:val="29"/>
      <w:framePr w:wrap="around" w:vAnchor="text" w:hAnchor="margin" w:xAlign="center" w:y="1"/>
      <w:rPr>
        <w:rStyle w:val="50"/>
      </w:rPr>
    </w:pPr>
    <w:r>
      <w:fldChar w:fldCharType="begin"/>
    </w:r>
    <w:r>
      <w:rPr>
        <w:rStyle w:val="50"/>
      </w:rPr>
      <w:instrText xml:space="preserve">PAGE  </w:instrText>
    </w:r>
    <w:r>
      <w:fldChar w:fldCharType="end"/>
    </w:r>
  </w:p>
  <w:p w14:paraId="459F909D">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AE078">
    <w:pPr>
      <w:pStyle w:val="29"/>
      <w:framePr w:wrap="around" w:vAnchor="text" w:hAnchor="margin" w:xAlign="right" w:y="1"/>
      <w:rPr>
        <w:rStyle w:val="50"/>
      </w:rPr>
    </w:pPr>
    <w:r>
      <w:fldChar w:fldCharType="begin"/>
    </w:r>
    <w:r>
      <w:rPr>
        <w:rStyle w:val="50"/>
      </w:rPr>
      <w:instrText xml:space="preserve">PAGE  </w:instrText>
    </w:r>
    <w:r>
      <w:fldChar w:fldCharType="separate"/>
    </w:r>
    <w:r>
      <w:rPr>
        <w:rStyle w:val="50"/>
      </w:rPr>
      <w:t>122</w:t>
    </w:r>
    <w:r>
      <w:fldChar w:fldCharType="end"/>
    </w:r>
  </w:p>
  <w:p w14:paraId="44323C07">
    <w:pPr>
      <w:pStyle w:val="29"/>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B620E">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7715A">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28A86">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9"/>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2">
    <w:nsid w:val="4C601917"/>
    <w:multiLevelType w:val="singleLevel"/>
    <w:tmpl w:val="4C601917"/>
    <w:lvl w:ilvl="0" w:tentative="0">
      <w:start w:val="1"/>
      <w:numFmt w:val="decimal"/>
      <w:suff w:val="nothing"/>
      <w:lvlText w:val="（%1）"/>
      <w:lvlJc w:val="left"/>
    </w:lvl>
  </w:abstractNum>
  <w:abstractNum w:abstractNumId="3">
    <w:nsid w:val="5FABD14B"/>
    <w:multiLevelType w:val="singleLevel"/>
    <w:tmpl w:val="5FABD14B"/>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trackRevisions w:val="1"/>
  <w:documentProtection w:enforcement="0"/>
  <w:defaultTabStop w:val="420"/>
  <w:noPunctuationKerning w:val="1"/>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2Y2NjMTA2OGY2YzgxNDNlNTNhZjEzMjRhOTZiNTEifQ=="/>
  </w:docVars>
  <w:rsids>
    <w:rsidRoot w:val="00F9008B"/>
    <w:rsid w:val="0000010C"/>
    <w:rsid w:val="000004FE"/>
    <w:rsid w:val="00000786"/>
    <w:rsid w:val="00000FE0"/>
    <w:rsid w:val="00001068"/>
    <w:rsid w:val="0000114A"/>
    <w:rsid w:val="00001731"/>
    <w:rsid w:val="00001C2D"/>
    <w:rsid w:val="00001C37"/>
    <w:rsid w:val="00001C55"/>
    <w:rsid w:val="00001CA8"/>
    <w:rsid w:val="00001FAE"/>
    <w:rsid w:val="00002291"/>
    <w:rsid w:val="00002DBF"/>
    <w:rsid w:val="00002EC0"/>
    <w:rsid w:val="00002F69"/>
    <w:rsid w:val="00003224"/>
    <w:rsid w:val="000033F5"/>
    <w:rsid w:val="0000358C"/>
    <w:rsid w:val="00003BEF"/>
    <w:rsid w:val="00004130"/>
    <w:rsid w:val="0000431F"/>
    <w:rsid w:val="00004634"/>
    <w:rsid w:val="00004D8B"/>
    <w:rsid w:val="000059E2"/>
    <w:rsid w:val="000061EA"/>
    <w:rsid w:val="00006AE7"/>
    <w:rsid w:val="00006B9B"/>
    <w:rsid w:val="00006C35"/>
    <w:rsid w:val="000072B1"/>
    <w:rsid w:val="00007329"/>
    <w:rsid w:val="00007E28"/>
    <w:rsid w:val="00007E84"/>
    <w:rsid w:val="00010075"/>
    <w:rsid w:val="00010401"/>
    <w:rsid w:val="000105A1"/>
    <w:rsid w:val="000107AD"/>
    <w:rsid w:val="00010835"/>
    <w:rsid w:val="00011842"/>
    <w:rsid w:val="00012015"/>
    <w:rsid w:val="00012137"/>
    <w:rsid w:val="000121FF"/>
    <w:rsid w:val="000125B8"/>
    <w:rsid w:val="00012692"/>
    <w:rsid w:val="00013446"/>
    <w:rsid w:val="00013509"/>
    <w:rsid w:val="000135BC"/>
    <w:rsid w:val="000135DC"/>
    <w:rsid w:val="000136A2"/>
    <w:rsid w:val="000136D6"/>
    <w:rsid w:val="00014085"/>
    <w:rsid w:val="00014DD9"/>
    <w:rsid w:val="00014EE0"/>
    <w:rsid w:val="000151E4"/>
    <w:rsid w:val="00015577"/>
    <w:rsid w:val="000156E4"/>
    <w:rsid w:val="000159A7"/>
    <w:rsid w:val="00015FB8"/>
    <w:rsid w:val="0001609F"/>
    <w:rsid w:val="0001635B"/>
    <w:rsid w:val="00016549"/>
    <w:rsid w:val="00016BF7"/>
    <w:rsid w:val="000172E0"/>
    <w:rsid w:val="0001767E"/>
    <w:rsid w:val="0001776D"/>
    <w:rsid w:val="00017F31"/>
    <w:rsid w:val="00020607"/>
    <w:rsid w:val="0002103A"/>
    <w:rsid w:val="00021470"/>
    <w:rsid w:val="000217E4"/>
    <w:rsid w:val="00021852"/>
    <w:rsid w:val="00021A12"/>
    <w:rsid w:val="00022622"/>
    <w:rsid w:val="00022EB1"/>
    <w:rsid w:val="00023363"/>
    <w:rsid w:val="000235F3"/>
    <w:rsid w:val="00023644"/>
    <w:rsid w:val="00023712"/>
    <w:rsid w:val="00023C08"/>
    <w:rsid w:val="00024C32"/>
    <w:rsid w:val="00024E3C"/>
    <w:rsid w:val="00024EB0"/>
    <w:rsid w:val="0002646A"/>
    <w:rsid w:val="0002651D"/>
    <w:rsid w:val="00026CFD"/>
    <w:rsid w:val="00027C8B"/>
    <w:rsid w:val="00027CD9"/>
    <w:rsid w:val="00030242"/>
    <w:rsid w:val="00030B06"/>
    <w:rsid w:val="0003183A"/>
    <w:rsid w:val="00031CDC"/>
    <w:rsid w:val="0003263B"/>
    <w:rsid w:val="0003282C"/>
    <w:rsid w:val="00032F6D"/>
    <w:rsid w:val="0003304A"/>
    <w:rsid w:val="0003317E"/>
    <w:rsid w:val="00033413"/>
    <w:rsid w:val="000337F3"/>
    <w:rsid w:val="00033AD8"/>
    <w:rsid w:val="00034247"/>
    <w:rsid w:val="00034458"/>
    <w:rsid w:val="00034C27"/>
    <w:rsid w:val="00034E2A"/>
    <w:rsid w:val="0003577F"/>
    <w:rsid w:val="00036466"/>
    <w:rsid w:val="0003675E"/>
    <w:rsid w:val="00037F87"/>
    <w:rsid w:val="00037FA2"/>
    <w:rsid w:val="000400D0"/>
    <w:rsid w:val="000425AC"/>
    <w:rsid w:val="00042F4A"/>
    <w:rsid w:val="00043BE5"/>
    <w:rsid w:val="00044003"/>
    <w:rsid w:val="00044527"/>
    <w:rsid w:val="00044897"/>
    <w:rsid w:val="00044ACF"/>
    <w:rsid w:val="000454F4"/>
    <w:rsid w:val="00045D1E"/>
    <w:rsid w:val="00045E69"/>
    <w:rsid w:val="00045EF4"/>
    <w:rsid w:val="00046547"/>
    <w:rsid w:val="000466D7"/>
    <w:rsid w:val="00046753"/>
    <w:rsid w:val="00047254"/>
    <w:rsid w:val="00047E41"/>
    <w:rsid w:val="0005022B"/>
    <w:rsid w:val="00050771"/>
    <w:rsid w:val="00050EC3"/>
    <w:rsid w:val="000513F3"/>
    <w:rsid w:val="00052287"/>
    <w:rsid w:val="000522E0"/>
    <w:rsid w:val="000532F4"/>
    <w:rsid w:val="000536AE"/>
    <w:rsid w:val="00054CD5"/>
    <w:rsid w:val="00054D03"/>
    <w:rsid w:val="000550AC"/>
    <w:rsid w:val="00055403"/>
    <w:rsid w:val="0005584D"/>
    <w:rsid w:val="00055914"/>
    <w:rsid w:val="00055CC3"/>
    <w:rsid w:val="00055CEE"/>
    <w:rsid w:val="000566FA"/>
    <w:rsid w:val="00056A2B"/>
    <w:rsid w:val="00056C2C"/>
    <w:rsid w:val="00056DA8"/>
    <w:rsid w:val="00056E37"/>
    <w:rsid w:val="00056EE2"/>
    <w:rsid w:val="00056FE2"/>
    <w:rsid w:val="000570FB"/>
    <w:rsid w:val="000575B8"/>
    <w:rsid w:val="00060131"/>
    <w:rsid w:val="0006026B"/>
    <w:rsid w:val="00060293"/>
    <w:rsid w:val="00061BDA"/>
    <w:rsid w:val="000621FE"/>
    <w:rsid w:val="000629D0"/>
    <w:rsid w:val="00062B90"/>
    <w:rsid w:val="00062C70"/>
    <w:rsid w:val="00062DD0"/>
    <w:rsid w:val="00062E6F"/>
    <w:rsid w:val="000630C7"/>
    <w:rsid w:val="0006400F"/>
    <w:rsid w:val="000645DD"/>
    <w:rsid w:val="0006469A"/>
    <w:rsid w:val="00064D7E"/>
    <w:rsid w:val="00064F65"/>
    <w:rsid w:val="00064FD0"/>
    <w:rsid w:val="0006534A"/>
    <w:rsid w:val="000655A6"/>
    <w:rsid w:val="00065A5D"/>
    <w:rsid w:val="00065BA2"/>
    <w:rsid w:val="000660E7"/>
    <w:rsid w:val="000661CA"/>
    <w:rsid w:val="0006668D"/>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549"/>
    <w:rsid w:val="0007483E"/>
    <w:rsid w:val="000751DB"/>
    <w:rsid w:val="0007542D"/>
    <w:rsid w:val="0007578F"/>
    <w:rsid w:val="00075E43"/>
    <w:rsid w:val="00077706"/>
    <w:rsid w:val="00077878"/>
    <w:rsid w:val="000803B9"/>
    <w:rsid w:val="000804EF"/>
    <w:rsid w:val="00080558"/>
    <w:rsid w:val="00081230"/>
    <w:rsid w:val="000814E2"/>
    <w:rsid w:val="000818C9"/>
    <w:rsid w:val="00081B62"/>
    <w:rsid w:val="00081CBB"/>
    <w:rsid w:val="00081D42"/>
    <w:rsid w:val="000822EF"/>
    <w:rsid w:val="0008241E"/>
    <w:rsid w:val="000826F5"/>
    <w:rsid w:val="0008273E"/>
    <w:rsid w:val="000829B1"/>
    <w:rsid w:val="00082AAB"/>
    <w:rsid w:val="0008307D"/>
    <w:rsid w:val="000831E9"/>
    <w:rsid w:val="000833BB"/>
    <w:rsid w:val="0008452D"/>
    <w:rsid w:val="0008467B"/>
    <w:rsid w:val="000850FA"/>
    <w:rsid w:val="000857A6"/>
    <w:rsid w:val="00085C12"/>
    <w:rsid w:val="00085DA0"/>
    <w:rsid w:val="00085F82"/>
    <w:rsid w:val="00086506"/>
    <w:rsid w:val="00086B6E"/>
    <w:rsid w:val="00086C64"/>
    <w:rsid w:val="0008781A"/>
    <w:rsid w:val="00090951"/>
    <w:rsid w:val="00090A61"/>
    <w:rsid w:val="000918F5"/>
    <w:rsid w:val="000919B5"/>
    <w:rsid w:val="00091C1D"/>
    <w:rsid w:val="00091E08"/>
    <w:rsid w:val="000922D8"/>
    <w:rsid w:val="000932E7"/>
    <w:rsid w:val="0009333A"/>
    <w:rsid w:val="000933C3"/>
    <w:rsid w:val="00093459"/>
    <w:rsid w:val="00093B8B"/>
    <w:rsid w:val="000951E7"/>
    <w:rsid w:val="00095B82"/>
    <w:rsid w:val="00096098"/>
    <w:rsid w:val="000969D9"/>
    <w:rsid w:val="00096F37"/>
    <w:rsid w:val="00097FE5"/>
    <w:rsid w:val="000A0354"/>
    <w:rsid w:val="000A091F"/>
    <w:rsid w:val="000A0958"/>
    <w:rsid w:val="000A0FCC"/>
    <w:rsid w:val="000A1033"/>
    <w:rsid w:val="000A1355"/>
    <w:rsid w:val="000A1B5F"/>
    <w:rsid w:val="000A2712"/>
    <w:rsid w:val="000A2877"/>
    <w:rsid w:val="000A28EE"/>
    <w:rsid w:val="000A355D"/>
    <w:rsid w:val="000A35DA"/>
    <w:rsid w:val="000A371E"/>
    <w:rsid w:val="000A3DE5"/>
    <w:rsid w:val="000A4011"/>
    <w:rsid w:val="000A45D5"/>
    <w:rsid w:val="000A490E"/>
    <w:rsid w:val="000A5B49"/>
    <w:rsid w:val="000A5FE5"/>
    <w:rsid w:val="000A6D04"/>
    <w:rsid w:val="000A70B1"/>
    <w:rsid w:val="000A7218"/>
    <w:rsid w:val="000A740A"/>
    <w:rsid w:val="000A7446"/>
    <w:rsid w:val="000A7E7F"/>
    <w:rsid w:val="000A7ECD"/>
    <w:rsid w:val="000B04DD"/>
    <w:rsid w:val="000B08DE"/>
    <w:rsid w:val="000B0F01"/>
    <w:rsid w:val="000B1346"/>
    <w:rsid w:val="000B1914"/>
    <w:rsid w:val="000B19DC"/>
    <w:rsid w:val="000B1C35"/>
    <w:rsid w:val="000B1CA2"/>
    <w:rsid w:val="000B202E"/>
    <w:rsid w:val="000B2293"/>
    <w:rsid w:val="000B24A4"/>
    <w:rsid w:val="000B255C"/>
    <w:rsid w:val="000B395E"/>
    <w:rsid w:val="000B39C3"/>
    <w:rsid w:val="000B3A00"/>
    <w:rsid w:val="000B4840"/>
    <w:rsid w:val="000B4D79"/>
    <w:rsid w:val="000B5627"/>
    <w:rsid w:val="000B5671"/>
    <w:rsid w:val="000B59D6"/>
    <w:rsid w:val="000B6BF0"/>
    <w:rsid w:val="000B6CE8"/>
    <w:rsid w:val="000B6DBE"/>
    <w:rsid w:val="000B7843"/>
    <w:rsid w:val="000B7DAF"/>
    <w:rsid w:val="000C071C"/>
    <w:rsid w:val="000C0BB4"/>
    <w:rsid w:val="000C0BEE"/>
    <w:rsid w:val="000C1CB9"/>
    <w:rsid w:val="000C2159"/>
    <w:rsid w:val="000C21BB"/>
    <w:rsid w:val="000C289B"/>
    <w:rsid w:val="000C396C"/>
    <w:rsid w:val="000C3F01"/>
    <w:rsid w:val="000C4153"/>
    <w:rsid w:val="000C420D"/>
    <w:rsid w:val="000C4773"/>
    <w:rsid w:val="000C4944"/>
    <w:rsid w:val="000C4E24"/>
    <w:rsid w:val="000C5C4A"/>
    <w:rsid w:val="000C5D40"/>
    <w:rsid w:val="000C5F01"/>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C35"/>
    <w:rsid w:val="000D2C9B"/>
    <w:rsid w:val="000D35FD"/>
    <w:rsid w:val="000D3D2D"/>
    <w:rsid w:val="000D3D99"/>
    <w:rsid w:val="000D4653"/>
    <w:rsid w:val="000D4696"/>
    <w:rsid w:val="000D4817"/>
    <w:rsid w:val="000D4FB9"/>
    <w:rsid w:val="000D54B4"/>
    <w:rsid w:val="000D584B"/>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A50"/>
    <w:rsid w:val="000E30F2"/>
    <w:rsid w:val="000E316B"/>
    <w:rsid w:val="000E3D08"/>
    <w:rsid w:val="000E4728"/>
    <w:rsid w:val="000E4D1F"/>
    <w:rsid w:val="000E5658"/>
    <w:rsid w:val="000E5698"/>
    <w:rsid w:val="000E5723"/>
    <w:rsid w:val="000E581B"/>
    <w:rsid w:val="000E64B2"/>
    <w:rsid w:val="000E65D2"/>
    <w:rsid w:val="000E6919"/>
    <w:rsid w:val="000E6B1B"/>
    <w:rsid w:val="000E6F0C"/>
    <w:rsid w:val="000E732D"/>
    <w:rsid w:val="000F07ED"/>
    <w:rsid w:val="000F09E2"/>
    <w:rsid w:val="000F0CF2"/>
    <w:rsid w:val="000F1A32"/>
    <w:rsid w:val="000F1AFE"/>
    <w:rsid w:val="000F1CC2"/>
    <w:rsid w:val="000F1D15"/>
    <w:rsid w:val="000F270A"/>
    <w:rsid w:val="000F2B67"/>
    <w:rsid w:val="000F34C8"/>
    <w:rsid w:val="000F38BC"/>
    <w:rsid w:val="000F3E2A"/>
    <w:rsid w:val="000F40FD"/>
    <w:rsid w:val="000F4D26"/>
    <w:rsid w:val="000F5639"/>
    <w:rsid w:val="000F58A4"/>
    <w:rsid w:val="000F6833"/>
    <w:rsid w:val="000F6A24"/>
    <w:rsid w:val="000F7358"/>
    <w:rsid w:val="000F7616"/>
    <w:rsid w:val="000F7DE9"/>
    <w:rsid w:val="000F7F7A"/>
    <w:rsid w:val="001002F4"/>
    <w:rsid w:val="001011FC"/>
    <w:rsid w:val="0010165F"/>
    <w:rsid w:val="00101E7C"/>
    <w:rsid w:val="001023DC"/>
    <w:rsid w:val="00102572"/>
    <w:rsid w:val="00102946"/>
    <w:rsid w:val="00102FBF"/>
    <w:rsid w:val="0010333D"/>
    <w:rsid w:val="0010372A"/>
    <w:rsid w:val="00103F41"/>
    <w:rsid w:val="00104F34"/>
    <w:rsid w:val="001053C5"/>
    <w:rsid w:val="001055AD"/>
    <w:rsid w:val="00105C14"/>
    <w:rsid w:val="001065A3"/>
    <w:rsid w:val="00106831"/>
    <w:rsid w:val="0010691D"/>
    <w:rsid w:val="00106B33"/>
    <w:rsid w:val="00106E69"/>
    <w:rsid w:val="00110AC5"/>
    <w:rsid w:val="00110F0B"/>
    <w:rsid w:val="0011108B"/>
    <w:rsid w:val="00111136"/>
    <w:rsid w:val="00111164"/>
    <w:rsid w:val="00111761"/>
    <w:rsid w:val="00112164"/>
    <w:rsid w:val="0011241F"/>
    <w:rsid w:val="001128BF"/>
    <w:rsid w:val="00112D09"/>
    <w:rsid w:val="00112F03"/>
    <w:rsid w:val="00112F38"/>
    <w:rsid w:val="00113821"/>
    <w:rsid w:val="00114058"/>
    <w:rsid w:val="0011449E"/>
    <w:rsid w:val="001153EF"/>
    <w:rsid w:val="00115D55"/>
    <w:rsid w:val="00115E45"/>
    <w:rsid w:val="00115F85"/>
    <w:rsid w:val="0011688E"/>
    <w:rsid w:val="00116ACD"/>
    <w:rsid w:val="00117B7D"/>
    <w:rsid w:val="001204CE"/>
    <w:rsid w:val="001205A8"/>
    <w:rsid w:val="00122A64"/>
    <w:rsid w:val="0012388A"/>
    <w:rsid w:val="0012388C"/>
    <w:rsid w:val="00123AFA"/>
    <w:rsid w:val="00123C8C"/>
    <w:rsid w:val="00123DC5"/>
    <w:rsid w:val="00123E8B"/>
    <w:rsid w:val="00123EA3"/>
    <w:rsid w:val="00124076"/>
    <w:rsid w:val="00124B43"/>
    <w:rsid w:val="00124BAB"/>
    <w:rsid w:val="00124DF8"/>
    <w:rsid w:val="001253EA"/>
    <w:rsid w:val="00125B99"/>
    <w:rsid w:val="00126160"/>
    <w:rsid w:val="00126DB5"/>
    <w:rsid w:val="00127178"/>
    <w:rsid w:val="00127CB7"/>
    <w:rsid w:val="00127F09"/>
    <w:rsid w:val="0013002A"/>
    <w:rsid w:val="0013085D"/>
    <w:rsid w:val="0013089C"/>
    <w:rsid w:val="00130A2D"/>
    <w:rsid w:val="00130F54"/>
    <w:rsid w:val="00131888"/>
    <w:rsid w:val="00131EC4"/>
    <w:rsid w:val="00131F17"/>
    <w:rsid w:val="0013212F"/>
    <w:rsid w:val="001323F9"/>
    <w:rsid w:val="0013251F"/>
    <w:rsid w:val="00133088"/>
    <w:rsid w:val="00133346"/>
    <w:rsid w:val="001335B1"/>
    <w:rsid w:val="00133B4E"/>
    <w:rsid w:val="001344A8"/>
    <w:rsid w:val="001346AF"/>
    <w:rsid w:val="00134823"/>
    <w:rsid w:val="00134990"/>
    <w:rsid w:val="001354D1"/>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7B5"/>
    <w:rsid w:val="001428CF"/>
    <w:rsid w:val="00142D0C"/>
    <w:rsid w:val="00142E3C"/>
    <w:rsid w:val="00143387"/>
    <w:rsid w:val="00143788"/>
    <w:rsid w:val="00144013"/>
    <w:rsid w:val="00145A17"/>
    <w:rsid w:val="00145BBE"/>
    <w:rsid w:val="001460B5"/>
    <w:rsid w:val="0014641F"/>
    <w:rsid w:val="001464A8"/>
    <w:rsid w:val="001467BB"/>
    <w:rsid w:val="00146CA8"/>
    <w:rsid w:val="0014727A"/>
    <w:rsid w:val="001473E9"/>
    <w:rsid w:val="00147884"/>
    <w:rsid w:val="00150827"/>
    <w:rsid w:val="00150B0D"/>
    <w:rsid w:val="00151866"/>
    <w:rsid w:val="00151E31"/>
    <w:rsid w:val="00151F9B"/>
    <w:rsid w:val="00152289"/>
    <w:rsid w:val="00152425"/>
    <w:rsid w:val="00152BAD"/>
    <w:rsid w:val="00152CE3"/>
    <w:rsid w:val="00153084"/>
    <w:rsid w:val="00153652"/>
    <w:rsid w:val="00153697"/>
    <w:rsid w:val="00153956"/>
    <w:rsid w:val="00153B95"/>
    <w:rsid w:val="00153C37"/>
    <w:rsid w:val="00154146"/>
    <w:rsid w:val="00154190"/>
    <w:rsid w:val="001545EA"/>
    <w:rsid w:val="001549BA"/>
    <w:rsid w:val="00154BBF"/>
    <w:rsid w:val="00155099"/>
    <w:rsid w:val="00155C85"/>
    <w:rsid w:val="00155E5B"/>
    <w:rsid w:val="001567F7"/>
    <w:rsid w:val="00156A6C"/>
    <w:rsid w:val="00156B10"/>
    <w:rsid w:val="00157204"/>
    <w:rsid w:val="001576FE"/>
    <w:rsid w:val="00157823"/>
    <w:rsid w:val="0015790D"/>
    <w:rsid w:val="00157C5E"/>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70E"/>
    <w:rsid w:val="00164D83"/>
    <w:rsid w:val="00164E0A"/>
    <w:rsid w:val="001652D7"/>
    <w:rsid w:val="00165A5F"/>
    <w:rsid w:val="00166223"/>
    <w:rsid w:val="00166D80"/>
    <w:rsid w:val="0016793E"/>
    <w:rsid w:val="00167D4D"/>
    <w:rsid w:val="00170635"/>
    <w:rsid w:val="0017070D"/>
    <w:rsid w:val="00170837"/>
    <w:rsid w:val="00171035"/>
    <w:rsid w:val="001713B7"/>
    <w:rsid w:val="00171ADB"/>
    <w:rsid w:val="00171E2C"/>
    <w:rsid w:val="00172029"/>
    <w:rsid w:val="001733A4"/>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EEF"/>
    <w:rsid w:val="00181F3E"/>
    <w:rsid w:val="00182FE0"/>
    <w:rsid w:val="00183911"/>
    <w:rsid w:val="00183D81"/>
    <w:rsid w:val="001845FB"/>
    <w:rsid w:val="00185DA6"/>
    <w:rsid w:val="00185F64"/>
    <w:rsid w:val="00186096"/>
    <w:rsid w:val="00186CE7"/>
    <w:rsid w:val="0018772E"/>
    <w:rsid w:val="00187A94"/>
    <w:rsid w:val="0019029E"/>
    <w:rsid w:val="00190804"/>
    <w:rsid w:val="0019088F"/>
    <w:rsid w:val="00190C51"/>
    <w:rsid w:val="0019159E"/>
    <w:rsid w:val="00193ACC"/>
    <w:rsid w:val="00193BFE"/>
    <w:rsid w:val="00195322"/>
    <w:rsid w:val="0019560E"/>
    <w:rsid w:val="001958E3"/>
    <w:rsid w:val="0019601B"/>
    <w:rsid w:val="00196048"/>
    <w:rsid w:val="001965BD"/>
    <w:rsid w:val="00196A82"/>
    <w:rsid w:val="0019769B"/>
    <w:rsid w:val="001977BC"/>
    <w:rsid w:val="001979F9"/>
    <w:rsid w:val="00197FFE"/>
    <w:rsid w:val="001A0D25"/>
    <w:rsid w:val="001A0E14"/>
    <w:rsid w:val="001A1570"/>
    <w:rsid w:val="001A1917"/>
    <w:rsid w:val="001A1C64"/>
    <w:rsid w:val="001A1E7F"/>
    <w:rsid w:val="001A2918"/>
    <w:rsid w:val="001A2D02"/>
    <w:rsid w:val="001A3076"/>
    <w:rsid w:val="001A31A5"/>
    <w:rsid w:val="001A389C"/>
    <w:rsid w:val="001A3B75"/>
    <w:rsid w:val="001A434D"/>
    <w:rsid w:val="001A46FB"/>
    <w:rsid w:val="001A5944"/>
    <w:rsid w:val="001A5FB1"/>
    <w:rsid w:val="001A698A"/>
    <w:rsid w:val="001A6CCC"/>
    <w:rsid w:val="001A70C8"/>
    <w:rsid w:val="001A71C9"/>
    <w:rsid w:val="001A7429"/>
    <w:rsid w:val="001A760C"/>
    <w:rsid w:val="001A799B"/>
    <w:rsid w:val="001A7AC7"/>
    <w:rsid w:val="001A7C38"/>
    <w:rsid w:val="001B02F8"/>
    <w:rsid w:val="001B2104"/>
    <w:rsid w:val="001B2279"/>
    <w:rsid w:val="001B2729"/>
    <w:rsid w:val="001B2866"/>
    <w:rsid w:val="001B2881"/>
    <w:rsid w:val="001B2B73"/>
    <w:rsid w:val="001B3675"/>
    <w:rsid w:val="001B37C8"/>
    <w:rsid w:val="001B4B2C"/>
    <w:rsid w:val="001B4F10"/>
    <w:rsid w:val="001B5154"/>
    <w:rsid w:val="001B6E30"/>
    <w:rsid w:val="001B7C83"/>
    <w:rsid w:val="001B7F9E"/>
    <w:rsid w:val="001C0206"/>
    <w:rsid w:val="001C0246"/>
    <w:rsid w:val="001C04D4"/>
    <w:rsid w:val="001C0B34"/>
    <w:rsid w:val="001C12A3"/>
    <w:rsid w:val="001C17BB"/>
    <w:rsid w:val="001C187E"/>
    <w:rsid w:val="001C1A37"/>
    <w:rsid w:val="001C1C49"/>
    <w:rsid w:val="001C286F"/>
    <w:rsid w:val="001C2B86"/>
    <w:rsid w:val="001C2F54"/>
    <w:rsid w:val="001C3308"/>
    <w:rsid w:val="001C3BBB"/>
    <w:rsid w:val="001C40D1"/>
    <w:rsid w:val="001C468A"/>
    <w:rsid w:val="001C4A38"/>
    <w:rsid w:val="001C4A9E"/>
    <w:rsid w:val="001C4C80"/>
    <w:rsid w:val="001C5001"/>
    <w:rsid w:val="001C5103"/>
    <w:rsid w:val="001C52A8"/>
    <w:rsid w:val="001C5ADF"/>
    <w:rsid w:val="001C5E8E"/>
    <w:rsid w:val="001C6120"/>
    <w:rsid w:val="001C6516"/>
    <w:rsid w:val="001C6B5C"/>
    <w:rsid w:val="001C7155"/>
    <w:rsid w:val="001C7238"/>
    <w:rsid w:val="001C7E48"/>
    <w:rsid w:val="001D039B"/>
    <w:rsid w:val="001D1258"/>
    <w:rsid w:val="001D1AB8"/>
    <w:rsid w:val="001D1DFD"/>
    <w:rsid w:val="001D286F"/>
    <w:rsid w:val="001D2C94"/>
    <w:rsid w:val="001D33D9"/>
    <w:rsid w:val="001D36F6"/>
    <w:rsid w:val="001D4303"/>
    <w:rsid w:val="001D45E5"/>
    <w:rsid w:val="001D461A"/>
    <w:rsid w:val="001D4A9D"/>
    <w:rsid w:val="001D4AAD"/>
    <w:rsid w:val="001D5AFA"/>
    <w:rsid w:val="001D784A"/>
    <w:rsid w:val="001E04A4"/>
    <w:rsid w:val="001E07C5"/>
    <w:rsid w:val="001E176D"/>
    <w:rsid w:val="001E1BCE"/>
    <w:rsid w:val="001E1E05"/>
    <w:rsid w:val="001E2086"/>
    <w:rsid w:val="001E23DF"/>
    <w:rsid w:val="001E2BCC"/>
    <w:rsid w:val="001E339F"/>
    <w:rsid w:val="001E3629"/>
    <w:rsid w:val="001E3E7D"/>
    <w:rsid w:val="001E40F0"/>
    <w:rsid w:val="001E4172"/>
    <w:rsid w:val="001E5490"/>
    <w:rsid w:val="001E5730"/>
    <w:rsid w:val="001E5E2E"/>
    <w:rsid w:val="001E6352"/>
    <w:rsid w:val="001E70AD"/>
    <w:rsid w:val="001E7237"/>
    <w:rsid w:val="001E7AF6"/>
    <w:rsid w:val="001F01B8"/>
    <w:rsid w:val="001F0FC3"/>
    <w:rsid w:val="001F1188"/>
    <w:rsid w:val="001F151A"/>
    <w:rsid w:val="001F1B8D"/>
    <w:rsid w:val="001F274F"/>
    <w:rsid w:val="001F289C"/>
    <w:rsid w:val="001F2BF9"/>
    <w:rsid w:val="001F3AF2"/>
    <w:rsid w:val="001F6008"/>
    <w:rsid w:val="001F641B"/>
    <w:rsid w:val="001F6D4D"/>
    <w:rsid w:val="001F7343"/>
    <w:rsid w:val="001F79CC"/>
    <w:rsid w:val="00200292"/>
    <w:rsid w:val="00200AB7"/>
    <w:rsid w:val="0020130D"/>
    <w:rsid w:val="00201D06"/>
    <w:rsid w:val="00201E9F"/>
    <w:rsid w:val="00202F25"/>
    <w:rsid w:val="002030A2"/>
    <w:rsid w:val="002035B3"/>
    <w:rsid w:val="00203929"/>
    <w:rsid w:val="00203CD6"/>
    <w:rsid w:val="00204460"/>
    <w:rsid w:val="00205032"/>
    <w:rsid w:val="002051EA"/>
    <w:rsid w:val="00205CBC"/>
    <w:rsid w:val="00206259"/>
    <w:rsid w:val="002070EB"/>
    <w:rsid w:val="002074B7"/>
    <w:rsid w:val="0020758D"/>
    <w:rsid w:val="00207C7B"/>
    <w:rsid w:val="00211470"/>
    <w:rsid w:val="00211922"/>
    <w:rsid w:val="0021213A"/>
    <w:rsid w:val="002124D8"/>
    <w:rsid w:val="0021265F"/>
    <w:rsid w:val="00213817"/>
    <w:rsid w:val="00214428"/>
    <w:rsid w:val="002145EB"/>
    <w:rsid w:val="00214C2C"/>
    <w:rsid w:val="00215834"/>
    <w:rsid w:val="00215CC2"/>
    <w:rsid w:val="00215ED8"/>
    <w:rsid w:val="00217700"/>
    <w:rsid w:val="002177E2"/>
    <w:rsid w:val="002205F3"/>
    <w:rsid w:val="0022085B"/>
    <w:rsid w:val="00220E53"/>
    <w:rsid w:val="0022176C"/>
    <w:rsid w:val="002225D1"/>
    <w:rsid w:val="002230FA"/>
    <w:rsid w:val="00223DF2"/>
    <w:rsid w:val="002240D2"/>
    <w:rsid w:val="00224C0C"/>
    <w:rsid w:val="002255DD"/>
    <w:rsid w:val="002256C2"/>
    <w:rsid w:val="002256D0"/>
    <w:rsid w:val="00225C8E"/>
    <w:rsid w:val="00226428"/>
    <w:rsid w:val="002265A9"/>
    <w:rsid w:val="002266CB"/>
    <w:rsid w:val="00227052"/>
    <w:rsid w:val="002272D5"/>
    <w:rsid w:val="0022738E"/>
    <w:rsid w:val="00227906"/>
    <w:rsid w:val="00227934"/>
    <w:rsid w:val="00227E21"/>
    <w:rsid w:val="00231D05"/>
    <w:rsid w:val="00231D1D"/>
    <w:rsid w:val="002336E2"/>
    <w:rsid w:val="00233AC2"/>
    <w:rsid w:val="00233BAF"/>
    <w:rsid w:val="00235420"/>
    <w:rsid w:val="00235700"/>
    <w:rsid w:val="0023641E"/>
    <w:rsid w:val="0024065B"/>
    <w:rsid w:val="00240689"/>
    <w:rsid w:val="002409A6"/>
    <w:rsid w:val="00240C63"/>
    <w:rsid w:val="00240EA5"/>
    <w:rsid w:val="00241132"/>
    <w:rsid w:val="00241205"/>
    <w:rsid w:val="00241645"/>
    <w:rsid w:val="002418C5"/>
    <w:rsid w:val="0024261D"/>
    <w:rsid w:val="00242712"/>
    <w:rsid w:val="00242DFB"/>
    <w:rsid w:val="002435A1"/>
    <w:rsid w:val="00243807"/>
    <w:rsid w:val="0024390C"/>
    <w:rsid w:val="002440AC"/>
    <w:rsid w:val="00244365"/>
    <w:rsid w:val="0024459A"/>
    <w:rsid w:val="00244771"/>
    <w:rsid w:val="00244903"/>
    <w:rsid w:val="00244AFB"/>
    <w:rsid w:val="002453DF"/>
    <w:rsid w:val="00245A81"/>
    <w:rsid w:val="002469AE"/>
    <w:rsid w:val="00246B86"/>
    <w:rsid w:val="00247335"/>
    <w:rsid w:val="002473EF"/>
    <w:rsid w:val="00247415"/>
    <w:rsid w:val="002477B9"/>
    <w:rsid w:val="00247CBE"/>
    <w:rsid w:val="00250470"/>
    <w:rsid w:val="00250A1F"/>
    <w:rsid w:val="00250ADA"/>
    <w:rsid w:val="00250F1D"/>
    <w:rsid w:val="0025138E"/>
    <w:rsid w:val="00251FF1"/>
    <w:rsid w:val="002520BA"/>
    <w:rsid w:val="00252234"/>
    <w:rsid w:val="002525C2"/>
    <w:rsid w:val="002528E3"/>
    <w:rsid w:val="00252944"/>
    <w:rsid w:val="00252D55"/>
    <w:rsid w:val="00252D82"/>
    <w:rsid w:val="00253006"/>
    <w:rsid w:val="002533F5"/>
    <w:rsid w:val="00253842"/>
    <w:rsid w:val="00253C60"/>
    <w:rsid w:val="00253F21"/>
    <w:rsid w:val="00254179"/>
    <w:rsid w:val="0025429D"/>
    <w:rsid w:val="002549E9"/>
    <w:rsid w:val="00254FF6"/>
    <w:rsid w:val="00255099"/>
    <w:rsid w:val="002555C6"/>
    <w:rsid w:val="00255E14"/>
    <w:rsid w:val="00256845"/>
    <w:rsid w:val="00257059"/>
    <w:rsid w:val="0025712F"/>
    <w:rsid w:val="00257395"/>
    <w:rsid w:val="00257857"/>
    <w:rsid w:val="002578DA"/>
    <w:rsid w:val="00257CBC"/>
    <w:rsid w:val="002602C2"/>
    <w:rsid w:val="002602DA"/>
    <w:rsid w:val="0026040B"/>
    <w:rsid w:val="002604F2"/>
    <w:rsid w:val="00260802"/>
    <w:rsid w:val="002609E3"/>
    <w:rsid w:val="00260FBC"/>
    <w:rsid w:val="00261223"/>
    <w:rsid w:val="002617AB"/>
    <w:rsid w:val="002619A1"/>
    <w:rsid w:val="00261D08"/>
    <w:rsid w:val="00261DCC"/>
    <w:rsid w:val="002624D0"/>
    <w:rsid w:val="00263EC7"/>
    <w:rsid w:val="0026491B"/>
    <w:rsid w:val="00264A36"/>
    <w:rsid w:val="00264B06"/>
    <w:rsid w:val="00264C1B"/>
    <w:rsid w:val="00265C80"/>
    <w:rsid w:val="00265CBC"/>
    <w:rsid w:val="00265D10"/>
    <w:rsid w:val="00265E2E"/>
    <w:rsid w:val="002661AB"/>
    <w:rsid w:val="0026651E"/>
    <w:rsid w:val="0026742B"/>
    <w:rsid w:val="002674FE"/>
    <w:rsid w:val="00270748"/>
    <w:rsid w:val="0027117F"/>
    <w:rsid w:val="002712CD"/>
    <w:rsid w:val="002712DC"/>
    <w:rsid w:val="0027158A"/>
    <w:rsid w:val="00271875"/>
    <w:rsid w:val="002718FF"/>
    <w:rsid w:val="00271955"/>
    <w:rsid w:val="00272278"/>
    <w:rsid w:val="00272432"/>
    <w:rsid w:val="00272633"/>
    <w:rsid w:val="00272E48"/>
    <w:rsid w:val="00272FBF"/>
    <w:rsid w:val="002732C8"/>
    <w:rsid w:val="00273A10"/>
    <w:rsid w:val="00273A58"/>
    <w:rsid w:val="002748FD"/>
    <w:rsid w:val="00274CAB"/>
    <w:rsid w:val="00274E8A"/>
    <w:rsid w:val="00275FCE"/>
    <w:rsid w:val="002766B8"/>
    <w:rsid w:val="0027680F"/>
    <w:rsid w:val="00277987"/>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24F"/>
    <w:rsid w:val="00285BF2"/>
    <w:rsid w:val="00285C78"/>
    <w:rsid w:val="002863CE"/>
    <w:rsid w:val="002879DF"/>
    <w:rsid w:val="00290F01"/>
    <w:rsid w:val="00291492"/>
    <w:rsid w:val="00291527"/>
    <w:rsid w:val="0029199A"/>
    <w:rsid w:val="00291BBE"/>
    <w:rsid w:val="00291FEB"/>
    <w:rsid w:val="002922BC"/>
    <w:rsid w:val="00293146"/>
    <w:rsid w:val="0029361E"/>
    <w:rsid w:val="00293D68"/>
    <w:rsid w:val="0029408A"/>
    <w:rsid w:val="00294352"/>
    <w:rsid w:val="002944A0"/>
    <w:rsid w:val="002946E4"/>
    <w:rsid w:val="0029495C"/>
    <w:rsid w:val="00294CFD"/>
    <w:rsid w:val="002957D9"/>
    <w:rsid w:val="00295B52"/>
    <w:rsid w:val="00295D14"/>
    <w:rsid w:val="00296024"/>
    <w:rsid w:val="00296293"/>
    <w:rsid w:val="00296AF7"/>
    <w:rsid w:val="002972F9"/>
    <w:rsid w:val="002977CA"/>
    <w:rsid w:val="00297B2C"/>
    <w:rsid w:val="00297ED7"/>
    <w:rsid w:val="002A0007"/>
    <w:rsid w:val="002A03AA"/>
    <w:rsid w:val="002A056D"/>
    <w:rsid w:val="002A07FE"/>
    <w:rsid w:val="002A094D"/>
    <w:rsid w:val="002A0CAF"/>
    <w:rsid w:val="002A12A3"/>
    <w:rsid w:val="002A1565"/>
    <w:rsid w:val="002A16A9"/>
    <w:rsid w:val="002A2941"/>
    <w:rsid w:val="002A2DC4"/>
    <w:rsid w:val="002A3117"/>
    <w:rsid w:val="002A3E69"/>
    <w:rsid w:val="002A44F9"/>
    <w:rsid w:val="002A49EF"/>
    <w:rsid w:val="002A4B8B"/>
    <w:rsid w:val="002A5107"/>
    <w:rsid w:val="002A535E"/>
    <w:rsid w:val="002A5FB1"/>
    <w:rsid w:val="002A6406"/>
    <w:rsid w:val="002A6CF0"/>
    <w:rsid w:val="002A6FFC"/>
    <w:rsid w:val="002A7010"/>
    <w:rsid w:val="002A70BA"/>
    <w:rsid w:val="002A7A57"/>
    <w:rsid w:val="002A7BB2"/>
    <w:rsid w:val="002A7DCB"/>
    <w:rsid w:val="002B0685"/>
    <w:rsid w:val="002B0B53"/>
    <w:rsid w:val="002B1617"/>
    <w:rsid w:val="002B1D11"/>
    <w:rsid w:val="002B273B"/>
    <w:rsid w:val="002B29AA"/>
    <w:rsid w:val="002B2A7E"/>
    <w:rsid w:val="002B2F1B"/>
    <w:rsid w:val="002B5AFB"/>
    <w:rsid w:val="002B6219"/>
    <w:rsid w:val="002B6320"/>
    <w:rsid w:val="002B66AC"/>
    <w:rsid w:val="002B6852"/>
    <w:rsid w:val="002B7065"/>
    <w:rsid w:val="002B77E1"/>
    <w:rsid w:val="002C0714"/>
    <w:rsid w:val="002C0A96"/>
    <w:rsid w:val="002C1BF4"/>
    <w:rsid w:val="002C1E0D"/>
    <w:rsid w:val="002C2266"/>
    <w:rsid w:val="002C2890"/>
    <w:rsid w:val="002C28EB"/>
    <w:rsid w:val="002C3265"/>
    <w:rsid w:val="002C3AED"/>
    <w:rsid w:val="002C3E56"/>
    <w:rsid w:val="002C414C"/>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63E6"/>
    <w:rsid w:val="002D65FF"/>
    <w:rsid w:val="002D6D10"/>
    <w:rsid w:val="002D71E2"/>
    <w:rsid w:val="002D7B6A"/>
    <w:rsid w:val="002E0026"/>
    <w:rsid w:val="002E08E8"/>
    <w:rsid w:val="002E0918"/>
    <w:rsid w:val="002E0BAA"/>
    <w:rsid w:val="002E0D96"/>
    <w:rsid w:val="002E0EA5"/>
    <w:rsid w:val="002E1630"/>
    <w:rsid w:val="002E1E19"/>
    <w:rsid w:val="002E1FAC"/>
    <w:rsid w:val="002E283F"/>
    <w:rsid w:val="002E2854"/>
    <w:rsid w:val="002E2E74"/>
    <w:rsid w:val="002E32D2"/>
    <w:rsid w:val="002E361B"/>
    <w:rsid w:val="002E37AB"/>
    <w:rsid w:val="002E3A80"/>
    <w:rsid w:val="002E41C7"/>
    <w:rsid w:val="002E51DF"/>
    <w:rsid w:val="002E5593"/>
    <w:rsid w:val="002E57B9"/>
    <w:rsid w:val="002E6127"/>
    <w:rsid w:val="002E6142"/>
    <w:rsid w:val="002E6885"/>
    <w:rsid w:val="002E72E4"/>
    <w:rsid w:val="002E739D"/>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724B"/>
    <w:rsid w:val="002F72BA"/>
    <w:rsid w:val="00300267"/>
    <w:rsid w:val="003004D2"/>
    <w:rsid w:val="00300D6B"/>
    <w:rsid w:val="00301380"/>
    <w:rsid w:val="003017EC"/>
    <w:rsid w:val="00301E89"/>
    <w:rsid w:val="00302052"/>
    <w:rsid w:val="00302142"/>
    <w:rsid w:val="00302169"/>
    <w:rsid w:val="00302612"/>
    <w:rsid w:val="00303254"/>
    <w:rsid w:val="003044D9"/>
    <w:rsid w:val="00304D8A"/>
    <w:rsid w:val="00305216"/>
    <w:rsid w:val="0030555B"/>
    <w:rsid w:val="00305EAF"/>
    <w:rsid w:val="003061F5"/>
    <w:rsid w:val="00306A49"/>
    <w:rsid w:val="00306D27"/>
    <w:rsid w:val="0030739C"/>
    <w:rsid w:val="00310114"/>
    <w:rsid w:val="003101C2"/>
    <w:rsid w:val="00310D51"/>
    <w:rsid w:val="00311B36"/>
    <w:rsid w:val="00311C92"/>
    <w:rsid w:val="00313321"/>
    <w:rsid w:val="003133AE"/>
    <w:rsid w:val="0031371B"/>
    <w:rsid w:val="00314156"/>
    <w:rsid w:val="0031535B"/>
    <w:rsid w:val="00316A75"/>
    <w:rsid w:val="00316F76"/>
    <w:rsid w:val="003170F4"/>
    <w:rsid w:val="0032035D"/>
    <w:rsid w:val="003205E9"/>
    <w:rsid w:val="00320B28"/>
    <w:rsid w:val="0032123E"/>
    <w:rsid w:val="003216D5"/>
    <w:rsid w:val="003216FF"/>
    <w:rsid w:val="00321866"/>
    <w:rsid w:val="00321A83"/>
    <w:rsid w:val="00321C1A"/>
    <w:rsid w:val="00321F6B"/>
    <w:rsid w:val="00322389"/>
    <w:rsid w:val="00322BE5"/>
    <w:rsid w:val="00322E87"/>
    <w:rsid w:val="0032312D"/>
    <w:rsid w:val="00323AA5"/>
    <w:rsid w:val="003242E4"/>
    <w:rsid w:val="0032468D"/>
    <w:rsid w:val="00324926"/>
    <w:rsid w:val="00324B25"/>
    <w:rsid w:val="0032522F"/>
    <w:rsid w:val="003253C4"/>
    <w:rsid w:val="0032550F"/>
    <w:rsid w:val="00325791"/>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EED"/>
    <w:rsid w:val="003334A7"/>
    <w:rsid w:val="00333598"/>
    <w:rsid w:val="003337E8"/>
    <w:rsid w:val="00333A14"/>
    <w:rsid w:val="00333B2A"/>
    <w:rsid w:val="00333FD5"/>
    <w:rsid w:val="003350E9"/>
    <w:rsid w:val="003351BA"/>
    <w:rsid w:val="0033520F"/>
    <w:rsid w:val="0033596B"/>
    <w:rsid w:val="00335A93"/>
    <w:rsid w:val="00335E85"/>
    <w:rsid w:val="0033650E"/>
    <w:rsid w:val="00336907"/>
    <w:rsid w:val="003369DF"/>
    <w:rsid w:val="00336C71"/>
    <w:rsid w:val="00336D96"/>
    <w:rsid w:val="00336DFC"/>
    <w:rsid w:val="00337230"/>
    <w:rsid w:val="003377D0"/>
    <w:rsid w:val="00337D75"/>
    <w:rsid w:val="00340020"/>
    <w:rsid w:val="00340AFD"/>
    <w:rsid w:val="00341162"/>
    <w:rsid w:val="00341866"/>
    <w:rsid w:val="00341DAF"/>
    <w:rsid w:val="00342181"/>
    <w:rsid w:val="003433B7"/>
    <w:rsid w:val="00343560"/>
    <w:rsid w:val="00343A20"/>
    <w:rsid w:val="0034402B"/>
    <w:rsid w:val="0034449E"/>
    <w:rsid w:val="00344C0C"/>
    <w:rsid w:val="00344D46"/>
    <w:rsid w:val="003465A5"/>
    <w:rsid w:val="00346817"/>
    <w:rsid w:val="00347440"/>
    <w:rsid w:val="003475EA"/>
    <w:rsid w:val="00347A27"/>
    <w:rsid w:val="00347CD4"/>
    <w:rsid w:val="00350A55"/>
    <w:rsid w:val="00350DF8"/>
    <w:rsid w:val="00351A8A"/>
    <w:rsid w:val="0035266A"/>
    <w:rsid w:val="0035279C"/>
    <w:rsid w:val="00352BE1"/>
    <w:rsid w:val="003535D2"/>
    <w:rsid w:val="0035384D"/>
    <w:rsid w:val="00353C0B"/>
    <w:rsid w:val="00354AE4"/>
    <w:rsid w:val="00354B0A"/>
    <w:rsid w:val="00354CF9"/>
    <w:rsid w:val="0035551B"/>
    <w:rsid w:val="003555ED"/>
    <w:rsid w:val="00355911"/>
    <w:rsid w:val="0035636B"/>
    <w:rsid w:val="00357424"/>
    <w:rsid w:val="00357A34"/>
    <w:rsid w:val="00357BE9"/>
    <w:rsid w:val="003601A2"/>
    <w:rsid w:val="00361789"/>
    <w:rsid w:val="0036196D"/>
    <w:rsid w:val="00361A59"/>
    <w:rsid w:val="003627BD"/>
    <w:rsid w:val="00362997"/>
    <w:rsid w:val="00362C59"/>
    <w:rsid w:val="00363040"/>
    <w:rsid w:val="003630B7"/>
    <w:rsid w:val="00363786"/>
    <w:rsid w:val="003638A4"/>
    <w:rsid w:val="003639BF"/>
    <w:rsid w:val="00363E41"/>
    <w:rsid w:val="00363FD2"/>
    <w:rsid w:val="0036572E"/>
    <w:rsid w:val="003663D9"/>
    <w:rsid w:val="003666BF"/>
    <w:rsid w:val="00366707"/>
    <w:rsid w:val="00366BFD"/>
    <w:rsid w:val="00366FA9"/>
    <w:rsid w:val="003673BF"/>
    <w:rsid w:val="00367E49"/>
    <w:rsid w:val="003700E6"/>
    <w:rsid w:val="00371C86"/>
    <w:rsid w:val="0037236C"/>
    <w:rsid w:val="003729DE"/>
    <w:rsid w:val="003735D3"/>
    <w:rsid w:val="0037386D"/>
    <w:rsid w:val="00373956"/>
    <w:rsid w:val="00374153"/>
    <w:rsid w:val="00374430"/>
    <w:rsid w:val="003750E0"/>
    <w:rsid w:val="00375AF1"/>
    <w:rsid w:val="00375C2F"/>
    <w:rsid w:val="00375FC5"/>
    <w:rsid w:val="003769BA"/>
    <w:rsid w:val="00377678"/>
    <w:rsid w:val="00377871"/>
    <w:rsid w:val="003778B2"/>
    <w:rsid w:val="00377E58"/>
    <w:rsid w:val="003805E3"/>
    <w:rsid w:val="00380618"/>
    <w:rsid w:val="0038062E"/>
    <w:rsid w:val="003807F7"/>
    <w:rsid w:val="00380BA5"/>
    <w:rsid w:val="00381610"/>
    <w:rsid w:val="00382106"/>
    <w:rsid w:val="00382657"/>
    <w:rsid w:val="00382B82"/>
    <w:rsid w:val="00382B9E"/>
    <w:rsid w:val="003844BF"/>
    <w:rsid w:val="003854D5"/>
    <w:rsid w:val="0038552A"/>
    <w:rsid w:val="003859EA"/>
    <w:rsid w:val="00386E9A"/>
    <w:rsid w:val="0038709E"/>
    <w:rsid w:val="00387D30"/>
    <w:rsid w:val="00391753"/>
    <w:rsid w:val="00391C7F"/>
    <w:rsid w:val="00391D55"/>
    <w:rsid w:val="00391F9D"/>
    <w:rsid w:val="00392454"/>
    <w:rsid w:val="00392C85"/>
    <w:rsid w:val="00392FD8"/>
    <w:rsid w:val="00393E11"/>
    <w:rsid w:val="00394475"/>
    <w:rsid w:val="00394C60"/>
    <w:rsid w:val="0039517A"/>
    <w:rsid w:val="0039587B"/>
    <w:rsid w:val="00395B51"/>
    <w:rsid w:val="00396796"/>
    <w:rsid w:val="00396EC6"/>
    <w:rsid w:val="003970BA"/>
    <w:rsid w:val="00397293"/>
    <w:rsid w:val="0039746C"/>
    <w:rsid w:val="00397DC6"/>
    <w:rsid w:val="003A0E82"/>
    <w:rsid w:val="003A0FAC"/>
    <w:rsid w:val="003A184D"/>
    <w:rsid w:val="003A1FB7"/>
    <w:rsid w:val="003A25B2"/>
    <w:rsid w:val="003A371E"/>
    <w:rsid w:val="003A462A"/>
    <w:rsid w:val="003A595F"/>
    <w:rsid w:val="003A5EEC"/>
    <w:rsid w:val="003A79AE"/>
    <w:rsid w:val="003A7CA3"/>
    <w:rsid w:val="003B00B6"/>
    <w:rsid w:val="003B01C4"/>
    <w:rsid w:val="003B0BB0"/>
    <w:rsid w:val="003B11EE"/>
    <w:rsid w:val="003B15F8"/>
    <w:rsid w:val="003B230B"/>
    <w:rsid w:val="003B23BC"/>
    <w:rsid w:val="003B28BA"/>
    <w:rsid w:val="003B2DB5"/>
    <w:rsid w:val="003B2F05"/>
    <w:rsid w:val="003B3966"/>
    <w:rsid w:val="003B39B7"/>
    <w:rsid w:val="003B47CC"/>
    <w:rsid w:val="003B4EB0"/>
    <w:rsid w:val="003B5F6A"/>
    <w:rsid w:val="003B6B7F"/>
    <w:rsid w:val="003B7820"/>
    <w:rsid w:val="003C01A4"/>
    <w:rsid w:val="003C0219"/>
    <w:rsid w:val="003C0C12"/>
    <w:rsid w:val="003C16EE"/>
    <w:rsid w:val="003C1C87"/>
    <w:rsid w:val="003C2C85"/>
    <w:rsid w:val="003C2F61"/>
    <w:rsid w:val="003C3037"/>
    <w:rsid w:val="003C345E"/>
    <w:rsid w:val="003C37C5"/>
    <w:rsid w:val="003C4409"/>
    <w:rsid w:val="003C4605"/>
    <w:rsid w:val="003C4997"/>
    <w:rsid w:val="003C4DA5"/>
    <w:rsid w:val="003C5666"/>
    <w:rsid w:val="003C60CC"/>
    <w:rsid w:val="003C64F4"/>
    <w:rsid w:val="003C724B"/>
    <w:rsid w:val="003C73DB"/>
    <w:rsid w:val="003D0185"/>
    <w:rsid w:val="003D02CB"/>
    <w:rsid w:val="003D0382"/>
    <w:rsid w:val="003D069C"/>
    <w:rsid w:val="003D0C40"/>
    <w:rsid w:val="003D191E"/>
    <w:rsid w:val="003D22A5"/>
    <w:rsid w:val="003D23A4"/>
    <w:rsid w:val="003D3414"/>
    <w:rsid w:val="003D3426"/>
    <w:rsid w:val="003D3654"/>
    <w:rsid w:val="003D3721"/>
    <w:rsid w:val="003D5BB7"/>
    <w:rsid w:val="003D5BCB"/>
    <w:rsid w:val="003D5BED"/>
    <w:rsid w:val="003D6283"/>
    <w:rsid w:val="003D63F3"/>
    <w:rsid w:val="003D6493"/>
    <w:rsid w:val="003D6722"/>
    <w:rsid w:val="003D7428"/>
    <w:rsid w:val="003D77F2"/>
    <w:rsid w:val="003D78CC"/>
    <w:rsid w:val="003D7D01"/>
    <w:rsid w:val="003D7ED8"/>
    <w:rsid w:val="003E0003"/>
    <w:rsid w:val="003E0099"/>
    <w:rsid w:val="003E08C7"/>
    <w:rsid w:val="003E0E48"/>
    <w:rsid w:val="003E1924"/>
    <w:rsid w:val="003E1A72"/>
    <w:rsid w:val="003E2880"/>
    <w:rsid w:val="003E28FB"/>
    <w:rsid w:val="003E2A00"/>
    <w:rsid w:val="003E382C"/>
    <w:rsid w:val="003E3D00"/>
    <w:rsid w:val="003E4531"/>
    <w:rsid w:val="003E4771"/>
    <w:rsid w:val="003E54A8"/>
    <w:rsid w:val="003E5833"/>
    <w:rsid w:val="003E5DA8"/>
    <w:rsid w:val="003E7109"/>
    <w:rsid w:val="003E7445"/>
    <w:rsid w:val="003E77DC"/>
    <w:rsid w:val="003E7BC1"/>
    <w:rsid w:val="003E7E22"/>
    <w:rsid w:val="003F0453"/>
    <w:rsid w:val="003F0C9F"/>
    <w:rsid w:val="003F144A"/>
    <w:rsid w:val="003F1B02"/>
    <w:rsid w:val="003F1C3E"/>
    <w:rsid w:val="003F1E4B"/>
    <w:rsid w:val="003F1EFE"/>
    <w:rsid w:val="003F2240"/>
    <w:rsid w:val="003F2460"/>
    <w:rsid w:val="003F2B01"/>
    <w:rsid w:val="003F2E7B"/>
    <w:rsid w:val="003F3CD5"/>
    <w:rsid w:val="003F4473"/>
    <w:rsid w:val="003F4CF5"/>
    <w:rsid w:val="003F4E31"/>
    <w:rsid w:val="003F5074"/>
    <w:rsid w:val="003F51EE"/>
    <w:rsid w:val="003F574E"/>
    <w:rsid w:val="003F60D6"/>
    <w:rsid w:val="003F68E9"/>
    <w:rsid w:val="003F700E"/>
    <w:rsid w:val="003F7E15"/>
    <w:rsid w:val="003F7FDA"/>
    <w:rsid w:val="004013AD"/>
    <w:rsid w:val="004021C0"/>
    <w:rsid w:val="004028CE"/>
    <w:rsid w:val="0040313D"/>
    <w:rsid w:val="00403DC0"/>
    <w:rsid w:val="004042B5"/>
    <w:rsid w:val="004043FA"/>
    <w:rsid w:val="00404970"/>
    <w:rsid w:val="00405181"/>
    <w:rsid w:val="00405306"/>
    <w:rsid w:val="0040567F"/>
    <w:rsid w:val="00405873"/>
    <w:rsid w:val="00405A17"/>
    <w:rsid w:val="00405F09"/>
    <w:rsid w:val="004066F4"/>
    <w:rsid w:val="00406A32"/>
    <w:rsid w:val="004075A8"/>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3FCE"/>
    <w:rsid w:val="00414197"/>
    <w:rsid w:val="00414D68"/>
    <w:rsid w:val="00414FD9"/>
    <w:rsid w:val="00415773"/>
    <w:rsid w:val="00415CAE"/>
    <w:rsid w:val="00415EE7"/>
    <w:rsid w:val="004160FA"/>
    <w:rsid w:val="0041669E"/>
    <w:rsid w:val="004169DA"/>
    <w:rsid w:val="00416ACA"/>
    <w:rsid w:val="00416C56"/>
    <w:rsid w:val="00417294"/>
    <w:rsid w:val="004176B8"/>
    <w:rsid w:val="00417B99"/>
    <w:rsid w:val="00417CE0"/>
    <w:rsid w:val="004209D5"/>
    <w:rsid w:val="00420FAF"/>
    <w:rsid w:val="00421184"/>
    <w:rsid w:val="004212C1"/>
    <w:rsid w:val="004214B7"/>
    <w:rsid w:val="00421FB5"/>
    <w:rsid w:val="00422669"/>
    <w:rsid w:val="004226ED"/>
    <w:rsid w:val="00422AF4"/>
    <w:rsid w:val="004235F4"/>
    <w:rsid w:val="004236C9"/>
    <w:rsid w:val="00423CF3"/>
    <w:rsid w:val="00423E18"/>
    <w:rsid w:val="00424B7C"/>
    <w:rsid w:val="0042500C"/>
    <w:rsid w:val="0042522D"/>
    <w:rsid w:val="00425514"/>
    <w:rsid w:val="004256BD"/>
    <w:rsid w:val="00425863"/>
    <w:rsid w:val="00425D02"/>
    <w:rsid w:val="00425EDC"/>
    <w:rsid w:val="00426C3E"/>
    <w:rsid w:val="00426D56"/>
    <w:rsid w:val="004275CD"/>
    <w:rsid w:val="00427FEB"/>
    <w:rsid w:val="00427FF2"/>
    <w:rsid w:val="004305C0"/>
    <w:rsid w:val="00430B20"/>
    <w:rsid w:val="00430B6C"/>
    <w:rsid w:val="0043227C"/>
    <w:rsid w:val="004335C0"/>
    <w:rsid w:val="00435121"/>
    <w:rsid w:val="00435715"/>
    <w:rsid w:val="0043571B"/>
    <w:rsid w:val="00435EE0"/>
    <w:rsid w:val="00435F29"/>
    <w:rsid w:val="0043610C"/>
    <w:rsid w:val="00436561"/>
    <w:rsid w:val="004365C4"/>
    <w:rsid w:val="004366FF"/>
    <w:rsid w:val="00437D83"/>
    <w:rsid w:val="004401DD"/>
    <w:rsid w:val="00440344"/>
    <w:rsid w:val="00441264"/>
    <w:rsid w:val="00441B0F"/>
    <w:rsid w:val="004425C6"/>
    <w:rsid w:val="00443845"/>
    <w:rsid w:val="00443D5D"/>
    <w:rsid w:val="00445CBA"/>
    <w:rsid w:val="004461A1"/>
    <w:rsid w:val="004463CB"/>
    <w:rsid w:val="004466F7"/>
    <w:rsid w:val="00446858"/>
    <w:rsid w:val="00447304"/>
    <w:rsid w:val="00450127"/>
    <w:rsid w:val="0045075F"/>
    <w:rsid w:val="004516AD"/>
    <w:rsid w:val="00451E84"/>
    <w:rsid w:val="00451EA3"/>
    <w:rsid w:val="00451F01"/>
    <w:rsid w:val="00452D09"/>
    <w:rsid w:val="004546A7"/>
    <w:rsid w:val="00454831"/>
    <w:rsid w:val="004548DF"/>
    <w:rsid w:val="0045520D"/>
    <w:rsid w:val="00456CC0"/>
    <w:rsid w:val="00457933"/>
    <w:rsid w:val="00457C78"/>
    <w:rsid w:val="00460735"/>
    <w:rsid w:val="00460AD5"/>
    <w:rsid w:val="00460EB8"/>
    <w:rsid w:val="00461090"/>
    <w:rsid w:val="00461991"/>
    <w:rsid w:val="00461C43"/>
    <w:rsid w:val="00462040"/>
    <w:rsid w:val="00462125"/>
    <w:rsid w:val="00462D58"/>
    <w:rsid w:val="00463216"/>
    <w:rsid w:val="0046334D"/>
    <w:rsid w:val="00463C95"/>
    <w:rsid w:val="00463E1C"/>
    <w:rsid w:val="00464052"/>
    <w:rsid w:val="00465153"/>
    <w:rsid w:val="00465602"/>
    <w:rsid w:val="00466AFD"/>
    <w:rsid w:val="00467353"/>
    <w:rsid w:val="00470696"/>
    <w:rsid w:val="00472177"/>
    <w:rsid w:val="004724C9"/>
    <w:rsid w:val="00472585"/>
    <w:rsid w:val="00474130"/>
    <w:rsid w:val="00474EDD"/>
    <w:rsid w:val="00475847"/>
    <w:rsid w:val="00475A6C"/>
    <w:rsid w:val="004764AF"/>
    <w:rsid w:val="00476D04"/>
    <w:rsid w:val="0047775E"/>
    <w:rsid w:val="00477AAE"/>
    <w:rsid w:val="00477AF6"/>
    <w:rsid w:val="00477B3B"/>
    <w:rsid w:val="00477BCB"/>
    <w:rsid w:val="00477F9E"/>
    <w:rsid w:val="004801A7"/>
    <w:rsid w:val="00480E47"/>
    <w:rsid w:val="00481666"/>
    <w:rsid w:val="0048181B"/>
    <w:rsid w:val="00481F2B"/>
    <w:rsid w:val="004820C5"/>
    <w:rsid w:val="00482198"/>
    <w:rsid w:val="004823D8"/>
    <w:rsid w:val="00482A87"/>
    <w:rsid w:val="00482F20"/>
    <w:rsid w:val="00483196"/>
    <w:rsid w:val="0048340F"/>
    <w:rsid w:val="0048423C"/>
    <w:rsid w:val="00484449"/>
    <w:rsid w:val="004852CE"/>
    <w:rsid w:val="0048540C"/>
    <w:rsid w:val="00485659"/>
    <w:rsid w:val="00485F92"/>
    <w:rsid w:val="004860BD"/>
    <w:rsid w:val="004866E1"/>
    <w:rsid w:val="00486C72"/>
    <w:rsid w:val="00487470"/>
    <w:rsid w:val="00490954"/>
    <w:rsid w:val="004924E0"/>
    <w:rsid w:val="0049277A"/>
    <w:rsid w:val="00492B38"/>
    <w:rsid w:val="00492FE4"/>
    <w:rsid w:val="00493035"/>
    <w:rsid w:val="00493321"/>
    <w:rsid w:val="004936DE"/>
    <w:rsid w:val="0049544E"/>
    <w:rsid w:val="00495670"/>
    <w:rsid w:val="0049604B"/>
    <w:rsid w:val="00496AC9"/>
    <w:rsid w:val="004A040E"/>
    <w:rsid w:val="004A042D"/>
    <w:rsid w:val="004A11E0"/>
    <w:rsid w:val="004A1FC5"/>
    <w:rsid w:val="004A2158"/>
    <w:rsid w:val="004A29A5"/>
    <w:rsid w:val="004A3225"/>
    <w:rsid w:val="004A34A6"/>
    <w:rsid w:val="004A374A"/>
    <w:rsid w:val="004A395B"/>
    <w:rsid w:val="004A3C59"/>
    <w:rsid w:val="004A3FE2"/>
    <w:rsid w:val="004A4195"/>
    <w:rsid w:val="004A421F"/>
    <w:rsid w:val="004A480D"/>
    <w:rsid w:val="004A4D76"/>
    <w:rsid w:val="004A5851"/>
    <w:rsid w:val="004A5A91"/>
    <w:rsid w:val="004A5B0F"/>
    <w:rsid w:val="004A5CF1"/>
    <w:rsid w:val="004A66E0"/>
    <w:rsid w:val="004A7583"/>
    <w:rsid w:val="004A7AAE"/>
    <w:rsid w:val="004A7D49"/>
    <w:rsid w:val="004A7F21"/>
    <w:rsid w:val="004B08DB"/>
    <w:rsid w:val="004B1422"/>
    <w:rsid w:val="004B24EB"/>
    <w:rsid w:val="004B29AC"/>
    <w:rsid w:val="004B35D7"/>
    <w:rsid w:val="004B3C8B"/>
    <w:rsid w:val="004B44A9"/>
    <w:rsid w:val="004B4509"/>
    <w:rsid w:val="004B452A"/>
    <w:rsid w:val="004B46B4"/>
    <w:rsid w:val="004B4871"/>
    <w:rsid w:val="004B4ADF"/>
    <w:rsid w:val="004B4C00"/>
    <w:rsid w:val="004B4E06"/>
    <w:rsid w:val="004B5493"/>
    <w:rsid w:val="004B5914"/>
    <w:rsid w:val="004B6C77"/>
    <w:rsid w:val="004B6D0A"/>
    <w:rsid w:val="004B7995"/>
    <w:rsid w:val="004C02B3"/>
    <w:rsid w:val="004C098E"/>
    <w:rsid w:val="004C0BBE"/>
    <w:rsid w:val="004C0E2F"/>
    <w:rsid w:val="004C162D"/>
    <w:rsid w:val="004C222E"/>
    <w:rsid w:val="004C2561"/>
    <w:rsid w:val="004C2806"/>
    <w:rsid w:val="004C3ADD"/>
    <w:rsid w:val="004C428E"/>
    <w:rsid w:val="004C441A"/>
    <w:rsid w:val="004C4775"/>
    <w:rsid w:val="004C483D"/>
    <w:rsid w:val="004C48A9"/>
    <w:rsid w:val="004C4D05"/>
    <w:rsid w:val="004C590B"/>
    <w:rsid w:val="004C6017"/>
    <w:rsid w:val="004C62C9"/>
    <w:rsid w:val="004C63C7"/>
    <w:rsid w:val="004C6D39"/>
    <w:rsid w:val="004C6D98"/>
    <w:rsid w:val="004C6FD0"/>
    <w:rsid w:val="004C7217"/>
    <w:rsid w:val="004C7743"/>
    <w:rsid w:val="004C77A7"/>
    <w:rsid w:val="004D039E"/>
    <w:rsid w:val="004D04A3"/>
    <w:rsid w:val="004D0C9F"/>
    <w:rsid w:val="004D15FD"/>
    <w:rsid w:val="004D1A0A"/>
    <w:rsid w:val="004D2369"/>
    <w:rsid w:val="004D2485"/>
    <w:rsid w:val="004D2B76"/>
    <w:rsid w:val="004D32FD"/>
    <w:rsid w:val="004D3A57"/>
    <w:rsid w:val="004D47FF"/>
    <w:rsid w:val="004D4D35"/>
    <w:rsid w:val="004D518F"/>
    <w:rsid w:val="004D54D7"/>
    <w:rsid w:val="004D5BB7"/>
    <w:rsid w:val="004D6053"/>
    <w:rsid w:val="004D6CF6"/>
    <w:rsid w:val="004D6FA4"/>
    <w:rsid w:val="004D7C23"/>
    <w:rsid w:val="004E01C6"/>
    <w:rsid w:val="004E0212"/>
    <w:rsid w:val="004E0ADC"/>
    <w:rsid w:val="004E0FB1"/>
    <w:rsid w:val="004E1043"/>
    <w:rsid w:val="004E1DCA"/>
    <w:rsid w:val="004E21B4"/>
    <w:rsid w:val="004E252B"/>
    <w:rsid w:val="004E2861"/>
    <w:rsid w:val="004E2A85"/>
    <w:rsid w:val="004E3F72"/>
    <w:rsid w:val="004E4A78"/>
    <w:rsid w:val="004E551E"/>
    <w:rsid w:val="004E58F6"/>
    <w:rsid w:val="004E5E37"/>
    <w:rsid w:val="004E5E4C"/>
    <w:rsid w:val="004E623E"/>
    <w:rsid w:val="004E6CF9"/>
    <w:rsid w:val="004E734E"/>
    <w:rsid w:val="004E7EC0"/>
    <w:rsid w:val="004E7F48"/>
    <w:rsid w:val="004F014E"/>
    <w:rsid w:val="004F023B"/>
    <w:rsid w:val="004F0BC6"/>
    <w:rsid w:val="004F1123"/>
    <w:rsid w:val="004F1715"/>
    <w:rsid w:val="004F17DA"/>
    <w:rsid w:val="004F2552"/>
    <w:rsid w:val="004F3BD2"/>
    <w:rsid w:val="004F4372"/>
    <w:rsid w:val="004F43E0"/>
    <w:rsid w:val="004F45EB"/>
    <w:rsid w:val="004F50E0"/>
    <w:rsid w:val="004F521B"/>
    <w:rsid w:val="004F52BB"/>
    <w:rsid w:val="004F5582"/>
    <w:rsid w:val="004F59B8"/>
    <w:rsid w:val="004F62A7"/>
    <w:rsid w:val="004F62F9"/>
    <w:rsid w:val="004F66B3"/>
    <w:rsid w:val="004F7352"/>
    <w:rsid w:val="004F7889"/>
    <w:rsid w:val="0050015C"/>
    <w:rsid w:val="00500418"/>
    <w:rsid w:val="00500CCF"/>
    <w:rsid w:val="00500E62"/>
    <w:rsid w:val="005010DE"/>
    <w:rsid w:val="005011FD"/>
    <w:rsid w:val="0050164B"/>
    <w:rsid w:val="00501DEF"/>
    <w:rsid w:val="00502958"/>
    <w:rsid w:val="00502BD2"/>
    <w:rsid w:val="00502DA4"/>
    <w:rsid w:val="00503F83"/>
    <w:rsid w:val="0050421C"/>
    <w:rsid w:val="00504A9B"/>
    <w:rsid w:val="00504E9A"/>
    <w:rsid w:val="00504F83"/>
    <w:rsid w:val="005059B9"/>
    <w:rsid w:val="00505F64"/>
    <w:rsid w:val="005061F3"/>
    <w:rsid w:val="00506DCD"/>
    <w:rsid w:val="00507325"/>
    <w:rsid w:val="00507C56"/>
    <w:rsid w:val="00507F13"/>
    <w:rsid w:val="005109D4"/>
    <w:rsid w:val="00510CF4"/>
    <w:rsid w:val="0051160A"/>
    <w:rsid w:val="005118BA"/>
    <w:rsid w:val="00512D87"/>
    <w:rsid w:val="005130DA"/>
    <w:rsid w:val="00513DDA"/>
    <w:rsid w:val="00513E19"/>
    <w:rsid w:val="005148B4"/>
    <w:rsid w:val="00514B29"/>
    <w:rsid w:val="005152B1"/>
    <w:rsid w:val="005152F0"/>
    <w:rsid w:val="00515856"/>
    <w:rsid w:val="00515E51"/>
    <w:rsid w:val="005163E6"/>
    <w:rsid w:val="005172EC"/>
    <w:rsid w:val="0051740D"/>
    <w:rsid w:val="005178CE"/>
    <w:rsid w:val="00521CAB"/>
    <w:rsid w:val="005224EF"/>
    <w:rsid w:val="00522654"/>
    <w:rsid w:val="00522835"/>
    <w:rsid w:val="0052293D"/>
    <w:rsid w:val="005229E2"/>
    <w:rsid w:val="00522AF4"/>
    <w:rsid w:val="00523499"/>
    <w:rsid w:val="00523BC7"/>
    <w:rsid w:val="00523C08"/>
    <w:rsid w:val="00523C10"/>
    <w:rsid w:val="00523E23"/>
    <w:rsid w:val="005245D5"/>
    <w:rsid w:val="00524889"/>
    <w:rsid w:val="0052575D"/>
    <w:rsid w:val="00525A53"/>
    <w:rsid w:val="00525C71"/>
    <w:rsid w:val="00525DAC"/>
    <w:rsid w:val="00526569"/>
    <w:rsid w:val="00526726"/>
    <w:rsid w:val="00527256"/>
    <w:rsid w:val="00527395"/>
    <w:rsid w:val="00527B57"/>
    <w:rsid w:val="00527C8D"/>
    <w:rsid w:val="00527C9C"/>
    <w:rsid w:val="00530056"/>
    <w:rsid w:val="00530AC4"/>
    <w:rsid w:val="00531D7C"/>
    <w:rsid w:val="0053309E"/>
    <w:rsid w:val="00533169"/>
    <w:rsid w:val="00533194"/>
    <w:rsid w:val="005332C8"/>
    <w:rsid w:val="0053464E"/>
    <w:rsid w:val="005352C8"/>
    <w:rsid w:val="005354C1"/>
    <w:rsid w:val="00535F99"/>
    <w:rsid w:val="00536356"/>
    <w:rsid w:val="00536CBB"/>
    <w:rsid w:val="00536DDD"/>
    <w:rsid w:val="00537033"/>
    <w:rsid w:val="00537B93"/>
    <w:rsid w:val="00540A37"/>
    <w:rsid w:val="00540B49"/>
    <w:rsid w:val="005418DB"/>
    <w:rsid w:val="00542250"/>
    <w:rsid w:val="00542514"/>
    <w:rsid w:val="005434EA"/>
    <w:rsid w:val="00545D55"/>
    <w:rsid w:val="005461AB"/>
    <w:rsid w:val="005465EA"/>
    <w:rsid w:val="00546C6A"/>
    <w:rsid w:val="00546FBA"/>
    <w:rsid w:val="00547F04"/>
    <w:rsid w:val="00550924"/>
    <w:rsid w:val="00550D63"/>
    <w:rsid w:val="00550EF1"/>
    <w:rsid w:val="00551075"/>
    <w:rsid w:val="005513C8"/>
    <w:rsid w:val="00551E97"/>
    <w:rsid w:val="00552F43"/>
    <w:rsid w:val="0055352C"/>
    <w:rsid w:val="005538A6"/>
    <w:rsid w:val="00554F94"/>
    <w:rsid w:val="00555154"/>
    <w:rsid w:val="00555161"/>
    <w:rsid w:val="00555DE6"/>
    <w:rsid w:val="00555EB3"/>
    <w:rsid w:val="005567F6"/>
    <w:rsid w:val="00556E29"/>
    <w:rsid w:val="00557474"/>
    <w:rsid w:val="005574C8"/>
    <w:rsid w:val="00557DAA"/>
    <w:rsid w:val="00557DAD"/>
    <w:rsid w:val="0056095F"/>
    <w:rsid w:val="00561138"/>
    <w:rsid w:val="00561699"/>
    <w:rsid w:val="0056194F"/>
    <w:rsid w:val="005619E1"/>
    <w:rsid w:val="0056219F"/>
    <w:rsid w:val="00562629"/>
    <w:rsid w:val="00562742"/>
    <w:rsid w:val="005628FE"/>
    <w:rsid w:val="0056364B"/>
    <w:rsid w:val="00563B5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0E"/>
    <w:rsid w:val="0056741F"/>
    <w:rsid w:val="00567647"/>
    <w:rsid w:val="0056781B"/>
    <w:rsid w:val="00567BE2"/>
    <w:rsid w:val="00570102"/>
    <w:rsid w:val="005701E1"/>
    <w:rsid w:val="00570505"/>
    <w:rsid w:val="005712E6"/>
    <w:rsid w:val="00572942"/>
    <w:rsid w:val="005730DB"/>
    <w:rsid w:val="00573251"/>
    <w:rsid w:val="005733A8"/>
    <w:rsid w:val="00573B5B"/>
    <w:rsid w:val="00573F55"/>
    <w:rsid w:val="0057540E"/>
    <w:rsid w:val="005757B6"/>
    <w:rsid w:val="00575836"/>
    <w:rsid w:val="0058000F"/>
    <w:rsid w:val="00580557"/>
    <w:rsid w:val="0058074F"/>
    <w:rsid w:val="00580A76"/>
    <w:rsid w:val="00581042"/>
    <w:rsid w:val="00581703"/>
    <w:rsid w:val="00581B15"/>
    <w:rsid w:val="005821DD"/>
    <w:rsid w:val="00583908"/>
    <w:rsid w:val="00584757"/>
    <w:rsid w:val="00584E21"/>
    <w:rsid w:val="00585663"/>
    <w:rsid w:val="0058608B"/>
    <w:rsid w:val="005863C1"/>
    <w:rsid w:val="0058654D"/>
    <w:rsid w:val="00586786"/>
    <w:rsid w:val="00587123"/>
    <w:rsid w:val="00587729"/>
    <w:rsid w:val="00587886"/>
    <w:rsid w:val="00587A66"/>
    <w:rsid w:val="00590147"/>
    <w:rsid w:val="00590BD1"/>
    <w:rsid w:val="00590D26"/>
    <w:rsid w:val="00591276"/>
    <w:rsid w:val="00591490"/>
    <w:rsid w:val="0059151A"/>
    <w:rsid w:val="005916C9"/>
    <w:rsid w:val="00591C7E"/>
    <w:rsid w:val="00591DCF"/>
    <w:rsid w:val="005922B8"/>
    <w:rsid w:val="005929B4"/>
    <w:rsid w:val="00592A3C"/>
    <w:rsid w:val="0059367F"/>
    <w:rsid w:val="00593720"/>
    <w:rsid w:val="00593909"/>
    <w:rsid w:val="00593A71"/>
    <w:rsid w:val="005941E1"/>
    <w:rsid w:val="005943E2"/>
    <w:rsid w:val="00594B8A"/>
    <w:rsid w:val="00595009"/>
    <w:rsid w:val="005954B7"/>
    <w:rsid w:val="00595A05"/>
    <w:rsid w:val="00595F17"/>
    <w:rsid w:val="00595F3D"/>
    <w:rsid w:val="00595F89"/>
    <w:rsid w:val="00596873"/>
    <w:rsid w:val="00596BB3"/>
    <w:rsid w:val="00596BD4"/>
    <w:rsid w:val="00596E27"/>
    <w:rsid w:val="00596FA8"/>
    <w:rsid w:val="005971A7"/>
    <w:rsid w:val="00597310"/>
    <w:rsid w:val="005977AB"/>
    <w:rsid w:val="005A01C5"/>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DC0"/>
    <w:rsid w:val="005A6B6D"/>
    <w:rsid w:val="005A6ED5"/>
    <w:rsid w:val="005A6F0E"/>
    <w:rsid w:val="005A6F57"/>
    <w:rsid w:val="005A7235"/>
    <w:rsid w:val="005A795B"/>
    <w:rsid w:val="005A7BAF"/>
    <w:rsid w:val="005B0652"/>
    <w:rsid w:val="005B0CFB"/>
    <w:rsid w:val="005B1213"/>
    <w:rsid w:val="005B12CF"/>
    <w:rsid w:val="005B173C"/>
    <w:rsid w:val="005B1A11"/>
    <w:rsid w:val="005B1B55"/>
    <w:rsid w:val="005B1DBD"/>
    <w:rsid w:val="005B26B0"/>
    <w:rsid w:val="005B3803"/>
    <w:rsid w:val="005B3EBD"/>
    <w:rsid w:val="005B48E8"/>
    <w:rsid w:val="005B56D9"/>
    <w:rsid w:val="005B5BA3"/>
    <w:rsid w:val="005B5BA4"/>
    <w:rsid w:val="005B5E62"/>
    <w:rsid w:val="005B7E97"/>
    <w:rsid w:val="005B7F46"/>
    <w:rsid w:val="005C09A7"/>
    <w:rsid w:val="005C102D"/>
    <w:rsid w:val="005C132C"/>
    <w:rsid w:val="005C17FB"/>
    <w:rsid w:val="005C1833"/>
    <w:rsid w:val="005C1838"/>
    <w:rsid w:val="005C18C2"/>
    <w:rsid w:val="005C1994"/>
    <w:rsid w:val="005C1C53"/>
    <w:rsid w:val="005C2063"/>
    <w:rsid w:val="005C23F3"/>
    <w:rsid w:val="005C244F"/>
    <w:rsid w:val="005C2767"/>
    <w:rsid w:val="005C2922"/>
    <w:rsid w:val="005C2F60"/>
    <w:rsid w:val="005C323D"/>
    <w:rsid w:val="005C3772"/>
    <w:rsid w:val="005C39C3"/>
    <w:rsid w:val="005C4229"/>
    <w:rsid w:val="005C4580"/>
    <w:rsid w:val="005C5065"/>
    <w:rsid w:val="005C52F3"/>
    <w:rsid w:val="005C564C"/>
    <w:rsid w:val="005C5BE2"/>
    <w:rsid w:val="005C5CE1"/>
    <w:rsid w:val="005C6234"/>
    <w:rsid w:val="005C6605"/>
    <w:rsid w:val="005C71A0"/>
    <w:rsid w:val="005C7802"/>
    <w:rsid w:val="005C7B50"/>
    <w:rsid w:val="005D029E"/>
    <w:rsid w:val="005D0427"/>
    <w:rsid w:val="005D0776"/>
    <w:rsid w:val="005D07AE"/>
    <w:rsid w:val="005D0C83"/>
    <w:rsid w:val="005D113B"/>
    <w:rsid w:val="005D1732"/>
    <w:rsid w:val="005D2D9A"/>
    <w:rsid w:val="005D3A6E"/>
    <w:rsid w:val="005D3B21"/>
    <w:rsid w:val="005D4019"/>
    <w:rsid w:val="005D41DC"/>
    <w:rsid w:val="005D441F"/>
    <w:rsid w:val="005D460F"/>
    <w:rsid w:val="005D477B"/>
    <w:rsid w:val="005D4DC5"/>
    <w:rsid w:val="005D5C22"/>
    <w:rsid w:val="005D5E6C"/>
    <w:rsid w:val="005D63A9"/>
    <w:rsid w:val="005D65D5"/>
    <w:rsid w:val="005D6C56"/>
    <w:rsid w:val="005D6F49"/>
    <w:rsid w:val="005D7A91"/>
    <w:rsid w:val="005D7E8A"/>
    <w:rsid w:val="005D7F66"/>
    <w:rsid w:val="005D7FB5"/>
    <w:rsid w:val="005E06FA"/>
    <w:rsid w:val="005E11A5"/>
    <w:rsid w:val="005E13D4"/>
    <w:rsid w:val="005E1435"/>
    <w:rsid w:val="005E21F3"/>
    <w:rsid w:val="005E235C"/>
    <w:rsid w:val="005E3078"/>
    <w:rsid w:val="005E3101"/>
    <w:rsid w:val="005E34C0"/>
    <w:rsid w:val="005E45F3"/>
    <w:rsid w:val="005E47F7"/>
    <w:rsid w:val="005E49CA"/>
    <w:rsid w:val="005E5427"/>
    <w:rsid w:val="005E5428"/>
    <w:rsid w:val="005E5A7C"/>
    <w:rsid w:val="005E5C33"/>
    <w:rsid w:val="005E6976"/>
    <w:rsid w:val="005E703B"/>
    <w:rsid w:val="005E721A"/>
    <w:rsid w:val="005E74EC"/>
    <w:rsid w:val="005E7AB6"/>
    <w:rsid w:val="005E7B1E"/>
    <w:rsid w:val="005E7CBC"/>
    <w:rsid w:val="005F0A62"/>
    <w:rsid w:val="005F0FA8"/>
    <w:rsid w:val="005F1C5D"/>
    <w:rsid w:val="005F2317"/>
    <w:rsid w:val="005F2550"/>
    <w:rsid w:val="005F2B2D"/>
    <w:rsid w:val="005F2FD5"/>
    <w:rsid w:val="005F340A"/>
    <w:rsid w:val="005F3AE8"/>
    <w:rsid w:val="005F3B09"/>
    <w:rsid w:val="005F3B47"/>
    <w:rsid w:val="005F3C6D"/>
    <w:rsid w:val="005F47C1"/>
    <w:rsid w:val="005F4926"/>
    <w:rsid w:val="005F4AF6"/>
    <w:rsid w:val="005F4B6F"/>
    <w:rsid w:val="005F5009"/>
    <w:rsid w:val="005F5054"/>
    <w:rsid w:val="005F530F"/>
    <w:rsid w:val="005F65D9"/>
    <w:rsid w:val="005F6768"/>
    <w:rsid w:val="005F69CF"/>
    <w:rsid w:val="005F6E39"/>
    <w:rsid w:val="005F6E58"/>
    <w:rsid w:val="005F704C"/>
    <w:rsid w:val="005F7A22"/>
    <w:rsid w:val="005F7B9D"/>
    <w:rsid w:val="005F7C5D"/>
    <w:rsid w:val="00600501"/>
    <w:rsid w:val="00600B0C"/>
    <w:rsid w:val="006023C8"/>
    <w:rsid w:val="00602DFA"/>
    <w:rsid w:val="006031D1"/>
    <w:rsid w:val="006033BF"/>
    <w:rsid w:val="00603702"/>
    <w:rsid w:val="00603B4B"/>
    <w:rsid w:val="00603F20"/>
    <w:rsid w:val="0060446C"/>
    <w:rsid w:val="00604F37"/>
    <w:rsid w:val="0060508A"/>
    <w:rsid w:val="006055AF"/>
    <w:rsid w:val="00605942"/>
    <w:rsid w:val="006059CD"/>
    <w:rsid w:val="00605C9F"/>
    <w:rsid w:val="00605D2E"/>
    <w:rsid w:val="006068E8"/>
    <w:rsid w:val="00606ADB"/>
    <w:rsid w:val="00607096"/>
    <w:rsid w:val="006072DE"/>
    <w:rsid w:val="00607520"/>
    <w:rsid w:val="006075A8"/>
    <w:rsid w:val="006075F4"/>
    <w:rsid w:val="006078A8"/>
    <w:rsid w:val="00607BAD"/>
    <w:rsid w:val="00607EC7"/>
    <w:rsid w:val="0061048A"/>
    <w:rsid w:val="006106CF"/>
    <w:rsid w:val="00610AE7"/>
    <w:rsid w:val="00610FA9"/>
    <w:rsid w:val="00611178"/>
    <w:rsid w:val="0061148D"/>
    <w:rsid w:val="00611D01"/>
    <w:rsid w:val="006122EC"/>
    <w:rsid w:val="006124B3"/>
    <w:rsid w:val="00612611"/>
    <w:rsid w:val="0061279A"/>
    <w:rsid w:val="006129C3"/>
    <w:rsid w:val="00613009"/>
    <w:rsid w:val="006132EA"/>
    <w:rsid w:val="00613CA5"/>
    <w:rsid w:val="0061401C"/>
    <w:rsid w:val="0061420B"/>
    <w:rsid w:val="0061498F"/>
    <w:rsid w:val="00614A99"/>
    <w:rsid w:val="00614D33"/>
    <w:rsid w:val="0061537D"/>
    <w:rsid w:val="0061537F"/>
    <w:rsid w:val="006156D7"/>
    <w:rsid w:val="00615DEA"/>
    <w:rsid w:val="00616A60"/>
    <w:rsid w:val="00616EE6"/>
    <w:rsid w:val="006171FB"/>
    <w:rsid w:val="00617A2A"/>
    <w:rsid w:val="006207F4"/>
    <w:rsid w:val="00620C67"/>
    <w:rsid w:val="00621256"/>
    <w:rsid w:val="00621646"/>
    <w:rsid w:val="00621803"/>
    <w:rsid w:val="006220F1"/>
    <w:rsid w:val="00623E46"/>
    <w:rsid w:val="00624604"/>
    <w:rsid w:val="0062462D"/>
    <w:rsid w:val="00624D2C"/>
    <w:rsid w:val="00624F7F"/>
    <w:rsid w:val="00625145"/>
    <w:rsid w:val="00626768"/>
    <w:rsid w:val="00626781"/>
    <w:rsid w:val="00627402"/>
    <w:rsid w:val="00630480"/>
    <w:rsid w:val="0063058E"/>
    <w:rsid w:val="006305F8"/>
    <w:rsid w:val="00631DA7"/>
    <w:rsid w:val="006327BB"/>
    <w:rsid w:val="00632892"/>
    <w:rsid w:val="00632B9C"/>
    <w:rsid w:val="00632F18"/>
    <w:rsid w:val="006332D7"/>
    <w:rsid w:val="0063333D"/>
    <w:rsid w:val="00634225"/>
    <w:rsid w:val="00634951"/>
    <w:rsid w:val="00634A31"/>
    <w:rsid w:val="00635003"/>
    <w:rsid w:val="006351CE"/>
    <w:rsid w:val="006352FD"/>
    <w:rsid w:val="00635B15"/>
    <w:rsid w:val="00636037"/>
    <w:rsid w:val="006362E1"/>
    <w:rsid w:val="006367DA"/>
    <w:rsid w:val="00636A53"/>
    <w:rsid w:val="006370E1"/>
    <w:rsid w:val="006375B2"/>
    <w:rsid w:val="006375BB"/>
    <w:rsid w:val="006409EE"/>
    <w:rsid w:val="00640BF7"/>
    <w:rsid w:val="00640FFF"/>
    <w:rsid w:val="00641761"/>
    <w:rsid w:val="006425FC"/>
    <w:rsid w:val="00642631"/>
    <w:rsid w:val="00642DF5"/>
    <w:rsid w:val="0064304A"/>
    <w:rsid w:val="006430A5"/>
    <w:rsid w:val="0064380B"/>
    <w:rsid w:val="00643A4F"/>
    <w:rsid w:val="00643FF5"/>
    <w:rsid w:val="006441FD"/>
    <w:rsid w:val="00644E5A"/>
    <w:rsid w:val="00644F2C"/>
    <w:rsid w:val="00645141"/>
    <w:rsid w:val="00645AEE"/>
    <w:rsid w:val="00646428"/>
    <w:rsid w:val="0064707F"/>
    <w:rsid w:val="006471E8"/>
    <w:rsid w:val="00647E90"/>
    <w:rsid w:val="00647FA3"/>
    <w:rsid w:val="006500F7"/>
    <w:rsid w:val="00650297"/>
    <w:rsid w:val="00650769"/>
    <w:rsid w:val="00650BAC"/>
    <w:rsid w:val="006516B7"/>
    <w:rsid w:val="006518E4"/>
    <w:rsid w:val="00651FB8"/>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CCC"/>
    <w:rsid w:val="00660162"/>
    <w:rsid w:val="0066036D"/>
    <w:rsid w:val="006604FA"/>
    <w:rsid w:val="00660879"/>
    <w:rsid w:val="00661639"/>
    <w:rsid w:val="00661655"/>
    <w:rsid w:val="0066174D"/>
    <w:rsid w:val="00661E36"/>
    <w:rsid w:val="006631D3"/>
    <w:rsid w:val="00663D0F"/>
    <w:rsid w:val="00664525"/>
    <w:rsid w:val="0066465B"/>
    <w:rsid w:val="00664C81"/>
    <w:rsid w:val="0066521A"/>
    <w:rsid w:val="00665406"/>
    <w:rsid w:val="0066540C"/>
    <w:rsid w:val="00665EAE"/>
    <w:rsid w:val="006661EA"/>
    <w:rsid w:val="00666909"/>
    <w:rsid w:val="00666EBC"/>
    <w:rsid w:val="00667189"/>
    <w:rsid w:val="0066749E"/>
    <w:rsid w:val="00667CCB"/>
    <w:rsid w:val="00667EFD"/>
    <w:rsid w:val="00670475"/>
    <w:rsid w:val="00670B8C"/>
    <w:rsid w:val="00670C4A"/>
    <w:rsid w:val="00671F3E"/>
    <w:rsid w:val="00672482"/>
    <w:rsid w:val="00672A18"/>
    <w:rsid w:val="00672E93"/>
    <w:rsid w:val="006735D0"/>
    <w:rsid w:val="006739E9"/>
    <w:rsid w:val="006741E4"/>
    <w:rsid w:val="00674D52"/>
    <w:rsid w:val="00674F93"/>
    <w:rsid w:val="0067546F"/>
    <w:rsid w:val="006759F3"/>
    <w:rsid w:val="00676CE4"/>
    <w:rsid w:val="00676EC2"/>
    <w:rsid w:val="00676FA5"/>
    <w:rsid w:val="006771A4"/>
    <w:rsid w:val="006771AD"/>
    <w:rsid w:val="006774A8"/>
    <w:rsid w:val="00677572"/>
    <w:rsid w:val="00681229"/>
    <w:rsid w:val="0068155C"/>
    <w:rsid w:val="0068185E"/>
    <w:rsid w:val="00681BE5"/>
    <w:rsid w:val="00681E30"/>
    <w:rsid w:val="00683532"/>
    <w:rsid w:val="0068379B"/>
    <w:rsid w:val="00683D98"/>
    <w:rsid w:val="00683D99"/>
    <w:rsid w:val="00684079"/>
    <w:rsid w:val="0068629B"/>
    <w:rsid w:val="00686C12"/>
    <w:rsid w:val="00686D75"/>
    <w:rsid w:val="00686DDA"/>
    <w:rsid w:val="00686E5A"/>
    <w:rsid w:val="0068736A"/>
    <w:rsid w:val="00687D17"/>
    <w:rsid w:val="00690024"/>
    <w:rsid w:val="006903A4"/>
    <w:rsid w:val="00690CAA"/>
    <w:rsid w:val="00690EFB"/>
    <w:rsid w:val="0069137B"/>
    <w:rsid w:val="006913EC"/>
    <w:rsid w:val="006914B7"/>
    <w:rsid w:val="00691742"/>
    <w:rsid w:val="00691DEE"/>
    <w:rsid w:val="0069222C"/>
    <w:rsid w:val="00692242"/>
    <w:rsid w:val="0069236E"/>
    <w:rsid w:val="00692704"/>
    <w:rsid w:val="006929F2"/>
    <w:rsid w:val="00692E67"/>
    <w:rsid w:val="00693ACF"/>
    <w:rsid w:val="00693EE5"/>
    <w:rsid w:val="006944C5"/>
    <w:rsid w:val="00694B8D"/>
    <w:rsid w:val="0069561C"/>
    <w:rsid w:val="00695634"/>
    <w:rsid w:val="00695EFE"/>
    <w:rsid w:val="0069600D"/>
    <w:rsid w:val="006963AE"/>
    <w:rsid w:val="00696937"/>
    <w:rsid w:val="00697053"/>
    <w:rsid w:val="006A066A"/>
    <w:rsid w:val="006A06CA"/>
    <w:rsid w:val="006A083E"/>
    <w:rsid w:val="006A0FFD"/>
    <w:rsid w:val="006A1170"/>
    <w:rsid w:val="006A14A3"/>
    <w:rsid w:val="006A159D"/>
    <w:rsid w:val="006A18BF"/>
    <w:rsid w:val="006A1F58"/>
    <w:rsid w:val="006A242E"/>
    <w:rsid w:val="006A26AB"/>
    <w:rsid w:val="006A298D"/>
    <w:rsid w:val="006A2F80"/>
    <w:rsid w:val="006A3FD6"/>
    <w:rsid w:val="006A4076"/>
    <w:rsid w:val="006A436F"/>
    <w:rsid w:val="006A4E5B"/>
    <w:rsid w:val="006A59D8"/>
    <w:rsid w:val="006A6B7B"/>
    <w:rsid w:val="006A78F8"/>
    <w:rsid w:val="006A7C26"/>
    <w:rsid w:val="006A7E27"/>
    <w:rsid w:val="006B010E"/>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63A"/>
    <w:rsid w:val="006B6B5D"/>
    <w:rsid w:val="006B6C0D"/>
    <w:rsid w:val="006C1818"/>
    <w:rsid w:val="006C1F8B"/>
    <w:rsid w:val="006C2721"/>
    <w:rsid w:val="006C2F75"/>
    <w:rsid w:val="006C3868"/>
    <w:rsid w:val="006C38FF"/>
    <w:rsid w:val="006C393F"/>
    <w:rsid w:val="006C3E6E"/>
    <w:rsid w:val="006C3EEA"/>
    <w:rsid w:val="006C3F92"/>
    <w:rsid w:val="006C43A6"/>
    <w:rsid w:val="006C4A4A"/>
    <w:rsid w:val="006C53EB"/>
    <w:rsid w:val="006C5A5B"/>
    <w:rsid w:val="006C5D29"/>
    <w:rsid w:val="006C650D"/>
    <w:rsid w:val="006C69A5"/>
    <w:rsid w:val="006C70A1"/>
    <w:rsid w:val="006C7356"/>
    <w:rsid w:val="006C7740"/>
    <w:rsid w:val="006C7C3A"/>
    <w:rsid w:val="006C7CE5"/>
    <w:rsid w:val="006D0389"/>
    <w:rsid w:val="006D0848"/>
    <w:rsid w:val="006D0BA5"/>
    <w:rsid w:val="006D0C15"/>
    <w:rsid w:val="006D0D8B"/>
    <w:rsid w:val="006D0FBF"/>
    <w:rsid w:val="006D10DC"/>
    <w:rsid w:val="006D1586"/>
    <w:rsid w:val="006D19C1"/>
    <w:rsid w:val="006D19D9"/>
    <w:rsid w:val="006D2827"/>
    <w:rsid w:val="006D2848"/>
    <w:rsid w:val="006D2867"/>
    <w:rsid w:val="006D2B19"/>
    <w:rsid w:val="006D2CDD"/>
    <w:rsid w:val="006D2EC9"/>
    <w:rsid w:val="006D3A05"/>
    <w:rsid w:val="006D3B62"/>
    <w:rsid w:val="006D3FDF"/>
    <w:rsid w:val="006D40E8"/>
    <w:rsid w:val="006D4527"/>
    <w:rsid w:val="006D4B05"/>
    <w:rsid w:val="006D4F86"/>
    <w:rsid w:val="006D59AE"/>
    <w:rsid w:val="006D5F98"/>
    <w:rsid w:val="006D6665"/>
    <w:rsid w:val="006D7098"/>
    <w:rsid w:val="006D740E"/>
    <w:rsid w:val="006D7F72"/>
    <w:rsid w:val="006E00B7"/>
    <w:rsid w:val="006E0E5B"/>
    <w:rsid w:val="006E20A0"/>
    <w:rsid w:val="006E3023"/>
    <w:rsid w:val="006E3369"/>
    <w:rsid w:val="006E3D12"/>
    <w:rsid w:val="006E3D50"/>
    <w:rsid w:val="006E449C"/>
    <w:rsid w:val="006E4726"/>
    <w:rsid w:val="006E489A"/>
    <w:rsid w:val="006E4E72"/>
    <w:rsid w:val="006E50D0"/>
    <w:rsid w:val="006E663E"/>
    <w:rsid w:val="006E6EDF"/>
    <w:rsid w:val="006E7BA5"/>
    <w:rsid w:val="006F01E8"/>
    <w:rsid w:val="006F02D7"/>
    <w:rsid w:val="006F03BD"/>
    <w:rsid w:val="006F0971"/>
    <w:rsid w:val="006F0EBB"/>
    <w:rsid w:val="006F1AAA"/>
    <w:rsid w:val="006F1E96"/>
    <w:rsid w:val="006F2D24"/>
    <w:rsid w:val="006F37F7"/>
    <w:rsid w:val="006F3909"/>
    <w:rsid w:val="006F3942"/>
    <w:rsid w:val="006F4036"/>
    <w:rsid w:val="006F428E"/>
    <w:rsid w:val="006F48E1"/>
    <w:rsid w:val="006F5160"/>
    <w:rsid w:val="006F5374"/>
    <w:rsid w:val="006F60DF"/>
    <w:rsid w:val="006F68C1"/>
    <w:rsid w:val="006F6CE2"/>
    <w:rsid w:val="006F6E10"/>
    <w:rsid w:val="006F7992"/>
    <w:rsid w:val="007014F8"/>
    <w:rsid w:val="0070150D"/>
    <w:rsid w:val="007016D2"/>
    <w:rsid w:val="007018D8"/>
    <w:rsid w:val="007029E8"/>
    <w:rsid w:val="00703107"/>
    <w:rsid w:val="00703138"/>
    <w:rsid w:val="00703277"/>
    <w:rsid w:val="0070356D"/>
    <w:rsid w:val="00703981"/>
    <w:rsid w:val="00703D7E"/>
    <w:rsid w:val="00704178"/>
    <w:rsid w:val="007043D7"/>
    <w:rsid w:val="0070495F"/>
    <w:rsid w:val="00704B6E"/>
    <w:rsid w:val="00704F73"/>
    <w:rsid w:val="0070508D"/>
    <w:rsid w:val="0070542E"/>
    <w:rsid w:val="00705697"/>
    <w:rsid w:val="007060D4"/>
    <w:rsid w:val="0070624C"/>
    <w:rsid w:val="00706451"/>
    <w:rsid w:val="00706A44"/>
    <w:rsid w:val="00707867"/>
    <w:rsid w:val="00707E0F"/>
    <w:rsid w:val="0071068A"/>
    <w:rsid w:val="00710E19"/>
    <w:rsid w:val="00710E52"/>
    <w:rsid w:val="0071154B"/>
    <w:rsid w:val="0071174F"/>
    <w:rsid w:val="0071196A"/>
    <w:rsid w:val="007123FD"/>
    <w:rsid w:val="007131CF"/>
    <w:rsid w:val="007133C0"/>
    <w:rsid w:val="00713613"/>
    <w:rsid w:val="007137C6"/>
    <w:rsid w:val="007138FC"/>
    <w:rsid w:val="0071393D"/>
    <w:rsid w:val="00713E79"/>
    <w:rsid w:val="00714245"/>
    <w:rsid w:val="00715441"/>
    <w:rsid w:val="00715739"/>
    <w:rsid w:val="0071576C"/>
    <w:rsid w:val="00715C94"/>
    <w:rsid w:val="00716A09"/>
    <w:rsid w:val="007170DB"/>
    <w:rsid w:val="00717880"/>
    <w:rsid w:val="00717CA8"/>
    <w:rsid w:val="007205E7"/>
    <w:rsid w:val="007209C4"/>
    <w:rsid w:val="00721E79"/>
    <w:rsid w:val="00721E9E"/>
    <w:rsid w:val="007227FE"/>
    <w:rsid w:val="007230E5"/>
    <w:rsid w:val="007233C3"/>
    <w:rsid w:val="00723C95"/>
    <w:rsid w:val="00723E5F"/>
    <w:rsid w:val="007244E7"/>
    <w:rsid w:val="0072505F"/>
    <w:rsid w:val="00725B00"/>
    <w:rsid w:val="007266FA"/>
    <w:rsid w:val="0072680C"/>
    <w:rsid w:val="00726A57"/>
    <w:rsid w:val="00726B3D"/>
    <w:rsid w:val="00726C64"/>
    <w:rsid w:val="007274AC"/>
    <w:rsid w:val="007310B7"/>
    <w:rsid w:val="00731237"/>
    <w:rsid w:val="0073207E"/>
    <w:rsid w:val="00732664"/>
    <w:rsid w:val="00732BA7"/>
    <w:rsid w:val="007333EA"/>
    <w:rsid w:val="00733601"/>
    <w:rsid w:val="00733A57"/>
    <w:rsid w:val="00733F36"/>
    <w:rsid w:val="007340CE"/>
    <w:rsid w:val="00734781"/>
    <w:rsid w:val="007349FC"/>
    <w:rsid w:val="00734B6F"/>
    <w:rsid w:val="00734BF6"/>
    <w:rsid w:val="00735293"/>
    <w:rsid w:val="00735376"/>
    <w:rsid w:val="007363EA"/>
    <w:rsid w:val="00736A02"/>
    <w:rsid w:val="00736E06"/>
    <w:rsid w:val="00736E37"/>
    <w:rsid w:val="00737286"/>
    <w:rsid w:val="007373DB"/>
    <w:rsid w:val="00737F27"/>
    <w:rsid w:val="00737FD3"/>
    <w:rsid w:val="007407DB"/>
    <w:rsid w:val="00740BFC"/>
    <w:rsid w:val="00740F76"/>
    <w:rsid w:val="00741037"/>
    <w:rsid w:val="00741969"/>
    <w:rsid w:val="007422B3"/>
    <w:rsid w:val="007424BF"/>
    <w:rsid w:val="007435F1"/>
    <w:rsid w:val="00743DDD"/>
    <w:rsid w:val="00744625"/>
    <w:rsid w:val="007446BB"/>
    <w:rsid w:val="00744F3D"/>
    <w:rsid w:val="00745201"/>
    <w:rsid w:val="00745882"/>
    <w:rsid w:val="00745A04"/>
    <w:rsid w:val="00745A0F"/>
    <w:rsid w:val="00745DFD"/>
    <w:rsid w:val="0074618B"/>
    <w:rsid w:val="00746197"/>
    <w:rsid w:val="0074689C"/>
    <w:rsid w:val="00746B3F"/>
    <w:rsid w:val="00746E05"/>
    <w:rsid w:val="00747117"/>
    <w:rsid w:val="007479C2"/>
    <w:rsid w:val="00747B0D"/>
    <w:rsid w:val="00751452"/>
    <w:rsid w:val="007521A5"/>
    <w:rsid w:val="0075306D"/>
    <w:rsid w:val="00753959"/>
    <w:rsid w:val="00753DD6"/>
    <w:rsid w:val="00754A4A"/>
    <w:rsid w:val="007567A8"/>
    <w:rsid w:val="00756D6A"/>
    <w:rsid w:val="0076043F"/>
    <w:rsid w:val="00760F66"/>
    <w:rsid w:val="007611F8"/>
    <w:rsid w:val="00761200"/>
    <w:rsid w:val="00761931"/>
    <w:rsid w:val="00761BD1"/>
    <w:rsid w:val="007627BA"/>
    <w:rsid w:val="0076291E"/>
    <w:rsid w:val="00762D81"/>
    <w:rsid w:val="0076317B"/>
    <w:rsid w:val="007643D5"/>
    <w:rsid w:val="00765366"/>
    <w:rsid w:val="00765914"/>
    <w:rsid w:val="00765D94"/>
    <w:rsid w:val="0076614D"/>
    <w:rsid w:val="0076624C"/>
    <w:rsid w:val="0076627D"/>
    <w:rsid w:val="00766304"/>
    <w:rsid w:val="00767404"/>
    <w:rsid w:val="007679C1"/>
    <w:rsid w:val="00767A28"/>
    <w:rsid w:val="00767DD2"/>
    <w:rsid w:val="0077049C"/>
    <w:rsid w:val="0077082B"/>
    <w:rsid w:val="00770E60"/>
    <w:rsid w:val="00771C8F"/>
    <w:rsid w:val="0077266E"/>
    <w:rsid w:val="0077292E"/>
    <w:rsid w:val="007737D8"/>
    <w:rsid w:val="0077391C"/>
    <w:rsid w:val="00773D24"/>
    <w:rsid w:val="00774576"/>
    <w:rsid w:val="007745DA"/>
    <w:rsid w:val="0077508A"/>
    <w:rsid w:val="00775567"/>
    <w:rsid w:val="00775E0D"/>
    <w:rsid w:val="00776343"/>
    <w:rsid w:val="00776416"/>
    <w:rsid w:val="00776655"/>
    <w:rsid w:val="00776C7B"/>
    <w:rsid w:val="00776CEF"/>
    <w:rsid w:val="00776D9D"/>
    <w:rsid w:val="00777E7E"/>
    <w:rsid w:val="007804DD"/>
    <w:rsid w:val="00780631"/>
    <w:rsid w:val="00780F3B"/>
    <w:rsid w:val="007816EE"/>
    <w:rsid w:val="00781B2D"/>
    <w:rsid w:val="00782071"/>
    <w:rsid w:val="00782946"/>
    <w:rsid w:val="00782ECD"/>
    <w:rsid w:val="0078363B"/>
    <w:rsid w:val="00783CCF"/>
    <w:rsid w:val="00783F5B"/>
    <w:rsid w:val="00784609"/>
    <w:rsid w:val="00784720"/>
    <w:rsid w:val="0078481D"/>
    <w:rsid w:val="007859FC"/>
    <w:rsid w:val="00785F4C"/>
    <w:rsid w:val="0078609C"/>
    <w:rsid w:val="00786355"/>
    <w:rsid w:val="00787370"/>
    <w:rsid w:val="007874AE"/>
    <w:rsid w:val="0078750B"/>
    <w:rsid w:val="00787F5E"/>
    <w:rsid w:val="0079024D"/>
    <w:rsid w:val="00790B01"/>
    <w:rsid w:val="007911B8"/>
    <w:rsid w:val="00791DAE"/>
    <w:rsid w:val="007930E8"/>
    <w:rsid w:val="00793A57"/>
    <w:rsid w:val="00793A9C"/>
    <w:rsid w:val="00793F28"/>
    <w:rsid w:val="007944D2"/>
    <w:rsid w:val="00794B19"/>
    <w:rsid w:val="0079545F"/>
    <w:rsid w:val="00795B8D"/>
    <w:rsid w:val="00795F0E"/>
    <w:rsid w:val="00796F2A"/>
    <w:rsid w:val="00797D8F"/>
    <w:rsid w:val="007A0C00"/>
    <w:rsid w:val="007A0E15"/>
    <w:rsid w:val="007A176E"/>
    <w:rsid w:val="007A19BF"/>
    <w:rsid w:val="007A2A69"/>
    <w:rsid w:val="007A2CF1"/>
    <w:rsid w:val="007A3100"/>
    <w:rsid w:val="007A384E"/>
    <w:rsid w:val="007A41B5"/>
    <w:rsid w:val="007A4486"/>
    <w:rsid w:val="007A4682"/>
    <w:rsid w:val="007A5879"/>
    <w:rsid w:val="007A58A8"/>
    <w:rsid w:val="007A5BDC"/>
    <w:rsid w:val="007A629D"/>
    <w:rsid w:val="007A6610"/>
    <w:rsid w:val="007A672A"/>
    <w:rsid w:val="007A6DD3"/>
    <w:rsid w:val="007A6FF3"/>
    <w:rsid w:val="007A71DC"/>
    <w:rsid w:val="007A7A04"/>
    <w:rsid w:val="007B04FF"/>
    <w:rsid w:val="007B0976"/>
    <w:rsid w:val="007B0CAC"/>
    <w:rsid w:val="007B15F3"/>
    <w:rsid w:val="007B1701"/>
    <w:rsid w:val="007B1C32"/>
    <w:rsid w:val="007B1DBB"/>
    <w:rsid w:val="007B2319"/>
    <w:rsid w:val="007B2EBA"/>
    <w:rsid w:val="007B2FBF"/>
    <w:rsid w:val="007B3E13"/>
    <w:rsid w:val="007B4046"/>
    <w:rsid w:val="007B4300"/>
    <w:rsid w:val="007B565C"/>
    <w:rsid w:val="007B595F"/>
    <w:rsid w:val="007B5D75"/>
    <w:rsid w:val="007B6D5E"/>
    <w:rsid w:val="007B7115"/>
    <w:rsid w:val="007B736B"/>
    <w:rsid w:val="007C0853"/>
    <w:rsid w:val="007C0C90"/>
    <w:rsid w:val="007C0E07"/>
    <w:rsid w:val="007C0E86"/>
    <w:rsid w:val="007C1562"/>
    <w:rsid w:val="007C249E"/>
    <w:rsid w:val="007C26CF"/>
    <w:rsid w:val="007C271B"/>
    <w:rsid w:val="007C2C14"/>
    <w:rsid w:val="007C388A"/>
    <w:rsid w:val="007C3A55"/>
    <w:rsid w:val="007C4166"/>
    <w:rsid w:val="007C44E1"/>
    <w:rsid w:val="007C48DD"/>
    <w:rsid w:val="007C4A05"/>
    <w:rsid w:val="007C5173"/>
    <w:rsid w:val="007C5711"/>
    <w:rsid w:val="007C57B9"/>
    <w:rsid w:val="007C6325"/>
    <w:rsid w:val="007C720C"/>
    <w:rsid w:val="007C73A3"/>
    <w:rsid w:val="007C7975"/>
    <w:rsid w:val="007C7EF5"/>
    <w:rsid w:val="007D06AC"/>
    <w:rsid w:val="007D0741"/>
    <w:rsid w:val="007D0A53"/>
    <w:rsid w:val="007D0FFC"/>
    <w:rsid w:val="007D1013"/>
    <w:rsid w:val="007D19EC"/>
    <w:rsid w:val="007D1AC9"/>
    <w:rsid w:val="007D1F5A"/>
    <w:rsid w:val="007D1FE0"/>
    <w:rsid w:val="007D2608"/>
    <w:rsid w:val="007D2ECD"/>
    <w:rsid w:val="007D30C3"/>
    <w:rsid w:val="007D35AC"/>
    <w:rsid w:val="007D36B1"/>
    <w:rsid w:val="007D36D7"/>
    <w:rsid w:val="007D3BA1"/>
    <w:rsid w:val="007D3EC8"/>
    <w:rsid w:val="007D40AC"/>
    <w:rsid w:val="007D4317"/>
    <w:rsid w:val="007D4C12"/>
    <w:rsid w:val="007D54BB"/>
    <w:rsid w:val="007D57E0"/>
    <w:rsid w:val="007D5962"/>
    <w:rsid w:val="007D63B2"/>
    <w:rsid w:val="007D651D"/>
    <w:rsid w:val="007D71B7"/>
    <w:rsid w:val="007D7C66"/>
    <w:rsid w:val="007D7CF3"/>
    <w:rsid w:val="007D7DB8"/>
    <w:rsid w:val="007E0274"/>
    <w:rsid w:val="007E02A7"/>
    <w:rsid w:val="007E0415"/>
    <w:rsid w:val="007E0991"/>
    <w:rsid w:val="007E0B2C"/>
    <w:rsid w:val="007E107F"/>
    <w:rsid w:val="007E2FD7"/>
    <w:rsid w:val="007E310B"/>
    <w:rsid w:val="007E38DA"/>
    <w:rsid w:val="007E3D65"/>
    <w:rsid w:val="007E3EE2"/>
    <w:rsid w:val="007E46C0"/>
    <w:rsid w:val="007E47E7"/>
    <w:rsid w:val="007E4A98"/>
    <w:rsid w:val="007E4EB6"/>
    <w:rsid w:val="007E5231"/>
    <w:rsid w:val="007E5CA4"/>
    <w:rsid w:val="007E5DD7"/>
    <w:rsid w:val="007E7139"/>
    <w:rsid w:val="007E7366"/>
    <w:rsid w:val="007E7EA1"/>
    <w:rsid w:val="007E7EA4"/>
    <w:rsid w:val="007F03CE"/>
    <w:rsid w:val="007F04D3"/>
    <w:rsid w:val="007F137D"/>
    <w:rsid w:val="007F2D8D"/>
    <w:rsid w:val="007F2EBF"/>
    <w:rsid w:val="007F3044"/>
    <w:rsid w:val="007F3249"/>
    <w:rsid w:val="007F38F9"/>
    <w:rsid w:val="007F4657"/>
    <w:rsid w:val="007F4E5C"/>
    <w:rsid w:val="007F5609"/>
    <w:rsid w:val="007F5625"/>
    <w:rsid w:val="007F568A"/>
    <w:rsid w:val="007F59F7"/>
    <w:rsid w:val="007F5E21"/>
    <w:rsid w:val="007F6413"/>
    <w:rsid w:val="007F676E"/>
    <w:rsid w:val="007F6B11"/>
    <w:rsid w:val="007F6E2B"/>
    <w:rsid w:val="007F7D12"/>
    <w:rsid w:val="007F7F02"/>
    <w:rsid w:val="00800258"/>
    <w:rsid w:val="00800A29"/>
    <w:rsid w:val="00800C97"/>
    <w:rsid w:val="00801306"/>
    <w:rsid w:val="0080220F"/>
    <w:rsid w:val="00802735"/>
    <w:rsid w:val="008028C2"/>
    <w:rsid w:val="00802DDB"/>
    <w:rsid w:val="008037D8"/>
    <w:rsid w:val="0080398F"/>
    <w:rsid w:val="00803B7E"/>
    <w:rsid w:val="00803DA6"/>
    <w:rsid w:val="008040D9"/>
    <w:rsid w:val="0080436E"/>
    <w:rsid w:val="00804937"/>
    <w:rsid w:val="00804C68"/>
    <w:rsid w:val="00804E1E"/>
    <w:rsid w:val="00804E43"/>
    <w:rsid w:val="008050F5"/>
    <w:rsid w:val="0080519C"/>
    <w:rsid w:val="008051FA"/>
    <w:rsid w:val="00806DCB"/>
    <w:rsid w:val="00810BC2"/>
    <w:rsid w:val="00811683"/>
    <w:rsid w:val="00811AFF"/>
    <w:rsid w:val="00812373"/>
    <w:rsid w:val="00813F3A"/>
    <w:rsid w:val="008140E8"/>
    <w:rsid w:val="00814941"/>
    <w:rsid w:val="00814A65"/>
    <w:rsid w:val="00814BD9"/>
    <w:rsid w:val="008158AC"/>
    <w:rsid w:val="00815FA8"/>
    <w:rsid w:val="008161E3"/>
    <w:rsid w:val="008166D2"/>
    <w:rsid w:val="00816805"/>
    <w:rsid w:val="00816BE8"/>
    <w:rsid w:val="00816CD5"/>
    <w:rsid w:val="00816DBD"/>
    <w:rsid w:val="00816FE2"/>
    <w:rsid w:val="00817062"/>
    <w:rsid w:val="00817991"/>
    <w:rsid w:val="00817F58"/>
    <w:rsid w:val="008203C5"/>
    <w:rsid w:val="00820B84"/>
    <w:rsid w:val="0082199B"/>
    <w:rsid w:val="00821C2A"/>
    <w:rsid w:val="008227B7"/>
    <w:rsid w:val="008243A8"/>
    <w:rsid w:val="00824925"/>
    <w:rsid w:val="00824C8B"/>
    <w:rsid w:val="008252E8"/>
    <w:rsid w:val="00825BA8"/>
    <w:rsid w:val="00825C14"/>
    <w:rsid w:val="0082641D"/>
    <w:rsid w:val="008267CA"/>
    <w:rsid w:val="0082722B"/>
    <w:rsid w:val="00827BEE"/>
    <w:rsid w:val="00827C1B"/>
    <w:rsid w:val="0083016B"/>
    <w:rsid w:val="008301F1"/>
    <w:rsid w:val="00830C0E"/>
    <w:rsid w:val="008313E0"/>
    <w:rsid w:val="008317EC"/>
    <w:rsid w:val="0083195D"/>
    <w:rsid w:val="00831B7B"/>
    <w:rsid w:val="00831D90"/>
    <w:rsid w:val="008324F3"/>
    <w:rsid w:val="00832691"/>
    <w:rsid w:val="0083296B"/>
    <w:rsid w:val="00833547"/>
    <w:rsid w:val="00833852"/>
    <w:rsid w:val="008339B3"/>
    <w:rsid w:val="00833AB9"/>
    <w:rsid w:val="00834820"/>
    <w:rsid w:val="00834C82"/>
    <w:rsid w:val="00834DB6"/>
    <w:rsid w:val="00834F93"/>
    <w:rsid w:val="00840C4A"/>
    <w:rsid w:val="008411B9"/>
    <w:rsid w:val="0084122F"/>
    <w:rsid w:val="00841573"/>
    <w:rsid w:val="00841D08"/>
    <w:rsid w:val="00842D43"/>
    <w:rsid w:val="0084323E"/>
    <w:rsid w:val="00843493"/>
    <w:rsid w:val="00843D50"/>
    <w:rsid w:val="0084464E"/>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F9E"/>
    <w:rsid w:val="00854053"/>
    <w:rsid w:val="008543AC"/>
    <w:rsid w:val="008548B8"/>
    <w:rsid w:val="00854965"/>
    <w:rsid w:val="008554D1"/>
    <w:rsid w:val="008558E0"/>
    <w:rsid w:val="0085592F"/>
    <w:rsid w:val="00857AF7"/>
    <w:rsid w:val="00860109"/>
    <w:rsid w:val="008601BD"/>
    <w:rsid w:val="00860359"/>
    <w:rsid w:val="00860E43"/>
    <w:rsid w:val="00861252"/>
    <w:rsid w:val="0086171A"/>
    <w:rsid w:val="0086226C"/>
    <w:rsid w:val="00863716"/>
    <w:rsid w:val="00863C07"/>
    <w:rsid w:val="008644A4"/>
    <w:rsid w:val="00864A6C"/>
    <w:rsid w:val="00864BB1"/>
    <w:rsid w:val="00864DF7"/>
    <w:rsid w:val="00864E64"/>
    <w:rsid w:val="00865278"/>
    <w:rsid w:val="008654F9"/>
    <w:rsid w:val="008658C0"/>
    <w:rsid w:val="00866388"/>
    <w:rsid w:val="00866FE3"/>
    <w:rsid w:val="0086722D"/>
    <w:rsid w:val="00867D56"/>
    <w:rsid w:val="00870646"/>
    <w:rsid w:val="00870BAA"/>
    <w:rsid w:val="00870D91"/>
    <w:rsid w:val="008716D1"/>
    <w:rsid w:val="008716ED"/>
    <w:rsid w:val="008718AD"/>
    <w:rsid w:val="0087193F"/>
    <w:rsid w:val="00871D38"/>
    <w:rsid w:val="008724E6"/>
    <w:rsid w:val="008728C8"/>
    <w:rsid w:val="00873205"/>
    <w:rsid w:val="008735E8"/>
    <w:rsid w:val="0087377E"/>
    <w:rsid w:val="00874594"/>
    <w:rsid w:val="00874776"/>
    <w:rsid w:val="0087487C"/>
    <w:rsid w:val="00874A07"/>
    <w:rsid w:val="00874B75"/>
    <w:rsid w:val="00875007"/>
    <w:rsid w:val="008750DB"/>
    <w:rsid w:val="008751B4"/>
    <w:rsid w:val="0087527F"/>
    <w:rsid w:val="008754B5"/>
    <w:rsid w:val="00875AF3"/>
    <w:rsid w:val="0087639D"/>
    <w:rsid w:val="008765E9"/>
    <w:rsid w:val="00876605"/>
    <w:rsid w:val="00876B13"/>
    <w:rsid w:val="00880017"/>
    <w:rsid w:val="00880305"/>
    <w:rsid w:val="0088088A"/>
    <w:rsid w:val="00880A3F"/>
    <w:rsid w:val="00880EE2"/>
    <w:rsid w:val="00881732"/>
    <w:rsid w:val="008818A2"/>
    <w:rsid w:val="00881FF9"/>
    <w:rsid w:val="0088213D"/>
    <w:rsid w:val="008821C6"/>
    <w:rsid w:val="0088243D"/>
    <w:rsid w:val="0088251A"/>
    <w:rsid w:val="00882D28"/>
    <w:rsid w:val="00883A67"/>
    <w:rsid w:val="008848E9"/>
    <w:rsid w:val="00884FD8"/>
    <w:rsid w:val="00885244"/>
    <w:rsid w:val="008857C7"/>
    <w:rsid w:val="008858B3"/>
    <w:rsid w:val="00885BF6"/>
    <w:rsid w:val="008866CF"/>
    <w:rsid w:val="00886782"/>
    <w:rsid w:val="008869A1"/>
    <w:rsid w:val="00886B3F"/>
    <w:rsid w:val="008872D8"/>
    <w:rsid w:val="008876D2"/>
    <w:rsid w:val="0089015D"/>
    <w:rsid w:val="0089021A"/>
    <w:rsid w:val="0089022E"/>
    <w:rsid w:val="00890475"/>
    <w:rsid w:val="00890A7C"/>
    <w:rsid w:val="00890D11"/>
    <w:rsid w:val="008910EE"/>
    <w:rsid w:val="00891A26"/>
    <w:rsid w:val="0089225F"/>
    <w:rsid w:val="008923F8"/>
    <w:rsid w:val="008928F1"/>
    <w:rsid w:val="00892BBF"/>
    <w:rsid w:val="00892DB5"/>
    <w:rsid w:val="008942BD"/>
    <w:rsid w:val="0089478A"/>
    <w:rsid w:val="0089480A"/>
    <w:rsid w:val="00894FE5"/>
    <w:rsid w:val="00895658"/>
    <w:rsid w:val="008956DA"/>
    <w:rsid w:val="00895BA9"/>
    <w:rsid w:val="00895D79"/>
    <w:rsid w:val="0089601B"/>
    <w:rsid w:val="0089655D"/>
    <w:rsid w:val="00896784"/>
    <w:rsid w:val="008974A1"/>
    <w:rsid w:val="00897824"/>
    <w:rsid w:val="008978C2"/>
    <w:rsid w:val="00897BCB"/>
    <w:rsid w:val="00897C07"/>
    <w:rsid w:val="00897DBA"/>
    <w:rsid w:val="008A02FA"/>
    <w:rsid w:val="008A06A8"/>
    <w:rsid w:val="008A1AAC"/>
    <w:rsid w:val="008A20CA"/>
    <w:rsid w:val="008A239B"/>
    <w:rsid w:val="008A2956"/>
    <w:rsid w:val="008A2EA1"/>
    <w:rsid w:val="008A2EF6"/>
    <w:rsid w:val="008A3480"/>
    <w:rsid w:val="008A4F3C"/>
    <w:rsid w:val="008A51AD"/>
    <w:rsid w:val="008A53BA"/>
    <w:rsid w:val="008A551D"/>
    <w:rsid w:val="008A56BA"/>
    <w:rsid w:val="008A570A"/>
    <w:rsid w:val="008A58E4"/>
    <w:rsid w:val="008A58E7"/>
    <w:rsid w:val="008A5C1D"/>
    <w:rsid w:val="008A5D40"/>
    <w:rsid w:val="008A5FC9"/>
    <w:rsid w:val="008A615A"/>
    <w:rsid w:val="008A650C"/>
    <w:rsid w:val="008A65C7"/>
    <w:rsid w:val="008A6A36"/>
    <w:rsid w:val="008A6CB9"/>
    <w:rsid w:val="008A6CD1"/>
    <w:rsid w:val="008A6DC1"/>
    <w:rsid w:val="008A6E89"/>
    <w:rsid w:val="008A7100"/>
    <w:rsid w:val="008A7139"/>
    <w:rsid w:val="008A776D"/>
    <w:rsid w:val="008A7C74"/>
    <w:rsid w:val="008B04C0"/>
    <w:rsid w:val="008B09E1"/>
    <w:rsid w:val="008B0A83"/>
    <w:rsid w:val="008B0E93"/>
    <w:rsid w:val="008B198D"/>
    <w:rsid w:val="008B23A8"/>
    <w:rsid w:val="008B29A4"/>
    <w:rsid w:val="008B2BB4"/>
    <w:rsid w:val="008B2C30"/>
    <w:rsid w:val="008B32FD"/>
    <w:rsid w:val="008B37A1"/>
    <w:rsid w:val="008B3C2B"/>
    <w:rsid w:val="008B45D4"/>
    <w:rsid w:val="008B4679"/>
    <w:rsid w:val="008B4D00"/>
    <w:rsid w:val="008B4D13"/>
    <w:rsid w:val="008B4E78"/>
    <w:rsid w:val="008B4FE2"/>
    <w:rsid w:val="008B6033"/>
    <w:rsid w:val="008B61A1"/>
    <w:rsid w:val="008B657C"/>
    <w:rsid w:val="008B66EE"/>
    <w:rsid w:val="008B6793"/>
    <w:rsid w:val="008B6E87"/>
    <w:rsid w:val="008B6EB2"/>
    <w:rsid w:val="008B75C2"/>
    <w:rsid w:val="008B787A"/>
    <w:rsid w:val="008C0A89"/>
    <w:rsid w:val="008C0E71"/>
    <w:rsid w:val="008C1852"/>
    <w:rsid w:val="008C2CFF"/>
    <w:rsid w:val="008C2E1E"/>
    <w:rsid w:val="008C2E1F"/>
    <w:rsid w:val="008C2E22"/>
    <w:rsid w:val="008C2ED2"/>
    <w:rsid w:val="008C2F62"/>
    <w:rsid w:val="008C3D4D"/>
    <w:rsid w:val="008C4026"/>
    <w:rsid w:val="008C417E"/>
    <w:rsid w:val="008C481A"/>
    <w:rsid w:val="008C5B51"/>
    <w:rsid w:val="008C5F0A"/>
    <w:rsid w:val="008C6105"/>
    <w:rsid w:val="008C6124"/>
    <w:rsid w:val="008C6334"/>
    <w:rsid w:val="008C66BD"/>
    <w:rsid w:val="008C6968"/>
    <w:rsid w:val="008C6C61"/>
    <w:rsid w:val="008C742A"/>
    <w:rsid w:val="008C74C7"/>
    <w:rsid w:val="008C7714"/>
    <w:rsid w:val="008C7F4F"/>
    <w:rsid w:val="008D00F3"/>
    <w:rsid w:val="008D0F27"/>
    <w:rsid w:val="008D0FDC"/>
    <w:rsid w:val="008D11F0"/>
    <w:rsid w:val="008D15A2"/>
    <w:rsid w:val="008D18CD"/>
    <w:rsid w:val="008D1F86"/>
    <w:rsid w:val="008D20E0"/>
    <w:rsid w:val="008D2B6E"/>
    <w:rsid w:val="008D2FE6"/>
    <w:rsid w:val="008D335C"/>
    <w:rsid w:val="008D35B7"/>
    <w:rsid w:val="008D4007"/>
    <w:rsid w:val="008D436A"/>
    <w:rsid w:val="008D4C72"/>
    <w:rsid w:val="008D5368"/>
    <w:rsid w:val="008D561B"/>
    <w:rsid w:val="008D582B"/>
    <w:rsid w:val="008D5CF9"/>
    <w:rsid w:val="008D5D0A"/>
    <w:rsid w:val="008D6794"/>
    <w:rsid w:val="008D7F65"/>
    <w:rsid w:val="008E0178"/>
    <w:rsid w:val="008E02F8"/>
    <w:rsid w:val="008E12AF"/>
    <w:rsid w:val="008E1DC9"/>
    <w:rsid w:val="008E211C"/>
    <w:rsid w:val="008E258E"/>
    <w:rsid w:val="008E2BB3"/>
    <w:rsid w:val="008E2BC5"/>
    <w:rsid w:val="008E2C79"/>
    <w:rsid w:val="008E2D7B"/>
    <w:rsid w:val="008E3176"/>
    <w:rsid w:val="008E3564"/>
    <w:rsid w:val="008E3A0B"/>
    <w:rsid w:val="008E3A90"/>
    <w:rsid w:val="008E3AAB"/>
    <w:rsid w:val="008E4043"/>
    <w:rsid w:val="008E4520"/>
    <w:rsid w:val="008E546C"/>
    <w:rsid w:val="008E54E8"/>
    <w:rsid w:val="008E5740"/>
    <w:rsid w:val="008E5868"/>
    <w:rsid w:val="008E5DC8"/>
    <w:rsid w:val="008E602B"/>
    <w:rsid w:val="008E6465"/>
    <w:rsid w:val="008E6C57"/>
    <w:rsid w:val="008E7082"/>
    <w:rsid w:val="008E72AF"/>
    <w:rsid w:val="008F0952"/>
    <w:rsid w:val="008F1154"/>
    <w:rsid w:val="008F1B84"/>
    <w:rsid w:val="008F1B9D"/>
    <w:rsid w:val="008F1DB6"/>
    <w:rsid w:val="008F39C0"/>
    <w:rsid w:val="008F3C05"/>
    <w:rsid w:val="008F57CD"/>
    <w:rsid w:val="008F5960"/>
    <w:rsid w:val="008F5CD0"/>
    <w:rsid w:val="008F629A"/>
    <w:rsid w:val="008F6A9B"/>
    <w:rsid w:val="008F6F03"/>
    <w:rsid w:val="008F7603"/>
    <w:rsid w:val="008F769D"/>
    <w:rsid w:val="008F76DC"/>
    <w:rsid w:val="008F7D2F"/>
    <w:rsid w:val="009013C5"/>
    <w:rsid w:val="0090147B"/>
    <w:rsid w:val="00901649"/>
    <w:rsid w:val="009017A7"/>
    <w:rsid w:val="00901CBA"/>
    <w:rsid w:val="00901DC6"/>
    <w:rsid w:val="009021DC"/>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D1C"/>
    <w:rsid w:val="00912F38"/>
    <w:rsid w:val="00913C58"/>
    <w:rsid w:val="009140B4"/>
    <w:rsid w:val="0091416D"/>
    <w:rsid w:val="00914174"/>
    <w:rsid w:val="0091428A"/>
    <w:rsid w:val="00914724"/>
    <w:rsid w:val="00914733"/>
    <w:rsid w:val="00914AA5"/>
    <w:rsid w:val="00914DFC"/>
    <w:rsid w:val="009157E9"/>
    <w:rsid w:val="009162DD"/>
    <w:rsid w:val="009162F2"/>
    <w:rsid w:val="009163E7"/>
    <w:rsid w:val="0091671A"/>
    <w:rsid w:val="009169F6"/>
    <w:rsid w:val="0091719D"/>
    <w:rsid w:val="00917903"/>
    <w:rsid w:val="00920189"/>
    <w:rsid w:val="0092073F"/>
    <w:rsid w:val="00920997"/>
    <w:rsid w:val="00920A4C"/>
    <w:rsid w:val="00920B1E"/>
    <w:rsid w:val="00920DD5"/>
    <w:rsid w:val="00921161"/>
    <w:rsid w:val="00922492"/>
    <w:rsid w:val="009224EB"/>
    <w:rsid w:val="009225B9"/>
    <w:rsid w:val="0092272F"/>
    <w:rsid w:val="00922B20"/>
    <w:rsid w:val="00922BE2"/>
    <w:rsid w:val="00922D9E"/>
    <w:rsid w:val="00922EDE"/>
    <w:rsid w:val="009237D9"/>
    <w:rsid w:val="0092406C"/>
    <w:rsid w:val="00924096"/>
    <w:rsid w:val="009243BC"/>
    <w:rsid w:val="009244D5"/>
    <w:rsid w:val="009252F1"/>
    <w:rsid w:val="00925588"/>
    <w:rsid w:val="00925AF5"/>
    <w:rsid w:val="00926268"/>
    <w:rsid w:val="009264A2"/>
    <w:rsid w:val="0092715D"/>
    <w:rsid w:val="00930632"/>
    <w:rsid w:val="009310BC"/>
    <w:rsid w:val="00931D3F"/>
    <w:rsid w:val="009324C4"/>
    <w:rsid w:val="00932671"/>
    <w:rsid w:val="00932A7A"/>
    <w:rsid w:val="009330BF"/>
    <w:rsid w:val="00933817"/>
    <w:rsid w:val="00934510"/>
    <w:rsid w:val="0093464D"/>
    <w:rsid w:val="0093476C"/>
    <w:rsid w:val="009354B0"/>
    <w:rsid w:val="00935A1E"/>
    <w:rsid w:val="00935AA3"/>
    <w:rsid w:val="00935B7C"/>
    <w:rsid w:val="00935E3A"/>
    <w:rsid w:val="00936005"/>
    <w:rsid w:val="0093607C"/>
    <w:rsid w:val="009363BB"/>
    <w:rsid w:val="00937973"/>
    <w:rsid w:val="00940008"/>
    <w:rsid w:val="009405BD"/>
    <w:rsid w:val="00940FFA"/>
    <w:rsid w:val="00941503"/>
    <w:rsid w:val="0094187D"/>
    <w:rsid w:val="009423ED"/>
    <w:rsid w:val="00942C90"/>
    <w:rsid w:val="00942F29"/>
    <w:rsid w:val="00942FB6"/>
    <w:rsid w:val="009434EB"/>
    <w:rsid w:val="00943EA6"/>
    <w:rsid w:val="009448F2"/>
    <w:rsid w:val="0094524B"/>
    <w:rsid w:val="009456E3"/>
    <w:rsid w:val="00945759"/>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C05"/>
    <w:rsid w:val="00952D52"/>
    <w:rsid w:val="009540B7"/>
    <w:rsid w:val="009543D0"/>
    <w:rsid w:val="009546E1"/>
    <w:rsid w:val="00954AF9"/>
    <w:rsid w:val="00954DAE"/>
    <w:rsid w:val="00955410"/>
    <w:rsid w:val="0095571A"/>
    <w:rsid w:val="009558EE"/>
    <w:rsid w:val="009559D5"/>
    <w:rsid w:val="00955C17"/>
    <w:rsid w:val="00955FFA"/>
    <w:rsid w:val="00956170"/>
    <w:rsid w:val="00956BA1"/>
    <w:rsid w:val="00956D42"/>
    <w:rsid w:val="00956E83"/>
    <w:rsid w:val="00956F0F"/>
    <w:rsid w:val="0095727F"/>
    <w:rsid w:val="009572AF"/>
    <w:rsid w:val="00957E41"/>
    <w:rsid w:val="00960117"/>
    <w:rsid w:val="0096023A"/>
    <w:rsid w:val="009607AB"/>
    <w:rsid w:val="009615DB"/>
    <w:rsid w:val="00962683"/>
    <w:rsid w:val="00962E23"/>
    <w:rsid w:val="00962F0C"/>
    <w:rsid w:val="0096487C"/>
    <w:rsid w:val="00964BC2"/>
    <w:rsid w:val="00964D4A"/>
    <w:rsid w:val="00964EAE"/>
    <w:rsid w:val="00965023"/>
    <w:rsid w:val="009650B7"/>
    <w:rsid w:val="0096514A"/>
    <w:rsid w:val="0096515D"/>
    <w:rsid w:val="009651AA"/>
    <w:rsid w:val="00965841"/>
    <w:rsid w:val="00966623"/>
    <w:rsid w:val="009678DB"/>
    <w:rsid w:val="0097019D"/>
    <w:rsid w:val="00970728"/>
    <w:rsid w:val="009707C9"/>
    <w:rsid w:val="00970C27"/>
    <w:rsid w:val="00971A59"/>
    <w:rsid w:val="00971E0B"/>
    <w:rsid w:val="00972101"/>
    <w:rsid w:val="00972FB5"/>
    <w:rsid w:val="009736FE"/>
    <w:rsid w:val="00973B96"/>
    <w:rsid w:val="00973E3C"/>
    <w:rsid w:val="00974763"/>
    <w:rsid w:val="009757CA"/>
    <w:rsid w:val="00975B43"/>
    <w:rsid w:val="00976D25"/>
    <w:rsid w:val="00976E76"/>
    <w:rsid w:val="00977A14"/>
    <w:rsid w:val="00977E9B"/>
    <w:rsid w:val="009807BF"/>
    <w:rsid w:val="009809CE"/>
    <w:rsid w:val="0098131F"/>
    <w:rsid w:val="00981479"/>
    <w:rsid w:val="00981F74"/>
    <w:rsid w:val="009829B3"/>
    <w:rsid w:val="00982C31"/>
    <w:rsid w:val="00982D45"/>
    <w:rsid w:val="00983165"/>
    <w:rsid w:val="00983343"/>
    <w:rsid w:val="009833C4"/>
    <w:rsid w:val="009834E0"/>
    <w:rsid w:val="009838FF"/>
    <w:rsid w:val="00984149"/>
    <w:rsid w:val="00984788"/>
    <w:rsid w:val="00984909"/>
    <w:rsid w:val="00984FF3"/>
    <w:rsid w:val="00984FF9"/>
    <w:rsid w:val="009850C5"/>
    <w:rsid w:val="009859E2"/>
    <w:rsid w:val="00985F63"/>
    <w:rsid w:val="00986326"/>
    <w:rsid w:val="00986849"/>
    <w:rsid w:val="00986BB7"/>
    <w:rsid w:val="00986D4B"/>
    <w:rsid w:val="00986F6D"/>
    <w:rsid w:val="0098727C"/>
    <w:rsid w:val="00987708"/>
    <w:rsid w:val="00987DF0"/>
    <w:rsid w:val="00987E2E"/>
    <w:rsid w:val="0099008B"/>
    <w:rsid w:val="009903FF"/>
    <w:rsid w:val="00990D48"/>
    <w:rsid w:val="0099177B"/>
    <w:rsid w:val="00991B8C"/>
    <w:rsid w:val="00991F48"/>
    <w:rsid w:val="0099367E"/>
    <w:rsid w:val="00993FE4"/>
    <w:rsid w:val="0099425E"/>
    <w:rsid w:val="00994CDC"/>
    <w:rsid w:val="0099598C"/>
    <w:rsid w:val="009969CD"/>
    <w:rsid w:val="0099770A"/>
    <w:rsid w:val="00997769"/>
    <w:rsid w:val="00997A2E"/>
    <w:rsid w:val="009A048E"/>
    <w:rsid w:val="009A119F"/>
    <w:rsid w:val="009A1609"/>
    <w:rsid w:val="009A16A3"/>
    <w:rsid w:val="009A1A7E"/>
    <w:rsid w:val="009A22E1"/>
    <w:rsid w:val="009A3480"/>
    <w:rsid w:val="009A364D"/>
    <w:rsid w:val="009A3DB8"/>
    <w:rsid w:val="009A43B3"/>
    <w:rsid w:val="009A4575"/>
    <w:rsid w:val="009A464D"/>
    <w:rsid w:val="009A48AF"/>
    <w:rsid w:val="009A496F"/>
    <w:rsid w:val="009A4B78"/>
    <w:rsid w:val="009A4D73"/>
    <w:rsid w:val="009A4E41"/>
    <w:rsid w:val="009A5297"/>
    <w:rsid w:val="009A5851"/>
    <w:rsid w:val="009A5D40"/>
    <w:rsid w:val="009A5E10"/>
    <w:rsid w:val="009A632E"/>
    <w:rsid w:val="009A6665"/>
    <w:rsid w:val="009A743F"/>
    <w:rsid w:val="009A74F7"/>
    <w:rsid w:val="009B00F2"/>
    <w:rsid w:val="009B0FB2"/>
    <w:rsid w:val="009B1113"/>
    <w:rsid w:val="009B1AA9"/>
    <w:rsid w:val="009B1C34"/>
    <w:rsid w:val="009B1D22"/>
    <w:rsid w:val="009B1E86"/>
    <w:rsid w:val="009B27C4"/>
    <w:rsid w:val="009B2D92"/>
    <w:rsid w:val="009B31DE"/>
    <w:rsid w:val="009B3250"/>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6B6"/>
    <w:rsid w:val="009C5A4E"/>
    <w:rsid w:val="009C5EE5"/>
    <w:rsid w:val="009C61E3"/>
    <w:rsid w:val="009C6A0B"/>
    <w:rsid w:val="009C6B56"/>
    <w:rsid w:val="009C6C15"/>
    <w:rsid w:val="009C6E66"/>
    <w:rsid w:val="009C77C2"/>
    <w:rsid w:val="009C7DB8"/>
    <w:rsid w:val="009C7FF0"/>
    <w:rsid w:val="009D010D"/>
    <w:rsid w:val="009D0244"/>
    <w:rsid w:val="009D0748"/>
    <w:rsid w:val="009D0F71"/>
    <w:rsid w:val="009D111C"/>
    <w:rsid w:val="009D17A0"/>
    <w:rsid w:val="009D1F7A"/>
    <w:rsid w:val="009D2873"/>
    <w:rsid w:val="009D2942"/>
    <w:rsid w:val="009D3A1A"/>
    <w:rsid w:val="009D426A"/>
    <w:rsid w:val="009D5BDB"/>
    <w:rsid w:val="009D6B03"/>
    <w:rsid w:val="009D6B3D"/>
    <w:rsid w:val="009D7422"/>
    <w:rsid w:val="009D78E7"/>
    <w:rsid w:val="009D793C"/>
    <w:rsid w:val="009E0358"/>
    <w:rsid w:val="009E0742"/>
    <w:rsid w:val="009E1291"/>
    <w:rsid w:val="009E12BC"/>
    <w:rsid w:val="009E224D"/>
    <w:rsid w:val="009E26D5"/>
    <w:rsid w:val="009E2A07"/>
    <w:rsid w:val="009E2CD4"/>
    <w:rsid w:val="009E31D8"/>
    <w:rsid w:val="009E3398"/>
    <w:rsid w:val="009E3577"/>
    <w:rsid w:val="009E3D2B"/>
    <w:rsid w:val="009E3E84"/>
    <w:rsid w:val="009E4097"/>
    <w:rsid w:val="009E4664"/>
    <w:rsid w:val="009E4D8E"/>
    <w:rsid w:val="009E4E90"/>
    <w:rsid w:val="009E4EB7"/>
    <w:rsid w:val="009E57C1"/>
    <w:rsid w:val="009E624A"/>
    <w:rsid w:val="009E6B32"/>
    <w:rsid w:val="009E70F3"/>
    <w:rsid w:val="009E7293"/>
    <w:rsid w:val="009E7C39"/>
    <w:rsid w:val="009E7E98"/>
    <w:rsid w:val="009F00EE"/>
    <w:rsid w:val="009F0247"/>
    <w:rsid w:val="009F0827"/>
    <w:rsid w:val="009F0BED"/>
    <w:rsid w:val="009F1673"/>
    <w:rsid w:val="009F3255"/>
    <w:rsid w:val="009F34AA"/>
    <w:rsid w:val="009F3DCE"/>
    <w:rsid w:val="009F44FF"/>
    <w:rsid w:val="009F46E8"/>
    <w:rsid w:val="009F472D"/>
    <w:rsid w:val="009F4CF0"/>
    <w:rsid w:val="009F4E88"/>
    <w:rsid w:val="009F50D1"/>
    <w:rsid w:val="009F573B"/>
    <w:rsid w:val="009F5918"/>
    <w:rsid w:val="009F596D"/>
    <w:rsid w:val="009F59B1"/>
    <w:rsid w:val="009F6A91"/>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A0A"/>
    <w:rsid w:val="00A050A8"/>
    <w:rsid w:val="00A056A3"/>
    <w:rsid w:val="00A05B51"/>
    <w:rsid w:val="00A06286"/>
    <w:rsid w:val="00A06318"/>
    <w:rsid w:val="00A063BC"/>
    <w:rsid w:val="00A068E1"/>
    <w:rsid w:val="00A06A80"/>
    <w:rsid w:val="00A06D8A"/>
    <w:rsid w:val="00A0711F"/>
    <w:rsid w:val="00A07B0B"/>
    <w:rsid w:val="00A102A0"/>
    <w:rsid w:val="00A10860"/>
    <w:rsid w:val="00A114FA"/>
    <w:rsid w:val="00A11AF3"/>
    <w:rsid w:val="00A12C09"/>
    <w:rsid w:val="00A13084"/>
    <w:rsid w:val="00A1327F"/>
    <w:rsid w:val="00A13817"/>
    <w:rsid w:val="00A138D3"/>
    <w:rsid w:val="00A13E0F"/>
    <w:rsid w:val="00A144B7"/>
    <w:rsid w:val="00A149B4"/>
    <w:rsid w:val="00A15F4F"/>
    <w:rsid w:val="00A160AB"/>
    <w:rsid w:val="00A16745"/>
    <w:rsid w:val="00A16747"/>
    <w:rsid w:val="00A16D79"/>
    <w:rsid w:val="00A16FC7"/>
    <w:rsid w:val="00A17E93"/>
    <w:rsid w:val="00A20013"/>
    <w:rsid w:val="00A20582"/>
    <w:rsid w:val="00A20711"/>
    <w:rsid w:val="00A20C65"/>
    <w:rsid w:val="00A21293"/>
    <w:rsid w:val="00A21767"/>
    <w:rsid w:val="00A21FD5"/>
    <w:rsid w:val="00A22751"/>
    <w:rsid w:val="00A22940"/>
    <w:rsid w:val="00A23102"/>
    <w:rsid w:val="00A2343F"/>
    <w:rsid w:val="00A23505"/>
    <w:rsid w:val="00A24072"/>
    <w:rsid w:val="00A2428B"/>
    <w:rsid w:val="00A247E5"/>
    <w:rsid w:val="00A248BD"/>
    <w:rsid w:val="00A24D81"/>
    <w:rsid w:val="00A24EA5"/>
    <w:rsid w:val="00A25173"/>
    <w:rsid w:val="00A252F0"/>
    <w:rsid w:val="00A259F2"/>
    <w:rsid w:val="00A26463"/>
    <w:rsid w:val="00A2660E"/>
    <w:rsid w:val="00A26916"/>
    <w:rsid w:val="00A26B47"/>
    <w:rsid w:val="00A26FF1"/>
    <w:rsid w:val="00A27806"/>
    <w:rsid w:val="00A27EEB"/>
    <w:rsid w:val="00A3068C"/>
    <w:rsid w:val="00A3127F"/>
    <w:rsid w:val="00A31922"/>
    <w:rsid w:val="00A31B36"/>
    <w:rsid w:val="00A31BCC"/>
    <w:rsid w:val="00A31C70"/>
    <w:rsid w:val="00A325BB"/>
    <w:rsid w:val="00A3297A"/>
    <w:rsid w:val="00A32A58"/>
    <w:rsid w:val="00A32EEC"/>
    <w:rsid w:val="00A336C5"/>
    <w:rsid w:val="00A3510A"/>
    <w:rsid w:val="00A3515F"/>
    <w:rsid w:val="00A35751"/>
    <w:rsid w:val="00A3577F"/>
    <w:rsid w:val="00A35BBC"/>
    <w:rsid w:val="00A35DAB"/>
    <w:rsid w:val="00A36724"/>
    <w:rsid w:val="00A367AF"/>
    <w:rsid w:val="00A36C13"/>
    <w:rsid w:val="00A36E61"/>
    <w:rsid w:val="00A377C2"/>
    <w:rsid w:val="00A37A31"/>
    <w:rsid w:val="00A40B1F"/>
    <w:rsid w:val="00A40B4D"/>
    <w:rsid w:val="00A411E2"/>
    <w:rsid w:val="00A41373"/>
    <w:rsid w:val="00A41638"/>
    <w:rsid w:val="00A41B15"/>
    <w:rsid w:val="00A4224E"/>
    <w:rsid w:val="00A4229F"/>
    <w:rsid w:val="00A428A9"/>
    <w:rsid w:val="00A42ACA"/>
    <w:rsid w:val="00A430EB"/>
    <w:rsid w:val="00A43AAB"/>
    <w:rsid w:val="00A43AFE"/>
    <w:rsid w:val="00A447E3"/>
    <w:rsid w:val="00A44AAD"/>
    <w:rsid w:val="00A44D3B"/>
    <w:rsid w:val="00A45280"/>
    <w:rsid w:val="00A45BF7"/>
    <w:rsid w:val="00A463B5"/>
    <w:rsid w:val="00A463BA"/>
    <w:rsid w:val="00A46675"/>
    <w:rsid w:val="00A46D08"/>
    <w:rsid w:val="00A47060"/>
    <w:rsid w:val="00A471A3"/>
    <w:rsid w:val="00A47597"/>
    <w:rsid w:val="00A47A83"/>
    <w:rsid w:val="00A47E44"/>
    <w:rsid w:val="00A47F91"/>
    <w:rsid w:val="00A507D7"/>
    <w:rsid w:val="00A50980"/>
    <w:rsid w:val="00A50A5C"/>
    <w:rsid w:val="00A50BE2"/>
    <w:rsid w:val="00A50CC6"/>
    <w:rsid w:val="00A50E40"/>
    <w:rsid w:val="00A51462"/>
    <w:rsid w:val="00A51741"/>
    <w:rsid w:val="00A51946"/>
    <w:rsid w:val="00A51FA9"/>
    <w:rsid w:val="00A51FF7"/>
    <w:rsid w:val="00A52079"/>
    <w:rsid w:val="00A52143"/>
    <w:rsid w:val="00A521E9"/>
    <w:rsid w:val="00A5298E"/>
    <w:rsid w:val="00A52B3E"/>
    <w:rsid w:val="00A5313B"/>
    <w:rsid w:val="00A5320E"/>
    <w:rsid w:val="00A536DC"/>
    <w:rsid w:val="00A53F7B"/>
    <w:rsid w:val="00A54090"/>
    <w:rsid w:val="00A54282"/>
    <w:rsid w:val="00A549D3"/>
    <w:rsid w:val="00A54DF0"/>
    <w:rsid w:val="00A55351"/>
    <w:rsid w:val="00A57E98"/>
    <w:rsid w:val="00A60849"/>
    <w:rsid w:val="00A6105B"/>
    <w:rsid w:val="00A61355"/>
    <w:rsid w:val="00A61668"/>
    <w:rsid w:val="00A621D3"/>
    <w:rsid w:val="00A628F8"/>
    <w:rsid w:val="00A62B7A"/>
    <w:rsid w:val="00A632EA"/>
    <w:rsid w:val="00A634BE"/>
    <w:rsid w:val="00A63AD7"/>
    <w:rsid w:val="00A63B43"/>
    <w:rsid w:val="00A63BFD"/>
    <w:rsid w:val="00A6491F"/>
    <w:rsid w:val="00A64C72"/>
    <w:rsid w:val="00A64D1A"/>
    <w:rsid w:val="00A65320"/>
    <w:rsid w:val="00A65BA5"/>
    <w:rsid w:val="00A66354"/>
    <w:rsid w:val="00A66E37"/>
    <w:rsid w:val="00A66ECF"/>
    <w:rsid w:val="00A67E38"/>
    <w:rsid w:val="00A703E4"/>
    <w:rsid w:val="00A70406"/>
    <w:rsid w:val="00A70461"/>
    <w:rsid w:val="00A704C9"/>
    <w:rsid w:val="00A70B2B"/>
    <w:rsid w:val="00A70DC6"/>
    <w:rsid w:val="00A71080"/>
    <w:rsid w:val="00A71986"/>
    <w:rsid w:val="00A71E73"/>
    <w:rsid w:val="00A72740"/>
    <w:rsid w:val="00A733B9"/>
    <w:rsid w:val="00A73A64"/>
    <w:rsid w:val="00A742AD"/>
    <w:rsid w:val="00A746D7"/>
    <w:rsid w:val="00A74AB2"/>
    <w:rsid w:val="00A74B19"/>
    <w:rsid w:val="00A75A27"/>
    <w:rsid w:val="00A75A46"/>
    <w:rsid w:val="00A75B36"/>
    <w:rsid w:val="00A7663A"/>
    <w:rsid w:val="00A7696B"/>
    <w:rsid w:val="00A769D4"/>
    <w:rsid w:val="00A76DB9"/>
    <w:rsid w:val="00A804C7"/>
    <w:rsid w:val="00A80857"/>
    <w:rsid w:val="00A80A39"/>
    <w:rsid w:val="00A80DF0"/>
    <w:rsid w:val="00A80E64"/>
    <w:rsid w:val="00A81A16"/>
    <w:rsid w:val="00A823A7"/>
    <w:rsid w:val="00A825C8"/>
    <w:rsid w:val="00A82742"/>
    <w:rsid w:val="00A837D9"/>
    <w:rsid w:val="00A83984"/>
    <w:rsid w:val="00A839EF"/>
    <w:rsid w:val="00A83A1E"/>
    <w:rsid w:val="00A84198"/>
    <w:rsid w:val="00A841AB"/>
    <w:rsid w:val="00A84FFD"/>
    <w:rsid w:val="00A86104"/>
    <w:rsid w:val="00A8655A"/>
    <w:rsid w:val="00A87203"/>
    <w:rsid w:val="00A87744"/>
    <w:rsid w:val="00A87AE6"/>
    <w:rsid w:val="00A87B09"/>
    <w:rsid w:val="00A87C22"/>
    <w:rsid w:val="00A90590"/>
    <w:rsid w:val="00A90811"/>
    <w:rsid w:val="00A90A97"/>
    <w:rsid w:val="00A90CB4"/>
    <w:rsid w:val="00A910DA"/>
    <w:rsid w:val="00A920E1"/>
    <w:rsid w:val="00A92291"/>
    <w:rsid w:val="00A933AE"/>
    <w:rsid w:val="00A93863"/>
    <w:rsid w:val="00A9415E"/>
    <w:rsid w:val="00A9423F"/>
    <w:rsid w:val="00A94EBD"/>
    <w:rsid w:val="00A9510D"/>
    <w:rsid w:val="00A956AC"/>
    <w:rsid w:val="00A95D2A"/>
    <w:rsid w:val="00A96214"/>
    <w:rsid w:val="00A967E8"/>
    <w:rsid w:val="00A96A01"/>
    <w:rsid w:val="00A97F4B"/>
    <w:rsid w:val="00AA04C5"/>
    <w:rsid w:val="00AA10B1"/>
    <w:rsid w:val="00AA2803"/>
    <w:rsid w:val="00AA2BF2"/>
    <w:rsid w:val="00AA2D68"/>
    <w:rsid w:val="00AA2D6F"/>
    <w:rsid w:val="00AA3657"/>
    <w:rsid w:val="00AA3987"/>
    <w:rsid w:val="00AA3B68"/>
    <w:rsid w:val="00AA3D14"/>
    <w:rsid w:val="00AA3E79"/>
    <w:rsid w:val="00AA4FB4"/>
    <w:rsid w:val="00AA5C0B"/>
    <w:rsid w:val="00AA5E3B"/>
    <w:rsid w:val="00AA63AD"/>
    <w:rsid w:val="00AA63B8"/>
    <w:rsid w:val="00AA65B4"/>
    <w:rsid w:val="00AA745E"/>
    <w:rsid w:val="00AB04AB"/>
    <w:rsid w:val="00AB0733"/>
    <w:rsid w:val="00AB09D2"/>
    <w:rsid w:val="00AB0B64"/>
    <w:rsid w:val="00AB0C30"/>
    <w:rsid w:val="00AB0CBE"/>
    <w:rsid w:val="00AB176B"/>
    <w:rsid w:val="00AB37E6"/>
    <w:rsid w:val="00AB3DBA"/>
    <w:rsid w:val="00AB431C"/>
    <w:rsid w:val="00AB470E"/>
    <w:rsid w:val="00AB5150"/>
    <w:rsid w:val="00AB5A7E"/>
    <w:rsid w:val="00AB6814"/>
    <w:rsid w:val="00AB7538"/>
    <w:rsid w:val="00AB77F3"/>
    <w:rsid w:val="00AB7CD3"/>
    <w:rsid w:val="00AC0256"/>
    <w:rsid w:val="00AC0818"/>
    <w:rsid w:val="00AC0AAD"/>
    <w:rsid w:val="00AC1231"/>
    <w:rsid w:val="00AC1254"/>
    <w:rsid w:val="00AC1992"/>
    <w:rsid w:val="00AC1E14"/>
    <w:rsid w:val="00AC2CFA"/>
    <w:rsid w:val="00AC2D99"/>
    <w:rsid w:val="00AC3263"/>
    <w:rsid w:val="00AC3C0B"/>
    <w:rsid w:val="00AC3E12"/>
    <w:rsid w:val="00AC406E"/>
    <w:rsid w:val="00AC430C"/>
    <w:rsid w:val="00AC4A6B"/>
    <w:rsid w:val="00AC54AF"/>
    <w:rsid w:val="00AC5C19"/>
    <w:rsid w:val="00AC60F0"/>
    <w:rsid w:val="00AC6458"/>
    <w:rsid w:val="00AC6657"/>
    <w:rsid w:val="00AC6D7A"/>
    <w:rsid w:val="00AC7363"/>
    <w:rsid w:val="00AC7401"/>
    <w:rsid w:val="00AC7789"/>
    <w:rsid w:val="00AC7901"/>
    <w:rsid w:val="00AC79F3"/>
    <w:rsid w:val="00AC7FDD"/>
    <w:rsid w:val="00AD08A5"/>
    <w:rsid w:val="00AD0949"/>
    <w:rsid w:val="00AD0F1D"/>
    <w:rsid w:val="00AD1179"/>
    <w:rsid w:val="00AD1359"/>
    <w:rsid w:val="00AD19F0"/>
    <w:rsid w:val="00AD1FCE"/>
    <w:rsid w:val="00AD26E1"/>
    <w:rsid w:val="00AD29CC"/>
    <w:rsid w:val="00AD322F"/>
    <w:rsid w:val="00AD3268"/>
    <w:rsid w:val="00AD3DE2"/>
    <w:rsid w:val="00AD3E46"/>
    <w:rsid w:val="00AD4261"/>
    <w:rsid w:val="00AD46F5"/>
    <w:rsid w:val="00AD51A3"/>
    <w:rsid w:val="00AD598B"/>
    <w:rsid w:val="00AD6C9B"/>
    <w:rsid w:val="00AD7154"/>
    <w:rsid w:val="00AD797D"/>
    <w:rsid w:val="00AD7A78"/>
    <w:rsid w:val="00AD7E02"/>
    <w:rsid w:val="00AE0483"/>
    <w:rsid w:val="00AE080A"/>
    <w:rsid w:val="00AE08DD"/>
    <w:rsid w:val="00AE123E"/>
    <w:rsid w:val="00AE13BD"/>
    <w:rsid w:val="00AE140D"/>
    <w:rsid w:val="00AE19F6"/>
    <w:rsid w:val="00AE1AF9"/>
    <w:rsid w:val="00AE1E60"/>
    <w:rsid w:val="00AE2068"/>
    <w:rsid w:val="00AE2258"/>
    <w:rsid w:val="00AE277E"/>
    <w:rsid w:val="00AE2A36"/>
    <w:rsid w:val="00AE2BC6"/>
    <w:rsid w:val="00AE2F18"/>
    <w:rsid w:val="00AE3251"/>
    <w:rsid w:val="00AE3FE0"/>
    <w:rsid w:val="00AE5058"/>
    <w:rsid w:val="00AE51CD"/>
    <w:rsid w:val="00AE5471"/>
    <w:rsid w:val="00AE54AA"/>
    <w:rsid w:val="00AE60E4"/>
    <w:rsid w:val="00AE6872"/>
    <w:rsid w:val="00AE6C58"/>
    <w:rsid w:val="00AE72C4"/>
    <w:rsid w:val="00AE7F05"/>
    <w:rsid w:val="00AE7F38"/>
    <w:rsid w:val="00AF026A"/>
    <w:rsid w:val="00AF054D"/>
    <w:rsid w:val="00AF0939"/>
    <w:rsid w:val="00AF24E7"/>
    <w:rsid w:val="00AF272B"/>
    <w:rsid w:val="00AF291B"/>
    <w:rsid w:val="00AF2DAA"/>
    <w:rsid w:val="00AF2EBD"/>
    <w:rsid w:val="00AF33AE"/>
    <w:rsid w:val="00AF37F6"/>
    <w:rsid w:val="00AF3CD8"/>
    <w:rsid w:val="00AF44B1"/>
    <w:rsid w:val="00AF4EE0"/>
    <w:rsid w:val="00AF5800"/>
    <w:rsid w:val="00AF6986"/>
    <w:rsid w:val="00AF69FE"/>
    <w:rsid w:val="00AF6D1B"/>
    <w:rsid w:val="00AF73ED"/>
    <w:rsid w:val="00AF7D69"/>
    <w:rsid w:val="00AF7ED2"/>
    <w:rsid w:val="00B004D8"/>
    <w:rsid w:val="00B00830"/>
    <w:rsid w:val="00B00CC5"/>
    <w:rsid w:val="00B016D2"/>
    <w:rsid w:val="00B02091"/>
    <w:rsid w:val="00B02B43"/>
    <w:rsid w:val="00B03A66"/>
    <w:rsid w:val="00B03D36"/>
    <w:rsid w:val="00B04540"/>
    <w:rsid w:val="00B046CE"/>
    <w:rsid w:val="00B0477B"/>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529"/>
    <w:rsid w:val="00B128C5"/>
    <w:rsid w:val="00B12B11"/>
    <w:rsid w:val="00B12C94"/>
    <w:rsid w:val="00B135AB"/>
    <w:rsid w:val="00B137BF"/>
    <w:rsid w:val="00B13A1B"/>
    <w:rsid w:val="00B13A76"/>
    <w:rsid w:val="00B13B7E"/>
    <w:rsid w:val="00B142D9"/>
    <w:rsid w:val="00B14BC4"/>
    <w:rsid w:val="00B14BD8"/>
    <w:rsid w:val="00B14C1C"/>
    <w:rsid w:val="00B155DE"/>
    <w:rsid w:val="00B158A3"/>
    <w:rsid w:val="00B15B25"/>
    <w:rsid w:val="00B15C36"/>
    <w:rsid w:val="00B15EA0"/>
    <w:rsid w:val="00B17A4E"/>
    <w:rsid w:val="00B17B30"/>
    <w:rsid w:val="00B17C2F"/>
    <w:rsid w:val="00B2153E"/>
    <w:rsid w:val="00B21FA7"/>
    <w:rsid w:val="00B22022"/>
    <w:rsid w:val="00B225E4"/>
    <w:rsid w:val="00B23F7A"/>
    <w:rsid w:val="00B240B1"/>
    <w:rsid w:val="00B24208"/>
    <w:rsid w:val="00B24728"/>
    <w:rsid w:val="00B248A9"/>
    <w:rsid w:val="00B24D28"/>
    <w:rsid w:val="00B24F1C"/>
    <w:rsid w:val="00B25D76"/>
    <w:rsid w:val="00B27032"/>
    <w:rsid w:val="00B30003"/>
    <w:rsid w:val="00B31201"/>
    <w:rsid w:val="00B31B4B"/>
    <w:rsid w:val="00B31E36"/>
    <w:rsid w:val="00B32E26"/>
    <w:rsid w:val="00B338B7"/>
    <w:rsid w:val="00B34061"/>
    <w:rsid w:val="00B34376"/>
    <w:rsid w:val="00B3440A"/>
    <w:rsid w:val="00B34441"/>
    <w:rsid w:val="00B35534"/>
    <w:rsid w:val="00B35A87"/>
    <w:rsid w:val="00B35AFD"/>
    <w:rsid w:val="00B35F9A"/>
    <w:rsid w:val="00B36236"/>
    <w:rsid w:val="00B3662E"/>
    <w:rsid w:val="00B366D2"/>
    <w:rsid w:val="00B366FA"/>
    <w:rsid w:val="00B36E86"/>
    <w:rsid w:val="00B379BA"/>
    <w:rsid w:val="00B412FD"/>
    <w:rsid w:val="00B422BE"/>
    <w:rsid w:val="00B4241D"/>
    <w:rsid w:val="00B426BB"/>
    <w:rsid w:val="00B42EB9"/>
    <w:rsid w:val="00B441FE"/>
    <w:rsid w:val="00B44821"/>
    <w:rsid w:val="00B44AD3"/>
    <w:rsid w:val="00B45152"/>
    <w:rsid w:val="00B45E54"/>
    <w:rsid w:val="00B464E4"/>
    <w:rsid w:val="00B4689A"/>
    <w:rsid w:val="00B46D5F"/>
    <w:rsid w:val="00B46E7B"/>
    <w:rsid w:val="00B479A9"/>
    <w:rsid w:val="00B47DC5"/>
    <w:rsid w:val="00B505B3"/>
    <w:rsid w:val="00B50882"/>
    <w:rsid w:val="00B50A74"/>
    <w:rsid w:val="00B520A0"/>
    <w:rsid w:val="00B5257E"/>
    <w:rsid w:val="00B525CE"/>
    <w:rsid w:val="00B52CFD"/>
    <w:rsid w:val="00B53353"/>
    <w:rsid w:val="00B545A8"/>
    <w:rsid w:val="00B56527"/>
    <w:rsid w:val="00B567AB"/>
    <w:rsid w:val="00B573DE"/>
    <w:rsid w:val="00B575E7"/>
    <w:rsid w:val="00B576DA"/>
    <w:rsid w:val="00B57710"/>
    <w:rsid w:val="00B601C9"/>
    <w:rsid w:val="00B60D04"/>
    <w:rsid w:val="00B61EE8"/>
    <w:rsid w:val="00B633A3"/>
    <w:rsid w:val="00B63533"/>
    <w:rsid w:val="00B635AF"/>
    <w:rsid w:val="00B63BDB"/>
    <w:rsid w:val="00B64A0E"/>
    <w:rsid w:val="00B64DDF"/>
    <w:rsid w:val="00B65947"/>
    <w:rsid w:val="00B6601E"/>
    <w:rsid w:val="00B663AA"/>
    <w:rsid w:val="00B66DD5"/>
    <w:rsid w:val="00B67722"/>
    <w:rsid w:val="00B67B97"/>
    <w:rsid w:val="00B67F01"/>
    <w:rsid w:val="00B70A84"/>
    <w:rsid w:val="00B711AB"/>
    <w:rsid w:val="00B714F0"/>
    <w:rsid w:val="00B71A40"/>
    <w:rsid w:val="00B71C8C"/>
    <w:rsid w:val="00B71CB4"/>
    <w:rsid w:val="00B71F65"/>
    <w:rsid w:val="00B71FD7"/>
    <w:rsid w:val="00B7237E"/>
    <w:rsid w:val="00B72496"/>
    <w:rsid w:val="00B725E7"/>
    <w:rsid w:val="00B72C07"/>
    <w:rsid w:val="00B72DF7"/>
    <w:rsid w:val="00B72F42"/>
    <w:rsid w:val="00B73E44"/>
    <w:rsid w:val="00B74290"/>
    <w:rsid w:val="00B74510"/>
    <w:rsid w:val="00B74BD4"/>
    <w:rsid w:val="00B74BF7"/>
    <w:rsid w:val="00B75B54"/>
    <w:rsid w:val="00B76185"/>
    <w:rsid w:val="00B76BCD"/>
    <w:rsid w:val="00B779E6"/>
    <w:rsid w:val="00B804E2"/>
    <w:rsid w:val="00B811B2"/>
    <w:rsid w:val="00B8276E"/>
    <w:rsid w:val="00B83A62"/>
    <w:rsid w:val="00B83B59"/>
    <w:rsid w:val="00B84252"/>
    <w:rsid w:val="00B8468F"/>
    <w:rsid w:val="00B846CB"/>
    <w:rsid w:val="00B84FC6"/>
    <w:rsid w:val="00B857F5"/>
    <w:rsid w:val="00B86D6C"/>
    <w:rsid w:val="00B86F47"/>
    <w:rsid w:val="00B874B4"/>
    <w:rsid w:val="00B8787A"/>
    <w:rsid w:val="00B87887"/>
    <w:rsid w:val="00B90123"/>
    <w:rsid w:val="00B90196"/>
    <w:rsid w:val="00B911C1"/>
    <w:rsid w:val="00B922C3"/>
    <w:rsid w:val="00B9272E"/>
    <w:rsid w:val="00B927A7"/>
    <w:rsid w:val="00B92B9E"/>
    <w:rsid w:val="00B93315"/>
    <w:rsid w:val="00B93519"/>
    <w:rsid w:val="00B9372A"/>
    <w:rsid w:val="00B9425C"/>
    <w:rsid w:val="00B94AAF"/>
    <w:rsid w:val="00B950E4"/>
    <w:rsid w:val="00B953FF"/>
    <w:rsid w:val="00B9622D"/>
    <w:rsid w:val="00B96263"/>
    <w:rsid w:val="00B968A5"/>
    <w:rsid w:val="00B972CD"/>
    <w:rsid w:val="00B97D02"/>
    <w:rsid w:val="00BA0304"/>
    <w:rsid w:val="00BA0557"/>
    <w:rsid w:val="00BA1465"/>
    <w:rsid w:val="00BA1640"/>
    <w:rsid w:val="00BA1B80"/>
    <w:rsid w:val="00BA3038"/>
    <w:rsid w:val="00BA370A"/>
    <w:rsid w:val="00BA3E70"/>
    <w:rsid w:val="00BA48BC"/>
    <w:rsid w:val="00BA4A29"/>
    <w:rsid w:val="00BA4BE7"/>
    <w:rsid w:val="00BA50AE"/>
    <w:rsid w:val="00BA5F20"/>
    <w:rsid w:val="00BA68D9"/>
    <w:rsid w:val="00BA7172"/>
    <w:rsid w:val="00BA7B01"/>
    <w:rsid w:val="00BB02D7"/>
    <w:rsid w:val="00BB0D9F"/>
    <w:rsid w:val="00BB0DEE"/>
    <w:rsid w:val="00BB1031"/>
    <w:rsid w:val="00BB1B33"/>
    <w:rsid w:val="00BB2480"/>
    <w:rsid w:val="00BB27FB"/>
    <w:rsid w:val="00BB2C4E"/>
    <w:rsid w:val="00BB2E29"/>
    <w:rsid w:val="00BB2F74"/>
    <w:rsid w:val="00BB3206"/>
    <w:rsid w:val="00BB32C2"/>
    <w:rsid w:val="00BB3B0D"/>
    <w:rsid w:val="00BB45DD"/>
    <w:rsid w:val="00BB524C"/>
    <w:rsid w:val="00BB5DAB"/>
    <w:rsid w:val="00BB6195"/>
    <w:rsid w:val="00BB61A3"/>
    <w:rsid w:val="00BB707E"/>
    <w:rsid w:val="00BB7568"/>
    <w:rsid w:val="00BC007C"/>
    <w:rsid w:val="00BC067E"/>
    <w:rsid w:val="00BC0986"/>
    <w:rsid w:val="00BC0AB2"/>
    <w:rsid w:val="00BC1308"/>
    <w:rsid w:val="00BC1BF4"/>
    <w:rsid w:val="00BC2600"/>
    <w:rsid w:val="00BC2F24"/>
    <w:rsid w:val="00BC33BE"/>
    <w:rsid w:val="00BC3A47"/>
    <w:rsid w:val="00BC3EEB"/>
    <w:rsid w:val="00BC4780"/>
    <w:rsid w:val="00BC48DF"/>
    <w:rsid w:val="00BC52C8"/>
    <w:rsid w:val="00BC5485"/>
    <w:rsid w:val="00BC549C"/>
    <w:rsid w:val="00BC570E"/>
    <w:rsid w:val="00BC5A6C"/>
    <w:rsid w:val="00BC5AF6"/>
    <w:rsid w:val="00BC5B4B"/>
    <w:rsid w:val="00BC5EDB"/>
    <w:rsid w:val="00BC69A2"/>
    <w:rsid w:val="00BC6ED6"/>
    <w:rsid w:val="00BC6F03"/>
    <w:rsid w:val="00BC6FA1"/>
    <w:rsid w:val="00BC7487"/>
    <w:rsid w:val="00BC7C7F"/>
    <w:rsid w:val="00BD0570"/>
    <w:rsid w:val="00BD0643"/>
    <w:rsid w:val="00BD0853"/>
    <w:rsid w:val="00BD112D"/>
    <w:rsid w:val="00BD214E"/>
    <w:rsid w:val="00BD2236"/>
    <w:rsid w:val="00BD2280"/>
    <w:rsid w:val="00BD2395"/>
    <w:rsid w:val="00BD25B8"/>
    <w:rsid w:val="00BD2842"/>
    <w:rsid w:val="00BD3120"/>
    <w:rsid w:val="00BD3354"/>
    <w:rsid w:val="00BD384E"/>
    <w:rsid w:val="00BD3E76"/>
    <w:rsid w:val="00BD3EE2"/>
    <w:rsid w:val="00BD3FCF"/>
    <w:rsid w:val="00BD42D2"/>
    <w:rsid w:val="00BD47D7"/>
    <w:rsid w:val="00BD4EFB"/>
    <w:rsid w:val="00BD4FF8"/>
    <w:rsid w:val="00BD5076"/>
    <w:rsid w:val="00BD5551"/>
    <w:rsid w:val="00BD5BC9"/>
    <w:rsid w:val="00BD6D43"/>
    <w:rsid w:val="00BD7090"/>
    <w:rsid w:val="00BD732B"/>
    <w:rsid w:val="00BD7458"/>
    <w:rsid w:val="00BD7490"/>
    <w:rsid w:val="00BD767F"/>
    <w:rsid w:val="00BE09C3"/>
    <w:rsid w:val="00BE0C27"/>
    <w:rsid w:val="00BE0EC9"/>
    <w:rsid w:val="00BE13EC"/>
    <w:rsid w:val="00BE15BB"/>
    <w:rsid w:val="00BE198F"/>
    <w:rsid w:val="00BE3868"/>
    <w:rsid w:val="00BE3D54"/>
    <w:rsid w:val="00BE5964"/>
    <w:rsid w:val="00BE660B"/>
    <w:rsid w:val="00BE6AFE"/>
    <w:rsid w:val="00BE6BBE"/>
    <w:rsid w:val="00BE7021"/>
    <w:rsid w:val="00BE7300"/>
    <w:rsid w:val="00BE784F"/>
    <w:rsid w:val="00BF0238"/>
    <w:rsid w:val="00BF0649"/>
    <w:rsid w:val="00BF0717"/>
    <w:rsid w:val="00BF1750"/>
    <w:rsid w:val="00BF178E"/>
    <w:rsid w:val="00BF189F"/>
    <w:rsid w:val="00BF1B44"/>
    <w:rsid w:val="00BF1F01"/>
    <w:rsid w:val="00BF23CC"/>
    <w:rsid w:val="00BF243F"/>
    <w:rsid w:val="00BF33ED"/>
    <w:rsid w:val="00BF4C2B"/>
    <w:rsid w:val="00BF507A"/>
    <w:rsid w:val="00BF53F1"/>
    <w:rsid w:val="00BF5717"/>
    <w:rsid w:val="00BF5B9D"/>
    <w:rsid w:val="00BF5D19"/>
    <w:rsid w:val="00BF5FA3"/>
    <w:rsid w:val="00BF62F2"/>
    <w:rsid w:val="00BF63A5"/>
    <w:rsid w:val="00BF706B"/>
    <w:rsid w:val="00BF72A7"/>
    <w:rsid w:val="00BF7558"/>
    <w:rsid w:val="00C002B0"/>
    <w:rsid w:val="00C00E56"/>
    <w:rsid w:val="00C0111E"/>
    <w:rsid w:val="00C01C67"/>
    <w:rsid w:val="00C02676"/>
    <w:rsid w:val="00C029AB"/>
    <w:rsid w:val="00C03BD5"/>
    <w:rsid w:val="00C03C8B"/>
    <w:rsid w:val="00C03F3C"/>
    <w:rsid w:val="00C049BE"/>
    <w:rsid w:val="00C04A71"/>
    <w:rsid w:val="00C04DF0"/>
    <w:rsid w:val="00C05A4C"/>
    <w:rsid w:val="00C05A67"/>
    <w:rsid w:val="00C10093"/>
    <w:rsid w:val="00C11113"/>
    <w:rsid w:val="00C11687"/>
    <w:rsid w:val="00C11E28"/>
    <w:rsid w:val="00C1225B"/>
    <w:rsid w:val="00C122F9"/>
    <w:rsid w:val="00C1253A"/>
    <w:rsid w:val="00C128C9"/>
    <w:rsid w:val="00C12CF3"/>
    <w:rsid w:val="00C12F88"/>
    <w:rsid w:val="00C131A8"/>
    <w:rsid w:val="00C1322D"/>
    <w:rsid w:val="00C135A3"/>
    <w:rsid w:val="00C1477A"/>
    <w:rsid w:val="00C1490C"/>
    <w:rsid w:val="00C149A1"/>
    <w:rsid w:val="00C14A62"/>
    <w:rsid w:val="00C158EB"/>
    <w:rsid w:val="00C159B1"/>
    <w:rsid w:val="00C15FE5"/>
    <w:rsid w:val="00C161F5"/>
    <w:rsid w:val="00C169DC"/>
    <w:rsid w:val="00C16C92"/>
    <w:rsid w:val="00C1706B"/>
    <w:rsid w:val="00C17DB7"/>
    <w:rsid w:val="00C17E48"/>
    <w:rsid w:val="00C17F0B"/>
    <w:rsid w:val="00C201E7"/>
    <w:rsid w:val="00C20AA2"/>
    <w:rsid w:val="00C20B91"/>
    <w:rsid w:val="00C21155"/>
    <w:rsid w:val="00C2146C"/>
    <w:rsid w:val="00C214D7"/>
    <w:rsid w:val="00C21561"/>
    <w:rsid w:val="00C217EE"/>
    <w:rsid w:val="00C22784"/>
    <w:rsid w:val="00C23A4C"/>
    <w:rsid w:val="00C23ACB"/>
    <w:rsid w:val="00C2419D"/>
    <w:rsid w:val="00C243A4"/>
    <w:rsid w:val="00C24416"/>
    <w:rsid w:val="00C248DB"/>
    <w:rsid w:val="00C26170"/>
    <w:rsid w:val="00C26582"/>
    <w:rsid w:val="00C26B5A"/>
    <w:rsid w:val="00C26D52"/>
    <w:rsid w:val="00C303E4"/>
    <w:rsid w:val="00C30775"/>
    <w:rsid w:val="00C30B8D"/>
    <w:rsid w:val="00C3134E"/>
    <w:rsid w:val="00C315D8"/>
    <w:rsid w:val="00C31C4A"/>
    <w:rsid w:val="00C31D2D"/>
    <w:rsid w:val="00C32639"/>
    <w:rsid w:val="00C32808"/>
    <w:rsid w:val="00C32AD2"/>
    <w:rsid w:val="00C32E1A"/>
    <w:rsid w:val="00C33114"/>
    <w:rsid w:val="00C34193"/>
    <w:rsid w:val="00C347FD"/>
    <w:rsid w:val="00C34DAE"/>
    <w:rsid w:val="00C34E1E"/>
    <w:rsid w:val="00C34E5A"/>
    <w:rsid w:val="00C36219"/>
    <w:rsid w:val="00C3698E"/>
    <w:rsid w:val="00C36CCA"/>
    <w:rsid w:val="00C36E1C"/>
    <w:rsid w:val="00C36F42"/>
    <w:rsid w:val="00C3718A"/>
    <w:rsid w:val="00C379C5"/>
    <w:rsid w:val="00C37EEE"/>
    <w:rsid w:val="00C40453"/>
    <w:rsid w:val="00C40E71"/>
    <w:rsid w:val="00C4133C"/>
    <w:rsid w:val="00C41879"/>
    <w:rsid w:val="00C41A7C"/>
    <w:rsid w:val="00C42CEF"/>
    <w:rsid w:val="00C42D55"/>
    <w:rsid w:val="00C43080"/>
    <w:rsid w:val="00C4370E"/>
    <w:rsid w:val="00C43823"/>
    <w:rsid w:val="00C4384B"/>
    <w:rsid w:val="00C4393C"/>
    <w:rsid w:val="00C44068"/>
    <w:rsid w:val="00C442AE"/>
    <w:rsid w:val="00C4518B"/>
    <w:rsid w:val="00C455AE"/>
    <w:rsid w:val="00C45780"/>
    <w:rsid w:val="00C458D6"/>
    <w:rsid w:val="00C4594D"/>
    <w:rsid w:val="00C4655A"/>
    <w:rsid w:val="00C466BF"/>
    <w:rsid w:val="00C47385"/>
    <w:rsid w:val="00C47555"/>
    <w:rsid w:val="00C476AC"/>
    <w:rsid w:val="00C47E67"/>
    <w:rsid w:val="00C47FD9"/>
    <w:rsid w:val="00C50C1A"/>
    <w:rsid w:val="00C50E1E"/>
    <w:rsid w:val="00C51508"/>
    <w:rsid w:val="00C51793"/>
    <w:rsid w:val="00C51BFC"/>
    <w:rsid w:val="00C51D73"/>
    <w:rsid w:val="00C52A05"/>
    <w:rsid w:val="00C52E97"/>
    <w:rsid w:val="00C52EAF"/>
    <w:rsid w:val="00C53189"/>
    <w:rsid w:val="00C534E5"/>
    <w:rsid w:val="00C534F4"/>
    <w:rsid w:val="00C5375B"/>
    <w:rsid w:val="00C5385D"/>
    <w:rsid w:val="00C53B15"/>
    <w:rsid w:val="00C53DA9"/>
    <w:rsid w:val="00C53EF7"/>
    <w:rsid w:val="00C54280"/>
    <w:rsid w:val="00C54929"/>
    <w:rsid w:val="00C556B1"/>
    <w:rsid w:val="00C55A05"/>
    <w:rsid w:val="00C55BD0"/>
    <w:rsid w:val="00C56101"/>
    <w:rsid w:val="00C562D1"/>
    <w:rsid w:val="00C565F2"/>
    <w:rsid w:val="00C567E3"/>
    <w:rsid w:val="00C56C45"/>
    <w:rsid w:val="00C573CC"/>
    <w:rsid w:val="00C57B81"/>
    <w:rsid w:val="00C57FB9"/>
    <w:rsid w:val="00C6077B"/>
    <w:rsid w:val="00C60950"/>
    <w:rsid w:val="00C60DD1"/>
    <w:rsid w:val="00C611B2"/>
    <w:rsid w:val="00C61565"/>
    <w:rsid w:val="00C61574"/>
    <w:rsid w:val="00C615B4"/>
    <w:rsid w:val="00C61ACF"/>
    <w:rsid w:val="00C6211D"/>
    <w:rsid w:val="00C62B32"/>
    <w:rsid w:val="00C63DED"/>
    <w:rsid w:val="00C63DF1"/>
    <w:rsid w:val="00C63E88"/>
    <w:rsid w:val="00C64F97"/>
    <w:rsid w:val="00C65585"/>
    <w:rsid w:val="00C656EB"/>
    <w:rsid w:val="00C65DF4"/>
    <w:rsid w:val="00C660DC"/>
    <w:rsid w:val="00C67B49"/>
    <w:rsid w:val="00C70EE6"/>
    <w:rsid w:val="00C711F5"/>
    <w:rsid w:val="00C713A1"/>
    <w:rsid w:val="00C71828"/>
    <w:rsid w:val="00C71857"/>
    <w:rsid w:val="00C72105"/>
    <w:rsid w:val="00C74520"/>
    <w:rsid w:val="00C74954"/>
    <w:rsid w:val="00C76028"/>
    <w:rsid w:val="00C76184"/>
    <w:rsid w:val="00C7673D"/>
    <w:rsid w:val="00C76A80"/>
    <w:rsid w:val="00C76C27"/>
    <w:rsid w:val="00C76F07"/>
    <w:rsid w:val="00C77EF6"/>
    <w:rsid w:val="00C8000C"/>
    <w:rsid w:val="00C80B4B"/>
    <w:rsid w:val="00C80D63"/>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B3"/>
    <w:rsid w:val="00C849E0"/>
    <w:rsid w:val="00C84B74"/>
    <w:rsid w:val="00C8512A"/>
    <w:rsid w:val="00C85970"/>
    <w:rsid w:val="00C85E9B"/>
    <w:rsid w:val="00C85E9C"/>
    <w:rsid w:val="00C874C8"/>
    <w:rsid w:val="00C90165"/>
    <w:rsid w:val="00C90417"/>
    <w:rsid w:val="00C90733"/>
    <w:rsid w:val="00C921C4"/>
    <w:rsid w:val="00C9235F"/>
    <w:rsid w:val="00C9257F"/>
    <w:rsid w:val="00C92A8C"/>
    <w:rsid w:val="00C9319C"/>
    <w:rsid w:val="00C934F6"/>
    <w:rsid w:val="00C93874"/>
    <w:rsid w:val="00C93A4C"/>
    <w:rsid w:val="00C944EB"/>
    <w:rsid w:val="00C94FD2"/>
    <w:rsid w:val="00C95341"/>
    <w:rsid w:val="00C95B76"/>
    <w:rsid w:val="00C964C3"/>
    <w:rsid w:val="00C96635"/>
    <w:rsid w:val="00C966B7"/>
    <w:rsid w:val="00C969DB"/>
    <w:rsid w:val="00C97A4A"/>
    <w:rsid w:val="00C97DC9"/>
    <w:rsid w:val="00C97EE3"/>
    <w:rsid w:val="00CA042A"/>
    <w:rsid w:val="00CA12BA"/>
    <w:rsid w:val="00CA165C"/>
    <w:rsid w:val="00CA1C0D"/>
    <w:rsid w:val="00CA1DAE"/>
    <w:rsid w:val="00CA1E5D"/>
    <w:rsid w:val="00CA2267"/>
    <w:rsid w:val="00CA34D6"/>
    <w:rsid w:val="00CA35E8"/>
    <w:rsid w:val="00CA38AD"/>
    <w:rsid w:val="00CA3EEE"/>
    <w:rsid w:val="00CA5098"/>
    <w:rsid w:val="00CA5369"/>
    <w:rsid w:val="00CA5503"/>
    <w:rsid w:val="00CA66C3"/>
    <w:rsid w:val="00CA6CAD"/>
    <w:rsid w:val="00CA70A8"/>
    <w:rsid w:val="00CA70D0"/>
    <w:rsid w:val="00CA74A4"/>
    <w:rsid w:val="00CA7683"/>
    <w:rsid w:val="00CA7EA1"/>
    <w:rsid w:val="00CA7EEB"/>
    <w:rsid w:val="00CB009B"/>
    <w:rsid w:val="00CB0231"/>
    <w:rsid w:val="00CB0838"/>
    <w:rsid w:val="00CB1AFD"/>
    <w:rsid w:val="00CB1EB3"/>
    <w:rsid w:val="00CB2126"/>
    <w:rsid w:val="00CB24AD"/>
    <w:rsid w:val="00CB2803"/>
    <w:rsid w:val="00CB2C59"/>
    <w:rsid w:val="00CB2D9C"/>
    <w:rsid w:val="00CB34AB"/>
    <w:rsid w:val="00CB3529"/>
    <w:rsid w:val="00CB368C"/>
    <w:rsid w:val="00CB38A9"/>
    <w:rsid w:val="00CB4728"/>
    <w:rsid w:val="00CB59E7"/>
    <w:rsid w:val="00CB5D27"/>
    <w:rsid w:val="00CB5E4A"/>
    <w:rsid w:val="00CB6FCA"/>
    <w:rsid w:val="00CB724D"/>
    <w:rsid w:val="00CB73EA"/>
    <w:rsid w:val="00CB7867"/>
    <w:rsid w:val="00CB7D4E"/>
    <w:rsid w:val="00CC002B"/>
    <w:rsid w:val="00CC07E5"/>
    <w:rsid w:val="00CC09F0"/>
    <w:rsid w:val="00CC0C11"/>
    <w:rsid w:val="00CC1F52"/>
    <w:rsid w:val="00CC233F"/>
    <w:rsid w:val="00CC27FD"/>
    <w:rsid w:val="00CC31E8"/>
    <w:rsid w:val="00CC3AB9"/>
    <w:rsid w:val="00CC3C9E"/>
    <w:rsid w:val="00CC45E0"/>
    <w:rsid w:val="00CC4BBE"/>
    <w:rsid w:val="00CC4BC3"/>
    <w:rsid w:val="00CC50C7"/>
    <w:rsid w:val="00CC55AC"/>
    <w:rsid w:val="00CC5859"/>
    <w:rsid w:val="00CC5DF3"/>
    <w:rsid w:val="00CC6A43"/>
    <w:rsid w:val="00CC6D1C"/>
    <w:rsid w:val="00CC71DD"/>
    <w:rsid w:val="00CC71F3"/>
    <w:rsid w:val="00CC72C0"/>
    <w:rsid w:val="00CC757D"/>
    <w:rsid w:val="00CC7C74"/>
    <w:rsid w:val="00CD00DB"/>
    <w:rsid w:val="00CD0119"/>
    <w:rsid w:val="00CD07FD"/>
    <w:rsid w:val="00CD0866"/>
    <w:rsid w:val="00CD0BA5"/>
    <w:rsid w:val="00CD1169"/>
    <w:rsid w:val="00CD16C7"/>
    <w:rsid w:val="00CD1A40"/>
    <w:rsid w:val="00CD1B33"/>
    <w:rsid w:val="00CD228C"/>
    <w:rsid w:val="00CD25F3"/>
    <w:rsid w:val="00CD27FF"/>
    <w:rsid w:val="00CD305C"/>
    <w:rsid w:val="00CD3A6D"/>
    <w:rsid w:val="00CD3E5A"/>
    <w:rsid w:val="00CD3E63"/>
    <w:rsid w:val="00CD40A3"/>
    <w:rsid w:val="00CD4CD3"/>
    <w:rsid w:val="00CD589F"/>
    <w:rsid w:val="00CD60C9"/>
    <w:rsid w:val="00CD6345"/>
    <w:rsid w:val="00CD6BBB"/>
    <w:rsid w:val="00CD7482"/>
    <w:rsid w:val="00CE07C1"/>
    <w:rsid w:val="00CE1567"/>
    <w:rsid w:val="00CE186F"/>
    <w:rsid w:val="00CE2056"/>
    <w:rsid w:val="00CE20E3"/>
    <w:rsid w:val="00CE273A"/>
    <w:rsid w:val="00CE321C"/>
    <w:rsid w:val="00CE32E8"/>
    <w:rsid w:val="00CE3700"/>
    <w:rsid w:val="00CE3B69"/>
    <w:rsid w:val="00CE4559"/>
    <w:rsid w:val="00CE5118"/>
    <w:rsid w:val="00CE5487"/>
    <w:rsid w:val="00CE59B5"/>
    <w:rsid w:val="00CE59DB"/>
    <w:rsid w:val="00CE5D3A"/>
    <w:rsid w:val="00CE67D8"/>
    <w:rsid w:val="00CE7381"/>
    <w:rsid w:val="00CE7447"/>
    <w:rsid w:val="00CE74CE"/>
    <w:rsid w:val="00CE7B4B"/>
    <w:rsid w:val="00CF03A0"/>
    <w:rsid w:val="00CF0829"/>
    <w:rsid w:val="00CF0E74"/>
    <w:rsid w:val="00CF1833"/>
    <w:rsid w:val="00CF1AEA"/>
    <w:rsid w:val="00CF2091"/>
    <w:rsid w:val="00CF21F6"/>
    <w:rsid w:val="00CF2278"/>
    <w:rsid w:val="00CF2C62"/>
    <w:rsid w:val="00CF2F66"/>
    <w:rsid w:val="00CF337B"/>
    <w:rsid w:val="00CF3FE7"/>
    <w:rsid w:val="00CF4416"/>
    <w:rsid w:val="00CF5762"/>
    <w:rsid w:val="00CF65B4"/>
    <w:rsid w:val="00CF69B0"/>
    <w:rsid w:val="00CF6C05"/>
    <w:rsid w:val="00CF7485"/>
    <w:rsid w:val="00CF7E56"/>
    <w:rsid w:val="00D012E8"/>
    <w:rsid w:val="00D01744"/>
    <w:rsid w:val="00D01C03"/>
    <w:rsid w:val="00D025CE"/>
    <w:rsid w:val="00D02A0F"/>
    <w:rsid w:val="00D02CA6"/>
    <w:rsid w:val="00D02DF3"/>
    <w:rsid w:val="00D03181"/>
    <w:rsid w:val="00D037DC"/>
    <w:rsid w:val="00D0383B"/>
    <w:rsid w:val="00D03A8A"/>
    <w:rsid w:val="00D03DA5"/>
    <w:rsid w:val="00D03F27"/>
    <w:rsid w:val="00D043EE"/>
    <w:rsid w:val="00D04706"/>
    <w:rsid w:val="00D0470D"/>
    <w:rsid w:val="00D05249"/>
    <w:rsid w:val="00D05474"/>
    <w:rsid w:val="00D055CA"/>
    <w:rsid w:val="00D059FC"/>
    <w:rsid w:val="00D05DEF"/>
    <w:rsid w:val="00D06861"/>
    <w:rsid w:val="00D0688A"/>
    <w:rsid w:val="00D06F22"/>
    <w:rsid w:val="00D075A7"/>
    <w:rsid w:val="00D07A69"/>
    <w:rsid w:val="00D07A9C"/>
    <w:rsid w:val="00D10076"/>
    <w:rsid w:val="00D1033B"/>
    <w:rsid w:val="00D10477"/>
    <w:rsid w:val="00D107E2"/>
    <w:rsid w:val="00D110DA"/>
    <w:rsid w:val="00D11207"/>
    <w:rsid w:val="00D11D76"/>
    <w:rsid w:val="00D121F5"/>
    <w:rsid w:val="00D126E4"/>
    <w:rsid w:val="00D131BF"/>
    <w:rsid w:val="00D13A90"/>
    <w:rsid w:val="00D140E6"/>
    <w:rsid w:val="00D158EF"/>
    <w:rsid w:val="00D15C14"/>
    <w:rsid w:val="00D15E74"/>
    <w:rsid w:val="00D15FAA"/>
    <w:rsid w:val="00D16487"/>
    <w:rsid w:val="00D16B69"/>
    <w:rsid w:val="00D16ECB"/>
    <w:rsid w:val="00D16EEE"/>
    <w:rsid w:val="00D17167"/>
    <w:rsid w:val="00D17BA5"/>
    <w:rsid w:val="00D2058D"/>
    <w:rsid w:val="00D2176E"/>
    <w:rsid w:val="00D2182A"/>
    <w:rsid w:val="00D2193D"/>
    <w:rsid w:val="00D22105"/>
    <w:rsid w:val="00D2211C"/>
    <w:rsid w:val="00D22B55"/>
    <w:rsid w:val="00D22F07"/>
    <w:rsid w:val="00D23055"/>
    <w:rsid w:val="00D230AD"/>
    <w:rsid w:val="00D2320E"/>
    <w:rsid w:val="00D251AB"/>
    <w:rsid w:val="00D25AC6"/>
    <w:rsid w:val="00D261D3"/>
    <w:rsid w:val="00D319DF"/>
    <w:rsid w:val="00D31C02"/>
    <w:rsid w:val="00D3225E"/>
    <w:rsid w:val="00D324BC"/>
    <w:rsid w:val="00D33008"/>
    <w:rsid w:val="00D33565"/>
    <w:rsid w:val="00D33762"/>
    <w:rsid w:val="00D34BD1"/>
    <w:rsid w:val="00D34C33"/>
    <w:rsid w:val="00D35177"/>
    <w:rsid w:val="00D356E1"/>
    <w:rsid w:val="00D40609"/>
    <w:rsid w:val="00D40983"/>
    <w:rsid w:val="00D41188"/>
    <w:rsid w:val="00D417D3"/>
    <w:rsid w:val="00D418D5"/>
    <w:rsid w:val="00D41DB1"/>
    <w:rsid w:val="00D4276D"/>
    <w:rsid w:val="00D42798"/>
    <w:rsid w:val="00D42970"/>
    <w:rsid w:val="00D435D3"/>
    <w:rsid w:val="00D43AED"/>
    <w:rsid w:val="00D44916"/>
    <w:rsid w:val="00D44DD5"/>
    <w:rsid w:val="00D455D8"/>
    <w:rsid w:val="00D45CA4"/>
    <w:rsid w:val="00D45EA7"/>
    <w:rsid w:val="00D45F22"/>
    <w:rsid w:val="00D47178"/>
    <w:rsid w:val="00D4752E"/>
    <w:rsid w:val="00D47842"/>
    <w:rsid w:val="00D47BEF"/>
    <w:rsid w:val="00D50826"/>
    <w:rsid w:val="00D51675"/>
    <w:rsid w:val="00D51F73"/>
    <w:rsid w:val="00D52609"/>
    <w:rsid w:val="00D52827"/>
    <w:rsid w:val="00D529BE"/>
    <w:rsid w:val="00D52CF6"/>
    <w:rsid w:val="00D53D3E"/>
    <w:rsid w:val="00D547E0"/>
    <w:rsid w:val="00D54992"/>
    <w:rsid w:val="00D55291"/>
    <w:rsid w:val="00D55C48"/>
    <w:rsid w:val="00D55E47"/>
    <w:rsid w:val="00D56997"/>
    <w:rsid w:val="00D570E6"/>
    <w:rsid w:val="00D5730F"/>
    <w:rsid w:val="00D5774F"/>
    <w:rsid w:val="00D60809"/>
    <w:rsid w:val="00D60D7F"/>
    <w:rsid w:val="00D6104C"/>
    <w:rsid w:val="00D61C9C"/>
    <w:rsid w:val="00D62111"/>
    <w:rsid w:val="00D62229"/>
    <w:rsid w:val="00D625B8"/>
    <w:rsid w:val="00D626F8"/>
    <w:rsid w:val="00D636DC"/>
    <w:rsid w:val="00D63F4C"/>
    <w:rsid w:val="00D64613"/>
    <w:rsid w:val="00D64702"/>
    <w:rsid w:val="00D66BFD"/>
    <w:rsid w:val="00D66C91"/>
    <w:rsid w:val="00D674EE"/>
    <w:rsid w:val="00D67535"/>
    <w:rsid w:val="00D67BC9"/>
    <w:rsid w:val="00D67DBC"/>
    <w:rsid w:val="00D67EB4"/>
    <w:rsid w:val="00D704D9"/>
    <w:rsid w:val="00D70BD2"/>
    <w:rsid w:val="00D713F2"/>
    <w:rsid w:val="00D72705"/>
    <w:rsid w:val="00D729B8"/>
    <w:rsid w:val="00D738BF"/>
    <w:rsid w:val="00D73B93"/>
    <w:rsid w:val="00D73C95"/>
    <w:rsid w:val="00D745C1"/>
    <w:rsid w:val="00D756F6"/>
    <w:rsid w:val="00D75731"/>
    <w:rsid w:val="00D75B45"/>
    <w:rsid w:val="00D75B5C"/>
    <w:rsid w:val="00D75F8C"/>
    <w:rsid w:val="00D76050"/>
    <w:rsid w:val="00D76309"/>
    <w:rsid w:val="00D76423"/>
    <w:rsid w:val="00D767BF"/>
    <w:rsid w:val="00D77278"/>
    <w:rsid w:val="00D775B5"/>
    <w:rsid w:val="00D77961"/>
    <w:rsid w:val="00D77B20"/>
    <w:rsid w:val="00D77B3B"/>
    <w:rsid w:val="00D8007C"/>
    <w:rsid w:val="00D8050A"/>
    <w:rsid w:val="00D8079F"/>
    <w:rsid w:val="00D8103B"/>
    <w:rsid w:val="00D8111B"/>
    <w:rsid w:val="00D81242"/>
    <w:rsid w:val="00D812D2"/>
    <w:rsid w:val="00D81954"/>
    <w:rsid w:val="00D81FFB"/>
    <w:rsid w:val="00D82D02"/>
    <w:rsid w:val="00D82D0F"/>
    <w:rsid w:val="00D83A5A"/>
    <w:rsid w:val="00D83D4C"/>
    <w:rsid w:val="00D84157"/>
    <w:rsid w:val="00D843E1"/>
    <w:rsid w:val="00D84BD7"/>
    <w:rsid w:val="00D84DCA"/>
    <w:rsid w:val="00D85114"/>
    <w:rsid w:val="00D857BC"/>
    <w:rsid w:val="00D85CC6"/>
    <w:rsid w:val="00D86675"/>
    <w:rsid w:val="00D86A92"/>
    <w:rsid w:val="00D871B6"/>
    <w:rsid w:val="00D875E1"/>
    <w:rsid w:val="00D87BC8"/>
    <w:rsid w:val="00D90275"/>
    <w:rsid w:val="00D902F5"/>
    <w:rsid w:val="00D9075D"/>
    <w:rsid w:val="00D90959"/>
    <w:rsid w:val="00D91410"/>
    <w:rsid w:val="00D91438"/>
    <w:rsid w:val="00D91594"/>
    <w:rsid w:val="00D91ABE"/>
    <w:rsid w:val="00D91DFB"/>
    <w:rsid w:val="00D921DA"/>
    <w:rsid w:val="00D92C2F"/>
    <w:rsid w:val="00D92F7F"/>
    <w:rsid w:val="00D94256"/>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A032C"/>
    <w:rsid w:val="00DA0526"/>
    <w:rsid w:val="00DA0639"/>
    <w:rsid w:val="00DA0B87"/>
    <w:rsid w:val="00DA0CF7"/>
    <w:rsid w:val="00DA0E96"/>
    <w:rsid w:val="00DA1203"/>
    <w:rsid w:val="00DA16B2"/>
    <w:rsid w:val="00DA18DA"/>
    <w:rsid w:val="00DA1F0C"/>
    <w:rsid w:val="00DA3118"/>
    <w:rsid w:val="00DA323F"/>
    <w:rsid w:val="00DA3565"/>
    <w:rsid w:val="00DA3A5B"/>
    <w:rsid w:val="00DA3D0B"/>
    <w:rsid w:val="00DA3F51"/>
    <w:rsid w:val="00DA45DB"/>
    <w:rsid w:val="00DA48D9"/>
    <w:rsid w:val="00DA49F8"/>
    <w:rsid w:val="00DA4AAE"/>
    <w:rsid w:val="00DA51FF"/>
    <w:rsid w:val="00DA5572"/>
    <w:rsid w:val="00DA6A15"/>
    <w:rsid w:val="00DA6C80"/>
    <w:rsid w:val="00DA6CC2"/>
    <w:rsid w:val="00DA7029"/>
    <w:rsid w:val="00DA77A0"/>
    <w:rsid w:val="00DB06B8"/>
    <w:rsid w:val="00DB09A2"/>
    <w:rsid w:val="00DB103D"/>
    <w:rsid w:val="00DB1448"/>
    <w:rsid w:val="00DB1998"/>
    <w:rsid w:val="00DB1FC4"/>
    <w:rsid w:val="00DB21F0"/>
    <w:rsid w:val="00DB2C5F"/>
    <w:rsid w:val="00DB3A3E"/>
    <w:rsid w:val="00DB3A58"/>
    <w:rsid w:val="00DB3BDF"/>
    <w:rsid w:val="00DB3C58"/>
    <w:rsid w:val="00DB3D46"/>
    <w:rsid w:val="00DB401C"/>
    <w:rsid w:val="00DB46C8"/>
    <w:rsid w:val="00DB540E"/>
    <w:rsid w:val="00DB5969"/>
    <w:rsid w:val="00DB5A63"/>
    <w:rsid w:val="00DB6166"/>
    <w:rsid w:val="00DB61F0"/>
    <w:rsid w:val="00DB656B"/>
    <w:rsid w:val="00DB691E"/>
    <w:rsid w:val="00DB75A3"/>
    <w:rsid w:val="00DC0574"/>
    <w:rsid w:val="00DC0C65"/>
    <w:rsid w:val="00DC1202"/>
    <w:rsid w:val="00DC16BF"/>
    <w:rsid w:val="00DC16E1"/>
    <w:rsid w:val="00DC16FC"/>
    <w:rsid w:val="00DC1881"/>
    <w:rsid w:val="00DC1D55"/>
    <w:rsid w:val="00DC1ED7"/>
    <w:rsid w:val="00DC2EFA"/>
    <w:rsid w:val="00DC3A6F"/>
    <w:rsid w:val="00DC3D1C"/>
    <w:rsid w:val="00DC43E1"/>
    <w:rsid w:val="00DC5199"/>
    <w:rsid w:val="00DC5328"/>
    <w:rsid w:val="00DC5A32"/>
    <w:rsid w:val="00DC5E4E"/>
    <w:rsid w:val="00DC651B"/>
    <w:rsid w:val="00DC662F"/>
    <w:rsid w:val="00DC6E78"/>
    <w:rsid w:val="00DC729A"/>
    <w:rsid w:val="00DC73B1"/>
    <w:rsid w:val="00DC7519"/>
    <w:rsid w:val="00DC7630"/>
    <w:rsid w:val="00DC7702"/>
    <w:rsid w:val="00DC7EB5"/>
    <w:rsid w:val="00DD04AC"/>
    <w:rsid w:val="00DD04DD"/>
    <w:rsid w:val="00DD0891"/>
    <w:rsid w:val="00DD0B35"/>
    <w:rsid w:val="00DD0C4D"/>
    <w:rsid w:val="00DD0F9F"/>
    <w:rsid w:val="00DD11A7"/>
    <w:rsid w:val="00DD1298"/>
    <w:rsid w:val="00DD1DCD"/>
    <w:rsid w:val="00DD2300"/>
    <w:rsid w:val="00DD2309"/>
    <w:rsid w:val="00DD24C1"/>
    <w:rsid w:val="00DD28B3"/>
    <w:rsid w:val="00DD2C25"/>
    <w:rsid w:val="00DD2DE3"/>
    <w:rsid w:val="00DD2DE8"/>
    <w:rsid w:val="00DD316F"/>
    <w:rsid w:val="00DD357C"/>
    <w:rsid w:val="00DD37CA"/>
    <w:rsid w:val="00DD3D55"/>
    <w:rsid w:val="00DD3DF7"/>
    <w:rsid w:val="00DD4AE2"/>
    <w:rsid w:val="00DD4BFA"/>
    <w:rsid w:val="00DD51F8"/>
    <w:rsid w:val="00DD6388"/>
    <w:rsid w:val="00DD67C8"/>
    <w:rsid w:val="00DD6C53"/>
    <w:rsid w:val="00DD7198"/>
    <w:rsid w:val="00DD7CB6"/>
    <w:rsid w:val="00DE0077"/>
    <w:rsid w:val="00DE0137"/>
    <w:rsid w:val="00DE01BA"/>
    <w:rsid w:val="00DE0319"/>
    <w:rsid w:val="00DE0DCF"/>
    <w:rsid w:val="00DE0F4E"/>
    <w:rsid w:val="00DE137B"/>
    <w:rsid w:val="00DE19D9"/>
    <w:rsid w:val="00DE1DC6"/>
    <w:rsid w:val="00DE1F77"/>
    <w:rsid w:val="00DE21C6"/>
    <w:rsid w:val="00DE22AA"/>
    <w:rsid w:val="00DE288F"/>
    <w:rsid w:val="00DE2D49"/>
    <w:rsid w:val="00DE3E66"/>
    <w:rsid w:val="00DE3F75"/>
    <w:rsid w:val="00DE41FC"/>
    <w:rsid w:val="00DE45F5"/>
    <w:rsid w:val="00DE4AAD"/>
    <w:rsid w:val="00DE4C0C"/>
    <w:rsid w:val="00DE4FC8"/>
    <w:rsid w:val="00DE53B5"/>
    <w:rsid w:val="00DE5A50"/>
    <w:rsid w:val="00DE60C5"/>
    <w:rsid w:val="00DE663E"/>
    <w:rsid w:val="00DE7323"/>
    <w:rsid w:val="00DE75F0"/>
    <w:rsid w:val="00DE77CB"/>
    <w:rsid w:val="00DE7EBA"/>
    <w:rsid w:val="00DF04BD"/>
    <w:rsid w:val="00DF0554"/>
    <w:rsid w:val="00DF068D"/>
    <w:rsid w:val="00DF0D3A"/>
    <w:rsid w:val="00DF1A9A"/>
    <w:rsid w:val="00DF1C2D"/>
    <w:rsid w:val="00DF1F8A"/>
    <w:rsid w:val="00DF248E"/>
    <w:rsid w:val="00DF3577"/>
    <w:rsid w:val="00DF4063"/>
    <w:rsid w:val="00DF5F13"/>
    <w:rsid w:val="00DF63DD"/>
    <w:rsid w:val="00DF6B39"/>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105B3"/>
    <w:rsid w:val="00E10846"/>
    <w:rsid w:val="00E108F4"/>
    <w:rsid w:val="00E10D4E"/>
    <w:rsid w:val="00E1100C"/>
    <w:rsid w:val="00E11489"/>
    <w:rsid w:val="00E11711"/>
    <w:rsid w:val="00E11E63"/>
    <w:rsid w:val="00E12696"/>
    <w:rsid w:val="00E12FD8"/>
    <w:rsid w:val="00E1310D"/>
    <w:rsid w:val="00E13359"/>
    <w:rsid w:val="00E13655"/>
    <w:rsid w:val="00E138BF"/>
    <w:rsid w:val="00E14EFA"/>
    <w:rsid w:val="00E151B9"/>
    <w:rsid w:val="00E158C4"/>
    <w:rsid w:val="00E161E6"/>
    <w:rsid w:val="00E167C9"/>
    <w:rsid w:val="00E1698C"/>
    <w:rsid w:val="00E16BDB"/>
    <w:rsid w:val="00E172BE"/>
    <w:rsid w:val="00E17CF7"/>
    <w:rsid w:val="00E205D6"/>
    <w:rsid w:val="00E211A3"/>
    <w:rsid w:val="00E216EC"/>
    <w:rsid w:val="00E2189A"/>
    <w:rsid w:val="00E22B5A"/>
    <w:rsid w:val="00E22B68"/>
    <w:rsid w:val="00E231C9"/>
    <w:rsid w:val="00E23EBF"/>
    <w:rsid w:val="00E23FD5"/>
    <w:rsid w:val="00E24669"/>
    <w:rsid w:val="00E24C48"/>
    <w:rsid w:val="00E25981"/>
    <w:rsid w:val="00E26141"/>
    <w:rsid w:val="00E266F5"/>
    <w:rsid w:val="00E26D09"/>
    <w:rsid w:val="00E26D76"/>
    <w:rsid w:val="00E270D3"/>
    <w:rsid w:val="00E27A6A"/>
    <w:rsid w:val="00E27FC7"/>
    <w:rsid w:val="00E30700"/>
    <w:rsid w:val="00E3105B"/>
    <w:rsid w:val="00E31360"/>
    <w:rsid w:val="00E31D28"/>
    <w:rsid w:val="00E325FF"/>
    <w:rsid w:val="00E32CB8"/>
    <w:rsid w:val="00E3440F"/>
    <w:rsid w:val="00E34F3A"/>
    <w:rsid w:val="00E35340"/>
    <w:rsid w:val="00E35F99"/>
    <w:rsid w:val="00E35F9A"/>
    <w:rsid w:val="00E3637F"/>
    <w:rsid w:val="00E364B6"/>
    <w:rsid w:val="00E36723"/>
    <w:rsid w:val="00E3713C"/>
    <w:rsid w:val="00E3767B"/>
    <w:rsid w:val="00E37E1C"/>
    <w:rsid w:val="00E40126"/>
    <w:rsid w:val="00E4067F"/>
    <w:rsid w:val="00E40CBF"/>
    <w:rsid w:val="00E40E7D"/>
    <w:rsid w:val="00E40EE4"/>
    <w:rsid w:val="00E4131B"/>
    <w:rsid w:val="00E413C6"/>
    <w:rsid w:val="00E41FD2"/>
    <w:rsid w:val="00E420D5"/>
    <w:rsid w:val="00E42517"/>
    <w:rsid w:val="00E42D55"/>
    <w:rsid w:val="00E42FFE"/>
    <w:rsid w:val="00E4316E"/>
    <w:rsid w:val="00E435AB"/>
    <w:rsid w:val="00E44275"/>
    <w:rsid w:val="00E44705"/>
    <w:rsid w:val="00E44777"/>
    <w:rsid w:val="00E44C51"/>
    <w:rsid w:val="00E4535F"/>
    <w:rsid w:val="00E45A5B"/>
    <w:rsid w:val="00E466BC"/>
    <w:rsid w:val="00E46840"/>
    <w:rsid w:val="00E4686A"/>
    <w:rsid w:val="00E479FD"/>
    <w:rsid w:val="00E504D6"/>
    <w:rsid w:val="00E50B6F"/>
    <w:rsid w:val="00E50EBE"/>
    <w:rsid w:val="00E50F69"/>
    <w:rsid w:val="00E50FC6"/>
    <w:rsid w:val="00E52372"/>
    <w:rsid w:val="00E52786"/>
    <w:rsid w:val="00E52F05"/>
    <w:rsid w:val="00E540CA"/>
    <w:rsid w:val="00E54146"/>
    <w:rsid w:val="00E55B28"/>
    <w:rsid w:val="00E56D4A"/>
    <w:rsid w:val="00E57119"/>
    <w:rsid w:val="00E5719E"/>
    <w:rsid w:val="00E57668"/>
    <w:rsid w:val="00E57A6A"/>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2573"/>
    <w:rsid w:val="00E6298E"/>
    <w:rsid w:val="00E63DA2"/>
    <w:rsid w:val="00E642AF"/>
    <w:rsid w:val="00E644C6"/>
    <w:rsid w:val="00E64555"/>
    <w:rsid w:val="00E64595"/>
    <w:rsid w:val="00E646BB"/>
    <w:rsid w:val="00E64D24"/>
    <w:rsid w:val="00E6523D"/>
    <w:rsid w:val="00E653A6"/>
    <w:rsid w:val="00E6549C"/>
    <w:rsid w:val="00E654B9"/>
    <w:rsid w:val="00E6589D"/>
    <w:rsid w:val="00E65E8C"/>
    <w:rsid w:val="00E665E7"/>
    <w:rsid w:val="00E66C96"/>
    <w:rsid w:val="00E70130"/>
    <w:rsid w:val="00E71063"/>
    <w:rsid w:val="00E715FC"/>
    <w:rsid w:val="00E71A45"/>
    <w:rsid w:val="00E71B8F"/>
    <w:rsid w:val="00E71C21"/>
    <w:rsid w:val="00E72F23"/>
    <w:rsid w:val="00E730FC"/>
    <w:rsid w:val="00E7385A"/>
    <w:rsid w:val="00E73CE6"/>
    <w:rsid w:val="00E74780"/>
    <w:rsid w:val="00E74956"/>
    <w:rsid w:val="00E752F7"/>
    <w:rsid w:val="00E75848"/>
    <w:rsid w:val="00E759D4"/>
    <w:rsid w:val="00E76A3C"/>
    <w:rsid w:val="00E76E5C"/>
    <w:rsid w:val="00E76F9B"/>
    <w:rsid w:val="00E771FC"/>
    <w:rsid w:val="00E773E5"/>
    <w:rsid w:val="00E77A47"/>
    <w:rsid w:val="00E77BDD"/>
    <w:rsid w:val="00E804A6"/>
    <w:rsid w:val="00E806D3"/>
    <w:rsid w:val="00E81C34"/>
    <w:rsid w:val="00E81D83"/>
    <w:rsid w:val="00E821BB"/>
    <w:rsid w:val="00E822E9"/>
    <w:rsid w:val="00E826FE"/>
    <w:rsid w:val="00E8275E"/>
    <w:rsid w:val="00E827AF"/>
    <w:rsid w:val="00E82DE9"/>
    <w:rsid w:val="00E83253"/>
    <w:rsid w:val="00E844AB"/>
    <w:rsid w:val="00E84C97"/>
    <w:rsid w:val="00E85005"/>
    <w:rsid w:val="00E85296"/>
    <w:rsid w:val="00E8533B"/>
    <w:rsid w:val="00E85E4E"/>
    <w:rsid w:val="00E86327"/>
    <w:rsid w:val="00E86DF0"/>
    <w:rsid w:val="00E87BD2"/>
    <w:rsid w:val="00E87CDC"/>
    <w:rsid w:val="00E87E3A"/>
    <w:rsid w:val="00E90B33"/>
    <w:rsid w:val="00E90E6F"/>
    <w:rsid w:val="00E911E0"/>
    <w:rsid w:val="00E93407"/>
    <w:rsid w:val="00E940A8"/>
    <w:rsid w:val="00E947E8"/>
    <w:rsid w:val="00E94B0F"/>
    <w:rsid w:val="00E9503F"/>
    <w:rsid w:val="00E955C2"/>
    <w:rsid w:val="00E96937"/>
    <w:rsid w:val="00E96E68"/>
    <w:rsid w:val="00E97992"/>
    <w:rsid w:val="00E97EA1"/>
    <w:rsid w:val="00EA08C5"/>
    <w:rsid w:val="00EA0BBE"/>
    <w:rsid w:val="00EA0F05"/>
    <w:rsid w:val="00EA13CB"/>
    <w:rsid w:val="00EA1FBC"/>
    <w:rsid w:val="00EA20A1"/>
    <w:rsid w:val="00EA212B"/>
    <w:rsid w:val="00EA2A88"/>
    <w:rsid w:val="00EA2D44"/>
    <w:rsid w:val="00EA2F91"/>
    <w:rsid w:val="00EA31D4"/>
    <w:rsid w:val="00EA3A1D"/>
    <w:rsid w:val="00EA3CD7"/>
    <w:rsid w:val="00EA3E2D"/>
    <w:rsid w:val="00EA429D"/>
    <w:rsid w:val="00EA43AF"/>
    <w:rsid w:val="00EA4676"/>
    <w:rsid w:val="00EA4C7C"/>
    <w:rsid w:val="00EA4D4C"/>
    <w:rsid w:val="00EA4FFB"/>
    <w:rsid w:val="00EA554F"/>
    <w:rsid w:val="00EA6250"/>
    <w:rsid w:val="00EA66A4"/>
    <w:rsid w:val="00EA6819"/>
    <w:rsid w:val="00EA6A1E"/>
    <w:rsid w:val="00EA7412"/>
    <w:rsid w:val="00EA75BD"/>
    <w:rsid w:val="00EA7C47"/>
    <w:rsid w:val="00EA7C58"/>
    <w:rsid w:val="00EB0F0F"/>
    <w:rsid w:val="00EB11C0"/>
    <w:rsid w:val="00EB12A5"/>
    <w:rsid w:val="00EB24D8"/>
    <w:rsid w:val="00EB277B"/>
    <w:rsid w:val="00EB2F20"/>
    <w:rsid w:val="00EB2F35"/>
    <w:rsid w:val="00EB31DB"/>
    <w:rsid w:val="00EB3422"/>
    <w:rsid w:val="00EB3A31"/>
    <w:rsid w:val="00EB4EAF"/>
    <w:rsid w:val="00EB548E"/>
    <w:rsid w:val="00EB5C41"/>
    <w:rsid w:val="00EB5F5A"/>
    <w:rsid w:val="00EB657E"/>
    <w:rsid w:val="00EB695E"/>
    <w:rsid w:val="00EB6981"/>
    <w:rsid w:val="00EB69D1"/>
    <w:rsid w:val="00EB69D4"/>
    <w:rsid w:val="00EB6FE9"/>
    <w:rsid w:val="00EB72FF"/>
    <w:rsid w:val="00EB756F"/>
    <w:rsid w:val="00EB79C8"/>
    <w:rsid w:val="00EB7E78"/>
    <w:rsid w:val="00EC0301"/>
    <w:rsid w:val="00EC09C6"/>
    <w:rsid w:val="00EC0A4A"/>
    <w:rsid w:val="00EC0EA5"/>
    <w:rsid w:val="00EC1056"/>
    <w:rsid w:val="00EC1470"/>
    <w:rsid w:val="00EC222E"/>
    <w:rsid w:val="00EC2716"/>
    <w:rsid w:val="00EC2DBB"/>
    <w:rsid w:val="00EC358E"/>
    <w:rsid w:val="00EC3FD2"/>
    <w:rsid w:val="00EC4095"/>
    <w:rsid w:val="00EC43B5"/>
    <w:rsid w:val="00EC4537"/>
    <w:rsid w:val="00EC4960"/>
    <w:rsid w:val="00EC4AE3"/>
    <w:rsid w:val="00EC54EE"/>
    <w:rsid w:val="00EC59B2"/>
    <w:rsid w:val="00EC5A3B"/>
    <w:rsid w:val="00EC786C"/>
    <w:rsid w:val="00EC7ADD"/>
    <w:rsid w:val="00ED04FE"/>
    <w:rsid w:val="00ED0980"/>
    <w:rsid w:val="00ED0DD0"/>
    <w:rsid w:val="00ED14BD"/>
    <w:rsid w:val="00ED1989"/>
    <w:rsid w:val="00ED28F2"/>
    <w:rsid w:val="00ED3145"/>
    <w:rsid w:val="00ED3309"/>
    <w:rsid w:val="00ED356E"/>
    <w:rsid w:val="00ED3BDA"/>
    <w:rsid w:val="00ED5A3B"/>
    <w:rsid w:val="00ED5C30"/>
    <w:rsid w:val="00ED5E02"/>
    <w:rsid w:val="00ED5EED"/>
    <w:rsid w:val="00ED612A"/>
    <w:rsid w:val="00ED6B1C"/>
    <w:rsid w:val="00ED6CF7"/>
    <w:rsid w:val="00ED6F33"/>
    <w:rsid w:val="00ED7716"/>
    <w:rsid w:val="00ED7737"/>
    <w:rsid w:val="00ED7747"/>
    <w:rsid w:val="00ED78CD"/>
    <w:rsid w:val="00ED7915"/>
    <w:rsid w:val="00ED7CF4"/>
    <w:rsid w:val="00EE1B0E"/>
    <w:rsid w:val="00EE22FB"/>
    <w:rsid w:val="00EE2407"/>
    <w:rsid w:val="00EE26AE"/>
    <w:rsid w:val="00EE29C8"/>
    <w:rsid w:val="00EE2A54"/>
    <w:rsid w:val="00EE2FC2"/>
    <w:rsid w:val="00EE3B88"/>
    <w:rsid w:val="00EE4B75"/>
    <w:rsid w:val="00EE4DBD"/>
    <w:rsid w:val="00EE6AC6"/>
    <w:rsid w:val="00EE6E26"/>
    <w:rsid w:val="00EE784F"/>
    <w:rsid w:val="00EE7A1D"/>
    <w:rsid w:val="00EF0500"/>
    <w:rsid w:val="00EF1002"/>
    <w:rsid w:val="00EF143F"/>
    <w:rsid w:val="00EF1D11"/>
    <w:rsid w:val="00EF1D3B"/>
    <w:rsid w:val="00EF23D8"/>
    <w:rsid w:val="00EF2A5A"/>
    <w:rsid w:val="00EF2A87"/>
    <w:rsid w:val="00EF3A74"/>
    <w:rsid w:val="00EF3AE9"/>
    <w:rsid w:val="00EF3EA5"/>
    <w:rsid w:val="00EF47A0"/>
    <w:rsid w:val="00EF49FB"/>
    <w:rsid w:val="00EF55D6"/>
    <w:rsid w:val="00EF644D"/>
    <w:rsid w:val="00EF6D29"/>
    <w:rsid w:val="00EF6FEC"/>
    <w:rsid w:val="00EF7138"/>
    <w:rsid w:val="00EF7E0B"/>
    <w:rsid w:val="00F006D8"/>
    <w:rsid w:val="00F00881"/>
    <w:rsid w:val="00F00917"/>
    <w:rsid w:val="00F010BB"/>
    <w:rsid w:val="00F012C1"/>
    <w:rsid w:val="00F0175F"/>
    <w:rsid w:val="00F02655"/>
    <w:rsid w:val="00F03280"/>
    <w:rsid w:val="00F0362A"/>
    <w:rsid w:val="00F0373B"/>
    <w:rsid w:val="00F0385C"/>
    <w:rsid w:val="00F03ABE"/>
    <w:rsid w:val="00F04345"/>
    <w:rsid w:val="00F047A4"/>
    <w:rsid w:val="00F04F52"/>
    <w:rsid w:val="00F0510F"/>
    <w:rsid w:val="00F0563F"/>
    <w:rsid w:val="00F064EF"/>
    <w:rsid w:val="00F06558"/>
    <w:rsid w:val="00F06F42"/>
    <w:rsid w:val="00F07122"/>
    <w:rsid w:val="00F074C9"/>
    <w:rsid w:val="00F07C7C"/>
    <w:rsid w:val="00F07C82"/>
    <w:rsid w:val="00F07F5E"/>
    <w:rsid w:val="00F1001E"/>
    <w:rsid w:val="00F106BB"/>
    <w:rsid w:val="00F11027"/>
    <w:rsid w:val="00F111BA"/>
    <w:rsid w:val="00F116DD"/>
    <w:rsid w:val="00F11D9F"/>
    <w:rsid w:val="00F11E31"/>
    <w:rsid w:val="00F13AA1"/>
    <w:rsid w:val="00F13F2A"/>
    <w:rsid w:val="00F13F3F"/>
    <w:rsid w:val="00F1411B"/>
    <w:rsid w:val="00F15097"/>
    <w:rsid w:val="00F15671"/>
    <w:rsid w:val="00F16695"/>
    <w:rsid w:val="00F202E3"/>
    <w:rsid w:val="00F20C6E"/>
    <w:rsid w:val="00F20D6C"/>
    <w:rsid w:val="00F2255F"/>
    <w:rsid w:val="00F225CF"/>
    <w:rsid w:val="00F22882"/>
    <w:rsid w:val="00F22985"/>
    <w:rsid w:val="00F22AEF"/>
    <w:rsid w:val="00F22F7A"/>
    <w:rsid w:val="00F2343C"/>
    <w:rsid w:val="00F23CFC"/>
    <w:rsid w:val="00F23DB5"/>
    <w:rsid w:val="00F24076"/>
    <w:rsid w:val="00F240CB"/>
    <w:rsid w:val="00F2492F"/>
    <w:rsid w:val="00F24B1E"/>
    <w:rsid w:val="00F2500D"/>
    <w:rsid w:val="00F2596D"/>
    <w:rsid w:val="00F25CAA"/>
    <w:rsid w:val="00F26AD6"/>
    <w:rsid w:val="00F27066"/>
    <w:rsid w:val="00F2711C"/>
    <w:rsid w:val="00F277E8"/>
    <w:rsid w:val="00F27B04"/>
    <w:rsid w:val="00F27E3D"/>
    <w:rsid w:val="00F301D0"/>
    <w:rsid w:val="00F3069F"/>
    <w:rsid w:val="00F308C8"/>
    <w:rsid w:val="00F30C3F"/>
    <w:rsid w:val="00F30C60"/>
    <w:rsid w:val="00F30F38"/>
    <w:rsid w:val="00F311D1"/>
    <w:rsid w:val="00F3158A"/>
    <w:rsid w:val="00F318DB"/>
    <w:rsid w:val="00F3199C"/>
    <w:rsid w:val="00F31F7D"/>
    <w:rsid w:val="00F32245"/>
    <w:rsid w:val="00F32AFF"/>
    <w:rsid w:val="00F33825"/>
    <w:rsid w:val="00F33A8B"/>
    <w:rsid w:val="00F33D3B"/>
    <w:rsid w:val="00F33E29"/>
    <w:rsid w:val="00F34A96"/>
    <w:rsid w:val="00F34EBF"/>
    <w:rsid w:val="00F34F05"/>
    <w:rsid w:val="00F356D5"/>
    <w:rsid w:val="00F361AE"/>
    <w:rsid w:val="00F36240"/>
    <w:rsid w:val="00F363EB"/>
    <w:rsid w:val="00F365DE"/>
    <w:rsid w:val="00F367CF"/>
    <w:rsid w:val="00F36D37"/>
    <w:rsid w:val="00F3719A"/>
    <w:rsid w:val="00F374CB"/>
    <w:rsid w:val="00F379BF"/>
    <w:rsid w:val="00F37EA7"/>
    <w:rsid w:val="00F40805"/>
    <w:rsid w:val="00F40945"/>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4477"/>
    <w:rsid w:val="00F44542"/>
    <w:rsid w:val="00F448DD"/>
    <w:rsid w:val="00F44D6A"/>
    <w:rsid w:val="00F44DB8"/>
    <w:rsid w:val="00F45760"/>
    <w:rsid w:val="00F45925"/>
    <w:rsid w:val="00F4615F"/>
    <w:rsid w:val="00F46998"/>
    <w:rsid w:val="00F46BA6"/>
    <w:rsid w:val="00F46C97"/>
    <w:rsid w:val="00F4703E"/>
    <w:rsid w:val="00F501B0"/>
    <w:rsid w:val="00F50781"/>
    <w:rsid w:val="00F50CA3"/>
    <w:rsid w:val="00F517ED"/>
    <w:rsid w:val="00F51F3F"/>
    <w:rsid w:val="00F528B5"/>
    <w:rsid w:val="00F528E7"/>
    <w:rsid w:val="00F52C8A"/>
    <w:rsid w:val="00F5352D"/>
    <w:rsid w:val="00F53615"/>
    <w:rsid w:val="00F53A91"/>
    <w:rsid w:val="00F54783"/>
    <w:rsid w:val="00F547E9"/>
    <w:rsid w:val="00F5494E"/>
    <w:rsid w:val="00F54ABE"/>
    <w:rsid w:val="00F5500E"/>
    <w:rsid w:val="00F55804"/>
    <w:rsid w:val="00F55F1A"/>
    <w:rsid w:val="00F56310"/>
    <w:rsid w:val="00F5684C"/>
    <w:rsid w:val="00F571BB"/>
    <w:rsid w:val="00F57210"/>
    <w:rsid w:val="00F577FC"/>
    <w:rsid w:val="00F57E7D"/>
    <w:rsid w:val="00F602F0"/>
    <w:rsid w:val="00F60C90"/>
    <w:rsid w:val="00F619EE"/>
    <w:rsid w:val="00F61CF5"/>
    <w:rsid w:val="00F61FF9"/>
    <w:rsid w:val="00F62069"/>
    <w:rsid w:val="00F62159"/>
    <w:rsid w:val="00F62A7C"/>
    <w:rsid w:val="00F62B93"/>
    <w:rsid w:val="00F633E5"/>
    <w:rsid w:val="00F63C89"/>
    <w:rsid w:val="00F6440E"/>
    <w:rsid w:val="00F647EC"/>
    <w:rsid w:val="00F64FAB"/>
    <w:rsid w:val="00F657B8"/>
    <w:rsid w:val="00F65CEA"/>
    <w:rsid w:val="00F65F15"/>
    <w:rsid w:val="00F66443"/>
    <w:rsid w:val="00F667F3"/>
    <w:rsid w:val="00F675EA"/>
    <w:rsid w:val="00F7074A"/>
    <w:rsid w:val="00F70AD6"/>
    <w:rsid w:val="00F71687"/>
    <w:rsid w:val="00F71708"/>
    <w:rsid w:val="00F717C1"/>
    <w:rsid w:val="00F71CDB"/>
    <w:rsid w:val="00F725D3"/>
    <w:rsid w:val="00F7281E"/>
    <w:rsid w:val="00F72C1A"/>
    <w:rsid w:val="00F72C3D"/>
    <w:rsid w:val="00F737AB"/>
    <w:rsid w:val="00F74216"/>
    <w:rsid w:val="00F746CF"/>
    <w:rsid w:val="00F74F0F"/>
    <w:rsid w:val="00F75731"/>
    <w:rsid w:val="00F75841"/>
    <w:rsid w:val="00F75E44"/>
    <w:rsid w:val="00F76333"/>
    <w:rsid w:val="00F77100"/>
    <w:rsid w:val="00F8090F"/>
    <w:rsid w:val="00F8139A"/>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1669"/>
    <w:rsid w:val="00F916DE"/>
    <w:rsid w:val="00F9184F"/>
    <w:rsid w:val="00F91943"/>
    <w:rsid w:val="00F92A66"/>
    <w:rsid w:val="00F931CF"/>
    <w:rsid w:val="00F93A31"/>
    <w:rsid w:val="00F93D6E"/>
    <w:rsid w:val="00F9423D"/>
    <w:rsid w:val="00F94609"/>
    <w:rsid w:val="00F95182"/>
    <w:rsid w:val="00F957D2"/>
    <w:rsid w:val="00F95BF8"/>
    <w:rsid w:val="00F95D94"/>
    <w:rsid w:val="00F966E0"/>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67E3"/>
    <w:rsid w:val="00FA7157"/>
    <w:rsid w:val="00FA73A6"/>
    <w:rsid w:val="00FA7698"/>
    <w:rsid w:val="00FA78C2"/>
    <w:rsid w:val="00FA7A2D"/>
    <w:rsid w:val="00FA7B4F"/>
    <w:rsid w:val="00FA7DA6"/>
    <w:rsid w:val="00FB06E7"/>
    <w:rsid w:val="00FB0822"/>
    <w:rsid w:val="00FB1093"/>
    <w:rsid w:val="00FB12C5"/>
    <w:rsid w:val="00FB13A0"/>
    <w:rsid w:val="00FB227E"/>
    <w:rsid w:val="00FB267D"/>
    <w:rsid w:val="00FB2A18"/>
    <w:rsid w:val="00FB2BC9"/>
    <w:rsid w:val="00FB2BF4"/>
    <w:rsid w:val="00FB2C8D"/>
    <w:rsid w:val="00FB2DC6"/>
    <w:rsid w:val="00FB3770"/>
    <w:rsid w:val="00FB4ED4"/>
    <w:rsid w:val="00FB5E81"/>
    <w:rsid w:val="00FB6E6C"/>
    <w:rsid w:val="00FB71B0"/>
    <w:rsid w:val="00FB7ABA"/>
    <w:rsid w:val="00FB7C21"/>
    <w:rsid w:val="00FB7C46"/>
    <w:rsid w:val="00FC04E0"/>
    <w:rsid w:val="00FC0D98"/>
    <w:rsid w:val="00FC1042"/>
    <w:rsid w:val="00FC11C6"/>
    <w:rsid w:val="00FC166F"/>
    <w:rsid w:val="00FC17D8"/>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2315"/>
    <w:rsid w:val="00FD29A7"/>
    <w:rsid w:val="00FD2B13"/>
    <w:rsid w:val="00FD2B15"/>
    <w:rsid w:val="00FD3092"/>
    <w:rsid w:val="00FD412E"/>
    <w:rsid w:val="00FD420F"/>
    <w:rsid w:val="00FD4F2F"/>
    <w:rsid w:val="00FD51F7"/>
    <w:rsid w:val="00FD5258"/>
    <w:rsid w:val="00FD541C"/>
    <w:rsid w:val="00FD5602"/>
    <w:rsid w:val="00FD5661"/>
    <w:rsid w:val="00FD5A2A"/>
    <w:rsid w:val="00FD5AE2"/>
    <w:rsid w:val="00FD62B4"/>
    <w:rsid w:val="00FD7142"/>
    <w:rsid w:val="00FD750F"/>
    <w:rsid w:val="00FE011C"/>
    <w:rsid w:val="00FE0694"/>
    <w:rsid w:val="00FE07DC"/>
    <w:rsid w:val="00FE1116"/>
    <w:rsid w:val="00FE2075"/>
    <w:rsid w:val="00FE2080"/>
    <w:rsid w:val="00FE27B9"/>
    <w:rsid w:val="00FE2E37"/>
    <w:rsid w:val="00FE35CE"/>
    <w:rsid w:val="00FE3640"/>
    <w:rsid w:val="00FE36EE"/>
    <w:rsid w:val="00FE3780"/>
    <w:rsid w:val="00FE3954"/>
    <w:rsid w:val="00FE3CF7"/>
    <w:rsid w:val="00FE4071"/>
    <w:rsid w:val="00FE42E3"/>
    <w:rsid w:val="00FE4ECD"/>
    <w:rsid w:val="00FE52B7"/>
    <w:rsid w:val="00FE53C5"/>
    <w:rsid w:val="00FE56A8"/>
    <w:rsid w:val="00FE5807"/>
    <w:rsid w:val="00FE5C39"/>
    <w:rsid w:val="00FE5C57"/>
    <w:rsid w:val="00FE624E"/>
    <w:rsid w:val="00FE6291"/>
    <w:rsid w:val="00FE6415"/>
    <w:rsid w:val="00FE69E7"/>
    <w:rsid w:val="00FE6BB8"/>
    <w:rsid w:val="00FE6E76"/>
    <w:rsid w:val="00FE7477"/>
    <w:rsid w:val="00FF027B"/>
    <w:rsid w:val="00FF0E16"/>
    <w:rsid w:val="00FF1174"/>
    <w:rsid w:val="00FF165A"/>
    <w:rsid w:val="00FF16E9"/>
    <w:rsid w:val="00FF1B72"/>
    <w:rsid w:val="00FF1CF1"/>
    <w:rsid w:val="00FF1F4C"/>
    <w:rsid w:val="00FF35DC"/>
    <w:rsid w:val="00FF3A6A"/>
    <w:rsid w:val="00FF3C7A"/>
    <w:rsid w:val="00FF3CAC"/>
    <w:rsid w:val="00FF3E09"/>
    <w:rsid w:val="00FF411C"/>
    <w:rsid w:val="00FF44C6"/>
    <w:rsid w:val="00FF4B2E"/>
    <w:rsid w:val="00FF4E4B"/>
    <w:rsid w:val="00FF4E4E"/>
    <w:rsid w:val="00FF5049"/>
    <w:rsid w:val="00FF5D1F"/>
    <w:rsid w:val="00FF5F95"/>
    <w:rsid w:val="00FF6126"/>
    <w:rsid w:val="00FF61F5"/>
    <w:rsid w:val="00FF62AA"/>
    <w:rsid w:val="00FF64D7"/>
    <w:rsid w:val="00FF6B6C"/>
    <w:rsid w:val="00FF6DD4"/>
    <w:rsid w:val="01126495"/>
    <w:rsid w:val="01187BDA"/>
    <w:rsid w:val="012375FA"/>
    <w:rsid w:val="01844D0B"/>
    <w:rsid w:val="01AA2C10"/>
    <w:rsid w:val="01D84888"/>
    <w:rsid w:val="01EE19B6"/>
    <w:rsid w:val="01F863BC"/>
    <w:rsid w:val="02037082"/>
    <w:rsid w:val="026F4C75"/>
    <w:rsid w:val="02C975A1"/>
    <w:rsid w:val="03032BFE"/>
    <w:rsid w:val="03411FB9"/>
    <w:rsid w:val="03570EF9"/>
    <w:rsid w:val="037738D8"/>
    <w:rsid w:val="03BA01AE"/>
    <w:rsid w:val="03BB5C30"/>
    <w:rsid w:val="03C10F59"/>
    <w:rsid w:val="03C70711"/>
    <w:rsid w:val="03CB0448"/>
    <w:rsid w:val="03D311A3"/>
    <w:rsid w:val="041736D9"/>
    <w:rsid w:val="041D390A"/>
    <w:rsid w:val="04336B73"/>
    <w:rsid w:val="043373B0"/>
    <w:rsid w:val="04390EE3"/>
    <w:rsid w:val="044C3E9A"/>
    <w:rsid w:val="048168F2"/>
    <w:rsid w:val="04817AE7"/>
    <w:rsid w:val="04CB7F6F"/>
    <w:rsid w:val="05157166"/>
    <w:rsid w:val="05461B09"/>
    <w:rsid w:val="05833830"/>
    <w:rsid w:val="058663AA"/>
    <w:rsid w:val="06127A26"/>
    <w:rsid w:val="06542070"/>
    <w:rsid w:val="06704517"/>
    <w:rsid w:val="06801C3B"/>
    <w:rsid w:val="06986F23"/>
    <w:rsid w:val="06AA71FC"/>
    <w:rsid w:val="06B61F38"/>
    <w:rsid w:val="06B66892"/>
    <w:rsid w:val="06C16E21"/>
    <w:rsid w:val="06C278B5"/>
    <w:rsid w:val="06F86E33"/>
    <w:rsid w:val="06FE6F42"/>
    <w:rsid w:val="07243642"/>
    <w:rsid w:val="075F0692"/>
    <w:rsid w:val="07706670"/>
    <w:rsid w:val="0789731F"/>
    <w:rsid w:val="08122A87"/>
    <w:rsid w:val="0817284C"/>
    <w:rsid w:val="08396F86"/>
    <w:rsid w:val="083E4D1A"/>
    <w:rsid w:val="085140B5"/>
    <w:rsid w:val="08744F7A"/>
    <w:rsid w:val="08801455"/>
    <w:rsid w:val="08DD09D6"/>
    <w:rsid w:val="08E85B13"/>
    <w:rsid w:val="08F47C8E"/>
    <w:rsid w:val="08F53B23"/>
    <w:rsid w:val="08FB5603"/>
    <w:rsid w:val="090F188D"/>
    <w:rsid w:val="093C394F"/>
    <w:rsid w:val="094E3682"/>
    <w:rsid w:val="096A7359"/>
    <w:rsid w:val="097844C5"/>
    <w:rsid w:val="099C6AC9"/>
    <w:rsid w:val="09A156A0"/>
    <w:rsid w:val="09DA7B17"/>
    <w:rsid w:val="0A070656"/>
    <w:rsid w:val="0A1160B7"/>
    <w:rsid w:val="0A2F7375"/>
    <w:rsid w:val="0A6F0BAC"/>
    <w:rsid w:val="0A7327EB"/>
    <w:rsid w:val="0A8C7FBE"/>
    <w:rsid w:val="0A913ED8"/>
    <w:rsid w:val="0AA417AC"/>
    <w:rsid w:val="0AA71869"/>
    <w:rsid w:val="0B20573F"/>
    <w:rsid w:val="0B24171E"/>
    <w:rsid w:val="0B2952BC"/>
    <w:rsid w:val="0B2B3C7B"/>
    <w:rsid w:val="0B6158EF"/>
    <w:rsid w:val="0B701A53"/>
    <w:rsid w:val="0B7A250D"/>
    <w:rsid w:val="0B7F09E9"/>
    <w:rsid w:val="0B7F5D75"/>
    <w:rsid w:val="0B8F51F0"/>
    <w:rsid w:val="0BC36FFD"/>
    <w:rsid w:val="0BDC31C7"/>
    <w:rsid w:val="0BDE6F3F"/>
    <w:rsid w:val="0BF57DE5"/>
    <w:rsid w:val="0C275759"/>
    <w:rsid w:val="0C466B45"/>
    <w:rsid w:val="0C886C9D"/>
    <w:rsid w:val="0CA352C8"/>
    <w:rsid w:val="0D080870"/>
    <w:rsid w:val="0D107E7B"/>
    <w:rsid w:val="0D41005C"/>
    <w:rsid w:val="0D505C1B"/>
    <w:rsid w:val="0D584403"/>
    <w:rsid w:val="0D6C1348"/>
    <w:rsid w:val="0D8301BA"/>
    <w:rsid w:val="0D83222B"/>
    <w:rsid w:val="0DB15B6F"/>
    <w:rsid w:val="0DD04666"/>
    <w:rsid w:val="0DEE7765"/>
    <w:rsid w:val="0DF61125"/>
    <w:rsid w:val="0DF742E8"/>
    <w:rsid w:val="0E475979"/>
    <w:rsid w:val="0E64422B"/>
    <w:rsid w:val="0EBF77D6"/>
    <w:rsid w:val="0EC12248"/>
    <w:rsid w:val="0ECE329B"/>
    <w:rsid w:val="0EF1255C"/>
    <w:rsid w:val="0F0B20C6"/>
    <w:rsid w:val="0F1108C5"/>
    <w:rsid w:val="0F2F360E"/>
    <w:rsid w:val="0F503C2D"/>
    <w:rsid w:val="0F58555F"/>
    <w:rsid w:val="0F7931ED"/>
    <w:rsid w:val="0F9A13CF"/>
    <w:rsid w:val="0FDD12BC"/>
    <w:rsid w:val="0FFF2EBC"/>
    <w:rsid w:val="101C0A97"/>
    <w:rsid w:val="105C48D7"/>
    <w:rsid w:val="105E7B1E"/>
    <w:rsid w:val="10894C2E"/>
    <w:rsid w:val="10A8619F"/>
    <w:rsid w:val="10AB2BE5"/>
    <w:rsid w:val="10C73DE3"/>
    <w:rsid w:val="10E50428"/>
    <w:rsid w:val="10E67546"/>
    <w:rsid w:val="10EB2E06"/>
    <w:rsid w:val="10F67974"/>
    <w:rsid w:val="11196324"/>
    <w:rsid w:val="111D2643"/>
    <w:rsid w:val="11567578"/>
    <w:rsid w:val="115F467E"/>
    <w:rsid w:val="116C7319"/>
    <w:rsid w:val="11A42FDF"/>
    <w:rsid w:val="11CC15E8"/>
    <w:rsid w:val="11ED1C8A"/>
    <w:rsid w:val="12685FCD"/>
    <w:rsid w:val="12687563"/>
    <w:rsid w:val="126E4E13"/>
    <w:rsid w:val="12D70244"/>
    <w:rsid w:val="12F64B6E"/>
    <w:rsid w:val="12FF7089"/>
    <w:rsid w:val="130C6ECC"/>
    <w:rsid w:val="132C5202"/>
    <w:rsid w:val="13383B04"/>
    <w:rsid w:val="134E5E3D"/>
    <w:rsid w:val="13695A71"/>
    <w:rsid w:val="136A2E67"/>
    <w:rsid w:val="136F0877"/>
    <w:rsid w:val="1376437D"/>
    <w:rsid w:val="13AE4ABF"/>
    <w:rsid w:val="13E3112D"/>
    <w:rsid w:val="14074B59"/>
    <w:rsid w:val="1424468F"/>
    <w:rsid w:val="14285D51"/>
    <w:rsid w:val="146F2C7A"/>
    <w:rsid w:val="149931DA"/>
    <w:rsid w:val="149E33A1"/>
    <w:rsid w:val="149E4992"/>
    <w:rsid w:val="14E31122"/>
    <w:rsid w:val="14FF2B7F"/>
    <w:rsid w:val="15140C56"/>
    <w:rsid w:val="15457443"/>
    <w:rsid w:val="15A5462A"/>
    <w:rsid w:val="15F07F9B"/>
    <w:rsid w:val="160B231C"/>
    <w:rsid w:val="16287735"/>
    <w:rsid w:val="167B02AE"/>
    <w:rsid w:val="16830111"/>
    <w:rsid w:val="16C453B5"/>
    <w:rsid w:val="16E93E1C"/>
    <w:rsid w:val="170E5D26"/>
    <w:rsid w:val="171613D6"/>
    <w:rsid w:val="172016ED"/>
    <w:rsid w:val="174910BB"/>
    <w:rsid w:val="174C649B"/>
    <w:rsid w:val="175E69A5"/>
    <w:rsid w:val="17800DC9"/>
    <w:rsid w:val="1783031F"/>
    <w:rsid w:val="17887D5F"/>
    <w:rsid w:val="17AD0B1D"/>
    <w:rsid w:val="17B60D70"/>
    <w:rsid w:val="17FC3533"/>
    <w:rsid w:val="180A5F00"/>
    <w:rsid w:val="18131481"/>
    <w:rsid w:val="184461DF"/>
    <w:rsid w:val="184F1988"/>
    <w:rsid w:val="185F3909"/>
    <w:rsid w:val="185F44BD"/>
    <w:rsid w:val="187327BD"/>
    <w:rsid w:val="18796004"/>
    <w:rsid w:val="187D763D"/>
    <w:rsid w:val="18993FAA"/>
    <w:rsid w:val="18BA1340"/>
    <w:rsid w:val="18BC4164"/>
    <w:rsid w:val="18EB6960"/>
    <w:rsid w:val="18ED4512"/>
    <w:rsid w:val="193A468C"/>
    <w:rsid w:val="19742C91"/>
    <w:rsid w:val="19930F72"/>
    <w:rsid w:val="1A0B22C7"/>
    <w:rsid w:val="1A0F5B29"/>
    <w:rsid w:val="1A3D68F8"/>
    <w:rsid w:val="1A401678"/>
    <w:rsid w:val="1A442DE9"/>
    <w:rsid w:val="1A554C36"/>
    <w:rsid w:val="1A6A061D"/>
    <w:rsid w:val="1AA8344A"/>
    <w:rsid w:val="1AF33253"/>
    <w:rsid w:val="1B577D6B"/>
    <w:rsid w:val="1B8F5B60"/>
    <w:rsid w:val="1BA467E1"/>
    <w:rsid w:val="1BBE66F3"/>
    <w:rsid w:val="1BC819BC"/>
    <w:rsid w:val="1BDF7FF1"/>
    <w:rsid w:val="1BEA654A"/>
    <w:rsid w:val="1BF421B6"/>
    <w:rsid w:val="1C085913"/>
    <w:rsid w:val="1C0C5403"/>
    <w:rsid w:val="1C2C56E8"/>
    <w:rsid w:val="1C2E454B"/>
    <w:rsid w:val="1C550B58"/>
    <w:rsid w:val="1C60279C"/>
    <w:rsid w:val="1C931680"/>
    <w:rsid w:val="1CD055C2"/>
    <w:rsid w:val="1CE63CF9"/>
    <w:rsid w:val="1CEE3304"/>
    <w:rsid w:val="1D2326C1"/>
    <w:rsid w:val="1D321E13"/>
    <w:rsid w:val="1D326317"/>
    <w:rsid w:val="1D553591"/>
    <w:rsid w:val="1D796FDE"/>
    <w:rsid w:val="1DD957B9"/>
    <w:rsid w:val="1DF148B0"/>
    <w:rsid w:val="1E116EB9"/>
    <w:rsid w:val="1E420733"/>
    <w:rsid w:val="1E4C3240"/>
    <w:rsid w:val="1E777908"/>
    <w:rsid w:val="1E7C6376"/>
    <w:rsid w:val="1E9A0BC9"/>
    <w:rsid w:val="1EB27275"/>
    <w:rsid w:val="1ED20022"/>
    <w:rsid w:val="1ED66A28"/>
    <w:rsid w:val="1EE24B4E"/>
    <w:rsid w:val="1EFA31B1"/>
    <w:rsid w:val="1F014CC6"/>
    <w:rsid w:val="1F125C80"/>
    <w:rsid w:val="1F4849CA"/>
    <w:rsid w:val="1F6A5C17"/>
    <w:rsid w:val="1F873477"/>
    <w:rsid w:val="1F8B4000"/>
    <w:rsid w:val="1FAA2283"/>
    <w:rsid w:val="1FC67CC8"/>
    <w:rsid w:val="1FDA6469"/>
    <w:rsid w:val="1FF82856"/>
    <w:rsid w:val="20201B07"/>
    <w:rsid w:val="202B631E"/>
    <w:rsid w:val="204E2DA0"/>
    <w:rsid w:val="20512691"/>
    <w:rsid w:val="2080016D"/>
    <w:rsid w:val="20C26E1E"/>
    <w:rsid w:val="20CA4297"/>
    <w:rsid w:val="20E93F65"/>
    <w:rsid w:val="21021AB9"/>
    <w:rsid w:val="21455F84"/>
    <w:rsid w:val="215A09BE"/>
    <w:rsid w:val="21624C74"/>
    <w:rsid w:val="21632E56"/>
    <w:rsid w:val="217D3EA3"/>
    <w:rsid w:val="21815F4B"/>
    <w:rsid w:val="218A14EF"/>
    <w:rsid w:val="218C0DE4"/>
    <w:rsid w:val="21977A70"/>
    <w:rsid w:val="21A67760"/>
    <w:rsid w:val="21B30F55"/>
    <w:rsid w:val="21EC361D"/>
    <w:rsid w:val="21FE57EE"/>
    <w:rsid w:val="22280CEB"/>
    <w:rsid w:val="223B31E3"/>
    <w:rsid w:val="22482F0D"/>
    <w:rsid w:val="226B2CCA"/>
    <w:rsid w:val="2297354C"/>
    <w:rsid w:val="22993850"/>
    <w:rsid w:val="22AB7D1B"/>
    <w:rsid w:val="22D034D4"/>
    <w:rsid w:val="22DF78A9"/>
    <w:rsid w:val="22E5250A"/>
    <w:rsid w:val="23532F8E"/>
    <w:rsid w:val="236E4B2D"/>
    <w:rsid w:val="239D2DE4"/>
    <w:rsid w:val="23C42BC0"/>
    <w:rsid w:val="23E634F2"/>
    <w:rsid w:val="23FE1AD5"/>
    <w:rsid w:val="240366A5"/>
    <w:rsid w:val="24342D11"/>
    <w:rsid w:val="246E2A10"/>
    <w:rsid w:val="24971117"/>
    <w:rsid w:val="24977600"/>
    <w:rsid w:val="24B831E2"/>
    <w:rsid w:val="24D17FF7"/>
    <w:rsid w:val="24EF141E"/>
    <w:rsid w:val="250D7AF6"/>
    <w:rsid w:val="25382DC5"/>
    <w:rsid w:val="25485AA7"/>
    <w:rsid w:val="25744691"/>
    <w:rsid w:val="258E390E"/>
    <w:rsid w:val="25A20B86"/>
    <w:rsid w:val="25B6156F"/>
    <w:rsid w:val="25DA2A28"/>
    <w:rsid w:val="25EB1189"/>
    <w:rsid w:val="25FA3D0A"/>
    <w:rsid w:val="260333D3"/>
    <w:rsid w:val="2620319C"/>
    <w:rsid w:val="262B0139"/>
    <w:rsid w:val="26461041"/>
    <w:rsid w:val="266746B6"/>
    <w:rsid w:val="26A50560"/>
    <w:rsid w:val="26B80661"/>
    <w:rsid w:val="26F176CF"/>
    <w:rsid w:val="270F55EE"/>
    <w:rsid w:val="272829C1"/>
    <w:rsid w:val="272F1A96"/>
    <w:rsid w:val="273C2EE9"/>
    <w:rsid w:val="2751350E"/>
    <w:rsid w:val="275C0F63"/>
    <w:rsid w:val="278D58F1"/>
    <w:rsid w:val="27C47FCA"/>
    <w:rsid w:val="27DD5EA5"/>
    <w:rsid w:val="27EE3C0E"/>
    <w:rsid w:val="27F52753"/>
    <w:rsid w:val="28040076"/>
    <w:rsid w:val="281A04EF"/>
    <w:rsid w:val="281F201A"/>
    <w:rsid w:val="282D4E46"/>
    <w:rsid w:val="28417C3A"/>
    <w:rsid w:val="288D3427"/>
    <w:rsid w:val="28944E1F"/>
    <w:rsid w:val="28C4250E"/>
    <w:rsid w:val="28FD4C4B"/>
    <w:rsid w:val="29114058"/>
    <w:rsid w:val="29325D7D"/>
    <w:rsid w:val="29361D11"/>
    <w:rsid w:val="297B0CF7"/>
    <w:rsid w:val="29DF4E41"/>
    <w:rsid w:val="29EA3232"/>
    <w:rsid w:val="2A005FEE"/>
    <w:rsid w:val="2A027E45"/>
    <w:rsid w:val="2AC807F9"/>
    <w:rsid w:val="2AD01CF1"/>
    <w:rsid w:val="2AD510B6"/>
    <w:rsid w:val="2AFB5DF1"/>
    <w:rsid w:val="2B0A7588"/>
    <w:rsid w:val="2B795EE5"/>
    <w:rsid w:val="2B822DA1"/>
    <w:rsid w:val="2BA67203"/>
    <w:rsid w:val="2BD15676"/>
    <w:rsid w:val="2C0564A4"/>
    <w:rsid w:val="2C161986"/>
    <w:rsid w:val="2C4C35F9"/>
    <w:rsid w:val="2C6D447B"/>
    <w:rsid w:val="2C7F577D"/>
    <w:rsid w:val="2CA46F92"/>
    <w:rsid w:val="2D0D0FDB"/>
    <w:rsid w:val="2D3A5211"/>
    <w:rsid w:val="2D3E1194"/>
    <w:rsid w:val="2D591BF5"/>
    <w:rsid w:val="2D746964"/>
    <w:rsid w:val="2D7A583E"/>
    <w:rsid w:val="2D7F343A"/>
    <w:rsid w:val="2D853E99"/>
    <w:rsid w:val="2DC11824"/>
    <w:rsid w:val="2E250044"/>
    <w:rsid w:val="2E285745"/>
    <w:rsid w:val="2E9C3189"/>
    <w:rsid w:val="2EAE6BB0"/>
    <w:rsid w:val="2EC467A4"/>
    <w:rsid w:val="2ED004DD"/>
    <w:rsid w:val="2EDD2DD9"/>
    <w:rsid w:val="2EE4717D"/>
    <w:rsid w:val="2F57276B"/>
    <w:rsid w:val="2F5B283C"/>
    <w:rsid w:val="2F723467"/>
    <w:rsid w:val="2F882E8F"/>
    <w:rsid w:val="2F8D6859"/>
    <w:rsid w:val="2F923FD0"/>
    <w:rsid w:val="2FA145FA"/>
    <w:rsid w:val="2FB059C6"/>
    <w:rsid w:val="2FCC3352"/>
    <w:rsid w:val="2FE975FE"/>
    <w:rsid w:val="2FF7387C"/>
    <w:rsid w:val="30234286"/>
    <w:rsid w:val="30515BDF"/>
    <w:rsid w:val="306F1C32"/>
    <w:rsid w:val="309533D8"/>
    <w:rsid w:val="30B579BF"/>
    <w:rsid w:val="31223673"/>
    <w:rsid w:val="312B7C81"/>
    <w:rsid w:val="31455897"/>
    <w:rsid w:val="314F5F72"/>
    <w:rsid w:val="316C293A"/>
    <w:rsid w:val="317E6003"/>
    <w:rsid w:val="32075FF9"/>
    <w:rsid w:val="322B2410"/>
    <w:rsid w:val="326C730B"/>
    <w:rsid w:val="32A0292F"/>
    <w:rsid w:val="32A02B99"/>
    <w:rsid w:val="33745910"/>
    <w:rsid w:val="33AD6EF1"/>
    <w:rsid w:val="33B92F4F"/>
    <w:rsid w:val="33BD4341"/>
    <w:rsid w:val="33D414D0"/>
    <w:rsid w:val="33E16D1D"/>
    <w:rsid w:val="33EA3E24"/>
    <w:rsid w:val="341B306D"/>
    <w:rsid w:val="346A1C43"/>
    <w:rsid w:val="349873DC"/>
    <w:rsid w:val="349E40E0"/>
    <w:rsid w:val="34C02431"/>
    <w:rsid w:val="34E25A8D"/>
    <w:rsid w:val="34F85D31"/>
    <w:rsid w:val="35064C8D"/>
    <w:rsid w:val="350727B3"/>
    <w:rsid w:val="35083E8D"/>
    <w:rsid w:val="353C44AA"/>
    <w:rsid w:val="354D0C50"/>
    <w:rsid w:val="355C251B"/>
    <w:rsid w:val="35BD2339"/>
    <w:rsid w:val="35CD358A"/>
    <w:rsid w:val="35EF0E95"/>
    <w:rsid w:val="36251143"/>
    <w:rsid w:val="365607BB"/>
    <w:rsid w:val="3665025C"/>
    <w:rsid w:val="367F7022"/>
    <w:rsid w:val="36DB7A54"/>
    <w:rsid w:val="36EC2A2B"/>
    <w:rsid w:val="370635D5"/>
    <w:rsid w:val="37497FCB"/>
    <w:rsid w:val="37555A58"/>
    <w:rsid w:val="37A33CE1"/>
    <w:rsid w:val="37FA18E4"/>
    <w:rsid w:val="3814248D"/>
    <w:rsid w:val="38371749"/>
    <w:rsid w:val="385F359C"/>
    <w:rsid w:val="38887767"/>
    <w:rsid w:val="38974B30"/>
    <w:rsid w:val="38B55790"/>
    <w:rsid w:val="38C84D83"/>
    <w:rsid w:val="38D86941"/>
    <w:rsid w:val="390210EC"/>
    <w:rsid w:val="396032C4"/>
    <w:rsid w:val="3971644D"/>
    <w:rsid w:val="397256DE"/>
    <w:rsid w:val="399051FD"/>
    <w:rsid w:val="399A52A5"/>
    <w:rsid w:val="3A192D6D"/>
    <w:rsid w:val="3A2B2E7D"/>
    <w:rsid w:val="3A3241B3"/>
    <w:rsid w:val="3A410516"/>
    <w:rsid w:val="3A417B96"/>
    <w:rsid w:val="3A54669A"/>
    <w:rsid w:val="3AC428AC"/>
    <w:rsid w:val="3ACD3B57"/>
    <w:rsid w:val="3ADE6207"/>
    <w:rsid w:val="3B2C04A1"/>
    <w:rsid w:val="3B3748A3"/>
    <w:rsid w:val="3B3B06BD"/>
    <w:rsid w:val="3B5206E1"/>
    <w:rsid w:val="3B58006C"/>
    <w:rsid w:val="3B6D1769"/>
    <w:rsid w:val="3B8A37F6"/>
    <w:rsid w:val="3BA80B19"/>
    <w:rsid w:val="3BCA70A6"/>
    <w:rsid w:val="3BCE5DD9"/>
    <w:rsid w:val="3BD55F13"/>
    <w:rsid w:val="3BD62F61"/>
    <w:rsid w:val="3BDF0A82"/>
    <w:rsid w:val="3BEC625F"/>
    <w:rsid w:val="3BF44FBF"/>
    <w:rsid w:val="3BF82174"/>
    <w:rsid w:val="3BFB29A6"/>
    <w:rsid w:val="3C1C4D96"/>
    <w:rsid w:val="3C2A3B2D"/>
    <w:rsid w:val="3C4240EC"/>
    <w:rsid w:val="3C5502A8"/>
    <w:rsid w:val="3C6504EB"/>
    <w:rsid w:val="3C7453A0"/>
    <w:rsid w:val="3CA84C67"/>
    <w:rsid w:val="3CF14CB0"/>
    <w:rsid w:val="3D0300A8"/>
    <w:rsid w:val="3D193084"/>
    <w:rsid w:val="3D711B40"/>
    <w:rsid w:val="3D90570D"/>
    <w:rsid w:val="3D9077EA"/>
    <w:rsid w:val="3DA05D99"/>
    <w:rsid w:val="3DB06028"/>
    <w:rsid w:val="3DDF04F3"/>
    <w:rsid w:val="3E1177E2"/>
    <w:rsid w:val="3E483C21"/>
    <w:rsid w:val="3E4A5E40"/>
    <w:rsid w:val="3E744574"/>
    <w:rsid w:val="3E800AA6"/>
    <w:rsid w:val="3E900150"/>
    <w:rsid w:val="3EA11583"/>
    <w:rsid w:val="3F224311"/>
    <w:rsid w:val="3F3A1FEB"/>
    <w:rsid w:val="3F4865EE"/>
    <w:rsid w:val="3F93711E"/>
    <w:rsid w:val="3FA21C75"/>
    <w:rsid w:val="3FA4775D"/>
    <w:rsid w:val="402702FD"/>
    <w:rsid w:val="402740CC"/>
    <w:rsid w:val="40324B88"/>
    <w:rsid w:val="403365DF"/>
    <w:rsid w:val="40595BA0"/>
    <w:rsid w:val="406F6FAC"/>
    <w:rsid w:val="40A67243"/>
    <w:rsid w:val="40B257B6"/>
    <w:rsid w:val="40B5453B"/>
    <w:rsid w:val="41025557"/>
    <w:rsid w:val="4154383A"/>
    <w:rsid w:val="41C041EE"/>
    <w:rsid w:val="41CA7043"/>
    <w:rsid w:val="41D37CA5"/>
    <w:rsid w:val="41FB0B50"/>
    <w:rsid w:val="420E1D6F"/>
    <w:rsid w:val="42253D73"/>
    <w:rsid w:val="422D0F9E"/>
    <w:rsid w:val="427D494C"/>
    <w:rsid w:val="429E5DDA"/>
    <w:rsid w:val="42DE0FF8"/>
    <w:rsid w:val="42F500EF"/>
    <w:rsid w:val="42F8776E"/>
    <w:rsid w:val="431A49B1"/>
    <w:rsid w:val="433230F1"/>
    <w:rsid w:val="433E1A96"/>
    <w:rsid w:val="437B23A2"/>
    <w:rsid w:val="43B2241F"/>
    <w:rsid w:val="43D24ED2"/>
    <w:rsid w:val="43F61C0F"/>
    <w:rsid w:val="44466E54"/>
    <w:rsid w:val="447C536B"/>
    <w:rsid w:val="44942A12"/>
    <w:rsid w:val="449C3C77"/>
    <w:rsid w:val="44B57B36"/>
    <w:rsid w:val="44B609C8"/>
    <w:rsid w:val="44B879F6"/>
    <w:rsid w:val="44C91833"/>
    <w:rsid w:val="44D53D34"/>
    <w:rsid w:val="44DF2E05"/>
    <w:rsid w:val="44E4602A"/>
    <w:rsid w:val="44E6687C"/>
    <w:rsid w:val="4517259F"/>
    <w:rsid w:val="453B44A5"/>
    <w:rsid w:val="4565155C"/>
    <w:rsid w:val="456D2B48"/>
    <w:rsid w:val="45717A64"/>
    <w:rsid w:val="45790B64"/>
    <w:rsid w:val="45817197"/>
    <w:rsid w:val="459C7697"/>
    <w:rsid w:val="45A33446"/>
    <w:rsid w:val="46084AF2"/>
    <w:rsid w:val="461248DC"/>
    <w:rsid w:val="46405B25"/>
    <w:rsid w:val="464B42E2"/>
    <w:rsid w:val="464E6F79"/>
    <w:rsid w:val="46513FED"/>
    <w:rsid w:val="465810C1"/>
    <w:rsid w:val="46681AE7"/>
    <w:rsid w:val="467B090B"/>
    <w:rsid w:val="46813C8C"/>
    <w:rsid w:val="46970363"/>
    <w:rsid w:val="46D56C12"/>
    <w:rsid w:val="46D857F0"/>
    <w:rsid w:val="4703600F"/>
    <w:rsid w:val="47092D04"/>
    <w:rsid w:val="472D6C3F"/>
    <w:rsid w:val="474F77A8"/>
    <w:rsid w:val="47705F96"/>
    <w:rsid w:val="478A4254"/>
    <w:rsid w:val="478A7058"/>
    <w:rsid w:val="47CB5A57"/>
    <w:rsid w:val="47F0331C"/>
    <w:rsid w:val="47FB414A"/>
    <w:rsid w:val="483B115F"/>
    <w:rsid w:val="484A1CB2"/>
    <w:rsid w:val="485A1120"/>
    <w:rsid w:val="48F30D3D"/>
    <w:rsid w:val="48F92C46"/>
    <w:rsid w:val="49030FD7"/>
    <w:rsid w:val="49431BB4"/>
    <w:rsid w:val="494C0986"/>
    <w:rsid w:val="49A71AE5"/>
    <w:rsid w:val="49F954BB"/>
    <w:rsid w:val="4A0927D0"/>
    <w:rsid w:val="4A314103"/>
    <w:rsid w:val="4A454E53"/>
    <w:rsid w:val="4A627E06"/>
    <w:rsid w:val="4A6B72A5"/>
    <w:rsid w:val="4AB970CC"/>
    <w:rsid w:val="4AC445B2"/>
    <w:rsid w:val="4B4810E6"/>
    <w:rsid w:val="4B700C5B"/>
    <w:rsid w:val="4B8C0A01"/>
    <w:rsid w:val="4BE54155"/>
    <w:rsid w:val="4C16730D"/>
    <w:rsid w:val="4C4C77BA"/>
    <w:rsid w:val="4C6065D9"/>
    <w:rsid w:val="4C8A729F"/>
    <w:rsid w:val="4CCB2139"/>
    <w:rsid w:val="4CF319ED"/>
    <w:rsid w:val="4D1D2091"/>
    <w:rsid w:val="4D1D5528"/>
    <w:rsid w:val="4D3B0EF1"/>
    <w:rsid w:val="4D4144B0"/>
    <w:rsid w:val="4D587BF8"/>
    <w:rsid w:val="4D6E13B9"/>
    <w:rsid w:val="4D781AD3"/>
    <w:rsid w:val="4D8D3EEF"/>
    <w:rsid w:val="4D9D560B"/>
    <w:rsid w:val="4DBC2B9E"/>
    <w:rsid w:val="4DDA4E46"/>
    <w:rsid w:val="4DEA2DC0"/>
    <w:rsid w:val="4EA043E9"/>
    <w:rsid w:val="4EAC5711"/>
    <w:rsid w:val="4EC97B4E"/>
    <w:rsid w:val="4F136CC9"/>
    <w:rsid w:val="4F1B7959"/>
    <w:rsid w:val="4F351F9F"/>
    <w:rsid w:val="4F5336EF"/>
    <w:rsid w:val="4F5A7C58"/>
    <w:rsid w:val="4F766114"/>
    <w:rsid w:val="4FA465B8"/>
    <w:rsid w:val="4FAC3CA0"/>
    <w:rsid w:val="4FB530E0"/>
    <w:rsid w:val="4FC76F0D"/>
    <w:rsid w:val="50291F71"/>
    <w:rsid w:val="5080635F"/>
    <w:rsid w:val="50827466"/>
    <w:rsid w:val="50C11553"/>
    <w:rsid w:val="50CA2BBB"/>
    <w:rsid w:val="50ED3C26"/>
    <w:rsid w:val="50F87728"/>
    <w:rsid w:val="51160A18"/>
    <w:rsid w:val="5121482B"/>
    <w:rsid w:val="517B7334"/>
    <w:rsid w:val="51B2004B"/>
    <w:rsid w:val="521C7F46"/>
    <w:rsid w:val="52311D3F"/>
    <w:rsid w:val="526A4CFF"/>
    <w:rsid w:val="528B08F5"/>
    <w:rsid w:val="528B1ED6"/>
    <w:rsid w:val="528F5286"/>
    <w:rsid w:val="52970F01"/>
    <w:rsid w:val="52AB1D72"/>
    <w:rsid w:val="53227B62"/>
    <w:rsid w:val="535624E4"/>
    <w:rsid w:val="53A31046"/>
    <w:rsid w:val="53D63625"/>
    <w:rsid w:val="540B4E65"/>
    <w:rsid w:val="542E3461"/>
    <w:rsid w:val="54556AEA"/>
    <w:rsid w:val="546F6672"/>
    <w:rsid w:val="54991314"/>
    <w:rsid w:val="54A42522"/>
    <w:rsid w:val="54D51413"/>
    <w:rsid w:val="54DF62D5"/>
    <w:rsid w:val="55012924"/>
    <w:rsid w:val="55125806"/>
    <w:rsid w:val="553D1BAE"/>
    <w:rsid w:val="553E1C84"/>
    <w:rsid w:val="555A347B"/>
    <w:rsid w:val="55622629"/>
    <w:rsid w:val="558A7103"/>
    <w:rsid w:val="561538F0"/>
    <w:rsid w:val="561D553B"/>
    <w:rsid w:val="563F61D8"/>
    <w:rsid w:val="564E09F9"/>
    <w:rsid w:val="56AB0FBE"/>
    <w:rsid w:val="56BD287A"/>
    <w:rsid w:val="57181282"/>
    <w:rsid w:val="578D73B3"/>
    <w:rsid w:val="5791649F"/>
    <w:rsid w:val="57932F96"/>
    <w:rsid w:val="57A879E7"/>
    <w:rsid w:val="57AE5369"/>
    <w:rsid w:val="57CC546B"/>
    <w:rsid w:val="57EC78BB"/>
    <w:rsid w:val="57EE718F"/>
    <w:rsid w:val="580524F4"/>
    <w:rsid w:val="583B7956"/>
    <w:rsid w:val="5875340D"/>
    <w:rsid w:val="587D0513"/>
    <w:rsid w:val="58B06B3A"/>
    <w:rsid w:val="591C1ADA"/>
    <w:rsid w:val="592A1964"/>
    <w:rsid w:val="59657925"/>
    <w:rsid w:val="59A63C70"/>
    <w:rsid w:val="59D423B5"/>
    <w:rsid w:val="59E764D9"/>
    <w:rsid w:val="59E81790"/>
    <w:rsid w:val="59F00D9B"/>
    <w:rsid w:val="5A3A2DDD"/>
    <w:rsid w:val="5A3D61AC"/>
    <w:rsid w:val="5A403EEE"/>
    <w:rsid w:val="5A5B792C"/>
    <w:rsid w:val="5A7122F9"/>
    <w:rsid w:val="5AC6337D"/>
    <w:rsid w:val="5AE1122D"/>
    <w:rsid w:val="5AE76118"/>
    <w:rsid w:val="5AEF2EBC"/>
    <w:rsid w:val="5B04316E"/>
    <w:rsid w:val="5B1851F5"/>
    <w:rsid w:val="5B2F5C2C"/>
    <w:rsid w:val="5BAD213A"/>
    <w:rsid w:val="5BF819A2"/>
    <w:rsid w:val="5C2F5FC8"/>
    <w:rsid w:val="5C702869"/>
    <w:rsid w:val="5C956FB5"/>
    <w:rsid w:val="5CFC2F9C"/>
    <w:rsid w:val="5D0964A7"/>
    <w:rsid w:val="5D1450ED"/>
    <w:rsid w:val="5D267E15"/>
    <w:rsid w:val="5D2D69AC"/>
    <w:rsid w:val="5D3543FB"/>
    <w:rsid w:val="5D620742"/>
    <w:rsid w:val="5D6B1282"/>
    <w:rsid w:val="5D916F3A"/>
    <w:rsid w:val="5D9E7C2F"/>
    <w:rsid w:val="5DB46785"/>
    <w:rsid w:val="5DBB5E91"/>
    <w:rsid w:val="5DC32E6C"/>
    <w:rsid w:val="5E095421"/>
    <w:rsid w:val="5E222D7F"/>
    <w:rsid w:val="5E6202E5"/>
    <w:rsid w:val="5E8612B8"/>
    <w:rsid w:val="5EBB7FE7"/>
    <w:rsid w:val="5EBE604E"/>
    <w:rsid w:val="5ED75D25"/>
    <w:rsid w:val="5EFA5E16"/>
    <w:rsid w:val="5F16521D"/>
    <w:rsid w:val="5F45113C"/>
    <w:rsid w:val="5F645F89"/>
    <w:rsid w:val="5FA34174"/>
    <w:rsid w:val="60037FE9"/>
    <w:rsid w:val="60193766"/>
    <w:rsid w:val="60456A53"/>
    <w:rsid w:val="60525B9B"/>
    <w:rsid w:val="60912707"/>
    <w:rsid w:val="609265CF"/>
    <w:rsid w:val="609F4BBD"/>
    <w:rsid w:val="60B2598D"/>
    <w:rsid w:val="60B44CEE"/>
    <w:rsid w:val="60CC028A"/>
    <w:rsid w:val="60E53887"/>
    <w:rsid w:val="60EF4197"/>
    <w:rsid w:val="61146686"/>
    <w:rsid w:val="61915F1E"/>
    <w:rsid w:val="61C20DC1"/>
    <w:rsid w:val="61CE5D83"/>
    <w:rsid w:val="62071770"/>
    <w:rsid w:val="621D76B9"/>
    <w:rsid w:val="62B8336A"/>
    <w:rsid w:val="62BF024A"/>
    <w:rsid w:val="62DA71BA"/>
    <w:rsid w:val="633059CA"/>
    <w:rsid w:val="63BF6D3F"/>
    <w:rsid w:val="63D47B81"/>
    <w:rsid w:val="63DC319D"/>
    <w:rsid w:val="63E94CAF"/>
    <w:rsid w:val="63FC0E86"/>
    <w:rsid w:val="642C127C"/>
    <w:rsid w:val="642E206A"/>
    <w:rsid w:val="64441196"/>
    <w:rsid w:val="64446389"/>
    <w:rsid w:val="645667E8"/>
    <w:rsid w:val="645706A8"/>
    <w:rsid w:val="646B664C"/>
    <w:rsid w:val="64852E25"/>
    <w:rsid w:val="64872E45"/>
    <w:rsid w:val="6489157D"/>
    <w:rsid w:val="64A511A0"/>
    <w:rsid w:val="64E371B6"/>
    <w:rsid w:val="64E67B5F"/>
    <w:rsid w:val="65091B75"/>
    <w:rsid w:val="651346D9"/>
    <w:rsid w:val="654B4351"/>
    <w:rsid w:val="657A2426"/>
    <w:rsid w:val="658A2326"/>
    <w:rsid w:val="65D21A26"/>
    <w:rsid w:val="65D43A20"/>
    <w:rsid w:val="65F91A5F"/>
    <w:rsid w:val="665243A2"/>
    <w:rsid w:val="669A6856"/>
    <w:rsid w:val="66A51361"/>
    <w:rsid w:val="67244646"/>
    <w:rsid w:val="67627084"/>
    <w:rsid w:val="676321F0"/>
    <w:rsid w:val="67A25FBB"/>
    <w:rsid w:val="68326F1C"/>
    <w:rsid w:val="68693658"/>
    <w:rsid w:val="68A3781D"/>
    <w:rsid w:val="68C90DE1"/>
    <w:rsid w:val="68C94FC4"/>
    <w:rsid w:val="68E36170"/>
    <w:rsid w:val="68E542A7"/>
    <w:rsid w:val="6904398B"/>
    <w:rsid w:val="690E58E3"/>
    <w:rsid w:val="691F7B3F"/>
    <w:rsid w:val="6948468F"/>
    <w:rsid w:val="699F478D"/>
    <w:rsid w:val="69D604DC"/>
    <w:rsid w:val="69D84B34"/>
    <w:rsid w:val="69DE324C"/>
    <w:rsid w:val="69E44896"/>
    <w:rsid w:val="6A6B0B13"/>
    <w:rsid w:val="6A6D5027"/>
    <w:rsid w:val="6A9B5EF7"/>
    <w:rsid w:val="6AA00538"/>
    <w:rsid w:val="6AA06A0F"/>
    <w:rsid w:val="6AC07030"/>
    <w:rsid w:val="6AFF300A"/>
    <w:rsid w:val="6B211A06"/>
    <w:rsid w:val="6B241A17"/>
    <w:rsid w:val="6B3B07D1"/>
    <w:rsid w:val="6B51060B"/>
    <w:rsid w:val="6B517D09"/>
    <w:rsid w:val="6B5C045C"/>
    <w:rsid w:val="6BC4672D"/>
    <w:rsid w:val="6BDA1122"/>
    <w:rsid w:val="6BDC1A72"/>
    <w:rsid w:val="6C0F250F"/>
    <w:rsid w:val="6C38717E"/>
    <w:rsid w:val="6C475310"/>
    <w:rsid w:val="6C663D36"/>
    <w:rsid w:val="6C670665"/>
    <w:rsid w:val="6C760C80"/>
    <w:rsid w:val="6C794D2E"/>
    <w:rsid w:val="6C8D2FC3"/>
    <w:rsid w:val="6CB8013A"/>
    <w:rsid w:val="6CD2609C"/>
    <w:rsid w:val="6CDC12A9"/>
    <w:rsid w:val="6CFB2239"/>
    <w:rsid w:val="6CFD6EA7"/>
    <w:rsid w:val="6D7A2AAC"/>
    <w:rsid w:val="6D934609"/>
    <w:rsid w:val="6D97582D"/>
    <w:rsid w:val="6D9A775D"/>
    <w:rsid w:val="6DB56F3E"/>
    <w:rsid w:val="6DF67421"/>
    <w:rsid w:val="6DFB0A7C"/>
    <w:rsid w:val="6E3D6323"/>
    <w:rsid w:val="6E3E052B"/>
    <w:rsid w:val="6E4459F8"/>
    <w:rsid w:val="6E4D5003"/>
    <w:rsid w:val="6E6F50E3"/>
    <w:rsid w:val="6E78155A"/>
    <w:rsid w:val="6E842006"/>
    <w:rsid w:val="6E914282"/>
    <w:rsid w:val="6E9C0F6F"/>
    <w:rsid w:val="6EE86BDB"/>
    <w:rsid w:val="6EFC1CA0"/>
    <w:rsid w:val="6F2D40FB"/>
    <w:rsid w:val="6F5F0058"/>
    <w:rsid w:val="6F685FF5"/>
    <w:rsid w:val="6F711CFD"/>
    <w:rsid w:val="6FBE2ED8"/>
    <w:rsid w:val="7015674C"/>
    <w:rsid w:val="70316124"/>
    <w:rsid w:val="708A7E30"/>
    <w:rsid w:val="709177BB"/>
    <w:rsid w:val="709357BE"/>
    <w:rsid w:val="70B825D8"/>
    <w:rsid w:val="711F0135"/>
    <w:rsid w:val="711F25A1"/>
    <w:rsid w:val="71303A3D"/>
    <w:rsid w:val="716F1703"/>
    <w:rsid w:val="717209D9"/>
    <w:rsid w:val="71AD7318"/>
    <w:rsid w:val="721F6672"/>
    <w:rsid w:val="7221458B"/>
    <w:rsid w:val="72342E21"/>
    <w:rsid w:val="726D70E7"/>
    <w:rsid w:val="726E34C9"/>
    <w:rsid w:val="727A5D97"/>
    <w:rsid w:val="72BF1FCE"/>
    <w:rsid w:val="73136A1E"/>
    <w:rsid w:val="733406F3"/>
    <w:rsid w:val="73C730E8"/>
    <w:rsid w:val="73CE3FEB"/>
    <w:rsid w:val="73E133AB"/>
    <w:rsid w:val="73FD15FE"/>
    <w:rsid w:val="7425078A"/>
    <w:rsid w:val="742D334E"/>
    <w:rsid w:val="74FC7333"/>
    <w:rsid w:val="753913DE"/>
    <w:rsid w:val="7573492C"/>
    <w:rsid w:val="75875680"/>
    <w:rsid w:val="75AC6520"/>
    <w:rsid w:val="75AD0232"/>
    <w:rsid w:val="75BD0917"/>
    <w:rsid w:val="75FB7D05"/>
    <w:rsid w:val="76173F42"/>
    <w:rsid w:val="763A0087"/>
    <w:rsid w:val="764A0321"/>
    <w:rsid w:val="764B251F"/>
    <w:rsid w:val="76B22968"/>
    <w:rsid w:val="76CD3407"/>
    <w:rsid w:val="77072B6C"/>
    <w:rsid w:val="770E6AAE"/>
    <w:rsid w:val="771A3CB7"/>
    <w:rsid w:val="773D7394"/>
    <w:rsid w:val="77556F63"/>
    <w:rsid w:val="7797566B"/>
    <w:rsid w:val="77C27899"/>
    <w:rsid w:val="780D4642"/>
    <w:rsid w:val="781F572E"/>
    <w:rsid w:val="78376848"/>
    <w:rsid w:val="78414C61"/>
    <w:rsid w:val="7895616A"/>
    <w:rsid w:val="78AE679B"/>
    <w:rsid w:val="78B41694"/>
    <w:rsid w:val="78C74BE8"/>
    <w:rsid w:val="78E24696"/>
    <w:rsid w:val="78F72ED2"/>
    <w:rsid w:val="78F74DED"/>
    <w:rsid w:val="78FF10F1"/>
    <w:rsid w:val="794F33AE"/>
    <w:rsid w:val="798F7650"/>
    <w:rsid w:val="799E4E95"/>
    <w:rsid w:val="79C36F3C"/>
    <w:rsid w:val="79D143EB"/>
    <w:rsid w:val="79E23E6E"/>
    <w:rsid w:val="79E26573"/>
    <w:rsid w:val="79E37F1A"/>
    <w:rsid w:val="79E42E44"/>
    <w:rsid w:val="7A30760F"/>
    <w:rsid w:val="7A613399"/>
    <w:rsid w:val="7A6535D9"/>
    <w:rsid w:val="7A8652AA"/>
    <w:rsid w:val="7AA716F4"/>
    <w:rsid w:val="7AD46261"/>
    <w:rsid w:val="7AF661D7"/>
    <w:rsid w:val="7B9A1258"/>
    <w:rsid w:val="7BA05A4D"/>
    <w:rsid w:val="7BA9149B"/>
    <w:rsid w:val="7BAB1B99"/>
    <w:rsid w:val="7BD976EB"/>
    <w:rsid w:val="7BFB52DE"/>
    <w:rsid w:val="7C06069C"/>
    <w:rsid w:val="7C9C4E59"/>
    <w:rsid w:val="7CA30E21"/>
    <w:rsid w:val="7CB62EA9"/>
    <w:rsid w:val="7CC825CA"/>
    <w:rsid w:val="7D25315D"/>
    <w:rsid w:val="7D324E19"/>
    <w:rsid w:val="7D3511F9"/>
    <w:rsid w:val="7D7D60A8"/>
    <w:rsid w:val="7D805F39"/>
    <w:rsid w:val="7DC53AD2"/>
    <w:rsid w:val="7DEA7424"/>
    <w:rsid w:val="7DF52776"/>
    <w:rsid w:val="7DF6074E"/>
    <w:rsid w:val="7E105802"/>
    <w:rsid w:val="7E5F22E5"/>
    <w:rsid w:val="7E665422"/>
    <w:rsid w:val="7E756539"/>
    <w:rsid w:val="7EA0044B"/>
    <w:rsid w:val="7EA3351C"/>
    <w:rsid w:val="7F076C05"/>
    <w:rsid w:val="7F23156F"/>
    <w:rsid w:val="7F4253B0"/>
    <w:rsid w:val="7F4C7E73"/>
    <w:rsid w:val="7F7A1B2D"/>
    <w:rsid w:val="7F855246"/>
    <w:rsid w:val="7F9F256C"/>
    <w:rsid w:val="7FC15C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9"/>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0"/>
    <w:qFormat/>
    <w:uiPriority w:val="0"/>
    <w:pPr>
      <w:keepNext/>
      <w:keepLines/>
      <w:spacing w:before="260" w:after="260" w:line="416" w:lineRule="auto"/>
      <w:outlineLvl w:val="2"/>
    </w:pPr>
    <w:rPr>
      <w:b/>
      <w:bCs/>
      <w:kern w:val="0"/>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7"/>
    <w:link w:val="61"/>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2"/>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3"/>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4"/>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5"/>
    <w:qFormat/>
    <w:uiPriority w:val="0"/>
    <w:pPr>
      <w:keepNext/>
      <w:keepLines/>
      <w:numPr>
        <w:ilvl w:val="8"/>
        <w:numId w:val="1"/>
      </w:numPr>
      <w:spacing w:before="240" w:after="64" w:line="320" w:lineRule="auto"/>
      <w:outlineLvl w:val="8"/>
    </w:pPr>
    <w:rPr>
      <w:rFonts w:ascii="Arial" w:hAnsi="Arial" w:eastAsia="黑体"/>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annotation text"/>
    <w:basedOn w:val="1"/>
    <w:link w:val="66"/>
    <w:unhideWhenUsed/>
    <w:qFormat/>
    <w:uiPriority w:val="0"/>
    <w:pPr>
      <w:jc w:val="left"/>
    </w:pPr>
  </w:style>
  <w:style w:type="paragraph" w:styleId="16">
    <w:name w:val="Body Text 3"/>
    <w:basedOn w:val="1"/>
    <w:link w:val="67"/>
    <w:qFormat/>
    <w:uiPriority w:val="0"/>
    <w:pPr>
      <w:spacing w:line="500" w:lineRule="exact"/>
    </w:pPr>
    <w:rPr>
      <w:b/>
      <w:bCs/>
      <w:kern w:val="0"/>
      <w:sz w:val="24"/>
    </w:rPr>
  </w:style>
  <w:style w:type="paragraph" w:styleId="17">
    <w:name w:val="Body Text"/>
    <w:basedOn w:val="1"/>
    <w:link w:val="56"/>
    <w:qFormat/>
    <w:uiPriority w:val="99"/>
    <w:pPr>
      <w:spacing w:line="380" w:lineRule="exact"/>
    </w:pPr>
    <w:rPr>
      <w:kern w:val="0"/>
      <w:sz w:val="24"/>
    </w:rPr>
  </w:style>
  <w:style w:type="paragraph" w:styleId="18">
    <w:name w:val="Body Text Indent"/>
    <w:basedOn w:val="1"/>
    <w:link w:val="68"/>
    <w:qFormat/>
    <w:uiPriority w:val="0"/>
    <w:pPr>
      <w:ind w:firstLine="830" w:firstLineChars="352"/>
    </w:pPr>
    <w:rPr>
      <w:rFonts w:ascii="仿宋_GB2312" w:eastAsia="仿宋_GB2312"/>
      <w:kern w:val="0"/>
      <w:sz w:val="32"/>
      <w:szCs w:val="20"/>
    </w:rPr>
  </w:style>
  <w:style w:type="paragraph" w:styleId="19">
    <w:name w:val="List Number 3"/>
    <w:basedOn w:val="1"/>
    <w:qFormat/>
    <w:uiPriority w:val="0"/>
    <w:pPr>
      <w:numPr>
        <w:ilvl w:val="0"/>
        <w:numId w:val="2"/>
      </w:numPr>
    </w:pPr>
  </w:style>
  <w:style w:type="paragraph" w:styleId="20">
    <w:name w:val="List 2"/>
    <w:basedOn w:val="1"/>
    <w:qFormat/>
    <w:uiPriority w:val="0"/>
    <w:pPr>
      <w:ind w:left="100" w:leftChars="200" w:hanging="200" w:hangingChars="200"/>
    </w:pPr>
    <w:rPr>
      <w:sz w:val="28"/>
    </w:rPr>
  </w:style>
  <w:style w:type="paragraph" w:styleId="21">
    <w:name w:val="toc 5"/>
    <w:basedOn w:val="1"/>
    <w:next w:val="1"/>
    <w:unhideWhenUsed/>
    <w:qFormat/>
    <w:uiPriority w:val="39"/>
    <w:pPr>
      <w:ind w:left="1680" w:leftChars="800"/>
    </w:pPr>
    <w:rPr>
      <w:rFonts w:ascii="Calibri" w:hAnsi="Calibri"/>
      <w:szCs w:val="22"/>
    </w:rPr>
  </w:style>
  <w:style w:type="paragraph" w:styleId="22">
    <w:name w:val="toc 3"/>
    <w:basedOn w:val="1"/>
    <w:next w:val="1"/>
    <w:unhideWhenUsed/>
    <w:qFormat/>
    <w:uiPriority w:val="39"/>
    <w:pPr>
      <w:ind w:left="840" w:leftChars="400"/>
    </w:pPr>
    <w:rPr>
      <w:rFonts w:ascii="Calibri" w:hAnsi="Calibri"/>
      <w:szCs w:val="22"/>
    </w:rPr>
  </w:style>
  <w:style w:type="paragraph" w:styleId="23">
    <w:name w:val="Plain Text"/>
    <w:basedOn w:val="1"/>
    <w:link w:val="69"/>
    <w:qFormat/>
    <w:uiPriority w:val="0"/>
    <w:rPr>
      <w:rFonts w:ascii="宋体" w:hAnsi="Courier New"/>
      <w:kern w:val="0"/>
      <w:sz w:val="20"/>
      <w:szCs w:val="21"/>
    </w:rPr>
  </w:style>
  <w:style w:type="paragraph" w:styleId="24">
    <w:name w:val="toc 8"/>
    <w:basedOn w:val="1"/>
    <w:next w:val="1"/>
    <w:unhideWhenUsed/>
    <w:qFormat/>
    <w:uiPriority w:val="39"/>
    <w:pPr>
      <w:ind w:left="2940" w:leftChars="1400"/>
    </w:pPr>
    <w:rPr>
      <w:rFonts w:ascii="Calibri" w:hAnsi="Calibri"/>
      <w:szCs w:val="22"/>
    </w:rPr>
  </w:style>
  <w:style w:type="paragraph" w:styleId="25">
    <w:name w:val="Date"/>
    <w:basedOn w:val="1"/>
    <w:next w:val="1"/>
    <w:link w:val="70"/>
    <w:qFormat/>
    <w:uiPriority w:val="0"/>
    <w:pPr>
      <w:ind w:left="100" w:leftChars="2500"/>
    </w:pPr>
    <w:rPr>
      <w:rFonts w:ascii="宋体" w:hAnsi="Courier New"/>
      <w:kern w:val="0"/>
      <w:sz w:val="20"/>
      <w:szCs w:val="21"/>
    </w:rPr>
  </w:style>
  <w:style w:type="paragraph" w:styleId="26">
    <w:name w:val="Body Text Indent 2"/>
    <w:basedOn w:val="1"/>
    <w:link w:val="71"/>
    <w:qFormat/>
    <w:uiPriority w:val="0"/>
    <w:pPr>
      <w:ind w:firstLine="630"/>
    </w:pPr>
    <w:rPr>
      <w:kern w:val="0"/>
      <w:sz w:val="32"/>
      <w:szCs w:val="20"/>
    </w:rPr>
  </w:style>
  <w:style w:type="paragraph" w:styleId="27">
    <w:name w:val="endnote text"/>
    <w:basedOn w:val="1"/>
    <w:link w:val="72"/>
    <w:unhideWhenUsed/>
    <w:qFormat/>
    <w:uiPriority w:val="99"/>
    <w:pPr>
      <w:snapToGrid w:val="0"/>
      <w:jc w:val="left"/>
    </w:pPr>
  </w:style>
  <w:style w:type="paragraph" w:styleId="28">
    <w:name w:val="Balloon Text"/>
    <w:basedOn w:val="1"/>
    <w:link w:val="73"/>
    <w:semiHidden/>
    <w:qFormat/>
    <w:uiPriority w:val="0"/>
    <w:rPr>
      <w:kern w:val="0"/>
      <w:sz w:val="18"/>
      <w:szCs w:val="18"/>
    </w:rPr>
  </w:style>
  <w:style w:type="paragraph" w:styleId="29">
    <w:name w:val="footer"/>
    <w:basedOn w:val="1"/>
    <w:next w:val="1"/>
    <w:link w:val="74"/>
    <w:unhideWhenUsed/>
    <w:qFormat/>
    <w:uiPriority w:val="99"/>
    <w:pPr>
      <w:tabs>
        <w:tab w:val="center" w:pos="4153"/>
        <w:tab w:val="right" w:pos="8306"/>
      </w:tabs>
      <w:snapToGrid w:val="0"/>
      <w:jc w:val="left"/>
    </w:pPr>
    <w:rPr>
      <w:kern w:val="0"/>
      <w:sz w:val="18"/>
      <w:szCs w:val="18"/>
    </w:rPr>
  </w:style>
  <w:style w:type="paragraph" w:styleId="30">
    <w:name w:val="header"/>
    <w:basedOn w:val="1"/>
    <w:link w:val="75"/>
    <w:unhideWhenUsed/>
    <w:qFormat/>
    <w:uiPriority w:val="99"/>
    <w:pPr>
      <w:pBdr>
        <w:bottom w:val="single" w:color="auto" w:sz="6" w:space="1"/>
      </w:pBdr>
      <w:tabs>
        <w:tab w:val="center" w:pos="0"/>
        <w:tab w:val="left" w:pos="8306"/>
      </w:tabs>
      <w:snapToGrid w:val="0"/>
      <w:jc w:val="center"/>
    </w:pPr>
    <w:rPr>
      <w:sz w:val="18"/>
      <w:szCs w:val="18"/>
    </w:rPr>
  </w:style>
  <w:style w:type="paragraph" w:styleId="31">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2">
    <w:name w:val="toc 4"/>
    <w:basedOn w:val="1"/>
    <w:next w:val="1"/>
    <w:unhideWhenUsed/>
    <w:qFormat/>
    <w:uiPriority w:val="39"/>
    <w:pPr>
      <w:ind w:left="1260" w:leftChars="600"/>
    </w:pPr>
    <w:rPr>
      <w:rFonts w:ascii="Calibri" w:hAnsi="Calibri"/>
      <w:szCs w:val="22"/>
    </w:rPr>
  </w:style>
  <w:style w:type="paragraph" w:styleId="33">
    <w:name w:val="List"/>
    <w:basedOn w:val="1"/>
    <w:qFormat/>
    <w:uiPriority w:val="0"/>
    <w:pPr>
      <w:ind w:left="200" w:hanging="200" w:hangingChars="200"/>
    </w:pPr>
    <w:rPr>
      <w:sz w:val="28"/>
    </w:rPr>
  </w:style>
  <w:style w:type="paragraph" w:styleId="34">
    <w:name w:val="footnote text"/>
    <w:basedOn w:val="1"/>
    <w:link w:val="76"/>
    <w:unhideWhenUsed/>
    <w:qFormat/>
    <w:uiPriority w:val="99"/>
    <w:pPr>
      <w:snapToGrid w:val="0"/>
      <w:jc w:val="left"/>
    </w:pPr>
    <w:rPr>
      <w:sz w:val="18"/>
      <w:szCs w:val="18"/>
    </w:rPr>
  </w:style>
  <w:style w:type="paragraph" w:styleId="35">
    <w:name w:val="toc 6"/>
    <w:basedOn w:val="1"/>
    <w:next w:val="1"/>
    <w:unhideWhenUsed/>
    <w:qFormat/>
    <w:uiPriority w:val="39"/>
    <w:pPr>
      <w:ind w:left="2100" w:leftChars="1000"/>
    </w:pPr>
    <w:rPr>
      <w:rFonts w:ascii="Calibri" w:hAnsi="Calibri"/>
      <w:szCs w:val="22"/>
    </w:rPr>
  </w:style>
  <w:style w:type="paragraph" w:styleId="36">
    <w:name w:val="Body Text Indent 3"/>
    <w:basedOn w:val="1"/>
    <w:link w:val="77"/>
    <w:qFormat/>
    <w:uiPriority w:val="0"/>
    <w:pPr>
      <w:spacing w:after="120"/>
      <w:ind w:left="420" w:leftChars="200"/>
    </w:pPr>
    <w:rPr>
      <w:kern w:val="0"/>
      <w:sz w:val="16"/>
      <w:szCs w:val="16"/>
    </w:rPr>
  </w:style>
  <w:style w:type="paragraph" w:styleId="37">
    <w:name w:val="toc 2"/>
    <w:basedOn w:val="1"/>
    <w:next w:val="1"/>
    <w:unhideWhenUsed/>
    <w:qFormat/>
    <w:uiPriority w:val="39"/>
    <w:pPr>
      <w:ind w:left="420" w:leftChars="200"/>
    </w:pPr>
  </w:style>
  <w:style w:type="paragraph" w:styleId="38">
    <w:name w:val="toc 9"/>
    <w:basedOn w:val="1"/>
    <w:next w:val="1"/>
    <w:unhideWhenUsed/>
    <w:qFormat/>
    <w:uiPriority w:val="39"/>
    <w:pPr>
      <w:ind w:left="3360" w:leftChars="1600"/>
    </w:pPr>
    <w:rPr>
      <w:rFonts w:ascii="Calibri" w:hAnsi="Calibri"/>
      <w:szCs w:val="22"/>
    </w:rPr>
  </w:style>
  <w:style w:type="paragraph" w:styleId="39">
    <w:name w:val="Body Text 2"/>
    <w:basedOn w:val="1"/>
    <w:link w:val="78"/>
    <w:qFormat/>
    <w:uiPriority w:val="0"/>
    <w:pPr>
      <w:spacing w:after="120" w:line="480" w:lineRule="auto"/>
    </w:pPr>
    <w:rPr>
      <w:kern w:val="0"/>
      <w:sz w:val="20"/>
    </w:rPr>
  </w:style>
  <w:style w:type="paragraph" w:styleId="40">
    <w:name w:val="Normal (Web)"/>
    <w:basedOn w:val="1"/>
    <w:qFormat/>
    <w:uiPriority w:val="99"/>
    <w:pPr>
      <w:widowControl/>
      <w:spacing w:before="100" w:beforeAutospacing="1" w:after="100" w:afterAutospacing="1"/>
      <w:jc w:val="left"/>
    </w:pPr>
    <w:rPr>
      <w:rFonts w:ascii="宋体" w:hAnsi="宋体"/>
      <w:kern w:val="0"/>
      <w:sz w:val="24"/>
    </w:rPr>
  </w:style>
  <w:style w:type="paragraph" w:styleId="41">
    <w:name w:val="index 1"/>
    <w:basedOn w:val="1"/>
    <w:next w:val="1"/>
    <w:semiHidden/>
    <w:qFormat/>
    <w:uiPriority w:val="0"/>
    <w:pPr>
      <w:spacing w:line="400" w:lineRule="exact"/>
      <w:ind w:firstLine="420" w:firstLineChars="200"/>
    </w:pPr>
    <w:rPr>
      <w:rFonts w:ascii="宋体" w:hAnsi="Courier New"/>
      <w:b/>
      <w:szCs w:val="20"/>
    </w:rPr>
  </w:style>
  <w:style w:type="paragraph" w:styleId="42">
    <w:name w:val="Title"/>
    <w:basedOn w:val="1"/>
    <w:next w:val="1"/>
    <w:link w:val="79"/>
    <w:qFormat/>
    <w:uiPriority w:val="10"/>
    <w:pPr>
      <w:spacing w:before="240" w:after="60"/>
      <w:jc w:val="center"/>
      <w:outlineLvl w:val="0"/>
    </w:pPr>
    <w:rPr>
      <w:rFonts w:ascii="Cambria" w:hAnsi="Cambria"/>
      <w:b/>
      <w:bCs/>
      <w:sz w:val="32"/>
      <w:szCs w:val="32"/>
    </w:rPr>
  </w:style>
  <w:style w:type="paragraph" w:styleId="43">
    <w:name w:val="annotation subject"/>
    <w:basedOn w:val="15"/>
    <w:next w:val="15"/>
    <w:link w:val="80"/>
    <w:unhideWhenUsed/>
    <w:qFormat/>
    <w:uiPriority w:val="99"/>
    <w:rPr>
      <w:b/>
      <w:bCs/>
    </w:rPr>
  </w:style>
  <w:style w:type="paragraph" w:styleId="44">
    <w:name w:val="Body Text First Indent"/>
    <w:basedOn w:val="17"/>
    <w:link w:val="57"/>
    <w:unhideWhenUsed/>
    <w:qFormat/>
    <w:uiPriority w:val="99"/>
    <w:pPr>
      <w:spacing w:after="120" w:line="240" w:lineRule="auto"/>
      <w:ind w:firstLine="420" w:firstLineChars="100"/>
    </w:pPr>
    <w:rPr>
      <w:kern w:val="2"/>
      <w:sz w:val="21"/>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r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0"/>
    <w:rPr>
      <w:color w:val="800080"/>
      <w:u w:val="single"/>
    </w:rPr>
  </w:style>
  <w:style w:type="character" w:styleId="52">
    <w:name w:val="Emphasis"/>
    <w:basedOn w:val="47"/>
    <w:qFormat/>
    <w:uiPriority w:val="20"/>
    <w:rPr>
      <w:i/>
    </w:rPr>
  </w:style>
  <w:style w:type="character" w:styleId="53">
    <w:name w:val="Hyperlink"/>
    <w:qFormat/>
    <w:uiPriority w:val="99"/>
    <w:rPr>
      <w:color w:val="0000FF"/>
      <w:u w:val="single"/>
    </w:rPr>
  </w:style>
  <w:style w:type="character" w:styleId="54">
    <w:name w:val="annotation reference"/>
    <w:unhideWhenUsed/>
    <w:qFormat/>
    <w:uiPriority w:val="0"/>
    <w:rPr>
      <w:sz w:val="21"/>
      <w:szCs w:val="21"/>
    </w:rPr>
  </w:style>
  <w:style w:type="character" w:styleId="55">
    <w:name w:val="footnote reference"/>
    <w:unhideWhenUsed/>
    <w:qFormat/>
    <w:uiPriority w:val="99"/>
    <w:rPr>
      <w:vertAlign w:val="superscript"/>
    </w:rPr>
  </w:style>
  <w:style w:type="character" w:customStyle="1" w:styleId="56">
    <w:name w:val="正文文本 字符"/>
    <w:link w:val="17"/>
    <w:qFormat/>
    <w:uiPriority w:val="99"/>
    <w:rPr>
      <w:rFonts w:ascii="Times New Roman" w:hAnsi="Times New Roman" w:eastAsia="宋体" w:cs="Times New Roman"/>
      <w:sz w:val="24"/>
      <w:szCs w:val="24"/>
    </w:rPr>
  </w:style>
  <w:style w:type="character" w:customStyle="1" w:styleId="57">
    <w:name w:val="正文文本首行缩进 字符"/>
    <w:link w:val="44"/>
    <w:semiHidden/>
    <w:qFormat/>
    <w:uiPriority w:val="99"/>
    <w:rPr>
      <w:rFonts w:ascii="Times New Roman" w:hAnsi="Times New Roman" w:eastAsia="宋体" w:cs="Times New Roman"/>
      <w:kern w:val="2"/>
      <w:sz w:val="21"/>
      <w:szCs w:val="24"/>
    </w:rPr>
  </w:style>
  <w:style w:type="character" w:customStyle="1" w:styleId="58">
    <w:name w:val="标题 1 字符1"/>
    <w:link w:val="2"/>
    <w:qFormat/>
    <w:uiPriority w:val="0"/>
    <w:rPr>
      <w:rFonts w:ascii="Times New Roman" w:hAnsi="Times New Roman" w:eastAsia="宋体" w:cs="Times New Roman"/>
      <w:b/>
      <w:bCs/>
      <w:kern w:val="44"/>
      <w:sz w:val="44"/>
      <w:szCs w:val="44"/>
    </w:rPr>
  </w:style>
  <w:style w:type="character" w:customStyle="1" w:styleId="59">
    <w:name w:val="标题 2 字符"/>
    <w:link w:val="3"/>
    <w:qFormat/>
    <w:uiPriority w:val="0"/>
    <w:rPr>
      <w:rFonts w:ascii="Arial" w:hAnsi="Arial" w:eastAsia="黑体" w:cs="Times New Roman"/>
      <w:b/>
      <w:bCs/>
      <w:sz w:val="32"/>
      <w:szCs w:val="32"/>
    </w:rPr>
  </w:style>
  <w:style w:type="character" w:customStyle="1" w:styleId="60">
    <w:name w:val="标题 3 字符"/>
    <w:link w:val="4"/>
    <w:qFormat/>
    <w:uiPriority w:val="0"/>
    <w:rPr>
      <w:rFonts w:ascii="Times New Roman" w:hAnsi="Times New Roman" w:eastAsia="宋体" w:cs="Times New Roman"/>
      <w:b/>
      <w:bCs/>
      <w:sz w:val="32"/>
      <w:szCs w:val="32"/>
    </w:rPr>
  </w:style>
  <w:style w:type="character" w:customStyle="1" w:styleId="61">
    <w:name w:val="标题 5 字符"/>
    <w:link w:val="6"/>
    <w:qFormat/>
    <w:uiPriority w:val="0"/>
    <w:rPr>
      <w:b/>
      <w:kern w:val="2"/>
      <w:sz w:val="28"/>
      <w:szCs w:val="24"/>
    </w:rPr>
  </w:style>
  <w:style w:type="character" w:customStyle="1" w:styleId="62">
    <w:name w:val="标题 6 字符"/>
    <w:link w:val="8"/>
    <w:qFormat/>
    <w:uiPriority w:val="0"/>
    <w:rPr>
      <w:rFonts w:ascii="Arial" w:hAnsi="Arial" w:eastAsia="黑体"/>
      <w:b/>
      <w:kern w:val="2"/>
      <w:sz w:val="24"/>
      <w:szCs w:val="24"/>
    </w:rPr>
  </w:style>
  <w:style w:type="character" w:customStyle="1" w:styleId="63">
    <w:name w:val="标题 7 字符"/>
    <w:link w:val="9"/>
    <w:qFormat/>
    <w:uiPriority w:val="0"/>
    <w:rPr>
      <w:rFonts w:ascii="Times New Roman" w:hAnsi="Times New Roman"/>
      <w:b/>
      <w:kern w:val="2"/>
      <w:sz w:val="24"/>
      <w:szCs w:val="24"/>
    </w:rPr>
  </w:style>
  <w:style w:type="character" w:customStyle="1" w:styleId="64">
    <w:name w:val="标题 8 字符"/>
    <w:link w:val="10"/>
    <w:qFormat/>
    <w:uiPriority w:val="0"/>
    <w:rPr>
      <w:rFonts w:ascii="Arial" w:hAnsi="Arial" w:eastAsia="黑体"/>
      <w:kern w:val="2"/>
      <w:sz w:val="24"/>
      <w:szCs w:val="24"/>
    </w:rPr>
  </w:style>
  <w:style w:type="character" w:customStyle="1" w:styleId="65">
    <w:name w:val="标题 9 字符"/>
    <w:link w:val="11"/>
    <w:qFormat/>
    <w:uiPriority w:val="0"/>
    <w:rPr>
      <w:rFonts w:ascii="Arial" w:hAnsi="Arial" w:eastAsia="黑体"/>
      <w:kern w:val="2"/>
      <w:sz w:val="21"/>
      <w:szCs w:val="24"/>
    </w:rPr>
  </w:style>
  <w:style w:type="character" w:customStyle="1" w:styleId="66">
    <w:name w:val="批注文字 字符2"/>
    <w:link w:val="15"/>
    <w:qFormat/>
    <w:uiPriority w:val="0"/>
    <w:rPr>
      <w:rFonts w:ascii="Times New Roman" w:hAnsi="Times New Roman"/>
      <w:kern w:val="2"/>
      <w:sz w:val="21"/>
      <w:szCs w:val="24"/>
    </w:rPr>
  </w:style>
  <w:style w:type="character" w:customStyle="1" w:styleId="67">
    <w:name w:val="正文文本 3 字符"/>
    <w:link w:val="16"/>
    <w:qFormat/>
    <w:uiPriority w:val="0"/>
    <w:rPr>
      <w:rFonts w:ascii="Times New Roman" w:hAnsi="Times New Roman" w:eastAsia="宋体" w:cs="Times New Roman"/>
      <w:b/>
      <w:bCs/>
      <w:sz w:val="24"/>
      <w:szCs w:val="24"/>
    </w:rPr>
  </w:style>
  <w:style w:type="character" w:customStyle="1" w:styleId="68">
    <w:name w:val="正文文本缩进 字符1"/>
    <w:link w:val="18"/>
    <w:qFormat/>
    <w:uiPriority w:val="0"/>
    <w:rPr>
      <w:rFonts w:ascii="仿宋_GB2312" w:hAnsi="Times New Roman" w:eastAsia="仿宋_GB2312" w:cs="Times New Roman"/>
      <w:sz w:val="32"/>
      <w:szCs w:val="20"/>
    </w:rPr>
  </w:style>
  <w:style w:type="character" w:customStyle="1" w:styleId="69">
    <w:name w:val="纯文本 字符3"/>
    <w:link w:val="23"/>
    <w:qFormat/>
    <w:uiPriority w:val="0"/>
    <w:rPr>
      <w:rFonts w:ascii="宋体" w:hAnsi="Courier New" w:eastAsia="宋体" w:cs="Courier New"/>
      <w:szCs w:val="21"/>
    </w:rPr>
  </w:style>
  <w:style w:type="character" w:customStyle="1" w:styleId="70">
    <w:name w:val="日期 字符"/>
    <w:link w:val="25"/>
    <w:qFormat/>
    <w:uiPriority w:val="0"/>
    <w:rPr>
      <w:rFonts w:ascii="宋体" w:hAnsi="Courier New" w:eastAsia="宋体" w:cs="Courier New"/>
      <w:szCs w:val="21"/>
    </w:rPr>
  </w:style>
  <w:style w:type="character" w:customStyle="1" w:styleId="71">
    <w:name w:val="正文文本缩进 2 字符"/>
    <w:link w:val="26"/>
    <w:qFormat/>
    <w:uiPriority w:val="0"/>
    <w:rPr>
      <w:rFonts w:ascii="Times New Roman" w:hAnsi="Times New Roman" w:eastAsia="宋体" w:cs="Times New Roman"/>
      <w:sz w:val="32"/>
      <w:szCs w:val="20"/>
    </w:rPr>
  </w:style>
  <w:style w:type="character" w:customStyle="1" w:styleId="72">
    <w:name w:val="尾注文本 字符"/>
    <w:link w:val="27"/>
    <w:semiHidden/>
    <w:qFormat/>
    <w:uiPriority w:val="99"/>
    <w:rPr>
      <w:rFonts w:ascii="Times New Roman" w:hAnsi="Times New Roman"/>
      <w:kern w:val="2"/>
      <w:sz w:val="21"/>
      <w:szCs w:val="24"/>
    </w:rPr>
  </w:style>
  <w:style w:type="character" w:customStyle="1" w:styleId="73">
    <w:name w:val="批注框文本 字符"/>
    <w:link w:val="28"/>
    <w:semiHidden/>
    <w:qFormat/>
    <w:uiPriority w:val="0"/>
    <w:rPr>
      <w:rFonts w:ascii="Times New Roman" w:hAnsi="Times New Roman" w:eastAsia="宋体" w:cs="Times New Roman"/>
      <w:sz w:val="18"/>
      <w:szCs w:val="18"/>
    </w:rPr>
  </w:style>
  <w:style w:type="character" w:customStyle="1" w:styleId="74">
    <w:name w:val="页脚 字符"/>
    <w:link w:val="29"/>
    <w:qFormat/>
    <w:uiPriority w:val="99"/>
    <w:rPr>
      <w:sz w:val="18"/>
      <w:szCs w:val="18"/>
    </w:rPr>
  </w:style>
  <w:style w:type="character" w:customStyle="1" w:styleId="75">
    <w:name w:val="页眉 字符"/>
    <w:link w:val="30"/>
    <w:qFormat/>
    <w:uiPriority w:val="99"/>
    <w:rPr>
      <w:rFonts w:ascii="Times New Roman" w:hAnsi="Times New Roman"/>
      <w:kern w:val="2"/>
      <w:sz w:val="18"/>
      <w:szCs w:val="18"/>
    </w:rPr>
  </w:style>
  <w:style w:type="character" w:customStyle="1" w:styleId="76">
    <w:name w:val="脚注文本 字符"/>
    <w:link w:val="34"/>
    <w:semiHidden/>
    <w:qFormat/>
    <w:uiPriority w:val="99"/>
    <w:rPr>
      <w:rFonts w:ascii="Times New Roman" w:hAnsi="Times New Roman"/>
      <w:kern w:val="2"/>
      <w:sz w:val="18"/>
      <w:szCs w:val="18"/>
    </w:rPr>
  </w:style>
  <w:style w:type="character" w:customStyle="1" w:styleId="77">
    <w:name w:val="正文文本缩进 3 字符"/>
    <w:link w:val="36"/>
    <w:qFormat/>
    <w:uiPriority w:val="0"/>
    <w:rPr>
      <w:rFonts w:ascii="Times New Roman" w:hAnsi="Times New Roman" w:eastAsia="宋体" w:cs="Times New Roman"/>
      <w:sz w:val="16"/>
      <w:szCs w:val="16"/>
    </w:rPr>
  </w:style>
  <w:style w:type="character" w:customStyle="1" w:styleId="78">
    <w:name w:val="正文文本 2 字符"/>
    <w:link w:val="39"/>
    <w:qFormat/>
    <w:uiPriority w:val="0"/>
    <w:rPr>
      <w:rFonts w:ascii="Times New Roman" w:hAnsi="Times New Roman" w:eastAsia="宋体" w:cs="Times New Roman"/>
      <w:szCs w:val="24"/>
    </w:rPr>
  </w:style>
  <w:style w:type="character" w:customStyle="1" w:styleId="79">
    <w:name w:val="标题 字符"/>
    <w:link w:val="42"/>
    <w:qFormat/>
    <w:uiPriority w:val="10"/>
    <w:rPr>
      <w:rFonts w:ascii="Cambria" w:hAnsi="Cambria" w:cs="Times New Roman"/>
      <w:b/>
      <w:bCs/>
      <w:kern w:val="2"/>
      <w:sz w:val="32"/>
      <w:szCs w:val="32"/>
    </w:rPr>
  </w:style>
  <w:style w:type="character" w:customStyle="1" w:styleId="80">
    <w:name w:val="批注主题 字符"/>
    <w:link w:val="43"/>
    <w:semiHidden/>
    <w:qFormat/>
    <w:uiPriority w:val="99"/>
    <w:rPr>
      <w:rFonts w:ascii="Times New Roman" w:hAnsi="Times New Roman"/>
      <w:b/>
      <w:bCs/>
      <w:kern w:val="2"/>
      <w:sz w:val="21"/>
      <w:szCs w:val="24"/>
    </w:rPr>
  </w:style>
  <w:style w:type="character" w:customStyle="1" w:styleId="81">
    <w:name w:val="标题 1 字符"/>
    <w:qFormat/>
    <w:uiPriority w:val="9"/>
    <w:rPr>
      <w:rFonts w:ascii="Times New Roman" w:hAnsi="Times New Roman" w:eastAsia="宋体" w:cs="Times New Roman"/>
      <w:b/>
      <w:bCs/>
      <w:kern w:val="44"/>
      <w:sz w:val="44"/>
      <w:szCs w:val="44"/>
    </w:rPr>
  </w:style>
  <w:style w:type="character" w:customStyle="1" w:styleId="82">
    <w:name w:val="纯文本 Char"/>
    <w:qFormat/>
    <w:uiPriority w:val="99"/>
    <w:rPr>
      <w:rFonts w:ascii="宋体" w:hAnsi="Courier New" w:eastAsia="宋体"/>
      <w:kern w:val="2"/>
      <w:sz w:val="21"/>
      <w:lang w:val="en-US" w:eastAsia="zh-CN" w:bidi="ar-SA"/>
    </w:rPr>
  </w:style>
  <w:style w:type="character" w:customStyle="1" w:styleId="83">
    <w:name w:val="纯文本 字符1"/>
    <w:qFormat/>
    <w:uiPriority w:val="0"/>
    <w:rPr>
      <w:rFonts w:ascii="宋体" w:hAnsi="Courier New"/>
    </w:rPr>
  </w:style>
  <w:style w:type="character" w:customStyle="1" w:styleId="84">
    <w:name w:val="批注文字 字符"/>
    <w:qFormat/>
    <w:uiPriority w:val="0"/>
    <w:rPr>
      <w:rFonts w:ascii="Times New Roman" w:hAnsi="Times New Roman"/>
      <w:kern w:val="2"/>
      <w:sz w:val="21"/>
      <w:szCs w:val="24"/>
    </w:rPr>
  </w:style>
  <w:style w:type="character" w:customStyle="1" w:styleId="85">
    <w:name w:val="textcontents"/>
    <w:qFormat/>
    <w:uiPriority w:val="0"/>
  </w:style>
  <w:style w:type="character" w:customStyle="1" w:styleId="86">
    <w:name w:val="case31"/>
    <w:qFormat/>
    <w:uiPriority w:val="0"/>
    <w:rPr>
      <w:rFonts w:hint="default" w:ascii="_x000B__x000C_" w:hAnsi="_x000B__x000C_"/>
      <w:sz w:val="21"/>
      <w:szCs w:val="21"/>
    </w:rPr>
  </w:style>
  <w:style w:type="character" w:customStyle="1" w:styleId="87">
    <w:name w:val="批注文字 Char1"/>
    <w:semiHidden/>
    <w:qFormat/>
    <w:locked/>
    <w:uiPriority w:val="0"/>
    <w:rPr>
      <w:rFonts w:ascii="Times New Roman" w:hAnsi="Times New Roman"/>
      <w:kern w:val="2"/>
      <w:sz w:val="21"/>
      <w:szCs w:val="24"/>
    </w:rPr>
  </w:style>
  <w:style w:type="character" w:customStyle="1" w:styleId="88">
    <w:name w:val="apple-style-span"/>
    <w:qFormat/>
    <w:uiPriority w:val="0"/>
  </w:style>
  <w:style w:type="character" w:customStyle="1" w:styleId="89">
    <w:name w:val="纯文本 字符"/>
    <w:qFormat/>
    <w:uiPriority w:val="0"/>
    <w:rPr>
      <w:rFonts w:ascii="宋体" w:hAnsi="Courier New" w:eastAsia="宋体" w:cs="Courier New"/>
      <w:szCs w:val="21"/>
    </w:rPr>
  </w:style>
  <w:style w:type="character" w:customStyle="1" w:styleId="9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1">
    <w:name w:val="普通文字 Char Char2"/>
    <w:qFormat/>
    <w:uiPriority w:val="0"/>
    <w:rPr>
      <w:rFonts w:ascii="宋体" w:hAnsi="Courier New" w:eastAsia="宋体"/>
      <w:kern w:val="2"/>
      <w:sz w:val="21"/>
      <w:lang w:val="en-US" w:eastAsia="zh-CN" w:bidi="ar-SA"/>
    </w:rPr>
  </w:style>
  <w:style w:type="character" w:customStyle="1" w:styleId="92">
    <w:name w:val="正文文本缩进 字符"/>
    <w:qFormat/>
    <w:uiPriority w:val="0"/>
    <w:rPr>
      <w:rFonts w:ascii="仿宋_GB2312" w:hAnsi="Times New Roman" w:eastAsia="仿宋_GB2312" w:cs="Times New Roman"/>
      <w:sz w:val="32"/>
      <w:szCs w:val="20"/>
    </w:rPr>
  </w:style>
  <w:style w:type="character" w:customStyle="1" w:styleId="93">
    <w:name w:val="headline-content4"/>
    <w:qFormat/>
    <w:uiPriority w:val="0"/>
  </w:style>
  <w:style w:type="paragraph" w:customStyle="1" w:styleId="94">
    <w:name w:val="表格"/>
    <w:basedOn w:val="1"/>
    <w:qFormat/>
    <w:uiPriority w:val="0"/>
    <w:pPr>
      <w:spacing w:line="400" w:lineRule="exact"/>
    </w:pPr>
    <w:rPr>
      <w:sz w:val="24"/>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6">
    <w:name w:val="默认段落字体 Para Char Char Char Char Char Char Char Char Char1 Char Char Char Char"/>
    <w:basedOn w:val="1"/>
    <w:qFormat/>
    <w:uiPriority w:val="0"/>
    <w:rPr>
      <w:rFonts w:ascii="Tahoma" w:hAnsi="Tahoma"/>
      <w:sz w:val="24"/>
      <w:szCs w:val="20"/>
    </w:rPr>
  </w:style>
  <w:style w:type="paragraph" w:customStyle="1" w:styleId="9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98">
    <w:name w:val="正文首行缩进两字符"/>
    <w:basedOn w:val="1"/>
    <w:qFormat/>
    <w:uiPriority w:val="0"/>
    <w:pPr>
      <w:spacing w:line="360" w:lineRule="auto"/>
      <w:ind w:firstLine="200" w:firstLineChars="200"/>
    </w:pPr>
  </w:style>
  <w:style w:type="paragraph" w:customStyle="1" w:styleId="99">
    <w:name w:val="样式 首行缩进:  2 字符"/>
    <w:basedOn w:val="1"/>
    <w:qFormat/>
    <w:uiPriority w:val="0"/>
    <w:pPr>
      <w:spacing w:line="400" w:lineRule="exact"/>
      <w:ind w:firstLine="200" w:firstLineChars="200"/>
    </w:pPr>
    <w:rPr>
      <w:rFonts w:cs="宋体"/>
      <w:sz w:val="24"/>
    </w:rPr>
  </w:style>
  <w:style w:type="paragraph" w:customStyle="1" w:styleId="100">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02">
    <w:name w:val="正文段"/>
    <w:basedOn w:val="1"/>
    <w:qFormat/>
    <w:uiPriority w:val="0"/>
    <w:pPr>
      <w:widowControl/>
      <w:snapToGrid w:val="0"/>
      <w:spacing w:after="50" w:afterLines="50"/>
      <w:ind w:firstLine="200" w:firstLineChars="200"/>
    </w:pPr>
    <w:rPr>
      <w:kern w:val="0"/>
      <w:sz w:val="24"/>
      <w:szCs w:val="20"/>
    </w:rPr>
  </w:style>
  <w:style w:type="paragraph" w:customStyle="1" w:styleId="103">
    <w:name w:val="纯文本1"/>
    <w:basedOn w:val="1"/>
    <w:qFormat/>
    <w:uiPriority w:val="0"/>
    <w:rPr>
      <w:rFonts w:ascii="宋体" w:hAnsi="Courier New" w:cs="Century"/>
      <w:szCs w:val="21"/>
    </w:rPr>
  </w:style>
  <w:style w:type="paragraph" w:styleId="104">
    <w:name w:val="List Paragraph"/>
    <w:basedOn w:val="1"/>
    <w:qFormat/>
    <w:uiPriority w:val="99"/>
    <w:pPr>
      <w:ind w:firstLine="420" w:firstLineChars="200"/>
    </w:pPr>
  </w:style>
  <w:style w:type="paragraph" w:customStyle="1" w:styleId="105">
    <w:name w:val="样式"/>
    <w:qFormat/>
    <w:uiPriority w:val="99"/>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6">
    <w:name w:val="Char1"/>
    <w:basedOn w:val="1"/>
    <w:qFormat/>
    <w:uiPriority w:val="0"/>
    <w:rPr>
      <w:szCs w:val="21"/>
    </w:rPr>
  </w:style>
  <w:style w:type="character" w:customStyle="1" w:styleId="107">
    <w:name w:val="批注文字 字符1"/>
    <w:qFormat/>
    <w:uiPriority w:val="0"/>
    <w:rPr>
      <w:rFonts w:ascii="Times New Roman" w:hAnsi="Times New Roman"/>
      <w:kern w:val="2"/>
      <w:sz w:val="21"/>
      <w:szCs w:val="24"/>
    </w:rPr>
  </w:style>
  <w:style w:type="character" w:customStyle="1" w:styleId="108">
    <w:name w:val="纯文本 字符2"/>
    <w:qFormat/>
    <w:uiPriority w:val="0"/>
    <w:rPr>
      <w:rFonts w:ascii="宋体" w:hAnsi="Courier New" w:eastAsia="宋体" w:cs="Courier New"/>
      <w:szCs w:val="21"/>
    </w:rPr>
  </w:style>
  <w:style w:type="character" w:customStyle="1" w:styleId="109">
    <w:name w:val="10"/>
    <w:qFormat/>
    <w:uiPriority w:val="0"/>
    <w:rPr>
      <w:rFonts w:hint="default" w:ascii="Times New Roman" w:hAnsi="Times New Roman" w:cs="Times New Roman"/>
    </w:rPr>
  </w:style>
  <w:style w:type="character" w:customStyle="1" w:styleId="110">
    <w:name w:val="15"/>
    <w:qFormat/>
    <w:uiPriority w:val="0"/>
    <w:rPr>
      <w:rFonts w:hint="default" w:ascii="Times New Roman" w:hAnsi="Times New Roman" w:cs="Times New Roman"/>
    </w:rPr>
  </w:style>
  <w:style w:type="paragraph" w:customStyle="1" w:styleId="111">
    <w:name w:val="z正文"/>
    <w:basedOn w:val="44"/>
    <w:qFormat/>
    <w:uiPriority w:val="0"/>
    <w:pPr>
      <w:spacing w:after="0" w:line="360" w:lineRule="auto"/>
      <w:ind w:firstLine="200" w:firstLineChars="200"/>
    </w:pPr>
    <w:rPr>
      <w:sz w:val="24"/>
      <w:szCs w:val="28"/>
    </w:rPr>
  </w:style>
  <w:style w:type="paragraph" w:customStyle="1" w:styleId="112">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1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1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2992</Words>
  <Characters>3473</Characters>
  <Lines>363</Lines>
  <Paragraphs>102</Paragraphs>
  <TotalTime>69</TotalTime>
  <ScaleCrop>false</ScaleCrop>
  <LinksUpToDate>false</LinksUpToDate>
  <CharactersWithSpaces>3747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2026-06-01T07:56:00Z</dcterms:created>
  <dc:creator>番茄花园</dc:creator>
  <cp:lastModifiedBy>WPS_1618307932</cp:lastModifiedBy>
  <cp:lastPrinted>2025-07-24T01:10:00Z</cp:lastPrinted>
  <dcterms:modified xsi:type="dcterms:W3CDTF">2026-07-30T08:04:57Z</dcterms:modified>
  <dc:title>公开招标采购文件范本</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3057FCC4249D4C2B9A4831B638C0E67E_13</vt:lpwstr>
  </property>
  <property fmtid="{D5CDD505-2E9C-101B-9397-08002B2CF9AE}" pid="4" name="KSOTemplateDocerSaveRecord">
    <vt:lpwstr>eyJoZGlkIjoiMTg2NjQ0Y2IyYTZhYWRjODY4N2QxODQ5ZDRlYjc3NDAiLCJ1c2VySWQiOiIxMTk3NjE2MzUwIn0=</vt:lpwstr>
  </property>
</Properties>
</file>