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30D70D">
      <w:pPr>
        <w:pStyle w:val="31"/>
        <w:jc w:val="center"/>
        <w:rPr>
          <w:rFonts w:ascii="Times New Roman" w:hAnsi="Times New Roman"/>
          <w:b/>
          <w:bCs/>
          <w:sz w:val="52"/>
          <w:szCs w:val="52"/>
        </w:rPr>
      </w:pPr>
    </w:p>
    <w:p w14:paraId="1F8BA8A6">
      <w:pPr>
        <w:spacing w:after="93"/>
      </w:pPr>
      <w:bookmarkStart w:id="0" w:name="_GoBack"/>
    </w:p>
    <w:bookmarkEnd w:id="0"/>
    <w:p w14:paraId="3EFB7C9A">
      <w:pPr>
        <w:spacing w:after="93"/>
      </w:pPr>
    </w:p>
    <w:p w14:paraId="0362CB1D">
      <w:pPr>
        <w:spacing w:after="93"/>
      </w:pPr>
    </w:p>
    <w:p w14:paraId="40CECF67">
      <w:pPr>
        <w:spacing w:after="93"/>
      </w:pPr>
    </w:p>
    <w:p w14:paraId="1C137BC5">
      <w:pPr>
        <w:spacing w:after="93"/>
      </w:pPr>
    </w:p>
    <w:p w14:paraId="17F33D01">
      <w:pPr>
        <w:snapToGrid/>
        <w:spacing w:before="120" w:after="0" w:afterLines="0"/>
        <w:jc w:val="center"/>
        <w:rPr>
          <w:rFonts w:hint="eastAsia"/>
          <w:b/>
          <w:sz w:val="52"/>
          <w:szCs w:val="52"/>
        </w:rPr>
      </w:pPr>
      <w:r>
        <w:rPr>
          <w:rFonts w:hint="eastAsia"/>
          <w:b/>
          <w:sz w:val="52"/>
          <w:szCs w:val="52"/>
        </w:rPr>
        <w:t>多区联动项目</w:t>
      </w:r>
    </w:p>
    <w:p w14:paraId="1C9DBD83">
      <w:pPr>
        <w:snapToGrid/>
        <w:spacing w:before="120" w:after="0" w:afterLines="0"/>
        <w:jc w:val="center"/>
        <w:rPr>
          <w:b/>
          <w:sz w:val="52"/>
          <w:szCs w:val="52"/>
        </w:rPr>
      </w:pPr>
      <w:r>
        <w:rPr>
          <w:rFonts w:hint="eastAsia"/>
          <w:b/>
          <w:sz w:val="52"/>
          <w:szCs w:val="52"/>
        </w:rPr>
        <w:t>模块化机柜采购</w:t>
      </w:r>
    </w:p>
    <w:p w14:paraId="60939474">
      <w:pPr>
        <w:snapToGrid/>
        <w:spacing w:before="120" w:after="0" w:afterLines="0"/>
        <w:jc w:val="center"/>
        <w:rPr>
          <w:b/>
          <w:sz w:val="52"/>
          <w:szCs w:val="52"/>
        </w:rPr>
      </w:pPr>
    </w:p>
    <w:p w14:paraId="78C0AD2A">
      <w:pPr>
        <w:snapToGrid/>
        <w:spacing w:before="120" w:after="0" w:afterLines="0"/>
        <w:jc w:val="center"/>
        <w:rPr>
          <w:b/>
          <w:sz w:val="52"/>
          <w:szCs w:val="52"/>
        </w:rPr>
      </w:pPr>
    </w:p>
    <w:p w14:paraId="3E44E11A">
      <w:pPr>
        <w:snapToGrid/>
        <w:spacing w:before="120" w:after="0" w:afterLines="0"/>
        <w:jc w:val="center"/>
        <w:rPr>
          <w:b/>
          <w:sz w:val="52"/>
          <w:szCs w:val="52"/>
        </w:rPr>
      </w:pPr>
    </w:p>
    <w:p w14:paraId="7B2D4818">
      <w:pPr>
        <w:snapToGrid/>
        <w:spacing w:before="120" w:after="0" w:afterLines="0"/>
        <w:jc w:val="center"/>
        <w:rPr>
          <w:b/>
          <w:sz w:val="52"/>
          <w:szCs w:val="52"/>
        </w:rPr>
      </w:pPr>
    </w:p>
    <w:p w14:paraId="446C9D36">
      <w:pPr>
        <w:snapToGrid/>
        <w:spacing w:before="120" w:after="0" w:afterLines="0"/>
        <w:jc w:val="center"/>
        <w:rPr>
          <w:b/>
          <w:sz w:val="52"/>
          <w:szCs w:val="52"/>
        </w:rPr>
      </w:pPr>
      <w:r>
        <w:rPr>
          <w:rFonts w:hint="eastAsia"/>
          <w:b/>
          <w:sz w:val="52"/>
          <w:szCs w:val="52"/>
        </w:rPr>
        <w:t>需求书</w:t>
      </w:r>
    </w:p>
    <w:p w14:paraId="4FE84BA6">
      <w:pPr>
        <w:pStyle w:val="33"/>
        <w:spacing w:before="156" w:after="156"/>
      </w:pPr>
    </w:p>
    <w:p w14:paraId="0F1AA645">
      <w:pPr>
        <w:pStyle w:val="33"/>
        <w:spacing w:before="156" w:after="156"/>
      </w:pPr>
    </w:p>
    <w:p w14:paraId="6C15F8F8">
      <w:pPr>
        <w:pStyle w:val="33"/>
        <w:spacing w:before="156" w:after="156"/>
      </w:pPr>
    </w:p>
    <w:p w14:paraId="11264420">
      <w:pPr>
        <w:spacing w:after="93"/>
      </w:pPr>
    </w:p>
    <w:p w14:paraId="583EB768">
      <w:pPr>
        <w:pStyle w:val="33"/>
        <w:spacing w:before="156" w:after="156"/>
      </w:pPr>
    </w:p>
    <w:p w14:paraId="4F251EC1">
      <w:pPr>
        <w:pStyle w:val="33"/>
        <w:spacing w:before="156" w:after="156"/>
      </w:pPr>
    </w:p>
    <w:p w14:paraId="095BA610">
      <w:pPr>
        <w:pStyle w:val="33"/>
        <w:spacing w:before="156" w:after="156"/>
      </w:pPr>
    </w:p>
    <w:p w14:paraId="0982D117">
      <w:pPr>
        <w:pStyle w:val="2"/>
        <w:spacing w:after="93" w:line="360" w:lineRule="auto"/>
      </w:pPr>
      <w:r>
        <w:rPr>
          <w:rFonts w:hint="eastAsia"/>
        </w:rPr>
        <w:t>建设目标</w:t>
      </w:r>
    </w:p>
    <w:p w14:paraId="19F710E9">
      <w:pPr>
        <w:spacing w:after="93"/>
        <w:ind w:firstLine="420" w:firstLineChars="200"/>
      </w:pPr>
      <w:r>
        <w:rPr>
          <w:rFonts w:hint="eastAsia"/>
          <w:lang w:val="en-US" w:eastAsia="zh-CN"/>
        </w:rPr>
        <w:t>对</w:t>
      </w:r>
      <w:r>
        <w:rPr>
          <w:rFonts w:hint="eastAsia"/>
        </w:rPr>
        <w:t>白云物流中心现有机房</w:t>
      </w:r>
      <w:r>
        <w:rPr>
          <w:rFonts w:hint="eastAsia"/>
          <w:lang w:val="en-US" w:eastAsia="zh-CN"/>
        </w:rPr>
        <w:t>进行扩容，采购配备新的模块化机柜支持新增的服务器、网络设备部署使用。</w:t>
      </w:r>
    </w:p>
    <w:p w14:paraId="50030ABF">
      <w:pPr>
        <w:pStyle w:val="2"/>
        <w:bidi w:val="0"/>
        <w:ind w:left="573" w:leftChars="0" w:hanging="432" w:firstLineChars="0"/>
      </w:pPr>
      <w:r>
        <w:rPr>
          <w:rFonts w:hint="eastAsia"/>
        </w:rPr>
        <w:t>模块化机柜</w:t>
      </w:r>
      <w:r>
        <w:rPr>
          <w:rFonts w:hint="eastAsia"/>
          <w:lang w:val="en-US" w:eastAsia="zh-CN"/>
        </w:rPr>
        <w:t>采购</w:t>
      </w:r>
      <w:r>
        <w:rPr>
          <w:rFonts w:hint="eastAsia"/>
        </w:rPr>
        <w:t>需求清单</w:t>
      </w:r>
    </w:p>
    <w:tbl>
      <w:tblPr>
        <w:tblStyle w:val="16"/>
        <w:tblW w:w="948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713"/>
        <w:gridCol w:w="1533"/>
        <w:gridCol w:w="6093"/>
        <w:gridCol w:w="421"/>
        <w:gridCol w:w="728"/>
      </w:tblGrid>
      <w:tr w14:paraId="7B1AAAE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90" w:hRule="atLeast"/>
          <w:tblHeader/>
          <w:jc w:val="center"/>
        </w:trPr>
        <w:tc>
          <w:tcPr>
            <w:tcW w:w="713" w:type="dxa"/>
            <w:shd w:val="clear" w:color="auto" w:fill="BDD7EE"/>
            <w:vAlign w:val="center"/>
          </w:tcPr>
          <w:p w14:paraId="2A5E500B">
            <w:pPr>
              <w:adjustRightInd w:val="0"/>
              <w:spacing w:after="0" w:afterLines="0" w:line="240" w:lineRule="auto"/>
              <w:jc w:val="center"/>
              <w:rPr>
                <w:b/>
                <w:bCs/>
              </w:rPr>
            </w:pPr>
            <w:r>
              <w:rPr>
                <w:b/>
                <w:bCs/>
              </w:rPr>
              <w:t>序号</w:t>
            </w:r>
          </w:p>
        </w:tc>
        <w:tc>
          <w:tcPr>
            <w:tcW w:w="1533" w:type="dxa"/>
            <w:shd w:val="clear" w:color="auto" w:fill="BDD7EE"/>
            <w:vAlign w:val="center"/>
          </w:tcPr>
          <w:p w14:paraId="6853ABC1">
            <w:pPr>
              <w:adjustRightInd w:val="0"/>
              <w:spacing w:after="0" w:afterLines="0" w:line="240" w:lineRule="auto"/>
              <w:jc w:val="center"/>
              <w:rPr>
                <w:b/>
                <w:bCs/>
              </w:rPr>
            </w:pPr>
            <w:r>
              <w:rPr>
                <w:b/>
                <w:bCs/>
              </w:rPr>
              <w:t>设备名称</w:t>
            </w:r>
          </w:p>
        </w:tc>
        <w:tc>
          <w:tcPr>
            <w:tcW w:w="6093" w:type="dxa"/>
            <w:shd w:val="clear" w:color="auto" w:fill="BDD7EE"/>
            <w:vAlign w:val="center"/>
          </w:tcPr>
          <w:p w14:paraId="4AD583DD">
            <w:pPr>
              <w:adjustRightInd w:val="0"/>
              <w:spacing w:after="0" w:afterLines="0" w:line="240" w:lineRule="auto"/>
              <w:jc w:val="center"/>
              <w:rPr>
                <w:b/>
                <w:bCs/>
              </w:rPr>
            </w:pPr>
            <w:r>
              <w:rPr>
                <w:rFonts w:hint="eastAsia"/>
                <w:b/>
                <w:bCs/>
              </w:rPr>
              <w:t>技术参数要求</w:t>
            </w:r>
          </w:p>
        </w:tc>
        <w:tc>
          <w:tcPr>
            <w:tcW w:w="421" w:type="dxa"/>
            <w:shd w:val="clear" w:color="auto" w:fill="BDD7EE"/>
            <w:vAlign w:val="center"/>
          </w:tcPr>
          <w:p w14:paraId="0E44F958">
            <w:pPr>
              <w:adjustRightInd w:val="0"/>
              <w:spacing w:after="0" w:afterLines="0" w:line="240" w:lineRule="auto"/>
              <w:jc w:val="center"/>
              <w:rPr>
                <w:b/>
                <w:bCs/>
              </w:rPr>
            </w:pPr>
            <w:r>
              <w:rPr>
                <w:b/>
                <w:bCs/>
              </w:rPr>
              <w:t>单位</w:t>
            </w:r>
          </w:p>
        </w:tc>
        <w:tc>
          <w:tcPr>
            <w:tcW w:w="728" w:type="dxa"/>
            <w:shd w:val="clear" w:color="auto" w:fill="BDD7EE"/>
            <w:vAlign w:val="center"/>
          </w:tcPr>
          <w:p w14:paraId="6203E699">
            <w:pPr>
              <w:adjustRightInd w:val="0"/>
              <w:spacing w:after="0" w:afterLines="0" w:line="240" w:lineRule="auto"/>
              <w:jc w:val="center"/>
              <w:rPr>
                <w:b/>
                <w:bCs/>
              </w:rPr>
            </w:pPr>
            <w:r>
              <w:rPr>
                <w:b/>
                <w:bCs/>
              </w:rPr>
              <w:t>数量</w:t>
            </w:r>
          </w:p>
        </w:tc>
      </w:tr>
      <w:tr w14:paraId="3877535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22" w:hRule="atLeast"/>
          <w:jc w:val="center"/>
        </w:trPr>
        <w:tc>
          <w:tcPr>
            <w:tcW w:w="9488" w:type="dxa"/>
            <w:gridSpan w:val="5"/>
            <w:shd w:val="clear" w:color="auto" w:fill="auto"/>
            <w:vAlign w:val="center"/>
          </w:tcPr>
          <w:p w14:paraId="2DCB87CB">
            <w:pPr>
              <w:spacing w:before="120" w:after="93" w:line="240" w:lineRule="auto"/>
              <w:jc w:val="left"/>
            </w:pPr>
            <w:r>
              <w:rPr>
                <w:rFonts w:hint="eastAsia"/>
                <w:b/>
                <w:bCs/>
              </w:rPr>
              <w:t>（一）</w:t>
            </w:r>
            <w:r>
              <w:rPr>
                <w:rFonts w:hint="eastAsia"/>
                <w:b/>
                <w:bCs/>
                <w:lang w:val="en-US" w:eastAsia="zh-CN"/>
              </w:rPr>
              <w:t>模块化</w:t>
            </w:r>
            <w:r>
              <w:rPr>
                <w:rFonts w:hint="eastAsia"/>
                <w:b/>
                <w:bCs/>
              </w:rPr>
              <w:t>机柜</w:t>
            </w:r>
          </w:p>
        </w:tc>
      </w:tr>
      <w:tr w14:paraId="756EDB1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91" w:hRule="atLeast"/>
          <w:jc w:val="center"/>
        </w:trPr>
        <w:tc>
          <w:tcPr>
            <w:tcW w:w="713" w:type="dxa"/>
            <w:shd w:val="clear" w:color="auto" w:fill="auto"/>
            <w:vAlign w:val="center"/>
          </w:tcPr>
          <w:p w14:paraId="77A8E823">
            <w:pPr>
              <w:spacing w:before="120" w:after="93" w:line="240" w:lineRule="auto"/>
              <w:jc w:val="center"/>
            </w:pPr>
            <w:r>
              <w:rPr>
                <w:rFonts w:hint="eastAsia"/>
                <w:highlight w:val="none"/>
              </w:rPr>
              <w:t>1</w:t>
            </w:r>
          </w:p>
        </w:tc>
        <w:tc>
          <w:tcPr>
            <w:tcW w:w="1533" w:type="dxa"/>
            <w:shd w:val="clear" w:color="auto" w:fill="auto"/>
            <w:vAlign w:val="center"/>
          </w:tcPr>
          <w:p w14:paraId="44C2B8C3">
            <w:pPr>
              <w:spacing w:before="120" w:after="93" w:line="240" w:lineRule="auto"/>
              <w:rPr>
                <w:rFonts w:hint="eastAsia" w:eastAsia="仿宋"/>
                <w:iCs/>
                <w:lang w:eastAsia="zh-CN"/>
              </w:rPr>
            </w:pPr>
            <w:r>
              <w:rPr>
                <w:rFonts w:hint="eastAsia"/>
                <w:iCs/>
              </w:rPr>
              <w:t>服务器机柜</w:t>
            </w:r>
            <w:r>
              <w:rPr>
                <w:rFonts w:hint="eastAsia"/>
                <w:iCs/>
                <w:lang w:eastAsia="zh-CN"/>
              </w:rPr>
              <w:t>（</w:t>
            </w:r>
            <w:r>
              <w:rPr>
                <w:rFonts w:hint="eastAsia"/>
                <w:iCs/>
                <w:lang w:val="en-US" w:eastAsia="zh-CN"/>
              </w:rPr>
              <w:t>推荐品牌：华为、维谛、伊顿</w:t>
            </w:r>
            <w:r>
              <w:rPr>
                <w:rFonts w:hint="eastAsia"/>
                <w:iCs/>
                <w:lang w:eastAsia="zh-CN"/>
              </w:rPr>
              <w:t>）</w:t>
            </w:r>
          </w:p>
        </w:tc>
        <w:tc>
          <w:tcPr>
            <w:tcW w:w="6093" w:type="dxa"/>
            <w:shd w:val="clear" w:color="auto" w:fill="auto"/>
            <w:vAlign w:val="center"/>
          </w:tcPr>
          <w:p w14:paraId="5E7189CE">
            <w:pPr>
              <w:numPr>
                <w:ilvl w:val="0"/>
                <w:numId w:val="0"/>
              </w:numPr>
              <w:spacing w:after="93" w:line="240" w:lineRule="auto"/>
              <w:rPr>
                <w:rFonts w:hint="eastAsia"/>
                <w:highlight w:val="none"/>
                <w:lang w:val="en-US" w:eastAsia="zh-CN"/>
              </w:rPr>
            </w:pPr>
            <w:r>
              <w:rPr>
                <w:rFonts w:hint="eastAsia" w:ascii="国标仿宋" w:hAnsi="国标仿宋" w:eastAsia="国标仿宋" w:cs="国标仿宋"/>
                <w:sz w:val="28"/>
                <w:szCs w:val="28"/>
                <w:highlight w:val="none"/>
                <w:lang w:val="en-US" w:eastAsia="zh-CN"/>
              </w:rPr>
              <w:t>★</w:t>
            </w:r>
            <w:r>
              <w:rPr>
                <w:rFonts w:hint="eastAsia"/>
                <w:highlight w:val="none"/>
                <w:lang w:val="en-US" w:eastAsia="zh-CN"/>
              </w:rPr>
              <w:t>1、标准机架-600mm(W)*1200mm(D)*2000mm(H)-42U，前单后双高密网孔门，带通匙机械锁。机柜为标准19英寸制式，含柜体侧板、顶板、底板，机柜带单侧侧板并柜。单柜配置：1对L型轻载滑道、1块固定托盘、2个1U水平理线架、20块1U盲板、6个束线圈；</w:t>
            </w:r>
          </w:p>
          <w:p w14:paraId="780ABEC7">
            <w:pPr>
              <w:numPr>
                <w:ilvl w:val="0"/>
                <w:numId w:val="0"/>
              </w:numPr>
              <w:spacing w:after="93" w:line="240" w:lineRule="auto"/>
              <w:rPr>
                <w:rFonts w:hint="eastAsia"/>
                <w:highlight w:val="none"/>
                <w:lang w:val="en-US" w:eastAsia="zh-CN"/>
              </w:rPr>
            </w:pPr>
            <w:r>
              <w:rPr>
                <w:rFonts w:hint="eastAsia" w:ascii="国标仿宋" w:hAnsi="国标仿宋" w:eastAsia="国标仿宋" w:cs="国标仿宋"/>
                <w:sz w:val="28"/>
                <w:szCs w:val="28"/>
                <w:highlight w:val="none"/>
                <w:lang w:val="en-US" w:eastAsia="zh-CN"/>
              </w:rPr>
              <w:t>★</w:t>
            </w:r>
            <w:r>
              <w:rPr>
                <w:rFonts w:hint="eastAsia"/>
                <w:highlight w:val="none"/>
                <w:lang w:val="en-US" w:eastAsia="zh-CN"/>
              </w:rPr>
              <w:t>2、服务器机柜为前进风、后出风机柜；</w:t>
            </w:r>
          </w:p>
          <w:p w14:paraId="5C3C032C">
            <w:pPr>
              <w:numPr>
                <w:ilvl w:val="0"/>
                <w:numId w:val="0"/>
              </w:numPr>
              <w:spacing w:after="93" w:line="240" w:lineRule="auto"/>
              <w:rPr>
                <w:rFonts w:hint="eastAsia"/>
                <w:highlight w:val="none"/>
                <w:lang w:val="en-US" w:eastAsia="zh-CN"/>
              </w:rPr>
            </w:pPr>
            <w:r>
              <w:rPr>
                <w:rFonts w:hint="eastAsia"/>
                <w:highlight w:val="none"/>
                <w:lang w:val="en-US" w:eastAsia="zh-CN"/>
              </w:rPr>
              <w:t>3、以保证机房设备的有效散热，前后门通孔率需不小于75%；</w:t>
            </w:r>
          </w:p>
          <w:p w14:paraId="7A819E7D">
            <w:pPr>
              <w:numPr>
                <w:ilvl w:val="0"/>
                <w:numId w:val="0"/>
              </w:numPr>
              <w:spacing w:after="93" w:line="240" w:lineRule="auto"/>
              <w:rPr>
                <w:rFonts w:hint="eastAsia"/>
                <w:highlight w:val="none"/>
                <w:lang w:val="en-US" w:eastAsia="zh-CN"/>
              </w:rPr>
            </w:pPr>
            <w:r>
              <w:rPr>
                <w:rFonts w:hint="eastAsia"/>
                <w:highlight w:val="none"/>
                <w:lang w:val="en-US" w:eastAsia="zh-CN"/>
              </w:rPr>
              <w:t>4、按照YD5083-2005《电信设备抗地震性能检测规范》要求，带载≥590kg测试连续通过8、9级烈度结构抗地震考核；</w:t>
            </w:r>
          </w:p>
          <w:p w14:paraId="509B8147">
            <w:pPr>
              <w:numPr>
                <w:ilvl w:val="0"/>
                <w:numId w:val="0"/>
              </w:numPr>
              <w:spacing w:after="93" w:line="240" w:lineRule="auto"/>
              <w:rPr>
                <w:rFonts w:hint="eastAsia"/>
                <w:highlight w:val="none"/>
                <w:lang w:val="en-US" w:eastAsia="zh-CN"/>
              </w:rPr>
            </w:pPr>
            <w:r>
              <w:rPr>
                <w:rFonts w:hint="eastAsia"/>
                <w:highlight w:val="none"/>
                <w:lang w:val="en-US" w:eastAsia="zh-CN"/>
              </w:rPr>
              <w:t>5、要求静态承载能力不小于2400kg；</w:t>
            </w:r>
          </w:p>
          <w:p w14:paraId="64E5710C">
            <w:pPr>
              <w:numPr>
                <w:ilvl w:val="0"/>
                <w:numId w:val="0"/>
              </w:numPr>
              <w:spacing w:after="93" w:line="240" w:lineRule="auto"/>
              <w:rPr>
                <w:rFonts w:hint="eastAsia"/>
                <w:highlight w:val="none"/>
                <w:lang w:val="en-US" w:eastAsia="zh-CN"/>
              </w:rPr>
            </w:pPr>
            <w:r>
              <w:rPr>
                <w:rFonts w:hint="eastAsia"/>
                <w:highlight w:val="none"/>
                <w:lang w:val="en-US" w:eastAsia="zh-CN"/>
              </w:rPr>
              <w:t>6、机柜配重≥1000kg，以2-4km/h速度行走100m，变形量不大于1mm；</w:t>
            </w:r>
          </w:p>
          <w:p w14:paraId="52C8EF0A">
            <w:pPr>
              <w:numPr>
                <w:ilvl w:val="0"/>
                <w:numId w:val="0"/>
              </w:numPr>
              <w:spacing w:after="93" w:line="240" w:lineRule="auto"/>
              <w:rPr>
                <w:rFonts w:hint="eastAsia"/>
                <w:highlight w:val="none"/>
                <w:lang w:val="en-US" w:eastAsia="zh-CN"/>
              </w:rPr>
            </w:pPr>
            <w:r>
              <w:rPr>
                <w:rFonts w:hint="eastAsia"/>
                <w:highlight w:val="none"/>
                <w:lang w:val="en-US" w:eastAsia="zh-CN"/>
              </w:rPr>
              <w:t>7、每个机柜需装配2条PDU插座，均经UPS整流逆变供电；</w:t>
            </w:r>
          </w:p>
          <w:p w14:paraId="4211623A">
            <w:pPr>
              <w:numPr>
                <w:ilvl w:val="0"/>
                <w:numId w:val="0"/>
              </w:numPr>
              <w:spacing w:after="93" w:line="240" w:lineRule="auto"/>
              <w:rPr>
                <w:rFonts w:hint="eastAsia"/>
                <w:highlight w:val="none"/>
                <w:lang w:val="en-US" w:eastAsia="zh-CN"/>
              </w:rPr>
            </w:pPr>
            <w:r>
              <w:rPr>
                <w:rFonts w:hint="eastAsia"/>
                <w:highlight w:val="none"/>
                <w:lang w:val="en-US" w:eastAsia="zh-CN"/>
              </w:rPr>
              <w:t>8、机柜应采用鞍钢/首钢等大型企业的高强度A级优质碳素冷轧钢板和镀锌板，表面喷涂厚度应不小于60μm ,采用黑色砂纹工艺，满足防腐、防锈、光洁、色泽均匀、无流挂、不露底、无起泡、无裂纹、金属件无毛刺锈蚀要求；</w:t>
            </w:r>
          </w:p>
          <w:p w14:paraId="11E8931C">
            <w:pPr>
              <w:numPr>
                <w:ilvl w:val="0"/>
                <w:numId w:val="0"/>
              </w:numPr>
              <w:spacing w:after="93" w:line="240" w:lineRule="auto"/>
              <w:rPr>
                <w:rFonts w:hint="eastAsia"/>
                <w:highlight w:val="none"/>
                <w:lang w:val="en-US" w:eastAsia="zh-CN"/>
              </w:rPr>
            </w:pPr>
            <w:r>
              <w:rPr>
                <w:rFonts w:hint="eastAsia"/>
                <w:highlight w:val="none"/>
                <w:lang w:val="en-US" w:eastAsia="zh-CN"/>
              </w:rPr>
              <w:t>9、机柜门和侧板为可拆卸式结构，无需工具即可拆卸和安装，门的开合转动灵活、锁定可靠、施工安装和维护方便。前后门应采用外开门方式，前门单开，后门双开；机柜前后门应采用不小于1.2mm厚度的优质板材加工；</w:t>
            </w:r>
          </w:p>
          <w:p w14:paraId="020BA5D6">
            <w:pPr>
              <w:numPr>
                <w:ilvl w:val="0"/>
                <w:numId w:val="0"/>
              </w:numPr>
              <w:spacing w:after="93" w:line="240" w:lineRule="auto"/>
              <w:rPr>
                <w:rFonts w:hint="eastAsia"/>
                <w:highlight w:val="none"/>
                <w:lang w:val="en-US" w:eastAsia="zh-CN"/>
              </w:rPr>
            </w:pPr>
            <w:r>
              <w:rPr>
                <w:rFonts w:hint="eastAsia"/>
                <w:highlight w:val="none"/>
                <w:lang w:val="en-US" w:eastAsia="zh-CN"/>
              </w:rPr>
              <w:t>10、机柜内部应设置不小于4根安装立柱，用于安装设备和固定层板。安装立柱能够前后移动调节。安装立柱的间距、孔距等机柜内部尺寸结构应满足GB/T 19520.1-2007和GB/T 19520.2-2007的要求。机架前门立柱需要有具体U数标示；</w:t>
            </w:r>
          </w:p>
          <w:p w14:paraId="1E5B56E7">
            <w:pPr>
              <w:numPr>
                <w:ilvl w:val="0"/>
                <w:numId w:val="0"/>
              </w:numPr>
              <w:spacing w:after="93" w:line="240" w:lineRule="auto"/>
              <w:rPr>
                <w:rFonts w:hint="eastAsia"/>
                <w:highlight w:val="none"/>
                <w:lang w:val="en-US" w:eastAsia="zh-CN"/>
              </w:rPr>
            </w:pPr>
            <w:r>
              <w:rPr>
                <w:rFonts w:hint="eastAsia"/>
                <w:highlight w:val="none"/>
                <w:lang w:val="en-US" w:eastAsia="zh-CN"/>
              </w:rPr>
              <w:t>11、机柜立柱型材采用一次滚压成型技术，保证承重要求。机柜主要承重部件包括立柱、横梁、框架等的板材厚度不小于1.5mm，顶板、侧板、底板等非承重部件的板材厚度1.0mm；</w:t>
            </w:r>
          </w:p>
          <w:p w14:paraId="5CE937DC">
            <w:pPr>
              <w:numPr>
                <w:ilvl w:val="0"/>
                <w:numId w:val="0"/>
              </w:numPr>
              <w:spacing w:after="93" w:line="240" w:lineRule="auto"/>
              <w:rPr>
                <w:rFonts w:hint="eastAsia"/>
                <w:highlight w:val="none"/>
                <w:lang w:val="en-US" w:eastAsia="zh-CN"/>
              </w:rPr>
            </w:pPr>
            <w:r>
              <w:rPr>
                <w:rFonts w:hint="eastAsia"/>
                <w:highlight w:val="none"/>
                <w:lang w:val="en-US" w:eastAsia="zh-CN"/>
              </w:rPr>
              <w:t>12、机柜内部有效承载空间：≥42U；</w:t>
            </w:r>
          </w:p>
          <w:p w14:paraId="64C938E8">
            <w:pPr>
              <w:numPr>
                <w:ilvl w:val="0"/>
                <w:numId w:val="0"/>
              </w:numPr>
              <w:spacing w:after="93" w:line="240" w:lineRule="auto"/>
              <w:rPr>
                <w:rFonts w:hint="eastAsia"/>
                <w:highlight w:val="none"/>
                <w:lang w:val="en-US" w:eastAsia="zh-CN"/>
              </w:rPr>
            </w:pPr>
            <w:r>
              <w:rPr>
                <w:rFonts w:hint="eastAsia"/>
                <w:highlight w:val="none"/>
                <w:lang w:val="en-US" w:eastAsia="zh-CN"/>
              </w:rPr>
              <w:t>13</w:t>
            </w:r>
            <w:r>
              <w:rPr>
                <w:rFonts w:hint="eastAsia"/>
                <w:highlight w:val="none"/>
                <w:lang w:eastAsia="zh-CN"/>
              </w:rPr>
              <w:t>、</w:t>
            </w:r>
            <w:r>
              <w:rPr>
                <w:rFonts w:hint="eastAsia"/>
                <w:highlight w:val="none"/>
                <w:lang w:val="en-US" w:eastAsia="zh-CN"/>
              </w:rPr>
              <w:t>承重底座：规格为8#槽钢；</w:t>
            </w:r>
          </w:p>
          <w:p w14:paraId="48A8F00B">
            <w:pPr>
              <w:numPr>
                <w:ilvl w:val="0"/>
                <w:numId w:val="0"/>
              </w:numPr>
              <w:spacing w:after="93" w:line="240" w:lineRule="auto"/>
              <w:rPr>
                <w:rFonts w:hint="default"/>
                <w:highlight w:val="none"/>
                <w:lang w:val="en-US" w:eastAsia="zh-CN"/>
              </w:rPr>
            </w:pPr>
            <w:r>
              <w:rPr>
                <w:rFonts w:hint="eastAsia"/>
                <w:highlight w:val="none"/>
                <w:lang w:val="en-US" w:eastAsia="zh-CN"/>
              </w:rPr>
              <w:t>14、需提供加盖公章版原厂专项授权函和原厂售后服务承诺书。</w:t>
            </w:r>
          </w:p>
        </w:tc>
        <w:tc>
          <w:tcPr>
            <w:tcW w:w="421" w:type="dxa"/>
            <w:shd w:val="clear" w:color="auto" w:fill="auto"/>
            <w:vAlign w:val="center"/>
          </w:tcPr>
          <w:p w14:paraId="72744860">
            <w:pPr>
              <w:spacing w:before="120" w:after="93" w:line="240" w:lineRule="auto"/>
              <w:jc w:val="center"/>
            </w:pPr>
            <w:r>
              <w:rPr>
                <w:rFonts w:hint="eastAsia"/>
              </w:rPr>
              <w:t>套</w:t>
            </w:r>
          </w:p>
        </w:tc>
        <w:tc>
          <w:tcPr>
            <w:tcW w:w="728" w:type="dxa"/>
            <w:shd w:val="clear" w:color="auto" w:fill="auto"/>
            <w:vAlign w:val="center"/>
          </w:tcPr>
          <w:p w14:paraId="38658D25">
            <w:pPr>
              <w:spacing w:before="120" w:after="93" w:line="240" w:lineRule="auto"/>
              <w:jc w:val="center"/>
              <w:rPr>
                <w:rFonts w:hint="default" w:eastAsia="仿宋"/>
                <w:lang w:val="en-US" w:eastAsia="zh-CN"/>
              </w:rPr>
            </w:pPr>
            <w:r>
              <w:rPr>
                <w:rFonts w:hint="eastAsia"/>
                <w:lang w:val="en-US" w:eastAsia="zh-CN"/>
              </w:rPr>
              <w:t>12</w:t>
            </w:r>
          </w:p>
        </w:tc>
      </w:tr>
      <w:tr w14:paraId="7993C0F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91" w:hRule="atLeast"/>
          <w:jc w:val="center"/>
        </w:trPr>
        <w:tc>
          <w:tcPr>
            <w:tcW w:w="713" w:type="dxa"/>
            <w:shd w:val="clear" w:color="auto" w:fill="auto"/>
            <w:vAlign w:val="center"/>
          </w:tcPr>
          <w:p w14:paraId="0810901A">
            <w:pPr>
              <w:spacing w:before="120" w:after="93" w:line="240" w:lineRule="auto"/>
              <w:jc w:val="center"/>
              <w:rPr>
                <w:rFonts w:hint="eastAsia" w:eastAsia="仿宋"/>
                <w:lang w:val="en-US" w:eastAsia="zh-CN"/>
              </w:rPr>
            </w:pPr>
            <w:r>
              <w:rPr>
                <w:rFonts w:hint="eastAsia"/>
                <w:highlight w:val="none"/>
                <w:lang w:val="en-US" w:eastAsia="zh-CN"/>
              </w:rPr>
              <w:t>2</w:t>
            </w:r>
          </w:p>
        </w:tc>
        <w:tc>
          <w:tcPr>
            <w:tcW w:w="1533" w:type="dxa"/>
            <w:shd w:val="clear" w:color="auto" w:fill="auto"/>
            <w:vAlign w:val="center"/>
          </w:tcPr>
          <w:p w14:paraId="54DA18EE">
            <w:pPr>
              <w:spacing w:before="120" w:after="93" w:line="240" w:lineRule="auto"/>
              <w:rPr>
                <w:rFonts w:hint="eastAsia"/>
                <w:iCs/>
              </w:rPr>
            </w:pPr>
            <w:r>
              <w:rPr>
                <w:rFonts w:hint="eastAsia"/>
                <w:iCs/>
              </w:rPr>
              <w:t>32A单相输入竖装PDU插座</w:t>
            </w:r>
            <w:r>
              <w:rPr>
                <w:rFonts w:hint="eastAsia"/>
                <w:iCs/>
                <w:lang w:eastAsia="zh-CN"/>
              </w:rPr>
              <w:t>（</w:t>
            </w:r>
            <w:r>
              <w:rPr>
                <w:rFonts w:hint="eastAsia"/>
                <w:iCs/>
                <w:lang w:val="en-US" w:eastAsia="zh-CN"/>
              </w:rPr>
              <w:t>推荐品牌：华为、维谛、伊顿</w:t>
            </w:r>
            <w:r>
              <w:rPr>
                <w:rFonts w:hint="eastAsia"/>
                <w:iCs/>
                <w:lang w:eastAsia="zh-CN"/>
              </w:rPr>
              <w:t>）</w:t>
            </w:r>
          </w:p>
        </w:tc>
        <w:tc>
          <w:tcPr>
            <w:tcW w:w="6093" w:type="dxa"/>
            <w:shd w:val="clear" w:color="auto" w:fill="auto"/>
            <w:vAlign w:val="center"/>
          </w:tcPr>
          <w:p w14:paraId="338C6646">
            <w:pPr>
              <w:numPr>
                <w:ilvl w:val="0"/>
                <w:numId w:val="0"/>
              </w:numPr>
              <w:spacing w:after="93" w:line="240" w:lineRule="auto"/>
              <w:rPr>
                <w:rFonts w:hint="eastAsia"/>
                <w:highlight w:val="none"/>
                <w:lang w:val="en-US" w:eastAsia="zh-CN"/>
              </w:rPr>
            </w:pPr>
            <w:r>
              <w:rPr>
                <w:rFonts w:hint="eastAsia" w:ascii="国标仿宋" w:hAnsi="国标仿宋" w:eastAsia="国标仿宋" w:cs="国标仿宋"/>
                <w:sz w:val="28"/>
                <w:szCs w:val="28"/>
                <w:highlight w:val="none"/>
                <w:lang w:val="en-US" w:eastAsia="zh-CN"/>
              </w:rPr>
              <w:t>★</w:t>
            </w:r>
            <w:r>
              <w:rPr>
                <w:rFonts w:hint="eastAsia"/>
                <w:highlight w:val="none"/>
                <w:lang w:val="en-US" w:eastAsia="zh-CN"/>
              </w:rPr>
              <w:t>1、微模块机柜12台标配2条单相PDU，为设备A/B路供电使用。两条PDU应为同一规格，互为备份；电源均经UPS整流逆变供电。</w:t>
            </w:r>
          </w:p>
          <w:p w14:paraId="4362800A">
            <w:pPr>
              <w:numPr>
                <w:ilvl w:val="0"/>
                <w:numId w:val="0"/>
              </w:numPr>
              <w:spacing w:after="93" w:line="240" w:lineRule="auto"/>
              <w:rPr>
                <w:rFonts w:hint="eastAsia"/>
                <w:highlight w:val="none"/>
                <w:lang w:val="en-US" w:eastAsia="zh-CN"/>
              </w:rPr>
            </w:pPr>
            <w:r>
              <w:rPr>
                <w:rFonts w:hint="eastAsia"/>
                <w:highlight w:val="none"/>
                <w:lang w:val="en-US" w:eastAsia="zh-CN"/>
              </w:rPr>
              <w:t>2、PDU采用黑色涂层，外壳选用优质型材或钢板，应具备强度高，坚固耐用，抗压性能、装配性能、耐蚀性能和装饰性能良好，表面喷涂效果好，工艺先进，纹路平整，美观大方等特点。</w:t>
            </w:r>
          </w:p>
          <w:p w14:paraId="07C97DC4">
            <w:pPr>
              <w:numPr>
                <w:ilvl w:val="0"/>
                <w:numId w:val="0"/>
              </w:numPr>
              <w:spacing w:after="93" w:line="240" w:lineRule="auto"/>
              <w:rPr>
                <w:rFonts w:hint="eastAsia"/>
                <w:highlight w:val="none"/>
                <w:lang w:val="en-US" w:eastAsia="zh-CN"/>
              </w:rPr>
            </w:pPr>
            <w:r>
              <w:rPr>
                <w:rFonts w:hint="eastAsia"/>
                <w:highlight w:val="none"/>
                <w:lang w:val="en-US" w:eastAsia="zh-CN"/>
              </w:rPr>
              <w:t>3、机柜PDU接线应采用从精密列头柜电源线直接接入机柜PDU的方式。</w:t>
            </w:r>
          </w:p>
          <w:p w14:paraId="189FF5E9">
            <w:pPr>
              <w:numPr>
                <w:ilvl w:val="0"/>
                <w:numId w:val="0"/>
              </w:numPr>
              <w:spacing w:after="93" w:line="240" w:lineRule="auto"/>
              <w:rPr>
                <w:rFonts w:hint="eastAsia"/>
                <w:highlight w:val="none"/>
                <w:lang w:val="en-US" w:eastAsia="zh-CN"/>
              </w:rPr>
            </w:pPr>
            <w:r>
              <w:rPr>
                <w:rFonts w:hint="eastAsia"/>
                <w:highlight w:val="none"/>
                <w:lang w:val="en-US" w:eastAsia="zh-CN"/>
              </w:rPr>
              <w:t>4、PDU每位插孔间须保留一定的间距，应根据机柜高度与机柜U位刻度对应，以方便设备接线整齐美观。</w:t>
            </w:r>
          </w:p>
          <w:p w14:paraId="29132CBA">
            <w:pPr>
              <w:numPr>
                <w:ilvl w:val="0"/>
                <w:numId w:val="0"/>
              </w:numPr>
              <w:spacing w:after="93" w:line="240" w:lineRule="auto"/>
              <w:rPr>
                <w:rFonts w:hint="eastAsia"/>
                <w:highlight w:val="none"/>
                <w:lang w:val="en-US" w:eastAsia="zh-CN"/>
              </w:rPr>
            </w:pPr>
            <w:r>
              <w:rPr>
                <w:rFonts w:hint="eastAsia"/>
                <w:highlight w:val="none"/>
                <w:lang w:val="en-US" w:eastAsia="zh-CN"/>
              </w:rPr>
              <w:t>5、两条PDU须安装在机柜后侧，PDU与机柜的固定方式应灵活、方便，利于安装和拆卸。</w:t>
            </w:r>
          </w:p>
          <w:p w14:paraId="0E1A1D05">
            <w:pPr>
              <w:numPr>
                <w:ilvl w:val="0"/>
                <w:numId w:val="0"/>
              </w:numPr>
              <w:spacing w:after="93" w:line="240" w:lineRule="auto"/>
              <w:rPr>
                <w:rFonts w:hint="eastAsia"/>
                <w:highlight w:val="none"/>
                <w:lang w:val="en-US" w:eastAsia="zh-CN"/>
              </w:rPr>
            </w:pPr>
            <w:r>
              <w:rPr>
                <w:rFonts w:hint="eastAsia" w:ascii="国标仿宋" w:hAnsi="国标仿宋" w:eastAsia="国标仿宋" w:cs="国标仿宋"/>
                <w:sz w:val="28"/>
                <w:szCs w:val="28"/>
                <w:highlight w:val="none"/>
                <w:lang w:val="en-US" w:eastAsia="zh-CN"/>
              </w:rPr>
              <w:t>★</w:t>
            </w:r>
            <w:r>
              <w:rPr>
                <w:rFonts w:hint="eastAsia"/>
                <w:highlight w:val="none"/>
                <w:lang w:val="en-US" w:eastAsia="zh-CN"/>
              </w:rPr>
              <w:t>6、规格要求：PDU容量不小于32A，采用GB标准，接口数量不少于20*GB10A+4*GB</w:t>
            </w:r>
            <w:r>
              <w:rPr>
                <w:rFonts w:hint="eastAsia"/>
                <w:color w:val="auto"/>
                <w:highlight w:val="none"/>
                <w:lang w:val="en-US" w:eastAsia="zh-CN"/>
              </w:rPr>
              <w:t>16A</w:t>
            </w:r>
          </w:p>
        </w:tc>
        <w:tc>
          <w:tcPr>
            <w:tcW w:w="421" w:type="dxa"/>
            <w:shd w:val="clear" w:color="auto" w:fill="auto"/>
            <w:vAlign w:val="center"/>
          </w:tcPr>
          <w:p w14:paraId="00EB9ECB">
            <w:pPr>
              <w:spacing w:before="120" w:after="93" w:line="240" w:lineRule="auto"/>
              <w:jc w:val="center"/>
              <w:rPr>
                <w:rFonts w:hint="eastAsia" w:eastAsia="仿宋"/>
                <w:lang w:val="en-US" w:eastAsia="zh-CN"/>
              </w:rPr>
            </w:pPr>
            <w:r>
              <w:rPr>
                <w:rFonts w:hint="eastAsia"/>
                <w:lang w:val="en-US" w:eastAsia="zh-CN"/>
              </w:rPr>
              <w:t>条</w:t>
            </w:r>
          </w:p>
        </w:tc>
        <w:tc>
          <w:tcPr>
            <w:tcW w:w="728" w:type="dxa"/>
            <w:shd w:val="clear" w:color="auto" w:fill="auto"/>
            <w:vAlign w:val="center"/>
          </w:tcPr>
          <w:p w14:paraId="35203707">
            <w:pPr>
              <w:spacing w:before="120" w:after="93" w:line="240" w:lineRule="auto"/>
              <w:jc w:val="center"/>
              <w:rPr>
                <w:rFonts w:hint="default"/>
                <w:lang w:val="en-US" w:eastAsia="zh-CN"/>
              </w:rPr>
            </w:pPr>
            <w:r>
              <w:rPr>
                <w:rFonts w:hint="eastAsia"/>
                <w:lang w:val="en-US" w:eastAsia="zh-CN"/>
              </w:rPr>
              <w:t>24</w:t>
            </w:r>
          </w:p>
        </w:tc>
      </w:tr>
      <w:tr w14:paraId="3F76AB8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76" w:hRule="atLeast"/>
          <w:jc w:val="center"/>
        </w:trPr>
        <w:tc>
          <w:tcPr>
            <w:tcW w:w="713" w:type="dxa"/>
            <w:shd w:val="clear" w:color="auto" w:fill="auto"/>
            <w:vAlign w:val="center"/>
          </w:tcPr>
          <w:p w14:paraId="7862D3A7">
            <w:pPr>
              <w:spacing w:before="120" w:after="93" w:line="240" w:lineRule="auto"/>
              <w:jc w:val="center"/>
              <w:rPr>
                <w:rFonts w:hint="eastAsia" w:eastAsia="仿宋"/>
                <w:lang w:eastAsia="zh-CN"/>
              </w:rPr>
            </w:pPr>
            <w:r>
              <w:rPr>
                <w:rFonts w:hint="eastAsia"/>
                <w:highlight w:val="none"/>
                <w:lang w:val="en-US" w:eastAsia="zh-CN"/>
              </w:rPr>
              <w:t>3</w:t>
            </w:r>
          </w:p>
        </w:tc>
        <w:tc>
          <w:tcPr>
            <w:tcW w:w="1533" w:type="dxa"/>
            <w:shd w:val="clear" w:color="auto" w:fill="auto"/>
            <w:vAlign w:val="center"/>
          </w:tcPr>
          <w:p w14:paraId="1E245520">
            <w:pPr>
              <w:spacing w:before="120" w:after="93" w:line="240" w:lineRule="auto"/>
              <w:rPr>
                <w:rFonts w:hint="default"/>
                <w:iCs/>
                <w:lang w:val="en-US"/>
              </w:rPr>
            </w:pPr>
            <w:r>
              <w:rPr>
                <w:rFonts w:hint="eastAsia"/>
                <w:iCs/>
              </w:rPr>
              <w:t>机房通道设备</w:t>
            </w:r>
            <w:r>
              <w:rPr>
                <w:rFonts w:hint="eastAsia"/>
                <w:iCs/>
                <w:lang w:eastAsia="zh-CN"/>
              </w:rPr>
              <w:t>（</w:t>
            </w:r>
            <w:r>
              <w:rPr>
                <w:rFonts w:hint="eastAsia"/>
                <w:iCs/>
                <w:lang w:val="en-US" w:eastAsia="zh-CN"/>
              </w:rPr>
              <w:t>推荐品牌：华为、维谛、伊顿）</w:t>
            </w:r>
          </w:p>
        </w:tc>
        <w:tc>
          <w:tcPr>
            <w:tcW w:w="6093" w:type="dxa"/>
            <w:shd w:val="clear" w:color="auto" w:fill="auto"/>
            <w:vAlign w:val="center"/>
          </w:tcPr>
          <w:p w14:paraId="7578348C">
            <w:pPr>
              <w:spacing w:after="93" w:line="240" w:lineRule="auto"/>
              <w:rPr>
                <w:rFonts w:hint="eastAsia"/>
              </w:rPr>
            </w:pPr>
            <w:r>
              <w:rPr>
                <w:rFonts w:hint="eastAsia" w:ascii="国标仿宋" w:hAnsi="国标仿宋" w:eastAsia="国标仿宋" w:cs="国标仿宋"/>
                <w:sz w:val="28"/>
                <w:szCs w:val="28"/>
                <w:highlight w:val="none"/>
                <w:lang w:val="en-US" w:eastAsia="zh-CN"/>
              </w:rPr>
              <w:t>★</w:t>
            </w:r>
            <w:r>
              <w:rPr>
                <w:rFonts w:hint="eastAsia"/>
                <w:highlight w:val="none"/>
                <w:lang w:val="en-US" w:eastAsia="zh-CN"/>
              </w:rPr>
              <w:t>1</w:t>
            </w:r>
            <w:r>
              <w:rPr>
                <w:rFonts w:hint="eastAsia"/>
                <w:lang w:val="en-US" w:eastAsia="zh-CN"/>
              </w:rPr>
              <w:t>、</w:t>
            </w:r>
            <w:r>
              <w:rPr>
                <w:rFonts w:hint="eastAsia"/>
              </w:rPr>
              <w:t>1200mm宽密闭通道系统组件，含全玻璃天窗、机柜顶部走线槽、顶部围板等整体封闭组件，顶部活动天窗实现消防联动开启功能。为保证微模块整体安装效果和整体交付质量，机柜、冷通道系统、行级精密空调、</w:t>
            </w:r>
            <w:r>
              <w:rPr>
                <w:rFonts w:hint="eastAsia"/>
                <w:color w:val="auto"/>
              </w:rPr>
              <w:t>模块化UPS</w:t>
            </w:r>
            <w:r>
              <w:rPr>
                <w:rFonts w:hint="eastAsia"/>
              </w:rPr>
              <w:t>、精密配电柜</w:t>
            </w:r>
            <w:r>
              <w:rPr>
                <w:rFonts w:hint="eastAsia"/>
                <w:lang w:val="en-US" w:eastAsia="zh-CN"/>
              </w:rPr>
              <w:t>及</w:t>
            </w:r>
            <w:r>
              <w:rPr>
                <w:rFonts w:hint="eastAsia"/>
              </w:rPr>
              <w:t>模块级监控设备等核心部件</w:t>
            </w:r>
            <w:r>
              <w:rPr>
                <w:rFonts w:hint="eastAsia"/>
                <w:color w:val="auto"/>
              </w:rPr>
              <w:t>使用同一品牌</w:t>
            </w:r>
            <w:r>
              <w:rPr>
                <w:rFonts w:hint="eastAsia"/>
              </w:rPr>
              <w:t>；</w:t>
            </w:r>
          </w:p>
          <w:p w14:paraId="2D2189EC">
            <w:pPr>
              <w:spacing w:after="93" w:line="240" w:lineRule="auto"/>
              <w:rPr>
                <w:rFonts w:hint="eastAsia"/>
              </w:rPr>
            </w:pPr>
            <w:r>
              <w:rPr>
                <w:rFonts w:hint="eastAsia"/>
                <w:lang w:val="en-US" w:eastAsia="zh-CN"/>
              </w:rPr>
              <w:t>2、</w:t>
            </w:r>
            <w:r>
              <w:rPr>
                <w:rFonts w:hint="eastAsia"/>
              </w:rPr>
              <w:t>通道上部天窗应设计以下三种类型：翻转天窗</w:t>
            </w:r>
            <w:r>
              <w:rPr>
                <w:rFonts w:hint="eastAsia"/>
                <w:lang w:eastAsia="zh-CN"/>
              </w:rPr>
              <w:t>、</w:t>
            </w:r>
            <w:r>
              <w:rPr>
                <w:rFonts w:hint="eastAsia"/>
              </w:rPr>
              <w:t>功能型天窗</w:t>
            </w:r>
            <w:r>
              <w:rPr>
                <w:rFonts w:hint="eastAsia"/>
                <w:lang w:eastAsia="zh-CN"/>
              </w:rPr>
              <w:t>、</w:t>
            </w:r>
            <w:r>
              <w:rPr>
                <w:rFonts w:hint="eastAsia"/>
                <w:lang w:val="en-US" w:eastAsia="zh-CN"/>
              </w:rPr>
              <w:t>固定天窗</w:t>
            </w:r>
            <w:r>
              <w:rPr>
                <w:rFonts w:hint="eastAsia"/>
              </w:rPr>
              <w:t>。根据使用天窗类型，翻转天窗应能实现自动或手动开启，活动天窗需与现有消防系统实现联动，当发生火灾时</w:t>
            </w:r>
            <w:r>
              <w:rPr>
                <w:rFonts w:hint="eastAsia"/>
                <w:color w:val="auto"/>
              </w:rPr>
              <w:t>电磁锁打开</w:t>
            </w:r>
            <w:r>
              <w:rPr>
                <w:rFonts w:hint="eastAsia"/>
              </w:rPr>
              <w:t>，活动型天窗在重力作用下自动打开，天窗开启后悬停位置要求确保冷通道的净高不少于2000mm。同时发出声光报警信号，并将告警信号上传至机房管理系统；</w:t>
            </w:r>
          </w:p>
          <w:p w14:paraId="7AC7E6B8">
            <w:pPr>
              <w:spacing w:after="93" w:line="240" w:lineRule="auto"/>
              <w:rPr>
                <w:rFonts w:hint="eastAsia"/>
              </w:rPr>
            </w:pPr>
            <w:r>
              <w:rPr>
                <w:rFonts w:hint="eastAsia"/>
                <w:lang w:val="en-US" w:eastAsia="zh-CN"/>
              </w:rPr>
              <w:t>3、</w:t>
            </w:r>
            <w:r>
              <w:rPr>
                <w:rFonts w:hint="eastAsia"/>
              </w:rPr>
              <w:t>通道系统应兼具功能性、透光性及美观性，固定型天窗和翻转型天窗透光材质应使用覆膜钢化玻璃，厚度不小于5mm。同时为保证通道亮度及美观性，天窗玻璃面积占比应保证不小于90%。要求钢化玻璃透光率应不小于89%；</w:t>
            </w:r>
          </w:p>
          <w:p w14:paraId="454A2DF0">
            <w:pPr>
              <w:spacing w:after="93" w:line="240" w:lineRule="auto"/>
              <w:rPr>
                <w:rFonts w:hint="eastAsia"/>
              </w:rPr>
            </w:pPr>
            <w:r>
              <w:rPr>
                <w:rFonts w:hint="eastAsia"/>
                <w:lang w:val="en-US" w:eastAsia="zh-CN"/>
              </w:rPr>
              <w:t>4、</w:t>
            </w:r>
            <w:r>
              <w:rPr>
                <w:rFonts w:hint="eastAsia"/>
              </w:rPr>
              <w:t>微模块通道端门需采用</w:t>
            </w:r>
            <w:r>
              <w:rPr>
                <w:rFonts w:hint="eastAsia"/>
                <w:color w:val="auto"/>
                <w:lang w:val="en-US" w:eastAsia="zh-CN"/>
              </w:rPr>
              <w:t>手动</w:t>
            </w:r>
            <w:r>
              <w:rPr>
                <w:rFonts w:hint="eastAsia"/>
                <w:color w:val="auto"/>
              </w:rPr>
              <w:t>平移门</w:t>
            </w:r>
            <w:r>
              <w:rPr>
                <w:rFonts w:hint="eastAsia"/>
              </w:rPr>
              <w:t>，通道门框架结构应采用高强度A级优质碳素冷轧型材，其型材厚度应不小于1.5mm，保证门框结构的整体强度；</w:t>
            </w:r>
          </w:p>
          <w:p w14:paraId="2211037B">
            <w:pPr>
              <w:spacing w:after="93" w:line="240" w:lineRule="auto"/>
              <w:rPr>
                <w:rFonts w:hint="eastAsia"/>
              </w:rPr>
            </w:pPr>
            <w:r>
              <w:rPr>
                <w:rFonts w:hint="eastAsia"/>
              </w:rPr>
              <w:t>▲</w:t>
            </w:r>
            <w:r>
              <w:rPr>
                <w:rFonts w:hint="eastAsia"/>
                <w:lang w:val="en-US" w:eastAsia="zh-CN"/>
              </w:rPr>
              <w:t>5、</w:t>
            </w:r>
            <w:r>
              <w:rPr>
                <w:rFonts w:hint="eastAsia"/>
              </w:rPr>
              <w:t>应设置告警联动指示灯，实现告警联动不同颜色展示，可根据不同的告警等级设置不同颜色的灯光告警指示，告警等级及指示灯光颜色应不少于4种，提供具备“CNAS”或“CMA”标识的第三方机构出具的检验报告复印件；</w:t>
            </w:r>
          </w:p>
          <w:p w14:paraId="61A81E32">
            <w:pPr>
              <w:spacing w:after="93" w:line="240" w:lineRule="auto"/>
              <w:rPr>
                <w:rFonts w:hint="eastAsia"/>
              </w:rPr>
            </w:pPr>
            <w:r>
              <w:rPr>
                <w:rFonts w:hint="eastAsia"/>
                <w:lang w:val="en-US" w:eastAsia="zh-CN"/>
              </w:rPr>
              <w:t>6、</w:t>
            </w:r>
            <w:r>
              <w:rPr>
                <w:rFonts w:hint="eastAsia"/>
              </w:rPr>
              <w:t>走线槽具有信号线和电源线隔离设计，隔离信号线和电源线的走线。根据线缆数量的不同，隔板的位置可调。机柜的柜顶和机柜底部应提供充足的线缆道口，可同时实现机柜顶部走线与架空地板的下走线。走线槽可实现长度方向的扩容，且在相交时可分为上下两个通道走线，实现电源线和信号线的分层管理；</w:t>
            </w:r>
          </w:p>
          <w:p w14:paraId="73AA6B8F">
            <w:pPr>
              <w:spacing w:after="93" w:line="240" w:lineRule="auto"/>
              <w:rPr>
                <w:rFonts w:hint="eastAsia"/>
              </w:rPr>
            </w:pPr>
            <w:r>
              <w:rPr>
                <w:rFonts w:hint="eastAsia"/>
              </w:rPr>
              <w:t>▲</w:t>
            </w:r>
            <w:r>
              <w:rPr>
                <w:rFonts w:hint="eastAsia"/>
                <w:lang w:val="en-US" w:eastAsia="zh-CN"/>
              </w:rPr>
              <w:t>7、</w:t>
            </w:r>
            <w:r>
              <w:rPr>
                <w:rFonts w:hint="eastAsia"/>
              </w:rPr>
              <w:t>为保证采购产品绿色节能，低碳高效，参与投标设备品牌需入选《广东省节能技术、设备（产品）推荐目录》（2023年版）名单，需提供模块化UPS或微模块系统或数据中心制冷系统在推荐目录中的截图并提供官网链接。</w:t>
            </w:r>
          </w:p>
          <w:p w14:paraId="10311D0A">
            <w:pPr>
              <w:spacing w:after="93" w:line="240" w:lineRule="auto"/>
              <w:rPr>
                <w:rFonts w:hint="eastAsia"/>
              </w:rPr>
            </w:pPr>
            <w:r>
              <w:rPr>
                <w:rFonts w:hint="eastAsia"/>
                <w:lang w:val="en-US" w:eastAsia="zh-CN"/>
              </w:rPr>
              <w:t>8、</w:t>
            </w:r>
            <w:r>
              <w:rPr>
                <w:rFonts w:hint="eastAsia"/>
              </w:rPr>
              <w:t>通道内应设置LED照明，还应设置通道内氛围灯，增加通道内的视觉效果。通道照明应通过红外、摄像</w:t>
            </w:r>
            <w:r>
              <w:rPr>
                <w:rFonts w:hint="eastAsia"/>
                <w:lang w:eastAsia="zh-CN"/>
              </w:rPr>
              <w:t>头等</w:t>
            </w:r>
            <w:r>
              <w:rPr>
                <w:rFonts w:hint="eastAsia"/>
              </w:rPr>
              <w:t>多重判断提高准确度，还应采用智能照明系统，以实现</w:t>
            </w:r>
            <w:r>
              <w:rPr>
                <w:rFonts w:hint="eastAsia"/>
                <w:color w:val="auto"/>
              </w:rPr>
              <w:t>人来灯亮、人走灯灭</w:t>
            </w:r>
            <w:r>
              <w:rPr>
                <w:rFonts w:hint="eastAsia"/>
              </w:rPr>
              <w:t>。</w:t>
            </w:r>
          </w:p>
          <w:p w14:paraId="262C0A5A">
            <w:pPr>
              <w:spacing w:after="93" w:line="240" w:lineRule="auto"/>
              <w:rPr>
                <w:rFonts w:hint="eastAsia"/>
              </w:rPr>
            </w:pPr>
            <w:r>
              <w:rPr>
                <w:rFonts w:hint="eastAsia"/>
                <w:lang w:val="en-US" w:eastAsia="zh-CN"/>
              </w:rPr>
              <w:t>9、</w:t>
            </w:r>
            <w:r>
              <w:rPr>
                <w:rFonts w:hint="eastAsia"/>
              </w:rPr>
              <w:t>密闭通道需满足YD5083-2005《电信设备抗地震性能检测规范》要求，并通过不低于8烈度抗震检验。</w:t>
            </w:r>
          </w:p>
          <w:p w14:paraId="75764D7D">
            <w:pPr>
              <w:spacing w:after="93" w:line="240" w:lineRule="auto"/>
            </w:pPr>
            <w:r>
              <w:rPr>
                <w:rFonts w:hint="eastAsia"/>
                <w:lang w:val="en-US" w:eastAsia="zh-CN"/>
              </w:rPr>
              <w:t>10、</w:t>
            </w:r>
            <w:r>
              <w:rPr>
                <w:rFonts w:hint="eastAsia"/>
              </w:rPr>
              <w:t>密封通道端门两侧地面（地板）上应保证通过性优异，不应有地轨、门槛等。</w:t>
            </w:r>
          </w:p>
        </w:tc>
        <w:tc>
          <w:tcPr>
            <w:tcW w:w="421" w:type="dxa"/>
            <w:shd w:val="clear" w:color="auto" w:fill="auto"/>
            <w:vAlign w:val="center"/>
          </w:tcPr>
          <w:p w14:paraId="12933FAA">
            <w:pPr>
              <w:spacing w:before="120" w:after="93" w:line="240" w:lineRule="auto"/>
              <w:jc w:val="center"/>
            </w:pPr>
            <w:r>
              <w:rPr>
                <w:rFonts w:hint="eastAsia"/>
              </w:rPr>
              <w:t>套</w:t>
            </w:r>
          </w:p>
        </w:tc>
        <w:tc>
          <w:tcPr>
            <w:tcW w:w="728" w:type="dxa"/>
            <w:shd w:val="clear" w:color="auto" w:fill="auto"/>
            <w:vAlign w:val="center"/>
          </w:tcPr>
          <w:p w14:paraId="508522BF">
            <w:pPr>
              <w:spacing w:before="120" w:after="93" w:line="240" w:lineRule="auto"/>
              <w:jc w:val="center"/>
              <w:rPr>
                <w:rFonts w:hint="eastAsia" w:eastAsia="仿宋"/>
                <w:lang w:eastAsia="zh-CN"/>
              </w:rPr>
            </w:pPr>
            <w:r>
              <w:rPr>
                <w:rFonts w:hint="eastAsia"/>
                <w:lang w:val="en-US" w:eastAsia="zh-CN"/>
              </w:rPr>
              <w:t>1</w:t>
            </w:r>
          </w:p>
        </w:tc>
      </w:tr>
      <w:tr w14:paraId="1EEBE72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47" w:hRule="atLeast"/>
          <w:jc w:val="center"/>
        </w:trPr>
        <w:tc>
          <w:tcPr>
            <w:tcW w:w="9488" w:type="dxa"/>
            <w:gridSpan w:val="5"/>
            <w:shd w:val="clear" w:color="auto" w:fill="auto"/>
            <w:vAlign w:val="center"/>
          </w:tcPr>
          <w:p w14:paraId="49E609A7">
            <w:pPr>
              <w:pStyle w:val="33"/>
              <w:spacing w:before="0" w:beforeLines="0" w:after="0" w:afterLines="0" w:line="240" w:lineRule="auto"/>
              <w:rPr>
                <w:rFonts w:hint="eastAsia" w:eastAsia="仿宋"/>
                <w:b/>
                <w:bCs/>
                <w:lang w:val="en-US" w:eastAsia="zh-CN"/>
              </w:rPr>
            </w:pPr>
            <w:r>
              <w:rPr>
                <w:rFonts w:hint="eastAsia"/>
                <w:b/>
                <w:bCs/>
              </w:rPr>
              <w:t>（二）</w:t>
            </w:r>
            <w:r>
              <w:rPr>
                <w:rFonts w:hint="eastAsia"/>
                <w:b/>
                <w:bCs/>
                <w:lang w:val="en-US" w:eastAsia="zh-CN"/>
              </w:rPr>
              <w:t>专用通道</w:t>
            </w:r>
            <w:r>
              <w:rPr>
                <w:rFonts w:hint="eastAsia"/>
                <w:b/>
                <w:bCs/>
              </w:rPr>
              <w:t>制冷</w:t>
            </w:r>
            <w:r>
              <w:rPr>
                <w:rFonts w:hint="eastAsia"/>
                <w:b/>
                <w:bCs/>
                <w:lang w:val="en-US" w:eastAsia="zh-CN"/>
              </w:rPr>
              <w:t>模块</w:t>
            </w:r>
          </w:p>
        </w:tc>
      </w:tr>
      <w:tr w14:paraId="0033602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76" w:hRule="atLeast"/>
          <w:jc w:val="center"/>
        </w:trPr>
        <w:tc>
          <w:tcPr>
            <w:tcW w:w="713" w:type="dxa"/>
            <w:shd w:val="clear" w:color="auto" w:fill="auto"/>
            <w:vAlign w:val="center"/>
          </w:tcPr>
          <w:p w14:paraId="234CE3E1">
            <w:pPr>
              <w:spacing w:before="120" w:after="93" w:line="240" w:lineRule="auto"/>
              <w:jc w:val="center"/>
            </w:pPr>
            <w:r>
              <w:rPr>
                <w:rFonts w:hint="eastAsia"/>
              </w:rPr>
              <w:t>1</w:t>
            </w:r>
          </w:p>
        </w:tc>
        <w:tc>
          <w:tcPr>
            <w:tcW w:w="1533" w:type="dxa"/>
            <w:shd w:val="clear" w:color="auto" w:fill="auto"/>
            <w:vAlign w:val="center"/>
          </w:tcPr>
          <w:p w14:paraId="45213C45">
            <w:pPr>
              <w:spacing w:before="120" w:after="93" w:line="240" w:lineRule="auto"/>
              <w:rPr>
                <w:iCs/>
              </w:rPr>
            </w:pPr>
            <w:r>
              <w:rPr>
                <w:rFonts w:hint="eastAsia"/>
                <w:iCs/>
              </w:rPr>
              <w:t>制冷设备</w:t>
            </w:r>
            <w:r>
              <w:rPr>
                <w:rFonts w:hint="eastAsia"/>
                <w:iCs/>
                <w:lang w:eastAsia="zh-CN"/>
              </w:rPr>
              <w:t>（</w:t>
            </w:r>
            <w:r>
              <w:rPr>
                <w:rFonts w:hint="eastAsia"/>
                <w:iCs/>
                <w:lang w:val="en-US" w:eastAsia="zh-CN"/>
              </w:rPr>
              <w:t>推荐品牌：华为、维谛、伊顿</w:t>
            </w:r>
            <w:r>
              <w:rPr>
                <w:rFonts w:hint="eastAsia"/>
                <w:iCs/>
                <w:lang w:eastAsia="zh-CN"/>
              </w:rPr>
              <w:t>）</w:t>
            </w:r>
          </w:p>
        </w:tc>
        <w:tc>
          <w:tcPr>
            <w:tcW w:w="6093" w:type="dxa"/>
            <w:shd w:val="clear" w:color="auto" w:fill="auto"/>
            <w:vAlign w:val="center"/>
          </w:tcPr>
          <w:p w14:paraId="2219C258">
            <w:pPr>
              <w:spacing w:after="93" w:line="240" w:lineRule="auto"/>
              <w:rPr>
                <w:rFonts w:hint="eastAsia" w:cs="仿宋"/>
              </w:rPr>
            </w:pPr>
            <w:r>
              <w:rPr>
                <w:rFonts w:hint="eastAsia" w:ascii="国标仿宋" w:hAnsi="国标仿宋" w:eastAsia="国标仿宋" w:cs="国标仿宋"/>
                <w:sz w:val="28"/>
                <w:szCs w:val="28"/>
                <w:highlight w:val="none"/>
                <w:lang w:val="en-US" w:eastAsia="zh-CN"/>
              </w:rPr>
              <w:t>★</w:t>
            </w:r>
            <w:r>
              <w:rPr>
                <w:rFonts w:hint="eastAsia" w:cs="仿宋"/>
              </w:rPr>
              <w:t>1.</w:t>
            </w:r>
            <w:r>
              <w:rPr>
                <w:rFonts w:hint="eastAsia" w:cs="仿宋"/>
                <w:lang w:eastAsia="zh-CN"/>
              </w:rPr>
              <w:t>、</w:t>
            </w:r>
            <w:r>
              <w:rPr>
                <w:rFonts w:hint="eastAsia" w:cs="仿宋"/>
              </w:rPr>
              <w:t>总冷量≥25KW，显冷量≥25kW，水平送风，风量≥5000 m3/h，尺寸300（W）*1200(D)*2000（H）mm。</w:t>
            </w:r>
          </w:p>
          <w:p w14:paraId="77C5E48D">
            <w:pPr>
              <w:spacing w:after="93" w:line="240" w:lineRule="auto"/>
              <w:rPr>
                <w:rFonts w:hint="eastAsia" w:cs="仿宋"/>
              </w:rPr>
            </w:pPr>
            <w:r>
              <w:rPr>
                <w:rFonts w:hint="eastAsia" w:cs="仿宋"/>
              </w:rPr>
              <w:t>2</w:t>
            </w:r>
            <w:r>
              <w:rPr>
                <w:rFonts w:hint="eastAsia" w:cs="仿宋"/>
                <w:lang w:eastAsia="zh-CN"/>
              </w:rPr>
              <w:t>、</w:t>
            </w:r>
            <w:r>
              <w:rPr>
                <w:rFonts w:hint="eastAsia" w:cs="仿宋"/>
              </w:rPr>
              <w:t>空调内机支持双路供电自切换功能，主路供电中断可自动切换到辅路供电。</w:t>
            </w:r>
          </w:p>
          <w:p w14:paraId="52C935F6">
            <w:pPr>
              <w:spacing w:after="93" w:line="240" w:lineRule="auto"/>
              <w:rPr>
                <w:rFonts w:hint="eastAsia" w:cs="仿宋"/>
              </w:rPr>
            </w:pPr>
            <w:r>
              <w:rPr>
                <w:rFonts w:hint="eastAsia" w:cs="仿宋"/>
              </w:rPr>
              <w:t>3</w:t>
            </w:r>
            <w:r>
              <w:rPr>
                <w:rFonts w:hint="eastAsia" w:cs="仿宋"/>
                <w:lang w:eastAsia="zh-CN"/>
              </w:rPr>
              <w:t>、</w:t>
            </w:r>
            <w:r>
              <w:rPr>
                <w:rFonts w:hint="eastAsia" w:cs="仿宋"/>
              </w:rPr>
              <w:t>采用高效直流变频压缩机与EC风机,制冷量</w:t>
            </w:r>
            <w:r>
              <w:rPr>
                <w:rFonts w:hint="eastAsia" w:cs="仿宋"/>
                <w:lang w:eastAsia="zh-CN"/>
              </w:rPr>
              <w:t>无级</w:t>
            </w:r>
            <w:r>
              <w:rPr>
                <w:rFonts w:hint="eastAsia" w:cs="仿宋"/>
              </w:rPr>
              <w:t>调节匹配负载</w:t>
            </w:r>
          </w:p>
          <w:p w14:paraId="64EF36F5">
            <w:pPr>
              <w:spacing w:after="93" w:line="240" w:lineRule="auto"/>
              <w:rPr>
                <w:rFonts w:hint="eastAsia" w:cs="仿宋"/>
              </w:rPr>
            </w:pPr>
            <w:r>
              <w:rPr>
                <w:rFonts w:hint="eastAsia"/>
              </w:rPr>
              <w:t>▲</w:t>
            </w:r>
            <w:r>
              <w:rPr>
                <w:rFonts w:hint="eastAsia" w:cs="仿宋"/>
              </w:rPr>
              <w:t>4</w:t>
            </w:r>
            <w:r>
              <w:rPr>
                <w:rFonts w:hint="eastAsia" w:cs="仿宋"/>
                <w:lang w:eastAsia="zh-CN"/>
              </w:rPr>
              <w:t>、</w:t>
            </w:r>
            <w:r>
              <w:rPr>
                <w:rFonts w:hint="eastAsia" w:cs="仿宋"/>
              </w:rPr>
              <w:t>空调机组支持最小显热制冷量≤5800W，</w:t>
            </w:r>
            <w:r>
              <w:rPr>
                <w:rFonts w:hint="eastAsia"/>
              </w:rPr>
              <w:t>提供具备“CNAS”或“CMA”标识的第三方机构出具的检验报告复印件</w:t>
            </w:r>
            <w:r>
              <w:rPr>
                <w:rFonts w:hint="eastAsia" w:cs="仿宋"/>
              </w:rPr>
              <w:t>。</w:t>
            </w:r>
          </w:p>
          <w:p w14:paraId="3FAAE02F">
            <w:pPr>
              <w:spacing w:after="93" w:line="240" w:lineRule="auto"/>
              <w:rPr>
                <w:rFonts w:hint="eastAsia" w:cs="仿宋"/>
              </w:rPr>
            </w:pPr>
            <w:r>
              <w:rPr>
                <w:rFonts w:hint="eastAsia" w:cs="仿宋"/>
              </w:rPr>
              <w:t>5</w:t>
            </w:r>
            <w:r>
              <w:rPr>
                <w:rFonts w:hint="eastAsia" w:cs="仿宋"/>
                <w:lang w:eastAsia="zh-CN"/>
              </w:rPr>
              <w:t>、</w:t>
            </w:r>
            <w:r>
              <w:rPr>
                <w:rFonts w:hint="eastAsia" w:cs="仿宋"/>
              </w:rPr>
              <w:t>蒸发器采用高效内螺纹铜管和亲水铝箔设计，过滤网组件采用不低于G3等级过滤网。</w:t>
            </w:r>
          </w:p>
          <w:p w14:paraId="282A1731">
            <w:pPr>
              <w:spacing w:after="93" w:line="240" w:lineRule="auto"/>
              <w:rPr>
                <w:rFonts w:hint="eastAsia" w:cs="仿宋"/>
              </w:rPr>
            </w:pPr>
            <w:r>
              <w:rPr>
                <w:rFonts w:hint="eastAsia"/>
              </w:rPr>
              <w:t>▲</w:t>
            </w:r>
            <w:r>
              <w:rPr>
                <w:rFonts w:hint="eastAsia" w:cs="仿宋"/>
              </w:rPr>
              <w:t>6</w:t>
            </w:r>
            <w:r>
              <w:rPr>
                <w:rFonts w:hint="eastAsia" w:cs="仿宋"/>
                <w:lang w:eastAsia="zh-CN"/>
              </w:rPr>
              <w:t>、</w:t>
            </w:r>
            <w:r>
              <w:rPr>
                <w:rFonts w:hint="eastAsia" w:cs="仿宋"/>
              </w:rPr>
              <w:t>加热应采用PTC电加热，再加热量≥4kW。加湿应采用高效的湿膜加湿，加湿量≥0.99kg/h，且空调最大加湿功耗需小于50W，</w:t>
            </w:r>
            <w:r>
              <w:rPr>
                <w:rFonts w:hint="eastAsia"/>
              </w:rPr>
              <w:t>提供具备“CNAS”或“CMA”标识的第三方机构出具的检验报告复印件</w:t>
            </w:r>
            <w:r>
              <w:rPr>
                <w:rFonts w:hint="eastAsia" w:cs="仿宋"/>
              </w:rPr>
              <w:t>。</w:t>
            </w:r>
          </w:p>
          <w:p w14:paraId="708B6B6A">
            <w:pPr>
              <w:spacing w:after="93" w:line="240" w:lineRule="auto"/>
              <w:rPr>
                <w:rFonts w:hint="eastAsia" w:cs="仿宋"/>
              </w:rPr>
            </w:pPr>
            <w:r>
              <w:rPr>
                <w:rFonts w:hint="eastAsia" w:cs="仿宋"/>
              </w:rPr>
              <w:t>7</w:t>
            </w:r>
            <w:r>
              <w:rPr>
                <w:rFonts w:hint="eastAsia" w:cs="仿宋"/>
                <w:lang w:eastAsia="zh-CN"/>
              </w:rPr>
              <w:t>、</w:t>
            </w:r>
            <w:r>
              <w:rPr>
                <w:rFonts w:hint="eastAsia" w:cs="仿宋"/>
              </w:rPr>
              <w:t>支持整机异常掉电后电子膨胀阀自动关闭,避免异常掉电回液导致重启后压缩机液击风险。</w:t>
            </w:r>
          </w:p>
          <w:p w14:paraId="1821184E">
            <w:pPr>
              <w:spacing w:after="93" w:line="240" w:lineRule="auto"/>
              <w:rPr>
                <w:rFonts w:hint="eastAsia" w:cs="仿宋"/>
              </w:rPr>
            </w:pPr>
            <w:r>
              <w:rPr>
                <w:rFonts w:hint="eastAsia"/>
              </w:rPr>
              <w:t>▲</w:t>
            </w:r>
            <w:r>
              <w:rPr>
                <w:rFonts w:hint="eastAsia" w:cs="仿宋"/>
              </w:rPr>
              <w:t>8</w:t>
            </w:r>
            <w:r>
              <w:rPr>
                <w:rFonts w:hint="eastAsia" w:cs="仿宋"/>
                <w:lang w:eastAsia="zh-CN"/>
              </w:rPr>
              <w:t>、</w:t>
            </w:r>
            <w:r>
              <w:rPr>
                <w:rFonts w:hint="eastAsia" w:cs="仿宋"/>
              </w:rPr>
              <w:t>具备制冷剂不足检测功能，制冷剂缺少量20%状态下运行，显示制冷剂状态“不足”，制冷剂缺少量50%状态下运行，显示制冷剂状态“严重不足”，</w:t>
            </w:r>
            <w:r>
              <w:rPr>
                <w:rFonts w:hint="eastAsia"/>
              </w:rPr>
              <w:t>提供具备“CNAS”或“CMA”标识的第三方机构出具的检验报告复印件</w:t>
            </w:r>
            <w:r>
              <w:rPr>
                <w:rFonts w:hint="eastAsia" w:cs="仿宋"/>
              </w:rPr>
              <w:t>。</w:t>
            </w:r>
          </w:p>
          <w:p w14:paraId="7FDA6AA6">
            <w:pPr>
              <w:spacing w:after="93" w:line="240" w:lineRule="auto"/>
              <w:rPr>
                <w:rFonts w:hint="eastAsia" w:cs="仿宋"/>
              </w:rPr>
            </w:pPr>
            <w:r>
              <w:rPr>
                <w:rFonts w:hint="eastAsia" w:cs="仿宋"/>
              </w:rPr>
              <w:t>9</w:t>
            </w:r>
            <w:r>
              <w:rPr>
                <w:rFonts w:hint="eastAsia" w:cs="仿宋"/>
                <w:lang w:eastAsia="zh-CN"/>
              </w:rPr>
              <w:t>、</w:t>
            </w:r>
            <w:r>
              <w:rPr>
                <w:rFonts w:hint="eastAsia" w:cs="仿宋"/>
              </w:rPr>
              <w:t>应设置≥7英寸真彩触摸屏，可实时显示冷量、风量等关键参数信息，易于操作和运维管理。</w:t>
            </w:r>
          </w:p>
          <w:p w14:paraId="6FA8C628">
            <w:pPr>
              <w:spacing w:after="93" w:line="240" w:lineRule="auto"/>
              <w:rPr>
                <w:rFonts w:hint="eastAsia" w:cs="仿宋"/>
              </w:rPr>
            </w:pPr>
            <w:r>
              <w:rPr>
                <w:rFonts w:hint="eastAsia" w:cs="仿宋"/>
              </w:rPr>
              <w:t>10</w:t>
            </w:r>
            <w:r>
              <w:rPr>
                <w:rFonts w:hint="eastAsia" w:cs="仿宋"/>
                <w:lang w:eastAsia="zh-CN"/>
              </w:rPr>
              <w:t>、</w:t>
            </w:r>
            <w:r>
              <w:rPr>
                <w:rFonts w:hint="eastAsia" w:cs="仿宋"/>
              </w:rPr>
              <w:t>空调应具有RS485或FE通讯接口，对系统进行远程巡检和参数的设置，提供Modbus或SNMP开放协议，以接入机房环境监控系统，降低服务成本</w:t>
            </w:r>
          </w:p>
          <w:p w14:paraId="557ADD32">
            <w:pPr>
              <w:spacing w:after="93" w:line="240" w:lineRule="auto"/>
              <w:rPr>
                <w:rFonts w:hint="eastAsia" w:cs="仿宋"/>
              </w:rPr>
            </w:pPr>
            <w:r>
              <w:rPr>
                <w:rFonts w:hint="eastAsia"/>
              </w:rPr>
              <w:t>▲</w:t>
            </w:r>
            <w:r>
              <w:rPr>
                <w:rFonts w:hint="eastAsia" w:cs="仿宋"/>
              </w:rPr>
              <w:t>11</w:t>
            </w:r>
            <w:r>
              <w:rPr>
                <w:rFonts w:hint="eastAsia" w:cs="仿宋"/>
                <w:lang w:eastAsia="zh-CN"/>
              </w:rPr>
              <w:t>、</w:t>
            </w:r>
            <w:r>
              <w:rPr>
                <w:rFonts w:hint="eastAsia" w:cs="仿宋"/>
              </w:rPr>
              <w:t>具备轻载除湿功能，支持在显热制冷量≤3100W，且室内95±1%的高湿度情况下稳定除湿功能（除湿量≥2.0kg/h），有效降低数据中心低载高湿运行时的设备结露风险，</w:t>
            </w:r>
            <w:r>
              <w:rPr>
                <w:rFonts w:hint="eastAsia"/>
              </w:rPr>
              <w:t>提供具备“CNAS”或“CMA”标识的第三方机构出具的检验报告复印件</w:t>
            </w:r>
            <w:r>
              <w:rPr>
                <w:rFonts w:hint="eastAsia" w:cs="仿宋"/>
              </w:rPr>
              <w:t>。</w:t>
            </w:r>
          </w:p>
          <w:p w14:paraId="2FB45E74">
            <w:pPr>
              <w:spacing w:after="93" w:line="240" w:lineRule="auto"/>
              <w:rPr>
                <w:rFonts w:hint="eastAsia" w:cs="仿宋"/>
              </w:rPr>
            </w:pPr>
            <w:r>
              <w:rPr>
                <w:rFonts w:hint="eastAsia"/>
              </w:rPr>
              <w:t>▲</w:t>
            </w:r>
            <w:r>
              <w:rPr>
                <w:rFonts w:hint="eastAsia" w:cs="仿宋"/>
              </w:rPr>
              <w:t>12</w:t>
            </w:r>
            <w:r>
              <w:rPr>
                <w:rFonts w:hint="eastAsia" w:cs="仿宋"/>
                <w:lang w:eastAsia="zh-CN"/>
              </w:rPr>
              <w:t>、</w:t>
            </w:r>
            <w:r>
              <w:rPr>
                <w:rFonts w:hint="eastAsia" w:cs="仿宋"/>
              </w:rPr>
              <w:t>机组应标配防雷器，要求室内外机防浪涌电压值≥6kV，安全可靠，提供第三方EMC测试报告对应页复印件。</w:t>
            </w:r>
          </w:p>
          <w:p w14:paraId="50585A7F">
            <w:pPr>
              <w:spacing w:after="93" w:line="240" w:lineRule="auto"/>
              <w:rPr>
                <w:rFonts w:hint="eastAsia" w:cs="仿宋"/>
              </w:rPr>
            </w:pPr>
            <w:r>
              <w:rPr>
                <w:rFonts w:hint="eastAsia" w:cs="仿宋"/>
              </w:rPr>
              <w:t>13</w:t>
            </w:r>
            <w:r>
              <w:rPr>
                <w:rFonts w:hint="eastAsia" w:cs="仿宋"/>
                <w:lang w:eastAsia="zh-CN"/>
              </w:rPr>
              <w:t>、</w:t>
            </w:r>
            <w:r>
              <w:rPr>
                <w:rFonts w:hint="eastAsia" w:cs="仿宋"/>
              </w:rPr>
              <w:t>按照标准YD5083-2005《电信设备抗地震性能检测规范》要求，通过8、9烈度抗震检验。</w:t>
            </w:r>
          </w:p>
          <w:p w14:paraId="1B4B0523">
            <w:pPr>
              <w:spacing w:after="93" w:line="240" w:lineRule="auto"/>
              <w:rPr>
                <w:rFonts w:hint="eastAsia" w:cs="仿宋"/>
              </w:rPr>
            </w:pPr>
            <w:r>
              <w:rPr>
                <w:rFonts w:hint="eastAsia"/>
              </w:rPr>
              <w:t>▲</w:t>
            </w:r>
            <w:r>
              <w:rPr>
                <w:rFonts w:hint="eastAsia" w:cs="仿宋"/>
              </w:rPr>
              <w:t>14</w:t>
            </w:r>
            <w:r>
              <w:rPr>
                <w:rFonts w:hint="eastAsia" w:cs="仿宋"/>
                <w:lang w:eastAsia="zh-CN"/>
              </w:rPr>
              <w:t>、</w:t>
            </w:r>
            <w:r>
              <w:rPr>
                <w:rFonts w:hint="eastAsia" w:cs="仿宋"/>
              </w:rPr>
              <w:t>投标精密空调厂家具备自主研发测试能力，拥有获得CNAS或GMPI认可的专业焓差实验室或授权的国家重点实验室，并能够提供认证证书说明。</w:t>
            </w:r>
          </w:p>
          <w:p w14:paraId="355F9CD2">
            <w:pPr>
              <w:numPr>
                <w:ilvl w:val="0"/>
                <w:numId w:val="0"/>
              </w:numPr>
              <w:spacing w:after="93" w:line="240" w:lineRule="auto"/>
              <w:rPr>
                <w:rFonts w:hint="eastAsia"/>
                <w:highlight w:val="none"/>
                <w:lang w:val="en-US" w:eastAsia="zh-CN"/>
              </w:rPr>
            </w:pPr>
            <w:r>
              <w:rPr>
                <w:rFonts w:hint="eastAsia"/>
              </w:rPr>
              <w:t>▲</w:t>
            </w:r>
            <w:r>
              <w:rPr>
                <w:rFonts w:hint="eastAsia" w:cs="仿宋"/>
              </w:rPr>
              <w:t>1</w:t>
            </w:r>
            <w:r>
              <w:rPr>
                <w:rFonts w:hint="eastAsia" w:cs="仿宋"/>
                <w:lang w:val="en-US" w:eastAsia="zh-CN"/>
              </w:rPr>
              <w:t>5</w:t>
            </w:r>
            <w:r>
              <w:rPr>
                <w:rFonts w:hint="eastAsia" w:cs="仿宋"/>
                <w:lang w:eastAsia="zh-CN"/>
              </w:rPr>
              <w:t>、</w:t>
            </w:r>
            <w:r>
              <w:rPr>
                <w:rFonts w:hint="eastAsia" w:cs="仿宋"/>
              </w:rPr>
              <w:t>投标精密空调应满足网络安全要求，通过网络安全认证，提供公安部直属机构出具的社会公共安全产品认证证书复印件</w:t>
            </w:r>
            <w:r>
              <w:rPr>
                <w:rFonts w:hint="eastAsia"/>
                <w:highlight w:val="none"/>
                <w:lang w:val="en-US" w:eastAsia="zh-CN"/>
              </w:rPr>
              <w:t>；</w:t>
            </w:r>
          </w:p>
          <w:p w14:paraId="1D8955E8">
            <w:pPr>
              <w:spacing w:after="93" w:line="240" w:lineRule="auto"/>
            </w:pPr>
            <w:r>
              <w:rPr>
                <w:rFonts w:hint="eastAsia"/>
                <w:highlight w:val="none"/>
                <w:lang w:val="en-US" w:eastAsia="zh-CN"/>
              </w:rPr>
              <w:t>16、需提供加盖公章版原厂专项授权函和原厂售后服务承诺书。</w:t>
            </w:r>
          </w:p>
        </w:tc>
        <w:tc>
          <w:tcPr>
            <w:tcW w:w="421" w:type="dxa"/>
            <w:shd w:val="clear" w:color="auto" w:fill="auto"/>
            <w:vAlign w:val="center"/>
          </w:tcPr>
          <w:p w14:paraId="7CB80E50">
            <w:pPr>
              <w:spacing w:before="120" w:after="93" w:line="240" w:lineRule="auto"/>
              <w:jc w:val="center"/>
            </w:pPr>
            <w:r>
              <w:rPr>
                <w:rFonts w:hint="eastAsia"/>
              </w:rPr>
              <w:t>台</w:t>
            </w:r>
          </w:p>
        </w:tc>
        <w:tc>
          <w:tcPr>
            <w:tcW w:w="728" w:type="dxa"/>
            <w:shd w:val="clear" w:color="auto" w:fill="auto"/>
            <w:vAlign w:val="center"/>
          </w:tcPr>
          <w:p w14:paraId="13A8D156">
            <w:pPr>
              <w:spacing w:before="120" w:after="93" w:line="240" w:lineRule="auto"/>
              <w:jc w:val="center"/>
              <w:rPr>
                <w:rFonts w:hint="eastAsia" w:eastAsia="仿宋"/>
                <w:lang w:eastAsia="zh-CN"/>
              </w:rPr>
            </w:pPr>
            <w:r>
              <w:rPr>
                <w:rFonts w:hint="eastAsia"/>
                <w:lang w:val="en-US" w:eastAsia="zh-CN"/>
              </w:rPr>
              <w:t>3</w:t>
            </w:r>
          </w:p>
        </w:tc>
      </w:tr>
      <w:tr w14:paraId="62791E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76" w:hRule="atLeast"/>
          <w:jc w:val="center"/>
        </w:trPr>
        <w:tc>
          <w:tcPr>
            <w:tcW w:w="713" w:type="dxa"/>
            <w:shd w:val="clear" w:color="auto" w:fill="auto"/>
            <w:vAlign w:val="center"/>
          </w:tcPr>
          <w:p w14:paraId="7A5E954B">
            <w:pPr>
              <w:spacing w:before="120" w:after="93" w:line="240" w:lineRule="auto"/>
              <w:jc w:val="center"/>
              <w:rPr>
                <w:rFonts w:hint="eastAsia" w:eastAsia="仿宋"/>
                <w:highlight w:val="none"/>
                <w:lang w:val="en-US" w:eastAsia="zh-CN"/>
              </w:rPr>
            </w:pPr>
            <w:r>
              <w:rPr>
                <w:rFonts w:hint="eastAsia"/>
                <w:highlight w:val="none"/>
                <w:lang w:val="en-US" w:eastAsia="zh-CN"/>
              </w:rPr>
              <w:t>2</w:t>
            </w:r>
          </w:p>
        </w:tc>
        <w:tc>
          <w:tcPr>
            <w:tcW w:w="1533" w:type="dxa"/>
            <w:shd w:val="clear" w:color="auto" w:fill="auto"/>
            <w:vAlign w:val="center"/>
          </w:tcPr>
          <w:p w14:paraId="6C13A7A5">
            <w:pPr>
              <w:spacing w:before="120" w:after="93" w:line="240" w:lineRule="auto"/>
              <w:rPr>
                <w:rFonts w:hint="default" w:eastAsia="仿宋"/>
                <w:iCs/>
                <w:highlight w:val="none"/>
                <w:lang w:val="en-US" w:eastAsia="zh-CN"/>
              </w:rPr>
            </w:pPr>
            <w:r>
              <w:rPr>
                <w:rFonts w:hint="eastAsia"/>
                <w:iCs/>
                <w:highlight w:val="none"/>
              </w:rPr>
              <w:t>制冷设备</w:t>
            </w:r>
            <w:r>
              <w:rPr>
                <w:rFonts w:hint="eastAsia"/>
                <w:iCs/>
                <w:highlight w:val="none"/>
                <w:lang w:val="en-US" w:eastAsia="zh-CN"/>
              </w:rPr>
              <w:t>配套设备</w:t>
            </w:r>
          </w:p>
        </w:tc>
        <w:tc>
          <w:tcPr>
            <w:tcW w:w="6093" w:type="dxa"/>
            <w:shd w:val="clear" w:color="auto" w:fill="auto"/>
            <w:vAlign w:val="center"/>
          </w:tcPr>
          <w:p w14:paraId="05A7068E">
            <w:pPr>
              <w:numPr>
                <w:ilvl w:val="0"/>
                <w:numId w:val="0"/>
              </w:numPr>
              <w:spacing w:after="93" w:line="240" w:lineRule="auto"/>
              <w:rPr>
                <w:rFonts w:hint="eastAsia" w:cs="仿宋"/>
                <w:highlight w:val="none"/>
                <w:lang w:val="en-US" w:eastAsia="zh-CN"/>
              </w:rPr>
            </w:pPr>
            <w:r>
              <w:rPr>
                <w:rFonts w:hint="eastAsia" w:cs="仿宋"/>
                <w:highlight w:val="none"/>
                <w:lang w:val="en-US" w:eastAsia="zh-CN"/>
              </w:rPr>
              <w:t>1、空调汽管：直径≥19mm，厚度≥1.2mm，长度≥210米。（品牌要求：金龙、宏泰、海亮）</w:t>
            </w:r>
          </w:p>
          <w:p w14:paraId="73516DD4">
            <w:pPr>
              <w:numPr>
                <w:ilvl w:val="0"/>
                <w:numId w:val="0"/>
              </w:numPr>
              <w:spacing w:after="93" w:line="240" w:lineRule="auto"/>
              <w:rPr>
                <w:rFonts w:hint="eastAsia" w:cs="仿宋"/>
                <w:highlight w:val="none"/>
                <w:lang w:val="en-US" w:eastAsia="zh-CN"/>
              </w:rPr>
            </w:pPr>
            <w:r>
              <w:rPr>
                <w:rFonts w:hint="eastAsia" w:cs="仿宋"/>
                <w:highlight w:val="none"/>
                <w:lang w:val="en-US" w:eastAsia="zh-CN"/>
              </w:rPr>
              <w:t>2、空调液管：直径≥16mm，厚度≥1.0mm，长度≥210米。（品牌要求：金龙、宏泰、海亮）</w:t>
            </w:r>
          </w:p>
          <w:p w14:paraId="0F46BD48">
            <w:pPr>
              <w:numPr>
                <w:ilvl w:val="0"/>
                <w:numId w:val="0"/>
              </w:numPr>
              <w:spacing w:after="93" w:line="240" w:lineRule="auto"/>
              <w:rPr>
                <w:rFonts w:hint="eastAsia" w:cs="仿宋"/>
                <w:highlight w:val="none"/>
                <w:lang w:val="en-US" w:eastAsia="zh-CN"/>
              </w:rPr>
            </w:pPr>
            <w:r>
              <w:rPr>
                <w:rFonts w:hint="eastAsia" w:cs="仿宋"/>
                <w:highlight w:val="none"/>
                <w:lang w:val="en-US" w:eastAsia="zh-CN"/>
              </w:rPr>
              <w:t>3、保温规格：19×9mm、16×9mm，长度≥210米。</w:t>
            </w:r>
          </w:p>
          <w:p w14:paraId="3628BB87">
            <w:pPr>
              <w:numPr>
                <w:ilvl w:val="0"/>
                <w:numId w:val="0"/>
              </w:numPr>
              <w:spacing w:after="93" w:line="240" w:lineRule="auto"/>
              <w:rPr>
                <w:rFonts w:hint="eastAsia" w:cs="仿宋"/>
                <w:highlight w:val="none"/>
                <w:lang w:val="en-US" w:eastAsia="zh-CN"/>
              </w:rPr>
            </w:pPr>
            <w:r>
              <w:rPr>
                <w:rFonts w:hint="eastAsia" w:cs="仿宋"/>
                <w:highlight w:val="none"/>
                <w:lang w:val="en-US" w:eastAsia="zh-CN"/>
              </w:rPr>
              <w:t>4、室外机线缆规格：ZA-RVV-5x2.5mm²，长度≥210米。（品牌要求：珠江、新亚、起帆）</w:t>
            </w:r>
          </w:p>
          <w:p w14:paraId="419D0993">
            <w:pPr>
              <w:numPr>
                <w:ilvl w:val="0"/>
                <w:numId w:val="0"/>
              </w:numPr>
              <w:spacing w:after="93" w:line="240" w:lineRule="auto"/>
              <w:rPr>
                <w:rFonts w:hint="eastAsia"/>
                <w:highlight w:val="none"/>
                <w:lang w:val="en-US" w:eastAsia="zh-CN"/>
              </w:rPr>
            </w:pPr>
            <w:r>
              <w:rPr>
                <w:rFonts w:hint="eastAsia" w:cs="仿宋"/>
                <w:highlight w:val="none"/>
                <w:lang w:val="en-US" w:eastAsia="zh-CN"/>
              </w:rPr>
              <w:t>5、信号线线缆规格：3×1.5mm²，长度≥210米。（品牌要求：珠江、新亚、起帆）</w:t>
            </w:r>
          </w:p>
          <w:p w14:paraId="2FD789CF">
            <w:pPr>
              <w:numPr>
                <w:ilvl w:val="0"/>
                <w:numId w:val="0"/>
              </w:numPr>
              <w:spacing w:after="93" w:line="240" w:lineRule="auto"/>
              <w:rPr>
                <w:rFonts w:hint="eastAsia" w:cs="仿宋"/>
                <w:highlight w:val="none"/>
                <w:lang w:val="en-US" w:eastAsia="zh-CN"/>
              </w:rPr>
            </w:pPr>
            <w:r>
              <w:rPr>
                <w:rFonts w:hint="eastAsia" w:cs="仿宋"/>
                <w:highlight w:val="none"/>
                <w:lang w:val="en-US" w:eastAsia="zh-CN"/>
              </w:rPr>
              <w:t>6、空调进排水规格：进水管G1/2in（4分管）、排水管5/8in（6分管），各长度≥45米。</w:t>
            </w:r>
          </w:p>
          <w:p w14:paraId="1A9160BF">
            <w:pPr>
              <w:numPr>
                <w:ilvl w:val="0"/>
                <w:numId w:val="0"/>
              </w:numPr>
              <w:spacing w:after="93" w:line="240" w:lineRule="auto"/>
              <w:rPr>
                <w:rFonts w:hint="eastAsia"/>
                <w:highlight w:val="none"/>
                <w:lang w:val="en-US" w:eastAsia="zh-CN"/>
              </w:rPr>
            </w:pPr>
            <w:r>
              <w:rPr>
                <w:rFonts w:hint="eastAsia"/>
                <w:highlight w:val="none"/>
                <w:lang w:val="en-US" w:eastAsia="zh-CN"/>
              </w:rPr>
              <w:t>7、铜管保护线槽规格：200*100mm。</w:t>
            </w:r>
          </w:p>
          <w:p w14:paraId="3628DBB0">
            <w:pPr>
              <w:numPr>
                <w:ilvl w:val="0"/>
                <w:numId w:val="0"/>
              </w:numPr>
              <w:spacing w:after="93" w:line="240" w:lineRule="auto"/>
              <w:rPr>
                <w:rFonts w:hint="eastAsia"/>
                <w:highlight w:val="none"/>
                <w:lang w:val="en-US" w:eastAsia="zh-CN"/>
              </w:rPr>
            </w:pPr>
            <w:r>
              <w:rPr>
                <w:rFonts w:hint="eastAsia"/>
                <w:highlight w:val="none"/>
                <w:lang w:val="en-US" w:eastAsia="zh-CN"/>
              </w:rPr>
              <w:t>8、</w:t>
            </w:r>
            <w:r>
              <w:rPr>
                <w:rFonts w:hint="eastAsia"/>
                <w:highlight w:val="none"/>
              </w:rPr>
              <w:t>含安装调试，含安装所需的所有配件，如抽真空和保压服务、焊条、氮气、氧气、扎带、墙体开孔封堵等。</w:t>
            </w:r>
          </w:p>
          <w:p w14:paraId="3575C447">
            <w:pPr>
              <w:numPr>
                <w:ilvl w:val="0"/>
                <w:numId w:val="0"/>
              </w:numPr>
              <w:spacing w:after="93" w:line="240" w:lineRule="auto"/>
              <w:rPr>
                <w:rFonts w:hint="eastAsia"/>
                <w:highlight w:val="none"/>
                <w:lang w:val="en-US" w:eastAsia="zh-CN"/>
              </w:rPr>
            </w:pPr>
            <w:r>
              <w:rPr>
                <w:rFonts w:hint="eastAsia"/>
                <w:highlight w:val="none"/>
                <w:lang w:val="en-US" w:eastAsia="zh-CN"/>
              </w:rPr>
              <w:t>9、防水措施：外墙铜管、全墙做保温棉及电缆入机房防水处理。</w:t>
            </w:r>
          </w:p>
          <w:p w14:paraId="3811D979">
            <w:pPr>
              <w:numPr>
                <w:ilvl w:val="0"/>
                <w:numId w:val="0"/>
              </w:numPr>
              <w:spacing w:after="93" w:line="240" w:lineRule="auto"/>
              <w:rPr>
                <w:rFonts w:hint="eastAsia"/>
                <w:highlight w:val="none"/>
                <w:lang w:val="en-US" w:eastAsia="zh-CN"/>
              </w:rPr>
            </w:pPr>
            <w:r>
              <w:rPr>
                <w:rFonts w:hint="eastAsia"/>
                <w:highlight w:val="none"/>
                <w:lang w:val="en-US" w:eastAsia="zh-CN"/>
              </w:rPr>
              <w:t>10、室外机底座使用C20混凝土浇筑。</w:t>
            </w:r>
          </w:p>
          <w:p w14:paraId="546D46F4">
            <w:pPr>
              <w:numPr>
                <w:ilvl w:val="0"/>
                <w:numId w:val="0"/>
              </w:numPr>
              <w:spacing w:after="93" w:line="240" w:lineRule="auto"/>
              <w:rPr>
                <w:rFonts w:hint="eastAsia"/>
                <w:highlight w:val="none"/>
                <w:lang w:val="en-US" w:eastAsia="zh-CN"/>
              </w:rPr>
            </w:pPr>
            <w:r>
              <w:rPr>
                <w:rFonts w:hint="eastAsia"/>
                <w:highlight w:val="none"/>
                <w:lang w:val="en-US" w:eastAsia="zh-CN"/>
              </w:rPr>
              <w:t>11、室内机承重底座：规格为8#槽钢。</w:t>
            </w:r>
          </w:p>
          <w:p w14:paraId="35ADAEBD">
            <w:pPr>
              <w:numPr>
                <w:ilvl w:val="0"/>
                <w:numId w:val="0"/>
              </w:numPr>
              <w:spacing w:after="93" w:line="240" w:lineRule="auto"/>
              <w:rPr>
                <w:rFonts w:hint="default"/>
                <w:highlight w:val="none"/>
                <w:lang w:val="en-US" w:eastAsia="zh-CN"/>
              </w:rPr>
            </w:pPr>
            <w:r>
              <w:rPr>
                <w:rFonts w:hint="eastAsia"/>
                <w:highlight w:val="none"/>
                <w:lang w:val="en-US" w:eastAsia="zh-CN"/>
              </w:rPr>
              <w:t>12、制冷剂：R410A。</w:t>
            </w:r>
          </w:p>
        </w:tc>
        <w:tc>
          <w:tcPr>
            <w:tcW w:w="421" w:type="dxa"/>
            <w:shd w:val="clear" w:color="auto" w:fill="auto"/>
            <w:vAlign w:val="center"/>
          </w:tcPr>
          <w:p w14:paraId="001508F1">
            <w:pPr>
              <w:spacing w:before="120" w:after="93" w:line="240" w:lineRule="auto"/>
              <w:jc w:val="center"/>
              <w:rPr>
                <w:rFonts w:hint="default" w:eastAsia="仿宋"/>
                <w:highlight w:val="none"/>
                <w:lang w:val="en-US" w:eastAsia="zh-CN"/>
              </w:rPr>
            </w:pPr>
            <w:r>
              <w:rPr>
                <w:rFonts w:hint="eastAsia"/>
                <w:highlight w:val="none"/>
                <w:lang w:val="en-US" w:eastAsia="zh-CN"/>
              </w:rPr>
              <w:t>套</w:t>
            </w:r>
          </w:p>
        </w:tc>
        <w:tc>
          <w:tcPr>
            <w:tcW w:w="728" w:type="dxa"/>
            <w:shd w:val="clear" w:color="auto" w:fill="auto"/>
            <w:vAlign w:val="center"/>
          </w:tcPr>
          <w:p w14:paraId="562FF9BB">
            <w:pPr>
              <w:spacing w:before="120" w:after="93" w:line="240" w:lineRule="auto"/>
              <w:jc w:val="center"/>
              <w:rPr>
                <w:rFonts w:hint="eastAsia" w:eastAsia="仿宋"/>
                <w:highlight w:val="none"/>
                <w:lang w:val="en-US" w:eastAsia="zh-CN"/>
              </w:rPr>
            </w:pPr>
            <w:r>
              <w:rPr>
                <w:rFonts w:hint="eastAsia"/>
                <w:highlight w:val="none"/>
                <w:lang w:val="en-US" w:eastAsia="zh-CN"/>
              </w:rPr>
              <w:t>1</w:t>
            </w:r>
          </w:p>
        </w:tc>
      </w:tr>
      <w:tr w14:paraId="169CC65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22" w:hRule="atLeast"/>
          <w:jc w:val="center"/>
        </w:trPr>
        <w:tc>
          <w:tcPr>
            <w:tcW w:w="9488" w:type="dxa"/>
            <w:gridSpan w:val="5"/>
            <w:shd w:val="clear" w:color="auto" w:fill="auto"/>
            <w:vAlign w:val="center"/>
          </w:tcPr>
          <w:p w14:paraId="3D0265EB">
            <w:pPr>
              <w:pStyle w:val="33"/>
              <w:spacing w:before="0" w:beforeLines="0" w:after="0" w:afterLines="0" w:line="240" w:lineRule="auto"/>
              <w:rPr>
                <w:rFonts w:hint="eastAsia" w:eastAsia="仿宋"/>
                <w:b/>
                <w:bCs/>
                <w:lang w:val="en-US" w:eastAsia="zh-CN"/>
              </w:rPr>
            </w:pPr>
            <w:r>
              <w:rPr>
                <w:rFonts w:hint="eastAsia"/>
                <w:b/>
                <w:bCs/>
              </w:rPr>
              <w:t>（三）</w:t>
            </w:r>
            <w:r>
              <w:rPr>
                <w:rFonts w:hint="eastAsia"/>
                <w:b/>
                <w:bCs/>
                <w:lang w:val="en-US" w:eastAsia="zh-CN"/>
              </w:rPr>
              <w:t>专用</w:t>
            </w:r>
            <w:r>
              <w:rPr>
                <w:rFonts w:hint="eastAsia"/>
                <w:b/>
                <w:bCs/>
              </w:rPr>
              <w:t>配电</w:t>
            </w:r>
            <w:r>
              <w:rPr>
                <w:rFonts w:hint="eastAsia"/>
                <w:b/>
                <w:bCs/>
                <w:lang w:val="en-US" w:eastAsia="zh-CN"/>
              </w:rPr>
              <w:t>设备</w:t>
            </w:r>
          </w:p>
        </w:tc>
      </w:tr>
      <w:tr w14:paraId="1434BC4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13" w:type="dxa"/>
            <w:shd w:val="clear" w:color="auto" w:fill="auto"/>
            <w:vAlign w:val="center"/>
          </w:tcPr>
          <w:p w14:paraId="0DFC9CD9">
            <w:pPr>
              <w:spacing w:before="120" w:after="93" w:line="240" w:lineRule="auto"/>
              <w:jc w:val="center"/>
              <w:rPr>
                <w:b w:val="0"/>
                <w:bCs w:val="0"/>
              </w:rPr>
            </w:pPr>
            <w:r>
              <w:rPr>
                <w:rFonts w:hint="eastAsia"/>
                <w:b w:val="0"/>
                <w:bCs w:val="0"/>
                <w:highlight w:val="none"/>
              </w:rPr>
              <w:t>1</w:t>
            </w:r>
          </w:p>
        </w:tc>
        <w:tc>
          <w:tcPr>
            <w:tcW w:w="1533" w:type="dxa"/>
            <w:shd w:val="clear" w:color="auto" w:fill="auto"/>
            <w:vAlign w:val="center"/>
          </w:tcPr>
          <w:p w14:paraId="769F3F4D">
            <w:pPr>
              <w:spacing w:before="120" w:after="93" w:line="240" w:lineRule="auto"/>
              <w:rPr>
                <w:b w:val="0"/>
                <w:bCs w:val="0"/>
                <w:iCs/>
              </w:rPr>
            </w:pPr>
            <w:r>
              <w:rPr>
                <w:rFonts w:hint="eastAsia"/>
                <w:b w:val="0"/>
                <w:bCs w:val="0"/>
                <w:iCs/>
              </w:rPr>
              <w:t>精密配电柜</w:t>
            </w:r>
            <w:r>
              <w:rPr>
                <w:rFonts w:hint="eastAsia"/>
                <w:iCs/>
                <w:lang w:eastAsia="zh-CN"/>
              </w:rPr>
              <w:t>（</w:t>
            </w:r>
            <w:r>
              <w:rPr>
                <w:rFonts w:hint="eastAsia"/>
                <w:iCs/>
                <w:lang w:val="en-US" w:eastAsia="zh-CN"/>
              </w:rPr>
              <w:t>推荐品牌：华为、维谛、伊顿</w:t>
            </w:r>
            <w:r>
              <w:rPr>
                <w:rFonts w:hint="eastAsia"/>
                <w:iCs/>
                <w:lang w:eastAsia="zh-CN"/>
              </w:rPr>
              <w:t>）</w:t>
            </w:r>
          </w:p>
        </w:tc>
        <w:tc>
          <w:tcPr>
            <w:tcW w:w="6093" w:type="dxa"/>
            <w:shd w:val="clear" w:color="auto" w:fill="auto"/>
            <w:vAlign w:val="center"/>
          </w:tcPr>
          <w:p w14:paraId="60213EA7">
            <w:pPr>
              <w:spacing w:after="93" w:line="240" w:lineRule="auto"/>
              <w:rPr>
                <w:rFonts w:hint="eastAsia"/>
              </w:rPr>
            </w:pPr>
            <w:r>
              <w:rPr>
                <w:rFonts w:hint="eastAsia" w:ascii="国标仿宋" w:hAnsi="国标仿宋" w:eastAsia="国标仿宋" w:cs="国标仿宋"/>
                <w:sz w:val="28"/>
                <w:szCs w:val="28"/>
                <w:highlight w:val="none"/>
                <w:lang w:val="en-US" w:eastAsia="zh-CN"/>
              </w:rPr>
              <w:t>★</w:t>
            </w:r>
            <w:r>
              <w:rPr>
                <w:rFonts w:hint="eastAsia"/>
                <w:lang w:val="en-US" w:eastAsia="zh-CN"/>
              </w:rPr>
              <w:t>1、</w:t>
            </w:r>
            <w:r>
              <w:rPr>
                <w:rFonts w:hint="eastAsia"/>
              </w:rPr>
              <w:t>精密配电柜-600mm(W)*1200mm(D)*2000mm(H)，一体化集成IT输入输出配电等，不含空调配电；IT输入：双路</w:t>
            </w:r>
            <w:r>
              <w:rPr>
                <w:rFonts w:hint="eastAsia"/>
                <w:lang w:val="en-US" w:eastAsia="zh-CN"/>
              </w:rPr>
              <w:t>16</w:t>
            </w:r>
            <w:r>
              <w:rPr>
                <w:rFonts w:hint="eastAsia"/>
              </w:rPr>
              <w:t>0A输入，供</w:t>
            </w:r>
            <w:r>
              <w:rPr>
                <w:rFonts w:hint="eastAsia"/>
                <w:lang w:val="en-US" w:eastAsia="zh-CN"/>
              </w:rPr>
              <w:t>两</w:t>
            </w:r>
            <w:r>
              <w:rPr>
                <w:rFonts w:hint="eastAsia"/>
              </w:rPr>
              <w:t>路U电输入，满足2N配电架构、IT输出：2*</w:t>
            </w:r>
            <w:r>
              <w:rPr>
                <w:rFonts w:hint="eastAsia"/>
                <w:lang w:val="en-US" w:eastAsia="zh-CN"/>
              </w:rPr>
              <w:t>12</w:t>
            </w:r>
            <w:r>
              <w:rPr>
                <w:rFonts w:hint="eastAsia"/>
              </w:rPr>
              <w:t>*1P/C</w:t>
            </w:r>
            <w:r>
              <w:rPr>
                <w:rFonts w:hint="eastAsia"/>
                <w:lang w:val="en-US" w:eastAsia="zh-CN"/>
              </w:rPr>
              <w:t>40</w:t>
            </w:r>
            <w:r>
              <w:rPr>
                <w:rFonts w:hint="eastAsia"/>
              </w:rPr>
              <w:t>A输出；</w:t>
            </w:r>
          </w:p>
          <w:p w14:paraId="2F2CA032">
            <w:pPr>
              <w:spacing w:after="93" w:line="240" w:lineRule="auto"/>
              <w:rPr>
                <w:rFonts w:hint="eastAsia"/>
              </w:rPr>
            </w:pPr>
            <w:r>
              <w:rPr>
                <w:rFonts w:hint="eastAsia"/>
                <w:lang w:val="en-US" w:eastAsia="zh-CN"/>
              </w:rPr>
              <w:t>2、</w:t>
            </w:r>
            <w:r>
              <w:rPr>
                <w:rFonts w:hint="eastAsia"/>
              </w:rPr>
              <w:t>浪涌保护器采用C级浪涌保护器，耐冲击过电压额定值＜1.8kV，标称放电电流≥20KA，并配置MCCB后备保护；</w:t>
            </w:r>
          </w:p>
          <w:p w14:paraId="28B0E9A6">
            <w:pPr>
              <w:spacing w:after="93" w:line="240" w:lineRule="auto"/>
              <w:rPr>
                <w:rFonts w:hint="eastAsia"/>
              </w:rPr>
            </w:pPr>
            <w:r>
              <w:rPr>
                <w:rFonts w:hint="eastAsia"/>
                <w:lang w:val="en-US" w:eastAsia="zh-CN"/>
              </w:rPr>
              <w:t>3、</w:t>
            </w:r>
            <w:r>
              <w:rPr>
                <w:rFonts w:hint="eastAsia"/>
              </w:rPr>
              <w:t>采用采用不小于7</w:t>
            </w:r>
            <w:r>
              <w:rPr>
                <w:rFonts w:hint="eastAsia"/>
                <w:lang w:val="en-US" w:eastAsia="zh-CN"/>
              </w:rPr>
              <w:t>英</w:t>
            </w:r>
            <w:r>
              <w:rPr>
                <w:rFonts w:hint="eastAsia"/>
              </w:rPr>
              <w:t>寸液晶彩色触摸屏展示系统模拟图，系统模拟图可显示各开关和防雷器的实时状态，可显示所有主回路及支回路的电量信息。智能监控板应实现MODBUS或SNMP协议，实现被第三方网管集成；</w:t>
            </w:r>
          </w:p>
          <w:p w14:paraId="5BC5E172">
            <w:pPr>
              <w:spacing w:after="93" w:line="240" w:lineRule="auto"/>
              <w:rPr>
                <w:rFonts w:hint="eastAsia"/>
              </w:rPr>
            </w:pPr>
            <w:r>
              <w:rPr>
                <w:rFonts w:hint="eastAsia"/>
                <w:lang w:val="en-US" w:eastAsia="zh-CN"/>
              </w:rPr>
              <w:t>4、</w:t>
            </w:r>
            <w:r>
              <w:rPr>
                <w:rFonts w:hint="eastAsia"/>
              </w:rPr>
              <w:t>母排应采用高电导率纯铜导体，表面需镀镍处理，含铜量不低于99.90%</w:t>
            </w:r>
          </w:p>
          <w:p w14:paraId="5824E9F6">
            <w:pPr>
              <w:spacing w:after="93" w:line="240" w:lineRule="auto"/>
              <w:rPr>
                <w:rFonts w:hint="eastAsia"/>
              </w:rPr>
            </w:pPr>
            <w:r>
              <w:rPr>
                <w:rFonts w:hint="eastAsia"/>
                <w:lang w:val="en-US" w:eastAsia="zh-CN"/>
              </w:rPr>
              <w:t>5、</w:t>
            </w:r>
            <w:r>
              <w:rPr>
                <w:rFonts w:hint="eastAsia"/>
              </w:rPr>
              <w:t>母线监测参数</w:t>
            </w:r>
          </w:p>
          <w:p w14:paraId="0FD36A69">
            <w:pPr>
              <w:spacing w:after="93" w:line="240" w:lineRule="auto"/>
              <w:rPr>
                <w:rFonts w:hint="eastAsia"/>
              </w:rPr>
            </w:pPr>
            <w:r>
              <w:rPr>
                <w:rFonts w:hint="eastAsia"/>
              </w:rPr>
              <w:t xml:space="preserve"> 1)三相输入电压、电流、频率、无功功率、有功功率、功率因数、谐波百分比、电量、三相不平衡度、零地电压、零线电流，母排温度</w:t>
            </w:r>
          </w:p>
          <w:p w14:paraId="5312EE39">
            <w:pPr>
              <w:spacing w:after="93" w:line="240" w:lineRule="auto"/>
              <w:rPr>
                <w:rFonts w:hint="eastAsia"/>
              </w:rPr>
            </w:pPr>
            <w:r>
              <w:rPr>
                <w:rFonts w:hint="eastAsia"/>
              </w:rPr>
              <w:t xml:space="preserve"> 2)主路开关状态、负载百分比</w:t>
            </w:r>
          </w:p>
          <w:p w14:paraId="5B38C3FB">
            <w:pPr>
              <w:spacing w:after="93" w:line="240" w:lineRule="auto"/>
              <w:rPr>
                <w:rFonts w:hint="eastAsia"/>
              </w:rPr>
            </w:pPr>
            <w:r>
              <w:rPr>
                <w:rFonts w:hint="eastAsia"/>
              </w:rPr>
              <w:t xml:space="preserve"> 3)主回路电压、电流测量精度不低于0.5%，有功/无功功率测量精度不低于1%，电能测量精度不低于1%</w:t>
            </w:r>
          </w:p>
          <w:p w14:paraId="612C1C1F">
            <w:pPr>
              <w:spacing w:after="93" w:line="240" w:lineRule="auto"/>
              <w:rPr>
                <w:rFonts w:hint="eastAsia"/>
              </w:rPr>
            </w:pPr>
            <w:r>
              <w:rPr>
                <w:rFonts w:hint="eastAsia"/>
                <w:lang w:val="en-US" w:eastAsia="zh-CN"/>
              </w:rPr>
              <w:t>6、</w:t>
            </w:r>
            <w:r>
              <w:rPr>
                <w:rFonts w:hint="eastAsia"/>
              </w:rPr>
              <w:t>支路监测参数</w:t>
            </w:r>
          </w:p>
          <w:p w14:paraId="2C3A5C2B">
            <w:pPr>
              <w:spacing w:after="93" w:line="240" w:lineRule="auto"/>
              <w:rPr>
                <w:rFonts w:hint="eastAsia"/>
              </w:rPr>
            </w:pPr>
            <w:r>
              <w:rPr>
                <w:rFonts w:hint="eastAsia"/>
              </w:rPr>
              <w:t xml:space="preserve"> 1)支路额定电流、实际电流，支路负载百分比，支路开关状态，支路温度测量  </w:t>
            </w:r>
          </w:p>
          <w:p w14:paraId="6683257B">
            <w:pPr>
              <w:spacing w:after="93" w:line="240" w:lineRule="auto"/>
              <w:rPr>
                <w:rFonts w:hint="eastAsia"/>
              </w:rPr>
            </w:pPr>
            <w:r>
              <w:rPr>
                <w:rFonts w:hint="eastAsia"/>
              </w:rPr>
              <w:t xml:space="preserve"> 2)支路电流测量精度不低于0.5%，有功功率测量精度不低于2%，电能测量精度不低于2%</w:t>
            </w:r>
          </w:p>
          <w:p w14:paraId="16B48171">
            <w:pPr>
              <w:spacing w:after="93" w:line="240" w:lineRule="auto"/>
              <w:rPr>
                <w:rFonts w:hint="eastAsia"/>
              </w:rPr>
            </w:pPr>
            <w:r>
              <w:rPr>
                <w:rFonts w:hint="eastAsia"/>
                <w:lang w:val="en-US" w:eastAsia="zh-CN"/>
              </w:rPr>
              <w:t>7、</w:t>
            </w:r>
            <w:r>
              <w:rPr>
                <w:rFonts w:hint="eastAsia"/>
              </w:rPr>
              <w:t>实现LCD显示屏声光告警，触摸屏消音。告警信息应按照重要程度分为提示告警、重要告警和紧急告警三级。智能监控板需提供以下报警：</w:t>
            </w:r>
          </w:p>
          <w:p w14:paraId="2139A135">
            <w:pPr>
              <w:spacing w:after="93" w:line="240" w:lineRule="auto"/>
              <w:rPr>
                <w:rFonts w:hint="eastAsia"/>
              </w:rPr>
            </w:pPr>
            <w:r>
              <w:rPr>
                <w:rFonts w:hint="eastAsia"/>
              </w:rPr>
              <w:t xml:space="preserve"> 1)主路欠压、过压、缺相、输入开关脱扣、单路掉电报警、电流互感器接线错误告警</w:t>
            </w:r>
          </w:p>
          <w:p w14:paraId="3743A7AE">
            <w:pPr>
              <w:spacing w:after="93" w:line="240" w:lineRule="auto"/>
              <w:rPr>
                <w:rFonts w:hint="eastAsia"/>
              </w:rPr>
            </w:pPr>
            <w:r>
              <w:rPr>
                <w:rFonts w:hint="eastAsia"/>
              </w:rPr>
              <w:t xml:space="preserve"> 2)主路电流越限及超限告警，主回路过载告警及三相不平衡告警</w:t>
            </w:r>
          </w:p>
          <w:p w14:paraId="471D2367">
            <w:pPr>
              <w:spacing w:after="93" w:line="240" w:lineRule="auto"/>
              <w:rPr>
                <w:rFonts w:hint="eastAsia"/>
              </w:rPr>
            </w:pPr>
            <w:r>
              <w:rPr>
                <w:rFonts w:hint="eastAsia"/>
              </w:rPr>
              <w:t xml:space="preserve"> 3)主路频率越限告警，电压总谐波率高告警，电流总谐波率高告警</w:t>
            </w:r>
          </w:p>
          <w:p w14:paraId="30D626DF">
            <w:pPr>
              <w:spacing w:after="93" w:line="240" w:lineRule="auto"/>
              <w:rPr>
                <w:rFonts w:hint="eastAsia"/>
              </w:rPr>
            </w:pPr>
            <w:r>
              <w:rPr>
                <w:rFonts w:hint="eastAsia"/>
              </w:rPr>
              <w:t xml:space="preserve"> 4)支路开关状态变化告警，过载告警，大电流冲击告警</w:t>
            </w:r>
          </w:p>
          <w:p w14:paraId="527FB42A">
            <w:pPr>
              <w:spacing w:after="93" w:line="240" w:lineRule="auto"/>
              <w:rPr>
                <w:rFonts w:hint="eastAsia"/>
              </w:rPr>
            </w:pPr>
            <w:r>
              <w:rPr>
                <w:rFonts w:hint="eastAsia"/>
              </w:rPr>
              <w:t xml:space="preserve"> 5)支路电流两段阈值报警功能，且报警阈值可调</w:t>
            </w:r>
          </w:p>
          <w:p w14:paraId="39719C45">
            <w:pPr>
              <w:spacing w:after="93" w:line="240" w:lineRule="auto"/>
              <w:rPr>
                <w:rFonts w:hint="eastAsia"/>
              </w:rPr>
            </w:pPr>
            <w:r>
              <w:rPr>
                <w:rFonts w:hint="eastAsia"/>
              </w:rPr>
              <w:t xml:space="preserve"> 6)监控模块故障及智能监控板内部通讯失败告警</w:t>
            </w:r>
          </w:p>
          <w:p w14:paraId="28D1F8CE">
            <w:pPr>
              <w:spacing w:after="93" w:line="240" w:lineRule="auto"/>
              <w:rPr>
                <w:rFonts w:hint="eastAsia"/>
              </w:rPr>
            </w:pPr>
            <w:r>
              <w:rPr>
                <w:rFonts w:hint="eastAsia"/>
                <w:lang w:val="en-US" w:eastAsia="zh-CN"/>
              </w:rPr>
              <w:t>8、</w:t>
            </w:r>
            <w:r>
              <w:rPr>
                <w:rFonts w:hint="eastAsia"/>
              </w:rPr>
              <w:t>进线主断路器应采用知名品牌的塑壳断路器，要求ABB、西门子、华为等品牌，分断能力不低于36kA；</w:t>
            </w:r>
          </w:p>
          <w:p w14:paraId="0C95ED1E">
            <w:pPr>
              <w:spacing w:after="93" w:line="240" w:lineRule="auto"/>
              <w:rPr>
                <w:rFonts w:hint="eastAsia"/>
              </w:rPr>
            </w:pPr>
            <w:r>
              <w:rPr>
                <w:rFonts w:hint="eastAsia"/>
                <w:lang w:val="en-US" w:eastAsia="zh-CN"/>
              </w:rPr>
              <w:t>9、</w:t>
            </w:r>
            <w:r>
              <w:rPr>
                <w:rFonts w:hint="eastAsia"/>
              </w:rPr>
              <w:t>支路断路器应采用知名品牌的微型塑壳断路器，要求ABB、西门子、华为等品牌，分断能力不低于6kA；</w:t>
            </w:r>
          </w:p>
          <w:p w14:paraId="19AA9BB0">
            <w:pPr>
              <w:numPr>
                <w:ilvl w:val="0"/>
                <w:numId w:val="0"/>
              </w:numPr>
              <w:spacing w:after="93" w:line="240" w:lineRule="auto"/>
              <w:rPr>
                <w:rFonts w:hint="eastAsia"/>
                <w:highlight w:val="none"/>
                <w:lang w:val="en-US" w:eastAsia="zh-CN"/>
              </w:rPr>
            </w:pPr>
            <w:r>
              <w:rPr>
                <w:rFonts w:hint="eastAsia"/>
                <w:lang w:val="en-US" w:eastAsia="zh-CN"/>
              </w:rPr>
              <w:t>10、</w:t>
            </w:r>
            <w:r>
              <w:rPr>
                <w:rFonts w:hint="eastAsia"/>
              </w:rPr>
              <w:t>同系列供电列头柜需通过8、9烈度抗震性能检测</w:t>
            </w:r>
            <w:r>
              <w:rPr>
                <w:rFonts w:hint="eastAsia"/>
                <w:highlight w:val="none"/>
                <w:lang w:val="en-US" w:eastAsia="zh-CN"/>
              </w:rPr>
              <w:t>；</w:t>
            </w:r>
          </w:p>
          <w:p w14:paraId="6C7CF592">
            <w:pPr>
              <w:spacing w:after="93" w:line="240" w:lineRule="auto"/>
            </w:pPr>
            <w:r>
              <w:rPr>
                <w:rFonts w:hint="eastAsia"/>
                <w:highlight w:val="none"/>
                <w:lang w:val="en-US" w:eastAsia="zh-CN"/>
              </w:rPr>
              <w:t>11、需提供加盖公章版原厂专项授权函和原厂售后服务承诺书。</w:t>
            </w:r>
          </w:p>
        </w:tc>
        <w:tc>
          <w:tcPr>
            <w:tcW w:w="421" w:type="dxa"/>
            <w:shd w:val="clear" w:color="auto" w:fill="auto"/>
            <w:vAlign w:val="center"/>
          </w:tcPr>
          <w:p w14:paraId="08B22BEA">
            <w:pPr>
              <w:spacing w:before="120" w:after="93" w:line="240" w:lineRule="auto"/>
              <w:jc w:val="center"/>
            </w:pPr>
            <w:r>
              <w:rPr>
                <w:rFonts w:hint="eastAsia"/>
              </w:rPr>
              <w:t>台</w:t>
            </w:r>
          </w:p>
        </w:tc>
        <w:tc>
          <w:tcPr>
            <w:tcW w:w="728" w:type="dxa"/>
            <w:shd w:val="clear" w:color="auto" w:fill="auto"/>
            <w:vAlign w:val="center"/>
          </w:tcPr>
          <w:p w14:paraId="4902DD2A">
            <w:pPr>
              <w:spacing w:before="120" w:after="93" w:line="240" w:lineRule="auto"/>
              <w:jc w:val="center"/>
              <w:rPr>
                <w:rFonts w:hint="eastAsia" w:eastAsia="仿宋"/>
                <w:lang w:eastAsia="zh-CN"/>
              </w:rPr>
            </w:pPr>
            <w:r>
              <w:rPr>
                <w:rFonts w:hint="eastAsia"/>
                <w:lang w:val="en-US" w:eastAsia="zh-CN"/>
              </w:rPr>
              <w:t>1</w:t>
            </w:r>
          </w:p>
        </w:tc>
      </w:tr>
      <w:tr w14:paraId="20A3747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37" w:hRule="atLeast"/>
          <w:jc w:val="center"/>
        </w:trPr>
        <w:tc>
          <w:tcPr>
            <w:tcW w:w="713" w:type="dxa"/>
            <w:shd w:val="clear" w:color="auto" w:fill="auto"/>
            <w:vAlign w:val="center"/>
          </w:tcPr>
          <w:p w14:paraId="0B94DFF1">
            <w:pPr>
              <w:spacing w:before="120" w:after="93" w:line="240" w:lineRule="auto"/>
              <w:jc w:val="center"/>
              <w:rPr>
                <w:rFonts w:hint="eastAsia" w:eastAsia="仿宋"/>
                <w:b w:val="0"/>
                <w:bCs w:val="0"/>
                <w:lang w:val="en-US" w:eastAsia="zh-CN"/>
              </w:rPr>
            </w:pPr>
            <w:r>
              <w:rPr>
                <w:rFonts w:hint="eastAsia"/>
                <w:b w:val="0"/>
                <w:bCs w:val="0"/>
                <w:highlight w:val="none"/>
                <w:lang w:val="en-US" w:eastAsia="zh-CN"/>
              </w:rPr>
              <w:t>2</w:t>
            </w:r>
          </w:p>
        </w:tc>
        <w:tc>
          <w:tcPr>
            <w:tcW w:w="1533" w:type="dxa"/>
            <w:shd w:val="clear" w:color="auto" w:fill="auto"/>
            <w:vAlign w:val="center"/>
          </w:tcPr>
          <w:p w14:paraId="7E10CBFE">
            <w:pPr>
              <w:spacing w:after="93" w:line="240" w:lineRule="auto"/>
              <w:rPr>
                <w:rFonts w:hint="eastAsia" w:eastAsia="仿宋"/>
                <w:b w:val="0"/>
                <w:bCs w:val="0"/>
                <w:highlight w:val="none"/>
                <w:lang w:val="en-US" w:eastAsia="zh-CN"/>
              </w:rPr>
            </w:pPr>
            <w:r>
              <w:rPr>
                <w:rFonts w:hint="eastAsia"/>
                <w:b w:val="0"/>
                <w:bCs w:val="0"/>
                <w:highlight w:val="none"/>
              </w:rPr>
              <w:t>精密配电柜配套</w:t>
            </w:r>
            <w:r>
              <w:rPr>
                <w:rFonts w:hint="eastAsia"/>
                <w:b w:val="0"/>
                <w:bCs w:val="0"/>
                <w:highlight w:val="none"/>
                <w:lang w:val="en-US" w:eastAsia="zh-CN"/>
              </w:rPr>
              <w:t>设备</w:t>
            </w:r>
          </w:p>
        </w:tc>
        <w:tc>
          <w:tcPr>
            <w:tcW w:w="6093" w:type="dxa"/>
            <w:shd w:val="clear" w:color="auto" w:fill="auto"/>
            <w:vAlign w:val="center"/>
          </w:tcPr>
          <w:p w14:paraId="11E6EB28">
            <w:pPr>
              <w:numPr>
                <w:ilvl w:val="0"/>
                <w:numId w:val="0"/>
              </w:numPr>
              <w:spacing w:after="93" w:line="240" w:lineRule="auto"/>
              <w:rPr>
                <w:rFonts w:hint="eastAsia"/>
                <w:highlight w:val="none"/>
                <w:lang w:val="en-US" w:eastAsia="zh-CN"/>
              </w:rPr>
            </w:pPr>
            <w:r>
              <w:rPr>
                <w:rFonts w:hint="eastAsia"/>
                <w:highlight w:val="none"/>
                <w:lang w:val="en-US" w:eastAsia="zh-CN"/>
              </w:rPr>
              <w:t>1、PDU电缆：ZA-RVV-3x6mm^2，长度250米。</w:t>
            </w:r>
            <w:r>
              <w:rPr>
                <w:rFonts w:hint="eastAsia" w:cs="仿宋"/>
                <w:highlight w:val="none"/>
                <w:lang w:val="en-US" w:eastAsia="zh-CN"/>
              </w:rPr>
              <w:t>（品牌要求：珠江、新亚、起帆）</w:t>
            </w:r>
          </w:p>
          <w:p w14:paraId="724E3093">
            <w:pPr>
              <w:numPr>
                <w:ilvl w:val="0"/>
                <w:numId w:val="0"/>
              </w:numPr>
              <w:spacing w:after="93" w:line="240" w:lineRule="auto"/>
              <w:rPr>
                <w:rFonts w:hint="eastAsia"/>
                <w:highlight w:val="none"/>
                <w:lang w:val="en-US" w:eastAsia="zh-CN"/>
              </w:rPr>
            </w:pPr>
            <w:r>
              <w:rPr>
                <w:rFonts w:hint="eastAsia"/>
                <w:highlight w:val="none"/>
                <w:lang w:val="en-US" w:eastAsia="zh-CN"/>
              </w:rPr>
              <w:t>2、配电柜输入电缆：ZA-YJV-4x50+1x25mm²，长度100米。</w:t>
            </w:r>
            <w:r>
              <w:rPr>
                <w:rFonts w:hint="eastAsia" w:cs="仿宋"/>
                <w:highlight w:val="none"/>
                <w:lang w:val="en-US" w:eastAsia="zh-CN"/>
              </w:rPr>
              <w:t>（品牌要求：珠江、新亚、起帆）</w:t>
            </w:r>
          </w:p>
          <w:p w14:paraId="05579259">
            <w:pPr>
              <w:numPr>
                <w:ilvl w:val="0"/>
                <w:numId w:val="0"/>
              </w:numPr>
              <w:spacing w:after="93" w:line="240" w:lineRule="auto"/>
              <w:rPr>
                <w:rFonts w:hint="eastAsia"/>
                <w:highlight w:val="none"/>
                <w:lang w:val="en-US" w:eastAsia="zh-CN"/>
              </w:rPr>
            </w:pPr>
            <w:r>
              <w:rPr>
                <w:rFonts w:hint="eastAsia"/>
                <w:highlight w:val="none"/>
                <w:lang w:val="en-US" w:eastAsia="zh-CN"/>
              </w:rPr>
              <w:t>3、承重底座：规格为8#槽钢。</w:t>
            </w:r>
          </w:p>
          <w:p w14:paraId="57B8C41C">
            <w:pPr>
              <w:numPr>
                <w:ilvl w:val="0"/>
                <w:numId w:val="0"/>
              </w:numPr>
              <w:tabs>
                <w:tab w:val="left" w:pos="286"/>
              </w:tabs>
              <w:spacing w:after="93" w:line="240" w:lineRule="auto"/>
              <w:rPr>
                <w:rFonts w:hint="default"/>
                <w:highlight w:val="none"/>
                <w:lang w:val="en-US" w:eastAsia="zh-CN"/>
              </w:rPr>
            </w:pPr>
            <w:r>
              <w:rPr>
                <w:rFonts w:hint="eastAsia"/>
                <w:highlight w:val="none"/>
                <w:lang w:val="en-US" w:eastAsia="zh-CN"/>
              </w:rPr>
              <w:t>4、</w:t>
            </w:r>
            <w:r>
              <w:rPr>
                <w:rFonts w:hint="eastAsia"/>
                <w:highlight w:val="none"/>
              </w:rPr>
              <w:t>含安装调试，含安装所需的所有配件，如套管、铜线耳等配件。</w:t>
            </w:r>
          </w:p>
        </w:tc>
        <w:tc>
          <w:tcPr>
            <w:tcW w:w="421" w:type="dxa"/>
            <w:shd w:val="clear" w:color="auto" w:fill="auto"/>
            <w:vAlign w:val="center"/>
          </w:tcPr>
          <w:p w14:paraId="3C6A3CAE">
            <w:pPr>
              <w:spacing w:before="120" w:after="93" w:line="240" w:lineRule="auto"/>
              <w:jc w:val="center"/>
              <w:rPr>
                <w:rFonts w:hint="eastAsia"/>
                <w:highlight w:val="none"/>
                <w:lang w:val="en-US" w:eastAsia="zh-CN"/>
              </w:rPr>
            </w:pPr>
            <w:r>
              <w:rPr>
                <w:rFonts w:hint="eastAsia"/>
                <w:highlight w:val="none"/>
                <w:lang w:val="en-US" w:eastAsia="zh-CN"/>
              </w:rPr>
              <w:t>套</w:t>
            </w:r>
          </w:p>
        </w:tc>
        <w:tc>
          <w:tcPr>
            <w:tcW w:w="728" w:type="dxa"/>
            <w:shd w:val="clear" w:color="auto" w:fill="auto"/>
            <w:vAlign w:val="center"/>
          </w:tcPr>
          <w:p w14:paraId="62A013D2">
            <w:pPr>
              <w:spacing w:before="120" w:after="93" w:line="240" w:lineRule="auto"/>
              <w:jc w:val="center"/>
              <w:rPr>
                <w:rFonts w:hint="eastAsia"/>
                <w:highlight w:val="none"/>
                <w:lang w:val="en-US" w:eastAsia="zh-CN"/>
              </w:rPr>
            </w:pPr>
            <w:r>
              <w:rPr>
                <w:rFonts w:hint="eastAsia"/>
                <w:highlight w:val="none"/>
                <w:lang w:val="en-US" w:eastAsia="zh-CN"/>
              </w:rPr>
              <w:t>1</w:t>
            </w:r>
          </w:p>
        </w:tc>
      </w:tr>
      <w:tr w14:paraId="1A2C313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36" w:hRule="atLeast"/>
          <w:jc w:val="center"/>
        </w:trPr>
        <w:tc>
          <w:tcPr>
            <w:tcW w:w="713" w:type="dxa"/>
            <w:shd w:val="clear" w:color="auto" w:fill="auto"/>
            <w:vAlign w:val="center"/>
          </w:tcPr>
          <w:p w14:paraId="70916F8B">
            <w:pPr>
              <w:spacing w:before="120" w:after="93" w:line="240" w:lineRule="auto"/>
              <w:jc w:val="center"/>
              <w:rPr>
                <w:rFonts w:hint="eastAsia" w:eastAsia="仿宋"/>
                <w:lang w:val="en-US" w:eastAsia="zh-CN"/>
              </w:rPr>
            </w:pPr>
            <w:r>
              <w:rPr>
                <w:rFonts w:hint="eastAsia"/>
                <w:lang w:val="en-US" w:eastAsia="zh-CN"/>
              </w:rPr>
              <w:t>3</w:t>
            </w:r>
          </w:p>
        </w:tc>
        <w:tc>
          <w:tcPr>
            <w:tcW w:w="1533" w:type="dxa"/>
            <w:shd w:val="clear" w:color="auto" w:fill="auto"/>
            <w:vAlign w:val="center"/>
          </w:tcPr>
          <w:p w14:paraId="7E6424CC">
            <w:pPr>
              <w:spacing w:before="120" w:after="93" w:line="240" w:lineRule="auto"/>
              <w:rPr>
                <w:iCs/>
                <w:highlight w:val="none"/>
              </w:rPr>
            </w:pPr>
            <w:r>
              <w:rPr>
                <w:rFonts w:hint="eastAsia"/>
                <w:highlight w:val="none"/>
              </w:rPr>
              <w:t>模块化UPS</w:t>
            </w:r>
            <w:r>
              <w:rPr>
                <w:rFonts w:hint="eastAsia"/>
                <w:iCs/>
                <w:highlight w:val="none"/>
              </w:rPr>
              <w:t>配电设备</w:t>
            </w:r>
            <w:r>
              <w:rPr>
                <w:rFonts w:hint="eastAsia"/>
                <w:iCs/>
                <w:lang w:eastAsia="zh-CN"/>
              </w:rPr>
              <w:t>（</w:t>
            </w:r>
            <w:r>
              <w:rPr>
                <w:rFonts w:hint="eastAsia"/>
                <w:iCs/>
                <w:lang w:val="en-US" w:eastAsia="zh-CN"/>
              </w:rPr>
              <w:t>推荐品牌：华为、维谛、伊顿</w:t>
            </w:r>
            <w:r>
              <w:rPr>
                <w:rFonts w:hint="eastAsia"/>
                <w:iCs/>
                <w:lang w:eastAsia="zh-CN"/>
              </w:rPr>
              <w:t>）</w:t>
            </w:r>
          </w:p>
        </w:tc>
        <w:tc>
          <w:tcPr>
            <w:tcW w:w="6093" w:type="dxa"/>
            <w:shd w:val="clear" w:color="auto" w:fill="auto"/>
            <w:vAlign w:val="center"/>
          </w:tcPr>
          <w:p w14:paraId="712CEA43">
            <w:pPr>
              <w:spacing w:after="93" w:line="240" w:lineRule="auto"/>
              <w:rPr>
                <w:rFonts w:hint="eastAsia"/>
                <w:highlight w:val="none"/>
              </w:rPr>
            </w:pPr>
            <w:r>
              <w:rPr>
                <w:rFonts w:hint="eastAsia"/>
                <w:highlight w:val="none"/>
                <w:lang w:val="en-US" w:eastAsia="zh-CN"/>
              </w:rPr>
              <w:t>1、</w:t>
            </w:r>
            <w:r>
              <w:rPr>
                <w:rFonts w:hint="eastAsia"/>
                <w:highlight w:val="none"/>
              </w:rPr>
              <w:t>UPS类型应为在线式双变换式，制式为三相输入，三相输出；</w:t>
            </w:r>
          </w:p>
          <w:p w14:paraId="7CC1F42F">
            <w:pPr>
              <w:spacing w:after="93" w:line="240" w:lineRule="auto"/>
              <w:rPr>
                <w:rFonts w:hint="eastAsia"/>
                <w:highlight w:val="none"/>
              </w:rPr>
            </w:pPr>
            <w:r>
              <w:rPr>
                <w:rFonts w:hint="eastAsia" w:ascii="国标仿宋" w:hAnsi="国标仿宋" w:eastAsia="国标仿宋" w:cs="国标仿宋"/>
                <w:sz w:val="28"/>
                <w:szCs w:val="28"/>
                <w:highlight w:val="none"/>
                <w:lang w:val="en-US" w:eastAsia="zh-CN"/>
              </w:rPr>
              <w:t>★</w:t>
            </w:r>
            <w:r>
              <w:rPr>
                <w:rFonts w:hint="eastAsia"/>
                <w:highlight w:val="none"/>
                <w:lang w:val="en-US" w:eastAsia="zh-CN"/>
              </w:rPr>
              <w:t>2、</w:t>
            </w:r>
            <w:r>
              <w:rPr>
                <w:rFonts w:hint="eastAsia"/>
                <w:highlight w:val="none"/>
              </w:rPr>
              <w:t>投标方提供的UPS需采用模块化设计，机框含UPS输入、输出、维修旁路开关，机框总容量：≥</w:t>
            </w:r>
            <w:r>
              <w:rPr>
                <w:rFonts w:hint="eastAsia"/>
                <w:highlight w:val="none"/>
                <w:lang w:val="en-US" w:eastAsia="zh-CN"/>
              </w:rPr>
              <w:t>12</w:t>
            </w:r>
            <w:r>
              <w:rPr>
                <w:rFonts w:hint="eastAsia"/>
                <w:highlight w:val="none"/>
              </w:rPr>
              <w:t>0KVA，本期共装配额定总容量</w:t>
            </w:r>
            <w:r>
              <w:rPr>
                <w:rFonts w:hint="eastAsia"/>
                <w:highlight w:val="none"/>
                <w:lang w:val="en-US" w:eastAsia="zh-CN"/>
              </w:rPr>
              <w:t>9</w:t>
            </w:r>
            <w:r>
              <w:rPr>
                <w:rFonts w:hint="eastAsia"/>
                <w:highlight w:val="none"/>
              </w:rPr>
              <w:t>0KVA，并可实现四并机及以上数量机架并联；单功率模块的额定输出功率应介于20kVA-50kVA之间，并支持热插拔，当功率模块故障时，应及时退出系统而不能影响其他模块正常工作，不允许输出中断。</w:t>
            </w:r>
          </w:p>
          <w:p w14:paraId="319B0AB0">
            <w:pPr>
              <w:spacing w:after="93" w:line="240" w:lineRule="auto"/>
              <w:rPr>
                <w:rFonts w:hint="eastAsia"/>
                <w:highlight w:val="none"/>
              </w:rPr>
            </w:pPr>
            <w:r>
              <w:rPr>
                <w:rFonts w:hint="eastAsia"/>
                <w:highlight w:val="none"/>
                <w:lang w:val="en-US" w:eastAsia="zh-CN"/>
              </w:rPr>
              <w:t>3、</w:t>
            </w:r>
            <w:r>
              <w:rPr>
                <w:rFonts w:hint="eastAsia"/>
                <w:highlight w:val="none"/>
              </w:rPr>
              <w:t>UPS应采用集中控制的逻辑，集中控制单元需要1+1冗余。控制模块整体应热插拔；</w:t>
            </w:r>
          </w:p>
          <w:p w14:paraId="74C3ABD1">
            <w:pPr>
              <w:spacing w:after="93" w:line="240" w:lineRule="auto"/>
              <w:rPr>
                <w:rFonts w:hint="eastAsia"/>
                <w:highlight w:val="none"/>
              </w:rPr>
            </w:pPr>
            <w:r>
              <w:rPr>
                <w:rFonts w:hint="eastAsia"/>
                <w:highlight w:val="none"/>
                <w:lang w:val="en-US" w:eastAsia="zh-CN"/>
              </w:rPr>
              <w:t>4、</w:t>
            </w:r>
            <w:r>
              <w:rPr>
                <w:rFonts w:hint="eastAsia"/>
                <w:highlight w:val="none"/>
              </w:rPr>
              <w:t>在220V输入市电模式下，在线模式带纯阻性负载，25%-75%区间最大效率应可达96%及以上；</w:t>
            </w:r>
          </w:p>
          <w:p w14:paraId="7CE9E5EA">
            <w:pPr>
              <w:spacing w:after="93" w:line="240" w:lineRule="auto"/>
              <w:rPr>
                <w:rFonts w:hint="eastAsia"/>
                <w:highlight w:val="none"/>
              </w:rPr>
            </w:pPr>
            <w:r>
              <w:rPr>
                <w:rFonts w:hint="eastAsia"/>
                <w:highlight w:val="none"/>
                <w:lang w:val="en-US" w:eastAsia="zh-CN"/>
              </w:rPr>
              <w:t>5、</w:t>
            </w:r>
            <w:r>
              <w:rPr>
                <w:rFonts w:hint="eastAsia"/>
                <w:highlight w:val="none"/>
              </w:rPr>
              <w:t>对于n+k冗余的UPS系统，任意小于等于K个功率模块故障时（输出短路故障除外），其他功率模块仍可正常工作并能输出UPS系统的额定功率，系统不应转旁路或断电；</w:t>
            </w:r>
          </w:p>
          <w:p w14:paraId="32D434FC">
            <w:pPr>
              <w:spacing w:after="93" w:line="240" w:lineRule="auto"/>
              <w:rPr>
                <w:rFonts w:hint="eastAsia"/>
                <w:highlight w:val="none"/>
              </w:rPr>
            </w:pPr>
            <w:r>
              <w:rPr>
                <w:rFonts w:hint="eastAsia"/>
                <w:highlight w:val="none"/>
              </w:rPr>
              <w:t>▲</w:t>
            </w:r>
            <w:r>
              <w:rPr>
                <w:rFonts w:hint="eastAsia"/>
                <w:highlight w:val="none"/>
                <w:lang w:val="en-US" w:eastAsia="zh-CN"/>
              </w:rPr>
              <w:t>6、</w:t>
            </w:r>
            <w:r>
              <w:rPr>
                <w:rFonts w:hint="eastAsia"/>
                <w:highlight w:val="none"/>
              </w:rPr>
              <w:t>UPS产品应满足网络安全要求，通过智能联网产品网络安全认证，提供第三方机构产品社会公共安全认证证书复印件并加盖公章；</w:t>
            </w:r>
          </w:p>
          <w:p w14:paraId="5BD345B7">
            <w:pPr>
              <w:spacing w:after="93" w:line="240" w:lineRule="auto"/>
              <w:rPr>
                <w:rFonts w:hint="eastAsia"/>
                <w:highlight w:val="none"/>
              </w:rPr>
            </w:pPr>
            <w:r>
              <w:rPr>
                <w:rFonts w:hint="eastAsia"/>
                <w:highlight w:val="none"/>
                <w:lang w:val="en-US" w:eastAsia="zh-CN"/>
              </w:rPr>
              <w:t>7、</w:t>
            </w:r>
            <w:r>
              <w:rPr>
                <w:rFonts w:hint="eastAsia"/>
                <w:highlight w:val="none"/>
              </w:rPr>
              <w:t>输入方式：三相四线+PE；</w:t>
            </w:r>
          </w:p>
          <w:p w14:paraId="4031F421">
            <w:pPr>
              <w:spacing w:after="93" w:line="240" w:lineRule="auto"/>
              <w:rPr>
                <w:rFonts w:hint="eastAsia"/>
                <w:highlight w:val="none"/>
              </w:rPr>
            </w:pPr>
            <w:r>
              <w:rPr>
                <w:rFonts w:hint="eastAsia"/>
                <w:highlight w:val="none"/>
              </w:rPr>
              <w:t>▲</w:t>
            </w:r>
            <w:r>
              <w:rPr>
                <w:rFonts w:hint="eastAsia"/>
                <w:highlight w:val="none"/>
                <w:lang w:val="en-US" w:eastAsia="zh-CN"/>
              </w:rPr>
              <w:t>8、</w:t>
            </w:r>
            <w:r>
              <w:rPr>
                <w:rFonts w:hint="eastAsia"/>
                <w:highlight w:val="none"/>
              </w:rPr>
              <w:t>输入电压范围（vac）：138-485VAC，提供产品宣传彩页；</w:t>
            </w:r>
          </w:p>
          <w:p w14:paraId="3A8D2CE8">
            <w:pPr>
              <w:spacing w:after="93" w:line="240" w:lineRule="auto"/>
              <w:rPr>
                <w:rFonts w:hint="eastAsia"/>
                <w:highlight w:val="none"/>
              </w:rPr>
            </w:pPr>
            <w:r>
              <w:rPr>
                <w:rFonts w:hint="eastAsia"/>
                <w:highlight w:val="none"/>
                <w:lang w:val="en-US" w:eastAsia="zh-CN"/>
              </w:rPr>
              <w:t>9、</w:t>
            </w:r>
            <w:r>
              <w:rPr>
                <w:rFonts w:hint="eastAsia"/>
                <w:highlight w:val="none"/>
              </w:rPr>
              <w:t>输入功率因数：&gt;0.99满载；</w:t>
            </w:r>
          </w:p>
          <w:p w14:paraId="601033DB">
            <w:pPr>
              <w:spacing w:after="93" w:line="240" w:lineRule="auto"/>
              <w:rPr>
                <w:rFonts w:hint="eastAsia"/>
                <w:highlight w:val="none"/>
              </w:rPr>
            </w:pPr>
            <w:r>
              <w:rPr>
                <w:rFonts w:hint="eastAsia"/>
                <w:highlight w:val="none"/>
                <w:lang w:val="en-US" w:eastAsia="zh-CN"/>
              </w:rPr>
              <w:t>10、</w:t>
            </w:r>
            <w:r>
              <w:rPr>
                <w:rFonts w:hint="eastAsia"/>
                <w:highlight w:val="none"/>
              </w:rPr>
              <w:t>输出功率因数：1；</w:t>
            </w:r>
          </w:p>
          <w:p w14:paraId="70224E41">
            <w:pPr>
              <w:spacing w:after="93" w:line="240" w:lineRule="auto"/>
              <w:rPr>
                <w:rFonts w:hint="eastAsia"/>
                <w:highlight w:val="none"/>
              </w:rPr>
            </w:pPr>
            <w:r>
              <w:rPr>
                <w:rFonts w:hint="eastAsia"/>
                <w:highlight w:val="none"/>
                <w:lang w:val="en-US" w:eastAsia="zh-CN"/>
              </w:rPr>
              <w:t>11、</w:t>
            </w:r>
            <w:r>
              <w:rPr>
                <w:rFonts w:hint="eastAsia"/>
                <w:highlight w:val="none"/>
              </w:rPr>
              <w:t>模块熔断器（或断路器）保护：功率模块为限制某些故障进一步扩大，模块内应设置输入输出熔断器（或断路器）等保护功能。</w:t>
            </w:r>
          </w:p>
          <w:p w14:paraId="2E905D14">
            <w:pPr>
              <w:spacing w:after="93" w:line="240" w:lineRule="auto"/>
              <w:rPr>
                <w:rFonts w:hint="eastAsia"/>
                <w:highlight w:val="none"/>
              </w:rPr>
            </w:pPr>
            <w:r>
              <w:rPr>
                <w:rFonts w:hint="eastAsia"/>
                <w:highlight w:val="none"/>
                <w:lang w:val="en-US" w:eastAsia="zh-CN"/>
              </w:rPr>
              <w:t>12、</w:t>
            </w:r>
            <w:r>
              <w:rPr>
                <w:rFonts w:hint="eastAsia"/>
                <w:highlight w:val="none"/>
              </w:rPr>
              <w:t>逆变过载能力：105~110%负载，60min后转旁路，110~125%负载，10min后转旁路，125·150%负载，1min后转旁路 ，大于150%负载，200ms后转旁路</w:t>
            </w:r>
          </w:p>
          <w:p w14:paraId="7C09621B">
            <w:pPr>
              <w:spacing w:after="93" w:line="240" w:lineRule="auto"/>
              <w:rPr>
                <w:rFonts w:hint="eastAsia"/>
                <w:highlight w:val="none"/>
              </w:rPr>
            </w:pPr>
            <w:r>
              <w:rPr>
                <w:rFonts w:hint="eastAsia"/>
                <w:highlight w:val="none"/>
                <w:lang w:val="en-US" w:eastAsia="zh-CN"/>
              </w:rPr>
              <w:t>13、</w:t>
            </w:r>
            <w:r>
              <w:rPr>
                <w:rFonts w:hint="eastAsia"/>
                <w:highlight w:val="none"/>
              </w:rPr>
              <w:t>电池节数：铅酸蓄电池实现30-44节电池可调；</w:t>
            </w:r>
          </w:p>
          <w:p w14:paraId="16688AED">
            <w:pPr>
              <w:spacing w:after="93" w:line="240" w:lineRule="auto"/>
              <w:rPr>
                <w:rFonts w:hint="eastAsia"/>
                <w:highlight w:val="none"/>
              </w:rPr>
            </w:pPr>
            <w:r>
              <w:rPr>
                <w:rFonts w:hint="eastAsia"/>
                <w:highlight w:val="none"/>
                <w:lang w:val="en-US" w:eastAsia="zh-CN"/>
              </w:rPr>
              <w:t>14、</w:t>
            </w:r>
            <w:r>
              <w:rPr>
                <w:rFonts w:hint="eastAsia"/>
                <w:highlight w:val="none"/>
              </w:rPr>
              <w:t>电池冷启动：具备电池冷启动功能。</w:t>
            </w:r>
          </w:p>
          <w:p w14:paraId="6502D540">
            <w:pPr>
              <w:spacing w:after="93" w:line="240" w:lineRule="auto"/>
              <w:rPr>
                <w:rFonts w:hint="eastAsia"/>
                <w:highlight w:val="none"/>
              </w:rPr>
            </w:pPr>
            <w:r>
              <w:rPr>
                <w:rFonts w:hint="eastAsia"/>
                <w:highlight w:val="none"/>
                <w:lang w:val="en-US" w:eastAsia="zh-CN"/>
              </w:rPr>
              <w:t>15、</w:t>
            </w:r>
            <w:r>
              <w:rPr>
                <w:rFonts w:hint="eastAsia"/>
                <w:highlight w:val="none"/>
              </w:rPr>
              <w:t>UPS系统应具备RS232或RS485/422、FE(SNMP通讯口)、干接点接口及环境监控传感器接口，并提供与通信接口配套使用的通信线缆和各种告警信号输出端子，通信协议应符合YD/T 1363.3的要求</w:t>
            </w:r>
          </w:p>
          <w:p w14:paraId="5E270373">
            <w:pPr>
              <w:numPr>
                <w:ilvl w:val="0"/>
                <w:numId w:val="0"/>
              </w:numPr>
              <w:spacing w:after="93" w:line="240" w:lineRule="auto"/>
              <w:rPr>
                <w:rFonts w:hint="eastAsia"/>
                <w:highlight w:val="none"/>
                <w:lang w:val="en-US" w:eastAsia="zh-CN"/>
              </w:rPr>
            </w:pPr>
            <w:r>
              <w:rPr>
                <w:rFonts w:hint="eastAsia"/>
                <w:highlight w:val="none"/>
              </w:rPr>
              <w:t>12.配套电池组，</w:t>
            </w:r>
            <w:r>
              <w:rPr>
                <w:rFonts w:hint="eastAsia"/>
                <w:highlight w:val="none"/>
                <w:lang w:val="en-US" w:eastAsia="zh-CN"/>
              </w:rPr>
              <w:t>单台UPS</w:t>
            </w:r>
            <w:r>
              <w:rPr>
                <w:rFonts w:hint="eastAsia"/>
                <w:highlight w:val="none"/>
              </w:rPr>
              <w:t>电池组配置40节</w:t>
            </w:r>
            <w:r>
              <w:rPr>
                <w:rFonts w:hint="eastAsia"/>
                <w:highlight w:val="none"/>
                <w:lang w:val="en-US" w:eastAsia="zh-CN"/>
              </w:rPr>
              <w:t>12V200AH</w:t>
            </w:r>
            <w:r>
              <w:rPr>
                <w:rFonts w:hint="eastAsia"/>
                <w:highlight w:val="none"/>
              </w:rPr>
              <w:t>阀控式铅酸蓄电池，满足</w:t>
            </w:r>
            <w:r>
              <w:rPr>
                <w:rFonts w:hint="eastAsia"/>
                <w:highlight w:val="none"/>
                <w:lang w:val="en-US" w:eastAsia="zh-CN"/>
              </w:rPr>
              <w:t>负载88KW</w:t>
            </w:r>
            <w:r>
              <w:rPr>
                <w:rFonts w:hint="eastAsia"/>
                <w:highlight w:val="none"/>
              </w:rPr>
              <w:t>备电时间≥</w:t>
            </w:r>
            <w:r>
              <w:rPr>
                <w:rFonts w:hint="eastAsia"/>
                <w:highlight w:val="none"/>
                <w:lang w:val="en-US" w:eastAsia="zh-CN"/>
              </w:rPr>
              <w:t>30</w:t>
            </w:r>
            <w:r>
              <w:rPr>
                <w:rFonts w:hint="eastAsia"/>
                <w:highlight w:val="none"/>
              </w:rPr>
              <w:t>分钟</w:t>
            </w:r>
            <w:r>
              <w:rPr>
                <w:rFonts w:hint="eastAsia"/>
                <w:highlight w:val="none"/>
                <w:lang w:eastAsia="zh-CN"/>
              </w:rPr>
              <w:t>，</w:t>
            </w:r>
            <w:r>
              <w:rPr>
                <w:rFonts w:hint="eastAsia"/>
                <w:highlight w:val="none"/>
                <w:lang w:val="en-US" w:eastAsia="zh-CN"/>
              </w:rPr>
              <w:t>整体系统备电时间≥60分钟；</w:t>
            </w:r>
          </w:p>
          <w:p w14:paraId="7DE5D09B">
            <w:pPr>
              <w:spacing w:after="93" w:line="240" w:lineRule="auto"/>
              <w:rPr>
                <w:highlight w:val="none"/>
              </w:rPr>
            </w:pPr>
            <w:r>
              <w:rPr>
                <w:rFonts w:hint="eastAsia"/>
                <w:highlight w:val="none"/>
                <w:lang w:val="en-US" w:eastAsia="zh-CN"/>
              </w:rPr>
              <w:t>14、需提供加盖公章版原厂专项授权函和原厂售后服务承诺书。</w:t>
            </w:r>
          </w:p>
        </w:tc>
        <w:tc>
          <w:tcPr>
            <w:tcW w:w="421" w:type="dxa"/>
            <w:shd w:val="clear" w:color="auto" w:fill="auto"/>
            <w:vAlign w:val="center"/>
          </w:tcPr>
          <w:p w14:paraId="4612A9F3">
            <w:pPr>
              <w:spacing w:before="120" w:after="93" w:line="240" w:lineRule="auto"/>
              <w:jc w:val="center"/>
              <w:rPr>
                <w:highlight w:val="none"/>
              </w:rPr>
            </w:pPr>
            <w:r>
              <w:rPr>
                <w:rFonts w:hint="eastAsia"/>
                <w:highlight w:val="none"/>
              </w:rPr>
              <w:t>台</w:t>
            </w:r>
          </w:p>
        </w:tc>
        <w:tc>
          <w:tcPr>
            <w:tcW w:w="728" w:type="dxa"/>
            <w:shd w:val="clear" w:color="auto" w:fill="auto"/>
            <w:vAlign w:val="center"/>
          </w:tcPr>
          <w:p w14:paraId="49A0F126">
            <w:pPr>
              <w:spacing w:before="120" w:after="93" w:line="240" w:lineRule="auto"/>
              <w:jc w:val="center"/>
              <w:rPr>
                <w:highlight w:val="none"/>
              </w:rPr>
            </w:pPr>
            <w:r>
              <w:rPr>
                <w:rFonts w:hint="eastAsia"/>
                <w:highlight w:val="none"/>
              </w:rPr>
              <w:t>2</w:t>
            </w:r>
          </w:p>
        </w:tc>
      </w:tr>
      <w:tr w14:paraId="6A2C1F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36" w:hRule="atLeast"/>
          <w:jc w:val="center"/>
        </w:trPr>
        <w:tc>
          <w:tcPr>
            <w:tcW w:w="713" w:type="dxa"/>
            <w:shd w:val="clear" w:color="auto" w:fill="auto"/>
            <w:vAlign w:val="center"/>
          </w:tcPr>
          <w:p w14:paraId="43EA2118">
            <w:pPr>
              <w:spacing w:before="120" w:after="93" w:line="240" w:lineRule="auto"/>
              <w:jc w:val="center"/>
              <w:rPr>
                <w:rFonts w:hint="default" w:eastAsia="仿宋"/>
                <w:lang w:val="en-US" w:eastAsia="zh-CN"/>
              </w:rPr>
            </w:pPr>
            <w:r>
              <w:rPr>
                <w:rFonts w:hint="eastAsia"/>
                <w:lang w:val="en-US" w:eastAsia="zh-CN"/>
              </w:rPr>
              <w:t>4</w:t>
            </w:r>
          </w:p>
        </w:tc>
        <w:tc>
          <w:tcPr>
            <w:tcW w:w="1533" w:type="dxa"/>
            <w:shd w:val="clear" w:color="auto" w:fill="auto"/>
            <w:vAlign w:val="center"/>
          </w:tcPr>
          <w:p w14:paraId="01A0EC19">
            <w:pPr>
              <w:spacing w:after="93" w:line="240" w:lineRule="auto"/>
              <w:rPr>
                <w:rFonts w:hint="default" w:eastAsia="仿宋"/>
                <w:lang w:val="en-US" w:eastAsia="zh-CN"/>
              </w:rPr>
            </w:pPr>
            <w:r>
              <w:rPr>
                <w:rFonts w:hint="eastAsia"/>
                <w:highlight w:val="none"/>
              </w:rPr>
              <w:t>模块化UPS</w:t>
            </w:r>
            <w:r>
              <w:rPr>
                <w:rFonts w:hint="eastAsia"/>
                <w:lang w:val="en-US" w:eastAsia="zh-CN"/>
              </w:rPr>
              <w:t>配套设备</w:t>
            </w:r>
          </w:p>
        </w:tc>
        <w:tc>
          <w:tcPr>
            <w:tcW w:w="6093" w:type="dxa"/>
            <w:shd w:val="clear" w:color="auto" w:fill="auto"/>
            <w:vAlign w:val="center"/>
          </w:tcPr>
          <w:p w14:paraId="41D50C8D">
            <w:pPr>
              <w:numPr>
                <w:ilvl w:val="0"/>
                <w:numId w:val="2"/>
              </w:numPr>
              <w:spacing w:after="93" w:line="240" w:lineRule="auto"/>
              <w:rPr>
                <w:rFonts w:hint="eastAsia"/>
                <w:highlight w:val="none"/>
                <w:lang w:val="en-US" w:eastAsia="zh-CN"/>
              </w:rPr>
            </w:pPr>
            <w:r>
              <w:rPr>
                <w:rFonts w:hint="eastAsia"/>
                <w:highlight w:val="none"/>
                <w:lang w:val="en-US" w:eastAsia="zh-CN"/>
              </w:rPr>
              <w:t>直流开关配套设备：开关容量≥400A/3P。</w:t>
            </w:r>
          </w:p>
          <w:p w14:paraId="5CBA7493">
            <w:pPr>
              <w:numPr>
                <w:ilvl w:val="0"/>
                <w:numId w:val="2"/>
              </w:numPr>
              <w:spacing w:after="93" w:line="240" w:lineRule="auto"/>
              <w:rPr>
                <w:rFonts w:hint="eastAsia"/>
                <w:highlight w:val="none"/>
                <w:lang w:val="en-US" w:eastAsia="zh-CN"/>
              </w:rPr>
            </w:pPr>
            <w:r>
              <w:rPr>
                <w:rFonts w:hint="eastAsia"/>
                <w:highlight w:val="none"/>
                <w:lang w:val="en-US" w:eastAsia="zh-CN"/>
              </w:rPr>
              <w:t>直流开关盒配套设备：规格为400*300*200mm。</w:t>
            </w:r>
          </w:p>
          <w:p w14:paraId="6198D3BB">
            <w:pPr>
              <w:numPr>
                <w:ilvl w:val="0"/>
                <w:numId w:val="2"/>
              </w:numPr>
              <w:spacing w:after="93" w:line="240" w:lineRule="auto"/>
              <w:rPr>
                <w:rFonts w:hint="eastAsia"/>
                <w:highlight w:val="none"/>
                <w:lang w:val="en-US" w:eastAsia="zh-CN"/>
              </w:rPr>
            </w:pPr>
            <w:r>
              <w:rPr>
                <w:rFonts w:hint="eastAsia"/>
                <w:highlight w:val="none"/>
                <w:lang w:val="en-US" w:eastAsia="zh-CN"/>
              </w:rPr>
              <w:t>开放式电池架配套设备：规格为1350*1220*1460mm。</w:t>
            </w:r>
          </w:p>
          <w:p w14:paraId="21B4DFB6">
            <w:pPr>
              <w:numPr>
                <w:ilvl w:val="0"/>
                <w:numId w:val="2"/>
              </w:numPr>
              <w:spacing w:after="93" w:line="240" w:lineRule="auto"/>
              <w:rPr>
                <w:rFonts w:hint="eastAsia"/>
                <w:highlight w:val="none"/>
                <w:lang w:val="en-US" w:eastAsia="zh-CN"/>
              </w:rPr>
            </w:pPr>
            <w:r>
              <w:rPr>
                <w:rFonts w:hint="eastAsia"/>
                <w:highlight w:val="none"/>
                <w:lang w:val="en-US" w:eastAsia="zh-CN"/>
              </w:rPr>
              <w:t>电池电缆配套设备：规格为BVR-95mm ²或同等规格短接铜排。</w:t>
            </w:r>
          </w:p>
          <w:p w14:paraId="01F9D9E2">
            <w:pPr>
              <w:numPr>
                <w:ilvl w:val="0"/>
                <w:numId w:val="2"/>
              </w:numPr>
              <w:spacing w:after="93" w:line="240" w:lineRule="auto"/>
              <w:rPr>
                <w:rFonts w:hint="eastAsia"/>
                <w:highlight w:val="none"/>
                <w:lang w:val="en-US" w:eastAsia="zh-CN"/>
              </w:rPr>
            </w:pPr>
            <w:r>
              <w:rPr>
                <w:rFonts w:hint="eastAsia"/>
                <w:highlight w:val="none"/>
                <w:lang w:val="en-US" w:eastAsia="zh-CN"/>
              </w:rPr>
              <w:t>承重底座：规格为8#槽钢。</w:t>
            </w:r>
          </w:p>
          <w:p w14:paraId="382FDC2E">
            <w:pPr>
              <w:numPr>
                <w:ilvl w:val="0"/>
                <w:numId w:val="2"/>
              </w:numPr>
              <w:spacing w:after="93" w:line="240" w:lineRule="auto"/>
              <w:rPr>
                <w:rFonts w:hint="eastAsia"/>
                <w:lang w:val="en-US" w:eastAsia="zh-CN"/>
              </w:rPr>
            </w:pPr>
            <w:r>
              <w:rPr>
                <w:rFonts w:hint="eastAsia"/>
                <w:highlight w:val="none"/>
              </w:rPr>
              <w:t>含安装调试，含安装所需的所有配件，如套管、铜线耳等配件。</w:t>
            </w:r>
          </w:p>
        </w:tc>
        <w:tc>
          <w:tcPr>
            <w:tcW w:w="421" w:type="dxa"/>
            <w:shd w:val="clear" w:color="auto" w:fill="auto"/>
            <w:vAlign w:val="center"/>
          </w:tcPr>
          <w:p w14:paraId="16AC7FC4">
            <w:pPr>
              <w:spacing w:before="120" w:after="93" w:line="240" w:lineRule="auto"/>
              <w:jc w:val="center"/>
              <w:rPr>
                <w:rFonts w:hint="eastAsia" w:eastAsia="仿宋"/>
                <w:lang w:val="en-US" w:eastAsia="zh-CN"/>
              </w:rPr>
            </w:pPr>
            <w:r>
              <w:rPr>
                <w:rFonts w:hint="eastAsia"/>
                <w:lang w:val="en-US" w:eastAsia="zh-CN"/>
              </w:rPr>
              <w:t>套</w:t>
            </w:r>
          </w:p>
        </w:tc>
        <w:tc>
          <w:tcPr>
            <w:tcW w:w="728" w:type="dxa"/>
            <w:shd w:val="clear" w:color="auto" w:fill="auto"/>
            <w:vAlign w:val="center"/>
          </w:tcPr>
          <w:p w14:paraId="5A96136A">
            <w:pPr>
              <w:spacing w:before="120" w:after="93" w:line="240" w:lineRule="auto"/>
              <w:jc w:val="center"/>
              <w:rPr>
                <w:rFonts w:hint="eastAsia" w:eastAsia="仿宋"/>
                <w:lang w:val="en-US" w:eastAsia="zh-CN"/>
              </w:rPr>
            </w:pPr>
            <w:r>
              <w:rPr>
                <w:rFonts w:hint="eastAsia"/>
                <w:lang w:val="en-US" w:eastAsia="zh-CN"/>
              </w:rPr>
              <w:t>2</w:t>
            </w:r>
          </w:p>
        </w:tc>
      </w:tr>
      <w:tr w14:paraId="709A95B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95" w:hRule="atLeast"/>
          <w:jc w:val="center"/>
        </w:trPr>
        <w:tc>
          <w:tcPr>
            <w:tcW w:w="713" w:type="dxa"/>
            <w:shd w:val="clear" w:color="auto" w:fill="auto"/>
            <w:vAlign w:val="center"/>
          </w:tcPr>
          <w:p w14:paraId="308FF9B9">
            <w:pPr>
              <w:spacing w:before="120" w:after="93" w:line="240" w:lineRule="auto"/>
              <w:jc w:val="center"/>
              <w:rPr>
                <w:rFonts w:hint="default" w:eastAsia="仿宋"/>
                <w:lang w:val="en-US" w:eastAsia="zh-CN"/>
              </w:rPr>
            </w:pPr>
            <w:r>
              <w:rPr>
                <w:rFonts w:hint="eastAsia"/>
                <w:lang w:val="en-US" w:eastAsia="zh-CN"/>
              </w:rPr>
              <w:t>5</w:t>
            </w:r>
          </w:p>
        </w:tc>
        <w:tc>
          <w:tcPr>
            <w:tcW w:w="1533" w:type="dxa"/>
            <w:vAlign w:val="center"/>
          </w:tcPr>
          <w:p w14:paraId="25F3E929">
            <w:pPr>
              <w:spacing w:after="93" w:line="240" w:lineRule="auto"/>
            </w:pPr>
            <w:r>
              <w:rPr>
                <w:rFonts w:hint="eastAsia"/>
                <w:highlight w:val="none"/>
                <w:lang w:val="en-US" w:eastAsia="zh-CN"/>
              </w:rPr>
              <w:t>UPS割接服务</w:t>
            </w:r>
          </w:p>
        </w:tc>
        <w:tc>
          <w:tcPr>
            <w:tcW w:w="6093" w:type="dxa"/>
            <w:shd w:val="clear" w:color="auto" w:fill="auto"/>
            <w:vAlign w:val="center"/>
          </w:tcPr>
          <w:p w14:paraId="3A24927D">
            <w:pPr>
              <w:numPr>
                <w:ilvl w:val="0"/>
                <w:numId w:val="3"/>
              </w:numPr>
              <w:spacing w:after="93" w:line="240" w:lineRule="auto"/>
              <w:rPr>
                <w:rFonts w:hint="default" w:eastAsia="仿宋"/>
                <w:highlight w:val="none"/>
                <w:lang w:val="en-US" w:eastAsia="zh-CN"/>
              </w:rPr>
            </w:pPr>
            <w:r>
              <w:rPr>
                <w:rFonts w:hint="eastAsia"/>
                <w:highlight w:val="none"/>
                <w:lang w:val="en-US" w:eastAsia="zh-CN"/>
              </w:rPr>
              <w:t>提前敷设精密配电柜输入线缆至新增配电柜安装位置；</w:t>
            </w:r>
          </w:p>
          <w:p w14:paraId="365A3115">
            <w:pPr>
              <w:numPr>
                <w:ilvl w:val="0"/>
                <w:numId w:val="3"/>
              </w:numPr>
              <w:spacing w:after="93" w:line="240" w:lineRule="auto"/>
              <w:rPr>
                <w:rFonts w:hint="default" w:eastAsia="仿宋"/>
                <w:highlight w:val="none"/>
                <w:lang w:val="en-US" w:eastAsia="zh-CN"/>
              </w:rPr>
            </w:pPr>
            <w:r>
              <w:rPr>
                <w:rFonts w:hint="eastAsia"/>
                <w:highlight w:val="none"/>
                <w:lang w:val="en-US" w:eastAsia="zh-CN"/>
              </w:rPr>
              <w:t>在断开原配电柜开关并测量；</w:t>
            </w:r>
          </w:p>
          <w:p w14:paraId="08624291">
            <w:pPr>
              <w:numPr>
                <w:ilvl w:val="0"/>
                <w:numId w:val="3"/>
              </w:numPr>
              <w:spacing w:after="93" w:line="240" w:lineRule="auto"/>
              <w:rPr>
                <w:rFonts w:hint="eastAsia"/>
                <w:highlight w:val="none"/>
                <w:lang w:val="en-US" w:eastAsia="zh-CN"/>
              </w:rPr>
            </w:pPr>
            <w:r>
              <w:rPr>
                <w:rFonts w:hint="eastAsia"/>
                <w:highlight w:val="none"/>
                <w:lang w:val="en-US" w:eastAsia="zh-CN"/>
              </w:rPr>
              <w:t>断开原UPS设备输入输出开关并测量；</w:t>
            </w:r>
          </w:p>
          <w:p w14:paraId="394FAF84">
            <w:pPr>
              <w:numPr>
                <w:ilvl w:val="0"/>
                <w:numId w:val="3"/>
              </w:numPr>
              <w:spacing w:after="93" w:line="240" w:lineRule="auto"/>
              <w:rPr>
                <w:rFonts w:hint="default"/>
                <w:highlight w:val="none"/>
                <w:lang w:val="en-US" w:eastAsia="zh-CN"/>
              </w:rPr>
            </w:pPr>
            <w:r>
              <w:rPr>
                <w:rFonts w:hint="eastAsia"/>
                <w:highlight w:val="none"/>
                <w:lang w:val="en-US" w:eastAsia="zh-CN"/>
              </w:rPr>
              <w:t>断开一期微模块精密配电柜输入开关并测量；</w:t>
            </w:r>
          </w:p>
          <w:p w14:paraId="57E800FE">
            <w:pPr>
              <w:numPr>
                <w:ilvl w:val="0"/>
                <w:numId w:val="3"/>
              </w:numPr>
              <w:spacing w:after="93" w:line="240" w:lineRule="auto"/>
              <w:rPr>
                <w:rFonts w:hint="eastAsia"/>
                <w:highlight w:val="none"/>
                <w:lang w:val="en-US" w:eastAsia="zh-CN"/>
              </w:rPr>
            </w:pPr>
            <w:r>
              <w:rPr>
                <w:rFonts w:hint="eastAsia"/>
                <w:highlight w:val="none"/>
                <w:lang w:val="en-US" w:eastAsia="zh-CN"/>
              </w:rPr>
              <w:t>端接敷设好的输入线缆；</w:t>
            </w:r>
          </w:p>
          <w:p w14:paraId="0E634ECC">
            <w:pPr>
              <w:numPr>
                <w:ilvl w:val="0"/>
                <w:numId w:val="3"/>
              </w:numPr>
              <w:spacing w:after="93" w:line="240" w:lineRule="auto"/>
              <w:rPr>
                <w:rFonts w:hint="eastAsia"/>
                <w:highlight w:val="none"/>
                <w:lang w:val="en-US" w:eastAsia="zh-CN"/>
              </w:rPr>
            </w:pPr>
            <w:r>
              <w:rPr>
                <w:rFonts w:hint="eastAsia"/>
                <w:highlight w:val="none"/>
                <w:lang w:val="en-US" w:eastAsia="zh-CN"/>
              </w:rPr>
              <w:t>新增UPS安装调试完成后并测量输入线缆；</w:t>
            </w:r>
          </w:p>
          <w:p w14:paraId="262BA1B2">
            <w:pPr>
              <w:spacing w:after="93" w:line="240" w:lineRule="auto"/>
              <w:rPr>
                <w:rFonts w:hint="default"/>
                <w:highlight w:val="none"/>
                <w:lang w:val="en-US" w:eastAsia="zh-CN"/>
              </w:rPr>
            </w:pPr>
            <w:r>
              <w:rPr>
                <w:rFonts w:hint="eastAsia"/>
                <w:highlight w:val="none"/>
                <w:lang w:val="en-US" w:eastAsia="zh-CN"/>
              </w:rPr>
              <w:t>测量输入线缆正常后闭合输入开关恢复一期微模块正常供电；</w:t>
            </w:r>
          </w:p>
        </w:tc>
        <w:tc>
          <w:tcPr>
            <w:tcW w:w="421" w:type="dxa"/>
            <w:shd w:val="clear" w:color="auto" w:fill="auto"/>
            <w:vAlign w:val="center"/>
          </w:tcPr>
          <w:p w14:paraId="2C79E174">
            <w:pPr>
              <w:spacing w:before="120" w:after="93" w:line="240" w:lineRule="auto"/>
              <w:jc w:val="center"/>
              <w:rPr>
                <w:rFonts w:hint="eastAsia" w:eastAsia="仿宋"/>
                <w:lang w:val="en-US" w:eastAsia="zh-CN"/>
              </w:rPr>
            </w:pPr>
            <w:r>
              <w:rPr>
                <w:rFonts w:hint="eastAsia"/>
                <w:lang w:val="en-US" w:eastAsia="zh-CN"/>
              </w:rPr>
              <w:t>项</w:t>
            </w:r>
          </w:p>
        </w:tc>
        <w:tc>
          <w:tcPr>
            <w:tcW w:w="728" w:type="dxa"/>
            <w:shd w:val="clear" w:color="auto" w:fill="auto"/>
            <w:vAlign w:val="center"/>
          </w:tcPr>
          <w:p w14:paraId="1D76FE43">
            <w:pPr>
              <w:spacing w:before="120" w:after="93" w:line="240" w:lineRule="auto"/>
              <w:jc w:val="center"/>
              <w:rPr>
                <w:rFonts w:hint="eastAsia" w:eastAsia="仿宋"/>
                <w:lang w:val="en-US" w:eastAsia="zh-CN"/>
              </w:rPr>
            </w:pPr>
            <w:r>
              <w:rPr>
                <w:rFonts w:hint="eastAsia"/>
                <w:lang w:val="en-US" w:eastAsia="zh-CN"/>
              </w:rPr>
              <w:t>1</w:t>
            </w:r>
          </w:p>
        </w:tc>
      </w:tr>
      <w:tr w14:paraId="1ECB51F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22" w:hRule="atLeast"/>
          <w:jc w:val="center"/>
        </w:trPr>
        <w:tc>
          <w:tcPr>
            <w:tcW w:w="9488" w:type="dxa"/>
            <w:gridSpan w:val="5"/>
            <w:shd w:val="clear" w:color="auto" w:fill="auto"/>
            <w:vAlign w:val="center"/>
          </w:tcPr>
          <w:p w14:paraId="578A2C74">
            <w:pPr>
              <w:pStyle w:val="33"/>
              <w:spacing w:before="0" w:beforeLines="0" w:after="0" w:afterLines="0" w:line="240" w:lineRule="auto"/>
              <w:rPr>
                <w:rFonts w:hint="eastAsia" w:eastAsia="仿宋"/>
                <w:lang w:val="en-US" w:eastAsia="zh-CN"/>
              </w:rPr>
            </w:pPr>
            <w:r>
              <w:rPr>
                <w:rFonts w:hint="eastAsia"/>
                <w:b/>
                <w:bCs/>
              </w:rPr>
              <w:t>（四）</w:t>
            </w:r>
            <w:r>
              <w:rPr>
                <w:rFonts w:hint="eastAsia"/>
                <w:b/>
                <w:bCs/>
                <w:lang w:val="en-US" w:eastAsia="zh-CN"/>
              </w:rPr>
              <w:t>机房</w:t>
            </w:r>
            <w:r>
              <w:rPr>
                <w:rFonts w:hint="eastAsia"/>
                <w:b/>
                <w:bCs/>
              </w:rPr>
              <w:t>供配电</w:t>
            </w:r>
            <w:r>
              <w:rPr>
                <w:rFonts w:hint="eastAsia"/>
                <w:b/>
                <w:bCs/>
                <w:lang w:val="en-US" w:eastAsia="zh-CN"/>
              </w:rPr>
              <w:t>设备</w:t>
            </w:r>
          </w:p>
        </w:tc>
      </w:tr>
      <w:tr w14:paraId="7A375CA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008" w:hRule="atLeast"/>
          <w:jc w:val="center"/>
        </w:trPr>
        <w:tc>
          <w:tcPr>
            <w:tcW w:w="713" w:type="dxa"/>
            <w:shd w:val="clear" w:color="auto" w:fill="auto"/>
            <w:vAlign w:val="center"/>
          </w:tcPr>
          <w:p w14:paraId="19C5340C">
            <w:pPr>
              <w:spacing w:before="120" w:after="93" w:line="240" w:lineRule="auto"/>
              <w:jc w:val="center"/>
              <w:rPr>
                <w:rFonts w:hint="eastAsia"/>
                <w:highlight w:val="none"/>
              </w:rPr>
            </w:pPr>
            <w:r>
              <w:rPr>
                <w:rFonts w:hint="eastAsia"/>
                <w:highlight w:val="none"/>
                <w:lang w:val="en-US" w:eastAsia="zh-CN"/>
              </w:rPr>
              <w:t>1</w:t>
            </w:r>
          </w:p>
        </w:tc>
        <w:tc>
          <w:tcPr>
            <w:tcW w:w="1533" w:type="dxa"/>
            <w:shd w:val="clear" w:color="auto" w:fill="auto"/>
            <w:vAlign w:val="center"/>
          </w:tcPr>
          <w:p w14:paraId="2E22D489">
            <w:pPr>
              <w:spacing w:before="120" w:after="93" w:line="240" w:lineRule="auto"/>
              <w:rPr>
                <w:rFonts w:hint="eastAsia"/>
                <w:iCs/>
                <w:highlight w:val="none"/>
              </w:rPr>
            </w:pPr>
            <w:r>
              <w:rPr>
                <w:rFonts w:hint="eastAsia"/>
                <w:highlight w:val="none"/>
              </w:rPr>
              <w:t>UPS输入输出配电柜</w:t>
            </w:r>
          </w:p>
        </w:tc>
        <w:tc>
          <w:tcPr>
            <w:tcW w:w="6093" w:type="dxa"/>
            <w:shd w:val="clear" w:color="auto" w:fill="auto"/>
            <w:vAlign w:val="center"/>
          </w:tcPr>
          <w:p w14:paraId="5C6D3F4C">
            <w:pPr>
              <w:spacing w:after="93" w:line="240" w:lineRule="auto"/>
              <w:rPr>
                <w:rFonts w:hint="eastAsia" w:eastAsia="仿宋"/>
                <w:highlight w:val="none"/>
                <w:lang w:val="en-US" w:eastAsia="zh-CN"/>
              </w:rPr>
            </w:pPr>
            <w:r>
              <w:rPr>
                <w:rFonts w:hint="eastAsia"/>
                <w:highlight w:val="none"/>
                <w:lang w:val="en-US" w:eastAsia="zh-CN"/>
              </w:rPr>
              <w:t>1、开关品牌采用国际一线品牌，如施耐德、ABB、西门子；</w:t>
            </w:r>
          </w:p>
          <w:p w14:paraId="6716DF89">
            <w:pPr>
              <w:spacing w:after="93" w:line="240" w:lineRule="auto"/>
              <w:rPr>
                <w:rFonts w:hint="eastAsia"/>
                <w:highlight w:val="none"/>
              </w:rPr>
            </w:pPr>
            <w:r>
              <w:rPr>
                <w:rFonts w:hint="eastAsia"/>
                <w:highlight w:val="none"/>
              </w:rPr>
              <w:t>2</w:t>
            </w:r>
            <w:r>
              <w:rPr>
                <w:rFonts w:hint="eastAsia"/>
                <w:highlight w:val="none"/>
                <w:lang w:eastAsia="zh-CN"/>
              </w:rPr>
              <w:t>、</w:t>
            </w:r>
            <w:r>
              <w:rPr>
                <w:rFonts w:hint="eastAsia"/>
                <w:highlight w:val="none"/>
              </w:rPr>
              <w:t>柜体尺寸</w:t>
            </w:r>
            <w:r>
              <w:rPr>
                <w:rFonts w:hint="eastAsia"/>
                <w:highlight w:val="none"/>
                <w:lang w:val="en-US" w:eastAsia="zh-CN"/>
              </w:rPr>
              <w:t>≤</w:t>
            </w:r>
            <w:r>
              <w:rPr>
                <w:rFonts w:hint="eastAsia"/>
                <w:highlight w:val="none"/>
                <w:lang w:eastAsia="zh-CN"/>
              </w:rPr>
              <w:t>700(W)*280(D)*900(H)；</w:t>
            </w:r>
          </w:p>
          <w:p w14:paraId="271D4BBC">
            <w:pPr>
              <w:spacing w:after="93" w:line="240" w:lineRule="auto"/>
              <w:rPr>
                <w:rFonts w:hint="eastAsia"/>
                <w:highlight w:val="none"/>
                <w:lang w:eastAsia="zh-CN"/>
              </w:rPr>
            </w:pPr>
            <w:r>
              <w:rPr>
                <w:rFonts w:hint="eastAsia"/>
                <w:highlight w:val="none"/>
                <w:lang w:val="en-US" w:eastAsia="zh-CN"/>
              </w:rPr>
              <w:t>3</w:t>
            </w:r>
            <w:r>
              <w:rPr>
                <w:rFonts w:hint="eastAsia"/>
                <w:highlight w:val="none"/>
                <w:lang w:eastAsia="zh-CN"/>
              </w:rPr>
              <w:t>、输入</w:t>
            </w:r>
            <w:r>
              <w:rPr>
                <w:rFonts w:hint="eastAsia"/>
                <w:highlight w:val="none"/>
                <w:lang w:val="en-US" w:eastAsia="zh-CN"/>
              </w:rPr>
              <w:t>开关不低于</w:t>
            </w:r>
            <w:r>
              <w:rPr>
                <w:rFonts w:hint="eastAsia"/>
                <w:highlight w:val="none"/>
                <w:lang w:eastAsia="zh-CN"/>
              </w:rPr>
              <w:t>3P/225A*1；</w:t>
            </w:r>
          </w:p>
          <w:p w14:paraId="187CB617">
            <w:pPr>
              <w:spacing w:after="93" w:line="240" w:lineRule="auto"/>
              <w:rPr>
                <w:rFonts w:hint="eastAsia"/>
                <w:highlight w:val="none"/>
                <w:lang w:eastAsia="zh-CN"/>
              </w:rPr>
            </w:pPr>
            <w:r>
              <w:rPr>
                <w:rFonts w:hint="eastAsia"/>
                <w:highlight w:val="none"/>
                <w:lang w:val="en-US" w:eastAsia="zh-CN"/>
              </w:rPr>
              <w:t>4、</w:t>
            </w:r>
            <w:r>
              <w:rPr>
                <w:rFonts w:hint="eastAsia"/>
                <w:highlight w:val="none"/>
                <w:lang w:eastAsia="zh-CN"/>
              </w:rPr>
              <w:t>输出总开关</w:t>
            </w:r>
            <w:r>
              <w:rPr>
                <w:rFonts w:hint="eastAsia"/>
                <w:highlight w:val="none"/>
                <w:lang w:val="en-US" w:eastAsia="zh-CN"/>
              </w:rPr>
              <w:t>不低于</w:t>
            </w:r>
            <w:r>
              <w:rPr>
                <w:rFonts w:hint="eastAsia"/>
                <w:highlight w:val="none"/>
                <w:lang w:eastAsia="zh-CN"/>
              </w:rPr>
              <w:t>3P/200A*1；</w:t>
            </w:r>
          </w:p>
          <w:p w14:paraId="5AB6B7F8">
            <w:pPr>
              <w:spacing w:after="93" w:line="240" w:lineRule="auto"/>
              <w:rPr>
                <w:rFonts w:hint="eastAsia"/>
                <w:highlight w:val="none"/>
                <w:lang w:val="en-US" w:eastAsia="zh-CN"/>
              </w:rPr>
            </w:pPr>
            <w:r>
              <w:rPr>
                <w:rFonts w:hint="eastAsia"/>
                <w:highlight w:val="none"/>
                <w:lang w:val="en-US" w:eastAsia="zh-CN"/>
              </w:rPr>
              <w:t>5、输出支路开关不低于3P/160A*2；</w:t>
            </w:r>
          </w:p>
          <w:p w14:paraId="6201717E">
            <w:pPr>
              <w:spacing w:after="93" w:line="240" w:lineRule="auto"/>
              <w:rPr>
                <w:rFonts w:hint="eastAsia"/>
                <w:highlight w:val="none"/>
                <w:lang w:val="en-US" w:eastAsia="zh-CN"/>
              </w:rPr>
            </w:pPr>
            <w:r>
              <w:rPr>
                <w:rFonts w:hint="eastAsia"/>
                <w:highlight w:val="none"/>
                <w:lang w:val="en-US" w:eastAsia="zh-CN"/>
              </w:rPr>
              <w:t>6、维修旁路开关不低于4P/200A*1；</w:t>
            </w:r>
          </w:p>
          <w:p w14:paraId="478ED61F">
            <w:pPr>
              <w:spacing w:after="93" w:line="240" w:lineRule="auto"/>
              <w:rPr>
                <w:rFonts w:hint="eastAsia"/>
                <w:highlight w:val="none"/>
                <w:lang w:val="en-US" w:eastAsia="zh-CN"/>
              </w:rPr>
            </w:pPr>
            <w:r>
              <w:rPr>
                <w:rFonts w:hint="eastAsia"/>
                <w:highlight w:val="none"/>
                <w:lang w:val="en-US" w:eastAsia="zh-CN"/>
              </w:rPr>
              <w:t>7、含指示灯，智能电表，浪涌保护器；</w:t>
            </w:r>
          </w:p>
          <w:p w14:paraId="0CEFDFCE">
            <w:pPr>
              <w:spacing w:after="93" w:line="240" w:lineRule="auto"/>
              <w:rPr>
                <w:rFonts w:hint="eastAsia"/>
                <w:highlight w:val="none"/>
                <w:lang w:val="en-US" w:eastAsia="zh-CN"/>
              </w:rPr>
            </w:pPr>
            <w:r>
              <w:rPr>
                <w:rFonts w:hint="eastAsia"/>
                <w:highlight w:val="none"/>
                <w:lang w:val="en-US" w:eastAsia="zh-CN"/>
              </w:rPr>
              <w:t>8、成套配电柜要求具有3C或CQC认证。</w:t>
            </w:r>
          </w:p>
          <w:p w14:paraId="458C4ADE">
            <w:pPr>
              <w:spacing w:after="93" w:line="240" w:lineRule="auto"/>
              <w:rPr>
                <w:rFonts w:hint="eastAsia"/>
                <w:highlight w:val="none"/>
                <w:lang w:val="en-US" w:eastAsia="zh-CN"/>
              </w:rPr>
            </w:pPr>
            <w:r>
              <w:rPr>
                <w:rFonts w:hint="eastAsia"/>
                <w:highlight w:val="none"/>
                <w:lang w:val="en-US" w:eastAsia="zh-CN"/>
              </w:rPr>
              <w:t>9、</w:t>
            </w:r>
            <w:r>
              <w:rPr>
                <w:rFonts w:hint="eastAsia"/>
                <w:highlight w:val="none"/>
              </w:rPr>
              <w:t>含安装调试，含安装所需的所有配件，如套管、铜线耳等配件</w:t>
            </w:r>
            <w:r>
              <w:rPr>
                <w:rFonts w:hint="eastAsia"/>
                <w:highlight w:val="none"/>
                <w:lang w:eastAsia="zh-CN"/>
              </w:rPr>
              <w:t>；</w:t>
            </w:r>
          </w:p>
        </w:tc>
        <w:tc>
          <w:tcPr>
            <w:tcW w:w="421" w:type="dxa"/>
            <w:shd w:val="clear" w:color="auto" w:fill="auto"/>
            <w:vAlign w:val="center"/>
          </w:tcPr>
          <w:p w14:paraId="1A3780A3">
            <w:pPr>
              <w:spacing w:before="120" w:after="93" w:line="240" w:lineRule="auto"/>
              <w:jc w:val="center"/>
              <w:rPr>
                <w:rFonts w:hint="eastAsia"/>
                <w:highlight w:val="none"/>
              </w:rPr>
            </w:pPr>
            <w:r>
              <w:rPr>
                <w:rFonts w:hint="eastAsia"/>
                <w:highlight w:val="none"/>
              </w:rPr>
              <w:t>套</w:t>
            </w:r>
          </w:p>
        </w:tc>
        <w:tc>
          <w:tcPr>
            <w:tcW w:w="728" w:type="dxa"/>
            <w:shd w:val="clear" w:color="auto" w:fill="auto"/>
            <w:vAlign w:val="center"/>
          </w:tcPr>
          <w:p w14:paraId="387132FA">
            <w:pPr>
              <w:spacing w:before="120" w:after="93" w:line="240" w:lineRule="auto"/>
              <w:jc w:val="center"/>
              <w:rPr>
                <w:rFonts w:hint="eastAsia"/>
                <w:highlight w:val="none"/>
              </w:rPr>
            </w:pPr>
            <w:r>
              <w:rPr>
                <w:rFonts w:hint="eastAsia"/>
                <w:highlight w:val="none"/>
                <w:lang w:val="en-US" w:eastAsia="zh-CN"/>
              </w:rPr>
              <w:t>2</w:t>
            </w:r>
          </w:p>
        </w:tc>
      </w:tr>
      <w:tr w14:paraId="5CEA291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008" w:hRule="atLeast"/>
          <w:jc w:val="center"/>
        </w:trPr>
        <w:tc>
          <w:tcPr>
            <w:tcW w:w="713" w:type="dxa"/>
            <w:shd w:val="clear" w:color="auto" w:fill="auto"/>
            <w:vAlign w:val="center"/>
          </w:tcPr>
          <w:p w14:paraId="7EDAA717">
            <w:pPr>
              <w:spacing w:before="120" w:after="93" w:line="240" w:lineRule="auto"/>
              <w:jc w:val="center"/>
              <w:rPr>
                <w:rFonts w:hint="eastAsia"/>
                <w:highlight w:val="none"/>
              </w:rPr>
            </w:pPr>
            <w:r>
              <w:rPr>
                <w:rFonts w:hint="eastAsia"/>
                <w:highlight w:val="none"/>
                <w:lang w:val="en-US" w:eastAsia="zh-CN"/>
              </w:rPr>
              <w:t>2</w:t>
            </w:r>
          </w:p>
        </w:tc>
        <w:tc>
          <w:tcPr>
            <w:tcW w:w="1533" w:type="dxa"/>
            <w:shd w:val="clear" w:color="auto" w:fill="auto"/>
            <w:vAlign w:val="center"/>
          </w:tcPr>
          <w:p w14:paraId="788C78BA">
            <w:pPr>
              <w:spacing w:before="120" w:after="93" w:line="240" w:lineRule="auto"/>
              <w:rPr>
                <w:rFonts w:hint="eastAsia"/>
                <w:iCs/>
                <w:highlight w:val="none"/>
              </w:rPr>
            </w:pPr>
            <w:r>
              <w:rPr>
                <w:rFonts w:hint="eastAsia"/>
                <w:highlight w:val="none"/>
              </w:rPr>
              <w:t>空调配电柜</w:t>
            </w:r>
          </w:p>
        </w:tc>
        <w:tc>
          <w:tcPr>
            <w:tcW w:w="6093" w:type="dxa"/>
            <w:shd w:val="clear" w:color="auto" w:fill="auto"/>
            <w:vAlign w:val="center"/>
          </w:tcPr>
          <w:p w14:paraId="78AE2A24">
            <w:pPr>
              <w:spacing w:after="93" w:line="240" w:lineRule="auto"/>
              <w:rPr>
                <w:rFonts w:hint="eastAsia"/>
                <w:highlight w:val="none"/>
                <w:lang w:val="en-US" w:eastAsia="zh-CN"/>
              </w:rPr>
            </w:pPr>
            <w:r>
              <w:rPr>
                <w:rFonts w:hint="eastAsia"/>
                <w:highlight w:val="none"/>
                <w:lang w:val="en-US" w:eastAsia="zh-CN"/>
              </w:rPr>
              <w:t>1、开关品牌采用国际一线品牌，如施耐德、ABB、西门子；</w:t>
            </w:r>
          </w:p>
          <w:p w14:paraId="138FA0FA">
            <w:pPr>
              <w:spacing w:after="93" w:line="240" w:lineRule="auto"/>
              <w:rPr>
                <w:rFonts w:hint="eastAsia"/>
                <w:highlight w:val="none"/>
              </w:rPr>
            </w:pPr>
            <w:r>
              <w:rPr>
                <w:rFonts w:hint="eastAsia"/>
                <w:highlight w:val="none"/>
                <w:lang w:val="en-US" w:eastAsia="zh-CN"/>
              </w:rPr>
              <w:t>2</w:t>
            </w:r>
            <w:r>
              <w:rPr>
                <w:rFonts w:hint="eastAsia"/>
                <w:highlight w:val="none"/>
                <w:lang w:eastAsia="zh-CN"/>
              </w:rPr>
              <w:t>、</w:t>
            </w:r>
            <w:r>
              <w:rPr>
                <w:rFonts w:hint="eastAsia"/>
                <w:highlight w:val="none"/>
              </w:rPr>
              <w:t>柜体尺寸</w:t>
            </w:r>
            <w:r>
              <w:rPr>
                <w:rFonts w:hint="eastAsia"/>
                <w:highlight w:val="none"/>
                <w:lang w:val="en-US" w:eastAsia="zh-CN"/>
              </w:rPr>
              <w:t>≤</w:t>
            </w:r>
            <w:r>
              <w:rPr>
                <w:rFonts w:hint="eastAsia"/>
                <w:highlight w:val="none"/>
                <w:lang w:eastAsia="zh-CN"/>
              </w:rPr>
              <w:t>500(W)*250(D)*800(H)；</w:t>
            </w:r>
          </w:p>
          <w:p w14:paraId="0E0B618D">
            <w:pPr>
              <w:spacing w:after="93" w:line="240" w:lineRule="auto"/>
              <w:rPr>
                <w:rFonts w:hint="eastAsia"/>
                <w:highlight w:val="none"/>
                <w:lang w:eastAsia="zh-CN"/>
              </w:rPr>
            </w:pPr>
            <w:r>
              <w:rPr>
                <w:rFonts w:hint="eastAsia"/>
                <w:highlight w:val="none"/>
                <w:lang w:val="en-US" w:eastAsia="zh-CN"/>
              </w:rPr>
              <w:t>3</w:t>
            </w:r>
            <w:r>
              <w:rPr>
                <w:rFonts w:hint="eastAsia"/>
                <w:highlight w:val="none"/>
                <w:lang w:eastAsia="zh-CN"/>
              </w:rPr>
              <w:t>、</w:t>
            </w:r>
            <w:r>
              <w:rPr>
                <w:rFonts w:hint="eastAsia"/>
                <w:highlight w:val="none"/>
                <w:lang w:val="en-US" w:eastAsia="zh-CN"/>
              </w:rPr>
              <w:t>输入开关不低于</w:t>
            </w:r>
            <w:r>
              <w:rPr>
                <w:rFonts w:hint="eastAsia"/>
                <w:highlight w:val="none"/>
                <w:lang w:eastAsia="zh-CN"/>
              </w:rPr>
              <w:t>3P/100A*1；</w:t>
            </w:r>
          </w:p>
          <w:p w14:paraId="7096E3EF">
            <w:pPr>
              <w:spacing w:after="93" w:line="240" w:lineRule="auto"/>
              <w:rPr>
                <w:rFonts w:hint="eastAsia"/>
                <w:highlight w:val="none"/>
                <w:lang w:eastAsia="zh-CN"/>
              </w:rPr>
            </w:pPr>
            <w:r>
              <w:rPr>
                <w:rFonts w:hint="eastAsia"/>
                <w:highlight w:val="none"/>
                <w:lang w:val="en-US" w:eastAsia="zh-CN"/>
              </w:rPr>
              <w:t>4、输出开关不低于</w:t>
            </w:r>
            <w:r>
              <w:rPr>
                <w:rFonts w:hint="eastAsia"/>
                <w:highlight w:val="none"/>
                <w:lang w:eastAsia="zh-CN"/>
              </w:rPr>
              <w:t>3P/63A*3；</w:t>
            </w:r>
          </w:p>
          <w:p w14:paraId="21D57EF1">
            <w:pPr>
              <w:spacing w:after="93" w:line="240" w:lineRule="auto"/>
              <w:rPr>
                <w:rFonts w:hint="eastAsia"/>
                <w:highlight w:val="none"/>
              </w:rPr>
            </w:pPr>
            <w:r>
              <w:rPr>
                <w:rFonts w:hint="eastAsia"/>
                <w:highlight w:val="none"/>
                <w:lang w:val="en-US" w:eastAsia="zh-CN"/>
              </w:rPr>
              <w:t>5、含指示灯，智能电表，浪涌保护器；</w:t>
            </w:r>
          </w:p>
          <w:p w14:paraId="1D7EBA44">
            <w:pPr>
              <w:spacing w:after="93" w:line="240" w:lineRule="auto"/>
              <w:rPr>
                <w:rFonts w:hint="eastAsia" w:eastAsia="仿宋"/>
                <w:highlight w:val="none"/>
                <w:lang w:eastAsia="zh-CN"/>
              </w:rPr>
            </w:pPr>
            <w:r>
              <w:rPr>
                <w:rFonts w:hint="eastAsia"/>
                <w:highlight w:val="none"/>
                <w:lang w:val="en-US" w:eastAsia="zh-CN"/>
              </w:rPr>
              <w:t>6</w:t>
            </w:r>
            <w:r>
              <w:rPr>
                <w:rFonts w:hint="eastAsia"/>
                <w:highlight w:val="none"/>
                <w:lang w:eastAsia="zh-CN"/>
              </w:rPr>
              <w:t>、</w:t>
            </w:r>
            <w:r>
              <w:rPr>
                <w:rFonts w:hint="eastAsia"/>
                <w:highlight w:val="none"/>
              </w:rPr>
              <w:t>成套配电柜要求具有3C或CQC认证</w:t>
            </w:r>
            <w:r>
              <w:rPr>
                <w:rFonts w:hint="eastAsia"/>
                <w:highlight w:val="none"/>
                <w:lang w:eastAsia="zh-CN"/>
              </w:rPr>
              <w:t>；</w:t>
            </w:r>
          </w:p>
          <w:p w14:paraId="387C7610">
            <w:pPr>
              <w:spacing w:after="93" w:line="240" w:lineRule="auto"/>
              <w:rPr>
                <w:rFonts w:hint="eastAsia"/>
                <w:highlight w:val="none"/>
                <w:lang w:val="en-US" w:eastAsia="zh-CN"/>
              </w:rPr>
            </w:pPr>
            <w:r>
              <w:rPr>
                <w:rFonts w:hint="eastAsia"/>
                <w:highlight w:val="none"/>
                <w:lang w:val="en-US" w:eastAsia="zh-CN"/>
              </w:rPr>
              <w:t>7</w:t>
            </w:r>
            <w:r>
              <w:rPr>
                <w:rFonts w:hint="eastAsia"/>
                <w:highlight w:val="none"/>
                <w:lang w:eastAsia="zh-CN"/>
              </w:rPr>
              <w:t>、</w:t>
            </w:r>
            <w:r>
              <w:rPr>
                <w:rFonts w:hint="eastAsia"/>
                <w:highlight w:val="none"/>
              </w:rPr>
              <w:t>含安装调试，含安装所需的所有配件，如套管、铜线耳等配件</w:t>
            </w:r>
            <w:r>
              <w:rPr>
                <w:rFonts w:hint="eastAsia"/>
                <w:highlight w:val="none"/>
                <w:lang w:eastAsia="zh-CN"/>
              </w:rPr>
              <w:t>；</w:t>
            </w:r>
          </w:p>
        </w:tc>
        <w:tc>
          <w:tcPr>
            <w:tcW w:w="421" w:type="dxa"/>
            <w:shd w:val="clear" w:color="auto" w:fill="auto"/>
            <w:vAlign w:val="center"/>
          </w:tcPr>
          <w:p w14:paraId="6D7F6E15">
            <w:pPr>
              <w:spacing w:before="120" w:after="93" w:line="240" w:lineRule="auto"/>
              <w:jc w:val="center"/>
              <w:rPr>
                <w:rFonts w:hint="eastAsia"/>
                <w:highlight w:val="none"/>
              </w:rPr>
            </w:pPr>
            <w:r>
              <w:rPr>
                <w:rFonts w:hint="eastAsia"/>
                <w:highlight w:val="none"/>
              </w:rPr>
              <w:t>套</w:t>
            </w:r>
          </w:p>
        </w:tc>
        <w:tc>
          <w:tcPr>
            <w:tcW w:w="728" w:type="dxa"/>
            <w:shd w:val="clear" w:color="auto" w:fill="auto"/>
            <w:vAlign w:val="center"/>
          </w:tcPr>
          <w:p w14:paraId="35495E39">
            <w:pPr>
              <w:spacing w:before="120" w:after="93" w:line="240" w:lineRule="auto"/>
              <w:jc w:val="center"/>
              <w:rPr>
                <w:rFonts w:hint="eastAsia"/>
                <w:highlight w:val="none"/>
              </w:rPr>
            </w:pPr>
            <w:r>
              <w:rPr>
                <w:rFonts w:hint="eastAsia"/>
                <w:highlight w:val="none"/>
                <w:lang w:val="en-US" w:eastAsia="zh-CN"/>
              </w:rPr>
              <w:t>1</w:t>
            </w:r>
          </w:p>
        </w:tc>
      </w:tr>
      <w:tr w14:paraId="6A4E1D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008" w:hRule="atLeast"/>
          <w:jc w:val="center"/>
        </w:trPr>
        <w:tc>
          <w:tcPr>
            <w:tcW w:w="713" w:type="dxa"/>
            <w:shd w:val="clear" w:color="auto" w:fill="auto"/>
            <w:vAlign w:val="center"/>
          </w:tcPr>
          <w:p w14:paraId="71FAD8EB">
            <w:pPr>
              <w:spacing w:before="120" w:after="93" w:line="240" w:lineRule="auto"/>
              <w:jc w:val="center"/>
              <w:rPr>
                <w:highlight w:val="none"/>
              </w:rPr>
            </w:pPr>
            <w:r>
              <w:rPr>
                <w:rFonts w:hint="eastAsia"/>
                <w:highlight w:val="none"/>
                <w:lang w:val="en-US" w:eastAsia="zh-CN"/>
              </w:rPr>
              <w:t>3</w:t>
            </w:r>
          </w:p>
        </w:tc>
        <w:tc>
          <w:tcPr>
            <w:tcW w:w="1533" w:type="dxa"/>
            <w:shd w:val="clear" w:color="auto" w:fill="auto"/>
            <w:vAlign w:val="center"/>
          </w:tcPr>
          <w:p w14:paraId="72E1B5AA">
            <w:pPr>
              <w:spacing w:before="120" w:after="93" w:line="240" w:lineRule="auto"/>
              <w:rPr>
                <w:iCs/>
                <w:highlight w:val="none"/>
              </w:rPr>
            </w:pPr>
            <w:r>
              <w:rPr>
                <w:rFonts w:hint="eastAsia"/>
                <w:highlight w:val="none"/>
                <w:lang w:val="en-US" w:eastAsia="zh-CN"/>
              </w:rPr>
              <w:t>原配电柜改造</w:t>
            </w:r>
          </w:p>
        </w:tc>
        <w:tc>
          <w:tcPr>
            <w:tcW w:w="6093" w:type="dxa"/>
            <w:shd w:val="clear" w:color="auto" w:fill="auto"/>
            <w:vAlign w:val="center"/>
          </w:tcPr>
          <w:p w14:paraId="6715316A">
            <w:pPr>
              <w:numPr>
                <w:ilvl w:val="0"/>
                <w:numId w:val="4"/>
              </w:numPr>
              <w:spacing w:before="120" w:after="93" w:line="240" w:lineRule="auto"/>
              <w:rPr>
                <w:rFonts w:hint="default"/>
                <w:highlight w:val="none"/>
                <w:lang w:val="en-US" w:eastAsia="zh-CN"/>
              </w:rPr>
            </w:pPr>
            <w:r>
              <w:rPr>
                <w:rFonts w:hint="eastAsia"/>
                <w:highlight w:val="none"/>
                <w:lang w:val="en-US" w:eastAsia="zh-CN"/>
              </w:rPr>
              <w:t>对二楼配电房输出给原配电柜开关和原配电柜输入开关进行断开操作；</w:t>
            </w:r>
          </w:p>
          <w:p w14:paraId="4A17C418">
            <w:pPr>
              <w:numPr>
                <w:ilvl w:val="0"/>
                <w:numId w:val="4"/>
              </w:numPr>
              <w:spacing w:before="120" w:after="93" w:line="240" w:lineRule="auto"/>
              <w:rPr>
                <w:rFonts w:hint="eastAsia"/>
                <w:highlight w:val="none"/>
                <w:lang w:val="en-US" w:eastAsia="zh-CN"/>
              </w:rPr>
            </w:pPr>
            <w:r>
              <w:rPr>
                <w:rFonts w:hint="eastAsia"/>
                <w:highlight w:val="none"/>
                <w:lang w:val="en-US" w:eastAsia="zh-CN"/>
              </w:rPr>
              <w:t>对原配电线缆测量是否带电；</w:t>
            </w:r>
          </w:p>
          <w:p w14:paraId="2EA60EBB">
            <w:pPr>
              <w:numPr>
                <w:ilvl w:val="0"/>
                <w:numId w:val="4"/>
              </w:numPr>
              <w:spacing w:before="120" w:after="93" w:line="240" w:lineRule="auto"/>
              <w:rPr>
                <w:rFonts w:hint="default"/>
                <w:highlight w:val="none"/>
                <w:lang w:val="en-US" w:eastAsia="zh-CN"/>
              </w:rPr>
            </w:pPr>
            <w:r>
              <w:rPr>
                <w:rFonts w:hint="eastAsia"/>
                <w:highlight w:val="none"/>
                <w:lang w:val="en-US" w:eastAsia="zh-CN"/>
              </w:rPr>
              <w:t>拆开输入输出线缆后拆除原配电柜；</w:t>
            </w:r>
          </w:p>
          <w:p w14:paraId="3A5C546D">
            <w:pPr>
              <w:numPr>
                <w:ilvl w:val="0"/>
                <w:numId w:val="4"/>
              </w:numPr>
              <w:spacing w:before="120" w:after="93" w:line="240" w:lineRule="auto"/>
              <w:rPr>
                <w:rFonts w:hint="eastAsia"/>
                <w:highlight w:val="none"/>
                <w:lang w:val="en-US" w:eastAsia="zh-CN"/>
              </w:rPr>
            </w:pPr>
            <w:r>
              <w:rPr>
                <w:rFonts w:hint="eastAsia"/>
                <w:highlight w:val="none"/>
                <w:lang w:val="en-US" w:eastAsia="zh-CN"/>
              </w:rPr>
              <w:t>拆除原配电柜后在原来位置安装新的配电柜；</w:t>
            </w:r>
          </w:p>
          <w:p w14:paraId="6B4AFDDF">
            <w:pPr>
              <w:numPr>
                <w:ilvl w:val="0"/>
                <w:numId w:val="4"/>
              </w:numPr>
              <w:spacing w:before="120" w:after="93" w:line="240" w:lineRule="auto"/>
              <w:rPr>
                <w:rFonts w:hint="eastAsia"/>
                <w:highlight w:val="none"/>
                <w:lang w:val="en-US" w:eastAsia="zh-CN"/>
              </w:rPr>
            </w:pPr>
            <w:r>
              <w:rPr>
                <w:rFonts w:hint="eastAsia"/>
                <w:highlight w:val="none"/>
                <w:lang w:val="en-US" w:eastAsia="zh-CN"/>
              </w:rPr>
              <w:t>端接原配电线缆并进行测量；</w:t>
            </w:r>
          </w:p>
          <w:p w14:paraId="30651846">
            <w:pPr>
              <w:numPr>
                <w:ilvl w:val="0"/>
                <w:numId w:val="4"/>
              </w:numPr>
              <w:spacing w:before="120" w:after="93" w:line="240" w:lineRule="auto"/>
              <w:rPr>
                <w:rFonts w:hint="eastAsia"/>
                <w:highlight w:val="none"/>
                <w:lang w:val="en-US" w:eastAsia="zh-CN"/>
              </w:rPr>
            </w:pPr>
            <w:r>
              <w:rPr>
                <w:rFonts w:hint="eastAsia"/>
                <w:highlight w:val="none"/>
                <w:lang w:val="en-US" w:eastAsia="zh-CN"/>
              </w:rPr>
              <w:t>端接输出线缆并进行测量；</w:t>
            </w:r>
          </w:p>
          <w:p w14:paraId="4A3FC945">
            <w:pPr>
              <w:spacing w:after="93" w:line="240" w:lineRule="auto"/>
              <w:rPr>
                <w:highlight w:val="none"/>
              </w:rPr>
            </w:pPr>
            <w:r>
              <w:rPr>
                <w:rFonts w:hint="eastAsia"/>
                <w:highlight w:val="none"/>
                <w:lang w:val="en-US" w:eastAsia="zh-CN"/>
              </w:rPr>
              <w:t>7、闭合二楼配电房输出给原配电柜开关和新配电柜输入开关；</w:t>
            </w:r>
          </w:p>
        </w:tc>
        <w:tc>
          <w:tcPr>
            <w:tcW w:w="421" w:type="dxa"/>
            <w:shd w:val="clear" w:color="auto" w:fill="auto"/>
            <w:vAlign w:val="center"/>
          </w:tcPr>
          <w:p w14:paraId="29772FEE">
            <w:pPr>
              <w:spacing w:before="120" w:after="93" w:line="240" w:lineRule="auto"/>
              <w:jc w:val="center"/>
              <w:rPr>
                <w:highlight w:val="none"/>
              </w:rPr>
            </w:pPr>
            <w:r>
              <w:rPr>
                <w:rFonts w:hint="eastAsia"/>
                <w:highlight w:val="none"/>
              </w:rPr>
              <w:t>套</w:t>
            </w:r>
          </w:p>
        </w:tc>
        <w:tc>
          <w:tcPr>
            <w:tcW w:w="728" w:type="dxa"/>
            <w:shd w:val="clear" w:color="auto" w:fill="auto"/>
            <w:vAlign w:val="center"/>
          </w:tcPr>
          <w:p w14:paraId="5105D211">
            <w:pPr>
              <w:spacing w:before="120" w:after="93" w:line="240" w:lineRule="auto"/>
              <w:jc w:val="center"/>
              <w:rPr>
                <w:highlight w:val="none"/>
              </w:rPr>
            </w:pPr>
            <w:r>
              <w:rPr>
                <w:rFonts w:hint="eastAsia"/>
                <w:highlight w:val="none"/>
                <w:lang w:val="en-US" w:eastAsia="zh-CN"/>
              </w:rPr>
              <w:t>1</w:t>
            </w:r>
          </w:p>
        </w:tc>
      </w:tr>
      <w:tr w14:paraId="414564A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22" w:hRule="atLeast"/>
          <w:jc w:val="center"/>
        </w:trPr>
        <w:tc>
          <w:tcPr>
            <w:tcW w:w="9488" w:type="dxa"/>
            <w:gridSpan w:val="5"/>
            <w:shd w:val="clear" w:color="auto" w:fill="auto"/>
            <w:vAlign w:val="center"/>
          </w:tcPr>
          <w:p w14:paraId="19B81258">
            <w:pPr>
              <w:pStyle w:val="33"/>
              <w:spacing w:before="0" w:beforeLines="0" w:after="0" w:afterLines="0" w:line="240" w:lineRule="auto"/>
              <w:rPr>
                <w:rFonts w:hint="default" w:eastAsia="仿宋"/>
                <w:b/>
                <w:bCs/>
                <w:lang w:val="en-US" w:eastAsia="zh-CN"/>
              </w:rPr>
            </w:pPr>
            <w:r>
              <w:rPr>
                <w:rFonts w:hint="eastAsia"/>
                <w:b/>
                <w:bCs/>
              </w:rPr>
              <w:t>（五）</w:t>
            </w:r>
            <w:r>
              <w:rPr>
                <w:rFonts w:hint="eastAsia"/>
                <w:b/>
                <w:bCs/>
                <w:lang w:val="en-US" w:eastAsia="zh-CN"/>
              </w:rPr>
              <w:t>其他配套设备及安装服务</w:t>
            </w:r>
          </w:p>
        </w:tc>
      </w:tr>
      <w:tr w14:paraId="7217EEE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73" w:hRule="atLeast"/>
          <w:jc w:val="center"/>
        </w:trPr>
        <w:tc>
          <w:tcPr>
            <w:tcW w:w="713" w:type="dxa"/>
            <w:shd w:val="clear" w:color="auto" w:fill="auto"/>
            <w:vAlign w:val="center"/>
          </w:tcPr>
          <w:p w14:paraId="24E91A6E">
            <w:pPr>
              <w:spacing w:before="120" w:after="93" w:line="240" w:lineRule="auto"/>
              <w:jc w:val="center"/>
            </w:pPr>
            <w:r>
              <w:rPr>
                <w:rFonts w:hint="eastAsia"/>
              </w:rPr>
              <w:t>1</w:t>
            </w:r>
          </w:p>
        </w:tc>
        <w:tc>
          <w:tcPr>
            <w:tcW w:w="1533" w:type="dxa"/>
            <w:shd w:val="clear" w:color="auto" w:fill="auto"/>
            <w:vAlign w:val="center"/>
          </w:tcPr>
          <w:p w14:paraId="56E42344">
            <w:pPr>
              <w:spacing w:before="120" w:after="93" w:line="240" w:lineRule="auto"/>
              <w:jc w:val="both"/>
              <w:rPr>
                <w:iCs/>
              </w:rPr>
            </w:pPr>
            <w:r>
              <w:rPr>
                <w:rFonts w:hint="eastAsia"/>
                <w:iCs/>
              </w:rPr>
              <w:t>微模块监控设备</w:t>
            </w:r>
            <w:r>
              <w:rPr>
                <w:rFonts w:hint="eastAsia"/>
                <w:iCs/>
                <w:lang w:eastAsia="zh-CN"/>
              </w:rPr>
              <w:t>（</w:t>
            </w:r>
            <w:r>
              <w:rPr>
                <w:rFonts w:hint="eastAsia"/>
                <w:iCs/>
                <w:lang w:val="en-US" w:eastAsia="zh-CN"/>
              </w:rPr>
              <w:t>推荐品牌：华为、维谛、伊顿</w:t>
            </w:r>
            <w:r>
              <w:rPr>
                <w:rFonts w:hint="eastAsia"/>
                <w:iCs/>
                <w:lang w:eastAsia="zh-CN"/>
              </w:rPr>
              <w:t>）</w:t>
            </w:r>
          </w:p>
        </w:tc>
        <w:tc>
          <w:tcPr>
            <w:tcW w:w="6093" w:type="dxa"/>
            <w:shd w:val="clear" w:color="auto" w:fill="auto"/>
            <w:vAlign w:val="center"/>
          </w:tcPr>
          <w:p w14:paraId="0B38BC99">
            <w:pPr>
              <w:spacing w:after="93" w:line="240" w:lineRule="auto"/>
              <w:rPr>
                <w:rFonts w:hint="eastAsia" w:eastAsia="仿宋"/>
                <w:lang w:eastAsia="zh-CN"/>
              </w:rPr>
            </w:pPr>
            <w:r>
              <w:rPr>
                <w:rFonts w:hint="eastAsia" w:ascii="国标仿宋" w:hAnsi="国标仿宋" w:eastAsia="国标仿宋" w:cs="国标仿宋"/>
                <w:sz w:val="28"/>
                <w:szCs w:val="28"/>
                <w:highlight w:val="none"/>
                <w:lang w:val="en-US" w:eastAsia="zh-CN"/>
              </w:rPr>
              <w:t>★</w:t>
            </w:r>
            <w:r>
              <w:rPr>
                <w:rFonts w:hint="eastAsia"/>
                <w:lang w:val="en-US" w:eastAsia="zh-CN"/>
              </w:rPr>
              <w:t>1、</w:t>
            </w:r>
            <w:r>
              <w:rPr>
                <w:rFonts w:hint="eastAsia" w:eastAsia="仿宋"/>
                <w:lang w:eastAsia="zh-CN"/>
              </w:rPr>
              <w:t>通道配置有微模块本地监控系统，要求具备模块内供配电、空调、温湿度、漏水检测、烟雾、视频等设备监控，内置配置不少于2个视频摄像机、1套通道白光照明系统、1套数据机房控制器、</w:t>
            </w:r>
            <w:r>
              <w:rPr>
                <w:rFonts w:hint="eastAsia"/>
                <w:lang w:val="en-US" w:eastAsia="zh-CN"/>
              </w:rPr>
              <w:t>1</w:t>
            </w:r>
            <w:r>
              <w:rPr>
                <w:rFonts w:hint="eastAsia" w:eastAsia="仿宋"/>
                <w:lang w:eastAsia="zh-CN"/>
              </w:rPr>
              <w:t>套漏水监测模块、1套声光报警器，监控系统配至有精密空调、配电数据采集监控功能模块。含微模块内部连线所需信号线缆；</w:t>
            </w:r>
          </w:p>
          <w:p w14:paraId="2D1C69C7">
            <w:pPr>
              <w:spacing w:after="93" w:line="240" w:lineRule="auto"/>
              <w:rPr>
                <w:rFonts w:hint="eastAsia" w:eastAsia="仿宋"/>
                <w:lang w:eastAsia="zh-CN"/>
              </w:rPr>
            </w:pPr>
            <w:r>
              <w:rPr>
                <w:rFonts w:hint="eastAsia"/>
                <w:lang w:val="en-US" w:eastAsia="zh-CN"/>
              </w:rPr>
              <w:t>2、</w:t>
            </w:r>
            <w:r>
              <w:rPr>
                <w:rFonts w:hint="eastAsia" w:eastAsia="仿宋"/>
                <w:lang w:eastAsia="zh-CN"/>
              </w:rPr>
              <w:t>要求每个微模块提供一个整体的环境和动力监控接口，实现对模块内供配电、空调、温湿度、漏水检测、烟雾、视频等设备的不间断监控，发现部件故障或参数异常，即时采取颜色、E-mail、SMS和声音告警等多种报警方式，记录历史数据和报警事件，所有监控信息提供标准的北向SNMP接口给管理平台集成接入。实现PAD和手机APP实时查看设备信息，移动运维；</w:t>
            </w:r>
          </w:p>
          <w:p w14:paraId="114FFDB5">
            <w:pPr>
              <w:spacing w:after="93" w:line="240" w:lineRule="auto"/>
              <w:rPr>
                <w:rFonts w:hint="eastAsia" w:eastAsia="仿宋"/>
                <w:lang w:eastAsia="zh-CN"/>
              </w:rPr>
            </w:pPr>
            <w:r>
              <w:rPr>
                <w:rFonts w:hint="eastAsia" w:eastAsia="仿宋"/>
                <w:lang w:eastAsia="zh-CN"/>
              </w:rPr>
              <w:t>▲</w:t>
            </w:r>
            <w:r>
              <w:rPr>
                <w:rFonts w:hint="eastAsia"/>
                <w:lang w:val="en-US" w:eastAsia="zh-CN"/>
              </w:rPr>
              <w:t>3、</w:t>
            </w:r>
            <w:r>
              <w:rPr>
                <w:rFonts w:hint="eastAsia" w:eastAsia="仿宋"/>
                <w:lang w:eastAsia="zh-CN"/>
              </w:rPr>
              <w:t>设备应具备供电全链路显示功能：从微模块的总输入到IT机柜的PDU，整个配电拓扑展示、开关状态、能量流图、设备故障状态、支路对应关系、关键信号参数（电压、电流、温度等），提供具备“CNAS”或“CMA”标识的第三方机构出具的检验报告复印件；</w:t>
            </w:r>
          </w:p>
          <w:p w14:paraId="3AF1DC26">
            <w:pPr>
              <w:spacing w:after="93" w:line="240" w:lineRule="auto"/>
              <w:rPr>
                <w:rFonts w:hint="eastAsia" w:eastAsia="仿宋"/>
                <w:lang w:eastAsia="zh-CN"/>
              </w:rPr>
            </w:pPr>
            <w:r>
              <w:rPr>
                <w:rFonts w:hint="eastAsia" w:eastAsia="仿宋"/>
                <w:lang w:eastAsia="zh-CN"/>
              </w:rPr>
              <w:t>▲</w:t>
            </w:r>
            <w:r>
              <w:rPr>
                <w:rFonts w:hint="eastAsia"/>
                <w:lang w:val="en-US" w:eastAsia="zh-CN"/>
              </w:rPr>
              <w:t>4、</w:t>
            </w:r>
            <w:r>
              <w:rPr>
                <w:rFonts w:hint="eastAsia" w:eastAsia="仿宋"/>
                <w:lang w:eastAsia="zh-CN"/>
              </w:rPr>
              <w:t>设备应具备制冷链路显示功能：1）显示整个微模块的温湿度状态、风道示意显示、冷媒流动显示、通道内外温湿度、室外温度、空调进出风温度、机柜温度；2）可以显示空调单机的制冷链路、状态（制冷、制热、加湿、除湿）、关键部件的状态和参数、风道冷媒流动状态。提供具备“CNAS”或“CMA”标识的第三方机构出具的检验报告复印件；</w:t>
            </w:r>
          </w:p>
          <w:p w14:paraId="01EE7D20">
            <w:pPr>
              <w:spacing w:after="93" w:line="240" w:lineRule="auto"/>
              <w:rPr>
                <w:rFonts w:hint="eastAsia" w:eastAsia="仿宋"/>
                <w:lang w:eastAsia="zh-CN"/>
              </w:rPr>
            </w:pPr>
            <w:r>
              <w:rPr>
                <w:rFonts w:hint="eastAsia" w:eastAsia="仿宋"/>
                <w:lang w:eastAsia="zh-CN"/>
              </w:rPr>
              <w:t>▲</w:t>
            </w:r>
            <w:r>
              <w:rPr>
                <w:rFonts w:hint="eastAsia"/>
                <w:lang w:val="en-US" w:eastAsia="zh-CN"/>
              </w:rPr>
              <w:t>5、</w:t>
            </w:r>
            <w:r>
              <w:rPr>
                <w:rFonts w:hint="eastAsia" w:eastAsia="仿宋"/>
                <w:lang w:eastAsia="zh-CN"/>
              </w:rPr>
              <w:t>管理系统通信总线具备容错能力，单点故障应不影响其他设备；管理系统电源总线应具有热备份，具备实现热插拔，在线更换功能，提供具备“CNAS”或“CMA”标识的第三方机构出具的检验报告复印件；</w:t>
            </w:r>
          </w:p>
          <w:p w14:paraId="5AEEFB77">
            <w:pPr>
              <w:spacing w:after="93" w:line="240" w:lineRule="auto"/>
              <w:rPr>
                <w:rFonts w:hint="eastAsia" w:eastAsia="仿宋"/>
                <w:lang w:eastAsia="zh-CN"/>
              </w:rPr>
            </w:pPr>
            <w:r>
              <w:rPr>
                <w:rFonts w:hint="eastAsia"/>
                <w:lang w:val="en-US" w:eastAsia="zh-CN"/>
              </w:rPr>
              <w:t>6、</w:t>
            </w:r>
            <w:r>
              <w:rPr>
                <w:rFonts w:hint="eastAsia" w:eastAsia="仿宋"/>
                <w:lang w:eastAsia="zh-CN"/>
              </w:rPr>
              <w:t>为满足网络安全要求，采集器硬件可以满足网络安全的要求，可以通过行业主流的病毒与漏洞软件的安全扫描，通过智能联网产品网络安全认证；</w:t>
            </w:r>
          </w:p>
          <w:p w14:paraId="052C1F63">
            <w:pPr>
              <w:spacing w:after="93" w:line="240" w:lineRule="auto"/>
              <w:rPr>
                <w:rFonts w:hint="eastAsia" w:eastAsia="仿宋"/>
                <w:lang w:eastAsia="zh-CN"/>
              </w:rPr>
            </w:pPr>
            <w:r>
              <w:rPr>
                <w:rFonts w:hint="eastAsia"/>
                <w:lang w:val="en-US" w:eastAsia="zh-CN"/>
              </w:rPr>
              <w:t>7、</w:t>
            </w:r>
            <w:r>
              <w:rPr>
                <w:rFonts w:hint="eastAsia" w:eastAsia="仿宋"/>
                <w:lang w:eastAsia="zh-CN"/>
              </w:rPr>
              <w:t>移动运维App应实现多种告警通知:短信通知、微信通知、App消息通知:电话语音通知、原厂紧急告警主动通知，提供具备“CNAS”或“CMA”标识的第三方机构出具的检验报告复印件；</w:t>
            </w:r>
          </w:p>
          <w:p w14:paraId="2ECA081C">
            <w:pPr>
              <w:spacing w:after="93" w:line="240" w:lineRule="auto"/>
              <w:rPr>
                <w:rFonts w:hint="eastAsia" w:eastAsia="仿宋"/>
                <w:lang w:eastAsia="zh-CN"/>
              </w:rPr>
            </w:pPr>
            <w:r>
              <w:rPr>
                <w:rFonts w:hint="eastAsia" w:eastAsia="仿宋"/>
                <w:lang w:eastAsia="zh-CN"/>
              </w:rPr>
              <w:t>▲</w:t>
            </w:r>
            <w:r>
              <w:rPr>
                <w:rFonts w:hint="eastAsia"/>
                <w:lang w:val="en-US" w:eastAsia="zh-CN"/>
              </w:rPr>
              <w:t>8、</w:t>
            </w:r>
            <w:r>
              <w:rPr>
                <w:rFonts w:hint="eastAsia" w:eastAsia="仿宋"/>
                <w:lang w:eastAsia="zh-CN"/>
              </w:rPr>
              <w:t>模块外部标配≥</w:t>
            </w:r>
            <w:r>
              <w:rPr>
                <w:rFonts w:hint="eastAsia"/>
                <w:lang w:val="en-US" w:eastAsia="zh-CN"/>
              </w:rPr>
              <w:t>9</w:t>
            </w:r>
            <w:r>
              <w:rPr>
                <w:rFonts w:hint="eastAsia" w:eastAsia="仿宋"/>
                <w:lang w:eastAsia="zh-CN"/>
              </w:rPr>
              <w:t>英寸</w:t>
            </w:r>
            <w:r>
              <w:rPr>
                <w:rFonts w:hint="eastAsia"/>
                <w:lang w:val="en-US" w:eastAsia="zh-CN"/>
              </w:rPr>
              <w:t>平板PAD</w:t>
            </w:r>
            <w:r>
              <w:rPr>
                <w:rFonts w:hint="eastAsia" w:eastAsia="仿宋"/>
                <w:lang w:eastAsia="zh-CN"/>
              </w:rPr>
              <w:t>，实现有线或无线Wifi接入数据机房管理系统，可通过APP可对数据机房设备和环境参数进行实时监测，同时实现人脸识别实现系统登录，提供微模块产品宣传彩页；</w:t>
            </w:r>
          </w:p>
          <w:p w14:paraId="061892E1">
            <w:pPr>
              <w:spacing w:after="93" w:line="240" w:lineRule="auto"/>
              <w:rPr>
                <w:rFonts w:hint="eastAsia" w:eastAsia="仿宋"/>
                <w:lang w:eastAsia="zh-CN"/>
              </w:rPr>
            </w:pPr>
            <w:r>
              <w:rPr>
                <w:rFonts w:hint="eastAsia"/>
                <w:lang w:val="en-US" w:eastAsia="zh-CN"/>
              </w:rPr>
              <w:t>9、</w:t>
            </w:r>
            <w:r>
              <w:rPr>
                <w:rFonts w:hint="eastAsia" w:eastAsia="仿宋"/>
                <w:lang w:eastAsia="zh-CN"/>
              </w:rPr>
              <w:t>微模块控制器硬件要求：高度≤1U，机架式安装，系统内存≥512M，Flash存储≥1GB+64MB存储空间；实现2路WAN接口，2路LAN接口，100Mbps通讯速率；预留4路RS485接口，通讯速率默认9600bps；实现5路AI/DI接口；干接点触点容量20W，最大允许接入电压60V DC，额定电流500mA；实现4G、3G通讯，提供一个SIM卡插槽；</w:t>
            </w:r>
          </w:p>
          <w:p w14:paraId="195EFAFE">
            <w:pPr>
              <w:spacing w:after="93" w:line="240" w:lineRule="auto"/>
              <w:rPr>
                <w:rFonts w:hint="eastAsia" w:eastAsia="仿宋"/>
                <w:lang w:eastAsia="zh-CN"/>
              </w:rPr>
            </w:pPr>
            <w:r>
              <w:rPr>
                <w:rFonts w:hint="eastAsia"/>
                <w:lang w:val="en-US" w:eastAsia="zh-CN"/>
              </w:rPr>
              <w:t>10、</w:t>
            </w:r>
            <w:r>
              <w:rPr>
                <w:rFonts w:hint="eastAsia" w:eastAsia="仿宋"/>
                <w:lang w:eastAsia="zh-CN"/>
              </w:rPr>
              <w:t>为提升监控系统可靠性，智能节点信号传输和传感器供电全部采用POE总线环网方式；</w:t>
            </w:r>
          </w:p>
          <w:p w14:paraId="4D553393">
            <w:pPr>
              <w:spacing w:after="93" w:line="240" w:lineRule="auto"/>
              <w:rPr>
                <w:rFonts w:hint="eastAsia" w:eastAsia="仿宋"/>
                <w:lang w:eastAsia="zh-CN"/>
              </w:rPr>
            </w:pPr>
            <w:r>
              <w:rPr>
                <w:rFonts w:hint="eastAsia"/>
                <w:lang w:val="en-US" w:eastAsia="zh-CN"/>
              </w:rPr>
              <w:t>11、</w:t>
            </w:r>
            <w:r>
              <w:rPr>
                <w:rFonts w:hint="eastAsia" w:eastAsia="仿宋"/>
                <w:lang w:eastAsia="zh-CN"/>
              </w:rPr>
              <w:t>实现通道内烟感或温度告警联动天窗自动掉电打开；</w:t>
            </w:r>
          </w:p>
          <w:p w14:paraId="1DA9D6DE">
            <w:pPr>
              <w:spacing w:after="93" w:line="240" w:lineRule="auto"/>
              <w:rPr>
                <w:rFonts w:hint="eastAsia" w:eastAsia="仿宋"/>
                <w:lang w:eastAsia="zh-CN"/>
              </w:rPr>
            </w:pPr>
            <w:r>
              <w:rPr>
                <w:rFonts w:hint="eastAsia"/>
                <w:lang w:val="en-US" w:eastAsia="zh-CN"/>
              </w:rPr>
              <w:t>12、</w:t>
            </w:r>
            <w:r>
              <w:rPr>
                <w:rFonts w:hint="eastAsia" w:eastAsia="仿宋"/>
                <w:lang w:eastAsia="zh-CN"/>
              </w:rPr>
              <w:t>实现烟感告警联动局部精密空调自动关机，避免空调送风导致火势增大；</w:t>
            </w:r>
          </w:p>
          <w:p w14:paraId="1D0CED06">
            <w:pPr>
              <w:spacing w:after="93" w:line="240" w:lineRule="auto"/>
              <w:rPr>
                <w:rFonts w:hint="eastAsia" w:eastAsia="仿宋"/>
                <w:lang w:eastAsia="zh-CN"/>
              </w:rPr>
            </w:pPr>
            <w:r>
              <w:rPr>
                <w:rFonts w:hint="eastAsia"/>
                <w:lang w:val="en-US" w:eastAsia="zh-CN"/>
              </w:rPr>
              <w:t>13、</w:t>
            </w:r>
            <w:r>
              <w:rPr>
                <w:rFonts w:hint="eastAsia" w:eastAsia="仿宋"/>
                <w:lang w:eastAsia="zh-CN"/>
              </w:rPr>
              <w:t>实现手工配置微模块内部各监测系统联动策略。</w:t>
            </w:r>
          </w:p>
          <w:p w14:paraId="0FD476DD">
            <w:pPr>
              <w:spacing w:after="93" w:line="240" w:lineRule="auto"/>
              <w:rPr>
                <w:rFonts w:hint="eastAsia" w:eastAsia="仿宋"/>
                <w:lang w:eastAsia="zh-CN"/>
              </w:rPr>
            </w:pPr>
          </w:p>
          <w:p w14:paraId="0D5F548D">
            <w:pPr>
              <w:spacing w:after="93" w:line="240" w:lineRule="auto"/>
              <w:rPr>
                <w:rFonts w:hint="eastAsia" w:eastAsia="仿宋"/>
                <w:lang w:eastAsia="zh-CN"/>
              </w:rPr>
            </w:pPr>
          </w:p>
        </w:tc>
        <w:tc>
          <w:tcPr>
            <w:tcW w:w="421" w:type="dxa"/>
            <w:shd w:val="clear" w:color="auto" w:fill="auto"/>
            <w:vAlign w:val="center"/>
          </w:tcPr>
          <w:p w14:paraId="30C2E419">
            <w:pPr>
              <w:spacing w:before="120" w:after="93" w:line="240" w:lineRule="auto"/>
              <w:jc w:val="center"/>
            </w:pPr>
            <w:r>
              <w:rPr>
                <w:rFonts w:hint="eastAsia"/>
              </w:rPr>
              <w:t>套</w:t>
            </w:r>
          </w:p>
        </w:tc>
        <w:tc>
          <w:tcPr>
            <w:tcW w:w="728" w:type="dxa"/>
            <w:shd w:val="clear" w:color="auto" w:fill="auto"/>
            <w:vAlign w:val="center"/>
          </w:tcPr>
          <w:p w14:paraId="44248513">
            <w:pPr>
              <w:spacing w:before="120" w:after="93" w:line="240" w:lineRule="auto"/>
              <w:jc w:val="center"/>
              <w:rPr>
                <w:rFonts w:hint="eastAsia" w:eastAsia="仿宋"/>
                <w:lang w:eastAsia="zh-CN"/>
              </w:rPr>
            </w:pPr>
            <w:r>
              <w:rPr>
                <w:rFonts w:hint="eastAsia"/>
                <w:lang w:val="en-US" w:eastAsia="zh-CN"/>
              </w:rPr>
              <w:t>1</w:t>
            </w:r>
          </w:p>
        </w:tc>
      </w:tr>
      <w:tr w14:paraId="5C91044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95" w:hRule="atLeast"/>
          <w:jc w:val="center"/>
        </w:trPr>
        <w:tc>
          <w:tcPr>
            <w:tcW w:w="713" w:type="dxa"/>
            <w:vMerge w:val="restart"/>
            <w:shd w:val="clear" w:color="auto" w:fill="auto"/>
            <w:vAlign w:val="center"/>
          </w:tcPr>
          <w:p w14:paraId="391266CA">
            <w:pPr>
              <w:spacing w:before="120" w:after="93" w:line="240" w:lineRule="auto"/>
              <w:jc w:val="center"/>
              <w:rPr>
                <w:rFonts w:hint="eastAsia" w:eastAsia="仿宋"/>
                <w:color w:val="auto"/>
                <w:highlight w:val="none"/>
                <w:lang w:val="en-US" w:eastAsia="zh-CN"/>
              </w:rPr>
            </w:pPr>
            <w:r>
              <w:rPr>
                <w:rFonts w:hint="eastAsia"/>
                <w:color w:val="auto"/>
                <w:highlight w:val="none"/>
                <w:lang w:val="en-US" w:eastAsia="zh-CN"/>
              </w:rPr>
              <w:t>2</w:t>
            </w:r>
          </w:p>
        </w:tc>
        <w:tc>
          <w:tcPr>
            <w:tcW w:w="1533" w:type="dxa"/>
            <w:vMerge w:val="restart"/>
            <w:vAlign w:val="center"/>
          </w:tcPr>
          <w:p w14:paraId="11940814">
            <w:pPr>
              <w:spacing w:before="120" w:after="93" w:line="240" w:lineRule="auto"/>
              <w:rPr>
                <w:rFonts w:hint="default" w:eastAsia="仿宋"/>
                <w:iCs/>
                <w:color w:val="auto"/>
                <w:highlight w:val="none"/>
                <w:lang w:val="en-US" w:eastAsia="zh-CN"/>
              </w:rPr>
            </w:pPr>
            <w:r>
              <w:rPr>
                <w:rFonts w:hint="eastAsia" w:ascii="国标仿宋" w:hAnsi="国标仿宋" w:eastAsia="国标仿宋" w:cs="国标仿宋"/>
                <w:sz w:val="28"/>
                <w:szCs w:val="28"/>
                <w:highlight w:val="none"/>
                <w:lang w:val="en-US" w:eastAsia="zh-CN"/>
              </w:rPr>
              <w:t>★</w:t>
            </w:r>
            <w:r>
              <w:rPr>
                <w:rFonts w:hint="eastAsia"/>
                <w:iCs/>
                <w:color w:val="auto"/>
                <w:highlight w:val="none"/>
                <w:lang w:val="en-US" w:eastAsia="zh-CN"/>
              </w:rPr>
              <w:t>消防器材补充</w:t>
            </w:r>
          </w:p>
        </w:tc>
        <w:tc>
          <w:tcPr>
            <w:tcW w:w="6093" w:type="dxa"/>
            <w:shd w:val="clear" w:color="auto" w:fill="auto"/>
            <w:vAlign w:val="center"/>
          </w:tcPr>
          <w:p w14:paraId="3AEAAB7C">
            <w:pPr>
              <w:spacing w:after="93" w:line="240" w:lineRule="auto"/>
              <w:rPr>
                <w:color w:val="auto"/>
                <w:highlight w:val="none"/>
              </w:rPr>
            </w:pPr>
            <w:r>
              <w:rPr>
                <w:rFonts w:hint="eastAsia"/>
                <w:color w:val="auto"/>
                <w:highlight w:val="none"/>
              </w:rPr>
              <w:t>柜式七氟丙烷气体灭火装置：QMP120/2.5WF</w:t>
            </w:r>
          </w:p>
        </w:tc>
        <w:tc>
          <w:tcPr>
            <w:tcW w:w="421" w:type="dxa"/>
            <w:shd w:val="clear" w:color="auto" w:fill="auto"/>
            <w:vAlign w:val="center"/>
          </w:tcPr>
          <w:p w14:paraId="3C9CD5C3">
            <w:pPr>
              <w:spacing w:before="120" w:after="93" w:line="240" w:lineRule="auto"/>
              <w:jc w:val="center"/>
              <w:rPr>
                <w:color w:val="auto"/>
                <w:highlight w:val="none"/>
              </w:rPr>
            </w:pPr>
            <w:r>
              <w:rPr>
                <w:rFonts w:hint="eastAsia"/>
                <w:color w:val="auto"/>
                <w:highlight w:val="none"/>
              </w:rPr>
              <w:t>组</w:t>
            </w:r>
          </w:p>
        </w:tc>
        <w:tc>
          <w:tcPr>
            <w:tcW w:w="728" w:type="dxa"/>
            <w:shd w:val="clear" w:color="auto" w:fill="auto"/>
            <w:vAlign w:val="center"/>
          </w:tcPr>
          <w:p w14:paraId="21D4C075">
            <w:pPr>
              <w:spacing w:before="120" w:after="93" w:line="240" w:lineRule="auto"/>
              <w:jc w:val="center"/>
              <w:rPr>
                <w:rFonts w:hint="eastAsia" w:eastAsia="仿宋"/>
                <w:color w:val="auto"/>
                <w:highlight w:val="none"/>
                <w:lang w:eastAsia="zh-CN"/>
              </w:rPr>
            </w:pPr>
            <w:r>
              <w:rPr>
                <w:rFonts w:hint="eastAsia"/>
                <w:color w:val="auto"/>
                <w:highlight w:val="none"/>
                <w:lang w:val="en-US" w:eastAsia="zh-CN"/>
              </w:rPr>
              <w:t>1</w:t>
            </w:r>
          </w:p>
        </w:tc>
      </w:tr>
      <w:tr w14:paraId="52094EE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95" w:hRule="atLeast"/>
          <w:jc w:val="center"/>
        </w:trPr>
        <w:tc>
          <w:tcPr>
            <w:tcW w:w="713" w:type="dxa"/>
            <w:vMerge w:val="continue"/>
            <w:shd w:val="clear" w:color="auto" w:fill="auto"/>
            <w:vAlign w:val="center"/>
          </w:tcPr>
          <w:p w14:paraId="6F364E1D">
            <w:pPr>
              <w:spacing w:before="120" w:after="93" w:line="240" w:lineRule="auto"/>
              <w:jc w:val="center"/>
              <w:rPr>
                <w:color w:val="auto"/>
                <w:highlight w:val="none"/>
              </w:rPr>
            </w:pPr>
          </w:p>
        </w:tc>
        <w:tc>
          <w:tcPr>
            <w:tcW w:w="1533" w:type="dxa"/>
            <w:vMerge w:val="continue"/>
            <w:vAlign w:val="center"/>
          </w:tcPr>
          <w:p w14:paraId="0A6FA357">
            <w:pPr>
              <w:spacing w:before="120" w:after="93" w:line="240" w:lineRule="auto"/>
              <w:rPr>
                <w:iCs/>
                <w:color w:val="auto"/>
                <w:highlight w:val="none"/>
              </w:rPr>
            </w:pPr>
          </w:p>
        </w:tc>
        <w:tc>
          <w:tcPr>
            <w:tcW w:w="6093" w:type="dxa"/>
            <w:shd w:val="clear" w:color="auto" w:fill="auto"/>
            <w:vAlign w:val="center"/>
          </w:tcPr>
          <w:p w14:paraId="10FFAED7">
            <w:pPr>
              <w:spacing w:after="93" w:line="240" w:lineRule="auto"/>
              <w:rPr>
                <w:rFonts w:hint="eastAsia"/>
                <w:color w:val="auto"/>
                <w:highlight w:val="none"/>
              </w:rPr>
            </w:pPr>
            <w:r>
              <w:rPr>
                <w:rFonts w:hint="eastAsia"/>
                <w:color w:val="auto"/>
                <w:highlight w:val="none"/>
              </w:rPr>
              <w:t>化学名称：七氟丙烷</w:t>
            </w:r>
          </w:p>
          <w:p w14:paraId="56358AFA">
            <w:pPr>
              <w:spacing w:after="93" w:line="240" w:lineRule="auto"/>
              <w:rPr>
                <w:color w:val="auto"/>
                <w:highlight w:val="none"/>
              </w:rPr>
            </w:pPr>
            <w:r>
              <w:rPr>
                <w:rFonts w:hint="eastAsia"/>
                <w:color w:val="auto"/>
                <w:highlight w:val="none"/>
              </w:rPr>
              <w:t>纯度99.6%</w:t>
            </w:r>
            <w:r>
              <w:rPr>
                <w:rFonts w:hint="eastAsia"/>
                <w:color w:val="auto"/>
                <w:highlight w:val="none"/>
                <w:lang w:eastAsia="zh-CN"/>
              </w:rPr>
              <w:t>，</w:t>
            </w:r>
            <w:r>
              <w:rPr>
                <w:rFonts w:hint="eastAsia"/>
                <w:color w:val="auto"/>
                <w:highlight w:val="none"/>
              </w:rPr>
              <w:t>酸度≤3ppm，水含量≤10ppm，不挥发残留物≤0.01%</w:t>
            </w:r>
            <w:r>
              <w:rPr>
                <w:rFonts w:hint="eastAsia"/>
                <w:color w:val="auto"/>
                <w:highlight w:val="none"/>
                <w:lang w:eastAsia="zh-CN"/>
              </w:rPr>
              <w:t>，</w:t>
            </w:r>
            <w:r>
              <w:rPr>
                <w:rFonts w:hint="eastAsia"/>
                <w:color w:val="auto"/>
                <w:highlight w:val="none"/>
              </w:rPr>
              <w:t>绝缘不导电、不破坏大气臭氧层、属于洁净型气体</w:t>
            </w:r>
            <w:r>
              <w:rPr>
                <w:rFonts w:hint="eastAsia"/>
                <w:color w:val="auto"/>
                <w:highlight w:val="none"/>
                <w:lang w:eastAsia="zh-CN"/>
              </w:rPr>
              <w:t>。</w:t>
            </w:r>
          </w:p>
        </w:tc>
        <w:tc>
          <w:tcPr>
            <w:tcW w:w="421" w:type="dxa"/>
            <w:shd w:val="clear" w:color="auto" w:fill="auto"/>
            <w:vAlign w:val="center"/>
          </w:tcPr>
          <w:p w14:paraId="1D1895B8">
            <w:pPr>
              <w:spacing w:before="120" w:after="93" w:line="240" w:lineRule="auto"/>
              <w:jc w:val="center"/>
              <w:rPr>
                <w:color w:val="auto"/>
                <w:highlight w:val="none"/>
              </w:rPr>
            </w:pPr>
            <w:r>
              <w:rPr>
                <w:rFonts w:hint="eastAsia"/>
                <w:color w:val="auto"/>
                <w:highlight w:val="none"/>
              </w:rPr>
              <w:t>公斤</w:t>
            </w:r>
          </w:p>
        </w:tc>
        <w:tc>
          <w:tcPr>
            <w:tcW w:w="728" w:type="dxa"/>
            <w:shd w:val="clear" w:color="auto" w:fill="auto"/>
            <w:vAlign w:val="center"/>
          </w:tcPr>
          <w:p w14:paraId="3E0093FF">
            <w:pPr>
              <w:spacing w:before="120" w:after="93" w:line="240" w:lineRule="auto"/>
              <w:jc w:val="center"/>
              <w:rPr>
                <w:rFonts w:hint="default" w:eastAsia="仿宋"/>
                <w:color w:val="auto"/>
                <w:highlight w:val="none"/>
                <w:lang w:val="en-US" w:eastAsia="zh-CN"/>
              </w:rPr>
            </w:pPr>
            <w:r>
              <w:rPr>
                <w:rFonts w:hint="eastAsia"/>
                <w:color w:val="auto"/>
                <w:highlight w:val="none"/>
                <w:lang w:val="en-US" w:eastAsia="zh-CN"/>
              </w:rPr>
              <w:t>120</w:t>
            </w:r>
          </w:p>
        </w:tc>
      </w:tr>
      <w:tr w14:paraId="0536A9E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95" w:hRule="atLeast"/>
          <w:jc w:val="center"/>
        </w:trPr>
        <w:tc>
          <w:tcPr>
            <w:tcW w:w="713" w:type="dxa"/>
            <w:vMerge w:val="continue"/>
            <w:shd w:val="clear" w:color="auto" w:fill="auto"/>
            <w:vAlign w:val="center"/>
          </w:tcPr>
          <w:p w14:paraId="45F5D7D4">
            <w:pPr>
              <w:spacing w:before="120" w:after="93" w:line="240" w:lineRule="auto"/>
              <w:jc w:val="center"/>
              <w:rPr>
                <w:color w:val="auto"/>
                <w:highlight w:val="none"/>
              </w:rPr>
            </w:pPr>
          </w:p>
        </w:tc>
        <w:tc>
          <w:tcPr>
            <w:tcW w:w="1533" w:type="dxa"/>
            <w:vMerge w:val="continue"/>
            <w:vAlign w:val="center"/>
          </w:tcPr>
          <w:p w14:paraId="3CDF26AA">
            <w:pPr>
              <w:spacing w:before="120" w:after="93" w:line="240" w:lineRule="auto"/>
              <w:rPr>
                <w:iCs/>
                <w:color w:val="auto"/>
                <w:highlight w:val="none"/>
              </w:rPr>
            </w:pPr>
          </w:p>
        </w:tc>
        <w:tc>
          <w:tcPr>
            <w:tcW w:w="6093" w:type="dxa"/>
            <w:shd w:val="clear" w:color="auto" w:fill="auto"/>
            <w:vAlign w:val="center"/>
          </w:tcPr>
          <w:p w14:paraId="039A82CB">
            <w:pPr>
              <w:spacing w:after="93" w:line="240" w:lineRule="auto"/>
              <w:rPr>
                <w:color w:val="auto"/>
                <w:highlight w:val="none"/>
              </w:rPr>
            </w:pPr>
            <w:r>
              <w:rPr>
                <w:rFonts w:hint="eastAsia"/>
                <w:color w:val="auto"/>
                <w:highlight w:val="none"/>
              </w:rPr>
              <w:t>烟感：</w:t>
            </w:r>
            <w:r>
              <w:rPr>
                <w:rFonts w:hint="eastAsia"/>
                <w:color w:val="auto"/>
                <w:highlight w:val="none"/>
                <w:lang w:val="en-US" w:eastAsia="zh-CN"/>
              </w:rPr>
              <w:t>接入已有系统，沿用既有品牌型号三江JTY-GD-930</w:t>
            </w:r>
          </w:p>
        </w:tc>
        <w:tc>
          <w:tcPr>
            <w:tcW w:w="421" w:type="dxa"/>
            <w:shd w:val="clear" w:color="auto" w:fill="auto"/>
            <w:vAlign w:val="center"/>
          </w:tcPr>
          <w:p w14:paraId="7F69380B">
            <w:pPr>
              <w:spacing w:before="120" w:after="93" w:line="240" w:lineRule="auto"/>
              <w:jc w:val="center"/>
              <w:rPr>
                <w:color w:val="auto"/>
                <w:highlight w:val="none"/>
              </w:rPr>
            </w:pPr>
            <w:r>
              <w:rPr>
                <w:rFonts w:hint="eastAsia"/>
                <w:color w:val="auto"/>
                <w:highlight w:val="none"/>
              </w:rPr>
              <w:t>个</w:t>
            </w:r>
          </w:p>
        </w:tc>
        <w:tc>
          <w:tcPr>
            <w:tcW w:w="728" w:type="dxa"/>
            <w:shd w:val="clear" w:color="auto" w:fill="auto"/>
            <w:vAlign w:val="center"/>
          </w:tcPr>
          <w:p w14:paraId="056F79EC">
            <w:pPr>
              <w:spacing w:before="120" w:after="93" w:line="240" w:lineRule="auto"/>
              <w:jc w:val="center"/>
              <w:rPr>
                <w:rFonts w:hint="eastAsia" w:eastAsia="仿宋"/>
                <w:color w:val="auto"/>
                <w:highlight w:val="none"/>
                <w:lang w:eastAsia="zh-CN"/>
              </w:rPr>
            </w:pPr>
            <w:r>
              <w:rPr>
                <w:rFonts w:hint="eastAsia"/>
                <w:color w:val="auto"/>
                <w:highlight w:val="none"/>
                <w:lang w:val="en-US" w:eastAsia="zh-CN"/>
              </w:rPr>
              <w:t>2</w:t>
            </w:r>
          </w:p>
        </w:tc>
      </w:tr>
      <w:tr w14:paraId="0792557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95" w:hRule="atLeast"/>
          <w:jc w:val="center"/>
        </w:trPr>
        <w:tc>
          <w:tcPr>
            <w:tcW w:w="713" w:type="dxa"/>
            <w:vMerge w:val="continue"/>
            <w:shd w:val="clear" w:color="auto" w:fill="auto"/>
            <w:vAlign w:val="center"/>
          </w:tcPr>
          <w:p w14:paraId="0ED2BAF0">
            <w:pPr>
              <w:spacing w:before="120" w:after="93" w:line="240" w:lineRule="auto"/>
              <w:jc w:val="center"/>
              <w:rPr>
                <w:color w:val="auto"/>
                <w:highlight w:val="none"/>
              </w:rPr>
            </w:pPr>
          </w:p>
        </w:tc>
        <w:tc>
          <w:tcPr>
            <w:tcW w:w="1533" w:type="dxa"/>
            <w:vMerge w:val="continue"/>
            <w:vAlign w:val="center"/>
          </w:tcPr>
          <w:p w14:paraId="28D68FFC">
            <w:pPr>
              <w:spacing w:before="120" w:after="93" w:line="240" w:lineRule="auto"/>
              <w:rPr>
                <w:iCs/>
                <w:color w:val="auto"/>
                <w:highlight w:val="none"/>
              </w:rPr>
            </w:pPr>
          </w:p>
        </w:tc>
        <w:tc>
          <w:tcPr>
            <w:tcW w:w="6093" w:type="dxa"/>
            <w:shd w:val="clear" w:color="auto" w:fill="auto"/>
            <w:vAlign w:val="center"/>
          </w:tcPr>
          <w:p w14:paraId="5274C87F">
            <w:pPr>
              <w:spacing w:after="93" w:line="240" w:lineRule="auto"/>
              <w:rPr>
                <w:color w:val="auto"/>
                <w:highlight w:val="none"/>
              </w:rPr>
            </w:pPr>
            <w:r>
              <w:rPr>
                <w:rFonts w:hint="eastAsia"/>
                <w:color w:val="auto"/>
                <w:highlight w:val="none"/>
                <w:lang w:val="en-US" w:eastAsia="zh-CN"/>
              </w:rPr>
              <w:t>温感：接入已有系统，沿用既有品牌型号三江JTW-ZD-920</w:t>
            </w:r>
          </w:p>
        </w:tc>
        <w:tc>
          <w:tcPr>
            <w:tcW w:w="421" w:type="dxa"/>
            <w:shd w:val="clear" w:color="auto" w:fill="auto"/>
            <w:vAlign w:val="center"/>
          </w:tcPr>
          <w:p w14:paraId="693514AF">
            <w:pPr>
              <w:spacing w:before="120" w:after="93" w:line="240" w:lineRule="auto"/>
              <w:jc w:val="center"/>
              <w:rPr>
                <w:color w:val="auto"/>
                <w:highlight w:val="none"/>
              </w:rPr>
            </w:pPr>
            <w:r>
              <w:rPr>
                <w:rFonts w:hint="eastAsia"/>
                <w:color w:val="auto"/>
                <w:highlight w:val="none"/>
              </w:rPr>
              <w:t>个</w:t>
            </w:r>
          </w:p>
        </w:tc>
        <w:tc>
          <w:tcPr>
            <w:tcW w:w="728" w:type="dxa"/>
            <w:shd w:val="clear" w:color="auto" w:fill="auto"/>
            <w:vAlign w:val="center"/>
          </w:tcPr>
          <w:p w14:paraId="1B0BEFE3">
            <w:pPr>
              <w:spacing w:before="120" w:after="93" w:line="240" w:lineRule="auto"/>
              <w:jc w:val="center"/>
              <w:rPr>
                <w:rFonts w:hint="eastAsia" w:eastAsia="仿宋"/>
                <w:color w:val="auto"/>
                <w:highlight w:val="none"/>
                <w:lang w:eastAsia="zh-CN"/>
              </w:rPr>
            </w:pPr>
            <w:r>
              <w:rPr>
                <w:rFonts w:hint="eastAsia"/>
                <w:color w:val="auto"/>
                <w:highlight w:val="none"/>
                <w:lang w:val="en-US" w:eastAsia="zh-CN"/>
              </w:rPr>
              <w:t>1</w:t>
            </w:r>
          </w:p>
        </w:tc>
      </w:tr>
      <w:tr w14:paraId="3B29C02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95" w:hRule="atLeast"/>
          <w:jc w:val="center"/>
        </w:trPr>
        <w:tc>
          <w:tcPr>
            <w:tcW w:w="713" w:type="dxa"/>
            <w:vMerge w:val="continue"/>
            <w:shd w:val="clear" w:color="auto" w:fill="auto"/>
            <w:vAlign w:val="center"/>
          </w:tcPr>
          <w:p w14:paraId="09500DC0">
            <w:pPr>
              <w:spacing w:before="120" w:after="93" w:line="240" w:lineRule="auto"/>
              <w:jc w:val="center"/>
              <w:rPr>
                <w:color w:val="auto"/>
                <w:highlight w:val="none"/>
              </w:rPr>
            </w:pPr>
          </w:p>
        </w:tc>
        <w:tc>
          <w:tcPr>
            <w:tcW w:w="1533" w:type="dxa"/>
            <w:vMerge w:val="continue"/>
            <w:vAlign w:val="center"/>
          </w:tcPr>
          <w:p w14:paraId="0C3BB6FC">
            <w:pPr>
              <w:spacing w:before="120" w:after="93" w:line="240" w:lineRule="auto"/>
              <w:rPr>
                <w:iCs/>
                <w:color w:val="auto"/>
                <w:highlight w:val="none"/>
              </w:rPr>
            </w:pPr>
          </w:p>
        </w:tc>
        <w:tc>
          <w:tcPr>
            <w:tcW w:w="6093" w:type="dxa"/>
            <w:shd w:val="clear" w:color="auto" w:fill="auto"/>
            <w:vAlign w:val="center"/>
          </w:tcPr>
          <w:p w14:paraId="53540E58">
            <w:pPr>
              <w:spacing w:after="93" w:line="240" w:lineRule="auto"/>
              <w:rPr>
                <w:rFonts w:hint="eastAsia"/>
                <w:color w:val="auto"/>
                <w:highlight w:val="none"/>
                <w:lang w:val="en-US" w:eastAsia="zh-CN"/>
              </w:rPr>
            </w:pPr>
            <w:r>
              <w:rPr>
                <w:rFonts w:hint="eastAsia"/>
                <w:color w:val="auto"/>
                <w:highlight w:val="none"/>
                <w:lang w:val="en-US" w:eastAsia="zh-CN"/>
              </w:rPr>
              <w:t>消防扩充实施</w:t>
            </w:r>
          </w:p>
          <w:p w14:paraId="14D09710">
            <w:pPr>
              <w:spacing w:after="93" w:line="240" w:lineRule="auto"/>
              <w:rPr>
                <w:rFonts w:hint="default"/>
                <w:color w:val="auto"/>
                <w:highlight w:val="none"/>
                <w:lang w:val="en-US" w:eastAsia="zh-CN"/>
              </w:rPr>
            </w:pPr>
            <w:r>
              <w:rPr>
                <w:rFonts w:hint="eastAsia"/>
                <w:color w:val="auto"/>
                <w:highlight w:val="none"/>
                <w:lang w:val="en-US" w:eastAsia="zh-CN"/>
              </w:rPr>
              <w:t>1.</w:t>
            </w:r>
            <w:r>
              <w:rPr>
                <w:rFonts w:hint="default"/>
                <w:color w:val="auto"/>
                <w:highlight w:val="none"/>
                <w:lang w:val="en-US" w:eastAsia="zh-CN"/>
              </w:rPr>
              <w:t>电源线、信号线及线管等</w:t>
            </w:r>
            <w:r>
              <w:rPr>
                <w:rFonts w:hint="eastAsia"/>
                <w:color w:val="auto"/>
                <w:highlight w:val="none"/>
                <w:lang w:val="en-US" w:eastAsia="zh-CN"/>
              </w:rPr>
              <w:t>辅材。</w:t>
            </w:r>
          </w:p>
          <w:p w14:paraId="03CA7EA0">
            <w:pPr>
              <w:spacing w:after="93" w:line="240" w:lineRule="auto"/>
              <w:rPr>
                <w:rFonts w:hint="default"/>
                <w:color w:val="auto"/>
                <w:highlight w:val="none"/>
                <w:lang w:val="en-US" w:eastAsia="zh-CN"/>
              </w:rPr>
            </w:pPr>
            <w:r>
              <w:rPr>
                <w:rFonts w:hint="eastAsia"/>
                <w:color w:val="auto"/>
                <w:highlight w:val="none"/>
                <w:lang w:val="en-US" w:eastAsia="zh-CN"/>
              </w:rPr>
              <w:t>2.</w:t>
            </w:r>
            <w:r>
              <w:rPr>
                <w:rFonts w:hint="default"/>
                <w:color w:val="auto"/>
                <w:highlight w:val="none"/>
                <w:lang w:val="en-US" w:eastAsia="zh-CN"/>
              </w:rPr>
              <w:t>机房内</w:t>
            </w:r>
            <w:r>
              <w:rPr>
                <w:rFonts w:hint="eastAsia"/>
                <w:color w:val="auto"/>
                <w:highlight w:val="none"/>
                <w:lang w:val="en-US" w:eastAsia="zh-CN"/>
              </w:rPr>
              <w:t>原有</w:t>
            </w:r>
            <w:r>
              <w:rPr>
                <w:rFonts w:hint="default"/>
                <w:color w:val="auto"/>
                <w:highlight w:val="none"/>
                <w:lang w:val="en-US" w:eastAsia="zh-CN"/>
              </w:rPr>
              <w:t>消防设施</w:t>
            </w:r>
            <w:r>
              <w:rPr>
                <w:rFonts w:hint="eastAsia"/>
                <w:color w:val="auto"/>
                <w:highlight w:val="none"/>
                <w:lang w:val="en-US" w:eastAsia="zh-CN"/>
              </w:rPr>
              <w:t>（放气指示灯、紧急启动按钮、声光报警器、气体主机、排烟窗控制主机等）迁移</w:t>
            </w:r>
            <w:r>
              <w:rPr>
                <w:rFonts w:hint="default"/>
                <w:color w:val="auto"/>
                <w:highlight w:val="none"/>
                <w:lang w:val="en-US" w:eastAsia="zh-CN"/>
              </w:rPr>
              <w:t>安装及调试</w:t>
            </w:r>
            <w:r>
              <w:rPr>
                <w:rFonts w:hint="eastAsia"/>
                <w:color w:val="auto"/>
                <w:highlight w:val="none"/>
                <w:lang w:val="en-US" w:eastAsia="zh-CN"/>
              </w:rPr>
              <w:t>。</w:t>
            </w:r>
          </w:p>
        </w:tc>
        <w:tc>
          <w:tcPr>
            <w:tcW w:w="421" w:type="dxa"/>
            <w:shd w:val="clear" w:color="auto" w:fill="auto"/>
            <w:vAlign w:val="center"/>
          </w:tcPr>
          <w:p w14:paraId="0117B143">
            <w:pPr>
              <w:spacing w:before="120" w:after="93" w:line="240" w:lineRule="auto"/>
              <w:jc w:val="center"/>
              <w:rPr>
                <w:rFonts w:hint="default" w:eastAsia="仿宋"/>
                <w:color w:val="auto"/>
                <w:highlight w:val="none"/>
                <w:lang w:val="en-US" w:eastAsia="zh-CN"/>
              </w:rPr>
            </w:pPr>
            <w:r>
              <w:rPr>
                <w:rFonts w:hint="eastAsia"/>
                <w:color w:val="auto"/>
                <w:highlight w:val="none"/>
                <w:lang w:val="en-US" w:eastAsia="zh-CN"/>
              </w:rPr>
              <w:t>套</w:t>
            </w:r>
          </w:p>
        </w:tc>
        <w:tc>
          <w:tcPr>
            <w:tcW w:w="728" w:type="dxa"/>
            <w:shd w:val="clear" w:color="auto" w:fill="auto"/>
            <w:vAlign w:val="center"/>
          </w:tcPr>
          <w:p w14:paraId="3E0482EC">
            <w:pPr>
              <w:spacing w:before="120" w:after="93" w:line="240" w:lineRule="auto"/>
              <w:jc w:val="center"/>
              <w:rPr>
                <w:rFonts w:hint="default"/>
                <w:color w:val="auto"/>
                <w:highlight w:val="none"/>
                <w:lang w:val="en-US" w:eastAsia="zh-CN"/>
              </w:rPr>
            </w:pPr>
            <w:r>
              <w:rPr>
                <w:rFonts w:hint="eastAsia"/>
                <w:color w:val="auto"/>
                <w:highlight w:val="none"/>
                <w:lang w:val="en-US" w:eastAsia="zh-CN"/>
              </w:rPr>
              <w:t>1</w:t>
            </w:r>
          </w:p>
        </w:tc>
      </w:tr>
      <w:tr w14:paraId="2AA82E9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95" w:hRule="atLeast"/>
          <w:jc w:val="center"/>
        </w:trPr>
        <w:tc>
          <w:tcPr>
            <w:tcW w:w="713" w:type="dxa"/>
            <w:vMerge w:val="restart"/>
            <w:shd w:val="clear" w:color="auto" w:fill="auto"/>
            <w:vAlign w:val="center"/>
          </w:tcPr>
          <w:p w14:paraId="72F772B7">
            <w:pPr>
              <w:spacing w:before="120" w:after="93" w:line="240" w:lineRule="auto"/>
              <w:jc w:val="center"/>
              <w:rPr>
                <w:rFonts w:hint="eastAsia" w:eastAsia="仿宋"/>
                <w:lang w:val="en-US" w:eastAsia="zh-CN"/>
              </w:rPr>
            </w:pPr>
            <w:r>
              <w:rPr>
                <w:rFonts w:hint="eastAsia"/>
                <w:lang w:val="en-US" w:eastAsia="zh-CN"/>
              </w:rPr>
              <w:t>3</w:t>
            </w:r>
          </w:p>
        </w:tc>
        <w:tc>
          <w:tcPr>
            <w:tcW w:w="1533" w:type="dxa"/>
            <w:vMerge w:val="restart"/>
            <w:vAlign w:val="center"/>
          </w:tcPr>
          <w:p w14:paraId="07BC9DB0">
            <w:pPr>
              <w:spacing w:before="120" w:after="93" w:line="240" w:lineRule="auto"/>
              <w:rPr>
                <w:rFonts w:hint="eastAsia" w:eastAsia="仿宋"/>
                <w:iCs/>
                <w:lang w:val="en-US" w:eastAsia="zh-CN"/>
              </w:rPr>
            </w:pPr>
            <w:r>
              <w:rPr>
                <w:rFonts w:hint="eastAsia" w:ascii="国标仿宋" w:hAnsi="国标仿宋" w:eastAsia="国标仿宋" w:cs="国标仿宋"/>
                <w:sz w:val="28"/>
                <w:szCs w:val="28"/>
                <w:highlight w:val="none"/>
                <w:lang w:val="en-US" w:eastAsia="zh-CN"/>
              </w:rPr>
              <w:t>★</w:t>
            </w:r>
            <w:r>
              <w:rPr>
                <w:rFonts w:hint="eastAsia"/>
                <w:iCs/>
              </w:rPr>
              <w:t>防雷接地</w:t>
            </w:r>
            <w:r>
              <w:rPr>
                <w:rFonts w:hint="eastAsia"/>
                <w:iCs/>
                <w:lang w:val="en-US" w:eastAsia="zh-CN"/>
              </w:rPr>
              <w:t>设备</w:t>
            </w:r>
          </w:p>
        </w:tc>
        <w:tc>
          <w:tcPr>
            <w:tcW w:w="6093" w:type="dxa"/>
            <w:shd w:val="clear" w:color="auto" w:fill="auto"/>
            <w:vAlign w:val="center"/>
          </w:tcPr>
          <w:p w14:paraId="274018B5">
            <w:pPr>
              <w:spacing w:after="93" w:line="240" w:lineRule="auto"/>
            </w:pPr>
            <w:r>
              <w:rPr>
                <w:rFonts w:hint="eastAsia"/>
              </w:rPr>
              <w:t>等电位接地铜排</w:t>
            </w:r>
          </w:p>
          <w:p w14:paraId="1BC34DBE">
            <w:pPr>
              <w:spacing w:after="93" w:line="240" w:lineRule="auto"/>
            </w:pPr>
            <w:r>
              <w:rPr>
                <w:rFonts w:hint="eastAsia"/>
              </w:rPr>
              <w:t>1.30×3mm 紫铜排</w:t>
            </w:r>
          </w:p>
        </w:tc>
        <w:tc>
          <w:tcPr>
            <w:tcW w:w="421" w:type="dxa"/>
            <w:shd w:val="clear" w:color="auto" w:fill="auto"/>
            <w:vAlign w:val="center"/>
          </w:tcPr>
          <w:p w14:paraId="4C26386F">
            <w:pPr>
              <w:spacing w:before="120" w:after="93" w:line="240" w:lineRule="auto"/>
              <w:jc w:val="center"/>
            </w:pPr>
            <w:r>
              <w:rPr>
                <w:rFonts w:hint="eastAsia"/>
              </w:rPr>
              <w:t>米</w:t>
            </w:r>
          </w:p>
        </w:tc>
        <w:tc>
          <w:tcPr>
            <w:tcW w:w="728" w:type="dxa"/>
            <w:shd w:val="clear" w:color="auto" w:fill="auto"/>
            <w:vAlign w:val="center"/>
          </w:tcPr>
          <w:p w14:paraId="7DC72659">
            <w:pPr>
              <w:spacing w:before="120" w:after="93" w:line="240" w:lineRule="auto"/>
              <w:jc w:val="center"/>
              <w:rPr>
                <w:rFonts w:hint="eastAsia" w:eastAsia="仿宋"/>
                <w:lang w:eastAsia="zh-CN"/>
              </w:rPr>
            </w:pPr>
            <w:r>
              <w:rPr>
                <w:rFonts w:hint="eastAsia"/>
              </w:rPr>
              <w:t>21</w:t>
            </w:r>
          </w:p>
        </w:tc>
      </w:tr>
      <w:tr w14:paraId="21B6CF9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95" w:hRule="atLeast"/>
          <w:jc w:val="center"/>
        </w:trPr>
        <w:tc>
          <w:tcPr>
            <w:tcW w:w="713" w:type="dxa"/>
            <w:vMerge w:val="continue"/>
            <w:shd w:val="clear" w:color="auto" w:fill="auto"/>
            <w:vAlign w:val="center"/>
          </w:tcPr>
          <w:p w14:paraId="6C632BB6">
            <w:pPr>
              <w:spacing w:before="120" w:after="93" w:line="240" w:lineRule="auto"/>
            </w:pPr>
          </w:p>
        </w:tc>
        <w:tc>
          <w:tcPr>
            <w:tcW w:w="1533" w:type="dxa"/>
            <w:vMerge w:val="continue"/>
            <w:vAlign w:val="center"/>
          </w:tcPr>
          <w:p w14:paraId="12798217">
            <w:pPr>
              <w:spacing w:before="120" w:after="93" w:line="240" w:lineRule="auto"/>
              <w:rPr>
                <w:iCs/>
              </w:rPr>
            </w:pPr>
          </w:p>
        </w:tc>
        <w:tc>
          <w:tcPr>
            <w:tcW w:w="6093" w:type="dxa"/>
            <w:shd w:val="clear" w:color="auto" w:fill="auto"/>
            <w:vAlign w:val="center"/>
          </w:tcPr>
          <w:p w14:paraId="17DEB3FB">
            <w:pPr>
              <w:spacing w:after="93" w:line="240" w:lineRule="auto"/>
            </w:pPr>
            <w:r>
              <w:rPr>
                <w:rFonts w:hint="eastAsia"/>
              </w:rPr>
              <w:t>绝缘子：</w:t>
            </w:r>
          </w:p>
          <w:p w14:paraId="448B47C4">
            <w:pPr>
              <w:spacing w:after="93" w:line="240" w:lineRule="auto"/>
            </w:pPr>
            <w:r>
              <w:rPr>
                <w:rFonts w:hint="eastAsia"/>
              </w:rPr>
              <w:t>1.Φ8mm绝缘子，含配套的爆炸螺丝</w:t>
            </w:r>
          </w:p>
        </w:tc>
        <w:tc>
          <w:tcPr>
            <w:tcW w:w="421" w:type="dxa"/>
            <w:shd w:val="clear" w:color="auto" w:fill="auto"/>
            <w:vAlign w:val="center"/>
          </w:tcPr>
          <w:p w14:paraId="01B52CB3">
            <w:pPr>
              <w:spacing w:before="120" w:after="93" w:line="240" w:lineRule="auto"/>
              <w:jc w:val="center"/>
            </w:pPr>
            <w:r>
              <w:rPr>
                <w:rFonts w:hint="eastAsia"/>
              </w:rPr>
              <w:t>颗</w:t>
            </w:r>
          </w:p>
        </w:tc>
        <w:tc>
          <w:tcPr>
            <w:tcW w:w="728" w:type="dxa"/>
            <w:shd w:val="clear" w:color="auto" w:fill="auto"/>
            <w:vAlign w:val="center"/>
          </w:tcPr>
          <w:p w14:paraId="61BCADF9">
            <w:pPr>
              <w:spacing w:before="120" w:after="93" w:line="240" w:lineRule="auto"/>
              <w:jc w:val="center"/>
            </w:pPr>
            <w:r>
              <w:rPr>
                <w:rFonts w:hint="eastAsia"/>
                <w:lang w:val="en-US" w:eastAsia="zh-CN"/>
              </w:rPr>
              <w:t>21</w:t>
            </w:r>
          </w:p>
        </w:tc>
      </w:tr>
      <w:tr w14:paraId="217D25A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95" w:hRule="atLeast"/>
          <w:jc w:val="center"/>
        </w:trPr>
        <w:tc>
          <w:tcPr>
            <w:tcW w:w="713" w:type="dxa"/>
            <w:vMerge w:val="continue"/>
            <w:shd w:val="clear" w:color="auto" w:fill="auto"/>
            <w:vAlign w:val="center"/>
          </w:tcPr>
          <w:p w14:paraId="2F204BA5">
            <w:pPr>
              <w:spacing w:before="120" w:after="93" w:line="240" w:lineRule="auto"/>
            </w:pPr>
          </w:p>
        </w:tc>
        <w:tc>
          <w:tcPr>
            <w:tcW w:w="1533" w:type="dxa"/>
            <w:vMerge w:val="continue"/>
            <w:vAlign w:val="center"/>
          </w:tcPr>
          <w:p w14:paraId="0888EDC4">
            <w:pPr>
              <w:spacing w:before="120" w:after="93" w:line="240" w:lineRule="auto"/>
              <w:rPr>
                <w:iCs/>
              </w:rPr>
            </w:pPr>
          </w:p>
        </w:tc>
        <w:tc>
          <w:tcPr>
            <w:tcW w:w="6093" w:type="dxa"/>
            <w:shd w:val="clear" w:color="auto" w:fill="auto"/>
            <w:vAlign w:val="center"/>
          </w:tcPr>
          <w:p w14:paraId="38F3BB35">
            <w:pPr>
              <w:spacing w:after="93" w:line="240" w:lineRule="auto"/>
              <w:rPr>
                <w:rFonts w:hint="eastAsia" w:eastAsia="仿宋"/>
                <w:lang w:val="en-US" w:eastAsia="zh-CN"/>
              </w:rPr>
            </w:pPr>
            <w:r>
              <w:rPr>
                <w:rFonts w:hint="eastAsia"/>
                <w:lang w:val="en-US" w:eastAsia="zh-CN"/>
              </w:rPr>
              <w:t>接地线</w:t>
            </w:r>
          </w:p>
          <w:p w14:paraId="6F291E58">
            <w:pPr>
              <w:spacing w:after="93" w:line="240" w:lineRule="auto"/>
            </w:pPr>
            <w:r>
              <w:rPr>
                <w:rFonts w:hint="eastAsia"/>
                <w:lang w:val="en-US" w:eastAsia="zh-CN"/>
              </w:rPr>
              <w:t>1.</w:t>
            </w:r>
            <w:r>
              <w:rPr>
                <w:rFonts w:hint="eastAsia"/>
              </w:rPr>
              <w:t>6mm^2多股铜线及端子</w:t>
            </w:r>
          </w:p>
        </w:tc>
        <w:tc>
          <w:tcPr>
            <w:tcW w:w="421" w:type="dxa"/>
            <w:shd w:val="clear" w:color="auto" w:fill="auto"/>
            <w:vAlign w:val="center"/>
          </w:tcPr>
          <w:p w14:paraId="65D9A3B1">
            <w:pPr>
              <w:spacing w:before="120" w:after="93" w:line="240" w:lineRule="auto"/>
              <w:jc w:val="center"/>
            </w:pPr>
            <w:r>
              <w:rPr>
                <w:rFonts w:hint="eastAsia"/>
                <w:lang w:val="en-US" w:eastAsia="zh-CN"/>
              </w:rPr>
              <w:t>米</w:t>
            </w:r>
          </w:p>
        </w:tc>
        <w:tc>
          <w:tcPr>
            <w:tcW w:w="728" w:type="dxa"/>
            <w:shd w:val="clear" w:color="auto" w:fill="auto"/>
            <w:vAlign w:val="center"/>
          </w:tcPr>
          <w:p w14:paraId="29810093">
            <w:pPr>
              <w:spacing w:before="120" w:after="93" w:line="240" w:lineRule="auto"/>
              <w:jc w:val="center"/>
              <w:rPr>
                <w:rFonts w:hint="default" w:eastAsia="仿宋"/>
                <w:lang w:val="en-US" w:eastAsia="zh-CN"/>
              </w:rPr>
            </w:pPr>
            <w:r>
              <w:rPr>
                <w:rFonts w:hint="eastAsia"/>
                <w:lang w:val="en-US" w:eastAsia="zh-CN"/>
              </w:rPr>
              <w:t>20</w:t>
            </w:r>
          </w:p>
        </w:tc>
      </w:tr>
      <w:tr w14:paraId="07BD556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95" w:hRule="atLeast"/>
          <w:jc w:val="center"/>
        </w:trPr>
        <w:tc>
          <w:tcPr>
            <w:tcW w:w="713" w:type="dxa"/>
            <w:vMerge w:val="continue"/>
            <w:shd w:val="clear" w:color="auto" w:fill="auto"/>
            <w:vAlign w:val="center"/>
          </w:tcPr>
          <w:p w14:paraId="2AC410DF">
            <w:pPr>
              <w:spacing w:before="120" w:after="93" w:line="240" w:lineRule="auto"/>
            </w:pPr>
          </w:p>
        </w:tc>
        <w:tc>
          <w:tcPr>
            <w:tcW w:w="1533" w:type="dxa"/>
            <w:vMerge w:val="continue"/>
            <w:vAlign w:val="center"/>
          </w:tcPr>
          <w:p w14:paraId="7D56501A">
            <w:pPr>
              <w:spacing w:before="120" w:after="93" w:line="240" w:lineRule="auto"/>
              <w:rPr>
                <w:iCs/>
              </w:rPr>
            </w:pPr>
          </w:p>
        </w:tc>
        <w:tc>
          <w:tcPr>
            <w:tcW w:w="6093" w:type="dxa"/>
            <w:shd w:val="clear" w:color="auto" w:fill="auto"/>
            <w:vAlign w:val="center"/>
          </w:tcPr>
          <w:p w14:paraId="1E4D612C">
            <w:pPr>
              <w:spacing w:after="93" w:line="240" w:lineRule="auto"/>
            </w:pPr>
            <w:r>
              <w:rPr>
                <w:rFonts w:hint="eastAsia"/>
              </w:rPr>
              <w:t>铜铁连接器</w:t>
            </w:r>
          </w:p>
        </w:tc>
        <w:tc>
          <w:tcPr>
            <w:tcW w:w="421" w:type="dxa"/>
            <w:shd w:val="clear" w:color="auto" w:fill="auto"/>
            <w:vAlign w:val="center"/>
          </w:tcPr>
          <w:p w14:paraId="13C9F3E2">
            <w:pPr>
              <w:spacing w:before="120" w:after="93" w:line="240" w:lineRule="auto"/>
              <w:jc w:val="center"/>
              <w:rPr>
                <w:rFonts w:hint="eastAsia" w:eastAsia="仿宋"/>
                <w:lang w:eastAsia="zh-CN"/>
              </w:rPr>
            </w:pPr>
            <w:r>
              <w:rPr>
                <w:rFonts w:hint="eastAsia"/>
                <w:lang w:val="en-US" w:eastAsia="zh-CN"/>
              </w:rPr>
              <w:t>个</w:t>
            </w:r>
          </w:p>
        </w:tc>
        <w:tc>
          <w:tcPr>
            <w:tcW w:w="728" w:type="dxa"/>
            <w:shd w:val="clear" w:color="auto" w:fill="auto"/>
            <w:vAlign w:val="center"/>
          </w:tcPr>
          <w:p w14:paraId="54F27C09">
            <w:pPr>
              <w:spacing w:before="120" w:after="93" w:line="240" w:lineRule="auto"/>
              <w:jc w:val="center"/>
              <w:rPr>
                <w:rFonts w:hint="default" w:eastAsia="仿宋"/>
                <w:lang w:val="en-US" w:eastAsia="zh-CN"/>
              </w:rPr>
            </w:pPr>
            <w:r>
              <w:rPr>
                <w:rFonts w:hint="eastAsia"/>
                <w:lang w:val="en-US" w:eastAsia="zh-CN"/>
              </w:rPr>
              <w:t>1</w:t>
            </w:r>
          </w:p>
        </w:tc>
      </w:tr>
      <w:tr w14:paraId="7A077CE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95" w:hRule="atLeast"/>
          <w:jc w:val="center"/>
        </w:trPr>
        <w:tc>
          <w:tcPr>
            <w:tcW w:w="713" w:type="dxa"/>
            <w:vMerge w:val="continue"/>
            <w:shd w:val="clear" w:color="auto" w:fill="auto"/>
            <w:vAlign w:val="center"/>
          </w:tcPr>
          <w:p w14:paraId="5DD2B7E2">
            <w:pPr>
              <w:spacing w:before="120" w:after="93" w:line="240" w:lineRule="auto"/>
            </w:pPr>
          </w:p>
        </w:tc>
        <w:tc>
          <w:tcPr>
            <w:tcW w:w="1533" w:type="dxa"/>
            <w:vMerge w:val="continue"/>
            <w:vAlign w:val="center"/>
          </w:tcPr>
          <w:p w14:paraId="03548BCC">
            <w:pPr>
              <w:spacing w:before="120" w:after="93" w:line="240" w:lineRule="auto"/>
              <w:rPr>
                <w:iCs/>
              </w:rPr>
            </w:pPr>
          </w:p>
        </w:tc>
        <w:tc>
          <w:tcPr>
            <w:tcW w:w="6093" w:type="dxa"/>
            <w:shd w:val="clear" w:color="auto" w:fill="auto"/>
            <w:vAlign w:val="center"/>
          </w:tcPr>
          <w:p w14:paraId="4B7983B7">
            <w:pPr>
              <w:spacing w:after="93" w:line="240" w:lineRule="auto"/>
              <w:rPr>
                <w:rFonts w:hint="eastAsia"/>
              </w:rPr>
            </w:pPr>
            <w:r>
              <w:rPr>
                <w:rFonts w:hint="eastAsia"/>
              </w:rPr>
              <w:t>施工辅材</w:t>
            </w:r>
          </w:p>
          <w:p w14:paraId="531731EA">
            <w:pPr>
              <w:spacing w:after="93" w:line="240" w:lineRule="auto"/>
            </w:pPr>
            <w:r>
              <w:rPr>
                <w:rFonts w:hint="eastAsia" w:cs="Times New Roman"/>
                <w:lang w:val="en-US" w:eastAsia="zh-CN"/>
              </w:rPr>
              <w:t>1.</w:t>
            </w:r>
            <w:r>
              <w:rPr>
                <w:rFonts w:hint="eastAsia" w:cs="Times New Roman"/>
              </w:rPr>
              <w:t>焊条、膨胀螺栓、线管</w:t>
            </w:r>
          </w:p>
        </w:tc>
        <w:tc>
          <w:tcPr>
            <w:tcW w:w="421" w:type="dxa"/>
            <w:shd w:val="clear" w:color="auto" w:fill="auto"/>
            <w:vAlign w:val="center"/>
          </w:tcPr>
          <w:p w14:paraId="3668DE43">
            <w:pPr>
              <w:spacing w:before="120" w:after="93" w:line="240" w:lineRule="auto"/>
              <w:jc w:val="center"/>
              <w:rPr>
                <w:rFonts w:hint="eastAsia" w:eastAsia="仿宋"/>
                <w:lang w:eastAsia="zh-CN"/>
              </w:rPr>
            </w:pPr>
            <w:r>
              <w:rPr>
                <w:rFonts w:hint="eastAsia"/>
              </w:rPr>
              <w:t>米</w:t>
            </w:r>
          </w:p>
        </w:tc>
        <w:tc>
          <w:tcPr>
            <w:tcW w:w="728" w:type="dxa"/>
            <w:shd w:val="clear" w:color="auto" w:fill="auto"/>
            <w:vAlign w:val="center"/>
          </w:tcPr>
          <w:p w14:paraId="760C6D91">
            <w:pPr>
              <w:spacing w:before="120" w:after="93" w:line="240" w:lineRule="auto"/>
              <w:jc w:val="center"/>
              <w:rPr>
                <w:rFonts w:hint="eastAsia" w:eastAsia="仿宋"/>
                <w:lang w:eastAsia="zh-CN"/>
              </w:rPr>
            </w:pPr>
            <w:r>
              <w:rPr>
                <w:rFonts w:hint="eastAsia"/>
              </w:rPr>
              <w:t>100</w:t>
            </w:r>
          </w:p>
        </w:tc>
      </w:tr>
      <w:tr w14:paraId="710ECC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95" w:hRule="atLeast"/>
          <w:jc w:val="center"/>
        </w:trPr>
        <w:tc>
          <w:tcPr>
            <w:tcW w:w="713" w:type="dxa"/>
            <w:shd w:val="clear" w:color="auto" w:fill="auto"/>
            <w:vAlign w:val="center"/>
          </w:tcPr>
          <w:p w14:paraId="1ADA89F8">
            <w:pPr>
              <w:spacing w:before="120" w:after="93" w:line="240" w:lineRule="auto"/>
              <w:jc w:val="center"/>
              <w:rPr>
                <w:rFonts w:hint="default" w:eastAsia="仿宋"/>
                <w:lang w:val="en-US" w:eastAsia="zh-CN"/>
              </w:rPr>
            </w:pPr>
            <w:r>
              <w:rPr>
                <w:rFonts w:hint="eastAsia"/>
                <w:lang w:val="en-US" w:eastAsia="zh-CN"/>
              </w:rPr>
              <w:t>4</w:t>
            </w:r>
          </w:p>
        </w:tc>
        <w:tc>
          <w:tcPr>
            <w:tcW w:w="1533" w:type="dxa"/>
            <w:vAlign w:val="center"/>
          </w:tcPr>
          <w:p w14:paraId="147A9701">
            <w:pPr>
              <w:spacing w:before="120" w:after="93" w:line="240" w:lineRule="auto"/>
              <w:rPr>
                <w:rFonts w:hint="default" w:eastAsia="仿宋"/>
                <w:iCs/>
                <w:lang w:val="en-US" w:eastAsia="zh-CN"/>
              </w:rPr>
            </w:pPr>
            <w:r>
              <w:rPr>
                <w:rFonts w:hint="eastAsia"/>
                <w:iCs/>
                <w:lang w:val="en-US" w:eastAsia="zh-CN"/>
              </w:rPr>
              <w:t>走线设备</w:t>
            </w:r>
          </w:p>
        </w:tc>
        <w:tc>
          <w:tcPr>
            <w:tcW w:w="6093" w:type="dxa"/>
            <w:shd w:val="clear" w:color="auto" w:fill="auto"/>
            <w:vAlign w:val="center"/>
          </w:tcPr>
          <w:p w14:paraId="2C68B832">
            <w:pPr>
              <w:bidi w:val="0"/>
              <w:spacing w:line="240" w:lineRule="auto"/>
              <w:rPr>
                <w:rFonts w:hint="eastAsia"/>
                <w:lang w:val="en-US" w:eastAsia="zh-CN"/>
              </w:rPr>
            </w:pPr>
            <w:r>
              <w:rPr>
                <w:rFonts w:hint="eastAsia"/>
                <w:color w:val="auto"/>
                <w:lang w:val="en-US" w:eastAsia="zh-CN"/>
              </w:rPr>
              <w:t>综合线槽</w:t>
            </w:r>
            <w:r>
              <w:rPr>
                <w:rFonts w:hint="eastAsia"/>
                <w:lang w:val="en-US" w:eastAsia="zh-CN"/>
              </w:rPr>
              <w:t>（品牌要求：优质国产，可提供检测报告）</w:t>
            </w:r>
          </w:p>
          <w:p w14:paraId="03A2DDA5">
            <w:pPr>
              <w:numPr>
                <w:ilvl w:val="0"/>
                <w:numId w:val="5"/>
              </w:numPr>
              <w:bidi w:val="0"/>
              <w:spacing w:line="240" w:lineRule="auto"/>
              <w:rPr>
                <w:rFonts w:hint="eastAsia"/>
                <w:lang w:val="en-US" w:eastAsia="zh-CN"/>
              </w:rPr>
            </w:pPr>
            <w:r>
              <w:rPr>
                <w:rFonts w:hint="eastAsia"/>
                <w:lang w:val="en-US" w:eastAsia="zh-CN"/>
              </w:rPr>
              <w:t>镀锌金属线槽，200*100(mm)，含配套连接片、螺丝、接地线等。15米</w:t>
            </w:r>
          </w:p>
          <w:p w14:paraId="618984CE">
            <w:pPr>
              <w:numPr>
                <w:ilvl w:val="0"/>
                <w:numId w:val="5"/>
              </w:numPr>
              <w:bidi w:val="0"/>
              <w:spacing w:line="240" w:lineRule="auto"/>
              <w:rPr>
                <w:rFonts w:hint="eastAsia"/>
                <w:lang w:val="en-US" w:eastAsia="zh-CN"/>
              </w:rPr>
            </w:pPr>
            <w:r>
              <w:rPr>
                <w:rFonts w:hint="eastAsia"/>
                <w:lang w:val="en-US" w:eastAsia="zh-CN"/>
              </w:rPr>
              <w:t>镀锌网格桥架，200*100(mm)，含配套连接片、螺丝、接地线等。15米</w:t>
            </w:r>
          </w:p>
          <w:p w14:paraId="71D9FCCE">
            <w:pPr>
              <w:numPr>
                <w:ilvl w:val="0"/>
                <w:numId w:val="5"/>
              </w:numPr>
              <w:bidi w:val="0"/>
              <w:spacing w:line="240" w:lineRule="auto"/>
              <w:rPr>
                <w:rFonts w:hint="eastAsia"/>
                <w:lang w:val="en-US" w:eastAsia="zh-CN"/>
              </w:rPr>
            </w:pPr>
            <w:r>
              <w:rPr>
                <w:rFonts w:hint="eastAsia" w:cs="Times New Roman"/>
                <w:lang w:val="en-US" w:eastAsia="zh-CN"/>
              </w:rPr>
              <w:t>实施配套辅材(连接片、吊杆、螺丝等)1批</w:t>
            </w:r>
          </w:p>
        </w:tc>
        <w:tc>
          <w:tcPr>
            <w:tcW w:w="421" w:type="dxa"/>
            <w:shd w:val="clear" w:color="auto" w:fill="auto"/>
            <w:vAlign w:val="center"/>
          </w:tcPr>
          <w:p w14:paraId="7CA9AC57">
            <w:pPr>
              <w:spacing w:before="120" w:after="93" w:line="240" w:lineRule="auto"/>
              <w:jc w:val="center"/>
            </w:pPr>
            <w:r>
              <w:rPr>
                <w:rFonts w:hint="eastAsia"/>
              </w:rPr>
              <w:t>套</w:t>
            </w:r>
          </w:p>
        </w:tc>
        <w:tc>
          <w:tcPr>
            <w:tcW w:w="728" w:type="dxa"/>
            <w:shd w:val="clear" w:color="auto" w:fill="auto"/>
            <w:vAlign w:val="center"/>
          </w:tcPr>
          <w:p w14:paraId="6679F770">
            <w:pPr>
              <w:spacing w:before="120" w:after="93" w:line="240" w:lineRule="auto"/>
              <w:jc w:val="center"/>
            </w:pPr>
            <w:r>
              <w:rPr>
                <w:rFonts w:hint="eastAsia"/>
              </w:rPr>
              <w:t>1</w:t>
            </w:r>
          </w:p>
        </w:tc>
      </w:tr>
      <w:tr w14:paraId="5A70FD7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95" w:hRule="atLeast"/>
          <w:jc w:val="center"/>
        </w:trPr>
        <w:tc>
          <w:tcPr>
            <w:tcW w:w="713" w:type="dxa"/>
            <w:shd w:val="clear" w:color="auto" w:fill="auto"/>
            <w:vAlign w:val="center"/>
          </w:tcPr>
          <w:p w14:paraId="7B3F2FB9">
            <w:pPr>
              <w:spacing w:before="120" w:after="93" w:line="240" w:lineRule="auto"/>
              <w:jc w:val="center"/>
              <w:rPr>
                <w:rFonts w:hint="default" w:eastAsia="仿宋"/>
                <w:lang w:val="en-US" w:eastAsia="zh-CN"/>
              </w:rPr>
            </w:pPr>
            <w:r>
              <w:rPr>
                <w:rFonts w:hint="eastAsia"/>
                <w:lang w:val="en-US" w:eastAsia="zh-CN"/>
              </w:rPr>
              <w:t>5</w:t>
            </w:r>
          </w:p>
        </w:tc>
        <w:tc>
          <w:tcPr>
            <w:tcW w:w="1533" w:type="dxa"/>
            <w:vAlign w:val="center"/>
          </w:tcPr>
          <w:p w14:paraId="1DD0CCD2">
            <w:pPr>
              <w:spacing w:before="120" w:after="93" w:line="240" w:lineRule="auto"/>
              <w:rPr>
                <w:rFonts w:hint="default" w:eastAsia="仿宋"/>
                <w:iCs/>
                <w:lang w:val="en-US" w:eastAsia="zh-CN"/>
              </w:rPr>
            </w:pPr>
            <w:r>
              <w:rPr>
                <w:rFonts w:hint="eastAsia"/>
                <w:iCs/>
                <w:lang w:val="en-US" w:eastAsia="zh-CN"/>
              </w:rPr>
              <w:t>UPS房基座</w:t>
            </w:r>
          </w:p>
        </w:tc>
        <w:tc>
          <w:tcPr>
            <w:tcW w:w="6093" w:type="dxa"/>
            <w:shd w:val="clear" w:color="auto" w:fill="auto"/>
            <w:vAlign w:val="center"/>
          </w:tcPr>
          <w:p w14:paraId="7D301792">
            <w:pPr>
              <w:bidi w:val="0"/>
              <w:spacing w:line="240" w:lineRule="auto"/>
              <w:rPr>
                <w:rFonts w:hint="eastAsia" w:eastAsia="仿宋"/>
                <w:lang w:eastAsia="zh-CN"/>
              </w:rPr>
            </w:pPr>
            <w:r>
              <w:rPr>
                <w:rFonts w:hint="eastAsia"/>
              </w:rPr>
              <w:t>承重底座</w:t>
            </w:r>
            <w:r>
              <w:rPr>
                <w:rFonts w:hint="eastAsia"/>
                <w:lang w:eastAsia="zh-CN"/>
              </w:rPr>
              <w:t>（</w:t>
            </w:r>
            <w:r>
              <w:rPr>
                <w:rFonts w:hint="eastAsia"/>
                <w:lang w:val="en-US" w:eastAsia="zh-CN"/>
              </w:rPr>
              <w:t>优质国产，可提供检测报告</w:t>
            </w:r>
            <w:r>
              <w:rPr>
                <w:rFonts w:hint="eastAsia"/>
                <w:lang w:eastAsia="zh-CN"/>
              </w:rPr>
              <w:t>）</w:t>
            </w:r>
          </w:p>
          <w:p w14:paraId="36772D7D">
            <w:pPr>
              <w:numPr>
                <w:ilvl w:val="0"/>
                <w:numId w:val="6"/>
              </w:numPr>
              <w:bidi w:val="0"/>
              <w:spacing w:line="240" w:lineRule="auto"/>
            </w:pPr>
            <w:r>
              <w:rPr>
                <w:rFonts w:hint="eastAsia" w:cs="Times New Roman"/>
                <w:lang w:val="en-US" w:eastAsia="zh-CN"/>
              </w:rPr>
              <w:t>根据数据中心选址所在楼板承重载荷能力，实施机房设备配套的结构加护措施，包括但不限于散力架或结构加固工程等。</w:t>
            </w:r>
          </w:p>
        </w:tc>
        <w:tc>
          <w:tcPr>
            <w:tcW w:w="421" w:type="dxa"/>
            <w:shd w:val="clear" w:color="auto" w:fill="auto"/>
            <w:vAlign w:val="center"/>
          </w:tcPr>
          <w:p w14:paraId="6860AD8C">
            <w:pPr>
              <w:spacing w:before="120" w:after="93" w:line="240" w:lineRule="auto"/>
              <w:jc w:val="center"/>
            </w:pPr>
            <w:r>
              <w:rPr>
                <w:rFonts w:hint="eastAsia"/>
              </w:rPr>
              <w:t>套</w:t>
            </w:r>
          </w:p>
        </w:tc>
        <w:tc>
          <w:tcPr>
            <w:tcW w:w="728" w:type="dxa"/>
            <w:shd w:val="clear" w:color="auto" w:fill="auto"/>
            <w:vAlign w:val="center"/>
          </w:tcPr>
          <w:p w14:paraId="19434819">
            <w:pPr>
              <w:spacing w:before="120" w:after="93" w:line="240" w:lineRule="auto"/>
              <w:jc w:val="center"/>
            </w:pPr>
            <w:r>
              <w:rPr>
                <w:rFonts w:hint="eastAsia"/>
              </w:rPr>
              <w:t>1</w:t>
            </w:r>
          </w:p>
        </w:tc>
      </w:tr>
      <w:tr w14:paraId="206B8FB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95" w:hRule="atLeast"/>
          <w:jc w:val="center"/>
        </w:trPr>
        <w:tc>
          <w:tcPr>
            <w:tcW w:w="713" w:type="dxa"/>
            <w:shd w:val="clear" w:color="auto" w:fill="auto"/>
            <w:vAlign w:val="center"/>
          </w:tcPr>
          <w:p w14:paraId="64D4326C">
            <w:pPr>
              <w:spacing w:before="120" w:after="93" w:line="240" w:lineRule="auto"/>
              <w:jc w:val="center"/>
              <w:rPr>
                <w:rFonts w:hint="default" w:eastAsia="仿宋"/>
                <w:lang w:val="en-US" w:eastAsia="zh-CN"/>
              </w:rPr>
            </w:pPr>
            <w:r>
              <w:rPr>
                <w:rFonts w:hint="eastAsia"/>
                <w:lang w:val="en-US" w:eastAsia="zh-CN"/>
              </w:rPr>
              <w:t>6</w:t>
            </w:r>
          </w:p>
        </w:tc>
        <w:tc>
          <w:tcPr>
            <w:tcW w:w="1533" w:type="dxa"/>
            <w:vMerge w:val="restart"/>
            <w:vAlign w:val="center"/>
          </w:tcPr>
          <w:p w14:paraId="6A3FB848">
            <w:pPr>
              <w:spacing w:before="120" w:after="93" w:line="240" w:lineRule="auto"/>
              <w:rPr>
                <w:rFonts w:hint="default" w:eastAsia="仿宋"/>
                <w:iCs/>
                <w:lang w:val="en-US" w:eastAsia="zh-CN"/>
              </w:rPr>
            </w:pPr>
            <w:r>
              <w:rPr>
                <w:rFonts w:hint="eastAsia" w:ascii="国标仿宋" w:hAnsi="国标仿宋" w:eastAsia="国标仿宋" w:cs="国标仿宋"/>
                <w:sz w:val="28"/>
                <w:szCs w:val="28"/>
                <w:highlight w:val="none"/>
                <w:lang w:val="en-US" w:eastAsia="zh-CN"/>
              </w:rPr>
              <w:t>★</w:t>
            </w:r>
            <w:r>
              <w:rPr>
                <w:rFonts w:hint="eastAsia"/>
                <w:iCs/>
                <w:lang w:val="en-US" w:eastAsia="zh-CN"/>
              </w:rPr>
              <w:t>周边环境改造</w:t>
            </w:r>
          </w:p>
        </w:tc>
        <w:tc>
          <w:tcPr>
            <w:tcW w:w="6093" w:type="dxa"/>
            <w:shd w:val="clear" w:color="auto" w:fill="auto"/>
            <w:vAlign w:val="center"/>
          </w:tcPr>
          <w:p w14:paraId="09835052">
            <w:pPr>
              <w:spacing w:after="93" w:line="240" w:lineRule="auto"/>
              <w:rPr>
                <w:rFonts w:hint="eastAsia"/>
                <w:lang w:val="en-US" w:eastAsia="zh-CN"/>
              </w:rPr>
            </w:pPr>
            <w:r>
              <w:rPr>
                <w:rFonts w:hint="eastAsia"/>
                <w:lang w:val="en-US" w:eastAsia="zh-CN"/>
              </w:rPr>
              <w:t>墙面处理：</w:t>
            </w:r>
            <w:r>
              <w:rPr>
                <w:rFonts w:hint="eastAsia" w:cs="Times New Roman"/>
                <w:lang w:val="en-US" w:eastAsia="zh-CN"/>
              </w:rPr>
              <w:t>（品牌要求：格满林/昌雄/兴铁</w:t>
            </w:r>
            <w:r>
              <w:rPr>
                <w:rFonts w:hint="eastAsia"/>
                <w:lang w:val="en-US" w:eastAsia="zh-CN"/>
              </w:rPr>
              <w:t>，可提供检测报告</w:t>
            </w:r>
            <w:r>
              <w:rPr>
                <w:rFonts w:hint="eastAsia" w:cs="Times New Roman"/>
                <w:lang w:val="en-US" w:eastAsia="zh-CN"/>
              </w:rPr>
              <w:t>）</w:t>
            </w:r>
          </w:p>
          <w:p w14:paraId="0EEF12FD">
            <w:pPr>
              <w:numPr>
                <w:ilvl w:val="0"/>
                <w:numId w:val="7"/>
              </w:numPr>
              <w:spacing w:after="93" w:line="240" w:lineRule="auto"/>
              <w:rPr>
                <w:rFonts w:hint="eastAsia"/>
                <w:lang w:eastAsia="zh-CN"/>
              </w:rPr>
            </w:pPr>
            <w:r>
              <w:rPr>
                <w:rFonts w:hint="eastAsia"/>
                <w:lang w:val="en-US" w:eastAsia="zh-CN"/>
              </w:rPr>
              <w:t>墙面防火隔热彩钢板：</w:t>
            </w:r>
            <w:r>
              <w:rPr>
                <w:rFonts w:hint="eastAsia"/>
              </w:rPr>
              <w:t>机房专用镀锌烤漆手工板，防火级别A1级，含墙面找平、背板、轻钢龙骨、防火玻镁、彩钢板饰面等</w:t>
            </w:r>
            <w:r>
              <w:rPr>
                <w:rFonts w:hint="eastAsia"/>
                <w:lang w:eastAsia="zh-CN"/>
              </w:rPr>
              <w:t>。</w:t>
            </w:r>
            <w:r>
              <w:rPr>
                <w:rFonts w:hint="eastAsia"/>
                <w:lang w:val="en-US" w:eastAsia="zh-CN"/>
              </w:rPr>
              <w:t>48平方。需使用防火材料并提供对应材料的第三方国家级机构防火检测报告。</w:t>
            </w:r>
          </w:p>
          <w:p w14:paraId="65E543D9">
            <w:pPr>
              <w:numPr>
                <w:ilvl w:val="0"/>
                <w:numId w:val="7"/>
              </w:numPr>
              <w:spacing w:after="93" w:line="240" w:lineRule="auto"/>
              <w:rPr>
                <w:rFonts w:hint="eastAsia"/>
                <w:lang w:eastAsia="zh-CN"/>
              </w:rPr>
            </w:pPr>
            <w:r>
              <w:rPr>
                <w:rFonts w:hint="eastAsia" w:cs="Times New Roman"/>
                <w:lang w:eastAsia="zh-CN"/>
              </w:rPr>
              <w:t>柱子与彩钢板收边处理。</w:t>
            </w:r>
            <w:r>
              <w:rPr>
                <w:rFonts w:hint="eastAsia" w:cs="Times New Roman"/>
                <w:lang w:val="en-US" w:eastAsia="zh-CN"/>
              </w:rPr>
              <w:t>2处</w:t>
            </w:r>
          </w:p>
          <w:p w14:paraId="79BC456A">
            <w:pPr>
              <w:numPr>
                <w:ilvl w:val="0"/>
                <w:numId w:val="7"/>
              </w:numPr>
              <w:spacing w:after="93" w:line="240" w:lineRule="auto"/>
              <w:rPr>
                <w:rFonts w:hint="eastAsia"/>
                <w:lang w:eastAsia="zh-CN"/>
              </w:rPr>
            </w:pPr>
            <w:r>
              <w:rPr>
                <w:rFonts w:hint="eastAsia" w:cs="Times New Roman"/>
                <w:lang w:val="en-US" w:eastAsia="zh-CN"/>
              </w:rPr>
              <w:t>拆除</w:t>
            </w:r>
            <w:r>
              <w:rPr>
                <w:rFonts w:hint="eastAsia" w:cs="Times New Roman"/>
                <w:lang w:eastAsia="zh-CN"/>
              </w:rPr>
              <w:t>扩建机房</w:t>
            </w:r>
            <w:r>
              <w:rPr>
                <w:rFonts w:hint="eastAsia" w:cs="Times New Roman"/>
                <w:lang w:val="en-US" w:eastAsia="zh-CN"/>
              </w:rPr>
              <w:t>隔断墙</w:t>
            </w:r>
            <w:r>
              <w:rPr>
                <w:rFonts w:hint="eastAsia" w:cs="Times New Roman"/>
                <w:lang w:eastAsia="zh-CN"/>
              </w:rPr>
              <w:t>、垃圾清运。</w:t>
            </w:r>
            <w:r>
              <w:rPr>
                <w:rFonts w:hint="eastAsia" w:cs="Times New Roman"/>
                <w:lang w:val="en-US" w:eastAsia="zh-CN"/>
              </w:rPr>
              <w:t>40平方</w:t>
            </w:r>
          </w:p>
          <w:p w14:paraId="49A07603">
            <w:pPr>
              <w:numPr>
                <w:ilvl w:val="0"/>
                <w:numId w:val="7"/>
              </w:numPr>
              <w:spacing w:after="93" w:line="240" w:lineRule="auto"/>
              <w:rPr>
                <w:rFonts w:hint="eastAsia" w:cs="Times New Roman"/>
                <w:lang w:eastAsia="zh-CN"/>
              </w:rPr>
            </w:pPr>
            <w:r>
              <w:rPr>
                <w:rFonts w:hint="eastAsia" w:cs="Times New Roman"/>
                <w:lang w:val="en-US" w:eastAsia="zh-CN"/>
              </w:rPr>
              <w:t>利旧拆除隔墙观察窗口，将现有观察窗口迁移至扩展机房与配电间之间的隔墙上 1扇</w:t>
            </w:r>
          </w:p>
          <w:p w14:paraId="6BA68850">
            <w:pPr>
              <w:numPr>
                <w:ilvl w:val="0"/>
                <w:numId w:val="7"/>
              </w:numPr>
              <w:spacing w:after="93" w:line="240" w:lineRule="auto"/>
              <w:rPr>
                <w:rFonts w:hint="eastAsia"/>
                <w:b/>
                <w:bCs/>
                <w:lang w:eastAsia="zh-CN"/>
              </w:rPr>
            </w:pPr>
            <w:r>
              <w:rPr>
                <w:rFonts w:hint="eastAsia" w:cs="Times New Roman"/>
                <w:lang w:val="en-US" w:eastAsia="zh-CN"/>
              </w:rPr>
              <w:t>利旧原隔断防火门及门禁设备，原防火门拆除，安装至配电房区域，含门框墙洞收边处理 1扇，同时将原1处门禁设备改接至新建位置</w:t>
            </w:r>
          </w:p>
        </w:tc>
        <w:tc>
          <w:tcPr>
            <w:tcW w:w="421" w:type="dxa"/>
            <w:shd w:val="clear" w:color="auto" w:fill="auto"/>
            <w:vAlign w:val="center"/>
          </w:tcPr>
          <w:p w14:paraId="3667A320">
            <w:pPr>
              <w:spacing w:before="120" w:after="93" w:line="240" w:lineRule="auto"/>
              <w:jc w:val="center"/>
            </w:pPr>
            <w:r>
              <w:rPr>
                <w:rFonts w:hint="eastAsia"/>
              </w:rPr>
              <w:t>套</w:t>
            </w:r>
          </w:p>
        </w:tc>
        <w:tc>
          <w:tcPr>
            <w:tcW w:w="728" w:type="dxa"/>
            <w:shd w:val="clear" w:color="auto" w:fill="auto"/>
            <w:vAlign w:val="center"/>
          </w:tcPr>
          <w:p w14:paraId="702D0202">
            <w:pPr>
              <w:spacing w:before="120" w:after="93" w:line="240" w:lineRule="auto"/>
              <w:jc w:val="center"/>
            </w:pPr>
            <w:r>
              <w:rPr>
                <w:rFonts w:hint="eastAsia"/>
              </w:rPr>
              <w:t>1</w:t>
            </w:r>
          </w:p>
        </w:tc>
      </w:tr>
      <w:tr w14:paraId="7168767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95" w:hRule="atLeast"/>
          <w:jc w:val="center"/>
        </w:trPr>
        <w:tc>
          <w:tcPr>
            <w:tcW w:w="713" w:type="dxa"/>
            <w:shd w:val="clear" w:color="auto" w:fill="auto"/>
            <w:vAlign w:val="center"/>
          </w:tcPr>
          <w:p w14:paraId="21A37B5F">
            <w:pPr>
              <w:spacing w:before="120" w:after="93" w:line="240" w:lineRule="auto"/>
              <w:jc w:val="center"/>
              <w:rPr>
                <w:rFonts w:hint="default" w:eastAsia="仿宋"/>
                <w:lang w:val="en-US" w:eastAsia="zh-CN"/>
              </w:rPr>
            </w:pPr>
            <w:r>
              <w:rPr>
                <w:rFonts w:hint="eastAsia"/>
                <w:lang w:val="en-US" w:eastAsia="zh-CN"/>
              </w:rPr>
              <w:t>7</w:t>
            </w:r>
          </w:p>
        </w:tc>
        <w:tc>
          <w:tcPr>
            <w:tcW w:w="1533" w:type="dxa"/>
            <w:vMerge w:val="continue"/>
            <w:vAlign w:val="center"/>
          </w:tcPr>
          <w:p w14:paraId="3B429493">
            <w:pPr>
              <w:spacing w:before="120" w:after="93" w:line="240" w:lineRule="auto"/>
              <w:rPr>
                <w:iCs/>
              </w:rPr>
            </w:pPr>
          </w:p>
        </w:tc>
        <w:tc>
          <w:tcPr>
            <w:tcW w:w="6093" w:type="dxa"/>
            <w:shd w:val="clear" w:color="auto" w:fill="auto"/>
            <w:vAlign w:val="center"/>
          </w:tcPr>
          <w:p w14:paraId="729BEB9F">
            <w:pPr>
              <w:spacing w:after="93" w:line="240" w:lineRule="auto"/>
              <w:rPr>
                <w:rFonts w:hint="default"/>
                <w:lang w:val="en-US" w:eastAsia="zh-CN"/>
              </w:rPr>
            </w:pPr>
            <w:r>
              <w:rPr>
                <w:rFonts w:hint="eastAsia"/>
                <w:lang w:val="en-US" w:eastAsia="zh-CN"/>
              </w:rPr>
              <w:t>地面处理：（品牌要求：优质国产，可提供检测报告）</w:t>
            </w:r>
          </w:p>
          <w:p w14:paraId="37ED8AEB">
            <w:pPr>
              <w:numPr>
                <w:ilvl w:val="0"/>
                <w:numId w:val="8"/>
              </w:numPr>
              <w:spacing w:after="93" w:line="240" w:lineRule="auto"/>
              <w:rPr>
                <w:rFonts w:hint="eastAsia" w:cs="Times New Roman"/>
                <w:lang w:val="en-US" w:eastAsia="zh-CN"/>
              </w:rPr>
            </w:pPr>
            <w:r>
              <w:rPr>
                <w:rFonts w:hint="eastAsia" w:cs="Times New Roman"/>
                <w:lang w:val="en-US" w:eastAsia="zh-CN"/>
              </w:rPr>
              <w:t>利旧防静电活动地板拆除后安装保温材料在恢复。125平方</w:t>
            </w:r>
          </w:p>
          <w:p w14:paraId="3CB64C31">
            <w:pPr>
              <w:numPr>
                <w:ilvl w:val="0"/>
                <w:numId w:val="8"/>
              </w:numPr>
              <w:spacing w:after="93" w:line="240" w:lineRule="auto"/>
              <w:rPr>
                <w:rFonts w:hint="default" w:cs="Times New Roman"/>
                <w:lang w:val="en-US" w:eastAsia="zh-CN"/>
              </w:rPr>
            </w:pPr>
            <w:r>
              <w:rPr>
                <w:rFonts w:hint="default" w:cs="Times New Roman"/>
                <w:lang w:val="en-US" w:eastAsia="zh-CN"/>
              </w:rPr>
              <w:t>敷设19mm以上厚燃烧等级为B1级的橡塑保温隔热棉</w:t>
            </w:r>
            <w:r>
              <w:rPr>
                <w:rFonts w:hint="eastAsia" w:cs="Times New Roman"/>
                <w:lang w:val="en-US" w:eastAsia="zh-CN"/>
              </w:rPr>
              <w:t>。125平方。</w:t>
            </w:r>
            <w:r>
              <w:rPr>
                <w:rFonts w:hint="eastAsia"/>
                <w:lang w:val="en-US" w:eastAsia="zh-CN"/>
              </w:rPr>
              <w:t>需使用防火材料并提供对应材料的第三方国家级机构防火检测报告</w:t>
            </w:r>
          </w:p>
          <w:p w14:paraId="5C2CE383">
            <w:pPr>
              <w:numPr>
                <w:ilvl w:val="0"/>
                <w:numId w:val="8"/>
              </w:numPr>
              <w:spacing w:after="93" w:line="240" w:lineRule="auto"/>
              <w:rPr>
                <w:rFonts w:hint="default" w:cs="Times New Roman"/>
                <w:lang w:val="en-US" w:eastAsia="zh-CN"/>
              </w:rPr>
            </w:pPr>
            <w:r>
              <w:rPr>
                <w:rFonts w:hint="default" w:cs="Times New Roman"/>
                <w:lang w:val="en-US" w:eastAsia="zh-CN"/>
              </w:rPr>
              <w:t>不锈钢踢脚线规格：10cm</w:t>
            </w:r>
            <w:r>
              <w:rPr>
                <w:rFonts w:hint="eastAsia" w:cs="Times New Roman"/>
                <w:lang w:val="en-US" w:eastAsia="zh-CN"/>
              </w:rPr>
              <w:t>*1.0cm。16米。</w:t>
            </w:r>
          </w:p>
          <w:p w14:paraId="585613FB">
            <w:pPr>
              <w:numPr>
                <w:ilvl w:val="0"/>
                <w:numId w:val="8"/>
              </w:numPr>
              <w:spacing w:after="93" w:line="240" w:lineRule="auto"/>
              <w:rPr>
                <w:rFonts w:hint="default"/>
                <w:lang w:val="en-US" w:eastAsia="zh-CN"/>
              </w:rPr>
            </w:pPr>
            <w:r>
              <w:rPr>
                <w:rFonts w:hint="default" w:cs="Times New Roman"/>
                <w:lang w:val="en-US" w:eastAsia="zh-CN"/>
              </w:rPr>
              <w:t>拆除扩展区域柜式空调</w:t>
            </w:r>
            <w:r>
              <w:rPr>
                <w:rFonts w:hint="eastAsia" w:cs="Times New Roman"/>
                <w:lang w:val="en-US" w:eastAsia="zh-CN"/>
              </w:rPr>
              <w:t>。1台</w:t>
            </w:r>
          </w:p>
        </w:tc>
        <w:tc>
          <w:tcPr>
            <w:tcW w:w="421" w:type="dxa"/>
            <w:shd w:val="clear" w:color="auto" w:fill="auto"/>
            <w:vAlign w:val="center"/>
          </w:tcPr>
          <w:p w14:paraId="38A71E0D">
            <w:pPr>
              <w:spacing w:before="120" w:after="93" w:line="240" w:lineRule="auto"/>
              <w:jc w:val="center"/>
            </w:pPr>
            <w:r>
              <w:rPr>
                <w:rFonts w:hint="eastAsia"/>
              </w:rPr>
              <w:t>套</w:t>
            </w:r>
          </w:p>
        </w:tc>
        <w:tc>
          <w:tcPr>
            <w:tcW w:w="728" w:type="dxa"/>
            <w:shd w:val="clear" w:color="auto" w:fill="auto"/>
            <w:vAlign w:val="center"/>
          </w:tcPr>
          <w:p w14:paraId="0471B7F5">
            <w:pPr>
              <w:spacing w:before="120" w:after="93" w:line="240" w:lineRule="auto"/>
              <w:jc w:val="center"/>
            </w:pPr>
            <w:r>
              <w:rPr>
                <w:rFonts w:hint="eastAsia"/>
              </w:rPr>
              <w:t>1</w:t>
            </w:r>
          </w:p>
        </w:tc>
      </w:tr>
      <w:tr w14:paraId="68AD336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95" w:hRule="atLeast"/>
          <w:jc w:val="center"/>
        </w:trPr>
        <w:tc>
          <w:tcPr>
            <w:tcW w:w="713" w:type="dxa"/>
            <w:shd w:val="clear" w:color="auto" w:fill="auto"/>
            <w:vAlign w:val="center"/>
          </w:tcPr>
          <w:p w14:paraId="2CD7F69C">
            <w:pPr>
              <w:spacing w:before="120" w:after="93" w:line="240" w:lineRule="auto"/>
              <w:jc w:val="center"/>
              <w:rPr>
                <w:rFonts w:hint="default" w:eastAsia="仿宋"/>
                <w:lang w:val="en-US" w:eastAsia="zh-CN"/>
              </w:rPr>
            </w:pPr>
            <w:r>
              <w:rPr>
                <w:rFonts w:hint="eastAsia"/>
                <w:lang w:val="en-US" w:eastAsia="zh-CN"/>
              </w:rPr>
              <w:t>8</w:t>
            </w:r>
          </w:p>
        </w:tc>
        <w:tc>
          <w:tcPr>
            <w:tcW w:w="1533" w:type="dxa"/>
            <w:vMerge w:val="continue"/>
            <w:vAlign w:val="center"/>
          </w:tcPr>
          <w:p w14:paraId="272A616C">
            <w:pPr>
              <w:spacing w:before="120" w:after="93" w:line="240" w:lineRule="auto"/>
              <w:rPr>
                <w:iCs/>
              </w:rPr>
            </w:pPr>
          </w:p>
        </w:tc>
        <w:tc>
          <w:tcPr>
            <w:tcW w:w="6093" w:type="dxa"/>
            <w:shd w:val="clear" w:color="auto" w:fill="auto"/>
            <w:vAlign w:val="center"/>
          </w:tcPr>
          <w:p w14:paraId="7C14A322">
            <w:pPr>
              <w:numPr>
                <w:ilvl w:val="0"/>
                <w:numId w:val="0"/>
              </w:numPr>
              <w:spacing w:after="93" w:line="240" w:lineRule="auto"/>
              <w:rPr>
                <w:rFonts w:hint="eastAsia"/>
                <w:lang w:val="en-US" w:eastAsia="zh-CN"/>
              </w:rPr>
            </w:pPr>
            <w:r>
              <w:rPr>
                <w:rFonts w:hint="eastAsia"/>
                <w:lang w:val="en-US" w:eastAsia="zh-CN"/>
              </w:rPr>
              <w:t>天花处理：</w:t>
            </w:r>
          </w:p>
          <w:p w14:paraId="0F225099">
            <w:pPr>
              <w:numPr>
                <w:ilvl w:val="0"/>
                <w:numId w:val="0"/>
              </w:numPr>
              <w:spacing w:after="93" w:line="240" w:lineRule="auto"/>
              <w:rPr>
                <w:rFonts w:hint="default" w:eastAsia="黑体"/>
                <w:lang w:val="en-US" w:eastAsia="zh-CN"/>
              </w:rPr>
            </w:pPr>
            <w:r>
              <w:rPr>
                <w:rFonts w:hint="eastAsia" w:ascii="仿宋" w:hAnsi="仿宋" w:eastAsia="仿宋" w:cs="Times New Roman"/>
                <w:b w:val="0"/>
                <w:bCs w:val="0"/>
                <w:kern w:val="0"/>
                <w:sz w:val="21"/>
                <w:szCs w:val="21"/>
                <w:lang w:val="en-US" w:eastAsia="zh-CN" w:bidi="ar-SA"/>
              </w:rPr>
              <w:t>1.无孔铝扣天花</w:t>
            </w:r>
            <w:r>
              <w:rPr>
                <w:rFonts w:hint="eastAsia" w:cs="Times New Roman"/>
                <w:b w:val="0"/>
                <w:bCs w:val="0"/>
                <w:kern w:val="0"/>
                <w:sz w:val="21"/>
                <w:szCs w:val="21"/>
                <w:lang w:val="en-US" w:eastAsia="zh-CN" w:bidi="ar-SA"/>
              </w:rPr>
              <w:t xml:space="preserve"> </w:t>
            </w:r>
            <w:r>
              <w:rPr>
                <w:rFonts w:hint="eastAsia" w:ascii="仿宋" w:hAnsi="仿宋" w:eastAsia="仿宋" w:cs="Times New Roman"/>
                <w:b w:val="0"/>
                <w:bCs w:val="0"/>
                <w:kern w:val="0"/>
                <w:sz w:val="21"/>
                <w:szCs w:val="21"/>
                <w:lang w:val="en-US" w:eastAsia="zh-CN" w:bidi="ar-SA"/>
              </w:rPr>
              <w:t>规格：600x600x0.8mm厚铝扣板与配套专用龙骨固定</w:t>
            </w:r>
            <w:r>
              <w:rPr>
                <w:rFonts w:hint="eastAsia" w:cs="Times New Roman"/>
                <w:b w:val="0"/>
                <w:bCs w:val="0"/>
                <w:kern w:val="0"/>
                <w:sz w:val="21"/>
                <w:szCs w:val="21"/>
                <w:lang w:val="en-US" w:eastAsia="zh-CN" w:bidi="ar-SA"/>
              </w:rPr>
              <w:t>（拆除隔断后的天面补充）3平方</w:t>
            </w:r>
          </w:p>
        </w:tc>
        <w:tc>
          <w:tcPr>
            <w:tcW w:w="421" w:type="dxa"/>
            <w:shd w:val="clear" w:color="auto" w:fill="auto"/>
            <w:vAlign w:val="center"/>
          </w:tcPr>
          <w:p w14:paraId="6BFF495D">
            <w:pPr>
              <w:spacing w:before="120" w:after="93" w:line="240" w:lineRule="auto"/>
              <w:jc w:val="center"/>
            </w:pPr>
            <w:r>
              <w:rPr>
                <w:rFonts w:hint="eastAsia"/>
              </w:rPr>
              <w:t>套</w:t>
            </w:r>
          </w:p>
        </w:tc>
        <w:tc>
          <w:tcPr>
            <w:tcW w:w="728" w:type="dxa"/>
            <w:shd w:val="clear" w:color="auto" w:fill="auto"/>
            <w:vAlign w:val="center"/>
          </w:tcPr>
          <w:p w14:paraId="742D8557">
            <w:pPr>
              <w:spacing w:before="120" w:after="93" w:line="240" w:lineRule="auto"/>
              <w:jc w:val="center"/>
            </w:pPr>
            <w:r>
              <w:rPr>
                <w:rFonts w:hint="eastAsia"/>
              </w:rPr>
              <w:t>1</w:t>
            </w:r>
          </w:p>
        </w:tc>
      </w:tr>
    </w:tbl>
    <w:p w14:paraId="3041A949">
      <w:pPr>
        <w:numPr>
          <w:ilvl w:val="0"/>
          <w:numId w:val="0"/>
        </w:numPr>
        <w:tabs>
          <w:tab w:val="left" w:pos="432"/>
          <w:tab w:val="left" w:pos="573"/>
          <w:tab w:val="left" w:pos="1566"/>
        </w:tabs>
        <w:spacing w:after="93" w:line="240" w:lineRule="auto"/>
        <w:outlineLvl w:val="9"/>
        <w:rPr>
          <w:rFonts w:hint="eastAsia" w:eastAsia="仿宋"/>
          <w:lang w:val="en-US" w:eastAsia="zh-CN"/>
        </w:rPr>
      </w:pPr>
      <w:r>
        <w:rPr>
          <w:rFonts w:hint="eastAsia" w:ascii="Times New Roman" w:hAnsi="Times New Roman" w:eastAsia="宋体"/>
          <w:color w:val="auto"/>
          <w:lang w:val="en-US" w:eastAsia="zh-CN"/>
        </w:rPr>
        <w:t>备注：</w:t>
      </w:r>
      <w:r>
        <w:rPr>
          <w:rFonts w:hint="eastAsia" w:ascii="Times New Roman" w:hAnsi="Times New Roman" w:eastAsia="宋体" w:cs="Times New Roman"/>
          <w:color w:val="auto"/>
          <w:sz w:val="21"/>
          <w:szCs w:val="21"/>
          <w:lang w:val="en-US" w:eastAsia="zh-CN" w:bidi="ar-SA"/>
        </w:rPr>
        <w:t>以上推荐品牌为参考，供应商可选用相当于推荐品牌的同等品质的一线品牌，但需在响应文件中提供品牌对比说明及产品认证证明，所有材料、设备需符合国家相关标准和行业规范，供应商需在方案中列明主要材料、设备的品牌、规格、型号、生产厂家。</w:t>
      </w:r>
    </w:p>
    <w:sectPr>
      <w:footerReference r:id="rId5"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国标仿宋">
    <w:altName w:val="仿宋"/>
    <w:panose1 w:val="02000500000000000000"/>
    <w:charset w:val="86"/>
    <w:family w:val="auto"/>
    <w:pitch w:val="default"/>
    <w:sig w:usb0="00000000" w:usb1="00000000" w:usb2="00000016" w:usb3="00000000" w:csb0="00060007"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B68DC2">
    <w:pPr>
      <w:pStyle w:val="1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EBE8C7">
                          <w:pPr>
                            <w:pStyle w:val="1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DEBE8C7">
                    <w:pPr>
                      <w:pStyle w:val="1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60" w:lineRule="auto"/>
      </w:pPr>
      <w:r>
        <w:separator/>
      </w:r>
    </w:p>
  </w:footnote>
  <w:footnote w:type="continuationSeparator" w:id="1">
    <w:p>
      <w:pPr>
        <w:spacing w:before="0" w:after="0"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785C11"/>
    <w:multiLevelType w:val="singleLevel"/>
    <w:tmpl w:val="8D785C11"/>
    <w:lvl w:ilvl="0" w:tentative="0">
      <w:start w:val="1"/>
      <w:numFmt w:val="decimal"/>
      <w:lvlText w:val="%1."/>
      <w:lvlJc w:val="left"/>
      <w:pPr>
        <w:tabs>
          <w:tab w:val="left" w:pos="312"/>
        </w:tabs>
      </w:pPr>
    </w:lvl>
  </w:abstractNum>
  <w:abstractNum w:abstractNumId="1">
    <w:nsid w:val="9272A6F0"/>
    <w:multiLevelType w:val="singleLevel"/>
    <w:tmpl w:val="9272A6F0"/>
    <w:lvl w:ilvl="0" w:tentative="0">
      <w:start w:val="1"/>
      <w:numFmt w:val="decimal"/>
      <w:lvlText w:val="%1."/>
      <w:lvlJc w:val="left"/>
      <w:pPr>
        <w:tabs>
          <w:tab w:val="left" w:pos="312"/>
        </w:tabs>
      </w:pPr>
    </w:lvl>
  </w:abstractNum>
  <w:abstractNum w:abstractNumId="2">
    <w:nsid w:val="B2191B26"/>
    <w:multiLevelType w:val="singleLevel"/>
    <w:tmpl w:val="B2191B26"/>
    <w:lvl w:ilvl="0" w:tentative="0">
      <w:start w:val="1"/>
      <w:numFmt w:val="decimal"/>
      <w:suff w:val="nothing"/>
      <w:lvlText w:val="%1、"/>
      <w:lvlJc w:val="left"/>
    </w:lvl>
  </w:abstractNum>
  <w:abstractNum w:abstractNumId="3">
    <w:nsid w:val="B3668D5D"/>
    <w:multiLevelType w:val="singleLevel"/>
    <w:tmpl w:val="B3668D5D"/>
    <w:lvl w:ilvl="0" w:tentative="0">
      <w:start w:val="1"/>
      <w:numFmt w:val="decimal"/>
      <w:lvlText w:val="%1."/>
      <w:lvlJc w:val="left"/>
      <w:pPr>
        <w:tabs>
          <w:tab w:val="left" w:pos="312"/>
        </w:tabs>
      </w:pPr>
    </w:lvl>
  </w:abstractNum>
  <w:abstractNum w:abstractNumId="4">
    <w:nsid w:val="FB8AFC58"/>
    <w:multiLevelType w:val="singleLevel"/>
    <w:tmpl w:val="FB8AFC58"/>
    <w:lvl w:ilvl="0" w:tentative="0">
      <w:start w:val="1"/>
      <w:numFmt w:val="decimal"/>
      <w:lvlText w:val="%1."/>
      <w:lvlJc w:val="left"/>
      <w:pPr>
        <w:tabs>
          <w:tab w:val="left" w:pos="312"/>
        </w:tabs>
      </w:pPr>
    </w:lvl>
  </w:abstractNum>
  <w:abstractNum w:abstractNumId="5">
    <w:nsid w:val="069E2281"/>
    <w:multiLevelType w:val="multilevel"/>
    <w:tmpl w:val="069E2281"/>
    <w:lvl w:ilvl="0" w:tentative="0">
      <w:start w:val="1"/>
      <w:numFmt w:val="chineseCountingThousand"/>
      <w:pStyle w:val="2"/>
      <w:suff w:val="space"/>
      <w:lvlText w:val="%1、"/>
      <w:lvlJc w:val="left"/>
      <w:pPr>
        <w:ind w:left="573" w:hanging="432"/>
      </w:pPr>
      <w:rPr>
        <w:rFonts w:hint="eastAsia"/>
        <w:color w:val="auto"/>
      </w:rPr>
    </w:lvl>
    <w:lvl w:ilvl="1" w:tentative="0">
      <w:start w:val="1"/>
      <w:numFmt w:val="decimal"/>
      <w:pStyle w:val="3"/>
      <w:lvlText w:val="%1.%2."/>
      <w:lvlJc w:val="left"/>
      <w:pPr>
        <w:tabs>
          <w:tab w:val="left" w:pos="576"/>
        </w:tabs>
        <w:ind w:left="576" w:hanging="576"/>
      </w:pPr>
      <w:rPr>
        <w:rFonts w:hint="eastAsia" w:ascii="Verdana" w:hAnsi="Verdana"/>
      </w:rPr>
    </w:lvl>
    <w:lvl w:ilvl="2" w:tentative="0">
      <w:start w:val="1"/>
      <w:numFmt w:val="decimal"/>
      <w:pStyle w:val="4"/>
      <w:lvlText w:val="%1.%2.%3."/>
      <w:lvlJc w:val="left"/>
      <w:pPr>
        <w:tabs>
          <w:tab w:val="left" w:pos="720"/>
        </w:tabs>
        <w:ind w:left="720" w:hanging="720"/>
      </w:pPr>
      <w:rPr>
        <w:rFonts w:hint="eastAsia" w:ascii="Verdana" w:hAnsi="Verdana"/>
        <w:color w:val="auto"/>
      </w:rPr>
    </w:lvl>
    <w:lvl w:ilvl="3" w:tentative="0">
      <w:start w:val="1"/>
      <w:numFmt w:val="decimal"/>
      <w:pStyle w:val="5"/>
      <w:lvlText w:val="%1.%2.%3.%4."/>
      <w:lvlJc w:val="left"/>
      <w:pPr>
        <w:tabs>
          <w:tab w:val="left" w:pos="864"/>
        </w:tabs>
        <w:ind w:left="864" w:hanging="864"/>
      </w:pPr>
      <w:rPr>
        <w:rFonts w:hint="eastAsia"/>
        <w:b/>
      </w:rPr>
    </w:lvl>
    <w:lvl w:ilvl="4" w:tentative="0">
      <w:start w:val="1"/>
      <w:numFmt w:val="decimal"/>
      <w:pStyle w:val="6"/>
      <w:lvlText w:val="%1.%2.%3.%4.%5"/>
      <w:lvlJc w:val="left"/>
      <w:pPr>
        <w:tabs>
          <w:tab w:val="left" w:pos="1008"/>
        </w:tabs>
        <w:ind w:left="1008" w:hanging="1008"/>
      </w:pPr>
      <w:rPr>
        <w:rFonts w:hint="eastAsia"/>
      </w:rPr>
    </w:lvl>
    <w:lvl w:ilvl="5" w:tentative="0">
      <w:start w:val="1"/>
      <w:numFmt w:val="decimal"/>
      <w:pStyle w:val="7"/>
      <w:lvlText w:val="%1.%2.%3.%4.%5.%6"/>
      <w:lvlJc w:val="left"/>
      <w:pPr>
        <w:tabs>
          <w:tab w:val="left" w:pos="1152"/>
        </w:tabs>
        <w:ind w:left="1152" w:hanging="1152"/>
      </w:pPr>
      <w:rPr>
        <w:rFonts w:hint="eastAsia"/>
      </w:rPr>
    </w:lvl>
    <w:lvl w:ilvl="6" w:tentative="0">
      <w:start w:val="1"/>
      <w:numFmt w:val="decimal"/>
      <w:pStyle w:val="8"/>
      <w:lvlText w:val="%1.%2.%3.%4.%5.%6.%7"/>
      <w:lvlJc w:val="left"/>
      <w:pPr>
        <w:tabs>
          <w:tab w:val="left" w:pos="1296"/>
        </w:tabs>
        <w:ind w:left="1296" w:hanging="1296"/>
      </w:pPr>
      <w:rPr>
        <w:rFonts w:hint="eastAsia"/>
      </w:rPr>
    </w:lvl>
    <w:lvl w:ilvl="7" w:tentative="0">
      <w:start w:val="1"/>
      <w:numFmt w:val="decimal"/>
      <w:pStyle w:val="9"/>
      <w:lvlText w:val="%1.%2.%3.%4.%5.%6.%7.%8"/>
      <w:lvlJc w:val="left"/>
      <w:pPr>
        <w:tabs>
          <w:tab w:val="left" w:pos="1440"/>
        </w:tabs>
        <w:ind w:left="1440" w:hanging="1440"/>
      </w:pPr>
      <w:rPr>
        <w:rFonts w:hint="eastAsia"/>
      </w:rPr>
    </w:lvl>
    <w:lvl w:ilvl="8" w:tentative="0">
      <w:start w:val="1"/>
      <w:numFmt w:val="decimal"/>
      <w:pStyle w:val="10"/>
      <w:lvlText w:val="%1.%2.%3.%4.%5.%6.%7.%8.%9"/>
      <w:lvlJc w:val="left"/>
      <w:pPr>
        <w:tabs>
          <w:tab w:val="left" w:pos="1584"/>
        </w:tabs>
        <w:ind w:left="1584" w:hanging="1584"/>
      </w:pPr>
      <w:rPr>
        <w:rFonts w:hint="eastAsia"/>
      </w:rPr>
    </w:lvl>
  </w:abstractNum>
  <w:abstractNum w:abstractNumId="6">
    <w:nsid w:val="67BC493B"/>
    <w:multiLevelType w:val="singleLevel"/>
    <w:tmpl w:val="67BC493B"/>
    <w:lvl w:ilvl="0" w:tentative="0">
      <w:start w:val="1"/>
      <w:numFmt w:val="decimal"/>
      <w:lvlText w:val="%1."/>
      <w:lvlJc w:val="left"/>
      <w:pPr>
        <w:tabs>
          <w:tab w:val="left" w:pos="312"/>
        </w:tabs>
      </w:pPr>
      <w:rPr>
        <w:rFonts w:hint="default"/>
        <w:b w:val="0"/>
        <w:bCs w:val="0"/>
      </w:rPr>
    </w:lvl>
  </w:abstractNum>
  <w:abstractNum w:abstractNumId="7">
    <w:nsid w:val="6C3F7D37"/>
    <w:multiLevelType w:val="singleLevel"/>
    <w:tmpl w:val="6C3F7D37"/>
    <w:lvl w:ilvl="0" w:tentative="0">
      <w:start w:val="1"/>
      <w:numFmt w:val="decimal"/>
      <w:lvlText w:val="%1."/>
      <w:lvlJc w:val="left"/>
      <w:pPr>
        <w:tabs>
          <w:tab w:val="left" w:pos="312"/>
        </w:tabs>
      </w:pPr>
    </w:lvl>
  </w:abstractNum>
  <w:num w:numId="1">
    <w:abstractNumId w:val="5"/>
  </w:num>
  <w:num w:numId="2">
    <w:abstractNumId w:val="7"/>
  </w:num>
  <w:num w:numId="3">
    <w:abstractNumId w:val="0"/>
  </w:num>
  <w:num w:numId="4">
    <w:abstractNumId w:val="2"/>
  </w:num>
  <w:num w:numId="5">
    <w:abstractNumId w:val="3"/>
  </w:num>
  <w:num w:numId="6">
    <w:abstractNumId w:val="1"/>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Y2MmM0MzU1OTlhZTk5ZjExOGE5ZWVmMDY3Y2Q4N2YifQ=="/>
  </w:docVars>
  <w:rsids>
    <w:rsidRoot w:val="00C80AB1"/>
    <w:rsid w:val="007F5249"/>
    <w:rsid w:val="00BA57A7"/>
    <w:rsid w:val="00C80AB1"/>
    <w:rsid w:val="00DE6B2B"/>
    <w:rsid w:val="015679D0"/>
    <w:rsid w:val="01A73D87"/>
    <w:rsid w:val="01C22FD0"/>
    <w:rsid w:val="01D3706B"/>
    <w:rsid w:val="02571C51"/>
    <w:rsid w:val="025D6B3C"/>
    <w:rsid w:val="0366301F"/>
    <w:rsid w:val="04A27D9F"/>
    <w:rsid w:val="05595CE0"/>
    <w:rsid w:val="05BD0878"/>
    <w:rsid w:val="05C07B0D"/>
    <w:rsid w:val="06291684"/>
    <w:rsid w:val="07064400"/>
    <w:rsid w:val="0754675F"/>
    <w:rsid w:val="07E61381"/>
    <w:rsid w:val="082D682C"/>
    <w:rsid w:val="08A63B71"/>
    <w:rsid w:val="0935611C"/>
    <w:rsid w:val="097053A7"/>
    <w:rsid w:val="09B12F3A"/>
    <w:rsid w:val="0A7333A0"/>
    <w:rsid w:val="0AD44D53"/>
    <w:rsid w:val="0B3543AA"/>
    <w:rsid w:val="0B6F66C5"/>
    <w:rsid w:val="0B81389B"/>
    <w:rsid w:val="0BD065D0"/>
    <w:rsid w:val="0BD240F7"/>
    <w:rsid w:val="0BE95379"/>
    <w:rsid w:val="0CFD7834"/>
    <w:rsid w:val="0D0C3638"/>
    <w:rsid w:val="0D6E3CFA"/>
    <w:rsid w:val="0D8A04F6"/>
    <w:rsid w:val="0D9542A1"/>
    <w:rsid w:val="0DC768BB"/>
    <w:rsid w:val="0E0C00E2"/>
    <w:rsid w:val="0E2F3A98"/>
    <w:rsid w:val="0E407A3D"/>
    <w:rsid w:val="0E573A15"/>
    <w:rsid w:val="0E8813E4"/>
    <w:rsid w:val="0E9B09F2"/>
    <w:rsid w:val="0EF86860"/>
    <w:rsid w:val="0F071AEF"/>
    <w:rsid w:val="0F933B9D"/>
    <w:rsid w:val="0F94112B"/>
    <w:rsid w:val="10437371"/>
    <w:rsid w:val="11B00A36"/>
    <w:rsid w:val="11BF336F"/>
    <w:rsid w:val="1259655B"/>
    <w:rsid w:val="126B2BAF"/>
    <w:rsid w:val="13441D7E"/>
    <w:rsid w:val="136A0573"/>
    <w:rsid w:val="13F549B3"/>
    <w:rsid w:val="14380FAF"/>
    <w:rsid w:val="14531B4D"/>
    <w:rsid w:val="147C4A3D"/>
    <w:rsid w:val="148B1C44"/>
    <w:rsid w:val="14B051F1"/>
    <w:rsid w:val="173739A8"/>
    <w:rsid w:val="184C07AA"/>
    <w:rsid w:val="19430DB9"/>
    <w:rsid w:val="1A642D06"/>
    <w:rsid w:val="1AB71087"/>
    <w:rsid w:val="1B967FA7"/>
    <w:rsid w:val="1C580648"/>
    <w:rsid w:val="1D036806"/>
    <w:rsid w:val="1D0D4C36"/>
    <w:rsid w:val="1E217D0B"/>
    <w:rsid w:val="1E796654"/>
    <w:rsid w:val="1EB51D82"/>
    <w:rsid w:val="1FD73C94"/>
    <w:rsid w:val="20012DA5"/>
    <w:rsid w:val="20586E69"/>
    <w:rsid w:val="206C2914"/>
    <w:rsid w:val="20763544"/>
    <w:rsid w:val="20A0698F"/>
    <w:rsid w:val="217F0425"/>
    <w:rsid w:val="21DD7236"/>
    <w:rsid w:val="22237360"/>
    <w:rsid w:val="22CB62FA"/>
    <w:rsid w:val="22DF561F"/>
    <w:rsid w:val="232B0196"/>
    <w:rsid w:val="234A05BF"/>
    <w:rsid w:val="24FC660E"/>
    <w:rsid w:val="25331C52"/>
    <w:rsid w:val="25837E9A"/>
    <w:rsid w:val="25AE13D7"/>
    <w:rsid w:val="26243349"/>
    <w:rsid w:val="26B96187"/>
    <w:rsid w:val="26FA2333"/>
    <w:rsid w:val="272C4D7D"/>
    <w:rsid w:val="27400656"/>
    <w:rsid w:val="27B54BA0"/>
    <w:rsid w:val="27DC037F"/>
    <w:rsid w:val="27E925ED"/>
    <w:rsid w:val="2857391C"/>
    <w:rsid w:val="288A1B89"/>
    <w:rsid w:val="28FA45AA"/>
    <w:rsid w:val="29120285"/>
    <w:rsid w:val="29997F50"/>
    <w:rsid w:val="29A44ECD"/>
    <w:rsid w:val="29B50E88"/>
    <w:rsid w:val="29CF181E"/>
    <w:rsid w:val="29DB6414"/>
    <w:rsid w:val="2A17668E"/>
    <w:rsid w:val="2A274292"/>
    <w:rsid w:val="2AA0795F"/>
    <w:rsid w:val="2AAB228B"/>
    <w:rsid w:val="2AB729DE"/>
    <w:rsid w:val="2AC770A0"/>
    <w:rsid w:val="2AD03EFD"/>
    <w:rsid w:val="2AF72068"/>
    <w:rsid w:val="2B1240B8"/>
    <w:rsid w:val="2B4D20BD"/>
    <w:rsid w:val="2B5C67AA"/>
    <w:rsid w:val="2B5C67DA"/>
    <w:rsid w:val="2B8A6344"/>
    <w:rsid w:val="2BBF74BE"/>
    <w:rsid w:val="2C0734F1"/>
    <w:rsid w:val="2C282E19"/>
    <w:rsid w:val="2C6432F7"/>
    <w:rsid w:val="2CF05E93"/>
    <w:rsid w:val="2E6F717C"/>
    <w:rsid w:val="2EA80FBB"/>
    <w:rsid w:val="2EAE40F8"/>
    <w:rsid w:val="2EF35FAE"/>
    <w:rsid w:val="2F1D721B"/>
    <w:rsid w:val="2FF812D8"/>
    <w:rsid w:val="30203302"/>
    <w:rsid w:val="30220BB7"/>
    <w:rsid w:val="3087275D"/>
    <w:rsid w:val="311506B1"/>
    <w:rsid w:val="313C023F"/>
    <w:rsid w:val="315A2315"/>
    <w:rsid w:val="317B6345"/>
    <w:rsid w:val="318533A3"/>
    <w:rsid w:val="32C75A91"/>
    <w:rsid w:val="335039CF"/>
    <w:rsid w:val="33E5654E"/>
    <w:rsid w:val="34021057"/>
    <w:rsid w:val="34F51D88"/>
    <w:rsid w:val="351F5D4F"/>
    <w:rsid w:val="352B4FC9"/>
    <w:rsid w:val="35406F40"/>
    <w:rsid w:val="35777939"/>
    <w:rsid w:val="35EE2B08"/>
    <w:rsid w:val="35FB5AEB"/>
    <w:rsid w:val="365302AE"/>
    <w:rsid w:val="36DB7D59"/>
    <w:rsid w:val="37C077B1"/>
    <w:rsid w:val="37CB5D1A"/>
    <w:rsid w:val="37D90437"/>
    <w:rsid w:val="37FA215C"/>
    <w:rsid w:val="38D76199"/>
    <w:rsid w:val="394E6C03"/>
    <w:rsid w:val="39C452B0"/>
    <w:rsid w:val="39D76BF8"/>
    <w:rsid w:val="3A255BB6"/>
    <w:rsid w:val="3A4A561C"/>
    <w:rsid w:val="3A831F42"/>
    <w:rsid w:val="3A88267B"/>
    <w:rsid w:val="3AD43138"/>
    <w:rsid w:val="3B095053"/>
    <w:rsid w:val="3B3F552C"/>
    <w:rsid w:val="3C0B0DDB"/>
    <w:rsid w:val="3C853F56"/>
    <w:rsid w:val="3D8F24F1"/>
    <w:rsid w:val="3EAF27EE"/>
    <w:rsid w:val="3F9A06D1"/>
    <w:rsid w:val="3FC714BD"/>
    <w:rsid w:val="3FCC6AD3"/>
    <w:rsid w:val="3FFD52E9"/>
    <w:rsid w:val="40281B4E"/>
    <w:rsid w:val="40442B0E"/>
    <w:rsid w:val="40DB5220"/>
    <w:rsid w:val="40F167F2"/>
    <w:rsid w:val="41884094"/>
    <w:rsid w:val="41B86898"/>
    <w:rsid w:val="41E2613A"/>
    <w:rsid w:val="41FE624F"/>
    <w:rsid w:val="42EA760C"/>
    <w:rsid w:val="431E34F5"/>
    <w:rsid w:val="43D2242F"/>
    <w:rsid w:val="43EC32A0"/>
    <w:rsid w:val="441246ED"/>
    <w:rsid w:val="44254A04"/>
    <w:rsid w:val="44440224"/>
    <w:rsid w:val="447A02DD"/>
    <w:rsid w:val="4580177B"/>
    <w:rsid w:val="45CE41A4"/>
    <w:rsid w:val="464F5D68"/>
    <w:rsid w:val="4665733A"/>
    <w:rsid w:val="46CD208A"/>
    <w:rsid w:val="46CE5CB1"/>
    <w:rsid w:val="4746716B"/>
    <w:rsid w:val="47480D31"/>
    <w:rsid w:val="478836FC"/>
    <w:rsid w:val="48401A65"/>
    <w:rsid w:val="48D10310"/>
    <w:rsid w:val="490619BC"/>
    <w:rsid w:val="49435EA6"/>
    <w:rsid w:val="49956188"/>
    <w:rsid w:val="4A103A07"/>
    <w:rsid w:val="4A4473E5"/>
    <w:rsid w:val="4AE01685"/>
    <w:rsid w:val="4B155F08"/>
    <w:rsid w:val="4B215F25"/>
    <w:rsid w:val="4B6127C6"/>
    <w:rsid w:val="4BA32DDE"/>
    <w:rsid w:val="4BB62FE7"/>
    <w:rsid w:val="4C40062D"/>
    <w:rsid w:val="4D065CB8"/>
    <w:rsid w:val="4DA07254"/>
    <w:rsid w:val="4DDA7937"/>
    <w:rsid w:val="4E920EE8"/>
    <w:rsid w:val="4ED30702"/>
    <w:rsid w:val="4F6463E1"/>
    <w:rsid w:val="4F8E7901"/>
    <w:rsid w:val="500F634C"/>
    <w:rsid w:val="50F10148"/>
    <w:rsid w:val="51850890"/>
    <w:rsid w:val="524E6564"/>
    <w:rsid w:val="535B4BEB"/>
    <w:rsid w:val="536F7A4A"/>
    <w:rsid w:val="540463E4"/>
    <w:rsid w:val="54374B97"/>
    <w:rsid w:val="544B2759"/>
    <w:rsid w:val="54AF45A2"/>
    <w:rsid w:val="54C067AF"/>
    <w:rsid w:val="55022CBB"/>
    <w:rsid w:val="555E3509"/>
    <w:rsid w:val="55621614"/>
    <w:rsid w:val="55C53951"/>
    <w:rsid w:val="56141FBE"/>
    <w:rsid w:val="574E5C8E"/>
    <w:rsid w:val="57C93BCD"/>
    <w:rsid w:val="57EC78BB"/>
    <w:rsid w:val="58122E11"/>
    <w:rsid w:val="58390AFF"/>
    <w:rsid w:val="583A0C55"/>
    <w:rsid w:val="58CD4FF7"/>
    <w:rsid w:val="5980665F"/>
    <w:rsid w:val="59A35477"/>
    <w:rsid w:val="59E87171"/>
    <w:rsid w:val="5A0F0785"/>
    <w:rsid w:val="5A9621C3"/>
    <w:rsid w:val="5AB056BB"/>
    <w:rsid w:val="5AB60729"/>
    <w:rsid w:val="5B1C7F9F"/>
    <w:rsid w:val="5B4A3CCD"/>
    <w:rsid w:val="5B820325"/>
    <w:rsid w:val="5B994A4F"/>
    <w:rsid w:val="5BEA1CBA"/>
    <w:rsid w:val="5C6043D4"/>
    <w:rsid w:val="5C606182"/>
    <w:rsid w:val="5C990449"/>
    <w:rsid w:val="5CA644DC"/>
    <w:rsid w:val="5D1A0A26"/>
    <w:rsid w:val="5D731EE5"/>
    <w:rsid w:val="5DFC59C2"/>
    <w:rsid w:val="5E345B18"/>
    <w:rsid w:val="5E56547F"/>
    <w:rsid w:val="5EB779D3"/>
    <w:rsid w:val="5EE50BC0"/>
    <w:rsid w:val="5F2A6296"/>
    <w:rsid w:val="5F443B39"/>
    <w:rsid w:val="5FB02439"/>
    <w:rsid w:val="5FB20CD0"/>
    <w:rsid w:val="5FBE25B5"/>
    <w:rsid w:val="5FD650D9"/>
    <w:rsid w:val="602E6B7E"/>
    <w:rsid w:val="60725AC7"/>
    <w:rsid w:val="607F065F"/>
    <w:rsid w:val="60B52F97"/>
    <w:rsid w:val="61471CA6"/>
    <w:rsid w:val="61497B2C"/>
    <w:rsid w:val="62CC598C"/>
    <w:rsid w:val="631A1780"/>
    <w:rsid w:val="637846F9"/>
    <w:rsid w:val="637D1D0F"/>
    <w:rsid w:val="63E73776"/>
    <w:rsid w:val="645667E8"/>
    <w:rsid w:val="645C36D2"/>
    <w:rsid w:val="648669A1"/>
    <w:rsid w:val="64F34037"/>
    <w:rsid w:val="651C43DE"/>
    <w:rsid w:val="654F3237"/>
    <w:rsid w:val="6580743E"/>
    <w:rsid w:val="65DC0F6F"/>
    <w:rsid w:val="66CF2882"/>
    <w:rsid w:val="6784366C"/>
    <w:rsid w:val="67E7729B"/>
    <w:rsid w:val="68AA5354"/>
    <w:rsid w:val="68C26F73"/>
    <w:rsid w:val="68D47E6F"/>
    <w:rsid w:val="69137510"/>
    <w:rsid w:val="6A410CB2"/>
    <w:rsid w:val="6A725072"/>
    <w:rsid w:val="6A7F011B"/>
    <w:rsid w:val="6AA45DD3"/>
    <w:rsid w:val="6B0A20DA"/>
    <w:rsid w:val="6B3D45A9"/>
    <w:rsid w:val="6BA56A2D"/>
    <w:rsid w:val="6BFB5EC7"/>
    <w:rsid w:val="6C5F0E5B"/>
    <w:rsid w:val="6C9963C4"/>
    <w:rsid w:val="6CD4739D"/>
    <w:rsid w:val="6D8769DA"/>
    <w:rsid w:val="6DEE4983"/>
    <w:rsid w:val="6E337B9A"/>
    <w:rsid w:val="6EA734EB"/>
    <w:rsid w:val="6EC151A6"/>
    <w:rsid w:val="6EF71ED3"/>
    <w:rsid w:val="6F09347A"/>
    <w:rsid w:val="6F4D336D"/>
    <w:rsid w:val="6FDD161C"/>
    <w:rsid w:val="70062B17"/>
    <w:rsid w:val="706B4BC5"/>
    <w:rsid w:val="70A61053"/>
    <w:rsid w:val="70CC6F93"/>
    <w:rsid w:val="71913196"/>
    <w:rsid w:val="71D97775"/>
    <w:rsid w:val="71E25E86"/>
    <w:rsid w:val="72095D23"/>
    <w:rsid w:val="727D52DC"/>
    <w:rsid w:val="72C139C6"/>
    <w:rsid w:val="730613D9"/>
    <w:rsid w:val="73FA1C0E"/>
    <w:rsid w:val="742E11B7"/>
    <w:rsid w:val="748564A6"/>
    <w:rsid w:val="74F14015"/>
    <w:rsid w:val="75003802"/>
    <w:rsid w:val="758E56B6"/>
    <w:rsid w:val="75D7705D"/>
    <w:rsid w:val="761C7166"/>
    <w:rsid w:val="762373FC"/>
    <w:rsid w:val="76375D4D"/>
    <w:rsid w:val="769A6A08"/>
    <w:rsid w:val="769D60E3"/>
    <w:rsid w:val="77190713"/>
    <w:rsid w:val="772C33D8"/>
    <w:rsid w:val="777E5BC3"/>
    <w:rsid w:val="77EF4B32"/>
    <w:rsid w:val="78343D90"/>
    <w:rsid w:val="788F68A6"/>
    <w:rsid w:val="791B238A"/>
    <w:rsid w:val="792F0B5F"/>
    <w:rsid w:val="797352EE"/>
    <w:rsid w:val="7AD0585A"/>
    <w:rsid w:val="7B1A0538"/>
    <w:rsid w:val="7BB3231A"/>
    <w:rsid w:val="7BBF13B3"/>
    <w:rsid w:val="7BC63DFB"/>
    <w:rsid w:val="7C31085E"/>
    <w:rsid w:val="7C4A4A2C"/>
    <w:rsid w:val="7CA925EC"/>
    <w:rsid w:val="7CE16A13"/>
    <w:rsid w:val="7D2863F0"/>
    <w:rsid w:val="7D5D078F"/>
    <w:rsid w:val="7E6170ED"/>
    <w:rsid w:val="7F637BB3"/>
    <w:rsid w:val="7FFA14D1"/>
    <w:rsid w:val="7FFF0F7C"/>
    <w:rsid w:val="DFB679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nhideWhenUsed="0" w:uiPriority="9" w:semiHidden="0" w:name="heading 7"/>
    <w:lsdException w:qFormat="1" w:unhideWhenUsed="0" w:uiPriority="9" w:semiHidden="0" w:name="heading 8"/>
    <w:lsdException w:qFormat="1" w:unhideWhenUsed="0"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napToGrid w:val="0"/>
      <w:spacing w:after="72" w:afterLines="30" w:line="360" w:lineRule="auto"/>
    </w:pPr>
    <w:rPr>
      <w:rFonts w:ascii="仿宋" w:hAnsi="仿宋" w:eastAsia="仿宋" w:cs="Times New Roman"/>
      <w:sz w:val="21"/>
      <w:szCs w:val="21"/>
      <w:lang w:val="en-US" w:eastAsia="zh-CN" w:bidi="ar-SA"/>
    </w:rPr>
  </w:style>
  <w:style w:type="paragraph" w:styleId="2">
    <w:name w:val="heading 1"/>
    <w:basedOn w:val="1"/>
    <w:next w:val="1"/>
    <w:link w:val="22"/>
    <w:qFormat/>
    <w:uiPriority w:val="0"/>
    <w:pPr>
      <w:keepNext/>
      <w:keepLines/>
      <w:numPr>
        <w:ilvl w:val="0"/>
        <w:numId w:val="1"/>
      </w:numPr>
      <w:tabs>
        <w:tab w:val="left" w:pos="432"/>
        <w:tab w:val="left" w:pos="573"/>
        <w:tab w:val="left" w:pos="1566"/>
      </w:tabs>
      <w:spacing w:before="360" w:after="360" w:line="240" w:lineRule="auto"/>
      <w:outlineLvl w:val="0"/>
    </w:pPr>
    <w:rPr>
      <w:rFonts w:eastAsia="黑体"/>
      <w:b/>
      <w:bCs/>
      <w:kern w:val="44"/>
      <w:sz w:val="36"/>
      <w:szCs w:val="44"/>
    </w:rPr>
  </w:style>
  <w:style w:type="paragraph" w:styleId="3">
    <w:name w:val="heading 2"/>
    <w:basedOn w:val="1"/>
    <w:next w:val="1"/>
    <w:link w:val="23"/>
    <w:qFormat/>
    <w:uiPriority w:val="0"/>
    <w:pPr>
      <w:keepNext/>
      <w:keepLines/>
      <w:numPr>
        <w:ilvl w:val="1"/>
        <w:numId w:val="1"/>
      </w:numPr>
      <w:tabs>
        <w:tab w:val="left" w:pos="718"/>
      </w:tabs>
      <w:spacing w:before="360" w:after="240" w:line="240" w:lineRule="auto"/>
      <w:outlineLvl w:val="1"/>
    </w:pPr>
    <w:rPr>
      <w:rFonts w:ascii="Arial" w:hAnsi="Arial" w:eastAsia="黑体"/>
      <w:b/>
      <w:bCs/>
      <w:sz w:val="32"/>
      <w:szCs w:val="32"/>
    </w:rPr>
  </w:style>
  <w:style w:type="paragraph" w:styleId="4">
    <w:name w:val="heading 3"/>
    <w:basedOn w:val="1"/>
    <w:next w:val="1"/>
    <w:link w:val="24"/>
    <w:qFormat/>
    <w:uiPriority w:val="9"/>
    <w:pPr>
      <w:keepNext/>
      <w:keepLines/>
      <w:numPr>
        <w:ilvl w:val="2"/>
        <w:numId w:val="1"/>
      </w:numPr>
      <w:spacing w:beforeLines="75" w:line="240" w:lineRule="auto"/>
      <w:outlineLvl w:val="2"/>
    </w:pPr>
    <w:rPr>
      <w:rFonts w:ascii="Arial" w:hAnsi="Arial" w:eastAsia="黑体"/>
      <w:b/>
      <w:bCs/>
      <w:sz w:val="30"/>
      <w:szCs w:val="32"/>
    </w:rPr>
  </w:style>
  <w:style w:type="paragraph" w:styleId="5">
    <w:name w:val="heading 4"/>
    <w:basedOn w:val="1"/>
    <w:next w:val="1"/>
    <w:link w:val="25"/>
    <w:qFormat/>
    <w:uiPriority w:val="9"/>
    <w:pPr>
      <w:keepNext/>
      <w:keepLines/>
      <w:numPr>
        <w:ilvl w:val="3"/>
        <w:numId w:val="1"/>
      </w:numPr>
      <w:spacing w:beforeLines="100"/>
      <w:outlineLvl w:val="3"/>
    </w:pPr>
    <w:rPr>
      <w:rFonts w:ascii="Verdana" w:hAnsi="Verdana" w:eastAsia="黑体"/>
      <w:b/>
      <w:bCs/>
      <w:sz w:val="28"/>
    </w:rPr>
  </w:style>
  <w:style w:type="paragraph" w:styleId="6">
    <w:name w:val="heading 5"/>
    <w:basedOn w:val="1"/>
    <w:next w:val="1"/>
    <w:link w:val="26"/>
    <w:qFormat/>
    <w:uiPriority w:val="9"/>
    <w:pPr>
      <w:keepNext/>
      <w:keepLines/>
      <w:numPr>
        <w:ilvl w:val="4"/>
        <w:numId w:val="1"/>
      </w:numPr>
      <w:spacing w:beforeLines="100"/>
      <w:outlineLvl w:val="4"/>
    </w:pPr>
    <w:rPr>
      <w:rFonts w:ascii="Verdana" w:hAnsi="Verdana" w:eastAsia="黑体"/>
      <w:b/>
      <w:bCs/>
      <w:szCs w:val="24"/>
    </w:rPr>
  </w:style>
  <w:style w:type="paragraph" w:styleId="7">
    <w:name w:val="heading 6"/>
    <w:basedOn w:val="1"/>
    <w:next w:val="1"/>
    <w:link w:val="27"/>
    <w:qFormat/>
    <w:uiPriority w:val="9"/>
    <w:pPr>
      <w:keepNext/>
      <w:keepLines/>
      <w:numPr>
        <w:ilvl w:val="5"/>
        <w:numId w:val="1"/>
      </w:numPr>
      <w:spacing w:before="240" w:after="64" w:line="320" w:lineRule="atLeast"/>
      <w:outlineLvl w:val="5"/>
    </w:pPr>
    <w:rPr>
      <w:rFonts w:ascii="Arial" w:hAnsi="Arial" w:eastAsia="黑体"/>
      <w:b/>
      <w:bCs/>
      <w:szCs w:val="24"/>
    </w:rPr>
  </w:style>
  <w:style w:type="paragraph" w:styleId="8">
    <w:name w:val="heading 7"/>
    <w:basedOn w:val="1"/>
    <w:next w:val="1"/>
    <w:link w:val="28"/>
    <w:qFormat/>
    <w:uiPriority w:val="9"/>
    <w:pPr>
      <w:keepNext/>
      <w:keepLines/>
      <w:numPr>
        <w:ilvl w:val="6"/>
        <w:numId w:val="1"/>
      </w:numPr>
      <w:spacing w:before="240" w:after="64" w:line="320" w:lineRule="atLeast"/>
      <w:outlineLvl w:val="6"/>
    </w:pPr>
    <w:rPr>
      <w:b/>
      <w:bCs/>
      <w:szCs w:val="24"/>
    </w:rPr>
  </w:style>
  <w:style w:type="paragraph" w:styleId="9">
    <w:name w:val="heading 8"/>
    <w:basedOn w:val="1"/>
    <w:next w:val="1"/>
    <w:link w:val="29"/>
    <w:qFormat/>
    <w:uiPriority w:val="9"/>
    <w:pPr>
      <w:keepNext/>
      <w:keepLines/>
      <w:numPr>
        <w:ilvl w:val="7"/>
        <w:numId w:val="1"/>
      </w:numPr>
      <w:spacing w:before="240" w:after="64" w:line="320" w:lineRule="atLeast"/>
      <w:outlineLvl w:val="7"/>
    </w:pPr>
    <w:rPr>
      <w:rFonts w:ascii="Arial" w:hAnsi="Arial" w:eastAsia="黑体"/>
      <w:szCs w:val="24"/>
    </w:rPr>
  </w:style>
  <w:style w:type="paragraph" w:styleId="10">
    <w:name w:val="heading 9"/>
    <w:basedOn w:val="1"/>
    <w:next w:val="1"/>
    <w:link w:val="30"/>
    <w:qFormat/>
    <w:uiPriority w:val="9"/>
    <w:pPr>
      <w:keepNext/>
      <w:keepLines/>
      <w:numPr>
        <w:ilvl w:val="8"/>
        <w:numId w:val="1"/>
      </w:numPr>
      <w:spacing w:before="240" w:after="64" w:line="320" w:lineRule="atLeast"/>
      <w:outlineLvl w:val="8"/>
    </w:pPr>
    <w:rPr>
      <w:rFonts w:ascii="Arial" w:hAnsi="Arial" w:eastAsia="黑体"/>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11">
    <w:name w:val="annotation text"/>
    <w:basedOn w:val="1"/>
    <w:link w:val="36"/>
    <w:unhideWhenUsed/>
    <w:qFormat/>
    <w:uiPriority w:val="99"/>
  </w:style>
  <w:style w:type="paragraph" w:styleId="12">
    <w:name w:val="footer"/>
    <w:basedOn w:val="1"/>
    <w:link w:val="21"/>
    <w:unhideWhenUsed/>
    <w:qFormat/>
    <w:uiPriority w:val="99"/>
    <w:pPr>
      <w:tabs>
        <w:tab w:val="center" w:pos="4153"/>
        <w:tab w:val="right" w:pos="8306"/>
      </w:tabs>
    </w:pPr>
    <w:rPr>
      <w:sz w:val="18"/>
      <w:szCs w:val="18"/>
    </w:rPr>
  </w:style>
  <w:style w:type="paragraph" w:styleId="13">
    <w:name w:val="header"/>
    <w:basedOn w:val="1"/>
    <w:link w:val="20"/>
    <w:unhideWhenUsed/>
    <w:qFormat/>
    <w:uiPriority w:val="99"/>
    <w:pPr>
      <w:pBdr>
        <w:bottom w:val="single" w:color="auto" w:sz="6" w:space="1"/>
      </w:pBdr>
      <w:tabs>
        <w:tab w:val="center" w:pos="4153"/>
        <w:tab w:val="right" w:pos="8306"/>
      </w:tabs>
      <w:jc w:val="center"/>
    </w:pPr>
    <w:rPr>
      <w:sz w:val="18"/>
      <w:szCs w:val="18"/>
    </w:rPr>
  </w:style>
  <w:style w:type="paragraph" w:styleId="14">
    <w:name w:val="Normal (Web)"/>
    <w:basedOn w:val="1"/>
    <w:semiHidden/>
    <w:unhideWhenUsed/>
    <w:qFormat/>
    <w:uiPriority w:val="99"/>
    <w:rPr>
      <w:sz w:val="24"/>
    </w:rPr>
  </w:style>
  <w:style w:type="paragraph" w:styleId="15">
    <w:name w:val="annotation subject"/>
    <w:basedOn w:val="11"/>
    <w:next w:val="11"/>
    <w:link w:val="37"/>
    <w:unhideWhenUsed/>
    <w:qFormat/>
    <w:uiPriority w:val="99"/>
    <w:rPr>
      <w:b/>
      <w:bCs/>
    </w:rPr>
  </w:style>
  <w:style w:type="table" w:styleId="17">
    <w:name w:val="Table Grid"/>
    <w:basedOn w:val="1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annotation reference"/>
    <w:basedOn w:val="18"/>
    <w:unhideWhenUsed/>
    <w:qFormat/>
    <w:uiPriority w:val="99"/>
    <w:rPr>
      <w:sz w:val="21"/>
      <w:szCs w:val="21"/>
    </w:rPr>
  </w:style>
  <w:style w:type="character" w:customStyle="1" w:styleId="20">
    <w:name w:val="页眉 字符"/>
    <w:basedOn w:val="18"/>
    <w:link w:val="13"/>
    <w:qFormat/>
    <w:uiPriority w:val="99"/>
    <w:rPr>
      <w:sz w:val="18"/>
      <w:szCs w:val="18"/>
    </w:rPr>
  </w:style>
  <w:style w:type="character" w:customStyle="1" w:styleId="21">
    <w:name w:val="页脚 字符"/>
    <w:basedOn w:val="18"/>
    <w:link w:val="12"/>
    <w:qFormat/>
    <w:uiPriority w:val="99"/>
    <w:rPr>
      <w:sz w:val="18"/>
      <w:szCs w:val="18"/>
    </w:rPr>
  </w:style>
  <w:style w:type="character" w:customStyle="1" w:styleId="22">
    <w:name w:val="标题 1 字符"/>
    <w:basedOn w:val="18"/>
    <w:link w:val="2"/>
    <w:qFormat/>
    <w:uiPriority w:val="0"/>
    <w:rPr>
      <w:rFonts w:ascii="仿宋" w:hAnsi="仿宋" w:eastAsia="黑体" w:cs="Times New Roman"/>
      <w:b/>
      <w:bCs/>
      <w:kern w:val="44"/>
      <w:sz w:val="36"/>
      <w:szCs w:val="44"/>
    </w:rPr>
  </w:style>
  <w:style w:type="character" w:customStyle="1" w:styleId="23">
    <w:name w:val="标题 2 字符"/>
    <w:basedOn w:val="18"/>
    <w:link w:val="3"/>
    <w:qFormat/>
    <w:uiPriority w:val="0"/>
    <w:rPr>
      <w:rFonts w:ascii="Arial" w:hAnsi="Arial" w:eastAsia="黑体" w:cs="Times New Roman"/>
      <w:b/>
      <w:bCs/>
      <w:kern w:val="0"/>
      <w:sz w:val="32"/>
      <w:szCs w:val="32"/>
    </w:rPr>
  </w:style>
  <w:style w:type="character" w:customStyle="1" w:styleId="24">
    <w:name w:val="标题 3 字符"/>
    <w:basedOn w:val="18"/>
    <w:link w:val="4"/>
    <w:qFormat/>
    <w:uiPriority w:val="9"/>
    <w:rPr>
      <w:rFonts w:ascii="Arial" w:hAnsi="Arial" w:eastAsia="黑体" w:cs="Times New Roman"/>
      <w:b/>
      <w:bCs/>
      <w:kern w:val="0"/>
      <w:sz w:val="30"/>
      <w:szCs w:val="32"/>
    </w:rPr>
  </w:style>
  <w:style w:type="character" w:customStyle="1" w:styleId="25">
    <w:name w:val="标题 4 字符"/>
    <w:basedOn w:val="18"/>
    <w:link w:val="5"/>
    <w:qFormat/>
    <w:uiPriority w:val="9"/>
    <w:rPr>
      <w:rFonts w:ascii="Verdana" w:hAnsi="Verdana" w:eastAsia="黑体" w:cs="Times New Roman"/>
      <w:b/>
      <w:bCs/>
      <w:kern w:val="0"/>
      <w:sz w:val="28"/>
      <w:szCs w:val="21"/>
    </w:rPr>
  </w:style>
  <w:style w:type="character" w:customStyle="1" w:styleId="26">
    <w:name w:val="标题 5 字符"/>
    <w:basedOn w:val="18"/>
    <w:link w:val="6"/>
    <w:qFormat/>
    <w:uiPriority w:val="9"/>
    <w:rPr>
      <w:rFonts w:ascii="Verdana" w:hAnsi="Verdana" w:eastAsia="黑体" w:cs="Times New Roman"/>
      <w:b/>
      <w:bCs/>
      <w:kern w:val="0"/>
      <w:szCs w:val="24"/>
    </w:rPr>
  </w:style>
  <w:style w:type="character" w:customStyle="1" w:styleId="27">
    <w:name w:val="标题 6 字符"/>
    <w:basedOn w:val="18"/>
    <w:link w:val="7"/>
    <w:qFormat/>
    <w:uiPriority w:val="9"/>
    <w:rPr>
      <w:rFonts w:ascii="Arial" w:hAnsi="Arial" w:eastAsia="黑体" w:cs="Times New Roman"/>
      <w:b/>
      <w:bCs/>
      <w:kern w:val="0"/>
      <w:szCs w:val="24"/>
    </w:rPr>
  </w:style>
  <w:style w:type="character" w:customStyle="1" w:styleId="28">
    <w:name w:val="标题 7 字符"/>
    <w:basedOn w:val="18"/>
    <w:link w:val="8"/>
    <w:qFormat/>
    <w:uiPriority w:val="9"/>
    <w:rPr>
      <w:rFonts w:ascii="仿宋" w:hAnsi="仿宋" w:eastAsia="仿宋" w:cs="Times New Roman"/>
      <w:b/>
      <w:bCs/>
      <w:kern w:val="0"/>
      <w:szCs w:val="24"/>
    </w:rPr>
  </w:style>
  <w:style w:type="character" w:customStyle="1" w:styleId="29">
    <w:name w:val="标题 8 字符"/>
    <w:basedOn w:val="18"/>
    <w:link w:val="9"/>
    <w:qFormat/>
    <w:uiPriority w:val="9"/>
    <w:rPr>
      <w:rFonts w:ascii="Arial" w:hAnsi="Arial" w:eastAsia="黑体" w:cs="Times New Roman"/>
      <w:kern w:val="0"/>
      <w:szCs w:val="24"/>
    </w:rPr>
  </w:style>
  <w:style w:type="character" w:customStyle="1" w:styleId="30">
    <w:name w:val="标题 9 字符"/>
    <w:basedOn w:val="18"/>
    <w:link w:val="10"/>
    <w:qFormat/>
    <w:uiPriority w:val="9"/>
    <w:rPr>
      <w:rFonts w:ascii="Arial" w:hAnsi="Arial" w:eastAsia="黑体" w:cs="Times New Roman"/>
      <w:kern w:val="0"/>
      <w:szCs w:val="21"/>
    </w:rPr>
  </w:style>
  <w:style w:type="paragraph" w:customStyle="1" w:styleId="31">
    <w:name w:val="无间隔11"/>
    <w:link w:val="32"/>
    <w:qFormat/>
    <w:uiPriority w:val="1"/>
    <w:pPr>
      <w:spacing w:after="160" w:line="278" w:lineRule="auto"/>
    </w:pPr>
    <w:rPr>
      <w:rFonts w:ascii="Calibri" w:hAnsi="Calibri" w:eastAsia="宋体" w:cs="Times New Roman"/>
      <w:sz w:val="22"/>
      <w:szCs w:val="22"/>
      <w:lang w:val="en-US" w:eastAsia="zh-CN" w:bidi="ar-SA"/>
    </w:rPr>
  </w:style>
  <w:style w:type="character" w:customStyle="1" w:styleId="32">
    <w:name w:val="无间隔 字符"/>
    <w:basedOn w:val="18"/>
    <w:link w:val="31"/>
    <w:qFormat/>
    <w:uiPriority w:val="1"/>
    <w:rPr>
      <w:rFonts w:ascii="Calibri" w:hAnsi="Calibri" w:eastAsia="宋体" w:cs="Times New Roman"/>
      <w:kern w:val="0"/>
      <w:sz w:val="22"/>
    </w:rPr>
  </w:style>
  <w:style w:type="paragraph" w:customStyle="1" w:styleId="33">
    <w:name w:val="1正文"/>
    <w:link w:val="34"/>
    <w:qFormat/>
    <w:uiPriority w:val="0"/>
    <w:pPr>
      <w:spacing w:before="120" w:beforeLines="50" w:after="120" w:afterLines="50" w:line="360" w:lineRule="auto"/>
      <w:jc w:val="both"/>
    </w:pPr>
    <w:rPr>
      <w:rFonts w:ascii="仿宋" w:hAnsi="仿宋" w:eastAsia="仿宋" w:cstheme="minorBidi"/>
      <w:kern w:val="2"/>
      <w:sz w:val="24"/>
      <w:szCs w:val="21"/>
      <w:lang w:val="en-US" w:eastAsia="zh-CN" w:bidi="ar-SA"/>
    </w:rPr>
  </w:style>
  <w:style w:type="character" w:customStyle="1" w:styleId="34">
    <w:name w:val="1正文 Char"/>
    <w:link w:val="33"/>
    <w:qFormat/>
    <w:uiPriority w:val="0"/>
    <w:rPr>
      <w:rFonts w:ascii="仿宋" w:hAnsi="仿宋" w:eastAsia="仿宋"/>
      <w:sz w:val="24"/>
      <w:szCs w:val="21"/>
    </w:rPr>
  </w:style>
  <w:style w:type="paragraph" w:customStyle="1" w:styleId="35">
    <w:name w:val="列表段落1"/>
    <w:basedOn w:val="1"/>
    <w:qFormat/>
    <w:uiPriority w:val="34"/>
    <w:pPr>
      <w:ind w:firstLine="420" w:firstLineChars="200"/>
    </w:pPr>
  </w:style>
  <w:style w:type="character" w:customStyle="1" w:styleId="36">
    <w:name w:val="批注文字 字符"/>
    <w:basedOn w:val="18"/>
    <w:link w:val="11"/>
    <w:semiHidden/>
    <w:qFormat/>
    <w:uiPriority w:val="99"/>
    <w:rPr>
      <w:rFonts w:ascii="仿宋" w:hAnsi="仿宋" w:eastAsia="仿宋" w:cs="Times New Roman"/>
      <w:sz w:val="21"/>
      <w:szCs w:val="21"/>
    </w:rPr>
  </w:style>
  <w:style w:type="character" w:customStyle="1" w:styleId="37">
    <w:name w:val="批注主题 字符"/>
    <w:basedOn w:val="36"/>
    <w:link w:val="15"/>
    <w:semiHidden/>
    <w:qFormat/>
    <w:uiPriority w:val="99"/>
    <w:rPr>
      <w:rFonts w:ascii="仿宋" w:hAnsi="仿宋" w:eastAsia="仿宋" w:cs="Times New Roman"/>
      <w:b/>
      <w:bCs/>
      <w:sz w:val="21"/>
      <w:szCs w:val="21"/>
    </w:rPr>
  </w:style>
  <w:style w:type="paragraph" w:customStyle="1" w:styleId="38">
    <w:name w:val="列表段落2"/>
    <w:basedOn w:val="1"/>
    <w:unhideWhenUsed/>
    <w:qFormat/>
    <w:uiPriority w:val="99"/>
    <w:pPr>
      <w:ind w:firstLine="420" w:firstLineChars="200"/>
    </w:pPr>
  </w:style>
  <w:style w:type="paragraph" w:customStyle="1" w:styleId="39">
    <w:name w:val="_正文段落"/>
    <w:basedOn w:val="1"/>
    <w:link w:val="40"/>
    <w:qFormat/>
    <w:uiPriority w:val="0"/>
    <w:pPr>
      <w:widowControl w:val="0"/>
      <w:snapToGrid/>
      <w:spacing w:before="31" w:beforeLines="10" w:after="31" w:afterLines="10"/>
      <w:ind w:firstLine="480" w:firstLineChars="200"/>
      <w:jc w:val="both"/>
    </w:pPr>
    <w:rPr>
      <w:rFonts w:ascii="宋体" w:hAnsi="宋体" w:eastAsia="宋体"/>
      <w:kern w:val="2"/>
      <w:sz w:val="24"/>
      <w:szCs w:val="24"/>
    </w:rPr>
  </w:style>
  <w:style w:type="character" w:customStyle="1" w:styleId="40">
    <w:name w:val="_正文段落 Char"/>
    <w:link w:val="39"/>
    <w:qFormat/>
    <w:uiPriority w:val="0"/>
    <w:rPr>
      <w:rFonts w:ascii="宋体" w:hAnsi="宋体"/>
      <w:kern w:val="2"/>
      <w:sz w:val="24"/>
      <w:szCs w:val="24"/>
    </w:rPr>
  </w:style>
  <w:style w:type="character" w:customStyle="1" w:styleId="41">
    <w:name w:val="font21"/>
    <w:basedOn w:val="18"/>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Huawei Technologies Co., Ltd.</Company>
  <Pages>11</Pages>
  <Words>7911</Words>
  <Characters>9013</Characters>
  <Lines>111</Lines>
  <Paragraphs>31</Paragraphs>
  <TotalTime>1</TotalTime>
  <ScaleCrop>false</ScaleCrop>
  <LinksUpToDate>false</LinksUpToDate>
  <CharactersWithSpaces>9038</CharactersWithSpaces>
  <Application>WPS Office_12.1.0.26373_F1E327BC-269C-435d-A152-05C5408002CA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2026-05-27T09:28:00Z</dcterms:created>
  <dc:creator>ZMF1</dc:creator>
  <cp:lastModifiedBy>超</cp:lastModifiedBy>
  <cp:lastPrinted>2025-03-31T10:33:00Z</cp:lastPrinted>
  <dcterms:modified xsi:type="dcterms:W3CDTF">2026-06-03T08:22:52Z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2052-12.1.0.26373</vt:lpwstr>
  </property>
  <property fmtid="{D5CDD505-2E9C-101B-9397-08002B2CF9AE}" pid="3" name="ICV">
    <vt:lpwstr>68E4062155994071ADCF59840EC00B28</vt:lpwstr>
  </property>
  <property fmtid="{D5CDD505-2E9C-101B-9397-08002B2CF9AE}" pid="4" name="KSOTemplateDocerSaveRecord">
    <vt:lpwstr>eyJoZGlkIjoiM2IzMzUwYmM0Y2ZhZjZkNmNlZjQ1YTJjM2MzNTlmZGUiLCJ1c2VySWQiOiIzNTk4Njk1ODgifQ==</vt:lpwstr>
  </property>
</Properties>
</file>