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420" w:leftChars="200"/>
        <w:jc w:val="center"/>
        <w:rPr>
          <w:rFonts w:asciiTheme="minorEastAsia" w:hAnsiTheme="minorEastAsia"/>
          <w:b/>
          <w:bCs/>
          <w:spacing w:val="-2"/>
          <w:sz w:val="38"/>
          <w:szCs w:val="38"/>
        </w:rPr>
      </w:pPr>
      <w:r>
        <w:rPr>
          <w:rFonts w:hint="eastAsia" w:asciiTheme="minorEastAsia" w:hAnsiTheme="minorEastAsia"/>
          <w:b/>
          <w:bCs/>
          <w:spacing w:val="-2"/>
          <w:sz w:val="38"/>
          <w:szCs w:val="38"/>
        </w:rPr>
        <w:t>广东中烟工业有限责任公司梅州卷烟厂工艺质量科实验室改造及配套项目——购置精密空调及配套改造项目询价函</w:t>
      </w:r>
    </w:p>
    <w:p>
      <w:pPr>
        <w:spacing w:line="360" w:lineRule="auto"/>
        <w:rPr>
          <w:rFonts w:asciiTheme="minorEastAsia" w:hAnsiTheme="minorEastAsia"/>
          <w:sz w:val="22"/>
          <w:szCs w:val="22"/>
          <w:u w:val="single"/>
        </w:rPr>
      </w:pPr>
      <w:r>
        <w:rPr>
          <w:rFonts w:hint="eastAsia" w:asciiTheme="minorEastAsia" w:hAnsiTheme="minorEastAsia"/>
          <w:sz w:val="22"/>
          <w:szCs w:val="22"/>
          <w:u w:val="single"/>
        </w:rPr>
        <w:t>致：各供应商</w:t>
      </w:r>
    </w:p>
    <w:p>
      <w:pPr>
        <w:spacing w:line="360" w:lineRule="auto"/>
        <w:ind w:firstLine="440" w:firstLineChars="200"/>
        <w:rPr>
          <w:rFonts w:asciiTheme="minorEastAsia" w:hAnsiTheme="minorEastAsia"/>
          <w:sz w:val="22"/>
          <w:szCs w:val="22"/>
        </w:rPr>
      </w:pPr>
      <w:r>
        <w:rPr>
          <w:rFonts w:hint="eastAsia" w:asciiTheme="minorEastAsia" w:hAnsiTheme="minorEastAsia"/>
          <w:sz w:val="22"/>
          <w:szCs w:val="22"/>
        </w:rPr>
        <w:t>公诚管理咨询有限公司</w:t>
      </w:r>
      <w:r>
        <w:rPr>
          <w:rFonts w:asciiTheme="minorEastAsia" w:hAnsiTheme="minorEastAsia"/>
          <w:sz w:val="22"/>
          <w:szCs w:val="22"/>
        </w:rPr>
        <w:t>（以下简称“代理机构”）受广东中烟工业有限责任公司梅州卷烟厂（以下简称“委托人”）的委托，就广东中烟工业有限责任公司</w:t>
      </w:r>
      <w:r>
        <w:rPr>
          <w:rFonts w:hint="eastAsia" w:asciiTheme="minorEastAsia" w:hAnsiTheme="minorEastAsia"/>
          <w:sz w:val="22"/>
          <w:szCs w:val="22"/>
        </w:rPr>
        <w:t>梅州卷烟厂工艺质量科实验室改造及配套项目——购置精密空调及配套改造项目</w:t>
      </w:r>
      <w:r>
        <w:rPr>
          <w:rFonts w:asciiTheme="minorEastAsia" w:hAnsiTheme="minorEastAsia"/>
          <w:sz w:val="22"/>
          <w:szCs w:val="22"/>
        </w:rPr>
        <w:t>进行公开征询论证、市场调研及价格调研，各单位提交的材料仅作为本项目前期工作的参考依据，具体采购项目情况以相关采购公告和采购文件为准。现邀请有能力提供合格服务的各单位参与本项目的征询活动，相关事宜通知如下：</w:t>
      </w:r>
    </w:p>
    <w:p>
      <w:pPr>
        <w:spacing w:line="360" w:lineRule="auto"/>
        <w:rPr>
          <w:rFonts w:asciiTheme="minorEastAsia" w:hAnsiTheme="minorEastAsia"/>
          <w:b/>
          <w:bCs/>
          <w:sz w:val="22"/>
          <w:szCs w:val="22"/>
        </w:rPr>
      </w:pPr>
      <w:r>
        <w:rPr>
          <w:rFonts w:hint="eastAsia" w:asciiTheme="minorEastAsia" w:hAnsiTheme="minorEastAsia"/>
          <w:b/>
          <w:bCs/>
          <w:sz w:val="22"/>
          <w:szCs w:val="22"/>
        </w:rPr>
        <w:t>一、项目基本信息</w:t>
      </w:r>
    </w:p>
    <w:p>
      <w:pPr>
        <w:spacing w:line="360" w:lineRule="auto"/>
        <w:rPr>
          <w:rFonts w:asciiTheme="minorEastAsia" w:hAnsiTheme="minorEastAsia"/>
          <w:sz w:val="22"/>
          <w:szCs w:val="22"/>
        </w:rPr>
      </w:pPr>
      <w:r>
        <w:rPr>
          <w:rFonts w:hint="eastAsia" w:asciiTheme="minorEastAsia" w:hAnsiTheme="minorEastAsia"/>
          <w:sz w:val="22"/>
          <w:szCs w:val="22"/>
        </w:rPr>
        <w:t>1. 项目名称：广东中烟工业有限责任公司梅州卷烟厂工艺质量科实验室改造及配套项目——购置精密空调及配套改造项目</w:t>
      </w:r>
    </w:p>
    <w:p>
      <w:pPr>
        <w:spacing w:line="360" w:lineRule="auto"/>
        <w:rPr>
          <w:rFonts w:asciiTheme="minorEastAsia" w:hAnsiTheme="minorEastAsia"/>
          <w:sz w:val="22"/>
          <w:szCs w:val="22"/>
        </w:rPr>
      </w:pPr>
      <w:r>
        <w:rPr>
          <w:rFonts w:hint="eastAsia" w:asciiTheme="minorEastAsia" w:hAnsiTheme="minorEastAsia"/>
          <w:sz w:val="22"/>
          <w:szCs w:val="22"/>
        </w:rPr>
        <w:t xml:space="preserve">2. 实施地点：广东省梅州市环市北路 18号梅州卷烟厂（科研中心二楼）。 </w:t>
      </w:r>
    </w:p>
    <w:p>
      <w:pPr>
        <w:spacing w:line="360" w:lineRule="auto"/>
        <w:rPr>
          <w:rFonts w:asciiTheme="minorEastAsia" w:hAnsiTheme="minorEastAsia"/>
          <w:sz w:val="22"/>
          <w:szCs w:val="22"/>
        </w:rPr>
      </w:pPr>
      <w:r>
        <w:rPr>
          <w:rFonts w:hint="eastAsia" w:asciiTheme="minorEastAsia" w:hAnsiTheme="minorEastAsia"/>
          <w:sz w:val="22"/>
          <w:szCs w:val="22"/>
        </w:rPr>
        <w:t xml:space="preserve">3. 资金来源：企业自筹。 </w:t>
      </w:r>
    </w:p>
    <w:p>
      <w:pPr>
        <w:spacing w:line="360" w:lineRule="auto"/>
        <w:rPr>
          <w:rFonts w:asciiTheme="minorEastAsia" w:hAnsiTheme="minorEastAsia"/>
          <w:b/>
          <w:bCs/>
          <w:sz w:val="22"/>
          <w:szCs w:val="22"/>
        </w:rPr>
      </w:pPr>
      <w:r>
        <w:rPr>
          <w:rFonts w:hint="eastAsia" w:asciiTheme="minorEastAsia" w:hAnsiTheme="minorEastAsia"/>
          <w:b/>
          <w:bCs/>
          <w:sz w:val="22"/>
          <w:szCs w:val="22"/>
        </w:rPr>
        <w:t>二、项目采购内容</w:t>
      </w:r>
    </w:p>
    <w:p>
      <w:pPr>
        <w:spacing w:line="360" w:lineRule="auto"/>
        <w:rPr>
          <w:rFonts w:asciiTheme="minorEastAsia" w:hAnsiTheme="minorEastAsia"/>
          <w:sz w:val="22"/>
          <w:szCs w:val="22"/>
        </w:rPr>
      </w:pPr>
      <w:r>
        <w:rPr>
          <w:rFonts w:hint="eastAsia" w:asciiTheme="minorEastAsia" w:hAnsiTheme="minorEastAsia"/>
          <w:sz w:val="22"/>
          <w:szCs w:val="22"/>
        </w:rPr>
        <w:t>1.项目实施内容：为梅州卷烟厂工艺质量科实验室（位于梅州卷烟厂科研中心二层东区）提供2套符合JJG（烟草）21-2021规程的高精度恒温恒湿组合式空调机组、2套高精度电极式加湿器以及2套全新风补风空调机组，同时对招标人利旧的3台恒温恒湿空调机组按照风冷式进行配套改造，以满足物理检测室、材料检测室一、化学检测室、烟气分析室、试剂间的环境温湿度要求及通排风系统微负压平衡、新风补充功能需求，满足YC/T384-2018、YC/T554-2017等国家及行业标准。</w:t>
      </w:r>
    </w:p>
    <w:p>
      <w:pPr>
        <w:spacing w:line="360" w:lineRule="auto"/>
        <w:rPr>
          <w:rFonts w:asciiTheme="minorEastAsia" w:hAnsiTheme="minorEastAsia"/>
          <w:sz w:val="22"/>
          <w:szCs w:val="22"/>
        </w:rPr>
      </w:pPr>
      <w:r>
        <w:rPr>
          <w:rFonts w:hint="eastAsia" w:asciiTheme="minorEastAsia" w:hAnsiTheme="minorEastAsia"/>
          <w:sz w:val="22"/>
          <w:szCs w:val="22"/>
        </w:rPr>
        <w:t>2.项目实施地点：广东中烟工业有限责任公司梅州卷烟厂(地址：广东省梅州市环市北路18号)。</w:t>
      </w:r>
    </w:p>
    <w:p>
      <w:pPr>
        <w:autoSpaceDE w:val="0"/>
        <w:autoSpaceDN w:val="0"/>
        <w:spacing w:line="360" w:lineRule="auto"/>
        <w:rPr>
          <w:rFonts w:ascii="宋体" w:hAnsi="宋体" w:cs="仿宋_GB2312"/>
          <w:b/>
          <w:bCs/>
          <w:szCs w:val="21"/>
          <w:lang w:val="zh-CN"/>
        </w:rPr>
      </w:pPr>
      <w:r>
        <w:rPr>
          <w:rFonts w:hint="eastAsia" w:ascii="宋体" w:hAnsi="宋体" w:cs="仿宋_GB2312"/>
          <w:b/>
          <w:bCs/>
          <w:szCs w:val="21"/>
          <w:lang w:val="zh-CN"/>
        </w:rPr>
        <w:t>三、项目采购内容</w:t>
      </w:r>
    </w:p>
    <w:p>
      <w:pPr>
        <w:pStyle w:val="13"/>
        <w:numPr>
          <w:ilvl w:val="0"/>
          <w:numId w:val="0"/>
        </w:numPr>
        <w:rPr>
          <w:b w:val="0"/>
          <w:sz w:val="21"/>
        </w:rPr>
      </w:pPr>
      <w:r>
        <w:rPr>
          <w:rFonts w:hint="eastAsia"/>
          <w:b w:val="0"/>
          <w:sz w:val="21"/>
        </w:rPr>
        <w:t>3.1 项目总体要求</w:t>
      </w:r>
    </w:p>
    <w:p>
      <w:pPr>
        <w:pStyle w:val="13"/>
        <w:numPr>
          <w:ilvl w:val="0"/>
          <w:numId w:val="0"/>
        </w:numPr>
        <w:rPr>
          <w:b w:val="0"/>
          <w:sz w:val="21"/>
        </w:rPr>
      </w:pPr>
      <w:r>
        <w:rPr>
          <w:rFonts w:hint="eastAsia"/>
          <w:b w:val="0"/>
          <w:sz w:val="21"/>
        </w:rPr>
        <w:t>3.1.1 供应商根据本项目用户需求内容提供相应</w:t>
      </w:r>
      <w:r>
        <w:rPr>
          <w:b w:val="0"/>
          <w:sz w:val="21"/>
        </w:rPr>
        <w:t>的设备设施、材料</w:t>
      </w:r>
      <w:r>
        <w:rPr>
          <w:rFonts w:hint="eastAsia"/>
          <w:b w:val="0"/>
          <w:sz w:val="21"/>
        </w:rPr>
        <w:t>以及</w:t>
      </w:r>
      <w:r>
        <w:rPr>
          <w:b w:val="0"/>
          <w:sz w:val="21"/>
        </w:rPr>
        <w:t>改造、安装调试服务</w:t>
      </w:r>
      <w:r>
        <w:rPr>
          <w:rFonts w:hint="eastAsia"/>
          <w:b w:val="0"/>
          <w:sz w:val="21"/>
        </w:rPr>
        <w:t>，项目设备</w:t>
      </w:r>
      <w:r>
        <w:rPr>
          <w:b w:val="0"/>
          <w:sz w:val="21"/>
        </w:rPr>
        <w:t>、</w:t>
      </w:r>
      <w:r>
        <w:rPr>
          <w:rFonts w:hint="eastAsia"/>
          <w:b w:val="0"/>
          <w:sz w:val="21"/>
        </w:rPr>
        <w:t>服务质量需符合国家相关标准和规范，包括但不限于《烟草行业实验室设计规范》YC/T 554、《烟草及烟草制品 调节和测试的大气环境》GB/T 16447、《烟草实验室大气环境检定规程》JJG（烟草）21-2021、《检测和校准实验室能力的通用要求》GB/T27025、《民用建筑供暖通风与空气调节设计规范》GB50736、《环境空气质量标准》GB3095、《民用建筑电气设计规范》JGJ16、《烟草企业安全生产标准化规范》YC/T384、《工业金属管道设计规范》GB50316 、《输送流体用不锈钢不锈钢管》 GB/T14976、《工业金属管道工程施工规范》 GB50235、《工业金属管道工程施工质量验收规范》GB50184 、《现场设备、工业管道焊接工程施工规范》GB50236、《安全防范工程技术规范》GB 50348、《烟用丝束测定系列标准》YC/T 169、《烟草及烟草制品 仓库 设计规范》YC/T205、《纸、纸板和纸浆试样处理和试验的标准大气条件》GB/T 10739、《声环境质量标准》GB3096、《采暖通风与空气调节设计规范》GB 50019等国家现行有效的验收规范和验收标准。</w:t>
      </w:r>
    </w:p>
    <w:p>
      <w:pPr>
        <w:pStyle w:val="13"/>
        <w:numPr>
          <w:ilvl w:val="0"/>
          <w:numId w:val="0"/>
        </w:numPr>
        <w:rPr>
          <w:b w:val="0"/>
          <w:sz w:val="21"/>
        </w:rPr>
      </w:pPr>
      <w:r>
        <w:rPr>
          <w:rFonts w:hint="eastAsia"/>
          <w:b w:val="0"/>
          <w:sz w:val="21"/>
        </w:rPr>
        <w:t>3.1.2</w:t>
      </w:r>
      <w:r>
        <w:rPr>
          <w:b w:val="0"/>
          <w:sz w:val="21"/>
        </w:rPr>
        <w:t xml:space="preserve"> </w:t>
      </w:r>
      <w:r>
        <w:rPr>
          <w:rFonts w:hint="eastAsia"/>
          <w:b w:val="0"/>
          <w:sz w:val="21"/>
        </w:rPr>
        <w:t>本项目设备</w:t>
      </w:r>
      <w:r>
        <w:rPr>
          <w:b w:val="0"/>
          <w:sz w:val="21"/>
        </w:rPr>
        <w:t>设施</w:t>
      </w:r>
      <w:r>
        <w:rPr>
          <w:rFonts w:hint="eastAsia"/>
          <w:b w:val="0"/>
          <w:sz w:val="21"/>
        </w:rPr>
        <w:t>改造</w:t>
      </w:r>
      <w:r>
        <w:rPr>
          <w:b w:val="0"/>
          <w:sz w:val="21"/>
        </w:rPr>
        <w:t>、安装施工</w:t>
      </w:r>
      <w:r>
        <w:rPr>
          <w:rFonts w:hint="eastAsia"/>
          <w:b w:val="0"/>
          <w:sz w:val="21"/>
        </w:rPr>
        <w:t>区域为梅州卷烟厂厂区科研</w:t>
      </w:r>
      <w:r>
        <w:rPr>
          <w:b w:val="0"/>
          <w:sz w:val="21"/>
        </w:rPr>
        <w:t>中心</w:t>
      </w:r>
      <w:r>
        <w:rPr>
          <w:rFonts w:hint="eastAsia"/>
          <w:b w:val="0"/>
          <w:sz w:val="21"/>
        </w:rPr>
        <w:t>（二层），域涉及梅州卷烟厂各管理部门日常办公及重要会议场所。为保障项目</w:t>
      </w:r>
      <w:r>
        <w:rPr>
          <w:b w:val="0"/>
          <w:sz w:val="21"/>
        </w:rPr>
        <w:t>实施期间</w:t>
      </w:r>
      <w:r>
        <w:rPr>
          <w:rFonts w:hint="eastAsia"/>
          <w:b w:val="0"/>
          <w:sz w:val="21"/>
        </w:rPr>
        <w:t>不影响</w:t>
      </w:r>
      <w:r>
        <w:rPr>
          <w:b w:val="0"/>
          <w:sz w:val="21"/>
        </w:rPr>
        <w:t>各部门正常办公秩序</w:t>
      </w:r>
      <w:r>
        <w:rPr>
          <w:rFonts w:hint="eastAsia"/>
          <w:b w:val="0"/>
          <w:sz w:val="21"/>
        </w:rPr>
        <w:t>，施工期间的材料搬迁</w:t>
      </w:r>
      <w:r>
        <w:rPr>
          <w:b w:val="0"/>
          <w:sz w:val="21"/>
        </w:rPr>
        <w:t>、</w:t>
      </w:r>
      <w:r>
        <w:rPr>
          <w:rFonts w:hint="eastAsia"/>
          <w:b w:val="0"/>
          <w:sz w:val="21"/>
        </w:rPr>
        <w:t>噪声</w:t>
      </w:r>
      <w:r>
        <w:rPr>
          <w:b w:val="0"/>
          <w:sz w:val="21"/>
        </w:rPr>
        <w:t>作业、</w:t>
      </w:r>
      <w:r>
        <w:rPr>
          <w:rFonts w:hint="eastAsia"/>
          <w:b w:val="0"/>
          <w:sz w:val="21"/>
        </w:rPr>
        <w:t>粉尘</w:t>
      </w:r>
      <w:r>
        <w:rPr>
          <w:b w:val="0"/>
          <w:sz w:val="21"/>
        </w:rPr>
        <w:t>作业</w:t>
      </w:r>
      <w:r>
        <w:rPr>
          <w:rFonts w:hint="eastAsia"/>
          <w:b w:val="0"/>
          <w:sz w:val="21"/>
        </w:rPr>
        <w:t>、</w:t>
      </w:r>
      <w:r>
        <w:rPr>
          <w:b w:val="0"/>
          <w:sz w:val="21"/>
        </w:rPr>
        <w:t>停水断电</w:t>
      </w:r>
      <w:r>
        <w:rPr>
          <w:rFonts w:hint="eastAsia"/>
          <w:b w:val="0"/>
          <w:sz w:val="21"/>
        </w:rPr>
        <w:t>作业</w:t>
      </w:r>
      <w:r>
        <w:rPr>
          <w:b w:val="0"/>
          <w:sz w:val="21"/>
        </w:rPr>
        <w:t>等</w:t>
      </w:r>
      <w:r>
        <w:rPr>
          <w:rFonts w:hint="eastAsia"/>
          <w:b w:val="0"/>
          <w:sz w:val="21"/>
        </w:rPr>
        <w:t>施工</w:t>
      </w:r>
      <w:r>
        <w:rPr>
          <w:b w:val="0"/>
          <w:sz w:val="21"/>
        </w:rPr>
        <w:t>内容，必须</w:t>
      </w:r>
      <w:r>
        <w:rPr>
          <w:rFonts w:hint="eastAsia"/>
          <w:b w:val="0"/>
          <w:sz w:val="21"/>
        </w:rPr>
        <w:t>提前与</w:t>
      </w:r>
      <w:r>
        <w:rPr>
          <w:b w:val="0"/>
          <w:sz w:val="21"/>
        </w:rPr>
        <w:t>梅州卷烟厂</w:t>
      </w:r>
      <w:r>
        <w:rPr>
          <w:rFonts w:hint="eastAsia"/>
          <w:b w:val="0"/>
          <w:sz w:val="21"/>
        </w:rPr>
        <w:t>沟通</w:t>
      </w:r>
      <w:r>
        <w:rPr>
          <w:b w:val="0"/>
          <w:sz w:val="21"/>
        </w:rPr>
        <w:t>协商并做好</w:t>
      </w:r>
      <w:r>
        <w:rPr>
          <w:rFonts w:hint="eastAsia"/>
          <w:b w:val="0"/>
          <w:sz w:val="21"/>
        </w:rPr>
        <w:t>相应</w:t>
      </w:r>
      <w:r>
        <w:rPr>
          <w:b w:val="0"/>
          <w:sz w:val="21"/>
        </w:rPr>
        <w:t>的</w:t>
      </w:r>
      <w:r>
        <w:rPr>
          <w:rFonts w:hint="eastAsia"/>
          <w:b w:val="0"/>
          <w:sz w:val="21"/>
        </w:rPr>
        <w:t>方案</w:t>
      </w:r>
      <w:r>
        <w:rPr>
          <w:b w:val="0"/>
          <w:sz w:val="21"/>
        </w:rPr>
        <w:t>计划，</w:t>
      </w:r>
      <w:r>
        <w:rPr>
          <w:rFonts w:hint="eastAsia"/>
          <w:b w:val="0"/>
          <w:sz w:val="21"/>
        </w:rPr>
        <w:t>经</w:t>
      </w:r>
      <w:r>
        <w:rPr>
          <w:b w:val="0"/>
          <w:sz w:val="21"/>
        </w:rPr>
        <w:t>梅州卷烟厂</w:t>
      </w:r>
      <w:r>
        <w:rPr>
          <w:rFonts w:hint="eastAsia"/>
          <w:b w:val="0"/>
          <w:sz w:val="21"/>
        </w:rPr>
        <w:t>同意</w:t>
      </w:r>
      <w:r>
        <w:rPr>
          <w:b w:val="0"/>
          <w:sz w:val="21"/>
        </w:rPr>
        <w:t>后</w:t>
      </w:r>
      <w:r>
        <w:rPr>
          <w:rFonts w:hint="eastAsia"/>
          <w:b w:val="0"/>
          <w:sz w:val="21"/>
        </w:rPr>
        <w:t>方可</w:t>
      </w:r>
      <w:r>
        <w:rPr>
          <w:b w:val="0"/>
          <w:sz w:val="21"/>
        </w:rPr>
        <w:t>实施。</w:t>
      </w:r>
      <w:r>
        <w:rPr>
          <w:rFonts w:hint="eastAsia"/>
          <w:b w:val="0"/>
          <w:sz w:val="21"/>
        </w:rPr>
        <w:t>如梅州卷烟厂在</w:t>
      </w:r>
      <w:r>
        <w:rPr>
          <w:b w:val="0"/>
          <w:sz w:val="21"/>
        </w:rPr>
        <w:t>项目实施期间</w:t>
      </w:r>
      <w:r>
        <w:rPr>
          <w:rFonts w:hint="eastAsia"/>
          <w:b w:val="0"/>
          <w:sz w:val="21"/>
        </w:rPr>
        <w:t>因临时</w:t>
      </w:r>
      <w:r>
        <w:rPr>
          <w:b w:val="0"/>
          <w:sz w:val="21"/>
        </w:rPr>
        <w:t>工作安排</w:t>
      </w:r>
      <w:r>
        <w:rPr>
          <w:rFonts w:hint="eastAsia"/>
          <w:b w:val="0"/>
          <w:sz w:val="21"/>
        </w:rPr>
        <w:t>须在</w:t>
      </w:r>
      <w:r>
        <w:rPr>
          <w:b w:val="0"/>
          <w:sz w:val="21"/>
        </w:rPr>
        <w:t>科研中心召开</w:t>
      </w:r>
      <w:r>
        <w:rPr>
          <w:rFonts w:hint="eastAsia"/>
          <w:b w:val="0"/>
          <w:sz w:val="21"/>
        </w:rPr>
        <w:t>相关</w:t>
      </w:r>
      <w:r>
        <w:rPr>
          <w:b w:val="0"/>
          <w:sz w:val="21"/>
        </w:rPr>
        <w:t>重要会议</w:t>
      </w:r>
      <w:r>
        <w:rPr>
          <w:rFonts w:hint="eastAsia"/>
          <w:b w:val="0"/>
          <w:sz w:val="21"/>
        </w:rPr>
        <w:t>，</w:t>
      </w:r>
      <w:r>
        <w:rPr>
          <w:b w:val="0"/>
          <w:sz w:val="21"/>
        </w:rPr>
        <w:t>梅州卷烟厂有权</w:t>
      </w:r>
      <w:r>
        <w:rPr>
          <w:rFonts w:hint="eastAsia"/>
          <w:b w:val="0"/>
          <w:sz w:val="21"/>
        </w:rPr>
        <w:t>要求供应商</w:t>
      </w:r>
      <w:r>
        <w:rPr>
          <w:b w:val="0"/>
          <w:sz w:val="21"/>
        </w:rPr>
        <w:t>配合</w:t>
      </w:r>
      <w:r>
        <w:rPr>
          <w:rFonts w:hint="eastAsia"/>
          <w:b w:val="0"/>
          <w:sz w:val="21"/>
        </w:rPr>
        <w:t>暂定</w:t>
      </w:r>
      <w:r>
        <w:rPr>
          <w:b w:val="0"/>
          <w:sz w:val="21"/>
        </w:rPr>
        <w:t>施工，</w:t>
      </w:r>
      <w:r>
        <w:rPr>
          <w:rFonts w:hint="eastAsia"/>
          <w:b w:val="0"/>
          <w:sz w:val="21"/>
        </w:rPr>
        <w:t>由此</w:t>
      </w:r>
      <w:r>
        <w:rPr>
          <w:b w:val="0"/>
          <w:sz w:val="21"/>
        </w:rPr>
        <w:t>造成的</w:t>
      </w:r>
      <w:r>
        <w:rPr>
          <w:rFonts w:hint="eastAsia"/>
          <w:b w:val="0"/>
          <w:sz w:val="21"/>
        </w:rPr>
        <w:t>施工停工</w:t>
      </w:r>
      <w:r>
        <w:rPr>
          <w:b w:val="0"/>
          <w:sz w:val="21"/>
        </w:rPr>
        <w:t>时间</w:t>
      </w:r>
      <w:r>
        <w:rPr>
          <w:rFonts w:hint="eastAsia"/>
          <w:b w:val="0"/>
          <w:sz w:val="21"/>
        </w:rPr>
        <w:t>将</w:t>
      </w:r>
      <w:r>
        <w:rPr>
          <w:b w:val="0"/>
          <w:sz w:val="21"/>
        </w:rPr>
        <w:t>不计入</w:t>
      </w:r>
      <w:r>
        <w:rPr>
          <w:rFonts w:hint="eastAsia"/>
          <w:b w:val="0"/>
          <w:sz w:val="21"/>
        </w:rPr>
        <w:t>项目</w:t>
      </w:r>
      <w:r>
        <w:rPr>
          <w:b w:val="0"/>
          <w:sz w:val="21"/>
        </w:rPr>
        <w:t>施工工期</w:t>
      </w:r>
      <w:r>
        <w:rPr>
          <w:rFonts w:hint="eastAsia"/>
          <w:b w:val="0"/>
          <w:sz w:val="21"/>
        </w:rPr>
        <w:t>范围，</w:t>
      </w:r>
      <w:r>
        <w:rPr>
          <w:b w:val="0"/>
          <w:sz w:val="21"/>
        </w:rPr>
        <w:t>双方以</w:t>
      </w:r>
      <w:r>
        <w:rPr>
          <w:rFonts w:hint="eastAsia"/>
          <w:b w:val="0"/>
          <w:sz w:val="21"/>
        </w:rPr>
        <w:t>书面</w:t>
      </w:r>
      <w:r>
        <w:rPr>
          <w:b w:val="0"/>
          <w:sz w:val="21"/>
        </w:rPr>
        <w:t>形式</w:t>
      </w:r>
      <w:r>
        <w:rPr>
          <w:rFonts w:hint="eastAsia"/>
          <w:b w:val="0"/>
          <w:sz w:val="21"/>
        </w:rPr>
        <w:t>记录施工</w:t>
      </w:r>
      <w:r>
        <w:rPr>
          <w:b w:val="0"/>
          <w:sz w:val="21"/>
        </w:rPr>
        <w:t>停工安排。</w:t>
      </w:r>
      <w:r>
        <w:rPr>
          <w:rFonts w:hint="eastAsia"/>
          <w:b w:val="0"/>
          <w:sz w:val="21"/>
        </w:rPr>
        <w:t>如因供应商原因造成的任何断水、断电及其他设施损坏的情况，供应商必须及时恢复，并承担由此产生的一切费用。供应商应充分考虑实施现场实际环境在实施过程中对实施成本的影响因素，不得以此作为工期延误和增加费用的理由。设备</w:t>
      </w:r>
      <w:r>
        <w:rPr>
          <w:b w:val="0"/>
          <w:sz w:val="21"/>
        </w:rPr>
        <w:t>设施均不允许</w:t>
      </w:r>
      <w:r>
        <w:rPr>
          <w:rFonts w:hint="eastAsia"/>
          <w:b w:val="0"/>
          <w:sz w:val="21"/>
        </w:rPr>
        <w:t>通过科研</w:t>
      </w:r>
      <w:r>
        <w:rPr>
          <w:b w:val="0"/>
          <w:sz w:val="21"/>
        </w:rPr>
        <w:t>中心两台载客电梯</w:t>
      </w:r>
      <w:r>
        <w:rPr>
          <w:rFonts w:hint="eastAsia"/>
          <w:b w:val="0"/>
          <w:sz w:val="21"/>
        </w:rPr>
        <w:t>进行转运</w:t>
      </w:r>
      <w:r>
        <w:rPr>
          <w:b w:val="0"/>
          <w:sz w:val="21"/>
        </w:rPr>
        <w:t>，</w:t>
      </w:r>
      <w:r>
        <w:rPr>
          <w:rFonts w:hint="eastAsia"/>
          <w:b w:val="0"/>
          <w:sz w:val="21"/>
        </w:rPr>
        <w:t>只允许</w:t>
      </w:r>
      <w:r>
        <w:rPr>
          <w:b w:val="0"/>
          <w:sz w:val="21"/>
        </w:rPr>
        <w:t>通过</w:t>
      </w:r>
      <w:r>
        <w:rPr>
          <w:rFonts w:hint="eastAsia"/>
          <w:b w:val="0"/>
          <w:sz w:val="21"/>
        </w:rPr>
        <w:t>楼梯</w:t>
      </w:r>
      <w:r>
        <w:rPr>
          <w:b w:val="0"/>
          <w:sz w:val="21"/>
        </w:rPr>
        <w:t>进行</w:t>
      </w:r>
      <w:r>
        <w:rPr>
          <w:rFonts w:hint="eastAsia"/>
          <w:b w:val="0"/>
          <w:sz w:val="21"/>
        </w:rPr>
        <w:t>人工</w:t>
      </w:r>
      <w:r>
        <w:rPr>
          <w:b w:val="0"/>
          <w:sz w:val="21"/>
        </w:rPr>
        <w:t>搬运</w:t>
      </w:r>
      <w:r>
        <w:rPr>
          <w:rFonts w:hint="eastAsia"/>
          <w:b w:val="0"/>
          <w:sz w:val="21"/>
        </w:rPr>
        <w:t>。此外</w:t>
      </w:r>
      <w:r>
        <w:rPr>
          <w:b w:val="0"/>
          <w:sz w:val="21"/>
        </w:rPr>
        <w:t>，</w:t>
      </w:r>
      <w:r>
        <w:rPr>
          <w:rFonts w:hint="eastAsia"/>
          <w:b w:val="0"/>
          <w:sz w:val="21"/>
        </w:rPr>
        <w:t>供应商应在施工组织设计中明确相应的降噪、防尘、安全防护及楼梯搬运方案，并在报价中综合考虑由此增加的人工、时间及协调成本，不得以该限制性条件为由提出工期顺延或费用追加。</w:t>
      </w:r>
    </w:p>
    <w:p>
      <w:pPr>
        <w:pStyle w:val="13"/>
        <w:numPr>
          <w:ilvl w:val="0"/>
          <w:numId w:val="0"/>
        </w:numPr>
        <w:rPr>
          <w:b w:val="0"/>
          <w:sz w:val="21"/>
        </w:rPr>
      </w:pPr>
      <w:r>
        <w:rPr>
          <w:rFonts w:hint="eastAsia"/>
          <w:b w:val="0"/>
          <w:sz w:val="21"/>
        </w:rPr>
        <w:t>3.1.3</w:t>
      </w:r>
      <w:r>
        <w:rPr>
          <w:b w:val="0"/>
          <w:sz w:val="21"/>
        </w:rPr>
        <w:t xml:space="preserve"> </w:t>
      </w:r>
      <w:r>
        <w:rPr>
          <w:rFonts w:hint="eastAsia"/>
          <w:b w:val="0"/>
          <w:sz w:val="21"/>
        </w:rPr>
        <w:t>项目实施</w:t>
      </w:r>
      <w:r>
        <w:rPr>
          <w:b w:val="0"/>
          <w:sz w:val="21"/>
        </w:rPr>
        <w:t>期间，</w:t>
      </w:r>
      <w:r>
        <w:rPr>
          <w:rFonts w:hint="eastAsia"/>
          <w:b w:val="0"/>
          <w:sz w:val="21"/>
        </w:rPr>
        <w:t>所有设备</w:t>
      </w:r>
      <w:r>
        <w:rPr>
          <w:b w:val="0"/>
          <w:sz w:val="21"/>
        </w:rPr>
        <w:t>设施均不允许</w:t>
      </w:r>
      <w:r>
        <w:rPr>
          <w:rFonts w:hint="eastAsia"/>
          <w:b w:val="0"/>
          <w:sz w:val="21"/>
        </w:rPr>
        <w:t>通过科研</w:t>
      </w:r>
      <w:r>
        <w:rPr>
          <w:b w:val="0"/>
          <w:sz w:val="21"/>
        </w:rPr>
        <w:t>中心两台载客电梯</w:t>
      </w:r>
      <w:r>
        <w:rPr>
          <w:rFonts w:hint="eastAsia"/>
          <w:b w:val="0"/>
          <w:sz w:val="21"/>
        </w:rPr>
        <w:t>进行转运</w:t>
      </w:r>
      <w:r>
        <w:rPr>
          <w:b w:val="0"/>
          <w:sz w:val="21"/>
        </w:rPr>
        <w:t>，</w:t>
      </w:r>
      <w:r>
        <w:rPr>
          <w:rFonts w:hint="eastAsia"/>
          <w:b w:val="0"/>
          <w:sz w:val="21"/>
        </w:rPr>
        <w:t>只允许</w:t>
      </w:r>
      <w:r>
        <w:rPr>
          <w:b w:val="0"/>
          <w:sz w:val="21"/>
        </w:rPr>
        <w:t>通过</w:t>
      </w:r>
      <w:r>
        <w:rPr>
          <w:rFonts w:hint="eastAsia"/>
          <w:b w:val="0"/>
          <w:sz w:val="21"/>
        </w:rPr>
        <w:t>楼梯</w:t>
      </w:r>
      <w:r>
        <w:rPr>
          <w:b w:val="0"/>
          <w:sz w:val="21"/>
        </w:rPr>
        <w:t>进行</w:t>
      </w:r>
      <w:r>
        <w:rPr>
          <w:rFonts w:hint="eastAsia"/>
          <w:b w:val="0"/>
          <w:sz w:val="21"/>
        </w:rPr>
        <w:t>人工</w:t>
      </w:r>
      <w:r>
        <w:rPr>
          <w:b w:val="0"/>
          <w:sz w:val="21"/>
        </w:rPr>
        <w:t>搬运</w:t>
      </w:r>
      <w:r>
        <w:rPr>
          <w:rFonts w:hint="eastAsia"/>
          <w:b w:val="0"/>
          <w:sz w:val="21"/>
        </w:rPr>
        <w:t>。此外</w:t>
      </w:r>
      <w:r>
        <w:rPr>
          <w:b w:val="0"/>
          <w:sz w:val="21"/>
        </w:rPr>
        <w:t>，</w:t>
      </w:r>
      <w:r>
        <w:rPr>
          <w:rFonts w:hint="eastAsia"/>
          <w:b w:val="0"/>
          <w:sz w:val="21"/>
        </w:rPr>
        <w:t>投标人应在施工组织设计中明确相应的降噪、防尘、安全防护及楼梯搬运方案，并在报价中综合考虑由此增加的人工、时间及协调成本，不得以该限制性条件为由提出工期顺延或费用追加。</w:t>
      </w:r>
    </w:p>
    <w:p>
      <w:pPr>
        <w:pStyle w:val="13"/>
        <w:numPr>
          <w:ilvl w:val="0"/>
          <w:numId w:val="0"/>
        </w:numPr>
        <w:rPr>
          <w:b w:val="0"/>
          <w:sz w:val="21"/>
        </w:rPr>
      </w:pPr>
      <w:r>
        <w:rPr>
          <w:rFonts w:hint="eastAsia"/>
          <w:b w:val="0"/>
          <w:sz w:val="21"/>
        </w:rPr>
        <w:t>3.1.4 供应商在服务过程中必须严格执行安全生产法律、法规、规章，遵守梅州卷烟厂企业内部的相关管理制度时采取严格的安全防护措施，抓好现场安全管理，确保实施过程安全；供应商应对参加项目所有人员和第三者投保工伤意外保险，负责实施过程中的一切安全责任，在实施过程中出现的一切安全事故，由供应商自行解决，并承担由此产生的经济和法律责任。</w:t>
      </w:r>
    </w:p>
    <w:p>
      <w:pPr>
        <w:pStyle w:val="13"/>
        <w:numPr>
          <w:ilvl w:val="0"/>
          <w:numId w:val="0"/>
        </w:numPr>
        <w:rPr>
          <w:b w:val="0"/>
          <w:sz w:val="21"/>
        </w:rPr>
      </w:pPr>
      <w:r>
        <w:rPr>
          <w:rFonts w:hint="eastAsia"/>
          <w:b w:val="0"/>
          <w:sz w:val="21"/>
        </w:rPr>
        <w:t>3.1.5 鉴于梅州卷烟厂现有场地限制，无法满足大批量的设备、安装材料堆放，供应商应充分考虑这一客观条件，在保证工期的前提下，合理安排设备和材料进场顺序和数量，供应商不得以此作为工期延误和增加费用的理由。</w:t>
      </w:r>
    </w:p>
    <w:p>
      <w:pPr>
        <w:pStyle w:val="13"/>
        <w:numPr>
          <w:ilvl w:val="0"/>
          <w:numId w:val="0"/>
        </w:numPr>
        <w:rPr>
          <w:b w:val="0"/>
          <w:sz w:val="21"/>
        </w:rPr>
      </w:pPr>
      <w:r>
        <w:rPr>
          <w:rFonts w:hint="eastAsia"/>
          <w:b w:val="0"/>
          <w:sz w:val="21"/>
        </w:rPr>
        <w:t>3.1.6</w:t>
      </w:r>
      <w:r>
        <w:rPr>
          <w:b w:val="0"/>
          <w:sz w:val="21"/>
        </w:rPr>
        <w:t xml:space="preserve"> </w:t>
      </w:r>
      <w:r>
        <w:rPr>
          <w:rFonts w:hint="eastAsia"/>
          <w:b w:val="0"/>
          <w:sz w:val="21"/>
        </w:rPr>
        <w:t>本项目所需机电设备由供应商根据项目服务内容、相关规范、规程、标准需要自行确定和自备，保证满足实施要求。实施现场使用的机电设备必须经检测合格且具有合格标识。</w:t>
      </w:r>
    </w:p>
    <w:p>
      <w:pPr>
        <w:pStyle w:val="13"/>
        <w:numPr>
          <w:ilvl w:val="0"/>
          <w:numId w:val="0"/>
        </w:numPr>
        <w:rPr>
          <w:b w:val="0"/>
          <w:sz w:val="21"/>
        </w:rPr>
      </w:pPr>
      <w:r>
        <w:rPr>
          <w:rFonts w:hint="eastAsia"/>
          <w:b w:val="0"/>
          <w:sz w:val="21"/>
        </w:rPr>
        <w:t>3.1.7</w:t>
      </w:r>
      <w:r>
        <w:rPr>
          <w:b w:val="0"/>
          <w:sz w:val="21"/>
        </w:rPr>
        <w:t xml:space="preserve"> </w:t>
      </w:r>
      <w:r>
        <w:rPr>
          <w:rFonts w:hint="eastAsia"/>
          <w:b w:val="0"/>
          <w:sz w:val="21"/>
        </w:rPr>
        <w:t>供应商施工</w:t>
      </w:r>
      <w:r>
        <w:rPr>
          <w:b w:val="0"/>
          <w:sz w:val="21"/>
        </w:rPr>
        <w:t>人员就餐</w:t>
      </w:r>
      <w:r>
        <w:rPr>
          <w:rFonts w:hint="eastAsia"/>
          <w:b w:val="0"/>
          <w:sz w:val="21"/>
        </w:rPr>
        <w:t>，</w:t>
      </w:r>
      <w:r>
        <w:rPr>
          <w:b w:val="0"/>
          <w:sz w:val="21"/>
        </w:rPr>
        <w:t>可选择</w:t>
      </w:r>
      <w:r>
        <w:rPr>
          <w:rFonts w:hint="eastAsia"/>
          <w:b w:val="0"/>
          <w:sz w:val="21"/>
        </w:rPr>
        <w:t>厂区外自行解决，也可经得</w:t>
      </w:r>
      <w:r>
        <w:rPr>
          <w:b w:val="0"/>
          <w:sz w:val="21"/>
        </w:rPr>
        <w:t>梅州卷烟厂同意后，</w:t>
      </w:r>
      <w:r>
        <w:rPr>
          <w:rFonts w:hint="eastAsia"/>
          <w:b w:val="0"/>
          <w:sz w:val="21"/>
        </w:rPr>
        <w:t>通过办理充值</w:t>
      </w:r>
      <w:r>
        <w:rPr>
          <w:b w:val="0"/>
          <w:sz w:val="21"/>
        </w:rPr>
        <w:t>业务在厂内就餐，</w:t>
      </w:r>
      <w:r>
        <w:rPr>
          <w:rFonts w:hint="eastAsia"/>
          <w:b w:val="0"/>
          <w:sz w:val="21"/>
        </w:rPr>
        <w:t>用餐</w:t>
      </w:r>
      <w:r>
        <w:rPr>
          <w:b w:val="0"/>
          <w:sz w:val="21"/>
        </w:rPr>
        <w:t>期间，</w:t>
      </w:r>
      <w:r>
        <w:rPr>
          <w:rFonts w:hint="eastAsia"/>
          <w:b w:val="0"/>
          <w:sz w:val="21"/>
        </w:rPr>
        <w:t>施工人员必须严格</w:t>
      </w:r>
      <w:r>
        <w:rPr>
          <w:b w:val="0"/>
          <w:sz w:val="21"/>
        </w:rPr>
        <w:t>遵守</w:t>
      </w:r>
      <w:r>
        <w:rPr>
          <w:rFonts w:hint="eastAsia"/>
          <w:b w:val="0"/>
          <w:sz w:val="21"/>
        </w:rPr>
        <w:t>厂内</w:t>
      </w:r>
      <w:r>
        <w:rPr>
          <w:b w:val="0"/>
          <w:sz w:val="21"/>
        </w:rPr>
        <w:t>相关管理</w:t>
      </w:r>
      <w:r>
        <w:rPr>
          <w:rFonts w:hint="eastAsia"/>
          <w:b w:val="0"/>
          <w:sz w:val="21"/>
        </w:rPr>
        <w:t>要求，</w:t>
      </w:r>
      <w:r>
        <w:rPr>
          <w:b w:val="0"/>
          <w:sz w:val="21"/>
        </w:rPr>
        <w:t>不得在</w:t>
      </w:r>
      <w:r>
        <w:rPr>
          <w:rFonts w:hint="eastAsia"/>
          <w:b w:val="0"/>
          <w:sz w:val="21"/>
        </w:rPr>
        <w:t>食堂</w:t>
      </w:r>
      <w:r>
        <w:rPr>
          <w:b w:val="0"/>
          <w:sz w:val="21"/>
        </w:rPr>
        <w:t>内</w:t>
      </w:r>
      <w:r>
        <w:rPr>
          <w:rFonts w:hint="eastAsia"/>
          <w:b w:val="0"/>
          <w:sz w:val="21"/>
        </w:rPr>
        <w:t>抽烟</w:t>
      </w:r>
      <w:r>
        <w:rPr>
          <w:b w:val="0"/>
          <w:sz w:val="21"/>
        </w:rPr>
        <w:t>、</w:t>
      </w:r>
      <w:r>
        <w:rPr>
          <w:rFonts w:hint="eastAsia"/>
          <w:b w:val="0"/>
          <w:sz w:val="21"/>
        </w:rPr>
        <w:t>饮酒</w:t>
      </w:r>
      <w:r>
        <w:rPr>
          <w:b w:val="0"/>
          <w:sz w:val="21"/>
        </w:rPr>
        <w:t>、</w:t>
      </w:r>
      <w:r>
        <w:rPr>
          <w:rFonts w:hint="eastAsia"/>
          <w:b w:val="0"/>
          <w:sz w:val="21"/>
        </w:rPr>
        <w:t>大声</w:t>
      </w:r>
      <w:r>
        <w:rPr>
          <w:b w:val="0"/>
          <w:sz w:val="21"/>
        </w:rPr>
        <w:t>喧哗</w:t>
      </w:r>
      <w:r>
        <w:rPr>
          <w:rFonts w:hint="eastAsia"/>
          <w:b w:val="0"/>
          <w:sz w:val="21"/>
        </w:rPr>
        <w:t>、</w:t>
      </w:r>
      <w:r>
        <w:rPr>
          <w:b w:val="0"/>
          <w:sz w:val="21"/>
        </w:rPr>
        <w:t>驱逐</w:t>
      </w:r>
      <w:r>
        <w:rPr>
          <w:rFonts w:hint="eastAsia"/>
          <w:b w:val="0"/>
          <w:sz w:val="21"/>
        </w:rPr>
        <w:t>打闹</w:t>
      </w:r>
      <w:r>
        <w:rPr>
          <w:b w:val="0"/>
          <w:sz w:val="21"/>
        </w:rPr>
        <w:t>等</w:t>
      </w:r>
      <w:r>
        <w:rPr>
          <w:rFonts w:hint="eastAsia"/>
          <w:b w:val="0"/>
          <w:sz w:val="21"/>
        </w:rPr>
        <w:t>。</w:t>
      </w:r>
    </w:p>
    <w:p>
      <w:pPr>
        <w:pStyle w:val="13"/>
        <w:numPr>
          <w:ilvl w:val="0"/>
          <w:numId w:val="0"/>
        </w:numPr>
        <w:rPr>
          <w:b w:val="0"/>
          <w:sz w:val="21"/>
        </w:rPr>
      </w:pPr>
      <w:r>
        <w:rPr>
          <w:rFonts w:hint="eastAsia"/>
          <w:b w:val="0"/>
          <w:sz w:val="21"/>
        </w:rPr>
        <w:t>3.1.8</w:t>
      </w:r>
      <w:r>
        <w:rPr>
          <w:b w:val="0"/>
          <w:sz w:val="21"/>
        </w:rPr>
        <w:t xml:space="preserve"> </w:t>
      </w:r>
      <w:r>
        <w:rPr>
          <w:rFonts w:hint="eastAsia"/>
          <w:b w:val="0"/>
          <w:sz w:val="21"/>
        </w:rPr>
        <w:t>供应商应根据本项目的实际需要，配备具有相应的工作能力和经验的机电（或暖通）、质量检测等相关专业技术人员。特种设备操作人员和特种作业人员必须持证上岗。</w:t>
      </w:r>
    </w:p>
    <w:p>
      <w:pPr>
        <w:pStyle w:val="13"/>
        <w:numPr>
          <w:ilvl w:val="0"/>
          <w:numId w:val="0"/>
        </w:numPr>
        <w:rPr>
          <w:b w:val="0"/>
          <w:sz w:val="21"/>
        </w:rPr>
      </w:pPr>
      <w:r>
        <w:rPr>
          <w:rFonts w:hint="eastAsia"/>
          <w:b w:val="0"/>
          <w:sz w:val="21"/>
        </w:rPr>
        <w:t>3.1.9</w:t>
      </w:r>
      <w:r>
        <w:rPr>
          <w:b w:val="0"/>
          <w:sz w:val="21"/>
        </w:rPr>
        <w:t xml:space="preserve"> </w:t>
      </w:r>
      <w:r>
        <w:rPr>
          <w:rFonts w:hint="eastAsia"/>
          <w:b w:val="0"/>
          <w:sz w:val="21"/>
        </w:rPr>
        <w:t>本项目内涉及拆除的废旧设备材料，包括但不限于3台</w:t>
      </w:r>
      <w:r>
        <w:rPr>
          <w:b w:val="0"/>
          <w:sz w:val="21"/>
        </w:rPr>
        <w:t>利旧</w:t>
      </w:r>
      <w:r>
        <w:rPr>
          <w:rFonts w:hint="eastAsia"/>
          <w:b w:val="0"/>
          <w:sz w:val="21"/>
        </w:rPr>
        <w:t>精密</w:t>
      </w:r>
      <w:r>
        <w:rPr>
          <w:b w:val="0"/>
          <w:sz w:val="21"/>
        </w:rPr>
        <w:t>空调</w:t>
      </w:r>
      <w:r>
        <w:rPr>
          <w:rFonts w:hint="eastAsia"/>
          <w:b w:val="0"/>
          <w:sz w:val="21"/>
        </w:rPr>
        <w:t>的水</w:t>
      </w:r>
      <w:r>
        <w:rPr>
          <w:b w:val="0"/>
          <w:sz w:val="21"/>
        </w:rPr>
        <w:t>热交换器、</w:t>
      </w:r>
      <w:r>
        <w:rPr>
          <w:rFonts w:hint="eastAsia"/>
          <w:b w:val="0"/>
          <w:sz w:val="21"/>
        </w:rPr>
        <w:t>冷却水</w:t>
      </w:r>
      <w:r>
        <w:rPr>
          <w:b w:val="0"/>
          <w:sz w:val="21"/>
        </w:rPr>
        <w:t>管道</w:t>
      </w:r>
      <w:r>
        <w:rPr>
          <w:rFonts w:hint="eastAsia"/>
          <w:b w:val="0"/>
          <w:sz w:val="21"/>
        </w:rPr>
        <w:t>及</w:t>
      </w:r>
      <w:r>
        <w:rPr>
          <w:b w:val="0"/>
          <w:sz w:val="21"/>
        </w:rPr>
        <w:t>配套</w:t>
      </w:r>
      <w:r>
        <w:rPr>
          <w:rFonts w:hint="eastAsia"/>
          <w:b w:val="0"/>
          <w:sz w:val="21"/>
        </w:rPr>
        <w:t>阀门</w:t>
      </w:r>
      <w:r>
        <w:rPr>
          <w:b w:val="0"/>
          <w:sz w:val="21"/>
        </w:rPr>
        <w:t>器件等，</w:t>
      </w:r>
      <w:r>
        <w:rPr>
          <w:rFonts w:hint="eastAsia"/>
          <w:b w:val="0"/>
          <w:sz w:val="21"/>
        </w:rPr>
        <w:t>供应商拆除</w:t>
      </w:r>
      <w:r>
        <w:rPr>
          <w:b w:val="0"/>
          <w:sz w:val="21"/>
        </w:rPr>
        <w:t>后负责</w:t>
      </w:r>
      <w:r>
        <w:rPr>
          <w:rFonts w:hint="eastAsia"/>
          <w:b w:val="0"/>
          <w:sz w:val="21"/>
        </w:rPr>
        <w:t>解拆并清运至梅州卷烟厂厂区内指定位置，由梅州卷烟厂集中处理。其余废料如混凝土基础、建筑废料等由供应商清运至厂区外。一切运输费用均包含在项目金额内，梅州卷烟厂不再另行支付除合同金额外的任何费用。</w:t>
      </w:r>
    </w:p>
    <w:p>
      <w:pPr>
        <w:pStyle w:val="13"/>
        <w:numPr>
          <w:ilvl w:val="0"/>
          <w:numId w:val="0"/>
        </w:numPr>
        <w:rPr>
          <w:b w:val="0"/>
          <w:sz w:val="21"/>
        </w:rPr>
      </w:pPr>
      <w:r>
        <w:rPr>
          <w:rFonts w:hint="eastAsia"/>
          <w:b w:val="0"/>
          <w:sz w:val="21"/>
        </w:rPr>
        <w:t>3.1.10</w:t>
      </w:r>
      <w:r>
        <w:rPr>
          <w:b w:val="0"/>
          <w:sz w:val="21"/>
        </w:rPr>
        <w:t xml:space="preserve"> </w:t>
      </w:r>
      <w:r>
        <w:rPr>
          <w:rFonts w:hint="eastAsia"/>
          <w:b w:val="0"/>
          <w:sz w:val="21"/>
        </w:rPr>
        <w:t>本项目新增、</w:t>
      </w:r>
      <w:r>
        <w:rPr>
          <w:b w:val="0"/>
          <w:sz w:val="21"/>
        </w:rPr>
        <w:t>改造的空调</w:t>
      </w:r>
      <w:r>
        <w:rPr>
          <w:rFonts w:hint="eastAsia"/>
          <w:b w:val="0"/>
          <w:sz w:val="21"/>
        </w:rPr>
        <w:t>设备</w:t>
      </w:r>
      <w:r>
        <w:rPr>
          <w:b w:val="0"/>
          <w:sz w:val="21"/>
        </w:rPr>
        <w:t>如涉及</w:t>
      </w:r>
      <w:r>
        <w:rPr>
          <w:rFonts w:hint="eastAsia"/>
          <w:b w:val="0"/>
          <w:sz w:val="21"/>
        </w:rPr>
        <w:t>各类数据仪表、计量器具，</w:t>
      </w:r>
      <w:r>
        <w:rPr>
          <w:b w:val="0"/>
          <w:sz w:val="21"/>
        </w:rPr>
        <w:t>供应商</w:t>
      </w:r>
      <w:r>
        <w:rPr>
          <w:rFonts w:hint="eastAsia"/>
          <w:b w:val="0"/>
          <w:sz w:val="21"/>
        </w:rPr>
        <w:t>应提供明细清单，在实施安装、调试前由供应商负责送给政府职能部门授权的法定计量检定机构（具有有效期内的计量授权证书）进行检定校准并协助梅州卷烟厂获得计量检定报告，并出具检定或校准证书，检定或校准证书的送检单位或委托人需为“广东中烟工业有限责任公司梅州卷烟厂”，检定结论应为“合格”或校准结果中的示值误差应符合计量器具出厂精度要求，如检定不合格或校准结果不符合要求，梅州卷烟厂将拒绝收货，供应商应免费负责更换合格计量器具并重新送检，相关费用均包含在不含增值税投标总价中，梅州卷烟厂不再另行支付。</w:t>
      </w:r>
    </w:p>
    <w:p>
      <w:pPr>
        <w:pStyle w:val="13"/>
        <w:numPr>
          <w:ilvl w:val="0"/>
          <w:numId w:val="0"/>
        </w:numPr>
        <w:rPr>
          <w:b w:val="0"/>
          <w:sz w:val="21"/>
        </w:rPr>
      </w:pPr>
      <w:r>
        <w:rPr>
          <w:rFonts w:hint="eastAsia"/>
          <w:b w:val="0"/>
          <w:sz w:val="21"/>
        </w:rPr>
        <w:t>3.1.11</w:t>
      </w:r>
      <w:r>
        <w:rPr>
          <w:b w:val="0"/>
          <w:sz w:val="21"/>
        </w:rPr>
        <w:t xml:space="preserve"> </w:t>
      </w:r>
      <w:r>
        <w:rPr>
          <w:rFonts w:hint="eastAsia"/>
          <w:b w:val="0"/>
          <w:sz w:val="21"/>
        </w:rPr>
        <w:t>供应商应在项目实施前、实施过程配合做好梅州卷烟厂平行发包的其他标段（如</w:t>
      </w:r>
      <w:bookmarkStart w:id="0" w:name="OLE_LINK93"/>
      <w:r>
        <w:rPr>
          <w:rFonts w:hint="eastAsia"/>
          <w:b w:val="0"/>
          <w:sz w:val="21"/>
        </w:rPr>
        <w:t>梅州卷烟厂工艺质量科实验室改造及配套项目-施工项目、-实验室设施项目、-智能化设备设施项目等</w:t>
      </w:r>
      <w:bookmarkEnd w:id="0"/>
      <w:r>
        <w:rPr>
          <w:b w:val="0"/>
          <w:sz w:val="21"/>
        </w:rPr>
        <w:t>）</w:t>
      </w:r>
      <w:r>
        <w:rPr>
          <w:rFonts w:hint="eastAsia"/>
          <w:b w:val="0"/>
          <w:sz w:val="21"/>
        </w:rPr>
        <w:t>的协调、配套施工和调试验收工作。因</w:t>
      </w:r>
      <w:r>
        <w:rPr>
          <w:b w:val="0"/>
          <w:sz w:val="21"/>
        </w:rPr>
        <w:t>本项目</w:t>
      </w:r>
      <w:r>
        <w:rPr>
          <w:rFonts w:hint="eastAsia"/>
          <w:b w:val="0"/>
          <w:sz w:val="21"/>
        </w:rPr>
        <w:t>所购置</w:t>
      </w:r>
      <w:r>
        <w:rPr>
          <w:b w:val="0"/>
          <w:sz w:val="21"/>
        </w:rPr>
        <w:t>的</w:t>
      </w:r>
      <w:r>
        <w:rPr>
          <w:rFonts w:hint="eastAsia"/>
          <w:b w:val="0"/>
          <w:sz w:val="21"/>
        </w:rPr>
        <w:t>高精度</w:t>
      </w:r>
      <w:r>
        <w:rPr>
          <w:b w:val="0"/>
          <w:sz w:val="21"/>
        </w:rPr>
        <w:t>恒温恒湿组合式空调机组、</w:t>
      </w:r>
      <w:r>
        <w:rPr>
          <w:rFonts w:hint="eastAsia"/>
          <w:b w:val="0"/>
          <w:sz w:val="21"/>
        </w:rPr>
        <w:t>新风</w:t>
      </w:r>
      <w:r>
        <w:rPr>
          <w:b w:val="0"/>
          <w:sz w:val="21"/>
        </w:rPr>
        <w:t>空调机组</w:t>
      </w:r>
      <w:r>
        <w:rPr>
          <w:rFonts w:hint="eastAsia"/>
          <w:b w:val="0"/>
          <w:sz w:val="21"/>
        </w:rPr>
        <w:t>，</w:t>
      </w:r>
      <w:r>
        <w:rPr>
          <w:b w:val="0"/>
          <w:sz w:val="21"/>
        </w:rPr>
        <w:t>其</w:t>
      </w:r>
      <w:r>
        <w:rPr>
          <w:rFonts w:hint="eastAsia"/>
          <w:b w:val="0"/>
          <w:sz w:val="21"/>
        </w:rPr>
        <w:t>配套</w:t>
      </w:r>
      <w:r>
        <w:rPr>
          <w:b w:val="0"/>
          <w:sz w:val="21"/>
        </w:rPr>
        <w:t>的</w:t>
      </w:r>
      <w:r>
        <w:rPr>
          <w:rFonts w:hint="eastAsia"/>
          <w:b w:val="0"/>
          <w:sz w:val="21"/>
        </w:rPr>
        <w:t>铜管、保温</w:t>
      </w:r>
      <w:r>
        <w:rPr>
          <w:b w:val="0"/>
          <w:sz w:val="21"/>
        </w:rPr>
        <w:t>材料等配套</w:t>
      </w:r>
      <w:r>
        <w:rPr>
          <w:rFonts w:hint="eastAsia"/>
          <w:b w:val="0"/>
          <w:sz w:val="21"/>
        </w:rPr>
        <w:t>购置、</w:t>
      </w:r>
      <w:r>
        <w:rPr>
          <w:b w:val="0"/>
          <w:sz w:val="21"/>
        </w:rPr>
        <w:t>安装</w:t>
      </w:r>
      <w:r>
        <w:rPr>
          <w:rFonts w:hint="eastAsia"/>
          <w:b w:val="0"/>
          <w:sz w:val="21"/>
        </w:rPr>
        <w:t>内容包含</w:t>
      </w:r>
      <w:r>
        <w:rPr>
          <w:b w:val="0"/>
          <w:sz w:val="21"/>
        </w:rPr>
        <w:t>在</w:t>
      </w:r>
      <w:r>
        <w:rPr>
          <w:rFonts w:hint="eastAsia"/>
          <w:b w:val="0"/>
          <w:sz w:val="21"/>
        </w:rPr>
        <w:t>其他</w:t>
      </w:r>
      <w:r>
        <w:rPr>
          <w:b w:val="0"/>
          <w:sz w:val="21"/>
        </w:rPr>
        <w:t>标段实施，因此，</w:t>
      </w:r>
      <w:r>
        <w:rPr>
          <w:rFonts w:hint="eastAsia"/>
          <w:b w:val="0"/>
          <w:sz w:val="21"/>
        </w:rPr>
        <w:t>在本</w:t>
      </w:r>
      <w:r>
        <w:rPr>
          <w:b w:val="0"/>
          <w:sz w:val="21"/>
        </w:rPr>
        <w:t>项目实施</w:t>
      </w:r>
      <w:r>
        <w:rPr>
          <w:rFonts w:hint="eastAsia"/>
          <w:b w:val="0"/>
          <w:sz w:val="21"/>
        </w:rPr>
        <w:t>前</w:t>
      </w:r>
      <w:r>
        <w:rPr>
          <w:b w:val="0"/>
          <w:sz w:val="21"/>
        </w:rPr>
        <w:t>，供应商有</w:t>
      </w:r>
      <w:r>
        <w:rPr>
          <w:rFonts w:hint="eastAsia"/>
          <w:b w:val="0"/>
          <w:sz w:val="21"/>
        </w:rPr>
        <w:t>义务</w:t>
      </w:r>
      <w:r>
        <w:rPr>
          <w:b w:val="0"/>
          <w:sz w:val="21"/>
        </w:rPr>
        <w:t>与</w:t>
      </w:r>
      <w:r>
        <w:rPr>
          <w:rFonts w:hint="eastAsia"/>
          <w:b w:val="0"/>
          <w:sz w:val="21"/>
        </w:rPr>
        <w:t>梅州卷烟厂</w:t>
      </w:r>
      <w:r>
        <w:rPr>
          <w:b w:val="0"/>
          <w:sz w:val="21"/>
        </w:rPr>
        <w:t>及相关</w:t>
      </w:r>
      <w:r>
        <w:rPr>
          <w:rFonts w:hint="eastAsia"/>
          <w:b w:val="0"/>
          <w:sz w:val="21"/>
        </w:rPr>
        <w:t>标段</w:t>
      </w:r>
      <w:r>
        <w:rPr>
          <w:b w:val="0"/>
          <w:sz w:val="21"/>
        </w:rPr>
        <w:t>供应商</w:t>
      </w:r>
      <w:r>
        <w:rPr>
          <w:rFonts w:hint="eastAsia"/>
          <w:b w:val="0"/>
          <w:sz w:val="21"/>
        </w:rPr>
        <w:t>共同复核各标段</w:t>
      </w:r>
      <w:r>
        <w:rPr>
          <w:b w:val="0"/>
          <w:sz w:val="21"/>
        </w:rPr>
        <w:t>中相关设备设施</w:t>
      </w:r>
      <w:r>
        <w:rPr>
          <w:rFonts w:hint="eastAsia"/>
          <w:b w:val="0"/>
          <w:sz w:val="21"/>
        </w:rPr>
        <w:t>的设施</w:t>
      </w:r>
      <w:r>
        <w:rPr>
          <w:b w:val="0"/>
          <w:sz w:val="21"/>
        </w:rPr>
        <w:t>材料</w:t>
      </w:r>
      <w:r>
        <w:rPr>
          <w:rFonts w:hint="eastAsia"/>
          <w:b w:val="0"/>
          <w:sz w:val="21"/>
        </w:rPr>
        <w:t>购置</w:t>
      </w:r>
      <w:r>
        <w:rPr>
          <w:b w:val="0"/>
          <w:sz w:val="21"/>
        </w:rPr>
        <w:t>及</w:t>
      </w:r>
      <w:r>
        <w:rPr>
          <w:rFonts w:hint="eastAsia"/>
          <w:b w:val="0"/>
          <w:sz w:val="21"/>
        </w:rPr>
        <w:t>拆装</w:t>
      </w:r>
      <w:r>
        <w:rPr>
          <w:b w:val="0"/>
          <w:sz w:val="21"/>
        </w:rPr>
        <w:t>调试内容</w:t>
      </w:r>
      <w:r>
        <w:rPr>
          <w:rFonts w:hint="eastAsia"/>
          <w:b w:val="0"/>
          <w:sz w:val="21"/>
        </w:rPr>
        <w:t>的</w:t>
      </w:r>
      <w:r>
        <w:rPr>
          <w:b w:val="0"/>
          <w:sz w:val="21"/>
        </w:rPr>
        <w:t>完整性</w:t>
      </w:r>
      <w:r>
        <w:rPr>
          <w:rFonts w:hint="eastAsia"/>
          <w:b w:val="0"/>
          <w:sz w:val="21"/>
        </w:rPr>
        <w:t>，</w:t>
      </w:r>
      <w:r>
        <w:rPr>
          <w:b w:val="0"/>
          <w:sz w:val="21"/>
        </w:rPr>
        <w:t>如</w:t>
      </w:r>
      <w:r>
        <w:rPr>
          <w:rFonts w:hint="eastAsia"/>
          <w:b w:val="0"/>
          <w:sz w:val="21"/>
        </w:rPr>
        <w:t>发现各</w:t>
      </w:r>
      <w:r>
        <w:rPr>
          <w:b w:val="0"/>
          <w:sz w:val="21"/>
        </w:rPr>
        <w:t>标段</w:t>
      </w:r>
      <w:r>
        <w:rPr>
          <w:rFonts w:hint="eastAsia"/>
          <w:b w:val="0"/>
          <w:sz w:val="21"/>
        </w:rPr>
        <w:t>中</w:t>
      </w:r>
      <w:r>
        <w:rPr>
          <w:b w:val="0"/>
          <w:sz w:val="21"/>
        </w:rPr>
        <w:t>对于</w:t>
      </w:r>
      <w:r>
        <w:rPr>
          <w:rFonts w:hint="eastAsia"/>
          <w:b w:val="0"/>
          <w:sz w:val="21"/>
        </w:rPr>
        <w:t>同一台</w:t>
      </w:r>
      <w:r>
        <w:rPr>
          <w:b w:val="0"/>
          <w:sz w:val="21"/>
        </w:rPr>
        <w:t>设备的</w:t>
      </w:r>
      <w:r>
        <w:rPr>
          <w:rFonts w:hint="eastAsia"/>
          <w:b w:val="0"/>
          <w:sz w:val="21"/>
        </w:rPr>
        <w:t>设施</w:t>
      </w:r>
      <w:r>
        <w:rPr>
          <w:b w:val="0"/>
          <w:sz w:val="21"/>
        </w:rPr>
        <w:t>材料、</w:t>
      </w:r>
      <w:r>
        <w:rPr>
          <w:rFonts w:hint="eastAsia"/>
          <w:b w:val="0"/>
          <w:sz w:val="21"/>
        </w:rPr>
        <w:t>拆装</w:t>
      </w:r>
      <w:r>
        <w:rPr>
          <w:b w:val="0"/>
          <w:sz w:val="21"/>
        </w:rPr>
        <w:t>内容</w:t>
      </w:r>
      <w:r>
        <w:rPr>
          <w:rFonts w:hint="eastAsia"/>
          <w:b w:val="0"/>
          <w:sz w:val="21"/>
        </w:rPr>
        <w:t>存在缺项或漏项</w:t>
      </w:r>
      <w:r>
        <w:rPr>
          <w:b w:val="0"/>
          <w:sz w:val="21"/>
        </w:rPr>
        <w:t>，</w:t>
      </w:r>
      <w:r>
        <w:rPr>
          <w:rFonts w:hint="eastAsia"/>
          <w:b w:val="0"/>
          <w:sz w:val="21"/>
        </w:rPr>
        <w:t>则供应商需按梅州卷烟厂提出的要求予以补充完善，因上述情况发生的一切费用由供应商承担，梅州卷烟厂不再支付项目总价之外的其它任何费用。在签订合同前梅州卷烟厂有权提出因规范标准发生变化而产生的一些补充要求，所提出问题由梅州卷烟厂和供应商共同商定，但供应商需予以解决。</w:t>
      </w:r>
    </w:p>
    <w:p>
      <w:pPr>
        <w:pStyle w:val="13"/>
        <w:numPr>
          <w:ilvl w:val="0"/>
          <w:numId w:val="0"/>
        </w:numPr>
        <w:rPr>
          <w:b w:val="0"/>
          <w:sz w:val="21"/>
        </w:rPr>
      </w:pPr>
      <w:r>
        <w:rPr>
          <w:rFonts w:hint="eastAsia"/>
          <w:b w:val="0"/>
          <w:sz w:val="21"/>
        </w:rPr>
        <w:t>3.1.12</w:t>
      </w:r>
      <w:r>
        <w:rPr>
          <w:b w:val="0"/>
          <w:sz w:val="21"/>
        </w:rPr>
        <w:t xml:space="preserve"> </w:t>
      </w:r>
      <w:r>
        <w:rPr>
          <w:rFonts w:hint="eastAsia"/>
          <w:b w:val="0"/>
          <w:sz w:val="21"/>
        </w:rPr>
        <w:t>本用户需求提出的是最低限度的技术要求，并未对一切技术细节作出规定，也未充分引述有关标准和规范的条文，供应商应保证提供符合本用户需求和有关工业标准，并且功能完整、性能优良的优质产品及其相应服务。同时必须满足国家有关安全、环保等强制性标准和规范的要求。</w:t>
      </w:r>
    </w:p>
    <w:p>
      <w:pPr>
        <w:pStyle w:val="13"/>
        <w:numPr>
          <w:ilvl w:val="0"/>
          <w:numId w:val="0"/>
        </w:numPr>
        <w:rPr>
          <w:b w:val="0"/>
          <w:sz w:val="21"/>
        </w:rPr>
      </w:pPr>
      <w:r>
        <w:rPr>
          <w:rFonts w:hint="eastAsia"/>
          <w:b w:val="0"/>
          <w:sz w:val="21"/>
        </w:rPr>
        <w:t>3.1.13</w:t>
      </w:r>
      <w:r>
        <w:rPr>
          <w:b w:val="0"/>
          <w:sz w:val="21"/>
        </w:rPr>
        <w:t xml:space="preserve"> </w:t>
      </w:r>
      <w:r>
        <w:rPr>
          <w:rFonts w:hint="eastAsia"/>
          <w:b w:val="0"/>
          <w:sz w:val="21"/>
        </w:rPr>
        <w:t>本需求书所使用的标准如遇与供应商所执行的标准发生矛盾，则按技术要求更高的标准执行，供应商并应在标书中加以注明，并附上引用的标准。</w:t>
      </w:r>
    </w:p>
    <w:p>
      <w:pPr>
        <w:pStyle w:val="13"/>
        <w:numPr>
          <w:ilvl w:val="0"/>
          <w:numId w:val="0"/>
        </w:numPr>
        <w:rPr>
          <w:sz w:val="21"/>
        </w:rPr>
      </w:pPr>
      <w:r>
        <w:rPr>
          <w:rFonts w:hint="eastAsia"/>
          <w:sz w:val="21"/>
        </w:rPr>
        <w:t>3.2 项目</w:t>
      </w:r>
      <w:r>
        <w:rPr>
          <w:sz w:val="21"/>
        </w:rPr>
        <w:t>采购内容</w:t>
      </w:r>
    </w:p>
    <w:p>
      <w:pPr>
        <w:pStyle w:val="13"/>
        <w:numPr>
          <w:ilvl w:val="0"/>
          <w:numId w:val="0"/>
        </w:numPr>
        <w:rPr>
          <w:sz w:val="21"/>
        </w:rPr>
      </w:pPr>
      <w:r>
        <w:rPr>
          <w:rFonts w:hint="eastAsia"/>
          <w:sz w:val="21"/>
        </w:rPr>
        <w:t>3.2.1 购置2套高精度</w:t>
      </w:r>
      <w:r>
        <w:rPr>
          <w:sz w:val="21"/>
        </w:rPr>
        <w:t>恒温恒湿组合式空调机组</w:t>
      </w:r>
      <w:r>
        <w:rPr>
          <w:rFonts w:hint="eastAsia"/>
          <w:sz w:val="21"/>
        </w:rPr>
        <w:t>及2套电极加湿器</w:t>
      </w:r>
    </w:p>
    <w:p>
      <w:pPr>
        <w:pStyle w:val="13"/>
        <w:numPr>
          <w:ilvl w:val="0"/>
          <w:numId w:val="0"/>
        </w:numPr>
        <w:rPr>
          <w:b w:val="0"/>
          <w:sz w:val="21"/>
        </w:rPr>
      </w:pPr>
      <w:r>
        <w:rPr>
          <w:rFonts w:hint="eastAsia"/>
          <w:b w:val="0"/>
          <w:sz w:val="21"/>
        </w:rPr>
        <w:t>3.</w:t>
      </w:r>
      <w:r>
        <w:rPr>
          <w:b w:val="0"/>
          <w:sz w:val="21"/>
        </w:rPr>
        <w:t>2.1</w:t>
      </w:r>
      <w:r>
        <w:rPr>
          <w:rFonts w:hint="eastAsia"/>
          <w:b w:val="0"/>
          <w:sz w:val="21"/>
        </w:rPr>
        <w:t>.1 本项目所购置</w:t>
      </w:r>
      <w:r>
        <w:rPr>
          <w:b w:val="0"/>
          <w:sz w:val="21"/>
        </w:rPr>
        <w:t>的</w:t>
      </w:r>
      <w:r>
        <w:rPr>
          <w:rFonts w:hint="eastAsia"/>
          <w:b w:val="0"/>
          <w:sz w:val="21"/>
        </w:rPr>
        <w:t>2套高精度</w:t>
      </w:r>
      <w:r>
        <w:rPr>
          <w:b w:val="0"/>
          <w:sz w:val="21"/>
        </w:rPr>
        <w:t>恒温恒湿组合式空调机组</w:t>
      </w:r>
      <w:r>
        <w:rPr>
          <w:rFonts w:hint="eastAsia"/>
          <w:b w:val="0"/>
          <w:sz w:val="21"/>
        </w:rPr>
        <w:t>及2套电极加湿器，用于梅州卷烟厂科研中心二层东区实验室</w:t>
      </w:r>
      <w:r>
        <w:rPr>
          <w:b w:val="0"/>
          <w:sz w:val="21"/>
        </w:rPr>
        <w:t>内的物理检测室</w:t>
      </w:r>
      <w:r>
        <w:rPr>
          <w:rFonts w:hint="eastAsia"/>
          <w:b w:val="0"/>
          <w:sz w:val="21"/>
        </w:rPr>
        <w:t>（室内</w:t>
      </w:r>
      <w:r>
        <w:rPr>
          <w:b w:val="0"/>
          <w:sz w:val="21"/>
        </w:rPr>
        <w:t>空间约40.03</w:t>
      </w:r>
      <w:r>
        <w:rPr>
          <w:rFonts w:hint="eastAsia"/>
          <w:b w:val="0"/>
          <w:sz w:val="21"/>
        </w:rPr>
        <w:t>m³）和</w:t>
      </w:r>
      <w:r>
        <w:rPr>
          <w:b w:val="0"/>
          <w:sz w:val="21"/>
        </w:rPr>
        <w:t>材料检测室</w:t>
      </w:r>
      <w:r>
        <w:rPr>
          <w:rFonts w:hint="eastAsia"/>
          <w:b w:val="0"/>
          <w:sz w:val="21"/>
        </w:rPr>
        <w:t>一（室内</w:t>
      </w:r>
      <w:r>
        <w:rPr>
          <w:b w:val="0"/>
          <w:sz w:val="21"/>
        </w:rPr>
        <w:t>空间</w:t>
      </w:r>
      <w:r>
        <w:rPr>
          <w:rFonts w:hint="eastAsia"/>
          <w:b w:val="0"/>
          <w:sz w:val="21"/>
        </w:rPr>
        <w:t>约</w:t>
      </w:r>
      <w:r>
        <w:rPr>
          <w:b w:val="0"/>
          <w:sz w:val="21"/>
        </w:rPr>
        <w:t>34.37</w:t>
      </w:r>
      <w:r>
        <w:rPr>
          <w:rFonts w:hint="eastAsia"/>
          <w:b w:val="0"/>
          <w:sz w:val="21"/>
        </w:rPr>
        <w:t>m³），满足物理检测室（22.0±2.0）℃、（60.0±5.0）%RH以及材料</w:t>
      </w:r>
      <w:r>
        <w:rPr>
          <w:b w:val="0"/>
          <w:sz w:val="21"/>
        </w:rPr>
        <w:t>检测室一</w:t>
      </w:r>
      <w:r>
        <w:rPr>
          <w:rFonts w:hint="eastAsia"/>
          <w:b w:val="0"/>
          <w:sz w:val="21"/>
        </w:rPr>
        <w:t>（23.0±1.0）℃、（50.0±2.0）%RH的恒温</w:t>
      </w:r>
      <w:r>
        <w:rPr>
          <w:b w:val="0"/>
          <w:sz w:val="21"/>
        </w:rPr>
        <w:t>恒湿环境要求</w:t>
      </w:r>
      <w:r>
        <w:rPr>
          <w:rFonts w:hint="eastAsia"/>
          <w:b w:val="0"/>
          <w:sz w:val="21"/>
        </w:rPr>
        <w:t>，且</w:t>
      </w:r>
      <w:r>
        <w:rPr>
          <w:b w:val="0"/>
          <w:sz w:val="21"/>
        </w:rPr>
        <w:t>控制精度</w:t>
      </w:r>
      <w:r>
        <w:rPr>
          <w:rFonts w:hint="eastAsia"/>
          <w:b w:val="0"/>
          <w:sz w:val="21"/>
        </w:rPr>
        <w:t>需</w:t>
      </w:r>
      <w:r>
        <w:rPr>
          <w:b w:val="0"/>
          <w:sz w:val="21"/>
        </w:rPr>
        <w:t>符合</w:t>
      </w:r>
      <w:r>
        <w:rPr>
          <w:rFonts w:hint="eastAsia"/>
          <w:b w:val="0"/>
          <w:sz w:val="21"/>
        </w:rPr>
        <w:t>JJG（烟草）21-2021中</w:t>
      </w:r>
      <w:r>
        <w:rPr>
          <w:b w:val="0"/>
          <w:sz w:val="21"/>
        </w:rPr>
        <w:t>相关</w:t>
      </w:r>
      <w:r>
        <w:rPr>
          <w:rFonts w:hint="eastAsia"/>
          <w:b w:val="0"/>
          <w:sz w:val="21"/>
        </w:rPr>
        <w:t>要求。</w:t>
      </w:r>
    </w:p>
    <w:p>
      <w:pPr>
        <w:pStyle w:val="13"/>
        <w:numPr>
          <w:ilvl w:val="0"/>
          <w:numId w:val="0"/>
        </w:numPr>
        <w:rPr>
          <w:b w:val="0"/>
          <w:sz w:val="21"/>
        </w:rPr>
      </w:pPr>
      <w:r>
        <w:rPr>
          <w:rFonts w:hint="eastAsia"/>
          <w:b w:val="0"/>
          <w:sz w:val="21"/>
        </w:rPr>
        <w:t>3</w:t>
      </w:r>
      <w:r>
        <w:rPr>
          <w:b w:val="0"/>
          <w:sz w:val="21"/>
        </w:rPr>
        <w:t>.2.</w:t>
      </w:r>
      <w:r>
        <w:rPr>
          <w:rFonts w:hint="eastAsia"/>
          <w:b w:val="0"/>
          <w:sz w:val="21"/>
        </w:rPr>
        <w:t>1.</w:t>
      </w:r>
      <w:r>
        <w:rPr>
          <w:b w:val="0"/>
          <w:sz w:val="21"/>
        </w:rPr>
        <w:t xml:space="preserve">2 </w:t>
      </w:r>
      <w:r>
        <w:rPr>
          <w:rFonts w:hint="eastAsia"/>
          <w:b w:val="0"/>
          <w:sz w:val="21"/>
        </w:rPr>
        <w:t>本项目所</w:t>
      </w:r>
      <w:r>
        <w:rPr>
          <w:b w:val="0"/>
          <w:sz w:val="21"/>
        </w:rPr>
        <w:t>购置的</w:t>
      </w:r>
      <w:r>
        <w:rPr>
          <w:rFonts w:hint="eastAsia"/>
          <w:b w:val="0"/>
          <w:sz w:val="21"/>
        </w:rPr>
        <w:t>高精度</w:t>
      </w:r>
      <w:r>
        <w:rPr>
          <w:b w:val="0"/>
          <w:sz w:val="21"/>
        </w:rPr>
        <w:t>恒温恒湿组合式空调机组</w:t>
      </w:r>
      <w:r>
        <w:rPr>
          <w:rFonts w:hint="eastAsia"/>
          <w:b w:val="0"/>
          <w:sz w:val="21"/>
        </w:rPr>
        <w:t>及电极加湿器，采购</w:t>
      </w:r>
      <w:r>
        <w:rPr>
          <w:b w:val="0"/>
          <w:sz w:val="21"/>
        </w:rPr>
        <w:t>内容</w:t>
      </w:r>
      <w:r>
        <w:rPr>
          <w:rFonts w:hint="eastAsia"/>
          <w:b w:val="0"/>
          <w:sz w:val="21"/>
        </w:rPr>
        <w:t>包括2台高精度恒温恒湿空调（室内机）、2台空调机组室外机（含底座）、2套电极加湿器以及保证系统正常运行所必需的部件（除</w:t>
      </w:r>
      <w:r>
        <w:rPr>
          <w:b w:val="0"/>
          <w:sz w:val="21"/>
        </w:rPr>
        <w:t>内外机之间的冷媒铜管、</w:t>
      </w:r>
      <w:r>
        <w:rPr>
          <w:rFonts w:hint="eastAsia"/>
          <w:b w:val="0"/>
          <w:sz w:val="21"/>
        </w:rPr>
        <w:t>保温</w:t>
      </w:r>
      <w:r>
        <w:rPr>
          <w:b w:val="0"/>
          <w:sz w:val="21"/>
        </w:rPr>
        <w:t>材料</w:t>
      </w:r>
      <w:r>
        <w:rPr>
          <w:rFonts w:hint="eastAsia"/>
          <w:b w:val="0"/>
          <w:sz w:val="21"/>
        </w:rPr>
        <w:t>、</w:t>
      </w:r>
      <w:r>
        <w:rPr>
          <w:b w:val="0"/>
          <w:sz w:val="21"/>
        </w:rPr>
        <w:t>铜管保护壳</w:t>
      </w:r>
      <w:r>
        <w:rPr>
          <w:rFonts w:hint="eastAsia"/>
          <w:b w:val="0"/>
          <w:sz w:val="21"/>
        </w:rPr>
        <w:t>、</w:t>
      </w:r>
      <w:r>
        <w:rPr>
          <w:b w:val="0"/>
          <w:sz w:val="21"/>
        </w:rPr>
        <w:t>冷媒管支吊架</w:t>
      </w:r>
      <w:r>
        <w:rPr>
          <w:rFonts w:hint="eastAsia"/>
          <w:b w:val="0"/>
          <w:sz w:val="21"/>
        </w:rPr>
        <w:t>、</w:t>
      </w:r>
      <w:r>
        <w:rPr>
          <w:b w:val="0"/>
          <w:sz w:val="21"/>
        </w:rPr>
        <w:t>控制电缆、动力电缆</w:t>
      </w:r>
      <w:r>
        <w:rPr>
          <w:rFonts w:hint="eastAsia"/>
          <w:b w:val="0"/>
          <w:sz w:val="21"/>
        </w:rPr>
        <w:t>、</w:t>
      </w:r>
      <w:r>
        <w:rPr>
          <w:b w:val="0"/>
          <w:sz w:val="21"/>
        </w:rPr>
        <w:t>桥架及通讯线穿线管</w:t>
      </w:r>
      <w:r>
        <w:rPr>
          <w:rFonts w:hint="eastAsia"/>
          <w:b w:val="0"/>
          <w:sz w:val="21"/>
        </w:rPr>
        <w:t>之外的其他所有配件材料）、附件、软件的制作、供货、安装、调试、验收、培训、售后服务等内容。</w:t>
      </w:r>
    </w:p>
    <w:p>
      <w:pPr>
        <w:pStyle w:val="13"/>
        <w:numPr>
          <w:ilvl w:val="0"/>
          <w:numId w:val="0"/>
        </w:numPr>
        <w:rPr>
          <w:b w:val="0"/>
          <w:sz w:val="21"/>
        </w:rPr>
      </w:pPr>
      <w:r>
        <w:rPr>
          <w:rFonts w:hint="eastAsia"/>
          <w:b w:val="0"/>
          <w:sz w:val="21"/>
        </w:rPr>
        <w:t>3.2.2 购置2套新风</w:t>
      </w:r>
      <w:r>
        <w:rPr>
          <w:b w:val="0"/>
          <w:sz w:val="21"/>
        </w:rPr>
        <w:t>空调机组</w:t>
      </w:r>
    </w:p>
    <w:p>
      <w:pPr>
        <w:pStyle w:val="13"/>
        <w:numPr>
          <w:ilvl w:val="0"/>
          <w:numId w:val="0"/>
        </w:numPr>
        <w:rPr>
          <w:b w:val="0"/>
          <w:sz w:val="21"/>
        </w:rPr>
      </w:pPr>
      <w:r>
        <w:rPr>
          <w:rFonts w:hint="eastAsia"/>
          <w:b w:val="0"/>
          <w:sz w:val="21"/>
        </w:rPr>
        <w:t>3.2.2.1 本项目所购置</w:t>
      </w:r>
      <w:r>
        <w:rPr>
          <w:b w:val="0"/>
          <w:sz w:val="21"/>
        </w:rPr>
        <w:t>的</w:t>
      </w:r>
      <w:r>
        <w:rPr>
          <w:rFonts w:hint="eastAsia"/>
          <w:b w:val="0"/>
          <w:sz w:val="21"/>
        </w:rPr>
        <w:t>2套新风</w:t>
      </w:r>
      <w:r>
        <w:rPr>
          <w:b w:val="0"/>
          <w:sz w:val="21"/>
        </w:rPr>
        <w:t>空调机组</w:t>
      </w:r>
      <w:r>
        <w:rPr>
          <w:rFonts w:hint="eastAsia"/>
          <w:b w:val="0"/>
          <w:sz w:val="21"/>
        </w:rPr>
        <w:t>，</w:t>
      </w:r>
      <w:r>
        <w:rPr>
          <w:b w:val="0"/>
          <w:sz w:val="21"/>
        </w:rPr>
        <w:t>用于二层东侧和西侧各功能房间通排风</w:t>
      </w:r>
      <w:r>
        <w:rPr>
          <w:rFonts w:hint="eastAsia"/>
          <w:b w:val="0"/>
          <w:sz w:val="21"/>
        </w:rPr>
        <w:t>，</w:t>
      </w:r>
      <w:r>
        <w:rPr>
          <w:b w:val="0"/>
          <w:sz w:val="21"/>
        </w:rPr>
        <w:t>可将室外新鲜空气经过滤处理后送入室内，持续补充室内空气含氧量，同时定向排出室内积聚的污浊气体与浮尘，维持室内空气洁净度达标；机组可对引入的新风提前完成温湿度预处理，降低配套精密空调的热湿调节负荷</w:t>
      </w:r>
      <w:r>
        <w:rPr>
          <w:rFonts w:hint="eastAsia"/>
          <w:b w:val="0"/>
          <w:sz w:val="21"/>
        </w:rPr>
        <w:t>，</w:t>
      </w:r>
      <w:r>
        <w:rPr>
          <w:b w:val="0"/>
          <w:sz w:val="21"/>
        </w:rPr>
        <w:t>保障二层各功能房间的空气环境要求。</w:t>
      </w:r>
    </w:p>
    <w:p>
      <w:pPr>
        <w:pStyle w:val="13"/>
        <w:numPr>
          <w:ilvl w:val="0"/>
          <w:numId w:val="0"/>
        </w:numPr>
        <w:rPr>
          <w:b w:val="0"/>
          <w:sz w:val="21"/>
        </w:rPr>
      </w:pPr>
      <w:r>
        <w:rPr>
          <w:b w:val="0"/>
          <w:sz w:val="21"/>
        </w:rPr>
        <w:t>3.</w:t>
      </w:r>
      <w:r>
        <w:rPr>
          <w:rFonts w:hint="eastAsia"/>
          <w:b w:val="0"/>
          <w:sz w:val="21"/>
        </w:rPr>
        <w:t>2.2.2</w:t>
      </w:r>
      <w:r>
        <w:rPr>
          <w:b w:val="0"/>
          <w:sz w:val="21"/>
        </w:rPr>
        <w:t xml:space="preserve"> </w:t>
      </w:r>
      <w:r>
        <w:rPr>
          <w:rFonts w:hint="eastAsia"/>
          <w:b w:val="0"/>
          <w:sz w:val="21"/>
        </w:rPr>
        <w:t>本项目</w:t>
      </w:r>
      <w:bookmarkStart w:id="1" w:name="OLE_LINK91"/>
      <w:r>
        <w:rPr>
          <w:rFonts w:hint="eastAsia"/>
          <w:b w:val="0"/>
          <w:sz w:val="21"/>
        </w:rPr>
        <w:t>所</w:t>
      </w:r>
      <w:r>
        <w:rPr>
          <w:b w:val="0"/>
          <w:sz w:val="21"/>
        </w:rPr>
        <w:t>购置的</w:t>
      </w:r>
      <w:r>
        <w:rPr>
          <w:rFonts w:hint="eastAsia"/>
          <w:b w:val="0"/>
          <w:sz w:val="21"/>
        </w:rPr>
        <w:t>2套新风</w:t>
      </w:r>
      <w:r>
        <w:rPr>
          <w:b w:val="0"/>
          <w:sz w:val="21"/>
        </w:rPr>
        <w:t>空调机组</w:t>
      </w:r>
      <w:r>
        <w:rPr>
          <w:rFonts w:hint="eastAsia"/>
          <w:b w:val="0"/>
          <w:sz w:val="21"/>
        </w:rPr>
        <w:t>，采购</w:t>
      </w:r>
      <w:r>
        <w:rPr>
          <w:b w:val="0"/>
          <w:sz w:val="21"/>
        </w:rPr>
        <w:t>内容</w:t>
      </w:r>
      <w:r>
        <w:rPr>
          <w:rFonts w:hint="eastAsia"/>
          <w:b w:val="0"/>
          <w:sz w:val="21"/>
        </w:rPr>
        <w:t>包括2台全直流直膨式新风（补风）空调机组（室内机）以及保证系统正常运行所必需的部件</w:t>
      </w:r>
      <w:r>
        <w:rPr>
          <w:b w:val="0"/>
          <w:sz w:val="21"/>
        </w:rPr>
        <w:t>（除内外机之间的冷媒铜管、保温材料、铜管保护壳、冷媒管支吊架、控制电缆、动力电缆、桥架及通讯线穿线管之外的其他所有配件材料）</w:t>
      </w:r>
      <w:r>
        <w:rPr>
          <w:rFonts w:hint="eastAsia"/>
          <w:b w:val="0"/>
          <w:sz w:val="21"/>
        </w:rPr>
        <w:t>、附件、软件的制作、供货、安装、调试、验收、培训、售后服务等内容，以及</w:t>
      </w:r>
      <w:r>
        <w:rPr>
          <w:b w:val="0"/>
          <w:sz w:val="21"/>
        </w:rPr>
        <w:t>原有新风机组管道、支吊架、管道拆除外运等工作</w:t>
      </w:r>
      <w:r>
        <w:rPr>
          <w:rFonts w:hint="eastAsia"/>
          <w:b w:val="0"/>
          <w:sz w:val="21"/>
        </w:rPr>
        <w:t>。</w:t>
      </w:r>
      <w:bookmarkEnd w:id="1"/>
    </w:p>
    <w:p>
      <w:pPr>
        <w:spacing w:line="360" w:lineRule="auto"/>
        <w:jc w:val="center"/>
        <w:rPr>
          <w:rFonts w:ascii="宋体" w:hAnsi="宋体"/>
        </w:rPr>
      </w:pPr>
      <w:r>
        <w:drawing>
          <wp:inline distT="0" distB="0" distL="0" distR="0">
            <wp:extent cx="5753735" cy="1923415"/>
            <wp:effectExtent l="0" t="0" r="0" b="63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a:xfrm>
                      <a:off x="0" y="0"/>
                      <a:ext cx="5753735" cy="1923415"/>
                    </a:xfrm>
                    <a:prstGeom prst="rect">
                      <a:avLst/>
                    </a:prstGeom>
                    <a:noFill/>
                    <a:ln>
                      <a:noFill/>
                    </a:ln>
                  </pic:spPr>
                </pic:pic>
              </a:graphicData>
            </a:graphic>
          </wp:inline>
        </w:drawing>
      </w:r>
    </w:p>
    <w:p>
      <w:pPr>
        <w:pStyle w:val="13"/>
        <w:numPr>
          <w:ilvl w:val="0"/>
          <w:numId w:val="0"/>
        </w:numPr>
        <w:jc w:val="center"/>
        <w:rPr>
          <w:b w:val="0"/>
          <w:sz w:val="21"/>
        </w:rPr>
      </w:pPr>
      <w:r>
        <w:rPr>
          <w:b w:val="0"/>
          <w:sz w:val="21"/>
        </w:rPr>
        <w:t>图</w:t>
      </w:r>
      <w:r>
        <w:rPr>
          <w:rFonts w:hint="eastAsia"/>
          <w:b w:val="0"/>
          <w:sz w:val="21"/>
        </w:rPr>
        <w:t>1</w:t>
      </w:r>
      <w:r>
        <w:rPr>
          <w:b w:val="0"/>
          <w:sz w:val="21"/>
        </w:rPr>
        <w:t xml:space="preserve"> </w:t>
      </w:r>
      <w:r>
        <w:rPr>
          <w:rFonts w:hint="eastAsia"/>
          <w:b w:val="0"/>
          <w:sz w:val="21"/>
        </w:rPr>
        <w:t>科研中心二</w:t>
      </w:r>
      <w:r>
        <w:rPr>
          <w:b w:val="0"/>
          <w:sz w:val="21"/>
        </w:rPr>
        <w:t>层</w:t>
      </w:r>
      <w:r>
        <w:rPr>
          <w:rFonts w:hint="eastAsia"/>
          <w:b w:val="0"/>
          <w:sz w:val="21"/>
        </w:rPr>
        <w:t>原新风机及送回风管道平面图</w:t>
      </w:r>
    </w:p>
    <w:p>
      <w:pPr>
        <w:pStyle w:val="13"/>
        <w:numPr>
          <w:ilvl w:val="0"/>
          <w:numId w:val="0"/>
        </w:numPr>
        <w:rPr>
          <w:sz w:val="21"/>
        </w:rPr>
      </w:pPr>
      <w:r>
        <w:rPr>
          <w:rFonts w:hint="eastAsia"/>
          <w:sz w:val="21"/>
        </w:rPr>
        <w:t>3.2.3</w:t>
      </w:r>
      <w:r>
        <w:rPr>
          <w:sz w:val="21"/>
        </w:rPr>
        <w:t xml:space="preserve"> </w:t>
      </w:r>
      <w:r>
        <w:rPr>
          <w:rFonts w:hint="eastAsia"/>
          <w:sz w:val="21"/>
        </w:rPr>
        <w:t>改造3台</w:t>
      </w:r>
      <w:r>
        <w:rPr>
          <w:sz w:val="21"/>
        </w:rPr>
        <w:t>利旧</w:t>
      </w:r>
      <w:r>
        <w:rPr>
          <w:rFonts w:hint="eastAsia"/>
          <w:sz w:val="21"/>
        </w:rPr>
        <w:t>精密</w:t>
      </w:r>
      <w:r>
        <w:rPr>
          <w:sz w:val="21"/>
        </w:rPr>
        <w:t>空调</w:t>
      </w:r>
      <w:r>
        <w:rPr>
          <w:rFonts w:hint="eastAsia"/>
          <w:sz w:val="21"/>
        </w:rPr>
        <w:t>机组</w:t>
      </w:r>
    </w:p>
    <w:p>
      <w:pPr>
        <w:pStyle w:val="13"/>
        <w:numPr>
          <w:ilvl w:val="0"/>
          <w:numId w:val="0"/>
        </w:numPr>
        <w:rPr>
          <w:b w:val="0"/>
          <w:sz w:val="21"/>
        </w:rPr>
      </w:pPr>
      <w:r>
        <w:rPr>
          <w:rFonts w:hint="eastAsia"/>
          <w:b w:val="0"/>
          <w:sz w:val="21"/>
        </w:rPr>
        <w:t>3.2.3.1</w:t>
      </w:r>
      <w:r>
        <w:rPr>
          <w:b w:val="0"/>
          <w:sz w:val="21"/>
        </w:rPr>
        <w:t xml:space="preserve"> </w:t>
      </w:r>
      <w:bookmarkStart w:id="2" w:name="OLE_LINK89"/>
      <w:r>
        <w:rPr>
          <w:rFonts w:hint="eastAsia"/>
          <w:b w:val="0"/>
          <w:sz w:val="21"/>
        </w:rPr>
        <w:t>本</w:t>
      </w:r>
      <w:r>
        <w:rPr>
          <w:b w:val="0"/>
          <w:sz w:val="21"/>
        </w:rPr>
        <w:t>项目</w:t>
      </w:r>
      <w:r>
        <w:rPr>
          <w:rFonts w:hint="eastAsia"/>
          <w:b w:val="0"/>
          <w:sz w:val="21"/>
        </w:rPr>
        <w:t>所</w:t>
      </w:r>
      <w:r>
        <w:rPr>
          <w:b w:val="0"/>
          <w:sz w:val="21"/>
        </w:rPr>
        <w:t>改造的3</w:t>
      </w:r>
      <w:r>
        <w:rPr>
          <w:rFonts w:hint="eastAsia"/>
          <w:b w:val="0"/>
          <w:sz w:val="21"/>
        </w:rPr>
        <w:t>台</w:t>
      </w:r>
      <w:r>
        <w:rPr>
          <w:b w:val="0"/>
          <w:sz w:val="21"/>
        </w:rPr>
        <w:t>利旧精密空调机组，位于</w:t>
      </w:r>
      <w:r>
        <w:rPr>
          <w:rFonts w:hint="eastAsia"/>
          <w:b w:val="0"/>
          <w:sz w:val="21"/>
        </w:rPr>
        <w:t>现有科研</w:t>
      </w:r>
      <w:r>
        <w:rPr>
          <w:b w:val="0"/>
          <w:sz w:val="21"/>
        </w:rPr>
        <w:t>中心二层</w:t>
      </w:r>
      <w:r>
        <w:rPr>
          <w:rFonts w:hint="eastAsia"/>
          <w:b w:val="0"/>
          <w:sz w:val="21"/>
        </w:rPr>
        <w:t>烟气</w:t>
      </w:r>
      <w:r>
        <w:rPr>
          <w:b w:val="0"/>
          <w:sz w:val="21"/>
        </w:rPr>
        <w:t>分析</w:t>
      </w:r>
      <w:r>
        <w:rPr>
          <w:rFonts w:hint="eastAsia"/>
          <w:b w:val="0"/>
          <w:sz w:val="21"/>
        </w:rPr>
        <w:t>室</w:t>
      </w:r>
      <w:r>
        <w:rPr>
          <w:b w:val="0"/>
          <w:sz w:val="21"/>
        </w:rPr>
        <w:t>、</w:t>
      </w:r>
      <w:r>
        <w:rPr>
          <w:rFonts w:hint="eastAsia"/>
          <w:b w:val="0"/>
          <w:sz w:val="21"/>
        </w:rPr>
        <w:t>成品</w:t>
      </w:r>
      <w:r>
        <w:rPr>
          <w:b w:val="0"/>
          <w:sz w:val="21"/>
        </w:rPr>
        <w:t>检测室和材料检测室，属于</w:t>
      </w:r>
      <w:r>
        <w:rPr>
          <w:rFonts w:hint="eastAsia"/>
          <w:b w:val="0"/>
          <w:sz w:val="21"/>
        </w:rPr>
        <w:t>普通</w:t>
      </w:r>
      <w:r>
        <w:rPr>
          <w:b w:val="0"/>
          <w:sz w:val="21"/>
        </w:rPr>
        <w:t>精度的恒温恒湿空调机组，</w:t>
      </w:r>
      <w:r>
        <w:rPr>
          <w:rFonts w:hint="eastAsia"/>
          <w:b w:val="0"/>
          <w:sz w:val="21"/>
        </w:rPr>
        <w:t>目前利用科研中心中央</w:t>
      </w:r>
      <w:r>
        <w:rPr>
          <w:b w:val="0"/>
          <w:sz w:val="21"/>
        </w:rPr>
        <w:t>空调冷却水</w:t>
      </w:r>
      <w:r>
        <w:rPr>
          <w:rFonts w:hint="eastAsia"/>
          <w:b w:val="0"/>
          <w:sz w:val="21"/>
        </w:rPr>
        <w:t>系统供水</w:t>
      </w:r>
      <w:r>
        <w:rPr>
          <w:b w:val="0"/>
          <w:sz w:val="21"/>
        </w:rPr>
        <w:t>进行</w:t>
      </w:r>
      <w:r>
        <w:rPr>
          <w:rFonts w:hint="eastAsia"/>
          <w:b w:val="0"/>
          <w:sz w:val="21"/>
        </w:rPr>
        <w:t>热交换</w:t>
      </w:r>
      <w:r>
        <w:rPr>
          <w:b w:val="0"/>
          <w:sz w:val="21"/>
        </w:rPr>
        <w:t>，</w:t>
      </w:r>
      <w:r>
        <w:rPr>
          <w:rFonts w:hint="eastAsia"/>
          <w:b w:val="0"/>
          <w:sz w:val="21"/>
        </w:rPr>
        <w:t>热交换器置于科研中心</w:t>
      </w:r>
      <w:r>
        <w:rPr>
          <w:b w:val="0"/>
          <w:sz w:val="21"/>
        </w:rPr>
        <w:t>二层电梯房侧</w:t>
      </w:r>
      <w:r>
        <w:rPr>
          <w:rFonts w:hint="eastAsia"/>
          <w:b w:val="0"/>
          <w:sz w:val="21"/>
        </w:rPr>
        <w:t>管</w:t>
      </w:r>
      <w:r>
        <w:rPr>
          <w:b w:val="0"/>
          <w:sz w:val="21"/>
        </w:rPr>
        <w:t>井</w:t>
      </w:r>
      <w:r>
        <w:rPr>
          <w:rFonts w:hint="eastAsia"/>
          <w:b w:val="0"/>
          <w:sz w:val="21"/>
        </w:rPr>
        <w:t>间</w:t>
      </w:r>
      <w:r>
        <w:rPr>
          <w:b w:val="0"/>
          <w:sz w:val="21"/>
        </w:rPr>
        <w:t>，</w:t>
      </w:r>
      <w:r>
        <w:rPr>
          <w:rFonts w:hint="eastAsia"/>
          <w:b w:val="0"/>
          <w:sz w:val="21"/>
        </w:rPr>
        <w:t>进出水</w:t>
      </w:r>
      <w:r>
        <w:rPr>
          <w:b w:val="0"/>
          <w:sz w:val="21"/>
        </w:rPr>
        <w:t>管路</w:t>
      </w:r>
      <w:r>
        <w:rPr>
          <w:rFonts w:hint="eastAsia"/>
          <w:b w:val="0"/>
          <w:sz w:val="21"/>
        </w:rPr>
        <w:t>通过实验室</w:t>
      </w:r>
      <w:r>
        <w:rPr>
          <w:b w:val="0"/>
          <w:sz w:val="21"/>
        </w:rPr>
        <w:t>吊顶</w:t>
      </w:r>
      <w:r>
        <w:rPr>
          <w:rFonts w:hint="eastAsia"/>
          <w:b w:val="0"/>
          <w:sz w:val="21"/>
        </w:rPr>
        <w:t>进入空调机组</w:t>
      </w:r>
      <w:r>
        <w:rPr>
          <w:b w:val="0"/>
          <w:sz w:val="21"/>
        </w:rPr>
        <w:t>连接。</w:t>
      </w:r>
    </w:p>
    <w:p>
      <w:pPr>
        <w:pStyle w:val="13"/>
        <w:numPr>
          <w:ilvl w:val="0"/>
          <w:numId w:val="0"/>
        </w:numPr>
        <w:rPr>
          <w:b w:val="0"/>
          <w:sz w:val="21"/>
        </w:rPr>
      </w:pPr>
      <w:r>
        <w:rPr>
          <w:rFonts w:hint="eastAsia"/>
          <w:b w:val="0"/>
          <w:sz w:val="21"/>
        </w:rPr>
        <w:t>3.2.3.2 本</w:t>
      </w:r>
      <w:r>
        <w:rPr>
          <w:b w:val="0"/>
          <w:sz w:val="21"/>
        </w:rPr>
        <w:t>项目须</w:t>
      </w:r>
      <w:r>
        <w:rPr>
          <w:rFonts w:hint="eastAsia"/>
          <w:b w:val="0"/>
          <w:sz w:val="21"/>
        </w:rPr>
        <w:t>完成</w:t>
      </w:r>
      <w:r>
        <w:rPr>
          <w:b w:val="0"/>
          <w:sz w:val="21"/>
        </w:rPr>
        <w:t>该</w:t>
      </w:r>
      <w:r>
        <w:rPr>
          <w:rFonts w:hint="eastAsia"/>
          <w:b w:val="0"/>
          <w:sz w:val="21"/>
        </w:rPr>
        <w:t>3台</w:t>
      </w:r>
      <w:r>
        <w:rPr>
          <w:b w:val="0"/>
          <w:sz w:val="21"/>
        </w:rPr>
        <w:t>利旧精密空调机组</w:t>
      </w:r>
      <w:r>
        <w:rPr>
          <w:rFonts w:hint="eastAsia"/>
          <w:b w:val="0"/>
          <w:sz w:val="21"/>
        </w:rPr>
        <w:t>所有</w:t>
      </w:r>
      <w:r>
        <w:rPr>
          <w:b w:val="0"/>
          <w:sz w:val="21"/>
        </w:rPr>
        <w:t>配套部分的拆除，</w:t>
      </w:r>
      <w:r>
        <w:rPr>
          <w:rFonts w:hint="eastAsia"/>
          <w:b w:val="0"/>
          <w:sz w:val="21"/>
        </w:rPr>
        <w:t>包括热交换器</w:t>
      </w:r>
      <w:r>
        <w:rPr>
          <w:b w:val="0"/>
          <w:sz w:val="21"/>
        </w:rPr>
        <w:t>、</w:t>
      </w:r>
      <w:r>
        <w:rPr>
          <w:rFonts w:hint="eastAsia"/>
          <w:b w:val="0"/>
          <w:sz w:val="21"/>
        </w:rPr>
        <w:t>冷却水进出</w:t>
      </w:r>
      <w:r>
        <w:rPr>
          <w:b w:val="0"/>
          <w:sz w:val="21"/>
        </w:rPr>
        <w:t>管道及</w:t>
      </w:r>
      <w:r>
        <w:rPr>
          <w:rFonts w:hint="eastAsia"/>
          <w:b w:val="0"/>
          <w:sz w:val="21"/>
        </w:rPr>
        <w:t>相关</w:t>
      </w:r>
      <w:r>
        <w:rPr>
          <w:b w:val="0"/>
          <w:sz w:val="21"/>
        </w:rPr>
        <w:t>阀门、</w:t>
      </w:r>
      <w:r>
        <w:rPr>
          <w:rFonts w:hint="eastAsia"/>
          <w:b w:val="0"/>
          <w:sz w:val="21"/>
        </w:rPr>
        <w:t>主</w:t>
      </w:r>
      <w:r>
        <w:rPr>
          <w:b w:val="0"/>
          <w:sz w:val="21"/>
        </w:rPr>
        <w:t>冷却水供回水管道</w:t>
      </w:r>
      <w:r>
        <w:rPr>
          <w:rFonts w:hint="eastAsia"/>
          <w:b w:val="0"/>
          <w:sz w:val="21"/>
        </w:rPr>
        <w:t>接口</w:t>
      </w:r>
      <w:r>
        <w:rPr>
          <w:b w:val="0"/>
          <w:sz w:val="21"/>
        </w:rPr>
        <w:t>封闭恢复</w:t>
      </w:r>
      <w:r>
        <w:rPr>
          <w:rFonts w:hint="eastAsia"/>
          <w:b w:val="0"/>
          <w:sz w:val="21"/>
        </w:rPr>
        <w:t>等拆卸作业。</w:t>
      </w:r>
    </w:p>
    <w:p>
      <w:pPr>
        <w:pStyle w:val="13"/>
        <w:numPr>
          <w:ilvl w:val="0"/>
          <w:numId w:val="0"/>
        </w:numPr>
        <w:rPr>
          <w:b w:val="0"/>
          <w:sz w:val="21"/>
        </w:rPr>
      </w:pPr>
      <w:r>
        <w:rPr>
          <w:rFonts w:hint="eastAsia"/>
          <w:b w:val="0"/>
          <w:sz w:val="21"/>
        </w:rPr>
        <w:t>3.2.3.3 本项目所</w:t>
      </w:r>
      <w:r>
        <w:rPr>
          <w:b w:val="0"/>
          <w:sz w:val="21"/>
        </w:rPr>
        <w:t>购置的</w:t>
      </w:r>
      <w:r>
        <w:rPr>
          <w:rFonts w:hint="eastAsia"/>
          <w:b w:val="0"/>
          <w:sz w:val="21"/>
        </w:rPr>
        <w:t>3套精密空调室外机，采购</w:t>
      </w:r>
      <w:r>
        <w:rPr>
          <w:b w:val="0"/>
          <w:sz w:val="21"/>
        </w:rPr>
        <w:t>内容</w:t>
      </w:r>
      <w:r>
        <w:rPr>
          <w:rFonts w:hint="eastAsia"/>
          <w:b w:val="0"/>
          <w:sz w:val="21"/>
        </w:rPr>
        <w:t>包括3台精密空调室外机以及保证系统正常运行所必需的部件</w:t>
      </w:r>
      <w:r>
        <w:rPr>
          <w:b w:val="0"/>
          <w:sz w:val="21"/>
        </w:rPr>
        <w:t>（除PLC、触摸屏、传感器、电动阀、变频器、控制及通讯电缆</w:t>
      </w:r>
      <w:r>
        <w:rPr>
          <w:rFonts w:hint="eastAsia"/>
          <w:b w:val="0"/>
          <w:sz w:val="21"/>
        </w:rPr>
        <w:t>外</w:t>
      </w:r>
      <w:r>
        <w:rPr>
          <w:b w:val="0"/>
          <w:sz w:val="21"/>
        </w:rPr>
        <w:t>）</w:t>
      </w:r>
      <w:r>
        <w:rPr>
          <w:rFonts w:hint="eastAsia"/>
          <w:b w:val="0"/>
          <w:sz w:val="21"/>
        </w:rPr>
        <w:t>、设备改造、基础制作、附件、软件的制作、供货、安装、调试、验收、培训、售后服务等内容。</w:t>
      </w:r>
    </w:p>
    <w:p>
      <w:pPr>
        <w:spacing w:line="360" w:lineRule="auto"/>
        <w:jc w:val="center"/>
        <w:rPr>
          <w:rFonts w:ascii="宋体" w:hAnsi="宋体" w:cs="宋体"/>
          <w:b/>
          <w:szCs w:val="21"/>
        </w:rPr>
      </w:pPr>
      <w:r>
        <w:drawing>
          <wp:inline distT="0" distB="0" distL="0" distR="0">
            <wp:extent cx="5753735" cy="200152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a:xfrm>
                      <a:off x="0" y="0"/>
                      <a:ext cx="5753735" cy="2001520"/>
                    </a:xfrm>
                    <a:prstGeom prst="rect">
                      <a:avLst/>
                    </a:prstGeom>
                    <a:noFill/>
                    <a:ln>
                      <a:noFill/>
                    </a:ln>
                  </pic:spPr>
                </pic:pic>
              </a:graphicData>
            </a:graphic>
          </wp:inline>
        </w:drawing>
      </w:r>
    </w:p>
    <w:p>
      <w:pPr>
        <w:pStyle w:val="13"/>
        <w:numPr>
          <w:ilvl w:val="0"/>
          <w:numId w:val="0"/>
        </w:numPr>
        <w:jc w:val="center"/>
        <w:rPr>
          <w:b w:val="0"/>
          <w:sz w:val="21"/>
        </w:rPr>
      </w:pPr>
      <w:r>
        <w:rPr>
          <w:b w:val="0"/>
          <w:sz w:val="21"/>
        </w:rPr>
        <w:t>图</w:t>
      </w:r>
      <w:r>
        <w:rPr>
          <w:rFonts w:hint="eastAsia"/>
          <w:b w:val="0"/>
          <w:sz w:val="21"/>
        </w:rPr>
        <w:t>2</w:t>
      </w:r>
      <w:r>
        <w:rPr>
          <w:b w:val="0"/>
          <w:sz w:val="21"/>
        </w:rPr>
        <w:t xml:space="preserve"> </w:t>
      </w:r>
      <w:r>
        <w:rPr>
          <w:rFonts w:hint="eastAsia"/>
          <w:b w:val="0"/>
          <w:sz w:val="21"/>
        </w:rPr>
        <w:t>科研中心二</w:t>
      </w:r>
      <w:r>
        <w:rPr>
          <w:b w:val="0"/>
          <w:sz w:val="21"/>
        </w:rPr>
        <w:t>层</w:t>
      </w:r>
      <w:r>
        <w:rPr>
          <w:rFonts w:hint="eastAsia"/>
          <w:b w:val="0"/>
          <w:sz w:val="21"/>
        </w:rPr>
        <w:t>新风机冷媒管平面图</w:t>
      </w:r>
    </w:p>
    <w:p>
      <w:pPr>
        <w:spacing w:line="360" w:lineRule="auto"/>
        <w:jc w:val="center"/>
        <w:rPr>
          <w:rFonts w:ascii="宋体" w:hAnsi="宋体" w:cs="宋体"/>
          <w:b/>
          <w:szCs w:val="21"/>
        </w:rPr>
      </w:pPr>
      <w:r>
        <w:drawing>
          <wp:inline distT="0" distB="0" distL="0" distR="0">
            <wp:extent cx="5762625" cy="2493010"/>
            <wp:effectExtent l="0" t="0" r="9525" b="254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5762625" cy="2493010"/>
                    </a:xfrm>
                    <a:prstGeom prst="rect">
                      <a:avLst/>
                    </a:prstGeom>
                    <a:noFill/>
                    <a:ln>
                      <a:noFill/>
                    </a:ln>
                  </pic:spPr>
                </pic:pic>
              </a:graphicData>
            </a:graphic>
          </wp:inline>
        </w:drawing>
      </w:r>
    </w:p>
    <w:p>
      <w:pPr>
        <w:pStyle w:val="13"/>
        <w:numPr>
          <w:ilvl w:val="0"/>
          <w:numId w:val="0"/>
        </w:numPr>
        <w:jc w:val="center"/>
        <w:rPr>
          <w:b w:val="0"/>
          <w:sz w:val="21"/>
        </w:rPr>
      </w:pPr>
      <w:r>
        <w:rPr>
          <w:b w:val="0"/>
          <w:sz w:val="21"/>
        </w:rPr>
        <w:t>图</w:t>
      </w:r>
      <w:r>
        <w:rPr>
          <w:rFonts w:hint="eastAsia"/>
          <w:b w:val="0"/>
          <w:sz w:val="21"/>
        </w:rPr>
        <w:t>3</w:t>
      </w:r>
      <w:r>
        <w:rPr>
          <w:b w:val="0"/>
          <w:sz w:val="21"/>
        </w:rPr>
        <w:t xml:space="preserve"> </w:t>
      </w:r>
      <w:r>
        <w:rPr>
          <w:rFonts w:hint="eastAsia"/>
          <w:b w:val="0"/>
          <w:sz w:val="21"/>
        </w:rPr>
        <w:t>科研中心负一</w:t>
      </w:r>
      <w:r>
        <w:rPr>
          <w:b w:val="0"/>
          <w:sz w:val="21"/>
        </w:rPr>
        <w:t>层</w:t>
      </w:r>
      <w:r>
        <w:rPr>
          <w:rFonts w:hint="eastAsia"/>
          <w:b w:val="0"/>
          <w:sz w:val="21"/>
        </w:rPr>
        <w:t>空调室外机冷媒管平面</w:t>
      </w:r>
      <w:r>
        <w:rPr>
          <w:b w:val="0"/>
          <w:sz w:val="21"/>
        </w:rPr>
        <w:t>图</w:t>
      </w:r>
    </w:p>
    <w:p>
      <w:pPr>
        <w:pStyle w:val="13"/>
        <w:numPr>
          <w:ilvl w:val="0"/>
          <w:numId w:val="0"/>
        </w:numPr>
        <w:rPr>
          <w:b w:val="0"/>
          <w:sz w:val="21"/>
        </w:rPr>
      </w:pPr>
      <w:r>
        <w:rPr>
          <w:rFonts w:hint="eastAsia"/>
          <w:b w:val="0"/>
          <w:sz w:val="21"/>
        </w:rPr>
        <w:t xml:space="preserve">3.2.3.4 </w:t>
      </w:r>
      <w:r>
        <w:rPr>
          <w:b w:val="0"/>
          <w:sz w:val="21"/>
        </w:rPr>
        <w:t>根据各机组的冷凝需求配置完全匹配的风冷直膨式冷却室外机</w:t>
      </w:r>
      <w:r>
        <w:rPr>
          <w:rFonts w:hint="eastAsia"/>
          <w:b w:val="0"/>
          <w:sz w:val="21"/>
        </w:rPr>
        <w:t>（含底座）</w:t>
      </w:r>
      <w:r>
        <w:rPr>
          <w:b w:val="0"/>
          <w:sz w:val="21"/>
        </w:rPr>
        <w:t>，室外机冷热量对应原室内机冷热量，室内机配置直膨式冷凝器，负责配套改造拆除原机组自带的DDC控制系统的控制及检测元件，</w:t>
      </w:r>
      <w:r>
        <w:rPr>
          <w:sz w:val="21"/>
        </w:rPr>
        <w:t>参考新增2台恒温恒湿空调机组的自控配置进行定制化改造利旧内机各功能段</w:t>
      </w:r>
      <w:r>
        <w:rPr>
          <w:rFonts w:hint="eastAsia"/>
          <w:sz w:val="21"/>
        </w:rPr>
        <w:t>（须配合智能化设备设施采购项目中智能系统要求进行改造，并在改造完成后配合该项目进行调试）</w:t>
      </w:r>
      <w:r>
        <w:rPr>
          <w:b w:val="0"/>
          <w:sz w:val="21"/>
        </w:rPr>
        <w:t>，满足3台利旧机组改造所需的PLC控制器（含导轨、PLC电源、IO模块、通讯模块）、柜内电气原件、真彩触摸屏、送风机压差开关、过滤器压差传感器、风机变频器、相应的接触器和继电器等电气元件、新增直膨式冷凝器内机侧温度传感器及压力传感器、内机侧冷凝系统电磁阀、内机侧冷凝系统精密过滤器、内机侧动力线缆、内机侧控制线缆、内机侧通讯线缆安装</w:t>
      </w:r>
      <w:r>
        <w:rPr>
          <w:rFonts w:hint="eastAsia"/>
          <w:b w:val="0"/>
          <w:sz w:val="21"/>
        </w:rPr>
        <w:t>，以及设备的</w:t>
      </w:r>
      <w:r>
        <w:rPr>
          <w:b w:val="0"/>
          <w:sz w:val="21"/>
        </w:rPr>
        <w:t>搬迁</w:t>
      </w:r>
      <w:r>
        <w:rPr>
          <w:rFonts w:hint="eastAsia"/>
          <w:b w:val="0"/>
          <w:sz w:val="21"/>
        </w:rPr>
        <w:t>（由科研中心</w:t>
      </w:r>
      <w:r>
        <w:rPr>
          <w:b w:val="0"/>
          <w:sz w:val="21"/>
        </w:rPr>
        <w:t>西侧</w:t>
      </w:r>
      <w:r>
        <w:rPr>
          <w:rFonts w:hint="eastAsia"/>
          <w:b w:val="0"/>
          <w:sz w:val="21"/>
        </w:rPr>
        <w:t>旧</w:t>
      </w:r>
      <w:r>
        <w:rPr>
          <w:b w:val="0"/>
          <w:sz w:val="21"/>
        </w:rPr>
        <w:t>实验室区域搬迁至</w:t>
      </w:r>
      <w:r>
        <w:rPr>
          <w:rFonts w:hint="eastAsia"/>
          <w:b w:val="0"/>
          <w:sz w:val="21"/>
        </w:rPr>
        <w:t>东侧</w:t>
      </w:r>
      <w:r>
        <w:rPr>
          <w:b w:val="0"/>
          <w:sz w:val="21"/>
        </w:rPr>
        <w:t>新实验室</w:t>
      </w:r>
      <w:r>
        <w:rPr>
          <w:rFonts w:hint="eastAsia"/>
          <w:b w:val="0"/>
          <w:sz w:val="21"/>
        </w:rPr>
        <w:t>区域）、</w:t>
      </w:r>
      <w:r>
        <w:rPr>
          <w:b w:val="0"/>
          <w:sz w:val="21"/>
        </w:rPr>
        <w:t>安装调试</w:t>
      </w:r>
      <w:r>
        <w:rPr>
          <w:rFonts w:hint="eastAsia"/>
          <w:b w:val="0"/>
          <w:sz w:val="21"/>
        </w:rPr>
        <w:t>内容，</w:t>
      </w:r>
      <w:r>
        <w:rPr>
          <w:b w:val="0"/>
          <w:sz w:val="21"/>
        </w:rPr>
        <w:t>最终实现满足</w:t>
      </w:r>
      <w:r>
        <w:rPr>
          <w:rFonts w:hint="eastAsia"/>
          <w:b w:val="0"/>
          <w:sz w:val="21"/>
        </w:rPr>
        <w:t>3台</w:t>
      </w:r>
      <w:r>
        <w:rPr>
          <w:b w:val="0"/>
          <w:sz w:val="21"/>
        </w:rPr>
        <w:t>利旧精密空调</w:t>
      </w:r>
      <w:r>
        <w:rPr>
          <w:rFonts w:hint="eastAsia"/>
          <w:b w:val="0"/>
          <w:sz w:val="21"/>
        </w:rPr>
        <w:t>通过</w:t>
      </w:r>
      <w:r>
        <w:rPr>
          <w:b w:val="0"/>
          <w:sz w:val="21"/>
        </w:rPr>
        <w:t>室外机进行正常风冷热交换的</w:t>
      </w:r>
      <w:r>
        <w:rPr>
          <w:rFonts w:hint="eastAsia"/>
          <w:b w:val="0"/>
          <w:sz w:val="21"/>
        </w:rPr>
        <w:t>目的</w:t>
      </w:r>
      <w:r>
        <w:rPr>
          <w:b w:val="0"/>
          <w:sz w:val="21"/>
        </w:rPr>
        <w:t>并</w:t>
      </w:r>
      <w:r>
        <w:rPr>
          <w:rFonts w:hint="eastAsia"/>
          <w:b w:val="0"/>
          <w:sz w:val="21"/>
        </w:rPr>
        <w:t>达到烟气分析室、化学检测室及试剂间</w:t>
      </w:r>
      <w:r>
        <w:rPr>
          <w:b w:val="0"/>
          <w:sz w:val="21"/>
        </w:rPr>
        <w:t>的</w:t>
      </w:r>
      <w:r>
        <w:rPr>
          <w:rFonts w:hint="eastAsia"/>
          <w:b w:val="0"/>
          <w:sz w:val="21"/>
        </w:rPr>
        <w:t>环境</w:t>
      </w:r>
      <w:r>
        <w:rPr>
          <w:b w:val="0"/>
          <w:sz w:val="21"/>
        </w:rPr>
        <w:t>降温除湿</w:t>
      </w:r>
      <w:r>
        <w:rPr>
          <w:rFonts w:hint="eastAsia"/>
          <w:b w:val="0"/>
          <w:sz w:val="21"/>
        </w:rPr>
        <w:t>控制</w:t>
      </w:r>
      <w:r>
        <w:rPr>
          <w:b w:val="0"/>
          <w:sz w:val="21"/>
        </w:rPr>
        <w:t>要求</w:t>
      </w:r>
      <w:r>
        <w:rPr>
          <w:rFonts w:hint="eastAsia"/>
          <w:b w:val="0"/>
          <w:sz w:val="21"/>
        </w:rPr>
        <w:t>，且</w:t>
      </w:r>
      <w:r>
        <w:rPr>
          <w:b w:val="0"/>
          <w:sz w:val="21"/>
        </w:rPr>
        <w:t>控制精度</w:t>
      </w:r>
      <w:r>
        <w:rPr>
          <w:rFonts w:hint="eastAsia"/>
          <w:b w:val="0"/>
          <w:sz w:val="21"/>
        </w:rPr>
        <w:t>需</w:t>
      </w:r>
      <w:r>
        <w:rPr>
          <w:b w:val="0"/>
          <w:sz w:val="21"/>
        </w:rPr>
        <w:t>符合</w:t>
      </w:r>
      <w:r>
        <w:rPr>
          <w:rFonts w:hint="eastAsia"/>
          <w:b w:val="0"/>
          <w:sz w:val="21"/>
        </w:rPr>
        <w:t>JJG（烟草）21-2021中</w:t>
      </w:r>
      <w:r>
        <w:rPr>
          <w:b w:val="0"/>
          <w:sz w:val="21"/>
        </w:rPr>
        <w:t>相关</w:t>
      </w:r>
      <w:r>
        <w:rPr>
          <w:rFonts w:hint="eastAsia"/>
          <w:b w:val="0"/>
          <w:sz w:val="21"/>
        </w:rPr>
        <w:t>要求。</w:t>
      </w:r>
      <w:bookmarkEnd w:id="2"/>
    </w:p>
    <w:p>
      <w:pPr>
        <w:spacing w:line="360" w:lineRule="auto"/>
        <w:jc w:val="center"/>
        <w:rPr>
          <w:rFonts w:ascii="宋体" w:hAnsi="宋体" w:cs="宋体"/>
          <w:b/>
          <w:szCs w:val="21"/>
        </w:rPr>
      </w:pPr>
      <w:r>
        <w:drawing>
          <wp:inline distT="0" distB="0" distL="0" distR="0">
            <wp:extent cx="5762625" cy="2423795"/>
            <wp:effectExtent l="0" t="0" r="952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7" cstate="print">
                      <a:extLst>
                        <a:ext uri="{28A0092B-C50C-407E-A947-70E740481C1C}">
                          <a14:useLocalDpi xmlns:a14="http://schemas.microsoft.com/office/drawing/2010/main" val="0"/>
                        </a:ext>
                      </a:extLst>
                    </a:blip>
                    <a:srcRect l="7071" t="11414" r="6375" b="17323"/>
                    <a:stretch>
                      <a:fillRect/>
                    </a:stretch>
                  </pic:blipFill>
                  <pic:spPr>
                    <a:xfrm>
                      <a:off x="0" y="0"/>
                      <a:ext cx="5762625" cy="2423795"/>
                    </a:xfrm>
                    <a:prstGeom prst="rect">
                      <a:avLst/>
                    </a:prstGeom>
                    <a:noFill/>
                    <a:ln>
                      <a:noFill/>
                    </a:ln>
                  </pic:spPr>
                </pic:pic>
              </a:graphicData>
            </a:graphic>
          </wp:inline>
        </w:drawing>
      </w:r>
    </w:p>
    <w:p>
      <w:pPr>
        <w:pStyle w:val="13"/>
        <w:numPr>
          <w:ilvl w:val="0"/>
          <w:numId w:val="0"/>
        </w:numPr>
        <w:jc w:val="center"/>
        <w:rPr>
          <w:b w:val="0"/>
          <w:sz w:val="21"/>
        </w:rPr>
      </w:pPr>
      <w:r>
        <w:rPr>
          <w:b w:val="0"/>
          <w:sz w:val="21"/>
        </w:rPr>
        <w:t>图</w:t>
      </w:r>
      <w:r>
        <w:rPr>
          <w:rFonts w:hint="eastAsia"/>
          <w:b w:val="0"/>
          <w:sz w:val="21"/>
        </w:rPr>
        <w:t>4</w:t>
      </w:r>
      <w:r>
        <w:rPr>
          <w:b w:val="0"/>
          <w:sz w:val="21"/>
        </w:rPr>
        <w:t xml:space="preserve"> </w:t>
      </w:r>
      <w:r>
        <w:rPr>
          <w:rFonts w:hint="eastAsia"/>
          <w:b w:val="0"/>
          <w:sz w:val="21"/>
        </w:rPr>
        <w:t>科研中心负一</w:t>
      </w:r>
      <w:r>
        <w:rPr>
          <w:b w:val="0"/>
          <w:sz w:val="21"/>
        </w:rPr>
        <w:t>层</w:t>
      </w:r>
      <w:r>
        <w:rPr>
          <w:rFonts w:hint="eastAsia"/>
          <w:b w:val="0"/>
          <w:sz w:val="21"/>
        </w:rPr>
        <w:t>空调室外机基础</w:t>
      </w:r>
      <w:r>
        <w:rPr>
          <w:b w:val="0"/>
          <w:sz w:val="21"/>
        </w:rPr>
        <w:t>平面图</w:t>
      </w:r>
    </w:p>
    <w:p>
      <w:pPr>
        <w:spacing w:line="360" w:lineRule="auto"/>
        <w:jc w:val="center"/>
        <w:rPr>
          <w:rFonts w:ascii="宋体" w:hAnsi="宋体" w:cs="宋体"/>
          <w:b/>
          <w:szCs w:val="21"/>
        </w:rPr>
      </w:pPr>
      <w:r>
        <w:drawing>
          <wp:inline distT="0" distB="0" distL="0" distR="0">
            <wp:extent cx="5762625" cy="2173605"/>
            <wp:effectExtent l="0" t="0" r="952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5762625" cy="2173605"/>
                    </a:xfrm>
                    <a:prstGeom prst="rect">
                      <a:avLst/>
                    </a:prstGeom>
                    <a:noFill/>
                    <a:ln>
                      <a:noFill/>
                    </a:ln>
                  </pic:spPr>
                </pic:pic>
              </a:graphicData>
            </a:graphic>
          </wp:inline>
        </w:drawing>
      </w:r>
    </w:p>
    <w:p>
      <w:pPr>
        <w:pStyle w:val="13"/>
        <w:numPr>
          <w:ilvl w:val="0"/>
          <w:numId w:val="0"/>
        </w:numPr>
        <w:jc w:val="center"/>
        <w:rPr>
          <w:b w:val="0"/>
          <w:sz w:val="21"/>
        </w:rPr>
      </w:pPr>
      <w:r>
        <w:rPr>
          <w:b w:val="0"/>
          <w:sz w:val="21"/>
        </w:rPr>
        <w:t>图</w:t>
      </w:r>
      <w:r>
        <w:rPr>
          <w:rFonts w:hint="eastAsia"/>
          <w:b w:val="0"/>
          <w:sz w:val="21"/>
        </w:rPr>
        <w:t>5</w:t>
      </w:r>
      <w:r>
        <w:rPr>
          <w:b w:val="0"/>
          <w:sz w:val="21"/>
        </w:rPr>
        <w:t xml:space="preserve"> </w:t>
      </w:r>
      <w:r>
        <w:rPr>
          <w:rFonts w:hint="eastAsia"/>
          <w:b w:val="0"/>
          <w:sz w:val="21"/>
        </w:rPr>
        <w:t>科研中心负一层冷媒管平面图</w:t>
      </w:r>
    </w:p>
    <w:p>
      <w:pPr>
        <w:spacing w:line="360" w:lineRule="auto"/>
        <w:jc w:val="center"/>
        <w:rPr>
          <w:rFonts w:ascii="宋体" w:hAnsi="宋体" w:cs="宋体"/>
          <w:b/>
          <w:szCs w:val="21"/>
        </w:rPr>
      </w:pPr>
      <w:r>
        <w:drawing>
          <wp:inline distT="0" distB="0" distL="0" distR="0">
            <wp:extent cx="5762625" cy="2682875"/>
            <wp:effectExtent l="0" t="0" r="9525" b="317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5762625" cy="2682875"/>
                    </a:xfrm>
                    <a:prstGeom prst="rect">
                      <a:avLst/>
                    </a:prstGeom>
                    <a:noFill/>
                    <a:ln>
                      <a:noFill/>
                    </a:ln>
                  </pic:spPr>
                </pic:pic>
              </a:graphicData>
            </a:graphic>
          </wp:inline>
        </w:drawing>
      </w:r>
    </w:p>
    <w:p>
      <w:pPr>
        <w:pStyle w:val="13"/>
        <w:numPr>
          <w:ilvl w:val="0"/>
          <w:numId w:val="0"/>
        </w:numPr>
        <w:jc w:val="center"/>
        <w:rPr>
          <w:b w:val="0"/>
          <w:sz w:val="21"/>
        </w:rPr>
      </w:pPr>
      <w:r>
        <w:rPr>
          <w:b w:val="0"/>
          <w:sz w:val="21"/>
        </w:rPr>
        <w:t>图</w:t>
      </w:r>
      <w:r>
        <w:rPr>
          <w:rFonts w:hint="eastAsia"/>
          <w:b w:val="0"/>
          <w:sz w:val="21"/>
        </w:rPr>
        <w:t>6</w:t>
      </w:r>
      <w:r>
        <w:rPr>
          <w:b w:val="0"/>
          <w:sz w:val="21"/>
        </w:rPr>
        <w:t xml:space="preserve"> </w:t>
      </w:r>
      <w:r>
        <w:rPr>
          <w:rFonts w:hint="eastAsia"/>
          <w:b w:val="0"/>
          <w:sz w:val="21"/>
        </w:rPr>
        <w:t>科研中心空调</w:t>
      </w:r>
      <w:r>
        <w:rPr>
          <w:b w:val="0"/>
          <w:sz w:val="21"/>
        </w:rPr>
        <w:t>空调室内外机</w:t>
      </w:r>
      <w:r>
        <w:rPr>
          <w:rFonts w:hint="eastAsia"/>
          <w:b w:val="0"/>
          <w:sz w:val="21"/>
        </w:rPr>
        <w:t>制冷系统流程图</w:t>
      </w:r>
    </w:p>
    <w:p>
      <w:pPr>
        <w:pStyle w:val="13"/>
        <w:numPr>
          <w:ilvl w:val="0"/>
          <w:numId w:val="0"/>
        </w:numPr>
        <w:rPr>
          <w:sz w:val="21"/>
        </w:rPr>
      </w:pPr>
      <w:r>
        <w:rPr>
          <w:rFonts w:hint="eastAsia"/>
          <w:sz w:val="21"/>
        </w:rPr>
        <w:t>四</w:t>
      </w:r>
      <w:r>
        <w:rPr>
          <w:sz w:val="21"/>
        </w:rPr>
        <w:t>、</w:t>
      </w:r>
      <w:r>
        <w:rPr>
          <w:rFonts w:hint="eastAsia"/>
          <w:sz w:val="21"/>
        </w:rPr>
        <w:t>技术和质量要求</w:t>
      </w:r>
    </w:p>
    <w:p>
      <w:pPr>
        <w:pStyle w:val="13"/>
        <w:numPr>
          <w:ilvl w:val="0"/>
          <w:numId w:val="0"/>
        </w:numPr>
        <w:rPr>
          <w:sz w:val="21"/>
        </w:rPr>
      </w:pPr>
      <w:r>
        <w:rPr>
          <w:sz w:val="21"/>
        </w:rPr>
        <w:t xml:space="preserve">4.1 </w:t>
      </w:r>
      <w:r>
        <w:rPr>
          <w:rFonts w:hint="eastAsia"/>
          <w:sz w:val="21"/>
        </w:rPr>
        <w:t>实验室环境技术指标</w:t>
      </w:r>
    </w:p>
    <w:tbl>
      <w:tblPr>
        <w:tblStyle w:val="9"/>
        <w:tblW w:w="10057" w:type="dxa"/>
        <w:jc w:val="center"/>
        <w:tblLayout w:type="fixed"/>
        <w:tblCellMar>
          <w:top w:w="0" w:type="dxa"/>
          <w:left w:w="0" w:type="dxa"/>
          <w:bottom w:w="0" w:type="dxa"/>
          <w:right w:w="0" w:type="dxa"/>
        </w:tblCellMar>
      </w:tblPr>
      <w:tblGrid>
        <w:gridCol w:w="685"/>
        <w:gridCol w:w="1985"/>
        <w:gridCol w:w="2284"/>
        <w:gridCol w:w="2551"/>
        <w:gridCol w:w="2552"/>
      </w:tblGrid>
      <w:tr>
        <w:tblPrEx>
          <w:tblCellMar>
            <w:top w:w="0" w:type="dxa"/>
            <w:left w:w="0" w:type="dxa"/>
            <w:bottom w:w="0" w:type="dxa"/>
            <w:right w:w="0" w:type="dxa"/>
          </w:tblCellMar>
        </w:tblPrEx>
        <w:trPr>
          <w:cantSplit/>
          <w:trHeight w:val="21" w:hRule="atLeast"/>
          <w:jc w:val="center"/>
        </w:trPr>
        <w:tc>
          <w:tcPr>
            <w:tcW w:w="2670" w:type="dxa"/>
            <w:gridSpan w:val="2"/>
            <w:tcBorders>
              <w:top w:val="single" w:color="000000" w:sz="6" w:space="0"/>
              <w:left w:val="single" w:color="000000" w:sz="6" w:space="0"/>
              <w:bottom w:val="single" w:color="000000" w:sz="6" w:space="0"/>
              <w:right w:val="single" w:color="000000" w:sz="6" w:space="0"/>
            </w:tcBorders>
            <w:vAlign w:val="center"/>
          </w:tcPr>
          <w:p>
            <w:pPr>
              <w:jc w:val="center"/>
              <w:rPr>
                <w:rFonts w:ascii="宋体" w:hAnsi="宋体"/>
                <w:sz w:val="20"/>
              </w:rPr>
            </w:pPr>
            <w:bookmarkStart w:id="3" w:name="_Hlk101438958"/>
            <w:r>
              <w:rPr>
                <w:rFonts w:hint="eastAsia" w:ascii="宋体" w:hAnsi="宋体"/>
                <w:sz w:val="20"/>
              </w:rPr>
              <w:t>实验室名称</w:t>
            </w:r>
          </w:p>
        </w:tc>
        <w:tc>
          <w:tcPr>
            <w:tcW w:w="2284" w:type="dxa"/>
            <w:tcBorders>
              <w:top w:val="single" w:color="000000" w:sz="6" w:space="0"/>
              <w:left w:val="single" w:color="000000" w:sz="6" w:space="0"/>
              <w:bottom w:val="single" w:color="000000" w:sz="6" w:space="0"/>
              <w:right w:val="single" w:color="000000" w:sz="6" w:space="0"/>
            </w:tcBorders>
            <w:vAlign w:val="center"/>
          </w:tcPr>
          <w:p>
            <w:pPr>
              <w:jc w:val="center"/>
              <w:rPr>
                <w:rFonts w:ascii="宋体" w:hAnsi="宋体"/>
                <w:sz w:val="20"/>
              </w:rPr>
            </w:pPr>
            <w:r>
              <w:rPr>
                <w:rFonts w:hint="eastAsia" w:ascii="宋体" w:hAnsi="宋体"/>
                <w:sz w:val="20"/>
              </w:rPr>
              <w:t>物理检测室</w:t>
            </w:r>
          </w:p>
        </w:tc>
        <w:tc>
          <w:tcPr>
            <w:tcW w:w="2551" w:type="dxa"/>
            <w:tcBorders>
              <w:top w:val="single" w:color="000000" w:sz="6" w:space="0"/>
              <w:left w:val="single" w:color="000000" w:sz="6" w:space="0"/>
              <w:bottom w:val="single" w:color="000000" w:sz="6" w:space="0"/>
              <w:right w:val="single" w:color="000000" w:sz="6" w:space="0"/>
            </w:tcBorders>
            <w:vAlign w:val="center"/>
          </w:tcPr>
          <w:p>
            <w:pPr>
              <w:jc w:val="center"/>
              <w:rPr>
                <w:rFonts w:ascii="宋体" w:hAnsi="宋体"/>
                <w:sz w:val="20"/>
              </w:rPr>
            </w:pPr>
            <w:r>
              <w:rPr>
                <w:rFonts w:hint="eastAsia" w:ascii="宋体" w:hAnsi="宋体"/>
                <w:sz w:val="20"/>
              </w:rPr>
              <w:t>材料检测室</w:t>
            </w:r>
          </w:p>
        </w:tc>
        <w:tc>
          <w:tcPr>
            <w:tcW w:w="2552" w:type="dxa"/>
            <w:tcBorders>
              <w:top w:val="single" w:color="000000" w:sz="6" w:space="0"/>
              <w:left w:val="single" w:color="000000" w:sz="6" w:space="0"/>
              <w:bottom w:val="single" w:color="000000" w:sz="6" w:space="0"/>
              <w:right w:val="single" w:color="000000" w:sz="6" w:space="0"/>
            </w:tcBorders>
            <w:vAlign w:val="center"/>
          </w:tcPr>
          <w:p>
            <w:pPr>
              <w:jc w:val="center"/>
              <w:rPr>
                <w:rFonts w:ascii="宋体" w:hAnsi="宋体"/>
                <w:sz w:val="20"/>
              </w:rPr>
            </w:pPr>
            <w:r>
              <w:rPr>
                <w:rFonts w:hint="eastAsia" w:ascii="宋体" w:hAnsi="宋体"/>
                <w:sz w:val="20"/>
              </w:rPr>
              <w:t>烟气分析室</w:t>
            </w:r>
          </w:p>
        </w:tc>
      </w:tr>
      <w:tr>
        <w:tblPrEx>
          <w:tblCellMar>
            <w:top w:w="0" w:type="dxa"/>
            <w:left w:w="0" w:type="dxa"/>
            <w:bottom w:w="0" w:type="dxa"/>
            <w:right w:w="0" w:type="dxa"/>
          </w:tblCellMar>
        </w:tblPrEx>
        <w:trPr>
          <w:cantSplit/>
          <w:trHeight w:val="21" w:hRule="atLeast"/>
          <w:jc w:val="center"/>
        </w:trPr>
        <w:tc>
          <w:tcPr>
            <w:tcW w:w="2670" w:type="dxa"/>
            <w:gridSpan w:val="2"/>
            <w:tcBorders>
              <w:top w:val="single" w:color="000000" w:sz="6" w:space="0"/>
              <w:left w:val="single" w:color="000000" w:sz="6" w:space="0"/>
              <w:bottom w:val="single" w:color="000000" w:sz="6" w:space="0"/>
              <w:right w:val="single" w:color="000000" w:sz="6" w:space="0"/>
            </w:tcBorders>
            <w:vAlign w:val="center"/>
          </w:tcPr>
          <w:p>
            <w:pPr>
              <w:jc w:val="center"/>
              <w:rPr>
                <w:rFonts w:ascii="宋体" w:hAnsi="宋体"/>
                <w:sz w:val="20"/>
              </w:rPr>
            </w:pPr>
            <w:r>
              <w:rPr>
                <w:rFonts w:hint="eastAsia" w:ascii="宋体" w:hAnsi="宋体"/>
                <w:sz w:val="20"/>
              </w:rPr>
              <w:t>实验室温湿度基本条件</w:t>
            </w:r>
          </w:p>
        </w:tc>
        <w:tc>
          <w:tcPr>
            <w:tcW w:w="2284" w:type="dxa"/>
            <w:tcBorders>
              <w:top w:val="single" w:color="000000" w:sz="6" w:space="0"/>
              <w:left w:val="single" w:color="000000" w:sz="6" w:space="0"/>
              <w:bottom w:val="single" w:color="000000" w:sz="6" w:space="0"/>
              <w:right w:val="single" w:color="000000" w:sz="6" w:space="0"/>
            </w:tcBorders>
            <w:vAlign w:val="center"/>
          </w:tcPr>
          <w:p>
            <w:pPr>
              <w:jc w:val="center"/>
              <w:rPr>
                <w:rFonts w:ascii="宋体" w:hAnsi="宋体"/>
                <w:sz w:val="20"/>
              </w:rPr>
            </w:pPr>
            <w:r>
              <w:rPr>
                <w:rFonts w:ascii="宋体" w:hAnsi="宋体"/>
                <w:sz w:val="20"/>
              </w:rPr>
              <w:t>t</w:t>
            </w:r>
            <w:r>
              <w:rPr>
                <w:rFonts w:hint="eastAsia" w:ascii="宋体" w:hAnsi="宋体"/>
                <w:sz w:val="20"/>
              </w:rPr>
              <w:t>=</w:t>
            </w:r>
            <w:r>
              <w:rPr>
                <w:rFonts w:ascii="宋体" w:hAnsi="宋体"/>
                <w:sz w:val="20"/>
              </w:rPr>
              <w:t>（22.0±2.0）</w:t>
            </w:r>
            <w:r>
              <w:rPr>
                <w:rFonts w:hint="eastAsia" w:ascii="宋体" w:hAnsi="宋体"/>
                <w:sz w:val="20"/>
              </w:rPr>
              <w:t>℃</w:t>
            </w:r>
          </w:p>
          <w:p>
            <w:pPr>
              <w:jc w:val="center"/>
              <w:rPr>
                <w:rFonts w:ascii="宋体" w:hAnsi="宋体"/>
                <w:sz w:val="20"/>
              </w:rPr>
            </w:pPr>
            <w:r>
              <w:rPr>
                <w:rFonts w:ascii="宋体" w:hAnsi="宋体"/>
                <w:sz w:val="20"/>
              </w:rPr>
              <w:t>h</w:t>
            </w:r>
            <w:r>
              <w:rPr>
                <w:rFonts w:hint="eastAsia" w:ascii="宋体" w:hAnsi="宋体"/>
                <w:sz w:val="20"/>
              </w:rPr>
              <w:t>=</w:t>
            </w:r>
            <w:r>
              <w:rPr>
                <w:rFonts w:ascii="宋体" w:hAnsi="宋体"/>
                <w:sz w:val="20"/>
              </w:rPr>
              <w:t>（60.0±5.0）%RH</w:t>
            </w:r>
          </w:p>
        </w:tc>
        <w:tc>
          <w:tcPr>
            <w:tcW w:w="2551" w:type="dxa"/>
            <w:tcBorders>
              <w:top w:val="single" w:color="000000" w:sz="6" w:space="0"/>
              <w:left w:val="single" w:color="000000" w:sz="6" w:space="0"/>
              <w:bottom w:val="single" w:color="000000" w:sz="6" w:space="0"/>
              <w:right w:val="single" w:color="000000" w:sz="6" w:space="0"/>
            </w:tcBorders>
            <w:vAlign w:val="center"/>
          </w:tcPr>
          <w:p>
            <w:pPr>
              <w:jc w:val="center"/>
              <w:rPr>
                <w:rFonts w:ascii="宋体" w:hAnsi="宋体"/>
                <w:sz w:val="20"/>
              </w:rPr>
            </w:pPr>
            <w:r>
              <w:rPr>
                <w:rFonts w:ascii="宋体" w:hAnsi="宋体"/>
                <w:sz w:val="20"/>
              </w:rPr>
              <w:t>t</w:t>
            </w:r>
            <w:r>
              <w:rPr>
                <w:rFonts w:hint="eastAsia" w:ascii="宋体" w:hAnsi="宋体"/>
                <w:sz w:val="20"/>
              </w:rPr>
              <w:t>=</w:t>
            </w:r>
            <w:r>
              <w:rPr>
                <w:rFonts w:ascii="宋体" w:hAnsi="宋体"/>
                <w:sz w:val="20"/>
              </w:rPr>
              <w:t>（23.0±1.0）</w:t>
            </w:r>
            <w:r>
              <w:rPr>
                <w:rFonts w:hint="eastAsia" w:ascii="宋体" w:hAnsi="宋体"/>
                <w:sz w:val="20"/>
              </w:rPr>
              <w:t>℃</w:t>
            </w:r>
          </w:p>
          <w:p>
            <w:pPr>
              <w:jc w:val="center"/>
              <w:rPr>
                <w:rFonts w:ascii="宋体" w:hAnsi="宋体"/>
                <w:sz w:val="20"/>
              </w:rPr>
            </w:pPr>
            <w:r>
              <w:rPr>
                <w:rFonts w:ascii="宋体" w:hAnsi="宋体"/>
                <w:sz w:val="20"/>
              </w:rPr>
              <w:t>h</w:t>
            </w:r>
            <w:r>
              <w:rPr>
                <w:rFonts w:hint="eastAsia" w:ascii="宋体" w:hAnsi="宋体"/>
                <w:sz w:val="20"/>
              </w:rPr>
              <w:t>=</w:t>
            </w:r>
            <w:r>
              <w:rPr>
                <w:rFonts w:ascii="宋体" w:hAnsi="宋体"/>
                <w:sz w:val="20"/>
              </w:rPr>
              <w:t>（50.0±2.0）%RH</w:t>
            </w:r>
          </w:p>
        </w:tc>
        <w:tc>
          <w:tcPr>
            <w:tcW w:w="2552" w:type="dxa"/>
            <w:tcBorders>
              <w:top w:val="single" w:color="000000" w:sz="6" w:space="0"/>
              <w:left w:val="single" w:color="000000" w:sz="6" w:space="0"/>
              <w:bottom w:val="single" w:color="000000" w:sz="6" w:space="0"/>
              <w:right w:val="single" w:color="000000" w:sz="6" w:space="0"/>
            </w:tcBorders>
            <w:vAlign w:val="center"/>
          </w:tcPr>
          <w:p>
            <w:pPr>
              <w:jc w:val="center"/>
              <w:rPr>
                <w:rFonts w:ascii="宋体" w:hAnsi="宋体"/>
                <w:sz w:val="20"/>
              </w:rPr>
            </w:pPr>
            <w:r>
              <w:rPr>
                <w:rFonts w:ascii="宋体" w:hAnsi="宋体"/>
                <w:sz w:val="20"/>
              </w:rPr>
              <w:t>t</w:t>
            </w:r>
            <w:r>
              <w:rPr>
                <w:rFonts w:hint="eastAsia" w:ascii="宋体" w:hAnsi="宋体"/>
                <w:sz w:val="20"/>
              </w:rPr>
              <w:t>=</w:t>
            </w:r>
            <w:r>
              <w:rPr>
                <w:rFonts w:ascii="宋体" w:hAnsi="宋体"/>
                <w:sz w:val="20"/>
              </w:rPr>
              <w:t>（22.0±2.0）</w:t>
            </w:r>
            <w:r>
              <w:rPr>
                <w:rFonts w:hint="eastAsia" w:ascii="宋体" w:hAnsi="宋体"/>
                <w:sz w:val="20"/>
              </w:rPr>
              <w:t>℃</w:t>
            </w:r>
          </w:p>
          <w:p>
            <w:pPr>
              <w:jc w:val="center"/>
              <w:rPr>
                <w:rFonts w:ascii="宋体" w:hAnsi="宋体"/>
                <w:sz w:val="20"/>
              </w:rPr>
            </w:pPr>
            <w:r>
              <w:rPr>
                <w:rFonts w:ascii="宋体" w:hAnsi="宋体"/>
                <w:sz w:val="20"/>
              </w:rPr>
              <w:t>h</w:t>
            </w:r>
            <w:r>
              <w:rPr>
                <w:rFonts w:hint="eastAsia" w:ascii="宋体" w:hAnsi="宋体"/>
                <w:sz w:val="20"/>
              </w:rPr>
              <w:t>=</w:t>
            </w:r>
            <w:r>
              <w:rPr>
                <w:rFonts w:ascii="宋体" w:hAnsi="宋体"/>
                <w:sz w:val="20"/>
              </w:rPr>
              <w:t>（60.0±5.0）%RH</w:t>
            </w:r>
          </w:p>
        </w:tc>
      </w:tr>
      <w:tr>
        <w:tblPrEx>
          <w:tblCellMar>
            <w:top w:w="0" w:type="dxa"/>
            <w:left w:w="0" w:type="dxa"/>
            <w:bottom w:w="0" w:type="dxa"/>
            <w:right w:w="0" w:type="dxa"/>
          </w:tblCellMar>
        </w:tblPrEx>
        <w:trPr>
          <w:cantSplit/>
          <w:trHeight w:val="21" w:hRule="atLeast"/>
          <w:jc w:val="center"/>
        </w:trPr>
        <w:tc>
          <w:tcPr>
            <w:tcW w:w="685" w:type="dxa"/>
            <w:vMerge w:val="restart"/>
            <w:tcBorders>
              <w:top w:val="single" w:color="000000" w:sz="6" w:space="0"/>
              <w:left w:val="single" w:color="000000" w:sz="6" w:space="0"/>
              <w:bottom w:val="single" w:color="000000" w:sz="6" w:space="0"/>
              <w:right w:val="single" w:color="000000" w:sz="6" w:space="0"/>
            </w:tcBorders>
            <w:vAlign w:val="center"/>
          </w:tcPr>
          <w:p>
            <w:pPr>
              <w:jc w:val="center"/>
              <w:rPr>
                <w:rFonts w:ascii="宋体" w:hAnsi="宋体"/>
                <w:sz w:val="20"/>
              </w:rPr>
            </w:pPr>
            <w:r>
              <w:rPr>
                <w:rFonts w:ascii="宋体" w:hAnsi="宋体"/>
                <w:sz w:val="20"/>
              </w:rPr>
              <w:t>同一点稳定性</w:t>
            </w:r>
          </w:p>
        </w:tc>
        <w:tc>
          <w:tcPr>
            <w:tcW w:w="1985" w:type="dxa"/>
            <w:vMerge w:val="restart"/>
            <w:tcBorders>
              <w:top w:val="single" w:color="000000" w:sz="6" w:space="0"/>
              <w:left w:val="single" w:color="000000" w:sz="6" w:space="0"/>
              <w:bottom w:val="single" w:color="000000" w:sz="6" w:space="0"/>
              <w:right w:val="single" w:color="000000" w:sz="6" w:space="0"/>
            </w:tcBorders>
            <w:vAlign w:val="center"/>
          </w:tcPr>
          <w:p>
            <w:pPr>
              <w:jc w:val="center"/>
              <w:rPr>
                <w:rFonts w:ascii="宋体" w:hAnsi="宋体"/>
                <w:sz w:val="20"/>
              </w:rPr>
            </w:pPr>
            <w:r>
              <w:rPr>
                <w:rFonts w:hint="eastAsia" w:ascii="宋体" w:hAnsi="宋体"/>
                <w:sz w:val="20"/>
              </w:rPr>
              <w:t>温湿度</w:t>
            </w:r>
            <w:r>
              <w:rPr>
                <w:rFonts w:ascii="宋体" w:hAnsi="宋体"/>
                <w:sz w:val="20"/>
              </w:rPr>
              <w:t>短时波动度</w:t>
            </w:r>
          </w:p>
        </w:tc>
        <w:tc>
          <w:tcPr>
            <w:tcW w:w="2284" w:type="dxa"/>
            <w:tcBorders>
              <w:top w:val="single" w:color="000000" w:sz="6" w:space="0"/>
              <w:left w:val="single" w:color="000000" w:sz="6" w:space="0"/>
              <w:bottom w:val="single" w:color="000000" w:sz="6" w:space="0"/>
              <w:right w:val="single" w:color="000000" w:sz="6" w:space="0"/>
            </w:tcBorders>
            <w:vAlign w:val="center"/>
          </w:tcPr>
          <w:p>
            <w:pPr>
              <w:jc w:val="center"/>
              <w:rPr>
                <w:rFonts w:ascii="宋体" w:hAnsi="宋体"/>
                <w:sz w:val="20"/>
              </w:rPr>
            </w:pPr>
            <w:r>
              <w:rPr>
                <w:rFonts w:hint="eastAsia" w:ascii="宋体" w:hAnsi="宋体"/>
                <w:sz w:val="20"/>
              </w:rPr>
              <w:t>t：≤</w:t>
            </w:r>
            <w:r>
              <w:rPr>
                <w:rFonts w:ascii="宋体" w:hAnsi="宋体"/>
                <w:sz w:val="20"/>
              </w:rPr>
              <w:t>2.0</w:t>
            </w:r>
            <w:r>
              <w:rPr>
                <w:rFonts w:hint="eastAsia" w:ascii="宋体" w:hAnsi="宋体"/>
                <w:sz w:val="20"/>
              </w:rPr>
              <w:t>℃</w:t>
            </w:r>
          </w:p>
        </w:tc>
        <w:tc>
          <w:tcPr>
            <w:tcW w:w="2551" w:type="dxa"/>
            <w:tcBorders>
              <w:top w:val="single" w:color="000000" w:sz="6" w:space="0"/>
              <w:left w:val="single" w:color="000000" w:sz="6" w:space="0"/>
              <w:bottom w:val="single" w:color="000000" w:sz="6" w:space="0"/>
              <w:right w:val="single" w:color="000000" w:sz="6" w:space="0"/>
            </w:tcBorders>
            <w:vAlign w:val="center"/>
          </w:tcPr>
          <w:p>
            <w:pPr>
              <w:jc w:val="center"/>
              <w:rPr>
                <w:rFonts w:ascii="宋体" w:hAnsi="宋体"/>
                <w:sz w:val="20"/>
              </w:rPr>
            </w:pPr>
            <w:r>
              <w:rPr>
                <w:rFonts w:hint="eastAsia" w:ascii="宋体" w:hAnsi="宋体"/>
                <w:sz w:val="20"/>
              </w:rPr>
              <w:t>t：≤1.0℃</w:t>
            </w:r>
          </w:p>
        </w:tc>
        <w:tc>
          <w:tcPr>
            <w:tcW w:w="2552" w:type="dxa"/>
            <w:tcBorders>
              <w:top w:val="single" w:color="000000" w:sz="6" w:space="0"/>
              <w:left w:val="single" w:color="000000" w:sz="6" w:space="0"/>
              <w:bottom w:val="single" w:color="000000" w:sz="6" w:space="0"/>
              <w:right w:val="single" w:color="000000" w:sz="6" w:space="0"/>
            </w:tcBorders>
          </w:tcPr>
          <w:p>
            <w:pPr>
              <w:jc w:val="center"/>
              <w:rPr>
                <w:rFonts w:ascii="宋体" w:hAnsi="宋体"/>
                <w:sz w:val="20"/>
              </w:rPr>
            </w:pPr>
            <w:r>
              <w:rPr>
                <w:rFonts w:hint="eastAsia" w:ascii="宋体" w:hAnsi="宋体"/>
                <w:sz w:val="20"/>
              </w:rPr>
              <w:t>t：≤</w:t>
            </w:r>
            <w:r>
              <w:rPr>
                <w:rFonts w:ascii="宋体" w:hAnsi="宋体"/>
                <w:sz w:val="20"/>
              </w:rPr>
              <w:t>2.0</w:t>
            </w:r>
            <w:r>
              <w:rPr>
                <w:rFonts w:hint="eastAsia" w:ascii="宋体" w:hAnsi="宋体"/>
                <w:sz w:val="20"/>
              </w:rPr>
              <w:t>℃</w:t>
            </w:r>
          </w:p>
        </w:tc>
      </w:tr>
      <w:tr>
        <w:tblPrEx>
          <w:tblCellMar>
            <w:top w:w="0" w:type="dxa"/>
            <w:left w:w="0" w:type="dxa"/>
            <w:bottom w:w="0" w:type="dxa"/>
            <w:right w:w="0" w:type="dxa"/>
          </w:tblCellMar>
        </w:tblPrEx>
        <w:trPr>
          <w:cantSplit/>
          <w:trHeight w:val="21" w:hRule="atLeast"/>
          <w:jc w:val="center"/>
        </w:trPr>
        <w:tc>
          <w:tcPr>
            <w:tcW w:w="685" w:type="dxa"/>
            <w:vMerge w:val="continue"/>
            <w:tcBorders>
              <w:top w:val="single" w:color="000000" w:sz="6" w:space="0"/>
              <w:left w:val="single" w:color="000000" w:sz="6" w:space="0"/>
              <w:bottom w:val="single" w:color="000000" w:sz="6" w:space="0"/>
              <w:right w:val="single" w:color="000000" w:sz="6" w:space="0"/>
            </w:tcBorders>
            <w:vAlign w:val="center"/>
          </w:tcPr>
          <w:p>
            <w:pPr>
              <w:jc w:val="center"/>
              <w:rPr>
                <w:rFonts w:ascii="宋体" w:hAnsi="宋体"/>
                <w:sz w:val="20"/>
              </w:rPr>
            </w:pPr>
          </w:p>
        </w:tc>
        <w:tc>
          <w:tcPr>
            <w:tcW w:w="1985" w:type="dxa"/>
            <w:vMerge w:val="continue"/>
            <w:tcBorders>
              <w:top w:val="single" w:color="000000" w:sz="6" w:space="0"/>
              <w:left w:val="single" w:color="000000" w:sz="6" w:space="0"/>
              <w:bottom w:val="single" w:color="000000" w:sz="6" w:space="0"/>
              <w:right w:val="single" w:color="000000" w:sz="6" w:space="0"/>
            </w:tcBorders>
            <w:vAlign w:val="center"/>
          </w:tcPr>
          <w:p>
            <w:pPr>
              <w:jc w:val="center"/>
              <w:rPr>
                <w:rFonts w:ascii="宋体" w:hAnsi="宋体"/>
                <w:sz w:val="20"/>
              </w:rPr>
            </w:pPr>
          </w:p>
        </w:tc>
        <w:tc>
          <w:tcPr>
            <w:tcW w:w="2284" w:type="dxa"/>
            <w:tcBorders>
              <w:top w:val="single" w:color="000000" w:sz="6" w:space="0"/>
              <w:left w:val="single" w:color="000000" w:sz="6" w:space="0"/>
              <w:bottom w:val="single" w:color="000000" w:sz="6" w:space="0"/>
              <w:right w:val="single" w:color="000000" w:sz="6" w:space="0"/>
            </w:tcBorders>
            <w:vAlign w:val="center"/>
          </w:tcPr>
          <w:p>
            <w:pPr>
              <w:jc w:val="center"/>
              <w:rPr>
                <w:rFonts w:ascii="宋体" w:hAnsi="宋体"/>
                <w:sz w:val="20"/>
              </w:rPr>
            </w:pPr>
            <w:r>
              <w:rPr>
                <w:rFonts w:hint="eastAsia" w:ascii="宋体" w:hAnsi="宋体"/>
                <w:sz w:val="20"/>
              </w:rPr>
              <w:t>rh：≤</w:t>
            </w:r>
            <w:r>
              <w:rPr>
                <w:rFonts w:ascii="宋体" w:hAnsi="宋体"/>
                <w:sz w:val="20"/>
              </w:rPr>
              <w:t>5.0</w:t>
            </w:r>
            <w:r>
              <w:rPr>
                <w:rFonts w:hint="eastAsia" w:ascii="宋体" w:hAnsi="宋体"/>
                <w:sz w:val="20"/>
              </w:rPr>
              <w:t>%</w:t>
            </w:r>
          </w:p>
        </w:tc>
        <w:tc>
          <w:tcPr>
            <w:tcW w:w="2551" w:type="dxa"/>
            <w:tcBorders>
              <w:top w:val="single" w:color="000000" w:sz="6" w:space="0"/>
              <w:left w:val="single" w:color="000000" w:sz="6" w:space="0"/>
              <w:bottom w:val="single" w:color="000000" w:sz="6" w:space="0"/>
              <w:right w:val="single" w:color="000000" w:sz="6" w:space="0"/>
            </w:tcBorders>
            <w:vAlign w:val="center"/>
          </w:tcPr>
          <w:p>
            <w:pPr>
              <w:jc w:val="center"/>
              <w:rPr>
                <w:rFonts w:ascii="宋体" w:hAnsi="宋体"/>
                <w:sz w:val="20"/>
              </w:rPr>
            </w:pPr>
            <w:r>
              <w:rPr>
                <w:rFonts w:hint="eastAsia" w:ascii="宋体" w:hAnsi="宋体"/>
                <w:sz w:val="20"/>
              </w:rPr>
              <w:t>rh：≤2.0%</w:t>
            </w:r>
          </w:p>
        </w:tc>
        <w:tc>
          <w:tcPr>
            <w:tcW w:w="2552" w:type="dxa"/>
            <w:tcBorders>
              <w:top w:val="single" w:color="000000" w:sz="6" w:space="0"/>
              <w:left w:val="single" w:color="000000" w:sz="6" w:space="0"/>
              <w:bottom w:val="single" w:color="000000" w:sz="6" w:space="0"/>
              <w:right w:val="single" w:color="000000" w:sz="6" w:space="0"/>
            </w:tcBorders>
          </w:tcPr>
          <w:p>
            <w:pPr>
              <w:jc w:val="center"/>
              <w:rPr>
                <w:rFonts w:ascii="宋体" w:hAnsi="宋体"/>
                <w:sz w:val="20"/>
              </w:rPr>
            </w:pPr>
            <w:r>
              <w:rPr>
                <w:rFonts w:hint="eastAsia" w:ascii="宋体" w:hAnsi="宋体"/>
                <w:sz w:val="20"/>
              </w:rPr>
              <w:t>rh：≤</w:t>
            </w:r>
            <w:r>
              <w:rPr>
                <w:rFonts w:ascii="宋体" w:hAnsi="宋体"/>
                <w:sz w:val="20"/>
              </w:rPr>
              <w:t>5.0</w:t>
            </w:r>
            <w:r>
              <w:rPr>
                <w:rFonts w:hint="eastAsia" w:ascii="宋体" w:hAnsi="宋体"/>
                <w:sz w:val="20"/>
              </w:rPr>
              <w:t>%</w:t>
            </w:r>
          </w:p>
        </w:tc>
      </w:tr>
      <w:tr>
        <w:tblPrEx>
          <w:tblCellMar>
            <w:top w:w="0" w:type="dxa"/>
            <w:left w:w="0" w:type="dxa"/>
            <w:bottom w:w="0" w:type="dxa"/>
            <w:right w:w="0" w:type="dxa"/>
          </w:tblCellMar>
        </w:tblPrEx>
        <w:trPr>
          <w:cantSplit/>
          <w:trHeight w:val="377" w:hRule="atLeast"/>
          <w:jc w:val="center"/>
        </w:trPr>
        <w:tc>
          <w:tcPr>
            <w:tcW w:w="685" w:type="dxa"/>
            <w:vMerge w:val="continue"/>
            <w:tcBorders>
              <w:top w:val="single" w:color="000000" w:sz="6" w:space="0"/>
              <w:left w:val="single" w:color="000000" w:sz="6" w:space="0"/>
              <w:bottom w:val="single" w:color="000000" w:sz="6" w:space="0"/>
              <w:right w:val="single" w:color="000000" w:sz="6" w:space="0"/>
            </w:tcBorders>
            <w:vAlign w:val="center"/>
          </w:tcPr>
          <w:p>
            <w:pPr>
              <w:jc w:val="center"/>
              <w:rPr>
                <w:rFonts w:ascii="宋体" w:hAnsi="宋体"/>
                <w:sz w:val="20"/>
              </w:rPr>
            </w:pPr>
          </w:p>
        </w:tc>
        <w:tc>
          <w:tcPr>
            <w:tcW w:w="1985" w:type="dxa"/>
            <w:vMerge w:val="restart"/>
            <w:tcBorders>
              <w:top w:val="single" w:color="000000" w:sz="6" w:space="0"/>
              <w:left w:val="single" w:color="000000" w:sz="6" w:space="0"/>
              <w:bottom w:val="single" w:color="000000" w:sz="6" w:space="0"/>
              <w:right w:val="single" w:color="000000" w:sz="6" w:space="0"/>
            </w:tcBorders>
            <w:vAlign w:val="center"/>
          </w:tcPr>
          <w:p>
            <w:pPr>
              <w:ind w:right="99"/>
              <w:jc w:val="center"/>
              <w:rPr>
                <w:rFonts w:ascii="宋体" w:hAnsi="宋体"/>
                <w:sz w:val="20"/>
              </w:rPr>
            </w:pPr>
            <w:r>
              <w:rPr>
                <w:rFonts w:hint="eastAsia" w:ascii="宋体" w:hAnsi="宋体"/>
                <w:sz w:val="20"/>
              </w:rPr>
              <w:t>温湿度</w:t>
            </w:r>
            <w:r>
              <w:rPr>
                <w:rFonts w:ascii="宋体" w:hAnsi="宋体"/>
                <w:sz w:val="20"/>
              </w:rPr>
              <w:t>长时波动度</w:t>
            </w:r>
          </w:p>
        </w:tc>
        <w:tc>
          <w:tcPr>
            <w:tcW w:w="2284" w:type="dxa"/>
            <w:tcBorders>
              <w:top w:val="single" w:color="000000" w:sz="6" w:space="0"/>
              <w:left w:val="single" w:color="000000" w:sz="6" w:space="0"/>
              <w:bottom w:val="single" w:color="000000" w:sz="6" w:space="0"/>
              <w:right w:val="single" w:color="000000" w:sz="6" w:space="0"/>
            </w:tcBorders>
            <w:vAlign w:val="center"/>
          </w:tcPr>
          <w:p>
            <w:pPr>
              <w:jc w:val="center"/>
              <w:rPr>
                <w:rFonts w:ascii="宋体" w:hAnsi="宋体"/>
                <w:sz w:val="20"/>
              </w:rPr>
            </w:pPr>
            <w:r>
              <w:rPr>
                <w:rFonts w:hint="eastAsia" w:ascii="宋体" w:hAnsi="宋体"/>
                <w:sz w:val="20"/>
              </w:rPr>
              <w:t>t：≤1.0℃</w:t>
            </w:r>
          </w:p>
        </w:tc>
        <w:tc>
          <w:tcPr>
            <w:tcW w:w="2551" w:type="dxa"/>
            <w:tcBorders>
              <w:top w:val="single" w:color="000000" w:sz="6" w:space="0"/>
              <w:left w:val="single" w:color="000000" w:sz="6" w:space="0"/>
              <w:bottom w:val="single" w:color="000000" w:sz="6" w:space="0"/>
              <w:right w:val="single" w:color="000000" w:sz="6" w:space="0"/>
            </w:tcBorders>
            <w:vAlign w:val="center"/>
          </w:tcPr>
          <w:p>
            <w:pPr>
              <w:jc w:val="center"/>
              <w:rPr>
                <w:rFonts w:ascii="宋体" w:hAnsi="宋体"/>
                <w:sz w:val="20"/>
              </w:rPr>
            </w:pPr>
            <w:r>
              <w:rPr>
                <w:rFonts w:hint="eastAsia" w:ascii="宋体" w:hAnsi="宋体"/>
                <w:sz w:val="20"/>
              </w:rPr>
              <w:t>t：≤</w:t>
            </w:r>
            <w:r>
              <w:rPr>
                <w:rFonts w:ascii="宋体" w:hAnsi="宋体"/>
                <w:sz w:val="20"/>
              </w:rPr>
              <w:t>0.5</w:t>
            </w:r>
            <w:r>
              <w:rPr>
                <w:rFonts w:hint="eastAsia" w:ascii="宋体" w:hAnsi="宋体"/>
                <w:sz w:val="20"/>
              </w:rPr>
              <w:t>℃</w:t>
            </w:r>
          </w:p>
        </w:tc>
        <w:tc>
          <w:tcPr>
            <w:tcW w:w="2552" w:type="dxa"/>
            <w:tcBorders>
              <w:top w:val="single" w:color="000000" w:sz="6" w:space="0"/>
              <w:left w:val="single" w:color="000000" w:sz="6" w:space="0"/>
              <w:bottom w:val="single" w:color="000000" w:sz="6" w:space="0"/>
              <w:right w:val="single" w:color="000000" w:sz="6" w:space="0"/>
            </w:tcBorders>
          </w:tcPr>
          <w:p>
            <w:pPr>
              <w:jc w:val="center"/>
              <w:rPr>
                <w:rFonts w:ascii="宋体" w:hAnsi="宋体"/>
                <w:sz w:val="20"/>
              </w:rPr>
            </w:pPr>
            <w:r>
              <w:rPr>
                <w:rFonts w:hint="eastAsia" w:ascii="宋体" w:hAnsi="宋体"/>
                <w:sz w:val="20"/>
              </w:rPr>
              <w:t>t：≤1.0℃</w:t>
            </w:r>
          </w:p>
        </w:tc>
      </w:tr>
      <w:tr>
        <w:tblPrEx>
          <w:tblCellMar>
            <w:top w:w="0" w:type="dxa"/>
            <w:left w:w="0" w:type="dxa"/>
            <w:bottom w:w="0" w:type="dxa"/>
            <w:right w:w="0" w:type="dxa"/>
          </w:tblCellMar>
        </w:tblPrEx>
        <w:trPr>
          <w:cantSplit/>
          <w:trHeight w:val="21" w:hRule="atLeast"/>
          <w:jc w:val="center"/>
        </w:trPr>
        <w:tc>
          <w:tcPr>
            <w:tcW w:w="685" w:type="dxa"/>
            <w:vMerge w:val="continue"/>
            <w:tcBorders>
              <w:top w:val="single" w:color="000000" w:sz="6" w:space="0"/>
              <w:left w:val="single" w:color="000000" w:sz="6" w:space="0"/>
              <w:bottom w:val="single" w:color="000000" w:sz="6" w:space="0"/>
              <w:right w:val="single" w:color="000000" w:sz="6" w:space="0"/>
            </w:tcBorders>
            <w:vAlign w:val="center"/>
          </w:tcPr>
          <w:p>
            <w:pPr>
              <w:jc w:val="center"/>
              <w:rPr>
                <w:rFonts w:ascii="宋体" w:hAnsi="宋体"/>
                <w:sz w:val="20"/>
              </w:rPr>
            </w:pPr>
          </w:p>
        </w:tc>
        <w:tc>
          <w:tcPr>
            <w:tcW w:w="1985" w:type="dxa"/>
            <w:vMerge w:val="continue"/>
            <w:tcBorders>
              <w:top w:val="single" w:color="000000" w:sz="6" w:space="0"/>
              <w:left w:val="single" w:color="000000" w:sz="6" w:space="0"/>
              <w:bottom w:val="single" w:color="000000" w:sz="6" w:space="0"/>
              <w:right w:val="single" w:color="000000" w:sz="6" w:space="0"/>
            </w:tcBorders>
            <w:vAlign w:val="center"/>
          </w:tcPr>
          <w:p>
            <w:pPr>
              <w:jc w:val="center"/>
              <w:rPr>
                <w:rFonts w:ascii="宋体" w:hAnsi="宋体"/>
                <w:sz w:val="20"/>
              </w:rPr>
            </w:pPr>
          </w:p>
        </w:tc>
        <w:tc>
          <w:tcPr>
            <w:tcW w:w="2284" w:type="dxa"/>
            <w:tcBorders>
              <w:top w:val="single" w:color="000000" w:sz="6" w:space="0"/>
              <w:left w:val="single" w:color="000000" w:sz="6" w:space="0"/>
              <w:bottom w:val="single" w:color="000000" w:sz="6" w:space="0"/>
              <w:right w:val="single" w:color="000000" w:sz="6" w:space="0"/>
            </w:tcBorders>
            <w:vAlign w:val="center"/>
          </w:tcPr>
          <w:p>
            <w:pPr>
              <w:jc w:val="center"/>
              <w:rPr>
                <w:rFonts w:ascii="宋体" w:hAnsi="宋体"/>
                <w:sz w:val="20"/>
              </w:rPr>
            </w:pPr>
            <w:r>
              <w:rPr>
                <w:rFonts w:hint="eastAsia" w:ascii="宋体" w:hAnsi="宋体"/>
                <w:sz w:val="20"/>
              </w:rPr>
              <w:t>rh：≤</w:t>
            </w:r>
            <w:r>
              <w:rPr>
                <w:rFonts w:ascii="宋体" w:hAnsi="宋体"/>
                <w:sz w:val="20"/>
              </w:rPr>
              <w:t>2.5</w:t>
            </w:r>
            <w:r>
              <w:rPr>
                <w:rFonts w:hint="eastAsia" w:ascii="宋体" w:hAnsi="宋体"/>
                <w:sz w:val="20"/>
              </w:rPr>
              <w:t>%</w:t>
            </w:r>
          </w:p>
        </w:tc>
        <w:tc>
          <w:tcPr>
            <w:tcW w:w="2551" w:type="dxa"/>
            <w:tcBorders>
              <w:top w:val="single" w:color="000000" w:sz="6" w:space="0"/>
              <w:left w:val="single" w:color="000000" w:sz="6" w:space="0"/>
              <w:bottom w:val="single" w:color="000000" w:sz="6" w:space="0"/>
              <w:right w:val="single" w:color="000000" w:sz="6" w:space="0"/>
            </w:tcBorders>
            <w:vAlign w:val="center"/>
          </w:tcPr>
          <w:p>
            <w:pPr>
              <w:jc w:val="center"/>
              <w:rPr>
                <w:rFonts w:ascii="宋体" w:hAnsi="宋体"/>
                <w:sz w:val="20"/>
              </w:rPr>
            </w:pPr>
            <w:r>
              <w:rPr>
                <w:rFonts w:hint="eastAsia" w:ascii="宋体" w:hAnsi="宋体"/>
                <w:sz w:val="20"/>
              </w:rPr>
              <w:t>rh：≤</w:t>
            </w:r>
            <w:r>
              <w:rPr>
                <w:rFonts w:ascii="宋体" w:hAnsi="宋体"/>
                <w:sz w:val="20"/>
              </w:rPr>
              <w:t>1.0</w:t>
            </w:r>
            <w:r>
              <w:rPr>
                <w:rFonts w:hint="eastAsia" w:ascii="宋体" w:hAnsi="宋体"/>
                <w:sz w:val="20"/>
              </w:rPr>
              <w:t>%</w:t>
            </w:r>
          </w:p>
        </w:tc>
        <w:tc>
          <w:tcPr>
            <w:tcW w:w="2552" w:type="dxa"/>
            <w:tcBorders>
              <w:top w:val="single" w:color="000000" w:sz="6" w:space="0"/>
              <w:left w:val="single" w:color="000000" w:sz="6" w:space="0"/>
              <w:bottom w:val="single" w:color="000000" w:sz="6" w:space="0"/>
              <w:right w:val="single" w:color="000000" w:sz="6" w:space="0"/>
            </w:tcBorders>
            <w:vAlign w:val="center"/>
          </w:tcPr>
          <w:p>
            <w:pPr>
              <w:jc w:val="center"/>
              <w:rPr>
                <w:rFonts w:ascii="宋体" w:hAnsi="宋体"/>
                <w:sz w:val="20"/>
              </w:rPr>
            </w:pPr>
            <w:r>
              <w:rPr>
                <w:rFonts w:hint="eastAsia" w:ascii="宋体" w:hAnsi="宋体"/>
                <w:sz w:val="20"/>
              </w:rPr>
              <w:t>rh：≤</w:t>
            </w:r>
            <w:r>
              <w:rPr>
                <w:rFonts w:ascii="宋体" w:hAnsi="宋体"/>
                <w:sz w:val="20"/>
              </w:rPr>
              <w:t>2.5</w:t>
            </w:r>
            <w:r>
              <w:rPr>
                <w:rFonts w:hint="eastAsia" w:ascii="宋体" w:hAnsi="宋体"/>
                <w:sz w:val="20"/>
              </w:rPr>
              <w:t>%</w:t>
            </w:r>
          </w:p>
        </w:tc>
      </w:tr>
      <w:tr>
        <w:tblPrEx>
          <w:tblCellMar>
            <w:top w:w="0" w:type="dxa"/>
            <w:left w:w="0" w:type="dxa"/>
            <w:bottom w:w="0" w:type="dxa"/>
            <w:right w:w="0" w:type="dxa"/>
          </w:tblCellMar>
        </w:tblPrEx>
        <w:trPr>
          <w:cantSplit/>
          <w:trHeight w:val="21" w:hRule="atLeast"/>
          <w:jc w:val="center"/>
        </w:trPr>
        <w:tc>
          <w:tcPr>
            <w:tcW w:w="2670" w:type="dxa"/>
            <w:gridSpan w:val="2"/>
            <w:vMerge w:val="restart"/>
            <w:tcBorders>
              <w:top w:val="single" w:color="000000" w:sz="6" w:space="0"/>
              <w:left w:val="single" w:color="000000" w:sz="6" w:space="0"/>
              <w:bottom w:val="single" w:color="000000" w:sz="6" w:space="0"/>
              <w:right w:val="single" w:color="000000" w:sz="6" w:space="0"/>
            </w:tcBorders>
            <w:vAlign w:val="center"/>
          </w:tcPr>
          <w:p>
            <w:pPr>
              <w:jc w:val="center"/>
              <w:rPr>
                <w:rFonts w:ascii="宋体" w:hAnsi="宋体"/>
                <w:sz w:val="20"/>
              </w:rPr>
            </w:pPr>
            <w:r>
              <w:rPr>
                <w:rFonts w:hint="eastAsia" w:ascii="宋体" w:hAnsi="宋体"/>
                <w:sz w:val="20"/>
              </w:rPr>
              <w:t>温湿度</w:t>
            </w:r>
            <w:r>
              <w:rPr>
                <w:rFonts w:ascii="宋体" w:hAnsi="宋体"/>
                <w:sz w:val="20"/>
              </w:rPr>
              <w:t>均匀</w:t>
            </w:r>
            <w:r>
              <w:rPr>
                <w:rFonts w:hint="eastAsia" w:ascii="宋体" w:hAnsi="宋体"/>
                <w:sz w:val="20"/>
              </w:rPr>
              <w:t>度</w:t>
            </w:r>
          </w:p>
        </w:tc>
        <w:tc>
          <w:tcPr>
            <w:tcW w:w="2284" w:type="dxa"/>
            <w:tcBorders>
              <w:top w:val="single" w:color="000000" w:sz="6" w:space="0"/>
              <w:left w:val="single" w:color="000000" w:sz="6" w:space="0"/>
              <w:bottom w:val="single" w:color="000000" w:sz="6" w:space="0"/>
              <w:right w:val="single" w:color="000000" w:sz="6" w:space="0"/>
            </w:tcBorders>
            <w:vAlign w:val="center"/>
          </w:tcPr>
          <w:p>
            <w:pPr>
              <w:jc w:val="center"/>
              <w:rPr>
                <w:rFonts w:ascii="宋体" w:hAnsi="宋体"/>
                <w:sz w:val="20"/>
              </w:rPr>
            </w:pPr>
            <w:r>
              <w:rPr>
                <w:rFonts w:hint="eastAsia" w:ascii="宋体" w:hAnsi="宋体"/>
                <w:sz w:val="20"/>
              </w:rPr>
              <w:t>t：≤</w:t>
            </w:r>
            <w:r>
              <w:rPr>
                <w:rFonts w:ascii="宋体" w:hAnsi="宋体"/>
                <w:sz w:val="20"/>
              </w:rPr>
              <w:t>2.0</w:t>
            </w:r>
            <w:bookmarkStart w:id="4" w:name="_Hlk102295829"/>
            <w:r>
              <w:rPr>
                <w:rFonts w:hint="eastAsia" w:ascii="宋体" w:hAnsi="宋体"/>
                <w:sz w:val="20"/>
              </w:rPr>
              <w:t>℃</w:t>
            </w:r>
            <w:bookmarkEnd w:id="4"/>
          </w:p>
        </w:tc>
        <w:tc>
          <w:tcPr>
            <w:tcW w:w="2551" w:type="dxa"/>
            <w:tcBorders>
              <w:top w:val="single" w:color="000000" w:sz="6" w:space="0"/>
              <w:left w:val="single" w:color="000000" w:sz="6" w:space="0"/>
              <w:bottom w:val="single" w:color="000000" w:sz="6" w:space="0"/>
              <w:right w:val="single" w:color="000000" w:sz="6" w:space="0"/>
            </w:tcBorders>
            <w:vAlign w:val="center"/>
          </w:tcPr>
          <w:p>
            <w:pPr>
              <w:jc w:val="center"/>
              <w:rPr>
                <w:rFonts w:ascii="宋体" w:hAnsi="宋体"/>
                <w:sz w:val="20"/>
              </w:rPr>
            </w:pPr>
            <w:r>
              <w:rPr>
                <w:rFonts w:hint="eastAsia" w:ascii="宋体" w:hAnsi="宋体"/>
                <w:sz w:val="20"/>
              </w:rPr>
              <w:t>t：≤</w:t>
            </w:r>
            <w:r>
              <w:rPr>
                <w:rFonts w:ascii="宋体" w:hAnsi="宋体"/>
                <w:sz w:val="20"/>
              </w:rPr>
              <w:t>0.5</w:t>
            </w:r>
            <w:r>
              <w:rPr>
                <w:rFonts w:hint="eastAsia" w:ascii="宋体" w:hAnsi="宋体"/>
                <w:sz w:val="20"/>
              </w:rPr>
              <w:t>℃</w:t>
            </w:r>
          </w:p>
        </w:tc>
        <w:tc>
          <w:tcPr>
            <w:tcW w:w="2552" w:type="dxa"/>
            <w:tcBorders>
              <w:top w:val="single" w:color="000000" w:sz="6" w:space="0"/>
              <w:left w:val="single" w:color="000000" w:sz="6" w:space="0"/>
              <w:bottom w:val="single" w:color="000000" w:sz="6" w:space="0"/>
              <w:right w:val="single" w:color="000000" w:sz="6" w:space="0"/>
            </w:tcBorders>
            <w:vAlign w:val="center"/>
          </w:tcPr>
          <w:p>
            <w:pPr>
              <w:jc w:val="center"/>
              <w:rPr>
                <w:rFonts w:ascii="宋体" w:hAnsi="宋体"/>
                <w:sz w:val="20"/>
              </w:rPr>
            </w:pPr>
            <w:r>
              <w:rPr>
                <w:rFonts w:hint="eastAsia" w:ascii="宋体" w:hAnsi="宋体"/>
                <w:sz w:val="20"/>
              </w:rPr>
              <w:t>t：≤</w:t>
            </w:r>
            <w:r>
              <w:rPr>
                <w:rFonts w:ascii="宋体" w:hAnsi="宋体"/>
                <w:sz w:val="20"/>
              </w:rPr>
              <w:t>2.0</w:t>
            </w:r>
            <w:r>
              <w:rPr>
                <w:rFonts w:hint="eastAsia" w:ascii="宋体" w:hAnsi="宋体"/>
                <w:sz w:val="20"/>
              </w:rPr>
              <w:t>℃</w:t>
            </w:r>
          </w:p>
        </w:tc>
      </w:tr>
      <w:tr>
        <w:tblPrEx>
          <w:tblCellMar>
            <w:top w:w="0" w:type="dxa"/>
            <w:left w:w="0" w:type="dxa"/>
            <w:bottom w:w="0" w:type="dxa"/>
            <w:right w:w="0" w:type="dxa"/>
          </w:tblCellMar>
        </w:tblPrEx>
        <w:trPr>
          <w:cantSplit/>
          <w:trHeight w:val="21" w:hRule="atLeast"/>
          <w:jc w:val="center"/>
        </w:trPr>
        <w:tc>
          <w:tcPr>
            <w:tcW w:w="2670" w:type="dxa"/>
            <w:gridSpan w:val="2"/>
            <w:vMerge w:val="continue"/>
            <w:tcBorders>
              <w:top w:val="single" w:color="000000" w:sz="6" w:space="0"/>
              <w:left w:val="single" w:color="000000" w:sz="6" w:space="0"/>
              <w:bottom w:val="single" w:color="000000" w:sz="6" w:space="0"/>
              <w:right w:val="single" w:color="000000" w:sz="6" w:space="0"/>
            </w:tcBorders>
            <w:vAlign w:val="center"/>
          </w:tcPr>
          <w:p>
            <w:pPr>
              <w:jc w:val="center"/>
              <w:rPr>
                <w:rFonts w:ascii="宋体" w:hAnsi="宋体"/>
                <w:sz w:val="20"/>
              </w:rPr>
            </w:pPr>
          </w:p>
        </w:tc>
        <w:tc>
          <w:tcPr>
            <w:tcW w:w="2284" w:type="dxa"/>
            <w:tcBorders>
              <w:top w:val="single" w:color="000000" w:sz="6" w:space="0"/>
              <w:left w:val="single" w:color="000000" w:sz="6" w:space="0"/>
              <w:bottom w:val="single" w:color="000000" w:sz="6" w:space="0"/>
              <w:right w:val="single" w:color="000000" w:sz="6" w:space="0"/>
            </w:tcBorders>
            <w:vAlign w:val="center"/>
          </w:tcPr>
          <w:p>
            <w:pPr>
              <w:jc w:val="center"/>
              <w:rPr>
                <w:rFonts w:ascii="宋体" w:hAnsi="宋体"/>
                <w:sz w:val="20"/>
              </w:rPr>
            </w:pPr>
            <w:r>
              <w:rPr>
                <w:rFonts w:hint="eastAsia" w:ascii="宋体" w:hAnsi="宋体"/>
                <w:sz w:val="20"/>
              </w:rPr>
              <w:t>rh：≤</w:t>
            </w:r>
            <w:r>
              <w:rPr>
                <w:rFonts w:ascii="宋体" w:hAnsi="宋体"/>
                <w:sz w:val="20"/>
              </w:rPr>
              <w:t>5.0</w:t>
            </w:r>
            <w:r>
              <w:rPr>
                <w:rFonts w:hint="eastAsia" w:ascii="宋体" w:hAnsi="宋体"/>
                <w:sz w:val="20"/>
              </w:rPr>
              <w:t>%</w:t>
            </w:r>
          </w:p>
        </w:tc>
        <w:tc>
          <w:tcPr>
            <w:tcW w:w="2551" w:type="dxa"/>
            <w:tcBorders>
              <w:top w:val="single" w:color="000000" w:sz="6" w:space="0"/>
              <w:left w:val="single" w:color="000000" w:sz="6" w:space="0"/>
              <w:bottom w:val="single" w:color="000000" w:sz="6" w:space="0"/>
              <w:right w:val="single" w:color="000000" w:sz="6" w:space="0"/>
            </w:tcBorders>
            <w:vAlign w:val="center"/>
          </w:tcPr>
          <w:p>
            <w:pPr>
              <w:jc w:val="center"/>
              <w:rPr>
                <w:rFonts w:ascii="宋体" w:hAnsi="宋体"/>
                <w:sz w:val="20"/>
              </w:rPr>
            </w:pPr>
            <w:r>
              <w:rPr>
                <w:rFonts w:hint="eastAsia" w:ascii="宋体" w:hAnsi="宋体"/>
                <w:sz w:val="20"/>
              </w:rPr>
              <w:t>rh：≤</w:t>
            </w:r>
            <w:r>
              <w:rPr>
                <w:rFonts w:ascii="宋体" w:hAnsi="宋体"/>
                <w:sz w:val="20"/>
              </w:rPr>
              <w:t>2.0</w:t>
            </w:r>
            <w:r>
              <w:rPr>
                <w:rFonts w:hint="eastAsia" w:ascii="宋体" w:hAnsi="宋体"/>
                <w:sz w:val="20"/>
              </w:rPr>
              <w:t>%</w:t>
            </w:r>
          </w:p>
        </w:tc>
        <w:tc>
          <w:tcPr>
            <w:tcW w:w="2552" w:type="dxa"/>
            <w:tcBorders>
              <w:top w:val="single" w:color="000000" w:sz="6" w:space="0"/>
              <w:left w:val="single" w:color="000000" w:sz="6" w:space="0"/>
              <w:bottom w:val="single" w:color="000000" w:sz="6" w:space="0"/>
              <w:right w:val="single" w:color="000000" w:sz="6" w:space="0"/>
            </w:tcBorders>
            <w:vAlign w:val="center"/>
          </w:tcPr>
          <w:p>
            <w:pPr>
              <w:jc w:val="center"/>
              <w:rPr>
                <w:rFonts w:ascii="宋体" w:hAnsi="宋体"/>
                <w:sz w:val="20"/>
              </w:rPr>
            </w:pPr>
            <w:r>
              <w:rPr>
                <w:rFonts w:hint="eastAsia" w:ascii="宋体" w:hAnsi="宋体"/>
                <w:sz w:val="20"/>
              </w:rPr>
              <w:t>rh：≤</w:t>
            </w:r>
            <w:r>
              <w:rPr>
                <w:rFonts w:ascii="宋体" w:hAnsi="宋体"/>
                <w:sz w:val="20"/>
              </w:rPr>
              <w:t>5.0</w:t>
            </w:r>
            <w:r>
              <w:rPr>
                <w:rFonts w:hint="eastAsia" w:ascii="宋体" w:hAnsi="宋体"/>
                <w:sz w:val="20"/>
              </w:rPr>
              <w:t>%</w:t>
            </w:r>
          </w:p>
        </w:tc>
      </w:tr>
      <w:tr>
        <w:tblPrEx>
          <w:tblCellMar>
            <w:top w:w="0" w:type="dxa"/>
            <w:left w:w="0" w:type="dxa"/>
            <w:bottom w:w="0" w:type="dxa"/>
            <w:right w:w="0" w:type="dxa"/>
          </w:tblCellMar>
        </w:tblPrEx>
        <w:trPr>
          <w:cantSplit/>
          <w:trHeight w:val="21" w:hRule="atLeast"/>
          <w:jc w:val="center"/>
        </w:trPr>
        <w:tc>
          <w:tcPr>
            <w:tcW w:w="2670" w:type="dxa"/>
            <w:gridSpan w:val="2"/>
            <w:tcBorders>
              <w:top w:val="single" w:color="000000" w:sz="6" w:space="0"/>
              <w:left w:val="single" w:color="000000" w:sz="6" w:space="0"/>
              <w:bottom w:val="single" w:color="000000" w:sz="6" w:space="0"/>
              <w:right w:val="single" w:color="000000" w:sz="6" w:space="0"/>
            </w:tcBorders>
            <w:vAlign w:val="center"/>
          </w:tcPr>
          <w:p>
            <w:pPr>
              <w:jc w:val="center"/>
              <w:rPr>
                <w:rFonts w:ascii="宋体" w:hAnsi="宋体"/>
                <w:sz w:val="20"/>
              </w:rPr>
            </w:pPr>
            <w:r>
              <w:rPr>
                <w:rFonts w:hint="eastAsia" w:ascii="宋体" w:hAnsi="宋体"/>
                <w:sz w:val="20"/>
              </w:rPr>
              <w:t>新鲜空气补充量（人均）</w:t>
            </w:r>
          </w:p>
        </w:tc>
        <w:tc>
          <w:tcPr>
            <w:tcW w:w="4835" w:type="dxa"/>
            <w:gridSpan w:val="2"/>
            <w:tcBorders>
              <w:top w:val="single" w:color="000000" w:sz="6" w:space="0"/>
              <w:left w:val="single" w:color="000000" w:sz="6" w:space="0"/>
              <w:bottom w:val="single" w:color="000000" w:sz="6" w:space="0"/>
              <w:right w:val="single" w:color="000000" w:sz="6" w:space="0"/>
            </w:tcBorders>
            <w:vAlign w:val="center"/>
          </w:tcPr>
          <w:p>
            <w:pPr>
              <w:rPr>
                <w:rFonts w:ascii="宋体" w:hAnsi="宋体"/>
                <w:sz w:val="20"/>
              </w:rPr>
            </w:pPr>
            <w:r>
              <w:rPr>
                <w:rFonts w:hint="eastAsia" w:ascii="宋体" w:hAnsi="宋体"/>
                <w:sz w:val="20"/>
              </w:rPr>
              <w:t>≥3</w:t>
            </w:r>
            <w:r>
              <w:rPr>
                <w:rFonts w:ascii="宋体" w:hAnsi="宋体"/>
                <w:sz w:val="20"/>
              </w:rPr>
              <w:t>0m</w:t>
            </w:r>
            <w:r>
              <w:rPr>
                <w:rFonts w:ascii="宋体" w:hAnsi="宋体"/>
                <w:sz w:val="20"/>
                <w:vertAlign w:val="superscript"/>
              </w:rPr>
              <w:t>3</w:t>
            </w:r>
            <w:r>
              <w:rPr>
                <w:rFonts w:ascii="宋体" w:hAnsi="宋体"/>
                <w:sz w:val="20"/>
              </w:rPr>
              <w:t>/h</w:t>
            </w:r>
          </w:p>
        </w:tc>
        <w:tc>
          <w:tcPr>
            <w:tcW w:w="2552" w:type="dxa"/>
            <w:tcBorders>
              <w:top w:val="single" w:color="000000" w:sz="6" w:space="0"/>
              <w:left w:val="single" w:color="000000" w:sz="6" w:space="0"/>
              <w:bottom w:val="single" w:color="000000" w:sz="6" w:space="0"/>
              <w:right w:val="single" w:color="000000" w:sz="6" w:space="0"/>
            </w:tcBorders>
            <w:vAlign w:val="center"/>
          </w:tcPr>
          <w:p>
            <w:pPr>
              <w:jc w:val="center"/>
              <w:rPr>
                <w:rFonts w:ascii="宋体" w:hAnsi="宋体"/>
                <w:sz w:val="20"/>
              </w:rPr>
            </w:pPr>
            <w:r>
              <w:rPr>
                <w:rFonts w:hint="eastAsia" w:ascii="宋体" w:hAnsi="宋体"/>
                <w:sz w:val="20"/>
              </w:rPr>
              <w:t>≥120</w:t>
            </w:r>
            <w:r>
              <w:rPr>
                <w:rFonts w:ascii="宋体" w:hAnsi="宋体"/>
                <w:sz w:val="20"/>
              </w:rPr>
              <w:t>m</w:t>
            </w:r>
            <w:r>
              <w:rPr>
                <w:rFonts w:ascii="宋体" w:hAnsi="宋体"/>
                <w:sz w:val="20"/>
                <w:vertAlign w:val="superscript"/>
              </w:rPr>
              <w:t>3</w:t>
            </w:r>
            <w:r>
              <w:rPr>
                <w:rFonts w:ascii="宋体" w:hAnsi="宋体"/>
                <w:sz w:val="20"/>
              </w:rPr>
              <w:t>/h</w:t>
            </w:r>
          </w:p>
        </w:tc>
      </w:tr>
      <w:tr>
        <w:tblPrEx>
          <w:tblCellMar>
            <w:top w:w="0" w:type="dxa"/>
            <w:left w:w="0" w:type="dxa"/>
            <w:bottom w:w="0" w:type="dxa"/>
            <w:right w:w="0" w:type="dxa"/>
          </w:tblCellMar>
        </w:tblPrEx>
        <w:trPr>
          <w:cantSplit/>
          <w:trHeight w:val="21" w:hRule="atLeast"/>
          <w:jc w:val="center"/>
        </w:trPr>
        <w:tc>
          <w:tcPr>
            <w:tcW w:w="2670" w:type="dxa"/>
            <w:gridSpan w:val="2"/>
            <w:tcBorders>
              <w:top w:val="single" w:color="000000" w:sz="6" w:space="0"/>
              <w:left w:val="single" w:color="000000" w:sz="6" w:space="0"/>
              <w:bottom w:val="single" w:color="000000" w:sz="6" w:space="0"/>
              <w:right w:val="single" w:color="000000" w:sz="6" w:space="0"/>
            </w:tcBorders>
            <w:vAlign w:val="center"/>
          </w:tcPr>
          <w:p>
            <w:pPr>
              <w:jc w:val="center"/>
              <w:rPr>
                <w:rFonts w:ascii="宋体" w:hAnsi="宋体"/>
                <w:sz w:val="20"/>
              </w:rPr>
            </w:pPr>
            <w:r>
              <w:rPr>
                <w:rFonts w:hint="eastAsia" w:ascii="宋体" w:hAnsi="宋体"/>
                <w:sz w:val="20"/>
              </w:rPr>
              <w:t>空气循环次数</w:t>
            </w:r>
          </w:p>
        </w:tc>
        <w:tc>
          <w:tcPr>
            <w:tcW w:w="7387" w:type="dxa"/>
            <w:gridSpan w:val="3"/>
            <w:tcBorders>
              <w:top w:val="single" w:color="000000" w:sz="6" w:space="0"/>
              <w:left w:val="single" w:color="000000" w:sz="6" w:space="0"/>
              <w:bottom w:val="single" w:color="000000" w:sz="6" w:space="0"/>
              <w:right w:val="single" w:color="000000" w:sz="6" w:space="0"/>
            </w:tcBorders>
            <w:vAlign w:val="center"/>
          </w:tcPr>
          <w:p>
            <w:pPr>
              <w:jc w:val="center"/>
              <w:rPr>
                <w:rFonts w:ascii="宋体" w:hAnsi="宋体"/>
                <w:sz w:val="20"/>
              </w:rPr>
            </w:pPr>
            <w:r>
              <w:rPr>
                <w:rFonts w:hint="eastAsia" w:ascii="宋体" w:hAnsi="宋体"/>
                <w:sz w:val="20"/>
              </w:rPr>
              <w:t>≥</w:t>
            </w:r>
            <w:r>
              <w:rPr>
                <w:rFonts w:ascii="宋体" w:hAnsi="宋体"/>
                <w:sz w:val="20"/>
              </w:rPr>
              <w:t>12</w:t>
            </w:r>
            <w:r>
              <w:rPr>
                <w:rFonts w:hint="eastAsia" w:ascii="宋体" w:hAnsi="宋体"/>
                <w:sz w:val="20"/>
              </w:rPr>
              <w:t>次</w:t>
            </w:r>
            <w:r>
              <w:rPr>
                <w:rFonts w:ascii="宋体" w:hAnsi="宋体"/>
                <w:sz w:val="20"/>
              </w:rPr>
              <w:t>/h</w:t>
            </w:r>
          </w:p>
        </w:tc>
      </w:tr>
      <w:tr>
        <w:tblPrEx>
          <w:tblCellMar>
            <w:top w:w="0" w:type="dxa"/>
            <w:left w:w="0" w:type="dxa"/>
            <w:bottom w:w="0" w:type="dxa"/>
            <w:right w:w="0" w:type="dxa"/>
          </w:tblCellMar>
        </w:tblPrEx>
        <w:trPr>
          <w:cantSplit/>
          <w:trHeight w:val="21" w:hRule="atLeast"/>
          <w:jc w:val="center"/>
        </w:trPr>
        <w:tc>
          <w:tcPr>
            <w:tcW w:w="2670" w:type="dxa"/>
            <w:gridSpan w:val="2"/>
            <w:tcBorders>
              <w:top w:val="single" w:color="000000" w:sz="6" w:space="0"/>
              <w:left w:val="single" w:color="000000" w:sz="6" w:space="0"/>
              <w:bottom w:val="single" w:color="000000" w:sz="6" w:space="0"/>
              <w:right w:val="single" w:color="000000" w:sz="6" w:space="0"/>
            </w:tcBorders>
            <w:vAlign w:val="center"/>
          </w:tcPr>
          <w:p>
            <w:pPr>
              <w:jc w:val="center"/>
              <w:rPr>
                <w:rFonts w:ascii="宋体" w:hAnsi="宋体"/>
                <w:sz w:val="20"/>
              </w:rPr>
            </w:pPr>
            <w:r>
              <w:rPr>
                <w:rFonts w:hint="eastAsia" w:ascii="宋体" w:hAnsi="宋体"/>
                <w:sz w:val="20"/>
              </w:rPr>
              <w:t>台面风速</w:t>
            </w:r>
          </w:p>
        </w:tc>
        <w:tc>
          <w:tcPr>
            <w:tcW w:w="7387" w:type="dxa"/>
            <w:gridSpan w:val="3"/>
            <w:tcBorders>
              <w:top w:val="single" w:color="000000" w:sz="6" w:space="0"/>
              <w:left w:val="single" w:color="000000" w:sz="6" w:space="0"/>
              <w:bottom w:val="single" w:color="000000" w:sz="6" w:space="0"/>
              <w:right w:val="single" w:color="000000" w:sz="6" w:space="0"/>
            </w:tcBorders>
            <w:vAlign w:val="center"/>
          </w:tcPr>
          <w:p>
            <w:pPr>
              <w:jc w:val="center"/>
              <w:rPr>
                <w:rFonts w:ascii="宋体" w:hAnsi="宋体"/>
                <w:sz w:val="20"/>
              </w:rPr>
            </w:pPr>
            <w:r>
              <w:rPr>
                <w:rFonts w:hint="eastAsia" w:ascii="宋体" w:hAnsi="宋体"/>
                <w:sz w:val="20"/>
              </w:rPr>
              <w:t>≤1</w:t>
            </w:r>
            <w:r>
              <w:rPr>
                <w:rFonts w:ascii="宋体" w:hAnsi="宋体"/>
                <w:sz w:val="20"/>
              </w:rPr>
              <w:t>8m/min</w:t>
            </w:r>
          </w:p>
        </w:tc>
      </w:tr>
      <w:tr>
        <w:tblPrEx>
          <w:tblCellMar>
            <w:top w:w="0" w:type="dxa"/>
            <w:left w:w="0" w:type="dxa"/>
            <w:bottom w:w="0" w:type="dxa"/>
            <w:right w:w="0" w:type="dxa"/>
          </w:tblCellMar>
        </w:tblPrEx>
        <w:trPr>
          <w:cantSplit/>
          <w:trHeight w:val="21" w:hRule="atLeast"/>
          <w:jc w:val="center"/>
        </w:trPr>
        <w:tc>
          <w:tcPr>
            <w:tcW w:w="2670" w:type="dxa"/>
            <w:gridSpan w:val="2"/>
            <w:tcBorders>
              <w:top w:val="single" w:color="000000" w:sz="6" w:space="0"/>
              <w:left w:val="single" w:color="000000" w:sz="6" w:space="0"/>
              <w:bottom w:val="single" w:color="000000" w:sz="6" w:space="0"/>
              <w:right w:val="single" w:color="000000" w:sz="6" w:space="0"/>
            </w:tcBorders>
            <w:vAlign w:val="center"/>
          </w:tcPr>
          <w:p>
            <w:pPr>
              <w:jc w:val="center"/>
              <w:rPr>
                <w:rFonts w:ascii="宋体" w:hAnsi="宋体"/>
                <w:sz w:val="20"/>
              </w:rPr>
            </w:pPr>
            <w:r>
              <w:rPr>
                <w:rFonts w:hint="eastAsia" w:ascii="宋体" w:hAnsi="宋体"/>
                <w:sz w:val="20"/>
              </w:rPr>
              <w:t>有效面积（人均）：</w:t>
            </w:r>
          </w:p>
        </w:tc>
        <w:tc>
          <w:tcPr>
            <w:tcW w:w="7387" w:type="dxa"/>
            <w:gridSpan w:val="3"/>
            <w:tcBorders>
              <w:top w:val="single" w:color="000000" w:sz="6" w:space="0"/>
              <w:left w:val="single" w:color="000000" w:sz="6" w:space="0"/>
              <w:bottom w:val="single" w:color="000000" w:sz="6" w:space="0"/>
              <w:right w:val="single" w:color="000000" w:sz="6" w:space="0"/>
            </w:tcBorders>
            <w:vAlign w:val="center"/>
          </w:tcPr>
          <w:p>
            <w:pPr>
              <w:jc w:val="center"/>
              <w:rPr>
                <w:rFonts w:ascii="宋体" w:hAnsi="宋体"/>
                <w:sz w:val="20"/>
              </w:rPr>
            </w:pPr>
            <w:r>
              <w:rPr>
                <w:rFonts w:hint="eastAsia" w:ascii="宋体" w:hAnsi="宋体"/>
                <w:sz w:val="20"/>
              </w:rPr>
              <w:t>≥5</w:t>
            </w:r>
            <w:r>
              <w:rPr>
                <w:rFonts w:ascii="宋体" w:hAnsi="宋体"/>
                <w:sz w:val="20"/>
              </w:rPr>
              <w:t>m</w:t>
            </w:r>
            <w:r>
              <w:rPr>
                <w:rFonts w:hint="eastAsia" w:ascii="宋体" w:hAnsi="宋体"/>
                <w:sz w:val="20"/>
                <w:vertAlign w:val="superscript"/>
              </w:rPr>
              <w:t>2</w:t>
            </w:r>
          </w:p>
        </w:tc>
      </w:tr>
      <w:tr>
        <w:tblPrEx>
          <w:tblCellMar>
            <w:top w:w="0" w:type="dxa"/>
            <w:left w:w="0" w:type="dxa"/>
            <w:bottom w:w="0" w:type="dxa"/>
            <w:right w:w="0" w:type="dxa"/>
          </w:tblCellMar>
        </w:tblPrEx>
        <w:trPr>
          <w:cantSplit/>
          <w:trHeight w:val="21" w:hRule="atLeast"/>
          <w:jc w:val="center"/>
        </w:trPr>
        <w:tc>
          <w:tcPr>
            <w:tcW w:w="2670" w:type="dxa"/>
            <w:gridSpan w:val="2"/>
            <w:tcBorders>
              <w:top w:val="single" w:color="000000" w:sz="6" w:space="0"/>
              <w:left w:val="single" w:color="000000" w:sz="6" w:space="0"/>
              <w:bottom w:val="single" w:color="000000" w:sz="6" w:space="0"/>
              <w:right w:val="single" w:color="000000" w:sz="6" w:space="0"/>
            </w:tcBorders>
            <w:vAlign w:val="center"/>
          </w:tcPr>
          <w:p>
            <w:pPr>
              <w:jc w:val="center"/>
              <w:rPr>
                <w:rFonts w:ascii="宋体" w:hAnsi="宋体"/>
                <w:sz w:val="20"/>
              </w:rPr>
            </w:pPr>
            <w:r>
              <w:rPr>
                <w:rFonts w:hint="eastAsia" w:ascii="宋体" w:hAnsi="宋体"/>
                <w:sz w:val="20"/>
              </w:rPr>
              <w:t>实验室台面照度</w:t>
            </w:r>
          </w:p>
        </w:tc>
        <w:tc>
          <w:tcPr>
            <w:tcW w:w="7387" w:type="dxa"/>
            <w:gridSpan w:val="3"/>
            <w:tcBorders>
              <w:top w:val="single" w:color="000000" w:sz="6" w:space="0"/>
              <w:left w:val="single" w:color="000000" w:sz="6" w:space="0"/>
              <w:bottom w:val="single" w:color="000000" w:sz="6" w:space="0"/>
              <w:right w:val="single" w:color="000000" w:sz="6" w:space="0"/>
            </w:tcBorders>
            <w:vAlign w:val="center"/>
          </w:tcPr>
          <w:p>
            <w:pPr>
              <w:jc w:val="center"/>
              <w:rPr>
                <w:rFonts w:ascii="宋体" w:hAnsi="宋体"/>
                <w:sz w:val="20"/>
              </w:rPr>
            </w:pPr>
            <w:r>
              <w:rPr>
                <w:rFonts w:hint="eastAsia" w:ascii="宋体" w:hAnsi="宋体"/>
                <w:sz w:val="20"/>
              </w:rPr>
              <w:t>≥</w:t>
            </w:r>
            <w:r>
              <w:rPr>
                <w:rFonts w:ascii="宋体" w:hAnsi="宋体"/>
                <w:sz w:val="20"/>
              </w:rPr>
              <w:t>300lx</w:t>
            </w:r>
          </w:p>
        </w:tc>
      </w:tr>
      <w:tr>
        <w:tblPrEx>
          <w:tblCellMar>
            <w:top w:w="0" w:type="dxa"/>
            <w:left w:w="0" w:type="dxa"/>
            <w:bottom w:w="0" w:type="dxa"/>
            <w:right w:w="0" w:type="dxa"/>
          </w:tblCellMar>
        </w:tblPrEx>
        <w:trPr>
          <w:cantSplit/>
          <w:trHeight w:val="21" w:hRule="atLeast"/>
          <w:jc w:val="center"/>
        </w:trPr>
        <w:tc>
          <w:tcPr>
            <w:tcW w:w="2670" w:type="dxa"/>
            <w:gridSpan w:val="2"/>
            <w:tcBorders>
              <w:top w:val="single" w:color="000000" w:sz="6" w:space="0"/>
              <w:left w:val="single" w:color="000000" w:sz="6" w:space="0"/>
              <w:bottom w:val="single" w:color="000000" w:sz="6" w:space="0"/>
              <w:right w:val="single" w:color="000000" w:sz="6" w:space="0"/>
            </w:tcBorders>
            <w:vAlign w:val="center"/>
          </w:tcPr>
          <w:p>
            <w:pPr>
              <w:jc w:val="center"/>
              <w:rPr>
                <w:rFonts w:ascii="宋体" w:hAnsi="宋体"/>
                <w:sz w:val="20"/>
              </w:rPr>
            </w:pPr>
            <w:r>
              <w:rPr>
                <w:rFonts w:hint="eastAsia" w:ascii="宋体" w:hAnsi="宋体"/>
                <w:sz w:val="20"/>
              </w:rPr>
              <w:t>照度均匀度</w:t>
            </w:r>
          </w:p>
        </w:tc>
        <w:tc>
          <w:tcPr>
            <w:tcW w:w="7387" w:type="dxa"/>
            <w:gridSpan w:val="3"/>
            <w:tcBorders>
              <w:top w:val="single" w:color="000000" w:sz="6" w:space="0"/>
              <w:left w:val="single" w:color="000000" w:sz="6" w:space="0"/>
              <w:bottom w:val="single" w:color="000000" w:sz="6" w:space="0"/>
              <w:right w:val="single" w:color="000000" w:sz="6" w:space="0"/>
            </w:tcBorders>
            <w:vAlign w:val="center"/>
          </w:tcPr>
          <w:p>
            <w:pPr>
              <w:jc w:val="center"/>
              <w:rPr>
                <w:rFonts w:ascii="宋体" w:hAnsi="宋体"/>
                <w:sz w:val="20"/>
              </w:rPr>
            </w:pPr>
            <w:r>
              <w:rPr>
                <w:rFonts w:hint="eastAsia" w:ascii="宋体" w:hAnsi="宋体"/>
                <w:sz w:val="20"/>
              </w:rPr>
              <w:t>≥</w:t>
            </w:r>
            <w:r>
              <w:rPr>
                <w:rFonts w:ascii="宋体" w:hAnsi="宋体"/>
                <w:sz w:val="20"/>
              </w:rPr>
              <w:t>0.6</w:t>
            </w:r>
          </w:p>
        </w:tc>
      </w:tr>
      <w:tr>
        <w:tblPrEx>
          <w:tblCellMar>
            <w:top w:w="0" w:type="dxa"/>
            <w:left w:w="0" w:type="dxa"/>
            <w:bottom w:w="0" w:type="dxa"/>
            <w:right w:w="0" w:type="dxa"/>
          </w:tblCellMar>
        </w:tblPrEx>
        <w:trPr>
          <w:cantSplit/>
          <w:trHeight w:val="21" w:hRule="atLeast"/>
          <w:jc w:val="center"/>
        </w:trPr>
        <w:tc>
          <w:tcPr>
            <w:tcW w:w="2670" w:type="dxa"/>
            <w:gridSpan w:val="2"/>
            <w:tcBorders>
              <w:top w:val="single" w:color="000000" w:sz="6" w:space="0"/>
              <w:left w:val="single" w:color="000000" w:sz="6" w:space="0"/>
              <w:bottom w:val="single" w:color="000000" w:sz="6" w:space="0"/>
              <w:right w:val="single" w:color="000000" w:sz="6" w:space="0"/>
            </w:tcBorders>
            <w:vAlign w:val="center"/>
          </w:tcPr>
          <w:p>
            <w:pPr>
              <w:jc w:val="center"/>
              <w:rPr>
                <w:rFonts w:ascii="宋体" w:hAnsi="宋体"/>
                <w:sz w:val="20"/>
              </w:rPr>
            </w:pPr>
            <w:r>
              <w:rPr>
                <w:rFonts w:ascii="宋体" w:hAnsi="宋体"/>
                <w:sz w:val="20"/>
              </w:rPr>
              <w:t>室内噪音</w:t>
            </w:r>
          </w:p>
        </w:tc>
        <w:tc>
          <w:tcPr>
            <w:tcW w:w="7387" w:type="dxa"/>
            <w:gridSpan w:val="3"/>
            <w:tcBorders>
              <w:top w:val="single" w:color="000000" w:sz="6" w:space="0"/>
              <w:left w:val="single" w:color="000000" w:sz="6" w:space="0"/>
              <w:bottom w:val="single" w:color="000000" w:sz="6" w:space="0"/>
              <w:right w:val="single" w:color="000000" w:sz="6" w:space="0"/>
            </w:tcBorders>
            <w:vAlign w:val="center"/>
          </w:tcPr>
          <w:p>
            <w:pPr>
              <w:jc w:val="center"/>
              <w:rPr>
                <w:rFonts w:ascii="宋体" w:hAnsi="宋体"/>
                <w:sz w:val="20"/>
              </w:rPr>
            </w:pPr>
            <w:bookmarkStart w:id="5" w:name="_Hlk102296691"/>
            <w:r>
              <w:rPr>
                <w:rFonts w:hint="eastAsia" w:ascii="宋体" w:hAnsi="宋体"/>
                <w:sz w:val="20"/>
              </w:rPr>
              <w:t>≤</w:t>
            </w:r>
            <w:r>
              <w:rPr>
                <w:rFonts w:ascii="宋体" w:hAnsi="宋体"/>
                <w:sz w:val="20"/>
              </w:rPr>
              <w:t>55</w:t>
            </w:r>
            <w:r>
              <w:rPr>
                <w:rFonts w:hint="eastAsia" w:ascii="宋体" w:hAnsi="宋体"/>
                <w:sz w:val="20"/>
              </w:rPr>
              <w:t>dB</w:t>
            </w:r>
            <w:bookmarkEnd w:id="5"/>
          </w:p>
        </w:tc>
      </w:tr>
      <w:tr>
        <w:tblPrEx>
          <w:tblCellMar>
            <w:top w:w="0" w:type="dxa"/>
            <w:left w:w="0" w:type="dxa"/>
            <w:bottom w:w="0" w:type="dxa"/>
            <w:right w:w="0" w:type="dxa"/>
          </w:tblCellMar>
        </w:tblPrEx>
        <w:trPr>
          <w:cantSplit/>
          <w:trHeight w:val="1064" w:hRule="atLeast"/>
          <w:jc w:val="center"/>
        </w:trPr>
        <w:tc>
          <w:tcPr>
            <w:tcW w:w="10057" w:type="dxa"/>
            <w:gridSpan w:val="5"/>
            <w:tcBorders>
              <w:top w:val="single" w:color="000000" w:sz="6" w:space="0"/>
              <w:left w:val="single" w:color="000000" w:sz="6" w:space="0"/>
              <w:bottom w:val="single" w:color="000000" w:sz="6" w:space="0"/>
              <w:right w:val="single" w:color="000000" w:sz="6" w:space="0"/>
            </w:tcBorders>
            <w:vAlign w:val="center"/>
          </w:tcPr>
          <w:p>
            <w:pPr>
              <w:rPr>
                <w:rFonts w:ascii="宋体" w:hAnsi="宋体"/>
                <w:sz w:val="20"/>
              </w:rPr>
            </w:pPr>
            <w:bookmarkStart w:id="6" w:name="_Hlk102294552"/>
            <w:r>
              <w:rPr>
                <w:rFonts w:hint="eastAsia" w:ascii="宋体" w:hAnsi="宋体"/>
                <w:sz w:val="20"/>
              </w:rPr>
              <w:t>备注</w:t>
            </w:r>
            <w:r>
              <w:rPr>
                <w:rFonts w:ascii="宋体" w:hAnsi="宋体"/>
                <w:sz w:val="20"/>
              </w:rPr>
              <w:t>：</w:t>
            </w:r>
            <w:bookmarkEnd w:id="6"/>
            <w:r>
              <w:rPr>
                <w:rFonts w:ascii="宋体" w:hAnsi="宋体"/>
                <w:sz w:val="20"/>
              </w:rPr>
              <w:t>供应商需出具经烟草研究院标准化中心或第三方具有烟草计量建设标准的第三方法定计量机构按照JJG（烟草）21-2021</w:t>
            </w:r>
            <w:r>
              <w:rPr>
                <w:rFonts w:hint="eastAsia" w:ascii="宋体" w:hAnsi="宋体"/>
                <w:sz w:val="20"/>
              </w:rPr>
              <w:t>《烟草实验室大气环境检定规程》</w:t>
            </w:r>
            <w:r>
              <w:rPr>
                <w:rFonts w:ascii="宋体" w:hAnsi="宋体"/>
                <w:sz w:val="20"/>
              </w:rPr>
              <w:t>对本项目进行检测，并取得“合格”的检定证书，除与本设备无关联的实验室台面照度和照度均匀度的参数外，其它参数必须等于或优于以上参数才验收的承诺函，否则不予验收。</w:t>
            </w:r>
          </w:p>
        </w:tc>
      </w:tr>
      <w:bookmarkEnd w:id="3"/>
    </w:tbl>
    <w:p>
      <w:pPr>
        <w:pStyle w:val="13"/>
        <w:numPr>
          <w:ilvl w:val="0"/>
          <w:numId w:val="0"/>
        </w:numPr>
        <w:rPr>
          <w:sz w:val="21"/>
        </w:rPr>
      </w:pPr>
      <w:r>
        <w:rPr>
          <w:sz w:val="21"/>
        </w:rPr>
        <w:t>4</w:t>
      </w:r>
      <w:r>
        <w:rPr>
          <w:rFonts w:hint="eastAsia"/>
          <w:sz w:val="21"/>
        </w:rPr>
        <w:t>.</w:t>
      </w:r>
      <w:r>
        <w:rPr>
          <w:sz w:val="21"/>
        </w:rPr>
        <w:t xml:space="preserve">2 </w:t>
      </w:r>
      <w:r>
        <w:rPr>
          <w:rFonts w:hint="eastAsia"/>
          <w:sz w:val="21"/>
        </w:rPr>
        <w:t>高精度恒温恒湿组合式空调机组设备</w:t>
      </w:r>
      <w:r>
        <w:rPr>
          <w:sz w:val="21"/>
        </w:rPr>
        <w:t>明细</w:t>
      </w:r>
    </w:p>
    <w:tbl>
      <w:tblPr>
        <w:tblStyle w:val="9"/>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69"/>
        <w:gridCol w:w="823"/>
        <w:gridCol w:w="5774"/>
        <w:gridCol w:w="674"/>
        <w:gridCol w:w="58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9" w:hRule="atLeast"/>
          <w:jc w:val="center"/>
        </w:trPr>
        <w:tc>
          <w:tcPr>
            <w:tcW w:w="704" w:type="dxa"/>
            <w:shd w:val="clear" w:color="auto" w:fill="auto"/>
            <w:vAlign w:val="center"/>
          </w:tcPr>
          <w:p>
            <w:pPr>
              <w:jc w:val="center"/>
              <w:rPr>
                <w:rFonts w:ascii="宋体" w:hAnsi="宋体"/>
                <w:sz w:val="20"/>
              </w:rPr>
            </w:pPr>
            <w:r>
              <w:rPr>
                <w:rFonts w:hint="eastAsia" w:ascii="宋体" w:hAnsi="宋体"/>
                <w:sz w:val="20"/>
              </w:rPr>
              <w:t>序号</w:t>
            </w:r>
          </w:p>
        </w:tc>
        <w:tc>
          <w:tcPr>
            <w:tcW w:w="851" w:type="dxa"/>
            <w:shd w:val="clear" w:color="auto" w:fill="auto"/>
            <w:vAlign w:val="center"/>
          </w:tcPr>
          <w:p>
            <w:pPr>
              <w:jc w:val="center"/>
              <w:rPr>
                <w:rFonts w:ascii="宋体" w:hAnsi="宋体"/>
                <w:sz w:val="20"/>
              </w:rPr>
            </w:pPr>
            <w:r>
              <w:rPr>
                <w:rFonts w:hint="eastAsia" w:ascii="宋体" w:hAnsi="宋体"/>
                <w:sz w:val="20"/>
              </w:rPr>
              <w:t>名称</w:t>
            </w:r>
          </w:p>
        </w:tc>
        <w:tc>
          <w:tcPr>
            <w:tcW w:w="6383" w:type="dxa"/>
            <w:shd w:val="clear" w:color="auto" w:fill="auto"/>
            <w:vAlign w:val="center"/>
          </w:tcPr>
          <w:p>
            <w:pPr>
              <w:jc w:val="center"/>
              <w:rPr>
                <w:rFonts w:ascii="宋体" w:hAnsi="宋体"/>
                <w:sz w:val="20"/>
              </w:rPr>
            </w:pPr>
            <w:r>
              <w:rPr>
                <w:rFonts w:hint="eastAsia" w:ascii="宋体" w:hAnsi="宋体"/>
                <w:sz w:val="20"/>
              </w:rPr>
              <w:t>技术要求及规格型号</w:t>
            </w:r>
          </w:p>
        </w:tc>
        <w:tc>
          <w:tcPr>
            <w:tcW w:w="709" w:type="dxa"/>
            <w:shd w:val="clear" w:color="auto" w:fill="auto"/>
            <w:vAlign w:val="center"/>
          </w:tcPr>
          <w:p>
            <w:pPr>
              <w:jc w:val="center"/>
              <w:rPr>
                <w:rFonts w:ascii="黑体" w:hAnsi="黑体" w:eastAsia="黑体"/>
                <w:sz w:val="20"/>
              </w:rPr>
            </w:pPr>
            <w:r>
              <w:rPr>
                <w:rFonts w:hint="eastAsia" w:ascii="黑体" w:hAnsi="黑体" w:eastAsia="黑体"/>
                <w:sz w:val="20"/>
              </w:rPr>
              <w:t>数量</w:t>
            </w:r>
          </w:p>
        </w:tc>
        <w:tc>
          <w:tcPr>
            <w:tcW w:w="605" w:type="dxa"/>
            <w:shd w:val="clear" w:color="auto" w:fill="auto"/>
            <w:vAlign w:val="center"/>
          </w:tcPr>
          <w:p>
            <w:pPr>
              <w:jc w:val="center"/>
              <w:rPr>
                <w:rFonts w:ascii="黑体" w:hAnsi="黑体" w:eastAsia="黑体"/>
                <w:sz w:val="20"/>
              </w:rPr>
            </w:pPr>
            <w:r>
              <w:rPr>
                <w:rFonts w:hint="eastAsia" w:ascii="黑体" w:hAnsi="黑体" w:eastAsia="黑体"/>
                <w:sz w:val="20"/>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04" w:type="dxa"/>
            <w:shd w:val="clear" w:color="auto" w:fill="auto"/>
            <w:vAlign w:val="center"/>
          </w:tcPr>
          <w:p>
            <w:pPr>
              <w:jc w:val="center"/>
              <w:rPr>
                <w:rFonts w:ascii="宋体" w:hAnsi="宋体"/>
                <w:sz w:val="20"/>
              </w:rPr>
            </w:pPr>
            <w:r>
              <w:rPr>
                <w:rFonts w:hint="eastAsia" w:ascii="宋体" w:hAnsi="宋体"/>
                <w:sz w:val="20"/>
              </w:rPr>
              <w:t>1</w:t>
            </w:r>
          </w:p>
        </w:tc>
        <w:tc>
          <w:tcPr>
            <w:tcW w:w="851" w:type="dxa"/>
            <w:shd w:val="clear" w:color="auto" w:fill="auto"/>
            <w:vAlign w:val="center"/>
          </w:tcPr>
          <w:p>
            <w:pPr>
              <w:jc w:val="center"/>
              <w:rPr>
                <w:rFonts w:ascii="宋体" w:hAnsi="宋体"/>
                <w:sz w:val="20"/>
              </w:rPr>
            </w:pPr>
            <w:r>
              <w:rPr>
                <w:rFonts w:hint="eastAsia" w:ascii="宋体" w:hAnsi="宋体"/>
                <w:sz w:val="20"/>
              </w:rPr>
              <w:t>加湿器</w:t>
            </w:r>
          </w:p>
        </w:tc>
        <w:tc>
          <w:tcPr>
            <w:tcW w:w="6383" w:type="dxa"/>
            <w:shd w:val="clear" w:color="auto" w:fill="auto"/>
          </w:tcPr>
          <w:p>
            <w:pPr>
              <w:jc w:val="left"/>
              <w:rPr>
                <w:rFonts w:ascii="宋体" w:hAnsi="宋体"/>
                <w:sz w:val="20"/>
              </w:rPr>
            </w:pPr>
            <w:r>
              <w:rPr>
                <w:rFonts w:hint="eastAsia" w:ascii="宋体" w:hAnsi="宋体"/>
                <w:sz w:val="20"/>
              </w:rPr>
              <w:t>规格:最大加湿量15kg/h，额定功率11.25kW，电源电压380V/50Hz，加湿系统配套全自动软水系统和带有自动除垢功能装置的电极蒸汽发生器等，加湿量能够实现0-100%无级调节，能实现各种工况下的加湿量精准控制。调节精度为±1％，根据PLC逻辑控制，能在触摸屏及上位机显示加湿器运行流程图，体现内部实时运行的各种参数，加湿器的喷杆采用多喷杆结构，加湿器主体集成在室内机功能段。</w:t>
            </w:r>
          </w:p>
        </w:tc>
        <w:tc>
          <w:tcPr>
            <w:tcW w:w="709" w:type="dxa"/>
            <w:shd w:val="clear" w:color="auto" w:fill="auto"/>
            <w:vAlign w:val="center"/>
          </w:tcPr>
          <w:p>
            <w:pPr>
              <w:jc w:val="center"/>
              <w:rPr>
                <w:rFonts w:ascii="黑体" w:hAnsi="黑体" w:eastAsia="黑体"/>
                <w:sz w:val="20"/>
              </w:rPr>
            </w:pPr>
            <w:r>
              <w:rPr>
                <w:rFonts w:hint="eastAsia" w:ascii="黑体" w:hAnsi="黑体" w:eastAsia="黑体"/>
                <w:sz w:val="20"/>
              </w:rPr>
              <w:t>2台</w:t>
            </w:r>
          </w:p>
        </w:tc>
        <w:tc>
          <w:tcPr>
            <w:tcW w:w="605" w:type="dxa"/>
            <w:shd w:val="clear" w:color="auto" w:fill="auto"/>
            <w:vAlign w:val="center"/>
          </w:tcPr>
          <w:p>
            <w:pPr>
              <w:jc w:val="center"/>
              <w:rPr>
                <w:rFonts w:ascii="黑体" w:hAnsi="黑体" w:eastAsia="黑体"/>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04" w:type="dxa"/>
            <w:shd w:val="clear" w:color="auto" w:fill="auto"/>
            <w:vAlign w:val="center"/>
          </w:tcPr>
          <w:p>
            <w:pPr>
              <w:jc w:val="center"/>
              <w:rPr>
                <w:rFonts w:ascii="宋体" w:hAnsi="宋体"/>
                <w:sz w:val="20"/>
              </w:rPr>
            </w:pPr>
            <w:r>
              <w:rPr>
                <w:rFonts w:hint="eastAsia" w:ascii="宋体" w:hAnsi="宋体"/>
                <w:sz w:val="20"/>
              </w:rPr>
              <w:t>2</w:t>
            </w:r>
          </w:p>
        </w:tc>
        <w:tc>
          <w:tcPr>
            <w:tcW w:w="851" w:type="dxa"/>
            <w:shd w:val="clear" w:color="auto" w:fill="auto"/>
            <w:vAlign w:val="center"/>
          </w:tcPr>
          <w:p>
            <w:pPr>
              <w:jc w:val="left"/>
              <w:rPr>
                <w:rFonts w:ascii="宋体" w:hAnsi="宋体"/>
                <w:sz w:val="20"/>
              </w:rPr>
            </w:pPr>
            <w:r>
              <w:rPr>
                <w:rFonts w:hint="eastAsia" w:ascii="宋体" w:hAnsi="宋体"/>
                <w:sz w:val="20"/>
              </w:rPr>
              <w:t>高精度恒温恒湿组合式空调机组</w:t>
            </w:r>
            <w:r>
              <w:rPr>
                <w:rFonts w:ascii="宋体" w:hAnsi="宋体"/>
                <w:sz w:val="20"/>
              </w:rPr>
              <w:t>ZK-1</w:t>
            </w:r>
          </w:p>
        </w:tc>
        <w:tc>
          <w:tcPr>
            <w:tcW w:w="6383" w:type="dxa"/>
            <w:shd w:val="clear" w:color="auto" w:fill="auto"/>
          </w:tcPr>
          <w:p>
            <w:pPr>
              <w:jc w:val="left"/>
              <w:rPr>
                <w:rFonts w:ascii="宋体" w:hAnsi="宋体"/>
                <w:sz w:val="20"/>
              </w:rPr>
            </w:pPr>
            <w:r>
              <w:rPr>
                <w:rFonts w:hint="eastAsia" w:ascii="宋体" w:hAnsi="宋体"/>
                <w:sz w:val="20"/>
              </w:rPr>
              <w:t>1.安装位置：物理检测室</w:t>
            </w:r>
            <w:r>
              <w:rPr>
                <w:rFonts w:hint="eastAsia" w:ascii="宋体" w:hAnsi="宋体"/>
                <w:sz w:val="20"/>
              </w:rPr>
              <w:br w:type="textWrapping"/>
            </w:r>
            <w:r>
              <w:rPr>
                <w:rFonts w:hint="eastAsia" w:ascii="宋体" w:hAnsi="宋体"/>
                <w:sz w:val="20"/>
              </w:rPr>
              <w:t xml:space="preserve">2.规格：直膨机组.室外机性能参数采用全直流变频压缩机和无级调速EC冷凝风扇， 制冷量：25.5kW；制热量：28kW,电源要求：380V,50Hz；综合COP值＞3.5；噪音&lt;55dB(A),室外主机制冷工况在-15℃—55℃和制热工况 在-30℃—29℃范围内稳定可靠运行，单套超高精度恒温恒湿空调系统配置三管制余热回收型,全功率双室外机冗余热备份型（外机一用一备）。 </w:t>
            </w:r>
            <w:r>
              <w:rPr>
                <w:rFonts w:hint="eastAsia" w:ascii="宋体" w:hAnsi="宋体"/>
                <w:sz w:val="20"/>
              </w:rPr>
              <w:br w:type="textWrapping"/>
            </w:r>
            <w:r>
              <w:rPr>
                <w:rFonts w:hint="eastAsia" w:ascii="宋体" w:hAnsi="宋体"/>
                <w:sz w:val="20"/>
              </w:rPr>
              <w:t>3.室内机性能参数：风量：3500m</w:t>
            </w:r>
            <w:r>
              <w:rPr>
                <w:rFonts w:hint="eastAsia" w:ascii="宋体" w:hAnsi="宋体"/>
                <w:sz w:val="20"/>
                <w:vertAlign w:val="superscript"/>
              </w:rPr>
              <w:t>3</w:t>
            </w:r>
            <w:r>
              <w:rPr>
                <w:rFonts w:hint="eastAsia" w:ascii="宋体" w:hAnsi="宋体"/>
                <w:sz w:val="20"/>
              </w:rPr>
              <w:t>/h；辅助加热量：11kW； 加湿量：15kg/h；风机功率:1.5kW,余压350Pa,制冷量、制热量、加湿量 实现0-100%无级调节,制冷量能够实现0～100%无级调节，调节精度0.5%，加热量能够实现0～100%无级调节，调节精度0.5%，加湿量能够实现0～100%无级调节，调节精度0.5%。</w:t>
            </w:r>
            <w:r>
              <w:rPr>
                <w:rFonts w:hint="eastAsia" w:ascii="宋体" w:hAnsi="宋体"/>
                <w:sz w:val="20"/>
              </w:rPr>
              <w:br w:type="textWrapping"/>
            </w:r>
            <w:r>
              <w:rPr>
                <w:rFonts w:ascii="宋体" w:hAnsi="宋体"/>
                <w:sz w:val="20"/>
              </w:rPr>
              <w:t>4.电极加湿器主体集成：根据工艺参数指标需求和加湿器工作原理与结构，室内机内部定制加湿器功能段，功能段满足加湿器标准多喷杆，加湿器主体与加湿器系统各辅件集成,便于清洗维护。</w:t>
            </w:r>
            <w:r>
              <w:rPr>
                <w:rFonts w:hint="eastAsia" w:ascii="宋体" w:hAnsi="宋体"/>
                <w:sz w:val="20"/>
              </w:rPr>
              <w:br w:type="textWrapping"/>
            </w:r>
            <w:r>
              <w:rPr>
                <w:rFonts w:hint="eastAsia" w:ascii="宋体" w:hAnsi="宋体"/>
                <w:sz w:val="20"/>
              </w:rPr>
              <w:t>5.辅助电热加热器主体集成： 根据工艺参数指标需求和加热器工作原理与结构，定制加热器功能段，加热器集成与此功能段内，辅助电加热器采用PTC陶瓷电加热器 ，PTC陶瓷电加热器具有断风自保护特性，无发红超温现象。 5.集成电控系统：室内机内部定制控制箱，集成配置满足于本系统点位的，通用型，可扩展性，世界主流的工业级PLC控制器，室内机面板配置10寸工业级彩色触摸屏，接触器继电</w:t>
            </w:r>
          </w:p>
        </w:tc>
        <w:tc>
          <w:tcPr>
            <w:tcW w:w="709" w:type="dxa"/>
            <w:shd w:val="clear" w:color="auto" w:fill="auto"/>
            <w:vAlign w:val="center"/>
          </w:tcPr>
          <w:p>
            <w:pPr>
              <w:jc w:val="left"/>
              <w:rPr>
                <w:rFonts w:ascii="黑体" w:hAnsi="黑体" w:eastAsia="黑体"/>
                <w:sz w:val="20"/>
              </w:rPr>
            </w:pPr>
            <w:r>
              <w:rPr>
                <w:rFonts w:ascii="黑体" w:hAnsi="黑体" w:eastAsia="黑体"/>
                <w:sz w:val="20"/>
              </w:rPr>
              <w:t>1</w:t>
            </w:r>
            <w:r>
              <w:rPr>
                <w:rFonts w:hint="eastAsia" w:ascii="黑体" w:hAnsi="黑体" w:eastAsia="黑体"/>
                <w:sz w:val="20"/>
              </w:rPr>
              <w:t>台</w:t>
            </w:r>
          </w:p>
        </w:tc>
        <w:tc>
          <w:tcPr>
            <w:tcW w:w="605" w:type="dxa"/>
            <w:shd w:val="clear" w:color="auto" w:fill="auto"/>
            <w:vAlign w:val="center"/>
          </w:tcPr>
          <w:p>
            <w:pPr>
              <w:jc w:val="left"/>
              <w:rPr>
                <w:rFonts w:ascii="黑体" w:hAnsi="黑体" w:eastAsia="黑体"/>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04" w:type="dxa"/>
            <w:shd w:val="clear" w:color="auto" w:fill="auto"/>
            <w:vAlign w:val="center"/>
          </w:tcPr>
          <w:p>
            <w:pPr>
              <w:jc w:val="center"/>
              <w:rPr>
                <w:rFonts w:ascii="宋体" w:hAnsi="宋体"/>
                <w:sz w:val="20"/>
              </w:rPr>
            </w:pPr>
            <w:r>
              <w:rPr>
                <w:rFonts w:hint="eastAsia" w:ascii="宋体" w:hAnsi="宋体"/>
                <w:sz w:val="20"/>
              </w:rPr>
              <w:t>3</w:t>
            </w:r>
          </w:p>
        </w:tc>
        <w:tc>
          <w:tcPr>
            <w:tcW w:w="851" w:type="dxa"/>
            <w:shd w:val="clear" w:color="auto" w:fill="auto"/>
            <w:vAlign w:val="center"/>
          </w:tcPr>
          <w:p>
            <w:pPr>
              <w:jc w:val="left"/>
              <w:rPr>
                <w:rFonts w:ascii="宋体" w:hAnsi="宋体"/>
                <w:sz w:val="20"/>
              </w:rPr>
            </w:pPr>
            <w:r>
              <w:rPr>
                <w:rFonts w:hint="eastAsia" w:ascii="宋体" w:hAnsi="宋体"/>
                <w:sz w:val="20"/>
              </w:rPr>
              <w:t>高精度恒温恒湿组合式空调机组</w:t>
            </w:r>
            <w:r>
              <w:rPr>
                <w:rFonts w:ascii="宋体" w:hAnsi="宋体"/>
                <w:sz w:val="20"/>
              </w:rPr>
              <w:t>ZK-2</w:t>
            </w:r>
          </w:p>
        </w:tc>
        <w:tc>
          <w:tcPr>
            <w:tcW w:w="6383" w:type="dxa"/>
            <w:shd w:val="clear" w:color="auto" w:fill="auto"/>
          </w:tcPr>
          <w:p>
            <w:pPr>
              <w:jc w:val="left"/>
              <w:rPr>
                <w:rFonts w:ascii="宋体" w:hAnsi="宋体"/>
                <w:sz w:val="20"/>
              </w:rPr>
            </w:pPr>
            <w:r>
              <w:rPr>
                <w:rFonts w:hint="eastAsia" w:ascii="宋体" w:hAnsi="宋体"/>
                <w:sz w:val="20"/>
              </w:rPr>
              <w:t>1.安装位置：材料检测室一</w:t>
            </w:r>
            <w:r>
              <w:rPr>
                <w:rFonts w:hint="eastAsia" w:ascii="宋体" w:hAnsi="宋体"/>
                <w:sz w:val="20"/>
              </w:rPr>
              <w:br w:type="textWrapping"/>
            </w:r>
            <w:r>
              <w:rPr>
                <w:rFonts w:hint="eastAsia" w:ascii="宋体" w:hAnsi="宋体"/>
                <w:sz w:val="20"/>
              </w:rPr>
              <w:t xml:space="preserve">2.直膨机组.室外机性能参数采用全直流变频压缩机和无级调速EC冷凝风扇， 制冷量：25.5kW；制热量：28kW,电源要求：380V,50Hz；综合COP值＞3.5；噪音&lt;55dB(A),室外主机制冷工况在-15℃—55℃和制热工况 在-30℃—29℃范围内稳定可靠运行，单套超高精度恒温恒湿空调系统配置三管制余热回收型,全功率双室外机冗余热备份型。 </w:t>
            </w:r>
            <w:r>
              <w:rPr>
                <w:rFonts w:hint="eastAsia" w:ascii="宋体" w:hAnsi="宋体"/>
                <w:sz w:val="20"/>
              </w:rPr>
              <w:br w:type="textWrapping"/>
            </w:r>
            <w:r>
              <w:rPr>
                <w:rFonts w:hint="eastAsia" w:ascii="宋体" w:hAnsi="宋体"/>
                <w:sz w:val="20"/>
              </w:rPr>
              <w:t>3.室内机性能参数：风量：3000m</w:t>
            </w:r>
            <w:r>
              <w:rPr>
                <w:rFonts w:hint="eastAsia" w:ascii="宋体" w:hAnsi="宋体"/>
                <w:sz w:val="20"/>
                <w:vertAlign w:val="superscript"/>
              </w:rPr>
              <w:t>3</w:t>
            </w:r>
            <w:r>
              <w:rPr>
                <w:rFonts w:hint="eastAsia" w:ascii="宋体" w:hAnsi="宋体"/>
                <w:sz w:val="20"/>
              </w:rPr>
              <w:t>/h；辅助加热量：11kW； 加湿量：15kg/h；风机功率:1.5kW,余压350Pa,制冷量、制热量、加湿量 实现0-100%无级调节,制冷量能够实现0～100%无级调节，调节精度0.5%，加热量能够实现0～100%无级调节，调节精度0.5%，加湿量能够实现0～100%无级调节，调节精度0.5%。</w:t>
            </w:r>
            <w:r>
              <w:rPr>
                <w:rFonts w:hint="eastAsia" w:ascii="宋体" w:hAnsi="宋体"/>
                <w:sz w:val="20"/>
              </w:rPr>
              <w:br w:type="textWrapping"/>
            </w:r>
            <w:r>
              <w:rPr>
                <w:rFonts w:ascii="宋体" w:hAnsi="宋体"/>
                <w:sz w:val="20"/>
              </w:rPr>
              <w:t>4.电极加湿器主体集成：根据工艺参数指标需求和加湿器工作原理与结构，室内机内部定制加湿器功能段，功能段满足加湿器标准多喷杆，加湿器主体与加湿器系统各辅件集成,便于清洗维护。</w:t>
            </w:r>
            <w:r>
              <w:rPr>
                <w:rFonts w:hint="eastAsia" w:ascii="宋体" w:hAnsi="宋体"/>
                <w:sz w:val="20"/>
              </w:rPr>
              <w:br w:type="textWrapping"/>
            </w:r>
            <w:r>
              <w:rPr>
                <w:rFonts w:hint="eastAsia" w:ascii="宋体" w:hAnsi="宋体"/>
                <w:sz w:val="20"/>
              </w:rPr>
              <w:t>5.辅助电热加热器主体集成： 根据工艺参数指标需求和加热器工作原理与结构，定制加热器功能段，加热器集成与此功能段内，辅助电加热器采用PTC陶瓷电加热器 ，PTC陶瓷电加热器具有断风自保护特性，无发红超温现象。 5.集成电控系统：室内机内部定制控制箱，集成配置满足于本系统点位的，通用型，可扩展性，世界主流的工业级PLC控制器，室内机面板配置10寸工业级彩色触摸屏，接触器继电</w:t>
            </w:r>
          </w:p>
        </w:tc>
        <w:tc>
          <w:tcPr>
            <w:tcW w:w="709" w:type="dxa"/>
            <w:shd w:val="clear" w:color="auto" w:fill="auto"/>
            <w:vAlign w:val="center"/>
          </w:tcPr>
          <w:p>
            <w:pPr>
              <w:jc w:val="left"/>
              <w:rPr>
                <w:rFonts w:ascii="黑体" w:hAnsi="黑体" w:eastAsia="黑体"/>
                <w:sz w:val="20"/>
              </w:rPr>
            </w:pPr>
            <w:r>
              <w:rPr>
                <w:rFonts w:hint="eastAsia" w:ascii="黑体" w:hAnsi="黑体" w:eastAsia="黑体"/>
                <w:sz w:val="20"/>
              </w:rPr>
              <w:t>1台</w:t>
            </w:r>
          </w:p>
        </w:tc>
        <w:tc>
          <w:tcPr>
            <w:tcW w:w="605" w:type="dxa"/>
            <w:shd w:val="clear" w:color="auto" w:fill="auto"/>
            <w:vAlign w:val="center"/>
          </w:tcPr>
          <w:p>
            <w:pPr>
              <w:numPr>
                <w:ilvl w:val="0"/>
                <w:numId w:val="2"/>
              </w:numPr>
              <w:ind w:left="840" w:firstLine="0"/>
              <w:jc w:val="left"/>
              <w:rPr>
                <w:rFonts w:ascii="黑体" w:hAnsi="黑体" w:eastAsia="黑体"/>
                <w:sz w:val="20"/>
              </w:rPr>
            </w:pPr>
          </w:p>
        </w:tc>
      </w:tr>
    </w:tbl>
    <w:p>
      <w:pPr>
        <w:pStyle w:val="13"/>
        <w:numPr>
          <w:ilvl w:val="0"/>
          <w:numId w:val="0"/>
        </w:numPr>
        <w:rPr>
          <w:sz w:val="21"/>
        </w:rPr>
      </w:pPr>
      <w:r>
        <w:rPr>
          <w:sz w:val="21"/>
        </w:rPr>
        <w:t>4</w:t>
      </w:r>
      <w:r>
        <w:rPr>
          <w:rFonts w:hint="eastAsia"/>
          <w:sz w:val="21"/>
        </w:rPr>
        <w:t>.</w:t>
      </w:r>
      <w:r>
        <w:rPr>
          <w:sz w:val="21"/>
        </w:rPr>
        <w:t xml:space="preserve">3 </w:t>
      </w:r>
      <w:r>
        <w:rPr>
          <w:rFonts w:hint="eastAsia"/>
          <w:sz w:val="21"/>
        </w:rPr>
        <w:t>高精度恒温恒湿组合式空调机组配置要求</w:t>
      </w:r>
    </w:p>
    <w:p>
      <w:pPr>
        <w:pStyle w:val="13"/>
        <w:numPr>
          <w:ilvl w:val="0"/>
          <w:numId w:val="0"/>
        </w:numPr>
        <w:rPr>
          <w:b w:val="0"/>
          <w:sz w:val="21"/>
        </w:rPr>
      </w:pPr>
      <w:r>
        <w:rPr>
          <w:b w:val="0"/>
          <w:sz w:val="21"/>
        </w:rPr>
        <w:t xml:space="preserve">4.3.1 </w:t>
      </w:r>
      <w:r>
        <w:rPr>
          <w:rFonts w:hint="eastAsia"/>
          <w:b w:val="0"/>
          <w:sz w:val="21"/>
        </w:rPr>
        <w:t>整体性能</w:t>
      </w:r>
    </w:p>
    <w:p>
      <w:pPr>
        <w:pStyle w:val="13"/>
        <w:numPr>
          <w:ilvl w:val="0"/>
          <w:numId w:val="0"/>
        </w:numPr>
        <w:rPr>
          <w:b w:val="0"/>
          <w:sz w:val="21"/>
        </w:rPr>
      </w:pPr>
      <w:r>
        <w:rPr>
          <w:b w:val="0"/>
          <w:sz w:val="21"/>
        </w:rPr>
        <w:t xml:space="preserve">4.3.1.1 </w:t>
      </w:r>
      <w:r>
        <w:rPr>
          <w:rFonts w:hint="eastAsia"/>
          <w:b w:val="0"/>
          <w:sz w:val="21"/>
        </w:rPr>
        <w:t>采用真正能达到ISO标准大气环境实验室要求的高精度恒温恒湿空调机组，不接受普通精度的恒温恒湿空调机组，采用单套高精度恒温恒湿空调系统配置二台全功率的室外机，双外机根据时间优化轮流工作，提高可靠性和耐久性，二台外机与一台内机组成一个有机的整体，统一由一套通用型PLC进行控制。</w:t>
      </w:r>
    </w:p>
    <w:p>
      <w:pPr>
        <w:pStyle w:val="13"/>
        <w:numPr>
          <w:ilvl w:val="0"/>
          <w:numId w:val="0"/>
        </w:numPr>
        <w:rPr>
          <w:b w:val="0"/>
          <w:sz w:val="21"/>
        </w:rPr>
      </w:pPr>
      <w:r>
        <w:rPr>
          <w:b w:val="0"/>
          <w:sz w:val="21"/>
        </w:rPr>
        <w:t xml:space="preserve">4.3.1.2 </w:t>
      </w:r>
      <w:r>
        <w:rPr>
          <w:rFonts w:hint="eastAsia"/>
          <w:b w:val="0"/>
          <w:sz w:val="21"/>
        </w:rPr>
        <w:t>高精度恒温恒湿机组要求采用节能的三管制余热回收型机组,在除湿再热工况采用冷凝余热回收利用，恒温恒湿空调系统的加热主要采用余热回收加热和热泵加热，电加热只作为少量辅助加热，不接受高能耗的全电加热方式。</w:t>
      </w:r>
    </w:p>
    <w:p>
      <w:pPr>
        <w:pStyle w:val="13"/>
        <w:numPr>
          <w:ilvl w:val="0"/>
          <w:numId w:val="0"/>
        </w:numPr>
        <w:rPr>
          <w:b w:val="0"/>
          <w:sz w:val="21"/>
        </w:rPr>
      </w:pPr>
      <w:r>
        <w:rPr>
          <w:b w:val="0"/>
          <w:sz w:val="21"/>
        </w:rPr>
        <w:t xml:space="preserve">4.3.1.3 </w:t>
      </w:r>
      <w:r>
        <w:rPr>
          <w:rFonts w:hint="eastAsia"/>
          <w:b w:val="0"/>
          <w:sz w:val="21"/>
        </w:rPr>
        <w:t>室内机组要求采用简洁紧凑的一体化组合式结构的机组（PLC控制系统、加热系统、加湿及净水系统都集成在内机中），不采用加湿器和电控系统另外装柜分散安装方式。</w:t>
      </w:r>
    </w:p>
    <w:p>
      <w:pPr>
        <w:pStyle w:val="13"/>
        <w:numPr>
          <w:ilvl w:val="0"/>
          <w:numId w:val="0"/>
        </w:numPr>
        <w:rPr>
          <w:b w:val="0"/>
          <w:sz w:val="21"/>
        </w:rPr>
      </w:pPr>
      <w:r>
        <w:rPr>
          <w:b w:val="0"/>
          <w:sz w:val="21"/>
        </w:rPr>
        <w:t xml:space="preserve">4.3.1.4 </w:t>
      </w:r>
      <w:r>
        <w:rPr>
          <w:rFonts w:hint="eastAsia"/>
          <w:b w:val="0"/>
          <w:sz w:val="21"/>
        </w:rPr>
        <w:t>采用最新的节能技术，压缩机、送风机，室外风扇全部采用变频调节，压缩机为直流变频压缩机，室内风机采用变频调节实现变风量控制，在满足实验室恒温恒湿控制精度和均匀度的前提下实现最佳节能效果。制热主要采用节能的余热回收利用和热泵二种方式,并有相应的技术保证除霜时不影响室内的温湿度,不采用高能耗的纯电加热方式，不接受高耗能的冷热抵消的控制模式。</w:t>
      </w:r>
    </w:p>
    <w:p>
      <w:pPr>
        <w:pStyle w:val="13"/>
        <w:numPr>
          <w:ilvl w:val="0"/>
          <w:numId w:val="0"/>
        </w:numPr>
        <w:rPr>
          <w:b w:val="0"/>
          <w:sz w:val="21"/>
        </w:rPr>
      </w:pPr>
      <w:r>
        <w:rPr>
          <w:b w:val="0"/>
          <w:sz w:val="21"/>
        </w:rPr>
        <w:t xml:space="preserve">4.3.1.5 </w:t>
      </w:r>
      <w:r>
        <w:rPr>
          <w:rFonts w:hint="eastAsia"/>
          <w:b w:val="0"/>
          <w:sz w:val="21"/>
        </w:rPr>
        <w:t>高精度恒温恒湿空调系统具有送风、回风、加热、加湿、制冷、除湿、新风补充功能，采用顶部微孔板送风，下立柱回风的气流组织方式。</w:t>
      </w:r>
    </w:p>
    <w:p>
      <w:pPr>
        <w:pStyle w:val="13"/>
        <w:numPr>
          <w:ilvl w:val="0"/>
          <w:numId w:val="0"/>
        </w:numPr>
        <w:rPr>
          <w:b w:val="0"/>
          <w:sz w:val="21"/>
        </w:rPr>
      </w:pPr>
      <w:r>
        <w:rPr>
          <w:b w:val="0"/>
          <w:sz w:val="21"/>
        </w:rPr>
        <w:t xml:space="preserve">4.3.1.6 </w:t>
      </w:r>
      <w:r>
        <w:rPr>
          <w:rFonts w:hint="eastAsia"/>
          <w:b w:val="0"/>
          <w:sz w:val="21"/>
        </w:rPr>
        <w:t>高精度恒温恒湿空调系统能根据负荷变化自动调节，恒定房间温湿度，制冷量能够实现0～100%无级调节，调节精度0.5%，加热量能够实现0～100%无级调节，调节精度0.5%，加湿量能够实现0～100%无级调节，调节精度0.5%，全面达到实验室环境的规范要求，各设备的精度应相应提高(留有富余度)。</w:t>
      </w:r>
    </w:p>
    <w:p>
      <w:pPr>
        <w:pStyle w:val="13"/>
        <w:numPr>
          <w:ilvl w:val="0"/>
          <w:numId w:val="0"/>
        </w:numPr>
        <w:rPr>
          <w:b w:val="0"/>
          <w:sz w:val="21"/>
        </w:rPr>
      </w:pPr>
      <w:r>
        <w:rPr>
          <w:b w:val="0"/>
          <w:sz w:val="21"/>
        </w:rPr>
        <w:t xml:space="preserve">4.3.1.7 </w:t>
      </w:r>
      <w:r>
        <w:rPr>
          <w:rFonts w:hint="eastAsia"/>
          <w:b w:val="0"/>
          <w:sz w:val="21"/>
        </w:rPr>
        <w:t>高精度恒温恒湿空调系统应具有宽广的运行温度，更好的应对恶劣环境，制冷运行范围： -15℃～55℃ ，制热运行范围： -30℃～29℃ ，以及电源电压偏差在额定值(380V、50HZ)的-10%～5%的范围内正常运行。</w:t>
      </w:r>
    </w:p>
    <w:p>
      <w:pPr>
        <w:pStyle w:val="13"/>
        <w:numPr>
          <w:ilvl w:val="0"/>
          <w:numId w:val="0"/>
        </w:numPr>
        <w:rPr>
          <w:b w:val="0"/>
          <w:sz w:val="21"/>
        </w:rPr>
      </w:pPr>
      <w:r>
        <w:rPr>
          <w:b w:val="0"/>
          <w:sz w:val="21"/>
        </w:rPr>
        <w:t xml:space="preserve">4.3.1.8 </w:t>
      </w:r>
      <w:r>
        <w:rPr>
          <w:rFonts w:hint="eastAsia"/>
          <w:b w:val="0"/>
          <w:sz w:val="21"/>
        </w:rPr>
        <w:t>供应商提供的设备必须是成熟机型，运行安全、技术先进、可靠性高、温湿度控制稳定、节省空间、便于安装和维护、高效节能、耐用，品牌可靠度和信誉度高、故障率低、社会口碑好的产品，同时要求提供整体性能满足上述各项技术要求的承诺。</w:t>
      </w:r>
    </w:p>
    <w:p>
      <w:pPr>
        <w:pStyle w:val="13"/>
        <w:numPr>
          <w:ilvl w:val="0"/>
          <w:numId w:val="0"/>
        </w:numPr>
        <w:rPr>
          <w:b w:val="0"/>
          <w:sz w:val="21"/>
        </w:rPr>
      </w:pPr>
      <w:r>
        <w:rPr>
          <w:b w:val="0"/>
          <w:sz w:val="21"/>
        </w:rPr>
        <w:t>4</w:t>
      </w:r>
      <w:r>
        <w:rPr>
          <w:rFonts w:hint="eastAsia"/>
          <w:b w:val="0"/>
          <w:sz w:val="21"/>
        </w:rPr>
        <w:t>.3.1.9 为保证高精度恒温恒湿组合式空调机组能够与智能化设备设施采购项目的</w:t>
      </w:r>
      <w:r>
        <w:rPr>
          <w:b w:val="0"/>
          <w:sz w:val="21"/>
        </w:rPr>
        <w:t>恒温恒湿实验室风循环系统</w:t>
      </w:r>
      <w:r>
        <w:rPr>
          <w:rFonts w:hint="eastAsia"/>
          <w:b w:val="0"/>
          <w:sz w:val="21"/>
        </w:rPr>
        <w:t>兼容，要求供应商须结合</w:t>
      </w:r>
      <w:r>
        <w:rPr>
          <w:b w:val="0"/>
          <w:sz w:val="21"/>
        </w:rPr>
        <w:t>恒温恒湿实验室风循环系统</w:t>
      </w:r>
      <w:r>
        <w:rPr>
          <w:rFonts w:hint="eastAsia"/>
          <w:b w:val="0"/>
          <w:sz w:val="21"/>
        </w:rPr>
        <w:t>的特点确认并配套合适的空调机组结构，智能化设备设施采购项目的</w:t>
      </w:r>
      <w:r>
        <w:rPr>
          <w:b w:val="0"/>
          <w:sz w:val="21"/>
        </w:rPr>
        <w:t>恒温恒湿实验室风循环系统</w:t>
      </w:r>
      <w:r>
        <w:rPr>
          <w:rFonts w:hint="eastAsia"/>
          <w:b w:val="0"/>
          <w:sz w:val="21"/>
        </w:rPr>
        <w:t>特点如下：</w:t>
      </w:r>
    </w:p>
    <w:p>
      <w:pPr>
        <w:pStyle w:val="13"/>
        <w:numPr>
          <w:ilvl w:val="0"/>
          <w:numId w:val="0"/>
        </w:numPr>
        <w:rPr>
          <w:b w:val="0"/>
          <w:sz w:val="21"/>
        </w:rPr>
      </w:pPr>
      <w:bookmarkStart w:id="7" w:name="OLE_LINK90"/>
      <w:r>
        <w:rPr>
          <w:b w:val="0"/>
          <w:sz w:val="21"/>
        </w:rPr>
        <w:t>4</w:t>
      </w:r>
      <w:r>
        <w:rPr>
          <w:rFonts w:hint="eastAsia"/>
          <w:b w:val="0"/>
          <w:sz w:val="21"/>
        </w:rPr>
        <w:t xml:space="preserve">.3.1.9.1 </w:t>
      </w:r>
      <w:bookmarkEnd w:id="7"/>
      <w:r>
        <w:rPr>
          <w:b w:val="0"/>
          <w:sz w:val="21"/>
        </w:rPr>
        <w:t>气流组织方式</w:t>
      </w:r>
      <w:r>
        <w:rPr>
          <w:rFonts w:hint="eastAsia"/>
          <w:b w:val="0"/>
          <w:sz w:val="21"/>
        </w:rPr>
        <w:t>应采用</w:t>
      </w:r>
      <w:r>
        <w:rPr>
          <w:b w:val="0"/>
          <w:sz w:val="21"/>
        </w:rPr>
        <w:t>上送风</w:t>
      </w:r>
      <w:r>
        <w:rPr>
          <w:rFonts w:hint="eastAsia"/>
          <w:b w:val="0"/>
          <w:sz w:val="21"/>
        </w:rPr>
        <w:t>立柱</w:t>
      </w:r>
      <w:r>
        <w:rPr>
          <w:b w:val="0"/>
          <w:sz w:val="21"/>
        </w:rPr>
        <w:t>侧回风</w:t>
      </w:r>
      <w:r>
        <w:rPr>
          <w:rFonts w:hint="eastAsia"/>
          <w:b w:val="0"/>
          <w:sz w:val="21"/>
        </w:rPr>
        <w:t>的</w:t>
      </w:r>
      <w:r>
        <w:rPr>
          <w:b w:val="0"/>
          <w:sz w:val="21"/>
        </w:rPr>
        <w:t>气流组织方式；</w:t>
      </w:r>
    </w:p>
    <w:p>
      <w:pPr>
        <w:pStyle w:val="13"/>
        <w:numPr>
          <w:ilvl w:val="0"/>
          <w:numId w:val="0"/>
        </w:numPr>
        <w:rPr>
          <w:b w:val="0"/>
          <w:sz w:val="21"/>
        </w:rPr>
      </w:pPr>
      <w:r>
        <w:rPr>
          <w:b w:val="0"/>
          <w:sz w:val="21"/>
        </w:rPr>
        <w:t>4</w:t>
      </w:r>
      <w:r>
        <w:rPr>
          <w:rFonts w:hint="eastAsia"/>
          <w:b w:val="0"/>
          <w:sz w:val="21"/>
        </w:rPr>
        <w:t>.3.1.9.2</w:t>
      </w:r>
      <w:r>
        <w:rPr>
          <w:b w:val="0"/>
          <w:sz w:val="21"/>
        </w:rPr>
        <w:t>送风系统：</w:t>
      </w:r>
      <w:r>
        <w:rPr>
          <w:rFonts w:hint="eastAsia"/>
          <w:b w:val="0"/>
          <w:sz w:val="21"/>
        </w:rPr>
        <w:t>经过处理的空气通过送风管道</w:t>
      </w:r>
      <w:r>
        <w:rPr>
          <w:b w:val="0"/>
          <w:sz w:val="21"/>
        </w:rPr>
        <w:t>进入实验室</w:t>
      </w:r>
      <w:r>
        <w:rPr>
          <w:rFonts w:hint="eastAsia"/>
          <w:b w:val="0"/>
          <w:sz w:val="21"/>
        </w:rPr>
        <w:t>楼板</w:t>
      </w:r>
      <w:r>
        <w:rPr>
          <w:b w:val="0"/>
          <w:sz w:val="21"/>
        </w:rPr>
        <w:t>与铝合金孔板吊顶形成静压仓，通过铝合金微孔天花板送入实验室内；</w:t>
      </w:r>
    </w:p>
    <w:p>
      <w:pPr>
        <w:pStyle w:val="13"/>
        <w:numPr>
          <w:ilvl w:val="0"/>
          <w:numId w:val="0"/>
        </w:numPr>
        <w:rPr>
          <w:b w:val="0"/>
          <w:sz w:val="21"/>
        </w:rPr>
      </w:pPr>
      <w:r>
        <w:rPr>
          <w:b w:val="0"/>
          <w:sz w:val="21"/>
        </w:rPr>
        <w:t>4</w:t>
      </w:r>
      <w:r>
        <w:rPr>
          <w:rFonts w:hint="eastAsia"/>
          <w:b w:val="0"/>
          <w:sz w:val="21"/>
        </w:rPr>
        <w:t>.3.1.9.3</w:t>
      </w:r>
      <w:r>
        <w:rPr>
          <w:b w:val="0"/>
          <w:sz w:val="21"/>
        </w:rPr>
        <w:t>回风系统：恒温恒湿实验室回风系统采用立柱侧回风方式（非架空地板回风方式），室内空气由室内侧墙壁回风立柱的回风口进入，经回风风道返回空调机组回风系统；</w:t>
      </w:r>
    </w:p>
    <w:p>
      <w:pPr>
        <w:pStyle w:val="13"/>
        <w:numPr>
          <w:ilvl w:val="0"/>
          <w:numId w:val="0"/>
        </w:numPr>
        <w:rPr>
          <w:b w:val="0"/>
          <w:sz w:val="21"/>
        </w:rPr>
      </w:pPr>
      <w:r>
        <w:rPr>
          <w:b w:val="0"/>
          <w:sz w:val="21"/>
        </w:rPr>
        <w:t>4</w:t>
      </w:r>
      <w:r>
        <w:rPr>
          <w:rFonts w:hint="eastAsia"/>
          <w:b w:val="0"/>
          <w:sz w:val="21"/>
        </w:rPr>
        <w:t>.3.1.9.4</w:t>
      </w:r>
      <w:r>
        <w:rPr>
          <w:b w:val="0"/>
          <w:sz w:val="21"/>
        </w:rPr>
        <w:t>新风系统：由室外采集新鲜空气，经过滤后由新风风道送入空调机组的回风系统。新风风道上</w:t>
      </w:r>
      <w:r>
        <w:rPr>
          <w:rFonts w:hint="eastAsia"/>
          <w:b w:val="0"/>
          <w:sz w:val="21"/>
        </w:rPr>
        <w:t>应</w:t>
      </w:r>
      <w:r>
        <w:rPr>
          <w:b w:val="0"/>
          <w:sz w:val="21"/>
        </w:rPr>
        <w:t>装有过滤器和调节阀，可根据需要对新鲜空气补充量进行无级调节。在实验室隔墙上开设废气排放口，室内废气由排气口不断地排出室外</w:t>
      </w:r>
      <w:r>
        <w:rPr>
          <w:rFonts w:hint="eastAsia"/>
          <w:b w:val="0"/>
          <w:sz w:val="21"/>
        </w:rPr>
        <w:t>.</w:t>
      </w:r>
    </w:p>
    <w:p>
      <w:pPr>
        <w:pStyle w:val="13"/>
        <w:numPr>
          <w:ilvl w:val="0"/>
          <w:numId w:val="0"/>
        </w:numPr>
        <w:rPr>
          <w:b w:val="0"/>
          <w:sz w:val="21"/>
        </w:rPr>
      </w:pPr>
      <w:r>
        <w:rPr>
          <w:b w:val="0"/>
          <w:sz w:val="21"/>
        </w:rPr>
        <w:t>4.3.2</w:t>
      </w:r>
      <w:r>
        <w:rPr>
          <w:rFonts w:hint="eastAsia"/>
          <w:b w:val="0"/>
          <w:sz w:val="21"/>
        </w:rPr>
        <w:t xml:space="preserve"> 高精度恒温恒湿组合式空调机组主要设备要求</w:t>
      </w:r>
    </w:p>
    <w:p>
      <w:pPr>
        <w:pStyle w:val="13"/>
        <w:numPr>
          <w:ilvl w:val="0"/>
          <w:numId w:val="0"/>
        </w:numPr>
        <w:rPr>
          <w:b w:val="0"/>
          <w:sz w:val="21"/>
        </w:rPr>
      </w:pPr>
      <w:r>
        <w:rPr>
          <w:b w:val="0"/>
          <w:sz w:val="21"/>
        </w:rPr>
        <w:t>4.3.2.1</w:t>
      </w:r>
      <w:r>
        <w:rPr>
          <w:rFonts w:hint="eastAsia"/>
          <w:b w:val="0"/>
          <w:sz w:val="21"/>
        </w:rPr>
        <w:t xml:space="preserve"> 空调机组</w:t>
      </w:r>
    </w:p>
    <w:p>
      <w:pPr>
        <w:pStyle w:val="13"/>
        <w:numPr>
          <w:ilvl w:val="0"/>
          <w:numId w:val="0"/>
        </w:numPr>
        <w:rPr>
          <w:b w:val="0"/>
          <w:sz w:val="21"/>
        </w:rPr>
      </w:pPr>
      <w:r>
        <w:rPr>
          <w:b w:val="0"/>
          <w:sz w:val="21"/>
        </w:rPr>
        <w:t>4</w:t>
      </w:r>
      <w:r>
        <w:rPr>
          <w:rFonts w:hint="eastAsia"/>
          <w:b w:val="0"/>
          <w:sz w:val="21"/>
        </w:rPr>
        <w:t>.3.2.1.1 恒温恒湿系统外机采用节能的三管制余热回收型全直流变频直膨式；内机单元的功能段组成：过滤+再热+表冷+加热+加湿及水处理+风机+全套控制单元。</w:t>
      </w:r>
    </w:p>
    <w:p>
      <w:pPr>
        <w:pStyle w:val="13"/>
        <w:numPr>
          <w:ilvl w:val="0"/>
          <w:numId w:val="0"/>
        </w:numPr>
        <w:rPr>
          <w:b w:val="0"/>
          <w:sz w:val="21"/>
        </w:rPr>
      </w:pPr>
      <w:r>
        <w:rPr>
          <w:b w:val="0"/>
          <w:sz w:val="21"/>
        </w:rPr>
        <w:t>4.3.2.2</w:t>
      </w:r>
      <w:r>
        <w:rPr>
          <w:rFonts w:hint="eastAsia"/>
          <w:b w:val="0"/>
          <w:sz w:val="21"/>
        </w:rPr>
        <w:t xml:space="preserve"> 室内机组</w:t>
      </w:r>
    </w:p>
    <w:p>
      <w:pPr>
        <w:pStyle w:val="13"/>
        <w:numPr>
          <w:ilvl w:val="0"/>
          <w:numId w:val="0"/>
        </w:numPr>
        <w:rPr>
          <w:b w:val="0"/>
          <w:sz w:val="21"/>
        </w:rPr>
      </w:pPr>
      <w:r>
        <w:rPr>
          <w:b w:val="0"/>
          <w:sz w:val="21"/>
        </w:rPr>
        <w:t xml:space="preserve">4.3.2.2.1 </w:t>
      </w:r>
      <w:r>
        <w:rPr>
          <w:rFonts w:hint="eastAsia"/>
          <w:b w:val="0"/>
          <w:sz w:val="21"/>
        </w:rPr>
        <w:t>箱体采用框架结构，机组没有漏冷部件，杜绝冷量漏失；内置框架材质为角钢，外框架材质为铝合金，连接方式采用钳式设计，要求整体效果美观、方便拆装检修，确保漏风率，内机中的下层各功能段均在底部设置不锈钢水槽，以确保冷凝水和加湿的凝水排水顺畅。</w:t>
      </w:r>
    </w:p>
    <w:p>
      <w:pPr>
        <w:pStyle w:val="13"/>
        <w:numPr>
          <w:ilvl w:val="0"/>
          <w:numId w:val="0"/>
        </w:numPr>
        <w:rPr>
          <w:b w:val="0"/>
          <w:sz w:val="21"/>
        </w:rPr>
      </w:pPr>
      <w:r>
        <w:rPr>
          <w:b w:val="0"/>
          <w:sz w:val="21"/>
        </w:rPr>
        <w:t xml:space="preserve">4.3.2.2.2 </w:t>
      </w:r>
      <w:r>
        <w:rPr>
          <w:rFonts w:hint="eastAsia"/>
          <w:b w:val="0"/>
          <w:sz w:val="21"/>
        </w:rPr>
        <w:t>机组面板采用环保难燃无氟聚氨酯整体高压恒温泡沫板，面板厚度不小于3cm，机组聚氨酯保温材料导热系数不大于0.02W/(m·K)，保证外壁不产生结露现象</w:t>
      </w:r>
      <w:r>
        <w:rPr>
          <w:b w:val="0"/>
          <w:sz w:val="21"/>
        </w:rPr>
        <w:t>，投标厂家须提供第三方权威机构对该产品满足以上要求的检测报告加盖供应商公章。</w:t>
      </w:r>
    </w:p>
    <w:p>
      <w:pPr>
        <w:pStyle w:val="13"/>
        <w:numPr>
          <w:ilvl w:val="0"/>
          <w:numId w:val="0"/>
        </w:numPr>
        <w:rPr>
          <w:b w:val="0"/>
          <w:sz w:val="21"/>
        </w:rPr>
      </w:pPr>
      <w:r>
        <w:rPr>
          <w:b w:val="0"/>
          <w:sz w:val="21"/>
        </w:rPr>
        <w:t xml:space="preserve">4.3.2.2.3 </w:t>
      </w:r>
      <w:r>
        <w:rPr>
          <w:rFonts w:hint="eastAsia"/>
          <w:b w:val="0"/>
          <w:sz w:val="21"/>
        </w:rPr>
        <w:t>机组面板采用环保难燃无氟聚氨酯整体高压恒温泡沫板，面板厚度不小于3cm，发泡密度≥50kg/m³，投标厂家须提供第三方权威机构对该产品满足以上要求的检测报告加盖供应商公章。</w:t>
      </w:r>
    </w:p>
    <w:p>
      <w:pPr>
        <w:pStyle w:val="13"/>
        <w:numPr>
          <w:ilvl w:val="0"/>
          <w:numId w:val="0"/>
        </w:numPr>
        <w:rPr>
          <w:b w:val="0"/>
          <w:sz w:val="21"/>
        </w:rPr>
      </w:pPr>
      <w:r>
        <w:rPr>
          <w:b w:val="0"/>
          <w:sz w:val="21"/>
        </w:rPr>
        <w:t xml:space="preserve">4.3.2.2.4 </w:t>
      </w:r>
      <w:r>
        <w:rPr>
          <w:rFonts w:hint="eastAsia"/>
          <w:b w:val="0"/>
          <w:sz w:val="21"/>
        </w:rPr>
        <w:t xml:space="preserve">机组盘管采用优质铜管穿套优质铝翅片，并经特殊防锈处理，保证换热效率，满足最新国标GB/T14296-2008要求。 </w:t>
      </w:r>
    </w:p>
    <w:p>
      <w:pPr>
        <w:pStyle w:val="13"/>
        <w:numPr>
          <w:ilvl w:val="0"/>
          <w:numId w:val="0"/>
        </w:numPr>
        <w:rPr>
          <w:b w:val="0"/>
          <w:sz w:val="21"/>
        </w:rPr>
      </w:pPr>
      <w:r>
        <w:rPr>
          <w:b w:val="0"/>
          <w:sz w:val="21"/>
        </w:rPr>
        <w:t xml:space="preserve">4.3.2.2.5 </w:t>
      </w:r>
      <w:r>
        <w:rPr>
          <w:rFonts w:hint="eastAsia"/>
          <w:b w:val="0"/>
          <w:sz w:val="21"/>
        </w:rPr>
        <w:t>箱板与框梁（骨架）之间、各功能段之间、检修门与护板之间在拼装（组装）时，应采用可靠性高的密封措施，要求组合式空调机组在静压保持1000Pa时漏风率不得超过0.03%，供应商须在</w:t>
      </w:r>
      <w:r>
        <w:rPr>
          <w:b w:val="0"/>
          <w:sz w:val="21"/>
        </w:rPr>
        <w:t>供货前</w:t>
      </w:r>
      <w:r>
        <w:rPr>
          <w:rFonts w:hint="eastAsia"/>
          <w:b w:val="0"/>
          <w:sz w:val="21"/>
        </w:rPr>
        <w:t>提供第三方权威机构对该产品满足以上要求的检测报告加盖供应商公章。</w:t>
      </w:r>
    </w:p>
    <w:p>
      <w:pPr>
        <w:pStyle w:val="13"/>
        <w:numPr>
          <w:ilvl w:val="0"/>
          <w:numId w:val="0"/>
        </w:numPr>
        <w:rPr>
          <w:b w:val="0"/>
          <w:sz w:val="21"/>
        </w:rPr>
      </w:pPr>
      <w:r>
        <w:rPr>
          <w:b w:val="0"/>
          <w:sz w:val="21"/>
        </w:rPr>
        <w:t xml:space="preserve">4.3.2.2.6 </w:t>
      </w:r>
      <w:r>
        <w:rPr>
          <w:rFonts w:hint="eastAsia"/>
          <w:b w:val="0"/>
          <w:sz w:val="21"/>
        </w:rPr>
        <w:t>要求空气处理机组性能达到EN1886标准，箱体机械强度在正压1000Pa和负压-1000Pa条件下测试，偏移量达到D1(M)级；箱体漏风率在正压700Pa和负压-400Pa条件下测试，漏风率达到L1级；在箱体外部和内部温差稳定在20K时，热传递系数达到T1级；在箱体外部和内部温差稳定在20K时，热桥因子达到TB1级，供应商须在</w:t>
      </w:r>
      <w:r>
        <w:rPr>
          <w:b w:val="0"/>
          <w:sz w:val="21"/>
        </w:rPr>
        <w:t>供货前</w:t>
      </w:r>
      <w:r>
        <w:rPr>
          <w:rFonts w:hint="eastAsia"/>
          <w:b w:val="0"/>
          <w:sz w:val="21"/>
        </w:rPr>
        <w:t>提供第三方权威机构对该产品满足以上要求的检测报告加盖供应商公章。</w:t>
      </w:r>
    </w:p>
    <w:p>
      <w:pPr>
        <w:pStyle w:val="13"/>
        <w:numPr>
          <w:ilvl w:val="0"/>
          <w:numId w:val="0"/>
        </w:numPr>
        <w:rPr>
          <w:b w:val="0"/>
          <w:sz w:val="21"/>
        </w:rPr>
      </w:pPr>
      <w:r>
        <w:rPr>
          <w:b w:val="0"/>
          <w:sz w:val="21"/>
        </w:rPr>
        <w:t xml:space="preserve">4.3.2.2.7 </w:t>
      </w:r>
      <w:r>
        <w:rPr>
          <w:rFonts w:hint="eastAsia"/>
          <w:b w:val="0"/>
          <w:sz w:val="21"/>
        </w:rPr>
        <w:t>机组骨架及面板的保温隔热效果要求要好，双层面板的中间应夹以B1阻燃型无氟聚氨酯发泡保温材料，且氧指数大于35%，需属于难燃材料，投标厂家须提供第三方权威机构对该产品氧指数满足以上要求的检测报告加盖供应商公章。</w:t>
      </w:r>
    </w:p>
    <w:p>
      <w:pPr>
        <w:pStyle w:val="13"/>
        <w:numPr>
          <w:ilvl w:val="0"/>
          <w:numId w:val="0"/>
        </w:numPr>
        <w:rPr>
          <w:b w:val="0"/>
          <w:sz w:val="21"/>
        </w:rPr>
      </w:pPr>
      <w:r>
        <w:rPr>
          <w:b w:val="0"/>
          <w:sz w:val="21"/>
        </w:rPr>
        <w:t xml:space="preserve">4.3.2.2.8 </w:t>
      </w:r>
      <w:r>
        <w:rPr>
          <w:rFonts w:hint="eastAsia"/>
          <w:b w:val="0"/>
          <w:sz w:val="21"/>
        </w:rPr>
        <w:t>机组骨架及面板强度高，面板和框架应能承受持久的扭曲但不产生永久变形，要求组合式空调机组内保持静压1000Pa条件下，箱体变形率不超过0.45mm/m，噪声不超过67dB(A), 投标厂家须提供第三方权威机构对该产品满足以上要求的检测报告加盖供应商公章。</w:t>
      </w:r>
    </w:p>
    <w:p>
      <w:pPr>
        <w:pStyle w:val="13"/>
        <w:numPr>
          <w:ilvl w:val="0"/>
          <w:numId w:val="0"/>
        </w:numPr>
        <w:rPr>
          <w:b w:val="0"/>
          <w:sz w:val="21"/>
        </w:rPr>
      </w:pPr>
      <w:r>
        <w:rPr>
          <w:b w:val="0"/>
          <w:sz w:val="21"/>
        </w:rPr>
        <w:t xml:space="preserve">4.3.2.2.9 </w:t>
      </w:r>
      <w:r>
        <w:rPr>
          <w:rFonts w:hint="eastAsia"/>
          <w:b w:val="0"/>
          <w:sz w:val="21"/>
        </w:rPr>
        <w:t>机组骨架及面板的保温隔热效果要求要好，双层面板的中间应夹以B1阻燃型无氟聚氨酯发泡保温材料，投标厂家须提供第三方权威机构依据GB8624-2012标准里面燃烧增长速率、600s内总放热量、火焰横向蔓延长度、60s内焰尖高度、烟气生成速率指数、600s内总产烟量、燃烧滴落物/微粒及过滤纸是否被引燃等8项内容全部满足B1级的检测报告加盖供应商公章。</w:t>
      </w:r>
    </w:p>
    <w:p>
      <w:pPr>
        <w:pStyle w:val="13"/>
        <w:numPr>
          <w:ilvl w:val="0"/>
          <w:numId w:val="0"/>
        </w:numPr>
        <w:rPr>
          <w:b w:val="0"/>
          <w:sz w:val="21"/>
        </w:rPr>
      </w:pPr>
      <w:r>
        <w:rPr>
          <w:b w:val="0"/>
          <w:sz w:val="21"/>
        </w:rPr>
        <w:t>4.3.2.3</w:t>
      </w:r>
      <w:r>
        <w:rPr>
          <w:rFonts w:hint="eastAsia"/>
          <w:b w:val="0"/>
          <w:sz w:val="21"/>
        </w:rPr>
        <w:t xml:space="preserve"> 室外机组</w:t>
      </w:r>
    </w:p>
    <w:p>
      <w:pPr>
        <w:pStyle w:val="13"/>
        <w:numPr>
          <w:ilvl w:val="0"/>
          <w:numId w:val="0"/>
        </w:numPr>
        <w:rPr>
          <w:b w:val="0"/>
          <w:sz w:val="21"/>
        </w:rPr>
      </w:pPr>
      <w:r>
        <w:rPr>
          <w:b w:val="0"/>
          <w:sz w:val="21"/>
        </w:rPr>
        <w:t xml:space="preserve">4.3.2.3.1 </w:t>
      </w:r>
      <w:r>
        <w:rPr>
          <w:rFonts w:hint="eastAsia"/>
          <w:b w:val="0"/>
          <w:sz w:val="21"/>
        </w:rPr>
        <w:t>室外风冷热泵机组应采用全直流变频压缩机和无级调速EC冷凝风扇，标定工况下，制冷性能系数应不小于3.6w/w。，控制频率精度为0.01Hz，具有过压过流过量的多重保护功能，要求性能稳定、运行可靠；</w:t>
      </w:r>
    </w:p>
    <w:p>
      <w:pPr>
        <w:pStyle w:val="13"/>
        <w:numPr>
          <w:ilvl w:val="0"/>
          <w:numId w:val="0"/>
        </w:numPr>
        <w:rPr>
          <w:b w:val="0"/>
          <w:sz w:val="21"/>
        </w:rPr>
      </w:pPr>
      <w:r>
        <w:rPr>
          <w:b w:val="0"/>
          <w:sz w:val="21"/>
        </w:rPr>
        <w:t xml:space="preserve">4.3.2.3.2 </w:t>
      </w:r>
      <w:r>
        <w:rPr>
          <w:rFonts w:hint="eastAsia"/>
          <w:b w:val="0"/>
          <w:sz w:val="21"/>
        </w:rPr>
        <w:t>室外风扇应采用直流无刷变频风扇电机，可根据负荷变化情况，自动调节室外机风量和风压，保证室外主机在制冷运行范围：-15℃～55℃，制热运行范围：-30℃～29℃内稳定可靠高效的运行；供应商须提供设备生产厂家证明或者样本加盖供应商公章。</w:t>
      </w:r>
    </w:p>
    <w:p>
      <w:pPr>
        <w:pStyle w:val="13"/>
        <w:numPr>
          <w:ilvl w:val="0"/>
          <w:numId w:val="0"/>
        </w:numPr>
        <w:rPr>
          <w:b w:val="0"/>
          <w:sz w:val="21"/>
        </w:rPr>
      </w:pPr>
      <w:r>
        <w:rPr>
          <w:b w:val="0"/>
          <w:sz w:val="21"/>
        </w:rPr>
        <w:t xml:space="preserve">4.3.2.3.3 </w:t>
      </w:r>
      <w:r>
        <w:rPr>
          <w:rFonts w:hint="eastAsia"/>
          <w:b w:val="0"/>
          <w:sz w:val="21"/>
        </w:rPr>
        <w:t>依据Q/CVC 0025-2018相关要求对室外机进行三级过冷技术项目进行检测，机组运行3H内，机组正常运行，总过冷度可达35℃。</w:t>
      </w:r>
    </w:p>
    <w:p>
      <w:pPr>
        <w:pStyle w:val="13"/>
        <w:numPr>
          <w:ilvl w:val="0"/>
          <w:numId w:val="0"/>
        </w:numPr>
        <w:rPr>
          <w:b w:val="0"/>
          <w:sz w:val="21"/>
        </w:rPr>
      </w:pPr>
      <w:r>
        <w:rPr>
          <w:b w:val="0"/>
          <w:sz w:val="21"/>
        </w:rPr>
        <w:t>4.3.2.4</w:t>
      </w:r>
      <w:r>
        <w:rPr>
          <w:rFonts w:hint="eastAsia"/>
          <w:b w:val="0"/>
          <w:sz w:val="21"/>
        </w:rPr>
        <w:t xml:space="preserve"> 加热器</w:t>
      </w:r>
    </w:p>
    <w:p>
      <w:pPr>
        <w:pStyle w:val="13"/>
        <w:numPr>
          <w:ilvl w:val="0"/>
          <w:numId w:val="0"/>
        </w:numPr>
        <w:rPr>
          <w:b w:val="0"/>
          <w:sz w:val="21"/>
        </w:rPr>
      </w:pPr>
      <w:r>
        <w:rPr>
          <w:b w:val="0"/>
          <w:sz w:val="21"/>
        </w:rPr>
        <w:t>4.3.2.4.1</w:t>
      </w:r>
      <w:r>
        <w:rPr>
          <w:rFonts w:hint="eastAsia"/>
          <w:b w:val="0"/>
          <w:sz w:val="21"/>
        </w:rPr>
        <w:t>制热时机组转换为热泵或者余热回收的热量进行加热的方式，电加热作为辅助加热，辅助电加热器采用PTC陶瓷电加热器，只有风通过才发热，具有断风自保护特性，无发红超温现象，PTC陶瓷加热器须安装在空气处理机内。</w:t>
      </w:r>
    </w:p>
    <w:p>
      <w:pPr>
        <w:pStyle w:val="13"/>
        <w:numPr>
          <w:ilvl w:val="0"/>
          <w:numId w:val="0"/>
        </w:numPr>
        <w:rPr>
          <w:b w:val="0"/>
          <w:sz w:val="21"/>
        </w:rPr>
      </w:pPr>
      <w:r>
        <w:rPr>
          <w:b w:val="0"/>
          <w:sz w:val="21"/>
        </w:rPr>
        <w:t xml:space="preserve">4.3.2.5 </w:t>
      </w:r>
      <w:r>
        <w:rPr>
          <w:rFonts w:hint="eastAsia"/>
          <w:b w:val="0"/>
          <w:sz w:val="21"/>
        </w:rPr>
        <w:t>过滤器</w:t>
      </w:r>
    </w:p>
    <w:p>
      <w:pPr>
        <w:pStyle w:val="13"/>
        <w:numPr>
          <w:ilvl w:val="0"/>
          <w:numId w:val="0"/>
        </w:numPr>
        <w:rPr>
          <w:b w:val="0"/>
          <w:sz w:val="21"/>
        </w:rPr>
      </w:pPr>
      <w:r>
        <w:rPr>
          <w:b w:val="0"/>
          <w:sz w:val="21"/>
        </w:rPr>
        <w:t xml:space="preserve">4.3.2.5.1 </w:t>
      </w:r>
      <w:r>
        <w:rPr>
          <w:rFonts w:hint="eastAsia"/>
          <w:b w:val="0"/>
          <w:sz w:val="21"/>
        </w:rPr>
        <w:t>过滤效率应不低于G4级别，过滤器的骨架采用热镀锌钢材制造，具有良好的防腐性能，并具有足够的强度。</w:t>
      </w:r>
    </w:p>
    <w:p>
      <w:pPr>
        <w:pStyle w:val="13"/>
        <w:numPr>
          <w:ilvl w:val="0"/>
          <w:numId w:val="0"/>
        </w:numPr>
        <w:rPr>
          <w:b w:val="0"/>
          <w:sz w:val="21"/>
        </w:rPr>
      </w:pPr>
      <w:r>
        <w:rPr>
          <w:b w:val="0"/>
          <w:sz w:val="21"/>
        </w:rPr>
        <w:t xml:space="preserve">4.3.2.6 </w:t>
      </w:r>
      <w:r>
        <w:rPr>
          <w:rFonts w:hint="eastAsia"/>
          <w:b w:val="0"/>
          <w:sz w:val="21"/>
        </w:rPr>
        <w:t>加湿器</w:t>
      </w:r>
    </w:p>
    <w:p>
      <w:pPr>
        <w:pStyle w:val="13"/>
        <w:numPr>
          <w:ilvl w:val="0"/>
          <w:numId w:val="0"/>
        </w:numPr>
        <w:rPr>
          <w:b w:val="0"/>
          <w:sz w:val="21"/>
        </w:rPr>
      </w:pPr>
      <w:r>
        <w:rPr>
          <w:b w:val="0"/>
          <w:sz w:val="21"/>
        </w:rPr>
        <w:t xml:space="preserve">4.3.2.6.1 </w:t>
      </w:r>
      <w:r>
        <w:rPr>
          <w:rFonts w:hint="eastAsia"/>
          <w:b w:val="0"/>
          <w:sz w:val="21"/>
        </w:rPr>
        <w:t>加湿器采用高性能高精度电极加湿器，保证在无水时不会引起干烧，对水质没有特殊要求，用户可使用一般自来水也不产生水垢，加湿器安装在空调机内部,内置的加湿器应有全自动水处理系统和带有自动除垢装置的电蒸汽发生器，彻底解决加湿器易结垢的问题，具有低维护保养的性能，不需要频繁清洗，频繁更换加湿罐。为保证加湿的均匀，加湿器的喷杆采用多喷杆结构，加湿器采用先进的PLC控制器控制、具有通讯功能、电脑显示屏上可以直观地看到加湿器的工作流程；加湿量在0～100%围内精确地线性控制，调节精度最高可达±0.2％，产汽量在 0～100%可调，可通过LCD显示屏设置和监控加湿器的运行参数，可对加湿器进行监控，供应商需提供满足本技术要求的承诺。</w:t>
      </w:r>
    </w:p>
    <w:p>
      <w:pPr>
        <w:pStyle w:val="13"/>
        <w:numPr>
          <w:ilvl w:val="0"/>
          <w:numId w:val="0"/>
        </w:numPr>
        <w:rPr>
          <w:sz w:val="21"/>
        </w:rPr>
      </w:pPr>
      <w:r>
        <w:rPr>
          <w:sz w:val="21"/>
        </w:rPr>
        <w:t>4</w:t>
      </w:r>
      <w:r>
        <w:rPr>
          <w:rFonts w:hint="eastAsia"/>
          <w:sz w:val="21"/>
        </w:rPr>
        <w:t>.</w:t>
      </w:r>
      <w:r>
        <w:rPr>
          <w:sz w:val="21"/>
        </w:rPr>
        <w:t>4</w:t>
      </w:r>
      <w:r>
        <w:rPr>
          <w:rFonts w:hint="eastAsia"/>
          <w:sz w:val="21"/>
        </w:rPr>
        <w:t>新风空调机组设备</w:t>
      </w:r>
      <w:r>
        <w:rPr>
          <w:sz w:val="21"/>
        </w:rPr>
        <w:t>明细</w:t>
      </w:r>
    </w:p>
    <w:tbl>
      <w:tblPr>
        <w:tblStyle w:val="9"/>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69"/>
        <w:gridCol w:w="820"/>
        <w:gridCol w:w="5775"/>
        <w:gridCol w:w="675"/>
        <w:gridCol w:w="58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9" w:hRule="atLeast"/>
          <w:jc w:val="center"/>
        </w:trPr>
        <w:tc>
          <w:tcPr>
            <w:tcW w:w="704" w:type="dxa"/>
            <w:shd w:val="clear" w:color="auto" w:fill="auto"/>
            <w:vAlign w:val="center"/>
          </w:tcPr>
          <w:p>
            <w:pPr>
              <w:jc w:val="center"/>
              <w:rPr>
                <w:rFonts w:ascii="宋体" w:hAnsi="宋体"/>
              </w:rPr>
            </w:pPr>
            <w:r>
              <w:rPr>
                <w:rFonts w:hint="eastAsia" w:ascii="宋体" w:hAnsi="宋体"/>
              </w:rPr>
              <w:t>序号</w:t>
            </w:r>
          </w:p>
        </w:tc>
        <w:tc>
          <w:tcPr>
            <w:tcW w:w="851" w:type="dxa"/>
            <w:shd w:val="clear" w:color="auto" w:fill="auto"/>
            <w:vAlign w:val="center"/>
          </w:tcPr>
          <w:p>
            <w:pPr>
              <w:jc w:val="center"/>
              <w:rPr>
                <w:rFonts w:ascii="宋体" w:hAnsi="宋体"/>
              </w:rPr>
            </w:pPr>
            <w:r>
              <w:rPr>
                <w:rFonts w:hint="eastAsia" w:ascii="宋体" w:hAnsi="宋体"/>
              </w:rPr>
              <w:t>名称</w:t>
            </w:r>
          </w:p>
        </w:tc>
        <w:tc>
          <w:tcPr>
            <w:tcW w:w="6383" w:type="dxa"/>
            <w:shd w:val="clear" w:color="auto" w:fill="auto"/>
            <w:vAlign w:val="center"/>
          </w:tcPr>
          <w:p>
            <w:pPr>
              <w:jc w:val="center"/>
              <w:rPr>
                <w:rFonts w:ascii="宋体" w:hAnsi="宋体"/>
              </w:rPr>
            </w:pPr>
            <w:r>
              <w:rPr>
                <w:rFonts w:hint="eastAsia" w:ascii="宋体" w:hAnsi="宋体"/>
              </w:rPr>
              <w:t>技术要求及规格型号</w:t>
            </w:r>
          </w:p>
        </w:tc>
        <w:tc>
          <w:tcPr>
            <w:tcW w:w="709" w:type="dxa"/>
            <w:shd w:val="clear" w:color="auto" w:fill="auto"/>
            <w:vAlign w:val="center"/>
          </w:tcPr>
          <w:p>
            <w:pPr>
              <w:jc w:val="center"/>
              <w:rPr>
                <w:rFonts w:ascii="宋体" w:hAnsi="宋体"/>
              </w:rPr>
            </w:pPr>
            <w:r>
              <w:rPr>
                <w:rFonts w:hint="eastAsia" w:ascii="宋体" w:hAnsi="宋体"/>
              </w:rPr>
              <w:t>数量</w:t>
            </w:r>
          </w:p>
        </w:tc>
        <w:tc>
          <w:tcPr>
            <w:tcW w:w="605" w:type="dxa"/>
            <w:shd w:val="clear" w:color="auto" w:fill="auto"/>
            <w:vAlign w:val="center"/>
          </w:tcPr>
          <w:p>
            <w:pPr>
              <w:jc w:val="center"/>
              <w:rPr>
                <w:rFonts w:ascii="宋体" w:hAnsi="宋体"/>
              </w:rPr>
            </w:pPr>
            <w:r>
              <w:rPr>
                <w:rFonts w:hint="eastAsia" w:ascii="宋体" w:hAnsi="宋体"/>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04" w:type="dxa"/>
            <w:shd w:val="clear" w:color="auto" w:fill="auto"/>
            <w:vAlign w:val="center"/>
          </w:tcPr>
          <w:p>
            <w:pPr>
              <w:pStyle w:val="8"/>
              <w:spacing w:line="240" w:lineRule="auto"/>
              <w:jc w:val="center"/>
              <w:rPr>
                <w:rFonts w:hAnsi="宋体"/>
              </w:rPr>
            </w:pPr>
            <w:r>
              <w:rPr>
                <w:rFonts w:hAnsi="宋体"/>
              </w:rPr>
              <w:t>1</w:t>
            </w:r>
          </w:p>
        </w:tc>
        <w:tc>
          <w:tcPr>
            <w:tcW w:w="851" w:type="dxa"/>
            <w:shd w:val="clear" w:color="auto" w:fill="auto"/>
            <w:vAlign w:val="center"/>
          </w:tcPr>
          <w:p>
            <w:pPr>
              <w:pStyle w:val="8"/>
              <w:spacing w:line="240" w:lineRule="auto"/>
              <w:jc w:val="left"/>
              <w:rPr>
                <w:rFonts w:hAnsi="宋体"/>
              </w:rPr>
            </w:pPr>
            <w:r>
              <w:rPr>
                <w:rFonts w:hint="eastAsia" w:hAnsi="宋体"/>
              </w:rPr>
              <w:t>定制新风空调机组</w:t>
            </w:r>
            <w:r>
              <w:rPr>
                <w:rFonts w:hAnsi="宋体"/>
              </w:rPr>
              <w:t>XF-1</w:t>
            </w:r>
          </w:p>
        </w:tc>
        <w:tc>
          <w:tcPr>
            <w:tcW w:w="6383" w:type="dxa"/>
            <w:shd w:val="clear" w:color="auto" w:fill="auto"/>
          </w:tcPr>
          <w:p>
            <w:pPr>
              <w:pStyle w:val="8"/>
              <w:spacing w:line="240" w:lineRule="auto"/>
              <w:jc w:val="left"/>
              <w:rPr>
                <w:rFonts w:hAnsi="宋体"/>
              </w:rPr>
            </w:pPr>
            <w:r>
              <w:rPr>
                <w:rFonts w:hint="eastAsia" w:hAnsi="宋体"/>
              </w:rPr>
              <w:t>1.室内机：制冷量:56.5kW,制热量:63kW,送风量:4500m</w:t>
            </w:r>
            <w:r>
              <w:rPr>
                <w:rFonts w:hint="eastAsia" w:hAnsi="宋体"/>
                <w:vertAlign w:val="superscript"/>
              </w:rPr>
              <w:t>3</w:t>
            </w:r>
            <w:r>
              <w:rPr>
                <w:rFonts w:hint="eastAsia" w:hAnsi="宋体"/>
              </w:rPr>
              <w:t>/h,机外余压:350Pa,电机功率:1.5kW；含初效段、表冷段、风机段，风机变频）</w:t>
            </w:r>
          </w:p>
          <w:p>
            <w:pPr>
              <w:pStyle w:val="8"/>
              <w:spacing w:line="240" w:lineRule="auto"/>
              <w:jc w:val="left"/>
              <w:rPr>
                <w:rFonts w:hAnsi="宋体"/>
              </w:rPr>
            </w:pPr>
            <w:r>
              <w:rPr>
                <w:rFonts w:hint="eastAsia" w:hAnsi="宋体"/>
              </w:rPr>
              <w:t>2.室外机：为全直流直膨机组.室外机性能参数采用全直流变频压缩机和无级调速EC冷凝风扇，功率：15.12kW电源要求：380V,50Hz；综合COP值＞3.5；噪音&lt;55dB(A),室外主机制冷工况在-15℃—55℃和制热工况 在-30℃—29℃范围内稳定可靠运行</w:t>
            </w:r>
          </w:p>
        </w:tc>
        <w:tc>
          <w:tcPr>
            <w:tcW w:w="709" w:type="dxa"/>
            <w:shd w:val="clear" w:color="auto" w:fill="auto"/>
            <w:vAlign w:val="center"/>
          </w:tcPr>
          <w:p>
            <w:pPr>
              <w:pStyle w:val="8"/>
              <w:spacing w:line="240" w:lineRule="auto"/>
              <w:jc w:val="center"/>
              <w:rPr>
                <w:rFonts w:hAnsi="宋体"/>
              </w:rPr>
            </w:pPr>
            <w:r>
              <w:rPr>
                <w:rFonts w:hAnsi="宋体"/>
              </w:rPr>
              <w:t>1</w:t>
            </w:r>
            <w:r>
              <w:rPr>
                <w:rFonts w:hint="eastAsia" w:hAnsi="宋体"/>
              </w:rPr>
              <w:t>台</w:t>
            </w:r>
          </w:p>
        </w:tc>
        <w:tc>
          <w:tcPr>
            <w:tcW w:w="605" w:type="dxa"/>
            <w:shd w:val="clear" w:color="auto" w:fill="auto"/>
            <w:vAlign w:val="center"/>
          </w:tcPr>
          <w:p>
            <w:pPr>
              <w:pStyle w:val="8"/>
              <w:spacing w:line="240" w:lineRule="auto"/>
              <w:jc w:val="center"/>
              <w:rPr>
                <w:rFonts w:hAnsi="宋体"/>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04" w:type="dxa"/>
            <w:shd w:val="clear" w:color="auto" w:fill="auto"/>
            <w:vAlign w:val="center"/>
          </w:tcPr>
          <w:p>
            <w:pPr>
              <w:pStyle w:val="8"/>
              <w:spacing w:line="240" w:lineRule="auto"/>
              <w:jc w:val="center"/>
              <w:rPr>
                <w:rFonts w:hAnsi="宋体"/>
              </w:rPr>
            </w:pPr>
            <w:r>
              <w:rPr>
                <w:rFonts w:hAnsi="宋体"/>
              </w:rPr>
              <w:t>2</w:t>
            </w:r>
          </w:p>
        </w:tc>
        <w:tc>
          <w:tcPr>
            <w:tcW w:w="851" w:type="dxa"/>
            <w:shd w:val="clear" w:color="auto" w:fill="auto"/>
            <w:vAlign w:val="center"/>
          </w:tcPr>
          <w:p>
            <w:pPr>
              <w:pStyle w:val="8"/>
              <w:spacing w:line="240" w:lineRule="auto"/>
              <w:jc w:val="center"/>
              <w:rPr>
                <w:rFonts w:hAnsi="宋体"/>
              </w:rPr>
            </w:pPr>
            <w:r>
              <w:rPr>
                <w:rFonts w:hint="eastAsia" w:hAnsi="宋体"/>
              </w:rPr>
              <w:t>定制新风空调机组</w:t>
            </w:r>
            <w:r>
              <w:rPr>
                <w:rFonts w:hAnsi="宋体"/>
              </w:rPr>
              <w:t>XF-2</w:t>
            </w:r>
          </w:p>
        </w:tc>
        <w:tc>
          <w:tcPr>
            <w:tcW w:w="6383" w:type="dxa"/>
            <w:shd w:val="clear" w:color="auto" w:fill="auto"/>
          </w:tcPr>
          <w:p>
            <w:pPr>
              <w:pStyle w:val="8"/>
              <w:spacing w:line="240" w:lineRule="auto"/>
              <w:jc w:val="left"/>
              <w:rPr>
                <w:rFonts w:hAnsi="宋体"/>
              </w:rPr>
            </w:pPr>
            <w:r>
              <w:rPr>
                <w:rFonts w:hint="eastAsia" w:hAnsi="宋体"/>
              </w:rPr>
              <w:t>1.室内机：制冷量:40kW,制热量:45kW,送风量:3100m</w:t>
            </w:r>
            <w:r>
              <w:rPr>
                <w:rFonts w:hint="eastAsia" w:hAnsi="宋体"/>
                <w:vertAlign w:val="superscript"/>
              </w:rPr>
              <w:t>3</w:t>
            </w:r>
            <w:r>
              <w:rPr>
                <w:rFonts w:hint="eastAsia" w:hAnsi="宋体"/>
              </w:rPr>
              <w:t>/h,机外余压:350Pa,电机功率:1.5kW；含初效段、表冷段、风机段，风机变频）</w:t>
            </w:r>
            <w:r>
              <w:rPr>
                <w:rFonts w:hint="eastAsia" w:hAnsi="宋体"/>
              </w:rPr>
              <w:br w:type="textWrapping"/>
            </w:r>
            <w:r>
              <w:rPr>
                <w:rFonts w:hint="eastAsia" w:hAnsi="宋体"/>
              </w:rPr>
              <w:t>2.室外机：为全直流直膨机组.室外机性能参数采用全直流变频压缩机和无级调速EC冷凝风扇，功率：10.72kW电源要求：380V,50Hz；综合COP值＞3.5；噪音&lt;55dB(A),室外主机制冷工况在-15℃—55℃和制热工况 在-30℃—29℃范围内稳定可靠运行</w:t>
            </w:r>
          </w:p>
        </w:tc>
        <w:tc>
          <w:tcPr>
            <w:tcW w:w="709" w:type="dxa"/>
            <w:shd w:val="clear" w:color="auto" w:fill="auto"/>
            <w:vAlign w:val="center"/>
          </w:tcPr>
          <w:p>
            <w:pPr>
              <w:pStyle w:val="8"/>
              <w:spacing w:line="240" w:lineRule="auto"/>
              <w:jc w:val="center"/>
              <w:rPr>
                <w:rFonts w:hAnsi="宋体"/>
              </w:rPr>
            </w:pPr>
            <w:r>
              <w:rPr>
                <w:rFonts w:hAnsi="宋体"/>
              </w:rPr>
              <w:t>1</w:t>
            </w:r>
            <w:r>
              <w:rPr>
                <w:rFonts w:hint="eastAsia" w:hAnsi="宋体"/>
              </w:rPr>
              <w:t>台</w:t>
            </w:r>
          </w:p>
        </w:tc>
        <w:tc>
          <w:tcPr>
            <w:tcW w:w="605" w:type="dxa"/>
            <w:shd w:val="clear" w:color="auto" w:fill="auto"/>
            <w:vAlign w:val="center"/>
          </w:tcPr>
          <w:p>
            <w:pPr>
              <w:pStyle w:val="8"/>
              <w:spacing w:line="240" w:lineRule="auto"/>
              <w:jc w:val="center"/>
              <w:rPr>
                <w:rFonts w:hAnsi="宋体"/>
              </w:rPr>
            </w:pPr>
          </w:p>
        </w:tc>
      </w:tr>
    </w:tbl>
    <w:p>
      <w:pPr>
        <w:pStyle w:val="13"/>
        <w:numPr>
          <w:ilvl w:val="0"/>
          <w:numId w:val="0"/>
        </w:numPr>
        <w:rPr>
          <w:sz w:val="21"/>
        </w:rPr>
      </w:pPr>
      <w:r>
        <w:rPr>
          <w:sz w:val="21"/>
        </w:rPr>
        <w:t>4</w:t>
      </w:r>
      <w:r>
        <w:rPr>
          <w:rFonts w:hint="eastAsia"/>
          <w:sz w:val="21"/>
        </w:rPr>
        <w:t>.5</w:t>
      </w:r>
      <w:r>
        <w:rPr>
          <w:sz w:val="21"/>
        </w:rPr>
        <w:t xml:space="preserve"> </w:t>
      </w:r>
      <w:r>
        <w:rPr>
          <w:rFonts w:hint="eastAsia"/>
          <w:sz w:val="21"/>
        </w:rPr>
        <w:t>新风空调机组配置要求</w:t>
      </w:r>
    </w:p>
    <w:p>
      <w:pPr>
        <w:pStyle w:val="13"/>
        <w:numPr>
          <w:ilvl w:val="0"/>
          <w:numId w:val="0"/>
        </w:numPr>
        <w:rPr>
          <w:b w:val="0"/>
          <w:sz w:val="21"/>
        </w:rPr>
      </w:pPr>
      <w:r>
        <w:rPr>
          <w:b w:val="0"/>
          <w:sz w:val="21"/>
        </w:rPr>
        <w:t>4.</w:t>
      </w:r>
      <w:r>
        <w:rPr>
          <w:rFonts w:hint="eastAsia"/>
          <w:b w:val="0"/>
          <w:sz w:val="21"/>
        </w:rPr>
        <w:t>5</w:t>
      </w:r>
      <w:r>
        <w:rPr>
          <w:b w:val="0"/>
          <w:sz w:val="21"/>
        </w:rPr>
        <w:t>.1</w:t>
      </w:r>
      <w:r>
        <w:rPr>
          <w:rFonts w:hint="eastAsia"/>
          <w:b w:val="0"/>
          <w:sz w:val="21"/>
        </w:rPr>
        <w:t>全新风空调机组作为通排风系统微负压平衡及新风补充功能，采用直膨式全直流变频新风空调机组，功能段组成包括：进风段+初中效过滤段+表冷段+风机段+出风段。具有新风过滤、预热和制冷功能，能根据负荷变化自动调节，恒定送风温度，制冷量能够实现0～100%无级调节，制热量能够实现0～100%无级调节。</w:t>
      </w:r>
    </w:p>
    <w:p>
      <w:pPr>
        <w:pStyle w:val="13"/>
        <w:numPr>
          <w:ilvl w:val="0"/>
          <w:numId w:val="0"/>
        </w:numPr>
        <w:rPr>
          <w:b w:val="0"/>
          <w:sz w:val="21"/>
        </w:rPr>
      </w:pPr>
      <w:r>
        <w:rPr>
          <w:b w:val="0"/>
          <w:sz w:val="21"/>
        </w:rPr>
        <w:t>4.</w:t>
      </w:r>
      <w:r>
        <w:rPr>
          <w:rFonts w:hint="eastAsia"/>
          <w:b w:val="0"/>
          <w:sz w:val="21"/>
        </w:rPr>
        <w:t>5</w:t>
      </w:r>
      <w:r>
        <w:rPr>
          <w:b w:val="0"/>
          <w:sz w:val="21"/>
        </w:rPr>
        <w:t xml:space="preserve">.2 </w:t>
      </w:r>
      <w:r>
        <w:rPr>
          <w:rFonts w:hint="eastAsia"/>
          <w:b w:val="0"/>
          <w:sz w:val="21"/>
        </w:rPr>
        <w:t>新风机组箱体和室外机技术要求与高精度恒温恒湿空调机组一致。</w:t>
      </w:r>
    </w:p>
    <w:p>
      <w:pPr>
        <w:pStyle w:val="13"/>
        <w:numPr>
          <w:ilvl w:val="0"/>
          <w:numId w:val="0"/>
        </w:numPr>
        <w:rPr>
          <w:sz w:val="21"/>
        </w:rPr>
      </w:pPr>
      <w:r>
        <w:rPr>
          <w:sz w:val="21"/>
        </w:rPr>
        <w:t>4</w:t>
      </w:r>
      <w:r>
        <w:rPr>
          <w:rFonts w:hint="eastAsia"/>
          <w:sz w:val="21"/>
        </w:rPr>
        <w:t>.6</w:t>
      </w:r>
      <w:r>
        <w:rPr>
          <w:sz w:val="21"/>
        </w:rPr>
        <w:t xml:space="preserve"> </w:t>
      </w:r>
      <w:r>
        <w:rPr>
          <w:rFonts w:hint="eastAsia"/>
          <w:sz w:val="21"/>
        </w:rPr>
        <w:t>利旧恒温恒湿空调机组新增</w:t>
      </w:r>
      <w:r>
        <w:rPr>
          <w:sz w:val="21"/>
        </w:rPr>
        <w:t>设备明细</w:t>
      </w:r>
    </w:p>
    <w:tbl>
      <w:tblPr>
        <w:tblStyle w:val="9"/>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70"/>
        <w:gridCol w:w="820"/>
        <w:gridCol w:w="5774"/>
        <w:gridCol w:w="674"/>
        <w:gridCol w:w="58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9" w:hRule="atLeast"/>
          <w:jc w:val="center"/>
        </w:trPr>
        <w:tc>
          <w:tcPr>
            <w:tcW w:w="704" w:type="dxa"/>
            <w:shd w:val="clear" w:color="auto" w:fill="auto"/>
            <w:vAlign w:val="center"/>
          </w:tcPr>
          <w:p>
            <w:pPr>
              <w:jc w:val="center"/>
              <w:rPr>
                <w:rFonts w:ascii="宋体" w:hAnsi="宋体"/>
              </w:rPr>
            </w:pPr>
            <w:r>
              <w:rPr>
                <w:rFonts w:hint="eastAsia" w:ascii="宋体" w:hAnsi="宋体"/>
              </w:rPr>
              <w:t>序号</w:t>
            </w:r>
          </w:p>
        </w:tc>
        <w:tc>
          <w:tcPr>
            <w:tcW w:w="851" w:type="dxa"/>
            <w:shd w:val="clear" w:color="auto" w:fill="auto"/>
            <w:vAlign w:val="center"/>
          </w:tcPr>
          <w:p>
            <w:pPr>
              <w:jc w:val="center"/>
              <w:rPr>
                <w:rFonts w:ascii="宋体" w:hAnsi="宋体"/>
              </w:rPr>
            </w:pPr>
            <w:r>
              <w:rPr>
                <w:rFonts w:hint="eastAsia" w:ascii="宋体" w:hAnsi="宋体"/>
              </w:rPr>
              <w:t>名称</w:t>
            </w:r>
          </w:p>
        </w:tc>
        <w:tc>
          <w:tcPr>
            <w:tcW w:w="6383" w:type="dxa"/>
            <w:shd w:val="clear" w:color="auto" w:fill="auto"/>
            <w:vAlign w:val="center"/>
          </w:tcPr>
          <w:p>
            <w:pPr>
              <w:jc w:val="center"/>
              <w:rPr>
                <w:rFonts w:ascii="宋体" w:hAnsi="宋体"/>
              </w:rPr>
            </w:pPr>
            <w:r>
              <w:rPr>
                <w:rFonts w:hint="eastAsia" w:ascii="宋体" w:hAnsi="宋体"/>
              </w:rPr>
              <w:t>技术要求及规格型号</w:t>
            </w:r>
          </w:p>
        </w:tc>
        <w:tc>
          <w:tcPr>
            <w:tcW w:w="709" w:type="dxa"/>
            <w:shd w:val="clear" w:color="auto" w:fill="auto"/>
            <w:vAlign w:val="center"/>
          </w:tcPr>
          <w:p>
            <w:pPr>
              <w:jc w:val="center"/>
              <w:rPr>
                <w:rFonts w:ascii="宋体" w:hAnsi="宋体"/>
              </w:rPr>
            </w:pPr>
            <w:r>
              <w:rPr>
                <w:rFonts w:hint="eastAsia" w:ascii="宋体" w:hAnsi="宋体"/>
              </w:rPr>
              <w:t>数量</w:t>
            </w:r>
          </w:p>
        </w:tc>
        <w:tc>
          <w:tcPr>
            <w:tcW w:w="605" w:type="dxa"/>
            <w:shd w:val="clear" w:color="auto" w:fill="auto"/>
            <w:vAlign w:val="center"/>
          </w:tcPr>
          <w:p>
            <w:pPr>
              <w:jc w:val="center"/>
              <w:rPr>
                <w:rFonts w:ascii="宋体" w:hAnsi="宋体"/>
              </w:rPr>
            </w:pPr>
            <w:r>
              <w:rPr>
                <w:rFonts w:hint="eastAsia" w:ascii="宋体" w:hAnsi="宋体"/>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04" w:type="dxa"/>
            <w:shd w:val="clear" w:color="auto" w:fill="auto"/>
            <w:vAlign w:val="center"/>
          </w:tcPr>
          <w:p>
            <w:pPr>
              <w:pStyle w:val="8"/>
              <w:spacing w:line="240" w:lineRule="auto"/>
              <w:jc w:val="center"/>
              <w:rPr>
                <w:rFonts w:hAnsi="宋体"/>
              </w:rPr>
            </w:pPr>
            <w:r>
              <w:rPr>
                <w:rFonts w:hAnsi="宋体"/>
              </w:rPr>
              <w:t>1</w:t>
            </w:r>
          </w:p>
        </w:tc>
        <w:tc>
          <w:tcPr>
            <w:tcW w:w="851" w:type="dxa"/>
            <w:shd w:val="clear" w:color="auto" w:fill="auto"/>
            <w:vAlign w:val="center"/>
          </w:tcPr>
          <w:p>
            <w:pPr>
              <w:pStyle w:val="8"/>
              <w:spacing w:line="240" w:lineRule="auto"/>
              <w:jc w:val="center"/>
              <w:rPr>
                <w:rFonts w:hAnsi="宋体"/>
              </w:rPr>
            </w:pPr>
            <w:r>
              <w:rPr>
                <w:rFonts w:hint="eastAsia" w:hAnsi="宋体"/>
              </w:rPr>
              <w:t>精密空调室外机</w:t>
            </w:r>
            <w:r>
              <w:rPr>
                <w:rFonts w:hAnsi="宋体"/>
              </w:rPr>
              <w:t>KT-1</w:t>
            </w:r>
          </w:p>
        </w:tc>
        <w:tc>
          <w:tcPr>
            <w:tcW w:w="6383" w:type="dxa"/>
            <w:shd w:val="clear" w:color="auto" w:fill="auto"/>
            <w:vAlign w:val="center"/>
          </w:tcPr>
          <w:p>
            <w:pPr>
              <w:pStyle w:val="8"/>
              <w:spacing w:line="240" w:lineRule="auto"/>
              <w:rPr>
                <w:rFonts w:hAnsi="宋体"/>
              </w:rPr>
            </w:pPr>
            <w:r>
              <w:rPr>
                <w:rFonts w:hint="eastAsia" w:hAnsi="宋体"/>
              </w:rPr>
              <w:t>室内机规格:制冷量:6.5kW;制热量7.8kW;风量:1200m</w:t>
            </w:r>
            <w:r>
              <w:rPr>
                <w:rFonts w:hint="eastAsia" w:hAnsi="宋体"/>
                <w:vertAlign w:val="superscript"/>
              </w:rPr>
              <w:t>3</w:t>
            </w:r>
            <w:r>
              <w:rPr>
                <w:rFonts w:hint="eastAsia" w:hAnsi="宋体"/>
              </w:rPr>
              <w:t>/h;风压:350Pa;加湿量3kg/h;加湿功率2.25kW;功率:21kW; 原有设备改造（含压缩机、单向阀、高压压力传感器、截止阀、热力膨胀阀、冷凝器、冷凝压力调速控制器、排气温度传感器、冷凝压力调速控制器等</w:t>
            </w:r>
            <w:r>
              <w:rPr>
                <w:rFonts w:hAnsi="宋体"/>
              </w:rPr>
              <w:t>配件</w:t>
            </w:r>
            <w:r>
              <w:rPr>
                <w:rFonts w:hint="eastAsia" w:hAnsi="宋体"/>
              </w:rPr>
              <w:t>），新增室外机</w:t>
            </w:r>
          </w:p>
        </w:tc>
        <w:tc>
          <w:tcPr>
            <w:tcW w:w="709" w:type="dxa"/>
            <w:shd w:val="clear" w:color="auto" w:fill="auto"/>
            <w:vAlign w:val="center"/>
          </w:tcPr>
          <w:p>
            <w:pPr>
              <w:pStyle w:val="8"/>
              <w:spacing w:line="240" w:lineRule="auto"/>
              <w:jc w:val="center"/>
              <w:rPr>
                <w:rFonts w:hAnsi="宋体"/>
              </w:rPr>
            </w:pPr>
            <w:r>
              <w:rPr>
                <w:rFonts w:hAnsi="宋体"/>
              </w:rPr>
              <w:t>1</w:t>
            </w:r>
            <w:r>
              <w:rPr>
                <w:rFonts w:hint="eastAsia" w:hAnsi="宋体"/>
              </w:rPr>
              <w:t>台</w:t>
            </w:r>
          </w:p>
        </w:tc>
        <w:tc>
          <w:tcPr>
            <w:tcW w:w="605" w:type="dxa"/>
            <w:shd w:val="clear" w:color="auto" w:fill="auto"/>
            <w:vAlign w:val="center"/>
          </w:tcPr>
          <w:p>
            <w:pPr>
              <w:pStyle w:val="8"/>
              <w:numPr>
                <w:ilvl w:val="0"/>
                <w:numId w:val="2"/>
              </w:numPr>
              <w:spacing w:line="240" w:lineRule="auto"/>
              <w:ind w:left="891" w:firstLine="0"/>
              <w:jc w:val="center"/>
              <w:rPr>
                <w:rFonts w:hAnsi="宋体"/>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04" w:type="dxa"/>
            <w:shd w:val="clear" w:color="auto" w:fill="auto"/>
            <w:vAlign w:val="center"/>
          </w:tcPr>
          <w:p>
            <w:pPr>
              <w:pStyle w:val="8"/>
              <w:spacing w:line="240" w:lineRule="auto"/>
              <w:jc w:val="center"/>
              <w:rPr>
                <w:rFonts w:hAnsi="宋体"/>
              </w:rPr>
            </w:pPr>
            <w:r>
              <w:rPr>
                <w:rFonts w:hAnsi="宋体"/>
              </w:rPr>
              <w:t>2</w:t>
            </w:r>
          </w:p>
        </w:tc>
        <w:tc>
          <w:tcPr>
            <w:tcW w:w="851" w:type="dxa"/>
            <w:shd w:val="clear" w:color="auto" w:fill="auto"/>
            <w:vAlign w:val="center"/>
          </w:tcPr>
          <w:p>
            <w:pPr>
              <w:pStyle w:val="8"/>
              <w:spacing w:line="240" w:lineRule="auto"/>
              <w:jc w:val="center"/>
              <w:rPr>
                <w:rFonts w:hAnsi="宋体"/>
              </w:rPr>
            </w:pPr>
            <w:r>
              <w:rPr>
                <w:rFonts w:hint="eastAsia" w:hAnsi="宋体"/>
              </w:rPr>
              <w:t>精密空调室外机</w:t>
            </w:r>
            <w:r>
              <w:rPr>
                <w:rFonts w:hAnsi="宋体"/>
              </w:rPr>
              <w:t>KT-2</w:t>
            </w:r>
          </w:p>
        </w:tc>
        <w:tc>
          <w:tcPr>
            <w:tcW w:w="6383" w:type="dxa"/>
            <w:shd w:val="clear" w:color="auto" w:fill="auto"/>
            <w:vAlign w:val="center"/>
          </w:tcPr>
          <w:p>
            <w:pPr>
              <w:pStyle w:val="8"/>
              <w:spacing w:line="240" w:lineRule="auto"/>
              <w:rPr>
                <w:rFonts w:hAnsi="宋体"/>
              </w:rPr>
            </w:pPr>
            <w:r>
              <w:rPr>
                <w:rFonts w:hint="eastAsia" w:hAnsi="宋体"/>
              </w:rPr>
              <w:t>室内机规格:制冷量:25kW;制热量30kW;风量:4500m</w:t>
            </w:r>
            <w:r>
              <w:rPr>
                <w:rFonts w:hint="eastAsia" w:hAnsi="宋体"/>
                <w:vertAlign w:val="superscript"/>
              </w:rPr>
              <w:t>3</w:t>
            </w:r>
            <w:r>
              <w:rPr>
                <w:rFonts w:hint="eastAsia" w:hAnsi="宋体"/>
              </w:rPr>
              <w:t>/h;风压:350Pa;功率:35kW;原有设备改造（含压缩机、单向阀、高压压力传感器、截止阀、热力膨胀阀、冷凝器、冷凝压力调速控制器、排气温度传感器、冷凝压力调速控制器等</w:t>
            </w:r>
            <w:r>
              <w:rPr>
                <w:rFonts w:hAnsi="宋体"/>
              </w:rPr>
              <w:t>配件</w:t>
            </w:r>
            <w:r>
              <w:rPr>
                <w:rFonts w:hint="eastAsia" w:hAnsi="宋体"/>
              </w:rPr>
              <w:t>），新增室外机</w:t>
            </w:r>
          </w:p>
        </w:tc>
        <w:tc>
          <w:tcPr>
            <w:tcW w:w="709" w:type="dxa"/>
            <w:shd w:val="clear" w:color="auto" w:fill="auto"/>
            <w:vAlign w:val="center"/>
          </w:tcPr>
          <w:p>
            <w:pPr>
              <w:pStyle w:val="8"/>
              <w:spacing w:line="240" w:lineRule="auto"/>
              <w:jc w:val="center"/>
              <w:rPr>
                <w:rFonts w:hAnsi="宋体"/>
              </w:rPr>
            </w:pPr>
            <w:r>
              <w:rPr>
                <w:rFonts w:hAnsi="宋体"/>
              </w:rPr>
              <w:t>1</w:t>
            </w:r>
            <w:r>
              <w:rPr>
                <w:rFonts w:hint="eastAsia" w:hAnsi="宋体"/>
              </w:rPr>
              <w:t>台</w:t>
            </w:r>
          </w:p>
        </w:tc>
        <w:tc>
          <w:tcPr>
            <w:tcW w:w="605" w:type="dxa"/>
            <w:shd w:val="clear" w:color="auto" w:fill="auto"/>
            <w:vAlign w:val="center"/>
          </w:tcPr>
          <w:p>
            <w:pPr>
              <w:pStyle w:val="8"/>
              <w:spacing w:line="240" w:lineRule="auto"/>
              <w:jc w:val="center"/>
              <w:rPr>
                <w:rFonts w:hAnsi="宋体"/>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04" w:type="dxa"/>
            <w:shd w:val="clear" w:color="auto" w:fill="auto"/>
            <w:vAlign w:val="center"/>
          </w:tcPr>
          <w:p>
            <w:pPr>
              <w:pStyle w:val="8"/>
              <w:spacing w:line="240" w:lineRule="auto"/>
              <w:jc w:val="center"/>
              <w:rPr>
                <w:rFonts w:hAnsi="宋体"/>
              </w:rPr>
            </w:pPr>
            <w:r>
              <w:rPr>
                <w:rFonts w:hAnsi="宋体"/>
              </w:rPr>
              <w:t>3</w:t>
            </w:r>
          </w:p>
        </w:tc>
        <w:tc>
          <w:tcPr>
            <w:tcW w:w="851" w:type="dxa"/>
            <w:shd w:val="clear" w:color="auto" w:fill="auto"/>
            <w:vAlign w:val="center"/>
          </w:tcPr>
          <w:p>
            <w:pPr>
              <w:pStyle w:val="8"/>
              <w:spacing w:line="240" w:lineRule="auto"/>
              <w:jc w:val="center"/>
              <w:rPr>
                <w:rFonts w:hAnsi="宋体"/>
              </w:rPr>
            </w:pPr>
            <w:r>
              <w:rPr>
                <w:rFonts w:hint="eastAsia" w:hAnsi="宋体"/>
              </w:rPr>
              <w:t>精密空调室外机</w:t>
            </w:r>
            <w:r>
              <w:rPr>
                <w:rFonts w:hAnsi="宋体"/>
              </w:rPr>
              <w:t>KT-3</w:t>
            </w:r>
          </w:p>
        </w:tc>
        <w:tc>
          <w:tcPr>
            <w:tcW w:w="6383" w:type="dxa"/>
            <w:shd w:val="clear" w:color="auto" w:fill="auto"/>
            <w:vAlign w:val="center"/>
          </w:tcPr>
          <w:p>
            <w:pPr>
              <w:pStyle w:val="8"/>
              <w:spacing w:line="240" w:lineRule="auto"/>
              <w:rPr>
                <w:rFonts w:hAnsi="宋体"/>
              </w:rPr>
            </w:pPr>
            <w:r>
              <w:rPr>
                <w:rFonts w:hint="eastAsia" w:hAnsi="宋体"/>
              </w:rPr>
              <w:t>室内机规格:制冷量:4kW;制热量4.8kW;风量:1000m</w:t>
            </w:r>
            <w:r>
              <w:rPr>
                <w:rFonts w:hint="eastAsia" w:hAnsi="宋体"/>
                <w:vertAlign w:val="superscript"/>
              </w:rPr>
              <w:t>3</w:t>
            </w:r>
            <w:r>
              <w:rPr>
                <w:rFonts w:hint="eastAsia" w:hAnsi="宋体"/>
              </w:rPr>
              <w:t>/h;风压:350Pa;功率:11kW; 原有设备改造（含压缩机、单向阀、高压压力传感器、截止阀、热力膨胀阀、冷凝器、冷凝压力调速控制器、排气温度传感器、冷凝压力调速控制器等</w:t>
            </w:r>
            <w:r>
              <w:rPr>
                <w:rFonts w:hAnsi="宋体"/>
              </w:rPr>
              <w:t>配件</w:t>
            </w:r>
            <w:r>
              <w:rPr>
                <w:rFonts w:hint="eastAsia" w:hAnsi="宋体"/>
              </w:rPr>
              <w:t>），新增室外机</w:t>
            </w:r>
          </w:p>
        </w:tc>
        <w:tc>
          <w:tcPr>
            <w:tcW w:w="709" w:type="dxa"/>
            <w:shd w:val="clear" w:color="auto" w:fill="auto"/>
            <w:vAlign w:val="center"/>
          </w:tcPr>
          <w:p>
            <w:pPr>
              <w:pStyle w:val="8"/>
              <w:spacing w:line="240" w:lineRule="auto"/>
              <w:jc w:val="center"/>
              <w:rPr>
                <w:rFonts w:hAnsi="宋体"/>
              </w:rPr>
            </w:pPr>
            <w:r>
              <w:rPr>
                <w:rFonts w:hAnsi="宋体"/>
              </w:rPr>
              <w:t>1</w:t>
            </w:r>
            <w:r>
              <w:rPr>
                <w:rFonts w:hint="eastAsia" w:hAnsi="宋体"/>
              </w:rPr>
              <w:t>台</w:t>
            </w:r>
          </w:p>
        </w:tc>
        <w:tc>
          <w:tcPr>
            <w:tcW w:w="605" w:type="dxa"/>
            <w:shd w:val="clear" w:color="auto" w:fill="auto"/>
            <w:vAlign w:val="center"/>
          </w:tcPr>
          <w:p>
            <w:pPr>
              <w:pStyle w:val="8"/>
              <w:spacing w:line="240" w:lineRule="auto"/>
              <w:jc w:val="center"/>
              <w:rPr>
                <w:rFonts w:hAnsi="宋体"/>
              </w:rPr>
            </w:pPr>
          </w:p>
        </w:tc>
      </w:tr>
    </w:tbl>
    <w:p>
      <w:pPr>
        <w:pStyle w:val="13"/>
        <w:numPr>
          <w:ilvl w:val="0"/>
          <w:numId w:val="0"/>
        </w:numPr>
        <w:rPr>
          <w:sz w:val="21"/>
        </w:rPr>
      </w:pPr>
      <w:r>
        <w:rPr>
          <w:sz w:val="21"/>
        </w:rPr>
        <w:t>4</w:t>
      </w:r>
      <w:r>
        <w:rPr>
          <w:rFonts w:hint="eastAsia"/>
          <w:sz w:val="21"/>
        </w:rPr>
        <w:t>.7 利旧恒温恒湿空调机室外机配置要求</w:t>
      </w:r>
    </w:p>
    <w:p>
      <w:pPr>
        <w:pStyle w:val="13"/>
        <w:numPr>
          <w:ilvl w:val="0"/>
          <w:numId w:val="0"/>
        </w:numPr>
        <w:rPr>
          <w:b w:val="0"/>
          <w:sz w:val="21"/>
        </w:rPr>
      </w:pPr>
      <w:r>
        <w:rPr>
          <w:b w:val="0"/>
          <w:sz w:val="21"/>
        </w:rPr>
        <w:t>4</w:t>
      </w:r>
      <w:r>
        <w:rPr>
          <w:rFonts w:hint="eastAsia"/>
          <w:b w:val="0"/>
          <w:sz w:val="21"/>
        </w:rPr>
        <w:t xml:space="preserve">.7.1 </w:t>
      </w:r>
      <w:bookmarkStart w:id="8" w:name="OLE_LINK95"/>
      <w:r>
        <w:rPr>
          <w:b w:val="0"/>
          <w:sz w:val="21"/>
        </w:rPr>
        <w:t>室外风</w:t>
      </w:r>
      <w:bookmarkEnd w:id="8"/>
      <w:r>
        <w:rPr>
          <w:b w:val="0"/>
          <w:sz w:val="21"/>
        </w:rPr>
        <w:t>扇应采用直流无刷变频风扇电机，可根据负荷变化情况，自动调节室外机风量和风压，保证室外主机在制冷运行范围：-15℃～55℃，制热运行范围：-30℃～29℃内稳定可靠高效的运行；</w:t>
      </w:r>
    </w:p>
    <w:p>
      <w:pPr>
        <w:pStyle w:val="13"/>
        <w:numPr>
          <w:ilvl w:val="0"/>
          <w:numId w:val="0"/>
        </w:numPr>
        <w:rPr>
          <w:b w:val="0"/>
          <w:sz w:val="21"/>
        </w:rPr>
      </w:pPr>
      <w:r>
        <w:rPr>
          <w:b w:val="0"/>
          <w:sz w:val="21"/>
        </w:rPr>
        <w:t>4</w:t>
      </w:r>
      <w:r>
        <w:rPr>
          <w:rFonts w:hint="eastAsia"/>
          <w:b w:val="0"/>
          <w:sz w:val="21"/>
        </w:rPr>
        <w:t xml:space="preserve">.7.2 </w:t>
      </w:r>
      <w:r>
        <w:rPr>
          <w:b w:val="0"/>
          <w:sz w:val="21"/>
        </w:rPr>
        <w:t>室外</w:t>
      </w:r>
      <w:r>
        <w:rPr>
          <w:rFonts w:hint="eastAsia"/>
          <w:b w:val="0"/>
          <w:sz w:val="21"/>
        </w:rPr>
        <w:t>机</w:t>
      </w:r>
      <w:r>
        <w:rPr>
          <w:b w:val="0"/>
          <w:sz w:val="21"/>
        </w:rPr>
        <w:t>可根据冷凝压力/室外环境温度自动无级调速，高温提转速强化散热，低温降转速降噪、防冷凝压力过低，不采用定速单档风机，风机电机防护等级≥IP55，适应户外雨淋日晒，风机带过载保护；</w:t>
      </w:r>
    </w:p>
    <w:p>
      <w:pPr>
        <w:pStyle w:val="13"/>
        <w:numPr>
          <w:ilvl w:val="0"/>
          <w:numId w:val="0"/>
        </w:numPr>
        <w:rPr>
          <w:b w:val="0"/>
          <w:sz w:val="21"/>
        </w:rPr>
      </w:pPr>
      <w:r>
        <w:rPr>
          <w:b w:val="0"/>
          <w:sz w:val="21"/>
        </w:rPr>
        <w:t>4</w:t>
      </w:r>
      <w:r>
        <w:rPr>
          <w:rFonts w:hint="eastAsia"/>
          <w:b w:val="0"/>
          <w:sz w:val="21"/>
        </w:rPr>
        <w:t xml:space="preserve">.7.3 </w:t>
      </w:r>
      <w:r>
        <w:rPr>
          <w:b w:val="0"/>
          <w:sz w:val="21"/>
        </w:rPr>
        <w:t>室外</w:t>
      </w:r>
      <w:r>
        <w:rPr>
          <w:rFonts w:hint="eastAsia"/>
          <w:b w:val="0"/>
          <w:sz w:val="21"/>
        </w:rPr>
        <w:t>机</w:t>
      </w:r>
      <w:r>
        <w:rPr>
          <w:b w:val="0"/>
          <w:sz w:val="21"/>
        </w:rPr>
        <w:t>支持室外机相关信号联网上传至室内机PLC控制系统，冷凝器采用高效内螺纹紫铜管+亲水防腐铝翅片结构，翅片做防腐亲水覆膜处理，耐雨淋、盐雾、积尘，便于冲洗维护；</w:t>
      </w:r>
    </w:p>
    <w:p>
      <w:pPr>
        <w:pStyle w:val="13"/>
        <w:numPr>
          <w:ilvl w:val="0"/>
          <w:numId w:val="0"/>
        </w:numPr>
        <w:rPr>
          <w:b w:val="0"/>
          <w:sz w:val="21"/>
        </w:rPr>
      </w:pPr>
      <w:r>
        <w:rPr>
          <w:b w:val="0"/>
          <w:sz w:val="21"/>
        </w:rPr>
        <w:t>4</w:t>
      </w:r>
      <w:r>
        <w:rPr>
          <w:rFonts w:hint="eastAsia"/>
          <w:b w:val="0"/>
          <w:sz w:val="21"/>
        </w:rPr>
        <w:t xml:space="preserve">.7.4 </w:t>
      </w:r>
      <w:r>
        <w:rPr>
          <w:b w:val="0"/>
          <w:sz w:val="21"/>
        </w:rPr>
        <w:t>不得使用普通光管低效率冷凝器，保证高温环境下冷凝压力不超限，避免高温降容、高压保护停机，翅片间距合理，不易堵柳絮灰尘；</w:t>
      </w:r>
    </w:p>
    <w:p>
      <w:pPr>
        <w:pStyle w:val="13"/>
        <w:numPr>
          <w:ilvl w:val="0"/>
          <w:numId w:val="0"/>
        </w:numPr>
        <w:rPr>
          <w:b w:val="0"/>
          <w:sz w:val="21"/>
        </w:rPr>
      </w:pPr>
      <w:r>
        <w:rPr>
          <w:b w:val="0"/>
          <w:sz w:val="21"/>
        </w:rPr>
        <w:t>4</w:t>
      </w:r>
      <w:r>
        <w:rPr>
          <w:rFonts w:hint="eastAsia"/>
          <w:b w:val="0"/>
          <w:sz w:val="21"/>
        </w:rPr>
        <w:t xml:space="preserve">.7.5 </w:t>
      </w:r>
      <w:r>
        <w:rPr>
          <w:b w:val="0"/>
          <w:sz w:val="21"/>
        </w:rPr>
        <w:t>冷凝器外侧配置可拆卸防护网罩，便于现场清洗维护，冷凝系统承压满足：高压侧设计压力≥3.0MPa，系统气密性试验无冷媒泄漏；管路采用氮气保护焊接工艺，配置高压保护、低压保护压力开关；</w:t>
      </w:r>
    </w:p>
    <w:p>
      <w:pPr>
        <w:pStyle w:val="13"/>
        <w:numPr>
          <w:ilvl w:val="0"/>
          <w:numId w:val="0"/>
        </w:numPr>
        <w:rPr>
          <w:b w:val="0"/>
          <w:sz w:val="21"/>
        </w:rPr>
      </w:pPr>
      <w:r>
        <w:rPr>
          <w:b w:val="0"/>
          <w:sz w:val="21"/>
        </w:rPr>
        <w:t>4</w:t>
      </w:r>
      <w:r>
        <w:rPr>
          <w:rFonts w:hint="eastAsia"/>
          <w:b w:val="0"/>
          <w:sz w:val="21"/>
        </w:rPr>
        <w:t xml:space="preserve">.7.6 </w:t>
      </w:r>
      <w:r>
        <w:rPr>
          <w:b w:val="0"/>
          <w:sz w:val="21"/>
        </w:rPr>
        <w:t>冷凝压力过高自动降负荷、报警；</w:t>
      </w:r>
    </w:p>
    <w:p>
      <w:pPr>
        <w:pStyle w:val="13"/>
        <w:numPr>
          <w:ilvl w:val="0"/>
          <w:numId w:val="0"/>
        </w:numPr>
        <w:rPr>
          <w:b w:val="0"/>
          <w:sz w:val="21"/>
        </w:rPr>
      </w:pPr>
      <w:r>
        <w:rPr>
          <w:b w:val="0"/>
          <w:sz w:val="21"/>
        </w:rPr>
        <w:t>4</w:t>
      </w:r>
      <w:r>
        <w:rPr>
          <w:rFonts w:hint="eastAsia"/>
          <w:b w:val="0"/>
          <w:sz w:val="21"/>
        </w:rPr>
        <w:t xml:space="preserve">.7.7 </w:t>
      </w:r>
      <w:r>
        <w:rPr>
          <w:b w:val="0"/>
          <w:sz w:val="21"/>
        </w:rPr>
        <w:t>压力超限联锁停机保护压缩机，输出报警信号到室内机主控系统。</w:t>
      </w:r>
    </w:p>
    <w:p>
      <w:pPr>
        <w:pStyle w:val="13"/>
        <w:numPr>
          <w:ilvl w:val="0"/>
          <w:numId w:val="0"/>
        </w:numPr>
        <w:ind w:firstLine="422" w:firstLineChars="200"/>
        <w:rPr>
          <w:sz w:val="21"/>
        </w:rPr>
      </w:pPr>
      <w:r>
        <w:rPr>
          <w:rFonts w:hint="eastAsia"/>
          <w:sz w:val="21"/>
        </w:rPr>
        <w:t>五、项目备货及交货要求</w:t>
      </w:r>
    </w:p>
    <w:p>
      <w:pPr>
        <w:pStyle w:val="13"/>
        <w:numPr>
          <w:ilvl w:val="0"/>
          <w:numId w:val="0"/>
        </w:numPr>
        <w:ind w:firstLine="420" w:firstLineChars="200"/>
        <w:rPr>
          <w:b w:val="0"/>
          <w:sz w:val="21"/>
        </w:rPr>
      </w:pPr>
      <w:r>
        <w:rPr>
          <w:rFonts w:hint="eastAsia"/>
          <w:b w:val="0"/>
          <w:sz w:val="21"/>
        </w:rPr>
        <w:t>5.1交货及安装地点：广东中烟工业有限责任公司梅州卷烟厂（地址：广东省梅州市梅江区环市北路18号）。</w:t>
      </w:r>
    </w:p>
    <w:p>
      <w:pPr>
        <w:pStyle w:val="13"/>
        <w:numPr>
          <w:ilvl w:val="0"/>
          <w:numId w:val="0"/>
        </w:numPr>
        <w:ind w:firstLine="420" w:firstLineChars="200"/>
        <w:rPr>
          <w:b w:val="0"/>
          <w:sz w:val="21"/>
        </w:rPr>
      </w:pPr>
      <w:r>
        <w:rPr>
          <w:rFonts w:hint="eastAsia"/>
          <w:b w:val="0"/>
          <w:sz w:val="21"/>
        </w:rPr>
        <w:t>5.2项目备货时间：签订合同后，供应商应在合同生效之日起60日内完成合同项下全部新增设备设施、配套安装材料的购置、</w:t>
      </w:r>
      <w:r>
        <w:rPr>
          <w:b w:val="0"/>
          <w:sz w:val="21"/>
        </w:rPr>
        <w:t>组装</w:t>
      </w:r>
      <w:r>
        <w:rPr>
          <w:rFonts w:hint="eastAsia"/>
          <w:b w:val="0"/>
          <w:sz w:val="21"/>
        </w:rPr>
        <w:t>和检验等工作并具备交货条件。</w:t>
      </w:r>
    </w:p>
    <w:p>
      <w:pPr>
        <w:pStyle w:val="13"/>
        <w:numPr>
          <w:ilvl w:val="0"/>
          <w:numId w:val="0"/>
        </w:numPr>
        <w:ind w:firstLine="420" w:firstLineChars="200"/>
        <w:rPr>
          <w:b w:val="0"/>
          <w:sz w:val="21"/>
        </w:rPr>
      </w:pPr>
      <w:r>
        <w:rPr>
          <w:rFonts w:hint="eastAsia"/>
          <w:b w:val="0"/>
          <w:sz w:val="21"/>
        </w:rPr>
        <w:t>5.3项目交货时间：供应商在接到梅州卷烟厂书面发货通知后5日内将本项目所需的全部新增设备、配套安装材料运至合同约定的交货地点。</w:t>
      </w:r>
    </w:p>
    <w:p>
      <w:pPr>
        <w:pStyle w:val="13"/>
        <w:numPr>
          <w:ilvl w:val="0"/>
          <w:numId w:val="0"/>
        </w:numPr>
        <w:ind w:firstLine="420" w:firstLineChars="200"/>
        <w:rPr>
          <w:b w:val="0"/>
          <w:sz w:val="21"/>
        </w:rPr>
      </w:pPr>
      <w:r>
        <w:rPr>
          <w:rFonts w:hint="eastAsia"/>
          <w:b w:val="0"/>
          <w:sz w:val="21"/>
        </w:rPr>
        <w:t>5.4供应商所提供的全部新增设备、配套安装材料应符合合同规定的技术和数量要求。</w:t>
      </w:r>
    </w:p>
    <w:p>
      <w:pPr>
        <w:pStyle w:val="13"/>
        <w:numPr>
          <w:ilvl w:val="0"/>
          <w:numId w:val="0"/>
        </w:numPr>
        <w:ind w:firstLine="420" w:firstLineChars="200"/>
        <w:rPr>
          <w:b w:val="0"/>
          <w:sz w:val="21"/>
        </w:rPr>
      </w:pPr>
      <w:r>
        <w:rPr>
          <w:rFonts w:hint="eastAsia"/>
          <w:b w:val="0"/>
          <w:sz w:val="21"/>
        </w:rPr>
        <w:t>5.5供应商应在具备交货条件后向梅州卷烟厂提供交货计划（内容包括但不限于设备及材料名称、型号规格、数量、具体交货时间、地点、运输安排等）。梅州卷烟厂有权（但非必须）对供应商的交货计划提出异议。如梅州卷烟厂提出异议，供应商应立即按照梅州卷烟厂的要求和本合同的约定调整交货计划，并须按照本合同规定的交货期限交付。</w:t>
      </w:r>
    </w:p>
    <w:p>
      <w:pPr>
        <w:pStyle w:val="13"/>
        <w:numPr>
          <w:ilvl w:val="0"/>
          <w:numId w:val="0"/>
        </w:numPr>
        <w:ind w:firstLine="420" w:firstLineChars="200"/>
        <w:rPr>
          <w:b w:val="0"/>
          <w:sz w:val="21"/>
        </w:rPr>
      </w:pPr>
      <w:r>
        <w:rPr>
          <w:rFonts w:hint="eastAsia"/>
          <w:b w:val="0"/>
          <w:sz w:val="21"/>
        </w:rPr>
        <w:t>5.6梅州卷烟厂和供应商在新增设备、配套安装材料到达交货地点后3个工作日内对包括货物进行验收，供应商所提供的设备及材料需符合合同、招标文件和投标文件规定的技术和数量要求，如验收过程中发现货物型号规格等不符合合同、招标文件和投标文件要求的视为虚假承诺，梅州卷烟厂将拒收货物，由此引发的所有损失由供应商负责，同时供应商须重新根据合同、招标文件和投标文件要求提供符合相关</w:t>
      </w:r>
      <w:r>
        <w:rPr>
          <w:b w:val="0"/>
          <w:sz w:val="21"/>
        </w:rPr>
        <w:t>要求的设备及材料，</w:t>
      </w:r>
      <w:r>
        <w:rPr>
          <w:rFonts w:hint="eastAsia"/>
          <w:b w:val="0"/>
          <w:sz w:val="21"/>
        </w:rPr>
        <w:t>由此发生的一切费用均由供应商负责，同时双方签署详细的到货验收记录（具体详见合同附件二），双方各执一份，该记录作为梅州卷烟厂要求供应商进行更换、修理、补充发货或要求赔偿的有效证据。如供应商不按本约定到场验收的，则以梅州卷烟厂验收的记录为更换、修理、补充发货或者要求赔偿的唯一依据。如设备及材料外包装完好无损，但箱内设备及材料短缺或损伤，应由供应商负责更换、补足或修理，相关费用由供应商负担。如设备及材料外包装缺损，梅州卷烟厂有权拒收。由此而引起的供应商迟延履行，供应商应承担违约责任。</w:t>
      </w:r>
    </w:p>
    <w:p>
      <w:pPr>
        <w:pStyle w:val="13"/>
        <w:numPr>
          <w:ilvl w:val="0"/>
          <w:numId w:val="0"/>
        </w:numPr>
        <w:ind w:firstLine="420" w:firstLineChars="200"/>
        <w:rPr>
          <w:b w:val="0"/>
          <w:sz w:val="21"/>
        </w:rPr>
      </w:pPr>
      <w:r>
        <w:rPr>
          <w:rFonts w:hint="eastAsia"/>
          <w:b w:val="0"/>
          <w:sz w:val="21"/>
        </w:rPr>
        <w:t>5.7供应商所提供的全部新增设备、配套安装材料须是制造商原装生产、全新、没有瑕疵、未使用过的产品，产品符合国家及该产品的出厂标准及相关认证规定，在中国范围内合法销售的产品。</w:t>
      </w:r>
    </w:p>
    <w:p>
      <w:pPr>
        <w:pStyle w:val="13"/>
        <w:numPr>
          <w:ilvl w:val="0"/>
          <w:numId w:val="0"/>
        </w:numPr>
        <w:ind w:firstLine="420" w:firstLineChars="200"/>
        <w:rPr>
          <w:b w:val="0"/>
          <w:sz w:val="21"/>
        </w:rPr>
      </w:pPr>
      <w:r>
        <w:rPr>
          <w:rFonts w:hint="eastAsia"/>
          <w:b w:val="0"/>
          <w:sz w:val="21"/>
        </w:rPr>
        <w:t>5.8全部新增设备、配套安装材料必须外观清洁，标记、铭牌以及仪表盘面显示等字体清晰、明确。</w:t>
      </w:r>
    </w:p>
    <w:p>
      <w:pPr>
        <w:pStyle w:val="13"/>
        <w:numPr>
          <w:ilvl w:val="0"/>
          <w:numId w:val="0"/>
        </w:numPr>
        <w:ind w:firstLine="420" w:firstLineChars="200"/>
        <w:rPr>
          <w:b w:val="0"/>
          <w:sz w:val="21"/>
        </w:rPr>
      </w:pPr>
      <w:r>
        <w:rPr>
          <w:rFonts w:hint="eastAsia"/>
          <w:b w:val="0"/>
          <w:sz w:val="21"/>
        </w:rPr>
        <w:t>5.9梅州卷烟厂对供应商交付的符合本合同约定的设备，均应妥善接收并按供应商告知的设备储存的环境条件规定保管。对于因供应商误发、多发或少发的货物，梅州卷烟厂应负责妥善保管，并及时通知供应商处理，由此发生的所有费用由供应商负担。</w:t>
      </w:r>
    </w:p>
    <w:p>
      <w:pPr>
        <w:pStyle w:val="13"/>
        <w:numPr>
          <w:ilvl w:val="0"/>
          <w:numId w:val="0"/>
        </w:numPr>
        <w:ind w:firstLine="420" w:firstLineChars="200"/>
        <w:rPr>
          <w:b w:val="0"/>
          <w:sz w:val="21"/>
        </w:rPr>
      </w:pPr>
      <w:r>
        <w:rPr>
          <w:b w:val="0"/>
          <w:sz w:val="21"/>
        </w:rPr>
        <w:t>5.10</w:t>
      </w:r>
      <w:r>
        <w:rPr>
          <w:rFonts w:hint="eastAsia"/>
          <w:b w:val="0"/>
          <w:sz w:val="21"/>
        </w:rPr>
        <w:t>供应商应在交货的同时将所供货物的有关资料等交付给梅州卷烟厂。</w:t>
      </w:r>
    </w:p>
    <w:p>
      <w:pPr>
        <w:pStyle w:val="13"/>
        <w:numPr>
          <w:ilvl w:val="0"/>
          <w:numId w:val="0"/>
        </w:numPr>
        <w:ind w:firstLine="422" w:firstLineChars="200"/>
        <w:rPr>
          <w:sz w:val="21"/>
        </w:rPr>
      </w:pPr>
      <w:r>
        <w:rPr>
          <w:rFonts w:hint="eastAsia"/>
          <w:sz w:val="21"/>
        </w:rPr>
        <w:t>六、安装调试要求</w:t>
      </w:r>
    </w:p>
    <w:p>
      <w:pPr>
        <w:pStyle w:val="13"/>
        <w:numPr>
          <w:ilvl w:val="0"/>
          <w:numId w:val="0"/>
        </w:numPr>
        <w:ind w:firstLine="420" w:firstLineChars="200"/>
        <w:rPr>
          <w:b w:val="0"/>
          <w:sz w:val="21"/>
        </w:rPr>
      </w:pPr>
      <w:r>
        <w:rPr>
          <w:b w:val="0"/>
          <w:sz w:val="21"/>
        </w:rPr>
        <w:t>6</w:t>
      </w:r>
      <w:r>
        <w:rPr>
          <w:rFonts w:hint="eastAsia"/>
          <w:b w:val="0"/>
          <w:sz w:val="21"/>
        </w:rPr>
        <w:t>.1项目安装调试工期</w:t>
      </w:r>
      <w:r>
        <w:rPr>
          <w:b w:val="0"/>
          <w:sz w:val="21"/>
        </w:rPr>
        <w:t xml:space="preserve">: </w:t>
      </w:r>
      <w:r>
        <w:rPr>
          <w:rFonts w:hint="eastAsia"/>
          <w:b w:val="0"/>
          <w:sz w:val="21"/>
        </w:rPr>
        <w:t>45日，具体开工日期按梅州卷烟厂书面入场通知要求的日期开始计算，在本工期内供应商需完成合同项下全部新增设备、配套安装材料的</w:t>
      </w:r>
      <w:r>
        <w:rPr>
          <w:b w:val="0"/>
          <w:sz w:val="21"/>
        </w:rPr>
        <w:t>安装、调试</w:t>
      </w:r>
      <w:r>
        <w:rPr>
          <w:rFonts w:hint="eastAsia"/>
          <w:b w:val="0"/>
          <w:sz w:val="21"/>
        </w:rPr>
        <w:t>及</w:t>
      </w:r>
      <w:r>
        <w:rPr>
          <w:b w:val="0"/>
          <w:sz w:val="21"/>
        </w:rPr>
        <w:t>本</w:t>
      </w:r>
      <w:r>
        <w:rPr>
          <w:rFonts w:hint="eastAsia"/>
          <w:b w:val="0"/>
          <w:sz w:val="21"/>
        </w:rPr>
        <w:t>项目升级</w:t>
      </w:r>
      <w:r>
        <w:rPr>
          <w:b w:val="0"/>
          <w:sz w:val="21"/>
        </w:rPr>
        <w:t>改造</w:t>
      </w:r>
      <w:r>
        <w:rPr>
          <w:rFonts w:hint="eastAsia"/>
          <w:b w:val="0"/>
          <w:sz w:val="21"/>
        </w:rPr>
        <w:t>相关</w:t>
      </w:r>
      <w:r>
        <w:rPr>
          <w:b w:val="0"/>
          <w:sz w:val="21"/>
        </w:rPr>
        <w:t>服务</w:t>
      </w:r>
      <w:r>
        <w:rPr>
          <w:rFonts w:hint="eastAsia"/>
          <w:b w:val="0"/>
          <w:sz w:val="21"/>
        </w:rPr>
        <w:t>内容。</w:t>
      </w:r>
    </w:p>
    <w:p>
      <w:pPr>
        <w:pStyle w:val="13"/>
        <w:numPr>
          <w:ilvl w:val="0"/>
          <w:numId w:val="0"/>
        </w:numPr>
        <w:ind w:firstLine="422" w:firstLineChars="200"/>
        <w:rPr>
          <w:sz w:val="21"/>
        </w:rPr>
      </w:pPr>
      <w:r>
        <w:rPr>
          <w:sz w:val="21"/>
        </w:rPr>
        <w:t>6</w:t>
      </w:r>
      <w:r>
        <w:rPr>
          <w:rFonts w:hint="eastAsia"/>
          <w:sz w:val="21"/>
        </w:rPr>
        <w:t xml:space="preserve">.2 </w:t>
      </w:r>
      <w:r>
        <w:rPr>
          <w:sz w:val="21"/>
        </w:rPr>
        <w:t>项目安装调试过程，供应商须严格按照采购文件要求，履行与梅州卷烟厂工艺质量科实验室改造及配套项目下的施工项目、实验室设施项目、智能化设备设施项目的全流程实施配合工作，针对本项目空调设备与其余项目采购的冷媒铜管、系统控制模块等部件存在的施工界面交叉情况，供应商须主动配合关联项目同步推进实施，严格服从梅州卷烟厂的统一施工调度，对已明确划分的施工界面按既定边界完成自身范围内的安装调试并主动做好接口衔接，对施工过程中出现的工序冲突、空间占用等交叉矛盾第一时间响应梅州卷烟厂的协调安排，针对不同项目之间未明确界定的施工内容、责任边界，供应商须第一时间主动与梅州卷烟厂沟通协商，共同制定妥善的落地方案，严禁出现推诿扯皮、拖延项目整体进度的行为，保障实验室改造全项目按期交付投用。</w:t>
      </w:r>
    </w:p>
    <w:p>
      <w:pPr>
        <w:pStyle w:val="13"/>
        <w:numPr>
          <w:ilvl w:val="0"/>
          <w:numId w:val="0"/>
        </w:numPr>
        <w:ind w:firstLine="420" w:firstLineChars="200"/>
        <w:rPr>
          <w:b w:val="0"/>
          <w:sz w:val="21"/>
        </w:rPr>
      </w:pPr>
      <w:r>
        <w:rPr>
          <w:b w:val="0"/>
          <w:sz w:val="21"/>
        </w:rPr>
        <w:t>6</w:t>
      </w:r>
      <w:r>
        <w:rPr>
          <w:rFonts w:hint="eastAsia"/>
          <w:b w:val="0"/>
          <w:sz w:val="21"/>
        </w:rPr>
        <w:t>.3 如受梅州卷烟厂生产计划安排、其他技改项目实施等梅州卷烟厂原因影响且梅州卷烟厂认为确有必要，可向供应商提出书面通知要求供应商暂停项目实施，并在提出暂停项目实施要求后2个工作日内提出处理意见。供应商应按梅州卷烟厂通知暂停项目并妥善保护已完成项目内容，并在实施完毕梅州卷烟厂的处理意见后向梅州卷烟厂提出复工要求，经梅州卷烟厂批准后继续实施项目。</w:t>
      </w:r>
    </w:p>
    <w:p>
      <w:pPr>
        <w:pStyle w:val="13"/>
        <w:numPr>
          <w:ilvl w:val="0"/>
          <w:numId w:val="0"/>
        </w:numPr>
        <w:ind w:firstLine="420" w:firstLineChars="200"/>
        <w:rPr>
          <w:b w:val="0"/>
          <w:sz w:val="21"/>
        </w:rPr>
      </w:pPr>
      <w:r>
        <w:rPr>
          <w:b w:val="0"/>
          <w:sz w:val="21"/>
        </w:rPr>
        <w:t>6</w:t>
      </w:r>
      <w:r>
        <w:rPr>
          <w:rFonts w:hint="eastAsia"/>
          <w:b w:val="0"/>
          <w:sz w:val="21"/>
        </w:rPr>
        <w:t>.4 因梅州卷烟厂生产计划安排、其他技改项目实施等梅州卷烟厂原因影响项目将可能出现非连续性实施的情形，供应商须根据梅州卷烟厂要求合理编排实施进度计划并经梅州卷烟厂同意后，由供应商出具书面联系函并在双方签字确认后实施，调整后工期天数按实施进度新计划计算。</w:t>
      </w:r>
    </w:p>
    <w:p>
      <w:pPr>
        <w:pStyle w:val="13"/>
        <w:numPr>
          <w:ilvl w:val="0"/>
          <w:numId w:val="0"/>
        </w:numPr>
        <w:ind w:firstLine="420" w:firstLineChars="200"/>
        <w:rPr>
          <w:b w:val="0"/>
          <w:sz w:val="21"/>
        </w:rPr>
      </w:pPr>
      <w:r>
        <w:rPr>
          <w:b w:val="0"/>
          <w:sz w:val="21"/>
        </w:rPr>
        <w:t>6</w:t>
      </w:r>
      <w:r>
        <w:rPr>
          <w:rFonts w:hint="eastAsia"/>
          <w:b w:val="0"/>
          <w:sz w:val="21"/>
        </w:rPr>
        <w:t>.5 在项目施工过程中，供应商应定期向梅州卷烟厂汇报工作进展情况，提供详细的进度报告。若因特殊原因导致工期延误，供应商须提前向梅州卷烟厂提交书面说明，详细阐述延误原因及预计的完工时间，并提供切实可行的赶工措施以确保项目整体不受重大影响。</w:t>
      </w:r>
    </w:p>
    <w:p>
      <w:pPr>
        <w:pStyle w:val="13"/>
        <w:numPr>
          <w:ilvl w:val="0"/>
          <w:numId w:val="0"/>
        </w:numPr>
        <w:ind w:firstLine="420" w:firstLineChars="200"/>
        <w:rPr>
          <w:b w:val="0"/>
          <w:sz w:val="21"/>
        </w:rPr>
      </w:pPr>
      <w:r>
        <w:rPr>
          <w:b w:val="0"/>
          <w:sz w:val="21"/>
        </w:rPr>
        <w:t>6</w:t>
      </w:r>
      <w:r>
        <w:rPr>
          <w:rFonts w:hint="eastAsia"/>
          <w:b w:val="0"/>
          <w:sz w:val="21"/>
        </w:rPr>
        <w:t>.6 在项目安装调试期间供应商不得对设备、控制系统等进行私自加密处理，确因使用要求须设置密码的，密码须由梅州卷烟厂确定且可修改。</w:t>
      </w:r>
    </w:p>
    <w:p>
      <w:pPr>
        <w:pStyle w:val="13"/>
        <w:numPr>
          <w:ilvl w:val="0"/>
          <w:numId w:val="0"/>
        </w:numPr>
        <w:ind w:firstLine="420" w:firstLineChars="200"/>
        <w:rPr>
          <w:b w:val="0"/>
          <w:sz w:val="21"/>
        </w:rPr>
      </w:pPr>
      <w:r>
        <w:rPr>
          <w:b w:val="0"/>
          <w:sz w:val="21"/>
        </w:rPr>
        <w:t>6</w:t>
      </w:r>
      <w:r>
        <w:rPr>
          <w:rFonts w:hint="eastAsia"/>
          <w:b w:val="0"/>
          <w:sz w:val="21"/>
        </w:rPr>
        <w:t>.7 供应商应在接到梅州卷烟厂书面入场通知后派遣技术熟练和称职的技术人员进行现场设备改造、安装调试工作，使项目达到合同规定的要求。如供应商不能按时开工，应在前述梅州卷烟厂书面通知约定开工日期前3个工作日向梅州卷烟厂书面请求延期开工，并经梅州卷烟厂同意后顺延工期。如梅州卷烟厂不同意供应商的延期要求或供应商未在规定时间内提出延期开工要求，工期不得顺延。</w:t>
      </w:r>
    </w:p>
    <w:p>
      <w:pPr>
        <w:pStyle w:val="13"/>
        <w:numPr>
          <w:ilvl w:val="0"/>
          <w:numId w:val="0"/>
        </w:numPr>
        <w:ind w:firstLine="420" w:firstLineChars="200"/>
        <w:rPr>
          <w:b w:val="0"/>
          <w:sz w:val="21"/>
        </w:rPr>
      </w:pPr>
      <w:r>
        <w:rPr>
          <w:b w:val="0"/>
          <w:sz w:val="21"/>
        </w:rPr>
        <w:t>6</w:t>
      </w:r>
      <w:r>
        <w:rPr>
          <w:rFonts w:hint="eastAsia"/>
          <w:b w:val="0"/>
          <w:sz w:val="21"/>
        </w:rPr>
        <w:t>.8 在项目安装调试期间供应商须采取必要措施保护好梅州卷烟厂的设备、附属设施（如线缆、桥架等）、建筑主体及装饰面层（如树脂地板、墙面等），因供应商安装造成梅州卷烟厂相关设备、附属设施、建筑主体及装饰面层被破坏或损坏的，或因供应商提供的设备（含配套材料等）自身存在的问题影响项目安装调试的，由供应商负责修复、整改或赔偿，发生的一切费用（包括梅州卷烟厂委托第三方进行修复所发生的费用）均由供应商承担。</w:t>
      </w:r>
    </w:p>
    <w:p>
      <w:pPr>
        <w:pStyle w:val="13"/>
        <w:numPr>
          <w:ilvl w:val="0"/>
          <w:numId w:val="0"/>
        </w:numPr>
        <w:ind w:firstLine="420" w:firstLineChars="200"/>
        <w:rPr>
          <w:b w:val="0"/>
          <w:sz w:val="21"/>
        </w:rPr>
      </w:pPr>
      <w:r>
        <w:rPr>
          <w:b w:val="0"/>
          <w:sz w:val="21"/>
        </w:rPr>
        <w:t>6</w:t>
      </w:r>
      <w:r>
        <w:rPr>
          <w:rFonts w:hint="eastAsia"/>
          <w:b w:val="0"/>
          <w:sz w:val="21"/>
        </w:rPr>
        <w:t>.9 供应商须免费负责本项目须废除的既有设备和附属设施的保护性拆除并全部完整地交回给梅州卷烟厂，放置在梅州卷烟厂指定的存放场所，在拆除及交回过程中因供应商原因造成损坏的，由供应商负责修复或赔偿。</w:t>
      </w:r>
    </w:p>
    <w:p>
      <w:pPr>
        <w:pStyle w:val="13"/>
        <w:numPr>
          <w:ilvl w:val="0"/>
          <w:numId w:val="0"/>
        </w:numPr>
        <w:ind w:firstLine="420" w:firstLineChars="200"/>
        <w:rPr>
          <w:b w:val="0"/>
          <w:sz w:val="21"/>
        </w:rPr>
      </w:pPr>
      <w:r>
        <w:rPr>
          <w:b w:val="0"/>
          <w:sz w:val="21"/>
        </w:rPr>
        <w:t>6</w:t>
      </w:r>
      <w:r>
        <w:rPr>
          <w:rFonts w:hint="eastAsia"/>
          <w:b w:val="0"/>
          <w:sz w:val="21"/>
        </w:rPr>
        <w:t>.10 供应商的技术人员在梅州卷烟厂现场进行安装调试期间须接受梅州卷烟厂的协调和管理，供应商应严格遵守各项项目实施安全法律法规和规程与梅州卷烟厂相关安全管理规章制度，须采取严格的安全措施确保安全，在设备及材料安装调试过程中出现的一切安全问题和事故，由供应商自行解决，并承担由此产生的经济和法律责任。由于供应商原因造成的所有损失，由供应商承担。</w:t>
      </w:r>
    </w:p>
    <w:p>
      <w:pPr>
        <w:pStyle w:val="13"/>
        <w:numPr>
          <w:ilvl w:val="0"/>
          <w:numId w:val="0"/>
        </w:numPr>
        <w:ind w:firstLine="420" w:firstLineChars="200"/>
        <w:rPr>
          <w:b w:val="0"/>
          <w:sz w:val="21"/>
        </w:rPr>
      </w:pPr>
      <w:r>
        <w:rPr>
          <w:b w:val="0"/>
          <w:sz w:val="21"/>
        </w:rPr>
        <w:t>6</w:t>
      </w:r>
      <w:r>
        <w:rPr>
          <w:rFonts w:hint="eastAsia"/>
          <w:b w:val="0"/>
          <w:sz w:val="21"/>
        </w:rPr>
        <w:t>.11 在完成项下全部新增设备、配套安装材料的安装、调试及本次购置一套无油螺杆空气压缩机升级改造项目其他相关服务内容后，由供应商提出书面验收申请，并由梅州卷烟厂组织验收并确认项目是否具备进入试运行条件。</w:t>
      </w:r>
    </w:p>
    <w:p>
      <w:pPr>
        <w:pStyle w:val="13"/>
        <w:numPr>
          <w:ilvl w:val="0"/>
          <w:numId w:val="0"/>
        </w:numPr>
        <w:ind w:firstLine="420" w:firstLineChars="200"/>
        <w:rPr>
          <w:b w:val="0"/>
          <w:sz w:val="21"/>
        </w:rPr>
      </w:pPr>
      <w:r>
        <w:rPr>
          <w:b w:val="0"/>
          <w:sz w:val="21"/>
        </w:rPr>
        <w:t>6</w:t>
      </w:r>
      <w:r>
        <w:rPr>
          <w:rFonts w:hint="eastAsia"/>
          <w:b w:val="0"/>
          <w:sz w:val="21"/>
        </w:rPr>
        <w:t>.12 在项目安装调试期间，供应商须严格按照合同、投标文件、招标文件相关技术规范、安全规范等要求开展项目各项完善工作，并主动配合完成梅州卷烟厂依据企业相关规章制度要求提出的各项合理性整改要求，若因此导致安装调试工期延误或其他非梅州卷烟厂原因引起的安装调试工期延误，工期予以顺延。因此引起的工期超期，供应商须承担相应的工期违约责任。</w:t>
      </w:r>
    </w:p>
    <w:p>
      <w:pPr>
        <w:pStyle w:val="13"/>
        <w:numPr>
          <w:ilvl w:val="0"/>
          <w:numId w:val="0"/>
        </w:numPr>
        <w:ind w:firstLine="422" w:firstLineChars="200"/>
        <w:rPr>
          <w:sz w:val="21"/>
        </w:rPr>
      </w:pPr>
      <w:r>
        <w:rPr>
          <w:rFonts w:hint="eastAsia"/>
          <w:sz w:val="21"/>
        </w:rPr>
        <w:t>七、试运行要求</w:t>
      </w:r>
    </w:p>
    <w:p>
      <w:pPr>
        <w:pStyle w:val="13"/>
        <w:numPr>
          <w:ilvl w:val="0"/>
          <w:numId w:val="0"/>
        </w:numPr>
        <w:ind w:firstLine="420" w:firstLineChars="200"/>
        <w:rPr>
          <w:b w:val="0"/>
          <w:sz w:val="21"/>
        </w:rPr>
      </w:pPr>
      <w:r>
        <w:rPr>
          <w:b w:val="0"/>
          <w:sz w:val="21"/>
        </w:rPr>
        <w:t>7</w:t>
      </w:r>
      <w:r>
        <w:rPr>
          <w:rFonts w:hint="eastAsia"/>
          <w:b w:val="0"/>
          <w:sz w:val="21"/>
        </w:rPr>
        <w:t>.1项目试运行时间</w:t>
      </w:r>
      <w:r>
        <w:rPr>
          <w:b w:val="0"/>
          <w:sz w:val="21"/>
        </w:rPr>
        <w:t>: 90</w:t>
      </w:r>
      <w:r>
        <w:rPr>
          <w:rFonts w:hint="eastAsia"/>
          <w:b w:val="0"/>
          <w:sz w:val="21"/>
        </w:rPr>
        <w:t>日，具体开始时间由梅州卷烟厂确认项目进入试运行之日起开始计算。</w:t>
      </w:r>
    </w:p>
    <w:p>
      <w:pPr>
        <w:pStyle w:val="13"/>
        <w:numPr>
          <w:ilvl w:val="0"/>
          <w:numId w:val="0"/>
        </w:numPr>
        <w:ind w:firstLine="420" w:firstLineChars="200"/>
        <w:rPr>
          <w:b w:val="0"/>
          <w:sz w:val="21"/>
        </w:rPr>
      </w:pPr>
      <w:r>
        <w:rPr>
          <w:b w:val="0"/>
          <w:sz w:val="21"/>
        </w:rPr>
        <w:t>7</w:t>
      </w:r>
      <w:r>
        <w:rPr>
          <w:rFonts w:hint="eastAsia"/>
          <w:b w:val="0"/>
          <w:sz w:val="21"/>
        </w:rPr>
        <w:t>.2在项目试运行期间，供应商的技术人员需对系统运行情况进行收集与分析，发现异常情况立即处理。</w:t>
      </w:r>
    </w:p>
    <w:p>
      <w:pPr>
        <w:pStyle w:val="13"/>
        <w:numPr>
          <w:ilvl w:val="0"/>
          <w:numId w:val="0"/>
        </w:numPr>
        <w:rPr>
          <w:b w:val="0"/>
          <w:sz w:val="21"/>
        </w:rPr>
      </w:pPr>
      <w:r>
        <w:rPr>
          <w:b w:val="0"/>
          <w:sz w:val="21"/>
        </w:rPr>
        <w:t>7</w:t>
      </w:r>
      <w:r>
        <w:rPr>
          <w:rFonts w:hint="eastAsia"/>
          <w:b w:val="0"/>
          <w:sz w:val="21"/>
        </w:rPr>
        <w:t>.3在项目试运行期间供应商应确保新增空调设备、改造空调设备的稳定性和温湿度控制精度，梅州卷烟厂技术人员将每日记录系统运行情况（详见合同附件四），</w:t>
      </w:r>
      <w:r>
        <w:rPr>
          <w:b w:val="0"/>
          <w:sz w:val="21"/>
        </w:rPr>
        <w:t>如出现温湿度控制偏差超限、直膨机组换热异常、新风过滤失效、加湿/除湿功能故障、新风补风风量不足、气流组织紊乱等问题导致影响实验室现有环境参数稳定的，</w:t>
      </w:r>
      <w:r>
        <w:rPr>
          <w:rFonts w:hint="eastAsia"/>
          <w:b w:val="0"/>
          <w:sz w:val="21"/>
        </w:rPr>
        <w:t>由供应商立即处理及整改，故障排除后供应商需填写故障处理记录（详见合同附件五），重大故障处理还需出具故障处理报告，所需整改费用由供应商承担，同时供应商并应赔偿梅州卷烟厂因此遭受的一切损失。</w:t>
      </w:r>
    </w:p>
    <w:p>
      <w:pPr>
        <w:pStyle w:val="13"/>
        <w:numPr>
          <w:ilvl w:val="0"/>
          <w:numId w:val="0"/>
        </w:numPr>
        <w:rPr>
          <w:b w:val="0"/>
          <w:sz w:val="21"/>
        </w:rPr>
      </w:pPr>
      <w:r>
        <w:rPr>
          <w:b w:val="0"/>
          <w:sz w:val="21"/>
        </w:rPr>
        <w:t>7</w:t>
      </w:r>
      <w:r>
        <w:rPr>
          <w:rFonts w:hint="eastAsia"/>
          <w:b w:val="0"/>
          <w:sz w:val="21"/>
        </w:rPr>
        <w:t>.4在项目试运行期间，梅州卷烟厂应积极配合试运行工作，若因非供应商原因引起的延误，试运行时间予以顺延。</w:t>
      </w:r>
    </w:p>
    <w:p>
      <w:pPr>
        <w:pStyle w:val="13"/>
        <w:numPr>
          <w:ilvl w:val="0"/>
          <w:numId w:val="0"/>
        </w:numPr>
        <w:rPr>
          <w:b w:val="0"/>
          <w:sz w:val="21"/>
        </w:rPr>
      </w:pPr>
      <w:r>
        <w:rPr>
          <w:b w:val="0"/>
          <w:sz w:val="21"/>
        </w:rPr>
        <w:t>7</w:t>
      </w:r>
      <w:r>
        <w:rPr>
          <w:rFonts w:hint="eastAsia"/>
          <w:b w:val="0"/>
          <w:sz w:val="21"/>
        </w:rPr>
        <w:t>.5在项目试运行期间，梅州卷烟厂的技术人员针对系统运行情况提出合理的整改和完善要求，供应商需予以解决，同时问题整改和完善等一切费用均由供应商承担。</w:t>
      </w:r>
    </w:p>
    <w:p>
      <w:pPr>
        <w:pStyle w:val="13"/>
        <w:numPr>
          <w:ilvl w:val="0"/>
          <w:numId w:val="0"/>
        </w:numPr>
        <w:rPr>
          <w:sz w:val="21"/>
        </w:rPr>
      </w:pPr>
      <w:r>
        <w:rPr>
          <w:rFonts w:hint="eastAsia"/>
          <w:sz w:val="21"/>
        </w:rPr>
        <w:t>八、验收要求</w:t>
      </w:r>
    </w:p>
    <w:p>
      <w:pPr>
        <w:pStyle w:val="13"/>
        <w:numPr>
          <w:ilvl w:val="0"/>
          <w:numId w:val="0"/>
        </w:numPr>
        <w:rPr>
          <w:b w:val="0"/>
          <w:sz w:val="21"/>
        </w:rPr>
      </w:pPr>
      <w:r>
        <w:rPr>
          <w:b w:val="0"/>
          <w:sz w:val="21"/>
        </w:rPr>
        <w:t>8</w:t>
      </w:r>
      <w:r>
        <w:rPr>
          <w:rFonts w:hint="eastAsia"/>
          <w:b w:val="0"/>
          <w:sz w:val="21"/>
        </w:rPr>
        <w:t>.1验收机构组成：由梅州卷烟厂相关部门人员及供应商</w:t>
      </w:r>
      <w:r>
        <w:rPr>
          <w:b w:val="0"/>
          <w:sz w:val="21"/>
        </w:rPr>
        <w:t>相关人员</w:t>
      </w:r>
      <w:r>
        <w:rPr>
          <w:rFonts w:hint="eastAsia"/>
          <w:b w:val="0"/>
          <w:sz w:val="21"/>
        </w:rPr>
        <w:t>组成。</w:t>
      </w:r>
    </w:p>
    <w:p>
      <w:pPr>
        <w:pStyle w:val="13"/>
        <w:numPr>
          <w:ilvl w:val="0"/>
          <w:numId w:val="0"/>
        </w:numPr>
        <w:rPr>
          <w:b w:val="0"/>
          <w:sz w:val="21"/>
        </w:rPr>
      </w:pPr>
      <w:r>
        <w:rPr>
          <w:b w:val="0"/>
          <w:sz w:val="21"/>
        </w:rPr>
        <w:t>8</w:t>
      </w:r>
      <w:r>
        <w:rPr>
          <w:rFonts w:hint="eastAsia"/>
          <w:b w:val="0"/>
          <w:sz w:val="21"/>
        </w:rPr>
        <w:t>.2验收形式分为安装调试验收和项目验收两部分。</w:t>
      </w:r>
    </w:p>
    <w:p>
      <w:pPr>
        <w:pStyle w:val="13"/>
        <w:numPr>
          <w:ilvl w:val="0"/>
          <w:numId w:val="0"/>
        </w:numPr>
        <w:rPr>
          <w:b w:val="0"/>
          <w:sz w:val="21"/>
        </w:rPr>
      </w:pPr>
      <w:r>
        <w:rPr>
          <w:b w:val="0"/>
          <w:sz w:val="21"/>
        </w:rPr>
        <w:t>8</w:t>
      </w:r>
      <w:r>
        <w:rPr>
          <w:rFonts w:hint="eastAsia"/>
          <w:b w:val="0"/>
          <w:sz w:val="21"/>
        </w:rPr>
        <w:t>.2.1安装调试验收。项目完成安装调试结束后进入试运行期前，由供应商提出书面验收申请，并由梅州卷烟厂确认项目具备验收条件后，按合同附件三规定的内容对项目组织进行安装调试验收。若验收结果整体符合要求，则由梅州卷烟厂出具验收报告，双方签字确认，标志着安装调试阶段顺利完成，项目可进入试运行阶段。若在验收过程中发现供应商完成的项目内容存在不符合要求之处，供应商需承担全部整改责任，包括人力、物力、财力等方面的投入，确保项目达到合格标准，以保障后续试运行及正式运行的顺利进行。</w:t>
      </w:r>
    </w:p>
    <w:p>
      <w:pPr>
        <w:pStyle w:val="13"/>
        <w:numPr>
          <w:ilvl w:val="0"/>
          <w:numId w:val="0"/>
        </w:numPr>
        <w:rPr>
          <w:b w:val="0"/>
          <w:sz w:val="21"/>
        </w:rPr>
      </w:pPr>
      <w:r>
        <w:rPr>
          <w:b w:val="0"/>
          <w:sz w:val="21"/>
        </w:rPr>
        <w:t>8</w:t>
      </w:r>
      <w:r>
        <w:rPr>
          <w:rFonts w:hint="eastAsia"/>
          <w:b w:val="0"/>
          <w:sz w:val="21"/>
        </w:rPr>
        <w:t>.2.2项目验收。项目完成试运行后，由供应商提出书面验收申请，并由梅州卷烟厂确认项目具备验收条件后，双方在10日内按合同附件六规定的内容对项目进行项目验收，项目验收合格后由梅州卷烟厂出具验收报告并由双方签名确认，如供应商完成的项目内容如有不符合要求的，由供应商负责整改，整改的全部费用由供应商负责。</w:t>
      </w:r>
    </w:p>
    <w:p>
      <w:pPr>
        <w:pStyle w:val="13"/>
        <w:numPr>
          <w:ilvl w:val="0"/>
          <w:numId w:val="0"/>
        </w:numPr>
        <w:rPr>
          <w:b w:val="0"/>
          <w:sz w:val="21"/>
        </w:rPr>
      </w:pPr>
      <w:r>
        <w:rPr>
          <w:b w:val="0"/>
          <w:sz w:val="21"/>
        </w:rPr>
        <w:t>8</w:t>
      </w:r>
      <w:r>
        <w:rPr>
          <w:rFonts w:hint="eastAsia"/>
          <w:b w:val="0"/>
          <w:sz w:val="21"/>
        </w:rPr>
        <w:t>.3在梅州卷烟厂组织项目验收时，供应商应及时、充分地配合梅州卷烟厂，如供应商在接到梅州卷烟厂书面通知后仍不及时到现场配合验收，则视供应商的合同义务未履行，供应商应承担违约责任，由此造成梅州卷烟厂损失的，梅州卷烟厂有权提出索赔，供应商应予以赔偿。</w:t>
      </w:r>
    </w:p>
    <w:p>
      <w:pPr>
        <w:pStyle w:val="13"/>
        <w:numPr>
          <w:ilvl w:val="0"/>
          <w:numId w:val="0"/>
        </w:numPr>
        <w:rPr>
          <w:sz w:val="21"/>
        </w:rPr>
      </w:pPr>
      <w:r>
        <w:rPr>
          <w:rFonts w:hint="eastAsia"/>
          <w:sz w:val="21"/>
        </w:rPr>
        <w:t>九</w:t>
      </w:r>
      <w:r>
        <w:rPr>
          <w:sz w:val="21"/>
        </w:rPr>
        <w:t>、</w:t>
      </w:r>
      <w:r>
        <w:rPr>
          <w:rFonts w:hint="eastAsia"/>
          <w:sz w:val="21"/>
        </w:rPr>
        <w:t>结算及支付要求</w:t>
      </w:r>
    </w:p>
    <w:p>
      <w:pPr>
        <w:pStyle w:val="13"/>
        <w:numPr>
          <w:ilvl w:val="0"/>
          <w:numId w:val="0"/>
        </w:numPr>
        <w:rPr>
          <w:b w:val="0"/>
          <w:sz w:val="21"/>
        </w:rPr>
      </w:pPr>
      <w:r>
        <w:rPr>
          <w:b w:val="0"/>
          <w:sz w:val="21"/>
        </w:rPr>
        <w:t>9</w:t>
      </w:r>
      <w:r>
        <w:rPr>
          <w:rFonts w:hint="eastAsia"/>
          <w:b w:val="0"/>
          <w:sz w:val="21"/>
        </w:rPr>
        <w:t>.1 税费</w:t>
      </w:r>
    </w:p>
    <w:p>
      <w:pPr>
        <w:pStyle w:val="13"/>
        <w:numPr>
          <w:ilvl w:val="0"/>
          <w:numId w:val="0"/>
        </w:numPr>
        <w:rPr>
          <w:b w:val="0"/>
          <w:sz w:val="21"/>
        </w:rPr>
      </w:pPr>
      <w:r>
        <w:rPr>
          <w:b w:val="0"/>
          <w:sz w:val="21"/>
        </w:rPr>
        <w:t>9.</w:t>
      </w:r>
      <w:r>
        <w:rPr>
          <w:rFonts w:hint="eastAsia"/>
          <w:b w:val="0"/>
          <w:sz w:val="21"/>
        </w:rPr>
        <w:t>1.1 中国政府根据现行税法对梅州卷烟厂征收的与本项目合同有关的一切税费均应由梅州卷烟厂负担。</w:t>
      </w:r>
    </w:p>
    <w:p>
      <w:pPr>
        <w:pStyle w:val="13"/>
        <w:numPr>
          <w:ilvl w:val="0"/>
          <w:numId w:val="0"/>
        </w:numPr>
        <w:rPr>
          <w:b w:val="0"/>
          <w:sz w:val="21"/>
        </w:rPr>
      </w:pPr>
      <w:r>
        <w:rPr>
          <w:b w:val="0"/>
          <w:sz w:val="21"/>
        </w:rPr>
        <w:t>9.</w:t>
      </w:r>
      <w:r>
        <w:rPr>
          <w:rFonts w:hint="eastAsia"/>
          <w:b w:val="0"/>
          <w:sz w:val="21"/>
        </w:rPr>
        <w:t>1.2</w:t>
      </w:r>
      <w:r>
        <w:rPr>
          <w:b w:val="0"/>
          <w:sz w:val="21"/>
        </w:rPr>
        <w:t xml:space="preserve"> </w:t>
      </w:r>
      <w:r>
        <w:rPr>
          <w:rFonts w:hint="eastAsia"/>
          <w:b w:val="0"/>
          <w:sz w:val="21"/>
        </w:rPr>
        <w:t>中国政府根据现行的税法规定对供应商或其雇员征收的与本项目合同有关的一切税费(包括但不限于设备和部件及软件的进口关税、所有设备的国内增值税)均应由供应商承担。</w:t>
      </w:r>
    </w:p>
    <w:p>
      <w:pPr>
        <w:pStyle w:val="13"/>
        <w:numPr>
          <w:ilvl w:val="0"/>
          <w:numId w:val="0"/>
        </w:numPr>
        <w:rPr>
          <w:b w:val="0"/>
          <w:sz w:val="21"/>
        </w:rPr>
      </w:pPr>
      <w:r>
        <w:rPr>
          <w:b w:val="0"/>
          <w:sz w:val="21"/>
        </w:rPr>
        <w:t>9.</w:t>
      </w:r>
      <w:r>
        <w:rPr>
          <w:rFonts w:hint="eastAsia"/>
          <w:b w:val="0"/>
          <w:sz w:val="21"/>
        </w:rPr>
        <w:t>1.3</w:t>
      </w:r>
      <w:r>
        <w:rPr>
          <w:b w:val="0"/>
          <w:sz w:val="21"/>
        </w:rPr>
        <w:t xml:space="preserve"> </w:t>
      </w:r>
      <w:r>
        <w:rPr>
          <w:rFonts w:hint="eastAsia"/>
          <w:b w:val="0"/>
          <w:sz w:val="21"/>
        </w:rPr>
        <w:t>在中国境外发生的与本项目合同执行有关的一切税费均应由供应商承担。</w:t>
      </w:r>
    </w:p>
    <w:p>
      <w:pPr>
        <w:pStyle w:val="13"/>
        <w:numPr>
          <w:ilvl w:val="0"/>
          <w:numId w:val="0"/>
        </w:numPr>
        <w:rPr>
          <w:b w:val="0"/>
          <w:sz w:val="21"/>
        </w:rPr>
      </w:pPr>
      <w:r>
        <w:rPr>
          <w:b w:val="0"/>
          <w:sz w:val="21"/>
        </w:rPr>
        <w:t>9.</w:t>
      </w:r>
      <w:r>
        <w:rPr>
          <w:rFonts w:hint="eastAsia"/>
          <w:b w:val="0"/>
          <w:sz w:val="21"/>
        </w:rPr>
        <w:t>2</w:t>
      </w:r>
      <w:r>
        <w:rPr>
          <w:b w:val="0"/>
          <w:sz w:val="21"/>
        </w:rPr>
        <w:t xml:space="preserve"> </w:t>
      </w:r>
      <w:r>
        <w:rPr>
          <w:rFonts w:hint="eastAsia"/>
          <w:b w:val="0"/>
          <w:sz w:val="21"/>
        </w:rPr>
        <w:t>结算金额和支付方式</w:t>
      </w:r>
    </w:p>
    <w:p>
      <w:pPr>
        <w:pStyle w:val="13"/>
        <w:numPr>
          <w:ilvl w:val="0"/>
          <w:numId w:val="0"/>
        </w:numPr>
        <w:rPr>
          <w:b w:val="0"/>
          <w:sz w:val="21"/>
        </w:rPr>
      </w:pPr>
      <w:r>
        <w:rPr>
          <w:b w:val="0"/>
          <w:sz w:val="21"/>
        </w:rPr>
        <w:t>9</w:t>
      </w:r>
      <w:r>
        <w:rPr>
          <w:rFonts w:hint="eastAsia"/>
          <w:b w:val="0"/>
          <w:sz w:val="21"/>
        </w:rPr>
        <w:t>.1 税费</w:t>
      </w:r>
    </w:p>
    <w:p>
      <w:pPr>
        <w:pStyle w:val="13"/>
        <w:numPr>
          <w:ilvl w:val="0"/>
          <w:numId w:val="0"/>
        </w:numPr>
        <w:rPr>
          <w:b w:val="0"/>
          <w:sz w:val="21"/>
        </w:rPr>
      </w:pPr>
      <w:r>
        <w:rPr>
          <w:b w:val="0"/>
          <w:sz w:val="21"/>
        </w:rPr>
        <w:t>9</w:t>
      </w:r>
      <w:r>
        <w:rPr>
          <w:rFonts w:hint="eastAsia"/>
          <w:b w:val="0"/>
          <w:sz w:val="21"/>
        </w:rPr>
        <w:t>.1.1 中国政府根据现行税法对梅州卷烟厂征收的与本项目合同有关的一切税费均应由梅州卷烟厂负担。</w:t>
      </w:r>
    </w:p>
    <w:p>
      <w:pPr>
        <w:pStyle w:val="13"/>
        <w:numPr>
          <w:ilvl w:val="0"/>
          <w:numId w:val="0"/>
        </w:numPr>
        <w:rPr>
          <w:b w:val="0"/>
          <w:sz w:val="21"/>
        </w:rPr>
      </w:pPr>
      <w:r>
        <w:rPr>
          <w:b w:val="0"/>
          <w:sz w:val="21"/>
        </w:rPr>
        <w:t>9</w:t>
      </w:r>
      <w:r>
        <w:rPr>
          <w:rFonts w:hint="eastAsia"/>
          <w:b w:val="0"/>
          <w:sz w:val="21"/>
        </w:rPr>
        <w:t>.1.2 中国政府根据现行的税法规定对供应商或其雇员征收的与本项目合同有关的一切税费(包括但不限于设备和部件及软件的进口关税、所有设备的国内增值税)均应由供应商承担。</w:t>
      </w:r>
    </w:p>
    <w:p>
      <w:pPr>
        <w:pStyle w:val="13"/>
        <w:numPr>
          <w:ilvl w:val="0"/>
          <w:numId w:val="0"/>
        </w:numPr>
        <w:rPr>
          <w:b w:val="0"/>
          <w:sz w:val="21"/>
        </w:rPr>
      </w:pPr>
      <w:r>
        <w:rPr>
          <w:b w:val="0"/>
          <w:sz w:val="21"/>
        </w:rPr>
        <w:t>9</w:t>
      </w:r>
      <w:r>
        <w:rPr>
          <w:rFonts w:hint="eastAsia"/>
          <w:b w:val="0"/>
          <w:sz w:val="21"/>
        </w:rPr>
        <w:t>.1.3 在中国境外发生的与本项目合同执行有关的一切税费均应由供应商承担。</w:t>
      </w:r>
    </w:p>
    <w:p>
      <w:pPr>
        <w:pStyle w:val="13"/>
        <w:numPr>
          <w:ilvl w:val="0"/>
          <w:numId w:val="0"/>
        </w:numPr>
        <w:rPr>
          <w:b w:val="0"/>
          <w:sz w:val="21"/>
        </w:rPr>
      </w:pPr>
      <w:r>
        <w:rPr>
          <w:b w:val="0"/>
          <w:sz w:val="21"/>
        </w:rPr>
        <w:t>9</w:t>
      </w:r>
      <w:r>
        <w:rPr>
          <w:rFonts w:hint="eastAsia"/>
          <w:b w:val="0"/>
          <w:sz w:val="21"/>
        </w:rPr>
        <w:t>.2 结算金额和支付方式</w:t>
      </w:r>
    </w:p>
    <w:p>
      <w:pPr>
        <w:pStyle w:val="13"/>
        <w:numPr>
          <w:ilvl w:val="0"/>
          <w:numId w:val="0"/>
        </w:numPr>
        <w:rPr>
          <w:b w:val="0"/>
          <w:sz w:val="21"/>
        </w:rPr>
      </w:pPr>
      <w:r>
        <w:rPr>
          <w:rFonts w:hint="eastAsia"/>
          <w:b w:val="0"/>
          <w:sz w:val="21"/>
        </w:rPr>
        <w:t>9.2.1支付方式：</w:t>
      </w:r>
    </w:p>
    <w:p>
      <w:pPr>
        <w:pStyle w:val="13"/>
        <w:numPr>
          <w:ilvl w:val="0"/>
          <w:numId w:val="0"/>
        </w:numPr>
        <w:rPr>
          <w:b w:val="0"/>
          <w:sz w:val="21"/>
        </w:rPr>
      </w:pPr>
      <w:r>
        <w:rPr>
          <w:b w:val="0"/>
          <w:sz w:val="21"/>
        </w:rPr>
        <w:t>9</w:t>
      </w:r>
      <w:r>
        <w:rPr>
          <w:rFonts w:hint="eastAsia"/>
          <w:b w:val="0"/>
          <w:sz w:val="21"/>
        </w:rPr>
        <w:t>.2.1.1 梅州卷烟厂在收到全部货物并验收合格后，且梅州卷烟厂收到供应商开具的与应付款项等额的相应税率的增值税专用发票后60日内，支付给供应商项目合同含增值税金额的40%作为项目第一笔款。</w:t>
      </w:r>
    </w:p>
    <w:p>
      <w:pPr>
        <w:pStyle w:val="13"/>
        <w:numPr>
          <w:ilvl w:val="0"/>
          <w:numId w:val="0"/>
        </w:numPr>
        <w:rPr>
          <w:b w:val="0"/>
          <w:sz w:val="21"/>
        </w:rPr>
      </w:pPr>
      <w:r>
        <w:rPr>
          <w:b w:val="0"/>
          <w:sz w:val="21"/>
        </w:rPr>
        <w:t>9</w:t>
      </w:r>
      <w:r>
        <w:rPr>
          <w:rFonts w:hint="eastAsia"/>
          <w:b w:val="0"/>
          <w:sz w:val="21"/>
        </w:rPr>
        <w:t>.2.1.2 项目完成空气压缩机系统升级改造涉及的所有设备、设施安装、调试工作及项目升级改造相关服务内容，并经梅州卷烟厂验收确定进入试运行阶段后，且在梅州卷烟厂收到供应商开具的与应付款项等额的相应税率的增值税专用发票后60日内，支付给供应商合同含增值税金额的40%作为项目第二笔款。</w:t>
      </w:r>
    </w:p>
    <w:p>
      <w:pPr>
        <w:pStyle w:val="13"/>
        <w:numPr>
          <w:ilvl w:val="0"/>
          <w:numId w:val="0"/>
        </w:numPr>
        <w:rPr>
          <w:b w:val="0"/>
          <w:sz w:val="21"/>
        </w:rPr>
      </w:pPr>
      <w:r>
        <w:rPr>
          <w:b w:val="0"/>
          <w:sz w:val="21"/>
        </w:rPr>
        <w:t>9</w:t>
      </w:r>
      <w:r>
        <w:rPr>
          <w:rFonts w:hint="eastAsia"/>
          <w:b w:val="0"/>
          <w:sz w:val="21"/>
        </w:rPr>
        <w:t>.2.1.3 项目试运行结束并验收合格后，且在梅州卷烟厂收到供应商提交的项目质量保证金或质量保函以及开具的与应付款项等额的相应税率的增值税专用发票后60日内，支付给供应商合同含增值税金额的20%作为项目第三笔款。</w:t>
      </w:r>
    </w:p>
    <w:p>
      <w:pPr>
        <w:pStyle w:val="13"/>
        <w:numPr>
          <w:ilvl w:val="0"/>
          <w:numId w:val="0"/>
        </w:numPr>
        <w:rPr>
          <w:b w:val="0"/>
          <w:sz w:val="21"/>
        </w:rPr>
      </w:pPr>
      <w:r>
        <w:rPr>
          <w:b w:val="0"/>
          <w:sz w:val="21"/>
        </w:rPr>
        <w:t>9</w:t>
      </w:r>
      <w:r>
        <w:rPr>
          <w:rFonts w:hint="eastAsia"/>
          <w:b w:val="0"/>
          <w:sz w:val="21"/>
        </w:rPr>
        <w:t>.2.2 合同付款方式为银行转账支付。</w:t>
      </w:r>
    </w:p>
    <w:p>
      <w:pPr>
        <w:pStyle w:val="13"/>
        <w:numPr>
          <w:ilvl w:val="0"/>
          <w:numId w:val="0"/>
        </w:numPr>
        <w:rPr>
          <w:b w:val="0"/>
          <w:sz w:val="21"/>
        </w:rPr>
      </w:pPr>
      <w:r>
        <w:rPr>
          <w:b w:val="0"/>
          <w:sz w:val="21"/>
        </w:rPr>
        <w:t>9</w:t>
      </w:r>
      <w:r>
        <w:rPr>
          <w:rFonts w:hint="eastAsia"/>
          <w:b w:val="0"/>
          <w:sz w:val="21"/>
        </w:rPr>
        <w:t>.2.3合同付款币种：人民币。</w:t>
      </w:r>
    </w:p>
    <w:p>
      <w:pPr>
        <w:pStyle w:val="13"/>
        <w:numPr>
          <w:ilvl w:val="0"/>
          <w:numId w:val="0"/>
        </w:numPr>
        <w:rPr>
          <w:b w:val="0"/>
          <w:sz w:val="21"/>
        </w:rPr>
      </w:pPr>
      <w:r>
        <w:rPr>
          <w:b w:val="0"/>
          <w:sz w:val="21"/>
        </w:rPr>
        <w:t>9</w:t>
      </w:r>
      <w:r>
        <w:rPr>
          <w:rFonts w:hint="eastAsia"/>
          <w:b w:val="0"/>
          <w:sz w:val="21"/>
        </w:rPr>
        <w:t>.2.4 当国家税收政策调整导致增值税率发生变化时，以合同不含增值税总金额为准，并根据政策规定的适用税率调整情况，调整增值税税率、税额、含税价格及合同结算金额[含税价=不含税价×(1+税率)]。</w:t>
      </w:r>
    </w:p>
    <w:p>
      <w:pPr>
        <w:pStyle w:val="13"/>
        <w:numPr>
          <w:ilvl w:val="0"/>
          <w:numId w:val="0"/>
        </w:numPr>
        <w:rPr>
          <w:sz w:val="21"/>
        </w:rPr>
      </w:pPr>
      <w:r>
        <w:rPr>
          <w:rFonts w:hint="eastAsia"/>
          <w:sz w:val="21"/>
        </w:rPr>
        <w:t>十、质保期要求</w:t>
      </w:r>
    </w:p>
    <w:p>
      <w:pPr>
        <w:pStyle w:val="13"/>
        <w:numPr>
          <w:ilvl w:val="0"/>
          <w:numId w:val="0"/>
        </w:numPr>
        <w:rPr>
          <w:b w:val="0"/>
          <w:sz w:val="21"/>
        </w:rPr>
      </w:pPr>
      <w:r>
        <w:rPr>
          <w:b w:val="0"/>
          <w:sz w:val="21"/>
        </w:rPr>
        <w:t xml:space="preserve">10.1 </w:t>
      </w:r>
      <w:r>
        <w:rPr>
          <w:rFonts w:hint="eastAsia"/>
          <w:b w:val="0"/>
          <w:sz w:val="21"/>
        </w:rPr>
        <w:t>质保期是指供应商就本项目向梅州卷烟厂承诺提供的设备、</w:t>
      </w:r>
      <w:r>
        <w:rPr>
          <w:b w:val="0"/>
          <w:sz w:val="21"/>
        </w:rPr>
        <w:t>系统及</w:t>
      </w:r>
      <w:r>
        <w:rPr>
          <w:rFonts w:hint="eastAsia"/>
          <w:b w:val="0"/>
          <w:sz w:val="21"/>
        </w:rPr>
        <w:t>部件免费保修的有效期限，以下简称质保期。</w:t>
      </w:r>
    </w:p>
    <w:p>
      <w:pPr>
        <w:pStyle w:val="13"/>
        <w:numPr>
          <w:ilvl w:val="0"/>
          <w:numId w:val="0"/>
        </w:numPr>
        <w:rPr>
          <w:b w:val="0"/>
          <w:sz w:val="21"/>
        </w:rPr>
      </w:pPr>
      <w:r>
        <w:rPr>
          <w:b w:val="0"/>
          <w:sz w:val="21"/>
        </w:rPr>
        <w:t xml:space="preserve">10.2 </w:t>
      </w:r>
      <w:r>
        <w:rPr>
          <w:rFonts w:hint="eastAsia"/>
          <w:b w:val="0"/>
          <w:sz w:val="21"/>
        </w:rPr>
        <w:t>供应商须就本项目</w:t>
      </w:r>
      <w:bookmarkStart w:id="9" w:name="OLE_LINK67"/>
      <w:bookmarkStart w:id="10" w:name="OLE_LINK68"/>
      <w:r>
        <w:rPr>
          <w:rFonts w:hint="eastAsia"/>
          <w:b w:val="0"/>
          <w:sz w:val="21"/>
        </w:rPr>
        <w:t>空气</w:t>
      </w:r>
      <w:r>
        <w:rPr>
          <w:b w:val="0"/>
          <w:sz w:val="21"/>
        </w:rPr>
        <w:t>压缩机系统</w:t>
      </w:r>
      <w:r>
        <w:rPr>
          <w:rFonts w:hint="eastAsia"/>
          <w:b w:val="0"/>
          <w:sz w:val="21"/>
        </w:rPr>
        <w:t>升级</w:t>
      </w:r>
      <w:r>
        <w:rPr>
          <w:b w:val="0"/>
          <w:sz w:val="21"/>
        </w:rPr>
        <w:t>改造</w:t>
      </w:r>
      <w:r>
        <w:rPr>
          <w:rFonts w:hint="eastAsia"/>
          <w:b w:val="0"/>
          <w:sz w:val="21"/>
        </w:rPr>
        <w:t>相关</w:t>
      </w:r>
      <w:r>
        <w:rPr>
          <w:b w:val="0"/>
          <w:sz w:val="21"/>
        </w:rPr>
        <w:t>设备设施及服务内容</w:t>
      </w:r>
      <w:bookmarkEnd w:id="9"/>
      <w:bookmarkEnd w:id="10"/>
      <w:r>
        <w:rPr>
          <w:rFonts w:hint="eastAsia"/>
          <w:b w:val="0"/>
          <w:sz w:val="21"/>
        </w:rPr>
        <w:t>向梅州卷烟厂提供至少</w:t>
      </w:r>
      <w:r>
        <w:rPr>
          <w:b w:val="0"/>
          <w:sz w:val="21"/>
        </w:rPr>
        <w:t>1</w:t>
      </w:r>
      <w:r>
        <w:rPr>
          <w:rFonts w:hint="eastAsia"/>
          <w:b w:val="0"/>
          <w:sz w:val="21"/>
        </w:rPr>
        <w:t>年的质保期，质保期从本项目验收合格之日起算起。</w:t>
      </w:r>
    </w:p>
    <w:p>
      <w:pPr>
        <w:pStyle w:val="13"/>
        <w:numPr>
          <w:ilvl w:val="0"/>
          <w:numId w:val="0"/>
        </w:numPr>
        <w:rPr>
          <w:b w:val="0"/>
          <w:sz w:val="21"/>
        </w:rPr>
      </w:pPr>
      <w:r>
        <w:rPr>
          <w:b w:val="0"/>
          <w:sz w:val="21"/>
        </w:rPr>
        <w:t xml:space="preserve">10.3 </w:t>
      </w:r>
      <w:r>
        <w:rPr>
          <w:rFonts w:hint="eastAsia"/>
          <w:b w:val="0"/>
          <w:sz w:val="21"/>
        </w:rPr>
        <w:t>在质保期内，供应商须提供</w:t>
      </w:r>
      <w:r>
        <w:rPr>
          <w:b w:val="0"/>
          <w:sz w:val="21"/>
        </w:rPr>
        <w:t>7*24小时的远程及现场技术支持服务(包括产品生产厂家的远程及现场技术支持服务)，供应商</w:t>
      </w:r>
      <w:r>
        <w:rPr>
          <w:rFonts w:hint="eastAsia"/>
          <w:b w:val="0"/>
          <w:sz w:val="21"/>
        </w:rPr>
        <w:t>须在接到梅州卷烟厂电话咨询的</w:t>
      </w:r>
      <w:r>
        <w:rPr>
          <w:b w:val="0"/>
          <w:sz w:val="21"/>
        </w:rPr>
        <w:t>0.5小时内安排技术人员给出详细解答解决问题，对于无法在电话中解决的问题，供应商的技术人员</w:t>
      </w:r>
      <w:r>
        <w:rPr>
          <w:rFonts w:hint="eastAsia"/>
          <w:b w:val="0"/>
          <w:sz w:val="21"/>
        </w:rPr>
        <w:t>须在</w:t>
      </w:r>
      <w:r>
        <w:rPr>
          <w:b w:val="0"/>
          <w:sz w:val="21"/>
        </w:rPr>
        <w:t>24</w:t>
      </w:r>
      <w:r>
        <w:rPr>
          <w:rFonts w:hint="eastAsia"/>
          <w:b w:val="0"/>
          <w:sz w:val="21"/>
        </w:rPr>
        <w:t>小时内到达梅州卷烟厂生产现场进行处理，若供应商不能解决或不能及时解决，梅州卷烟厂有权自行委托第三方解决，所需费用由供应商承担。</w:t>
      </w:r>
    </w:p>
    <w:p>
      <w:pPr>
        <w:pStyle w:val="13"/>
        <w:numPr>
          <w:ilvl w:val="0"/>
          <w:numId w:val="0"/>
        </w:numPr>
        <w:rPr>
          <w:b w:val="0"/>
          <w:sz w:val="21"/>
        </w:rPr>
      </w:pPr>
      <w:r>
        <w:rPr>
          <w:b w:val="0"/>
          <w:sz w:val="21"/>
        </w:rPr>
        <w:t>10.4 在质保期内，梅州卷烟厂除享受生产厂家保修服务单上所提供的三包服务外，非甲方人为原因造成本项目涉及的高精度精密空调、普通精度精密空调、新风空调机组的变频器、驱动电机、室外机、直膨换热盘管、加湿除湿模块、新风过滤段、风阀部件故障或损坏，冷媒管路阀门、管件变形破损、冷媒泄漏、机组运行不稳定、温湿度控制精度超限等问题，供应商须免费委派技术人员到梅州卷烟厂所在地进行技术诊断和解决，并负责包修、包换或包退，承担因此而产生的一切费用，所有原生产厂家发生的保修、包换服务项目也属供应商质保期服务范围内。如因梅州卷烟厂违反操作规程而导致设备损坏，供应商有协助梅州卷烟厂修复的义务，但梅州卷烟厂应承担修复所发生的费用。同时供应商须配置常用的零部件，在出现故障的时候予以更换，如现场维修无法修复的须有替代备用机，以保证梅州卷烟厂实验室环境参数稳定、正常使用。</w:t>
      </w:r>
    </w:p>
    <w:p>
      <w:pPr>
        <w:pStyle w:val="13"/>
        <w:numPr>
          <w:ilvl w:val="0"/>
          <w:numId w:val="0"/>
        </w:numPr>
        <w:rPr>
          <w:b w:val="0"/>
          <w:sz w:val="21"/>
        </w:rPr>
      </w:pPr>
      <w:r>
        <w:rPr>
          <w:b w:val="0"/>
          <w:sz w:val="21"/>
        </w:rPr>
        <w:t xml:space="preserve">10.5 </w:t>
      </w:r>
      <w:r>
        <w:rPr>
          <w:rFonts w:hint="eastAsia"/>
          <w:b w:val="0"/>
          <w:sz w:val="21"/>
        </w:rPr>
        <w:t>在质保期内，供应商一年须免费至少</w:t>
      </w:r>
      <w:r>
        <w:rPr>
          <w:b w:val="0"/>
          <w:sz w:val="21"/>
        </w:rPr>
        <w:t>1</w:t>
      </w:r>
      <w:r>
        <w:rPr>
          <w:rFonts w:hint="eastAsia"/>
          <w:b w:val="0"/>
          <w:sz w:val="21"/>
        </w:rPr>
        <w:t>次委派技术人员到梅州卷烟厂生产现场对设备进行维护和巡查，提供设备正常使用下的检查及保养服务，时间由梅州卷烟厂安排。</w:t>
      </w:r>
    </w:p>
    <w:p>
      <w:pPr>
        <w:pStyle w:val="13"/>
        <w:numPr>
          <w:ilvl w:val="0"/>
          <w:numId w:val="0"/>
        </w:numPr>
        <w:rPr>
          <w:b w:val="0"/>
          <w:sz w:val="21"/>
        </w:rPr>
      </w:pPr>
      <w:r>
        <w:rPr>
          <w:b w:val="0"/>
          <w:sz w:val="21"/>
        </w:rPr>
        <w:t xml:space="preserve">10.6 </w:t>
      </w:r>
      <w:r>
        <w:rPr>
          <w:rFonts w:hint="eastAsia"/>
          <w:b w:val="0"/>
          <w:sz w:val="21"/>
        </w:rPr>
        <w:t>在质保期内，所有设备、零部件等均由供应商免费送货至梅州卷烟厂指定的交货地点并负责安装调试好，在运送货物至交货地点的路途中所发生的一切费用由供应商承担。</w:t>
      </w:r>
    </w:p>
    <w:p>
      <w:pPr>
        <w:spacing w:line="360" w:lineRule="auto"/>
        <w:rPr>
          <w:rFonts w:ascii="宋体" w:hAnsi="宋体"/>
          <w:b/>
        </w:rPr>
      </w:pPr>
      <w:r>
        <w:rPr>
          <w:rFonts w:hint="eastAsia" w:ascii="宋体" w:hAnsi="宋体"/>
          <w:b/>
        </w:rPr>
        <w:t>十一、报价要求</w:t>
      </w:r>
    </w:p>
    <w:p>
      <w:pPr>
        <w:spacing w:line="360" w:lineRule="auto"/>
        <w:rPr>
          <w:rFonts w:ascii="宋体" w:hAnsi="宋体"/>
          <w:szCs w:val="21"/>
          <w:lang w:val="zh-CN"/>
        </w:rPr>
      </w:pPr>
      <w:r>
        <w:rPr>
          <w:rFonts w:hint="eastAsia" w:ascii="宋体" w:hAnsi="宋体"/>
          <w:szCs w:val="21"/>
        </w:rPr>
        <w:t>1</w:t>
      </w:r>
      <w:r>
        <w:rPr>
          <w:rFonts w:ascii="宋体" w:hAnsi="宋体"/>
          <w:szCs w:val="21"/>
        </w:rPr>
        <w:t>1</w:t>
      </w:r>
      <w:r>
        <w:rPr>
          <w:rFonts w:hint="eastAsia" w:ascii="宋体" w:hAnsi="宋体"/>
          <w:szCs w:val="21"/>
        </w:rPr>
        <w:t>.1贵司需在了解</w:t>
      </w:r>
      <w:r>
        <w:rPr>
          <w:rFonts w:hint="eastAsia" w:ascii="宋体" w:hAnsi="宋体"/>
          <w:szCs w:val="21"/>
          <w:lang w:eastAsia="zh-CN"/>
        </w:rPr>
        <w:t>梅州卷烟厂</w:t>
      </w:r>
      <w:r>
        <w:rPr>
          <w:rFonts w:ascii="宋体" w:hAnsi="宋体"/>
          <w:szCs w:val="21"/>
        </w:rPr>
        <w:t>采购内容</w:t>
      </w:r>
      <w:r>
        <w:rPr>
          <w:rFonts w:hint="eastAsia" w:ascii="宋体" w:hAnsi="宋体"/>
          <w:szCs w:val="21"/>
        </w:rPr>
        <w:t>所需各类服务、质量、要求和实际需求后进行报价</w:t>
      </w:r>
      <w:r>
        <w:rPr>
          <w:rFonts w:hint="eastAsia" w:ascii="宋体" w:hAnsi="宋体"/>
          <w:b/>
          <w:bCs/>
          <w:szCs w:val="21"/>
        </w:rPr>
        <w:t>【</w:t>
      </w:r>
      <w:r>
        <w:rPr>
          <w:rFonts w:ascii="宋体" w:hAnsi="宋体"/>
          <w:b/>
          <w:bCs/>
          <w:szCs w:val="21"/>
        </w:rPr>
        <w:t>报各项</w:t>
      </w:r>
      <w:r>
        <w:rPr>
          <w:rFonts w:hint="eastAsia" w:ascii="宋体" w:hAnsi="宋体"/>
          <w:b/>
          <w:bCs/>
          <w:szCs w:val="21"/>
        </w:rPr>
        <w:t>不含</w:t>
      </w:r>
      <w:r>
        <w:rPr>
          <w:rFonts w:ascii="宋体" w:hAnsi="宋体"/>
          <w:b/>
          <w:bCs/>
          <w:szCs w:val="21"/>
        </w:rPr>
        <w:t>增值税、含增值税单价</w:t>
      </w:r>
      <w:r>
        <w:rPr>
          <w:rFonts w:hint="eastAsia" w:ascii="宋体" w:hAnsi="宋体"/>
          <w:b/>
          <w:bCs/>
          <w:szCs w:val="21"/>
        </w:rPr>
        <w:t>；不含</w:t>
      </w:r>
      <w:r>
        <w:rPr>
          <w:rFonts w:ascii="宋体" w:hAnsi="宋体"/>
          <w:b/>
          <w:bCs/>
          <w:szCs w:val="21"/>
        </w:rPr>
        <w:t>增值税、含增值税</w:t>
      </w:r>
      <w:r>
        <w:rPr>
          <w:rFonts w:hint="eastAsia" w:ascii="宋体" w:hAnsi="宋体"/>
          <w:b/>
          <w:bCs/>
          <w:szCs w:val="21"/>
        </w:rPr>
        <w:t>总价</w:t>
      </w:r>
      <w:r>
        <w:rPr>
          <w:rFonts w:ascii="宋体" w:hAnsi="宋体"/>
          <w:b/>
          <w:bCs/>
          <w:szCs w:val="21"/>
        </w:rPr>
        <w:t>，</w:t>
      </w:r>
      <w:r>
        <w:rPr>
          <w:rFonts w:hint="eastAsia" w:ascii="宋体" w:hAnsi="宋体"/>
          <w:b/>
          <w:bCs/>
          <w:szCs w:val="21"/>
        </w:rPr>
        <w:t>设备</w:t>
      </w:r>
      <w:r>
        <w:rPr>
          <w:rFonts w:ascii="宋体" w:hAnsi="宋体"/>
          <w:b/>
          <w:bCs/>
          <w:szCs w:val="21"/>
        </w:rPr>
        <w:t>、</w:t>
      </w:r>
      <w:r>
        <w:rPr>
          <w:rFonts w:hint="eastAsia" w:ascii="宋体" w:hAnsi="宋体"/>
          <w:b/>
          <w:bCs/>
          <w:szCs w:val="21"/>
        </w:rPr>
        <w:t>材料生产厂家（</w:t>
      </w:r>
      <w:r>
        <w:rPr>
          <w:rFonts w:ascii="宋体" w:hAnsi="宋体"/>
          <w:b/>
          <w:bCs/>
          <w:szCs w:val="21"/>
        </w:rPr>
        <w:t>品牌）</w:t>
      </w:r>
      <w:r>
        <w:rPr>
          <w:rFonts w:hint="eastAsia" w:ascii="宋体" w:hAnsi="宋体"/>
          <w:b/>
          <w:bCs/>
          <w:szCs w:val="21"/>
        </w:rPr>
        <w:t>，无需报</w:t>
      </w:r>
      <w:r>
        <w:rPr>
          <w:rFonts w:ascii="宋体" w:hAnsi="宋体"/>
          <w:b/>
          <w:bCs/>
          <w:szCs w:val="21"/>
        </w:rPr>
        <w:t>规格</w:t>
      </w:r>
      <w:r>
        <w:rPr>
          <w:rFonts w:hint="eastAsia" w:ascii="宋体" w:hAnsi="宋体"/>
          <w:b/>
          <w:bCs/>
          <w:szCs w:val="21"/>
        </w:rPr>
        <w:t>参数等】</w:t>
      </w:r>
      <w:r>
        <w:rPr>
          <w:rFonts w:hint="eastAsia" w:ascii="宋体" w:hAnsi="宋体"/>
          <w:szCs w:val="21"/>
        </w:rPr>
        <w:t>，</w:t>
      </w:r>
      <w:r>
        <w:rPr>
          <w:rFonts w:hint="eastAsia" w:ascii="宋体" w:hAnsi="宋体"/>
          <w:szCs w:val="21"/>
          <w:lang w:val="zh-CN"/>
        </w:rPr>
        <w:t>不含增值税总报价须包括了</w:t>
      </w:r>
      <w:r>
        <w:rPr>
          <w:rFonts w:hint="eastAsia" w:ascii="宋体" w:hAnsi="宋体"/>
          <w:szCs w:val="21"/>
        </w:rPr>
        <w:t>全部新增设备、配套安装材料的购置、关税、检验、知识产权、包装、运输、保险、装卸、搬运、保管、人工以及安装调试、系统集成、试运行、验收、培训、技术服务（包括技术指导、技术资料提供等）和供应商应</w:t>
      </w:r>
      <w:r>
        <w:rPr>
          <w:rFonts w:ascii="宋体" w:hAnsi="宋体"/>
          <w:szCs w:val="21"/>
        </w:rPr>
        <w:t>获得</w:t>
      </w:r>
      <w:r>
        <w:rPr>
          <w:rFonts w:hint="eastAsia" w:ascii="宋体" w:hAnsi="宋体"/>
          <w:szCs w:val="21"/>
        </w:rPr>
        <w:t>的利润、质量保证期服务及合同实施过程中应预见和不可预见费用等全部一切费用，</w:t>
      </w:r>
      <w:r>
        <w:rPr>
          <w:rFonts w:hint="eastAsia" w:ascii="宋体" w:hAnsi="宋体"/>
          <w:szCs w:val="21"/>
          <w:lang w:eastAsia="zh-CN"/>
        </w:rPr>
        <w:t>梅州卷烟厂</w:t>
      </w:r>
      <w:r>
        <w:rPr>
          <w:rFonts w:hint="eastAsia" w:ascii="宋体" w:hAnsi="宋体"/>
          <w:szCs w:val="21"/>
          <w:lang w:val="zh-CN"/>
        </w:rPr>
        <w:t>不再另行支付除增值税税费以外的与本项目相关的任何费用。</w:t>
      </w:r>
    </w:p>
    <w:p>
      <w:pPr>
        <w:spacing w:line="360" w:lineRule="auto"/>
        <w:rPr>
          <w:rFonts w:ascii="宋体" w:hAnsi="宋体"/>
          <w:szCs w:val="21"/>
          <w:lang w:val="zh-CN"/>
        </w:rPr>
      </w:pPr>
      <w:r>
        <w:rPr>
          <w:rFonts w:hint="eastAsia" w:ascii="宋体" w:hAnsi="宋体"/>
          <w:szCs w:val="21"/>
        </w:rPr>
        <w:t>1</w:t>
      </w:r>
      <w:r>
        <w:rPr>
          <w:rFonts w:ascii="宋体" w:hAnsi="宋体"/>
          <w:szCs w:val="21"/>
        </w:rPr>
        <w:t>1</w:t>
      </w:r>
      <w:r>
        <w:rPr>
          <w:rFonts w:hint="eastAsia" w:ascii="宋体" w:hAnsi="宋体"/>
          <w:szCs w:val="21"/>
        </w:rPr>
        <w:t>.2</w:t>
      </w:r>
      <w:r>
        <w:rPr>
          <w:rFonts w:hint="eastAsia" w:ascii="宋体" w:hAnsi="宋体"/>
          <w:szCs w:val="21"/>
          <w:lang w:val="zh-CN"/>
        </w:rPr>
        <w:t>报价需注明增值税税率、发票类型、报价有效期等信息，报价小数点后保留两位有效数（第三位四舍五入）。</w:t>
      </w:r>
    </w:p>
    <w:p>
      <w:pPr>
        <w:spacing w:line="360" w:lineRule="auto"/>
        <w:rPr>
          <w:rFonts w:ascii="宋体" w:hAnsi="宋体"/>
          <w:szCs w:val="21"/>
          <w:highlight w:val="none"/>
          <w:lang w:val="zh-CN"/>
        </w:rPr>
      </w:pPr>
      <w:r>
        <w:rPr>
          <w:rFonts w:hint="eastAsia" w:ascii="宋体" w:hAnsi="宋体"/>
          <w:szCs w:val="21"/>
          <w:highlight w:val="none"/>
        </w:rPr>
        <w:t>1</w:t>
      </w:r>
      <w:r>
        <w:rPr>
          <w:rFonts w:ascii="宋体" w:hAnsi="宋体"/>
          <w:szCs w:val="21"/>
          <w:highlight w:val="none"/>
        </w:rPr>
        <w:t>1</w:t>
      </w:r>
      <w:r>
        <w:rPr>
          <w:rFonts w:hint="eastAsia" w:ascii="宋体" w:hAnsi="宋体"/>
          <w:szCs w:val="21"/>
          <w:highlight w:val="none"/>
        </w:rPr>
        <w:t>.3</w:t>
      </w:r>
      <w:r>
        <w:rPr>
          <w:rFonts w:hint="eastAsia" w:ascii="宋体" w:hAnsi="宋体"/>
          <w:szCs w:val="21"/>
          <w:highlight w:val="none"/>
          <w:lang w:val="zh-CN"/>
        </w:rPr>
        <w:t>报价内容请按报价函【详见附件报价函（格式）】的形式盖章发回给我</w:t>
      </w:r>
      <w:r>
        <w:rPr>
          <w:rFonts w:hint="eastAsia" w:ascii="宋体" w:hAnsi="宋体"/>
          <w:szCs w:val="21"/>
          <w:highlight w:val="none"/>
          <w:lang w:val="en-US" w:eastAsia="zh-CN"/>
        </w:rPr>
        <w:t>司</w:t>
      </w:r>
      <w:r>
        <w:rPr>
          <w:rFonts w:hint="eastAsia" w:ascii="宋体" w:hAnsi="宋体"/>
          <w:szCs w:val="21"/>
          <w:highlight w:val="none"/>
          <w:lang w:val="zh-CN"/>
        </w:rPr>
        <w:t>。我</w:t>
      </w:r>
      <w:r>
        <w:rPr>
          <w:rFonts w:hint="eastAsia" w:ascii="宋体" w:hAnsi="宋体"/>
          <w:szCs w:val="21"/>
          <w:highlight w:val="none"/>
          <w:lang w:val="en-US" w:eastAsia="zh-CN"/>
        </w:rPr>
        <w:t>司</w:t>
      </w:r>
      <w:r>
        <w:rPr>
          <w:rFonts w:hint="eastAsia" w:ascii="宋体" w:hAnsi="宋体"/>
          <w:szCs w:val="21"/>
          <w:highlight w:val="none"/>
          <w:lang w:val="zh-CN"/>
        </w:rPr>
        <w:t>具体联系方式如下：</w:t>
      </w:r>
      <w:bookmarkStart w:id="11" w:name="_GoBack"/>
      <w:bookmarkEnd w:id="11"/>
    </w:p>
    <w:p>
      <w:pPr>
        <w:pStyle w:val="14"/>
        <w:spacing w:line="360" w:lineRule="auto"/>
        <w:ind w:firstLine="0" w:firstLineChars="0"/>
        <w:rPr>
          <w:rFonts w:ascii="宋体" w:hAnsi="宋体" w:cs="宋体"/>
          <w:snapToGrid w:val="0"/>
          <w:szCs w:val="21"/>
          <w:highlight w:val="none"/>
        </w:rPr>
      </w:pPr>
      <w:r>
        <w:rPr>
          <w:rFonts w:hint="eastAsia" w:ascii="宋体" w:hAnsi="宋体" w:cs="宋体"/>
          <w:snapToGrid w:val="0"/>
          <w:szCs w:val="21"/>
          <w:highlight w:val="none"/>
        </w:rPr>
        <w:t>（1）地址</w:t>
      </w:r>
      <w:r>
        <w:rPr>
          <w:rFonts w:ascii="宋体" w:hAnsi="宋体" w:cs="宋体"/>
          <w:snapToGrid w:val="0"/>
          <w:szCs w:val="21"/>
          <w:highlight w:val="none"/>
        </w:rPr>
        <w:t>：</w:t>
      </w:r>
      <w:r>
        <w:rPr>
          <w:rFonts w:hint="eastAsia" w:ascii="宋体" w:hAnsi="宋体" w:cs="宋体"/>
          <w:snapToGrid w:val="0"/>
          <w:szCs w:val="21"/>
          <w:highlight w:val="none"/>
        </w:rPr>
        <w:t>广东省梅州市梅江区华潮大厦15楼1502</w:t>
      </w:r>
    </w:p>
    <w:p>
      <w:pPr>
        <w:pStyle w:val="14"/>
        <w:spacing w:line="360" w:lineRule="auto"/>
        <w:ind w:firstLine="0" w:firstLineChars="0"/>
        <w:rPr>
          <w:rFonts w:ascii="宋体" w:hAnsi="宋体" w:cs="宋体"/>
          <w:snapToGrid w:val="0"/>
          <w:szCs w:val="21"/>
          <w:highlight w:val="none"/>
        </w:rPr>
      </w:pPr>
      <w:r>
        <w:rPr>
          <w:rFonts w:hint="eastAsia" w:ascii="宋体" w:hAnsi="宋体" w:cs="宋体"/>
          <w:snapToGrid w:val="0"/>
          <w:szCs w:val="21"/>
          <w:highlight w:val="none"/>
        </w:rPr>
        <w:t>（2</w:t>
      </w:r>
      <w:r>
        <w:rPr>
          <w:rFonts w:ascii="宋体" w:hAnsi="宋体" w:cs="宋体"/>
          <w:snapToGrid w:val="0"/>
          <w:szCs w:val="21"/>
          <w:highlight w:val="none"/>
        </w:rPr>
        <w:t>）</w:t>
      </w:r>
      <w:r>
        <w:rPr>
          <w:rFonts w:hint="eastAsia" w:ascii="宋体" w:hAnsi="宋体" w:cs="宋体"/>
          <w:snapToGrid w:val="0"/>
          <w:szCs w:val="21"/>
          <w:highlight w:val="none"/>
        </w:rPr>
        <w:t>邮政</w:t>
      </w:r>
      <w:r>
        <w:rPr>
          <w:rFonts w:ascii="宋体" w:hAnsi="宋体" w:cs="宋体"/>
          <w:snapToGrid w:val="0"/>
          <w:szCs w:val="21"/>
          <w:highlight w:val="none"/>
        </w:rPr>
        <w:t>编码：</w:t>
      </w:r>
      <w:r>
        <w:rPr>
          <w:rFonts w:hint="eastAsia" w:ascii="宋体" w:hAnsi="宋体" w:cs="宋体"/>
          <w:snapToGrid w:val="0"/>
          <w:szCs w:val="21"/>
          <w:highlight w:val="none"/>
        </w:rPr>
        <w:t>514071</w:t>
      </w:r>
    </w:p>
    <w:p>
      <w:pPr>
        <w:pStyle w:val="14"/>
        <w:spacing w:line="360" w:lineRule="auto"/>
        <w:ind w:firstLine="0" w:firstLineChars="0"/>
        <w:rPr>
          <w:rFonts w:ascii="宋体" w:hAnsi="宋体" w:cs="宋体"/>
          <w:snapToGrid w:val="0"/>
          <w:szCs w:val="21"/>
          <w:highlight w:val="none"/>
        </w:rPr>
      </w:pPr>
      <w:r>
        <w:rPr>
          <w:rFonts w:hint="eastAsia" w:ascii="宋体" w:hAnsi="宋体" w:cs="宋体"/>
          <w:snapToGrid w:val="0"/>
          <w:szCs w:val="21"/>
          <w:highlight w:val="none"/>
        </w:rPr>
        <w:t>（3</w:t>
      </w:r>
      <w:r>
        <w:rPr>
          <w:rFonts w:ascii="宋体" w:hAnsi="宋体" w:cs="宋体"/>
          <w:snapToGrid w:val="0"/>
          <w:szCs w:val="21"/>
          <w:highlight w:val="none"/>
        </w:rPr>
        <w:t>）</w:t>
      </w:r>
      <w:r>
        <w:rPr>
          <w:rFonts w:hint="eastAsia" w:ascii="宋体" w:hAnsi="宋体" w:cs="宋体"/>
          <w:snapToGrid w:val="0"/>
          <w:szCs w:val="21"/>
          <w:highlight w:val="none"/>
        </w:rPr>
        <w:t>联系</w:t>
      </w:r>
      <w:r>
        <w:rPr>
          <w:rFonts w:ascii="宋体" w:hAnsi="宋体" w:cs="宋体"/>
          <w:snapToGrid w:val="0"/>
          <w:szCs w:val="21"/>
          <w:highlight w:val="none"/>
        </w:rPr>
        <w:t>人：</w:t>
      </w:r>
      <w:r>
        <w:rPr>
          <w:rFonts w:hint="eastAsia" w:ascii="宋体" w:hAnsi="宋体" w:cs="宋体"/>
          <w:snapToGrid w:val="0"/>
          <w:szCs w:val="21"/>
          <w:highlight w:val="none"/>
          <w:lang w:val="en-US" w:eastAsia="zh-CN"/>
        </w:rPr>
        <w:t>古</w:t>
      </w:r>
      <w:r>
        <w:rPr>
          <w:rFonts w:ascii="宋体" w:hAnsi="宋体" w:cs="宋体"/>
          <w:snapToGrid w:val="0"/>
          <w:szCs w:val="21"/>
          <w:highlight w:val="none"/>
        </w:rPr>
        <w:t>工</w:t>
      </w:r>
    </w:p>
    <w:p>
      <w:pPr>
        <w:pStyle w:val="14"/>
        <w:spacing w:line="360" w:lineRule="auto"/>
        <w:ind w:firstLine="0" w:firstLineChars="0"/>
        <w:rPr>
          <w:rFonts w:ascii="宋体" w:hAnsi="宋体" w:cs="宋体"/>
          <w:snapToGrid w:val="0"/>
          <w:szCs w:val="21"/>
          <w:highlight w:val="none"/>
        </w:rPr>
      </w:pPr>
      <w:r>
        <w:rPr>
          <w:rFonts w:hint="eastAsia" w:ascii="宋体" w:hAnsi="宋体" w:cs="宋体"/>
          <w:snapToGrid w:val="0"/>
          <w:szCs w:val="21"/>
          <w:highlight w:val="none"/>
        </w:rPr>
        <w:t>（4</w:t>
      </w:r>
      <w:r>
        <w:rPr>
          <w:rFonts w:ascii="宋体" w:hAnsi="宋体" w:cs="宋体"/>
          <w:snapToGrid w:val="0"/>
          <w:szCs w:val="21"/>
          <w:highlight w:val="none"/>
        </w:rPr>
        <w:t>）</w:t>
      </w:r>
      <w:r>
        <w:rPr>
          <w:rFonts w:hint="eastAsia" w:ascii="宋体" w:hAnsi="宋体" w:cs="宋体"/>
          <w:snapToGrid w:val="0"/>
          <w:szCs w:val="21"/>
          <w:highlight w:val="none"/>
        </w:rPr>
        <w:t>联系</w:t>
      </w:r>
      <w:r>
        <w:rPr>
          <w:rFonts w:ascii="宋体" w:hAnsi="宋体" w:cs="宋体"/>
          <w:snapToGrid w:val="0"/>
          <w:szCs w:val="21"/>
          <w:highlight w:val="none"/>
        </w:rPr>
        <w:t>电话：</w:t>
      </w:r>
      <w:r>
        <w:rPr>
          <w:rFonts w:hint="eastAsia" w:ascii="宋体" w:hAnsi="宋体" w:cs="宋体"/>
          <w:snapToGrid w:val="0"/>
          <w:szCs w:val="21"/>
          <w:highlight w:val="none"/>
        </w:rPr>
        <w:t>0753-2328383</w:t>
      </w:r>
    </w:p>
    <w:p>
      <w:pPr>
        <w:pStyle w:val="14"/>
        <w:spacing w:line="360" w:lineRule="auto"/>
        <w:ind w:firstLine="0" w:firstLineChars="0"/>
        <w:rPr>
          <w:rFonts w:ascii="宋体" w:hAnsi="宋体" w:cs="宋体"/>
          <w:snapToGrid w:val="0"/>
          <w:szCs w:val="21"/>
          <w:highlight w:val="none"/>
        </w:rPr>
      </w:pPr>
      <w:r>
        <w:rPr>
          <w:rFonts w:hint="eastAsia" w:ascii="宋体" w:hAnsi="宋体" w:cs="宋体"/>
          <w:snapToGrid w:val="0"/>
          <w:szCs w:val="21"/>
          <w:highlight w:val="none"/>
        </w:rPr>
        <w:t>（5</w:t>
      </w:r>
      <w:r>
        <w:rPr>
          <w:rFonts w:ascii="宋体" w:hAnsi="宋体" w:cs="宋体"/>
          <w:snapToGrid w:val="0"/>
          <w:szCs w:val="21"/>
          <w:highlight w:val="none"/>
        </w:rPr>
        <w:t>）</w:t>
      </w:r>
      <w:r>
        <w:rPr>
          <w:rFonts w:hint="eastAsia" w:ascii="宋体" w:hAnsi="宋体" w:cs="宋体"/>
          <w:snapToGrid w:val="0"/>
          <w:szCs w:val="21"/>
          <w:highlight w:val="none"/>
        </w:rPr>
        <w:t>电子</w:t>
      </w:r>
      <w:r>
        <w:rPr>
          <w:rFonts w:ascii="宋体" w:hAnsi="宋体" w:cs="宋体"/>
          <w:snapToGrid w:val="0"/>
          <w:szCs w:val="21"/>
          <w:highlight w:val="none"/>
        </w:rPr>
        <w:t>邮箱：</w:t>
      </w:r>
      <w:r>
        <w:rPr>
          <w:rFonts w:hint="eastAsia" w:ascii="宋体" w:hAnsi="宋体" w:cs="宋体"/>
          <w:snapToGrid w:val="0"/>
          <w:szCs w:val="21"/>
          <w:highlight w:val="none"/>
        </w:rPr>
        <w:t>guyanhui.gcmc.gd@chinaccs.cn</w:t>
      </w:r>
    </w:p>
    <w:p>
      <w:pPr>
        <w:spacing w:line="360" w:lineRule="auto"/>
        <w:rPr>
          <w:rFonts w:ascii="宋体" w:hAnsi="宋体"/>
          <w:szCs w:val="2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DDE2B46"/>
    <w:multiLevelType w:val="multilevel"/>
    <w:tmpl w:val="0DDE2B46"/>
    <w:lvl w:ilvl="0" w:tentative="0">
      <w:start w:val="1"/>
      <w:numFmt w:val="lowerLetter"/>
      <w:suff w:val="nothing"/>
      <w:lvlText w:val="%1   "/>
      <w:lvlJc w:val="left"/>
      <w:pPr>
        <w:ind w:left="748" w:hanging="181"/>
      </w:pPr>
      <w:rPr>
        <w:rFonts w:hint="eastAsia" w:ascii="宋体" w:eastAsia="宋体"/>
        <w:b w:val="0"/>
        <w:i w:val="0"/>
        <w:sz w:val="18"/>
        <w:vertAlign w:val="superscript"/>
      </w:rPr>
    </w:lvl>
    <w:lvl w:ilvl="1" w:tentative="0">
      <w:start w:val="1"/>
      <w:numFmt w:val="lowerLetter"/>
      <w:lvlText w:val="%2"/>
      <w:lvlJc w:val="left"/>
      <w:pPr>
        <w:tabs>
          <w:tab w:val="left" w:pos="-86"/>
        </w:tabs>
        <w:ind w:left="220" w:hanging="363"/>
      </w:pPr>
      <w:rPr>
        <w:rFonts w:hint="eastAsia"/>
      </w:rPr>
    </w:lvl>
    <w:lvl w:ilvl="2" w:tentative="0">
      <w:start w:val="1"/>
      <w:numFmt w:val="lowerRoman"/>
      <w:lvlText w:val="%3."/>
      <w:lvlJc w:val="right"/>
      <w:pPr>
        <w:tabs>
          <w:tab w:val="left" w:pos="-86"/>
        </w:tabs>
        <w:ind w:left="220" w:hanging="363"/>
      </w:pPr>
      <w:rPr>
        <w:rFonts w:hint="eastAsia"/>
      </w:rPr>
    </w:lvl>
    <w:lvl w:ilvl="3" w:tentative="0">
      <w:start w:val="1"/>
      <w:numFmt w:val="decimal"/>
      <w:lvlText w:val="%4."/>
      <w:lvlJc w:val="left"/>
      <w:pPr>
        <w:tabs>
          <w:tab w:val="left" w:pos="-86"/>
        </w:tabs>
        <w:ind w:left="220" w:hanging="363"/>
      </w:pPr>
      <w:rPr>
        <w:rFonts w:hint="eastAsia"/>
      </w:rPr>
    </w:lvl>
    <w:lvl w:ilvl="4" w:tentative="0">
      <w:start w:val="1"/>
      <w:numFmt w:val="lowerLetter"/>
      <w:lvlText w:val="%5)"/>
      <w:lvlJc w:val="left"/>
      <w:pPr>
        <w:tabs>
          <w:tab w:val="left" w:pos="-86"/>
        </w:tabs>
        <w:ind w:left="220" w:hanging="363"/>
      </w:pPr>
      <w:rPr>
        <w:rFonts w:hint="eastAsia"/>
      </w:rPr>
    </w:lvl>
    <w:lvl w:ilvl="5" w:tentative="0">
      <w:start w:val="1"/>
      <w:numFmt w:val="lowerRoman"/>
      <w:lvlText w:val="%6."/>
      <w:lvlJc w:val="right"/>
      <w:pPr>
        <w:tabs>
          <w:tab w:val="left" w:pos="-86"/>
        </w:tabs>
        <w:ind w:left="220" w:hanging="363"/>
      </w:pPr>
      <w:rPr>
        <w:rFonts w:hint="eastAsia"/>
      </w:rPr>
    </w:lvl>
    <w:lvl w:ilvl="6" w:tentative="0">
      <w:start w:val="1"/>
      <w:numFmt w:val="decimal"/>
      <w:lvlText w:val="%7."/>
      <w:lvlJc w:val="left"/>
      <w:pPr>
        <w:tabs>
          <w:tab w:val="left" w:pos="-86"/>
        </w:tabs>
        <w:ind w:left="220" w:hanging="363"/>
      </w:pPr>
      <w:rPr>
        <w:rFonts w:hint="eastAsia"/>
      </w:rPr>
    </w:lvl>
    <w:lvl w:ilvl="7" w:tentative="0">
      <w:start w:val="1"/>
      <w:numFmt w:val="lowerLetter"/>
      <w:lvlText w:val="%8)"/>
      <w:lvlJc w:val="left"/>
      <w:pPr>
        <w:tabs>
          <w:tab w:val="left" w:pos="-86"/>
        </w:tabs>
        <w:ind w:left="220" w:hanging="363"/>
      </w:pPr>
      <w:rPr>
        <w:rFonts w:hint="eastAsia"/>
      </w:rPr>
    </w:lvl>
    <w:lvl w:ilvl="8" w:tentative="0">
      <w:start w:val="1"/>
      <w:numFmt w:val="lowerRoman"/>
      <w:lvlText w:val="%9."/>
      <w:lvlJc w:val="right"/>
      <w:pPr>
        <w:tabs>
          <w:tab w:val="left" w:pos="-86"/>
        </w:tabs>
        <w:ind w:left="220" w:hanging="363"/>
      </w:pPr>
      <w:rPr>
        <w:rFonts w:hint="eastAsia"/>
      </w:rPr>
    </w:lvl>
  </w:abstractNum>
  <w:abstractNum w:abstractNumId="1">
    <w:nsid w:val="382C365A"/>
    <w:multiLevelType w:val="multilevel"/>
    <w:tmpl w:val="382C365A"/>
    <w:lvl w:ilvl="0" w:tentative="0">
      <w:start w:val="2"/>
      <w:numFmt w:val="decimal"/>
      <w:pStyle w:val="13"/>
      <w:lvlText w:val="（%1）"/>
      <w:lvlJc w:val="left"/>
      <w:pPr>
        <w:ind w:left="-192" w:firstLine="476"/>
      </w:pPr>
      <w:rPr>
        <w:rFonts w:hint="default"/>
        <w:b w:val="0"/>
        <w:i w:val="0"/>
        <w:caps w:val="0"/>
        <w:strike w:val="0"/>
        <w:dstrike w:val="0"/>
        <w:outline w:val="0"/>
        <w:shadow w:val="0"/>
        <w:emboss w:val="0"/>
        <w:imprint w:val="0"/>
        <w:snapToGrid/>
        <w:vanish w:val="0"/>
        <w:color w:val="auto"/>
        <w:spacing w:val="0"/>
        <w:w w:val="100"/>
        <w:kern w:val="0"/>
        <w:position w:val="0"/>
        <w:sz w:val="21"/>
        <w:szCs w:val="21"/>
        <w:u w:val="none"/>
        <w:vertAlign w:val="baseline"/>
      </w:rPr>
    </w:lvl>
    <w:lvl w:ilvl="1" w:tentative="0">
      <w:start w:val="1"/>
      <w:numFmt w:val="decimal"/>
      <w:lvlText w:val="%2、"/>
      <w:lvlJc w:val="left"/>
      <w:pPr>
        <w:ind w:left="234" w:firstLine="476"/>
      </w:pPr>
      <w:rPr>
        <w:rFonts w:ascii="宋体" w:hAnsi="宋体" w:eastAsia="宋体" w:cs="宋体"/>
        <w:b w:val="0"/>
        <w:i w:val="0"/>
        <w:caps w:val="0"/>
        <w:strike w:val="0"/>
        <w:dstrike w:val="0"/>
        <w:outline w:val="0"/>
        <w:shadow w:val="0"/>
        <w:emboss w:val="0"/>
        <w:imprint w:val="0"/>
        <w:snapToGrid/>
        <w:vanish w:val="0"/>
        <w:color w:val="auto"/>
        <w:spacing w:val="0"/>
        <w:w w:val="100"/>
        <w:kern w:val="0"/>
        <w:position w:val="0"/>
        <w:sz w:val="21"/>
        <w:szCs w:val="21"/>
        <w:u w:val="none"/>
        <w:vertAlign w:val="baseline"/>
        <w:lang w:val="en-US"/>
      </w:rPr>
    </w:lvl>
    <w:lvl w:ilvl="2" w:tentative="0">
      <w:start w:val="1"/>
      <w:numFmt w:val="decimal"/>
      <w:suff w:val="space"/>
      <w:lvlText w:val="%1.%2.%3."/>
      <w:lvlJc w:val="left"/>
      <w:pPr>
        <w:ind w:left="0" w:firstLine="476"/>
      </w:pPr>
      <w:rPr>
        <w:rFonts w:hint="eastAsia" w:ascii="宋体" w:eastAsia="宋体"/>
        <w:b w:val="0"/>
        <w:i w:val="0"/>
        <w:caps w:val="0"/>
        <w:strike w:val="0"/>
        <w:dstrike w:val="0"/>
        <w:outline w:val="0"/>
        <w:shadow w:val="0"/>
        <w:emboss w:val="0"/>
        <w:imprint w:val="0"/>
        <w:snapToGrid/>
        <w:vanish w:val="0"/>
        <w:color w:val="auto"/>
        <w:spacing w:val="0"/>
        <w:w w:val="100"/>
        <w:kern w:val="0"/>
        <w:position w:val="0"/>
        <w:sz w:val="24"/>
        <w:szCs w:val="24"/>
        <w:u w:val="none"/>
        <w:vertAlign w:val="baseline"/>
      </w:rPr>
    </w:lvl>
    <w:lvl w:ilvl="3" w:tentative="0">
      <w:start w:val="1"/>
      <w:numFmt w:val="decimal"/>
      <w:suff w:val="space"/>
      <w:lvlText w:val="%1.%2.%3.%4."/>
      <w:lvlJc w:val="left"/>
      <w:pPr>
        <w:ind w:left="0" w:firstLine="476"/>
      </w:pPr>
      <w:rPr>
        <w:rFonts w:hint="eastAsia" w:ascii="宋体" w:eastAsia="宋体"/>
        <w:b w:val="0"/>
        <w:i w:val="0"/>
        <w:caps w:val="0"/>
        <w:strike w:val="0"/>
        <w:dstrike w:val="0"/>
        <w:outline w:val="0"/>
        <w:shadow w:val="0"/>
        <w:emboss w:val="0"/>
        <w:imprint w:val="0"/>
        <w:snapToGrid/>
        <w:vanish w:val="0"/>
        <w:color w:val="auto"/>
        <w:spacing w:val="0"/>
        <w:w w:val="100"/>
        <w:kern w:val="0"/>
        <w:position w:val="0"/>
        <w:sz w:val="24"/>
        <w:szCs w:val="24"/>
        <w:u w:val="none"/>
        <w:vertAlign w:val="baseline"/>
      </w:rPr>
    </w:lvl>
    <w:lvl w:ilvl="4" w:tentative="0">
      <w:start w:val="1"/>
      <w:numFmt w:val="decimal"/>
      <w:suff w:val="space"/>
      <w:lvlText w:val="%1.%2.%3.%4.%5."/>
      <w:lvlJc w:val="left"/>
      <w:pPr>
        <w:ind w:left="200" w:firstLine="0"/>
      </w:pPr>
      <w:rPr>
        <w:rFonts w:hint="eastAsia"/>
      </w:rPr>
    </w:lvl>
    <w:lvl w:ilvl="5" w:tentative="0">
      <w:start w:val="1"/>
      <w:numFmt w:val="decimal"/>
      <w:suff w:val="space"/>
      <w:lvlText w:val="%1.%2.%3.%4.%5.%6."/>
      <w:lvlJc w:val="left"/>
      <w:pPr>
        <w:ind w:left="200" w:firstLine="0"/>
      </w:pPr>
      <w:rPr>
        <w:rFonts w:hint="eastAsia"/>
      </w:rPr>
    </w:lvl>
    <w:lvl w:ilvl="6" w:tentative="0">
      <w:start w:val="1"/>
      <w:numFmt w:val="decimal"/>
      <w:suff w:val="space"/>
      <w:lvlText w:val="%1.%2.%3.%4.%5.%6.%7."/>
      <w:lvlJc w:val="left"/>
      <w:pPr>
        <w:ind w:left="200" w:firstLine="0"/>
      </w:pPr>
      <w:rPr>
        <w:rFonts w:hint="eastAsia"/>
      </w:rPr>
    </w:lvl>
    <w:lvl w:ilvl="7" w:tentative="0">
      <w:start w:val="1"/>
      <w:numFmt w:val="decimal"/>
      <w:suff w:val="space"/>
      <w:lvlText w:val="%1.%2.%3.%4.%5.%6.%7.%8."/>
      <w:lvlJc w:val="left"/>
      <w:pPr>
        <w:ind w:left="200" w:firstLine="0"/>
      </w:pPr>
      <w:rPr>
        <w:rFonts w:hint="eastAsia"/>
      </w:rPr>
    </w:lvl>
    <w:lvl w:ilvl="8" w:tentative="0">
      <w:start w:val="1"/>
      <w:numFmt w:val="decimal"/>
      <w:suff w:val="space"/>
      <w:lvlText w:val="%1.%2.%3.%4.%5.%6.%7.%8.%9."/>
      <w:lvlJc w:val="left"/>
      <w:pPr>
        <w:ind w:left="200" w:firstLine="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33817"/>
    <w:rsid w:val="00040F9E"/>
    <w:rsid w:val="00172A27"/>
    <w:rsid w:val="00603F87"/>
    <w:rsid w:val="00893676"/>
    <w:rsid w:val="0096532E"/>
    <w:rsid w:val="009B2435"/>
    <w:rsid w:val="00BA18B2"/>
    <w:rsid w:val="00D84C24"/>
    <w:rsid w:val="00F32C8B"/>
    <w:rsid w:val="20185109"/>
    <w:rsid w:val="268932E8"/>
    <w:rsid w:val="2920604A"/>
    <w:rsid w:val="394D3373"/>
    <w:rsid w:val="61E37639"/>
    <w:rsid w:val="63BF5B3F"/>
    <w:rsid w:val="76882384"/>
    <w:rsid w:val="770221BB"/>
    <w:rsid w:val="7D6576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cs="Times New Roman"/>
      <w:b/>
      <w:bCs/>
      <w:kern w:val="44"/>
      <w:sz w:val="48"/>
      <w:szCs w:val="48"/>
    </w:rPr>
  </w:style>
  <w:style w:type="paragraph" w:styleId="3">
    <w:name w:val="heading 2"/>
    <w:basedOn w:val="1"/>
    <w:next w:val="1"/>
    <w:semiHidden/>
    <w:unhideWhenUsed/>
    <w:qFormat/>
    <w:uiPriority w:val="0"/>
    <w:pPr>
      <w:spacing w:beforeAutospacing="1" w:afterAutospacing="1"/>
      <w:jc w:val="left"/>
      <w:outlineLvl w:val="1"/>
    </w:pPr>
    <w:rPr>
      <w:rFonts w:hint="eastAsia" w:ascii="宋体" w:hAnsi="宋体" w:eastAsia="宋体" w:cs="Times New Roman"/>
      <w:b/>
      <w:bCs/>
      <w:kern w:val="0"/>
      <w:sz w:val="36"/>
      <w:szCs w:val="36"/>
    </w:rPr>
  </w:style>
  <w:style w:type="paragraph" w:styleId="4">
    <w:name w:val="heading 3"/>
    <w:basedOn w:val="1"/>
    <w:next w:val="1"/>
    <w:semiHidden/>
    <w:unhideWhenUsed/>
    <w:qFormat/>
    <w:uiPriority w:val="0"/>
    <w:pPr>
      <w:spacing w:beforeAutospacing="1" w:afterAutospacing="1"/>
      <w:jc w:val="left"/>
      <w:outlineLvl w:val="2"/>
    </w:pPr>
    <w:rPr>
      <w:rFonts w:hint="eastAsia" w:ascii="宋体" w:hAnsi="宋体" w:eastAsia="宋体" w:cs="Times New Roman"/>
      <w:b/>
      <w:bCs/>
      <w:kern w:val="0"/>
      <w:sz w:val="27"/>
      <w:szCs w:val="27"/>
    </w:rPr>
  </w:style>
  <w:style w:type="character" w:default="1" w:styleId="10">
    <w:name w:val="Default Paragraph Font"/>
    <w:semiHidden/>
    <w:unhideWhenUsed/>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5">
    <w:name w:val="Body Text"/>
    <w:basedOn w:val="1"/>
    <w:qFormat/>
    <w:uiPriority w:val="0"/>
    <w:pPr>
      <w:spacing w:after="120"/>
    </w:pPr>
  </w:style>
  <w:style w:type="paragraph" w:styleId="6">
    <w:name w:val="footer"/>
    <w:basedOn w:val="1"/>
    <w:link w:val="17"/>
    <w:uiPriority w:val="0"/>
    <w:pPr>
      <w:tabs>
        <w:tab w:val="center" w:pos="4153"/>
        <w:tab w:val="right" w:pos="8306"/>
      </w:tabs>
      <w:snapToGrid w:val="0"/>
      <w:jc w:val="left"/>
    </w:pPr>
    <w:rPr>
      <w:sz w:val="18"/>
      <w:szCs w:val="18"/>
    </w:rPr>
  </w:style>
  <w:style w:type="paragraph" w:styleId="7">
    <w:name w:val="header"/>
    <w:basedOn w:val="1"/>
    <w:link w:val="16"/>
    <w:uiPriority w:val="0"/>
    <w:pPr>
      <w:pBdr>
        <w:bottom w:val="single" w:color="auto" w:sz="6" w:space="1"/>
      </w:pBdr>
      <w:tabs>
        <w:tab w:val="center" w:pos="4153"/>
        <w:tab w:val="right" w:pos="8306"/>
      </w:tabs>
      <w:snapToGrid w:val="0"/>
      <w:jc w:val="center"/>
    </w:pPr>
    <w:rPr>
      <w:sz w:val="18"/>
      <w:szCs w:val="18"/>
    </w:rPr>
  </w:style>
  <w:style w:type="paragraph" w:styleId="8">
    <w:name w:val="Body Text 2"/>
    <w:basedOn w:val="1"/>
    <w:link w:val="12"/>
    <w:uiPriority w:val="0"/>
    <w:pPr>
      <w:spacing w:after="120" w:line="480" w:lineRule="auto"/>
    </w:pPr>
  </w:style>
  <w:style w:type="character" w:styleId="11">
    <w:name w:val="Strong"/>
    <w:basedOn w:val="10"/>
    <w:qFormat/>
    <w:uiPriority w:val="0"/>
    <w:rPr>
      <w:b/>
    </w:rPr>
  </w:style>
  <w:style w:type="character" w:customStyle="1" w:styleId="12">
    <w:name w:val="正文文本 2 Char"/>
    <w:basedOn w:val="10"/>
    <w:link w:val="8"/>
    <w:uiPriority w:val="0"/>
    <w:rPr>
      <w:rFonts w:asciiTheme="minorHAnsi" w:hAnsiTheme="minorHAnsi" w:eastAsiaTheme="minorEastAsia" w:cstheme="minorBidi"/>
      <w:kern w:val="2"/>
      <w:sz w:val="21"/>
      <w:szCs w:val="24"/>
    </w:rPr>
  </w:style>
  <w:style w:type="paragraph" w:customStyle="1" w:styleId="13">
    <w:name w:val="招标正文1"/>
    <w:basedOn w:val="1"/>
    <w:uiPriority w:val="0"/>
    <w:pPr>
      <w:numPr>
        <w:ilvl w:val="0"/>
        <w:numId w:val="1"/>
      </w:numPr>
      <w:spacing w:line="360" w:lineRule="auto"/>
    </w:pPr>
    <w:rPr>
      <w:rFonts w:ascii="宋体" w:hAnsi="宋体" w:eastAsia="宋体" w:cs="宋体"/>
      <w:b/>
      <w:snapToGrid w:val="0"/>
      <w:sz w:val="24"/>
      <w:szCs w:val="21"/>
    </w:rPr>
  </w:style>
  <w:style w:type="paragraph" w:styleId="14">
    <w:name w:val="List Paragraph"/>
    <w:basedOn w:val="1"/>
    <w:link w:val="15"/>
    <w:qFormat/>
    <w:uiPriority w:val="34"/>
    <w:pPr>
      <w:ind w:firstLine="420" w:firstLineChars="200"/>
    </w:pPr>
    <w:rPr>
      <w:rFonts w:ascii="Calibri" w:hAnsi="Calibri" w:eastAsia="宋体" w:cs="Times New Roman"/>
    </w:rPr>
  </w:style>
  <w:style w:type="character" w:customStyle="1" w:styleId="15">
    <w:name w:val="列出段落 Char"/>
    <w:link w:val="14"/>
    <w:qFormat/>
    <w:uiPriority w:val="34"/>
    <w:rPr>
      <w:rFonts w:ascii="Calibri" w:hAnsi="Calibri"/>
      <w:kern w:val="2"/>
      <w:sz w:val="21"/>
      <w:szCs w:val="24"/>
    </w:rPr>
  </w:style>
  <w:style w:type="character" w:customStyle="1" w:styleId="16">
    <w:name w:val="页眉 Char"/>
    <w:basedOn w:val="10"/>
    <w:link w:val="7"/>
    <w:uiPriority w:val="0"/>
    <w:rPr>
      <w:rFonts w:asciiTheme="minorHAnsi" w:hAnsiTheme="minorHAnsi" w:eastAsiaTheme="minorEastAsia" w:cstheme="minorBidi"/>
      <w:kern w:val="2"/>
      <w:sz w:val="18"/>
      <w:szCs w:val="18"/>
    </w:rPr>
  </w:style>
  <w:style w:type="character" w:customStyle="1" w:styleId="17">
    <w:name w:val="页脚 Char"/>
    <w:basedOn w:val="10"/>
    <w:link w:val="6"/>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21</Pages>
  <Words>2843</Words>
  <Characters>16211</Characters>
  <Lines>135</Lines>
  <Paragraphs>38</Paragraphs>
  <TotalTime>30</TotalTime>
  <ScaleCrop>false</ScaleCrop>
  <LinksUpToDate>false</LinksUpToDate>
  <CharactersWithSpaces>19016</CharactersWithSpaces>
  <Application>WPS Office_11.8.2.12118_F1E327BC-269C-435d-A152-05C5408002CA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2026-09-01T00:58:00Z</dcterms:created>
  <dc:creator>si ni</dc:creator>
  <cp:lastModifiedBy>13826</cp:lastModifiedBy>
  <dcterms:modified xsi:type="dcterms:W3CDTF">2026-09-15T06:33:10Z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2052-11.8.2.12118</vt:lpwstr>
  </property>
  <property fmtid="{D5CDD505-2E9C-101B-9397-08002B2CF9AE}" pid="3" name="ICV">
    <vt:lpwstr>F9BA55831F6745259A51E7B4419C610A_13</vt:lpwstr>
  </property>
  <property fmtid="{D5CDD505-2E9C-101B-9397-08002B2CF9AE}" pid="4" name="KSOTemplateDocerSaveRecord">
    <vt:lpwstr>eyJoZGlkIjoiM2ZlYTNjOTZhNTYyMTQ5ZTMxMDY4NDY4Y2QxOTAwYWEiLCJ1c2VySWQiOiI0ODk3OTQ3NzUifQ==</vt:lpwstr>
  </property>
</Properties>
</file>