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695EA">
      <w:pPr>
        <w:spacing w:after="209" w:afterLines="67"/>
        <w:rPr>
          <w:rFonts w:asciiTheme="minorEastAsia" w:hAnsiTheme="minorEastAsia" w:cstheme="minorEastAsia"/>
          <w:sz w:val="28"/>
          <w:szCs w:val="28"/>
        </w:rPr>
      </w:pPr>
      <w:r>
        <w:rPr>
          <w:rFonts w:hint="eastAsia" w:asciiTheme="minorEastAsia" w:hAnsiTheme="minorEastAsia" w:cstheme="minorEastAsia"/>
          <w:sz w:val="28"/>
          <w:szCs w:val="28"/>
        </w:rPr>
        <w:t>附件2</w:t>
      </w:r>
    </w:p>
    <w:p w14:paraId="610F77DB">
      <w:pPr>
        <w:spacing w:after="209" w:afterLines="67"/>
        <w:jc w:val="center"/>
        <w:rPr>
          <w:rFonts w:hint="eastAsia" w:asciiTheme="minorEastAsia" w:hAnsiTheme="minorEastAsia" w:cstheme="minorEastAsia"/>
          <w:b/>
          <w:bCs/>
          <w:sz w:val="28"/>
          <w:szCs w:val="28"/>
          <w:lang w:eastAsia="zh-CN"/>
        </w:rPr>
      </w:pPr>
      <w:r>
        <w:rPr>
          <w:rFonts w:hint="eastAsia" w:asciiTheme="minorEastAsia" w:hAnsiTheme="minorEastAsia" w:cstheme="minorEastAsia"/>
          <w:b/>
          <w:bCs/>
          <w:sz w:val="28"/>
          <w:szCs w:val="28"/>
          <w:lang w:eastAsia="zh-CN"/>
        </w:rPr>
        <w:t>广东IPTV移动平台体育产品</w:t>
      </w:r>
    </w:p>
    <w:p w14:paraId="0147AAD5">
      <w:pPr>
        <w:spacing w:after="209" w:afterLines="67"/>
        <w:jc w:val="center"/>
        <w:rPr>
          <w:rFonts w:asciiTheme="minorEastAsia" w:hAnsiTheme="minorEastAsia" w:cstheme="minorEastAsia"/>
          <w:b/>
          <w:bCs/>
          <w:sz w:val="24"/>
          <w:szCs w:val="24"/>
        </w:rPr>
      </w:pPr>
      <w:r>
        <w:rPr>
          <w:rFonts w:hint="eastAsia" w:asciiTheme="minorEastAsia" w:hAnsiTheme="minorEastAsia" w:cstheme="minorEastAsia"/>
          <w:b/>
          <w:bCs/>
          <w:sz w:val="28"/>
          <w:szCs w:val="28"/>
          <w:lang w:eastAsia="zh-CN"/>
        </w:rPr>
        <w:t>合作项目</w:t>
      </w:r>
      <w:r>
        <w:rPr>
          <w:rFonts w:hint="eastAsia" w:asciiTheme="minorEastAsia" w:hAnsiTheme="minorEastAsia" w:cstheme="minorEastAsia"/>
          <w:b/>
          <w:bCs/>
          <w:sz w:val="28"/>
          <w:szCs w:val="28"/>
        </w:rPr>
        <w:t>市场调研报价文件格式</w:t>
      </w:r>
    </w:p>
    <w:p w14:paraId="76268D06">
      <w:pPr>
        <w:pStyle w:val="24"/>
        <w:numPr>
          <w:ilvl w:val="0"/>
          <w:numId w:val="2"/>
        </w:numPr>
        <w:spacing w:after="209" w:afterLines="67"/>
        <w:ind w:firstLineChars="0"/>
        <w:rPr>
          <w:rFonts w:asciiTheme="minorEastAsia" w:hAnsiTheme="minorEastAsia" w:cstheme="minorEastAsia"/>
          <w:b/>
          <w:bCs/>
          <w:sz w:val="24"/>
          <w:szCs w:val="24"/>
        </w:rPr>
      </w:pPr>
      <w:r>
        <w:rPr>
          <w:rFonts w:hint="eastAsia" w:asciiTheme="minorEastAsia" w:hAnsiTheme="minorEastAsia" w:cstheme="minorEastAsia"/>
          <w:b/>
          <w:bCs/>
          <w:sz w:val="24"/>
          <w:szCs w:val="24"/>
        </w:rPr>
        <w:t>供应商信息登记表</w:t>
      </w:r>
    </w:p>
    <w:tbl>
      <w:tblPr>
        <w:tblStyle w:val="14"/>
        <w:tblW w:w="54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35"/>
        <w:gridCol w:w="915"/>
        <w:gridCol w:w="2215"/>
        <w:gridCol w:w="1239"/>
        <w:gridCol w:w="2322"/>
      </w:tblGrid>
      <w:tr w14:paraId="72E0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1293" w:type="pct"/>
            <w:vAlign w:val="center"/>
          </w:tcPr>
          <w:p w14:paraId="2079C3A4">
            <w:pPr>
              <w:pStyle w:val="25"/>
              <w:kinsoku w:val="0"/>
              <w:overflowPunct w:val="0"/>
              <w:spacing w:line="400" w:lineRule="exact"/>
              <w:ind w:firstLine="0" w:firstLineChars="0"/>
              <w:jc w:val="center"/>
              <w:rPr>
                <w:rFonts w:hAnsi="宋体" w:cs="仿宋"/>
              </w:rPr>
            </w:pPr>
            <w:bookmarkStart w:id="0" w:name="_Hlk199424538"/>
            <w:r>
              <w:rPr>
                <w:rFonts w:hint="eastAsia" w:hAnsi="宋体" w:cs="仿宋"/>
              </w:rPr>
              <w:t>单位名称</w:t>
            </w:r>
          </w:p>
        </w:tc>
        <w:tc>
          <w:tcPr>
            <w:tcW w:w="3706" w:type="pct"/>
            <w:gridSpan w:val="4"/>
            <w:vAlign w:val="center"/>
          </w:tcPr>
          <w:p w14:paraId="340FB6AE">
            <w:pPr>
              <w:tabs>
                <w:tab w:val="left" w:pos="202"/>
              </w:tabs>
              <w:spacing w:line="400" w:lineRule="exact"/>
              <w:jc w:val="center"/>
              <w:rPr>
                <w:rFonts w:ascii="宋体" w:hAnsi="宋体" w:eastAsia="宋体" w:cs="仿宋"/>
                <w:sz w:val="24"/>
                <w:szCs w:val="24"/>
              </w:rPr>
            </w:pPr>
          </w:p>
        </w:tc>
      </w:tr>
      <w:tr w14:paraId="33064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2" w:hRule="atLeast"/>
          <w:jc w:val="center"/>
        </w:trPr>
        <w:tc>
          <w:tcPr>
            <w:tcW w:w="1293" w:type="pct"/>
            <w:vAlign w:val="center"/>
          </w:tcPr>
          <w:p w14:paraId="0F3F2E76">
            <w:pPr>
              <w:pStyle w:val="25"/>
              <w:kinsoku w:val="0"/>
              <w:overflowPunct w:val="0"/>
              <w:spacing w:line="400" w:lineRule="exact"/>
              <w:ind w:firstLine="0" w:firstLineChars="0"/>
              <w:jc w:val="center"/>
              <w:rPr>
                <w:rFonts w:hAnsi="宋体" w:cs="仿宋"/>
              </w:rPr>
            </w:pPr>
            <w:r>
              <w:rPr>
                <w:rFonts w:hint="eastAsia" w:hAnsi="宋体" w:cs="仿宋"/>
              </w:rPr>
              <w:t>注册资金</w:t>
            </w:r>
          </w:p>
        </w:tc>
        <w:tc>
          <w:tcPr>
            <w:tcW w:w="1734" w:type="pct"/>
            <w:gridSpan w:val="2"/>
            <w:vAlign w:val="center"/>
          </w:tcPr>
          <w:p w14:paraId="30757AA0">
            <w:pPr>
              <w:spacing w:line="400" w:lineRule="exact"/>
              <w:jc w:val="center"/>
              <w:rPr>
                <w:rFonts w:ascii="宋体" w:hAnsi="宋体" w:eastAsia="宋体" w:cs="仿宋"/>
                <w:sz w:val="24"/>
                <w:szCs w:val="24"/>
              </w:rPr>
            </w:pPr>
            <w:r>
              <w:rPr>
                <w:rFonts w:hint="eastAsia" w:ascii="宋体" w:hAnsi="宋体" w:eastAsia="宋体" w:cs="仿宋"/>
                <w:sz w:val="24"/>
                <w:szCs w:val="24"/>
              </w:rPr>
              <w:t>万元</w:t>
            </w:r>
          </w:p>
        </w:tc>
        <w:tc>
          <w:tcPr>
            <w:tcW w:w="686" w:type="pct"/>
            <w:vAlign w:val="center"/>
          </w:tcPr>
          <w:p w14:paraId="7D139526">
            <w:pPr>
              <w:pStyle w:val="25"/>
              <w:kinsoku w:val="0"/>
              <w:overflowPunct w:val="0"/>
              <w:spacing w:line="400" w:lineRule="exact"/>
              <w:ind w:firstLine="0" w:firstLineChars="0"/>
              <w:jc w:val="center"/>
              <w:rPr>
                <w:rFonts w:hAnsi="宋体" w:cs="仿宋"/>
              </w:rPr>
            </w:pPr>
            <w:r>
              <w:rPr>
                <w:rFonts w:hint="eastAsia" w:hAnsi="宋体" w:cs="仿宋"/>
              </w:rPr>
              <w:t>成立时间</w:t>
            </w:r>
          </w:p>
        </w:tc>
        <w:tc>
          <w:tcPr>
            <w:tcW w:w="1285" w:type="pct"/>
            <w:vAlign w:val="center"/>
          </w:tcPr>
          <w:p w14:paraId="67BFBF77">
            <w:pPr>
              <w:spacing w:line="400" w:lineRule="exact"/>
              <w:jc w:val="center"/>
              <w:rPr>
                <w:rFonts w:ascii="宋体" w:hAnsi="宋体" w:eastAsia="宋体" w:cs="仿宋"/>
                <w:sz w:val="24"/>
                <w:szCs w:val="24"/>
              </w:rPr>
            </w:pPr>
            <w:r>
              <w:rPr>
                <w:rFonts w:hint="eastAsia" w:ascii="宋体" w:hAnsi="宋体" w:eastAsia="宋体" w:cs="仿宋"/>
                <w:sz w:val="24"/>
                <w:szCs w:val="24"/>
              </w:rPr>
              <w:t>年</w:t>
            </w:r>
            <w:r>
              <w:rPr>
                <w:rFonts w:ascii="宋体" w:hAnsi="宋体" w:eastAsia="宋体" w:cs="仿宋"/>
                <w:sz w:val="24"/>
                <w:szCs w:val="24"/>
              </w:rPr>
              <w:t xml:space="preserve">   </w:t>
            </w:r>
            <w:r>
              <w:rPr>
                <w:rFonts w:hint="eastAsia" w:ascii="宋体" w:hAnsi="宋体" w:eastAsia="宋体" w:cs="仿宋"/>
                <w:sz w:val="24"/>
                <w:szCs w:val="24"/>
              </w:rPr>
              <w:t>月</w:t>
            </w:r>
            <w:r>
              <w:rPr>
                <w:rFonts w:ascii="宋体" w:hAnsi="宋体" w:eastAsia="宋体" w:cs="仿宋"/>
                <w:sz w:val="24"/>
                <w:szCs w:val="24"/>
              </w:rPr>
              <w:t xml:space="preserve">  </w:t>
            </w:r>
            <w:r>
              <w:rPr>
                <w:rFonts w:hint="eastAsia" w:ascii="宋体" w:hAnsi="宋体" w:eastAsia="宋体" w:cs="仿宋"/>
                <w:sz w:val="24"/>
                <w:szCs w:val="24"/>
              </w:rPr>
              <w:t>日</w:t>
            </w:r>
          </w:p>
        </w:tc>
      </w:tr>
      <w:tr w14:paraId="39F9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5" w:hRule="atLeast"/>
          <w:jc w:val="center"/>
        </w:trPr>
        <w:tc>
          <w:tcPr>
            <w:tcW w:w="1293" w:type="pct"/>
            <w:vAlign w:val="center"/>
          </w:tcPr>
          <w:p w14:paraId="623F03E0">
            <w:pPr>
              <w:pStyle w:val="25"/>
              <w:kinsoku w:val="0"/>
              <w:overflowPunct w:val="0"/>
              <w:spacing w:line="400" w:lineRule="exact"/>
              <w:ind w:firstLine="0" w:firstLineChars="0"/>
              <w:jc w:val="center"/>
              <w:rPr>
                <w:rFonts w:hAnsi="宋体" w:cs="仿宋"/>
              </w:rPr>
            </w:pPr>
            <w:r>
              <w:rPr>
                <w:rFonts w:hint="eastAsia" w:hAnsi="宋体" w:cs="仿宋"/>
              </w:rPr>
              <w:t>注册地址</w:t>
            </w:r>
          </w:p>
        </w:tc>
        <w:tc>
          <w:tcPr>
            <w:tcW w:w="3706" w:type="pct"/>
            <w:gridSpan w:val="4"/>
            <w:vAlign w:val="center"/>
          </w:tcPr>
          <w:p w14:paraId="31E0A9D8">
            <w:pPr>
              <w:spacing w:line="400" w:lineRule="exact"/>
              <w:rPr>
                <w:rFonts w:ascii="宋体" w:hAnsi="宋体" w:eastAsia="宋体" w:cs="仿宋"/>
                <w:sz w:val="24"/>
                <w:szCs w:val="24"/>
              </w:rPr>
            </w:pPr>
          </w:p>
        </w:tc>
      </w:tr>
      <w:tr w14:paraId="2615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jc w:val="center"/>
        </w:trPr>
        <w:tc>
          <w:tcPr>
            <w:tcW w:w="1293" w:type="pct"/>
            <w:vAlign w:val="center"/>
          </w:tcPr>
          <w:p w14:paraId="7157BDD5">
            <w:pPr>
              <w:pStyle w:val="25"/>
              <w:kinsoku w:val="0"/>
              <w:overflowPunct w:val="0"/>
              <w:spacing w:line="400" w:lineRule="exact"/>
              <w:ind w:firstLine="0" w:firstLineChars="0"/>
              <w:jc w:val="center"/>
              <w:rPr>
                <w:rFonts w:hAnsi="宋体" w:cs="仿宋"/>
              </w:rPr>
            </w:pPr>
            <w:r>
              <w:rPr>
                <w:rFonts w:hint="eastAsia" w:hAnsi="宋体" w:cs="仿宋"/>
              </w:rPr>
              <w:t>邮政编码</w:t>
            </w:r>
          </w:p>
        </w:tc>
        <w:tc>
          <w:tcPr>
            <w:tcW w:w="1734" w:type="pct"/>
            <w:gridSpan w:val="2"/>
            <w:vAlign w:val="center"/>
          </w:tcPr>
          <w:p w14:paraId="4FCADD05">
            <w:pPr>
              <w:spacing w:line="400" w:lineRule="exact"/>
              <w:jc w:val="center"/>
              <w:rPr>
                <w:rFonts w:ascii="宋体" w:hAnsi="宋体" w:eastAsia="宋体" w:cs="仿宋"/>
                <w:sz w:val="24"/>
                <w:szCs w:val="24"/>
              </w:rPr>
            </w:pPr>
          </w:p>
        </w:tc>
        <w:tc>
          <w:tcPr>
            <w:tcW w:w="686" w:type="pct"/>
            <w:vAlign w:val="center"/>
          </w:tcPr>
          <w:p w14:paraId="7EB99EAE">
            <w:pPr>
              <w:pStyle w:val="25"/>
              <w:kinsoku w:val="0"/>
              <w:overflowPunct w:val="0"/>
              <w:spacing w:line="400" w:lineRule="exact"/>
              <w:ind w:firstLine="0" w:firstLineChars="0"/>
              <w:jc w:val="center"/>
              <w:rPr>
                <w:rFonts w:hAnsi="宋体" w:cs="仿宋"/>
              </w:rPr>
            </w:pPr>
            <w:r>
              <w:rPr>
                <w:rFonts w:hint="eastAsia" w:hAnsi="宋体" w:cs="仿宋"/>
              </w:rPr>
              <w:t>员工总数</w:t>
            </w:r>
          </w:p>
        </w:tc>
        <w:tc>
          <w:tcPr>
            <w:tcW w:w="1285" w:type="pct"/>
            <w:vAlign w:val="center"/>
          </w:tcPr>
          <w:p w14:paraId="6CCD2EBA">
            <w:pPr>
              <w:spacing w:line="400" w:lineRule="exact"/>
              <w:jc w:val="center"/>
              <w:rPr>
                <w:rFonts w:ascii="宋体" w:hAnsi="宋体" w:eastAsia="宋体" w:cs="仿宋"/>
                <w:sz w:val="24"/>
                <w:szCs w:val="24"/>
              </w:rPr>
            </w:pPr>
          </w:p>
        </w:tc>
      </w:tr>
      <w:tr w14:paraId="5859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293" w:type="pct"/>
            <w:vMerge w:val="restart"/>
            <w:vAlign w:val="center"/>
          </w:tcPr>
          <w:p w14:paraId="4C3F393A">
            <w:pPr>
              <w:pStyle w:val="25"/>
              <w:kinsoku w:val="0"/>
              <w:overflowPunct w:val="0"/>
              <w:spacing w:line="400" w:lineRule="exact"/>
              <w:ind w:firstLine="0" w:firstLineChars="0"/>
              <w:jc w:val="center"/>
              <w:rPr>
                <w:rFonts w:hAnsi="宋体" w:cs="仿宋"/>
              </w:rPr>
            </w:pPr>
            <w:r>
              <w:rPr>
                <w:rFonts w:hint="eastAsia" w:hAnsi="宋体" w:cs="仿宋"/>
              </w:rPr>
              <w:t>联系方式</w:t>
            </w:r>
          </w:p>
        </w:tc>
        <w:tc>
          <w:tcPr>
            <w:tcW w:w="507" w:type="pct"/>
            <w:vAlign w:val="center"/>
          </w:tcPr>
          <w:p w14:paraId="4FEA8412">
            <w:pPr>
              <w:pStyle w:val="25"/>
              <w:kinsoku w:val="0"/>
              <w:overflowPunct w:val="0"/>
              <w:spacing w:line="400" w:lineRule="exact"/>
              <w:ind w:firstLine="0" w:firstLineChars="0"/>
              <w:jc w:val="center"/>
              <w:rPr>
                <w:rFonts w:hAnsi="宋体" w:cs="仿宋"/>
              </w:rPr>
            </w:pPr>
            <w:r>
              <w:rPr>
                <w:rFonts w:hint="eastAsia" w:hAnsi="宋体" w:cs="仿宋"/>
              </w:rPr>
              <w:t>联系人</w:t>
            </w:r>
          </w:p>
        </w:tc>
        <w:tc>
          <w:tcPr>
            <w:tcW w:w="1227" w:type="pct"/>
            <w:vAlign w:val="center"/>
          </w:tcPr>
          <w:p w14:paraId="0DBD112E">
            <w:pPr>
              <w:spacing w:line="400" w:lineRule="exact"/>
              <w:jc w:val="center"/>
              <w:rPr>
                <w:rFonts w:ascii="宋体" w:hAnsi="宋体" w:eastAsia="宋体" w:cs="仿宋"/>
                <w:sz w:val="24"/>
                <w:szCs w:val="24"/>
              </w:rPr>
            </w:pPr>
          </w:p>
        </w:tc>
        <w:tc>
          <w:tcPr>
            <w:tcW w:w="686" w:type="pct"/>
            <w:vAlign w:val="center"/>
          </w:tcPr>
          <w:p w14:paraId="01A9FB22">
            <w:pPr>
              <w:pStyle w:val="25"/>
              <w:kinsoku w:val="0"/>
              <w:overflowPunct w:val="0"/>
              <w:spacing w:line="400" w:lineRule="exact"/>
              <w:ind w:firstLine="0" w:firstLineChars="0"/>
              <w:jc w:val="center"/>
              <w:rPr>
                <w:rFonts w:hAnsi="宋体" w:cs="仿宋"/>
              </w:rPr>
            </w:pPr>
            <w:r>
              <w:rPr>
                <w:rFonts w:hint="eastAsia" w:hAnsi="宋体" w:cs="仿宋"/>
              </w:rPr>
              <w:t>电话</w:t>
            </w:r>
          </w:p>
        </w:tc>
        <w:tc>
          <w:tcPr>
            <w:tcW w:w="1285" w:type="pct"/>
            <w:vAlign w:val="center"/>
          </w:tcPr>
          <w:p w14:paraId="7D6EB6BB">
            <w:pPr>
              <w:spacing w:line="400" w:lineRule="exact"/>
              <w:jc w:val="center"/>
              <w:rPr>
                <w:rFonts w:ascii="宋体" w:hAnsi="宋体" w:eastAsia="宋体" w:cs="仿宋"/>
                <w:sz w:val="24"/>
                <w:szCs w:val="24"/>
              </w:rPr>
            </w:pPr>
          </w:p>
        </w:tc>
      </w:tr>
      <w:tr w14:paraId="437E2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293" w:type="pct"/>
            <w:vMerge w:val="continue"/>
            <w:vAlign w:val="center"/>
          </w:tcPr>
          <w:p w14:paraId="48EE0541">
            <w:pPr>
              <w:spacing w:line="400" w:lineRule="exact"/>
              <w:jc w:val="center"/>
              <w:rPr>
                <w:rFonts w:ascii="宋体" w:hAnsi="宋体" w:eastAsia="宋体" w:cs="仿宋"/>
                <w:sz w:val="24"/>
                <w:szCs w:val="24"/>
              </w:rPr>
            </w:pPr>
          </w:p>
        </w:tc>
        <w:tc>
          <w:tcPr>
            <w:tcW w:w="507" w:type="pct"/>
            <w:vAlign w:val="center"/>
          </w:tcPr>
          <w:p w14:paraId="03D03489">
            <w:pPr>
              <w:pStyle w:val="25"/>
              <w:kinsoku w:val="0"/>
              <w:overflowPunct w:val="0"/>
              <w:spacing w:line="400" w:lineRule="exact"/>
              <w:ind w:firstLine="0" w:firstLineChars="0"/>
              <w:jc w:val="center"/>
              <w:rPr>
                <w:rFonts w:hAnsi="宋体" w:cs="仿宋"/>
              </w:rPr>
            </w:pPr>
            <w:r>
              <w:rPr>
                <w:rFonts w:hint="eastAsia" w:hAnsi="宋体" w:cs="仿宋"/>
              </w:rPr>
              <w:t>网址</w:t>
            </w:r>
          </w:p>
        </w:tc>
        <w:tc>
          <w:tcPr>
            <w:tcW w:w="1227" w:type="pct"/>
            <w:vAlign w:val="center"/>
          </w:tcPr>
          <w:p w14:paraId="3D203D52">
            <w:pPr>
              <w:spacing w:line="400" w:lineRule="exact"/>
              <w:jc w:val="center"/>
              <w:rPr>
                <w:rFonts w:ascii="宋体" w:hAnsi="宋体" w:eastAsia="宋体" w:cs="仿宋"/>
                <w:sz w:val="24"/>
                <w:szCs w:val="24"/>
              </w:rPr>
            </w:pPr>
          </w:p>
        </w:tc>
        <w:tc>
          <w:tcPr>
            <w:tcW w:w="686" w:type="pct"/>
            <w:vAlign w:val="center"/>
          </w:tcPr>
          <w:p w14:paraId="0344DA35">
            <w:pPr>
              <w:pStyle w:val="25"/>
              <w:kinsoku w:val="0"/>
              <w:overflowPunct w:val="0"/>
              <w:spacing w:line="400" w:lineRule="exact"/>
              <w:ind w:firstLine="0" w:firstLineChars="0"/>
              <w:jc w:val="center"/>
              <w:rPr>
                <w:rFonts w:hAnsi="宋体" w:cs="仿宋"/>
              </w:rPr>
            </w:pPr>
            <w:r>
              <w:rPr>
                <w:rFonts w:hint="eastAsia" w:hAnsi="宋体" w:cs="仿宋"/>
              </w:rPr>
              <w:t>传真/邮箱</w:t>
            </w:r>
          </w:p>
        </w:tc>
        <w:tc>
          <w:tcPr>
            <w:tcW w:w="1285" w:type="pct"/>
            <w:vAlign w:val="center"/>
          </w:tcPr>
          <w:p w14:paraId="10DCEAAC">
            <w:pPr>
              <w:spacing w:line="400" w:lineRule="exact"/>
              <w:jc w:val="center"/>
              <w:rPr>
                <w:rFonts w:ascii="宋体" w:hAnsi="宋体" w:eastAsia="宋体" w:cs="仿宋"/>
                <w:sz w:val="24"/>
                <w:szCs w:val="24"/>
              </w:rPr>
            </w:pPr>
          </w:p>
        </w:tc>
      </w:tr>
      <w:tr w14:paraId="3A5B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jc w:val="center"/>
        </w:trPr>
        <w:tc>
          <w:tcPr>
            <w:tcW w:w="1293" w:type="pct"/>
            <w:vAlign w:val="center"/>
          </w:tcPr>
          <w:p w14:paraId="223151BF">
            <w:pPr>
              <w:pStyle w:val="25"/>
              <w:kinsoku w:val="0"/>
              <w:overflowPunct w:val="0"/>
              <w:spacing w:line="400" w:lineRule="exact"/>
              <w:ind w:firstLine="0" w:firstLineChars="0"/>
              <w:jc w:val="center"/>
              <w:rPr>
                <w:rFonts w:hAnsi="宋体" w:cs="仿宋"/>
              </w:rPr>
            </w:pPr>
            <w:r>
              <w:rPr>
                <w:rFonts w:hint="eastAsia" w:hAnsi="宋体" w:cs="仿宋"/>
              </w:rPr>
              <w:t>法定代表人</w:t>
            </w:r>
          </w:p>
          <w:p w14:paraId="2E46A890">
            <w:pPr>
              <w:pStyle w:val="25"/>
              <w:kinsoku w:val="0"/>
              <w:overflowPunct w:val="0"/>
              <w:spacing w:line="400" w:lineRule="exact"/>
              <w:ind w:firstLine="0" w:firstLineChars="0"/>
              <w:jc w:val="center"/>
              <w:rPr>
                <w:rFonts w:hAnsi="宋体" w:cs="仿宋"/>
              </w:rPr>
            </w:pPr>
            <w:r>
              <w:rPr>
                <w:rFonts w:hint="eastAsia" w:hAnsi="宋体" w:cs="仿宋"/>
              </w:rPr>
              <w:t>（单位负责人）</w:t>
            </w:r>
          </w:p>
        </w:tc>
        <w:tc>
          <w:tcPr>
            <w:tcW w:w="507" w:type="pct"/>
            <w:vAlign w:val="center"/>
          </w:tcPr>
          <w:p w14:paraId="43A0BB7D">
            <w:pPr>
              <w:pStyle w:val="25"/>
              <w:kinsoku w:val="0"/>
              <w:overflowPunct w:val="0"/>
              <w:spacing w:line="400" w:lineRule="exact"/>
              <w:ind w:firstLine="0" w:firstLineChars="0"/>
              <w:jc w:val="center"/>
              <w:rPr>
                <w:rFonts w:hAnsi="宋体" w:cs="仿宋"/>
              </w:rPr>
            </w:pPr>
            <w:r>
              <w:rPr>
                <w:rFonts w:hint="eastAsia" w:hAnsi="宋体" w:cs="仿宋"/>
              </w:rPr>
              <w:t>姓名</w:t>
            </w:r>
          </w:p>
        </w:tc>
        <w:tc>
          <w:tcPr>
            <w:tcW w:w="1227" w:type="pct"/>
            <w:vAlign w:val="center"/>
          </w:tcPr>
          <w:p w14:paraId="4D346AE1">
            <w:pPr>
              <w:spacing w:line="400" w:lineRule="exact"/>
              <w:jc w:val="center"/>
              <w:rPr>
                <w:rFonts w:ascii="宋体" w:hAnsi="宋体" w:eastAsia="宋体" w:cs="仿宋"/>
                <w:sz w:val="24"/>
                <w:szCs w:val="24"/>
              </w:rPr>
            </w:pPr>
          </w:p>
        </w:tc>
        <w:tc>
          <w:tcPr>
            <w:tcW w:w="686" w:type="pct"/>
            <w:vAlign w:val="center"/>
          </w:tcPr>
          <w:p w14:paraId="51A678CE">
            <w:pPr>
              <w:pStyle w:val="25"/>
              <w:kinsoku w:val="0"/>
              <w:overflowPunct w:val="0"/>
              <w:spacing w:line="400" w:lineRule="exact"/>
              <w:ind w:firstLine="0" w:firstLineChars="0"/>
              <w:jc w:val="center"/>
              <w:rPr>
                <w:rFonts w:hAnsi="宋体" w:cs="仿宋"/>
              </w:rPr>
            </w:pPr>
            <w:r>
              <w:rPr>
                <w:rFonts w:hint="eastAsia" w:hAnsi="宋体" w:cs="仿宋"/>
              </w:rPr>
              <w:t>电话</w:t>
            </w:r>
          </w:p>
        </w:tc>
        <w:tc>
          <w:tcPr>
            <w:tcW w:w="1285" w:type="pct"/>
            <w:vAlign w:val="center"/>
          </w:tcPr>
          <w:p w14:paraId="67092CA6">
            <w:pPr>
              <w:tabs>
                <w:tab w:val="left" w:pos="1426"/>
              </w:tabs>
              <w:spacing w:line="400" w:lineRule="exact"/>
              <w:jc w:val="center"/>
              <w:rPr>
                <w:rFonts w:ascii="宋体" w:hAnsi="宋体" w:eastAsia="宋体" w:cs="仿宋"/>
                <w:sz w:val="24"/>
                <w:szCs w:val="24"/>
              </w:rPr>
            </w:pPr>
          </w:p>
        </w:tc>
      </w:tr>
      <w:tr w14:paraId="420DB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5" w:hRule="atLeast"/>
          <w:jc w:val="center"/>
        </w:trPr>
        <w:tc>
          <w:tcPr>
            <w:tcW w:w="1293" w:type="pct"/>
            <w:vAlign w:val="center"/>
          </w:tcPr>
          <w:p w14:paraId="5AE85363">
            <w:pPr>
              <w:pStyle w:val="25"/>
              <w:kinsoku w:val="0"/>
              <w:overflowPunct w:val="0"/>
              <w:spacing w:line="400" w:lineRule="exact"/>
              <w:ind w:firstLine="0" w:firstLineChars="0"/>
              <w:jc w:val="center"/>
              <w:rPr>
                <w:rFonts w:hAnsi="宋体" w:cs="仿宋"/>
              </w:rPr>
            </w:pPr>
            <w:r>
              <w:rPr>
                <w:rFonts w:hint="eastAsia" w:hAnsi="宋体" w:cs="仿宋"/>
              </w:rPr>
              <w:t>与本项目采购需求相关的资质或者认证证书</w:t>
            </w:r>
          </w:p>
        </w:tc>
        <w:tc>
          <w:tcPr>
            <w:tcW w:w="3706" w:type="pct"/>
            <w:gridSpan w:val="4"/>
            <w:vAlign w:val="center"/>
          </w:tcPr>
          <w:p w14:paraId="6819004E">
            <w:pPr>
              <w:pStyle w:val="25"/>
              <w:kinsoku w:val="0"/>
              <w:overflowPunct w:val="0"/>
              <w:spacing w:line="400" w:lineRule="exact"/>
              <w:ind w:firstLine="0" w:firstLineChars="0"/>
              <w:rPr>
                <w:rFonts w:hAnsi="宋体" w:cs="仿宋"/>
              </w:rPr>
            </w:pPr>
            <w:r>
              <w:rPr>
                <w:rFonts w:hint="eastAsia" w:hAnsi="宋体" w:cs="仿宋"/>
              </w:rPr>
              <w:t>如有请罗列证书名称：</w:t>
            </w:r>
          </w:p>
        </w:tc>
      </w:tr>
      <w:tr w14:paraId="41DF9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6" w:hRule="atLeast"/>
          <w:jc w:val="center"/>
        </w:trPr>
        <w:tc>
          <w:tcPr>
            <w:tcW w:w="1293" w:type="pct"/>
            <w:vAlign w:val="center"/>
          </w:tcPr>
          <w:p w14:paraId="3977BE65">
            <w:pPr>
              <w:pStyle w:val="25"/>
              <w:kinsoku w:val="0"/>
              <w:overflowPunct w:val="0"/>
              <w:spacing w:line="400" w:lineRule="exact"/>
              <w:ind w:firstLine="0" w:firstLineChars="0"/>
              <w:jc w:val="center"/>
              <w:rPr>
                <w:rFonts w:hAnsi="宋体" w:cs="仿宋"/>
              </w:rPr>
            </w:pPr>
            <w:r>
              <w:rPr>
                <w:rFonts w:hint="eastAsia" w:hAnsi="宋体" w:cs="仿宋"/>
              </w:rPr>
              <w:t>人员情况</w:t>
            </w:r>
          </w:p>
        </w:tc>
        <w:tc>
          <w:tcPr>
            <w:tcW w:w="3706" w:type="pct"/>
            <w:gridSpan w:val="4"/>
            <w:vAlign w:val="center"/>
          </w:tcPr>
          <w:p w14:paraId="383816E2">
            <w:pPr>
              <w:pStyle w:val="25"/>
              <w:kinsoku w:val="0"/>
              <w:overflowPunct w:val="0"/>
              <w:spacing w:line="400" w:lineRule="exact"/>
              <w:ind w:firstLine="0" w:firstLineChars="0"/>
              <w:rPr>
                <w:rFonts w:hAnsi="宋体" w:cs="仿宋"/>
              </w:rPr>
            </w:pPr>
            <w:r>
              <w:rPr>
                <w:rFonts w:hint="eastAsia" w:hAnsi="宋体" w:cs="仿宋"/>
              </w:rPr>
              <w:t>公司实有人员情况：</w:t>
            </w:r>
          </w:p>
          <w:p w14:paraId="31FC4B2E">
            <w:pPr>
              <w:pStyle w:val="25"/>
              <w:kinsoku w:val="0"/>
              <w:overflowPunct w:val="0"/>
              <w:spacing w:line="400" w:lineRule="exact"/>
              <w:ind w:firstLine="0" w:firstLineChars="0"/>
              <w:rPr>
                <w:rFonts w:hAnsi="宋体" w:cs="仿宋"/>
              </w:rPr>
            </w:pPr>
            <w:r>
              <w:rPr>
                <w:rFonts w:hint="eastAsia" w:hAnsi="宋体" w:cs="仿宋"/>
              </w:rPr>
              <w:t>广州地区人员情况：</w:t>
            </w:r>
          </w:p>
        </w:tc>
      </w:tr>
      <w:tr w14:paraId="5E96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5" w:hRule="atLeast"/>
          <w:jc w:val="center"/>
        </w:trPr>
        <w:tc>
          <w:tcPr>
            <w:tcW w:w="1293" w:type="pct"/>
            <w:vAlign w:val="center"/>
          </w:tcPr>
          <w:p w14:paraId="1B2E8BF6">
            <w:pPr>
              <w:pStyle w:val="25"/>
              <w:kinsoku w:val="0"/>
              <w:overflowPunct w:val="0"/>
              <w:spacing w:line="440" w:lineRule="exact"/>
              <w:ind w:firstLine="0" w:firstLineChars="0"/>
              <w:jc w:val="center"/>
              <w:rPr>
                <w:rFonts w:hAnsi="宋体" w:cs="仿宋"/>
              </w:rPr>
            </w:pPr>
            <w:r>
              <w:rPr>
                <w:rFonts w:hint="eastAsia" w:hAnsi="宋体" w:cs="仿宋"/>
              </w:rPr>
              <w:t>备注</w:t>
            </w:r>
          </w:p>
        </w:tc>
        <w:tc>
          <w:tcPr>
            <w:tcW w:w="3706" w:type="pct"/>
            <w:gridSpan w:val="4"/>
            <w:vAlign w:val="center"/>
          </w:tcPr>
          <w:p w14:paraId="22930F2B">
            <w:pPr>
              <w:spacing w:line="440" w:lineRule="exact"/>
              <w:jc w:val="center"/>
              <w:rPr>
                <w:rFonts w:ascii="宋体" w:hAnsi="宋体" w:eastAsia="宋体" w:cs="仿宋"/>
                <w:sz w:val="24"/>
                <w:szCs w:val="24"/>
              </w:rPr>
            </w:pPr>
          </w:p>
        </w:tc>
      </w:tr>
      <w:bookmarkEnd w:id="0"/>
    </w:tbl>
    <w:p w14:paraId="1AD5A43A">
      <w:pPr>
        <w:pStyle w:val="13"/>
        <w:ind w:firstLine="0" w:firstLineChars="0"/>
      </w:pPr>
    </w:p>
    <w:p w14:paraId="7686FF84">
      <w:pPr>
        <w:rPr>
          <w:rFonts w:hint="eastAsia" w:asciiTheme="minorEastAsia" w:hAnsi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br w:type="page"/>
      </w:r>
    </w:p>
    <w:p w14:paraId="3FF87687">
      <w:pPr>
        <w:spacing w:after="209" w:afterLines="67"/>
        <w:rPr>
          <w:rFonts w:asciiTheme="minorEastAsia" w:hAnsiTheme="minorEastAsia" w:cstheme="minorEastAsia"/>
          <w:b/>
          <w:bCs/>
          <w:sz w:val="24"/>
          <w:szCs w:val="24"/>
        </w:rPr>
      </w:pPr>
      <w:r>
        <w:rPr>
          <w:rFonts w:hint="eastAsia" w:asciiTheme="minorEastAsia" w:hAnsiTheme="minorEastAsia" w:cstheme="minorEastAsia"/>
          <w:b/>
          <w:bCs/>
          <w:sz w:val="24"/>
          <w:szCs w:val="24"/>
          <w:lang w:val="en-US" w:eastAsia="zh-CN"/>
        </w:rPr>
        <w:t>二</w:t>
      </w:r>
      <w:r>
        <w:rPr>
          <w:rFonts w:hint="eastAsia" w:asciiTheme="minorEastAsia" w:hAnsiTheme="minorEastAsia" w:cstheme="minorEastAsia"/>
          <w:b/>
          <w:bCs/>
          <w:sz w:val="24"/>
          <w:szCs w:val="24"/>
        </w:rPr>
        <w:t>、需求响应情况（加盖公章）</w:t>
      </w:r>
    </w:p>
    <w:tbl>
      <w:tblPr>
        <w:tblStyle w:val="14"/>
        <w:tblW w:w="53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294"/>
        <w:gridCol w:w="4748"/>
        <w:gridCol w:w="1437"/>
        <w:gridCol w:w="944"/>
      </w:tblGrid>
      <w:tr w14:paraId="34FC9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0D690DEC">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733" w:type="pct"/>
            <w:vAlign w:val="center"/>
          </w:tcPr>
          <w:p w14:paraId="390819F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需求</w:t>
            </w:r>
            <w:r>
              <w:rPr>
                <w:rFonts w:hint="eastAsia" w:ascii="宋体" w:hAnsi="宋体" w:eastAsia="宋体" w:cs="宋体"/>
                <w:b/>
                <w:bCs/>
                <w:sz w:val="21"/>
                <w:szCs w:val="21"/>
              </w:rPr>
              <w:t>名称</w:t>
            </w:r>
          </w:p>
        </w:tc>
        <w:tc>
          <w:tcPr>
            <w:tcW w:w="2683" w:type="pct"/>
            <w:vAlign w:val="center"/>
          </w:tcPr>
          <w:p w14:paraId="3AF29F7B">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功能描述</w:t>
            </w:r>
          </w:p>
        </w:tc>
        <w:tc>
          <w:tcPr>
            <w:tcW w:w="813" w:type="pct"/>
            <w:vAlign w:val="center"/>
          </w:tcPr>
          <w:p w14:paraId="48175FD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响应情况（完全满足/部分满足/不满足）</w:t>
            </w:r>
          </w:p>
        </w:tc>
        <w:tc>
          <w:tcPr>
            <w:tcW w:w="535" w:type="pct"/>
            <w:vAlign w:val="center"/>
          </w:tcPr>
          <w:p w14:paraId="3D9D2618">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备注（描述偏离情况）</w:t>
            </w:r>
          </w:p>
        </w:tc>
      </w:tr>
      <w:tr w14:paraId="5392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513F1493">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restart"/>
            <w:shd w:val="clear" w:color="auto" w:fill="auto"/>
            <w:vAlign w:val="center"/>
          </w:tcPr>
          <w:p w14:paraId="1C8CA473">
            <w:pPr>
              <w:pageBreakBefore w:val="0"/>
              <w:widowControl w:val="0"/>
              <w:kinsoku/>
              <w:wordWrap/>
              <w:overflowPunct/>
              <w:topLinePunct w:val="0"/>
              <w:autoSpaceDE/>
              <w:autoSpaceDN/>
              <w:bidi w:val="0"/>
              <w:spacing w:line="288" w:lineRule="auto"/>
              <w:ind w:left="0" w:leftChars="0" w:firstLine="0" w:firstLineChars="0"/>
              <w:jc w:val="center"/>
              <w:textAlignment w:val="auto"/>
              <w:rPr>
                <w:rFonts w:hint="eastAsia" w:ascii="宋体" w:hAnsi="宋体" w:eastAsia="宋体" w:cs="宋体"/>
                <w:kern w:val="2"/>
                <w:sz w:val="21"/>
                <w:szCs w:val="21"/>
                <w:lang w:val="en-US" w:eastAsia="zh-CN" w:bidi="ar-SA"/>
              </w:rPr>
            </w:pPr>
            <w:r>
              <w:rPr>
                <w:rFonts w:hint="eastAsia"/>
              </w:rPr>
              <w:t>1.项目概述</w:t>
            </w:r>
          </w:p>
        </w:tc>
        <w:tc>
          <w:tcPr>
            <w:tcW w:w="2683" w:type="pct"/>
            <w:vAlign w:val="center"/>
          </w:tcPr>
          <w:p w14:paraId="139AD47D">
            <w:pPr>
              <w:pageBreakBefore w:val="0"/>
              <w:widowControl w:val="0"/>
              <w:numPr>
                <w:ilvl w:val="0"/>
                <w:numId w:val="0"/>
              </w:numPr>
              <w:kinsoku/>
              <w:wordWrap/>
              <w:overflowPunct/>
              <w:topLinePunct w:val="0"/>
              <w:autoSpaceDE/>
              <w:autoSpaceDN/>
              <w:bidi w:val="0"/>
              <w:spacing w:line="288" w:lineRule="auto"/>
              <w:ind w:leftChars="0"/>
              <w:textAlignment w:val="auto"/>
              <w:rPr>
                <w:rFonts w:hint="eastAsia" w:ascii="宋体" w:hAnsi="宋体" w:eastAsia="宋体" w:cs="宋体"/>
                <w:sz w:val="21"/>
                <w:szCs w:val="21"/>
              </w:rPr>
            </w:pPr>
            <w:r>
              <w:rPr>
                <w:rFonts w:hint="eastAsia" w:ascii="宋体" w:hAnsi="宋体" w:eastAsia="宋体" w:cs="宋体"/>
                <w:sz w:val="21"/>
                <w:szCs w:val="21"/>
              </w:rPr>
              <w:t>1.1.项目背景与采购标的</w:t>
            </w:r>
          </w:p>
          <w:p w14:paraId="2A225109">
            <w:pPr>
              <w:pageBreakBefore w:val="0"/>
              <w:widowControl w:val="0"/>
              <w:numPr>
                <w:ilvl w:val="0"/>
                <w:numId w:val="0"/>
              </w:numPr>
              <w:kinsoku/>
              <w:wordWrap/>
              <w:overflowPunct/>
              <w:topLinePunct w:val="0"/>
              <w:autoSpaceDE/>
              <w:autoSpaceDN/>
              <w:bidi w:val="0"/>
              <w:spacing w:line="288" w:lineRule="auto"/>
              <w:ind w:leftChars="0"/>
              <w:textAlignment w:val="auto"/>
              <w:rPr>
                <w:rFonts w:hint="eastAsia" w:ascii="宋体" w:hAnsi="宋体" w:eastAsia="宋体" w:cs="宋体"/>
                <w:sz w:val="21"/>
                <w:szCs w:val="21"/>
              </w:rPr>
            </w:pPr>
            <w:r>
              <w:rPr>
                <w:rFonts w:hint="eastAsia" w:ascii="宋体" w:hAnsi="宋体" w:eastAsia="宋体" w:cs="宋体"/>
                <w:sz w:val="21"/>
                <w:szCs w:val="21"/>
              </w:rPr>
              <w:t>当前广东移动IPTV用户规模持续扩大，用户对高品质、多元化内容的需求日益增长，尤其在体育领域，用户对赛事直播、专业解说、健身指导、体育资讯等内容的期待不断提升。为进一步丰富平台内容生态，提升用户黏性与满意度，广东移动也希望引入体系完善、品类齐全的体育产品，涵盖热门赛事版权、垂类体育栏目、互动健身内容等多种形态，以差异化体育内容增强IPTV平台竞争力。持续优化用户收视体验，助力广东移动IPTV打造更具吸引力的产品服务体系。</w:t>
            </w:r>
            <w:bookmarkStart w:id="1" w:name="OLE_LINK2"/>
            <w:bookmarkStart w:id="2" w:name="OLE_LINK3"/>
            <w:r>
              <w:rPr>
                <w:rFonts w:hint="eastAsia" w:ascii="宋体" w:hAnsi="宋体" w:eastAsia="宋体" w:cs="宋体"/>
                <w:sz w:val="21"/>
                <w:szCs w:val="21"/>
              </w:rPr>
              <w:t>=</w:t>
            </w:r>
            <w:bookmarkEnd w:id="1"/>
            <w:bookmarkEnd w:id="2"/>
          </w:p>
          <w:p w14:paraId="20283D78">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赛事运营相较于常规视频业务存在本质差异：赛事进程、比分与结果实时动态变化，具有高实时性与强不确定性；赛事本身仅为基础素材，须依托实时数据、历史数据与专业分析进行二次加工，形成"数据+内容"的复合产品；重大赛事期间多赛事并行、多路解说、多视角信号并存，资源调度与内容编排复杂度显著高于常规业务；同时赛事运营具有显著的周期性，重大赛事节点密集，对平台运营支撑能力提出极高要求。家庭大屏凭借超大尺寸、高清画质、沉浸式观看体验等天然优势，成为体育赛事观看的首选终端。当前国内综合体育赛事运营平台已形成"优质内容+尖端技术+闭环服务+活跃社群"的全生态竞争格局，采购人需将优质体育内容集成至整体业务体系，通过采购成熟产品提升系统支撑能力，增强用户粘性，挖掘家庭大屏场景下的体育消费价值。</w:t>
            </w:r>
          </w:p>
          <w:p w14:paraId="6AC4F0DF">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采购人现有EPG体系围绕"影视剧综"等确定性内容设计，在体育赛事运营场景中支撑能力不足，主要表现为：外部赛事数据与内容整合不足，缺乏统一的赛事数据对接体系与第三方内容集成能力；体育特色组件与赛事场景化展示支持欠缺；运营架构围绕固定排播表设计，难以适应体育赛事的高实时性与强不确定性；海报处理、内容上下线编排等环节高度依赖人工，重大赛事集中运营场景下运营成本高、效率受限。</w:t>
            </w:r>
          </w:p>
          <w:p w14:paraId="768E4FB7">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为此，采购人拟采购一套成熟的体育赛事专区产品。本产品应为一套已具备商用落地能力的产品化交付成果，涵盖前端体育赛事专区页面、体育赛事数据展示能力及配套的体育运营平台软件，须与采购人现有EPG体系、用户账号体系、计费鉴权体系及内容播控体系无缝对接，实现体育内容与赛事数据的统一接入、统一编排与统一运营，推动体育业务从"功能支撑"向"业务赋能"转型。</w:t>
            </w:r>
          </w:p>
        </w:tc>
        <w:tc>
          <w:tcPr>
            <w:tcW w:w="813" w:type="pct"/>
            <w:vAlign w:val="center"/>
          </w:tcPr>
          <w:p w14:paraId="1A149DF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494F71E7">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4F475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2FDFA887">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47D6528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2683" w:type="pct"/>
            <w:vAlign w:val="center"/>
          </w:tcPr>
          <w:p w14:paraId="34FE7584">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1.2.采购范围与核心要点</w:t>
            </w:r>
          </w:p>
          <w:p w14:paraId="570C0031">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本项目采购范围包括以下两个部分：</w:t>
            </w:r>
          </w:p>
          <w:p w14:paraId="23B99DAA">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赛事专区产品许可与实施：前端体育赛事专区页面产品与体育运营平台软件产品的许可、部署实施、与采购人现有体系的对接集成及试运行，产品须为成熟产品化交付，包括约定期限内的版本升级与缺陷修复。</w:t>
            </w:r>
          </w:p>
          <w:p w14:paraId="5826E1B6">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赛事数据与内容对接服务：上游体育内容与赛事数据的接入、同步、治理与本地化管理能力建设，覆盖赛事、赛季、比赛三层赛事数据及组件数据的实时同步。</w:t>
            </w:r>
          </w:p>
          <w:p w14:paraId="7076DF75">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本项目所采购产品的核心要点如下：</w:t>
            </w:r>
          </w:p>
          <w:p w14:paraId="154069C8">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bCs/>
                <w:sz w:val="24"/>
                <w:lang w:eastAsia="zh-CN"/>
              </w:rPr>
              <w:t>★</w:t>
            </w:r>
            <w:r>
              <w:rPr>
                <w:rFonts w:hint="eastAsia" w:ascii="宋体" w:hAnsi="宋体" w:eastAsia="宋体" w:cs="宋体"/>
                <w:b/>
                <w:bCs/>
                <w:sz w:val="21"/>
                <w:szCs w:val="21"/>
                <w:lang w:eastAsia="zh-CN"/>
              </w:rPr>
              <w:t>供应商须具备附件一《赛事列表》所列全部赛事对应的在广东IPTV移动平台的合法版权使用资质，有权在本次招标产品上对接、上线上述赛事相关内容。本次招标采购标的为体育赛事产品，采购范围不含赛事版权及赛事音视频内容；本次体育赛事产品须为适配上述赛事版权体系的专用产品，产品能力须覆盖附件一《赛事列表》所列版权赛事并全面支持联赛、杯赛、综合赛事等多种比赛类型的数据展示，产品能支持由采购人和广东移动引入的国家或广东省专项赛事的展示</w:t>
            </w:r>
            <w:r>
              <w:rPr>
                <w:rFonts w:hint="eastAsia" w:ascii="宋体" w:hAnsi="宋体" w:eastAsia="宋体" w:cs="宋体"/>
                <w:b/>
                <w:bCs/>
                <w:sz w:val="21"/>
                <w:szCs w:val="21"/>
              </w:rPr>
              <w:t>。</w:t>
            </w:r>
          </w:p>
          <w:p w14:paraId="520E3BFA">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产品须具备提供时间周期为一年的赛事数据服务，包括比分、球员球队信息、赛事赛程、技术统计等，以及赛事数据的前端专业化展示能力与后台数据治理能力，支撑"数据+内容"的深度融合。</w:t>
            </w:r>
          </w:p>
          <w:p w14:paraId="21FA3A8B">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产品须具备可视化页面编排、内容批价与产品包管理、细粒度权限管控等平台运营能力，实现运营侧可配置、可追溯、可干预。</w:t>
            </w:r>
          </w:p>
          <w:p w14:paraId="13A8EFB4">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lang w:eastAsia="zh-CN"/>
              </w:rPr>
              <w:t>供应商</w:t>
            </w:r>
            <w:r>
              <w:rPr>
                <w:rFonts w:hint="eastAsia" w:ascii="宋体" w:hAnsi="宋体" w:eastAsia="宋体" w:cs="宋体"/>
                <w:sz w:val="21"/>
                <w:szCs w:val="21"/>
              </w:rPr>
              <w:t>须提供全年7×24小时的体育产品运维支撑服务以及赛事版权运营与直播服务，保障赛事数据安全、直播点播内容安全与运营连续性。</w:t>
            </w:r>
          </w:p>
        </w:tc>
        <w:tc>
          <w:tcPr>
            <w:tcW w:w="813" w:type="pct"/>
            <w:vAlign w:val="center"/>
          </w:tcPr>
          <w:p w14:paraId="5636B8B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01256C4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71CB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7D125269">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restart"/>
            <w:vAlign w:val="center"/>
          </w:tcPr>
          <w:p w14:paraId="7D5C6B2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2.体育产品总述</w:t>
            </w:r>
          </w:p>
        </w:tc>
        <w:tc>
          <w:tcPr>
            <w:tcW w:w="2683" w:type="pct"/>
            <w:vAlign w:val="center"/>
          </w:tcPr>
          <w:p w14:paraId="4EBB3C35">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本期采购以体育产品为核心标的，围绕公共框架、点播消费、体育赛事等方向提出需求，体育运营平台作为体育赛事专区产品的组成部分一并采购、部署与交付，具体包括以下核心方向：</w:t>
            </w:r>
          </w:p>
        </w:tc>
        <w:tc>
          <w:tcPr>
            <w:tcW w:w="813" w:type="pct"/>
            <w:vAlign w:val="center"/>
          </w:tcPr>
          <w:p w14:paraId="77C5AD57">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75C03B1F">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4B43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1F3FADC9">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7F110EBD">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28C576BD">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2.1.完整的赛事数据服务与管理</w:t>
            </w:r>
          </w:p>
          <w:p w14:paraId="655C706E">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产品需配套提供符合版权要求的赛事数据，并建立标准化的数据接入网关，与上游体育内容提供商（内容提供商）对接，能够自动识别处理不同赛事在数据格式、统计维度和更新频率上存在差异的原始数据，转化为体育产品内部统一的、规范化的数据模型。赛事数据需覆盖赛事、比赛、赛程等，并为前端体育赛事挂件提供按需、低延迟的数据接口，支持不同的运营场景的赛事数据在体育专区产品前端展示。</w:t>
            </w:r>
          </w:p>
        </w:tc>
        <w:tc>
          <w:tcPr>
            <w:tcW w:w="813" w:type="pct"/>
            <w:vAlign w:val="center"/>
          </w:tcPr>
          <w:p w14:paraId="407A9D22">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6D779EB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2CB38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7938112C">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433C48AA">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40A87A70">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2.2.统一的IPTV页面交互框架</w:t>
            </w:r>
          </w:p>
          <w:p w14:paraId="1F413BF3">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建设全站统一的页面框架、功能入口编排、频道导航和内容标识体系建立起来，让各个业务模块在导航层级、视觉样式、交互方式上都保持一致；再统一遥控器操作规范，以及加载、空数据、网络异常这些场景的反馈方式，解决多个页面、多个模块之间体验不统一的问题，为各业务能力快速接入和后续迭代提供稳定的基础支撑。</w:t>
            </w:r>
          </w:p>
          <w:p w14:paraId="7F440A48">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赛事专区产品需具备体育挂件管理能力，挂件为前端样式+动静态数据的体育特有的展示组件，至少包括赛事基本信息挂件、赛事事件挂件（足球类）、阵容挂件、球队统计挂件、球员统计挂件、对阵数据统计挂件等。赛事挂件涵盖体育频道首页、赛事聚合页及播放详情页三类核心场景：首页需实现导航与多形态运营位展示；聚合页按项目与类型分类组织内容，并提供实时比分与赛程信息；播放详情页需保障直播流畅、播放控制（包括直播（组播）内容播放、时移，点播和回看（单播）内容快进、快退、播放暂停等）及沉浸式数据展示。</w:t>
            </w:r>
          </w:p>
        </w:tc>
        <w:tc>
          <w:tcPr>
            <w:tcW w:w="813" w:type="pct"/>
            <w:vAlign w:val="center"/>
          </w:tcPr>
          <w:p w14:paraId="00344388">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0A1A5DD9">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76ED1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27CE74FD">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024867C4">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3312D756">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2.3.体育内容全链路服务</w:t>
            </w:r>
          </w:p>
          <w:p w14:paraId="5E53D859">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点播是体育专区产品最基础、最核心的内容形态，体育独家内容同样以点播形式承载。本期须对点播内容的页面与播放页链路进行升级，扩展内容基础信息展示维度，完善选集分期、更新策略说明，缩短用户内容决策路径，提升点播内容的消费效率和满意度。</w:t>
            </w:r>
          </w:p>
          <w:p w14:paraId="66076B9D">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围绕“内容聚合—赛程—赛事详情页—全屏播放—赛况数据”和“榜单”构建完整的体育赛事服务链路，重点解决用户找比赛、看比赛、看数据、查榜单的连续性需求；通过赛程多维筛选、比赛状态联动、详情页小窗和全屏播放、赛况数据展示、榜单查看等能力，形成区别于通用点播产品的差异化竞争力。</w:t>
            </w:r>
          </w:p>
        </w:tc>
        <w:tc>
          <w:tcPr>
            <w:tcW w:w="813" w:type="pct"/>
            <w:vAlign w:val="center"/>
          </w:tcPr>
          <w:p w14:paraId="3E3F9FD6">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2AF93CF6">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39E51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09B0899E">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6CDC8FBE">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2683" w:type="pct"/>
            <w:vAlign w:val="center"/>
          </w:tcPr>
          <w:p w14:paraId="7FD4BA44">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2.4.体育产品运营能力</w:t>
            </w:r>
          </w:p>
          <w:p w14:paraId="2E7CF2AB">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配套采购支撑前端全部页面功能的数据与编排后台，实现上游体育内容内容提供商数据源的统一接入、页面与推荐位的灵活编排、内容标识与赛事数据的运营管理，为运营人员提供可配置、可追溯、可干预的运营工具，支撑前端各项功能稳定落地与高效迭代。满足多种形态的体育广告展示和广告运营数据分析。</w:t>
            </w:r>
          </w:p>
        </w:tc>
        <w:tc>
          <w:tcPr>
            <w:tcW w:w="813" w:type="pct"/>
            <w:vAlign w:val="center"/>
          </w:tcPr>
          <w:p w14:paraId="471ED33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516FBA2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6728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5E1B7CBD">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Align w:val="center"/>
          </w:tcPr>
          <w:p w14:paraId="386C5ACA">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3.体育产品架构要求</w:t>
            </w:r>
          </w:p>
        </w:tc>
        <w:tc>
          <w:tcPr>
            <w:tcW w:w="2683" w:type="pct"/>
            <w:vAlign w:val="center"/>
          </w:tcPr>
          <w:p w14:paraId="4AD3A83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体育产品应遵循以下技术要求：</w:t>
            </w:r>
          </w:p>
          <w:p w14:paraId="1DB38D9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产品架构：构建高性能、高可用的体育全业务运营矩阵。底层基于分布式架构搭建核心后台，深度践行 "业务与数据分离" 设计理念，通过分层架构实现业务逻辑层与底层数据层的深度解耦；采用分布式集群部署模式规避单点故障，依托负载均衡算法实现节点间负载自适应分配，保障系统高可用与可维护性。</w:t>
            </w:r>
          </w:p>
          <w:p w14:paraId="65563EE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网络部署与平台适配：适配与现有IPTV平台的网络架构要求，支撑全链路、多活分布式云架构，以高可用、高并发、可扩展为核心目标，通过网络拓扑多层次解耦与冗余设计，适配体育赛事峰值流量与复杂运营场景。需对接IPTV EPG Launcher传递认证用户信息、IPTV业务平台完成用户认证、订单、播放鉴权及内容本地化注入，以及上游体育 内容提供商 内容和赛事运营数据平台的直播内容与比赛数据同步，实现与现有各能力平台的平滑集成。</w:t>
            </w:r>
          </w:p>
          <w:p w14:paraId="6033145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网络安全：采用纵深防御策略，基于VPC与子网隔离技术将接入层、业务层、数据层逻辑分区，通过精细安全组策略与ACL限制跨层级通信权限，有效防范跨区域、跨层级网络攻击。</w:t>
            </w:r>
          </w:p>
          <w:p w14:paraId="713397E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服务器资源需求：体育赛事专区产品作为大屏内容聚合输出的落地产品，需要满足广电业务内大屏用户的体育观赛需求，实现体育内容的统一运营。结合IPTV业务总用户规模，服务器资源需求：按日活约 400 万、极端并发约 4 万 TPS 测算，产品上线须满足以下最低配置基线（</w:t>
            </w:r>
            <w:r>
              <w:rPr>
                <w:rFonts w:hint="eastAsia" w:ascii="宋体" w:hAnsi="宋体" w:eastAsia="宋体" w:cs="宋体"/>
                <w:sz w:val="21"/>
                <w:szCs w:val="21"/>
                <w:lang w:eastAsia="zh-CN"/>
              </w:rPr>
              <w:t>供应商</w:t>
            </w:r>
            <w:r>
              <w:rPr>
                <w:rFonts w:hint="eastAsia" w:ascii="宋体" w:hAnsi="宋体" w:eastAsia="宋体" w:cs="宋体"/>
                <w:sz w:val="21"/>
                <w:szCs w:val="21"/>
              </w:rPr>
              <w:t>建议可优化但不得低于该基线），给出产品上线实施所需的服务器资源配置建议和需求数量，以及中间件、数据库等资源需求。</w:t>
            </w:r>
          </w:p>
        </w:tc>
        <w:tc>
          <w:tcPr>
            <w:tcW w:w="813" w:type="pct"/>
            <w:vAlign w:val="center"/>
          </w:tcPr>
          <w:p w14:paraId="51372F1B">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6AABD8AA">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504EE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4C0BA21C">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Align w:val="center"/>
          </w:tcPr>
          <w:p w14:paraId="0119B18C">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4.体育产品数据服务要求</w:t>
            </w:r>
          </w:p>
        </w:tc>
        <w:tc>
          <w:tcPr>
            <w:tcW w:w="2683" w:type="pct"/>
            <w:vAlign w:val="center"/>
          </w:tcPr>
          <w:p w14:paraId="5872AB2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需要提供具有在广东IPTV移动平台大屏端体育产品专区具有合法合规的体育赛事数据，体育赛事包括范围（以下文字的版权均指广东IPTV移动平台大屏端合法版权）：</w:t>
            </w:r>
          </w:p>
          <w:p w14:paraId="59C6CB0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国际赛事：具有版权的欧洲足球五大联赛、NBA、FIBA篮球世界杯、美国网球公开赛、澳大利亚网球公开赛、中国网球公开赛、世界羽联巡回赛、斯诺克世锦赛、WTT分站赛等全球性焦点赛事的赛事数据。</w:t>
            </w:r>
          </w:p>
          <w:p w14:paraId="4A174C2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国内赛事： 拥有版权的中超联赛、足协杯、乒超联赛等国内顶级职业体育赛事的赛事数据。具有引入全国性或省级综合运动会，及参与度高影响范围广的专项赛事数据的能力。</w:t>
            </w:r>
          </w:p>
          <w:p w14:paraId="4B95E92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差异化赛事内容： 探索引入体育内容提供商拥有版权的电子竞技、高尔夫等深受年轻群体喜爱的新兴体育赛事内容的赛事数据。</w:t>
            </w:r>
          </w:p>
          <w:p w14:paraId="28A54FF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针对国际赛事存在的时差问题，提供赛事回看、精彩集锦点播的数据服务，并于赛事结束后及时上线。可提供直播赛事明确的赛程预告数据、赛事专题聚合数据。</w:t>
            </w:r>
          </w:p>
          <w:p w14:paraId="02E94A2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lang w:eastAsia="zh-CN"/>
              </w:rPr>
            </w:pPr>
            <w:r>
              <w:rPr>
                <w:rFonts w:hint="eastAsia" w:ascii="宋体" w:hAnsi="宋体" w:eastAsia="宋体" w:cs="宋体"/>
                <w:sz w:val="21"/>
                <w:szCs w:val="21"/>
              </w:rPr>
              <w:t>建立版权内容合规使用流程，确保所有播出内容涉及的数据均在体育内容提供商授权的广东移动IPTV体育产品专区范围内，无超范围使用，并配合完成相关版权方的播后报告要求</w:t>
            </w:r>
            <w:r>
              <w:rPr>
                <w:rFonts w:hint="eastAsia" w:ascii="宋体" w:hAnsi="宋体" w:eastAsia="宋体" w:cs="宋体"/>
                <w:sz w:val="21"/>
                <w:szCs w:val="21"/>
                <w:lang w:eastAsia="zh-CN"/>
              </w:rPr>
              <w:t>。</w:t>
            </w:r>
          </w:p>
        </w:tc>
        <w:tc>
          <w:tcPr>
            <w:tcW w:w="813" w:type="pct"/>
            <w:vAlign w:val="center"/>
          </w:tcPr>
          <w:p w14:paraId="5B3D691D">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50F18E32">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0C6BE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20FFEB33">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restart"/>
            <w:vAlign w:val="center"/>
          </w:tcPr>
          <w:p w14:paraId="1C631E6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5.体育产品展示功能要求</w:t>
            </w:r>
          </w:p>
        </w:tc>
        <w:tc>
          <w:tcPr>
            <w:tcW w:w="2683" w:type="pct"/>
            <w:vAlign w:val="center"/>
          </w:tcPr>
          <w:p w14:paraId="141E852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本章规定本产品前端各页面的功能要求。其中5.1为全站通用要求，适用于本章全部页面；5.2至5.5为各业务能力要求，各业务页面在满足自身功能要求的同时，均须完整满足5.1的全部要求，不得因业务差异而豁免。</w:t>
            </w:r>
          </w:p>
        </w:tc>
        <w:tc>
          <w:tcPr>
            <w:tcW w:w="813" w:type="pct"/>
            <w:vAlign w:val="center"/>
          </w:tcPr>
          <w:p w14:paraId="29D6D079">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6D95AFC3">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7502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jc w:val="center"/>
        </w:trPr>
        <w:tc>
          <w:tcPr>
            <w:tcW w:w="234" w:type="pct"/>
            <w:vAlign w:val="center"/>
          </w:tcPr>
          <w:p w14:paraId="13CF0A28">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342F0A84">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6F23CA1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5.1.产品框架与公共功能要求</w:t>
            </w:r>
          </w:p>
          <w:p w14:paraId="6F5B106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本节规定EPG全部页面通用且必须遵循的框架、导航、标识、交互与用户状态要求。5.2至5.5各业务页面在建设时须与本节合并执行，本节各条要求对全部页面同等适用。</w:t>
            </w:r>
          </w:p>
          <w:p w14:paraId="1749BA9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5.1.1.全局页面框架</w:t>
            </w:r>
          </w:p>
          <w:p w14:paraId="29044B4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全局页面框架是全站功能组织和页面导航的骨架。本期通过一套统一的框架规范，解决各业务模块在导航层级、页面返回路径、合规要素展示上不一致的问题，降低用户的学习和操作成本。</w:t>
            </w:r>
          </w:p>
          <w:p w14:paraId="407CB86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1BE4422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统一框架规范：各页面都用同一套页面框架来组织全部业务功能，页面之间的导航层级应清晰、都能到达，任意页面都能用统一的方式返回上级页面或首页，不得出现无法返回的孤立页面。</w:t>
            </w:r>
          </w:p>
          <w:p w14:paraId="368F7E8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标识与备案展示：各页面在统一位置展示产品标识、当前时间和备案信息，备案信息的展示要符合国家相关监管要求，页面切换时这个区域的展示位置保持稳定。</w:t>
            </w:r>
          </w:p>
          <w:p w14:paraId="1C21C87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运营位承载：页面框架应提供一个统一的运营位承载区域（展示活动海报、广告、营销推广链接等），支持按页面、按位置配置运营位内容；运营位内容要能远程配置更新，更新后前端不用重新发版就能生效。</w:t>
            </w:r>
          </w:p>
          <w:p w14:paraId="3C80C58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5.1.2.导航</w:t>
            </w:r>
          </w:p>
          <w:p w14:paraId="4202350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整个EPG采用一条统一的顶部导航，各体育内容频道（如足球、综合格斗、乒乓球、西甲、篮球、网球等）在导航中并列承载；支持各体育内容频道下再提供细分项目分类导航，形成一级频道与项目分类的多级导航体系。</w:t>
            </w:r>
          </w:p>
          <w:p w14:paraId="33E3FD0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5024F65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全局导航与项目导航：页面应提供可配置的顶部导航栏，支持从EPG首页导航跳转至体育内容频道首页及各项目赛事聚合页，支持多级导航跳转；支持按体育项目快速导航，项目分类与排序应可配置。焦点在导航项间切换应有明确的高亮与区分效果，确认跳转响应时间应不超过1秒。</w:t>
            </w:r>
          </w:p>
          <w:p w14:paraId="4FDF71C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导航栏配置：顶部导航栏的频道数量、名称与排序应可配置，体育频道下的项目分类导航应支持自由上下线与顺序调整，调整后无须发版即可生效。</w:t>
            </w:r>
          </w:p>
          <w:p w14:paraId="0538DF7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焦点切换逻辑：页面应支持导航的焦点切换与确认进入，当前所在频道或项目分类应有明确的选中态标识；切换后下方内容区应即时刷新，不得出现内容错位或残留上一频道数据。</w:t>
            </w:r>
          </w:p>
          <w:p w14:paraId="5C58563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异常状态处理：导航数据请求失败时展示错误提示并提供重新加载入口；频道下无内容时展示友好的空状态提示，保证页面体验一致。</w:t>
            </w:r>
          </w:p>
          <w:p w14:paraId="7322D9F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5.1.3.页面</w:t>
            </w:r>
          </w:p>
          <w:p w14:paraId="0FB4B47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页面是用户按频道浏览内容的主页面，页面首屏的焦点运营位是内容推广的核心区域，承载重点内容与重点赛事的主视觉推广。本期通过推荐位的灵活编排，把常规点播内容和体育独家内容统一分发出去。</w:t>
            </w:r>
          </w:p>
          <w:p w14:paraId="6B89403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4EE61E7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页面构成：频道导航下的每个频道对应一个独立的页面，页面里用推荐位组织点播内容入口，版位结构和层级应清晰、可扩展。</w:t>
            </w:r>
          </w:p>
          <w:p w14:paraId="3587A5C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首屏焦点运营位：页面首屏应提供焦点运营位，支持海报大图、海报静态展示、专题大图、专题静态展示等多种展示形式，具备定时轮播、点击跳转、播放预览等交互功能，轮播间隔应可配置并支持遥控器手动切换；点击运营位应准确跳转至预设目标页面。</w:t>
            </w:r>
          </w:p>
          <w:p w14:paraId="6ADB9B6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运营位配置：运营人员应可灵活配置焦点运营位展示内容，包括图片、文字、链接等元素的组合，配置更新后前端实时生效。</w:t>
            </w:r>
          </w:p>
          <w:p w14:paraId="22FE26D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推荐位跳转：推荐位点击后进入对应点播内容的详情页或播放页；体育赛事类推荐位同样跳转至以点播形式承载的赛事内容，跳转目标应与推荐位内容一致。</w:t>
            </w:r>
          </w:p>
          <w:p w14:paraId="57001E4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内容编排配置：推荐位的版位结构、内容条目和排序应可配置，支持定时上线和下线，配置更新后前端实时生效。</w:t>
            </w:r>
          </w:p>
          <w:p w14:paraId="2122EED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异常状态处理：页面数据请求失败时展示错误提示并提供重新加载入口；频道下暂时没内容时展示友好的空状态提示。</w:t>
            </w:r>
          </w:p>
          <w:p w14:paraId="23EF4D3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5.1.4.播放详情页</w:t>
            </w:r>
          </w:p>
          <w:p w14:paraId="440D108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详情页是用户做内容消费决策和起播的核心页面。本期体育赛事专区产品通过完善基础信息展示、选集分期和播放入口，缩短用户从决策到播放的转化路径。</w:t>
            </w:r>
          </w:p>
          <w:p w14:paraId="2574C1E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16BD119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基础信息展示：页面支持体育内容详情基础信息的展示，至少涵盖赛事名称、节目集名称、内容简介，赛事类内容展示比分等赛事数据，并应与内容库元数据保持一致。</w:t>
            </w:r>
          </w:p>
          <w:p w14:paraId="30808BD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简介展开：页面支持超长剧情简介的展开查看，收起状态下应完整展示核心信息，不得出现截断乱码。</w:t>
            </w:r>
          </w:p>
          <w:p w14:paraId="1735BA6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播放入口：页面支持内容预览播放和全屏播放，退出全屏后回到详情页原来的位置。</w:t>
            </w:r>
          </w:p>
          <w:p w14:paraId="568306E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选集与分期：页面支持体育剧集类内容的选集能力和栏目类内容的分期列表；条目要包含序号和权益标识，当前播放项应有明确标识；条目数量较多时支持分页切换并保留浏览位置。</w:t>
            </w:r>
          </w:p>
          <w:p w14:paraId="4422CF5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权限联动：选集和分期的观看权限应与用户会员状态联动；受限内容按试看或订购引导处理，差异化权益内容要展示解锁观看说明。</w:t>
            </w:r>
          </w:p>
          <w:p w14:paraId="596A737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返回路径：页面支持从详情页返回上级页面以及回到首页，返回后保持原来的浏览位置。</w:t>
            </w:r>
          </w:p>
          <w:p w14:paraId="7C25881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收藏能力：页面支持对接采购人现有的EPG服务实现收藏能力，操作即时生效并反馈收藏状态，收藏数据和用户账号绑定。</w:t>
            </w:r>
          </w:p>
          <w:p w14:paraId="6038F6E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相关推荐：页面支持相关推荐内容的展示，推荐内容应可配置，并支持直接进入对应详情页。</w:t>
            </w:r>
          </w:p>
          <w:p w14:paraId="7E00760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采用专题方式来承载集锦类短视频，用来满足用户在体育、影视这些场景下的碎片化连续观看需求。本期体育赛事专区产品的重点，是保证组件播放的连续性和权益校验的一致性。</w:t>
            </w:r>
          </w:p>
          <w:p w14:paraId="7AAC556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3110BB1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循环播放：页面支持用组件方式实现集锦类短视频内容的连续循环播放，也支持在播放过程中切换到其他集锦内容，切换后播放不中断。</w:t>
            </w:r>
          </w:p>
          <w:p w14:paraId="1291C71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权益校验一致：集锦内容的权益校验、试看和订购引导应与点播内容保持一致，避免同一个内容在不同入口的权益口径不一致。</w:t>
            </w:r>
          </w:p>
          <w:p w14:paraId="4343513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时长展示：页面支持集锦内容时长的展示，方便用户了解内容长度，时长信息应与实际播放时长一致。</w:t>
            </w:r>
          </w:p>
          <w:p w14:paraId="0C59D61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异常状态处理：集锦数据请求失败或内容不可播时，展示错误提示或不可播原因，并支持切换到下一条内容继续播放。</w:t>
            </w:r>
          </w:p>
          <w:p w14:paraId="3F66511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5.1.5.体育组件管理</w:t>
            </w:r>
          </w:p>
          <w:p w14:paraId="7A6E034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本产品应建立专项的体育组件管理能力。组件为前端样式与动静态数据结合的体育特有展示组件。</w:t>
            </w:r>
          </w:p>
          <w:p w14:paraId="4FE295D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3F2F317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组件类型：应至少包括赛事基本信息组件、事件组件(如赛事涉及有)、阵容组件、球队统计组件、球员统计组件、对阵数据统计组件、双方对战历史组件等，组件类型应可扩展、可配置。</w:t>
            </w:r>
          </w:p>
          <w:p w14:paraId="6DB7905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场景覆盖：体育组件应涵盖体育频道首页、赛事聚合页及播放详情页三类核心场景。</w:t>
            </w:r>
          </w:p>
          <w:p w14:paraId="451ECE2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首页场景：体育频道首页需实现个性化导航与多形态运营位展示。</w:t>
            </w:r>
          </w:p>
          <w:p w14:paraId="027517A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聚合页场景：赛事聚合页应按项目与类型分类组织内容，并提供实时比分与赛程信息。</w:t>
            </w:r>
          </w:p>
          <w:p w14:paraId="6AA92FF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播放详情页场景：播放详情页需保障直播播放顺畅、全功能播放控制及沉浸式数据展示。</w:t>
            </w:r>
          </w:p>
          <w:p w14:paraId="5F7598E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5.1.6.功能入口编排</w:t>
            </w:r>
          </w:p>
          <w:p w14:paraId="755905E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全局功能入口是用户触达个人中心、会员权益、检索、专属观赛模式这些全局能力的统一通道。本期须把入口做成可配置的，方便后续业务扩展和运营调整。</w:t>
            </w:r>
          </w:p>
          <w:p w14:paraId="2FD4B0F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29121A1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入口编排配置：页面应支持对全局功能入口区做集中编排，入口的类型、数量、排序、呈现样式和跳转目标都能配置，也支持后续扩展新增入口，调整后前端实时生效。</w:t>
            </w:r>
          </w:p>
          <w:p w14:paraId="3670F8E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服务能力覆盖：页面应支持用户通过全局入口进入个人中心、各品类会员权益与订购、搜索等全局服务能力。</w:t>
            </w:r>
          </w:p>
          <w:p w14:paraId="6D869A1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用户态联动：入口区域要实时反映用户的会员状态，未开通和已开通会员两种情况下，入口的呈现要有所区分。</w:t>
            </w:r>
          </w:p>
          <w:p w14:paraId="49EAA3C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5.1.7.内容标识与角标</w:t>
            </w:r>
          </w:p>
          <w:p w14:paraId="738D167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内容标识（角标）是用户判断内容权益属性和内容特征的第一视觉信息。本期须建立全站统一的角标体系，避免各页面角标口径不一致造成用户误解。</w:t>
            </w:r>
          </w:p>
          <w:p w14:paraId="7108A75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3471338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角标体系：全站内容建立统一的内容标识（角标）体系，标识类型应可扩展、可配置，至少覆盖会员权益、免费、限时免费、活动、专题、画质这些属性维度。</w:t>
            </w:r>
          </w:p>
          <w:p w14:paraId="5933639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角标配置与同步：角标支持按内容、按位置远程配置；内容权益属性发生变化时，相关页面的角标应同步更新，同一内容在全站各页面的角标展示要保持一致。</w:t>
            </w:r>
          </w:p>
          <w:p w14:paraId="79104EE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权益引导联动：涉及收费的内容在未满足观看条件时，应按本文件3.2节相关条款引导用户订购，角标展示和点击后的引导动作要保持一致。</w:t>
            </w:r>
          </w:p>
          <w:p w14:paraId="7833A68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展示优先级：同一个内容有多个角标时，按配置的优先级规则来展示，避免角标堆叠影响内容信息的可读性。</w:t>
            </w:r>
          </w:p>
          <w:p w14:paraId="35504CD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5.1.8.公共交互与异常处理</w:t>
            </w:r>
          </w:p>
          <w:p w14:paraId="1D8C282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电视大屏端主要靠遥控器操作。本期须统一全站的焦点规则、加载反馈和异常提示机制，保证各页面在遥控器操作下都有一致的可用性和容错能力。</w:t>
            </w:r>
          </w:p>
          <w:p w14:paraId="1689430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28A2619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遥控器适配：全部页面均应适配遥控器操作，支持方向键移动焦点、确认键进入、返回键逐级返回，核心流程不得强制依赖触屏、鼠标等其他输入方式。</w:t>
            </w:r>
          </w:p>
          <w:p w14:paraId="2DE24C1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焦点规则：焦点默认定位在页面主推荐位或上次停留的位置，页面提供清晰的焦点态标识；焦点移动路径要符合视觉顺序，不得出现焦点跳跃或不可达区域。</w:t>
            </w:r>
          </w:p>
          <w:p w14:paraId="3207612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加载反馈：所有加载过程均应有加载提示，不得长时间无反馈地白屏或黑屏；加载耗时超过设定阈值时，要给出可感知的进度或等待提示。</w:t>
            </w:r>
          </w:p>
          <w:p w14:paraId="6D7492B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异常状态处理：网络异常、数据为空、内容下线、服务超时这些异常场景，均应有对应的提示页面或提示信息，并提供重新加载、返回等可操作的入口，让用户能从异常里恢复。</w:t>
            </w:r>
          </w:p>
          <w:p w14:paraId="075E081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状态一致性：页面在播放、订购等流程中被中断或返回后，要能恢复到中断前的状态，或给出明确的状态说明，不得出现状态错乱。</w:t>
            </w:r>
          </w:p>
          <w:p w14:paraId="3F7453A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5.1.9.用户状态与权益校验</w:t>
            </w:r>
          </w:p>
          <w:p w14:paraId="3C5B522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本项目直接复用采购人已有的账号体系，页面不单独做登录功能，用户账号和会员权益由采购人账号体系同步到 EPG，页面直接用同步后的用户状态来完成权益校验和内容鉴权。</w:t>
            </w:r>
          </w:p>
          <w:p w14:paraId="555605E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6C9ACDB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账号体系同步：EPG 直接复用采购人已有的账号体系，用户账号和会员权益由采购人账号体系同步提供，页面不需应提供独立的登录页面、登录入口和登录方式。</w:t>
            </w:r>
          </w:p>
          <w:p w14:paraId="05DEE47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用户状态使用：页面用同步后的用户状态来完成内容权限校验和权益展示；用户未开通相应会员时，受限内容按试看或订购引导来处理。</w:t>
            </w:r>
          </w:p>
          <w:p w14:paraId="04CEAAB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状态一致性：用户会员状态发生变更（开通、续费、退订）后，各页面的权益标识和权限校验结果应同步更新，全站保持一致。</w:t>
            </w:r>
          </w:p>
        </w:tc>
        <w:tc>
          <w:tcPr>
            <w:tcW w:w="813" w:type="pct"/>
            <w:vAlign w:val="center"/>
          </w:tcPr>
          <w:p w14:paraId="68280DF4">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3F5E0A0E">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5DDC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34" w:type="pct"/>
            <w:vAlign w:val="center"/>
          </w:tcPr>
          <w:p w14:paraId="5359582D">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52944D4D">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4A4C98E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5.2.体育赛事</w:t>
            </w:r>
          </w:p>
          <w:p w14:paraId="6D46071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赛事是本产品的核心板块，以点播与直播形式承载，各页面推荐位跳转的目标均为体育内容。本节按"体育频道首页—赛事聚合页—赛程中心页—赛事详情页与播放控制—赛况数据—榜单"规定各页面应具备的功能能力。</w:t>
            </w:r>
          </w:p>
          <w:p w14:paraId="39F6E32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5.2.1.体育频道首页</w:t>
            </w:r>
          </w:p>
          <w:p w14:paraId="5AB2BA1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频道首页是用户进入体育板块的核心枢纽，内容定位以赛事直播为主，涵盖赛事集锦、回放及专题内容。页面应支持按赛事日程进行排播，通过多频道并发避免赛事播放冲突，非直播时段安排重播及集锦内容；首页全部内容模块均应由后台远程配置并实时生效。</w:t>
            </w:r>
          </w:p>
          <w:p w14:paraId="21F042E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408D307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全局导航与项目导航：页面应提供可配置的顶部导航栏，支持从EPG首页导航跳转至体育频道首页及各项目赛事聚合页，支持多级导航跳转；支持按体育项目快速导航，项目分类与排序应可配置。焦点在导航项间切换应有明确的高亮与区分效果，确认跳转响应时间应不超过1秒。</w:t>
            </w:r>
          </w:p>
          <w:p w14:paraId="0C4498A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首屏焦点运营位：页面首屏应设置焦点运营位，作为内容推广核心区域，具体展示形式、交互功能与配置要求见3.1.3 页面章节。</w:t>
            </w:r>
          </w:p>
          <w:p w14:paraId="7B18F91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近期赛程预告区：页面应提供近期赛程预告区，动态展示未来24至72小时内的重点赛程，条目应包含比赛名称、精确开赛时间与对阵信息；应提供"全部赛程"固定入口，点击单个赛程条目直接进入对应赛事详情页。</w:t>
            </w:r>
          </w:p>
          <w:p w14:paraId="4F11CAF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热门赛事快捷入口区：页面应以宫格形式呈现热门赛事快捷入口，覆盖平台有版权的主要运动项目，并提供"全部赛事"综合入口；点击具体项目图标进入对应赛事聚合页，点击"全部赛事"进入赛程中心页。</w:t>
            </w:r>
          </w:p>
          <w:p w14:paraId="2A9A718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精品专题推荐区：页面应以横向滚动列表推荐运营策划的专题内容，专题卡片应清晰展示封面图与标题，点击进入对应专题详情页或播放页。</w:t>
            </w:r>
          </w:p>
          <w:p w14:paraId="7C6188A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快捷返回顶部：在采用纵向滚动布局的页面中，用户浏览至页面底部区域后按返回键，应回到本页顶部第一个可操作元素，提升长内容页面的操作便利性。</w:t>
            </w:r>
          </w:p>
          <w:p w14:paraId="1970BEA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板块内连通：页面应支持体育板块内各功能模块（赛程、赛事详情页、全屏播放、赛况数据、榜单）之间的互联互通，各入口跳转目标均为体育内容。</w:t>
            </w:r>
          </w:p>
          <w:p w14:paraId="0EB0ADA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异常状态处理：推荐位或赛程数据请求失败时应展示错误提示并提供重新加载入口；暂无赛事时应展示友好的空状态提示与推荐内容。</w:t>
            </w:r>
          </w:p>
          <w:p w14:paraId="7B71EEB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5.2.2.赛事聚合页</w:t>
            </w:r>
          </w:p>
          <w:p w14:paraId="5ADB886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事聚合页按运动项目与赛事类型组织赛事内容，并应为重点赛事提供独立的二级聚合频道。页面整体框架、背景、配色及内容模块均应由后台配置、发布并生效，各内容模块可独立配置数据源、展示样式与交互逻辑。</w:t>
            </w:r>
          </w:p>
          <w:p w14:paraId="4DF4593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24738A4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分类展示：页面应按体育项目、赛事类型等多维度对赛事内容进行分类组织，覆盖足球、篮球、排球、乒乓球、羽毛球、网球、综合格斗、斯诺克及电子竞技等主流运动项目，各分类下应展示赛事数量统计信息，便于用户了解内容规模。</w:t>
            </w:r>
          </w:p>
          <w:p w14:paraId="59F616B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层级钻取：页面应支持层级式内容钻取，用户选择某一项目分类后进入该项目下的赛事列表，进一步选择具体赛事后进入对应二级聚合频道或赛程视图。</w:t>
            </w:r>
          </w:p>
          <w:p w14:paraId="016D515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赛事信息展示：页面应展示比赛时间、参赛队伍、当前比分、比赛状态等关键赛事信息，展示形式应简洁清晰、重点突出；实时比分应与实际比赛同步更新，保障数据及时准确。</w:t>
            </w:r>
          </w:p>
          <w:p w14:paraId="3F825B3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内容形态覆盖：聚合页内容应涵盖直播、回放、集锦、专题等多形态内容，内容组织应与播出计划匹配。</w:t>
            </w:r>
          </w:p>
          <w:p w14:paraId="64617BA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异常状态处理：聚合页数据请求失败时应展示错误提示并提供重新加载入口；分类下暂无内容时应展示友好的空状态提示。</w:t>
            </w:r>
          </w:p>
          <w:p w14:paraId="680F332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5.2.3.赛程中心页</w:t>
            </w:r>
          </w:p>
          <w:p w14:paraId="18FC681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赛程中心页是用户查询与跟进比赛的核心工具，应提供全量赛程的统一查询入口，通过多维筛选、双视图与状态联动，为用户提供完整的赛程查询与跟进路径。</w:t>
            </w:r>
          </w:p>
          <w:p w14:paraId="0637706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21CCBC2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多维度分类导航：页面顶部应提供标签式导航，标签组（如全部赛程、近期热门、各运动项目等）的内容与顺序应可配置，默认选中项应可配置；切换任一维度后赛事列表应即时刷新。</w:t>
            </w:r>
          </w:p>
          <w:p w14:paraId="6EA4267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双视图模式：页面应支持列表视图与日历视图两种浏览方式，列表视图以时间线形式展示符合条件的赛程，日历视图在用户选定日期后展示该日全部比赛。</w:t>
            </w:r>
          </w:p>
          <w:p w14:paraId="1FE40AC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程信息卡片：赛程条目应设计为信息完整的卡片，至少包含比赛名称、精确到分钟的开赛时间、对阵双方名称与标识、比赛状态标识（即将开始、进行中、已结束）及付费提示角标，信息须与后台赛程数据一致。</w:t>
            </w:r>
          </w:p>
          <w:p w14:paraId="6C4A005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状态联动跳转：页面应支持按比赛状态进入相应页面：已结束比赛进入赛事详情页并可回看，进行中比赛进入赛事详情页播放，未开始比赛进入赛事详情页并支持预约。</w:t>
            </w:r>
          </w:p>
          <w:p w14:paraId="7F983F7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预约能力：页面应支持对接现有EPG和运营平台的预约能力，实现用户对未开始比赛发起预约，并支持取消预约。</w:t>
            </w:r>
          </w:p>
          <w:p w14:paraId="3C326C0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自定义关注：支持用户自定义关注的球员、球队等信息，关注结果能在前端页面呈现。</w:t>
            </w:r>
          </w:p>
          <w:p w14:paraId="28D99B2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异常状态处理：赛程数据加载失败时应展示错误提示并提供重新加载入口；所选日期或赛事下暂无比赛时应展示空状态提示。</w:t>
            </w:r>
          </w:p>
          <w:p w14:paraId="398C0EA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5.2.4.赛事详情页与播放控制</w:t>
            </w:r>
          </w:p>
          <w:p w14:paraId="0E4C88F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事详情页是单场比赛的信息聚合与播放入口，页面内以小窗形式承载比赛画面；全屏播放是体育赛事内容的主要消费形态。直播、回看与赛事点播详情页均应满足本节要求，点播详情页的通用内容展示要求见播放详情页章节。</w:t>
            </w:r>
          </w:p>
          <w:p w14:paraId="07D8BF2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13D387D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赛事信息总览：页面应在显著位置展示比赛全称、对阵双方标识、比赛时间与比赛状态；直播中比赛应动态刷新实时比分；信息须与后台赛程数据一致并及时更新。</w:t>
            </w:r>
          </w:p>
          <w:p w14:paraId="217358E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自动起播：进入详情页后，对已开始或回看内容，播放器应自动起播；加载过程应有加载提示。</w:t>
            </w:r>
          </w:p>
          <w:p w14:paraId="0BF19B2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页内小窗播放：页面应提供小窗播放区域，承载比赛直播或回放画面。</w:t>
            </w:r>
          </w:p>
          <w:p w14:paraId="58071E0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进入全屏播放：点击小窗播放区域或页面全屏按钮应进入全屏播放；全屏播放与页内小窗的播放进度与状态应保持一致，退出全屏后应回到详情页。</w:t>
            </w:r>
          </w:p>
          <w:p w14:paraId="2221A60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基础播放控制：播放过程应支持播放与暂停、快进快退、进度拖动；回放应支持断点续看，直播应支持回到直播最新进度，拖动后应快速起播。</w:t>
            </w:r>
          </w:p>
          <w:p w14:paraId="7FCCEBA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多解说切换：同一比赛提供多路解说时，页面应提供便捷的解说切换入口。</w:t>
            </w:r>
          </w:p>
          <w:p w14:paraId="7180E46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多视角切换：同一比赛具备多视角信号时，可使用多路解说切换入口统一呈现。</w:t>
            </w:r>
          </w:p>
          <w:p w14:paraId="0C7452E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播放菜单：全屏播放下方应提供设置菜单，设置项至少涵盖清晰度、画面比例、比分展示开关与赛程查看，菜单操作应即时生效并给出反馈；比分条开关设置结果应在会话内保持；全屏状态下查看赛程不得中断当前播放。</w:t>
            </w:r>
          </w:p>
          <w:p w14:paraId="4700D83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鉴权与订购转化：用户点击播放时应首先向服务端发起权益鉴权；鉴权未通过的付费内容应进入试看，试看时长应由后台规则配置；试看过程须给予明确提示，试看结束后展示订购引导浮层；用户确认订购时应无缝拉起采购人现有订购流程，订购完成后自动刷新鉴权状态并恢复播放。</w:t>
            </w:r>
          </w:p>
          <w:p w14:paraId="332F9D9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赛事点播详情：赛事点播（全场回放、集锦）详情页应展示节目标题、简介等信息，支持选集列表与直接跳播，并可展示与该内容关联的赛事专业数据，页面底部可根据实际内容展示关联推荐赛事或专题内容。</w:t>
            </w:r>
          </w:p>
          <w:p w14:paraId="1C0F44A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异常状态处理：播放失败、缓冲超时、片源不可用等异常场景应有明确的错误提示与重试入口，不得停留在无反馈的加载状态；赛事信息缺失或数据异常时应以占位方式展示，不得出现乱码或空白页面。</w:t>
            </w:r>
          </w:p>
          <w:p w14:paraId="63D28CB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5.2.5.赛况数据展示</w:t>
            </w:r>
          </w:p>
          <w:p w14:paraId="691B7DF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赛况数据由赛事详情页的赛况数据入口进入，通过体育组件形式承载（组件管理要求见体育组件管理章节），是提升观赛深度的关键增值信息。本期须支持比分、阵容、本场统计、赛季统计等数据。</w:t>
            </w:r>
          </w:p>
          <w:p w14:paraId="76C38F9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693EEEE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组件体系：本产品应建立专项的体育组件管理能力，具体组件类型、场景覆盖与展示要求见体育组件管理章节。</w:t>
            </w:r>
          </w:p>
          <w:p w14:paraId="08B7919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差异化数据视图：组件数据展示应按不同运动项目的规则与数据特征进行差异化、专业化设计，根据当前播放内容的赛事类型自动加载并呈现匹配的专业数据视图。</w:t>
            </w:r>
          </w:p>
          <w:p w14:paraId="46D748E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赛事数据支持：页面应支持比分、阵容、本场统计、赛季统计等数据，并支持各数据之间的切换查看，切换后内容区即时刷新。</w:t>
            </w:r>
          </w:p>
          <w:p w14:paraId="49B511B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比分数据：页面应支持按赛事比分数据的展示，包括参赛队伍、当前比分、比赛状态等关键信息。</w:t>
            </w:r>
          </w:p>
          <w:p w14:paraId="5051842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阵容数据：页面应支持双方阵容与阵型的展示，支持主客队视图切换，并应标识球员场上状态（红黄牌、换人等）及替补名单。</w:t>
            </w:r>
          </w:p>
          <w:p w14:paraId="59F7A81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本场统计数据：页面应支持双方关键技术指标的对比展示，指标项应可配置，对比结果应直观可读。</w:t>
            </w:r>
          </w:p>
          <w:p w14:paraId="5310AE7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赛季统计数据：页面应支持所属赛事榜单展示，如果存在双方历史交锋数据的赛事则展示历史交锋数据，数据与后台数据保持一致。</w:t>
            </w:r>
          </w:p>
          <w:p w14:paraId="2E0C30B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更新机制：赛况数据须与比赛进程同步更新：直播中的数据应有合理的刷新频率，回放与已结束比赛应展示终版数据。</w:t>
            </w:r>
          </w:p>
          <w:p w14:paraId="4C8E434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数据对应校验：数据展示须与所选比赛一一对应，不得串场；切换比赛后数据应整体刷新。</w:t>
            </w:r>
          </w:p>
          <w:p w14:paraId="02672CC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降级展示：数据缺失或延迟时，应展示占位或最近一次有效数据，并给出相应提示，不得出现空白或异常字符。</w:t>
            </w:r>
          </w:p>
          <w:p w14:paraId="742F5EE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5.2.6.榜单查询</w:t>
            </w:r>
          </w:p>
          <w:p w14:paraId="2C6DC11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榜单是用户了解赛事格局与球队、球员表现的核心数据入口，包含不限于积分榜、球员榜、球队榜、奖牌榜、对阵图等，根据各赛事实际可提供的数据范围适配展示，以满足各项赛事数据的汇总呈现。各类型榜单的页面结构与展示逻辑保持一致，本期体育赛事专区产品重点在于数据的准确同步与多榜单切换的流畅性。</w:t>
            </w:r>
          </w:p>
          <w:p w14:paraId="530EC15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47571BE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积分榜展示：页面应支持赛事积分榜的表格化展示，展示字段与排名规则应与赛事官方口径一致，同分排名规则须与官方规则保持一致；积分榜应按赛制动态刷新，如小组赛阶段展示小组积分与晋级关系，淘汰赛阶段展示晋级对阵。</w:t>
            </w:r>
          </w:p>
          <w:p w14:paraId="6F7BC10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多类型榜单：页面应支持射手榜、得分手榜等球员数据榜单及综合赛事奖牌榜的展示；针对存在有奖牌榜单的重点赛事，奖牌榜应支持按金、银、铜牌排序及按项目筛选查看，奖牌变化时应及时更新。</w:t>
            </w:r>
          </w:p>
          <w:p w14:paraId="49D6B82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数据更新：页面应支持榜单数据与后台数据同步，并展示数据更新时间，确保用户了解数据的时效。</w:t>
            </w:r>
          </w:p>
          <w:p w14:paraId="187ABEC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多榜单切换：页面应支持积分榜与球员榜、球队榜等多类榜单之间的切换查看，各榜单的页面结构与展示逻辑应保持一致，切换后内容区即时刷新并保持导航状态。</w:t>
            </w:r>
          </w:p>
          <w:p w14:paraId="6621EE8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榜单浏览：页面应支持榜单的全量浏览与滚动加载，条目较多时不得出现加载卡顿或排序错乱。</w:t>
            </w:r>
          </w:p>
          <w:p w14:paraId="558913A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入口连通：页面应支持从体育板块各内容入口进入对应榜单，进入后默认展示当前赛季数据。</w:t>
            </w:r>
          </w:p>
          <w:p w14:paraId="039EC76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异常状态处理：榜单数据加载失败时应展示错误提示与重新加载入口；暂无数据时应展示空状态提示。</w:t>
            </w:r>
          </w:p>
          <w:p w14:paraId="4BA378C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5.2.7.大赛专区</w:t>
            </w:r>
          </w:p>
          <w:p w14:paraId="073801E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依托上游版权情况，本产品应针对奥运会、亚运会等重大赛事提供专项大赛专区（根据体验情况，可以用H5页面承载）。大赛专区须具备全周期策划与执行能力，覆盖预热期、比赛期与赛后期；大赛期间可按运营策略以内容免费形式上线专区内容。</w:t>
            </w:r>
          </w:p>
          <w:p w14:paraId="28C3FF0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7B5F807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专区首页：专区首页应依托动态运营楼层与可配置导航栏，呈现大赛专属的视觉风格与赛事元素；应支持热门比赛直播画面或集锦的轮播预览，点击直接跳转播放页；预热期应在核心运营区提供赛事倒计时模块，结合赛事主题视觉营造氛围；比赛开始后应依据赛事专业数据展示榜单类数据组件；应提供赛事新闻楼层，以滚动列表展示赛事资讯与专题内容。</w:t>
            </w:r>
          </w:p>
          <w:p w14:paraId="6955348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轮播台：应支持设立大赛专属轮播频道，聚合直播、回看、集锦等内容流，按统一赛程编排自动轮播当日比赛，用户可通过遥控器快速切换比赛，形成连续观赛体验。</w:t>
            </w:r>
          </w:p>
          <w:p w14:paraId="54FC034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专区赛程页：应基于统一赛程中心页构建大赛赛程视图，支持按赛事阶段或日期分类，支持列表与日历视图，赛程卡片展示对阵信息、开赛时间与状态标识，点击任一比赛直接进入详情页。</w:t>
            </w:r>
          </w:p>
          <w:p w14:paraId="52D9941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专区详情页与播放页：专区各场比赛的详情页与播放页应遵循3.2.4节、3.2.5节通用要求，突出大赛信息总览、实时比分与专业数据展示。</w:t>
            </w:r>
          </w:p>
          <w:p w14:paraId="499A809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事数据视图：应对接赛事专业数据，按赛制动态刷新展示积分榜（小组积分、净胜球、晋级对阵等）与射手榜（进球、助攻等）；综合运动会应提供奖牌榜，支持按金、银、铜牌排序及按项目筛选，数据实时更新。</w:t>
            </w:r>
          </w:p>
          <w:p w14:paraId="3511DDF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专区专题运营：应结合大赛赛事内容、赛事背景及周边内容打造专题推荐区，专题卡片点击进入对应专题详情页或播放页；专题页面须符合平台整体视觉规范，重大赛事专题应适配动态视觉、勋章体系、积分榜单等互动元素。</w:t>
            </w:r>
          </w:p>
          <w:p w14:paraId="721D51D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内容免费策略：大赛专区内容可按运营策略配置为免费，免费策略的生效范围、生效时间应可配置并支持定时生效与到期恢复。</w:t>
            </w:r>
          </w:p>
        </w:tc>
        <w:tc>
          <w:tcPr>
            <w:tcW w:w="813" w:type="pct"/>
            <w:vAlign w:val="center"/>
          </w:tcPr>
          <w:p w14:paraId="2CA66C6E">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27213E5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2ECAA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6CD639C8">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1EEDD7A3">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040E333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5.3.平台对接与数据上报</w:t>
            </w:r>
          </w:p>
          <w:p w14:paraId="533C02D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本节规定本产品与采购人现有终端入口及公共能力的对接要求，以及客户端数据上报要求，保障本产品融入现有体系并满足运营分析需要。</w:t>
            </w:r>
          </w:p>
          <w:p w14:paraId="35BE87C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320A28E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终端入口对接：产品应通过采购人现有终端入口获取用户身份等信息，完成用户状态的传递与使用；产品不单独建设登录能力，账号与会员状态由采购人账号体系同步。</w:t>
            </w:r>
          </w:p>
          <w:p w14:paraId="7258501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统一搜索对接：在全站统一搜索中检索到的体育内容，点击后应能跳转至本产品对应的内容详情页、体育直播页或体育回看页。</w:t>
            </w:r>
          </w:p>
          <w:p w14:paraId="5B773A3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统一播放历史对接：体育内容的播放足迹应同步至统一播放历史服务；在播放历史中点击体育内容应进入对应详情页，并从上次离开时间续播（点播与回看），直播内容则进入当前时刻直播。</w:t>
            </w:r>
          </w:p>
          <w:p w14:paraId="43D9857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订购对接：用户鉴权失败发起订购时，应跳转采购人现有统一订购流程完成产品订购，订购完成后可回到订购发起入口页面，并自动刷新鉴权状态。</w:t>
            </w:r>
          </w:p>
          <w:p w14:paraId="3F41ECD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数据上报：客户端应集成采购人统一的埋点上报能力，具备唯一用户标识的生成与持久化能力，以及标准化的事件与参数定义规范；应采集页面浏览与曝光事件、内容播放全链路事件（起播、播放进度、中断与结束、清晰度切换等交互），事件命名与参数定义遵循统一规范，确保上报数据的规范性与可分析性。</w:t>
            </w:r>
          </w:p>
        </w:tc>
        <w:tc>
          <w:tcPr>
            <w:tcW w:w="813" w:type="pct"/>
            <w:vAlign w:val="center"/>
          </w:tcPr>
          <w:p w14:paraId="4FD047AE">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79989AE3">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75C33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0D6C15B0">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48F8FD64">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07342B2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5.4.统一搜索</w:t>
            </w:r>
          </w:p>
          <w:p w14:paraId="134C84A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本产品应支持全站统一的搜索能力，使用户能够检索到站内体育与点播内容并正常呈现检索结果；检索结果的跳转、搜索数据范围与内容索引对接要求见</w:t>
            </w:r>
            <w:r>
              <w:rPr>
                <w:rFonts w:hint="eastAsia" w:ascii="宋体" w:hAnsi="宋体" w:eastAsia="宋体" w:cs="宋体"/>
                <w:b/>
                <w:bCs/>
                <w:sz w:val="21"/>
                <w:szCs w:val="21"/>
              </w:rPr>
              <w:t>5.3平台对接与数据上报</w:t>
            </w:r>
            <w:r>
              <w:rPr>
                <w:rFonts w:hint="eastAsia" w:ascii="宋体" w:hAnsi="宋体" w:eastAsia="宋体" w:cs="宋体"/>
                <w:sz w:val="21"/>
                <w:szCs w:val="21"/>
              </w:rPr>
              <w:t>章节，具体搜索交互由采购人统一搜索体系承载，本产品完成相应内容索引与跳转对接即可。</w:t>
            </w:r>
          </w:p>
        </w:tc>
        <w:tc>
          <w:tcPr>
            <w:tcW w:w="813" w:type="pct"/>
            <w:vAlign w:val="center"/>
          </w:tcPr>
          <w:p w14:paraId="48260FF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24D8B833">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34BF2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10DA4B75">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2F6FE3B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6282816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5.5.体育产品广告展示能力</w:t>
            </w:r>
          </w:p>
          <w:p w14:paraId="0148C66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体育产品广告展示能力支持在体育专区内对接上游广告平台，可联动实现广告投放、数据采集、投放监测及数据分析链路，支撑广告在体育产品前端多维度呈现。上游广告平台由采购人、广东移动与</w:t>
            </w:r>
            <w:r>
              <w:rPr>
                <w:rFonts w:hint="eastAsia" w:ascii="宋体" w:hAnsi="宋体" w:eastAsia="宋体" w:cs="宋体"/>
                <w:sz w:val="21"/>
                <w:szCs w:val="21"/>
                <w:lang w:eastAsia="zh-CN"/>
              </w:rPr>
              <w:t>供应商</w:t>
            </w:r>
            <w:r>
              <w:rPr>
                <w:rFonts w:hint="eastAsia" w:ascii="宋体" w:hAnsi="宋体" w:eastAsia="宋体" w:cs="宋体"/>
                <w:sz w:val="21"/>
                <w:szCs w:val="21"/>
              </w:rPr>
              <w:t>等联合选择合作，属于同</w:t>
            </w:r>
            <w:r>
              <w:rPr>
                <w:rFonts w:hint="eastAsia" w:ascii="宋体" w:hAnsi="宋体" w:eastAsia="宋体" w:cs="宋体"/>
                <w:sz w:val="21"/>
                <w:szCs w:val="21"/>
                <w:lang w:eastAsia="zh-CN"/>
              </w:rPr>
              <w:t>供应商</w:t>
            </w:r>
            <w:r>
              <w:rPr>
                <w:rFonts w:hint="eastAsia" w:ascii="宋体" w:hAnsi="宋体" w:eastAsia="宋体" w:cs="宋体"/>
                <w:sz w:val="21"/>
                <w:szCs w:val="21"/>
              </w:rPr>
              <w:t>配套合作事项，不在本次招标采购标的范围内，本次招标产品仅验收产品侧的广告呈现和对接适配能力。上游广告平台自身应具备广告投放能力、数据采集、投放监测及数据分析等能力，</w:t>
            </w:r>
            <w:r>
              <w:rPr>
                <w:rFonts w:hint="eastAsia" w:ascii="宋体" w:hAnsi="宋体" w:eastAsia="宋体" w:cs="宋体"/>
                <w:sz w:val="21"/>
                <w:szCs w:val="21"/>
                <w:lang w:eastAsia="zh-CN"/>
              </w:rPr>
              <w:t>供应商</w:t>
            </w:r>
            <w:r>
              <w:rPr>
                <w:rFonts w:hint="eastAsia" w:ascii="宋体" w:hAnsi="宋体" w:eastAsia="宋体" w:cs="宋体"/>
                <w:sz w:val="21"/>
                <w:szCs w:val="21"/>
              </w:rPr>
              <w:t>应具备与至少一家合规上游广告平台的有效合作关系或拥有自有广告平台，并能提供合作协议、授权证明、平台资质或自有平台证明材料。</w:t>
            </w:r>
          </w:p>
          <w:p w14:paraId="7A65E17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7500465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广告形式包括：前贴片、详情页、暂停、角标、跑马灯、退出挽留等形式，各形式的定义具体如下：</w:t>
            </w:r>
          </w:p>
          <w:p w14:paraId="0750730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前贴片：用户进入点播、直播页面时，在视频内容播放前展示前贴广告。可根据运营规划，在体育直播或者点播内容展示广告后，针对收费会员进行免广告。 </w:t>
            </w:r>
          </w:p>
          <w:p w14:paraId="05F9092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详情页：在点播、直播内容详情页固定位置，结合页面布局展示静态广告内容，针对收费会员进行免广告。 </w:t>
            </w:r>
          </w:p>
          <w:p w14:paraId="02E659F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暂停广告：用户在观看视频过程中，点击视频暂停时触发。广告可按遥控器“返回键”关闭或视频续播时自动关闭。</w:t>
            </w:r>
          </w:p>
          <w:p w14:paraId="1C2BA5F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角标广告：在点播内容全屏播放时触发，触发时机为内容播放相对时间点，比如视频播放到第5分钟，精确到秒，广告展示固定秒数（默认5秒）后自动消失。</w:t>
            </w:r>
          </w:p>
          <w:p w14:paraId="1B538BC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跑马灯广告：在EPG首页顶部通知栏展示，当用户进入EPG首页时调用上游广告API请求获取文案广告数据。文案内容在顶部通知栏固定位置循环播放。</w:t>
            </w:r>
          </w:p>
          <w:p w14:paraId="5C7E301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退出挽留：在用户退出应用时，采用广告+挽留提示的方式，根据运营规划展示静态广告内容，针对收费会员进行免广告。 </w:t>
            </w:r>
          </w:p>
          <w:p w14:paraId="26B1F80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广告数据分析：支持在广告播放链路埋点采集覆盖曝光、点击、完播等核心指标并沉淀用户行为与设备信息等多维广告业务数据。</w:t>
            </w:r>
          </w:p>
        </w:tc>
        <w:tc>
          <w:tcPr>
            <w:tcW w:w="813" w:type="pct"/>
            <w:vAlign w:val="center"/>
          </w:tcPr>
          <w:p w14:paraId="21C0998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39ADDC26">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572A7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42129C8A">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restart"/>
            <w:vAlign w:val="center"/>
          </w:tcPr>
          <w:p w14:paraId="5201E2F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6.体育产品运营功能要求</w:t>
            </w:r>
          </w:p>
        </w:tc>
        <w:tc>
          <w:tcPr>
            <w:tcW w:w="2683" w:type="pct"/>
            <w:vAlign w:val="center"/>
          </w:tcPr>
          <w:p w14:paraId="59FDCF9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章规定为前端体育产品提供数据支撑与编排能力的体育运营平台要求。体育运营平台应统一对接上游体育内容内容提供商的体育内容平台，实现媒资、赛事数据、产品包与页面的全流程管理与编排，为运营人员提供可配置、可追溯、可干预的管理工具，支撑前端各项功能稳定落地与高效迭代。</w:t>
            </w:r>
          </w:p>
        </w:tc>
        <w:tc>
          <w:tcPr>
            <w:tcW w:w="813" w:type="pct"/>
            <w:vAlign w:val="center"/>
          </w:tcPr>
          <w:p w14:paraId="327A26BB">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4DC0B707">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58F2D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729EDDE1">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7D42DFB7">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4A7C759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6.1.数据来源与对接</w:t>
            </w:r>
          </w:p>
          <w:p w14:paraId="784E6B3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体育运营平台是前端各页面数据的唯一来源，本期须完成与上游体育内容内容提供商的内容、媒资及赛事数据源的对接，实现数据的自动同步与规范化管理，确保前端展示数据的准确性与时效性。</w:t>
            </w:r>
          </w:p>
          <w:p w14:paraId="173D594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410A2CD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上游体育内容内容提供商的数据源对接：平台应支持与上游体育内容内容提供商的内容源、媒资库及赛事数据源对接，实现内容元数据、海报与素材、上下架状态、赛程赛果、榜单数据的自动同步，同步范围覆盖前端各页面所需的全部数据类型。</w:t>
            </w:r>
          </w:p>
          <w:p w14:paraId="4FECE1C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外围系统对接：平台应支持与采购人现有终端入口、IPTV业务平台（用户认证、用户订单、播放鉴权、内容本地化注入）及上游体育内容与赛事数据平台对接；对接规范以采购人现行接口为准。</w:t>
            </w:r>
          </w:p>
          <w:p w14:paraId="36C684E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同步机制：平台应支持定时自动同步与手动触发同步，同步周期可配置；每次同步应记录同步时间、数据量、成功与失败明细，失败数据应支持重试并触发告警。</w:t>
            </w:r>
          </w:p>
          <w:p w14:paraId="6C4524D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数据映射与清洗：平台应支持将对接数据映射为平台内部统一、规范化的数据模型，字段映射规则可配置；对字段缺失、格式异常、重复数据应能自动识别并提供人工修正入口。</w:t>
            </w:r>
          </w:p>
          <w:p w14:paraId="0F039E0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数据状态管理：平台应支持数据对象的上线、下线、待上线等状态管理，状态变更须同步至前端，前端不得展示已下线或失效数据。</w:t>
            </w:r>
          </w:p>
          <w:p w14:paraId="3D3152F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数据一致性：前后端数据应保持一致，后台数据变更后前端应按配置的生效策略更新，并提供前后端数据一致性核对能力。</w:t>
            </w:r>
          </w:p>
        </w:tc>
        <w:tc>
          <w:tcPr>
            <w:tcW w:w="813" w:type="pct"/>
            <w:vAlign w:val="center"/>
          </w:tcPr>
          <w:p w14:paraId="790AC2F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03C6D066">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7F693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0F9BE716">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7DC844F9">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712962D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6.2.体育媒资管理</w:t>
            </w:r>
          </w:p>
          <w:p w14:paraId="62EA8F8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体育媒资管理为前端赛事直播、点播、集锦与详情页提供数据支撑，须实现对体育媒资的全生命周期管理、体育比赛与多解说的管理，以及权益角标与分类体系的配置。</w:t>
            </w:r>
          </w:p>
          <w:p w14:paraId="37B06E5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12BDB9D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媒资全生命周期管理：应支持对赛事点播内容、赛事直播流、直播回放、赛事集锦、体育短视频等视频资源的新增、编辑、下线等全生命周期管理；支持按内容关联比赛场次和标签对媒资进行归类与检索，确保内容组织与播出计划精准匹配。</w:t>
            </w:r>
          </w:p>
          <w:p w14:paraId="1C471CD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体育比赛与直播频道管理：应提供完整的直播频道管理体系，涵盖频道的新增与配置、频道状态管理、关联节目单的生成与维护，以及对多路直播源的有效调度与监控，保障直播内容稳定输出。</w:t>
            </w:r>
          </w:p>
          <w:p w14:paraId="3794925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多解说管理：应依据直播频道与赛事数据的关联关系，自动或手动生成频道节目单，支持对节目单条目进行新增、删除、时段调整与排序管理，确保节目播出的计划性与准确性。</w:t>
            </w:r>
          </w:p>
          <w:p w14:paraId="5F8A4DD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点播内容与子集管理：应支持点播内容核心信息（名称、剧集信息、封面及详情图片、版权归属、上下架状态与生效时间等）的维护，确保信息准确一致；支持剧集维度下子集内容的新增、修改、删除及自定义排序，实现系列内容的结构化组织。</w:t>
            </w:r>
          </w:p>
          <w:p w14:paraId="6F5BB37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栏目管理：应支持栏目的创建、修改、删除及查询操作，可自定义栏目名称、图标、排序及上下级关系，实现栏目结构的层级化管理。</w:t>
            </w:r>
          </w:p>
          <w:p w14:paraId="432A2EF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权益与角标配置：应支持配置内容的会员权益属性与角标类型（按产品包类型、免费/收费等），配置变更后前端各页面角标应同步更新。</w:t>
            </w:r>
          </w:p>
          <w:p w14:paraId="16752F5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上下架管理与播控衔接：应支持内容的上下架操作与状态管理；内容上线须经采购人播控审核，审核通过后方可下发前端展示，下线内容应及时撤除，满足广电播控安全要求。</w:t>
            </w:r>
          </w:p>
          <w:p w14:paraId="01C86C8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分类与标签体系：应支持内容分类与标签体系的维护，支持多级分类与标签的增删改及启停，作为前端筛选与推荐的数据基础。</w:t>
            </w:r>
          </w:p>
        </w:tc>
        <w:tc>
          <w:tcPr>
            <w:tcW w:w="813" w:type="pct"/>
            <w:vAlign w:val="center"/>
          </w:tcPr>
          <w:p w14:paraId="02E987E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3487954F">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62FC1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33802782">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219A797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343A765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6.3.赛事数据管理</w:t>
            </w:r>
          </w:p>
          <w:p w14:paraId="1E61056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赛事数据管理实现赛事数据的深度获取、治理与本地化管理，驱动前端体验创新与运营智能化，为体育组件与数据展示提供按需、低延迟的数据服务。</w:t>
            </w:r>
          </w:p>
          <w:p w14:paraId="5072897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4ED59E2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赛事数据分层同步：应按"赛事—赛季—比赛"三层结构及时同步上游赛事数据；比赛数据应包括比赛名称、比赛标识、比赛开始与结束时间、对阵双方等信息，同步应及时、准确、完整。</w:t>
            </w:r>
          </w:p>
          <w:p w14:paraId="50718D7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组件数据同步：应支持前端全部组件数据的实时同步，包括实时事件数据、双方阵容明细数据、球队与球员本场比赛专业统计、双方专业数据对比等；不同运动项目的组件数据维度应可差异化配置。</w:t>
            </w:r>
          </w:p>
          <w:p w14:paraId="30A89EC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数据接入与治理：应支持以API、流式数据等多种方式对接上游数据源，自动识别并适配不同赛事在数据格式、统计维度和更新频率上的差异，基于赛事规则进行逻辑校验，将离散的事件、球员、球队数据在时间线与比赛上下文中动态关联，转化为平台内部统一、规范化的数据模型。</w:t>
            </w:r>
          </w:p>
          <w:p w14:paraId="22DE547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数据管理模式：赛事、赛季、比赛等核心数据应支持数据同步模式与本地修改模式；平台应为前端组件提供按需、低延迟的数据接口，支持按运营场景预封装数据组合，并允许运营人员配置特定组件在特定比赛状态下的数据展示优先级。</w:t>
            </w:r>
          </w:p>
          <w:p w14:paraId="26D63A0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比赛管理：应展示平台全部比赛列表及比赛信息（场次名称、开始时间、比赛时长、比赛状态、阶段、轮次、主客队名称等）；支持配置本场比赛解说信息，支持比赛上下线管理；支持比赛绑定产品包与业务分组；支持比赛数据锁定与解锁，锁定后不再同步上游数据更新；支持比赛比分屏蔽；支持将单场比赛推送至频道运营位、详情页热门推荐运营位。</w:t>
            </w:r>
          </w:p>
          <w:p w14:paraId="08F86C5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赛程管理：应支持平台赛程数据配置与分类维护，支持分类下比赛过滤规则的配置，新增比赛应自动关联赛程分类；支持赛程关联业务分组。</w:t>
            </w:r>
          </w:p>
          <w:p w14:paraId="347CEE3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组件管理：应支持组件的生效失效管理与业务分组配置。</w:t>
            </w:r>
          </w:p>
          <w:p w14:paraId="776138E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赛况数据配置：应支持赛况数据展示维度（比分、阵容、本场统计、赛季统计）与指标项的配置，以适配不同运动类型的数据差异。</w:t>
            </w:r>
          </w:p>
          <w:p w14:paraId="7FB4446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主队与球员数据：应支持主队资料、球员资料与生涯数据的维护与同步，数据口径须与上游体育内容内容提供商的数据源一致。</w:t>
            </w:r>
          </w:p>
        </w:tc>
        <w:tc>
          <w:tcPr>
            <w:tcW w:w="813" w:type="pct"/>
            <w:vAlign w:val="center"/>
          </w:tcPr>
          <w:p w14:paraId="2AEC2032">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63C0C3EE">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2845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0CBEAEAA">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6FE261AC">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037E1DA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6.4.页面编排</w:t>
            </w:r>
          </w:p>
          <w:p w14:paraId="26BE661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页面编排是支撑前端体育频道首页、赛事聚合页、大赛专区等页面结构灵活调整的核心能力，须实现页面结构与版位的可视化编排，避免前端每次调整均需发版。</w:t>
            </w:r>
          </w:p>
          <w:p w14:paraId="4EA490A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7CE35FE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页面管理：应支持按频道创建与管理页面，页面数量可扩展；支持配置页面名称、所属频道、生效状态与排序。</w:t>
            </w:r>
          </w:p>
          <w:p w14:paraId="31241E2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站点与导航管理：应支持站点级管理（站点新增、编辑、删除及业务分组绑定），支持导航结构的搭建与属性配置，实现站点级、页面级、内容级（楼层排序、隐藏、置顶）的分层管控。</w:t>
            </w:r>
          </w:p>
          <w:p w14:paraId="6CFDF4B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版位编排：应支持对页面内各版位（推荐位、榜单位、运营位、功能入口区等）进行新增、删除、排序与层级调整，编排结果应可在后台预览。</w:t>
            </w:r>
          </w:p>
          <w:p w14:paraId="1916994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模板管理：应支持页面模板与楼层模板的创建、复用、预览、规则配置与启用停用，不同频道可套用同一模板并差异化填充内容，模板修改后可批量同步至引用页面。</w:t>
            </w:r>
          </w:p>
          <w:p w14:paraId="390AF9F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多版本页面：应支持为不同浏览视角或不同模式配置独立的页面内容，各版本之间互不影响。</w:t>
            </w:r>
          </w:p>
          <w:p w14:paraId="40FEABA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发布与回滚：应支持编排结果的保存、预览、发布与回滚；支持定时发布与立即发布，发布后前端按配置策略生效，无须前端重新发版。</w:t>
            </w:r>
          </w:p>
          <w:p w14:paraId="0F3A569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异常控制：编排数据异常或发布失败时，应保留上一有效版本继续供前端使用，并给出明确失败原因。</w:t>
            </w:r>
          </w:p>
        </w:tc>
        <w:tc>
          <w:tcPr>
            <w:tcW w:w="813" w:type="pct"/>
            <w:vAlign w:val="center"/>
          </w:tcPr>
          <w:p w14:paraId="510420A7">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07600F12">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24299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71D6A9ED">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3EB7A84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5081357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6.5.推荐位编排</w:t>
            </w:r>
          </w:p>
          <w:p w14:paraId="3FED3BE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推荐位是前端各页面内容分发的核心载体，须支持推荐位的内容编排、自动填充与人工干预，兼顾运营效率与可控性。</w:t>
            </w:r>
          </w:p>
          <w:p w14:paraId="52BFF0D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0403087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推荐位管理：应支持创建与管理推荐位，配置推荐位名称、所属页面与版位、展示样式模板、最大展示数量与生效状态。</w:t>
            </w:r>
          </w:p>
          <w:p w14:paraId="1B3397D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内容编排：应支持为推荐位手动配置内容列表，支持通过搜索、分类浏览等方式添加内容，并支持排序、置顶、插入、移除与批量操作。</w:t>
            </w:r>
          </w:p>
          <w:p w14:paraId="55FC07F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自动填充规则：应支持配置推荐位的自动填充规则，可按分类、标签、更新时间等维度自动选取内容；自动结果应支持人工干预（置顶、插入、下架），干预操作须记录操作人与原因。</w:t>
            </w:r>
          </w:p>
          <w:p w14:paraId="34AE1A3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排期管理：应支持配置推荐位内容的生效时间与下线时间，到期自动切换展示；支持按时间提前预编排内容，无须人工实时干预。</w:t>
            </w:r>
          </w:p>
          <w:p w14:paraId="598784B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素材配置：应支持为推荐位中每个内容条目单独配置展示素材与文案（海报、标题、角标等）；未单独配置时，应自动回退使用内容默认素材。</w:t>
            </w:r>
          </w:p>
          <w:p w14:paraId="26DF4F5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状态管理：推荐位应支持待上线、已上线、已下线状态，支持批量上下线；下线后的编排配置应完整保留，可重新编辑后再上线。</w:t>
            </w:r>
          </w:p>
        </w:tc>
        <w:tc>
          <w:tcPr>
            <w:tcW w:w="813" w:type="pct"/>
            <w:vAlign w:val="center"/>
          </w:tcPr>
          <w:p w14:paraId="3590D672">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6773D67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6AA14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4E912691">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78E5F88D">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0408709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6.6.内容批价与产品包管理</w:t>
            </w:r>
          </w:p>
          <w:p w14:paraId="13F6A6B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内容批价与产品包管理实现体育内容的商业化组织与计费对接，产品包作为用户订购权益的实体化载体，须与采购人现有计费体系无缝衔接。</w:t>
            </w:r>
          </w:p>
          <w:p w14:paraId="27BD8F9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597CD93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产品包管理：应支持多种产品类型的产品包管理，资费类型涵盖包月、单点付费与包年；产品包应具备唯一内部计费标识与外部计费标识，并可关联用户订单与内容，支持设置上线与失效时间。</w:t>
            </w:r>
          </w:p>
          <w:p w14:paraId="746C6C3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入包规则：应支持手工或文件导入方式将内容引入产品包；支持按运动项目、一级分类、二级分类等属性配置自动入包规则，符合条件的内容自动入包。</w:t>
            </w:r>
          </w:p>
          <w:p w14:paraId="35E2BB3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计费对接：产品包应关联采购人现有IPTV计费标识，产品包与计费标识、内容与计费标识的关系应同步至现有业务平台；支持产品包发布、取消发布及绑定计费业务分组。</w:t>
            </w:r>
          </w:p>
          <w:p w14:paraId="22C17E7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业务分组管理：应支持EPG业务分组与计费业务分组的管理，实现不同分组用户在页面展现、内容范围、播放权益（是否免鉴权、产品包）方面的区分；支持业务分组的新增与维护。</w:t>
            </w:r>
          </w:p>
          <w:p w14:paraId="55E1688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试看规则管理：应支持按媒资类型（点播、直播）与赛事类型配置试看时长，支持试看规则按业务分组配置生效范围。</w:t>
            </w:r>
          </w:p>
          <w:p w14:paraId="678A1B5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订单管理：应支持订购成功的订单回传接收与存储，支持订单多维度查询（区分包月订购与单场比赛单点订购），订单详情应包括订单号、状态、创建时间、订购时间、有效期等，支持订单导出，满足对账与审计要求。</w:t>
            </w:r>
          </w:p>
        </w:tc>
        <w:tc>
          <w:tcPr>
            <w:tcW w:w="813" w:type="pct"/>
            <w:vAlign w:val="center"/>
          </w:tcPr>
          <w:p w14:paraId="74BDDB9A">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118D811A">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3ACA2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4C458D8A">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4A0E0D4D">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7E623A7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6.7.运营位与搜索配置</w:t>
            </w:r>
          </w:p>
          <w:p w14:paraId="72FC1CC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运营位与搜索配置为前端活动运营、广告展示与内容检索提供支撑，须实现运营素材的灵活配置与搜索数据的及时更新。</w:t>
            </w:r>
          </w:p>
          <w:p w14:paraId="7F60AF1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79572E1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运营位管理：应支持活动海报、广告、营销推广链接等类运营位的创建与配置，支持配置运营位所属页面、位置、展示样式与跳转目标。</w:t>
            </w:r>
          </w:p>
          <w:p w14:paraId="7B47391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素材与排期：应支持配置运营素材与文案、生效时间范围、展示频次与循环周期，到期自动下线，避免对用户造成长期干扰。</w:t>
            </w:r>
          </w:p>
          <w:p w14:paraId="768F39E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搜索数据配置：应支持配置搜索的数据范围与字段，内容上下架后搜索数据须同步更新，确保前端可检索到有效内容且结果准确。</w:t>
            </w:r>
          </w:p>
        </w:tc>
        <w:tc>
          <w:tcPr>
            <w:tcW w:w="813" w:type="pct"/>
            <w:vAlign w:val="center"/>
          </w:tcPr>
          <w:p w14:paraId="6663954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6049DD72">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2E688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5B682F8A">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6B49513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427FE61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6.8.权限与日志</w:t>
            </w:r>
          </w:p>
          <w:p w14:paraId="09BC1F3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编排类操作直接影响线上呈现，须通过权限隔离与操作留痕，保障运营操作的安全性、可控性与可追溯性，满足内控审计要求。</w:t>
            </w:r>
          </w:p>
          <w:p w14:paraId="05A5716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00F3B0B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账号与权限：应基于角色的访问控制模型，支持菜单级、功能级、数据范围级的多级权限控制，实现用户、角色、权限的精细化管理；编排、审核、发布等权限应可分离配置，避免单人完成全部链路操作。</w:t>
            </w:r>
          </w:p>
          <w:p w14:paraId="0BE11A4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用户管理：应支持用户全生命周期管理，包括用户账号列表展示、新增编辑删除、角色分配、启用禁用等完整功能；支持角色模板与权限继承机制。</w:t>
            </w:r>
          </w:p>
          <w:p w14:paraId="02FD563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操作日志：应完整记录编排、发布、上下线等关键操作，包含操作人、操作时间、操作对象与变更前后内容，支持按条件查询与导出，满足审计与追溯要求。</w:t>
            </w:r>
          </w:p>
          <w:p w14:paraId="67E8D9D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发布审核：应支持编排结果的审核流程，审核通过后方可发布上线；审核流程与审核角色应可配置。</w:t>
            </w:r>
          </w:p>
        </w:tc>
        <w:tc>
          <w:tcPr>
            <w:tcW w:w="813" w:type="pct"/>
            <w:vAlign w:val="center"/>
          </w:tcPr>
          <w:p w14:paraId="423370B9">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70BDC348">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4BA1A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4" w:type="pct"/>
            <w:vAlign w:val="center"/>
          </w:tcPr>
          <w:p w14:paraId="54765DA6">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01D924EF">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4049614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6.9.数据同步服务</w:t>
            </w:r>
          </w:p>
          <w:p w14:paraId="4FFEB0D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数据同步服务负责从上游版权方接收并分发更新的内容与数据，保障平台内外部数据的一致性与及时性。</w:t>
            </w:r>
          </w:p>
          <w:p w14:paraId="626E214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728FB5C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同步范围：应提供产品包数据同步（产品包及关联关系）、内容信息同步（内容、栏目、直播、节目单等）、赛事数据同步（赛事、赛季、比赛信息）等同步能力，将上游数据分发至本平台。</w:t>
            </w:r>
          </w:p>
          <w:p w14:paraId="1EC4CCA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实时消息协同：应支持比赛比分与状态的实时消息同步，保障前端展示与比赛进程同步。</w:t>
            </w:r>
          </w:p>
          <w:p w14:paraId="13C9671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同步可靠性：同步通道应具备失败重试与告警能力，数据接收服务应支持冗余部署，防止数据丢失与服务阻塞。</w:t>
            </w:r>
          </w:p>
          <w:p w14:paraId="477E2B6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强制下线：应支持在平台侧对内容执行强制下线，保障播控处置时效。</w:t>
            </w:r>
          </w:p>
        </w:tc>
        <w:tc>
          <w:tcPr>
            <w:tcW w:w="813" w:type="pct"/>
            <w:vAlign w:val="center"/>
          </w:tcPr>
          <w:p w14:paraId="02B63598">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4AA315D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0126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446B6D59">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5ACC6858">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4475A62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6.10.与前端的联动要求</w:t>
            </w:r>
          </w:p>
          <w:p w14:paraId="6AE3A8E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后台编排结果最终服务于前端呈现，须明确前后端的生效机制与异常降级策略，确保前端在任何情况下均具备可用的展示能力。</w:t>
            </w:r>
          </w:p>
          <w:p w14:paraId="5760F4F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0110BEE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实时生效：后台编排发布后，前端应按配置策略实时或定时获取最新编排结果并生效，全过程无须前端发版。</w:t>
            </w:r>
          </w:p>
          <w:p w14:paraId="1E6A089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缓存与降级：后台服务不可用或网络异常时，前端应能使用本地缓存的编排数据正常展示，不得出现白屏、空白版位或不可用页面。</w:t>
            </w:r>
          </w:p>
          <w:p w14:paraId="7719AE6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一致性校验：后台应提供前后端数据一致性核对能力，支持按页面、按推荐位核查展示数据与配置数据的差异。</w:t>
            </w:r>
          </w:p>
        </w:tc>
        <w:tc>
          <w:tcPr>
            <w:tcW w:w="813" w:type="pct"/>
            <w:vAlign w:val="center"/>
          </w:tcPr>
          <w:p w14:paraId="4799014A">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70DAE9B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73047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10AAC417">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090900AF">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0C8E6BE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6.11.运营效果数据服务</w:t>
            </w:r>
          </w:p>
          <w:p w14:paraId="7A4D78C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需建立标准化的体育运营数据监控体系，以离线方式提供监控核心数据指标分析结果，包括但不限于：体育频道DAU/MAU、人均观看时长、热门内容点击榜、互动行为数据等（以实际需求为准）。</w:t>
            </w:r>
          </w:p>
        </w:tc>
        <w:tc>
          <w:tcPr>
            <w:tcW w:w="813" w:type="pct"/>
            <w:vAlign w:val="center"/>
          </w:tcPr>
          <w:p w14:paraId="52170DBB">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2E1AF8D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14B02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2DDB0A04">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restart"/>
            <w:vAlign w:val="center"/>
          </w:tcPr>
          <w:p w14:paraId="1C28129E">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7.产品可靠性与安全性要求</w:t>
            </w:r>
          </w:p>
        </w:tc>
        <w:tc>
          <w:tcPr>
            <w:tcW w:w="2683" w:type="pct"/>
            <w:vAlign w:val="center"/>
          </w:tcPr>
          <w:p w14:paraId="08EE456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7.1.兼容性要求</w:t>
            </w:r>
          </w:p>
          <w:p w14:paraId="7DB6F5F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(1)终端兼容：本产品应适配采购人指定范围的大屏终端（IPTV机顶盒），在主流芯片与主流操作环境下正常运行，不得出现页面元素错位、焦点异常或播放失败。</w:t>
            </w:r>
          </w:p>
          <w:p w14:paraId="2517476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(2)分辨率适配：应支持主流高清及超高清分辨率下的最佳呈现，具体分辨率规格以采购人指定终端为准；不同分辨率下版式不得错乱，页面元素应自适应缩放。</w:t>
            </w:r>
          </w:p>
          <w:p w14:paraId="138001E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(3)交互兼容：全部功能须适配遥控器按键操作，不同终端遥控器的键值差异应做兼容映射。</w:t>
            </w:r>
          </w:p>
          <w:p w14:paraId="46E846A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(4)内容格式：应支持主流音视频编码格式与传输协议的播放要求，具体格式范围以采购人内容库现状为准。</w:t>
            </w:r>
          </w:p>
        </w:tc>
        <w:tc>
          <w:tcPr>
            <w:tcW w:w="813" w:type="pct"/>
            <w:vAlign w:val="center"/>
          </w:tcPr>
          <w:p w14:paraId="1DC430E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5A5556F6">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4F795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364FE1AD">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7B406A53">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24C039B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7.2.可靠性要求</w:t>
            </w:r>
          </w:p>
          <w:p w14:paraId="59C3903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架构高可用：系统应具有健壮的体系架构，采用冗余配置消除单一故障点，关键设备应采用负荷分担、分布式多处理机结构，主要模块冗余度至少为N+1，接口、中间件、后台任一单节点故障不影响业务处理；故障切换应达到分钟级且无须人工干预，保证业务7×24小时不中断。</w:t>
            </w:r>
          </w:p>
          <w:p w14:paraId="62847FE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(2)连续运行：平台应支持7×24小时不间断运行，网络、主机、存储备份设备、系统软件、应用软件等应具备极高的可靠性；系统应满足在高负载状态下稳定运行至少8小时；系统利用率峰值原则上应低于70%。</w:t>
            </w:r>
          </w:p>
          <w:p w14:paraId="5ED72E1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(3)数据备份与恢复：系统数据和业务数据应支持联机备份与联机恢复，恢复的数据必须保持其完整性和一致性；应防止非系统级的数据丢失或出错，并对系统级的数据丢失和出错提供恢复与容错机制。</w:t>
            </w:r>
          </w:p>
          <w:p w14:paraId="56A787E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(4)故障告警：应用系统出现故障应能及时告警，应具备自动或手动恢复措施，发生错误时能够快速恢复正常运行；关键运行指标应按优先级实时上报网管监控系统。</w:t>
            </w:r>
          </w:p>
        </w:tc>
        <w:tc>
          <w:tcPr>
            <w:tcW w:w="813" w:type="pct"/>
            <w:vAlign w:val="center"/>
          </w:tcPr>
          <w:p w14:paraId="757A754D">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4A4E25BB">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11B1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55879484">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3834099A">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2AA6EB8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7.3.安全性要求</w:t>
            </w:r>
          </w:p>
          <w:p w14:paraId="7A0BEC2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(1)网络安全：网络系统应支持访问控制、安全检测、攻击监控等安全功能，提供完整的网络监控、报警和故障处理能力；核心网络设备应保证7×24小时不间断运行并具备冗余备份。</w:t>
            </w:r>
          </w:p>
          <w:p w14:paraId="44F4E79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系统与数据安全：系统应具备访问权限的识别和控制功能，对各级管理员授予不同级别的管理权限，出现非法访问或安全性受到破坏时必须告警；任何远程登录用户的口令均必须具有有效期；操作系统与数据库应符合相应等级安全标准，支持数据存储加密与传输通道加密；系统应具备安全审计功能并提供完整的日志记录。</w:t>
            </w:r>
          </w:p>
          <w:p w14:paraId="1549B1D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(3)应用与业务安全：应用系统的用户管理、权限管理应充分利用操作系统和数据库的安全性，运行时须有完整的日志记录；系统和外部系统之间的连接应采用认证和访问控制鉴权方案；应保证交易信息、订单信息的完整性、安全性与可靠性。</w:t>
            </w:r>
          </w:p>
          <w:p w14:paraId="05860AB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(4)组件软件管控：</w:t>
            </w:r>
            <w:r>
              <w:rPr>
                <w:rFonts w:hint="eastAsia" w:ascii="宋体" w:hAnsi="宋体" w:eastAsia="宋体" w:cs="宋体"/>
                <w:sz w:val="21"/>
                <w:szCs w:val="21"/>
                <w:lang w:eastAsia="zh-CN"/>
              </w:rPr>
              <w:t>供应商</w:t>
            </w:r>
            <w:r>
              <w:rPr>
                <w:rFonts w:hint="eastAsia" w:ascii="宋体" w:hAnsi="宋体" w:eastAsia="宋体" w:cs="宋体"/>
                <w:sz w:val="21"/>
                <w:szCs w:val="21"/>
              </w:rPr>
              <w:t>所提供的系统正常运行所需的第三方软件（操作系统、数据库、中间件等）应为正版授权软件且无高危安全漏洞，使用开源软件应符合相关知识产权要求；所提供软件应支持物理机及虚拟机两种部署环境，适配国产操作系统。</w:t>
            </w:r>
          </w:p>
        </w:tc>
        <w:tc>
          <w:tcPr>
            <w:tcW w:w="813" w:type="pct"/>
            <w:vAlign w:val="center"/>
          </w:tcPr>
          <w:p w14:paraId="3AE48E64">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0CEDA713">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10E10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653A9366">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0B08C367">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73B62D2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7.4.性能与容量要求</w:t>
            </w:r>
          </w:p>
          <w:p w14:paraId="2D6B818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(1)高并发支撑：平台应支撑重大赛事期间用户集中涌入的高并发访问，具备负载均衡与弹性扩容能力，可根据赛事流量峰值灵活调整资源规模；关键设备与链路应具备冗余备份。</w:t>
            </w:r>
          </w:p>
          <w:p w14:paraId="40D4AE7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(2)响应性能：核心接口的响应时间应不超过1秒；应采用多级缓存与异步处理机制优化请求响应链路，保障体育页面快速加载与播放流畅起播。</w:t>
            </w:r>
          </w:p>
          <w:p w14:paraId="674C791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(3)容量规划：</w:t>
            </w:r>
            <w:r>
              <w:rPr>
                <w:rFonts w:hint="eastAsia" w:ascii="宋体" w:hAnsi="宋体" w:eastAsia="宋体" w:cs="宋体"/>
                <w:sz w:val="21"/>
                <w:szCs w:val="21"/>
                <w:lang w:eastAsia="zh-CN"/>
              </w:rPr>
              <w:t>供应商</w:t>
            </w:r>
            <w:r>
              <w:rPr>
                <w:rFonts w:hint="eastAsia" w:ascii="宋体" w:hAnsi="宋体" w:eastAsia="宋体" w:cs="宋体"/>
                <w:sz w:val="21"/>
                <w:szCs w:val="21"/>
              </w:rPr>
              <w:t>应结合采购人用户规模与业务量模型提供容量测算依据与扩容方案，测算过程与配置清单应完整可追溯，经得起审计核查。</w:t>
            </w:r>
          </w:p>
        </w:tc>
        <w:tc>
          <w:tcPr>
            <w:tcW w:w="813" w:type="pct"/>
            <w:vAlign w:val="center"/>
          </w:tcPr>
          <w:p w14:paraId="0A5E2E5E">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0196EC4C">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3F9A7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6DE19B64">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restart"/>
            <w:vAlign w:val="center"/>
          </w:tcPr>
          <w:p w14:paraId="5867DC02">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8.产品交付与售后服务要求</w:t>
            </w:r>
          </w:p>
        </w:tc>
        <w:tc>
          <w:tcPr>
            <w:tcW w:w="2683" w:type="pct"/>
            <w:vAlign w:val="center"/>
          </w:tcPr>
          <w:p w14:paraId="26F122F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8.1.实施与培训</w:t>
            </w:r>
          </w:p>
          <w:p w14:paraId="1134F6E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实施要求：</w:t>
            </w:r>
            <w:r>
              <w:rPr>
                <w:rFonts w:hint="eastAsia" w:ascii="宋体" w:hAnsi="宋体" w:eastAsia="宋体" w:cs="宋体"/>
                <w:sz w:val="21"/>
                <w:szCs w:val="21"/>
                <w:lang w:eastAsia="zh-CN"/>
              </w:rPr>
              <w:t>供应商</w:t>
            </w:r>
            <w:r>
              <w:rPr>
                <w:rFonts w:hint="eastAsia" w:ascii="宋体" w:hAnsi="宋体" w:eastAsia="宋体" w:cs="宋体"/>
                <w:sz w:val="21"/>
                <w:szCs w:val="21"/>
              </w:rPr>
              <w:t>应在合同签订或清单确认后立即组织技术人员开展需求调研，并向采购人提供产品上线的实施计划，包括人员安排、实施进度等；在实施、新旧系统并行、割接、试运行等各环节期间，应根据需要安排技术人员协助指导维护工作。</w:t>
            </w:r>
          </w:p>
          <w:p w14:paraId="5A4A59C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培训要求：</w:t>
            </w:r>
            <w:r>
              <w:rPr>
                <w:rFonts w:hint="eastAsia" w:ascii="宋体" w:hAnsi="宋体" w:eastAsia="宋体" w:cs="宋体"/>
                <w:sz w:val="21"/>
                <w:szCs w:val="21"/>
                <w:lang w:eastAsia="zh-CN"/>
              </w:rPr>
              <w:t>供应商</w:t>
            </w:r>
            <w:r>
              <w:rPr>
                <w:rFonts w:hint="eastAsia" w:ascii="宋体" w:hAnsi="宋体" w:eastAsia="宋体" w:cs="宋体"/>
                <w:sz w:val="21"/>
                <w:szCs w:val="21"/>
              </w:rPr>
              <w:t>应就本期采购产品提供人员培训，使培训人员达到能独立进行产品运营功能独立使用、配置管理、维护管理和平台故障排除的水平；培训对象包括系统管理人员与产品使用人员，培训内容应涵盖培训计划、培训教程、培训实施、培训考试与培训总结。</w:t>
            </w:r>
          </w:p>
          <w:p w14:paraId="12311FB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技术支持：</w:t>
            </w:r>
            <w:r>
              <w:rPr>
                <w:rFonts w:hint="eastAsia" w:ascii="宋体" w:hAnsi="宋体" w:eastAsia="宋体" w:cs="宋体"/>
                <w:sz w:val="21"/>
                <w:szCs w:val="21"/>
                <w:lang w:eastAsia="zh-CN"/>
              </w:rPr>
              <w:t>供应商</w:t>
            </w:r>
            <w:r>
              <w:rPr>
                <w:rFonts w:hint="eastAsia" w:ascii="宋体" w:hAnsi="宋体" w:eastAsia="宋体" w:cs="宋体"/>
                <w:sz w:val="21"/>
                <w:szCs w:val="21"/>
              </w:rPr>
              <w:t>应向采购人提供全面、有效、及时的技术支持和服务，明确技术指导和技术支持的范围与程度，并建立由受过专业训练、具有丰富经验人员组成的技术支持队伍。</w:t>
            </w:r>
          </w:p>
        </w:tc>
        <w:tc>
          <w:tcPr>
            <w:tcW w:w="813" w:type="pct"/>
            <w:vAlign w:val="center"/>
          </w:tcPr>
          <w:p w14:paraId="4D884292">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7CE04E7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6165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73041FA9">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1BA47C3B">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4B96BDA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8.2.售后服务</w:t>
            </w:r>
          </w:p>
          <w:p w14:paraId="157AD2E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保修服务：</w:t>
            </w:r>
            <w:r>
              <w:rPr>
                <w:rFonts w:hint="eastAsia" w:ascii="宋体" w:hAnsi="宋体" w:eastAsia="宋体" w:cs="宋体"/>
                <w:sz w:val="21"/>
                <w:szCs w:val="21"/>
                <w:lang w:eastAsia="zh-CN"/>
              </w:rPr>
              <w:t>供应商</w:t>
            </w:r>
            <w:r>
              <w:rPr>
                <w:rFonts w:hint="eastAsia" w:ascii="宋体" w:hAnsi="宋体" w:eastAsia="宋体" w:cs="宋体"/>
                <w:sz w:val="21"/>
                <w:szCs w:val="21"/>
              </w:rPr>
              <w:t>应提供保修期内的体育赛事专区产品的运维、技术支持服务，保修期自系统终验证书签署之日起计算，具体期限以采购文件与合同约定为准。</w:t>
            </w:r>
          </w:p>
          <w:p w14:paraId="11C6740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服务内容：保修期内</w:t>
            </w:r>
            <w:r>
              <w:rPr>
                <w:rFonts w:hint="eastAsia" w:ascii="宋体" w:hAnsi="宋体" w:eastAsia="宋体" w:cs="宋体"/>
                <w:sz w:val="21"/>
                <w:szCs w:val="21"/>
                <w:lang w:eastAsia="zh-CN"/>
              </w:rPr>
              <w:t>供应商</w:t>
            </w:r>
            <w:r>
              <w:rPr>
                <w:rFonts w:hint="eastAsia" w:ascii="宋体" w:hAnsi="宋体" w:eastAsia="宋体" w:cs="宋体"/>
                <w:sz w:val="21"/>
                <w:szCs w:val="21"/>
              </w:rPr>
              <w:t>负责产品的日常操作处理、数据处理、缺陷修正、系调优等基础服务（新增需求开发除外）；产品发生故障时，</w:t>
            </w:r>
            <w:r>
              <w:rPr>
                <w:rFonts w:hint="eastAsia" w:ascii="宋体" w:hAnsi="宋体" w:eastAsia="宋体" w:cs="宋体"/>
                <w:sz w:val="21"/>
                <w:szCs w:val="21"/>
                <w:lang w:eastAsia="zh-CN"/>
              </w:rPr>
              <w:t>供应商</w:t>
            </w:r>
            <w:r>
              <w:rPr>
                <w:rFonts w:hint="eastAsia" w:ascii="宋体" w:hAnsi="宋体" w:eastAsia="宋体" w:cs="宋体"/>
                <w:sz w:val="21"/>
                <w:szCs w:val="21"/>
              </w:rPr>
              <w:t>应提供技术服务支持，协助调查故障原因并修复，直至满足验收指标和性能要求。</w:t>
            </w:r>
          </w:p>
        </w:tc>
        <w:tc>
          <w:tcPr>
            <w:tcW w:w="813" w:type="pct"/>
            <w:vAlign w:val="center"/>
          </w:tcPr>
          <w:p w14:paraId="44101CE6">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66D5A538">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2FAD2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7C5A0E44">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Align w:val="center"/>
          </w:tcPr>
          <w:p w14:paraId="43C605C0">
            <w:pPr>
              <w:pageBreakBefore w:val="0"/>
              <w:widowControl w:val="0"/>
              <w:kinsoku/>
              <w:wordWrap/>
              <w:overflowPunct/>
              <w:topLinePunct w:val="0"/>
              <w:autoSpaceDE/>
              <w:autoSpaceDN/>
              <w:bidi w:val="0"/>
              <w:spacing w:line="288" w:lineRule="auto"/>
              <w:ind w:left="0" w:firstLine="0" w:firstLineChars="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附件</w:t>
            </w:r>
          </w:p>
        </w:tc>
        <w:tc>
          <w:tcPr>
            <w:tcW w:w="2683" w:type="pct"/>
            <w:vAlign w:val="center"/>
          </w:tcPr>
          <w:p w14:paraId="18F2C4A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体育赛事内容须至少覆盖以下分类及场次的赛事数据服务：</w:t>
            </w:r>
          </w:p>
          <w:tbl>
            <w:tblPr>
              <w:tblStyle w:val="1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44"/>
              <w:gridCol w:w="3878"/>
            </w:tblGrid>
            <w:tr w14:paraId="0C650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Align w:val="center"/>
                </w:tcPr>
                <w:p w14:paraId="5B97E52A">
                  <w:pPr>
                    <w:spacing w:before="20" w:after="20"/>
                    <w:jc w:val="center"/>
                    <w:rPr>
                      <w:rFonts w:asciiTheme="minorEastAsia" w:hAnsiTheme="minorEastAsia"/>
                      <w:sz w:val="21"/>
                      <w:szCs w:val="21"/>
                    </w:rPr>
                  </w:pPr>
                  <w:r>
                    <w:rPr>
                      <w:rFonts w:hint="eastAsia" w:asciiTheme="minorEastAsia" w:hAnsiTheme="minorEastAsia"/>
                      <w:b/>
                      <w:sz w:val="21"/>
                      <w:szCs w:val="21"/>
                    </w:rPr>
                    <w:t>分类</w:t>
                  </w:r>
                </w:p>
              </w:tc>
              <w:tc>
                <w:tcPr>
                  <w:tcW w:w="4287" w:type="pct"/>
                  <w:vAlign w:val="center"/>
                </w:tcPr>
                <w:p w14:paraId="4917E24B">
                  <w:pPr>
                    <w:spacing w:before="20" w:after="20"/>
                    <w:jc w:val="center"/>
                    <w:rPr>
                      <w:rFonts w:asciiTheme="minorEastAsia" w:hAnsiTheme="minorEastAsia"/>
                      <w:sz w:val="21"/>
                      <w:szCs w:val="21"/>
                    </w:rPr>
                  </w:pPr>
                  <w:r>
                    <w:rPr>
                      <w:rFonts w:hint="eastAsia" w:asciiTheme="minorEastAsia" w:hAnsiTheme="minorEastAsia"/>
                      <w:b/>
                      <w:sz w:val="21"/>
                      <w:szCs w:val="21"/>
                    </w:rPr>
                    <w:t>赛事</w:t>
                  </w:r>
                </w:p>
              </w:tc>
            </w:tr>
            <w:tr w14:paraId="42410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restart"/>
                  <w:vAlign w:val="center"/>
                </w:tcPr>
                <w:p w14:paraId="6AA70511">
                  <w:pPr>
                    <w:spacing w:before="20" w:after="20"/>
                    <w:jc w:val="center"/>
                    <w:rPr>
                      <w:rFonts w:asciiTheme="minorEastAsia" w:hAnsiTheme="minorEastAsia"/>
                      <w:sz w:val="21"/>
                      <w:szCs w:val="21"/>
                    </w:rPr>
                  </w:pPr>
                  <w:r>
                    <w:rPr>
                      <w:rFonts w:hint="eastAsia" w:asciiTheme="minorEastAsia" w:hAnsiTheme="minorEastAsia"/>
                      <w:b/>
                      <w:sz w:val="21"/>
                      <w:szCs w:val="21"/>
                    </w:rPr>
                    <w:t>足球</w:t>
                  </w:r>
                </w:p>
              </w:tc>
              <w:tc>
                <w:tcPr>
                  <w:tcW w:w="4287" w:type="pct"/>
                  <w:vAlign w:val="center"/>
                </w:tcPr>
                <w:p w14:paraId="5985FACA">
                  <w:pPr>
                    <w:spacing w:before="20" w:after="20"/>
                    <w:rPr>
                      <w:rFonts w:asciiTheme="minorEastAsia" w:hAnsiTheme="minorEastAsia"/>
                      <w:sz w:val="21"/>
                      <w:szCs w:val="21"/>
                    </w:rPr>
                  </w:pPr>
                  <w:r>
                    <w:rPr>
                      <w:rFonts w:hint="eastAsia" w:asciiTheme="minorEastAsia" w:hAnsiTheme="minorEastAsia"/>
                      <w:sz w:val="21"/>
                      <w:szCs w:val="21"/>
                    </w:rPr>
                    <w:t>2021/22-2027/28赛季英格兰超级联赛（英超）</w:t>
                  </w:r>
                </w:p>
              </w:tc>
            </w:tr>
            <w:tr w14:paraId="49903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4CD7A9EC">
                  <w:pPr>
                    <w:rPr>
                      <w:rFonts w:asciiTheme="minorEastAsia" w:hAnsiTheme="minorEastAsia"/>
                      <w:sz w:val="21"/>
                      <w:szCs w:val="21"/>
                    </w:rPr>
                  </w:pPr>
                </w:p>
              </w:tc>
              <w:tc>
                <w:tcPr>
                  <w:tcW w:w="4287" w:type="pct"/>
                  <w:vAlign w:val="center"/>
                </w:tcPr>
                <w:p w14:paraId="479DE73E">
                  <w:pPr>
                    <w:spacing w:before="20" w:after="20"/>
                    <w:rPr>
                      <w:rFonts w:asciiTheme="minorEastAsia" w:hAnsiTheme="minorEastAsia"/>
                      <w:sz w:val="21"/>
                      <w:szCs w:val="21"/>
                    </w:rPr>
                  </w:pPr>
                  <w:r>
                    <w:rPr>
                      <w:rFonts w:hint="eastAsia" w:asciiTheme="minorEastAsia" w:hAnsiTheme="minorEastAsia"/>
                      <w:sz w:val="21"/>
                      <w:szCs w:val="21"/>
                    </w:rPr>
                    <w:t>2024/25-2027/28赛季英格兰足总杯</w:t>
                  </w:r>
                </w:p>
              </w:tc>
            </w:tr>
            <w:tr w14:paraId="7FBC5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6A689F48">
                  <w:pPr>
                    <w:rPr>
                      <w:rFonts w:asciiTheme="minorEastAsia" w:hAnsiTheme="minorEastAsia"/>
                      <w:sz w:val="21"/>
                      <w:szCs w:val="21"/>
                    </w:rPr>
                  </w:pPr>
                </w:p>
              </w:tc>
              <w:tc>
                <w:tcPr>
                  <w:tcW w:w="4287" w:type="pct"/>
                  <w:vAlign w:val="center"/>
                </w:tcPr>
                <w:p w14:paraId="6290E158">
                  <w:pPr>
                    <w:spacing w:before="20" w:after="20"/>
                    <w:rPr>
                      <w:rFonts w:asciiTheme="minorEastAsia" w:hAnsiTheme="minorEastAsia"/>
                      <w:sz w:val="21"/>
                      <w:szCs w:val="21"/>
                    </w:rPr>
                  </w:pPr>
                  <w:r>
                    <w:rPr>
                      <w:rFonts w:hint="eastAsia" w:asciiTheme="minorEastAsia" w:hAnsiTheme="minorEastAsia"/>
                      <w:sz w:val="21"/>
                      <w:szCs w:val="21"/>
                    </w:rPr>
                    <w:t>2025/26赛季德国甲级联赛（德甲）含德国超级杯</w:t>
                  </w:r>
                </w:p>
              </w:tc>
            </w:tr>
            <w:tr w14:paraId="51A85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78497FF6">
                  <w:pPr>
                    <w:rPr>
                      <w:rFonts w:asciiTheme="minorEastAsia" w:hAnsiTheme="minorEastAsia"/>
                      <w:sz w:val="21"/>
                      <w:szCs w:val="21"/>
                    </w:rPr>
                  </w:pPr>
                </w:p>
              </w:tc>
              <w:tc>
                <w:tcPr>
                  <w:tcW w:w="4287" w:type="pct"/>
                  <w:vAlign w:val="center"/>
                </w:tcPr>
                <w:p w14:paraId="7A43C10C">
                  <w:pPr>
                    <w:spacing w:before="20" w:after="20"/>
                    <w:rPr>
                      <w:rFonts w:asciiTheme="minorEastAsia" w:hAnsiTheme="minorEastAsia"/>
                      <w:sz w:val="21"/>
                      <w:szCs w:val="21"/>
                    </w:rPr>
                  </w:pPr>
                  <w:r>
                    <w:rPr>
                      <w:rFonts w:hint="eastAsia" w:asciiTheme="minorEastAsia" w:hAnsiTheme="minorEastAsia"/>
                      <w:sz w:val="21"/>
                      <w:szCs w:val="21"/>
                    </w:rPr>
                    <w:t>2022/23-2025/26赛季西班牙足球甲级联赛（西甲）</w:t>
                  </w:r>
                </w:p>
              </w:tc>
            </w:tr>
            <w:tr w14:paraId="76DE8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70F2C800">
                  <w:pPr>
                    <w:rPr>
                      <w:rFonts w:asciiTheme="minorEastAsia" w:hAnsiTheme="minorEastAsia"/>
                      <w:sz w:val="21"/>
                      <w:szCs w:val="21"/>
                    </w:rPr>
                  </w:pPr>
                </w:p>
              </w:tc>
              <w:tc>
                <w:tcPr>
                  <w:tcW w:w="4287" w:type="pct"/>
                  <w:vAlign w:val="center"/>
                </w:tcPr>
                <w:p w14:paraId="4BA602B9">
                  <w:pPr>
                    <w:spacing w:before="20" w:after="20"/>
                    <w:rPr>
                      <w:rFonts w:asciiTheme="minorEastAsia" w:hAnsiTheme="minorEastAsia"/>
                      <w:sz w:val="21"/>
                      <w:szCs w:val="21"/>
                    </w:rPr>
                  </w:pPr>
                  <w:r>
                    <w:rPr>
                      <w:rFonts w:hint="eastAsia" w:asciiTheme="minorEastAsia" w:hAnsiTheme="minorEastAsia"/>
                      <w:sz w:val="21"/>
                      <w:szCs w:val="21"/>
                    </w:rPr>
                    <w:t>2024/25-2026/27赛季意大利足球甲级联赛（意甲）含意大利杯及意大利超级杯</w:t>
                  </w:r>
                </w:p>
              </w:tc>
            </w:tr>
            <w:tr w14:paraId="025CA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4769720D">
                  <w:pPr>
                    <w:rPr>
                      <w:rFonts w:asciiTheme="minorEastAsia" w:hAnsiTheme="minorEastAsia"/>
                      <w:sz w:val="21"/>
                      <w:szCs w:val="21"/>
                    </w:rPr>
                  </w:pPr>
                </w:p>
              </w:tc>
              <w:tc>
                <w:tcPr>
                  <w:tcW w:w="4287" w:type="pct"/>
                  <w:vAlign w:val="center"/>
                </w:tcPr>
                <w:p w14:paraId="0DCE9601">
                  <w:pPr>
                    <w:spacing w:before="20" w:after="20"/>
                    <w:rPr>
                      <w:rFonts w:asciiTheme="minorEastAsia" w:hAnsiTheme="minorEastAsia"/>
                      <w:sz w:val="21"/>
                      <w:szCs w:val="21"/>
                    </w:rPr>
                  </w:pPr>
                  <w:r>
                    <w:rPr>
                      <w:rFonts w:hint="eastAsia" w:asciiTheme="minorEastAsia" w:hAnsiTheme="minorEastAsia"/>
                      <w:sz w:val="21"/>
                      <w:szCs w:val="21"/>
                    </w:rPr>
                    <w:t>2024/25-2026/27赛季法国足球甲级联赛（法甲）含法国超级杯</w:t>
                  </w:r>
                </w:p>
              </w:tc>
            </w:tr>
            <w:tr w14:paraId="294FF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3CCFC7F9">
                  <w:pPr>
                    <w:rPr>
                      <w:rFonts w:asciiTheme="minorEastAsia" w:hAnsiTheme="minorEastAsia"/>
                      <w:sz w:val="21"/>
                      <w:szCs w:val="21"/>
                    </w:rPr>
                  </w:pPr>
                </w:p>
              </w:tc>
              <w:tc>
                <w:tcPr>
                  <w:tcW w:w="4287" w:type="pct"/>
                  <w:vAlign w:val="center"/>
                </w:tcPr>
                <w:p w14:paraId="54F284DA">
                  <w:pPr>
                    <w:spacing w:before="20" w:after="20"/>
                    <w:rPr>
                      <w:rFonts w:asciiTheme="minorEastAsia" w:hAnsiTheme="minorEastAsia"/>
                      <w:sz w:val="21"/>
                      <w:szCs w:val="21"/>
                    </w:rPr>
                  </w:pPr>
                  <w:r>
                    <w:rPr>
                      <w:rFonts w:hint="eastAsia" w:asciiTheme="minorEastAsia" w:hAnsiTheme="minorEastAsia"/>
                      <w:sz w:val="21"/>
                      <w:szCs w:val="21"/>
                    </w:rPr>
                    <w:t>2025-2028AFC国家队及俱乐部赛事（2026世界杯亚洲区预选赛、2027亚洲杯、亚冠等赛事）</w:t>
                  </w:r>
                </w:p>
              </w:tc>
            </w:tr>
            <w:tr w14:paraId="6FDC2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3E10E099">
                  <w:pPr>
                    <w:rPr>
                      <w:rFonts w:asciiTheme="minorEastAsia" w:hAnsiTheme="minorEastAsia"/>
                      <w:sz w:val="21"/>
                      <w:szCs w:val="21"/>
                    </w:rPr>
                  </w:pPr>
                </w:p>
              </w:tc>
              <w:tc>
                <w:tcPr>
                  <w:tcW w:w="4287" w:type="pct"/>
                  <w:vAlign w:val="center"/>
                </w:tcPr>
                <w:p w14:paraId="2B569DA9">
                  <w:pPr>
                    <w:spacing w:before="20" w:after="20"/>
                    <w:rPr>
                      <w:rFonts w:asciiTheme="minorEastAsia" w:hAnsiTheme="minorEastAsia"/>
                      <w:sz w:val="21"/>
                      <w:szCs w:val="21"/>
                    </w:rPr>
                  </w:pPr>
                  <w:r>
                    <w:rPr>
                      <w:rFonts w:hint="eastAsia" w:asciiTheme="minorEastAsia" w:hAnsiTheme="minorEastAsia"/>
                      <w:sz w:val="21"/>
                      <w:szCs w:val="21"/>
                    </w:rPr>
                    <w:t>2024-2028赛季中超联赛含中甲、中乙赛事</w:t>
                  </w:r>
                </w:p>
              </w:tc>
            </w:tr>
            <w:tr w14:paraId="3A34A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5DD8E8F5">
                  <w:pPr>
                    <w:rPr>
                      <w:rFonts w:asciiTheme="minorEastAsia" w:hAnsiTheme="minorEastAsia"/>
                      <w:sz w:val="21"/>
                      <w:szCs w:val="21"/>
                    </w:rPr>
                  </w:pPr>
                </w:p>
              </w:tc>
              <w:tc>
                <w:tcPr>
                  <w:tcW w:w="4287" w:type="pct"/>
                  <w:vAlign w:val="center"/>
                </w:tcPr>
                <w:p w14:paraId="3D53C477">
                  <w:pPr>
                    <w:spacing w:before="20" w:after="20"/>
                    <w:rPr>
                      <w:rFonts w:asciiTheme="minorEastAsia" w:hAnsiTheme="minorEastAsia"/>
                      <w:sz w:val="21"/>
                      <w:szCs w:val="21"/>
                    </w:rPr>
                  </w:pPr>
                  <w:r>
                    <w:rPr>
                      <w:rFonts w:hint="eastAsia" w:asciiTheme="minorEastAsia" w:hAnsiTheme="minorEastAsia"/>
                      <w:sz w:val="21"/>
                      <w:szCs w:val="21"/>
                    </w:rPr>
                    <w:t>2026年和美乡村足球超级联赛（村超）</w:t>
                  </w:r>
                </w:p>
              </w:tc>
            </w:tr>
            <w:tr w14:paraId="2EF13D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392E9A6A">
                  <w:pPr>
                    <w:rPr>
                      <w:rFonts w:asciiTheme="minorEastAsia" w:hAnsiTheme="minorEastAsia"/>
                      <w:sz w:val="21"/>
                      <w:szCs w:val="21"/>
                    </w:rPr>
                  </w:pPr>
                </w:p>
              </w:tc>
              <w:tc>
                <w:tcPr>
                  <w:tcW w:w="4287" w:type="pct"/>
                  <w:vAlign w:val="center"/>
                </w:tcPr>
                <w:p w14:paraId="428D5A37">
                  <w:pPr>
                    <w:spacing w:before="20" w:after="20"/>
                    <w:rPr>
                      <w:rFonts w:asciiTheme="minorEastAsia" w:hAnsiTheme="minorEastAsia"/>
                      <w:sz w:val="21"/>
                      <w:szCs w:val="21"/>
                    </w:rPr>
                  </w:pPr>
                  <w:r>
                    <w:rPr>
                      <w:rFonts w:hint="eastAsia" w:asciiTheme="minorEastAsia" w:hAnsiTheme="minorEastAsia"/>
                      <w:sz w:val="21"/>
                      <w:szCs w:val="21"/>
                    </w:rPr>
                    <w:t>2026年中国足球协会超级杯</w:t>
                  </w:r>
                </w:p>
              </w:tc>
            </w:tr>
            <w:tr w14:paraId="2AFDE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63A36AC3">
                  <w:pPr>
                    <w:rPr>
                      <w:rFonts w:asciiTheme="minorEastAsia" w:hAnsiTheme="minorEastAsia"/>
                      <w:sz w:val="21"/>
                      <w:szCs w:val="21"/>
                    </w:rPr>
                  </w:pPr>
                </w:p>
              </w:tc>
              <w:tc>
                <w:tcPr>
                  <w:tcW w:w="4287" w:type="pct"/>
                  <w:vAlign w:val="center"/>
                </w:tcPr>
                <w:p w14:paraId="4364BC0A">
                  <w:pPr>
                    <w:spacing w:before="20" w:after="20"/>
                    <w:rPr>
                      <w:rFonts w:asciiTheme="minorEastAsia" w:hAnsiTheme="minorEastAsia"/>
                      <w:sz w:val="21"/>
                      <w:szCs w:val="21"/>
                    </w:rPr>
                  </w:pPr>
                  <w:r>
                    <w:rPr>
                      <w:rFonts w:hint="eastAsia" w:asciiTheme="minorEastAsia" w:hAnsiTheme="minorEastAsia"/>
                      <w:sz w:val="21"/>
                      <w:szCs w:val="21"/>
                    </w:rPr>
                    <w:t>江苏城市足球联赛（苏超）、江西省城市足球联赛（赣超）、广东省城市足球超级联赛、四川省城市足球联赛、浙江省城市足球联赛、福建省城市足球联赛、山东省城市足球联赛、湖北省城市足球联赛、东北地区城市足球联赛、内蒙古足球超级联赛</w:t>
                  </w:r>
                </w:p>
              </w:tc>
            </w:tr>
            <w:tr w14:paraId="13176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restart"/>
                  <w:vAlign w:val="center"/>
                </w:tcPr>
                <w:p w14:paraId="2603065D">
                  <w:pPr>
                    <w:spacing w:before="20" w:after="20"/>
                    <w:jc w:val="center"/>
                    <w:rPr>
                      <w:rFonts w:asciiTheme="minorEastAsia" w:hAnsiTheme="minorEastAsia"/>
                      <w:sz w:val="21"/>
                      <w:szCs w:val="21"/>
                    </w:rPr>
                  </w:pPr>
                  <w:r>
                    <w:rPr>
                      <w:rFonts w:hint="eastAsia" w:asciiTheme="minorEastAsia" w:hAnsiTheme="minorEastAsia"/>
                      <w:b/>
                      <w:sz w:val="21"/>
                      <w:szCs w:val="21"/>
                    </w:rPr>
                    <w:t>篮球</w:t>
                  </w:r>
                </w:p>
              </w:tc>
              <w:tc>
                <w:tcPr>
                  <w:tcW w:w="4287" w:type="pct"/>
                  <w:vAlign w:val="center"/>
                </w:tcPr>
                <w:p w14:paraId="6D69AF74">
                  <w:pPr>
                    <w:spacing w:before="20" w:after="20"/>
                    <w:rPr>
                      <w:rFonts w:asciiTheme="minorEastAsia" w:hAnsiTheme="minorEastAsia"/>
                      <w:sz w:val="21"/>
                      <w:szCs w:val="21"/>
                    </w:rPr>
                  </w:pPr>
                  <w:r>
                    <w:rPr>
                      <w:rFonts w:hint="eastAsia" w:asciiTheme="minorEastAsia" w:hAnsiTheme="minorEastAsia"/>
                      <w:sz w:val="21"/>
                      <w:szCs w:val="21"/>
                    </w:rPr>
                    <w:t>2020/21-2026/27赛季美国职业篮球联赛（NBA）</w:t>
                  </w:r>
                </w:p>
              </w:tc>
            </w:tr>
            <w:tr w14:paraId="6A7D3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59C72C25">
                  <w:pPr>
                    <w:rPr>
                      <w:rFonts w:asciiTheme="minorEastAsia" w:hAnsiTheme="minorEastAsia"/>
                      <w:sz w:val="21"/>
                      <w:szCs w:val="21"/>
                    </w:rPr>
                  </w:pPr>
                </w:p>
              </w:tc>
              <w:tc>
                <w:tcPr>
                  <w:tcW w:w="4287" w:type="pct"/>
                  <w:vAlign w:val="center"/>
                </w:tcPr>
                <w:p w14:paraId="54511BB8">
                  <w:pPr>
                    <w:spacing w:before="20" w:after="20"/>
                    <w:rPr>
                      <w:rFonts w:asciiTheme="minorEastAsia" w:hAnsiTheme="minorEastAsia"/>
                      <w:sz w:val="21"/>
                      <w:szCs w:val="21"/>
                    </w:rPr>
                  </w:pPr>
                  <w:r>
                    <w:rPr>
                      <w:rFonts w:hint="eastAsia" w:asciiTheme="minorEastAsia" w:hAnsiTheme="minorEastAsia"/>
                      <w:sz w:val="21"/>
                      <w:szCs w:val="21"/>
                    </w:rPr>
                    <w:t>2025-2026赛季NBA-G联赛</w:t>
                  </w:r>
                </w:p>
              </w:tc>
            </w:tr>
            <w:tr w14:paraId="4B203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21B38CB4">
                  <w:pPr>
                    <w:rPr>
                      <w:rFonts w:asciiTheme="minorEastAsia" w:hAnsiTheme="minorEastAsia"/>
                      <w:sz w:val="21"/>
                      <w:szCs w:val="21"/>
                    </w:rPr>
                  </w:pPr>
                </w:p>
              </w:tc>
              <w:tc>
                <w:tcPr>
                  <w:tcW w:w="4287" w:type="pct"/>
                  <w:vAlign w:val="center"/>
                </w:tcPr>
                <w:p w14:paraId="63F8EB6F">
                  <w:pPr>
                    <w:spacing w:before="20" w:after="20"/>
                    <w:rPr>
                      <w:rFonts w:asciiTheme="minorEastAsia" w:hAnsiTheme="minorEastAsia"/>
                      <w:sz w:val="21"/>
                      <w:szCs w:val="21"/>
                    </w:rPr>
                  </w:pPr>
                  <w:r>
                    <w:rPr>
                      <w:rFonts w:hint="eastAsia" w:asciiTheme="minorEastAsia" w:hAnsiTheme="minorEastAsia"/>
                      <w:sz w:val="21"/>
                      <w:szCs w:val="21"/>
                    </w:rPr>
                    <w:t>24/25-27/28赛季中国女子职业篮球联赛（WCBA）</w:t>
                  </w:r>
                </w:p>
              </w:tc>
            </w:tr>
            <w:tr w14:paraId="7EA02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313BBA0E">
                  <w:pPr>
                    <w:rPr>
                      <w:rFonts w:asciiTheme="minorEastAsia" w:hAnsiTheme="minorEastAsia"/>
                      <w:sz w:val="21"/>
                      <w:szCs w:val="21"/>
                    </w:rPr>
                  </w:pPr>
                </w:p>
              </w:tc>
              <w:tc>
                <w:tcPr>
                  <w:tcW w:w="4287" w:type="pct"/>
                  <w:vAlign w:val="center"/>
                </w:tcPr>
                <w:p w14:paraId="35A7CA38">
                  <w:pPr>
                    <w:spacing w:before="20" w:after="20"/>
                    <w:rPr>
                      <w:rFonts w:asciiTheme="minorEastAsia" w:hAnsiTheme="minorEastAsia"/>
                      <w:sz w:val="21"/>
                      <w:szCs w:val="21"/>
                    </w:rPr>
                  </w:pPr>
                  <w:r>
                    <w:rPr>
                      <w:rFonts w:hint="eastAsia" w:asciiTheme="minorEastAsia" w:hAnsiTheme="minorEastAsia"/>
                      <w:sz w:val="21"/>
                      <w:szCs w:val="21"/>
                    </w:rPr>
                    <w:t>2024-2027赛季全国男子三人篮球超级联赛（超三联赛）</w:t>
                  </w:r>
                </w:p>
              </w:tc>
            </w:tr>
            <w:tr w14:paraId="375AE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32D61934">
                  <w:pPr>
                    <w:rPr>
                      <w:rFonts w:asciiTheme="minorEastAsia" w:hAnsiTheme="minorEastAsia"/>
                      <w:sz w:val="21"/>
                      <w:szCs w:val="21"/>
                    </w:rPr>
                  </w:pPr>
                </w:p>
              </w:tc>
              <w:tc>
                <w:tcPr>
                  <w:tcW w:w="4287" w:type="pct"/>
                  <w:vAlign w:val="center"/>
                </w:tcPr>
                <w:p w14:paraId="40CB3323">
                  <w:pPr>
                    <w:spacing w:before="20" w:after="20"/>
                    <w:rPr>
                      <w:rFonts w:asciiTheme="minorEastAsia" w:hAnsiTheme="minorEastAsia"/>
                      <w:sz w:val="21"/>
                      <w:szCs w:val="21"/>
                    </w:rPr>
                  </w:pPr>
                  <w:r>
                    <w:rPr>
                      <w:rFonts w:hint="eastAsia" w:asciiTheme="minorEastAsia" w:hAnsiTheme="minorEastAsia"/>
                      <w:sz w:val="21"/>
                      <w:szCs w:val="21"/>
                    </w:rPr>
                    <w:t>2024-2027年国家队热身赛、邀请赛</w:t>
                  </w:r>
                </w:p>
              </w:tc>
            </w:tr>
            <w:tr w14:paraId="11243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712" w:type="pct"/>
                  <w:vMerge w:val="continue"/>
                  <w:vAlign w:val="center"/>
                </w:tcPr>
                <w:p w14:paraId="3D4786BE">
                  <w:pPr>
                    <w:rPr>
                      <w:rFonts w:asciiTheme="minorEastAsia" w:hAnsiTheme="minorEastAsia"/>
                      <w:sz w:val="21"/>
                      <w:szCs w:val="21"/>
                    </w:rPr>
                  </w:pPr>
                </w:p>
              </w:tc>
              <w:tc>
                <w:tcPr>
                  <w:tcW w:w="4287" w:type="pct"/>
                  <w:vAlign w:val="center"/>
                </w:tcPr>
                <w:p w14:paraId="767FCC13">
                  <w:pPr>
                    <w:spacing w:before="20" w:after="20"/>
                    <w:rPr>
                      <w:rFonts w:asciiTheme="minorEastAsia" w:hAnsiTheme="minorEastAsia"/>
                      <w:sz w:val="21"/>
                      <w:szCs w:val="21"/>
                    </w:rPr>
                  </w:pPr>
                  <w:r>
                    <w:rPr>
                      <w:rFonts w:hint="eastAsia" w:asciiTheme="minorEastAsia" w:hAnsiTheme="minorEastAsia"/>
                      <w:sz w:val="21"/>
                      <w:szCs w:val="21"/>
                    </w:rPr>
                    <w:t>2025-2029国际篮联赛事FIBA</w:t>
                  </w:r>
                </w:p>
              </w:tc>
            </w:tr>
            <w:tr w14:paraId="50DB0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7D13F73E">
                  <w:pPr>
                    <w:rPr>
                      <w:rFonts w:asciiTheme="minorEastAsia" w:hAnsiTheme="minorEastAsia"/>
                      <w:sz w:val="21"/>
                      <w:szCs w:val="21"/>
                    </w:rPr>
                  </w:pPr>
                </w:p>
              </w:tc>
              <w:tc>
                <w:tcPr>
                  <w:tcW w:w="4287" w:type="pct"/>
                  <w:vAlign w:val="center"/>
                </w:tcPr>
                <w:p w14:paraId="01249DF1">
                  <w:pPr>
                    <w:spacing w:before="20" w:after="20"/>
                    <w:rPr>
                      <w:rFonts w:asciiTheme="minorEastAsia" w:hAnsiTheme="minorEastAsia"/>
                      <w:sz w:val="21"/>
                      <w:szCs w:val="21"/>
                    </w:rPr>
                  </w:pPr>
                  <w:r>
                    <w:rPr>
                      <w:rFonts w:hint="eastAsia" w:asciiTheme="minorEastAsia" w:hAnsiTheme="minorEastAsia"/>
                      <w:sz w:val="21"/>
                      <w:szCs w:val="21"/>
                    </w:rPr>
                    <w:t>全国男子篮球联赛（NBL）</w:t>
                  </w:r>
                </w:p>
              </w:tc>
            </w:tr>
            <w:tr w14:paraId="665D3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745D9809">
                  <w:pPr>
                    <w:rPr>
                      <w:rFonts w:asciiTheme="minorEastAsia" w:hAnsiTheme="minorEastAsia"/>
                      <w:sz w:val="21"/>
                      <w:szCs w:val="21"/>
                    </w:rPr>
                  </w:pPr>
                </w:p>
              </w:tc>
              <w:tc>
                <w:tcPr>
                  <w:tcW w:w="4287" w:type="pct"/>
                  <w:vAlign w:val="center"/>
                </w:tcPr>
                <w:p w14:paraId="39C25C7C">
                  <w:pPr>
                    <w:spacing w:before="20" w:after="20"/>
                    <w:rPr>
                      <w:rFonts w:asciiTheme="minorEastAsia" w:hAnsiTheme="minorEastAsia"/>
                      <w:sz w:val="21"/>
                      <w:szCs w:val="21"/>
                    </w:rPr>
                  </w:pPr>
                  <w:r>
                    <w:rPr>
                      <w:rFonts w:hint="eastAsia" w:asciiTheme="minorEastAsia" w:hAnsiTheme="minorEastAsia"/>
                      <w:sz w:val="21"/>
                      <w:szCs w:val="21"/>
                    </w:rPr>
                    <w:t>浙江省城市篮球联赛</w:t>
                  </w:r>
                </w:p>
              </w:tc>
            </w:tr>
            <w:tr w14:paraId="68758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Align w:val="center"/>
                </w:tcPr>
                <w:p w14:paraId="6E145771">
                  <w:pPr>
                    <w:spacing w:before="20" w:after="20"/>
                    <w:jc w:val="center"/>
                    <w:rPr>
                      <w:rFonts w:asciiTheme="minorEastAsia" w:hAnsiTheme="minorEastAsia"/>
                      <w:sz w:val="21"/>
                      <w:szCs w:val="21"/>
                    </w:rPr>
                  </w:pPr>
                  <w:r>
                    <w:rPr>
                      <w:rFonts w:hint="eastAsia" w:asciiTheme="minorEastAsia" w:hAnsiTheme="minorEastAsia"/>
                      <w:b/>
                      <w:sz w:val="21"/>
                      <w:szCs w:val="21"/>
                    </w:rPr>
                    <w:t>格斗</w:t>
                  </w:r>
                </w:p>
              </w:tc>
              <w:tc>
                <w:tcPr>
                  <w:tcW w:w="4287" w:type="pct"/>
                  <w:vAlign w:val="center"/>
                </w:tcPr>
                <w:p w14:paraId="51FC996C">
                  <w:pPr>
                    <w:spacing w:before="20" w:after="20"/>
                    <w:rPr>
                      <w:rFonts w:asciiTheme="minorEastAsia" w:hAnsiTheme="minorEastAsia"/>
                      <w:sz w:val="21"/>
                      <w:szCs w:val="21"/>
                    </w:rPr>
                  </w:pPr>
                  <w:r>
                    <w:rPr>
                      <w:rFonts w:hint="eastAsia" w:asciiTheme="minorEastAsia" w:hAnsiTheme="minorEastAsia"/>
                      <w:sz w:val="21"/>
                      <w:szCs w:val="21"/>
                    </w:rPr>
                    <w:t>2026-2031年UFC</w:t>
                  </w:r>
                </w:p>
              </w:tc>
            </w:tr>
            <w:tr w14:paraId="54915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restart"/>
                  <w:vAlign w:val="center"/>
                </w:tcPr>
                <w:p w14:paraId="6F13CC63">
                  <w:pPr>
                    <w:spacing w:before="20" w:after="20"/>
                    <w:jc w:val="center"/>
                    <w:rPr>
                      <w:rFonts w:asciiTheme="minorEastAsia" w:hAnsiTheme="minorEastAsia"/>
                      <w:sz w:val="21"/>
                      <w:szCs w:val="21"/>
                    </w:rPr>
                  </w:pPr>
                  <w:r>
                    <w:rPr>
                      <w:rFonts w:hint="eastAsia" w:asciiTheme="minorEastAsia" w:hAnsiTheme="minorEastAsia"/>
                      <w:b/>
                      <w:sz w:val="21"/>
                      <w:szCs w:val="21"/>
                    </w:rPr>
                    <w:t>乒乓球</w:t>
                  </w:r>
                </w:p>
              </w:tc>
              <w:tc>
                <w:tcPr>
                  <w:tcW w:w="4287" w:type="pct"/>
                  <w:vAlign w:val="center"/>
                </w:tcPr>
                <w:p w14:paraId="13954185">
                  <w:pPr>
                    <w:spacing w:before="20" w:after="20"/>
                    <w:rPr>
                      <w:rFonts w:asciiTheme="minorEastAsia" w:hAnsiTheme="minorEastAsia"/>
                      <w:sz w:val="21"/>
                      <w:szCs w:val="21"/>
                    </w:rPr>
                  </w:pPr>
                  <w:r>
                    <w:rPr>
                      <w:rFonts w:hint="eastAsia" w:asciiTheme="minorEastAsia" w:hAnsiTheme="minorEastAsia"/>
                      <w:sz w:val="21"/>
                      <w:szCs w:val="21"/>
                    </w:rPr>
                    <w:t>2025年-2028年WTT赛事</w:t>
                  </w:r>
                </w:p>
              </w:tc>
            </w:tr>
            <w:tr w14:paraId="33BD4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33F3A0FD">
                  <w:pPr>
                    <w:rPr>
                      <w:rFonts w:asciiTheme="minorEastAsia" w:hAnsiTheme="minorEastAsia"/>
                      <w:sz w:val="21"/>
                      <w:szCs w:val="21"/>
                    </w:rPr>
                  </w:pPr>
                </w:p>
              </w:tc>
              <w:tc>
                <w:tcPr>
                  <w:tcW w:w="4287" w:type="pct"/>
                  <w:vAlign w:val="center"/>
                </w:tcPr>
                <w:p w14:paraId="566BCC2A">
                  <w:pPr>
                    <w:spacing w:before="20" w:after="20"/>
                    <w:rPr>
                      <w:rFonts w:asciiTheme="minorEastAsia" w:hAnsiTheme="minorEastAsia"/>
                      <w:sz w:val="21"/>
                      <w:szCs w:val="21"/>
                    </w:rPr>
                  </w:pPr>
                  <w:r>
                    <w:rPr>
                      <w:rFonts w:hint="eastAsia" w:asciiTheme="minorEastAsia" w:hAnsiTheme="minorEastAsia"/>
                      <w:sz w:val="21"/>
                      <w:szCs w:val="21"/>
                    </w:rPr>
                    <w:t>第35届ITTF-ATTU亚洲杯</w:t>
                  </w:r>
                </w:p>
              </w:tc>
            </w:tr>
            <w:tr w14:paraId="212D9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0B94BFF6">
                  <w:pPr>
                    <w:rPr>
                      <w:rFonts w:asciiTheme="minorEastAsia" w:hAnsiTheme="minorEastAsia"/>
                      <w:sz w:val="21"/>
                      <w:szCs w:val="21"/>
                    </w:rPr>
                  </w:pPr>
                </w:p>
              </w:tc>
              <w:tc>
                <w:tcPr>
                  <w:tcW w:w="4287" w:type="pct"/>
                  <w:vAlign w:val="center"/>
                </w:tcPr>
                <w:p w14:paraId="312DB314">
                  <w:pPr>
                    <w:spacing w:before="20" w:after="20"/>
                    <w:rPr>
                      <w:rFonts w:asciiTheme="minorEastAsia" w:hAnsiTheme="minorEastAsia"/>
                      <w:sz w:val="21"/>
                      <w:szCs w:val="21"/>
                    </w:rPr>
                  </w:pPr>
                  <w:r>
                    <w:rPr>
                      <w:rFonts w:hint="eastAsia" w:asciiTheme="minorEastAsia" w:hAnsiTheme="minorEastAsia"/>
                      <w:sz w:val="21"/>
                      <w:szCs w:val="21"/>
                    </w:rPr>
                    <w:t>2026国际乒联男子及女子世界杯</w:t>
                  </w:r>
                </w:p>
              </w:tc>
            </w:tr>
            <w:tr w14:paraId="395D5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70312499">
                  <w:pPr>
                    <w:rPr>
                      <w:rFonts w:asciiTheme="minorEastAsia" w:hAnsiTheme="minorEastAsia"/>
                      <w:sz w:val="21"/>
                      <w:szCs w:val="21"/>
                    </w:rPr>
                  </w:pPr>
                </w:p>
              </w:tc>
              <w:tc>
                <w:tcPr>
                  <w:tcW w:w="4287" w:type="pct"/>
                  <w:vAlign w:val="center"/>
                </w:tcPr>
                <w:p w14:paraId="129AD39F">
                  <w:pPr>
                    <w:spacing w:before="20" w:after="20"/>
                    <w:rPr>
                      <w:rFonts w:asciiTheme="minorEastAsia" w:hAnsiTheme="minorEastAsia"/>
                      <w:sz w:val="21"/>
                      <w:szCs w:val="21"/>
                    </w:rPr>
                  </w:pPr>
                  <w:r>
                    <w:rPr>
                      <w:rFonts w:hint="eastAsia" w:asciiTheme="minorEastAsia" w:hAnsiTheme="minorEastAsia"/>
                      <w:sz w:val="21"/>
                      <w:szCs w:val="21"/>
                    </w:rPr>
                    <w:t>2026年乒乓球亚洲团体锦标赛</w:t>
                  </w:r>
                </w:p>
              </w:tc>
            </w:tr>
            <w:tr w14:paraId="60888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7CC157E2">
                  <w:pPr>
                    <w:rPr>
                      <w:rFonts w:asciiTheme="minorEastAsia" w:hAnsiTheme="minorEastAsia"/>
                      <w:sz w:val="21"/>
                      <w:szCs w:val="21"/>
                    </w:rPr>
                  </w:pPr>
                </w:p>
              </w:tc>
              <w:tc>
                <w:tcPr>
                  <w:tcW w:w="4287" w:type="pct"/>
                  <w:vAlign w:val="center"/>
                </w:tcPr>
                <w:p w14:paraId="6699D9AA">
                  <w:pPr>
                    <w:spacing w:before="20" w:after="20"/>
                    <w:rPr>
                      <w:rFonts w:asciiTheme="minorEastAsia" w:hAnsiTheme="minorEastAsia"/>
                      <w:sz w:val="21"/>
                      <w:szCs w:val="21"/>
                    </w:rPr>
                  </w:pPr>
                  <w:r>
                    <w:rPr>
                      <w:rFonts w:hint="eastAsia" w:asciiTheme="minorEastAsia" w:hAnsiTheme="minorEastAsia"/>
                      <w:sz w:val="21"/>
                      <w:szCs w:val="21"/>
                    </w:rPr>
                    <w:t>2026年国际乒联混合团体世界杯</w:t>
                  </w:r>
                </w:p>
              </w:tc>
            </w:tr>
            <w:tr w14:paraId="4A88F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27DB7CE8">
                  <w:pPr>
                    <w:rPr>
                      <w:rFonts w:asciiTheme="minorEastAsia" w:hAnsiTheme="minorEastAsia"/>
                      <w:sz w:val="21"/>
                      <w:szCs w:val="21"/>
                    </w:rPr>
                  </w:pPr>
                </w:p>
              </w:tc>
              <w:tc>
                <w:tcPr>
                  <w:tcW w:w="4287" w:type="pct"/>
                  <w:vAlign w:val="center"/>
                </w:tcPr>
                <w:p w14:paraId="44D7E3B0">
                  <w:pPr>
                    <w:spacing w:before="20" w:after="20"/>
                    <w:rPr>
                      <w:rFonts w:asciiTheme="minorEastAsia" w:hAnsiTheme="minorEastAsia"/>
                      <w:sz w:val="21"/>
                      <w:szCs w:val="21"/>
                    </w:rPr>
                  </w:pPr>
                  <w:r>
                    <w:rPr>
                      <w:rFonts w:hint="eastAsia" w:asciiTheme="minorEastAsia" w:hAnsiTheme="minorEastAsia"/>
                      <w:sz w:val="21"/>
                      <w:szCs w:val="21"/>
                    </w:rPr>
                    <w:t>2026年上海乒乓球嘉年华</w:t>
                  </w:r>
                </w:p>
              </w:tc>
            </w:tr>
            <w:tr w14:paraId="6CF75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Align w:val="center"/>
                </w:tcPr>
                <w:p w14:paraId="17EAF5A5">
                  <w:pPr>
                    <w:spacing w:before="20" w:after="20"/>
                    <w:jc w:val="center"/>
                    <w:rPr>
                      <w:rFonts w:asciiTheme="minorEastAsia" w:hAnsiTheme="minorEastAsia"/>
                      <w:sz w:val="21"/>
                      <w:szCs w:val="21"/>
                    </w:rPr>
                  </w:pPr>
                  <w:r>
                    <w:rPr>
                      <w:rFonts w:hint="eastAsia" w:asciiTheme="minorEastAsia" w:hAnsiTheme="minorEastAsia"/>
                      <w:b/>
                      <w:sz w:val="21"/>
                      <w:szCs w:val="21"/>
                    </w:rPr>
                    <w:t>斯诺克</w:t>
                  </w:r>
                </w:p>
              </w:tc>
              <w:tc>
                <w:tcPr>
                  <w:tcW w:w="4287" w:type="pct"/>
                  <w:vAlign w:val="center"/>
                </w:tcPr>
                <w:p w14:paraId="19377F76">
                  <w:pPr>
                    <w:spacing w:before="20" w:after="20"/>
                    <w:rPr>
                      <w:rFonts w:asciiTheme="minorEastAsia" w:hAnsiTheme="minorEastAsia"/>
                      <w:sz w:val="21"/>
                      <w:szCs w:val="21"/>
                    </w:rPr>
                  </w:pPr>
                  <w:r>
                    <w:rPr>
                      <w:rFonts w:hint="eastAsia" w:asciiTheme="minorEastAsia" w:hAnsiTheme="minorEastAsia"/>
                      <w:sz w:val="21"/>
                      <w:szCs w:val="21"/>
                    </w:rPr>
                    <w:t>斯诺克</w:t>
                  </w:r>
                </w:p>
              </w:tc>
            </w:tr>
            <w:tr w14:paraId="2027B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restart"/>
                  <w:vAlign w:val="center"/>
                </w:tcPr>
                <w:p w14:paraId="62255BA4">
                  <w:pPr>
                    <w:spacing w:before="20" w:after="20"/>
                    <w:jc w:val="center"/>
                    <w:rPr>
                      <w:rFonts w:asciiTheme="minorEastAsia" w:hAnsiTheme="minorEastAsia"/>
                      <w:sz w:val="21"/>
                      <w:szCs w:val="21"/>
                    </w:rPr>
                  </w:pPr>
                  <w:r>
                    <w:rPr>
                      <w:rFonts w:hint="eastAsia" w:asciiTheme="minorEastAsia" w:hAnsiTheme="minorEastAsia"/>
                      <w:b/>
                      <w:sz w:val="21"/>
                      <w:szCs w:val="21"/>
                    </w:rPr>
                    <w:t>电子竞技</w:t>
                  </w:r>
                </w:p>
              </w:tc>
              <w:tc>
                <w:tcPr>
                  <w:tcW w:w="4287" w:type="pct"/>
                  <w:vAlign w:val="center"/>
                </w:tcPr>
                <w:p w14:paraId="4DE08FB7">
                  <w:pPr>
                    <w:spacing w:before="20" w:after="20"/>
                    <w:rPr>
                      <w:rFonts w:asciiTheme="minorEastAsia" w:hAnsiTheme="minorEastAsia"/>
                      <w:sz w:val="21"/>
                      <w:szCs w:val="21"/>
                    </w:rPr>
                  </w:pPr>
                  <w:r>
                    <w:rPr>
                      <w:rFonts w:hint="eastAsia" w:asciiTheme="minorEastAsia" w:hAnsiTheme="minorEastAsia"/>
                      <w:sz w:val="21"/>
                      <w:szCs w:val="21"/>
                    </w:rPr>
                    <w:t>王者荣耀（KPL）</w:t>
                  </w:r>
                </w:p>
              </w:tc>
            </w:tr>
            <w:tr w14:paraId="2C85A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15CC06EF">
                  <w:pPr>
                    <w:rPr>
                      <w:rFonts w:asciiTheme="minorEastAsia" w:hAnsiTheme="minorEastAsia"/>
                      <w:sz w:val="21"/>
                      <w:szCs w:val="21"/>
                    </w:rPr>
                  </w:pPr>
                </w:p>
              </w:tc>
              <w:tc>
                <w:tcPr>
                  <w:tcW w:w="4287" w:type="pct"/>
                  <w:vAlign w:val="center"/>
                </w:tcPr>
                <w:p w14:paraId="648A9B09">
                  <w:pPr>
                    <w:spacing w:before="20" w:after="20"/>
                    <w:rPr>
                      <w:rFonts w:asciiTheme="minorEastAsia" w:hAnsiTheme="minorEastAsia"/>
                      <w:sz w:val="21"/>
                      <w:szCs w:val="21"/>
                    </w:rPr>
                  </w:pPr>
                  <w:r>
                    <w:rPr>
                      <w:rFonts w:hint="eastAsia" w:asciiTheme="minorEastAsia" w:hAnsiTheme="minorEastAsia"/>
                      <w:sz w:val="21"/>
                      <w:szCs w:val="21"/>
                    </w:rPr>
                    <w:t>和平精英（PEL）</w:t>
                  </w:r>
                </w:p>
              </w:tc>
            </w:tr>
            <w:tr w14:paraId="500DC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restart"/>
                  <w:vAlign w:val="center"/>
                </w:tcPr>
                <w:p w14:paraId="4C16967B">
                  <w:pPr>
                    <w:spacing w:before="20" w:after="20"/>
                    <w:jc w:val="center"/>
                    <w:rPr>
                      <w:rFonts w:asciiTheme="minorEastAsia" w:hAnsiTheme="minorEastAsia"/>
                      <w:sz w:val="21"/>
                      <w:szCs w:val="21"/>
                    </w:rPr>
                  </w:pPr>
                  <w:r>
                    <w:rPr>
                      <w:rFonts w:hint="eastAsia" w:asciiTheme="minorEastAsia" w:hAnsiTheme="minorEastAsia"/>
                      <w:b/>
                      <w:sz w:val="21"/>
                      <w:szCs w:val="21"/>
                    </w:rPr>
                    <w:t>网球</w:t>
                  </w:r>
                </w:p>
              </w:tc>
              <w:tc>
                <w:tcPr>
                  <w:tcW w:w="4287" w:type="pct"/>
                  <w:vAlign w:val="center"/>
                </w:tcPr>
                <w:p w14:paraId="0DAA61B9">
                  <w:pPr>
                    <w:spacing w:before="20" w:after="20"/>
                    <w:rPr>
                      <w:rFonts w:asciiTheme="minorEastAsia" w:hAnsiTheme="minorEastAsia"/>
                      <w:sz w:val="21"/>
                      <w:szCs w:val="21"/>
                    </w:rPr>
                  </w:pPr>
                  <w:r>
                    <w:rPr>
                      <w:rFonts w:hint="eastAsia" w:asciiTheme="minorEastAsia" w:hAnsiTheme="minorEastAsia"/>
                      <w:sz w:val="21"/>
                      <w:szCs w:val="21"/>
                    </w:rPr>
                    <w:t>2023-2025年中国网球公开赛</w:t>
                  </w:r>
                </w:p>
              </w:tc>
            </w:tr>
            <w:tr w14:paraId="0C16B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207A48AD">
                  <w:pPr>
                    <w:rPr>
                      <w:rFonts w:asciiTheme="minorEastAsia" w:hAnsiTheme="minorEastAsia"/>
                      <w:sz w:val="21"/>
                      <w:szCs w:val="21"/>
                    </w:rPr>
                  </w:pPr>
                </w:p>
              </w:tc>
              <w:tc>
                <w:tcPr>
                  <w:tcW w:w="4287" w:type="pct"/>
                  <w:vAlign w:val="center"/>
                </w:tcPr>
                <w:p w14:paraId="706F9BC2">
                  <w:pPr>
                    <w:spacing w:before="20" w:after="20"/>
                    <w:rPr>
                      <w:rFonts w:asciiTheme="minorEastAsia" w:hAnsiTheme="minorEastAsia"/>
                      <w:sz w:val="21"/>
                      <w:szCs w:val="21"/>
                    </w:rPr>
                  </w:pPr>
                  <w:r>
                    <w:rPr>
                      <w:rFonts w:hint="eastAsia" w:asciiTheme="minorEastAsia" w:hAnsiTheme="minorEastAsia"/>
                      <w:sz w:val="21"/>
                      <w:szCs w:val="21"/>
                    </w:rPr>
                    <w:t>2023-2026英国网球公开赛</w:t>
                  </w:r>
                </w:p>
              </w:tc>
            </w:tr>
            <w:tr w14:paraId="12E59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748BC947">
                  <w:pPr>
                    <w:rPr>
                      <w:rFonts w:asciiTheme="minorEastAsia" w:hAnsiTheme="minorEastAsia"/>
                      <w:sz w:val="21"/>
                      <w:szCs w:val="21"/>
                    </w:rPr>
                  </w:pPr>
                </w:p>
              </w:tc>
              <w:tc>
                <w:tcPr>
                  <w:tcW w:w="4287" w:type="pct"/>
                  <w:vAlign w:val="center"/>
                </w:tcPr>
                <w:p w14:paraId="13157389">
                  <w:pPr>
                    <w:spacing w:before="20" w:after="20"/>
                    <w:rPr>
                      <w:rFonts w:asciiTheme="minorEastAsia" w:hAnsiTheme="minorEastAsia"/>
                      <w:sz w:val="21"/>
                      <w:szCs w:val="21"/>
                    </w:rPr>
                  </w:pPr>
                  <w:r>
                    <w:rPr>
                      <w:rFonts w:hint="eastAsia" w:asciiTheme="minorEastAsia" w:hAnsiTheme="minorEastAsia"/>
                      <w:sz w:val="21"/>
                      <w:szCs w:val="21"/>
                    </w:rPr>
                    <w:t>2026-2027年澳大利亚网球公开赛正赛及资格赛</w:t>
                  </w:r>
                </w:p>
              </w:tc>
            </w:tr>
            <w:tr w14:paraId="15BE9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57EB20F3">
                  <w:pPr>
                    <w:rPr>
                      <w:rFonts w:asciiTheme="minorEastAsia" w:hAnsiTheme="minorEastAsia"/>
                      <w:sz w:val="21"/>
                      <w:szCs w:val="21"/>
                    </w:rPr>
                  </w:pPr>
                </w:p>
              </w:tc>
              <w:tc>
                <w:tcPr>
                  <w:tcW w:w="4287" w:type="pct"/>
                  <w:vAlign w:val="center"/>
                </w:tcPr>
                <w:p w14:paraId="61E55EA9">
                  <w:pPr>
                    <w:spacing w:before="20" w:after="20"/>
                    <w:rPr>
                      <w:rFonts w:asciiTheme="minorEastAsia" w:hAnsiTheme="minorEastAsia"/>
                      <w:sz w:val="21"/>
                      <w:szCs w:val="21"/>
                    </w:rPr>
                  </w:pPr>
                  <w:r>
                    <w:rPr>
                      <w:rFonts w:hint="eastAsia" w:asciiTheme="minorEastAsia" w:hAnsiTheme="minorEastAsia"/>
                      <w:sz w:val="21"/>
                      <w:szCs w:val="21"/>
                    </w:rPr>
                    <w:t>2025-2026年WTA女子职业网球巡回赛</w:t>
                  </w:r>
                </w:p>
              </w:tc>
            </w:tr>
            <w:tr w14:paraId="0F0B5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restart"/>
                  <w:vAlign w:val="center"/>
                </w:tcPr>
                <w:p w14:paraId="18376441">
                  <w:pPr>
                    <w:spacing w:before="20" w:after="20"/>
                    <w:jc w:val="center"/>
                    <w:rPr>
                      <w:rFonts w:asciiTheme="minorEastAsia" w:hAnsiTheme="minorEastAsia"/>
                      <w:sz w:val="21"/>
                      <w:szCs w:val="21"/>
                    </w:rPr>
                  </w:pPr>
                  <w:r>
                    <w:rPr>
                      <w:rFonts w:hint="eastAsia" w:asciiTheme="minorEastAsia" w:hAnsiTheme="minorEastAsia"/>
                      <w:b/>
                      <w:sz w:val="21"/>
                      <w:szCs w:val="21"/>
                    </w:rPr>
                    <w:t>其他</w:t>
                  </w:r>
                </w:p>
              </w:tc>
              <w:tc>
                <w:tcPr>
                  <w:tcW w:w="4287" w:type="pct"/>
                  <w:vAlign w:val="center"/>
                </w:tcPr>
                <w:p w14:paraId="06D94B5D">
                  <w:pPr>
                    <w:spacing w:before="20" w:after="20"/>
                    <w:rPr>
                      <w:rFonts w:asciiTheme="minorEastAsia" w:hAnsiTheme="minorEastAsia"/>
                      <w:sz w:val="21"/>
                      <w:szCs w:val="21"/>
                    </w:rPr>
                  </w:pPr>
                  <w:r>
                    <w:rPr>
                      <w:rFonts w:hint="eastAsia" w:asciiTheme="minorEastAsia" w:hAnsiTheme="minorEastAsia"/>
                      <w:sz w:val="21"/>
                      <w:szCs w:val="21"/>
                    </w:rPr>
                    <w:t>马拉松系列赛事</w:t>
                  </w:r>
                </w:p>
              </w:tc>
            </w:tr>
            <w:tr w14:paraId="052F6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47DB47A4">
                  <w:pPr>
                    <w:rPr>
                      <w:rFonts w:asciiTheme="minorEastAsia" w:hAnsiTheme="minorEastAsia"/>
                      <w:sz w:val="21"/>
                      <w:szCs w:val="21"/>
                    </w:rPr>
                  </w:pPr>
                </w:p>
              </w:tc>
              <w:tc>
                <w:tcPr>
                  <w:tcW w:w="4287" w:type="pct"/>
                  <w:vAlign w:val="center"/>
                </w:tcPr>
                <w:p w14:paraId="57F83944">
                  <w:pPr>
                    <w:spacing w:before="20" w:after="20"/>
                    <w:rPr>
                      <w:rFonts w:asciiTheme="minorEastAsia" w:hAnsiTheme="minorEastAsia"/>
                      <w:sz w:val="21"/>
                      <w:szCs w:val="21"/>
                    </w:rPr>
                  </w:pPr>
                  <w:r>
                    <w:rPr>
                      <w:rFonts w:hint="eastAsia" w:asciiTheme="minorEastAsia" w:hAnsiTheme="minorEastAsia"/>
                      <w:sz w:val="21"/>
                      <w:szCs w:val="21"/>
                    </w:rPr>
                    <w:t>河南省女子排球城市联赛</w:t>
                  </w:r>
                </w:p>
              </w:tc>
            </w:tr>
            <w:tr w14:paraId="3FC1F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5818EC92">
                  <w:pPr>
                    <w:rPr>
                      <w:rFonts w:asciiTheme="minorEastAsia" w:hAnsiTheme="minorEastAsia"/>
                      <w:sz w:val="21"/>
                      <w:szCs w:val="21"/>
                    </w:rPr>
                  </w:pPr>
                </w:p>
              </w:tc>
              <w:tc>
                <w:tcPr>
                  <w:tcW w:w="4287" w:type="pct"/>
                  <w:vAlign w:val="center"/>
                </w:tcPr>
                <w:p w14:paraId="2CD527EF">
                  <w:pPr>
                    <w:spacing w:before="20" w:after="20"/>
                    <w:rPr>
                      <w:rFonts w:asciiTheme="minorEastAsia" w:hAnsiTheme="minorEastAsia"/>
                      <w:sz w:val="21"/>
                      <w:szCs w:val="21"/>
                    </w:rPr>
                  </w:pPr>
                  <w:r>
                    <w:rPr>
                      <w:rFonts w:hint="eastAsia" w:asciiTheme="minorEastAsia" w:hAnsiTheme="minorEastAsia"/>
                      <w:sz w:val="21"/>
                      <w:szCs w:val="21"/>
                    </w:rPr>
                    <w:t>2025-2026年BWF世界羽联赛事</w:t>
                  </w:r>
                </w:p>
              </w:tc>
            </w:tr>
            <w:tr w14:paraId="6A2A1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0752B669">
                  <w:pPr>
                    <w:rPr>
                      <w:rFonts w:asciiTheme="minorEastAsia" w:hAnsiTheme="minorEastAsia"/>
                      <w:sz w:val="21"/>
                      <w:szCs w:val="21"/>
                    </w:rPr>
                  </w:pPr>
                </w:p>
              </w:tc>
              <w:tc>
                <w:tcPr>
                  <w:tcW w:w="4287" w:type="pct"/>
                  <w:vAlign w:val="center"/>
                </w:tcPr>
                <w:p w14:paraId="41A4D75A">
                  <w:pPr>
                    <w:spacing w:before="20" w:after="20"/>
                    <w:rPr>
                      <w:rFonts w:asciiTheme="minorEastAsia" w:hAnsiTheme="minorEastAsia"/>
                      <w:sz w:val="21"/>
                      <w:szCs w:val="21"/>
                    </w:rPr>
                  </w:pPr>
                  <w:r>
                    <w:rPr>
                      <w:rFonts w:hint="eastAsia" w:asciiTheme="minorEastAsia" w:hAnsiTheme="minorEastAsia"/>
                      <w:sz w:val="21"/>
                      <w:szCs w:val="21"/>
                    </w:rPr>
                    <w:t>2025-2026中国羽毛球俱乐部超级联赛</w:t>
                  </w:r>
                </w:p>
              </w:tc>
            </w:tr>
            <w:tr w14:paraId="677F1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51079796">
                  <w:pPr>
                    <w:rPr>
                      <w:rFonts w:asciiTheme="minorEastAsia" w:hAnsiTheme="minorEastAsia"/>
                      <w:sz w:val="21"/>
                      <w:szCs w:val="21"/>
                    </w:rPr>
                  </w:pPr>
                </w:p>
              </w:tc>
              <w:tc>
                <w:tcPr>
                  <w:tcW w:w="4287" w:type="pct"/>
                  <w:vAlign w:val="center"/>
                </w:tcPr>
                <w:p w14:paraId="1EA8E894">
                  <w:pPr>
                    <w:spacing w:before="20" w:after="20"/>
                    <w:rPr>
                      <w:rFonts w:asciiTheme="minorEastAsia" w:hAnsiTheme="minorEastAsia"/>
                      <w:sz w:val="21"/>
                      <w:szCs w:val="21"/>
                    </w:rPr>
                  </w:pPr>
                  <w:r>
                    <w:rPr>
                      <w:rFonts w:hint="eastAsia" w:asciiTheme="minorEastAsia" w:hAnsiTheme="minorEastAsia"/>
                      <w:sz w:val="21"/>
                      <w:szCs w:val="21"/>
                    </w:rPr>
                    <w:t>中国匹克球系列赛事</w:t>
                  </w:r>
                </w:p>
              </w:tc>
            </w:tr>
            <w:tr w14:paraId="3504D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30E076DB">
                  <w:pPr>
                    <w:rPr>
                      <w:rFonts w:asciiTheme="minorEastAsia" w:hAnsiTheme="minorEastAsia"/>
                      <w:sz w:val="21"/>
                      <w:szCs w:val="21"/>
                    </w:rPr>
                  </w:pPr>
                </w:p>
              </w:tc>
              <w:tc>
                <w:tcPr>
                  <w:tcW w:w="4287" w:type="pct"/>
                  <w:vAlign w:val="center"/>
                </w:tcPr>
                <w:p w14:paraId="3186666F">
                  <w:pPr>
                    <w:spacing w:before="20" w:after="20"/>
                    <w:rPr>
                      <w:rFonts w:asciiTheme="minorEastAsia" w:hAnsiTheme="minorEastAsia"/>
                      <w:sz w:val="21"/>
                      <w:szCs w:val="21"/>
                    </w:rPr>
                  </w:pPr>
                  <w:r>
                    <w:rPr>
                      <w:rFonts w:hint="eastAsia" w:asciiTheme="minorEastAsia" w:hAnsiTheme="minorEastAsia"/>
                      <w:sz w:val="21"/>
                      <w:szCs w:val="21"/>
                    </w:rPr>
                    <w:t>2025-2026年CUFA中国大学生排球联赛</w:t>
                  </w:r>
                </w:p>
              </w:tc>
            </w:tr>
            <w:tr w14:paraId="69BCE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461C8D97">
                  <w:pPr>
                    <w:rPr>
                      <w:rFonts w:asciiTheme="minorEastAsia" w:hAnsiTheme="minorEastAsia"/>
                      <w:sz w:val="21"/>
                      <w:szCs w:val="21"/>
                    </w:rPr>
                  </w:pPr>
                </w:p>
              </w:tc>
              <w:tc>
                <w:tcPr>
                  <w:tcW w:w="4287" w:type="pct"/>
                  <w:vAlign w:val="center"/>
                </w:tcPr>
                <w:p w14:paraId="70B307AC">
                  <w:pPr>
                    <w:spacing w:before="20" w:after="20"/>
                    <w:rPr>
                      <w:rFonts w:asciiTheme="minorEastAsia" w:hAnsiTheme="minorEastAsia"/>
                      <w:sz w:val="21"/>
                      <w:szCs w:val="21"/>
                    </w:rPr>
                  </w:pPr>
                  <w:r>
                    <w:rPr>
                      <w:rFonts w:hint="eastAsia" w:asciiTheme="minorEastAsia" w:hAnsiTheme="minorEastAsia"/>
                      <w:sz w:val="21"/>
                      <w:szCs w:val="21"/>
                    </w:rPr>
                    <w:t>2026年全国体操锦标赛</w:t>
                  </w:r>
                </w:p>
              </w:tc>
            </w:tr>
            <w:tr w14:paraId="1ABD9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1ED85F04">
                  <w:pPr>
                    <w:rPr>
                      <w:rFonts w:asciiTheme="minorEastAsia" w:hAnsiTheme="minorEastAsia"/>
                      <w:sz w:val="21"/>
                      <w:szCs w:val="21"/>
                    </w:rPr>
                  </w:pPr>
                </w:p>
              </w:tc>
              <w:tc>
                <w:tcPr>
                  <w:tcW w:w="4287" w:type="pct"/>
                  <w:vAlign w:val="center"/>
                </w:tcPr>
                <w:p w14:paraId="7DA0013E">
                  <w:pPr>
                    <w:spacing w:before="20" w:after="20"/>
                    <w:rPr>
                      <w:rFonts w:asciiTheme="minorEastAsia" w:hAnsiTheme="minorEastAsia"/>
                      <w:sz w:val="21"/>
                      <w:szCs w:val="21"/>
                    </w:rPr>
                  </w:pPr>
                  <w:r>
                    <w:rPr>
                      <w:rFonts w:hint="eastAsia" w:asciiTheme="minorEastAsia" w:hAnsiTheme="minorEastAsia"/>
                      <w:sz w:val="21"/>
                      <w:szCs w:val="21"/>
                    </w:rPr>
                    <w:t>春兰杯世界职业围棋锦标赛</w:t>
                  </w:r>
                </w:p>
              </w:tc>
            </w:tr>
            <w:tr w14:paraId="1AABB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restart"/>
                  <w:vAlign w:val="center"/>
                </w:tcPr>
                <w:p w14:paraId="6BFDB692">
                  <w:pPr>
                    <w:spacing w:before="20" w:after="20"/>
                    <w:jc w:val="center"/>
                    <w:rPr>
                      <w:rFonts w:asciiTheme="minorEastAsia" w:hAnsiTheme="minorEastAsia"/>
                      <w:sz w:val="21"/>
                      <w:szCs w:val="21"/>
                    </w:rPr>
                  </w:pPr>
                  <w:r>
                    <w:rPr>
                      <w:rFonts w:hint="eastAsia" w:asciiTheme="minorEastAsia" w:hAnsiTheme="minorEastAsia"/>
                      <w:b/>
                      <w:sz w:val="21"/>
                      <w:szCs w:val="21"/>
                    </w:rPr>
                    <w:t>大型</w:t>
                  </w:r>
                </w:p>
              </w:tc>
              <w:tc>
                <w:tcPr>
                  <w:tcW w:w="4287" w:type="pct"/>
                  <w:vAlign w:val="center"/>
                </w:tcPr>
                <w:p w14:paraId="2FF32750">
                  <w:pPr>
                    <w:spacing w:before="20" w:after="20"/>
                    <w:rPr>
                      <w:rFonts w:asciiTheme="minorEastAsia" w:hAnsiTheme="minorEastAsia"/>
                      <w:sz w:val="21"/>
                      <w:szCs w:val="21"/>
                    </w:rPr>
                  </w:pPr>
                  <w:r>
                    <w:rPr>
                      <w:rFonts w:hint="eastAsia" w:asciiTheme="minorEastAsia" w:hAnsiTheme="minorEastAsia"/>
                      <w:sz w:val="21"/>
                      <w:szCs w:val="21"/>
                    </w:rPr>
                    <w:t>2026年米兰冬奥会</w:t>
                  </w:r>
                </w:p>
              </w:tc>
            </w:tr>
            <w:tr w14:paraId="55C07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1B143A04">
                  <w:pPr>
                    <w:rPr>
                      <w:rFonts w:asciiTheme="minorEastAsia" w:hAnsiTheme="minorEastAsia"/>
                      <w:sz w:val="21"/>
                      <w:szCs w:val="21"/>
                    </w:rPr>
                  </w:pPr>
                </w:p>
              </w:tc>
              <w:tc>
                <w:tcPr>
                  <w:tcW w:w="4287" w:type="pct"/>
                  <w:vAlign w:val="center"/>
                </w:tcPr>
                <w:p w14:paraId="5B3C76CE">
                  <w:pPr>
                    <w:spacing w:before="20" w:after="20"/>
                    <w:rPr>
                      <w:rFonts w:asciiTheme="minorEastAsia" w:hAnsiTheme="minorEastAsia"/>
                      <w:sz w:val="21"/>
                      <w:szCs w:val="21"/>
                    </w:rPr>
                  </w:pPr>
                  <w:r>
                    <w:rPr>
                      <w:rFonts w:hint="eastAsia" w:asciiTheme="minorEastAsia" w:hAnsiTheme="minorEastAsia"/>
                      <w:sz w:val="21"/>
                      <w:szCs w:val="21"/>
                    </w:rPr>
                    <w:t>2026年美加墨世界杯</w:t>
                  </w:r>
                </w:p>
              </w:tc>
            </w:tr>
          </w:tbl>
          <w:p w14:paraId="27DEEED8">
            <w:pPr>
              <w:spacing w:after="180" w:line="360" w:lineRule="auto"/>
              <w:rPr>
                <w:rFonts w:asciiTheme="minorEastAsia" w:hAnsiTheme="minorEastAsia"/>
                <w:sz w:val="24"/>
              </w:rPr>
            </w:pPr>
          </w:p>
          <w:p w14:paraId="6034C16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p>
        </w:tc>
        <w:tc>
          <w:tcPr>
            <w:tcW w:w="813" w:type="pct"/>
            <w:vAlign w:val="center"/>
          </w:tcPr>
          <w:p w14:paraId="729598A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0E442E09">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bl>
    <w:p w14:paraId="6C1B403B">
      <w:pPr>
        <w:spacing w:after="209" w:afterLines="67"/>
        <w:rPr>
          <w:rFonts w:asciiTheme="minorEastAsia" w:hAnsiTheme="minorEastAsia" w:cstheme="minorEastAsia"/>
          <w:sz w:val="24"/>
          <w:szCs w:val="24"/>
        </w:rPr>
      </w:pPr>
    </w:p>
    <w:p w14:paraId="53A8D862">
      <w:pPr>
        <w:spacing w:after="209" w:afterLines="67"/>
        <w:rPr>
          <w:rFonts w:asciiTheme="minorEastAsia" w:hAnsiTheme="minorEastAsia" w:cstheme="minorEastAsia"/>
          <w:b/>
          <w:bCs/>
          <w:sz w:val="24"/>
          <w:szCs w:val="24"/>
        </w:rPr>
      </w:pPr>
      <w:r>
        <w:rPr>
          <w:rFonts w:hint="eastAsia" w:asciiTheme="minorEastAsia" w:hAnsiTheme="minorEastAsia" w:cstheme="minorEastAsia"/>
          <w:b/>
          <w:bCs/>
          <w:sz w:val="24"/>
          <w:szCs w:val="24"/>
          <w:lang w:val="en-US" w:eastAsia="zh-CN"/>
        </w:rPr>
        <w:t>三</w:t>
      </w:r>
      <w:r>
        <w:rPr>
          <w:rFonts w:hint="eastAsia" w:asciiTheme="minorEastAsia" w:hAnsiTheme="minorEastAsia" w:cstheme="minorEastAsia"/>
          <w:b/>
          <w:bCs/>
          <w:sz w:val="24"/>
          <w:szCs w:val="24"/>
        </w:rPr>
        <w:t>、</w:t>
      </w:r>
      <w:r>
        <w:rPr>
          <w:rFonts w:hint="eastAsia" w:asciiTheme="minorEastAsia" w:hAnsiTheme="minorEastAsia" w:cstheme="minorEastAsia"/>
          <w:b/>
          <w:bCs/>
          <w:sz w:val="24"/>
          <w:szCs w:val="24"/>
          <w:lang w:val="en-US" w:eastAsia="zh-CN"/>
        </w:rPr>
        <w:t>授权文件资料</w:t>
      </w:r>
      <w:r>
        <w:rPr>
          <w:rFonts w:hint="eastAsia" w:asciiTheme="minorEastAsia" w:hAnsiTheme="minorEastAsia" w:cstheme="minorEastAsia"/>
          <w:b/>
          <w:bCs/>
          <w:sz w:val="24"/>
          <w:szCs w:val="24"/>
        </w:rPr>
        <w:t>（加盖公章）</w:t>
      </w:r>
    </w:p>
    <w:p w14:paraId="1AA6104B">
      <w:pPr>
        <w:spacing w:after="209" w:afterLines="67"/>
        <w:rPr>
          <w:rFonts w:asciiTheme="minorEastAsia" w:hAnsiTheme="minorEastAsia" w:cstheme="minorEastAsia"/>
          <w:sz w:val="24"/>
          <w:szCs w:val="24"/>
        </w:rPr>
      </w:pPr>
      <w:r>
        <w:rPr>
          <w:rFonts w:hint="eastAsia" w:ascii="宋体" w:hAnsi="宋体" w:eastAsia="宋体" w:cs="宋体"/>
          <w:b/>
          <w:bCs/>
          <w:sz w:val="24"/>
          <w:lang w:eastAsia="zh-CN"/>
        </w:rPr>
        <w:t>★</w:t>
      </w:r>
      <w:r>
        <w:rPr>
          <w:rFonts w:hint="eastAsia" w:ascii="宋体" w:hAnsi="宋体" w:eastAsia="宋体" w:cs="宋体"/>
          <w:b/>
          <w:bCs/>
          <w:sz w:val="21"/>
          <w:szCs w:val="21"/>
          <w:lang w:eastAsia="zh-CN"/>
        </w:rPr>
        <w:t>供应商须具备附件一《赛事列表》所列全部赛事对应的在广东IPTV移动平台的合法版权使用资质，有权在本次招标产品上对接、上线上述赛事相关内容。本次招标采购标的为体育赛事产品，采购范围不含赛事版权及赛事音视频内容；本次体育赛事产品须为适配上述赛事版权体系的专用产品，产品能力须覆盖附件一《赛事列表》所列版权赛事并全面支持联赛、杯赛、综合赛事等多种比赛类型的数据展示，产品能支持由采购人和广东移动引入的国家或广东省专项赛事的展示</w:t>
      </w:r>
      <w:bookmarkStart w:id="3" w:name="_GoBack"/>
      <w:bookmarkEnd w:id="3"/>
      <w:r>
        <w:rPr>
          <w:rFonts w:hint="eastAsia" w:ascii="宋体" w:hAnsi="宋体" w:eastAsia="宋体" w:cs="宋体"/>
          <w:b/>
          <w:bCs/>
          <w:sz w:val="21"/>
          <w:szCs w:val="21"/>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9354303"/>
    </w:sdtPr>
    <w:sdtEndPr>
      <w:rPr>
        <w:rFonts w:asciiTheme="minorEastAsia" w:hAnsiTheme="minorEastAsia"/>
        <w:sz w:val="24"/>
        <w:szCs w:val="24"/>
      </w:rPr>
    </w:sdtEndPr>
    <w:sdtContent>
      <w:p w14:paraId="06A2B8FC">
        <w:pPr>
          <w:pStyle w:val="9"/>
          <w:jc w:val="center"/>
          <w:rPr>
            <w:rFonts w:asciiTheme="minorEastAsia" w:hAnsiTheme="minorEastAsia"/>
            <w:sz w:val="24"/>
            <w:szCs w:val="24"/>
          </w:rPr>
        </w:pPr>
        <w:r>
          <w:rPr>
            <w:rFonts w:asciiTheme="minorEastAsia" w:hAnsiTheme="minorEastAsia"/>
            <w:sz w:val="24"/>
            <w:szCs w:val="24"/>
          </w:rPr>
          <w:fldChar w:fldCharType="begin"/>
        </w:r>
        <w:r>
          <w:rPr>
            <w:rFonts w:asciiTheme="minorEastAsia" w:hAnsiTheme="minorEastAsia"/>
            <w:sz w:val="24"/>
            <w:szCs w:val="24"/>
          </w:rPr>
          <w:instrText xml:space="preserve">PAGE   \* MERGEFORMAT</w:instrText>
        </w:r>
        <w:r>
          <w:rPr>
            <w:rFonts w:asciiTheme="minorEastAsia" w:hAnsiTheme="minorEastAsia"/>
            <w:sz w:val="24"/>
            <w:szCs w:val="24"/>
          </w:rPr>
          <w:fldChar w:fldCharType="separate"/>
        </w:r>
        <w:r>
          <w:rPr>
            <w:rFonts w:asciiTheme="minorEastAsia" w:hAnsiTheme="minorEastAsia"/>
            <w:sz w:val="24"/>
            <w:szCs w:val="24"/>
            <w:lang w:val="zh-CN"/>
          </w:rPr>
          <w:t>2</w:t>
        </w:r>
        <w:r>
          <w:rPr>
            <w:rFonts w:asciiTheme="minorEastAsia" w:hAnsiTheme="minorEastAsia"/>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7E4C18"/>
    <w:multiLevelType w:val="singleLevel"/>
    <w:tmpl w:val="9A7E4C18"/>
    <w:lvl w:ilvl="0" w:tentative="0">
      <w:start w:val="1"/>
      <w:numFmt w:val="decimal"/>
      <w:lvlText w:val="%1."/>
      <w:lvlJc w:val="left"/>
      <w:pPr>
        <w:ind w:left="425" w:hanging="425"/>
      </w:pPr>
      <w:rPr>
        <w:rFonts w:hint="default"/>
      </w:rPr>
    </w:lvl>
  </w:abstractNum>
  <w:abstractNum w:abstractNumId="1">
    <w:nsid w:val="26007FCA"/>
    <w:multiLevelType w:val="multilevel"/>
    <w:tmpl w:val="26007FCA"/>
    <w:lvl w:ilvl="0" w:tentative="0">
      <w:start w:val="1"/>
      <w:numFmt w:val="chineseCountingThousand"/>
      <w:pStyle w:val="2"/>
      <w:lvlText w:val="%1、"/>
      <w:lvlJc w:val="left"/>
      <w:pPr>
        <w:tabs>
          <w:tab w:val="left" w:pos="432"/>
        </w:tabs>
        <w:ind w:left="432" w:hanging="432"/>
      </w:pPr>
      <w:rPr>
        <w:rFonts w:hint="eastAsia"/>
      </w:rPr>
    </w:lvl>
    <w:lvl w:ilvl="1" w:tentative="0">
      <w:start w:val="1"/>
      <w:numFmt w:val="decimal"/>
      <w:lvlText w:val="3.%2"/>
      <w:lvlJc w:val="left"/>
      <w:pPr>
        <w:tabs>
          <w:tab w:val="left" w:pos="576"/>
        </w:tabs>
        <w:ind w:left="576" w:hanging="576"/>
      </w:pPr>
      <w:rPr>
        <w:rFonts w:hint="eastAsia"/>
      </w:rPr>
    </w:lvl>
    <w:lvl w:ilvl="2" w:tentative="0">
      <w:start w:val="1"/>
      <w:numFmt w:val="decimal"/>
      <w:lvlText w:val="3.5.%3 "/>
      <w:lvlJc w:val="left"/>
      <w:pPr>
        <w:tabs>
          <w:tab w:val="left" w:pos="720"/>
        </w:tabs>
        <w:ind w:left="720" w:hanging="720"/>
      </w:pPr>
      <w:rPr>
        <w:rFonts w:hint="eastAsia"/>
      </w:rPr>
    </w:lvl>
    <w:lvl w:ilvl="3" w:tentative="0">
      <w:start w:val="1"/>
      <w:numFmt w:val="decimal"/>
      <w:lvlText w:val="3.5.1.%4 "/>
      <w:lvlJc w:val="left"/>
      <w:pPr>
        <w:tabs>
          <w:tab w:val="left" w:pos="1440"/>
        </w:tabs>
        <w:ind w:left="1000" w:hanging="1000"/>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2BEE12A5"/>
    <w:multiLevelType w:val="multilevel"/>
    <w:tmpl w:val="2BEE12A5"/>
    <w:lvl w:ilvl="0" w:tentative="0">
      <w:start w:val="1"/>
      <w:numFmt w:val="japaneseCounting"/>
      <w:lvlText w:val="%1、"/>
      <w:lvlJc w:val="left"/>
      <w:pPr>
        <w:ind w:left="495" w:hanging="49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dkNmU4ZTA0YjI0Zjg3NjA5OWQ4ZDUyMWVkYjZkNzIifQ=="/>
  </w:docVars>
  <w:rsids>
    <w:rsidRoot w:val="509C3417"/>
    <w:rsid w:val="000912E9"/>
    <w:rsid w:val="001B31A9"/>
    <w:rsid w:val="005E15D2"/>
    <w:rsid w:val="00687B51"/>
    <w:rsid w:val="006E3F95"/>
    <w:rsid w:val="00706D87"/>
    <w:rsid w:val="007F4EBD"/>
    <w:rsid w:val="00943FEC"/>
    <w:rsid w:val="00B419DF"/>
    <w:rsid w:val="00B71228"/>
    <w:rsid w:val="00B73413"/>
    <w:rsid w:val="00C106C7"/>
    <w:rsid w:val="00CB7498"/>
    <w:rsid w:val="00DF1D82"/>
    <w:rsid w:val="00EC18DF"/>
    <w:rsid w:val="01544C76"/>
    <w:rsid w:val="019B1834"/>
    <w:rsid w:val="02AE1145"/>
    <w:rsid w:val="036C34DA"/>
    <w:rsid w:val="03A4265D"/>
    <w:rsid w:val="04B35139"/>
    <w:rsid w:val="050A1AB6"/>
    <w:rsid w:val="069521F9"/>
    <w:rsid w:val="0730481F"/>
    <w:rsid w:val="078D3A1F"/>
    <w:rsid w:val="08601134"/>
    <w:rsid w:val="0AC97464"/>
    <w:rsid w:val="0B3E3F0C"/>
    <w:rsid w:val="0BBA6DAD"/>
    <w:rsid w:val="0BF20AD4"/>
    <w:rsid w:val="0CEA556C"/>
    <w:rsid w:val="107D6AF4"/>
    <w:rsid w:val="10CE4387"/>
    <w:rsid w:val="11A150AB"/>
    <w:rsid w:val="11EA0E33"/>
    <w:rsid w:val="123956DC"/>
    <w:rsid w:val="13C857F6"/>
    <w:rsid w:val="14B35F82"/>
    <w:rsid w:val="18491716"/>
    <w:rsid w:val="19E94D33"/>
    <w:rsid w:val="1A03020C"/>
    <w:rsid w:val="1AD47E27"/>
    <w:rsid w:val="1CCE3EDB"/>
    <w:rsid w:val="1EF65EF6"/>
    <w:rsid w:val="21FD7606"/>
    <w:rsid w:val="220420C6"/>
    <w:rsid w:val="232D7046"/>
    <w:rsid w:val="258B383C"/>
    <w:rsid w:val="25B33FCA"/>
    <w:rsid w:val="25EE55BB"/>
    <w:rsid w:val="262730A1"/>
    <w:rsid w:val="27C63FD7"/>
    <w:rsid w:val="280A3BE6"/>
    <w:rsid w:val="2A050591"/>
    <w:rsid w:val="2BA43D81"/>
    <w:rsid w:val="2E2B5035"/>
    <w:rsid w:val="2E9322F5"/>
    <w:rsid w:val="30E12562"/>
    <w:rsid w:val="31EA74FC"/>
    <w:rsid w:val="324A4137"/>
    <w:rsid w:val="343706EB"/>
    <w:rsid w:val="35750372"/>
    <w:rsid w:val="35F745D6"/>
    <w:rsid w:val="360712B0"/>
    <w:rsid w:val="38B40117"/>
    <w:rsid w:val="3B52171B"/>
    <w:rsid w:val="3CAB670C"/>
    <w:rsid w:val="3FD057F7"/>
    <w:rsid w:val="402B55A8"/>
    <w:rsid w:val="426A1DB3"/>
    <w:rsid w:val="450F36EA"/>
    <w:rsid w:val="457B3E68"/>
    <w:rsid w:val="45F750AA"/>
    <w:rsid w:val="46384F0C"/>
    <w:rsid w:val="476C2E05"/>
    <w:rsid w:val="4CAC5CC3"/>
    <w:rsid w:val="4EAB089F"/>
    <w:rsid w:val="4EE243ED"/>
    <w:rsid w:val="50792C6A"/>
    <w:rsid w:val="509C3417"/>
    <w:rsid w:val="51E87E4E"/>
    <w:rsid w:val="52EE0219"/>
    <w:rsid w:val="5A4B1C58"/>
    <w:rsid w:val="5EC75FCE"/>
    <w:rsid w:val="5F660EF9"/>
    <w:rsid w:val="61FEF1DB"/>
    <w:rsid w:val="62F010AB"/>
    <w:rsid w:val="630B0E65"/>
    <w:rsid w:val="63C27722"/>
    <w:rsid w:val="640B3432"/>
    <w:rsid w:val="671609C5"/>
    <w:rsid w:val="68E83A44"/>
    <w:rsid w:val="69F66F24"/>
    <w:rsid w:val="6B590552"/>
    <w:rsid w:val="6C115677"/>
    <w:rsid w:val="6CA53D7D"/>
    <w:rsid w:val="6CEC4715"/>
    <w:rsid w:val="6D185599"/>
    <w:rsid w:val="715156A2"/>
    <w:rsid w:val="76343069"/>
    <w:rsid w:val="76D94382"/>
    <w:rsid w:val="779605E4"/>
    <w:rsid w:val="77BB3365"/>
    <w:rsid w:val="7AAF67FA"/>
    <w:rsid w:val="7CB00608"/>
    <w:rsid w:val="7E6064F7"/>
    <w:rsid w:val="F7FFB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pageBreakBefore/>
      <w:numPr>
        <w:ilvl w:val="0"/>
        <w:numId w:val="1"/>
      </w:numPr>
      <w:spacing w:before="340" w:afterLines="50" w:line="578" w:lineRule="auto"/>
      <w:outlineLvl w:val="0"/>
    </w:pPr>
    <w:rPr>
      <w:rFonts w:eastAsia="黑体" w:cs="Times New Roman"/>
      <w:b/>
      <w:bCs/>
      <w:spacing w:val="20"/>
      <w:kern w:val="44"/>
      <w:sz w:val="36"/>
      <w:szCs w:val="44"/>
    </w:rPr>
  </w:style>
  <w:style w:type="paragraph" w:styleId="3">
    <w:name w:val="heading 2"/>
    <w:basedOn w:val="1"/>
    <w:next w:val="1"/>
    <w:unhideWhenUsed/>
    <w:qFormat/>
    <w:uiPriority w:val="9"/>
    <w:pPr>
      <w:keepNext/>
      <w:keepLines/>
      <w:spacing w:before="160" w:after="80"/>
      <w:outlineLvl w:val="1"/>
    </w:pPr>
    <w:rPr>
      <w:rFonts w:asciiTheme="majorHAnsi" w:hAnsiTheme="majorHAnsi" w:eastAsiaTheme="majorEastAsia" w:cstheme="majorBidi"/>
      <w:color w:val="2E75B6" w:themeColor="accent1" w:themeShade="BF"/>
      <w:sz w:val="32"/>
      <w:szCs w:val="32"/>
    </w:rPr>
  </w:style>
  <w:style w:type="paragraph" w:styleId="4">
    <w:name w:val="heading 3"/>
    <w:basedOn w:val="1"/>
    <w:next w:val="1"/>
    <w:unhideWhenUsed/>
    <w:qFormat/>
    <w:uiPriority w:val="9"/>
    <w:pPr>
      <w:keepNext/>
      <w:keepLines/>
      <w:spacing w:before="160" w:after="80"/>
      <w:outlineLvl w:val="2"/>
    </w:pPr>
    <w:rPr>
      <w:rFonts w:eastAsiaTheme="majorEastAsia" w:cstheme="majorBidi"/>
      <w:color w:val="2E75B6" w:themeColor="accent1" w:themeShade="BF"/>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spacing w:afterLines="50" w:line="360" w:lineRule="auto"/>
      <w:ind w:firstLine="420" w:firstLineChars="200"/>
    </w:pPr>
    <w:rPr>
      <w:rFonts w:ascii="Times New Roman" w:hAnsi="Times New Roman" w:eastAsia="宋体" w:cs="Times New Roman"/>
      <w:szCs w:val="24"/>
    </w:rPr>
  </w:style>
  <w:style w:type="paragraph" w:styleId="6">
    <w:name w:val="annotation text"/>
    <w:basedOn w:val="1"/>
    <w:semiHidden/>
    <w:qFormat/>
    <w:uiPriority w:val="0"/>
    <w:pPr>
      <w:jc w:val="left"/>
    </w:pPr>
  </w:style>
  <w:style w:type="paragraph" w:styleId="7">
    <w:name w:val="Body Text"/>
    <w:basedOn w:val="1"/>
    <w:qFormat/>
    <w:uiPriority w:val="99"/>
    <w:pPr>
      <w:spacing w:after="120"/>
    </w:pPr>
  </w:style>
  <w:style w:type="paragraph" w:styleId="8">
    <w:name w:val="Balloon Text"/>
    <w:basedOn w:val="1"/>
    <w:link w:val="19"/>
    <w:qFormat/>
    <w:uiPriority w:val="0"/>
    <w:rPr>
      <w:sz w:val="18"/>
      <w:szCs w:val="18"/>
    </w:rPr>
  </w:style>
  <w:style w:type="paragraph" w:styleId="9">
    <w:name w:val="footer"/>
    <w:basedOn w:val="1"/>
    <w:link w:val="18"/>
    <w:qFormat/>
    <w:uiPriority w:val="99"/>
    <w:pPr>
      <w:tabs>
        <w:tab w:val="center" w:pos="4153"/>
        <w:tab w:val="right" w:pos="8306"/>
      </w:tabs>
      <w:snapToGrid w:val="0"/>
      <w:jc w:val="left"/>
    </w:pPr>
    <w:rPr>
      <w:sz w:val="18"/>
      <w:szCs w:val="18"/>
    </w:rPr>
  </w:style>
  <w:style w:type="paragraph" w:styleId="10">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index 1"/>
    <w:basedOn w:val="1"/>
    <w:next w:val="1"/>
    <w:unhideWhenUsed/>
    <w:qFormat/>
    <w:uiPriority w:val="99"/>
    <w:pPr>
      <w:spacing w:line="200" w:lineRule="atLeast"/>
      <w:jc w:val="center"/>
    </w:pPr>
    <w:rPr>
      <w:rFonts w:ascii="宋体" w:hAnsi="宋体"/>
    </w:rPr>
  </w:style>
  <w:style w:type="paragraph" w:styleId="13">
    <w:name w:val="Body Text First Indent"/>
    <w:basedOn w:val="7"/>
    <w:qFormat/>
    <w:uiPriority w:val="0"/>
    <w:pPr>
      <w:ind w:firstLine="420" w:firstLineChars="100"/>
    </w:pPr>
    <w:rPr>
      <w:szCs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页眉 Char"/>
    <w:basedOn w:val="16"/>
    <w:link w:val="10"/>
    <w:qFormat/>
    <w:uiPriority w:val="0"/>
    <w:rPr>
      <w:kern w:val="2"/>
      <w:sz w:val="18"/>
      <w:szCs w:val="18"/>
    </w:rPr>
  </w:style>
  <w:style w:type="character" w:customStyle="1" w:styleId="18">
    <w:name w:val="页脚 Char"/>
    <w:basedOn w:val="16"/>
    <w:link w:val="9"/>
    <w:qFormat/>
    <w:uiPriority w:val="99"/>
    <w:rPr>
      <w:kern w:val="2"/>
      <w:sz w:val="18"/>
      <w:szCs w:val="18"/>
    </w:rPr>
  </w:style>
  <w:style w:type="character" w:customStyle="1" w:styleId="19">
    <w:name w:val="批注框文本 Char"/>
    <w:basedOn w:val="16"/>
    <w:link w:val="8"/>
    <w:qFormat/>
    <w:uiPriority w:val="0"/>
    <w:rPr>
      <w:kern w:val="2"/>
      <w:sz w:val="18"/>
      <w:szCs w:val="18"/>
    </w:rPr>
  </w:style>
  <w:style w:type="character" w:customStyle="1" w:styleId="20">
    <w:name w:val="font31"/>
    <w:qFormat/>
    <w:uiPriority w:val="0"/>
    <w:rPr>
      <w:rFonts w:hint="eastAsia" w:ascii="宋体" w:hAnsi="宋体" w:eastAsia="宋体" w:cs="宋体"/>
      <w:color w:val="000000"/>
      <w:sz w:val="20"/>
      <w:szCs w:val="20"/>
      <w:u w:val="none"/>
    </w:rPr>
  </w:style>
  <w:style w:type="character" w:customStyle="1" w:styleId="21">
    <w:name w:val="font01"/>
    <w:qFormat/>
    <w:uiPriority w:val="0"/>
    <w:rPr>
      <w:rFonts w:hint="default" w:ascii="Arial" w:hAnsi="Arial" w:cs="Arial"/>
      <w:color w:val="000000"/>
      <w:sz w:val="20"/>
      <w:szCs w:val="20"/>
      <w:u w:val="none"/>
    </w:rPr>
  </w:style>
  <w:style w:type="paragraph" w:customStyle="1" w:styleId="22">
    <w:name w:val="Table Text"/>
    <w:basedOn w:val="1"/>
    <w:semiHidden/>
    <w:qFormat/>
    <w:uiPriority w:val="0"/>
    <w:rPr>
      <w:rFonts w:ascii="宋体" w:hAnsi="宋体" w:eastAsia="宋体" w:cs="宋体"/>
      <w:sz w:val="20"/>
      <w:szCs w:val="20"/>
      <w:lang w:eastAsia="en-US"/>
    </w:rPr>
  </w:style>
  <w:style w:type="table" w:customStyle="1" w:styleId="23">
    <w:name w:val="Table Normal"/>
    <w:semiHidden/>
    <w:unhideWhenUsed/>
    <w:qFormat/>
    <w:uiPriority w:val="0"/>
    <w:tblPr>
      <w:tblCellMar>
        <w:top w:w="0" w:type="dxa"/>
        <w:left w:w="0" w:type="dxa"/>
        <w:bottom w:w="0" w:type="dxa"/>
        <w:right w:w="0" w:type="dxa"/>
      </w:tblCellMar>
    </w:tblPr>
  </w:style>
  <w:style w:type="paragraph" w:styleId="24">
    <w:name w:val="List Paragraph"/>
    <w:basedOn w:val="1"/>
    <w:qFormat/>
    <w:uiPriority w:val="99"/>
    <w:pPr>
      <w:ind w:firstLine="420" w:firstLineChars="200"/>
    </w:pPr>
  </w:style>
  <w:style w:type="paragraph" w:customStyle="1" w:styleId="25">
    <w:name w:val="Table Paragraph"/>
    <w:basedOn w:val="1"/>
    <w:qFormat/>
    <w:uiPriority w:val="1"/>
    <w:pPr>
      <w:autoSpaceDE w:val="0"/>
      <w:autoSpaceDN w:val="0"/>
      <w:adjustRightInd w:val="0"/>
      <w:spacing w:line="360" w:lineRule="auto"/>
      <w:ind w:firstLine="200" w:firstLineChars="200"/>
    </w:pPr>
    <w:rPr>
      <w:rFonts w:ascii="宋体" w:hAnsi="Times New Roman" w:eastAsia="宋体" w:cs="宋体"/>
      <w:kern w:val="0"/>
      <w:sz w:val="24"/>
      <w:szCs w:val="24"/>
    </w:rPr>
  </w:style>
  <w:style w:type="paragraph" w:customStyle="1" w:styleId="26">
    <w:name w:val="First Paragraph"/>
    <w:basedOn w:val="7"/>
    <w:next w:val="7"/>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30</Pages>
  <Words>1115</Words>
  <Characters>1135</Characters>
  <Lines>12</Lines>
  <Paragraphs>3</Paragraphs>
  <TotalTime>1</TotalTime>
  <ScaleCrop>false</ScaleCrop>
  <LinksUpToDate>false</LinksUpToDate>
  <CharactersWithSpaces>1140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2025-05-29T07:26:00Z</dcterms:created>
  <dc:creator>ZFCG</dc:creator>
  <cp:lastModifiedBy>gc</cp:lastModifiedBy>
  <dcterms:modified xsi:type="dcterms:W3CDTF">2026-11-06T01:18:48Z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6AC327FFED434BA592769BFDA256A8DE</vt:lpwstr>
  </property>
  <property fmtid="{D5CDD505-2E9C-101B-9397-08002B2CF9AE}" pid="4" name="KSOTemplateDocerSaveRecord">
    <vt:lpwstr>eyJoZGlkIjoiOWI4OTFhYjYwMGQ4YzZhNjgxNmU0NDAzNjc3MzdhODkiLCJ1c2VySWQiOiI2MjU5ODg1NTIifQ==</vt:lpwstr>
  </property>
</Properties>
</file>