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B7C8F">
      <w:pPr>
        <w:spacing w:line="360" w:lineRule="auto"/>
        <w:jc w:val="center"/>
        <w:rPr>
          <w:rFonts w:ascii="黑体" w:hAnsi="黑体" w:eastAsia="黑体" w:cs="Times New Roman"/>
          <w:sz w:val="48"/>
          <w:szCs w:val="48"/>
        </w:rPr>
      </w:pPr>
    </w:p>
    <w:p w14:paraId="5A17E70A">
      <w:pPr>
        <w:spacing w:line="360" w:lineRule="auto"/>
        <w:jc w:val="center"/>
        <w:rPr>
          <w:rFonts w:ascii="黑体" w:hAnsi="黑体" w:eastAsia="黑体" w:cs="Times New Roman"/>
          <w:sz w:val="48"/>
          <w:szCs w:val="48"/>
        </w:rPr>
      </w:pPr>
    </w:p>
    <w:p w14:paraId="1F2C3C51">
      <w:pPr>
        <w:spacing w:line="360" w:lineRule="auto"/>
        <w:jc w:val="center"/>
        <w:rPr>
          <w:rFonts w:ascii="黑体" w:hAnsi="黑体" w:eastAsia="黑体" w:cs="Times New Roman"/>
          <w:sz w:val="48"/>
          <w:szCs w:val="48"/>
        </w:rPr>
      </w:pPr>
    </w:p>
    <w:p w14:paraId="37197D4D">
      <w:pPr>
        <w:spacing w:line="360" w:lineRule="auto"/>
        <w:jc w:val="center"/>
        <w:rPr>
          <w:rFonts w:ascii="黑体" w:hAnsi="黑体" w:eastAsia="黑体" w:cs="Times New Roman"/>
          <w:sz w:val="48"/>
          <w:szCs w:val="48"/>
        </w:rPr>
      </w:pPr>
    </w:p>
    <w:p w14:paraId="2BBBBC72">
      <w:pPr>
        <w:widowControl/>
        <w:spacing w:line="360" w:lineRule="auto"/>
        <w:jc w:val="center"/>
        <w:rPr>
          <w:rFonts w:ascii="黑体" w:hAnsi="黑体" w:eastAsia="黑体" w:cs="Times New Roman"/>
          <w:sz w:val="48"/>
          <w:szCs w:val="48"/>
        </w:rPr>
      </w:pPr>
      <w:r>
        <w:rPr>
          <w:rFonts w:hint="eastAsia" w:ascii="黑体" w:hAnsi="黑体" w:eastAsia="黑体" w:cs="Times New Roman"/>
          <w:sz w:val="48"/>
          <w:szCs w:val="48"/>
        </w:rPr>
        <w:t>广东IPTV移动平台体育产品</w:t>
      </w:r>
    </w:p>
    <w:p w14:paraId="060AFCA1">
      <w:pPr>
        <w:widowControl/>
        <w:spacing w:line="360" w:lineRule="auto"/>
        <w:jc w:val="center"/>
        <w:rPr>
          <w:rFonts w:ascii="黑体" w:hAnsi="黑体" w:eastAsia="黑体" w:cs="Times New Roman"/>
          <w:sz w:val="48"/>
          <w:szCs w:val="48"/>
        </w:rPr>
      </w:pPr>
      <w:r>
        <w:rPr>
          <w:rFonts w:hint="eastAsia" w:ascii="黑体" w:hAnsi="黑体" w:eastAsia="黑体" w:cs="Times New Roman"/>
          <w:sz w:val="48"/>
          <w:szCs w:val="48"/>
        </w:rPr>
        <w:t>合作项目采购需求</w:t>
      </w:r>
    </w:p>
    <w:p w14:paraId="744D921D">
      <w:pPr>
        <w:widowControl/>
        <w:spacing w:line="360" w:lineRule="auto"/>
        <w:jc w:val="center"/>
        <w:rPr>
          <w:rFonts w:ascii="黑体" w:hAnsi="黑体" w:eastAsia="黑体" w:cs="Times New Roman"/>
          <w:sz w:val="48"/>
          <w:szCs w:val="48"/>
        </w:rPr>
      </w:pPr>
    </w:p>
    <w:p w14:paraId="7C3E2F43">
      <w:pPr>
        <w:rPr>
          <w:rFonts w:ascii="黑体" w:hAnsi="黑体" w:eastAsia="黑体" w:cs="Times New Roman"/>
          <w:sz w:val="48"/>
          <w:szCs w:val="48"/>
        </w:rPr>
      </w:pPr>
      <w:r>
        <w:rPr>
          <w:rFonts w:ascii="黑体" w:hAnsi="黑体" w:eastAsia="黑体" w:cs="Times New Roman"/>
          <w:sz w:val="48"/>
          <w:szCs w:val="48"/>
        </w:rPr>
        <w:br w:type="page"/>
      </w:r>
    </w:p>
    <w:sdt>
      <w:sdtPr>
        <w:rPr>
          <w:rFonts w:ascii="宋体" w:hAnsi="宋体" w:eastAsia="宋体"/>
          <w:sz w:val="21"/>
        </w:rPr>
        <w:id w:val="147476858"/>
        <w:docPartObj>
          <w:docPartGallery w:val="Table of Contents"/>
          <w:docPartUnique/>
        </w:docPartObj>
      </w:sdtPr>
      <w:sdtEndPr>
        <w:rPr>
          <w:rFonts w:hint="eastAsia" w:ascii="黑体" w:hAnsi="黑体" w:eastAsia="黑体" w:cs="黑体"/>
          <w:sz w:val="24"/>
        </w:rPr>
      </w:sdtEndPr>
      <w:sdtContent>
        <w:p w14:paraId="269263E8">
          <w:pPr>
            <w:spacing w:line="360" w:lineRule="auto"/>
            <w:jc w:val="center"/>
            <w:rPr>
              <w:rFonts w:ascii="黑体" w:hAnsi="黑体" w:eastAsia="黑体" w:cs="黑体"/>
              <w:szCs w:val="28"/>
            </w:rPr>
          </w:pPr>
          <w:r>
            <w:rPr>
              <w:rFonts w:hint="eastAsia" w:ascii="黑体" w:hAnsi="黑体" w:eastAsia="黑体" w:cs="黑体"/>
              <w:szCs w:val="28"/>
            </w:rPr>
            <w:t>目     录</w:t>
          </w:r>
        </w:p>
        <w:p w14:paraId="5C76C654">
          <w:pPr>
            <w:pStyle w:val="18"/>
            <w:tabs>
              <w:tab w:val="left" w:pos="630"/>
              <w:tab w:val="right" w:leader="dot" w:pos="8296"/>
            </w:tabs>
            <w:rPr>
              <w:sz w:val="21"/>
              <w:szCs w:val="22"/>
            </w:rPr>
          </w:pPr>
          <w:r>
            <w:rPr>
              <w:rFonts w:hint="eastAsia" w:ascii="黑体" w:hAnsi="黑体" w:eastAsia="黑体" w:cs="黑体"/>
              <w:sz w:val="24"/>
            </w:rPr>
            <w:fldChar w:fldCharType="begin"/>
          </w:r>
          <w:r>
            <w:rPr>
              <w:rFonts w:hint="eastAsia" w:ascii="黑体" w:hAnsi="黑体" w:eastAsia="黑体" w:cs="黑体"/>
              <w:sz w:val="24"/>
            </w:rPr>
            <w:instrText xml:space="preserve">TOC \o "1-3" \h \u </w:instrText>
          </w:r>
          <w:r>
            <w:rPr>
              <w:rFonts w:hint="eastAsia" w:ascii="黑体" w:hAnsi="黑体" w:eastAsia="黑体" w:cs="黑体"/>
              <w:sz w:val="24"/>
            </w:rPr>
            <w:fldChar w:fldCharType="separate"/>
          </w:r>
          <w:r>
            <w:fldChar w:fldCharType="begin"/>
          </w:r>
          <w:r>
            <w:instrText xml:space="preserve"> HYPERLINK \l "_Toc244679175" </w:instrText>
          </w:r>
          <w:r>
            <w:fldChar w:fldCharType="separate"/>
          </w:r>
          <w:r>
            <w:rPr>
              <w:rStyle w:val="28"/>
              <w:rFonts w:ascii="黑体" w:hAnsi="黑体" w:eastAsia="黑体" w:cs="黑体"/>
            </w:rPr>
            <w:t>1.</w:t>
          </w:r>
          <w:r>
            <w:rPr>
              <w:sz w:val="21"/>
              <w:szCs w:val="22"/>
            </w:rPr>
            <w:tab/>
          </w:r>
          <w:r>
            <w:rPr>
              <w:rStyle w:val="28"/>
              <w:rFonts w:hint="eastAsia" w:ascii="黑体" w:hAnsi="黑体" w:eastAsia="黑体" w:cs="黑体"/>
            </w:rPr>
            <w:t>项目概述</w:t>
          </w:r>
          <w:r>
            <w:tab/>
          </w:r>
          <w:r>
            <w:fldChar w:fldCharType="begin"/>
          </w:r>
          <w:r>
            <w:instrText xml:space="preserve"> PAGEREF _Toc244679175 \h </w:instrText>
          </w:r>
          <w:r>
            <w:fldChar w:fldCharType="separate"/>
          </w:r>
          <w:r>
            <w:t>5</w:t>
          </w:r>
          <w:r>
            <w:fldChar w:fldCharType="end"/>
          </w:r>
          <w:r>
            <w:fldChar w:fldCharType="end"/>
          </w:r>
        </w:p>
        <w:p w14:paraId="2728E52E">
          <w:pPr>
            <w:pStyle w:val="19"/>
            <w:tabs>
              <w:tab w:val="left" w:pos="1260"/>
              <w:tab w:val="right" w:leader="dot" w:pos="8296"/>
            </w:tabs>
            <w:ind w:left="560"/>
            <w:rPr>
              <w:sz w:val="21"/>
              <w:szCs w:val="22"/>
            </w:rPr>
          </w:pPr>
          <w:r>
            <w:fldChar w:fldCharType="begin"/>
          </w:r>
          <w:r>
            <w:instrText xml:space="preserve"> HYPERLINK \l "_Toc244679176" </w:instrText>
          </w:r>
          <w:r>
            <w:fldChar w:fldCharType="separate"/>
          </w:r>
          <w:r>
            <w:rPr>
              <w:rStyle w:val="28"/>
              <w:rFonts w:ascii="黑体" w:hAnsi="黑体" w:cs="黑体"/>
            </w:rPr>
            <w:t>1.1.</w:t>
          </w:r>
          <w:r>
            <w:rPr>
              <w:sz w:val="21"/>
              <w:szCs w:val="22"/>
            </w:rPr>
            <w:tab/>
          </w:r>
          <w:r>
            <w:rPr>
              <w:rStyle w:val="28"/>
              <w:rFonts w:hint="eastAsia" w:ascii="黑体" w:hAnsi="黑体" w:cs="黑体"/>
            </w:rPr>
            <w:t>项目背景与采购标的</w:t>
          </w:r>
          <w:r>
            <w:tab/>
          </w:r>
          <w:r>
            <w:fldChar w:fldCharType="begin"/>
          </w:r>
          <w:r>
            <w:instrText xml:space="preserve"> PAGEREF _Toc244679176 \h </w:instrText>
          </w:r>
          <w:r>
            <w:fldChar w:fldCharType="separate"/>
          </w:r>
          <w:r>
            <w:t>5</w:t>
          </w:r>
          <w:r>
            <w:fldChar w:fldCharType="end"/>
          </w:r>
          <w:r>
            <w:fldChar w:fldCharType="end"/>
          </w:r>
        </w:p>
        <w:p w14:paraId="0D04DAB2">
          <w:pPr>
            <w:pStyle w:val="19"/>
            <w:tabs>
              <w:tab w:val="left" w:pos="1260"/>
              <w:tab w:val="right" w:leader="dot" w:pos="8296"/>
            </w:tabs>
            <w:ind w:left="560"/>
            <w:rPr>
              <w:sz w:val="21"/>
              <w:szCs w:val="22"/>
            </w:rPr>
          </w:pPr>
          <w:r>
            <w:fldChar w:fldCharType="begin"/>
          </w:r>
          <w:r>
            <w:instrText xml:space="preserve"> HYPERLINK \l "_Toc244679177" </w:instrText>
          </w:r>
          <w:r>
            <w:fldChar w:fldCharType="separate"/>
          </w:r>
          <w:r>
            <w:rPr>
              <w:rStyle w:val="28"/>
              <w:rFonts w:ascii="黑体" w:hAnsi="黑体" w:cs="黑体"/>
            </w:rPr>
            <w:t>1.2.</w:t>
          </w:r>
          <w:r>
            <w:rPr>
              <w:sz w:val="21"/>
              <w:szCs w:val="22"/>
            </w:rPr>
            <w:tab/>
          </w:r>
          <w:r>
            <w:rPr>
              <w:rStyle w:val="28"/>
              <w:rFonts w:hint="eastAsia" w:ascii="黑体" w:hAnsi="黑体" w:cs="黑体"/>
            </w:rPr>
            <w:t>采购范围与核心要点</w:t>
          </w:r>
          <w:r>
            <w:tab/>
          </w:r>
          <w:r>
            <w:fldChar w:fldCharType="begin"/>
          </w:r>
          <w:r>
            <w:instrText xml:space="preserve"> PAGEREF _Toc244679177 \h </w:instrText>
          </w:r>
          <w:r>
            <w:fldChar w:fldCharType="separate"/>
          </w:r>
          <w:r>
            <w:t>6</w:t>
          </w:r>
          <w:r>
            <w:fldChar w:fldCharType="end"/>
          </w:r>
          <w:r>
            <w:fldChar w:fldCharType="end"/>
          </w:r>
        </w:p>
        <w:p w14:paraId="29425FBA">
          <w:pPr>
            <w:pStyle w:val="18"/>
            <w:tabs>
              <w:tab w:val="left" w:pos="630"/>
              <w:tab w:val="right" w:leader="dot" w:pos="8296"/>
            </w:tabs>
            <w:rPr>
              <w:sz w:val="21"/>
              <w:szCs w:val="22"/>
            </w:rPr>
          </w:pPr>
          <w:r>
            <w:fldChar w:fldCharType="begin"/>
          </w:r>
          <w:r>
            <w:instrText xml:space="preserve"> HYPERLINK \l "_Toc244679178" </w:instrText>
          </w:r>
          <w:r>
            <w:fldChar w:fldCharType="separate"/>
          </w:r>
          <w:r>
            <w:rPr>
              <w:rStyle w:val="28"/>
              <w:rFonts w:ascii="黑体" w:hAnsi="黑体" w:eastAsia="黑体" w:cs="黑体"/>
            </w:rPr>
            <w:t>2.</w:t>
          </w:r>
          <w:r>
            <w:rPr>
              <w:sz w:val="21"/>
              <w:szCs w:val="22"/>
            </w:rPr>
            <w:tab/>
          </w:r>
          <w:r>
            <w:rPr>
              <w:rStyle w:val="28"/>
              <w:rFonts w:hint="eastAsia" w:ascii="黑体" w:hAnsi="黑体" w:eastAsia="黑体" w:cs="黑体"/>
            </w:rPr>
            <w:t>体育产品总述</w:t>
          </w:r>
          <w:r>
            <w:tab/>
          </w:r>
          <w:r>
            <w:fldChar w:fldCharType="begin"/>
          </w:r>
          <w:r>
            <w:instrText xml:space="preserve"> PAGEREF _Toc244679178 \h </w:instrText>
          </w:r>
          <w:r>
            <w:fldChar w:fldCharType="separate"/>
          </w:r>
          <w:r>
            <w:t>7</w:t>
          </w:r>
          <w:r>
            <w:fldChar w:fldCharType="end"/>
          </w:r>
          <w:r>
            <w:fldChar w:fldCharType="end"/>
          </w:r>
        </w:p>
        <w:p w14:paraId="16D0CBDD">
          <w:pPr>
            <w:pStyle w:val="19"/>
            <w:tabs>
              <w:tab w:val="left" w:pos="1260"/>
              <w:tab w:val="right" w:leader="dot" w:pos="8296"/>
            </w:tabs>
            <w:adjustRightInd w:val="0"/>
            <w:snapToGrid w:val="0"/>
            <w:ind w:left="560"/>
            <w:rPr>
              <w:sz w:val="21"/>
              <w:szCs w:val="22"/>
            </w:rPr>
          </w:pPr>
          <w:r>
            <w:fldChar w:fldCharType="begin"/>
          </w:r>
          <w:r>
            <w:instrText xml:space="preserve"> HYPERLINK \l "_Toc244679179" </w:instrText>
          </w:r>
          <w:r>
            <w:fldChar w:fldCharType="separate"/>
          </w:r>
          <w:r>
            <w:rPr>
              <w:rStyle w:val="28"/>
              <w:rFonts w:ascii="黑体" w:hAnsi="黑体" w:cs="黑体"/>
            </w:rPr>
            <w:t>2.1.</w:t>
          </w:r>
          <w:r>
            <w:rPr>
              <w:sz w:val="21"/>
              <w:szCs w:val="22"/>
            </w:rPr>
            <w:tab/>
          </w:r>
          <w:r>
            <w:rPr>
              <w:rStyle w:val="28"/>
              <w:rFonts w:hint="eastAsia" w:ascii="黑体" w:hAnsi="黑体" w:cs="黑体"/>
            </w:rPr>
            <w:t>完整的赛事数据服务与管理</w:t>
          </w:r>
          <w:r>
            <w:tab/>
          </w:r>
          <w:r>
            <w:fldChar w:fldCharType="begin"/>
          </w:r>
          <w:r>
            <w:instrText xml:space="preserve"> PAGEREF _Toc244679179 \h </w:instrText>
          </w:r>
          <w:r>
            <w:fldChar w:fldCharType="separate"/>
          </w:r>
          <w:r>
            <w:t>7</w:t>
          </w:r>
          <w:r>
            <w:fldChar w:fldCharType="end"/>
          </w:r>
          <w:r>
            <w:fldChar w:fldCharType="end"/>
          </w:r>
        </w:p>
        <w:p w14:paraId="7C4BDEB5">
          <w:pPr>
            <w:pStyle w:val="19"/>
            <w:tabs>
              <w:tab w:val="left" w:pos="1260"/>
              <w:tab w:val="right" w:leader="dot" w:pos="8296"/>
            </w:tabs>
            <w:ind w:left="560"/>
            <w:rPr>
              <w:sz w:val="21"/>
              <w:szCs w:val="22"/>
            </w:rPr>
          </w:pPr>
          <w:r>
            <w:fldChar w:fldCharType="begin"/>
          </w:r>
          <w:r>
            <w:instrText xml:space="preserve"> HYPERLINK \l "_Toc244679180" </w:instrText>
          </w:r>
          <w:r>
            <w:fldChar w:fldCharType="separate"/>
          </w:r>
          <w:r>
            <w:rPr>
              <w:rStyle w:val="28"/>
              <w:rFonts w:ascii="黑体" w:hAnsi="黑体" w:cs="黑体"/>
            </w:rPr>
            <w:t>2.2.</w:t>
          </w:r>
          <w:r>
            <w:rPr>
              <w:sz w:val="21"/>
              <w:szCs w:val="22"/>
            </w:rPr>
            <w:tab/>
          </w:r>
          <w:r>
            <w:rPr>
              <w:rStyle w:val="28"/>
              <w:rFonts w:hint="eastAsia" w:ascii="黑体" w:hAnsi="黑体" w:cs="黑体"/>
            </w:rPr>
            <w:t>统一的</w:t>
          </w:r>
          <w:r>
            <w:rPr>
              <w:rStyle w:val="28"/>
              <w:rFonts w:ascii="黑体" w:hAnsi="黑体" w:cs="黑体"/>
            </w:rPr>
            <w:t>IPTV</w:t>
          </w:r>
          <w:r>
            <w:rPr>
              <w:rStyle w:val="28"/>
              <w:rFonts w:hint="eastAsia" w:ascii="黑体" w:hAnsi="黑体" w:cs="黑体"/>
            </w:rPr>
            <w:t>页面交互框架</w:t>
          </w:r>
          <w:r>
            <w:tab/>
          </w:r>
          <w:r>
            <w:fldChar w:fldCharType="begin"/>
          </w:r>
          <w:r>
            <w:instrText xml:space="preserve"> PAGEREF _Toc244679180 \h </w:instrText>
          </w:r>
          <w:r>
            <w:fldChar w:fldCharType="separate"/>
          </w:r>
          <w:r>
            <w:t>7</w:t>
          </w:r>
          <w:r>
            <w:fldChar w:fldCharType="end"/>
          </w:r>
          <w:r>
            <w:fldChar w:fldCharType="end"/>
          </w:r>
        </w:p>
        <w:p w14:paraId="2C723D68">
          <w:pPr>
            <w:pStyle w:val="19"/>
            <w:tabs>
              <w:tab w:val="left" w:pos="1260"/>
              <w:tab w:val="right" w:leader="dot" w:pos="8296"/>
            </w:tabs>
            <w:ind w:left="560"/>
            <w:rPr>
              <w:sz w:val="21"/>
              <w:szCs w:val="22"/>
            </w:rPr>
          </w:pPr>
          <w:r>
            <w:fldChar w:fldCharType="begin"/>
          </w:r>
          <w:r>
            <w:instrText xml:space="preserve"> HYPERLINK \l "_Toc244679181" </w:instrText>
          </w:r>
          <w:r>
            <w:fldChar w:fldCharType="separate"/>
          </w:r>
          <w:r>
            <w:rPr>
              <w:rStyle w:val="28"/>
              <w:rFonts w:ascii="黑体" w:hAnsi="黑体" w:cs="黑体"/>
            </w:rPr>
            <w:t>2.3.</w:t>
          </w:r>
          <w:r>
            <w:rPr>
              <w:sz w:val="21"/>
              <w:szCs w:val="22"/>
            </w:rPr>
            <w:tab/>
          </w:r>
          <w:r>
            <w:rPr>
              <w:rStyle w:val="28"/>
              <w:rFonts w:hint="eastAsia" w:ascii="黑体" w:hAnsi="黑体" w:cs="黑体"/>
            </w:rPr>
            <w:t>体育内容全链路服务</w:t>
          </w:r>
          <w:r>
            <w:tab/>
          </w:r>
          <w:r>
            <w:fldChar w:fldCharType="begin"/>
          </w:r>
          <w:r>
            <w:instrText xml:space="preserve"> PAGEREF _Toc244679181 \h </w:instrText>
          </w:r>
          <w:r>
            <w:fldChar w:fldCharType="separate"/>
          </w:r>
          <w:r>
            <w:t>7</w:t>
          </w:r>
          <w:r>
            <w:fldChar w:fldCharType="end"/>
          </w:r>
          <w:r>
            <w:fldChar w:fldCharType="end"/>
          </w:r>
        </w:p>
        <w:p w14:paraId="0430232A">
          <w:pPr>
            <w:pStyle w:val="19"/>
            <w:tabs>
              <w:tab w:val="left" w:pos="1260"/>
              <w:tab w:val="right" w:leader="dot" w:pos="8296"/>
            </w:tabs>
            <w:ind w:left="560"/>
            <w:rPr>
              <w:sz w:val="21"/>
              <w:szCs w:val="22"/>
            </w:rPr>
          </w:pPr>
          <w:r>
            <w:fldChar w:fldCharType="begin"/>
          </w:r>
          <w:r>
            <w:instrText xml:space="preserve"> HYPERLINK \l "_Toc244679182" </w:instrText>
          </w:r>
          <w:r>
            <w:fldChar w:fldCharType="separate"/>
          </w:r>
          <w:r>
            <w:rPr>
              <w:rStyle w:val="28"/>
              <w:rFonts w:ascii="黑体" w:hAnsi="黑体" w:cs="黑体"/>
            </w:rPr>
            <w:t>2.4.</w:t>
          </w:r>
          <w:r>
            <w:rPr>
              <w:sz w:val="21"/>
              <w:szCs w:val="22"/>
            </w:rPr>
            <w:tab/>
          </w:r>
          <w:r>
            <w:rPr>
              <w:rStyle w:val="28"/>
              <w:rFonts w:hint="eastAsia" w:ascii="黑体" w:hAnsi="黑体" w:cs="黑体"/>
            </w:rPr>
            <w:t>体育产品运营能力</w:t>
          </w:r>
          <w:r>
            <w:tab/>
          </w:r>
          <w:r>
            <w:fldChar w:fldCharType="begin"/>
          </w:r>
          <w:r>
            <w:instrText xml:space="preserve"> PAGEREF _Toc244679182 \h </w:instrText>
          </w:r>
          <w:r>
            <w:fldChar w:fldCharType="separate"/>
          </w:r>
          <w:r>
            <w:t>8</w:t>
          </w:r>
          <w:r>
            <w:fldChar w:fldCharType="end"/>
          </w:r>
          <w:r>
            <w:fldChar w:fldCharType="end"/>
          </w:r>
        </w:p>
        <w:p w14:paraId="3A019299">
          <w:pPr>
            <w:pStyle w:val="18"/>
            <w:tabs>
              <w:tab w:val="left" w:pos="630"/>
              <w:tab w:val="right" w:leader="dot" w:pos="8296"/>
            </w:tabs>
            <w:rPr>
              <w:sz w:val="21"/>
              <w:szCs w:val="22"/>
            </w:rPr>
          </w:pPr>
          <w:r>
            <w:fldChar w:fldCharType="begin"/>
          </w:r>
          <w:r>
            <w:instrText xml:space="preserve"> HYPERLINK \l "_Toc244679183" </w:instrText>
          </w:r>
          <w:r>
            <w:fldChar w:fldCharType="separate"/>
          </w:r>
          <w:r>
            <w:rPr>
              <w:rStyle w:val="28"/>
              <w:rFonts w:ascii="黑体" w:hAnsi="黑体" w:eastAsia="黑体" w:cs="黑体"/>
            </w:rPr>
            <w:t>3.</w:t>
          </w:r>
          <w:r>
            <w:rPr>
              <w:sz w:val="21"/>
              <w:szCs w:val="22"/>
            </w:rPr>
            <w:tab/>
          </w:r>
          <w:r>
            <w:rPr>
              <w:rStyle w:val="28"/>
              <w:rFonts w:hint="eastAsia" w:ascii="黑体" w:hAnsi="黑体" w:eastAsia="黑体" w:cs="黑体"/>
            </w:rPr>
            <w:t>体育产品架构要求</w:t>
          </w:r>
          <w:r>
            <w:tab/>
          </w:r>
          <w:r>
            <w:fldChar w:fldCharType="begin"/>
          </w:r>
          <w:r>
            <w:instrText xml:space="preserve"> PAGEREF _Toc244679183 \h </w:instrText>
          </w:r>
          <w:r>
            <w:fldChar w:fldCharType="separate"/>
          </w:r>
          <w:r>
            <w:t>8</w:t>
          </w:r>
          <w:r>
            <w:fldChar w:fldCharType="end"/>
          </w:r>
          <w:r>
            <w:fldChar w:fldCharType="end"/>
          </w:r>
        </w:p>
        <w:p w14:paraId="439BFB97">
          <w:pPr>
            <w:pStyle w:val="18"/>
            <w:tabs>
              <w:tab w:val="left" w:pos="630"/>
              <w:tab w:val="right" w:leader="dot" w:pos="8296"/>
            </w:tabs>
            <w:rPr>
              <w:sz w:val="21"/>
              <w:szCs w:val="22"/>
            </w:rPr>
          </w:pPr>
          <w:r>
            <w:fldChar w:fldCharType="begin"/>
          </w:r>
          <w:r>
            <w:instrText xml:space="preserve"> HYPERLINK \l "_Toc244679184" </w:instrText>
          </w:r>
          <w:r>
            <w:fldChar w:fldCharType="separate"/>
          </w:r>
          <w:r>
            <w:rPr>
              <w:rStyle w:val="28"/>
              <w:rFonts w:ascii="黑体" w:hAnsi="黑体" w:eastAsia="黑体" w:cs="黑体"/>
            </w:rPr>
            <w:t>4.</w:t>
          </w:r>
          <w:r>
            <w:rPr>
              <w:sz w:val="21"/>
              <w:szCs w:val="22"/>
            </w:rPr>
            <w:tab/>
          </w:r>
          <w:r>
            <w:rPr>
              <w:rStyle w:val="28"/>
              <w:rFonts w:hint="eastAsia" w:ascii="黑体" w:hAnsi="黑体" w:eastAsia="黑体" w:cs="黑体"/>
            </w:rPr>
            <w:t>体育产品数据服务要求</w:t>
          </w:r>
          <w:r>
            <w:tab/>
          </w:r>
          <w:r>
            <w:fldChar w:fldCharType="begin"/>
          </w:r>
          <w:r>
            <w:instrText xml:space="preserve"> PAGEREF _Toc244679184 \h </w:instrText>
          </w:r>
          <w:r>
            <w:fldChar w:fldCharType="separate"/>
          </w:r>
          <w:r>
            <w:t>9</w:t>
          </w:r>
          <w:r>
            <w:fldChar w:fldCharType="end"/>
          </w:r>
          <w:r>
            <w:fldChar w:fldCharType="end"/>
          </w:r>
        </w:p>
        <w:p w14:paraId="069081CA">
          <w:pPr>
            <w:pStyle w:val="18"/>
            <w:tabs>
              <w:tab w:val="left" w:pos="630"/>
              <w:tab w:val="right" w:leader="dot" w:pos="8296"/>
            </w:tabs>
            <w:rPr>
              <w:sz w:val="21"/>
              <w:szCs w:val="22"/>
            </w:rPr>
          </w:pPr>
          <w:r>
            <w:fldChar w:fldCharType="begin"/>
          </w:r>
          <w:r>
            <w:instrText xml:space="preserve"> HYPERLINK \l "_Toc244679185" </w:instrText>
          </w:r>
          <w:r>
            <w:fldChar w:fldCharType="separate"/>
          </w:r>
          <w:r>
            <w:rPr>
              <w:rStyle w:val="28"/>
              <w:rFonts w:ascii="黑体" w:hAnsi="黑体" w:eastAsia="黑体" w:cs="黑体"/>
            </w:rPr>
            <w:t>5.</w:t>
          </w:r>
          <w:r>
            <w:rPr>
              <w:sz w:val="21"/>
              <w:szCs w:val="22"/>
            </w:rPr>
            <w:tab/>
          </w:r>
          <w:r>
            <w:rPr>
              <w:rStyle w:val="28"/>
              <w:rFonts w:hint="eastAsia" w:ascii="黑体" w:hAnsi="黑体" w:eastAsia="黑体" w:cs="黑体"/>
            </w:rPr>
            <w:t>体育产品展示功能要求</w:t>
          </w:r>
          <w:r>
            <w:tab/>
          </w:r>
          <w:r>
            <w:fldChar w:fldCharType="begin"/>
          </w:r>
          <w:r>
            <w:instrText xml:space="preserve"> PAGEREF _Toc244679185 \h </w:instrText>
          </w:r>
          <w:r>
            <w:fldChar w:fldCharType="separate"/>
          </w:r>
          <w:r>
            <w:t>9</w:t>
          </w:r>
          <w:r>
            <w:fldChar w:fldCharType="end"/>
          </w:r>
          <w:r>
            <w:fldChar w:fldCharType="end"/>
          </w:r>
        </w:p>
        <w:p w14:paraId="74BF69FC">
          <w:pPr>
            <w:pStyle w:val="19"/>
            <w:tabs>
              <w:tab w:val="left" w:pos="1260"/>
              <w:tab w:val="right" w:leader="dot" w:pos="8296"/>
            </w:tabs>
            <w:ind w:left="560"/>
            <w:rPr>
              <w:sz w:val="21"/>
              <w:szCs w:val="22"/>
            </w:rPr>
          </w:pPr>
          <w:r>
            <w:fldChar w:fldCharType="begin"/>
          </w:r>
          <w:r>
            <w:instrText xml:space="preserve"> HYPERLINK \l "_Toc244679186" </w:instrText>
          </w:r>
          <w:r>
            <w:fldChar w:fldCharType="separate"/>
          </w:r>
          <w:r>
            <w:rPr>
              <w:rStyle w:val="28"/>
              <w:rFonts w:ascii="黑体" w:hAnsi="黑体" w:cs="黑体"/>
            </w:rPr>
            <w:t>5.1.</w:t>
          </w:r>
          <w:r>
            <w:rPr>
              <w:sz w:val="21"/>
              <w:szCs w:val="22"/>
            </w:rPr>
            <w:tab/>
          </w:r>
          <w:r>
            <w:rPr>
              <w:rStyle w:val="28"/>
              <w:rFonts w:hint="eastAsia" w:ascii="黑体" w:hAnsi="黑体" w:cs="黑体"/>
            </w:rPr>
            <w:t>产品框架与公共功能要求</w:t>
          </w:r>
          <w:r>
            <w:tab/>
          </w:r>
          <w:r>
            <w:fldChar w:fldCharType="begin"/>
          </w:r>
          <w:r>
            <w:instrText xml:space="preserve"> PAGEREF _Toc244679186 \h </w:instrText>
          </w:r>
          <w:r>
            <w:fldChar w:fldCharType="separate"/>
          </w:r>
          <w:r>
            <w:t>10</w:t>
          </w:r>
          <w:r>
            <w:fldChar w:fldCharType="end"/>
          </w:r>
          <w:r>
            <w:fldChar w:fldCharType="end"/>
          </w:r>
        </w:p>
        <w:p w14:paraId="7073A22C">
          <w:pPr>
            <w:pStyle w:val="19"/>
            <w:tabs>
              <w:tab w:val="left" w:pos="1260"/>
              <w:tab w:val="right" w:leader="dot" w:pos="8296"/>
            </w:tabs>
            <w:ind w:left="560"/>
            <w:rPr>
              <w:sz w:val="21"/>
              <w:szCs w:val="22"/>
            </w:rPr>
          </w:pPr>
          <w:r>
            <w:fldChar w:fldCharType="begin"/>
          </w:r>
          <w:r>
            <w:instrText xml:space="preserve"> HYPERLINK \l "_Toc244679196" </w:instrText>
          </w:r>
          <w:r>
            <w:fldChar w:fldCharType="separate"/>
          </w:r>
          <w:r>
            <w:rPr>
              <w:rStyle w:val="28"/>
              <w:rFonts w:ascii="黑体" w:hAnsi="黑体" w:cs="黑体"/>
            </w:rPr>
            <w:t>5.2.</w:t>
          </w:r>
          <w:r>
            <w:rPr>
              <w:sz w:val="21"/>
              <w:szCs w:val="22"/>
            </w:rPr>
            <w:tab/>
          </w:r>
          <w:r>
            <w:rPr>
              <w:rStyle w:val="28"/>
              <w:rFonts w:hint="eastAsia" w:ascii="黑体" w:hAnsi="黑体" w:cs="黑体"/>
            </w:rPr>
            <w:t>体育赛事</w:t>
          </w:r>
          <w:r>
            <w:tab/>
          </w:r>
          <w:r>
            <w:fldChar w:fldCharType="begin"/>
          </w:r>
          <w:r>
            <w:instrText xml:space="preserve"> PAGEREF _Toc244679196 \h </w:instrText>
          </w:r>
          <w:r>
            <w:fldChar w:fldCharType="separate"/>
          </w:r>
          <w:r>
            <w:t>15</w:t>
          </w:r>
          <w:r>
            <w:fldChar w:fldCharType="end"/>
          </w:r>
          <w:r>
            <w:fldChar w:fldCharType="end"/>
          </w:r>
        </w:p>
        <w:p w14:paraId="14516566">
          <w:pPr>
            <w:pStyle w:val="19"/>
            <w:tabs>
              <w:tab w:val="left" w:pos="1260"/>
              <w:tab w:val="right" w:leader="dot" w:pos="8296"/>
            </w:tabs>
            <w:ind w:left="560"/>
            <w:rPr>
              <w:sz w:val="21"/>
              <w:szCs w:val="22"/>
            </w:rPr>
          </w:pPr>
          <w:r>
            <w:fldChar w:fldCharType="begin"/>
          </w:r>
          <w:r>
            <w:instrText xml:space="preserve"> HYPERLINK \l "_Toc244679204" </w:instrText>
          </w:r>
          <w:r>
            <w:fldChar w:fldCharType="separate"/>
          </w:r>
          <w:r>
            <w:rPr>
              <w:rStyle w:val="28"/>
              <w:rFonts w:ascii="黑体" w:hAnsi="黑体" w:cs="黑体"/>
            </w:rPr>
            <w:t>5.3.</w:t>
          </w:r>
          <w:r>
            <w:rPr>
              <w:sz w:val="21"/>
              <w:szCs w:val="22"/>
            </w:rPr>
            <w:tab/>
          </w:r>
          <w:r>
            <w:rPr>
              <w:rStyle w:val="28"/>
              <w:rFonts w:hint="eastAsia" w:ascii="黑体" w:hAnsi="黑体" w:cs="黑体"/>
            </w:rPr>
            <w:t>平台对接与数据上报</w:t>
          </w:r>
          <w:r>
            <w:tab/>
          </w:r>
          <w:r>
            <w:fldChar w:fldCharType="begin"/>
          </w:r>
          <w:r>
            <w:instrText xml:space="preserve"> PAGEREF _Toc244679204 \h </w:instrText>
          </w:r>
          <w:r>
            <w:fldChar w:fldCharType="separate"/>
          </w:r>
          <w:r>
            <w:t>21</w:t>
          </w:r>
          <w:r>
            <w:fldChar w:fldCharType="end"/>
          </w:r>
          <w:r>
            <w:fldChar w:fldCharType="end"/>
          </w:r>
        </w:p>
        <w:p w14:paraId="7F6FA8A1">
          <w:pPr>
            <w:pStyle w:val="19"/>
            <w:tabs>
              <w:tab w:val="left" w:pos="1260"/>
              <w:tab w:val="right" w:leader="dot" w:pos="8296"/>
            </w:tabs>
            <w:ind w:left="560"/>
            <w:rPr>
              <w:sz w:val="21"/>
              <w:szCs w:val="22"/>
            </w:rPr>
          </w:pPr>
          <w:r>
            <w:fldChar w:fldCharType="begin"/>
          </w:r>
          <w:r>
            <w:instrText xml:space="preserve"> HYPERLINK \l "_Toc244679205" </w:instrText>
          </w:r>
          <w:r>
            <w:fldChar w:fldCharType="separate"/>
          </w:r>
          <w:r>
            <w:rPr>
              <w:rStyle w:val="28"/>
              <w:rFonts w:ascii="黑体" w:hAnsi="黑体" w:cs="黑体"/>
            </w:rPr>
            <w:t>5.4.</w:t>
          </w:r>
          <w:r>
            <w:rPr>
              <w:sz w:val="21"/>
              <w:szCs w:val="22"/>
            </w:rPr>
            <w:tab/>
          </w:r>
          <w:r>
            <w:rPr>
              <w:rStyle w:val="28"/>
              <w:rFonts w:hint="eastAsia" w:ascii="黑体" w:hAnsi="黑体" w:cs="黑体"/>
            </w:rPr>
            <w:t>统一搜索</w:t>
          </w:r>
          <w:r>
            <w:tab/>
          </w:r>
          <w:r>
            <w:fldChar w:fldCharType="begin"/>
          </w:r>
          <w:r>
            <w:instrText xml:space="preserve"> PAGEREF _Toc244679205 \h </w:instrText>
          </w:r>
          <w:r>
            <w:fldChar w:fldCharType="separate"/>
          </w:r>
          <w:r>
            <w:t>22</w:t>
          </w:r>
          <w:r>
            <w:fldChar w:fldCharType="end"/>
          </w:r>
          <w:r>
            <w:fldChar w:fldCharType="end"/>
          </w:r>
        </w:p>
        <w:p w14:paraId="15C3A2B8">
          <w:pPr>
            <w:pStyle w:val="19"/>
            <w:tabs>
              <w:tab w:val="left" w:pos="1260"/>
              <w:tab w:val="right" w:leader="dot" w:pos="8296"/>
            </w:tabs>
            <w:ind w:left="560"/>
            <w:rPr>
              <w:sz w:val="21"/>
              <w:szCs w:val="22"/>
            </w:rPr>
          </w:pPr>
          <w:r>
            <w:fldChar w:fldCharType="begin"/>
          </w:r>
          <w:r>
            <w:instrText xml:space="preserve"> HYPERLINK \l "_Toc244679206" </w:instrText>
          </w:r>
          <w:r>
            <w:fldChar w:fldCharType="separate"/>
          </w:r>
          <w:r>
            <w:rPr>
              <w:rStyle w:val="28"/>
              <w:rFonts w:ascii="黑体" w:hAnsi="黑体" w:cs="黑体"/>
            </w:rPr>
            <w:t>5.5.</w:t>
          </w:r>
          <w:r>
            <w:rPr>
              <w:sz w:val="21"/>
              <w:szCs w:val="22"/>
            </w:rPr>
            <w:tab/>
          </w:r>
          <w:r>
            <w:rPr>
              <w:rStyle w:val="28"/>
              <w:rFonts w:hint="eastAsia" w:ascii="黑体" w:hAnsi="黑体" w:cs="黑体"/>
            </w:rPr>
            <w:t>体育产品广告展示能力</w:t>
          </w:r>
          <w:r>
            <w:tab/>
          </w:r>
          <w:r>
            <w:fldChar w:fldCharType="begin"/>
          </w:r>
          <w:r>
            <w:instrText xml:space="preserve"> PAGEREF _Toc244679206 \h </w:instrText>
          </w:r>
          <w:r>
            <w:fldChar w:fldCharType="separate"/>
          </w:r>
          <w:r>
            <w:t>22</w:t>
          </w:r>
          <w:r>
            <w:fldChar w:fldCharType="end"/>
          </w:r>
          <w:r>
            <w:fldChar w:fldCharType="end"/>
          </w:r>
        </w:p>
        <w:p w14:paraId="46856E2D">
          <w:pPr>
            <w:pStyle w:val="18"/>
            <w:tabs>
              <w:tab w:val="left" w:pos="630"/>
              <w:tab w:val="right" w:leader="dot" w:pos="8296"/>
            </w:tabs>
            <w:rPr>
              <w:sz w:val="21"/>
              <w:szCs w:val="22"/>
            </w:rPr>
          </w:pPr>
          <w:r>
            <w:fldChar w:fldCharType="begin"/>
          </w:r>
          <w:r>
            <w:instrText xml:space="preserve"> HYPERLINK \l "_Toc244679207" </w:instrText>
          </w:r>
          <w:r>
            <w:fldChar w:fldCharType="separate"/>
          </w:r>
          <w:r>
            <w:rPr>
              <w:rStyle w:val="28"/>
              <w:rFonts w:ascii="黑体" w:hAnsi="黑体" w:eastAsia="黑体" w:cs="黑体"/>
            </w:rPr>
            <w:t>6.</w:t>
          </w:r>
          <w:r>
            <w:rPr>
              <w:sz w:val="21"/>
              <w:szCs w:val="22"/>
            </w:rPr>
            <w:tab/>
          </w:r>
          <w:r>
            <w:rPr>
              <w:rStyle w:val="28"/>
              <w:rFonts w:hint="eastAsia" w:ascii="黑体" w:hAnsi="黑体" w:eastAsia="黑体" w:cs="黑体"/>
            </w:rPr>
            <w:t>体育产品运营功能要求</w:t>
          </w:r>
          <w:r>
            <w:tab/>
          </w:r>
          <w:r>
            <w:fldChar w:fldCharType="begin"/>
          </w:r>
          <w:r>
            <w:instrText xml:space="preserve"> PAGEREF _Toc244679207 \h </w:instrText>
          </w:r>
          <w:r>
            <w:fldChar w:fldCharType="separate"/>
          </w:r>
          <w:r>
            <w:t>23</w:t>
          </w:r>
          <w:r>
            <w:fldChar w:fldCharType="end"/>
          </w:r>
          <w:r>
            <w:fldChar w:fldCharType="end"/>
          </w:r>
        </w:p>
        <w:p w14:paraId="19E93FA3">
          <w:pPr>
            <w:pStyle w:val="19"/>
            <w:tabs>
              <w:tab w:val="left" w:pos="1260"/>
              <w:tab w:val="right" w:leader="dot" w:pos="8296"/>
            </w:tabs>
            <w:ind w:left="560"/>
            <w:rPr>
              <w:sz w:val="21"/>
              <w:szCs w:val="22"/>
            </w:rPr>
          </w:pPr>
          <w:r>
            <w:fldChar w:fldCharType="begin"/>
          </w:r>
          <w:r>
            <w:instrText xml:space="preserve"> HYPERLINK \l "_Toc244679208" </w:instrText>
          </w:r>
          <w:r>
            <w:fldChar w:fldCharType="separate"/>
          </w:r>
          <w:r>
            <w:rPr>
              <w:rStyle w:val="28"/>
              <w:rFonts w:ascii="黑体" w:hAnsi="黑体" w:cs="黑体"/>
            </w:rPr>
            <w:t>6.1.</w:t>
          </w:r>
          <w:r>
            <w:rPr>
              <w:sz w:val="21"/>
              <w:szCs w:val="22"/>
            </w:rPr>
            <w:tab/>
          </w:r>
          <w:r>
            <w:rPr>
              <w:rStyle w:val="28"/>
              <w:rFonts w:hint="eastAsia" w:ascii="黑体" w:hAnsi="黑体" w:cs="黑体"/>
            </w:rPr>
            <w:t>数据来源与对接</w:t>
          </w:r>
          <w:r>
            <w:tab/>
          </w:r>
          <w:r>
            <w:fldChar w:fldCharType="begin"/>
          </w:r>
          <w:r>
            <w:instrText xml:space="preserve"> PAGEREF _Toc244679208 \h </w:instrText>
          </w:r>
          <w:r>
            <w:fldChar w:fldCharType="separate"/>
          </w:r>
          <w:r>
            <w:t>23</w:t>
          </w:r>
          <w:r>
            <w:fldChar w:fldCharType="end"/>
          </w:r>
          <w:r>
            <w:fldChar w:fldCharType="end"/>
          </w:r>
        </w:p>
        <w:p w14:paraId="7EB5178F">
          <w:pPr>
            <w:pStyle w:val="19"/>
            <w:tabs>
              <w:tab w:val="left" w:pos="1260"/>
              <w:tab w:val="right" w:leader="dot" w:pos="8296"/>
            </w:tabs>
            <w:ind w:left="560"/>
            <w:rPr>
              <w:sz w:val="21"/>
              <w:szCs w:val="22"/>
            </w:rPr>
          </w:pPr>
          <w:r>
            <w:fldChar w:fldCharType="begin"/>
          </w:r>
          <w:r>
            <w:instrText xml:space="preserve"> HYPERLINK \l "_Toc244679209" </w:instrText>
          </w:r>
          <w:r>
            <w:fldChar w:fldCharType="separate"/>
          </w:r>
          <w:r>
            <w:rPr>
              <w:rStyle w:val="28"/>
              <w:rFonts w:ascii="黑体" w:hAnsi="黑体" w:cs="黑体"/>
            </w:rPr>
            <w:t>6.2.</w:t>
          </w:r>
          <w:r>
            <w:rPr>
              <w:sz w:val="21"/>
              <w:szCs w:val="22"/>
            </w:rPr>
            <w:tab/>
          </w:r>
          <w:r>
            <w:rPr>
              <w:rStyle w:val="28"/>
              <w:rFonts w:hint="eastAsia" w:ascii="黑体" w:hAnsi="黑体" w:cs="黑体"/>
            </w:rPr>
            <w:t>体育媒资管理</w:t>
          </w:r>
          <w:r>
            <w:tab/>
          </w:r>
          <w:r>
            <w:fldChar w:fldCharType="begin"/>
          </w:r>
          <w:r>
            <w:instrText xml:space="preserve"> PAGEREF _Toc244679209 \h </w:instrText>
          </w:r>
          <w:r>
            <w:fldChar w:fldCharType="separate"/>
          </w:r>
          <w:r>
            <w:t>24</w:t>
          </w:r>
          <w:r>
            <w:fldChar w:fldCharType="end"/>
          </w:r>
          <w:r>
            <w:fldChar w:fldCharType="end"/>
          </w:r>
        </w:p>
        <w:p w14:paraId="54AD9447">
          <w:pPr>
            <w:pStyle w:val="19"/>
            <w:tabs>
              <w:tab w:val="left" w:pos="1260"/>
              <w:tab w:val="right" w:leader="dot" w:pos="8296"/>
            </w:tabs>
            <w:ind w:left="560"/>
            <w:rPr>
              <w:sz w:val="21"/>
              <w:szCs w:val="22"/>
            </w:rPr>
          </w:pPr>
          <w:r>
            <w:fldChar w:fldCharType="begin"/>
          </w:r>
          <w:r>
            <w:instrText xml:space="preserve"> HYPERLINK \l "_Toc244679210" </w:instrText>
          </w:r>
          <w:r>
            <w:fldChar w:fldCharType="separate"/>
          </w:r>
          <w:r>
            <w:rPr>
              <w:rStyle w:val="28"/>
              <w:rFonts w:ascii="黑体" w:hAnsi="黑体" w:cs="黑体"/>
            </w:rPr>
            <w:t>6.3.</w:t>
          </w:r>
          <w:r>
            <w:rPr>
              <w:sz w:val="21"/>
              <w:szCs w:val="22"/>
            </w:rPr>
            <w:tab/>
          </w:r>
          <w:r>
            <w:rPr>
              <w:rStyle w:val="28"/>
              <w:rFonts w:hint="eastAsia" w:ascii="黑体" w:hAnsi="黑体" w:cs="黑体"/>
            </w:rPr>
            <w:t>赛事数据管理</w:t>
          </w:r>
          <w:r>
            <w:tab/>
          </w:r>
          <w:r>
            <w:fldChar w:fldCharType="begin"/>
          </w:r>
          <w:r>
            <w:instrText xml:space="preserve"> PAGEREF _Toc244679210 \h </w:instrText>
          </w:r>
          <w:r>
            <w:fldChar w:fldCharType="separate"/>
          </w:r>
          <w:r>
            <w:t>25</w:t>
          </w:r>
          <w:r>
            <w:fldChar w:fldCharType="end"/>
          </w:r>
          <w:r>
            <w:fldChar w:fldCharType="end"/>
          </w:r>
        </w:p>
        <w:p w14:paraId="015E81B0">
          <w:pPr>
            <w:pStyle w:val="19"/>
            <w:tabs>
              <w:tab w:val="left" w:pos="1260"/>
              <w:tab w:val="right" w:leader="dot" w:pos="8296"/>
            </w:tabs>
            <w:ind w:left="560"/>
            <w:rPr>
              <w:sz w:val="21"/>
              <w:szCs w:val="22"/>
            </w:rPr>
          </w:pPr>
          <w:r>
            <w:fldChar w:fldCharType="begin"/>
          </w:r>
          <w:r>
            <w:instrText xml:space="preserve"> HYPERLINK \l "_Toc244679211" </w:instrText>
          </w:r>
          <w:r>
            <w:fldChar w:fldCharType="separate"/>
          </w:r>
          <w:r>
            <w:rPr>
              <w:rStyle w:val="28"/>
              <w:rFonts w:ascii="黑体" w:hAnsi="黑体" w:cs="黑体"/>
            </w:rPr>
            <w:t>6.4.</w:t>
          </w:r>
          <w:r>
            <w:rPr>
              <w:sz w:val="21"/>
              <w:szCs w:val="22"/>
            </w:rPr>
            <w:tab/>
          </w:r>
          <w:r>
            <w:rPr>
              <w:rStyle w:val="28"/>
              <w:rFonts w:hint="eastAsia" w:ascii="黑体" w:hAnsi="黑体" w:cs="黑体"/>
            </w:rPr>
            <w:t>页面编排</w:t>
          </w:r>
          <w:r>
            <w:tab/>
          </w:r>
          <w:r>
            <w:fldChar w:fldCharType="begin"/>
          </w:r>
          <w:r>
            <w:instrText xml:space="preserve"> PAGEREF _Toc244679211 \h </w:instrText>
          </w:r>
          <w:r>
            <w:fldChar w:fldCharType="separate"/>
          </w:r>
          <w:r>
            <w:t>26</w:t>
          </w:r>
          <w:r>
            <w:fldChar w:fldCharType="end"/>
          </w:r>
          <w:r>
            <w:fldChar w:fldCharType="end"/>
          </w:r>
        </w:p>
        <w:p w14:paraId="696686F0">
          <w:pPr>
            <w:pStyle w:val="19"/>
            <w:tabs>
              <w:tab w:val="left" w:pos="1260"/>
              <w:tab w:val="right" w:leader="dot" w:pos="8296"/>
            </w:tabs>
            <w:ind w:left="560"/>
            <w:rPr>
              <w:sz w:val="21"/>
              <w:szCs w:val="22"/>
            </w:rPr>
          </w:pPr>
          <w:r>
            <w:fldChar w:fldCharType="begin"/>
          </w:r>
          <w:r>
            <w:instrText xml:space="preserve"> HYPERLINK \l "_Toc244679212" </w:instrText>
          </w:r>
          <w:r>
            <w:fldChar w:fldCharType="separate"/>
          </w:r>
          <w:r>
            <w:rPr>
              <w:rStyle w:val="28"/>
              <w:rFonts w:ascii="黑体" w:hAnsi="黑体" w:cs="黑体"/>
            </w:rPr>
            <w:t>6.5.</w:t>
          </w:r>
          <w:r>
            <w:rPr>
              <w:sz w:val="21"/>
              <w:szCs w:val="22"/>
            </w:rPr>
            <w:tab/>
          </w:r>
          <w:r>
            <w:rPr>
              <w:rStyle w:val="28"/>
              <w:rFonts w:hint="eastAsia" w:ascii="黑体" w:hAnsi="黑体" w:cs="黑体"/>
            </w:rPr>
            <w:t>推荐位编排</w:t>
          </w:r>
          <w:r>
            <w:tab/>
          </w:r>
          <w:r>
            <w:fldChar w:fldCharType="begin"/>
          </w:r>
          <w:r>
            <w:instrText xml:space="preserve"> PAGEREF _Toc244679212 \h </w:instrText>
          </w:r>
          <w:r>
            <w:fldChar w:fldCharType="separate"/>
          </w:r>
          <w:r>
            <w:t>26</w:t>
          </w:r>
          <w:r>
            <w:fldChar w:fldCharType="end"/>
          </w:r>
          <w:r>
            <w:fldChar w:fldCharType="end"/>
          </w:r>
        </w:p>
        <w:p w14:paraId="5103BD00">
          <w:pPr>
            <w:pStyle w:val="19"/>
            <w:tabs>
              <w:tab w:val="left" w:pos="1260"/>
              <w:tab w:val="right" w:leader="dot" w:pos="8296"/>
            </w:tabs>
            <w:ind w:left="560"/>
            <w:rPr>
              <w:sz w:val="21"/>
              <w:szCs w:val="22"/>
            </w:rPr>
          </w:pPr>
          <w:r>
            <w:fldChar w:fldCharType="begin"/>
          </w:r>
          <w:r>
            <w:instrText xml:space="preserve"> HYPERLINK \l "_Toc244679213" </w:instrText>
          </w:r>
          <w:r>
            <w:fldChar w:fldCharType="separate"/>
          </w:r>
          <w:r>
            <w:rPr>
              <w:rStyle w:val="28"/>
              <w:rFonts w:ascii="黑体" w:hAnsi="黑体" w:cs="黑体"/>
            </w:rPr>
            <w:t>6.6.</w:t>
          </w:r>
          <w:r>
            <w:rPr>
              <w:sz w:val="21"/>
              <w:szCs w:val="22"/>
            </w:rPr>
            <w:tab/>
          </w:r>
          <w:r>
            <w:rPr>
              <w:rStyle w:val="28"/>
              <w:rFonts w:hint="eastAsia" w:ascii="黑体" w:hAnsi="黑体" w:cs="黑体"/>
            </w:rPr>
            <w:t>内容批价与产品包管理</w:t>
          </w:r>
          <w:r>
            <w:tab/>
          </w:r>
          <w:r>
            <w:fldChar w:fldCharType="begin"/>
          </w:r>
          <w:r>
            <w:instrText xml:space="preserve"> PAGEREF _Toc244679213 \h </w:instrText>
          </w:r>
          <w:r>
            <w:fldChar w:fldCharType="separate"/>
          </w:r>
          <w:r>
            <w:t>27</w:t>
          </w:r>
          <w:r>
            <w:fldChar w:fldCharType="end"/>
          </w:r>
          <w:r>
            <w:fldChar w:fldCharType="end"/>
          </w:r>
        </w:p>
        <w:p w14:paraId="533A1430">
          <w:pPr>
            <w:pStyle w:val="19"/>
            <w:tabs>
              <w:tab w:val="left" w:pos="1260"/>
              <w:tab w:val="right" w:leader="dot" w:pos="8296"/>
            </w:tabs>
            <w:ind w:left="560"/>
            <w:rPr>
              <w:sz w:val="21"/>
              <w:szCs w:val="22"/>
            </w:rPr>
          </w:pPr>
          <w:r>
            <w:fldChar w:fldCharType="begin"/>
          </w:r>
          <w:r>
            <w:instrText xml:space="preserve"> HYPERLINK \l "_Toc244679214" </w:instrText>
          </w:r>
          <w:r>
            <w:fldChar w:fldCharType="separate"/>
          </w:r>
          <w:r>
            <w:rPr>
              <w:rStyle w:val="28"/>
              <w:rFonts w:ascii="黑体" w:hAnsi="黑体" w:cs="黑体"/>
            </w:rPr>
            <w:t>6.7.</w:t>
          </w:r>
          <w:r>
            <w:rPr>
              <w:sz w:val="21"/>
              <w:szCs w:val="22"/>
            </w:rPr>
            <w:tab/>
          </w:r>
          <w:r>
            <w:rPr>
              <w:rStyle w:val="28"/>
              <w:rFonts w:hint="eastAsia" w:ascii="黑体" w:hAnsi="黑体" w:cs="黑体"/>
            </w:rPr>
            <w:t>运营位与搜索配置</w:t>
          </w:r>
          <w:r>
            <w:tab/>
          </w:r>
          <w:r>
            <w:fldChar w:fldCharType="begin"/>
          </w:r>
          <w:r>
            <w:instrText xml:space="preserve"> PAGEREF _Toc244679214 \h </w:instrText>
          </w:r>
          <w:r>
            <w:fldChar w:fldCharType="separate"/>
          </w:r>
          <w:r>
            <w:t>28</w:t>
          </w:r>
          <w:r>
            <w:fldChar w:fldCharType="end"/>
          </w:r>
          <w:r>
            <w:fldChar w:fldCharType="end"/>
          </w:r>
        </w:p>
        <w:p w14:paraId="018C6D96">
          <w:pPr>
            <w:pStyle w:val="19"/>
            <w:tabs>
              <w:tab w:val="left" w:pos="1260"/>
              <w:tab w:val="right" w:leader="dot" w:pos="8296"/>
            </w:tabs>
            <w:ind w:left="560"/>
            <w:rPr>
              <w:sz w:val="21"/>
              <w:szCs w:val="22"/>
            </w:rPr>
          </w:pPr>
          <w:r>
            <w:fldChar w:fldCharType="begin"/>
          </w:r>
          <w:r>
            <w:instrText xml:space="preserve"> HYPERLINK \l "_Toc244679215" </w:instrText>
          </w:r>
          <w:r>
            <w:fldChar w:fldCharType="separate"/>
          </w:r>
          <w:r>
            <w:rPr>
              <w:rStyle w:val="28"/>
              <w:rFonts w:ascii="黑体" w:hAnsi="黑体" w:cs="黑体"/>
            </w:rPr>
            <w:t>6.8.</w:t>
          </w:r>
          <w:r>
            <w:rPr>
              <w:sz w:val="21"/>
              <w:szCs w:val="22"/>
            </w:rPr>
            <w:tab/>
          </w:r>
          <w:r>
            <w:rPr>
              <w:rStyle w:val="28"/>
              <w:rFonts w:hint="eastAsia" w:ascii="黑体" w:hAnsi="黑体" w:cs="黑体"/>
            </w:rPr>
            <w:t>权限与日志</w:t>
          </w:r>
          <w:r>
            <w:tab/>
          </w:r>
          <w:r>
            <w:fldChar w:fldCharType="begin"/>
          </w:r>
          <w:r>
            <w:instrText xml:space="preserve"> PAGEREF _Toc244679215 \h </w:instrText>
          </w:r>
          <w:r>
            <w:fldChar w:fldCharType="separate"/>
          </w:r>
          <w:r>
            <w:t>28</w:t>
          </w:r>
          <w:r>
            <w:fldChar w:fldCharType="end"/>
          </w:r>
          <w:r>
            <w:fldChar w:fldCharType="end"/>
          </w:r>
        </w:p>
        <w:p w14:paraId="1A0A33C4">
          <w:pPr>
            <w:pStyle w:val="19"/>
            <w:tabs>
              <w:tab w:val="left" w:pos="1260"/>
              <w:tab w:val="right" w:leader="dot" w:pos="8296"/>
            </w:tabs>
            <w:ind w:left="560"/>
            <w:rPr>
              <w:sz w:val="21"/>
              <w:szCs w:val="22"/>
            </w:rPr>
          </w:pPr>
          <w:r>
            <w:fldChar w:fldCharType="begin"/>
          </w:r>
          <w:r>
            <w:instrText xml:space="preserve"> HYPERLINK \l "_Toc244679216" </w:instrText>
          </w:r>
          <w:r>
            <w:fldChar w:fldCharType="separate"/>
          </w:r>
          <w:r>
            <w:rPr>
              <w:rStyle w:val="28"/>
              <w:rFonts w:ascii="黑体" w:hAnsi="黑体" w:cs="黑体"/>
            </w:rPr>
            <w:t>6.9.</w:t>
          </w:r>
          <w:r>
            <w:rPr>
              <w:sz w:val="21"/>
              <w:szCs w:val="22"/>
            </w:rPr>
            <w:tab/>
          </w:r>
          <w:r>
            <w:rPr>
              <w:rStyle w:val="28"/>
              <w:rFonts w:hint="eastAsia" w:ascii="黑体" w:hAnsi="黑体" w:cs="黑体"/>
            </w:rPr>
            <w:t>数据同步服务</w:t>
          </w:r>
          <w:r>
            <w:tab/>
          </w:r>
          <w:r>
            <w:fldChar w:fldCharType="begin"/>
          </w:r>
          <w:r>
            <w:instrText xml:space="preserve"> PAGEREF _Toc244679216 \h </w:instrText>
          </w:r>
          <w:r>
            <w:fldChar w:fldCharType="separate"/>
          </w:r>
          <w:r>
            <w:t>29</w:t>
          </w:r>
          <w:r>
            <w:fldChar w:fldCharType="end"/>
          </w:r>
          <w:r>
            <w:fldChar w:fldCharType="end"/>
          </w:r>
        </w:p>
        <w:p w14:paraId="43ED5609">
          <w:pPr>
            <w:pStyle w:val="19"/>
            <w:tabs>
              <w:tab w:val="left" w:pos="1470"/>
              <w:tab w:val="right" w:leader="dot" w:pos="8296"/>
            </w:tabs>
            <w:ind w:left="560"/>
            <w:rPr>
              <w:sz w:val="21"/>
              <w:szCs w:val="22"/>
            </w:rPr>
          </w:pPr>
          <w:r>
            <w:fldChar w:fldCharType="begin"/>
          </w:r>
          <w:r>
            <w:instrText xml:space="preserve"> HYPERLINK \l "_Toc244679217" </w:instrText>
          </w:r>
          <w:r>
            <w:fldChar w:fldCharType="separate"/>
          </w:r>
          <w:r>
            <w:rPr>
              <w:rStyle w:val="28"/>
              <w:rFonts w:ascii="黑体" w:hAnsi="黑体" w:cs="黑体"/>
            </w:rPr>
            <w:t>6.10.</w:t>
          </w:r>
          <w:r>
            <w:rPr>
              <w:sz w:val="21"/>
              <w:szCs w:val="22"/>
            </w:rPr>
            <w:tab/>
          </w:r>
          <w:r>
            <w:rPr>
              <w:rStyle w:val="28"/>
              <w:rFonts w:hint="eastAsia" w:ascii="黑体" w:hAnsi="黑体" w:cs="黑体"/>
            </w:rPr>
            <w:t>与前端的联动要求</w:t>
          </w:r>
          <w:r>
            <w:tab/>
          </w:r>
          <w:r>
            <w:fldChar w:fldCharType="begin"/>
          </w:r>
          <w:r>
            <w:instrText xml:space="preserve"> PAGEREF _Toc244679217 \h </w:instrText>
          </w:r>
          <w:r>
            <w:fldChar w:fldCharType="separate"/>
          </w:r>
          <w:r>
            <w:t>29</w:t>
          </w:r>
          <w:r>
            <w:fldChar w:fldCharType="end"/>
          </w:r>
          <w:r>
            <w:fldChar w:fldCharType="end"/>
          </w:r>
        </w:p>
        <w:p w14:paraId="60347AF8">
          <w:pPr>
            <w:pStyle w:val="19"/>
            <w:tabs>
              <w:tab w:val="left" w:pos="1470"/>
              <w:tab w:val="right" w:leader="dot" w:pos="8296"/>
            </w:tabs>
            <w:ind w:left="560"/>
            <w:rPr>
              <w:sz w:val="21"/>
              <w:szCs w:val="22"/>
            </w:rPr>
          </w:pPr>
          <w:r>
            <w:fldChar w:fldCharType="begin"/>
          </w:r>
          <w:r>
            <w:instrText xml:space="preserve"> HYPERLINK \l "_Toc244679218" </w:instrText>
          </w:r>
          <w:r>
            <w:fldChar w:fldCharType="separate"/>
          </w:r>
          <w:r>
            <w:rPr>
              <w:rStyle w:val="28"/>
              <w:rFonts w:ascii="黑体" w:hAnsi="黑体" w:cs="黑体"/>
            </w:rPr>
            <w:t>6.11.</w:t>
          </w:r>
          <w:r>
            <w:rPr>
              <w:sz w:val="21"/>
              <w:szCs w:val="22"/>
            </w:rPr>
            <w:tab/>
          </w:r>
          <w:r>
            <w:rPr>
              <w:rStyle w:val="28"/>
              <w:rFonts w:hint="eastAsia" w:ascii="黑体" w:hAnsi="黑体" w:cs="黑体"/>
            </w:rPr>
            <w:t>运营效果数据服务</w:t>
          </w:r>
          <w:r>
            <w:tab/>
          </w:r>
          <w:r>
            <w:fldChar w:fldCharType="begin"/>
          </w:r>
          <w:r>
            <w:instrText xml:space="preserve"> PAGEREF _Toc244679218 \h </w:instrText>
          </w:r>
          <w:r>
            <w:fldChar w:fldCharType="separate"/>
          </w:r>
          <w:r>
            <w:t>29</w:t>
          </w:r>
          <w:r>
            <w:fldChar w:fldCharType="end"/>
          </w:r>
          <w:r>
            <w:fldChar w:fldCharType="end"/>
          </w:r>
        </w:p>
        <w:p w14:paraId="095BAE43">
          <w:pPr>
            <w:pStyle w:val="18"/>
            <w:tabs>
              <w:tab w:val="left" w:pos="630"/>
              <w:tab w:val="right" w:leader="dot" w:pos="8296"/>
            </w:tabs>
            <w:rPr>
              <w:sz w:val="21"/>
              <w:szCs w:val="22"/>
            </w:rPr>
          </w:pPr>
          <w:r>
            <w:fldChar w:fldCharType="begin"/>
          </w:r>
          <w:r>
            <w:instrText xml:space="preserve"> HYPERLINK \l "_Toc244679219" </w:instrText>
          </w:r>
          <w:r>
            <w:fldChar w:fldCharType="separate"/>
          </w:r>
          <w:r>
            <w:rPr>
              <w:rStyle w:val="28"/>
              <w:rFonts w:ascii="黑体" w:hAnsi="黑体" w:eastAsia="黑体" w:cs="黑体"/>
            </w:rPr>
            <w:t>7.</w:t>
          </w:r>
          <w:r>
            <w:rPr>
              <w:sz w:val="21"/>
              <w:szCs w:val="22"/>
            </w:rPr>
            <w:tab/>
          </w:r>
          <w:r>
            <w:rPr>
              <w:rStyle w:val="28"/>
              <w:rFonts w:hint="eastAsia" w:ascii="黑体" w:hAnsi="黑体" w:eastAsia="黑体" w:cs="黑体"/>
            </w:rPr>
            <w:t>产品可靠性与安全性要求</w:t>
          </w:r>
          <w:r>
            <w:tab/>
          </w:r>
          <w:r>
            <w:fldChar w:fldCharType="begin"/>
          </w:r>
          <w:r>
            <w:instrText xml:space="preserve"> PAGEREF _Toc244679219 \h </w:instrText>
          </w:r>
          <w:r>
            <w:fldChar w:fldCharType="separate"/>
          </w:r>
          <w:r>
            <w:t>30</w:t>
          </w:r>
          <w:r>
            <w:fldChar w:fldCharType="end"/>
          </w:r>
          <w:r>
            <w:fldChar w:fldCharType="end"/>
          </w:r>
        </w:p>
        <w:p w14:paraId="3C1DDEC1">
          <w:pPr>
            <w:pStyle w:val="19"/>
            <w:tabs>
              <w:tab w:val="left" w:pos="1260"/>
              <w:tab w:val="right" w:leader="dot" w:pos="8296"/>
            </w:tabs>
            <w:ind w:left="560"/>
            <w:rPr>
              <w:sz w:val="21"/>
              <w:szCs w:val="22"/>
            </w:rPr>
          </w:pPr>
          <w:r>
            <w:fldChar w:fldCharType="begin"/>
          </w:r>
          <w:r>
            <w:instrText xml:space="preserve"> HYPERLINK \l "_Toc244679220" </w:instrText>
          </w:r>
          <w:r>
            <w:fldChar w:fldCharType="separate"/>
          </w:r>
          <w:r>
            <w:rPr>
              <w:rStyle w:val="28"/>
              <w:rFonts w:ascii="黑体" w:hAnsi="黑体" w:cs="黑体"/>
            </w:rPr>
            <w:t>7.1.</w:t>
          </w:r>
          <w:r>
            <w:rPr>
              <w:sz w:val="21"/>
              <w:szCs w:val="22"/>
            </w:rPr>
            <w:tab/>
          </w:r>
          <w:r>
            <w:rPr>
              <w:rStyle w:val="28"/>
              <w:rFonts w:hint="eastAsia" w:ascii="黑体" w:hAnsi="黑体" w:cs="黑体"/>
            </w:rPr>
            <w:t>兼容性要求</w:t>
          </w:r>
          <w:r>
            <w:tab/>
          </w:r>
          <w:r>
            <w:fldChar w:fldCharType="begin"/>
          </w:r>
          <w:r>
            <w:instrText xml:space="preserve"> PAGEREF _Toc244679220 \h </w:instrText>
          </w:r>
          <w:r>
            <w:fldChar w:fldCharType="separate"/>
          </w:r>
          <w:r>
            <w:t>30</w:t>
          </w:r>
          <w:r>
            <w:fldChar w:fldCharType="end"/>
          </w:r>
          <w:r>
            <w:fldChar w:fldCharType="end"/>
          </w:r>
        </w:p>
        <w:p w14:paraId="71E3BCE2">
          <w:pPr>
            <w:pStyle w:val="19"/>
            <w:tabs>
              <w:tab w:val="left" w:pos="1260"/>
              <w:tab w:val="right" w:leader="dot" w:pos="8296"/>
            </w:tabs>
            <w:ind w:left="560"/>
            <w:rPr>
              <w:sz w:val="21"/>
              <w:szCs w:val="22"/>
            </w:rPr>
          </w:pPr>
          <w:r>
            <w:fldChar w:fldCharType="begin"/>
          </w:r>
          <w:r>
            <w:instrText xml:space="preserve"> HYPERLINK \l "_Toc244679221" </w:instrText>
          </w:r>
          <w:r>
            <w:fldChar w:fldCharType="separate"/>
          </w:r>
          <w:r>
            <w:rPr>
              <w:rStyle w:val="28"/>
              <w:rFonts w:ascii="黑体" w:hAnsi="黑体" w:cs="黑体"/>
            </w:rPr>
            <w:t>7.2.</w:t>
          </w:r>
          <w:r>
            <w:rPr>
              <w:sz w:val="21"/>
              <w:szCs w:val="22"/>
            </w:rPr>
            <w:tab/>
          </w:r>
          <w:r>
            <w:rPr>
              <w:rStyle w:val="28"/>
              <w:rFonts w:hint="eastAsia" w:ascii="黑体" w:hAnsi="黑体" w:cs="黑体"/>
            </w:rPr>
            <w:t>可靠性要求</w:t>
          </w:r>
          <w:r>
            <w:tab/>
          </w:r>
          <w:r>
            <w:fldChar w:fldCharType="begin"/>
          </w:r>
          <w:r>
            <w:instrText xml:space="preserve"> PAGEREF _Toc244679221 \h </w:instrText>
          </w:r>
          <w:r>
            <w:fldChar w:fldCharType="separate"/>
          </w:r>
          <w:r>
            <w:t>30</w:t>
          </w:r>
          <w:r>
            <w:fldChar w:fldCharType="end"/>
          </w:r>
          <w:r>
            <w:fldChar w:fldCharType="end"/>
          </w:r>
        </w:p>
        <w:p w14:paraId="5FADDFEB">
          <w:pPr>
            <w:pStyle w:val="19"/>
            <w:tabs>
              <w:tab w:val="left" w:pos="1260"/>
              <w:tab w:val="right" w:leader="dot" w:pos="8296"/>
            </w:tabs>
            <w:ind w:left="560"/>
            <w:rPr>
              <w:sz w:val="21"/>
              <w:szCs w:val="22"/>
            </w:rPr>
          </w:pPr>
          <w:r>
            <w:fldChar w:fldCharType="begin"/>
          </w:r>
          <w:r>
            <w:instrText xml:space="preserve"> HYPERLINK \l "_Toc244679222" </w:instrText>
          </w:r>
          <w:r>
            <w:fldChar w:fldCharType="separate"/>
          </w:r>
          <w:r>
            <w:rPr>
              <w:rStyle w:val="28"/>
              <w:rFonts w:ascii="黑体" w:hAnsi="黑体" w:cs="黑体"/>
            </w:rPr>
            <w:t>7.3.</w:t>
          </w:r>
          <w:r>
            <w:rPr>
              <w:sz w:val="21"/>
              <w:szCs w:val="22"/>
            </w:rPr>
            <w:tab/>
          </w:r>
          <w:r>
            <w:rPr>
              <w:rStyle w:val="28"/>
              <w:rFonts w:hint="eastAsia" w:ascii="黑体" w:hAnsi="黑体" w:cs="黑体"/>
            </w:rPr>
            <w:t>安全性要求</w:t>
          </w:r>
          <w:r>
            <w:tab/>
          </w:r>
          <w:r>
            <w:fldChar w:fldCharType="begin"/>
          </w:r>
          <w:r>
            <w:instrText xml:space="preserve"> PAGEREF _Toc244679222 \h </w:instrText>
          </w:r>
          <w:r>
            <w:fldChar w:fldCharType="separate"/>
          </w:r>
          <w:r>
            <w:t>31</w:t>
          </w:r>
          <w:r>
            <w:fldChar w:fldCharType="end"/>
          </w:r>
          <w:r>
            <w:fldChar w:fldCharType="end"/>
          </w:r>
        </w:p>
        <w:p w14:paraId="114404AD">
          <w:pPr>
            <w:pStyle w:val="19"/>
            <w:tabs>
              <w:tab w:val="left" w:pos="1260"/>
              <w:tab w:val="right" w:leader="dot" w:pos="8296"/>
            </w:tabs>
            <w:ind w:left="560"/>
            <w:rPr>
              <w:sz w:val="21"/>
              <w:szCs w:val="22"/>
            </w:rPr>
          </w:pPr>
          <w:r>
            <w:fldChar w:fldCharType="begin"/>
          </w:r>
          <w:r>
            <w:instrText xml:space="preserve"> HYPERLINK \l "_Toc244679223" </w:instrText>
          </w:r>
          <w:r>
            <w:fldChar w:fldCharType="separate"/>
          </w:r>
          <w:r>
            <w:rPr>
              <w:rStyle w:val="28"/>
              <w:rFonts w:ascii="黑体" w:hAnsi="黑体" w:cs="黑体"/>
            </w:rPr>
            <w:t>7.4.</w:t>
          </w:r>
          <w:r>
            <w:rPr>
              <w:sz w:val="21"/>
              <w:szCs w:val="22"/>
            </w:rPr>
            <w:tab/>
          </w:r>
          <w:r>
            <w:rPr>
              <w:rStyle w:val="28"/>
              <w:rFonts w:hint="eastAsia" w:ascii="黑体" w:hAnsi="黑体" w:cs="黑体"/>
            </w:rPr>
            <w:t>性能与容量要求</w:t>
          </w:r>
          <w:r>
            <w:tab/>
          </w:r>
          <w:r>
            <w:fldChar w:fldCharType="begin"/>
          </w:r>
          <w:r>
            <w:instrText xml:space="preserve"> PAGEREF _Toc244679223 \h </w:instrText>
          </w:r>
          <w:r>
            <w:fldChar w:fldCharType="separate"/>
          </w:r>
          <w:r>
            <w:t>31</w:t>
          </w:r>
          <w:r>
            <w:fldChar w:fldCharType="end"/>
          </w:r>
          <w:r>
            <w:fldChar w:fldCharType="end"/>
          </w:r>
        </w:p>
        <w:p w14:paraId="440760A0">
          <w:pPr>
            <w:pStyle w:val="18"/>
            <w:tabs>
              <w:tab w:val="left" w:pos="630"/>
              <w:tab w:val="right" w:leader="dot" w:pos="8296"/>
            </w:tabs>
            <w:rPr>
              <w:sz w:val="21"/>
              <w:szCs w:val="22"/>
            </w:rPr>
          </w:pPr>
          <w:r>
            <w:fldChar w:fldCharType="begin"/>
          </w:r>
          <w:r>
            <w:instrText xml:space="preserve"> HYPERLINK \l "_Toc244679224" </w:instrText>
          </w:r>
          <w:r>
            <w:fldChar w:fldCharType="separate"/>
          </w:r>
          <w:r>
            <w:rPr>
              <w:rStyle w:val="28"/>
              <w:rFonts w:ascii="黑体" w:hAnsi="黑体" w:eastAsia="黑体" w:cs="黑体"/>
            </w:rPr>
            <w:t>8.</w:t>
          </w:r>
          <w:r>
            <w:rPr>
              <w:sz w:val="21"/>
              <w:szCs w:val="22"/>
            </w:rPr>
            <w:tab/>
          </w:r>
          <w:r>
            <w:rPr>
              <w:rStyle w:val="28"/>
              <w:rFonts w:hint="eastAsia"/>
            </w:rPr>
            <w:t>产品交付与售后服务要求</w:t>
          </w:r>
          <w:r>
            <w:tab/>
          </w:r>
          <w:r>
            <w:fldChar w:fldCharType="begin"/>
          </w:r>
          <w:r>
            <w:instrText xml:space="preserve"> PAGEREF _Toc244679224 \h </w:instrText>
          </w:r>
          <w:r>
            <w:fldChar w:fldCharType="separate"/>
          </w:r>
          <w:r>
            <w:t>32</w:t>
          </w:r>
          <w:r>
            <w:fldChar w:fldCharType="end"/>
          </w:r>
          <w:r>
            <w:fldChar w:fldCharType="end"/>
          </w:r>
        </w:p>
        <w:p w14:paraId="16DCF50C">
          <w:pPr>
            <w:pStyle w:val="19"/>
            <w:tabs>
              <w:tab w:val="left" w:pos="1260"/>
              <w:tab w:val="right" w:leader="dot" w:pos="8296"/>
            </w:tabs>
            <w:ind w:left="560"/>
            <w:rPr>
              <w:sz w:val="21"/>
              <w:szCs w:val="22"/>
            </w:rPr>
          </w:pPr>
          <w:r>
            <w:fldChar w:fldCharType="begin"/>
          </w:r>
          <w:r>
            <w:instrText xml:space="preserve"> HYPERLINK \l "_Toc244679225" </w:instrText>
          </w:r>
          <w:r>
            <w:fldChar w:fldCharType="separate"/>
          </w:r>
          <w:r>
            <w:rPr>
              <w:rStyle w:val="28"/>
              <w:rFonts w:ascii="黑体" w:hAnsi="黑体" w:cs="黑体"/>
            </w:rPr>
            <w:t>8.1.</w:t>
          </w:r>
          <w:r>
            <w:rPr>
              <w:sz w:val="21"/>
              <w:szCs w:val="22"/>
            </w:rPr>
            <w:tab/>
          </w:r>
          <w:r>
            <w:rPr>
              <w:rStyle w:val="28"/>
              <w:rFonts w:hint="eastAsia" w:ascii="Times New Roman" w:hAnsi="Times New Roman" w:eastAsia="微软雅黑"/>
            </w:rPr>
            <w:t>实施与培训</w:t>
          </w:r>
          <w:r>
            <w:tab/>
          </w:r>
          <w:r>
            <w:fldChar w:fldCharType="begin"/>
          </w:r>
          <w:r>
            <w:instrText xml:space="preserve"> PAGEREF _Toc244679225 \h </w:instrText>
          </w:r>
          <w:r>
            <w:fldChar w:fldCharType="separate"/>
          </w:r>
          <w:r>
            <w:t>32</w:t>
          </w:r>
          <w:r>
            <w:fldChar w:fldCharType="end"/>
          </w:r>
          <w:r>
            <w:fldChar w:fldCharType="end"/>
          </w:r>
        </w:p>
        <w:p w14:paraId="2F2EB169">
          <w:pPr>
            <w:pStyle w:val="19"/>
            <w:tabs>
              <w:tab w:val="left" w:pos="1260"/>
              <w:tab w:val="right" w:leader="dot" w:pos="8296"/>
            </w:tabs>
            <w:ind w:left="560"/>
            <w:rPr>
              <w:sz w:val="21"/>
              <w:szCs w:val="22"/>
            </w:rPr>
          </w:pPr>
          <w:r>
            <w:fldChar w:fldCharType="begin"/>
          </w:r>
          <w:r>
            <w:instrText xml:space="preserve"> HYPERLINK \l "_Toc244679226" </w:instrText>
          </w:r>
          <w:r>
            <w:fldChar w:fldCharType="separate"/>
          </w:r>
          <w:r>
            <w:rPr>
              <w:rStyle w:val="28"/>
              <w:rFonts w:ascii="黑体" w:hAnsi="黑体" w:cs="黑体"/>
            </w:rPr>
            <w:t>8.2.</w:t>
          </w:r>
          <w:r>
            <w:rPr>
              <w:sz w:val="21"/>
              <w:szCs w:val="22"/>
            </w:rPr>
            <w:tab/>
          </w:r>
          <w:r>
            <w:rPr>
              <w:rStyle w:val="28"/>
              <w:rFonts w:hint="eastAsia" w:ascii="Times New Roman" w:hAnsi="Times New Roman" w:eastAsia="微软雅黑"/>
            </w:rPr>
            <w:t>售后服务</w:t>
          </w:r>
          <w:r>
            <w:tab/>
          </w:r>
          <w:r>
            <w:fldChar w:fldCharType="begin"/>
          </w:r>
          <w:r>
            <w:instrText xml:space="preserve"> PAGEREF _Toc244679226 \h </w:instrText>
          </w:r>
          <w:r>
            <w:fldChar w:fldCharType="separate"/>
          </w:r>
          <w:r>
            <w:t>32</w:t>
          </w:r>
          <w:r>
            <w:fldChar w:fldCharType="end"/>
          </w:r>
          <w:r>
            <w:fldChar w:fldCharType="end"/>
          </w:r>
        </w:p>
        <w:p w14:paraId="63ECDD93">
          <w:pPr>
            <w:spacing w:line="360" w:lineRule="auto"/>
            <w:rPr>
              <w:rFonts w:ascii="黑体" w:hAnsi="黑体" w:eastAsia="黑体" w:cs="黑体"/>
              <w:sz w:val="24"/>
            </w:rPr>
          </w:pPr>
          <w:r>
            <w:rPr>
              <w:rFonts w:hint="eastAsia" w:ascii="黑体" w:hAnsi="黑体" w:eastAsia="黑体" w:cs="黑体"/>
              <w:sz w:val="24"/>
            </w:rPr>
            <w:fldChar w:fldCharType="end"/>
          </w:r>
        </w:p>
      </w:sdtContent>
    </w:sdt>
    <w:p w14:paraId="3F03AB3D">
      <w:pPr>
        <w:spacing w:line="360" w:lineRule="auto"/>
        <w:rPr>
          <w:rFonts w:ascii="黑体" w:hAnsi="黑体" w:eastAsia="黑体" w:cs="黑体"/>
          <w:sz w:val="24"/>
        </w:rPr>
      </w:pPr>
    </w:p>
    <w:p w14:paraId="2872EC32">
      <w:pPr>
        <w:widowControl/>
        <w:spacing w:line="360" w:lineRule="auto"/>
        <w:jc w:val="center"/>
        <w:rPr>
          <w:rFonts w:ascii="黑体" w:hAnsi="黑体" w:eastAsia="黑体" w:cs="Times New Roman"/>
          <w:sz w:val="48"/>
          <w:szCs w:val="48"/>
        </w:rPr>
      </w:pPr>
      <w:r>
        <w:rPr>
          <w:rFonts w:ascii="黑体" w:hAnsi="黑体" w:eastAsia="黑体" w:cs="Times New Roman"/>
          <w:sz w:val="48"/>
          <w:szCs w:val="48"/>
        </w:rPr>
        <w:br w:type="page"/>
      </w:r>
    </w:p>
    <w:p w14:paraId="5AA59993">
      <w:pPr>
        <w:pStyle w:val="2"/>
        <w:spacing w:before="320" w:after="320" w:line="360" w:lineRule="auto"/>
        <w:ind w:left="0" w:firstLine="0"/>
        <w:rPr>
          <w:rFonts w:ascii="黑体" w:hAnsi="黑体" w:eastAsia="黑体" w:cs="黑体"/>
        </w:rPr>
      </w:pPr>
      <w:bookmarkStart w:id="420" w:name="_GoBack"/>
      <w:bookmarkEnd w:id="420"/>
      <w:bookmarkStart w:id="0" w:name="_Ref5597"/>
      <w:bookmarkStart w:id="1" w:name="_Toc20732"/>
      <w:bookmarkStart w:id="2" w:name="_Toc244679175"/>
      <w:r>
        <w:rPr>
          <w:rFonts w:hint="eastAsia" w:ascii="黑体" w:hAnsi="黑体" w:eastAsia="黑体" w:cs="黑体"/>
        </w:rPr>
        <w:t>项目概述</w:t>
      </w:r>
      <w:bookmarkEnd w:id="0"/>
      <w:bookmarkEnd w:id="1"/>
      <w:bookmarkEnd w:id="2"/>
    </w:p>
    <w:p w14:paraId="41115B06">
      <w:pPr>
        <w:spacing w:line="360" w:lineRule="auto"/>
        <w:ind w:firstLine="480" w:firstLineChars="200"/>
        <w:rPr>
          <w:rFonts w:ascii="宋体" w:hAnsi="宋体" w:eastAsia="宋体" w:cs="宋体"/>
          <w:sz w:val="24"/>
        </w:rPr>
      </w:pPr>
      <w:r>
        <w:rPr>
          <w:rFonts w:hint="eastAsia" w:ascii="宋体" w:hAnsi="宋体" w:eastAsia="宋体" w:cs="宋体"/>
          <w:sz w:val="24"/>
        </w:rPr>
        <w:t>本项目为产品采购项目。采购标的为可在广东IPTV移动平台合规使用的一套完整的、具备平台运营能力的体育赛事专区产品（以下简称"本产品"），包括体育赛事专区前端页面产品及配套的体育运营平台软件产品。</w:t>
      </w:r>
    </w:p>
    <w:p w14:paraId="49DCD220">
      <w:pPr>
        <w:pStyle w:val="3"/>
        <w:spacing w:before="120" w:after="120" w:line="360" w:lineRule="auto"/>
        <w:ind w:left="573" w:hanging="573"/>
        <w:rPr>
          <w:rFonts w:ascii="黑体" w:hAnsi="黑体" w:cs="黑体"/>
          <w:sz w:val="28"/>
          <w:szCs w:val="28"/>
        </w:rPr>
      </w:pPr>
      <w:bookmarkStart w:id="3" w:name="s1-1"/>
      <w:bookmarkEnd w:id="3"/>
      <w:bookmarkStart w:id="4" w:name="_Toc20555"/>
      <w:bookmarkStart w:id="5" w:name="_Toc28214"/>
      <w:bookmarkStart w:id="6" w:name="_Toc15512"/>
      <w:bookmarkStart w:id="7" w:name="_Toc244679176"/>
      <w:bookmarkStart w:id="8" w:name="_Toc16410"/>
      <w:bookmarkStart w:id="9" w:name="_Toc_s1_1"/>
      <w:bookmarkStart w:id="10" w:name="_Toc25925"/>
      <w:bookmarkStart w:id="11" w:name="_Toc17501"/>
      <w:bookmarkStart w:id="12" w:name="_Toc3733"/>
      <w:r>
        <w:rPr>
          <w:rFonts w:hint="eastAsia" w:ascii="黑体" w:hAnsi="黑体" w:cs="黑体"/>
          <w:sz w:val="28"/>
          <w:szCs w:val="28"/>
        </w:rPr>
        <w:t>项目背景与采购标的</w:t>
      </w:r>
      <w:bookmarkEnd w:id="4"/>
      <w:bookmarkEnd w:id="5"/>
      <w:bookmarkEnd w:id="6"/>
      <w:bookmarkEnd w:id="7"/>
      <w:bookmarkEnd w:id="8"/>
      <w:bookmarkEnd w:id="9"/>
      <w:bookmarkEnd w:id="10"/>
      <w:bookmarkEnd w:id="11"/>
      <w:bookmarkEnd w:id="12"/>
    </w:p>
    <w:p w14:paraId="549CBA4A">
      <w:pPr>
        <w:numPr>
          <w:ilvl w:val="255"/>
          <w:numId w:val="0"/>
        </w:numPr>
        <w:spacing w:line="360" w:lineRule="auto"/>
        <w:ind w:firstLine="420"/>
        <w:rPr>
          <w:rFonts w:ascii="宋体" w:hAnsi="宋体" w:eastAsia="宋体" w:cs="宋体"/>
          <w:b/>
          <w:bCs/>
          <w:sz w:val="24"/>
        </w:rPr>
      </w:pPr>
      <w:r>
        <w:rPr>
          <w:rFonts w:ascii="宋体" w:hAnsi="宋体" w:eastAsia="宋体" w:cs="宋体"/>
          <w:sz w:val="24"/>
        </w:rPr>
        <w:t>当前</w:t>
      </w:r>
      <w:r>
        <w:rPr>
          <w:rFonts w:hint="eastAsia" w:ascii="宋体" w:hAnsi="宋体" w:eastAsia="宋体" w:cs="宋体"/>
          <w:sz w:val="24"/>
        </w:rPr>
        <w:t>广东移动IPTV用户规模持续扩大，用户对高品质、多元化内容的需求日益增长，尤其在体育领域，用户对赛事直播、专业解说、健身指导、体育资讯等内容的期待不断提升。为进一步丰富平台内容生态，提升用户黏性与满意度，广东移动</w:t>
      </w:r>
      <w:r>
        <w:rPr>
          <w:rFonts w:ascii="宋体" w:hAnsi="宋体" w:eastAsia="宋体" w:cs="宋体"/>
          <w:sz w:val="24"/>
        </w:rPr>
        <w:t>也</w:t>
      </w:r>
      <w:r>
        <w:rPr>
          <w:rFonts w:hint="eastAsia" w:ascii="宋体" w:hAnsi="宋体" w:eastAsia="宋体" w:cs="宋体"/>
          <w:sz w:val="24"/>
        </w:rPr>
        <w:t>希望引入体系完善、品类齐全的体育产品，涵盖热门赛事版权、垂类体育栏目、互动健身内容等多种形态，以差异化体育内容增强IPTV平台竞争力。持续优化用户收视体验，助力广东移动IPTV</w:t>
      </w:r>
      <w:r>
        <w:rPr>
          <w:rFonts w:ascii="宋体" w:hAnsi="宋体" w:eastAsia="宋体" w:cs="宋体"/>
          <w:sz w:val="24"/>
        </w:rPr>
        <w:t>打造更具吸引力的产品</w:t>
      </w:r>
      <w:r>
        <w:rPr>
          <w:rFonts w:hint="eastAsia" w:ascii="宋体" w:hAnsi="宋体" w:eastAsia="宋体" w:cs="宋体"/>
          <w:sz w:val="24"/>
        </w:rPr>
        <w:t>服务体系。</w:t>
      </w:r>
      <w:bookmarkStart w:id="13" w:name="OLE_LINK3"/>
      <w:bookmarkStart w:id="14" w:name="OLE_LINK2"/>
      <w:r>
        <w:rPr>
          <w:rFonts w:hint="eastAsia" w:ascii="宋体" w:hAnsi="宋体" w:eastAsia="宋体" w:cs="宋体"/>
          <w:b/>
          <w:bCs/>
          <w:sz w:val="24"/>
        </w:rPr>
        <w:t>=</w:t>
      </w:r>
      <w:bookmarkEnd w:id="13"/>
      <w:bookmarkEnd w:id="14"/>
    </w:p>
    <w:p w14:paraId="4642BA38">
      <w:pPr>
        <w:numPr>
          <w:ilvl w:val="255"/>
          <w:numId w:val="0"/>
        </w:numPr>
        <w:spacing w:line="360" w:lineRule="auto"/>
        <w:ind w:firstLine="420"/>
        <w:rPr>
          <w:rFonts w:ascii="宋体" w:hAnsi="宋体" w:eastAsia="宋体" w:cs="宋体"/>
          <w:sz w:val="24"/>
        </w:rPr>
      </w:pPr>
      <w:r>
        <w:rPr>
          <w:rFonts w:hint="eastAsia" w:ascii="宋体" w:hAnsi="宋体" w:eastAsia="宋体" w:cs="宋体"/>
          <w:sz w:val="24"/>
        </w:rPr>
        <w:t>体育赛事运营相较于常规视频业务存在本质差异：赛事进程、比分与结果实时动态变化，具有高实时性与强不确定性；赛事本身仅为基础素材，须依托实时数据、历史数据与专业分析进行二次加工，形成"数据+内容"的复合产品；重大赛事期间多赛事并行、多路解说、多视角信号并存，资源调度与内容编排复杂度显著高于常规业务；同时赛事运营具有显著的周期性，重大赛事节点密集，对平台运营支撑能力提出极高要求。家庭大屏凭借超大尺寸、高清画质、沉浸式观看体验等天然优势，成为体育赛事观看的首选终端。当前国内综合体育赛事运营平台已形成"优质内容+尖端技术+闭环服务+活跃社群"的全生态竞争格局，采购人需将优质体育内容集成至整体业务体系，通过采购成熟产品提升系统支撑能力，增强用户粘性，挖掘家庭大屏场景下的体育消费价值。</w:t>
      </w:r>
    </w:p>
    <w:p w14:paraId="66E83F10">
      <w:pPr>
        <w:numPr>
          <w:ilvl w:val="255"/>
          <w:numId w:val="0"/>
        </w:numPr>
        <w:spacing w:line="360" w:lineRule="auto"/>
        <w:ind w:firstLine="420"/>
        <w:rPr>
          <w:rFonts w:ascii="宋体" w:hAnsi="宋体" w:eastAsia="宋体" w:cs="宋体"/>
          <w:sz w:val="24"/>
        </w:rPr>
      </w:pPr>
      <w:r>
        <w:rPr>
          <w:rFonts w:hint="eastAsia" w:ascii="宋体" w:hAnsi="宋体" w:eastAsia="宋体" w:cs="宋体"/>
          <w:sz w:val="24"/>
        </w:rPr>
        <w:t>采购人现有EPG体系围绕"影视剧综"等确定性内容设计，在体育赛事运营场景中支撑能力不足，主要表现为：外部赛事数据与内容整合不足，缺乏统一的赛事数据对接体系与第三方内容集成能力；体育特色组件与赛事场景化展示支持欠缺；运营架构围绕固定排播表设计，难以适应体育赛事的高实时性与强不确定性；海报处理、内容上下线编排等环节高度依赖人工，重大赛事集中运营场景下运营成本高、效率受限。</w:t>
      </w:r>
    </w:p>
    <w:p w14:paraId="5BF17A23">
      <w:pPr>
        <w:numPr>
          <w:ilvl w:val="255"/>
          <w:numId w:val="0"/>
        </w:numPr>
        <w:spacing w:line="360" w:lineRule="auto"/>
        <w:ind w:firstLine="420"/>
        <w:rPr>
          <w:rFonts w:ascii="宋体" w:hAnsi="宋体" w:eastAsia="宋体" w:cs="宋体"/>
          <w:sz w:val="24"/>
        </w:rPr>
      </w:pPr>
      <w:r>
        <w:rPr>
          <w:rFonts w:hint="eastAsia" w:ascii="宋体" w:hAnsi="宋体" w:eastAsia="宋体" w:cs="宋体"/>
          <w:sz w:val="24"/>
        </w:rPr>
        <w:t>为此，采购人拟采购一套成熟的体育赛事专区产品。本产品应为一套已具备商用落地能力的产品化交付成果，涵盖前端体育赛事专区页面、体育赛事数据展示能力及配套的体育运营平台软件，须与采购人现有EPG体系、用户账号体系、计费鉴权体系及内容播控体系无缝对接，实现体育内容与赛事数据的统一接入、统一编排与统一运营，推动体育业务从"功能支撑"向"业务赋能"转型。</w:t>
      </w:r>
    </w:p>
    <w:p w14:paraId="0FDA5DE2">
      <w:pPr>
        <w:pStyle w:val="3"/>
        <w:spacing w:before="120" w:after="120" w:line="360" w:lineRule="auto"/>
        <w:ind w:left="573" w:hanging="573"/>
        <w:rPr>
          <w:rFonts w:ascii="黑体" w:hAnsi="黑体" w:cs="黑体"/>
          <w:sz w:val="28"/>
          <w:szCs w:val="28"/>
        </w:rPr>
      </w:pPr>
      <w:bookmarkStart w:id="15" w:name="s1-2"/>
      <w:bookmarkEnd w:id="15"/>
      <w:bookmarkStart w:id="16" w:name="_Toc31912"/>
      <w:bookmarkStart w:id="17" w:name="_Toc244679177"/>
      <w:bookmarkStart w:id="18" w:name="_Toc8700"/>
      <w:bookmarkStart w:id="19" w:name="_Toc_s1_2"/>
      <w:bookmarkStart w:id="20" w:name="_Toc8472"/>
      <w:bookmarkStart w:id="21" w:name="_Toc8608"/>
      <w:bookmarkStart w:id="22" w:name="_Toc11669"/>
      <w:bookmarkStart w:id="23" w:name="_Toc1950"/>
      <w:bookmarkStart w:id="24" w:name="_Toc17645"/>
      <w:r>
        <w:rPr>
          <w:rFonts w:hint="eastAsia" w:ascii="黑体" w:hAnsi="黑体" w:cs="黑体"/>
          <w:sz w:val="28"/>
          <w:szCs w:val="28"/>
        </w:rPr>
        <w:t>采购范围与核心要点</w:t>
      </w:r>
      <w:bookmarkEnd w:id="16"/>
      <w:bookmarkEnd w:id="17"/>
      <w:bookmarkEnd w:id="18"/>
      <w:bookmarkEnd w:id="19"/>
      <w:bookmarkEnd w:id="20"/>
      <w:bookmarkEnd w:id="21"/>
      <w:bookmarkEnd w:id="22"/>
      <w:bookmarkEnd w:id="23"/>
      <w:bookmarkEnd w:id="24"/>
    </w:p>
    <w:p w14:paraId="48520C8C">
      <w:pPr>
        <w:spacing w:line="360" w:lineRule="auto"/>
        <w:ind w:firstLine="420"/>
        <w:rPr>
          <w:rFonts w:ascii="宋体" w:hAnsi="宋体" w:eastAsia="宋体" w:cs="宋体"/>
          <w:sz w:val="24"/>
        </w:rPr>
      </w:pPr>
      <w:r>
        <w:rPr>
          <w:rFonts w:hint="eastAsia" w:ascii="宋体" w:hAnsi="宋体" w:eastAsia="宋体" w:cs="宋体"/>
          <w:sz w:val="24"/>
        </w:rPr>
        <w:t>本项目采购范围包括以下两个部分：</w:t>
      </w:r>
    </w:p>
    <w:p w14:paraId="23348F08">
      <w:pPr>
        <w:numPr>
          <w:ilvl w:val="0"/>
          <w:numId w:val="3"/>
        </w:numPr>
        <w:spacing w:line="360" w:lineRule="auto"/>
        <w:rPr>
          <w:rFonts w:ascii="宋体" w:hAnsi="宋体" w:eastAsia="宋体" w:cs="宋体"/>
          <w:sz w:val="24"/>
        </w:rPr>
      </w:pPr>
      <w:r>
        <w:rPr>
          <w:rFonts w:hint="eastAsia" w:ascii="宋体" w:hAnsi="宋体" w:eastAsia="宋体" w:cs="宋体"/>
          <w:sz w:val="24"/>
        </w:rPr>
        <w:t>体育赛事专区产品许可与实施：前端体育赛事专区页面产品与体育运营平台软件产品的许可、部署实施、与采购人现有体系的对接集成及试运行，产品须为成熟产品化交付，包括约定期限内的版本升级与缺陷修复。</w:t>
      </w:r>
    </w:p>
    <w:p w14:paraId="0B5D7074">
      <w:pPr>
        <w:numPr>
          <w:ilvl w:val="0"/>
          <w:numId w:val="3"/>
        </w:numPr>
        <w:spacing w:line="360" w:lineRule="auto"/>
        <w:rPr>
          <w:rFonts w:ascii="宋体" w:hAnsi="宋体" w:eastAsia="宋体" w:cs="宋体"/>
          <w:sz w:val="24"/>
        </w:rPr>
      </w:pPr>
      <w:r>
        <w:rPr>
          <w:rFonts w:hint="eastAsia" w:ascii="宋体" w:hAnsi="宋体" w:eastAsia="宋体" w:cs="宋体"/>
          <w:sz w:val="24"/>
        </w:rPr>
        <w:t>赛事数据与内容对接服务：上游体育内容与赛事数据的接入、同步、治理与本地化管理能力建设，覆盖赛事、赛季、比赛三层赛事数据及组件数据的实时同步。</w:t>
      </w:r>
    </w:p>
    <w:p w14:paraId="56A2D387">
      <w:pPr>
        <w:spacing w:line="360" w:lineRule="auto"/>
        <w:ind w:firstLine="420"/>
        <w:rPr>
          <w:rFonts w:ascii="宋体" w:hAnsi="宋体" w:eastAsia="宋体" w:cs="宋体"/>
          <w:sz w:val="24"/>
        </w:rPr>
      </w:pPr>
      <w:r>
        <w:rPr>
          <w:rFonts w:hint="eastAsia" w:ascii="宋体" w:hAnsi="宋体" w:eastAsia="宋体" w:cs="宋体"/>
          <w:sz w:val="24"/>
        </w:rPr>
        <w:t>本项目所采购产品的核心要点如下：</w:t>
      </w:r>
    </w:p>
    <w:p w14:paraId="4198B5D9">
      <w:pPr>
        <w:numPr>
          <w:ilvl w:val="0"/>
          <w:numId w:val="4"/>
        </w:numPr>
        <w:spacing w:line="360" w:lineRule="auto"/>
        <w:ind w:left="0" w:firstLine="0"/>
        <w:rPr>
          <w:rFonts w:ascii="宋体" w:hAnsi="宋体" w:eastAsia="宋体" w:cs="宋体"/>
          <w:sz w:val="24"/>
        </w:rPr>
      </w:pPr>
      <w:r>
        <w:rPr>
          <w:rFonts w:hint="eastAsia" w:ascii="宋体" w:hAnsi="宋体" w:eastAsia="宋体" w:cs="宋体"/>
          <w:sz w:val="24"/>
        </w:rPr>
        <w:t>★供应商须具备附件一《赛事列表》所列全部赛事对应的在广东IPTV移动平台的合法版权使用资质，有权在本次招标产品上对接、上线上述赛事相关内容。本次招标采购标的为体育赛事产品，采购范围不含赛事版权及赛事音视频内容；本次体育赛事产品须为适配上述赛事版权体系的专用产品，产品能力须覆盖附件一《赛事列表》所列版权赛事并全面支持联赛、杯赛、综合赛事等多种比赛类型的数据展示，产品能支持由采购人和广东移动引入的国家或广东省专项赛事的展示。</w:t>
      </w:r>
    </w:p>
    <w:p w14:paraId="45B2F32F">
      <w:pPr>
        <w:numPr>
          <w:ilvl w:val="0"/>
          <w:numId w:val="4"/>
        </w:numPr>
        <w:spacing w:line="360" w:lineRule="auto"/>
        <w:ind w:left="0" w:firstLine="0"/>
        <w:rPr>
          <w:rFonts w:ascii="宋体" w:hAnsi="宋体" w:eastAsia="宋体" w:cs="宋体"/>
          <w:sz w:val="24"/>
        </w:rPr>
      </w:pPr>
      <w:r>
        <w:rPr>
          <w:rFonts w:hint="eastAsia" w:ascii="宋体" w:hAnsi="宋体" w:eastAsia="宋体" w:cs="宋体"/>
          <w:sz w:val="24"/>
        </w:rPr>
        <w:t>产品须具备提供时间周期为一年的赛事数据服务，包括比分、球员球队信息、赛事赛程、技术统计等，以及赛事数据的前端专业化展示能力与后台数据治理能力，支撑"数据+内容"的深度融合。</w:t>
      </w:r>
    </w:p>
    <w:p w14:paraId="4D346ACD">
      <w:pPr>
        <w:numPr>
          <w:ilvl w:val="0"/>
          <w:numId w:val="4"/>
        </w:numPr>
        <w:spacing w:line="360" w:lineRule="auto"/>
        <w:ind w:left="0" w:firstLine="0"/>
        <w:rPr>
          <w:rFonts w:ascii="宋体" w:hAnsi="宋体" w:eastAsia="宋体" w:cs="宋体"/>
          <w:sz w:val="24"/>
        </w:rPr>
      </w:pPr>
      <w:r>
        <w:rPr>
          <w:rFonts w:hint="eastAsia" w:ascii="宋体" w:hAnsi="宋体" w:eastAsia="宋体" w:cs="宋体"/>
          <w:sz w:val="24"/>
        </w:rPr>
        <w:t>产品须具备可视化页面编排、内容批价与产品包管理、细粒度权限管控等平台运营能力，实现运营侧可配置、可追溯、可干预。</w:t>
      </w:r>
    </w:p>
    <w:p w14:paraId="1CF6F87C">
      <w:pPr>
        <w:numPr>
          <w:ilvl w:val="0"/>
          <w:numId w:val="4"/>
        </w:numPr>
        <w:spacing w:line="360" w:lineRule="auto"/>
        <w:ind w:left="0" w:firstLine="0"/>
        <w:rPr>
          <w:rFonts w:ascii="宋体" w:hAnsi="宋体" w:eastAsia="宋体" w:cs="宋体"/>
          <w:sz w:val="24"/>
        </w:rPr>
      </w:pPr>
      <w:r>
        <w:rPr>
          <w:rFonts w:hint="eastAsia" w:ascii="宋体" w:hAnsi="宋体" w:eastAsia="宋体" w:cs="宋体"/>
          <w:sz w:val="24"/>
        </w:rPr>
        <w:t>供应商须提供全年7×24小时的体育产品运维支撑服务以及</w:t>
      </w:r>
      <w:r>
        <w:rPr>
          <w:rFonts w:ascii="宋体" w:hAnsi="宋体" w:eastAsia="宋体" w:cs="宋体"/>
          <w:sz w:val="24"/>
        </w:rPr>
        <w:t>赛事版权运营与直播服务</w:t>
      </w:r>
      <w:r>
        <w:rPr>
          <w:rFonts w:hint="eastAsia" w:ascii="宋体" w:hAnsi="宋体" w:eastAsia="宋体" w:cs="宋体"/>
          <w:sz w:val="24"/>
        </w:rPr>
        <w:t>，保障赛事数据安全、直播点播内容安全与运营连续性。</w:t>
      </w:r>
    </w:p>
    <w:p w14:paraId="36FC003D">
      <w:pPr>
        <w:pStyle w:val="2"/>
        <w:spacing w:before="320" w:after="320" w:line="360" w:lineRule="auto"/>
        <w:ind w:left="0" w:firstLine="0"/>
        <w:rPr>
          <w:rFonts w:ascii="黑体" w:hAnsi="黑体" w:eastAsia="黑体" w:cs="黑体"/>
        </w:rPr>
      </w:pPr>
      <w:bookmarkStart w:id="25" w:name="s1-3"/>
      <w:bookmarkEnd w:id="25"/>
      <w:bookmarkStart w:id="26" w:name="_Toc30331"/>
      <w:bookmarkStart w:id="27" w:name="_Toc244679178"/>
      <w:r>
        <w:rPr>
          <w:rFonts w:hint="eastAsia" w:ascii="黑体" w:hAnsi="黑体" w:eastAsia="黑体" w:cs="黑体"/>
        </w:rPr>
        <w:t>体育产品总述</w:t>
      </w:r>
      <w:bookmarkEnd w:id="26"/>
      <w:bookmarkEnd w:id="27"/>
    </w:p>
    <w:p w14:paraId="5090DAD0">
      <w:pPr>
        <w:spacing w:line="360" w:lineRule="auto"/>
        <w:ind w:firstLine="480" w:firstLineChars="200"/>
        <w:rPr>
          <w:rFonts w:ascii="宋体" w:hAnsi="宋体" w:eastAsia="宋体" w:cs="宋体"/>
          <w:sz w:val="24"/>
        </w:rPr>
      </w:pPr>
      <w:r>
        <w:rPr>
          <w:rFonts w:hint="eastAsia" w:ascii="宋体" w:hAnsi="宋体" w:eastAsia="宋体" w:cs="宋体"/>
          <w:sz w:val="24"/>
        </w:rPr>
        <w:t>本期采购以体育产品为核心标的，围绕公共框架、点播消费、体育赛事等方向提出需求，体育运营平台作为体育赛事专区产品的组成部分一并采购、部署与交付，具体包括以下核心方向：</w:t>
      </w:r>
    </w:p>
    <w:p w14:paraId="6C8A7A81">
      <w:pPr>
        <w:pStyle w:val="3"/>
        <w:spacing w:before="120" w:after="120" w:line="360" w:lineRule="auto"/>
        <w:ind w:left="573" w:hanging="573"/>
        <w:rPr>
          <w:rFonts w:ascii="黑体" w:hAnsi="黑体" w:cs="黑体"/>
          <w:sz w:val="28"/>
          <w:szCs w:val="28"/>
        </w:rPr>
      </w:pPr>
      <w:bookmarkStart w:id="28" w:name="_Toc244679179"/>
      <w:r>
        <w:rPr>
          <w:rFonts w:hint="eastAsia" w:ascii="黑体" w:hAnsi="黑体" w:cs="黑体"/>
          <w:sz w:val="28"/>
          <w:szCs w:val="28"/>
        </w:rPr>
        <w:t>完整的赛事数据服务与管理</w:t>
      </w:r>
      <w:bookmarkEnd w:id="28"/>
    </w:p>
    <w:p w14:paraId="1783EFA1">
      <w:pPr>
        <w:tabs>
          <w:tab w:val="left" w:pos="840"/>
        </w:tabs>
        <w:spacing w:line="360" w:lineRule="auto"/>
        <w:ind w:firstLine="480" w:firstLineChars="200"/>
        <w:rPr>
          <w:rFonts w:ascii="宋体" w:hAnsi="宋体" w:eastAsia="宋体" w:cs="宋体"/>
          <w:sz w:val="24"/>
        </w:rPr>
      </w:pPr>
      <w:r>
        <w:rPr>
          <w:rFonts w:hint="eastAsia" w:ascii="宋体" w:hAnsi="宋体" w:eastAsia="宋体" w:cs="宋体"/>
          <w:sz w:val="24"/>
        </w:rPr>
        <w:t>体育产品需配套提供符合版权要求的赛事数据，并建立标准化的数据接入网关，与上游体育内容提供商（内容提供商）对接，能够自动识别处理不同赛事在数据格式、统计维度和更新频率上存在差异的原始数据，转化为体育产品内部统一的、规范化的数据模型。赛事数据需覆盖赛事、比赛、赛程等，并为前端体育赛事挂件提供按需、低延迟的数据接口，支持不同的运营场景的赛事数据在体育专区产品前端展示。</w:t>
      </w:r>
    </w:p>
    <w:p w14:paraId="28874E79">
      <w:pPr>
        <w:pStyle w:val="3"/>
        <w:spacing w:before="120" w:after="120" w:line="360" w:lineRule="auto"/>
        <w:ind w:left="573" w:hanging="573"/>
        <w:rPr>
          <w:rFonts w:ascii="黑体" w:hAnsi="黑体" w:cs="黑体"/>
          <w:sz w:val="28"/>
          <w:szCs w:val="28"/>
        </w:rPr>
      </w:pPr>
      <w:bookmarkStart w:id="29" w:name="s2-1"/>
      <w:bookmarkEnd w:id="29"/>
      <w:bookmarkStart w:id="30" w:name="_Toc13726"/>
      <w:bookmarkStart w:id="31" w:name="_Toc31925"/>
      <w:bookmarkStart w:id="32" w:name="_Toc30534"/>
      <w:bookmarkStart w:id="33" w:name="_Toc24125"/>
      <w:bookmarkStart w:id="34" w:name="_Toc20255"/>
      <w:bookmarkStart w:id="35" w:name="_Toc21235"/>
      <w:bookmarkStart w:id="36" w:name="_Toc23656"/>
      <w:bookmarkStart w:id="37" w:name="_Toc244679180"/>
      <w:r>
        <w:rPr>
          <w:rFonts w:hint="eastAsia" w:ascii="黑体" w:hAnsi="黑体" w:cs="黑体"/>
          <w:sz w:val="28"/>
          <w:szCs w:val="28"/>
        </w:rPr>
        <w:t>统一的IPTV页面交互框架</w:t>
      </w:r>
      <w:bookmarkEnd w:id="30"/>
      <w:bookmarkEnd w:id="31"/>
      <w:bookmarkEnd w:id="32"/>
      <w:bookmarkEnd w:id="33"/>
      <w:bookmarkEnd w:id="34"/>
      <w:bookmarkEnd w:id="35"/>
      <w:bookmarkEnd w:id="36"/>
      <w:bookmarkEnd w:id="37"/>
    </w:p>
    <w:p w14:paraId="3BF7F544">
      <w:pPr>
        <w:spacing w:line="360" w:lineRule="auto"/>
        <w:ind w:firstLine="480" w:firstLineChars="200"/>
        <w:rPr>
          <w:rFonts w:ascii="宋体" w:hAnsi="宋体" w:eastAsia="宋体" w:cs="宋体"/>
          <w:sz w:val="24"/>
        </w:rPr>
      </w:pPr>
      <w:r>
        <w:rPr>
          <w:rFonts w:hint="eastAsia" w:ascii="宋体" w:hAnsi="宋体" w:eastAsia="宋体" w:cs="宋体"/>
          <w:sz w:val="24"/>
        </w:rPr>
        <w:t>建设全站统一的页面框架、功能入口编排、频道导航和内容标识体系建立起来，让各个业务模块在导航层级、视觉样式、交互方式上都保持一致；再统一遥控器操作规范，以及加载、空数据、网络异常这些场景的反馈方式，解决多个页面、多个模块之间体验不统一的问题，为各业务能力快速接入和后续迭代提供稳定的基础支撑。</w:t>
      </w:r>
    </w:p>
    <w:p w14:paraId="140639EA">
      <w:pPr>
        <w:spacing w:line="360" w:lineRule="auto"/>
        <w:ind w:firstLine="480" w:firstLineChars="200"/>
        <w:rPr>
          <w:rFonts w:ascii="宋体" w:hAnsi="宋体" w:eastAsia="宋体" w:cs="宋体"/>
          <w:sz w:val="24"/>
        </w:rPr>
      </w:pPr>
      <w:r>
        <w:rPr>
          <w:rFonts w:hint="eastAsia" w:ascii="宋体" w:hAnsi="宋体" w:eastAsia="宋体" w:cs="宋体"/>
          <w:sz w:val="24"/>
        </w:rPr>
        <w:t>体育赛事专区产品需具备体育挂件管理能力，挂件为前端样式+动静态数据的体育特有的展示组件，至少包括赛事基本信息挂件、赛事事件挂件（足球类）、阵容挂件、球队统计挂件、球员统计挂件、对阵数据统计挂件等。赛事挂件涵盖体育频道首页、赛事聚合页及播放详情页三类核心场景：首页需实现导航与多形态运营位展示；聚合页按项目与类型分类组织内容，并提供实时比分与赛程信息；播放详情页需保障直播流畅、播放控制（包括直播（组播）内容播放、时移，点播和回看（单播）内容快进、快退、播放暂停等）及沉浸式数据展示。</w:t>
      </w:r>
    </w:p>
    <w:p w14:paraId="7FC01E86">
      <w:pPr>
        <w:pStyle w:val="3"/>
        <w:spacing w:before="120" w:after="120" w:line="360" w:lineRule="auto"/>
        <w:ind w:left="573" w:hanging="573"/>
        <w:rPr>
          <w:rFonts w:ascii="黑体" w:hAnsi="黑体" w:cs="黑体"/>
          <w:sz w:val="28"/>
          <w:szCs w:val="28"/>
        </w:rPr>
      </w:pPr>
      <w:bookmarkStart w:id="38" w:name="s2-2"/>
      <w:bookmarkEnd w:id="38"/>
      <w:bookmarkStart w:id="39" w:name="_Toc31730"/>
      <w:bookmarkStart w:id="40" w:name="_Toc30590"/>
      <w:bookmarkStart w:id="41" w:name="_Toc32010"/>
      <w:bookmarkStart w:id="42" w:name="_Toc233"/>
      <w:bookmarkStart w:id="43" w:name="_Toc244679181"/>
      <w:bookmarkStart w:id="44" w:name="_Toc32325"/>
      <w:bookmarkStart w:id="45" w:name="_Toc27914"/>
      <w:bookmarkStart w:id="46" w:name="_Toc210"/>
      <w:r>
        <w:rPr>
          <w:rFonts w:hint="eastAsia" w:ascii="黑体" w:hAnsi="黑体" w:cs="黑体"/>
          <w:sz w:val="28"/>
          <w:szCs w:val="28"/>
        </w:rPr>
        <w:t>体育内容全链路服务</w:t>
      </w:r>
      <w:bookmarkEnd w:id="39"/>
      <w:bookmarkEnd w:id="40"/>
      <w:bookmarkEnd w:id="41"/>
      <w:bookmarkEnd w:id="42"/>
      <w:bookmarkEnd w:id="43"/>
      <w:bookmarkEnd w:id="44"/>
      <w:bookmarkEnd w:id="45"/>
      <w:bookmarkEnd w:id="46"/>
    </w:p>
    <w:p w14:paraId="6188F4CD">
      <w:pPr>
        <w:spacing w:line="360" w:lineRule="auto"/>
        <w:ind w:firstLine="480" w:firstLineChars="200"/>
        <w:rPr>
          <w:rFonts w:ascii="宋体" w:hAnsi="宋体" w:eastAsia="宋体" w:cs="宋体"/>
          <w:sz w:val="24"/>
        </w:rPr>
      </w:pPr>
      <w:r>
        <w:rPr>
          <w:rFonts w:hint="eastAsia" w:ascii="宋体" w:hAnsi="宋体" w:eastAsia="宋体" w:cs="宋体"/>
          <w:sz w:val="24"/>
        </w:rPr>
        <w:t>点播是体育专区产品最基础、最核心的内容形态，体育独家内容同样以点播形式承载。本期须对点播内容的页面与播放页链路进行升级，扩展内容基础信息展示维度，完善选集分期、更新策略说明，缩短用户内容决策路径，提升点播内容的消费效率和满意度。</w:t>
      </w:r>
    </w:p>
    <w:p w14:paraId="56D2E6CE">
      <w:pPr>
        <w:spacing w:line="360" w:lineRule="auto"/>
        <w:ind w:firstLine="480" w:firstLineChars="200"/>
        <w:rPr>
          <w:rFonts w:ascii="宋体" w:hAnsi="宋体" w:eastAsia="宋体" w:cs="宋体"/>
          <w:sz w:val="24"/>
        </w:rPr>
      </w:pPr>
      <w:bookmarkStart w:id="47" w:name="s2-3"/>
      <w:bookmarkEnd w:id="47"/>
      <w:r>
        <w:rPr>
          <w:rFonts w:hint="eastAsia" w:ascii="宋体" w:hAnsi="宋体" w:eastAsia="宋体" w:cs="宋体"/>
          <w:sz w:val="24"/>
        </w:rPr>
        <w:t>围绕“内容聚合—赛程—赛事详情页—全屏播放—赛况数据”和“榜单”构建完整的体育赛事服务链路，重点解决用户找比赛、看比赛、看数据、查榜单的连续性需求；通过赛程多维筛选、比赛状态联动、详情页小窗和全屏播放、赛况数据展示、榜单查看等能力，形成区别于通用点播产品的差异化竞争力。</w:t>
      </w:r>
      <w:bookmarkStart w:id="48" w:name="s2-4"/>
      <w:bookmarkEnd w:id="48"/>
    </w:p>
    <w:p w14:paraId="57FB27EA">
      <w:pPr>
        <w:pStyle w:val="3"/>
        <w:spacing w:before="120" w:after="120" w:line="360" w:lineRule="auto"/>
        <w:ind w:left="573" w:hanging="573"/>
        <w:rPr>
          <w:rFonts w:ascii="黑体" w:hAnsi="黑体" w:cs="黑体"/>
          <w:sz w:val="28"/>
          <w:szCs w:val="28"/>
        </w:rPr>
      </w:pPr>
      <w:bookmarkStart w:id="49" w:name="s2-5"/>
      <w:bookmarkEnd w:id="49"/>
      <w:bookmarkStart w:id="50" w:name="_Toc_s2_5"/>
      <w:bookmarkStart w:id="51" w:name="_Toc4790"/>
      <w:bookmarkStart w:id="52" w:name="_Toc5728"/>
      <w:bookmarkStart w:id="53" w:name="_Toc9408"/>
      <w:bookmarkStart w:id="54" w:name="_Toc23087"/>
      <w:bookmarkStart w:id="55" w:name="_Toc15611"/>
      <w:bookmarkStart w:id="56" w:name="_Toc17503"/>
      <w:bookmarkStart w:id="57" w:name="_Toc244679182"/>
      <w:bookmarkStart w:id="58" w:name="_Toc27857"/>
      <w:r>
        <w:rPr>
          <w:rFonts w:hint="eastAsia" w:ascii="黑体" w:hAnsi="黑体" w:cs="黑体"/>
          <w:sz w:val="28"/>
          <w:szCs w:val="28"/>
        </w:rPr>
        <w:t>体育产品运营能力</w:t>
      </w:r>
      <w:bookmarkEnd w:id="50"/>
      <w:bookmarkEnd w:id="51"/>
      <w:bookmarkEnd w:id="52"/>
      <w:bookmarkEnd w:id="53"/>
      <w:bookmarkEnd w:id="54"/>
      <w:bookmarkEnd w:id="55"/>
      <w:bookmarkEnd w:id="56"/>
      <w:bookmarkEnd w:id="57"/>
      <w:bookmarkEnd w:id="58"/>
    </w:p>
    <w:p w14:paraId="4E98A6D7">
      <w:pPr>
        <w:spacing w:line="360" w:lineRule="auto"/>
        <w:ind w:firstLine="480" w:firstLineChars="200"/>
        <w:rPr>
          <w:rFonts w:ascii="宋体" w:hAnsi="宋体" w:eastAsia="宋体" w:cs="宋体"/>
          <w:sz w:val="24"/>
        </w:rPr>
      </w:pPr>
      <w:r>
        <w:rPr>
          <w:rFonts w:hint="eastAsia" w:ascii="宋体" w:hAnsi="宋体" w:eastAsia="宋体" w:cs="宋体"/>
          <w:sz w:val="24"/>
        </w:rPr>
        <w:t>配套采购支撑前端全部页面功能的数据与编排后台，实现上游体育内容内容提供商数据源的统一接入、页面与推荐位的灵活编排、内容标识与赛事数据的运营管理，为运营人员提供可配置、可追溯、可干预的运营工具，支撑前端各项功能稳定落地与高效迭代。满足多种形态的体育广告展示和广告运营数据分析。</w:t>
      </w:r>
    </w:p>
    <w:p w14:paraId="7E136889">
      <w:pPr>
        <w:pStyle w:val="2"/>
        <w:spacing w:before="320" w:after="320" w:line="360" w:lineRule="auto"/>
      </w:pPr>
      <w:bookmarkStart w:id="59" w:name="_Toc244679183"/>
      <w:bookmarkStart w:id="60" w:name="_Toc15520"/>
      <w:r>
        <w:rPr>
          <w:rFonts w:hint="eastAsia" w:ascii="黑体" w:hAnsi="黑体" w:eastAsia="黑体" w:cs="黑体"/>
        </w:rPr>
        <w:t>体育产品架构要求</w:t>
      </w:r>
      <w:bookmarkEnd w:id="59"/>
      <w:bookmarkEnd w:id="60"/>
    </w:p>
    <w:p w14:paraId="516F2066">
      <w:pPr>
        <w:spacing w:line="360" w:lineRule="auto"/>
        <w:ind w:firstLine="480" w:firstLineChars="200"/>
        <w:rPr>
          <w:rFonts w:ascii="宋体" w:hAnsi="宋体" w:eastAsia="宋体" w:cs="宋体"/>
          <w:sz w:val="24"/>
        </w:rPr>
      </w:pPr>
      <w:r>
        <w:rPr>
          <w:rFonts w:hint="eastAsia" w:ascii="宋体" w:hAnsi="宋体" w:eastAsia="宋体" w:cs="宋体"/>
          <w:sz w:val="24"/>
        </w:rPr>
        <w:t>体育产品应遵循以下技术要求：</w:t>
      </w:r>
    </w:p>
    <w:p w14:paraId="4BFF08F1">
      <w:pPr>
        <w:spacing w:line="360" w:lineRule="auto"/>
        <w:ind w:firstLine="480" w:firstLineChars="200"/>
        <w:rPr>
          <w:rFonts w:ascii="宋体" w:hAnsi="宋体" w:eastAsia="宋体" w:cs="宋体"/>
          <w:sz w:val="24"/>
        </w:rPr>
      </w:pPr>
      <w:r>
        <w:rPr>
          <w:rFonts w:hint="eastAsia" w:ascii="宋体" w:hAnsi="宋体" w:eastAsia="宋体" w:cs="宋体"/>
          <w:sz w:val="24"/>
        </w:rPr>
        <w:t>产品架构：构建高性能、高可用的体育全业务运营矩阵。底层基于分布式架构搭建核心后台，深度践行 "业务与数据分离" 设计理念，通过分层架构实现业务逻辑层与底层数据层的深度解耦；采用分布式集群部署模式规避单点故障，依托负载均衡算法实现节点间负载自适应分配，保障系统高可用与可维护性。</w:t>
      </w:r>
    </w:p>
    <w:p w14:paraId="360C8A22">
      <w:pPr>
        <w:spacing w:line="360" w:lineRule="auto"/>
        <w:ind w:firstLine="480" w:firstLineChars="200"/>
        <w:rPr>
          <w:rFonts w:ascii="宋体" w:hAnsi="宋体" w:eastAsia="宋体" w:cs="宋体"/>
          <w:sz w:val="24"/>
        </w:rPr>
      </w:pPr>
      <w:r>
        <w:rPr>
          <w:rFonts w:hint="eastAsia" w:ascii="宋体" w:hAnsi="宋体" w:eastAsia="宋体" w:cs="宋体"/>
          <w:sz w:val="24"/>
        </w:rPr>
        <w:t>网络部署与平台适配：适配与现有IPTV平台的网络架构要求，支撑全链路、</w:t>
      </w:r>
      <w:bookmarkStart w:id="61" w:name="OLE_LINK1"/>
      <w:r>
        <w:rPr>
          <w:rFonts w:hint="eastAsia" w:ascii="宋体" w:hAnsi="宋体" w:eastAsia="宋体" w:cs="宋体"/>
          <w:sz w:val="24"/>
        </w:rPr>
        <w:t>多活分布式云架构</w:t>
      </w:r>
      <w:bookmarkEnd w:id="61"/>
      <w:r>
        <w:rPr>
          <w:rFonts w:hint="eastAsia" w:ascii="宋体" w:hAnsi="宋体" w:eastAsia="宋体" w:cs="宋体"/>
          <w:sz w:val="24"/>
        </w:rPr>
        <w:t>，以高可用、高并发、可扩展为核心目标，通过网络拓扑多层次解耦与冗余设计，适配体育赛事峰值流量与复杂运营场景。需对接IPTV EPG Launcher传递认证用户信息、IPTV业务平台完成用户认证、订单、播放鉴权及内容本地化注入，以及上游体育 内容提供商 内容和赛事运营数据平台的直播内容与比赛数据同步，实现与现有各能力平台的平滑集成。</w:t>
      </w:r>
    </w:p>
    <w:p w14:paraId="6674295A">
      <w:pPr>
        <w:spacing w:line="360" w:lineRule="auto"/>
        <w:ind w:firstLine="480" w:firstLineChars="200"/>
        <w:rPr>
          <w:rFonts w:ascii="宋体" w:hAnsi="宋体" w:eastAsia="宋体" w:cs="宋体"/>
          <w:sz w:val="24"/>
        </w:rPr>
      </w:pPr>
      <w:r>
        <w:rPr>
          <w:rFonts w:hint="eastAsia" w:ascii="宋体" w:hAnsi="宋体" w:eastAsia="宋体" w:cs="宋体"/>
          <w:sz w:val="24"/>
        </w:rPr>
        <w:t>网络安全：采用纵深防御策略，基于VPC与子网隔离技术将接入层、业务层、数据层逻辑分区，通过精细安全组策略与ACL限制跨层级通信权限，有效防范跨区域、跨层级网络攻击。</w:t>
      </w:r>
    </w:p>
    <w:p w14:paraId="6175095B">
      <w:pPr>
        <w:spacing w:line="360" w:lineRule="auto"/>
        <w:ind w:firstLine="480" w:firstLineChars="200"/>
        <w:rPr>
          <w:rFonts w:ascii="宋体" w:hAnsi="宋体" w:eastAsia="宋体" w:cs="宋体"/>
          <w:sz w:val="24"/>
        </w:rPr>
      </w:pPr>
      <w:r>
        <w:rPr>
          <w:rFonts w:hint="eastAsia" w:ascii="宋体" w:hAnsi="宋体" w:eastAsia="宋体" w:cs="宋体"/>
          <w:sz w:val="24"/>
        </w:rPr>
        <w:t>服务器资源需求：体育赛事专区产品作为大屏内容聚合输出的落地产品，需要满足广电业务内大屏用户的体育观赛需求，实现体育内容的统一运营。结合IPTV业务总用户规模，</w:t>
      </w:r>
      <w:r>
        <w:rPr>
          <w:rFonts w:ascii="宋体" w:hAnsi="宋体" w:eastAsia="宋体" w:cs="宋体"/>
          <w:sz w:val="24"/>
        </w:rPr>
        <w:t>服务器资源需求：按日活约 400 万、极端并发约 4 万 TPS 测算，产品上线须满足以下最低配置基线（供应商建议可优化但不得低于该基线）</w:t>
      </w:r>
      <w:r>
        <w:rPr>
          <w:rFonts w:hint="eastAsia" w:ascii="宋体" w:hAnsi="宋体" w:eastAsia="宋体" w:cs="宋体"/>
          <w:sz w:val="24"/>
        </w:rPr>
        <w:t>，给出产品上线实施所需的服务器资源配置建议和需求数量，以及中间件、数据库等资源需求。</w:t>
      </w:r>
    </w:p>
    <w:p w14:paraId="2D500B53">
      <w:pPr>
        <w:pStyle w:val="2"/>
        <w:spacing w:before="320" w:after="320" w:line="360" w:lineRule="auto"/>
        <w:ind w:firstLine="883" w:firstLineChars="200"/>
        <w:rPr>
          <w:rFonts w:ascii="黑体" w:hAnsi="黑体" w:eastAsia="黑体" w:cs="黑体"/>
        </w:rPr>
      </w:pPr>
      <w:bookmarkStart w:id="62" w:name="_Toc244679184"/>
      <w:r>
        <w:rPr>
          <w:rFonts w:hint="eastAsia" w:ascii="黑体" w:hAnsi="黑体" w:eastAsia="黑体" w:cs="黑体"/>
        </w:rPr>
        <w:t>体育产品数据服务要求</w:t>
      </w:r>
      <w:bookmarkEnd w:id="62"/>
    </w:p>
    <w:p w14:paraId="64F79159">
      <w:pPr>
        <w:spacing w:line="360" w:lineRule="auto"/>
        <w:ind w:firstLine="420"/>
        <w:rPr>
          <w:rFonts w:ascii="宋体" w:hAnsi="宋体" w:eastAsia="宋体" w:cs="宋体"/>
          <w:sz w:val="24"/>
        </w:rPr>
      </w:pPr>
      <w:r>
        <w:rPr>
          <w:rFonts w:hint="eastAsia" w:ascii="宋体" w:hAnsi="宋体" w:eastAsia="宋体" w:cs="宋体"/>
          <w:sz w:val="24"/>
        </w:rPr>
        <w:t>需要提供具有在广东IPTV移动平台大屏端体育产品专区具有合法合规的体育赛事数据，体育赛事包括范围（以下文字的版权均指广东IPTV移动平台大屏端合法版权）：</w:t>
      </w:r>
    </w:p>
    <w:p w14:paraId="37D48C41">
      <w:pPr>
        <w:spacing w:line="360" w:lineRule="auto"/>
        <w:ind w:firstLine="420"/>
        <w:rPr>
          <w:rFonts w:ascii="宋体" w:hAnsi="宋体" w:eastAsia="宋体" w:cs="宋体"/>
          <w:sz w:val="24"/>
        </w:rPr>
      </w:pPr>
      <w:r>
        <w:rPr>
          <w:rFonts w:hint="eastAsia" w:ascii="宋体" w:hAnsi="宋体" w:eastAsia="宋体" w:cs="宋体"/>
          <w:sz w:val="24"/>
        </w:rPr>
        <w:t>国际赛事：具有版权的欧洲足球五大联赛、NBA、FIBA篮球世界杯、美国网球公开赛、澳大利亚网球公开赛、中国网球公开赛、世界羽联巡回赛、斯诺克世锦赛、WTT分站赛等全球性焦点赛事的赛事数据。</w:t>
      </w:r>
    </w:p>
    <w:p w14:paraId="46349787">
      <w:pPr>
        <w:spacing w:line="360" w:lineRule="auto"/>
        <w:ind w:firstLine="420"/>
        <w:rPr>
          <w:rFonts w:ascii="宋体" w:hAnsi="宋体" w:eastAsia="宋体" w:cs="宋体"/>
          <w:sz w:val="24"/>
        </w:rPr>
      </w:pPr>
      <w:r>
        <w:rPr>
          <w:rFonts w:hint="eastAsia" w:ascii="宋体" w:hAnsi="宋体" w:eastAsia="宋体" w:cs="宋体"/>
          <w:sz w:val="24"/>
        </w:rPr>
        <w:t>国内赛事： 拥有版权的中超联赛、足协杯、乒超联赛等国内顶级职业体育赛事的赛事数据。具有引入全国性或省级综合运动会，及参与度高影响范围广的专项赛事数据的能力。</w:t>
      </w:r>
    </w:p>
    <w:p w14:paraId="2F0BD568">
      <w:pPr>
        <w:spacing w:line="360" w:lineRule="auto"/>
        <w:ind w:firstLine="420"/>
        <w:rPr>
          <w:rFonts w:ascii="宋体" w:hAnsi="宋体" w:eastAsia="宋体" w:cs="宋体"/>
          <w:sz w:val="24"/>
        </w:rPr>
      </w:pPr>
      <w:r>
        <w:rPr>
          <w:rFonts w:hint="eastAsia" w:ascii="宋体" w:hAnsi="宋体" w:eastAsia="宋体" w:cs="宋体"/>
          <w:sz w:val="24"/>
        </w:rPr>
        <w:t>差异化赛事内容： 探索引入体育内容提供商拥有版权的电子竞技、高尔夫等深受年轻群体喜爱的新兴体育赛事内容的赛事数据。</w:t>
      </w:r>
    </w:p>
    <w:p w14:paraId="7DE3E2E1">
      <w:pPr>
        <w:spacing w:line="360" w:lineRule="auto"/>
        <w:ind w:firstLine="420"/>
        <w:rPr>
          <w:rFonts w:ascii="宋体" w:hAnsi="宋体" w:eastAsia="宋体" w:cs="宋体"/>
          <w:sz w:val="24"/>
        </w:rPr>
      </w:pPr>
      <w:r>
        <w:rPr>
          <w:rFonts w:hint="eastAsia" w:ascii="宋体" w:hAnsi="宋体" w:eastAsia="宋体" w:cs="宋体"/>
          <w:sz w:val="24"/>
        </w:rPr>
        <w:t>针对国际赛事存在的时差问题，提供赛事回看、精彩集锦点播的数据服务，并于赛事结束后及时上线。可提供直播赛事明确的赛程预告数据、赛事专题聚合数据。</w:t>
      </w:r>
    </w:p>
    <w:p w14:paraId="2A0E9BA7">
      <w:pPr>
        <w:spacing w:line="360" w:lineRule="auto"/>
        <w:ind w:firstLine="420"/>
        <w:rPr>
          <w:rFonts w:ascii="宋体" w:hAnsi="宋体" w:eastAsia="宋体" w:cs="宋体"/>
          <w:sz w:val="24"/>
        </w:rPr>
      </w:pPr>
      <w:r>
        <w:rPr>
          <w:rFonts w:hint="eastAsia" w:ascii="宋体" w:hAnsi="宋体" w:eastAsia="宋体" w:cs="宋体"/>
          <w:sz w:val="24"/>
        </w:rPr>
        <w:t>建立版权内容合规使用流程，确保所有播出内容涉及的数据均在体育内容提供商授权的广东移动IPTV体育产品专区范围内，无超范围使用，并配合完成相关版权方的播后报告要求</w:t>
      </w:r>
    </w:p>
    <w:p w14:paraId="1EA37F94">
      <w:pPr>
        <w:pStyle w:val="2"/>
        <w:spacing w:before="320" w:after="320" w:line="360" w:lineRule="auto"/>
        <w:ind w:left="0" w:firstLine="0"/>
        <w:rPr>
          <w:rFonts w:ascii="黑体" w:hAnsi="黑体" w:eastAsia="黑体" w:cs="黑体"/>
        </w:rPr>
      </w:pPr>
      <w:bookmarkStart w:id="63" w:name="_Toc14653"/>
      <w:bookmarkStart w:id="64" w:name="_Toc244679185"/>
      <w:r>
        <w:rPr>
          <w:rFonts w:hint="eastAsia" w:ascii="黑体" w:hAnsi="黑体" w:eastAsia="黑体" w:cs="黑体"/>
        </w:rPr>
        <w:t>体育产品展示功能要求</w:t>
      </w:r>
      <w:bookmarkEnd w:id="63"/>
      <w:bookmarkEnd w:id="64"/>
    </w:p>
    <w:p w14:paraId="148EA305">
      <w:pPr>
        <w:spacing w:line="360" w:lineRule="auto"/>
        <w:ind w:firstLine="480" w:firstLineChars="200"/>
        <w:rPr>
          <w:rFonts w:ascii="宋体" w:hAnsi="宋体" w:eastAsia="宋体" w:cs="宋体"/>
          <w:sz w:val="24"/>
        </w:rPr>
      </w:pPr>
      <w:r>
        <w:rPr>
          <w:rFonts w:hint="eastAsia" w:ascii="宋体" w:hAnsi="宋体" w:eastAsia="宋体" w:cs="宋体"/>
          <w:sz w:val="24"/>
        </w:rPr>
        <w:t>本章规定本产品前端各页面的功能要求。其中5.1为全站通用要求，适用于本章全部页面；5.2至5.5为各业务能力要求，各业务页面在满足自身功能要求的同时，均须完整满足5.1的全部要求，不得因业务差异而豁免。</w:t>
      </w:r>
    </w:p>
    <w:p w14:paraId="0E62C77F">
      <w:pPr>
        <w:pStyle w:val="3"/>
        <w:spacing w:before="120" w:after="120" w:line="360" w:lineRule="auto"/>
        <w:ind w:left="573" w:hanging="573"/>
        <w:rPr>
          <w:rFonts w:ascii="黑体" w:hAnsi="黑体" w:cs="黑体"/>
          <w:sz w:val="28"/>
          <w:szCs w:val="28"/>
        </w:rPr>
      </w:pPr>
      <w:bookmarkStart w:id="65" w:name="s3-1"/>
      <w:bookmarkEnd w:id="65"/>
      <w:bookmarkStart w:id="66" w:name="_Toc113"/>
      <w:bookmarkStart w:id="67" w:name="_Toc18978"/>
      <w:bookmarkStart w:id="68" w:name="_Toc_s3_1"/>
      <w:bookmarkStart w:id="69" w:name="_Toc1527"/>
      <w:bookmarkStart w:id="70" w:name="_Toc7537"/>
      <w:bookmarkStart w:id="71" w:name="_Toc4888"/>
      <w:bookmarkStart w:id="72" w:name="_Toc15378"/>
      <w:bookmarkStart w:id="73" w:name="_Toc7576"/>
      <w:bookmarkStart w:id="74" w:name="_Toc244679186"/>
      <w:r>
        <w:rPr>
          <w:rFonts w:hint="eastAsia" w:ascii="黑体" w:hAnsi="黑体" w:cs="黑体"/>
          <w:sz w:val="28"/>
          <w:szCs w:val="28"/>
        </w:rPr>
        <w:t>产品框架与公共功能要求</w:t>
      </w:r>
      <w:bookmarkEnd w:id="66"/>
      <w:bookmarkEnd w:id="67"/>
      <w:bookmarkEnd w:id="68"/>
      <w:bookmarkEnd w:id="69"/>
      <w:bookmarkEnd w:id="70"/>
      <w:bookmarkEnd w:id="71"/>
      <w:bookmarkEnd w:id="72"/>
      <w:bookmarkEnd w:id="73"/>
      <w:bookmarkEnd w:id="74"/>
    </w:p>
    <w:p w14:paraId="0AB541BA">
      <w:pPr>
        <w:spacing w:line="360" w:lineRule="auto"/>
        <w:ind w:firstLine="480" w:firstLineChars="200"/>
        <w:rPr>
          <w:rFonts w:ascii="宋体" w:hAnsi="宋体" w:eastAsia="宋体" w:cs="宋体"/>
          <w:sz w:val="24"/>
        </w:rPr>
      </w:pPr>
      <w:r>
        <w:rPr>
          <w:rFonts w:hint="eastAsia" w:ascii="宋体" w:hAnsi="宋体" w:eastAsia="宋体" w:cs="宋体"/>
          <w:sz w:val="24"/>
        </w:rPr>
        <w:t>本节规定EPG全部页面通用且必须遵循的框架、导航、标识、交互与用户状态要求。5.2至5.5各业务页面在建设时须与本节合并执行，本节各条要求对全部页面同等适用。</w:t>
      </w:r>
    </w:p>
    <w:p w14:paraId="070E522A">
      <w:pPr>
        <w:pStyle w:val="4"/>
        <w:spacing w:before="60" w:after="60" w:line="360" w:lineRule="auto"/>
        <w:rPr>
          <w:rFonts w:ascii="黑体" w:hAnsi="黑体" w:eastAsia="黑体" w:cs="黑体"/>
          <w:sz w:val="24"/>
          <w:szCs w:val="21"/>
        </w:rPr>
      </w:pPr>
      <w:bookmarkStart w:id="75" w:name="s3-1-1"/>
      <w:bookmarkEnd w:id="75"/>
      <w:bookmarkStart w:id="76" w:name="_Toc19491"/>
      <w:bookmarkStart w:id="77" w:name="_Toc244679187"/>
      <w:bookmarkStart w:id="78" w:name="_Toc21904"/>
      <w:bookmarkStart w:id="79" w:name="_Toc_s3_1_1"/>
      <w:bookmarkStart w:id="80" w:name="_Toc6432"/>
      <w:bookmarkStart w:id="81" w:name="_Toc1326"/>
      <w:bookmarkStart w:id="82" w:name="_Toc21129"/>
      <w:bookmarkStart w:id="83" w:name="_Toc1017"/>
      <w:bookmarkStart w:id="84" w:name="_Toc27917"/>
      <w:r>
        <w:rPr>
          <w:rFonts w:hint="eastAsia" w:ascii="黑体" w:hAnsi="黑体" w:eastAsia="黑体" w:cs="黑体"/>
          <w:sz w:val="24"/>
          <w:szCs w:val="21"/>
        </w:rPr>
        <w:t>全局页面框架</w:t>
      </w:r>
      <w:bookmarkEnd w:id="76"/>
      <w:bookmarkEnd w:id="77"/>
      <w:bookmarkEnd w:id="78"/>
      <w:bookmarkEnd w:id="79"/>
      <w:bookmarkEnd w:id="80"/>
      <w:bookmarkEnd w:id="81"/>
      <w:bookmarkEnd w:id="82"/>
      <w:bookmarkEnd w:id="83"/>
      <w:bookmarkEnd w:id="84"/>
    </w:p>
    <w:p w14:paraId="6BF7CCB2">
      <w:pPr>
        <w:spacing w:line="360" w:lineRule="auto"/>
        <w:ind w:firstLine="480" w:firstLineChars="200"/>
        <w:rPr>
          <w:rFonts w:ascii="宋体" w:hAnsi="宋体" w:eastAsia="宋体" w:cs="宋体"/>
          <w:sz w:val="24"/>
        </w:rPr>
      </w:pPr>
      <w:r>
        <w:rPr>
          <w:rFonts w:hint="eastAsia" w:ascii="宋体" w:hAnsi="宋体" w:eastAsia="宋体" w:cs="宋体"/>
          <w:sz w:val="24"/>
        </w:rPr>
        <w:t>全局页面框架是全站功能组织和页面导航的骨架。本期通过一套统一的框架规范，解决各业务模块在导航层级、页面返回路径、合规要素展示上不一致的问题，降低用户的学习和操作成本。</w:t>
      </w:r>
    </w:p>
    <w:p w14:paraId="158ED4F6">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6D1DB02E">
      <w:pPr>
        <w:spacing w:line="360" w:lineRule="auto"/>
        <w:ind w:firstLine="480" w:firstLineChars="200"/>
        <w:rPr>
          <w:rFonts w:ascii="宋体" w:hAnsi="宋体" w:eastAsia="宋体" w:cs="宋体"/>
          <w:sz w:val="24"/>
        </w:rPr>
      </w:pPr>
      <w:r>
        <w:rPr>
          <w:rFonts w:hint="eastAsia" w:ascii="宋体" w:hAnsi="宋体" w:eastAsia="宋体" w:cs="宋体"/>
          <w:sz w:val="24"/>
        </w:rPr>
        <w:t>统一框架规范：各页面都用同一套页面框架来组织全部业务功能，页面之间的导航层级应清晰、都能到达，任意页面都能用统一的方式返回上级页面或首页，不得出现无法返回的孤立页面。</w:t>
      </w:r>
    </w:p>
    <w:p w14:paraId="5A710177">
      <w:pPr>
        <w:spacing w:line="360" w:lineRule="auto"/>
        <w:ind w:firstLine="480" w:firstLineChars="200"/>
        <w:rPr>
          <w:rFonts w:ascii="宋体" w:hAnsi="宋体" w:eastAsia="宋体" w:cs="宋体"/>
          <w:sz w:val="24"/>
        </w:rPr>
      </w:pPr>
      <w:r>
        <w:rPr>
          <w:rFonts w:hint="eastAsia" w:ascii="宋体" w:hAnsi="宋体" w:eastAsia="宋体" w:cs="宋体"/>
          <w:sz w:val="24"/>
        </w:rPr>
        <w:t>标识与备案展示：各页面在统一位置展示产品标识、当前时间和备案信息，备案信息的展示要符合国家相关监管要求，页面切换时这个区域的展示位置保持稳定。</w:t>
      </w:r>
    </w:p>
    <w:p w14:paraId="05256C96">
      <w:pPr>
        <w:spacing w:line="360" w:lineRule="auto"/>
        <w:ind w:firstLine="480" w:firstLineChars="200"/>
        <w:rPr>
          <w:rFonts w:ascii="宋体" w:hAnsi="宋体" w:eastAsia="宋体" w:cs="宋体"/>
          <w:sz w:val="24"/>
        </w:rPr>
      </w:pPr>
      <w:r>
        <w:rPr>
          <w:rFonts w:hint="eastAsia" w:ascii="宋体" w:hAnsi="宋体" w:eastAsia="宋体" w:cs="宋体"/>
          <w:sz w:val="24"/>
        </w:rPr>
        <w:t>运营位承载：页面框架应提供一个统一的运营位承载区域（展示活动海报、广告、营销推广链接等），支持按页面、按位置配置运营位内容；运营位内容要能远程配置更新，更新后前端不用重新发版就能生效。</w:t>
      </w:r>
    </w:p>
    <w:p w14:paraId="6B7EC883">
      <w:pPr>
        <w:pStyle w:val="4"/>
        <w:spacing w:before="60" w:after="60" w:line="360" w:lineRule="auto"/>
        <w:rPr>
          <w:rFonts w:ascii="黑体" w:hAnsi="黑体" w:eastAsia="黑体" w:cs="黑体"/>
          <w:sz w:val="24"/>
          <w:szCs w:val="21"/>
        </w:rPr>
      </w:pPr>
      <w:bookmarkStart w:id="85" w:name="_Toc27680"/>
      <w:bookmarkStart w:id="86" w:name="_Toc3742"/>
      <w:bookmarkStart w:id="87" w:name="_Toc28685"/>
      <w:bookmarkStart w:id="88" w:name="_Toc22345"/>
      <w:bookmarkStart w:id="89" w:name="_Toc2221"/>
      <w:bookmarkStart w:id="90" w:name="_Toc244679188"/>
      <w:bookmarkStart w:id="91" w:name="_Toc26536"/>
      <w:bookmarkStart w:id="92" w:name="_Toc27548"/>
      <w:r>
        <w:rPr>
          <w:rFonts w:hint="eastAsia" w:ascii="黑体" w:hAnsi="黑体" w:eastAsia="黑体" w:cs="黑体"/>
          <w:sz w:val="24"/>
          <w:szCs w:val="21"/>
        </w:rPr>
        <w:t>导航</w:t>
      </w:r>
      <w:bookmarkEnd w:id="85"/>
      <w:bookmarkEnd w:id="86"/>
      <w:bookmarkEnd w:id="87"/>
      <w:bookmarkEnd w:id="88"/>
      <w:bookmarkEnd w:id="89"/>
      <w:bookmarkEnd w:id="90"/>
      <w:bookmarkEnd w:id="91"/>
      <w:bookmarkEnd w:id="92"/>
    </w:p>
    <w:p w14:paraId="5A759C18">
      <w:pPr>
        <w:spacing w:line="360" w:lineRule="auto"/>
        <w:ind w:firstLine="480" w:firstLineChars="200"/>
        <w:rPr>
          <w:rFonts w:ascii="宋体" w:hAnsi="宋体" w:eastAsia="宋体" w:cs="宋体"/>
          <w:sz w:val="24"/>
        </w:rPr>
      </w:pPr>
      <w:r>
        <w:rPr>
          <w:rFonts w:hint="eastAsia" w:ascii="宋体" w:hAnsi="宋体" w:eastAsia="宋体" w:cs="宋体"/>
          <w:sz w:val="24"/>
        </w:rPr>
        <w:t>整个EPG采用一条统一的顶部导航，各体育内容频道（如足球、综合格斗、乒乓球、西甲、篮球、网球等）在导航中并列承载；支持各体育内容频道下再提供细分项目分类导航，形成一级频道与项目分类的多级导航体系。</w:t>
      </w:r>
    </w:p>
    <w:p w14:paraId="66301261">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75CB1341">
      <w:pPr>
        <w:spacing w:line="360" w:lineRule="auto"/>
        <w:ind w:firstLine="480" w:firstLineChars="200"/>
        <w:rPr>
          <w:rFonts w:ascii="宋体" w:hAnsi="宋体" w:eastAsia="宋体" w:cs="宋体"/>
          <w:sz w:val="24"/>
        </w:rPr>
      </w:pPr>
      <w:r>
        <w:rPr>
          <w:rFonts w:hint="eastAsia" w:ascii="宋体" w:hAnsi="宋体" w:eastAsia="宋体" w:cs="宋体"/>
          <w:sz w:val="24"/>
        </w:rPr>
        <w:t>全局导航与项目导航：页面应提供可配置的顶部导航栏，支持从EPG首页导航跳转至体育内容频道首页及各项目赛事聚合页，支持多级导航跳转；支持按体育项目快速导航，项目分类与排序应可配置。焦点在导航项间切换应有明确的高亮与区分效果，确认跳转响应时间应不超过1秒。</w:t>
      </w:r>
    </w:p>
    <w:p w14:paraId="5D361869">
      <w:pPr>
        <w:spacing w:line="360" w:lineRule="auto"/>
        <w:ind w:firstLine="480" w:firstLineChars="200"/>
        <w:rPr>
          <w:rFonts w:ascii="宋体" w:hAnsi="宋体" w:eastAsia="宋体" w:cs="宋体"/>
          <w:sz w:val="24"/>
        </w:rPr>
      </w:pPr>
      <w:r>
        <w:rPr>
          <w:rFonts w:hint="eastAsia" w:ascii="宋体" w:hAnsi="宋体" w:eastAsia="宋体" w:cs="宋体"/>
          <w:sz w:val="24"/>
        </w:rPr>
        <w:t>导航栏配置：顶部导航栏的频道数量、名称与排序应可配置，体育频道下的项目分类导航应支持自由上下线与顺序调整，调整后无须发版即可生效。</w:t>
      </w:r>
    </w:p>
    <w:p w14:paraId="6B17C98D">
      <w:pPr>
        <w:spacing w:line="360" w:lineRule="auto"/>
        <w:ind w:firstLine="480" w:firstLineChars="200"/>
        <w:rPr>
          <w:rFonts w:ascii="宋体" w:hAnsi="宋体" w:eastAsia="宋体" w:cs="宋体"/>
          <w:sz w:val="24"/>
        </w:rPr>
      </w:pPr>
      <w:r>
        <w:rPr>
          <w:rFonts w:hint="eastAsia" w:ascii="宋体" w:hAnsi="宋体" w:eastAsia="宋体" w:cs="宋体"/>
          <w:sz w:val="24"/>
        </w:rPr>
        <w:t>焦点切换逻辑：页面应支持导航的焦点切换与确认进入，当前所在频道或项目分类应有明确的选中态标识；切换后下方内容区应即时刷新，不得出现内容错位或残留上一频道数据。</w:t>
      </w:r>
    </w:p>
    <w:p w14:paraId="68CF39E3">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异常状态处理：导航数据请求失败时展示错误提示并提供重新加载入口；频道下无内容时展示友好的空状态提示，保证页面体验一致。</w:t>
      </w:r>
    </w:p>
    <w:p w14:paraId="14640746">
      <w:pPr>
        <w:pStyle w:val="4"/>
        <w:spacing w:before="60" w:after="60" w:line="360" w:lineRule="auto"/>
        <w:rPr>
          <w:rFonts w:ascii="黑体" w:hAnsi="黑体" w:eastAsia="黑体" w:cs="黑体"/>
          <w:sz w:val="24"/>
          <w:szCs w:val="21"/>
        </w:rPr>
      </w:pPr>
      <w:bookmarkStart w:id="93" w:name="_Ref22570"/>
      <w:bookmarkStart w:id="94" w:name="_Toc712"/>
      <w:bookmarkStart w:id="95" w:name="_Toc3579"/>
      <w:bookmarkStart w:id="96" w:name="_Toc7017"/>
      <w:bookmarkStart w:id="97" w:name="_Toc16507"/>
      <w:bookmarkStart w:id="98" w:name="_Toc244679189"/>
      <w:bookmarkStart w:id="99" w:name="_Toc21695"/>
      <w:bookmarkStart w:id="100" w:name="_Toc30482"/>
      <w:bookmarkStart w:id="101" w:name="_Toc21356"/>
      <w:r>
        <w:rPr>
          <w:rFonts w:hint="eastAsia" w:ascii="黑体" w:hAnsi="黑体" w:eastAsia="黑体" w:cs="黑体"/>
          <w:sz w:val="24"/>
          <w:szCs w:val="21"/>
        </w:rPr>
        <w:t>页面</w:t>
      </w:r>
      <w:bookmarkEnd w:id="93"/>
      <w:bookmarkEnd w:id="94"/>
      <w:bookmarkEnd w:id="95"/>
      <w:bookmarkEnd w:id="96"/>
      <w:bookmarkEnd w:id="97"/>
      <w:bookmarkEnd w:id="98"/>
      <w:bookmarkEnd w:id="99"/>
      <w:bookmarkEnd w:id="100"/>
      <w:bookmarkEnd w:id="101"/>
    </w:p>
    <w:p w14:paraId="3DF47DB3">
      <w:pPr>
        <w:spacing w:line="360" w:lineRule="auto"/>
        <w:ind w:firstLine="480" w:firstLineChars="200"/>
        <w:rPr>
          <w:rFonts w:ascii="宋体" w:hAnsi="宋体" w:eastAsia="宋体" w:cs="宋体"/>
          <w:sz w:val="24"/>
        </w:rPr>
      </w:pPr>
      <w:r>
        <w:rPr>
          <w:rFonts w:hint="eastAsia" w:ascii="宋体" w:hAnsi="宋体" w:eastAsia="宋体" w:cs="宋体"/>
          <w:sz w:val="24"/>
        </w:rPr>
        <w:t>页面是用户按频道浏览内容的主页面，页面首屏的焦点运营位是内容推广的核心区域，承载重点内容与重点赛事的主视觉推广。本期通过推荐位的灵活编排，把常规点播内容和体育独家内容统一分发出去。</w:t>
      </w:r>
    </w:p>
    <w:p w14:paraId="046768CC">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5F98F738">
      <w:pPr>
        <w:spacing w:line="360" w:lineRule="auto"/>
        <w:ind w:firstLine="480" w:firstLineChars="200"/>
        <w:rPr>
          <w:rFonts w:ascii="宋体" w:hAnsi="宋体" w:eastAsia="宋体" w:cs="宋体"/>
          <w:sz w:val="24"/>
        </w:rPr>
      </w:pPr>
      <w:r>
        <w:rPr>
          <w:rFonts w:hint="eastAsia" w:ascii="宋体" w:hAnsi="宋体" w:eastAsia="宋体" w:cs="宋体"/>
          <w:sz w:val="24"/>
        </w:rPr>
        <w:t>页面构成：频道导航下的每个频道对应一个独立的页面，页面里用推荐位组织点播内容入口，版位结构和层级应清晰、可扩展。</w:t>
      </w:r>
    </w:p>
    <w:p w14:paraId="1FA72268">
      <w:pPr>
        <w:spacing w:line="360" w:lineRule="auto"/>
        <w:ind w:firstLine="480" w:firstLineChars="200"/>
        <w:rPr>
          <w:rFonts w:ascii="宋体" w:hAnsi="宋体" w:eastAsia="宋体" w:cs="宋体"/>
          <w:sz w:val="24"/>
        </w:rPr>
      </w:pPr>
      <w:r>
        <w:rPr>
          <w:rFonts w:hint="eastAsia" w:ascii="宋体" w:hAnsi="宋体" w:eastAsia="宋体" w:cs="宋体"/>
          <w:sz w:val="24"/>
        </w:rPr>
        <w:t>首屏焦点运营位：页面首屏应提供焦点运营位，支持海报大图、海报静态展示、专题大图、专题静态展示等多种展示形式，具备定时轮播、点击跳转、播放预览等交互功能，轮播间隔应可配置并支持遥控器手动切换；点击运营位应准确跳转至预设目标页面。</w:t>
      </w:r>
    </w:p>
    <w:p w14:paraId="25A33124">
      <w:pPr>
        <w:spacing w:line="360" w:lineRule="auto"/>
        <w:ind w:firstLine="480" w:firstLineChars="200"/>
        <w:rPr>
          <w:rFonts w:ascii="宋体" w:hAnsi="宋体" w:eastAsia="宋体" w:cs="宋体"/>
          <w:sz w:val="24"/>
        </w:rPr>
      </w:pPr>
      <w:r>
        <w:rPr>
          <w:rFonts w:hint="eastAsia" w:ascii="宋体" w:hAnsi="宋体" w:eastAsia="宋体" w:cs="宋体"/>
          <w:sz w:val="24"/>
        </w:rPr>
        <w:t>运营位配置：运营人员应可灵活配置焦点运营位展示内容，包括图片、文字、链接等元素的组合，配置更新后前端实时生效。</w:t>
      </w:r>
    </w:p>
    <w:p w14:paraId="68CF3777">
      <w:pPr>
        <w:spacing w:line="360" w:lineRule="auto"/>
        <w:ind w:firstLine="480" w:firstLineChars="200"/>
        <w:rPr>
          <w:rFonts w:ascii="宋体" w:hAnsi="宋体" w:eastAsia="宋体" w:cs="宋体"/>
          <w:sz w:val="24"/>
        </w:rPr>
      </w:pPr>
      <w:r>
        <w:rPr>
          <w:rFonts w:hint="eastAsia" w:ascii="宋体" w:hAnsi="宋体" w:eastAsia="宋体" w:cs="宋体"/>
          <w:sz w:val="24"/>
        </w:rPr>
        <w:t>推荐位跳转：推荐位点击后进入对应点播内容的详情页或播放页；体育赛事类推荐位同样跳转至以点播形式承载的赛事内容，跳转目标应与推荐位内容一致。</w:t>
      </w:r>
    </w:p>
    <w:p w14:paraId="34BC58B8">
      <w:pPr>
        <w:spacing w:line="360" w:lineRule="auto"/>
        <w:ind w:firstLine="480" w:firstLineChars="200"/>
        <w:rPr>
          <w:rFonts w:ascii="宋体" w:hAnsi="宋体" w:eastAsia="宋体" w:cs="宋体"/>
          <w:sz w:val="24"/>
        </w:rPr>
      </w:pPr>
      <w:r>
        <w:rPr>
          <w:rFonts w:hint="eastAsia" w:ascii="宋体" w:hAnsi="宋体" w:eastAsia="宋体" w:cs="宋体"/>
          <w:sz w:val="24"/>
        </w:rPr>
        <w:t>内容编排配置：推荐位的版位结构、内容条目和排序应可配置，支持定时上线和下线，配置更新后前端实时生效。</w:t>
      </w:r>
    </w:p>
    <w:p w14:paraId="59ABB9D7">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异常状态处理：页面数据请求失败时展示错误提示并提供重新加载入口；频道下暂时没内容时展示友好的空状态提示。</w:t>
      </w:r>
    </w:p>
    <w:p w14:paraId="252F9063">
      <w:pPr>
        <w:pStyle w:val="4"/>
        <w:spacing w:before="60" w:after="60" w:line="360" w:lineRule="auto"/>
        <w:rPr>
          <w:rFonts w:ascii="黑体" w:hAnsi="黑体" w:eastAsia="黑体" w:cs="黑体"/>
          <w:sz w:val="24"/>
          <w:szCs w:val="21"/>
        </w:rPr>
      </w:pPr>
      <w:bookmarkStart w:id="102" w:name="s3-1-4"/>
      <w:bookmarkEnd w:id="102"/>
      <w:bookmarkStart w:id="103" w:name="_Ref22622"/>
      <w:bookmarkStart w:id="104" w:name="_Toc11233"/>
      <w:bookmarkStart w:id="105" w:name="_Toc963"/>
      <w:bookmarkStart w:id="106" w:name="_Toc26372"/>
      <w:bookmarkStart w:id="107" w:name="_Toc21531"/>
      <w:bookmarkStart w:id="108" w:name="_Ref5855"/>
      <w:bookmarkStart w:id="109" w:name="_Toc14689"/>
      <w:bookmarkStart w:id="110" w:name="_Toc244679190"/>
      <w:bookmarkStart w:id="111" w:name="_Toc19037"/>
      <w:bookmarkStart w:id="112" w:name="_Ref5842"/>
      <w:bookmarkStart w:id="113" w:name="_Ref5646"/>
      <w:bookmarkStart w:id="114" w:name="_Ref5715"/>
      <w:bookmarkStart w:id="115" w:name="_Toc19775"/>
      <w:bookmarkStart w:id="116" w:name="_Ref5623"/>
      <w:r>
        <w:rPr>
          <w:rFonts w:hint="eastAsia" w:ascii="黑体" w:hAnsi="黑体" w:eastAsia="黑体" w:cs="黑体"/>
          <w:sz w:val="24"/>
          <w:szCs w:val="21"/>
        </w:rPr>
        <w:t>播放详情页</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739662F6">
      <w:pPr>
        <w:spacing w:line="360" w:lineRule="auto"/>
        <w:ind w:firstLine="480" w:firstLineChars="200"/>
        <w:rPr>
          <w:rFonts w:ascii="宋体" w:hAnsi="宋体" w:eastAsia="宋体" w:cs="宋体"/>
          <w:sz w:val="24"/>
        </w:rPr>
      </w:pPr>
      <w:r>
        <w:rPr>
          <w:rFonts w:hint="eastAsia" w:ascii="宋体" w:hAnsi="宋体" w:eastAsia="宋体" w:cs="宋体"/>
          <w:sz w:val="24"/>
        </w:rPr>
        <w:t>详情页是用户做内容消费决策和起播的核心页面。本期体育赛事专区产品通过完善基础信息展示、选集分期和播放入口，缩短用户从决策到播放的转化路径。</w:t>
      </w:r>
    </w:p>
    <w:p w14:paraId="5BE9041C">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1A0F1093">
      <w:pPr>
        <w:spacing w:line="360" w:lineRule="auto"/>
        <w:ind w:firstLine="480" w:firstLineChars="200"/>
        <w:rPr>
          <w:rFonts w:ascii="宋体" w:hAnsi="宋体" w:eastAsia="宋体" w:cs="宋体"/>
          <w:sz w:val="24"/>
        </w:rPr>
      </w:pPr>
      <w:r>
        <w:rPr>
          <w:rFonts w:hint="eastAsia" w:ascii="宋体" w:hAnsi="宋体" w:eastAsia="宋体" w:cs="宋体"/>
          <w:sz w:val="24"/>
        </w:rPr>
        <w:t>基础信息展示：页面支持体育内容详情基础信息的展示，至少涵盖赛事名称、节目集名称、内容简介，赛事类内容展示比分等赛事数据，并应与内容库元数据保持一致。</w:t>
      </w:r>
    </w:p>
    <w:p w14:paraId="78FCC4BF">
      <w:pPr>
        <w:spacing w:line="360" w:lineRule="auto"/>
        <w:ind w:firstLine="480" w:firstLineChars="200"/>
        <w:rPr>
          <w:rFonts w:ascii="宋体" w:hAnsi="宋体" w:eastAsia="宋体" w:cs="宋体"/>
          <w:sz w:val="24"/>
        </w:rPr>
      </w:pPr>
      <w:r>
        <w:rPr>
          <w:rFonts w:hint="eastAsia" w:ascii="宋体" w:hAnsi="宋体" w:eastAsia="宋体" w:cs="宋体"/>
          <w:sz w:val="24"/>
        </w:rPr>
        <w:t>简介展开：页面支持超长剧情简介的展开查看，收起状态下应完整展示核心信息，不得出现截断乱码。</w:t>
      </w:r>
    </w:p>
    <w:p w14:paraId="71DEF9D4">
      <w:pPr>
        <w:spacing w:line="360" w:lineRule="auto"/>
        <w:ind w:firstLine="480" w:firstLineChars="200"/>
        <w:rPr>
          <w:rFonts w:ascii="宋体" w:hAnsi="宋体" w:eastAsia="宋体" w:cs="宋体"/>
          <w:sz w:val="24"/>
        </w:rPr>
      </w:pPr>
      <w:r>
        <w:rPr>
          <w:rFonts w:hint="eastAsia" w:ascii="宋体" w:hAnsi="宋体" w:eastAsia="宋体" w:cs="宋体"/>
          <w:sz w:val="24"/>
        </w:rPr>
        <w:t>播放入口：页面支持内容预览播放和全屏播放，退出全屏后回到详情页原来的位置。</w:t>
      </w:r>
    </w:p>
    <w:p w14:paraId="35E33E84">
      <w:pPr>
        <w:spacing w:line="360" w:lineRule="auto"/>
        <w:ind w:firstLine="480" w:firstLineChars="200"/>
        <w:rPr>
          <w:rFonts w:ascii="宋体" w:hAnsi="宋体" w:eastAsia="宋体" w:cs="宋体"/>
          <w:sz w:val="24"/>
        </w:rPr>
      </w:pPr>
      <w:r>
        <w:rPr>
          <w:rFonts w:hint="eastAsia" w:ascii="宋体" w:hAnsi="宋体" w:eastAsia="宋体" w:cs="宋体"/>
          <w:sz w:val="24"/>
        </w:rPr>
        <w:t>选集与分期：页面支持体育剧集类内容的选集能力和栏目类内容的分期列表；条目要包含序号和权益标识，当前播放项应有明确标识；条目数量较多时支持分页切换并保留浏览位置。</w:t>
      </w:r>
    </w:p>
    <w:p w14:paraId="6AD02D10">
      <w:pPr>
        <w:spacing w:line="360" w:lineRule="auto"/>
        <w:ind w:firstLine="480" w:firstLineChars="200"/>
        <w:rPr>
          <w:rFonts w:ascii="宋体" w:hAnsi="宋体" w:eastAsia="宋体" w:cs="宋体"/>
          <w:sz w:val="24"/>
        </w:rPr>
      </w:pPr>
      <w:r>
        <w:rPr>
          <w:rFonts w:hint="eastAsia" w:ascii="宋体" w:hAnsi="宋体" w:eastAsia="宋体" w:cs="宋体"/>
          <w:sz w:val="24"/>
        </w:rPr>
        <w:t>权限联动：选集和分期的观看权限应与用户会员状态联动；受限内容按试看或订购引导处理，差异化权益内容要展示解锁观看说明。</w:t>
      </w:r>
    </w:p>
    <w:p w14:paraId="63481BD6">
      <w:pPr>
        <w:spacing w:line="360" w:lineRule="auto"/>
        <w:ind w:firstLine="480" w:firstLineChars="200"/>
        <w:rPr>
          <w:rFonts w:ascii="宋体" w:hAnsi="宋体" w:eastAsia="宋体" w:cs="宋体"/>
          <w:sz w:val="24"/>
        </w:rPr>
      </w:pPr>
      <w:r>
        <w:rPr>
          <w:rFonts w:hint="eastAsia" w:ascii="宋体" w:hAnsi="宋体" w:eastAsia="宋体" w:cs="宋体"/>
          <w:sz w:val="24"/>
        </w:rPr>
        <w:t>返回路径：页面支持从详情页返回上级页面以及回到首页，返回后保持原来的浏览位置。</w:t>
      </w:r>
    </w:p>
    <w:p w14:paraId="4D79E768">
      <w:pPr>
        <w:spacing w:line="360" w:lineRule="auto"/>
        <w:ind w:firstLine="480" w:firstLineChars="200"/>
        <w:rPr>
          <w:rFonts w:ascii="宋体" w:hAnsi="宋体" w:eastAsia="宋体" w:cs="宋体"/>
          <w:sz w:val="24"/>
        </w:rPr>
      </w:pPr>
      <w:r>
        <w:rPr>
          <w:rFonts w:hint="eastAsia" w:ascii="宋体" w:hAnsi="宋体" w:eastAsia="宋体" w:cs="宋体"/>
          <w:sz w:val="24"/>
        </w:rPr>
        <w:t>收藏能力：页面支持对接采购人现有的EPG服务实现收藏能力，操作即时生效并反馈收藏状态，收藏数据和用户账号绑定。</w:t>
      </w:r>
    </w:p>
    <w:p w14:paraId="573EB36C">
      <w:pPr>
        <w:spacing w:line="360" w:lineRule="auto"/>
        <w:ind w:firstLine="480" w:firstLineChars="200"/>
        <w:rPr>
          <w:rFonts w:ascii="宋体" w:hAnsi="宋体" w:eastAsia="宋体" w:cs="宋体"/>
          <w:sz w:val="24"/>
        </w:rPr>
      </w:pPr>
      <w:r>
        <w:rPr>
          <w:rFonts w:hint="eastAsia" w:ascii="宋体" w:hAnsi="宋体" w:eastAsia="宋体" w:cs="宋体"/>
          <w:sz w:val="24"/>
        </w:rPr>
        <w:t>相关推荐：页面支持相关推荐内容的展示，推荐内容应可配置，并支持直接进入对应详情页。</w:t>
      </w:r>
    </w:p>
    <w:p w14:paraId="552BE651">
      <w:pPr>
        <w:spacing w:line="360" w:lineRule="auto"/>
        <w:ind w:firstLine="480" w:firstLineChars="200"/>
        <w:rPr>
          <w:rFonts w:ascii="宋体" w:hAnsi="宋体" w:eastAsia="宋体" w:cs="宋体"/>
          <w:sz w:val="24"/>
        </w:rPr>
      </w:pPr>
      <w:r>
        <w:rPr>
          <w:rFonts w:hint="eastAsia" w:ascii="宋体" w:hAnsi="宋体" w:eastAsia="宋体" w:cs="宋体"/>
          <w:sz w:val="24"/>
        </w:rPr>
        <w:t>采用专题方式来承载集锦类短视频，用来满足用户在体育、影视这些场景下的碎片化连续观看需求。本期体育赛事专区产品的重点，是保证组件播放的连续性和权益校验的一致性。</w:t>
      </w:r>
    </w:p>
    <w:p w14:paraId="1699DBC0">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31743BF9">
      <w:pPr>
        <w:spacing w:line="360" w:lineRule="auto"/>
        <w:ind w:firstLine="480" w:firstLineChars="200"/>
        <w:rPr>
          <w:rFonts w:ascii="宋体" w:hAnsi="宋体" w:eastAsia="宋体" w:cs="宋体"/>
          <w:sz w:val="24"/>
        </w:rPr>
      </w:pPr>
      <w:r>
        <w:rPr>
          <w:rFonts w:hint="eastAsia" w:ascii="宋体" w:hAnsi="宋体" w:eastAsia="宋体" w:cs="宋体"/>
          <w:sz w:val="24"/>
        </w:rPr>
        <w:t>循环播放：页面支持用组件方式实现集锦类短视频内容的连续循环播放，也支持在播放过程中切换到其他集锦内容，切换后播放不中断。</w:t>
      </w:r>
    </w:p>
    <w:p w14:paraId="61C83A5A">
      <w:pPr>
        <w:spacing w:line="360" w:lineRule="auto"/>
        <w:ind w:firstLine="480" w:firstLineChars="200"/>
        <w:rPr>
          <w:rFonts w:ascii="宋体" w:hAnsi="宋体" w:eastAsia="宋体" w:cs="宋体"/>
          <w:sz w:val="24"/>
        </w:rPr>
      </w:pPr>
      <w:r>
        <w:rPr>
          <w:rFonts w:hint="eastAsia" w:ascii="宋体" w:hAnsi="宋体" w:eastAsia="宋体" w:cs="宋体"/>
          <w:sz w:val="24"/>
        </w:rPr>
        <w:t>权益校验一致：集锦内容的权益校验、试看和订购引导应与点播内容保持一致，避免同一个内容在不同入口的权益口径不一致。</w:t>
      </w:r>
    </w:p>
    <w:p w14:paraId="69A3AEB3">
      <w:pPr>
        <w:spacing w:line="360" w:lineRule="auto"/>
        <w:ind w:firstLine="480" w:firstLineChars="200"/>
        <w:rPr>
          <w:rFonts w:ascii="宋体" w:hAnsi="宋体" w:eastAsia="宋体" w:cs="宋体"/>
          <w:sz w:val="24"/>
        </w:rPr>
      </w:pPr>
      <w:r>
        <w:rPr>
          <w:rFonts w:hint="eastAsia" w:ascii="宋体" w:hAnsi="宋体" w:eastAsia="宋体" w:cs="宋体"/>
          <w:sz w:val="24"/>
        </w:rPr>
        <w:t>时长展示：页面支持集锦内容时长的展示，方便用户了解内容长度，时长信息应与实际播放时长一致。</w:t>
      </w:r>
    </w:p>
    <w:p w14:paraId="3ECF74C0">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异常状态处理：集锦数据请求失败或内容不可播时，展示错误提示或不可播原因，并支持切换到下一条内容继续播放。</w:t>
      </w:r>
    </w:p>
    <w:p w14:paraId="06F31C40">
      <w:pPr>
        <w:pStyle w:val="4"/>
        <w:spacing w:before="60" w:after="60" w:line="360" w:lineRule="auto"/>
        <w:rPr>
          <w:rFonts w:ascii="黑体" w:hAnsi="黑体" w:eastAsia="黑体" w:cs="黑体"/>
          <w:sz w:val="24"/>
          <w:szCs w:val="21"/>
        </w:rPr>
      </w:pPr>
      <w:bookmarkStart w:id="117" w:name="_Toc22618"/>
      <w:bookmarkStart w:id="118" w:name="_Toc249"/>
      <w:bookmarkStart w:id="119" w:name="_Ref22734"/>
      <w:bookmarkStart w:id="120" w:name="_Toc23162"/>
      <w:bookmarkStart w:id="121" w:name="_Toc244679191"/>
      <w:bookmarkStart w:id="122" w:name="_Ref22675"/>
      <w:bookmarkStart w:id="123" w:name="_Toc17634"/>
      <w:bookmarkStart w:id="124" w:name="_Toc12255"/>
      <w:bookmarkStart w:id="125" w:name="_Toc29532"/>
      <w:bookmarkStart w:id="126" w:name="_Toc25648"/>
      <w:r>
        <w:rPr>
          <w:rFonts w:hint="eastAsia" w:ascii="黑体" w:hAnsi="黑体" w:eastAsia="黑体" w:cs="黑体"/>
          <w:sz w:val="24"/>
          <w:szCs w:val="21"/>
        </w:rPr>
        <w:t>体育组件管理</w:t>
      </w:r>
      <w:bookmarkEnd w:id="117"/>
      <w:bookmarkEnd w:id="118"/>
      <w:bookmarkEnd w:id="119"/>
      <w:bookmarkEnd w:id="120"/>
      <w:bookmarkEnd w:id="121"/>
      <w:bookmarkEnd w:id="122"/>
      <w:bookmarkEnd w:id="123"/>
      <w:bookmarkEnd w:id="124"/>
      <w:bookmarkEnd w:id="125"/>
      <w:bookmarkEnd w:id="126"/>
    </w:p>
    <w:p w14:paraId="701C41F4">
      <w:pPr>
        <w:spacing w:line="360" w:lineRule="auto"/>
        <w:ind w:firstLine="480" w:firstLineChars="200"/>
        <w:rPr>
          <w:rFonts w:ascii="宋体" w:hAnsi="宋体" w:eastAsia="宋体" w:cs="宋体"/>
          <w:sz w:val="24"/>
        </w:rPr>
      </w:pPr>
      <w:r>
        <w:rPr>
          <w:rFonts w:hint="eastAsia" w:ascii="宋体" w:hAnsi="宋体" w:eastAsia="宋体" w:cs="宋体"/>
          <w:sz w:val="24"/>
        </w:rPr>
        <w:t>本产品应建立专项的体育组件管理能力。组件为前端样式与动静态数据结合的体育特有展示组件。</w:t>
      </w:r>
    </w:p>
    <w:p w14:paraId="55623CFF">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3AEA3CEC">
      <w:pPr>
        <w:spacing w:line="360" w:lineRule="auto"/>
        <w:ind w:firstLine="480" w:firstLineChars="200"/>
        <w:rPr>
          <w:rFonts w:ascii="宋体" w:hAnsi="宋体" w:eastAsia="宋体" w:cs="宋体"/>
          <w:sz w:val="24"/>
        </w:rPr>
      </w:pPr>
      <w:r>
        <w:rPr>
          <w:rFonts w:hint="eastAsia" w:ascii="宋体" w:hAnsi="宋体" w:eastAsia="宋体" w:cs="宋体"/>
          <w:sz w:val="24"/>
        </w:rPr>
        <w:t>组件类型：应至少包括赛事基本信息组件、事件组件(如赛事涉及有)、阵容组件、球队统计组件、球员统计组件、对阵数据统计组件、双方对战历史组件等，组件类型应可扩展、可配置。</w:t>
      </w:r>
    </w:p>
    <w:p w14:paraId="1E4D7161">
      <w:pPr>
        <w:spacing w:line="360" w:lineRule="auto"/>
        <w:ind w:firstLine="480" w:firstLineChars="200"/>
        <w:rPr>
          <w:rFonts w:ascii="宋体" w:hAnsi="宋体" w:eastAsia="宋体" w:cs="宋体"/>
          <w:sz w:val="24"/>
        </w:rPr>
      </w:pPr>
      <w:r>
        <w:rPr>
          <w:rFonts w:hint="eastAsia" w:ascii="宋体" w:hAnsi="宋体" w:eastAsia="宋体" w:cs="宋体"/>
          <w:sz w:val="24"/>
        </w:rPr>
        <w:t>场景覆盖：体育组件应涵盖体育频道首页、赛事聚合页及播放详情页三类核心场景。</w:t>
      </w:r>
    </w:p>
    <w:p w14:paraId="2FF3D6E5">
      <w:pPr>
        <w:spacing w:line="360" w:lineRule="auto"/>
        <w:ind w:firstLine="480" w:firstLineChars="200"/>
        <w:rPr>
          <w:rFonts w:ascii="宋体" w:hAnsi="宋体" w:eastAsia="宋体" w:cs="宋体"/>
          <w:sz w:val="24"/>
        </w:rPr>
      </w:pPr>
      <w:r>
        <w:rPr>
          <w:rFonts w:hint="eastAsia" w:ascii="宋体" w:hAnsi="宋体" w:eastAsia="宋体" w:cs="宋体"/>
          <w:sz w:val="24"/>
        </w:rPr>
        <w:t>首页场景：体育频道首页需实现个性化导航与多形态运营位展示。</w:t>
      </w:r>
    </w:p>
    <w:p w14:paraId="58E54069">
      <w:pPr>
        <w:spacing w:line="360" w:lineRule="auto"/>
        <w:ind w:firstLine="480" w:firstLineChars="200"/>
        <w:rPr>
          <w:rFonts w:ascii="宋体" w:hAnsi="宋体" w:eastAsia="宋体" w:cs="宋体"/>
          <w:sz w:val="24"/>
        </w:rPr>
      </w:pPr>
      <w:r>
        <w:rPr>
          <w:rFonts w:hint="eastAsia" w:ascii="宋体" w:hAnsi="宋体" w:eastAsia="宋体" w:cs="宋体"/>
          <w:sz w:val="24"/>
        </w:rPr>
        <w:t>聚合页场景：赛事聚合页应按项目与类型分类组织内容，并提供实时比分与赛程信息。</w:t>
      </w:r>
    </w:p>
    <w:p w14:paraId="0CA0C92B">
      <w:pPr>
        <w:spacing w:line="360" w:lineRule="auto"/>
        <w:ind w:firstLine="480" w:firstLineChars="200"/>
        <w:rPr>
          <w:rFonts w:ascii="宋体" w:hAnsi="宋体" w:eastAsia="宋体" w:cs="宋体"/>
          <w:sz w:val="24"/>
        </w:rPr>
      </w:pPr>
      <w:r>
        <w:rPr>
          <w:rFonts w:hint="eastAsia" w:ascii="宋体" w:hAnsi="宋体" w:eastAsia="宋体" w:cs="宋体"/>
          <w:sz w:val="24"/>
        </w:rPr>
        <w:t>播放详情页场景：播放详情页需保障直播播放顺畅、全功能播放控制及沉浸式数据展示。</w:t>
      </w:r>
    </w:p>
    <w:p w14:paraId="5FAC3829">
      <w:pPr>
        <w:pStyle w:val="4"/>
        <w:spacing w:before="60" w:after="60" w:line="360" w:lineRule="auto"/>
        <w:rPr>
          <w:rFonts w:ascii="黑体" w:hAnsi="黑体" w:eastAsia="黑体" w:cs="黑体"/>
          <w:sz w:val="24"/>
          <w:szCs w:val="21"/>
        </w:rPr>
      </w:pPr>
      <w:bookmarkStart w:id="127" w:name="s3-1-7"/>
      <w:bookmarkEnd w:id="127"/>
      <w:bookmarkStart w:id="128" w:name="_Toc29426"/>
      <w:bookmarkStart w:id="129" w:name="_Toc10365"/>
      <w:bookmarkStart w:id="130" w:name="_Toc14667"/>
      <w:bookmarkStart w:id="131" w:name="_Toc5829"/>
      <w:bookmarkStart w:id="132" w:name="_Toc_s3_1_7"/>
      <w:bookmarkStart w:id="133" w:name="_Toc30142"/>
      <w:bookmarkStart w:id="134" w:name="_Toc23011"/>
      <w:bookmarkStart w:id="135" w:name="_Toc244679192"/>
      <w:bookmarkStart w:id="136" w:name="_Toc32264"/>
      <w:r>
        <w:rPr>
          <w:rFonts w:hint="eastAsia" w:ascii="黑体" w:hAnsi="黑体" w:eastAsia="黑体" w:cs="黑体"/>
          <w:sz w:val="24"/>
          <w:szCs w:val="21"/>
        </w:rPr>
        <w:t>功能入口编排</w:t>
      </w:r>
      <w:bookmarkEnd w:id="128"/>
      <w:bookmarkEnd w:id="129"/>
      <w:bookmarkEnd w:id="130"/>
      <w:bookmarkEnd w:id="131"/>
      <w:bookmarkEnd w:id="132"/>
      <w:bookmarkEnd w:id="133"/>
      <w:bookmarkEnd w:id="134"/>
      <w:bookmarkEnd w:id="135"/>
      <w:bookmarkEnd w:id="136"/>
    </w:p>
    <w:p w14:paraId="79F80354">
      <w:pPr>
        <w:spacing w:line="360" w:lineRule="auto"/>
        <w:ind w:firstLine="480" w:firstLineChars="200"/>
        <w:rPr>
          <w:rFonts w:ascii="宋体" w:hAnsi="宋体" w:eastAsia="宋体" w:cs="宋体"/>
          <w:sz w:val="24"/>
        </w:rPr>
      </w:pPr>
      <w:r>
        <w:rPr>
          <w:rFonts w:hint="eastAsia" w:ascii="宋体" w:hAnsi="宋体" w:eastAsia="宋体" w:cs="宋体"/>
          <w:sz w:val="24"/>
        </w:rPr>
        <w:t>全局功能入口是用户触达个人中心、会员权益、检索、专属观赛模式这些全局能力的统一通道。本期须把入口做成可配置的，方便后续业务扩展和运营调整。</w:t>
      </w:r>
    </w:p>
    <w:p w14:paraId="7EB5C825">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5F539F91">
      <w:pPr>
        <w:spacing w:line="360" w:lineRule="auto"/>
        <w:ind w:firstLine="480" w:firstLineChars="200"/>
        <w:rPr>
          <w:rFonts w:ascii="宋体" w:hAnsi="宋体" w:eastAsia="宋体" w:cs="宋体"/>
          <w:sz w:val="24"/>
        </w:rPr>
      </w:pPr>
      <w:r>
        <w:rPr>
          <w:rFonts w:hint="eastAsia" w:ascii="宋体" w:hAnsi="宋体" w:eastAsia="宋体" w:cs="宋体"/>
          <w:sz w:val="24"/>
        </w:rPr>
        <w:t>入口编排配置：页面应支持对全局功能入口区做集中编排，入口的类型、数量、排序、呈现样式和跳转目标都能配置，也支持后续扩展新增入口，调整后前端实时生效。</w:t>
      </w:r>
    </w:p>
    <w:p w14:paraId="32E35F66">
      <w:pPr>
        <w:spacing w:line="360" w:lineRule="auto"/>
        <w:ind w:firstLine="480" w:firstLineChars="200"/>
        <w:rPr>
          <w:rFonts w:ascii="宋体" w:hAnsi="宋体" w:eastAsia="宋体" w:cs="宋体"/>
          <w:sz w:val="24"/>
        </w:rPr>
      </w:pPr>
      <w:r>
        <w:rPr>
          <w:rFonts w:hint="eastAsia" w:ascii="宋体" w:hAnsi="宋体" w:eastAsia="宋体" w:cs="宋体"/>
          <w:sz w:val="24"/>
        </w:rPr>
        <w:t>服务能力覆盖：页面应支持用户通过全局入口进入个人中心、各品类会员权益与订购、搜索等全局服务能力。</w:t>
      </w:r>
    </w:p>
    <w:p w14:paraId="4B1928A2">
      <w:pPr>
        <w:spacing w:line="360" w:lineRule="auto"/>
        <w:ind w:firstLine="480" w:firstLineChars="200"/>
        <w:rPr>
          <w:rFonts w:ascii="宋体" w:hAnsi="宋体" w:eastAsia="宋体" w:cs="宋体"/>
          <w:sz w:val="24"/>
        </w:rPr>
      </w:pPr>
      <w:r>
        <w:rPr>
          <w:rFonts w:hint="eastAsia" w:ascii="宋体" w:hAnsi="宋体" w:eastAsia="宋体" w:cs="宋体"/>
          <w:sz w:val="24"/>
        </w:rPr>
        <w:t>用户态联动：入口区域要实时反映用户的会员状态，未开通和已开通会员两种情况下，入口的呈现要有所区分。</w:t>
      </w:r>
    </w:p>
    <w:p w14:paraId="0FCE5535">
      <w:pPr>
        <w:pStyle w:val="4"/>
        <w:spacing w:before="60" w:after="60" w:line="360" w:lineRule="auto"/>
        <w:rPr>
          <w:rFonts w:ascii="黑体" w:hAnsi="黑体" w:eastAsia="黑体" w:cs="黑体"/>
          <w:sz w:val="24"/>
          <w:szCs w:val="21"/>
        </w:rPr>
      </w:pPr>
      <w:bookmarkStart w:id="137" w:name="s3-1-8"/>
      <w:bookmarkEnd w:id="137"/>
      <w:bookmarkStart w:id="138" w:name="_Toc_s3_1_8"/>
      <w:bookmarkStart w:id="139" w:name="_Toc244679193"/>
      <w:bookmarkStart w:id="140" w:name="_Toc14984"/>
      <w:bookmarkStart w:id="141" w:name="_Toc3735"/>
      <w:bookmarkStart w:id="142" w:name="_Toc27147"/>
      <w:bookmarkStart w:id="143" w:name="_Toc29144"/>
      <w:bookmarkStart w:id="144" w:name="_Toc1585"/>
      <w:bookmarkStart w:id="145" w:name="_Toc31022"/>
      <w:bookmarkStart w:id="146" w:name="_Toc5474"/>
      <w:r>
        <w:rPr>
          <w:rFonts w:hint="eastAsia" w:ascii="黑体" w:hAnsi="黑体" w:eastAsia="黑体" w:cs="黑体"/>
          <w:sz w:val="24"/>
          <w:szCs w:val="21"/>
        </w:rPr>
        <w:t>内容标识与角标</w:t>
      </w:r>
      <w:bookmarkEnd w:id="138"/>
      <w:bookmarkEnd w:id="139"/>
      <w:bookmarkEnd w:id="140"/>
      <w:bookmarkEnd w:id="141"/>
      <w:bookmarkEnd w:id="142"/>
      <w:bookmarkEnd w:id="143"/>
      <w:bookmarkEnd w:id="144"/>
      <w:bookmarkEnd w:id="145"/>
      <w:bookmarkEnd w:id="146"/>
    </w:p>
    <w:p w14:paraId="47DC80EE">
      <w:pPr>
        <w:spacing w:line="360" w:lineRule="auto"/>
        <w:ind w:firstLine="480" w:firstLineChars="200"/>
        <w:rPr>
          <w:rFonts w:ascii="宋体" w:hAnsi="宋体" w:eastAsia="宋体" w:cs="宋体"/>
          <w:sz w:val="24"/>
        </w:rPr>
      </w:pPr>
      <w:r>
        <w:rPr>
          <w:rFonts w:hint="eastAsia" w:ascii="宋体" w:hAnsi="宋体" w:eastAsia="宋体" w:cs="宋体"/>
          <w:sz w:val="24"/>
        </w:rPr>
        <w:t>内容标识（角标）是用户判断内容权益属性和内容特征的第一视觉信息。本期须建立全站统一的角标体系，避免各页面角标口径不一致造成用户误解。</w:t>
      </w:r>
    </w:p>
    <w:p w14:paraId="7398D460">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766AFD93">
      <w:pPr>
        <w:spacing w:line="360" w:lineRule="auto"/>
        <w:ind w:firstLine="480" w:firstLineChars="200"/>
        <w:rPr>
          <w:rFonts w:ascii="宋体" w:hAnsi="宋体" w:eastAsia="宋体" w:cs="宋体"/>
          <w:sz w:val="24"/>
        </w:rPr>
      </w:pPr>
      <w:r>
        <w:rPr>
          <w:rFonts w:hint="eastAsia" w:ascii="宋体" w:hAnsi="宋体" w:eastAsia="宋体" w:cs="宋体"/>
          <w:sz w:val="24"/>
        </w:rPr>
        <w:t>角标体系：全站内容建立统一的内容标识（角标）体系，标识类型应可扩展、可配置，至少覆盖会员权益、免费、限时免费、活动、专题、画质这些属性维度。</w:t>
      </w:r>
    </w:p>
    <w:p w14:paraId="3646014C">
      <w:pPr>
        <w:spacing w:line="360" w:lineRule="auto"/>
        <w:ind w:firstLine="480" w:firstLineChars="200"/>
        <w:rPr>
          <w:rFonts w:ascii="宋体" w:hAnsi="宋体" w:eastAsia="宋体" w:cs="宋体"/>
          <w:sz w:val="24"/>
        </w:rPr>
      </w:pPr>
      <w:r>
        <w:rPr>
          <w:rFonts w:hint="eastAsia" w:ascii="宋体" w:hAnsi="宋体" w:eastAsia="宋体" w:cs="宋体"/>
          <w:sz w:val="24"/>
        </w:rPr>
        <w:t>角标配置与同步：角标支持按内容、按位置远程配置；内容权益属性发生变化时，相关页面的角标应同步更新，同一内容在全站各页面的角标展示要保持一致。</w:t>
      </w:r>
    </w:p>
    <w:p w14:paraId="3C43DDB1">
      <w:pPr>
        <w:spacing w:line="360" w:lineRule="auto"/>
        <w:ind w:firstLine="480" w:firstLineChars="200"/>
        <w:rPr>
          <w:rFonts w:ascii="宋体" w:hAnsi="宋体" w:eastAsia="宋体" w:cs="宋体"/>
          <w:sz w:val="24"/>
        </w:rPr>
      </w:pPr>
      <w:r>
        <w:rPr>
          <w:rFonts w:hint="eastAsia" w:ascii="宋体" w:hAnsi="宋体" w:eastAsia="宋体" w:cs="宋体"/>
          <w:sz w:val="24"/>
        </w:rPr>
        <w:t>权益引导联动：涉及收费的内容在未满足观看条件时，应按本文件3.2节相关条款引导用户订购，角标展示和点击后的引导动作要保持一致。</w:t>
      </w:r>
    </w:p>
    <w:p w14:paraId="536BB057">
      <w:pPr>
        <w:spacing w:line="360" w:lineRule="auto"/>
        <w:ind w:firstLine="480" w:firstLineChars="200"/>
        <w:rPr>
          <w:rFonts w:ascii="宋体" w:hAnsi="宋体" w:eastAsia="宋体" w:cs="宋体"/>
          <w:sz w:val="24"/>
        </w:rPr>
      </w:pPr>
      <w:r>
        <w:rPr>
          <w:rFonts w:hint="eastAsia" w:ascii="宋体" w:hAnsi="宋体" w:eastAsia="宋体" w:cs="宋体"/>
          <w:sz w:val="24"/>
        </w:rPr>
        <w:t>展示优先级：同一个内容有多个角标时，按配置的优先级规则来展示，避免角标堆叠影响内容信息的可读性。</w:t>
      </w:r>
    </w:p>
    <w:p w14:paraId="7D63A45A">
      <w:pPr>
        <w:pStyle w:val="4"/>
        <w:spacing w:before="60" w:after="60" w:line="360" w:lineRule="auto"/>
        <w:rPr>
          <w:rFonts w:ascii="黑体" w:hAnsi="黑体" w:eastAsia="黑体" w:cs="黑体"/>
          <w:sz w:val="24"/>
          <w:szCs w:val="21"/>
        </w:rPr>
      </w:pPr>
      <w:bookmarkStart w:id="147" w:name="s3-1-9"/>
      <w:bookmarkEnd w:id="147"/>
      <w:bookmarkStart w:id="148" w:name="_Toc9384"/>
      <w:bookmarkStart w:id="149" w:name="_Toc21728"/>
      <w:bookmarkStart w:id="150" w:name="_Toc457"/>
      <w:bookmarkStart w:id="151" w:name="_Toc25146"/>
      <w:bookmarkStart w:id="152" w:name="_Toc31568"/>
      <w:bookmarkStart w:id="153" w:name="_Toc20827"/>
      <w:bookmarkStart w:id="154" w:name="_Toc244679194"/>
      <w:bookmarkStart w:id="155" w:name="_Toc4149"/>
      <w:bookmarkStart w:id="156" w:name="_Toc_s3_1_9"/>
      <w:r>
        <w:rPr>
          <w:rFonts w:hint="eastAsia" w:ascii="黑体" w:hAnsi="黑体" w:eastAsia="黑体" w:cs="黑体"/>
          <w:sz w:val="24"/>
          <w:szCs w:val="21"/>
        </w:rPr>
        <w:t>公共交互与异常处理</w:t>
      </w:r>
      <w:bookmarkEnd w:id="148"/>
      <w:bookmarkEnd w:id="149"/>
      <w:bookmarkEnd w:id="150"/>
      <w:bookmarkEnd w:id="151"/>
      <w:bookmarkEnd w:id="152"/>
      <w:bookmarkEnd w:id="153"/>
      <w:bookmarkEnd w:id="154"/>
      <w:bookmarkEnd w:id="155"/>
      <w:bookmarkEnd w:id="156"/>
    </w:p>
    <w:p w14:paraId="05D19174">
      <w:pPr>
        <w:spacing w:line="360" w:lineRule="auto"/>
        <w:ind w:firstLine="480" w:firstLineChars="200"/>
        <w:rPr>
          <w:rFonts w:ascii="宋体" w:hAnsi="宋体" w:eastAsia="宋体" w:cs="宋体"/>
          <w:sz w:val="24"/>
        </w:rPr>
      </w:pPr>
      <w:r>
        <w:rPr>
          <w:rFonts w:hint="eastAsia" w:ascii="宋体" w:hAnsi="宋体" w:eastAsia="宋体" w:cs="宋体"/>
          <w:sz w:val="24"/>
        </w:rPr>
        <w:t>电视大屏端主要靠遥控器操作。本期须统一全站的焦点规则、加载反馈和异常提示机制，保证各页面在遥控器操作下都有一致的可用性和容错能力。</w:t>
      </w:r>
    </w:p>
    <w:p w14:paraId="46046528">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6AD70A7B">
      <w:pPr>
        <w:spacing w:line="360" w:lineRule="auto"/>
        <w:ind w:firstLine="480" w:firstLineChars="200"/>
        <w:rPr>
          <w:rFonts w:ascii="宋体" w:hAnsi="宋体" w:eastAsia="宋体" w:cs="宋体"/>
          <w:sz w:val="24"/>
        </w:rPr>
      </w:pPr>
      <w:r>
        <w:rPr>
          <w:rFonts w:hint="eastAsia" w:ascii="宋体" w:hAnsi="宋体" w:eastAsia="宋体" w:cs="宋体"/>
          <w:sz w:val="24"/>
        </w:rPr>
        <w:t>遥控器适配：全部页面均应适配遥控器操作，支持方向键移动焦点、确认键进入、返回键逐级返回，核心流程不得强制依赖触屏、鼠标等其他输入方式。</w:t>
      </w:r>
    </w:p>
    <w:p w14:paraId="7551C12E">
      <w:pPr>
        <w:spacing w:line="360" w:lineRule="auto"/>
        <w:ind w:firstLine="480" w:firstLineChars="200"/>
        <w:rPr>
          <w:rFonts w:ascii="宋体" w:hAnsi="宋体" w:eastAsia="宋体" w:cs="宋体"/>
          <w:sz w:val="24"/>
        </w:rPr>
      </w:pPr>
      <w:r>
        <w:rPr>
          <w:rFonts w:hint="eastAsia" w:ascii="宋体" w:hAnsi="宋体" w:eastAsia="宋体" w:cs="宋体"/>
          <w:sz w:val="24"/>
        </w:rPr>
        <w:t>焦点规则：焦点默认定位在页面主推荐位或上次停留的位置，页面提供清晰的焦点态标识；焦点移动路径要符合视觉顺序，不得出现焦点跳跃或不可达区域。</w:t>
      </w:r>
    </w:p>
    <w:p w14:paraId="424770DF">
      <w:pPr>
        <w:spacing w:line="360" w:lineRule="auto"/>
        <w:ind w:firstLine="480" w:firstLineChars="200"/>
        <w:rPr>
          <w:rFonts w:ascii="宋体" w:hAnsi="宋体" w:eastAsia="宋体" w:cs="宋体"/>
          <w:sz w:val="24"/>
        </w:rPr>
      </w:pPr>
      <w:r>
        <w:rPr>
          <w:rFonts w:hint="eastAsia" w:ascii="宋体" w:hAnsi="宋体" w:eastAsia="宋体" w:cs="宋体"/>
          <w:sz w:val="24"/>
        </w:rPr>
        <w:t>加载反馈：所有加载过程均应有加载提示，不得长时间无反馈地白屏或黑屏；加载耗时超过设定阈值时，要给出可感知的进度或等待提示。</w:t>
      </w:r>
    </w:p>
    <w:p w14:paraId="157E8468">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异常状态处理：网络异常、数据为空、内容下线、服务超时这些异常场景，均应有对应的提示页面或提示信息，并提供重新加载、返回等可操作的入口，让用户能从异常里恢复。</w:t>
      </w:r>
    </w:p>
    <w:p w14:paraId="08AA2C13">
      <w:pPr>
        <w:spacing w:line="360" w:lineRule="auto"/>
        <w:ind w:firstLine="480" w:firstLineChars="200"/>
        <w:rPr>
          <w:rFonts w:ascii="宋体" w:hAnsi="宋体" w:eastAsia="宋体" w:cs="宋体"/>
          <w:sz w:val="24"/>
        </w:rPr>
      </w:pPr>
      <w:r>
        <w:rPr>
          <w:rFonts w:hint="eastAsia" w:ascii="宋体" w:hAnsi="宋体" w:eastAsia="宋体" w:cs="宋体"/>
          <w:sz w:val="24"/>
        </w:rPr>
        <w:t>状态一致性：页面在播放、订购等流程中被中断或返回后，要能恢复到中断前的状态，或给出明确的状态说明，不得出现状态错乱。</w:t>
      </w:r>
    </w:p>
    <w:p w14:paraId="1D620498">
      <w:pPr>
        <w:pStyle w:val="4"/>
        <w:spacing w:before="60" w:after="60" w:line="360" w:lineRule="auto"/>
        <w:rPr>
          <w:rFonts w:ascii="黑体" w:hAnsi="黑体" w:eastAsia="黑体" w:cs="黑体"/>
          <w:sz w:val="24"/>
          <w:szCs w:val="21"/>
        </w:rPr>
      </w:pPr>
      <w:bookmarkStart w:id="157" w:name="s3-1-10"/>
      <w:bookmarkEnd w:id="157"/>
      <w:bookmarkStart w:id="158" w:name="_Toc22444"/>
      <w:bookmarkStart w:id="159" w:name="_Toc15111"/>
      <w:bookmarkStart w:id="160" w:name="_Toc4145"/>
      <w:bookmarkStart w:id="161" w:name="_Toc_s3_1_10"/>
      <w:bookmarkStart w:id="162" w:name="_Toc13262"/>
      <w:bookmarkStart w:id="163" w:name="_Toc18503"/>
      <w:bookmarkStart w:id="164" w:name="_Toc16083"/>
      <w:bookmarkStart w:id="165" w:name="_Toc244679195"/>
      <w:bookmarkStart w:id="166" w:name="_Toc452"/>
      <w:r>
        <w:rPr>
          <w:rFonts w:hint="eastAsia" w:ascii="黑体" w:hAnsi="黑体" w:eastAsia="黑体" w:cs="黑体"/>
          <w:sz w:val="24"/>
          <w:szCs w:val="21"/>
        </w:rPr>
        <w:t>用户状态与权益校验</w:t>
      </w:r>
      <w:bookmarkEnd w:id="158"/>
      <w:bookmarkEnd w:id="159"/>
      <w:bookmarkEnd w:id="160"/>
      <w:bookmarkEnd w:id="161"/>
      <w:bookmarkEnd w:id="162"/>
      <w:bookmarkEnd w:id="163"/>
      <w:bookmarkEnd w:id="164"/>
      <w:bookmarkEnd w:id="165"/>
      <w:bookmarkEnd w:id="166"/>
    </w:p>
    <w:p w14:paraId="6879ED3F">
      <w:pPr>
        <w:spacing w:line="360" w:lineRule="auto"/>
        <w:ind w:firstLine="480" w:firstLineChars="200"/>
        <w:rPr>
          <w:rFonts w:ascii="宋体" w:hAnsi="宋体" w:eastAsia="宋体" w:cs="宋体"/>
          <w:sz w:val="24"/>
        </w:rPr>
      </w:pPr>
      <w:r>
        <w:rPr>
          <w:rFonts w:hint="eastAsia" w:ascii="宋体" w:hAnsi="宋体" w:eastAsia="宋体" w:cs="宋体"/>
          <w:sz w:val="24"/>
        </w:rPr>
        <w:t>本项目直接复用采购人已有的账号体系，页面不单独做登录功能，用户账号和会员权益由采购人账号体系同步到 EPG，页面直接用同步后的用户状态来完成权益校验和内容鉴权。</w:t>
      </w:r>
    </w:p>
    <w:p w14:paraId="7F7044D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4A3A9679">
      <w:pPr>
        <w:spacing w:line="360" w:lineRule="auto"/>
        <w:ind w:firstLine="480" w:firstLineChars="200"/>
        <w:rPr>
          <w:rFonts w:ascii="宋体" w:hAnsi="宋体" w:eastAsia="宋体" w:cs="宋体"/>
          <w:sz w:val="24"/>
        </w:rPr>
      </w:pPr>
      <w:r>
        <w:rPr>
          <w:rFonts w:hint="eastAsia" w:ascii="宋体" w:hAnsi="宋体" w:eastAsia="宋体" w:cs="宋体"/>
          <w:sz w:val="24"/>
        </w:rPr>
        <w:t>账号体系同步：EPG 直接复用采购人已有的账号体系，用户账号和会员权益由采购人账号体系同步提供，页面不需应提供独立的登录页面、登录入口和登录方式。</w:t>
      </w:r>
    </w:p>
    <w:p w14:paraId="6A108D37">
      <w:pPr>
        <w:spacing w:line="360" w:lineRule="auto"/>
        <w:ind w:firstLine="480" w:firstLineChars="200"/>
        <w:rPr>
          <w:rFonts w:ascii="宋体" w:hAnsi="宋体" w:eastAsia="宋体" w:cs="宋体"/>
          <w:sz w:val="24"/>
        </w:rPr>
      </w:pPr>
      <w:r>
        <w:rPr>
          <w:rFonts w:hint="eastAsia" w:ascii="宋体" w:hAnsi="宋体" w:eastAsia="宋体" w:cs="宋体"/>
          <w:sz w:val="24"/>
        </w:rPr>
        <w:t>用户状态使用：页面用同步后的用户状态来完成内容权限校验和权益展示；用户未开通相应会员时，受限内容按试看或订购引导来处理。</w:t>
      </w:r>
    </w:p>
    <w:p w14:paraId="0A4CB3E7">
      <w:pPr>
        <w:spacing w:line="360" w:lineRule="auto"/>
        <w:ind w:firstLine="480" w:firstLineChars="200"/>
        <w:rPr>
          <w:rFonts w:ascii="宋体" w:hAnsi="宋体" w:eastAsia="宋体" w:cs="宋体"/>
          <w:sz w:val="24"/>
        </w:rPr>
      </w:pPr>
      <w:r>
        <w:rPr>
          <w:rFonts w:hint="eastAsia" w:ascii="宋体" w:hAnsi="宋体" w:eastAsia="宋体" w:cs="宋体"/>
          <w:sz w:val="24"/>
        </w:rPr>
        <w:t>状态一致性：用户会员状态发生变更（开通、续费、退订）后，各页面的权益标识和权限校验结果应同步更新，全站保持一致。</w:t>
      </w:r>
    </w:p>
    <w:p w14:paraId="2B4EACC8">
      <w:pPr>
        <w:pStyle w:val="3"/>
        <w:spacing w:before="120" w:after="120" w:line="360" w:lineRule="auto"/>
        <w:ind w:left="573" w:hanging="573"/>
        <w:rPr>
          <w:rFonts w:ascii="黑体" w:hAnsi="黑体" w:cs="黑体"/>
          <w:sz w:val="28"/>
          <w:szCs w:val="28"/>
        </w:rPr>
      </w:pPr>
      <w:bookmarkStart w:id="167" w:name="s3-2"/>
      <w:bookmarkEnd w:id="167"/>
      <w:bookmarkStart w:id="168" w:name="_Toc9677"/>
      <w:bookmarkStart w:id="169" w:name="_Toc29833"/>
      <w:bookmarkStart w:id="170" w:name="_Toc244679196"/>
      <w:bookmarkStart w:id="171" w:name="_Toc_s3_2"/>
      <w:bookmarkStart w:id="172" w:name="_Toc20806"/>
      <w:bookmarkStart w:id="173" w:name="_Toc29838"/>
      <w:bookmarkStart w:id="174" w:name="_Toc5185"/>
      <w:bookmarkStart w:id="175" w:name="_Toc9435"/>
      <w:bookmarkStart w:id="176" w:name="_Toc5579"/>
      <w:r>
        <w:rPr>
          <w:rFonts w:hint="eastAsia" w:ascii="黑体" w:hAnsi="黑体" w:cs="黑体"/>
          <w:sz w:val="28"/>
          <w:szCs w:val="28"/>
        </w:rPr>
        <w:t>体育赛事</w:t>
      </w:r>
      <w:bookmarkEnd w:id="168"/>
      <w:bookmarkEnd w:id="169"/>
      <w:bookmarkEnd w:id="170"/>
      <w:bookmarkEnd w:id="171"/>
      <w:bookmarkEnd w:id="172"/>
      <w:bookmarkEnd w:id="173"/>
      <w:bookmarkEnd w:id="174"/>
      <w:bookmarkEnd w:id="175"/>
      <w:bookmarkEnd w:id="176"/>
    </w:p>
    <w:p w14:paraId="302D45D9">
      <w:pPr>
        <w:spacing w:line="360" w:lineRule="auto"/>
        <w:ind w:firstLine="480" w:firstLineChars="200"/>
        <w:rPr>
          <w:rFonts w:ascii="宋体" w:hAnsi="宋体" w:eastAsia="宋体" w:cs="宋体"/>
          <w:sz w:val="24"/>
        </w:rPr>
      </w:pPr>
      <w:r>
        <w:rPr>
          <w:rFonts w:hint="eastAsia" w:ascii="宋体" w:hAnsi="宋体" w:eastAsia="宋体" w:cs="宋体"/>
          <w:sz w:val="24"/>
        </w:rPr>
        <w:t>体育赛事是本产品的核心板块，以点播与直播形式承载，各页面推荐位跳转的目标均为体育内容。本节按"体育频道首页—赛事聚合页—赛程中心页—赛事详情页与播放控制—赛况数据—榜单"规定各页面应具备的功能能力。</w:t>
      </w:r>
    </w:p>
    <w:p w14:paraId="34BC8715">
      <w:pPr>
        <w:pStyle w:val="4"/>
        <w:spacing w:before="60" w:after="60" w:line="360" w:lineRule="auto"/>
        <w:rPr>
          <w:rFonts w:ascii="黑体" w:hAnsi="黑体" w:eastAsia="黑体" w:cs="黑体"/>
          <w:sz w:val="24"/>
          <w:szCs w:val="21"/>
        </w:rPr>
      </w:pPr>
      <w:bookmarkStart w:id="177" w:name="s3-2-1"/>
      <w:bookmarkEnd w:id="177"/>
      <w:bookmarkStart w:id="178" w:name="_Toc_s3_2_1"/>
      <w:bookmarkStart w:id="179" w:name="_Toc32542"/>
      <w:bookmarkStart w:id="180" w:name="_Toc244679197"/>
      <w:bookmarkStart w:id="181" w:name="_Toc14733"/>
      <w:bookmarkStart w:id="182" w:name="_Toc17780"/>
      <w:bookmarkStart w:id="183" w:name="_Toc24456"/>
      <w:bookmarkStart w:id="184" w:name="_Toc12118"/>
      <w:bookmarkStart w:id="185" w:name="_Toc30949"/>
      <w:bookmarkStart w:id="186" w:name="_Toc8437"/>
      <w:r>
        <w:rPr>
          <w:rFonts w:hint="eastAsia" w:ascii="黑体" w:hAnsi="黑体" w:eastAsia="黑体" w:cs="黑体"/>
          <w:sz w:val="24"/>
          <w:szCs w:val="21"/>
        </w:rPr>
        <w:t>体育频道首页</w:t>
      </w:r>
      <w:bookmarkEnd w:id="178"/>
      <w:bookmarkEnd w:id="179"/>
      <w:bookmarkEnd w:id="180"/>
      <w:bookmarkEnd w:id="181"/>
      <w:bookmarkEnd w:id="182"/>
      <w:bookmarkEnd w:id="183"/>
      <w:bookmarkEnd w:id="184"/>
      <w:bookmarkEnd w:id="185"/>
      <w:bookmarkEnd w:id="186"/>
    </w:p>
    <w:p w14:paraId="3AFF08B4">
      <w:pPr>
        <w:spacing w:line="360" w:lineRule="auto"/>
        <w:ind w:firstLine="480" w:firstLineChars="200"/>
        <w:rPr>
          <w:rFonts w:ascii="宋体" w:hAnsi="宋体" w:eastAsia="宋体" w:cs="宋体"/>
          <w:sz w:val="24"/>
        </w:rPr>
      </w:pPr>
      <w:r>
        <w:rPr>
          <w:rFonts w:hint="eastAsia" w:ascii="宋体" w:hAnsi="宋体" w:eastAsia="宋体" w:cs="宋体"/>
          <w:sz w:val="24"/>
        </w:rPr>
        <w:t>体育频道首页是用户进入体育板块的核心枢纽，内容定位以赛事直播为主，涵盖赛事集锦、回放及专题内容。页面应支持按赛事日程进行排播，通过多频道并发避免赛事播放冲突，非直播时段安排重播及集锦内容；首页全部内容模块均应由后台远程配置并实时生效。</w:t>
      </w:r>
    </w:p>
    <w:p w14:paraId="6B8AC8BA">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20DE589C">
      <w:pPr>
        <w:spacing w:line="360" w:lineRule="auto"/>
        <w:ind w:firstLine="480" w:firstLineChars="200"/>
        <w:rPr>
          <w:rFonts w:ascii="宋体" w:hAnsi="宋体" w:eastAsia="宋体" w:cs="宋体"/>
          <w:sz w:val="24"/>
        </w:rPr>
      </w:pPr>
      <w:r>
        <w:rPr>
          <w:rFonts w:hint="eastAsia" w:ascii="宋体" w:hAnsi="宋体" w:eastAsia="宋体" w:cs="宋体"/>
          <w:sz w:val="24"/>
        </w:rPr>
        <w:t>全局导航与项目导航：页面应提供可配置的顶部导航栏，支持从EPG首页导航跳转至体育频道首页及各项目赛事聚合页，支持多级导航跳转；支持按体育项目快速导航，项目分类与排序应可配置。焦点在导航项间切换应有明确的高亮与区分效果，确认跳转响应时间应不超过1秒。</w:t>
      </w:r>
    </w:p>
    <w:p w14:paraId="1E4090AD">
      <w:pPr>
        <w:spacing w:line="360" w:lineRule="auto"/>
        <w:ind w:firstLine="480" w:firstLineChars="200"/>
        <w:rPr>
          <w:rFonts w:ascii="宋体" w:hAnsi="宋体" w:eastAsia="宋体" w:cs="宋体"/>
          <w:sz w:val="24"/>
        </w:rPr>
      </w:pPr>
      <w:r>
        <w:rPr>
          <w:rFonts w:hint="eastAsia" w:ascii="宋体" w:hAnsi="宋体" w:eastAsia="宋体" w:cs="宋体"/>
          <w:sz w:val="24"/>
        </w:rPr>
        <w:t>首屏焦点运营位：页面首屏应设置焦点运营位，作为内容推广核心区域，具体展示形式、交互功能与配置要求见</w:t>
      </w:r>
      <w:r>
        <w:rPr>
          <w:rFonts w:hint="eastAsia" w:ascii="宋体" w:hAnsi="宋体" w:eastAsia="宋体" w:cs="宋体"/>
          <w:sz w:val="24"/>
        </w:rPr>
        <w:fldChar w:fldCharType="begin"/>
      </w:r>
      <w:r>
        <w:rPr>
          <w:rFonts w:hint="eastAsia" w:ascii="宋体" w:hAnsi="宋体" w:eastAsia="宋体" w:cs="宋体"/>
          <w:sz w:val="24"/>
        </w:rPr>
        <w:instrText xml:space="preserve"> REF _Ref22570 \h </w:instrText>
      </w:r>
      <w:r>
        <w:rPr>
          <w:rFonts w:hint="eastAsia" w:ascii="宋体" w:hAnsi="宋体" w:eastAsia="宋体" w:cs="宋体"/>
          <w:sz w:val="24"/>
        </w:rPr>
        <w:fldChar w:fldCharType="separate"/>
      </w:r>
      <w:r>
        <w:rPr>
          <w:rFonts w:hint="eastAsia" w:ascii="宋体" w:hAnsi="宋体" w:eastAsia="宋体" w:cs="宋体"/>
          <w:bCs/>
          <w:sz w:val="24"/>
        </w:rPr>
        <w:t>3.1.3 页面</w:t>
      </w:r>
      <w:r>
        <w:rPr>
          <w:rFonts w:hint="eastAsia" w:ascii="宋体" w:hAnsi="宋体" w:eastAsia="宋体" w:cs="宋体"/>
          <w:sz w:val="24"/>
        </w:rPr>
        <w:fldChar w:fldCharType="end"/>
      </w:r>
      <w:r>
        <w:rPr>
          <w:rFonts w:hint="eastAsia" w:ascii="宋体" w:hAnsi="宋体" w:eastAsia="宋体" w:cs="宋体"/>
          <w:sz w:val="24"/>
        </w:rPr>
        <w:t>章节。</w:t>
      </w:r>
    </w:p>
    <w:p w14:paraId="6D9E453E">
      <w:pPr>
        <w:spacing w:line="360" w:lineRule="auto"/>
        <w:ind w:firstLine="480" w:firstLineChars="200"/>
        <w:rPr>
          <w:rFonts w:ascii="宋体" w:hAnsi="宋体" w:eastAsia="宋体" w:cs="宋体"/>
          <w:sz w:val="24"/>
        </w:rPr>
      </w:pPr>
      <w:r>
        <w:rPr>
          <w:rFonts w:hint="eastAsia" w:ascii="宋体" w:hAnsi="宋体" w:eastAsia="宋体" w:cs="宋体"/>
          <w:sz w:val="24"/>
        </w:rPr>
        <w:t>近期赛程预告区：页面应提供近期赛程预告区，动态展示未来24至72小时内的重点赛程，条目应包含比赛名称、精确开赛时间与对阵信息；应提供"全部赛程"固定入口，点击单个赛程条目直接进入对应赛事详情页。</w:t>
      </w:r>
    </w:p>
    <w:p w14:paraId="6FCB52D6">
      <w:pPr>
        <w:spacing w:line="360" w:lineRule="auto"/>
        <w:ind w:firstLine="480" w:firstLineChars="200"/>
        <w:rPr>
          <w:rFonts w:ascii="宋体" w:hAnsi="宋体" w:eastAsia="宋体" w:cs="宋体"/>
          <w:sz w:val="24"/>
        </w:rPr>
      </w:pPr>
      <w:r>
        <w:rPr>
          <w:rFonts w:hint="eastAsia" w:ascii="宋体" w:hAnsi="宋体" w:eastAsia="宋体" w:cs="宋体"/>
          <w:sz w:val="24"/>
        </w:rPr>
        <w:t>热门赛事快捷入口区：页面应以宫格形式呈现热门赛事快捷入口，覆盖平台有版权的主要运动项目，并提供"全部赛事"综合入口；点击具体项目图标进入对应赛事聚合页，点击"全部赛事"进入赛程中心页。</w:t>
      </w:r>
    </w:p>
    <w:p w14:paraId="4446C6F6">
      <w:pPr>
        <w:spacing w:line="360" w:lineRule="auto"/>
        <w:ind w:firstLine="480" w:firstLineChars="200"/>
        <w:rPr>
          <w:rFonts w:ascii="宋体" w:hAnsi="宋体" w:eastAsia="宋体" w:cs="宋体"/>
          <w:sz w:val="24"/>
        </w:rPr>
      </w:pPr>
      <w:r>
        <w:rPr>
          <w:rFonts w:hint="eastAsia" w:ascii="宋体" w:hAnsi="宋体" w:eastAsia="宋体" w:cs="宋体"/>
          <w:sz w:val="24"/>
        </w:rPr>
        <w:t>精品专题推荐区：页面应以横向滚动列表推荐运营策划的专题内容，专题卡片应清晰展示封面图与标题，点击进入对应专题详情页或播放页。</w:t>
      </w:r>
    </w:p>
    <w:p w14:paraId="726B8689">
      <w:pPr>
        <w:spacing w:line="360" w:lineRule="auto"/>
        <w:ind w:firstLine="480" w:firstLineChars="200"/>
        <w:rPr>
          <w:rFonts w:ascii="宋体" w:hAnsi="宋体" w:eastAsia="宋体" w:cs="宋体"/>
          <w:sz w:val="24"/>
        </w:rPr>
      </w:pPr>
      <w:r>
        <w:rPr>
          <w:rFonts w:hint="eastAsia" w:ascii="宋体" w:hAnsi="宋体" w:eastAsia="宋体" w:cs="宋体"/>
          <w:sz w:val="24"/>
        </w:rPr>
        <w:t>快捷返回顶部：在采用纵向滚动布局的页面中，用户浏览至页面底部区域后按返回键，应回到本页顶部第一个可操作元素，提升长内容页面的操作便利性。</w:t>
      </w:r>
    </w:p>
    <w:p w14:paraId="72063734">
      <w:pPr>
        <w:spacing w:line="360" w:lineRule="auto"/>
        <w:ind w:firstLine="480" w:firstLineChars="200"/>
        <w:rPr>
          <w:rFonts w:ascii="宋体" w:hAnsi="宋体" w:eastAsia="宋体" w:cs="宋体"/>
          <w:sz w:val="24"/>
        </w:rPr>
      </w:pPr>
      <w:r>
        <w:rPr>
          <w:rFonts w:hint="eastAsia" w:ascii="宋体" w:hAnsi="宋体" w:eastAsia="宋体" w:cs="宋体"/>
          <w:sz w:val="24"/>
        </w:rPr>
        <w:t>板块内连通：页面应支持体育板块内各功能模块（赛程、赛事详情页、全屏播放、赛况数据、榜单）之间的互联互通，各入口跳转目标均为体育内容。</w:t>
      </w:r>
    </w:p>
    <w:p w14:paraId="1F9A92F6">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异常状态处理：推荐位或赛程数据请求失败时应展示错误提示并提供重新加载入口；暂无赛事时应展示友好的空状态提示与推荐内容。</w:t>
      </w:r>
    </w:p>
    <w:p w14:paraId="5ADE7F7A">
      <w:pPr>
        <w:pStyle w:val="4"/>
        <w:spacing w:before="60" w:after="60" w:line="360" w:lineRule="auto"/>
        <w:rPr>
          <w:rFonts w:ascii="黑体" w:hAnsi="黑体" w:eastAsia="黑体" w:cs="黑体"/>
          <w:sz w:val="24"/>
          <w:szCs w:val="21"/>
        </w:rPr>
      </w:pPr>
      <w:bookmarkStart w:id="187" w:name="s3-2-2"/>
      <w:bookmarkEnd w:id="187"/>
      <w:bookmarkStart w:id="188" w:name="_Toc244679198"/>
      <w:bookmarkStart w:id="189" w:name="_Toc9353"/>
      <w:bookmarkStart w:id="190" w:name="_Toc12465"/>
      <w:bookmarkStart w:id="191" w:name="_Toc1904"/>
      <w:bookmarkStart w:id="192" w:name="_Toc4454"/>
      <w:bookmarkStart w:id="193" w:name="_Toc_s3_2_2"/>
      <w:bookmarkStart w:id="194" w:name="_Toc12958"/>
      <w:bookmarkStart w:id="195" w:name="_Toc6356"/>
      <w:bookmarkStart w:id="196" w:name="_Toc10750"/>
      <w:r>
        <w:rPr>
          <w:rFonts w:hint="eastAsia" w:ascii="黑体" w:hAnsi="黑体" w:eastAsia="黑体" w:cs="黑体"/>
          <w:sz w:val="24"/>
          <w:szCs w:val="21"/>
        </w:rPr>
        <w:t>赛事聚合页</w:t>
      </w:r>
      <w:bookmarkEnd w:id="188"/>
      <w:bookmarkEnd w:id="189"/>
      <w:bookmarkEnd w:id="190"/>
      <w:bookmarkEnd w:id="191"/>
      <w:bookmarkEnd w:id="192"/>
      <w:bookmarkEnd w:id="193"/>
      <w:bookmarkEnd w:id="194"/>
      <w:bookmarkEnd w:id="195"/>
      <w:bookmarkEnd w:id="196"/>
    </w:p>
    <w:p w14:paraId="3A752F8B">
      <w:pPr>
        <w:spacing w:line="360" w:lineRule="auto"/>
        <w:ind w:firstLine="480" w:firstLineChars="200"/>
        <w:rPr>
          <w:rFonts w:ascii="宋体" w:hAnsi="宋体" w:eastAsia="宋体" w:cs="宋体"/>
          <w:sz w:val="24"/>
        </w:rPr>
      </w:pPr>
      <w:r>
        <w:rPr>
          <w:rFonts w:hint="eastAsia" w:ascii="宋体" w:hAnsi="宋体" w:eastAsia="宋体" w:cs="宋体"/>
          <w:sz w:val="24"/>
        </w:rPr>
        <w:t>赛事聚合页按运动项目与赛事类型组织赛事内容，并应为重点赛事提供独立的二级聚合频道。页面整体框架、背景、配色及内容模块均应由后台配置、发布并生效，各内容模块可独立配置数据源、展示样式与交互逻辑。</w:t>
      </w:r>
    </w:p>
    <w:p w14:paraId="5B6713F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498101B5">
      <w:pPr>
        <w:spacing w:line="360" w:lineRule="auto"/>
        <w:ind w:firstLine="480" w:firstLineChars="200"/>
        <w:rPr>
          <w:rFonts w:ascii="宋体" w:hAnsi="宋体" w:eastAsia="宋体" w:cs="宋体"/>
          <w:sz w:val="24"/>
        </w:rPr>
      </w:pPr>
      <w:r>
        <w:rPr>
          <w:rFonts w:hint="eastAsia" w:ascii="宋体" w:hAnsi="宋体" w:eastAsia="宋体" w:cs="宋体"/>
          <w:sz w:val="24"/>
        </w:rPr>
        <w:t>分类展示：页面应按体育项目、赛事类型等多维度对赛事内容进行分类组织，覆盖足球、篮球、排球、乒乓球、羽毛球、网球、综合格斗、斯诺克及电子竞技等主流运动项目，各分类下应展示赛事数量统计信息，便于用户了解内容规模。</w:t>
      </w:r>
    </w:p>
    <w:p w14:paraId="38A0A356">
      <w:pPr>
        <w:spacing w:line="360" w:lineRule="auto"/>
        <w:ind w:firstLine="480" w:firstLineChars="200"/>
        <w:rPr>
          <w:rFonts w:ascii="宋体" w:hAnsi="宋体" w:eastAsia="宋体" w:cs="宋体"/>
          <w:sz w:val="24"/>
        </w:rPr>
      </w:pPr>
      <w:r>
        <w:rPr>
          <w:rFonts w:hint="eastAsia" w:ascii="宋体" w:hAnsi="宋体" w:eastAsia="宋体" w:cs="宋体"/>
          <w:sz w:val="24"/>
        </w:rPr>
        <w:t>层级钻取：页面应支持层级式内容钻取，用户选择某一项目分类后进入该项目下的赛事列表，进一步选择具体赛事后进入对应二级聚合频道或赛程视图。</w:t>
      </w:r>
    </w:p>
    <w:p w14:paraId="564D3580">
      <w:pPr>
        <w:spacing w:line="360" w:lineRule="auto"/>
        <w:ind w:firstLine="480" w:firstLineChars="200"/>
        <w:rPr>
          <w:rFonts w:ascii="宋体" w:hAnsi="宋体" w:eastAsia="宋体" w:cs="宋体"/>
          <w:sz w:val="24"/>
        </w:rPr>
      </w:pPr>
      <w:r>
        <w:rPr>
          <w:rFonts w:hint="eastAsia" w:ascii="宋体" w:hAnsi="宋体" w:eastAsia="宋体" w:cs="宋体"/>
          <w:sz w:val="24"/>
        </w:rPr>
        <w:t>赛事信息展示：页面应展示比赛时间、参赛队伍、当前比分、比赛状态等关键赛事信息，展示形式应简洁清晰、重点突出；实时比分应与实际比赛同步更新，保障数据及时准确。</w:t>
      </w:r>
    </w:p>
    <w:p w14:paraId="6362B328">
      <w:pPr>
        <w:spacing w:line="360" w:lineRule="auto"/>
        <w:ind w:firstLine="480" w:firstLineChars="200"/>
        <w:rPr>
          <w:rFonts w:ascii="宋体" w:hAnsi="宋体" w:eastAsia="宋体" w:cs="宋体"/>
          <w:sz w:val="24"/>
        </w:rPr>
      </w:pPr>
      <w:r>
        <w:rPr>
          <w:rFonts w:hint="eastAsia" w:ascii="宋体" w:hAnsi="宋体" w:eastAsia="宋体" w:cs="宋体"/>
          <w:sz w:val="24"/>
        </w:rPr>
        <w:t>内容形态覆盖：聚合页内容应涵盖直播、回放、集锦、专题等多形态内容，内容组织应与播出计划匹配。</w:t>
      </w:r>
    </w:p>
    <w:p w14:paraId="365DFE34">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异常状态处理：聚合页数据请求失败时应展示错误提示并提供重新加载入口；分类下暂无内容时应展示友好的空状态提示。</w:t>
      </w:r>
    </w:p>
    <w:p w14:paraId="55AF6B3B">
      <w:pPr>
        <w:pStyle w:val="4"/>
        <w:spacing w:before="60" w:after="60" w:line="360" w:lineRule="auto"/>
        <w:rPr>
          <w:rFonts w:ascii="黑体" w:hAnsi="黑体" w:eastAsia="黑体" w:cs="黑体"/>
          <w:sz w:val="24"/>
          <w:szCs w:val="21"/>
        </w:rPr>
      </w:pPr>
      <w:bookmarkStart w:id="197" w:name="s3-2-3"/>
      <w:bookmarkEnd w:id="197"/>
      <w:bookmarkStart w:id="198" w:name="_Toc26736"/>
      <w:bookmarkStart w:id="199" w:name="_Toc8859"/>
      <w:bookmarkStart w:id="200" w:name="_Toc_s3_2_3"/>
      <w:bookmarkStart w:id="201" w:name="_Toc9628"/>
      <w:bookmarkStart w:id="202" w:name="_Toc14770"/>
      <w:bookmarkStart w:id="203" w:name="_Toc4934"/>
      <w:bookmarkStart w:id="204" w:name="_Toc27948"/>
      <w:bookmarkStart w:id="205" w:name="_Toc244679199"/>
      <w:bookmarkStart w:id="206" w:name="_Toc4696"/>
      <w:r>
        <w:rPr>
          <w:rFonts w:hint="eastAsia" w:ascii="黑体" w:hAnsi="黑体" w:eastAsia="黑体" w:cs="黑体"/>
          <w:sz w:val="24"/>
          <w:szCs w:val="21"/>
        </w:rPr>
        <w:t>赛程中心页</w:t>
      </w:r>
      <w:bookmarkEnd w:id="198"/>
      <w:bookmarkEnd w:id="199"/>
      <w:bookmarkEnd w:id="200"/>
      <w:bookmarkEnd w:id="201"/>
      <w:bookmarkEnd w:id="202"/>
      <w:bookmarkEnd w:id="203"/>
      <w:bookmarkEnd w:id="204"/>
      <w:bookmarkEnd w:id="205"/>
      <w:bookmarkEnd w:id="206"/>
    </w:p>
    <w:p w14:paraId="404D3033">
      <w:pPr>
        <w:spacing w:line="360" w:lineRule="auto"/>
        <w:ind w:firstLine="480" w:firstLineChars="200"/>
        <w:rPr>
          <w:rFonts w:ascii="宋体" w:hAnsi="宋体" w:eastAsia="宋体" w:cs="宋体"/>
          <w:sz w:val="24"/>
        </w:rPr>
      </w:pPr>
      <w:r>
        <w:rPr>
          <w:rFonts w:hint="eastAsia" w:ascii="宋体" w:hAnsi="宋体" w:eastAsia="宋体" w:cs="宋体"/>
          <w:sz w:val="24"/>
        </w:rPr>
        <w:t>赛程中心页是用户查询与跟进比赛的核心工具，应提供全量赛程的统一查询入口，通过多维筛选、双视图与状态联动，为用户提供完整的赛程查询与跟进路径。</w:t>
      </w:r>
    </w:p>
    <w:p w14:paraId="1F1F8A5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42F55678">
      <w:pPr>
        <w:spacing w:line="360" w:lineRule="auto"/>
        <w:ind w:firstLine="480" w:firstLineChars="200"/>
        <w:rPr>
          <w:rFonts w:ascii="宋体" w:hAnsi="宋体" w:eastAsia="宋体" w:cs="宋体"/>
          <w:sz w:val="24"/>
        </w:rPr>
      </w:pPr>
      <w:r>
        <w:rPr>
          <w:rFonts w:hint="eastAsia" w:ascii="宋体" w:hAnsi="宋体" w:eastAsia="宋体" w:cs="宋体"/>
          <w:sz w:val="24"/>
        </w:rPr>
        <w:t>多维度分类导航：页面顶部应提供标签式导航，标签组（如全部赛程、近期热门、各运动项目等）的内容与顺序应可配置，默认选中项应可配置；切换任一维度后赛事列表应即时刷新。</w:t>
      </w:r>
    </w:p>
    <w:p w14:paraId="3EB34216">
      <w:pPr>
        <w:spacing w:line="360" w:lineRule="auto"/>
        <w:ind w:firstLine="480" w:firstLineChars="200"/>
        <w:rPr>
          <w:rFonts w:ascii="宋体" w:hAnsi="宋体" w:eastAsia="宋体" w:cs="宋体"/>
          <w:sz w:val="24"/>
        </w:rPr>
      </w:pPr>
      <w:r>
        <w:rPr>
          <w:rFonts w:hint="eastAsia" w:ascii="宋体" w:hAnsi="宋体" w:eastAsia="宋体" w:cs="宋体"/>
          <w:sz w:val="24"/>
        </w:rPr>
        <w:t>双视图模式：页面应支持列表视图与日历视图两种浏览方式，列表视图以时间线形式展示符合条件的赛程，日历视图在用户选定日期后展示该日全部比赛。</w:t>
      </w:r>
    </w:p>
    <w:p w14:paraId="27536170">
      <w:pPr>
        <w:spacing w:line="360" w:lineRule="auto"/>
        <w:ind w:firstLine="480" w:firstLineChars="200"/>
        <w:rPr>
          <w:rFonts w:ascii="宋体" w:hAnsi="宋体" w:eastAsia="宋体" w:cs="宋体"/>
          <w:sz w:val="24"/>
        </w:rPr>
      </w:pPr>
      <w:r>
        <w:rPr>
          <w:rFonts w:hint="eastAsia" w:ascii="宋体" w:hAnsi="宋体" w:eastAsia="宋体" w:cs="宋体"/>
          <w:sz w:val="24"/>
        </w:rPr>
        <w:t>赛程信息卡片：赛程条目应设计为信息完整的卡片，至少包含比赛名称、精确到分钟的开赛时间、对阵双方名称与标识、比赛状态标识（即将开始、进行中、已结束）及付费提示角标，信息须与后台赛程数据一致。</w:t>
      </w:r>
    </w:p>
    <w:p w14:paraId="2DC77F14">
      <w:pPr>
        <w:spacing w:line="360" w:lineRule="auto"/>
        <w:ind w:firstLine="480" w:firstLineChars="200"/>
        <w:rPr>
          <w:rFonts w:ascii="宋体" w:hAnsi="宋体" w:eastAsia="宋体" w:cs="宋体"/>
          <w:sz w:val="24"/>
        </w:rPr>
      </w:pPr>
      <w:r>
        <w:rPr>
          <w:rFonts w:hint="eastAsia" w:ascii="宋体" w:hAnsi="宋体" w:eastAsia="宋体" w:cs="宋体"/>
          <w:sz w:val="24"/>
        </w:rPr>
        <w:t>状态联动跳转：页面应支持按比赛状态进入相应页面：已结束比赛进入赛事详情页并可回看，进行中比赛进入赛事详情页播放，未开始比赛进入赛事详情页并支持预约。</w:t>
      </w:r>
    </w:p>
    <w:p w14:paraId="31210CF8">
      <w:pPr>
        <w:spacing w:line="360" w:lineRule="auto"/>
        <w:ind w:firstLine="480" w:firstLineChars="200"/>
        <w:rPr>
          <w:rFonts w:ascii="宋体" w:hAnsi="宋体" w:eastAsia="宋体" w:cs="宋体"/>
          <w:sz w:val="24"/>
        </w:rPr>
      </w:pPr>
      <w:r>
        <w:rPr>
          <w:rFonts w:hint="eastAsia" w:ascii="宋体" w:hAnsi="宋体" w:eastAsia="宋体" w:cs="宋体"/>
          <w:sz w:val="24"/>
        </w:rPr>
        <w:t>预约能力：页面应支持对接现有EPG和运营平台的预约能力，实现用户对未开始比赛发起预约，并支持取消预约。</w:t>
      </w:r>
    </w:p>
    <w:p w14:paraId="3A2D83AA">
      <w:pPr>
        <w:spacing w:line="360" w:lineRule="auto"/>
        <w:ind w:firstLine="480" w:firstLineChars="200"/>
        <w:rPr>
          <w:rFonts w:ascii="宋体" w:hAnsi="宋体" w:eastAsia="宋体" w:cs="宋体"/>
          <w:sz w:val="24"/>
        </w:rPr>
      </w:pPr>
      <w:r>
        <w:rPr>
          <w:rFonts w:hint="eastAsia" w:ascii="宋体" w:hAnsi="宋体" w:eastAsia="宋体" w:cs="宋体"/>
          <w:sz w:val="24"/>
        </w:rPr>
        <w:t>自定义关注：支持用户自定义关注的球员、球队等信息，关注结果能在前端页面呈现。</w:t>
      </w:r>
    </w:p>
    <w:p w14:paraId="49C7E624">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异常状态处理：赛程数据加载失败时应展示错误提示并提供重新加载入口；所选日期或赛事下暂无比赛时应展示空状态提示。</w:t>
      </w:r>
    </w:p>
    <w:p w14:paraId="6864D094">
      <w:pPr>
        <w:pStyle w:val="4"/>
        <w:spacing w:before="60" w:after="60" w:line="360" w:lineRule="auto"/>
        <w:rPr>
          <w:rFonts w:ascii="黑体" w:hAnsi="黑体" w:eastAsia="黑体" w:cs="黑体"/>
          <w:sz w:val="24"/>
          <w:szCs w:val="21"/>
        </w:rPr>
      </w:pPr>
      <w:bookmarkStart w:id="207" w:name="s3-2-4"/>
      <w:bookmarkEnd w:id="207"/>
      <w:bookmarkStart w:id="208" w:name="_Toc26281"/>
      <w:bookmarkStart w:id="209" w:name="_Toc244679200"/>
      <w:bookmarkStart w:id="210" w:name="_Toc29584"/>
      <w:bookmarkStart w:id="211" w:name="_Toc26940"/>
      <w:bookmarkStart w:id="212" w:name="_Toc18696"/>
      <w:bookmarkStart w:id="213" w:name="_Toc20598"/>
      <w:bookmarkStart w:id="214" w:name="_Toc29463"/>
      <w:bookmarkStart w:id="215" w:name="_Toc_s3_2_4"/>
      <w:bookmarkStart w:id="216" w:name="_Toc32412"/>
      <w:r>
        <w:rPr>
          <w:rFonts w:hint="eastAsia" w:ascii="黑体" w:hAnsi="黑体" w:eastAsia="黑体" w:cs="黑体"/>
          <w:sz w:val="24"/>
          <w:szCs w:val="21"/>
        </w:rPr>
        <w:t>赛事详情页与播放控制</w:t>
      </w:r>
      <w:bookmarkEnd w:id="208"/>
      <w:bookmarkEnd w:id="209"/>
      <w:bookmarkEnd w:id="210"/>
      <w:bookmarkEnd w:id="211"/>
      <w:bookmarkEnd w:id="212"/>
      <w:bookmarkEnd w:id="213"/>
      <w:bookmarkEnd w:id="214"/>
      <w:bookmarkEnd w:id="215"/>
      <w:bookmarkEnd w:id="216"/>
    </w:p>
    <w:p w14:paraId="159C1188">
      <w:pPr>
        <w:spacing w:line="360" w:lineRule="auto"/>
        <w:ind w:firstLine="480" w:firstLineChars="200"/>
        <w:rPr>
          <w:rFonts w:ascii="宋体" w:hAnsi="宋体" w:eastAsia="宋体" w:cs="宋体"/>
          <w:sz w:val="24"/>
        </w:rPr>
      </w:pPr>
      <w:r>
        <w:rPr>
          <w:rFonts w:hint="eastAsia" w:ascii="宋体" w:hAnsi="宋体" w:eastAsia="宋体" w:cs="宋体"/>
          <w:sz w:val="24"/>
        </w:rPr>
        <w:t>赛事详情页是单场比赛的信息聚合与播放入口，页面内以小窗形式承载比赛画面；全屏播放是体育赛事内容的主要消费形态。直播、回看与赛事点播详情页均应满足本节要求，点播详情页的通用内容展示要求见</w:t>
      </w:r>
      <w:r>
        <w:rPr>
          <w:rFonts w:hint="eastAsia" w:ascii="宋体" w:hAnsi="宋体" w:eastAsia="宋体" w:cs="宋体"/>
          <w:sz w:val="24"/>
        </w:rPr>
        <w:fldChar w:fldCharType="begin"/>
      </w:r>
      <w:r>
        <w:rPr>
          <w:rFonts w:hint="eastAsia" w:ascii="宋体" w:hAnsi="宋体" w:eastAsia="宋体" w:cs="宋体"/>
          <w:sz w:val="24"/>
        </w:rPr>
        <w:instrText xml:space="preserve"> REF _Ref5842 \h </w:instrText>
      </w:r>
      <w:r>
        <w:rPr>
          <w:rFonts w:hint="eastAsia" w:ascii="宋体" w:hAnsi="宋体" w:eastAsia="宋体" w:cs="宋体"/>
          <w:sz w:val="24"/>
        </w:rPr>
        <w:fldChar w:fldCharType="separate"/>
      </w:r>
      <w:r>
        <w:rPr>
          <w:rFonts w:hint="eastAsia" w:ascii="黑体" w:hAnsi="黑体" w:eastAsia="黑体" w:cs="黑体"/>
          <w:sz w:val="24"/>
          <w:szCs w:val="21"/>
        </w:rPr>
        <w:t>播放详情页</w:t>
      </w:r>
      <w:r>
        <w:rPr>
          <w:rFonts w:hint="eastAsia" w:ascii="宋体" w:hAnsi="宋体" w:eastAsia="宋体" w:cs="宋体"/>
          <w:sz w:val="24"/>
        </w:rPr>
        <w:fldChar w:fldCharType="end"/>
      </w:r>
      <w:r>
        <w:rPr>
          <w:rFonts w:hint="eastAsia" w:ascii="宋体" w:hAnsi="宋体" w:eastAsia="宋体" w:cs="宋体"/>
          <w:sz w:val="24"/>
        </w:rPr>
        <w:fldChar w:fldCharType="begin"/>
      </w:r>
      <w:r>
        <w:rPr>
          <w:rFonts w:hint="eastAsia" w:ascii="宋体" w:hAnsi="宋体" w:eastAsia="宋体" w:cs="宋体"/>
          <w:sz w:val="24"/>
        </w:rPr>
        <w:instrText xml:space="preserve"> REF _Ref5855 \w \h </w:instrText>
      </w:r>
      <w:r>
        <w:rPr>
          <w:rFonts w:hint="eastAsia" w:ascii="宋体" w:hAnsi="宋体" w:eastAsia="宋体" w:cs="宋体"/>
          <w:sz w:val="24"/>
        </w:rPr>
        <w:fldChar w:fldCharType="end"/>
      </w:r>
      <w:r>
        <w:rPr>
          <w:rFonts w:hint="eastAsia" w:ascii="宋体" w:hAnsi="宋体" w:eastAsia="宋体" w:cs="宋体"/>
          <w:sz w:val="24"/>
        </w:rPr>
        <w:t>章节。</w:t>
      </w:r>
    </w:p>
    <w:p w14:paraId="12A48363">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3742246B">
      <w:pPr>
        <w:spacing w:line="360" w:lineRule="auto"/>
        <w:ind w:firstLine="480" w:firstLineChars="200"/>
        <w:rPr>
          <w:rFonts w:ascii="宋体" w:hAnsi="宋体" w:eastAsia="宋体" w:cs="宋体"/>
          <w:sz w:val="24"/>
        </w:rPr>
      </w:pPr>
      <w:r>
        <w:rPr>
          <w:rFonts w:hint="eastAsia" w:ascii="宋体" w:hAnsi="宋体" w:eastAsia="宋体" w:cs="宋体"/>
          <w:sz w:val="24"/>
        </w:rPr>
        <w:t>赛事信息总览：页面应在显著位置展示比赛全称、对阵双方标识、比赛时间与比赛状态；直播中比赛应动态刷新实时比分；信息须与后台赛程数据一致并及时更新。</w:t>
      </w:r>
    </w:p>
    <w:p w14:paraId="31785C9C">
      <w:pPr>
        <w:spacing w:line="360" w:lineRule="auto"/>
        <w:ind w:firstLine="480" w:firstLineChars="200"/>
        <w:rPr>
          <w:rFonts w:ascii="宋体" w:hAnsi="宋体" w:eastAsia="宋体" w:cs="宋体"/>
          <w:sz w:val="24"/>
        </w:rPr>
      </w:pPr>
      <w:r>
        <w:rPr>
          <w:rFonts w:hint="eastAsia" w:ascii="宋体" w:hAnsi="宋体" w:eastAsia="宋体" w:cs="宋体"/>
          <w:sz w:val="24"/>
        </w:rPr>
        <w:t>自动起播：进入详情页后，对已开始或回看内容，播放器应自动起播；加载过程应有加载提示。</w:t>
      </w:r>
    </w:p>
    <w:p w14:paraId="537A96B8">
      <w:pPr>
        <w:spacing w:line="360" w:lineRule="auto"/>
        <w:ind w:firstLine="480" w:firstLineChars="200"/>
        <w:rPr>
          <w:rFonts w:ascii="宋体" w:hAnsi="宋体" w:eastAsia="宋体" w:cs="宋体"/>
          <w:sz w:val="24"/>
        </w:rPr>
      </w:pPr>
      <w:r>
        <w:rPr>
          <w:rFonts w:hint="eastAsia" w:ascii="宋体" w:hAnsi="宋体" w:eastAsia="宋体" w:cs="宋体"/>
          <w:sz w:val="24"/>
        </w:rPr>
        <w:t>页内小窗播放：页面应提供小窗播放区域，承载比赛直播或回放画面。</w:t>
      </w:r>
    </w:p>
    <w:p w14:paraId="4DE39A3B">
      <w:pPr>
        <w:spacing w:line="360" w:lineRule="auto"/>
        <w:ind w:firstLine="480" w:firstLineChars="200"/>
        <w:rPr>
          <w:rFonts w:ascii="宋体" w:hAnsi="宋体" w:eastAsia="宋体" w:cs="宋体"/>
          <w:sz w:val="24"/>
        </w:rPr>
      </w:pPr>
      <w:r>
        <w:rPr>
          <w:rFonts w:hint="eastAsia" w:ascii="宋体" w:hAnsi="宋体" w:eastAsia="宋体" w:cs="宋体"/>
          <w:sz w:val="24"/>
        </w:rPr>
        <w:t>进入全屏播放：点击小窗播放区域或页面全屏按钮应进入全屏播放；全屏播放与页内小窗的播放进度与状态应保持一致，退出全屏后应回到详情页。</w:t>
      </w:r>
    </w:p>
    <w:p w14:paraId="0DF244F9">
      <w:pPr>
        <w:spacing w:line="360" w:lineRule="auto"/>
        <w:ind w:firstLine="480" w:firstLineChars="200"/>
        <w:rPr>
          <w:rFonts w:ascii="宋体" w:hAnsi="宋体" w:eastAsia="宋体" w:cs="宋体"/>
          <w:sz w:val="24"/>
        </w:rPr>
      </w:pPr>
      <w:r>
        <w:rPr>
          <w:rFonts w:hint="eastAsia" w:ascii="宋体" w:hAnsi="宋体" w:eastAsia="宋体" w:cs="宋体"/>
          <w:sz w:val="24"/>
        </w:rPr>
        <w:t>基础播放控制：播放过程应支持播放与暂停、快进快退、进度拖动；回放应支持断点续看，直播应支持回到直播最新进度，拖动后应快速起播。</w:t>
      </w:r>
    </w:p>
    <w:p w14:paraId="3721033F">
      <w:pPr>
        <w:spacing w:line="360" w:lineRule="auto"/>
        <w:ind w:firstLine="480" w:firstLineChars="200"/>
        <w:rPr>
          <w:rFonts w:ascii="宋体" w:hAnsi="宋体" w:eastAsia="宋体" w:cs="宋体"/>
          <w:sz w:val="24"/>
        </w:rPr>
      </w:pPr>
      <w:r>
        <w:rPr>
          <w:rFonts w:hint="eastAsia" w:ascii="宋体" w:hAnsi="宋体" w:eastAsia="宋体" w:cs="宋体"/>
          <w:sz w:val="24"/>
        </w:rPr>
        <w:t>多解说切换：同一比赛提供多路解说时，页面应提供便捷的解说切换入口。</w:t>
      </w:r>
    </w:p>
    <w:p w14:paraId="442CD702">
      <w:pPr>
        <w:spacing w:line="360" w:lineRule="auto"/>
        <w:ind w:firstLine="480" w:firstLineChars="200"/>
        <w:rPr>
          <w:rFonts w:ascii="宋体" w:hAnsi="宋体" w:eastAsia="宋体" w:cs="宋体"/>
          <w:sz w:val="24"/>
        </w:rPr>
      </w:pPr>
      <w:r>
        <w:rPr>
          <w:rFonts w:hint="eastAsia" w:ascii="宋体" w:hAnsi="宋体" w:eastAsia="宋体" w:cs="宋体"/>
          <w:sz w:val="24"/>
        </w:rPr>
        <w:t>多视角切换：同一比赛具备多视角信号时，可使用多路解说切换入口统一呈现。</w:t>
      </w:r>
    </w:p>
    <w:p w14:paraId="1A4AE5A0">
      <w:pPr>
        <w:spacing w:line="360" w:lineRule="auto"/>
        <w:ind w:firstLine="480" w:firstLineChars="200"/>
        <w:rPr>
          <w:rFonts w:ascii="宋体" w:hAnsi="宋体" w:eastAsia="宋体" w:cs="宋体"/>
          <w:sz w:val="24"/>
        </w:rPr>
      </w:pPr>
      <w:r>
        <w:rPr>
          <w:rFonts w:hint="eastAsia" w:ascii="宋体" w:hAnsi="宋体" w:eastAsia="宋体" w:cs="宋体"/>
          <w:sz w:val="24"/>
        </w:rPr>
        <w:t>播放菜单：全屏播放下方应提供设置菜单，设置项至少涵盖清晰度、画面比例、比分展示开关与赛程查看，菜单操作应即时生效并给出反馈；比分条开关设置结果应在会话内保持；全屏状态下查看赛程不得中断当前播放。</w:t>
      </w:r>
    </w:p>
    <w:p w14:paraId="34A26878">
      <w:pPr>
        <w:spacing w:line="360" w:lineRule="auto"/>
        <w:ind w:firstLine="480" w:firstLineChars="200"/>
        <w:rPr>
          <w:rFonts w:ascii="宋体" w:hAnsi="宋体" w:eastAsia="宋体" w:cs="宋体"/>
          <w:sz w:val="24"/>
        </w:rPr>
      </w:pPr>
      <w:r>
        <w:rPr>
          <w:rFonts w:hint="eastAsia" w:ascii="宋体" w:hAnsi="宋体" w:eastAsia="宋体" w:cs="宋体"/>
          <w:sz w:val="24"/>
        </w:rPr>
        <w:t>鉴权与订购转化：用户点击播放时应首先向服务端发起权益鉴权；鉴权未通过的付费内容应进入试看，试看时长应由后台规则配置；试看过程须给予明确提示，试看结束后展示订购引导浮层；用户确认订购时应无缝拉起采购人现有订购流程，订购完成后自动刷新鉴权状态并恢复播放。</w:t>
      </w:r>
    </w:p>
    <w:p w14:paraId="747D4157">
      <w:pPr>
        <w:spacing w:line="360" w:lineRule="auto"/>
        <w:ind w:firstLine="480" w:firstLineChars="200"/>
        <w:rPr>
          <w:rFonts w:ascii="宋体" w:hAnsi="宋体" w:eastAsia="宋体" w:cs="宋体"/>
          <w:sz w:val="24"/>
        </w:rPr>
      </w:pPr>
      <w:r>
        <w:rPr>
          <w:rFonts w:hint="eastAsia" w:ascii="宋体" w:hAnsi="宋体" w:eastAsia="宋体" w:cs="宋体"/>
          <w:sz w:val="24"/>
        </w:rPr>
        <w:t>赛事点播详情：赛事点播（全场回放、集锦）详情页应展示节目标题、简介等信息，支持选集列表与直接跳播，并可展示与该内容关联的赛事专业数据，页面底部可根据实际内容展示关联推荐赛事或专题内容。</w:t>
      </w:r>
    </w:p>
    <w:p w14:paraId="402F713F">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异常状态处理：播放失败、缓冲超时、片源不可用等异常场景应有明确的错误提示与重试入口，不得停留在无反馈的加载状态；赛事信息缺失或数据异常时应以占位方式展示，不得出现乱码或空白页面。</w:t>
      </w:r>
    </w:p>
    <w:p w14:paraId="4F03EB49">
      <w:pPr>
        <w:pStyle w:val="4"/>
        <w:spacing w:before="60" w:after="60" w:line="360" w:lineRule="auto"/>
        <w:rPr>
          <w:rFonts w:ascii="黑体" w:hAnsi="黑体" w:eastAsia="黑体" w:cs="黑体"/>
          <w:sz w:val="24"/>
          <w:szCs w:val="21"/>
        </w:rPr>
      </w:pPr>
      <w:bookmarkStart w:id="217" w:name="s3-2-5"/>
      <w:bookmarkEnd w:id="217"/>
      <w:bookmarkStart w:id="218" w:name="_Toc28170"/>
      <w:bookmarkStart w:id="219" w:name="_Toc14244"/>
      <w:bookmarkStart w:id="220" w:name="_Toc170"/>
      <w:bookmarkStart w:id="221" w:name="_Toc_s3_2_5"/>
      <w:bookmarkStart w:id="222" w:name="_Toc244679201"/>
      <w:bookmarkStart w:id="223" w:name="_Toc97"/>
      <w:bookmarkStart w:id="224" w:name="_Toc20837"/>
      <w:bookmarkStart w:id="225" w:name="_Toc5386"/>
      <w:bookmarkStart w:id="226" w:name="_Toc2513"/>
      <w:r>
        <w:rPr>
          <w:rFonts w:hint="eastAsia" w:ascii="黑体" w:hAnsi="黑体" w:eastAsia="黑体" w:cs="黑体"/>
          <w:sz w:val="24"/>
          <w:szCs w:val="21"/>
        </w:rPr>
        <w:t>赛况数据展示</w:t>
      </w:r>
      <w:bookmarkEnd w:id="218"/>
      <w:bookmarkEnd w:id="219"/>
      <w:bookmarkEnd w:id="220"/>
      <w:bookmarkEnd w:id="221"/>
      <w:bookmarkEnd w:id="222"/>
      <w:bookmarkEnd w:id="223"/>
      <w:bookmarkEnd w:id="224"/>
      <w:bookmarkEnd w:id="225"/>
      <w:bookmarkEnd w:id="226"/>
    </w:p>
    <w:p w14:paraId="4874F609">
      <w:pPr>
        <w:spacing w:line="360" w:lineRule="auto"/>
        <w:ind w:firstLine="480" w:firstLineChars="200"/>
        <w:rPr>
          <w:rFonts w:ascii="宋体" w:hAnsi="宋体" w:eastAsia="宋体" w:cs="宋体"/>
          <w:sz w:val="24"/>
        </w:rPr>
      </w:pPr>
      <w:r>
        <w:rPr>
          <w:rFonts w:hint="eastAsia" w:ascii="宋体" w:hAnsi="宋体" w:eastAsia="宋体" w:cs="宋体"/>
          <w:sz w:val="24"/>
        </w:rPr>
        <w:t>赛况数据由赛事详情页的赛况数据入口进入，通过体育组件形式承载（组件管理要求见</w:t>
      </w:r>
      <w:r>
        <w:rPr>
          <w:rFonts w:hint="eastAsia" w:ascii="宋体" w:hAnsi="宋体" w:eastAsia="宋体" w:cs="宋体"/>
          <w:sz w:val="24"/>
        </w:rPr>
        <w:fldChar w:fldCharType="begin"/>
      </w:r>
      <w:r>
        <w:rPr>
          <w:rFonts w:hint="eastAsia" w:ascii="宋体" w:hAnsi="宋体" w:eastAsia="宋体" w:cs="宋体"/>
          <w:sz w:val="24"/>
        </w:rPr>
        <w:instrText xml:space="preserve"> REF _Ref22675 \h </w:instrText>
      </w:r>
      <w:r>
        <w:rPr>
          <w:rFonts w:hint="eastAsia" w:ascii="宋体" w:hAnsi="宋体" w:eastAsia="宋体" w:cs="宋体"/>
          <w:sz w:val="24"/>
        </w:rPr>
        <w:fldChar w:fldCharType="separate"/>
      </w:r>
      <w:r>
        <w:rPr>
          <w:rFonts w:hint="eastAsia" w:ascii="黑体" w:hAnsi="黑体" w:eastAsia="黑体" w:cs="黑体"/>
          <w:sz w:val="24"/>
          <w:szCs w:val="21"/>
        </w:rPr>
        <w:t>体育组件管理</w:t>
      </w:r>
      <w:r>
        <w:rPr>
          <w:rFonts w:hint="eastAsia" w:ascii="宋体" w:hAnsi="宋体" w:eastAsia="宋体" w:cs="宋体"/>
          <w:sz w:val="24"/>
        </w:rPr>
        <w:fldChar w:fldCharType="end"/>
      </w:r>
      <w:r>
        <w:rPr>
          <w:rFonts w:hint="eastAsia" w:ascii="宋体" w:hAnsi="宋体" w:eastAsia="宋体" w:cs="宋体"/>
          <w:sz w:val="24"/>
        </w:rPr>
        <w:t>章节），是提升观赛深度的关键增值信息。本期须支持比分、阵容、本场统计、赛季统计等数据。</w:t>
      </w:r>
    </w:p>
    <w:p w14:paraId="79CAF3A7">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77BCBE66">
      <w:pPr>
        <w:spacing w:line="360" w:lineRule="auto"/>
        <w:ind w:firstLine="480" w:firstLineChars="200"/>
        <w:rPr>
          <w:rFonts w:ascii="宋体" w:hAnsi="宋体" w:eastAsia="宋体" w:cs="宋体"/>
          <w:sz w:val="24"/>
        </w:rPr>
      </w:pPr>
      <w:r>
        <w:rPr>
          <w:rFonts w:hint="eastAsia" w:ascii="宋体" w:hAnsi="宋体" w:eastAsia="宋体" w:cs="宋体"/>
          <w:sz w:val="24"/>
        </w:rPr>
        <w:t>组件体系：本产品应建立专项的体育组件管理能力，具体组件类型、场景覆盖与展示要求见</w:t>
      </w:r>
      <w:r>
        <w:rPr>
          <w:rFonts w:hint="eastAsia" w:ascii="宋体" w:hAnsi="宋体" w:eastAsia="宋体" w:cs="宋体"/>
          <w:sz w:val="24"/>
        </w:rPr>
        <w:fldChar w:fldCharType="begin"/>
      </w:r>
      <w:r>
        <w:rPr>
          <w:rFonts w:hint="eastAsia" w:ascii="宋体" w:hAnsi="宋体" w:eastAsia="宋体" w:cs="宋体"/>
          <w:sz w:val="24"/>
        </w:rPr>
        <w:instrText xml:space="preserve"> REF _Ref22734 \h </w:instrText>
      </w:r>
      <w:r>
        <w:rPr>
          <w:rFonts w:hint="eastAsia" w:ascii="宋体" w:hAnsi="宋体" w:eastAsia="宋体" w:cs="宋体"/>
          <w:sz w:val="24"/>
        </w:rPr>
        <w:fldChar w:fldCharType="separate"/>
      </w:r>
      <w:r>
        <w:rPr>
          <w:rFonts w:hint="eastAsia" w:ascii="黑体" w:hAnsi="黑体" w:eastAsia="黑体" w:cs="黑体"/>
          <w:sz w:val="24"/>
          <w:szCs w:val="21"/>
        </w:rPr>
        <w:t>体育组件管理</w:t>
      </w:r>
      <w:r>
        <w:rPr>
          <w:rFonts w:hint="eastAsia" w:ascii="宋体" w:hAnsi="宋体" w:eastAsia="宋体" w:cs="宋体"/>
          <w:sz w:val="24"/>
        </w:rPr>
        <w:fldChar w:fldCharType="end"/>
      </w:r>
      <w:r>
        <w:rPr>
          <w:rFonts w:hint="eastAsia" w:ascii="宋体" w:hAnsi="宋体" w:eastAsia="宋体" w:cs="宋体"/>
          <w:sz w:val="24"/>
        </w:rPr>
        <w:t>章节。</w:t>
      </w:r>
    </w:p>
    <w:p w14:paraId="4A75E627">
      <w:pPr>
        <w:spacing w:line="360" w:lineRule="auto"/>
        <w:ind w:firstLine="480" w:firstLineChars="200"/>
        <w:rPr>
          <w:rFonts w:ascii="宋体" w:hAnsi="宋体" w:eastAsia="宋体" w:cs="宋体"/>
          <w:sz w:val="24"/>
        </w:rPr>
      </w:pPr>
      <w:r>
        <w:rPr>
          <w:rFonts w:hint="eastAsia" w:ascii="宋体" w:hAnsi="宋体" w:eastAsia="宋体" w:cs="宋体"/>
          <w:sz w:val="24"/>
        </w:rPr>
        <w:t>差异化数据视图：组件数据展示应按不同运动项目的规则与数据特征进行差异化、专业化设计，根据当前播放内容的赛事类型自动加载并呈现匹配的专业数据视图。</w:t>
      </w:r>
    </w:p>
    <w:p w14:paraId="77F68927">
      <w:pPr>
        <w:spacing w:line="360" w:lineRule="auto"/>
        <w:ind w:firstLine="480" w:firstLineChars="200"/>
        <w:rPr>
          <w:rFonts w:ascii="宋体" w:hAnsi="宋体" w:eastAsia="宋体" w:cs="宋体"/>
          <w:sz w:val="24"/>
        </w:rPr>
      </w:pPr>
      <w:r>
        <w:rPr>
          <w:rFonts w:hint="eastAsia" w:ascii="宋体" w:hAnsi="宋体" w:eastAsia="宋体" w:cs="宋体"/>
          <w:sz w:val="24"/>
        </w:rPr>
        <w:t>赛事数据支持：页面应支持比分、阵容、本场统计、赛季统计等数据，并支持各数据之间的切换查看，切换后内容区即时刷新。</w:t>
      </w:r>
    </w:p>
    <w:p w14:paraId="7455630C">
      <w:pPr>
        <w:spacing w:line="360" w:lineRule="auto"/>
        <w:ind w:firstLine="480" w:firstLineChars="200"/>
        <w:rPr>
          <w:rFonts w:ascii="宋体" w:hAnsi="宋体" w:eastAsia="宋体" w:cs="宋体"/>
          <w:sz w:val="24"/>
        </w:rPr>
      </w:pPr>
      <w:r>
        <w:rPr>
          <w:rFonts w:hint="eastAsia" w:ascii="宋体" w:hAnsi="宋体" w:eastAsia="宋体" w:cs="宋体"/>
          <w:sz w:val="24"/>
        </w:rPr>
        <w:t>比分数据：页面应支持按赛事比分数据的展示，包括</w:t>
      </w:r>
      <w:r>
        <w:rPr>
          <w:rFonts w:ascii="Times New Roman" w:hAnsi="Times New Roman" w:cs="Times New Roman"/>
          <w:iCs/>
          <w:sz w:val="24"/>
        </w:rPr>
        <w:t>参赛队伍、当前比分、比赛状态等关键</w:t>
      </w:r>
      <w:r>
        <w:rPr>
          <w:rFonts w:hint="eastAsia" w:ascii="Times New Roman" w:hAnsi="Times New Roman" w:cs="Times New Roman"/>
          <w:iCs/>
          <w:sz w:val="24"/>
        </w:rPr>
        <w:t>信息</w:t>
      </w:r>
      <w:r>
        <w:rPr>
          <w:rFonts w:hint="eastAsia" w:ascii="宋体" w:hAnsi="宋体" w:eastAsia="宋体" w:cs="宋体"/>
          <w:sz w:val="24"/>
        </w:rPr>
        <w:t>。</w:t>
      </w:r>
    </w:p>
    <w:p w14:paraId="2999EF8A">
      <w:pPr>
        <w:spacing w:line="360" w:lineRule="auto"/>
        <w:ind w:firstLine="480" w:firstLineChars="200"/>
        <w:rPr>
          <w:rFonts w:ascii="宋体" w:hAnsi="宋体" w:eastAsia="宋体" w:cs="宋体"/>
          <w:sz w:val="24"/>
        </w:rPr>
      </w:pPr>
      <w:r>
        <w:rPr>
          <w:rFonts w:hint="eastAsia" w:ascii="宋体" w:hAnsi="宋体" w:eastAsia="宋体" w:cs="宋体"/>
          <w:sz w:val="24"/>
        </w:rPr>
        <w:t>阵容数据：页面应支持双方阵容与阵型的展示，支持主客队视图切换，并应标识球员场上状态（红黄牌、换人等）及替补名单。</w:t>
      </w:r>
    </w:p>
    <w:p w14:paraId="64CCF8F1">
      <w:pPr>
        <w:spacing w:line="360" w:lineRule="auto"/>
        <w:ind w:firstLine="480" w:firstLineChars="200"/>
        <w:rPr>
          <w:rFonts w:ascii="宋体" w:hAnsi="宋体" w:eastAsia="宋体" w:cs="宋体"/>
          <w:sz w:val="24"/>
        </w:rPr>
      </w:pPr>
      <w:r>
        <w:rPr>
          <w:rFonts w:hint="eastAsia" w:ascii="宋体" w:hAnsi="宋体" w:eastAsia="宋体" w:cs="宋体"/>
          <w:sz w:val="24"/>
        </w:rPr>
        <w:t>本场统计数据：页面应支持双方关键技术指标的对比展示，指标项应可配置，对比结果应直观可读。</w:t>
      </w:r>
    </w:p>
    <w:p w14:paraId="7D392BB4">
      <w:pPr>
        <w:spacing w:line="360" w:lineRule="auto"/>
        <w:ind w:firstLine="480" w:firstLineChars="200"/>
        <w:rPr>
          <w:rFonts w:ascii="宋体" w:hAnsi="宋体" w:eastAsia="宋体" w:cs="宋体"/>
          <w:sz w:val="24"/>
        </w:rPr>
      </w:pPr>
      <w:r>
        <w:rPr>
          <w:rFonts w:hint="eastAsia" w:ascii="宋体" w:hAnsi="宋体" w:eastAsia="宋体" w:cs="宋体"/>
          <w:sz w:val="24"/>
        </w:rPr>
        <w:t>赛季统计数据：页面应支持所属赛事榜单展示，如果存在双方历史交锋数据的赛事则展示历史交锋数据，数据与后台数据保持一致。</w:t>
      </w:r>
    </w:p>
    <w:p w14:paraId="2EE6E9C7">
      <w:pPr>
        <w:spacing w:line="360" w:lineRule="auto"/>
        <w:ind w:firstLine="480" w:firstLineChars="200"/>
        <w:rPr>
          <w:rFonts w:ascii="宋体" w:hAnsi="宋体" w:eastAsia="宋体" w:cs="宋体"/>
          <w:sz w:val="24"/>
        </w:rPr>
      </w:pPr>
      <w:r>
        <w:rPr>
          <w:rFonts w:hint="eastAsia" w:ascii="宋体" w:hAnsi="宋体" w:eastAsia="宋体" w:cs="宋体"/>
          <w:sz w:val="24"/>
        </w:rPr>
        <w:t>更新机制：赛况数据须与比赛进程同步更新：直播中的数据应有合理的刷新频率，回放与已结束比赛应展示终版数据。</w:t>
      </w:r>
    </w:p>
    <w:p w14:paraId="30D00270">
      <w:pPr>
        <w:spacing w:line="360" w:lineRule="auto"/>
        <w:ind w:firstLine="480" w:firstLineChars="200"/>
        <w:rPr>
          <w:rFonts w:ascii="宋体" w:hAnsi="宋体" w:eastAsia="宋体" w:cs="宋体"/>
          <w:sz w:val="24"/>
        </w:rPr>
      </w:pPr>
      <w:r>
        <w:rPr>
          <w:rFonts w:hint="eastAsia" w:ascii="宋体" w:hAnsi="宋体" w:eastAsia="宋体" w:cs="宋体"/>
          <w:sz w:val="24"/>
        </w:rPr>
        <w:t>数据对应校验：数据展示须与所选比赛一一对应，不得串场；切换比赛后数据应整体刷新。</w:t>
      </w:r>
    </w:p>
    <w:p w14:paraId="1C5161AA">
      <w:pPr>
        <w:spacing w:line="360" w:lineRule="auto"/>
        <w:ind w:firstLine="480" w:firstLineChars="200"/>
        <w:rPr>
          <w:rFonts w:ascii="宋体" w:hAnsi="宋体" w:eastAsia="宋体" w:cs="宋体"/>
          <w:sz w:val="24"/>
        </w:rPr>
      </w:pPr>
      <w:r>
        <w:rPr>
          <w:rFonts w:hint="eastAsia" w:ascii="宋体" w:hAnsi="宋体" w:eastAsia="宋体" w:cs="宋体"/>
          <w:sz w:val="24"/>
        </w:rPr>
        <w:t>降级展示：数据缺失或延迟时，应展示占位或最近一次有效数据，并给出相应提示，不得出现空白或异常字符。</w:t>
      </w:r>
    </w:p>
    <w:p w14:paraId="56231B5E">
      <w:pPr>
        <w:pStyle w:val="4"/>
        <w:spacing w:before="60" w:after="60" w:line="360" w:lineRule="auto"/>
        <w:rPr>
          <w:rFonts w:ascii="黑体" w:hAnsi="黑体" w:eastAsia="黑体" w:cs="黑体"/>
          <w:sz w:val="24"/>
          <w:szCs w:val="21"/>
        </w:rPr>
      </w:pPr>
      <w:bookmarkStart w:id="227" w:name="s3-2-6"/>
      <w:bookmarkEnd w:id="227"/>
      <w:bookmarkStart w:id="228" w:name="_Toc18431"/>
      <w:bookmarkStart w:id="229" w:name="_Toc_s3_2_6"/>
      <w:bookmarkStart w:id="230" w:name="_Toc6709"/>
      <w:bookmarkStart w:id="231" w:name="_Toc1822"/>
      <w:bookmarkStart w:id="232" w:name="_Toc1856"/>
      <w:bookmarkStart w:id="233" w:name="_Toc12622"/>
      <w:bookmarkStart w:id="234" w:name="_Toc244679202"/>
      <w:bookmarkStart w:id="235" w:name="_Toc36"/>
      <w:bookmarkStart w:id="236" w:name="_Toc23866"/>
      <w:r>
        <w:rPr>
          <w:rFonts w:hint="eastAsia" w:ascii="黑体" w:hAnsi="黑体" w:eastAsia="黑体" w:cs="黑体"/>
          <w:sz w:val="24"/>
          <w:szCs w:val="21"/>
        </w:rPr>
        <w:t>榜单查询</w:t>
      </w:r>
      <w:bookmarkEnd w:id="228"/>
      <w:bookmarkEnd w:id="229"/>
      <w:bookmarkEnd w:id="230"/>
      <w:bookmarkEnd w:id="231"/>
      <w:bookmarkEnd w:id="232"/>
      <w:bookmarkEnd w:id="233"/>
      <w:bookmarkEnd w:id="234"/>
      <w:bookmarkEnd w:id="235"/>
      <w:bookmarkEnd w:id="236"/>
    </w:p>
    <w:p w14:paraId="2E65A6B9">
      <w:pPr>
        <w:spacing w:line="360" w:lineRule="auto"/>
        <w:ind w:firstLine="480" w:firstLineChars="200"/>
        <w:rPr>
          <w:rFonts w:ascii="宋体" w:hAnsi="宋体" w:eastAsia="宋体" w:cs="宋体"/>
          <w:sz w:val="24"/>
        </w:rPr>
      </w:pPr>
      <w:r>
        <w:rPr>
          <w:rFonts w:hint="eastAsia" w:ascii="宋体" w:hAnsi="宋体" w:eastAsia="宋体" w:cs="宋体"/>
          <w:sz w:val="24"/>
        </w:rPr>
        <w:t>榜单是用户了解赛事格局与球队、球员表现的核心数据入口，包含不限于</w:t>
      </w:r>
      <w:r>
        <w:rPr>
          <w:rFonts w:ascii="宋体" w:hAnsi="宋体" w:eastAsia="宋体" w:cs="宋体"/>
          <w:sz w:val="24"/>
        </w:rPr>
        <w:t>积分榜、球员榜、球队榜、奖牌榜、</w:t>
      </w:r>
      <w:r>
        <w:rPr>
          <w:rFonts w:hint="eastAsia" w:ascii="宋体" w:hAnsi="宋体" w:eastAsia="宋体" w:cs="宋体"/>
          <w:sz w:val="24"/>
        </w:rPr>
        <w:t>对阵图</w:t>
      </w:r>
      <w:r>
        <w:rPr>
          <w:rFonts w:ascii="宋体" w:hAnsi="宋体" w:eastAsia="宋体" w:cs="宋体"/>
          <w:sz w:val="24"/>
        </w:rPr>
        <w:t>等</w:t>
      </w:r>
      <w:r>
        <w:rPr>
          <w:rFonts w:hint="eastAsia" w:ascii="宋体" w:hAnsi="宋体" w:eastAsia="宋体" w:cs="宋体"/>
          <w:sz w:val="24"/>
        </w:rPr>
        <w:t>，</w:t>
      </w:r>
      <w:r>
        <w:rPr>
          <w:rFonts w:ascii="宋体" w:hAnsi="宋体" w:eastAsia="宋体" w:cs="宋体"/>
          <w:sz w:val="24"/>
        </w:rPr>
        <w:t>根据各赛事实际可提供的数据范围适配展示，以满足各项赛事数据的汇总呈现。</w:t>
      </w:r>
      <w:r>
        <w:rPr>
          <w:rFonts w:hint="eastAsia" w:ascii="宋体" w:hAnsi="宋体" w:eastAsia="宋体" w:cs="宋体"/>
          <w:sz w:val="24"/>
        </w:rPr>
        <w:t>各类型榜单的页面结构与展示逻辑保持一致，本期体育赛事专区产品重点在于数据的准确同步与多榜单切换的流畅性。</w:t>
      </w:r>
    </w:p>
    <w:p w14:paraId="18B355F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6B1C6304">
      <w:pPr>
        <w:spacing w:line="360" w:lineRule="auto"/>
        <w:ind w:firstLine="480" w:firstLineChars="200"/>
        <w:rPr>
          <w:rFonts w:ascii="宋体" w:hAnsi="宋体" w:eastAsia="宋体" w:cs="宋体"/>
          <w:sz w:val="24"/>
        </w:rPr>
      </w:pPr>
      <w:r>
        <w:rPr>
          <w:rFonts w:hint="eastAsia" w:ascii="宋体" w:hAnsi="宋体" w:eastAsia="宋体" w:cs="宋体"/>
          <w:sz w:val="24"/>
        </w:rPr>
        <w:t>积分榜展示：页面应支持赛事积分榜的表格化展示，展示字段与排名规则应与赛事官方口径一致，同分排名规则须与官方规则保持一致；积分榜应按赛制动态刷新，如小组赛阶段展示小组积分与晋级关系，淘汰赛阶段展示晋级对阵。</w:t>
      </w:r>
    </w:p>
    <w:p w14:paraId="1F1408D1">
      <w:pPr>
        <w:spacing w:line="360" w:lineRule="auto"/>
        <w:ind w:firstLine="480" w:firstLineChars="200"/>
        <w:rPr>
          <w:rFonts w:ascii="宋体" w:hAnsi="宋体" w:eastAsia="宋体" w:cs="宋体"/>
          <w:sz w:val="24"/>
        </w:rPr>
      </w:pPr>
      <w:r>
        <w:rPr>
          <w:rFonts w:hint="eastAsia" w:ascii="宋体" w:hAnsi="宋体" w:eastAsia="宋体" w:cs="宋体"/>
          <w:sz w:val="24"/>
        </w:rPr>
        <w:t>多类型榜单：页面应支持射手榜、得分手榜等球员数据榜单及综合赛事奖牌榜的展示；针对存在有奖牌榜单的重点赛事，奖牌榜应支持按金、银、铜牌排序及按项目筛选查看，奖牌变化时应及时更新。</w:t>
      </w:r>
    </w:p>
    <w:p w14:paraId="0E68A1D5">
      <w:pPr>
        <w:spacing w:line="360" w:lineRule="auto"/>
        <w:ind w:firstLine="480" w:firstLineChars="200"/>
        <w:rPr>
          <w:rFonts w:ascii="宋体" w:hAnsi="宋体" w:eastAsia="宋体" w:cs="宋体"/>
          <w:sz w:val="24"/>
        </w:rPr>
      </w:pPr>
      <w:r>
        <w:rPr>
          <w:rFonts w:hint="eastAsia" w:ascii="宋体" w:hAnsi="宋体" w:eastAsia="宋体" w:cs="宋体"/>
          <w:sz w:val="24"/>
        </w:rPr>
        <w:t>数据更新：页面应支持榜单数据与后台数据同步，并展示数据更新时间，确保用户了解数据的时效。</w:t>
      </w:r>
    </w:p>
    <w:p w14:paraId="53590E54">
      <w:pPr>
        <w:spacing w:line="360" w:lineRule="auto"/>
        <w:ind w:firstLine="480" w:firstLineChars="200"/>
        <w:rPr>
          <w:rFonts w:ascii="宋体" w:hAnsi="宋体" w:eastAsia="宋体" w:cs="宋体"/>
          <w:sz w:val="24"/>
        </w:rPr>
      </w:pPr>
      <w:r>
        <w:rPr>
          <w:rFonts w:hint="eastAsia" w:ascii="宋体" w:hAnsi="宋体" w:eastAsia="宋体" w:cs="宋体"/>
          <w:sz w:val="24"/>
        </w:rPr>
        <w:t>多榜单切换：页面应支持积分榜与球员榜、球队榜等多类榜单之间的切换查看，各榜单的页面结构与展示逻辑应保持一致，切换后内容区即时刷新并保持导航状态。</w:t>
      </w:r>
    </w:p>
    <w:p w14:paraId="0DAA13A1">
      <w:pPr>
        <w:spacing w:line="360" w:lineRule="auto"/>
        <w:ind w:firstLine="480" w:firstLineChars="200"/>
        <w:rPr>
          <w:rFonts w:ascii="宋体" w:hAnsi="宋体" w:eastAsia="宋体" w:cs="宋体"/>
          <w:sz w:val="24"/>
        </w:rPr>
      </w:pPr>
      <w:r>
        <w:rPr>
          <w:rFonts w:hint="eastAsia" w:ascii="宋体" w:hAnsi="宋体" w:eastAsia="宋体" w:cs="宋体"/>
          <w:sz w:val="24"/>
        </w:rPr>
        <w:t>榜单浏览：页面应支持榜单的全量浏览与滚动加载，条目较多时不得出现加载卡顿或排序错乱。</w:t>
      </w:r>
    </w:p>
    <w:p w14:paraId="4B03DB83">
      <w:pPr>
        <w:spacing w:line="360" w:lineRule="auto"/>
        <w:ind w:firstLine="480" w:firstLineChars="200"/>
        <w:rPr>
          <w:rFonts w:ascii="宋体" w:hAnsi="宋体" w:eastAsia="宋体" w:cs="宋体"/>
          <w:sz w:val="24"/>
        </w:rPr>
      </w:pPr>
      <w:r>
        <w:rPr>
          <w:rFonts w:hint="eastAsia" w:ascii="宋体" w:hAnsi="宋体" w:eastAsia="宋体" w:cs="宋体"/>
          <w:sz w:val="24"/>
        </w:rPr>
        <w:t>入口连通：页面应支持从体育板块各内容入口进入对应榜单，进入后默认展示当前赛季数据。</w:t>
      </w:r>
    </w:p>
    <w:p w14:paraId="5FB6486A">
      <w:pPr>
        <w:spacing w:line="360" w:lineRule="auto"/>
        <w:ind w:firstLine="480" w:firstLineChars="200"/>
        <w:rPr>
          <w:rFonts w:ascii="宋体" w:hAnsi="宋体" w:eastAsia="宋体" w:cs="宋体"/>
          <w:sz w:val="24"/>
        </w:rPr>
      </w:pPr>
      <w:r>
        <w:rPr>
          <w:rFonts w:hint="eastAsia" w:ascii="宋体" w:hAnsi="宋体" w:eastAsia="宋体" w:cs="宋体"/>
          <w:sz w:val="24"/>
        </w:rPr>
        <w:t>异常状态处理：榜单数据加载失败时应展示错误提示与重新加载入口；暂无数据时应展示空状态提示。</w:t>
      </w:r>
    </w:p>
    <w:p w14:paraId="63B9C18B">
      <w:pPr>
        <w:pStyle w:val="4"/>
        <w:spacing w:before="60" w:after="60" w:line="360" w:lineRule="auto"/>
        <w:rPr>
          <w:rFonts w:ascii="黑体" w:hAnsi="黑体" w:eastAsia="黑体" w:cs="黑体"/>
          <w:sz w:val="24"/>
          <w:szCs w:val="21"/>
        </w:rPr>
      </w:pPr>
      <w:bookmarkStart w:id="237" w:name="s3-2-7"/>
      <w:bookmarkEnd w:id="237"/>
      <w:bookmarkStart w:id="238" w:name="_Toc28838"/>
      <w:bookmarkStart w:id="239" w:name="_Toc7061"/>
      <w:bookmarkStart w:id="240" w:name="_Toc244679203"/>
      <w:bookmarkStart w:id="241" w:name="_Toc_s3_2_7"/>
      <w:bookmarkStart w:id="242" w:name="_Toc14727"/>
      <w:bookmarkStart w:id="243" w:name="_Toc20451"/>
      <w:bookmarkStart w:id="244" w:name="_Toc16703"/>
      <w:bookmarkStart w:id="245" w:name="_Toc5037"/>
      <w:bookmarkStart w:id="246" w:name="_Toc28856"/>
      <w:r>
        <w:rPr>
          <w:rFonts w:hint="eastAsia" w:ascii="黑体" w:hAnsi="黑体" w:eastAsia="黑体" w:cs="黑体"/>
          <w:sz w:val="24"/>
          <w:szCs w:val="21"/>
        </w:rPr>
        <w:t>大赛专区</w:t>
      </w:r>
      <w:bookmarkEnd w:id="238"/>
      <w:bookmarkEnd w:id="239"/>
      <w:bookmarkEnd w:id="240"/>
      <w:bookmarkEnd w:id="241"/>
      <w:bookmarkEnd w:id="242"/>
      <w:bookmarkEnd w:id="243"/>
      <w:bookmarkEnd w:id="244"/>
      <w:bookmarkEnd w:id="245"/>
      <w:bookmarkEnd w:id="246"/>
    </w:p>
    <w:p w14:paraId="04E23572">
      <w:pPr>
        <w:spacing w:line="360" w:lineRule="auto"/>
        <w:ind w:firstLine="480" w:firstLineChars="200"/>
        <w:rPr>
          <w:rFonts w:ascii="宋体" w:hAnsi="宋体" w:eastAsia="宋体" w:cs="宋体"/>
          <w:sz w:val="24"/>
        </w:rPr>
      </w:pPr>
      <w:r>
        <w:rPr>
          <w:rFonts w:hint="eastAsia" w:ascii="宋体" w:hAnsi="宋体" w:eastAsia="宋体" w:cs="宋体"/>
          <w:sz w:val="24"/>
        </w:rPr>
        <w:t>依托上游版权情况，本产品应针对奥运会、亚运会等重大赛事提供专项大赛专区（根据体验情况，可以用H5页面承载）。大赛专区须具备全周期策划与执行能力，覆盖预热期、比赛期与赛后期；大赛期间可按运营策略以内容免费形式上线专区内容。</w:t>
      </w:r>
    </w:p>
    <w:p w14:paraId="13F2B5DD">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237E373F">
      <w:pPr>
        <w:spacing w:line="360" w:lineRule="auto"/>
        <w:ind w:firstLine="480" w:firstLineChars="200"/>
        <w:rPr>
          <w:rFonts w:ascii="宋体" w:hAnsi="宋体" w:eastAsia="宋体" w:cs="宋体"/>
          <w:sz w:val="24"/>
        </w:rPr>
      </w:pPr>
      <w:r>
        <w:rPr>
          <w:rFonts w:hint="eastAsia" w:ascii="宋体" w:hAnsi="宋体" w:eastAsia="宋体" w:cs="宋体"/>
          <w:sz w:val="24"/>
        </w:rPr>
        <w:t>专区首页：专区首页应依托动态运营楼层与可配置导航栏，呈现大赛专属的视觉风格与赛事元素；应支持热门比赛直播画面或集锦的轮播预览，点击直接跳转播放页；预热期应在核心运营区提供赛事倒计时模块，结合赛事主题视觉营造氛围；比赛开始后应依据赛事专业数据展示榜单类数据组件；应提供赛事新闻楼层，以滚动列表展示赛事资讯与专题内容。</w:t>
      </w:r>
    </w:p>
    <w:p w14:paraId="491BA8C6">
      <w:pPr>
        <w:spacing w:line="360" w:lineRule="auto"/>
        <w:ind w:firstLine="480" w:firstLineChars="200"/>
        <w:rPr>
          <w:rFonts w:ascii="宋体" w:hAnsi="宋体" w:eastAsia="宋体" w:cs="宋体"/>
          <w:sz w:val="24"/>
        </w:rPr>
      </w:pPr>
      <w:r>
        <w:rPr>
          <w:rFonts w:hint="eastAsia" w:ascii="宋体" w:hAnsi="宋体" w:eastAsia="宋体" w:cs="宋体"/>
          <w:sz w:val="24"/>
        </w:rPr>
        <w:t>轮播台：应支持设立大赛专属轮播频道，聚合直播、回看、集锦等内容流，按统一赛程编排自动轮播当日比赛，用户可通过遥控器快速切换比赛，形成连续观赛体验。</w:t>
      </w:r>
    </w:p>
    <w:p w14:paraId="0692AAD6">
      <w:pPr>
        <w:spacing w:line="360" w:lineRule="auto"/>
        <w:ind w:firstLine="480" w:firstLineChars="200"/>
        <w:rPr>
          <w:rFonts w:ascii="宋体" w:hAnsi="宋体" w:eastAsia="宋体" w:cs="宋体"/>
          <w:sz w:val="24"/>
        </w:rPr>
      </w:pPr>
      <w:r>
        <w:rPr>
          <w:rFonts w:hint="eastAsia" w:ascii="宋体" w:hAnsi="宋体" w:eastAsia="宋体" w:cs="宋体"/>
          <w:sz w:val="24"/>
        </w:rPr>
        <w:t>专区赛程页：应基于统一赛程中心页构建大赛赛程视图，支持按赛事阶段或日期分类，支持列表与日历视图，赛程卡片展示对阵信息、开赛时间与状态标识，点击任一比赛直接进入详情页。</w:t>
      </w:r>
    </w:p>
    <w:p w14:paraId="472D3C82">
      <w:pPr>
        <w:spacing w:line="360" w:lineRule="auto"/>
        <w:ind w:firstLine="480" w:firstLineChars="200"/>
        <w:rPr>
          <w:rFonts w:ascii="宋体" w:hAnsi="宋体" w:eastAsia="宋体" w:cs="宋体"/>
          <w:sz w:val="24"/>
        </w:rPr>
      </w:pPr>
      <w:r>
        <w:rPr>
          <w:rFonts w:hint="eastAsia" w:ascii="宋体" w:hAnsi="宋体" w:eastAsia="宋体" w:cs="宋体"/>
          <w:sz w:val="24"/>
        </w:rPr>
        <w:t>专区详情页与播放页：专区各场比赛的详情页与播放页应遵循3.2.4节、3.2.5节通用要求，突出大赛信息总览、实时比分与专业数据展示。</w:t>
      </w:r>
    </w:p>
    <w:p w14:paraId="4F37C90A">
      <w:pPr>
        <w:spacing w:line="360" w:lineRule="auto"/>
        <w:ind w:firstLine="480" w:firstLineChars="200"/>
        <w:rPr>
          <w:rFonts w:ascii="宋体" w:hAnsi="宋体" w:eastAsia="宋体" w:cs="宋体"/>
          <w:sz w:val="24"/>
        </w:rPr>
      </w:pPr>
      <w:r>
        <w:rPr>
          <w:rFonts w:hint="eastAsia" w:ascii="宋体" w:hAnsi="宋体" w:eastAsia="宋体" w:cs="宋体"/>
          <w:sz w:val="24"/>
        </w:rPr>
        <w:t>赛事数据视图：应对接赛事专业数据，按赛制动态刷新展示积分榜（小组积分、净胜球、晋级对阵等）与射手榜（进球、助攻等）；综合运动会应提供奖牌榜，支持按金、银、铜牌排序及按项目筛选，数据实时更新。</w:t>
      </w:r>
    </w:p>
    <w:p w14:paraId="2BE97093">
      <w:pPr>
        <w:spacing w:line="360" w:lineRule="auto"/>
        <w:ind w:firstLine="480" w:firstLineChars="200"/>
        <w:rPr>
          <w:rFonts w:ascii="宋体" w:hAnsi="宋体" w:eastAsia="宋体" w:cs="宋体"/>
          <w:sz w:val="24"/>
        </w:rPr>
      </w:pPr>
      <w:r>
        <w:rPr>
          <w:rFonts w:hint="eastAsia" w:ascii="宋体" w:hAnsi="宋体" w:eastAsia="宋体" w:cs="宋体"/>
          <w:sz w:val="24"/>
        </w:rPr>
        <w:t>专区专题运营：应结合大赛赛事内容、赛事背景及周边内容打造专题推荐区，专题卡片点击进入对应专题详情页或播放页；专题页面须符合平台整体视觉规范，重大赛事专题应适配动态视觉、勋章体系、积分榜单等互动元素。</w:t>
      </w:r>
    </w:p>
    <w:p w14:paraId="0EB7C409">
      <w:pPr>
        <w:spacing w:line="360" w:lineRule="auto"/>
        <w:ind w:firstLine="480" w:firstLineChars="200"/>
        <w:rPr>
          <w:rFonts w:ascii="宋体" w:hAnsi="宋体" w:eastAsia="宋体" w:cs="宋体"/>
          <w:sz w:val="24"/>
        </w:rPr>
      </w:pPr>
      <w:r>
        <w:rPr>
          <w:rFonts w:hint="eastAsia" w:ascii="宋体" w:hAnsi="宋体" w:eastAsia="宋体" w:cs="宋体"/>
          <w:sz w:val="24"/>
        </w:rPr>
        <w:t>内容免费策略：大赛专区内容可按运营策略配置为免费，免费策略的生效范围、生效时间应可配置并支持定时生效与到期恢复。</w:t>
      </w:r>
    </w:p>
    <w:p w14:paraId="6D61DFC4">
      <w:pPr>
        <w:pStyle w:val="3"/>
        <w:spacing w:before="120" w:after="120" w:line="360" w:lineRule="auto"/>
        <w:ind w:left="573" w:hanging="573"/>
        <w:rPr>
          <w:rFonts w:ascii="黑体" w:hAnsi="黑体" w:cs="黑体"/>
          <w:sz w:val="28"/>
          <w:szCs w:val="28"/>
        </w:rPr>
      </w:pPr>
      <w:bookmarkStart w:id="247" w:name="s3-3-8"/>
      <w:bookmarkEnd w:id="247"/>
      <w:bookmarkStart w:id="248" w:name="s3-3"/>
      <w:bookmarkEnd w:id="248"/>
      <w:bookmarkStart w:id="249" w:name="s3-4"/>
      <w:bookmarkEnd w:id="249"/>
      <w:bookmarkStart w:id="250" w:name="_Toc12600"/>
      <w:bookmarkStart w:id="251" w:name="_Toc31164"/>
      <w:bookmarkStart w:id="252" w:name="_Ref22211"/>
      <w:bookmarkStart w:id="253" w:name="_Toc_s3_4"/>
      <w:bookmarkStart w:id="254" w:name="_Toc9292"/>
      <w:bookmarkStart w:id="255" w:name="_Ref22149"/>
      <w:bookmarkStart w:id="256" w:name="_Toc22737"/>
      <w:bookmarkStart w:id="257" w:name="_Toc244679204"/>
      <w:bookmarkStart w:id="258" w:name="_Toc19106"/>
      <w:bookmarkStart w:id="259" w:name="_Toc6330"/>
      <w:bookmarkStart w:id="260" w:name="_Ref22110"/>
      <w:bookmarkStart w:id="261" w:name="_Toc16362"/>
      <w:r>
        <w:rPr>
          <w:rFonts w:hint="eastAsia" w:ascii="黑体" w:hAnsi="黑体" w:cs="黑体"/>
          <w:sz w:val="28"/>
          <w:szCs w:val="28"/>
        </w:rPr>
        <w:t>平台对接与数据上报</w:t>
      </w:r>
      <w:bookmarkEnd w:id="250"/>
      <w:bookmarkEnd w:id="251"/>
      <w:bookmarkEnd w:id="252"/>
      <w:bookmarkEnd w:id="253"/>
      <w:bookmarkEnd w:id="254"/>
      <w:bookmarkEnd w:id="255"/>
      <w:bookmarkEnd w:id="256"/>
      <w:bookmarkEnd w:id="257"/>
      <w:bookmarkEnd w:id="258"/>
      <w:bookmarkEnd w:id="259"/>
      <w:bookmarkEnd w:id="260"/>
      <w:bookmarkEnd w:id="261"/>
    </w:p>
    <w:p w14:paraId="498DE75C">
      <w:pPr>
        <w:spacing w:line="360" w:lineRule="auto"/>
        <w:ind w:firstLine="480" w:firstLineChars="200"/>
        <w:rPr>
          <w:rFonts w:ascii="宋体" w:hAnsi="宋体" w:eastAsia="宋体" w:cs="宋体"/>
          <w:sz w:val="24"/>
        </w:rPr>
      </w:pPr>
      <w:r>
        <w:rPr>
          <w:rFonts w:hint="eastAsia" w:ascii="宋体" w:hAnsi="宋体" w:eastAsia="宋体" w:cs="宋体"/>
          <w:sz w:val="24"/>
        </w:rPr>
        <w:t>本节规定本产品与采购人现有终端入口及公共能力的对接要求，以及客户端数据上报要求，保障本产品融入现有体系并满足运营分析需要。</w:t>
      </w:r>
    </w:p>
    <w:p w14:paraId="3917E69A">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4332CBD3">
      <w:pPr>
        <w:spacing w:line="360" w:lineRule="auto"/>
        <w:ind w:firstLine="480" w:firstLineChars="200"/>
        <w:rPr>
          <w:rFonts w:ascii="宋体" w:hAnsi="宋体" w:eastAsia="宋体" w:cs="宋体"/>
          <w:sz w:val="24"/>
        </w:rPr>
      </w:pPr>
      <w:r>
        <w:rPr>
          <w:rFonts w:hint="eastAsia" w:ascii="宋体" w:hAnsi="宋体" w:eastAsia="宋体" w:cs="宋体"/>
          <w:sz w:val="24"/>
        </w:rPr>
        <w:t>终端入口对接：产品应通过采购人现有终端入口获取用户身份等信息，完成用户状态的传递与使用；产品不单独建设登录能力，账号与会员状态由采购人账号体系同步。</w:t>
      </w:r>
    </w:p>
    <w:p w14:paraId="2A6A44AD">
      <w:pPr>
        <w:spacing w:line="360" w:lineRule="auto"/>
        <w:ind w:firstLine="480" w:firstLineChars="200"/>
        <w:rPr>
          <w:rFonts w:ascii="宋体" w:hAnsi="宋体" w:eastAsia="宋体" w:cs="宋体"/>
          <w:sz w:val="24"/>
        </w:rPr>
      </w:pPr>
      <w:r>
        <w:rPr>
          <w:rFonts w:hint="eastAsia" w:ascii="宋体" w:hAnsi="宋体" w:eastAsia="宋体" w:cs="宋体"/>
          <w:sz w:val="24"/>
        </w:rPr>
        <w:t>统一搜索对接：在全站统一搜索中检索到的体育内容，点击后应能跳转至本产品对应的内容详情页、体育直播页或体育回看页。</w:t>
      </w:r>
    </w:p>
    <w:p w14:paraId="17619178">
      <w:pPr>
        <w:spacing w:line="360" w:lineRule="auto"/>
        <w:ind w:firstLine="480" w:firstLineChars="200"/>
        <w:rPr>
          <w:rFonts w:ascii="宋体" w:hAnsi="宋体" w:eastAsia="宋体" w:cs="宋体"/>
          <w:sz w:val="24"/>
        </w:rPr>
      </w:pPr>
      <w:r>
        <w:rPr>
          <w:rFonts w:hint="eastAsia" w:ascii="宋体" w:hAnsi="宋体" w:eastAsia="宋体" w:cs="宋体"/>
          <w:sz w:val="24"/>
        </w:rPr>
        <w:t>统一播放历史对接：体育内容的播放足迹应同步至统一播放历史服务；在播放历史中点击体育内容应进入对应详情页，并从上次离开时间续播（点播与回看），直播内容则进入当前时刻直播。</w:t>
      </w:r>
    </w:p>
    <w:p w14:paraId="482D32BA">
      <w:pPr>
        <w:spacing w:line="360" w:lineRule="auto"/>
        <w:ind w:firstLine="480" w:firstLineChars="200"/>
        <w:rPr>
          <w:rFonts w:ascii="宋体" w:hAnsi="宋体" w:eastAsia="宋体" w:cs="宋体"/>
          <w:sz w:val="24"/>
        </w:rPr>
      </w:pPr>
      <w:r>
        <w:rPr>
          <w:rFonts w:hint="eastAsia" w:ascii="宋体" w:hAnsi="宋体" w:eastAsia="宋体" w:cs="宋体"/>
          <w:sz w:val="24"/>
        </w:rPr>
        <w:t>订购对接：用户鉴权失败发起订购时，应跳转采购人现有统一订购流程完成产品订购，订购完成后可回到订购发起入口页面，并自动刷新鉴权状态。</w:t>
      </w:r>
    </w:p>
    <w:p w14:paraId="5128843F">
      <w:pPr>
        <w:spacing w:line="360" w:lineRule="auto"/>
        <w:ind w:firstLine="480" w:firstLineChars="200"/>
        <w:rPr>
          <w:rFonts w:ascii="宋体" w:hAnsi="宋体" w:eastAsia="宋体" w:cs="宋体"/>
          <w:sz w:val="24"/>
        </w:rPr>
      </w:pPr>
      <w:r>
        <w:rPr>
          <w:rFonts w:hint="eastAsia" w:ascii="宋体" w:hAnsi="宋体" w:eastAsia="宋体" w:cs="宋体"/>
          <w:sz w:val="24"/>
        </w:rPr>
        <w:t>数据上报：客户端应集成采购人统一的埋点上报能力，具备唯一用户标识的生成与持久化能力，以及标准化的事件与参数定义规范；应采集页面浏览与曝光事件、内容播放全链路事件（起播、播放进度、中断与结束、清晰度切换等交互），事件命名与参数定义遵循统一规范，确保上报数据的规范性与可分析性。</w:t>
      </w:r>
    </w:p>
    <w:p w14:paraId="0568EDD1">
      <w:pPr>
        <w:pStyle w:val="3"/>
        <w:spacing w:before="120" w:after="120" w:line="360" w:lineRule="auto"/>
        <w:ind w:left="573" w:hanging="573"/>
        <w:rPr>
          <w:rFonts w:ascii="黑体" w:hAnsi="黑体" w:cs="黑体"/>
          <w:sz w:val="28"/>
          <w:szCs w:val="28"/>
        </w:rPr>
      </w:pPr>
      <w:bookmarkStart w:id="262" w:name="s3-5"/>
      <w:bookmarkEnd w:id="262"/>
      <w:bookmarkStart w:id="263" w:name="_Toc32506"/>
      <w:bookmarkStart w:id="264" w:name="_Toc24366"/>
      <w:bookmarkStart w:id="265" w:name="_Toc_s3_5"/>
      <w:bookmarkStart w:id="266" w:name="_Toc20638"/>
      <w:bookmarkStart w:id="267" w:name="_Toc15051"/>
      <w:bookmarkStart w:id="268" w:name="_Toc244679205"/>
      <w:bookmarkStart w:id="269" w:name="_Toc9573"/>
      <w:bookmarkStart w:id="270" w:name="_Toc24398"/>
      <w:bookmarkStart w:id="271" w:name="_Toc21061"/>
      <w:r>
        <w:rPr>
          <w:rFonts w:hint="eastAsia" w:ascii="黑体" w:hAnsi="黑体" w:cs="黑体"/>
          <w:sz w:val="28"/>
          <w:szCs w:val="28"/>
        </w:rPr>
        <w:t>统一搜索</w:t>
      </w:r>
      <w:bookmarkEnd w:id="263"/>
      <w:bookmarkEnd w:id="264"/>
      <w:bookmarkEnd w:id="265"/>
      <w:bookmarkEnd w:id="266"/>
      <w:bookmarkEnd w:id="267"/>
      <w:bookmarkEnd w:id="268"/>
      <w:bookmarkEnd w:id="269"/>
      <w:bookmarkEnd w:id="270"/>
      <w:bookmarkEnd w:id="271"/>
    </w:p>
    <w:p w14:paraId="286E1189">
      <w:pPr>
        <w:spacing w:line="360" w:lineRule="auto"/>
        <w:ind w:firstLine="480" w:firstLineChars="200"/>
        <w:rPr>
          <w:rFonts w:ascii="宋体" w:hAnsi="宋体" w:eastAsia="宋体" w:cs="宋体"/>
          <w:sz w:val="24"/>
        </w:rPr>
      </w:pPr>
      <w:r>
        <w:rPr>
          <w:rFonts w:hint="eastAsia" w:ascii="宋体" w:hAnsi="宋体" w:eastAsia="宋体" w:cs="宋体"/>
          <w:sz w:val="24"/>
        </w:rPr>
        <w:t>本产品应支持全站统一的搜索能力，使用户能够检索到站内体育与点播内容并正常呈现检索结果；检索结果的跳转、搜索数据范围与内容索引对接要求见</w:t>
      </w:r>
      <w:r>
        <w:rPr>
          <w:rFonts w:hint="eastAsia" w:ascii="宋体" w:hAnsi="宋体" w:eastAsia="宋体" w:cs="宋体"/>
          <w:b/>
          <w:bCs/>
          <w:sz w:val="24"/>
        </w:rPr>
        <w:fldChar w:fldCharType="begin"/>
      </w:r>
      <w:r>
        <w:rPr>
          <w:rFonts w:hint="eastAsia" w:ascii="宋体" w:hAnsi="宋体" w:eastAsia="宋体" w:cs="宋体"/>
          <w:b/>
          <w:bCs/>
          <w:sz w:val="24"/>
        </w:rPr>
        <w:instrText xml:space="preserve"> REF _Ref22211 \h </w:instrText>
      </w:r>
      <w:r>
        <w:rPr>
          <w:rFonts w:hint="eastAsia" w:ascii="宋体" w:hAnsi="宋体" w:eastAsia="宋体" w:cs="宋体"/>
          <w:b/>
          <w:bCs/>
          <w:sz w:val="24"/>
        </w:rPr>
        <w:fldChar w:fldCharType="separate"/>
      </w:r>
      <w:r>
        <w:rPr>
          <w:rFonts w:hint="eastAsia" w:ascii="宋体" w:hAnsi="宋体" w:eastAsia="宋体" w:cs="宋体"/>
          <w:b/>
          <w:bCs/>
          <w:sz w:val="24"/>
        </w:rPr>
        <w:t>5.3平台对接与数据上报</w:t>
      </w:r>
      <w:r>
        <w:rPr>
          <w:rFonts w:hint="eastAsia" w:ascii="宋体" w:hAnsi="宋体" w:eastAsia="宋体" w:cs="宋体"/>
          <w:b/>
          <w:bCs/>
          <w:sz w:val="24"/>
        </w:rPr>
        <w:fldChar w:fldCharType="end"/>
      </w:r>
      <w:r>
        <w:rPr>
          <w:rFonts w:hint="eastAsia" w:ascii="宋体" w:hAnsi="宋体" w:eastAsia="宋体" w:cs="宋体"/>
          <w:sz w:val="24"/>
        </w:rPr>
        <w:t>章节，具体搜索交互由采购人统一搜索体系承载，本产品完成相应内容索引与跳转对接即可。</w:t>
      </w:r>
    </w:p>
    <w:p w14:paraId="3C3104F3">
      <w:pPr>
        <w:pStyle w:val="3"/>
        <w:spacing w:before="120" w:after="120" w:line="360" w:lineRule="auto"/>
        <w:ind w:left="573" w:hanging="573"/>
        <w:rPr>
          <w:rFonts w:ascii="黑体" w:hAnsi="黑体" w:cs="黑体"/>
          <w:sz w:val="28"/>
          <w:szCs w:val="28"/>
        </w:rPr>
      </w:pPr>
      <w:bookmarkStart w:id="272" w:name="_Toc27580"/>
      <w:bookmarkStart w:id="273" w:name="_Toc244679206"/>
      <w:r>
        <w:rPr>
          <w:rFonts w:hint="eastAsia" w:ascii="黑体" w:hAnsi="黑体" w:cs="黑体"/>
          <w:sz w:val="28"/>
          <w:szCs w:val="28"/>
        </w:rPr>
        <w:t>体育产品广告展示能力</w:t>
      </w:r>
      <w:bookmarkEnd w:id="272"/>
      <w:bookmarkEnd w:id="273"/>
    </w:p>
    <w:p w14:paraId="53AD5757">
      <w:pPr>
        <w:spacing w:line="360" w:lineRule="auto"/>
        <w:ind w:firstLine="480" w:firstLineChars="200"/>
        <w:rPr>
          <w:rFonts w:ascii="宋体" w:hAnsi="宋体" w:eastAsia="宋体" w:cs="宋体"/>
          <w:sz w:val="24"/>
        </w:rPr>
      </w:pPr>
      <w:r>
        <w:rPr>
          <w:rFonts w:hint="eastAsia" w:ascii="宋体" w:hAnsi="宋体" w:eastAsia="宋体" w:cs="宋体"/>
          <w:sz w:val="24"/>
        </w:rPr>
        <w:t>体育产品广告展示能力支持在体育专区内对接上游广告平台，可联动实现广告投放、数据采集、投放监测及数据分析链路，支撑广告在体育产品前端多维度呈现。上游广告平台由采购人、广东移动与供应商等联合选择合作，属于同供应商配套合作事项，不在本次招标采购标的范围内，本次招标产品仅验收产品侧的广告呈现和对接适配能力。上游广告平台自身应具备广告投放能力、数据采集、投放监测及数据分析等能力，供应商应具备与至少一家合规上游广告平台的有效合作关系或拥有自有广告平台，并能提供合作协议、授权证明、平台资质或自有平台证明材料。</w:t>
      </w:r>
    </w:p>
    <w:p w14:paraId="2D3B4316">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105C39B6">
      <w:pPr>
        <w:spacing w:line="360" w:lineRule="auto"/>
        <w:ind w:firstLine="480" w:firstLineChars="200"/>
        <w:rPr>
          <w:rFonts w:ascii="宋体" w:hAnsi="宋体" w:eastAsia="宋体" w:cs="宋体"/>
          <w:sz w:val="24"/>
        </w:rPr>
      </w:pPr>
      <w:r>
        <w:rPr>
          <w:rFonts w:hint="eastAsia" w:ascii="宋体" w:hAnsi="宋体" w:eastAsia="宋体" w:cs="宋体"/>
          <w:sz w:val="24"/>
        </w:rPr>
        <w:t>广告形式包括：前贴片、详情页、暂停、角标、跑马灯、退出挽留等形式，各形式的定义具体如下：</w:t>
      </w:r>
    </w:p>
    <w:p w14:paraId="2707E68E">
      <w:pPr>
        <w:spacing w:line="360" w:lineRule="auto"/>
        <w:ind w:firstLine="480" w:firstLineChars="200"/>
        <w:rPr>
          <w:rFonts w:ascii="宋体" w:hAnsi="宋体" w:eastAsia="宋体" w:cs="宋体"/>
          <w:sz w:val="24"/>
        </w:rPr>
      </w:pPr>
      <w:r>
        <w:rPr>
          <w:rFonts w:hint="eastAsia" w:ascii="宋体" w:hAnsi="宋体" w:eastAsia="宋体" w:cs="宋体"/>
          <w:sz w:val="24"/>
        </w:rPr>
        <w:t xml:space="preserve">前贴片：用户进入点播、直播页面时，在视频内容播放前展示前贴广告。可根据运营规划，在体育直播或者点播内容展示广告后，针对收费会员进行免广告。 </w:t>
      </w:r>
    </w:p>
    <w:p w14:paraId="74FDFAF3">
      <w:pPr>
        <w:spacing w:line="360" w:lineRule="auto"/>
        <w:ind w:firstLine="480" w:firstLineChars="200"/>
        <w:rPr>
          <w:rFonts w:ascii="宋体" w:hAnsi="宋体" w:eastAsia="宋体" w:cs="宋体"/>
          <w:sz w:val="24"/>
        </w:rPr>
      </w:pPr>
      <w:r>
        <w:rPr>
          <w:rFonts w:hint="eastAsia" w:ascii="宋体" w:hAnsi="宋体" w:eastAsia="宋体" w:cs="宋体"/>
          <w:sz w:val="24"/>
        </w:rPr>
        <w:t xml:space="preserve">详情页：在点播、直播内容详情页固定位置，结合页面布局展示静态广告内容，针对收费会员进行免广告。 </w:t>
      </w:r>
    </w:p>
    <w:p w14:paraId="0C1514FA">
      <w:pPr>
        <w:spacing w:line="360" w:lineRule="auto"/>
        <w:ind w:firstLine="480" w:firstLineChars="200"/>
        <w:rPr>
          <w:rFonts w:ascii="宋体" w:hAnsi="宋体" w:eastAsia="宋体" w:cs="宋体"/>
          <w:sz w:val="24"/>
        </w:rPr>
      </w:pPr>
      <w:r>
        <w:rPr>
          <w:rFonts w:hint="eastAsia" w:ascii="宋体" w:hAnsi="宋体" w:eastAsia="宋体" w:cs="宋体"/>
          <w:sz w:val="24"/>
        </w:rPr>
        <w:t>暂停广告：用户在观看视频过程中，点击视频暂停时触发。广告可按遥控器“返回键”关闭或视频续播时自动关闭。</w:t>
      </w:r>
    </w:p>
    <w:p w14:paraId="0FF42BB8">
      <w:pPr>
        <w:spacing w:line="360" w:lineRule="auto"/>
        <w:ind w:firstLine="480" w:firstLineChars="200"/>
        <w:rPr>
          <w:rFonts w:ascii="宋体" w:hAnsi="宋体" w:eastAsia="宋体" w:cs="宋体"/>
          <w:sz w:val="24"/>
        </w:rPr>
      </w:pPr>
      <w:r>
        <w:rPr>
          <w:rFonts w:hint="eastAsia" w:ascii="宋体" w:hAnsi="宋体" w:eastAsia="宋体" w:cs="宋体"/>
          <w:sz w:val="24"/>
        </w:rPr>
        <w:t>角标广告：在点播内容全屏播放时触发，触发时机为内容播放相对时间点，比如视频播放到第5分钟，精确到秒，广告展示固定秒数（默认5秒）后自动消失。</w:t>
      </w:r>
    </w:p>
    <w:p w14:paraId="4E1EAABA">
      <w:pPr>
        <w:spacing w:line="360" w:lineRule="auto"/>
        <w:ind w:firstLine="480" w:firstLineChars="200"/>
        <w:rPr>
          <w:rFonts w:ascii="宋体" w:hAnsi="宋体" w:eastAsia="宋体" w:cs="宋体"/>
          <w:sz w:val="24"/>
        </w:rPr>
      </w:pPr>
      <w:r>
        <w:rPr>
          <w:rFonts w:hint="eastAsia" w:ascii="宋体" w:hAnsi="宋体" w:eastAsia="宋体" w:cs="宋体"/>
          <w:sz w:val="24"/>
        </w:rPr>
        <w:t>跑马灯广告：在EPG首页顶部通知栏展示，当用户进入EPG首页时调用上游广告API请求获取文案广告数据。文案内容在顶部通知栏固定位置循环播放。</w:t>
      </w:r>
    </w:p>
    <w:p w14:paraId="3E66ED25">
      <w:pPr>
        <w:spacing w:line="360" w:lineRule="auto"/>
        <w:ind w:firstLine="480" w:firstLineChars="200"/>
        <w:rPr>
          <w:rFonts w:ascii="宋体" w:hAnsi="宋体" w:eastAsia="宋体" w:cs="宋体"/>
          <w:sz w:val="24"/>
        </w:rPr>
      </w:pPr>
      <w:r>
        <w:rPr>
          <w:rFonts w:hint="eastAsia" w:ascii="宋体" w:hAnsi="宋体" w:eastAsia="宋体" w:cs="宋体"/>
          <w:sz w:val="24"/>
        </w:rPr>
        <w:t xml:space="preserve">退出挽留：在用户退出应用时，采用广告+挽留提示的方式，根据运营规划展示静态广告内容，针对收费会员进行免广告。 </w:t>
      </w:r>
    </w:p>
    <w:p w14:paraId="0FD4591E">
      <w:pPr>
        <w:spacing w:line="360" w:lineRule="auto"/>
        <w:ind w:firstLine="480" w:firstLineChars="200"/>
        <w:rPr>
          <w:rFonts w:ascii="宋体" w:hAnsi="宋体" w:eastAsia="宋体" w:cs="宋体"/>
          <w:sz w:val="24"/>
        </w:rPr>
      </w:pPr>
      <w:r>
        <w:rPr>
          <w:rFonts w:hint="eastAsia" w:ascii="宋体" w:hAnsi="宋体" w:eastAsia="宋体" w:cs="宋体"/>
          <w:sz w:val="24"/>
        </w:rPr>
        <w:t>广告数据分析：支持在广告播放链路埋点采集覆盖曝光、点击、完播等核心指标并沉淀用户行为与设备信息等多维广告业务数据。</w:t>
      </w:r>
    </w:p>
    <w:p w14:paraId="28F8096E">
      <w:pPr>
        <w:pStyle w:val="2"/>
        <w:spacing w:before="320" w:after="320" w:line="360" w:lineRule="auto"/>
        <w:ind w:left="0" w:firstLine="0"/>
        <w:rPr>
          <w:rFonts w:ascii="黑体" w:hAnsi="黑体" w:eastAsia="黑体" w:cs="黑体"/>
        </w:rPr>
      </w:pPr>
      <w:bookmarkStart w:id="274" w:name="ch4"/>
      <w:bookmarkEnd w:id="274"/>
      <w:bookmarkStart w:id="275" w:name="_Toc26420"/>
      <w:bookmarkStart w:id="276" w:name="_Toc28077"/>
      <w:bookmarkStart w:id="277" w:name="_Toc888"/>
      <w:bookmarkStart w:id="278" w:name="_Toc1073"/>
      <w:bookmarkStart w:id="279" w:name="_Toc20848"/>
      <w:bookmarkStart w:id="280" w:name="_Toc244679207"/>
      <w:bookmarkStart w:id="281" w:name="_Toc6267"/>
      <w:bookmarkStart w:id="282" w:name="_Toc21122"/>
      <w:r>
        <w:rPr>
          <w:rFonts w:hint="eastAsia" w:ascii="黑体" w:hAnsi="黑体" w:eastAsia="黑体" w:cs="黑体"/>
        </w:rPr>
        <w:t>体育产品运营功能要求</w:t>
      </w:r>
      <w:bookmarkEnd w:id="275"/>
      <w:bookmarkEnd w:id="276"/>
      <w:bookmarkEnd w:id="277"/>
      <w:bookmarkEnd w:id="278"/>
      <w:bookmarkEnd w:id="279"/>
      <w:bookmarkEnd w:id="280"/>
      <w:bookmarkEnd w:id="281"/>
      <w:bookmarkEnd w:id="282"/>
    </w:p>
    <w:p w14:paraId="40FCCA83">
      <w:pPr>
        <w:spacing w:line="360" w:lineRule="auto"/>
        <w:ind w:firstLine="480" w:firstLineChars="200"/>
        <w:rPr>
          <w:rFonts w:ascii="宋体" w:hAnsi="宋体" w:eastAsia="宋体" w:cs="宋体"/>
          <w:sz w:val="24"/>
        </w:rPr>
      </w:pPr>
      <w:r>
        <w:rPr>
          <w:rFonts w:hint="eastAsia" w:ascii="宋体" w:hAnsi="宋体" w:eastAsia="宋体" w:cs="宋体"/>
          <w:sz w:val="24"/>
        </w:rPr>
        <w:t>本章规定为前端体育产品提供数据支撑与编排能力的体育运营平台要求。体育运营平台应统一对接上游体育内容内容提供商的体育内容平台，实现媒资、赛事数据、产品包与页面的全流程管理与编排，为运营人员提供可配置、可追溯、可干预的管理工具，支撑前端各项功能稳定落地与高效迭代。</w:t>
      </w:r>
    </w:p>
    <w:p w14:paraId="1EC3B928">
      <w:pPr>
        <w:pStyle w:val="3"/>
        <w:spacing w:before="120" w:after="120" w:line="360" w:lineRule="auto"/>
        <w:ind w:left="573" w:hanging="573"/>
        <w:rPr>
          <w:rFonts w:ascii="黑体" w:hAnsi="黑体" w:cs="黑体"/>
          <w:sz w:val="28"/>
          <w:szCs w:val="28"/>
        </w:rPr>
      </w:pPr>
      <w:bookmarkStart w:id="283" w:name="s4-1"/>
      <w:bookmarkEnd w:id="283"/>
      <w:bookmarkStart w:id="284" w:name="_Toc14470"/>
      <w:bookmarkStart w:id="285" w:name="_Toc19441"/>
      <w:bookmarkStart w:id="286" w:name="_Toc25189"/>
      <w:bookmarkStart w:id="287" w:name="_Toc28562"/>
      <w:bookmarkStart w:id="288" w:name="_Toc2273"/>
      <w:bookmarkStart w:id="289" w:name="_Toc244679208"/>
      <w:bookmarkStart w:id="290" w:name="_Toc4815"/>
      <w:bookmarkStart w:id="291" w:name="_Toc6927"/>
      <w:r>
        <w:rPr>
          <w:rFonts w:hint="eastAsia" w:ascii="黑体" w:hAnsi="黑体" w:cs="黑体"/>
          <w:sz w:val="28"/>
          <w:szCs w:val="28"/>
        </w:rPr>
        <w:t>数据来源与对接</w:t>
      </w:r>
      <w:bookmarkEnd w:id="284"/>
      <w:bookmarkEnd w:id="285"/>
      <w:bookmarkEnd w:id="286"/>
      <w:bookmarkEnd w:id="287"/>
      <w:bookmarkEnd w:id="288"/>
      <w:bookmarkEnd w:id="289"/>
      <w:bookmarkEnd w:id="290"/>
      <w:bookmarkEnd w:id="291"/>
    </w:p>
    <w:p w14:paraId="24F1B9F3">
      <w:pPr>
        <w:spacing w:line="360" w:lineRule="auto"/>
        <w:ind w:firstLine="480" w:firstLineChars="200"/>
        <w:rPr>
          <w:rFonts w:ascii="宋体" w:hAnsi="宋体" w:eastAsia="宋体" w:cs="宋体"/>
          <w:sz w:val="24"/>
        </w:rPr>
      </w:pPr>
      <w:r>
        <w:rPr>
          <w:rFonts w:hint="eastAsia" w:ascii="宋体" w:hAnsi="宋体" w:eastAsia="宋体" w:cs="宋体"/>
          <w:sz w:val="24"/>
        </w:rPr>
        <w:t>体育运营平台是前端各页面数据的唯一来源，本期须完成与上游体育内容内容提供商的内容、媒资及赛事数据源的对接，实现数据的自动同步与规范化管理，确保前端展示数据的准确性与时效性。</w:t>
      </w:r>
    </w:p>
    <w:p w14:paraId="2BA3A7EB">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33254703">
      <w:pPr>
        <w:spacing w:line="360" w:lineRule="auto"/>
        <w:ind w:firstLine="480" w:firstLineChars="200"/>
        <w:rPr>
          <w:rFonts w:ascii="宋体" w:hAnsi="宋体" w:eastAsia="宋体" w:cs="宋体"/>
          <w:sz w:val="24"/>
        </w:rPr>
      </w:pPr>
      <w:r>
        <w:rPr>
          <w:rFonts w:hint="eastAsia" w:ascii="宋体" w:hAnsi="宋体" w:eastAsia="宋体" w:cs="宋体"/>
          <w:sz w:val="24"/>
        </w:rPr>
        <w:t>上游体育内容内容提供商的数据源对接：平台应支持与上游体育内容内容提供商的内容源、媒资库及赛事数据源对接，实现内容元数据、海报与素材、上下架状态、赛程赛果、榜单数据的自动同步，同步范围覆盖前端各页面所需的全部数据类型。</w:t>
      </w:r>
    </w:p>
    <w:p w14:paraId="1C2AA194">
      <w:pPr>
        <w:spacing w:line="360" w:lineRule="auto"/>
        <w:ind w:firstLine="480" w:firstLineChars="200"/>
        <w:rPr>
          <w:rFonts w:ascii="宋体" w:hAnsi="宋体" w:eastAsia="宋体" w:cs="宋体"/>
          <w:sz w:val="24"/>
        </w:rPr>
      </w:pPr>
      <w:r>
        <w:rPr>
          <w:rFonts w:hint="eastAsia" w:ascii="宋体" w:hAnsi="宋体" w:eastAsia="宋体" w:cs="宋体"/>
          <w:sz w:val="24"/>
        </w:rPr>
        <w:t>外围系统对接：平台应支持与采购人现有终端入口、IPTV业务平台（用户认证、用户订单、播放鉴权、内容本地化注入）及上游体育内容与赛事数据平台对接；对接规范以采购人现行接口为准。</w:t>
      </w:r>
    </w:p>
    <w:p w14:paraId="156B15B3">
      <w:pPr>
        <w:spacing w:line="360" w:lineRule="auto"/>
        <w:ind w:firstLine="480" w:firstLineChars="200"/>
        <w:rPr>
          <w:rFonts w:ascii="宋体" w:hAnsi="宋体" w:eastAsia="宋体" w:cs="宋体"/>
          <w:sz w:val="24"/>
        </w:rPr>
      </w:pPr>
      <w:r>
        <w:rPr>
          <w:rFonts w:hint="eastAsia" w:ascii="宋体" w:hAnsi="宋体" w:eastAsia="宋体" w:cs="宋体"/>
          <w:sz w:val="24"/>
        </w:rPr>
        <w:t>同步机制：平台应支持定时自动同步与手动触发同步，同步周期可配置；每次同步应记录同步时间、数据量、成功与失败明细，失败数据应支持重试并触发告警。</w:t>
      </w:r>
    </w:p>
    <w:p w14:paraId="59199FB4">
      <w:pPr>
        <w:spacing w:line="360" w:lineRule="auto"/>
        <w:ind w:firstLine="480" w:firstLineChars="200"/>
        <w:rPr>
          <w:rFonts w:ascii="宋体" w:hAnsi="宋体" w:eastAsia="宋体" w:cs="宋体"/>
          <w:sz w:val="24"/>
        </w:rPr>
      </w:pPr>
      <w:r>
        <w:rPr>
          <w:rFonts w:hint="eastAsia" w:ascii="宋体" w:hAnsi="宋体" w:eastAsia="宋体" w:cs="宋体"/>
          <w:sz w:val="24"/>
        </w:rPr>
        <w:t>数据映射与清洗：平台应支持将对接数据映射为平台内部统一、规范化的数据模型，字段映射规则可配置；对字段缺失、格式异常、重复数据应能自动识别并提供人工修正入口。</w:t>
      </w:r>
    </w:p>
    <w:p w14:paraId="08D93A76">
      <w:pPr>
        <w:spacing w:line="360" w:lineRule="auto"/>
        <w:ind w:firstLine="480" w:firstLineChars="200"/>
        <w:rPr>
          <w:rFonts w:ascii="宋体" w:hAnsi="宋体" w:eastAsia="宋体" w:cs="宋体"/>
          <w:sz w:val="24"/>
        </w:rPr>
      </w:pPr>
      <w:r>
        <w:rPr>
          <w:rFonts w:hint="eastAsia" w:ascii="宋体" w:hAnsi="宋体" w:eastAsia="宋体" w:cs="宋体"/>
          <w:sz w:val="24"/>
        </w:rPr>
        <w:t>数据状态管理：平台应支持数据对象的上线、下线、待上线等状态管理，状态变更须同步至前端，前端不得展示已下线或失效数据。</w:t>
      </w:r>
    </w:p>
    <w:p w14:paraId="117754C0">
      <w:pPr>
        <w:spacing w:line="360" w:lineRule="auto"/>
        <w:ind w:firstLine="480" w:firstLineChars="200"/>
        <w:rPr>
          <w:rFonts w:ascii="宋体" w:hAnsi="宋体" w:eastAsia="宋体" w:cs="宋体"/>
          <w:sz w:val="24"/>
        </w:rPr>
      </w:pPr>
      <w:r>
        <w:rPr>
          <w:rFonts w:hint="eastAsia" w:ascii="宋体" w:hAnsi="宋体" w:eastAsia="宋体" w:cs="宋体"/>
          <w:sz w:val="24"/>
        </w:rPr>
        <w:t>数据一致性：前后端数据应保持一致，后台数据变更后前端应按配置的生效策略更新，并提供前后端数据一致性核对能力。</w:t>
      </w:r>
    </w:p>
    <w:p w14:paraId="0A242FDC">
      <w:pPr>
        <w:pStyle w:val="3"/>
        <w:spacing w:before="120" w:after="120" w:line="360" w:lineRule="auto"/>
        <w:ind w:left="573" w:hanging="573"/>
        <w:rPr>
          <w:rFonts w:ascii="黑体" w:hAnsi="黑体" w:cs="黑体"/>
          <w:sz w:val="28"/>
          <w:szCs w:val="28"/>
        </w:rPr>
      </w:pPr>
      <w:bookmarkStart w:id="292" w:name="_Toc4691"/>
      <w:bookmarkStart w:id="293" w:name="_Toc19397"/>
      <w:bookmarkStart w:id="294" w:name="_Toc12187"/>
      <w:bookmarkStart w:id="295" w:name="_Toc10667"/>
      <w:bookmarkStart w:id="296" w:name="_Toc18283"/>
      <w:bookmarkStart w:id="297" w:name="_Toc12109"/>
      <w:bookmarkStart w:id="298" w:name="_Toc244679209"/>
      <w:bookmarkStart w:id="299" w:name="_Toc10492"/>
      <w:r>
        <w:rPr>
          <w:rFonts w:hint="eastAsia" w:ascii="黑体" w:hAnsi="黑体" w:cs="黑体"/>
          <w:sz w:val="28"/>
          <w:szCs w:val="28"/>
        </w:rPr>
        <w:t>体育媒资管理</w:t>
      </w:r>
      <w:bookmarkEnd w:id="292"/>
      <w:bookmarkEnd w:id="293"/>
      <w:bookmarkEnd w:id="294"/>
      <w:bookmarkEnd w:id="295"/>
      <w:bookmarkEnd w:id="296"/>
      <w:bookmarkEnd w:id="297"/>
      <w:bookmarkEnd w:id="298"/>
      <w:bookmarkEnd w:id="299"/>
    </w:p>
    <w:p w14:paraId="2C25339F">
      <w:pPr>
        <w:spacing w:line="360" w:lineRule="auto"/>
        <w:ind w:firstLine="480" w:firstLineChars="200"/>
        <w:rPr>
          <w:rFonts w:ascii="宋体" w:hAnsi="宋体" w:eastAsia="宋体" w:cs="宋体"/>
          <w:sz w:val="24"/>
        </w:rPr>
      </w:pPr>
      <w:r>
        <w:rPr>
          <w:rFonts w:hint="eastAsia" w:ascii="宋体" w:hAnsi="宋体" w:eastAsia="宋体" w:cs="宋体"/>
          <w:sz w:val="24"/>
        </w:rPr>
        <w:t>体育媒资管理为前端赛事直播、点播、集锦与详情页提供数据支撑，须实现对体育媒资的全生命周期管理、体育比赛与多解说的管理，以及权益角标与分类体系的配置。</w:t>
      </w:r>
    </w:p>
    <w:p w14:paraId="7C309CEB">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027183F6">
      <w:pPr>
        <w:spacing w:line="360" w:lineRule="auto"/>
        <w:ind w:firstLine="480" w:firstLineChars="200"/>
        <w:rPr>
          <w:rFonts w:ascii="宋体" w:hAnsi="宋体" w:eastAsia="宋体" w:cs="宋体"/>
          <w:sz w:val="24"/>
        </w:rPr>
      </w:pPr>
      <w:r>
        <w:rPr>
          <w:rFonts w:hint="eastAsia" w:ascii="宋体" w:hAnsi="宋体" w:eastAsia="宋体" w:cs="宋体"/>
          <w:sz w:val="24"/>
        </w:rPr>
        <w:t>媒资全生命周期管理：应支持对赛事点播内容、赛事直播流、直播回放、赛事集锦、体育短视频等视频资源的新增、编辑、下线等全生命周期管理；支持按内容关联比赛场次和标签对媒资进行归类与检索，确保内容组织与播出计划精准匹配。</w:t>
      </w:r>
    </w:p>
    <w:p w14:paraId="48390A49">
      <w:pPr>
        <w:spacing w:line="360" w:lineRule="auto"/>
        <w:ind w:firstLine="480" w:firstLineChars="200"/>
        <w:rPr>
          <w:rFonts w:ascii="宋体" w:hAnsi="宋体" w:eastAsia="宋体" w:cs="宋体"/>
          <w:sz w:val="24"/>
        </w:rPr>
      </w:pPr>
      <w:r>
        <w:rPr>
          <w:rFonts w:hint="eastAsia" w:ascii="宋体" w:hAnsi="宋体" w:eastAsia="宋体" w:cs="宋体"/>
          <w:sz w:val="24"/>
        </w:rPr>
        <w:t>体育比赛与直播频道管理：应提供完整的直播频道管理体系，涵盖频道的新增与配置、频道状态管理、关联节目单的生成与维护，以及对多路直播源的有效调度与监控，保障直播内容稳定输出。</w:t>
      </w:r>
    </w:p>
    <w:p w14:paraId="6946DD67">
      <w:pPr>
        <w:spacing w:line="360" w:lineRule="auto"/>
        <w:ind w:firstLine="480" w:firstLineChars="200"/>
        <w:rPr>
          <w:rFonts w:ascii="宋体" w:hAnsi="宋体" w:eastAsia="宋体" w:cs="宋体"/>
          <w:sz w:val="24"/>
        </w:rPr>
      </w:pPr>
      <w:r>
        <w:rPr>
          <w:rFonts w:hint="eastAsia" w:ascii="宋体" w:hAnsi="宋体" w:eastAsia="宋体" w:cs="宋体"/>
          <w:sz w:val="24"/>
        </w:rPr>
        <w:t>多解说管理：应依据直播频道与赛事数据的关联关系，自动或手动生成频道节目单，支持对节目单条目进行新增、删除、时段调整与排序管理，确保节目播出的计划性与准确性。</w:t>
      </w:r>
    </w:p>
    <w:p w14:paraId="29005930">
      <w:pPr>
        <w:spacing w:line="360" w:lineRule="auto"/>
        <w:ind w:firstLine="480" w:firstLineChars="200"/>
        <w:rPr>
          <w:rFonts w:ascii="宋体" w:hAnsi="宋体" w:eastAsia="宋体" w:cs="宋体"/>
          <w:sz w:val="24"/>
        </w:rPr>
      </w:pPr>
      <w:r>
        <w:rPr>
          <w:rFonts w:hint="eastAsia" w:ascii="宋体" w:hAnsi="宋体" w:eastAsia="宋体" w:cs="宋体"/>
          <w:sz w:val="24"/>
        </w:rPr>
        <w:t>点播内容与子集管理：应支持点播内容核心信息（名称、剧集信息、封面及详情图片、版权归属、上下架状态与生效时间等）的维护，确保信息准确一致；支持剧集维度下子集内容的新增、修改、删除及自定义排序，实现系列内容的结构化组织。</w:t>
      </w:r>
    </w:p>
    <w:p w14:paraId="067ADEBD">
      <w:pPr>
        <w:spacing w:line="360" w:lineRule="auto"/>
        <w:ind w:firstLine="480" w:firstLineChars="200"/>
        <w:rPr>
          <w:rFonts w:ascii="宋体" w:hAnsi="宋体" w:eastAsia="宋体" w:cs="宋体"/>
          <w:sz w:val="24"/>
        </w:rPr>
      </w:pPr>
      <w:r>
        <w:rPr>
          <w:rFonts w:hint="eastAsia" w:ascii="宋体" w:hAnsi="宋体" w:eastAsia="宋体" w:cs="宋体"/>
          <w:sz w:val="24"/>
        </w:rPr>
        <w:t>栏目管理：应支持栏目的创建、修改、删除及查询操作，可自定义栏目名称、图标、排序及上下级关系，实现栏目结构的层级化管理。</w:t>
      </w:r>
    </w:p>
    <w:p w14:paraId="0E09DE39">
      <w:pPr>
        <w:spacing w:line="360" w:lineRule="auto"/>
        <w:ind w:firstLine="480" w:firstLineChars="200"/>
        <w:rPr>
          <w:rFonts w:ascii="宋体" w:hAnsi="宋体" w:eastAsia="宋体" w:cs="宋体"/>
          <w:sz w:val="24"/>
        </w:rPr>
      </w:pPr>
      <w:r>
        <w:rPr>
          <w:rFonts w:hint="eastAsia" w:ascii="宋体" w:hAnsi="宋体" w:eastAsia="宋体" w:cs="宋体"/>
          <w:sz w:val="24"/>
        </w:rPr>
        <w:t>权益与角标配置：应支持配置内容的会员权益属性与角标类型（按产品包类型、免费/收费等），配置变更后前端各页面角标应同步更新。</w:t>
      </w:r>
    </w:p>
    <w:p w14:paraId="6FC5E028">
      <w:pPr>
        <w:spacing w:line="360" w:lineRule="auto"/>
        <w:ind w:firstLine="480" w:firstLineChars="200"/>
        <w:rPr>
          <w:rFonts w:ascii="宋体" w:hAnsi="宋体" w:eastAsia="宋体" w:cs="宋体"/>
          <w:sz w:val="24"/>
        </w:rPr>
      </w:pPr>
      <w:r>
        <w:rPr>
          <w:rFonts w:hint="eastAsia" w:ascii="宋体" w:hAnsi="宋体" w:eastAsia="宋体" w:cs="宋体"/>
          <w:sz w:val="24"/>
        </w:rPr>
        <w:t>上下架管理与播控衔接：应支持内容的上下架操作与状态管理；内容上线须经采购人播控审核，审核通过后方可下发前端展示，下线内容应及时撤除，满足广电播控安全要求。</w:t>
      </w:r>
    </w:p>
    <w:p w14:paraId="11EBEE34">
      <w:pPr>
        <w:spacing w:line="360" w:lineRule="auto"/>
        <w:ind w:firstLine="480" w:firstLineChars="200"/>
        <w:rPr>
          <w:rFonts w:ascii="宋体" w:hAnsi="宋体" w:eastAsia="宋体" w:cs="宋体"/>
          <w:sz w:val="24"/>
        </w:rPr>
      </w:pPr>
      <w:r>
        <w:rPr>
          <w:rFonts w:hint="eastAsia" w:ascii="宋体" w:hAnsi="宋体" w:eastAsia="宋体" w:cs="宋体"/>
          <w:sz w:val="24"/>
        </w:rPr>
        <w:t>分类与标签体系：应支持内容分类与标签体系的维护，支持多级分类与标签的增删改及启停，作为前端筛选与推荐的数据基础。</w:t>
      </w:r>
    </w:p>
    <w:p w14:paraId="6503C396">
      <w:pPr>
        <w:pStyle w:val="3"/>
        <w:spacing w:before="120" w:after="120" w:line="360" w:lineRule="auto"/>
        <w:ind w:left="573" w:hanging="573"/>
        <w:rPr>
          <w:rFonts w:ascii="黑体" w:hAnsi="黑体" w:cs="黑体"/>
          <w:sz w:val="28"/>
          <w:szCs w:val="28"/>
        </w:rPr>
      </w:pPr>
      <w:bookmarkStart w:id="300" w:name="_Toc28532"/>
      <w:bookmarkStart w:id="301" w:name="_Toc30518"/>
      <w:bookmarkStart w:id="302" w:name="_Toc25399"/>
      <w:bookmarkStart w:id="303" w:name="_Toc23699"/>
      <w:bookmarkStart w:id="304" w:name="_Toc5762"/>
      <w:bookmarkStart w:id="305" w:name="_Toc19019"/>
      <w:bookmarkStart w:id="306" w:name="_Toc244679210"/>
      <w:bookmarkStart w:id="307" w:name="_Toc28567"/>
      <w:r>
        <w:rPr>
          <w:rFonts w:hint="eastAsia" w:ascii="黑体" w:hAnsi="黑体" w:cs="黑体"/>
          <w:sz w:val="28"/>
          <w:szCs w:val="28"/>
        </w:rPr>
        <w:t>赛事数据管理</w:t>
      </w:r>
      <w:bookmarkEnd w:id="300"/>
      <w:bookmarkEnd w:id="301"/>
      <w:bookmarkEnd w:id="302"/>
      <w:bookmarkEnd w:id="303"/>
      <w:bookmarkEnd w:id="304"/>
      <w:bookmarkEnd w:id="305"/>
      <w:bookmarkEnd w:id="306"/>
      <w:bookmarkEnd w:id="307"/>
    </w:p>
    <w:p w14:paraId="234F86FC">
      <w:pPr>
        <w:spacing w:line="360" w:lineRule="auto"/>
        <w:ind w:firstLine="480" w:firstLineChars="200"/>
        <w:rPr>
          <w:rFonts w:ascii="宋体" w:hAnsi="宋体" w:eastAsia="宋体" w:cs="宋体"/>
          <w:sz w:val="24"/>
        </w:rPr>
      </w:pPr>
      <w:r>
        <w:rPr>
          <w:rFonts w:hint="eastAsia" w:ascii="宋体" w:hAnsi="宋体" w:eastAsia="宋体" w:cs="宋体"/>
          <w:sz w:val="24"/>
        </w:rPr>
        <w:t>赛事数据管理实现赛事数据的深度获取、治理与本地化管理，驱动前端体验创新与运营智能化，为体育组件与数据展示提供按需、低延迟的数据服务。</w:t>
      </w:r>
    </w:p>
    <w:p w14:paraId="6C661224">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6684D032">
      <w:pPr>
        <w:spacing w:line="360" w:lineRule="auto"/>
        <w:ind w:firstLine="480" w:firstLineChars="200"/>
        <w:rPr>
          <w:rFonts w:ascii="宋体" w:hAnsi="宋体" w:eastAsia="宋体" w:cs="宋体"/>
          <w:sz w:val="24"/>
        </w:rPr>
      </w:pPr>
      <w:r>
        <w:rPr>
          <w:rFonts w:hint="eastAsia" w:ascii="宋体" w:hAnsi="宋体" w:eastAsia="宋体" w:cs="宋体"/>
          <w:sz w:val="24"/>
        </w:rPr>
        <w:t>赛事数据分层同步：应按"赛事—赛季—比赛"三层结构及时同步上游赛事数据；比赛数据应包括比赛名称、比赛标识、比赛开始与结束时间、对阵双方等信息，同步应及时、准确、完整。</w:t>
      </w:r>
    </w:p>
    <w:p w14:paraId="30645E0C">
      <w:pPr>
        <w:spacing w:line="360" w:lineRule="auto"/>
        <w:ind w:firstLine="480" w:firstLineChars="200"/>
        <w:rPr>
          <w:rFonts w:ascii="宋体" w:hAnsi="宋体" w:eastAsia="宋体" w:cs="宋体"/>
          <w:sz w:val="24"/>
        </w:rPr>
      </w:pPr>
      <w:r>
        <w:rPr>
          <w:rFonts w:hint="eastAsia" w:ascii="宋体" w:hAnsi="宋体" w:eastAsia="宋体" w:cs="宋体"/>
          <w:sz w:val="24"/>
        </w:rPr>
        <w:t>组件数据同步：应支持前端全部组件数据的实时同步，包括实时事件数据、双方阵容明细数据、球队与球员本场比赛专业统计、双方专业数据对比等；不同运动项目的组件数据维度应可差异化配置。</w:t>
      </w:r>
    </w:p>
    <w:p w14:paraId="0721D9F7">
      <w:pPr>
        <w:spacing w:line="360" w:lineRule="auto"/>
        <w:ind w:firstLine="480" w:firstLineChars="200"/>
        <w:rPr>
          <w:rFonts w:ascii="宋体" w:hAnsi="宋体" w:eastAsia="宋体" w:cs="宋体"/>
          <w:sz w:val="24"/>
        </w:rPr>
      </w:pPr>
      <w:r>
        <w:rPr>
          <w:rFonts w:hint="eastAsia" w:ascii="宋体" w:hAnsi="宋体" w:eastAsia="宋体" w:cs="宋体"/>
          <w:sz w:val="24"/>
        </w:rPr>
        <w:t>数据接入与治理：应支持以API、流式数据等多种方式对接上游数据源，自动识别并适配不同赛事在数据格式、统计维度和更新频率上的差异，基于赛事规则进行逻辑校验，将离散的事件、球员、球队数据在时间线与比赛上下文中动态关联，转化为平台内部统一、规范化的数据模型。</w:t>
      </w:r>
    </w:p>
    <w:p w14:paraId="7DAD9802">
      <w:pPr>
        <w:spacing w:line="360" w:lineRule="auto"/>
        <w:ind w:firstLine="480" w:firstLineChars="200"/>
        <w:rPr>
          <w:rFonts w:ascii="宋体" w:hAnsi="宋体" w:eastAsia="宋体" w:cs="宋体"/>
          <w:sz w:val="24"/>
        </w:rPr>
      </w:pPr>
      <w:r>
        <w:rPr>
          <w:rFonts w:hint="eastAsia" w:ascii="宋体" w:hAnsi="宋体" w:eastAsia="宋体" w:cs="宋体"/>
          <w:sz w:val="24"/>
        </w:rPr>
        <w:t>数据管理模式：赛事、赛季、比赛等核心数据应支持数据同步模式与本地修改模式；平台应为前端组件提供按需、低延迟的数据接口，支持按运营场景预封装数据组合，并允许运营人员配置特定组件在特定比赛状态下的数据展示优先级。</w:t>
      </w:r>
    </w:p>
    <w:p w14:paraId="5A4EA8FF">
      <w:pPr>
        <w:spacing w:line="360" w:lineRule="auto"/>
        <w:ind w:firstLine="480" w:firstLineChars="200"/>
        <w:rPr>
          <w:rFonts w:ascii="宋体" w:hAnsi="宋体" w:eastAsia="宋体" w:cs="宋体"/>
          <w:sz w:val="24"/>
        </w:rPr>
      </w:pPr>
      <w:r>
        <w:rPr>
          <w:rFonts w:hint="eastAsia" w:ascii="宋体" w:hAnsi="宋体" w:eastAsia="宋体" w:cs="宋体"/>
          <w:sz w:val="24"/>
        </w:rPr>
        <w:t>比赛管理：应展示平台全部比赛列表及比赛信息（场次名称、开始时间、比赛时长、比赛状态、阶段、轮次、主客队名称等）；支持配置本场比赛解说信息，支持比赛上下线管理；支持比赛绑定产品包与业务分组；支持比赛数据锁定与解锁，锁定后不再同步上游数据更新；支持比赛比分屏蔽；支持将单场比赛推送至频道运营位、详情页热门推荐运营位。</w:t>
      </w:r>
    </w:p>
    <w:p w14:paraId="599817BD">
      <w:pPr>
        <w:spacing w:line="360" w:lineRule="auto"/>
        <w:ind w:firstLine="480" w:firstLineChars="200"/>
        <w:rPr>
          <w:rFonts w:ascii="宋体" w:hAnsi="宋体" w:eastAsia="宋体" w:cs="宋体"/>
          <w:sz w:val="24"/>
        </w:rPr>
      </w:pPr>
      <w:r>
        <w:rPr>
          <w:rFonts w:hint="eastAsia" w:ascii="宋体" w:hAnsi="宋体" w:eastAsia="宋体" w:cs="宋体"/>
          <w:sz w:val="24"/>
        </w:rPr>
        <w:t>赛程管理：应支持平台赛程数据配置与分类维护，支持分类下比赛过滤规则的配置，新增比赛应自动关联赛程分类；支持赛程关联业务分组。</w:t>
      </w:r>
    </w:p>
    <w:p w14:paraId="5CA5F2DF">
      <w:pPr>
        <w:spacing w:line="360" w:lineRule="auto"/>
        <w:ind w:firstLine="480" w:firstLineChars="200"/>
        <w:rPr>
          <w:rFonts w:ascii="宋体" w:hAnsi="宋体" w:eastAsia="宋体" w:cs="宋体"/>
          <w:sz w:val="24"/>
        </w:rPr>
      </w:pPr>
      <w:r>
        <w:rPr>
          <w:rFonts w:hint="eastAsia" w:ascii="宋体" w:hAnsi="宋体" w:eastAsia="宋体" w:cs="宋体"/>
          <w:sz w:val="24"/>
        </w:rPr>
        <w:t>组件管理：应支持组件的生效失效管理与业务分组配置。</w:t>
      </w:r>
    </w:p>
    <w:p w14:paraId="3DC56C43">
      <w:pPr>
        <w:spacing w:line="360" w:lineRule="auto"/>
        <w:ind w:firstLine="480" w:firstLineChars="200"/>
        <w:rPr>
          <w:rFonts w:ascii="宋体" w:hAnsi="宋体" w:eastAsia="宋体" w:cs="宋体"/>
          <w:sz w:val="24"/>
        </w:rPr>
      </w:pPr>
      <w:r>
        <w:rPr>
          <w:rFonts w:hint="eastAsia" w:ascii="宋体" w:hAnsi="宋体" w:eastAsia="宋体" w:cs="宋体"/>
          <w:sz w:val="24"/>
        </w:rPr>
        <w:t>赛况数据配置：应支持赛况数据展示维度（比分、阵容、本场统计、赛季统计）与指标项的配置，以适配不同运动类型的数据差异。</w:t>
      </w:r>
    </w:p>
    <w:p w14:paraId="3EC782CF">
      <w:pPr>
        <w:spacing w:line="360" w:lineRule="auto"/>
        <w:ind w:firstLine="480" w:firstLineChars="200"/>
        <w:rPr>
          <w:rFonts w:ascii="宋体" w:hAnsi="宋体" w:eastAsia="宋体" w:cs="宋体"/>
          <w:sz w:val="24"/>
        </w:rPr>
      </w:pPr>
      <w:r>
        <w:rPr>
          <w:rFonts w:hint="eastAsia" w:ascii="宋体" w:hAnsi="宋体" w:eastAsia="宋体" w:cs="宋体"/>
          <w:sz w:val="24"/>
        </w:rPr>
        <w:t>主队与球员数据：应支持主队资料、球员资料与生涯数据的维护与同步，数据口径须与上游体育内容内容提供商的数据源一致。</w:t>
      </w:r>
    </w:p>
    <w:p w14:paraId="21EECA15">
      <w:pPr>
        <w:pStyle w:val="3"/>
        <w:spacing w:before="120" w:after="120" w:line="360" w:lineRule="auto"/>
        <w:ind w:left="573" w:hanging="573"/>
        <w:rPr>
          <w:rFonts w:ascii="黑体" w:hAnsi="黑体" w:cs="黑体"/>
          <w:sz w:val="28"/>
          <w:szCs w:val="28"/>
        </w:rPr>
      </w:pPr>
      <w:bookmarkStart w:id="308" w:name="_Toc1873"/>
      <w:bookmarkStart w:id="309" w:name="_Toc26022"/>
      <w:bookmarkStart w:id="310" w:name="_Toc244679211"/>
      <w:bookmarkStart w:id="311" w:name="_Toc19456"/>
      <w:bookmarkStart w:id="312" w:name="_Toc10674"/>
      <w:bookmarkStart w:id="313" w:name="_Toc27283"/>
      <w:bookmarkStart w:id="314" w:name="_Toc6059"/>
      <w:bookmarkStart w:id="315" w:name="_Toc10006"/>
      <w:r>
        <w:rPr>
          <w:rFonts w:hint="eastAsia" w:ascii="黑体" w:hAnsi="黑体" w:cs="黑体"/>
          <w:sz w:val="28"/>
          <w:szCs w:val="28"/>
        </w:rPr>
        <w:t>页面编排</w:t>
      </w:r>
      <w:bookmarkEnd w:id="308"/>
      <w:bookmarkEnd w:id="309"/>
      <w:bookmarkEnd w:id="310"/>
      <w:bookmarkEnd w:id="311"/>
      <w:bookmarkEnd w:id="312"/>
      <w:bookmarkEnd w:id="313"/>
      <w:bookmarkEnd w:id="314"/>
      <w:bookmarkEnd w:id="315"/>
    </w:p>
    <w:p w14:paraId="0790C57B">
      <w:pPr>
        <w:spacing w:line="360" w:lineRule="auto"/>
        <w:ind w:firstLine="480" w:firstLineChars="200"/>
        <w:rPr>
          <w:rFonts w:ascii="宋体" w:hAnsi="宋体" w:eastAsia="宋体" w:cs="宋体"/>
          <w:sz w:val="24"/>
        </w:rPr>
      </w:pPr>
      <w:r>
        <w:rPr>
          <w:rFonts w:hint="eastAsia" w:ascii="宋体" w:hAnsi="宋体" w:eastAsia="宋体" w:cs="宋体"/>
          <w:sz w:val="24"/>
        </w:rPr>
        <w:t>页面编排是支撑前端体育频道首页、赛事聚合页、大赛专区等页面结构灵活调整的核心能力，须实现页面结构与版位的可视化编排，避免前端每次调整均需发版。</w:t>
      </w:r>
    </w:p>
    <w:p w14:paraId="65F2C648">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5CADD183">
      <w:pPr>
        <w:spacing w:line="360" w:lineRule="auto"/>
        <w:ind w:firstLine="480" w:firstLineChars="200"/>
        <w:rPr>
          <w:rFonts w:ascii="宋体" w:hAnsi="宋体" w:eastAsia="宋体" w:cs="宋体"/>
          <w:sz w:val="24"/>
        </w:rPr>
      </w:pPr>
      <w:r>
        <w:rPr>
          <w:rFonts w:hint="eastAsia" w:ascii="宋体" w:hAnsi="宋体" w:eastAsia="宋体" w:cs="宋体"/>
          <w:sz w:val="24"/>
        </w:rPr>
        <w:t>页面管理：应支持按频道创建与管理页面，页面数量可扩展；支持配置页面名称、所属频道、生效状态与排序。</w:t>
      </w:r>
    </w:p>
    <w:p w14:paraId="70BB5459">
      <w:pPr>
        <w:spacing w:line="360" w:lineRule="auto"/>
        <w:ind w:firstLine="480" w:firstLineChars="200"/>
        <w:rPr>
          <w:rFonts w:ascii="宋体" w:hAnsi="宋体" w:eastAsia="宋体" w:cs="宋体"/>
          <w:sz w:val="24"/>
        </w:rPr>
      </w:pPr>
      <w:r>
        <w:rPr>
          <w:rFonts w:hint="eastAsia" w:ascii="宋体" w:hAnsi="宋体" w:eastAsia="宋体" w:cs="宋体"/>
          <w:sz w:val="24"/>
        </w:rPr>
        <w:t>站点与导航管理：应支持站点级管理（站点新增、编辑、删除及业务分组绑定），支持导航结构的搭建与属性配置，实现站点级、页面级、内容级（楼层排序、隐藏、置顶）的分层管控。</w:t>
      </w:r>
    </w:p>
    <w:p w14:paraId="6A21126C">
      <w:pPr>
        <w:spacing w:line="360" w:lineRule="auto"/>
        <w:ind w:firstLine="480" w:firstLineChars="200"/>
        <w:rPr>
          <w:rFonts w:ascii="宋体" w:hAnsi="宋体" w:eastAsia="宋体" w:cs="宋体"/>
          <w:sz w:val="24"/>
        </w:rPr>
      </w:pPr>
      <w:r>
        <w:rPr>
          <w:rFonts w:hint="eastAsia" w:ascii="宋体" w:hAnsi="宋体" w:eastAsia="宋体" w:cs="宋体"/>
          <w:sz w:val="24"/>
        </w:rPr>
        <w:t>版位编排：应支持对页面内各版位（推荐位、榜单位、运营位、功能入口区等）进行新增、删除、排序与层级调整，编排结果应可在后台预览。</w:t>
      </w:r>
    </w:p>
    <w:p w14:paraId="7443594F">
      <w:pPr>
        <w:spacing w:line="360" w:lineRule="auto"/>
        <w:ind w:firstLine="480" w:firstLineChars="200"/>
        <w:rPr>
          <w:rFonts w:ascii="宋体" w:hAnsi="宋体" w:eastAsia="宋体" w:cs="宋体"/>
          <w:sz w:val="24"/>
        </w:rPr>
      </w:pPr>
      <w:r>
        <w:rPr>
          <w:rFonts w:hint="eastAsia" w:ascii="宋体" w:hAnsi="宋体" w:eastAsia="宋体" w:cs="宋体"/>
          <w:sz w:val="24"/>
        </w:rPr>
        <w:t>模板管理：应支持页面模板与楼层模板的创建、复用、预览、规则配置与启用停用，不同频道可套用同一模板并差异化填充内容，模板修改后可批量同步至引用页面。</w:t>
      </w:r>
    </w:p>
    <w:p w14:paraId="1E2ED410">
      <w:pPr>
        <w:spacing w:line="360" w:lineRule="auto"/>
        <w:ind w:firstLine="480" w:firstLineChars="200"/>
        <w:rPr>
          <w:rFonts w:ascii="宋体" w:hAnsi="宋体" w:eastAsia="宋体" w:cs="宋体"/>
          <w:sz w:val="24"/>
        </w:rPr>
      </w:pPr>
      <w:r>
        <w:rPr>
          <w:rFonts w:hint="eastAsia" w:ascii="宋体" w:hAnsi="宋体" w:eastAsia="宋体" w:cs="宋体"/>
          <w:sz w:val="24"/>
        </w:rPr>
        <w:t>多版本页面：应支持为不同浏览视角或不同模式配置独立的页面内容，各版本之间互不影响。</w:t>
      </w:r>
    </w:p>
    <w:p w14:paraId="342A113F">
      <w:pPr>
        <w:spacing w:line="360" w:lineRule="auto"/>
        <w:ind w:firstLine="480" w:firstLineChars="200"/>
        <w:rPr>
          <w:rFonts w:ascii="宋体" w:hAnsi="宋体" w:eastAsia="宋体" w:cs="宋体"/>
          <w:sz w:val="24"/>
        </w:rPr>
      </w:pPr>
      <w:r>
        <w:rPr>
          <w:rFonts w:hint="eastAsia" w:ascii="宋体" w:hAnsi="宋体" w:eastAsia="宋体" w:cs="宋体"/>
          <w:sz w:val="24"/>
        </w:rPr>
        <w:t>发布与回滚：应支持编排结果的保存、预览、发布与回滚；支持定时发布与立即发布，发布后前端按配置策略生效，无须前端重新发版。</w:t>
      </w:r>
    </w:p>
    <w:p w14:paraId="3A41AC5B">
      <w:pPr>
        <w:spacing w:line="360" w:lineRule="auto"/>
        <w:ind w:firstLine="480" w:firstLineChars="200"/>
        <w:rPr>
          <w:rFonts w:ascii="宋体" w:hAnsi="宋体" w:eastAsia="宋体" w:cs="宋体"/>
          <w:sz w:val="24"/>
        </w:rPr>
      </w:pPr>
      <w:r>
        <w:rPr>
          <w:rFonts w:hint="eastAsia" w:ascii="宋体" w:hAnsi="宋体" w:eastAsia="宋体" w:cs="宋体"/>
          <w:sz w:val="24"/>
        </w:rPr>
        <w:t>异常控制：编排数据异常或发布失败时，应保留上一有效版本继续供前端使用，并给出明确失败原因。</w:t>
      </w:r>
    </w:p>
    <w:p w14:paraId="08AF0D5E">
      <w:pPr>
        <w:pStyle w:val="3"/>
        <w:spacing w:before="120" w:after="120" w:line="360" w:lineRule="auto"/>
        <w:ind w:left="573" w:hanging="573"/>
        <w:rPr>
          <w:rFonts w:ascii="黑体" w:hAnsi="黑体" w:cs="黑体"/>
          <w:sz w:val="28"/>
          <w:szCs w:val="28"/>
        </w:rPr>
      </w:pPr>
      <w:bookmarkStart w:id="316" w:name="_Toc17044"/>
      <w:bookmarkStart w:id="317" w:name="_Toc5067"/>
      <w:bookmarkStart w:id="318" w:name="_Toc32057"/>
      <w:bookmarkStart w:id="319" w:name="_Toc244679212"/>
      <w:bookmarkStart w:id="320" w:name="_Toc4845"/>
      <w:bookmarkStart w:id="321" w:name="_Toc26967"/>
      <w:bookmarkStart w:id="322" w:name="_Toc29562"/>
      <w:bookmarkStart w:id="323" w:name="_Toc9583"/>
      <w:r>
        <w:rPr>
          <w:rFonts w:hint="eastAsia" w:ascii="黑体" w:hAnsi="黑体" w:cs="黑体"/>
          <w:sz w:val="28"/>
          <w:szCs w:val="28"/>
        </w:rPr>
        <w:t>推荐位编排</w:t>
      </w:r>
      <w:bookmarkEnd w:id="316"/>
      <w:bookmarkEnd w:id="317"/>
      <w:bookmarkEnd w:id="318"/>
      <w:bookmarkEnd w:id="319"/>
      <w:bookmarkEnd w:id="320"/>
      <w:bookmarkEnd w:id="321"/>
      <w:bookmarkEnd w:id="322"/>
      <w:bookmarkEnd w:id="323"/>
    </w:p>
    <w:p w14:paraId="5772A16C">
      <w:pPr>
        <w:spacing w:line="360" w:lineRule="auto"/>
        <w:ind w:firstLine="480" w:firstLineChars="200"/>
        <w:rPr>
          <w:rFonts w:ascii="宋体" w:hAnsi="宋体" w:eastAsia="宋体" w:cs="宋体"/>
          <w:sz w:val="24"/>
        </w:rPr>
      </w:pPr>
      <w:r>
        <w:rPr>
          <w:rFonts w:hint="eastAsia" w:ascii="宋体" w:hAnsi="宋体" w:eastAsia="宋体" w:cs="宋体"/>
          <w:sz w:val="24"/>
        </w:rPr>
        <w:t>推荐位是前端各页面内容分发的核心载体，须支持推荐位的内容编排、自动填充与人工干预，兼顾运营效率与可控性。</w:t>
      </w:r>
    </w:p>
    <w:p w14:paraId="36307775">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166A010B">
      <w:pPr>
        <w:spacing w:line="360" w:lineRule="auto"/>
        <w:ind w:firstLine="480" w:firstLineChars="200"/>
        <w:rPr>
          <w:rFonts w:ascii="宋体" w:hAnsi="宋体" w:eastAsia="宋体" w:cs="宋体"/>
          <w:sz w:val="24"/>
        </w:rPr>
      </w:pPr>
      <w:r>
        <w:rPr>
          <w:rFonts w:hint="eastAsia" w:ascii="宋体" w:hAnsi="宋体" w:eastAsia="宋体" w:cs="宋体"/>
          <w:sz w:val="24"/>
        </w:rPr>
        <w:t>推荐位管理：应支持创建与管理推荐位，配置推荐位名称、所属页面与版位、展示样式模板、最大展示数量与生效状态。</w:t>
      </w:r>
    </w:p>
    <w:p w14:paraId="0DC74747">
      <w:pPr>
        <w:spacing w:line="360" w:lineRule="auto"/>
        <w:ind w:firstLine="480" w:firstLineChars="200"/>
        <w:rPr>
          <w:rFonts w:ascii="宋体" w:hAnsi="宋体" w:eastAsia="宋体" w:cs="宋体"/>
          <w:sz w:val="24"/>
        </w:rPr>
      </w:pPr>
      <w:r>
        <w:rPr>
          <w:rFonts w:hint="eastAsia" w:ascii="宋体" w:hAnsi="宋体" w:eastAsia="宋体" w:cs="宋体"/>
          <w:sz w:val="24"/>
        </w:rPr>
        <w:t>内容编排：应支持为推荐位手动配置内容列表，支持通过搜索、分类浏览等方式添加内容，并支持排序、置顶、插入、移除与批量操作。</w:t>
      </w:r>
    </w:p>
    <w:p w14:paraId="5A6D3A9A">
      <w:pPr>
        <w:spacing w:line="360" w:lineRule="auto"/>
        <w:ind w:firstLine="480" w:firstLineChars="200"/>
        <w:rPr>
          <w:rFonts w:ascii="宋体" w:hAnsi="宋体" w:eastAsia="宋体" w:cs="宋体"/>
          <w:sz w:val="24"/>
        </w:rPr>
      </w:pPr>
      <w:r>
        <w:rPr>
          <w:rFonts w:hint="eastAsia" w:ascii="宋体" w:hAnsi="宋体" w:eastAsia="宋体" w:cs="宋体"/>
          <w:sz w:val="24"/>
        </w:rPr>
        <w:t>自动填充规则：应支持配置推荐位的自动填充规则，可按分类、标签、更新时间等维度自动选取内容；自动结果应支持人工干预（置顶、插入、下架），干预操作须记录操作人与原因。</w:t>
      </w:r>
    </w:p>
    <w:p w14:paraId="6BD66881">
      <w:pPr>
        <w:spacing w:line="360" w:lineRule="auto"/>
        <w:ind w:firstLine="480" w:firstLineChars="200"/>
        <w:rPr>
          <w:rFonts w:ascii="宋体" w:hAnsi="宋体" w:eastAsia="宋体" w:cs="宋体"/>
          <w:sz w:val="24"/>
        </w:rPr>
      </w:pPr>
      <w:r>
        <w:rPr>
          <w:rFonts w:hint="eastAsia" w:ascii="宋体" w:hAnsi="宋体" w:eastAsia="宋体" w:cs="宋体"/>
          <w:sz w:val="24"/>
        </w:rPr>
        <w:t>排期管理：应支持配置推荐位内容的生效时间与下线时间，到期自动切换展示；支持按时间提前预编排内容，无须人工实时干预。</w:t>
      </w:r>
    </w:p>
    <w:p w14:paraId="2332F2FB">
      <w:pPr>
        <w:spacing w:line="360" w:lineRule="auto"/>
        <w:ind w:firstLine="480" w:firstLineChars="200"/>
        <w:rPr>
          <w:rFonts w:ascii="宋体" w:hAnsi="宋体" w:eastAsia="宋体" w:cs="宋体"/>
          <w:sz w:val="24"/>
        </w:rPr>
      </w:pPr>
      <w:r>
        <w:rPr>
          <w:rFonts w:hint="eastAsia" w:ascii="宋体" w:hAnsi="宋体" w:eastAsia="宋体" w:cs="宋体"/>
          <w:sz w:val="24"/>
        </w:rPr>
        <w:t>素材配置：应支持为推荐位中每个内容条目单独配置展示素材与文案（海报、标题、角标等）；未单独配置时，应自动回退使用内容默认素材。</w:t>
      </w:r>
    </w:p>
    <w:p w14:paraId="1384531C">
      <w:pPr>
        <w:spacing w:line="360" w:lineRule="auto"/>
        <w:ind w:firstLine="480" w:firstLineChars="200"/>
        <w:rPr>
          <w:rFonts w:ascii="宋体" w:hAnsi="宋体" w:eastAsia="宋体" w:cs="宋体"/>
          <w:sz w:val="24"/>
        </w:rPr>
      </w:pPr>
      <w:r>
        <w:rPr>
          <w:rFonts w:hint="eastAsia" w:ascii="宋体" w:hAnsi="宋体" w:eastAsia="宋体" w:cs="宋体"/>
          <w:sz w:val="24"/>
        </w:rPr>
        <w:t>状态管理：推荐位应支持待上线、已上线、已下线状态，支持批量上下线；下线后的编排配置应完整保留，可重新编辑后再上线。</w:t>
      </w:r>
    </w:p>
    <w:p w14:paraId="1E373943">
      <w:pPr>
        <w:pStyle w:val="3"/>
        <w:spacing w:before="120" w:after="120" w:line="360" w:lineRule="auto"/>
        <w:ind w:left="573" w:hanging="573"/>
        <w:rPr>
          <w:rFonts w:ascii="黑体" w:hAnsi="黑体" w:cs="黑体"/>
          <w:sz w:val="28"/>
          <w:szCs w:val="28"/>
        </w:rPr>
      </w:pPr>
      <w:bookmarkStart w:id="324" w:name="_Toc14468"/>
      <w:bookmarkStart w:id="325" w:name="_Toc21388"/>
      <w:bookmarkStart w:id="326" w:name="_Toc7903"/>
      <w:bookmarkStart w:id="327" w:name="_Toc14447"/>
      <w:bookmarkStart w:id="328" w:name="_Toc_s4_6"/>
      <w:bookmarkStart w:id="329" w:name="_Toc3749"/>
      <w:bookmarkStart w:id="330" w:name="_Toc244679213"/>
      <w:bookmarkStart w:id="331" w:name="_Toc4"/>
      <w:bookmarkStart w:id="332" w:name="_Toc5282"/>
      <w:r>
        <w:rPr>
          <w:rFonts w:hint="eastAsia" w:ascii="黑体" w:hAnsi="黑体" w:cs="黑体"/>
          <w:sz w:val="28"/>
          <w:szCs w:val="28"/>
        </w:rPr>
        <w:t>内容批价与产品包管理</w:t>
      </w:r>
      <w:bookmarkEnd w:id="324"/>
      <w:bookmarkEnd w:id="325"/>
      <w:bookmarkEnd w:id="326"/>
      <w:bookmarkEnd w:id="327"/>
      <w:bookmarkEnd w:id="328"/>
      <w:bookmarkEnd w:id="329"/>
      <w:bookmarkEnd w:id="330"/>
      <w:bookmarkEnd w:id="331"/>
      <w:bookmarkEnd w:id="332"/>
    </w:p>
    <w:p w14:paraId="0DA7F7EE">
      <w:pPr>
        <w:spacing w:line="360" w:lineRule="auto"/>
        <w:ind w:firstLine="480" w:firstLineChars="200"/>
        <w:rPr>
          <w:rFonts w:ascii="宋体" w:hAnsi="宋体" w:eastAsia="宋体" w:cs="宋体"/>
          <w:sz w:val="24"/>
        </w:rPr>
      </w:pPr>
      <w:r>
        <w:rPr>
          <w:rFonts w:hint="eastAsia" w:ascii="宋体" w:hAnsi="宋体" w:eastAsia="宋体" w:cs="宋体"/>
          <w:sz w:val="24"/>
        </w:rPr>
        <w:t>内容批价与产品包管理实现体育内容的商业化组织与计费对接，产品包作为用户订购权益的实体化载体，须与采购人现有计费体系无缝衔接。</w:t>
      </w:r>
    </w:p>
    <w:p w14:paraId="75B110E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55917505">
      <w:pPr>
        <w:spacing w:line="360" w:lineRule="auto"/>
        <w:ind w:firstLine="480" w:firstLineChars="200"/>
        <w:rPr>
          <w:rFonts w:ascii="宋体" w:hAnsi="宋体" w:eastAsia="宋体" w:cs="宋体"/>
          <w:sz w:val="24"/>
        </w:rPr>
      </w:pPr>
      <w:r>
        <w:rPr>
          <w:rFonts w:hint="eastAsia" w:ascii="宋体" w:hAnsi="宋体" w:eastAsia="宋体" w:cs="宋体"/>
          <w:sz w:val="24"/>
        </w:rPr>
        <w:t>产品包管理：应支持多种产品类型的产品包管理，资费类型涵盖包月、单点付费与包年；产品包应具备唯一内部计费标识与外部计费标识，并可关联用户订单与内容，支持设置上线与失效时间。</w:t>
      </w:r>
    </w:p>
    <w:p w14:paraId="2A1B6214">
      <w:pPr>
        <w:spacing w:line="360" w:lineRule="auto"/>
        <w:ind w:firstLine="480" w:firstLineChars="200"/>
        <w:rPr>
          <w:rFonts w:ascii="宋体" w:hAnsi="宋体" w:eastAsia="宋体" w:cs="宋体"/>
          <w:sz w:val="24"/>
        </w:rPr>
      </w:pPr>
      <w:r>
        <w:rPr>
          <w:rFonts w:hint="eastAsia" w:ascii="宋体" w:hAnsi="宋体" w:eastAsia="宋体" w:cs="宋体"/>
          <w:sz w:val="24"/>
        </w:rPr>
        <w:t>入包规则：应支持手工或文件导入方式将内容引入产品包；支持按运动项目、一级分类、二级分类等属性配置自动入包规则，符合条件的内容自动入包。</w:t>
      </w:r>
    </w:p>
    <w:p w14:paraId="07C564A6">
      <w:pPr>
        <w:spacing w:line="360" w:lineRule="auto"/>
        <w:ind w:firstLine="480" w:firstLineChars="200"/>
        <w:rPr>
          <w:rFonts w:ascii="宋体" w:hAnsi="宋体" w:eastAsia="宋体" w:cs="宋体"/>
          <w:sz w:val="24"/>
        </w:rPr>
      </w:pPr>
      <w:r>
        <w:rPr>
          <w:rFonts w:hint="eastAsia" w:ascii="宋体" w:hAnsi="宋体" w:eastAsia="宋体" w:cs="宋体"/>
          <w:sz w:val="24"/>
        </w:rPr>
        <w:t>计费对接：产品包应关联采购人现有IPTV计费标识，产品包与计费标识、内容与计费标识的关系应同步至现有业务平台；支持产品包发布、取消发布及绑定计费业务分组。</w:t>
      </w:r>
    </w:p>
    <w:p w14:paraId="62ECA088">
      <w:pPr>
        <w:spacing w:line="360" w:lineRule="auto"/>
        <w:ind w:firstLine="480" w:firstLineChars="200"/>
        <w:rPr>
          <w:rFonts w:ascii="宋体" w:hAnsi="宋体" w:eastAsia="宋体" w:cs="宋体"/>
          <w:sz w:val="24"/>
        </w:rPr>
      </w:pPr>
      <w:r>
        <w:rPr>
          <w:rFonts w:hint="eastAsia" w:ascii="宋体" w:hAnsi="宋体" w:eastAsia="宋体" w:cs="宋体"/>
          <w:sz w:val="24"/>
        </w:rPr>
        <w:t>业务分组管理：应支持EPG业务分组与计费业务分组的管理，实现不同分组用户在页面展现、内容范围、播放权益（是否免鉴权、产品包）方面的区分；支持业务分组的新增与维护。</w:t>
      </w:r>
    </w:p>
    <w:p w14:paraId="33D7089D">
      <w:pPr>
        <w:spacing w:line="360" w:lineRule="auto"/>
        <w:ind w:firstLine="480" w:firstLineChars="200"/>
        <w:rPr>
          <w:rFonts w:ascii="宋体" w:hAnsi="宋体" w:eastAsia="宋体" w:cs="宋体"/>
          <w:sz w:val="24"/>
        </w:rPr>
      </w:pPr>
      <w:r>
        <w:rPr>
          <w:rFonts w:hint="eastAsia" w:ascii="宋体" w:hAnsi="宋体" w:eastAsia="宋体" w:cs="宋体"/>
          <w:sz w:val="24"/>
        </w:rPr>
        <w:t>试看规则管理：应支持按媒资类型（点播、直播）与赛事类型配置试看时长，支持试看规则按业务分组配置生效范围。</w:t>
      </w:r>
    </w:p>
    <w:p w14:paraId="7895544C">
      <w:pPr>
        <w:spacing w:line="360" w:lineRule="auto"/>
        <w:ind w:firstLine="480" w:firstLineChars="200"/>
        <w:rPr>
          <w:rFonts w:ascii="宋体" w:hAnsi="宋体" w:eastAsia="宋体" w:cs="宋体"/>
          <w:sz w:val="24"/>
        </w:rPr>
      </w:pPr>
      <w:r>
        <w:rPr>
          <w:rFonts w:hint="eastAsia" w:ascii="宋体" w:hAnsi="宋体" w:eastAsia="宋体" w:cs="宋体"/>
          <w:sz w:val="24"/>
        </w:rPr>
        <w:t>订单管理：应支持订购成功的订单回传接收与存储，支持订单多维度查询（区分包月订购与单场比赛单点订购），订单详情应包括订单号、状态、创建时间、订购时间、有效期等，支持订单导出，满足对账与审计要求。</w:t>
      </w:r>
    </w:p>
    <w:p w14:paraId="7AC9FFB5">
      <w:pPr>
        <w:pStyle w:val="3"/>
        <w:spacing w:before="120" w:after="120" w:line="360" w:lineRule="auto"/>
        <w:ind w:left="573" w:hanging="573"/>
        <w:rPr>
          <w:rFonts w:ascii="黑体" w:hAnsi="黑体" w:cs="黑体"/>
          <w:sz w:val="28"/>
          <w:szCs w:val="28"/>
        </w:rPr>
      </w:pPr>
      <w:bookmarkStart w:id="333" w:name="_Toc244679214"/>
      <w:bookmarkStart w:id="334" w:name="_Toc28026"/>
      <w:bookmarkStart w:id="335" w:name="_Toc27203"/>
      <w:bookmarkStart w:id="336" w:name="_Toc6963"/>
      <w:bookmarkStart w:id="337" w:name="_Toc16707"/>
      <w:bookmarkStart w:id="338" w:name="_Toc11944"/>
      <w:bookmarkStart w:id="339" w:name="_Toc550"/>
      <w:bookmarkStart w:id="340" w:name="_Toc24780"/>
      <w:r>
        <w:rPr>
          <w:rFonts w:hint="eastAsia" w:ascii="黑体" w:hAnsi="黑体" w:cs="黑体"/>
          <w:sz w:val="28"/>
          <w:szCs w:val="28"/>
        </w:rPr>
        <w:t>运营位与搜索配置</w:t>
      </w:r>
      <w:bookmarkEnd w:id="333"/>
      <w:bookmarkEnd w:id="334"/>
      <w:bookmarkEnd w:id="335"/>
      <w:bookmarkEnd w:id="336"/>
      <w:bookmarkEnd w:id="337"/>
      <w:bookmarkEnd w:id="338"/>
      <w:bookmarkEnd w:id="339"/>
      <w:bookmarkEnd w:id="340"/>
    </w:p>
    <w:p w14:paraId="0B6C8BAB">
      <w:pPr>
        <w:spacing w:line="360" w:lineRule="auto"/>
        <w:ind w:firstLine="480" w:firstLineChars="200"/>
        <w:rPr>
          <w:rFonts w:ascii="宋体" w:hAnsi="宋体" w:eastAsia="宋体" w:cs="宋体"/>
          <w:sz w:val="24"/>
        </w:rPr>
      </w:pPr>
      <w:r>
        <w:rPr>
          <w:rFonts w:hint="eastAsia" w:ascii="宋体" w:hAnsi="宋体" w:eastAsia="宋体" w:cs="宋体"/>
          <w:sz w:val="24"/>
        </w:rPr>
        <w:t>运营位与搜索配置为前端活动运营、广告展示与内容检索提供支撑，须实现运营素材的灵活配置与搜索数据的及时更新。</w:t>
      </w:r>
    </w:p>
    <w:p w14:paraId="2BBAC504">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4FE58776">
      <w:pPr>
        <w:spacing w:line="360" w:lineRule="auto"/>
        <w:ind w:firstLine="480" w:firstLineChars="200"/>
        <w:rPr>
          <w:rFonts w:ascii="宋体" w:hAnsi="宋体" w:eastAsia="宋体" w:cs="宋体"/>
          <w:sz w:val="24"/>
        </w:rPr>
      </w:pPr>
      <w:r>
        <w:rPr>
          <w:rFonts w:hint="eastAsia" w:ascii="宋体" w:hAnsi="宋体" w:eastAsia="宋体" w:cs="宋体"/>
          <w:sz w:val="24"/>
        </w:rPr>
        <w:t>运营位管理：应支持活动海报、广告、营销推广链接等类运营位的创建与配置，支持配置运营位所属页面、位置、展示样式与跳转目标。</w:t>
      </w:r>
    </w:p>
    <w:p w14:paraId="4398CE69">
      <w:pPr>
        <w:spacing w:line="360" w:lineRule="auto"/>
        <w:ind w:firstLine="480" w:firstLineChars="200"/>
        <w:rPr>
          <w:rFonts w:ascii="宋体" w:hAnsi="宋体" w:eastAsia="宋体" w:cs="宋体"/>
          <w:sz w:val="24"/>
        </w:rPr>
      </w:pPr>
      <w:r>
        <w:rPr>
          <w:rFonts w:hint="eastAsia" w:ascii="宋体" w:hAnsi="宋体" w:eastAsia="宋体" w:cs="宋体"/>
          <w:sz w:val="24"/>
        </w:rPr>
        <w:t>素材与排期：应支持配置运营素材与文案、生效时间范围、展示频次与循环周期，到期自动下线，避免对用户造成长期干扰。</w:t>
      </w:r>
    </w:p>
    <w:p w14:paraId="4025CAA0">
      <w:pPr>
        <w:spacing w:line="360" w:lineRule="auto"/>
        <w:ind w:firstLine="480" w:firstLineChars="200"/>
        <w:rPr>
          <w:rFonts w:ascii="宋体" w:hAnsi="宋体" w:eastAsia="宋体" w:cs="宋体"/>
          <w:sz w:val="24"/>
        </w:rPr>
      </w:pPr>
      <w:r>
        <w:rPr>
          <w:rFonts w:hint="eastAsia" w:ascii="宋体" w:hAnsi="宋体" w:eastAsia="宋体" w:cs="宋体"/>
          <w:sz w:val="24"/>
        </w:rPr>
        <w:t>搜索数据配置：应支持配置搜索的数据范围与字段，内容上下架后搜索数据须同步更新，确保前端可检索到有效内容且结果准确。</w:t>
      </w:r>
    </w:p>
    <w:p w14:paraId="35547F0D">
      <w:pPr>
        <w:pStyle w:val="3"/>
        <w:spacing w:before="120" w:after="120" w:line="360" w:lineRule="auto"/>
        <w:ind w:left="573" w:hanging="573"/>
        <w:rPr>
          <w:rFonts w:ascii="黑体" w:hAnsi="黑体" w:cs="黑体"/>
          <w:sz w:val="28"/>
          <w:szCs w:val="28"/>
        </w:rPr>
      </w:pPr>
      <w:bookmarkStart w:id="341" w:name="_Toc6"/>
      <w:bookmarkStart w:id="342" w:name="_Toc1432"/>
      <w:bookmarkStart w:id="343" w:name="_Toc14384"/>
      <w:bookmarkStart w:id="344" w:name="_Toc16552"/>
      <w:bookmarkStart w:id="345" w:name="_Toc756"/>
      <w:bookmarkStart w:id="346" w:name="_Toc17880"/>
      <w:bookmarkStart w:id="347" w:name="_Toc11223"/>
      <w:bookmarkStart w:id="348" w:name="_Toc244679215"/>
      <w:r>
        <w:rPr>
          <w:rFonts w:hint="eastAsia" w:ascii="黑体" w:hAnsi="黑体" w:cs="黑体"/>
          <w:sz w:val="28"/>
          <w:szCs w:val="28"/>
        </w:rPr>
        <w:t>权限与日志</w:t>
      </w:r>
      <w:bookmarkEnd w:id="341"/>
      <w:bookmarkEnd w:id="342"/>
      <w:bookmarkEnd w:id="343"/>
      <w:bookmarkEnd w:id="344"/>
      <w:bookmarkEnd w:id="345"/>
      <w:bookmarkEnd w:id="346"/>
      <w:bookmarkEnd w:id="347"/>
      <w:bookmarkEnd w:id="348"/>
    </w:p>
    <w:p w14:paraId="570821C9">
      <w:pPr>
        <w:spacing w:line="360" w:lineRule="auto"/>
        <w:ind w:firstLine="480" w:firstLineChars="200"/>
        <w:rPr>
          <w:rFonts w:ascii="宋体" w:hAnsi="宋体" w:eastAsia="宋体" w:cs="宋体"/>
          <w:sz w:val="24"/>
        </w:rPr>
      </w:pPr>
      <w:r>
        <w:rPr>
          <w:rFonts w:hint="eastAsia" w:ascii="宋体" w:hAnsi="宋体" w:eastAsia="宋体" w:cs="宋体"/>
          <w:sz w:val="24"/>
        </w:rPr>
        <w:t>编排类操作直接影响线上呈现，须通过权限隔离与操作留痕，保障运营操作的安全性、可控性与可追溯性，满足内控审计要求。</w:t>
      </w:r>
    </w:p>
    <w:p w14:paraId="3AE3E4A2">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555182FB">
      <w:pPr>
        <w:spacing w:line="360" w:lineRule="auto"/>
        <w:ind w:firstLine="480" w:firstLineChars="200"/>
        <w:rPr>
          <w:rFonts w:ascii="宋体" w:hAnsi="宋体" w:eastAsia="宋体" w:cs="宋体"/>
          <w:sz w:val="24"/>
        </w:rPr>
      </w:pPr>
      <w:r>
        <w:rPr>
          <w:rFonts w:hint="eastAsia" w:ascii="宋体" w:hAnsi="宋体" w:eastAsia="宋体" w:cs="宋体"/>
          <w:sz w:val="24"/>
        </w:rPr>
        <w:t>账号与权限：应基于角色的访问控制模型，支持菜单级、功能级、数据范围级的多级权限控制，实现用户、角色、权限的精细化管理；编排、审核、发布等权限应可分离配置，避免单人完成全部链路操作。</w:t>
      </w:r>
    </w:p>
    <w:p w14:paraId="08AEA2DA">
      <w:pPr>
        <w:spacing w:line="360" w:lineRule="auto"/>
        <w:ind w:firstLine="480" w:firstLineChars="200"/>
        <w:rPr>
          <w:rFonts w:ascii="宋体" w:hAnsi="宋体" w:eastAsia="宋体" w:cs="宋体"/>
          <w:sz w:val="24"/>
        </w:rPr>
      </w:pPr>
      <w:r>
        <w:rPr>
          <w:rFonts w:hint="eastAsia" w:ascii="宋体" w:hAnsi="宋体" w:eastAsia="宋体" w:cs="宋体"/>
          <w:sz w:val="24"/>
        </w:rPr>
        <w:t>用户管理：应支持用户全生命周期管理，包括用户账号列表展示、新增编辑删除、角色分配、启用禁用等完整功能；支持角色模板与权限继承机制。</w:t>
      </w:r>
    </w:p>
    <w:p w14:paraId="163FF450">
      <w:pPr>
        <w:spacing w:line="360" w:lineRule="auto"/>
        <w:ind w:firstLine="480" w:firstLineChars="200"/>
        <w:rPr>
          <w:rFonts w:ascii="宋体" w:hAnsi="宋体" w:eastAsia="宋体" w:cs="宋体"/>
          <w:sz w:val="24"/>
        </w:rPr>
      </w:pPr>
      <w:r>
        <w:rPr>
          <w:rFonts w:hint="eastAsia" w:ascii="宋体" w:hAnsi="宋体" w:eastAsia="宋体" w:cs="宋体"/>
          <w:sz w:val="24"/>
        </w:rPr>
        <w:t>操作日志：应完整记录编排、发布、上下线等关键操作，包含操作人、操作时间、操作对象与变更前后内容，支持按条件查询与导出，满足审计与追溯要求。</w:t>
      </w:r>
    </w:p>
    <w:p w14:paraId="5B2E0B55">
      <w:pPr>
        <w:spacing w:line="360" w:lineRule="auto"/>
        <w:ind w:firstLine="480" w:firstLineChars="200"/>
        <w:rPr>
          <w:rFonts w:ascii="宋体" w:hAnsi="宋体" w:eastAsia="宋体" w:cs="宋体"/>
          <w:sz w:val="24"/>
        </w:rPr>
      </w:pPr>
      <w:r>
        <w:rPr>
          <w:rFonts w:hint="eastAsia" w:ascii="宋体" w:hAnsi="宋体" w:eastAsia="宋体" w:cs="宋体"/>
          <w:sz w:val="24"/>
        </w:rPr>
        <w:t>发布审核：应支持编排结果的审核流程，审核通过后方可发布上线；审核流程与审核角色应可配置。</w:t>
      </w:r>
    </w:p>
    <w:p w14:paraId="33D9CB2A">
      <w:pPr>
        <w:pStyle w:val="3"/>
        <w:spacing w:before="120" w:after="120" w:line="360" w:lineRule="auto"/>
        <w:ind w:left="573" w:hanging="573"/>
        <w:rPr>
          <w:rFonts w:ascii="黑体" w:hAnsi="黑体" w:cs="黑体"/>
          <w:sz w:val="28"/>
          <w:szCs w:val="28"/>
        </w:rPr>
      </w:pPr>
      <w:bookmarkStart w:id="349" w:name="s4-9"/>
      <w:bookmarkEnd w:id="349"/>
      <w:bookmarkStart w:id="350" w:name="_Toc18549"/>
      <w:bookmarkStart w:id="351" w:name="_Toc244679216"/>
      <w:bookmarkStart w:id="352" w:name="_Toc_s4_9"/>
      <w:bookmarkStart w:id="353" w:name="_Toc28963"/>
      <w:bookmarkStart w:id="354" w:name="_Toc23361"/>
      <w:bookmarkStart w:id="355" w:name="_Toc17866"/>
      <w:bookmarkStart w:id="356" w:name="_Toc22264"/>
      <w:bookmarkStart w:id="357" w:name="_Toc24470"/>
      <w:bookmarkStart w:id="358" w:name="_Toc7840"/>
      <w:r>
        <w:rPr>
          <w:rFonts w:hint="eastAsia" w:ascii="黑体" w:hAnsi="黑体" w:cs="黑体"/>
          <w:sz w:val="28"/>
          <w:szCs w:val="28"/>
        </w:rPr>
        <w:t>数据同步服务</w:t>
      </w:r>
      <w:bookmarkEnd w:id="350"/>
      <w:bookmarkEnd w:id="351"/>
      <w:bookmarkEnd w:id="352"/>
      <w:bookmarkEnd w:id="353"/>
      <w:bookmarkEnd w:id="354"/>
      <w:bookmarkEnd w:id="355"/>
      <w:bookmarkEnd w:id="356"/>
      <w:bookmarkEnd w:id="357"/>
      <w:bookmarkEnd w:id="358"/>
    </w:p>
    <w:p w14:paraId="456CBF17">
      <w:pPr>
        <w:spacing w:line="360" w:lineRule="auto"/>
        <w:ind w:firstLine="480" w:firstLineChars="200"/>
        <w:rPr>
          <w:rFonts w:ascii="宋体" w:hAnsi="宋体" w:eastAsia="宋体" w:cs="宋体"/>
          <w:sz w:val="24"/>
        </w:rPr>
      </w:pPr>
      <w:r>
        <w:rPr>
          <w:rFonts w:hint="eastAsia" w:ascii="宋体" w:hAnsi="宋体" w:eastAsia="宋体" w:cs="宋体"/>
          <w:sz w:val="24"/>
        </w:rPr>
        <w:t>数据同步服务负责从上游版权方接收并分发更新的内容与数据，保障平台内外部数据的一致性与及时性。</w:t>
      </w:r>
    </w:p>
    <w:p w14:paraId="105982AF">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6A55F951">
      <w:pPr>
        <w:spacing w:line="360" w:lineRule="auto"/>
        <w:ind w:firstLine="480" w:firstLineChars="200"/>
        <w:rPr>
          <w:rFonts w:ascii="宋体" w:hAnsi="宋体" w:eastAsia="宋体" w:cs="宋体"/>
          <w:sz w:val="24"/>
        </w:rPr>
      </w:pPr>
      <w:r>
        <w:rPr>
          <w:rFonts w:hint="eastAsia" w:ascii="宋体" w:hAnsi="宋体" w:eastAsia="宋体" w:cs="宋体"/>
          <w:sz w:val="24"/>
        </w:rPr>
        <w:t>同步范围：应提供产品包数据同步（产品包及关联关系）、内容信息同步（内容、栏目、直播、节目单等）、赛事数据同步（赛事、赛季、比赛信息）等同步能力，将上游数据分发至本平台。</w:t>
      </w:r>
    </w:p>
    <w:p w14:paraId="4FDEF746">
      <w:pPr>
        <w:spacing w:line="360" w:lineRule="auto"/>
        <w:ind w:firstLine="480" w:firstLineChars="200"/>
        <w:rPr>
          <w:rFonts w:ascii="宋体" w:hAnsi="宋体" w:eastAsia="宋体" w:cs="宋体"/>
          <w:sz w:val="24"/>
        </w:rPr>
      </w:pPr>
      <w:r>
        <w:rPr>
          <w:rFonts w:hint="eastAsia" w:ascii="宋体" w:hAnsi="宋体" w:eastAsia="宋体" w:cs="宋体"/>
          <w:sz w:val="24"/>
        </w:rPr>
        <w:t>实时消息协同：应支持比赛比分与状态的实时消息同步，保障前端展示与比赛进程同步。</w:t>
      </w:r>
    </w:p>
    <w:p w14:paraId="211842A2">
      <w:pPr>
        <w:spacing w:line="360" w:lineRule="auto"/>
        <w:ind w:firstLine="480" w:firstLineChars="200"/>
        <w:rPr>
          <w:rFonts w:ascii="宋体" w:hAnsi="宋体" w:eastAsia="宋体" w:cs="宋体"/>
          <w:sz w:val="24"/>
        </w:rPr>
      </w:pPr>
      <w:r>
        <w:rPr>
          <w:rFonts w:hint="eastAsia" w:ascii="宋体" w:hAnsi="宋体" w:eastAsia="宋体" w:cs="宋体"/>
          <w:sz w:val="24"/>
        </w:rPr>
        <w:t>同步可靠性：同步通道应具备失败重试与告警能力，数据接收服务应支持冗余部署，防止数据丢失与服务阻塞。</w:t>
      </w:r>
    </w:p>
    <w:p w14:paraId="6FF61176">
      <w:pPr>
        <w:spacing w:line="360" w:lineRule="auto"/>
        <w:ind w:firstLine="480" w:firstLineChars="200"/>
        <w:rPr>
          <w:rFonts w:ascii="宋体" w:hAnsi="宋体" w:eastAsia="宋体" w:cs="宋体"/>
          <w:sz w:val="24"/>
        </w:rPr>
      </w:pPr>
      <w:r>
        <w:rPr>
          <w:rFonts w:hint="eastAsia" w:ascii="宋体" w:hAnsi="宋体" w:eastAsia="宋体" w:cs="宋体"/>
          <w:sz w:val="24"/>
        </w:rPr>
        <w:t>强制下线：应支持在平台侧对内容执行强制下线，保障播控处置时效。</w:t>
      </w:r>
    </w:p>
    <w:p w14:paraId="782F708A">
      <w:pPr>
        <w:pStyle w:val="3"/>
        <w:spacing w:before="120" w:after="120" w:line="360" w:lineRule="auto"/>
        <w:ind w:left="573" w:hanging="573"/>
        <w:rPr>
          <w:rFonts w:ascii="黑体" w:hAnsi="黑体" w:cs="黑体"/>
          <w:sz w:val="28"/>
          <w:szCs w:val="28"/>
        </w:rPr>
      </w:pPr>
      <w:bookmarkStart w:id="359" w:name="s4-10"/>
      <w:bookmarkEnd w:id="359"/>
      <w:bookmarkStart w:id="360" w:name="_Toc31935"/>
      <w:bookmarkStart w:id="361" w:name="_Toc244679217"/>
      <w:bookmarkStart w:id="362" w:name="_Toc1743"/>
      <w:bookmarkStart w:id="363" w:name="_Toc23616"/>
      <w:bookmarkStart w:id="364" w:name="_Toc13534"/>
      <w:bookmarkStart w:id="365" w:name="_Toc1281"/>
      <w:bookmarkStart w:id="366" w:name="_Toc13604"/>
      <w:bookmarkStart w:id="367" w:name="_Toc_s4_10"/>
      <w:bookmarkStart w:id="368" w:name="_Toc3728"/>
      <w:r>
        <w:rPr>
          <w:rFonts w:hint="eastAsia" w:ascii="黑体" w:hAnsi="黑体" w:cs="黑体"/>
          <w:sz w:val="28"/>
          <w:szCs w:val="28"/>
        </w:rPr>
        <w:t>与前端的联动要求</w:t>
      </w:r>
      <w:bookmarkEnd w:id="360"/>
      <w:bookmarkEnd w:id="361"/>
      <w:bookmarkEnd w:id="362"/>
      <w:bookmarkEnd w:id="363"/>
      <w:bookmarkEnd w:id="364"/>
      <w:bookmarkEnd w:id="365"/>
      <w:bookmarkEnd w:id="366"/>
      <w:bookmarkEnd w:id="367"/>
      <w:bookmarkEnd w:id="368"/>
    </w:p>
    <w:p w14:paraId="49832A34">
      <w:pPr>
        <w:spacing w:line="360" w:lineRule="auto"/>
        <w:ind w:firstLine="480" w:firstLineChars="200"/>
        <w:rPr>
          <w:rFonts w:ascii="宋体" w:hAnsi="宋体" w:eastAsia="宋体" w:cs="宋体"/>
          <w:sz w:val="24"/>
        </w:rPr>
      </w:pPr>
      <w:r>
        <w:rPr>
          <w:rFonts w:hint="eastAsia" w:ascii="宋体" w:hAnsi="宋体" w:eastAsia="宋体" w:cs="宋体"/>
          <w:sz w:val="24"/>
        </w:rPr>
        <w:t>后台编排结果最终服务于前端呈现，须明确前后端的生效机制与异常降级策略，确保前端在任何情况下均具备可用的展示能力。</w:t>
      </w:r>
    </w:p>
    <w:p w14:paraId="6CE7A363">
      <w:pPr>
        <w:spacing w:line="360" w:lineRule="auto"/>
        <w:ind w:firstLine="480" w:firstLineChars="200"/>
        <w:rPr>
          <w:rFonts w:ascii="宋体" w:hAnsi="宋体" w:eastAsia="宋体" w:cs="宋体"/>
          <w:sz w:val="24"/>
        </w:rPr>
      </w:pPr>
      <w:r>
        <w:rPr>
          <w:rFonts w:hint="eastAsia" w:ascii="宋体" w:hAnsi="宋体" w:eastAsia="宋体" w:cs="宋体"/>
          <w:sz w:val="24"/>
        </w:rPr>
        <w:t>【产品能力要求】</w:t>
      </w:r>
    </w:p>
    <w:p w14:paraId="2169C80E">
      <w:pPr>
        <w:spacing w:line="360" w:lineRule="auto"/>
        <w:ind w:firstLine="480" w:firstLineChars="200"/>
        <w:rPr>
          <w:rFonts w:ascii="宋体" w:hAnsi="宋体" w:eastAsia="宋体" w:cs="宋体"/>
          <w:sz w:val="24"/>
        </w:rPr>
      </w:pPr>
      <w:r>
        <w:rPr>
          <w:rFonts w:hint="eastAsia" w:ascii="宋体" w:hAnsi="宋体" w:eastAsia="宋体" w:cs="宋体"/>
          <w:sz w:val="24"/>
        </w:rPr>
        <w:t>实时生效：后台编排发布后，前端应按配置策略实时或定时获取最新编排结果并生效，全过程无须前端发版。</w:t>
      </w:r>
    </w:p>
    <w:p w14:paraId="23817885">
      <w:pPr>
        <w:spacing w:line="360" w:lineRule="auto"/>
        <w:ind w:firstLine="480" w:firstLineChars="200"/>
        <w:rPr>
          <w:rFonts w:ascii="宋体" w:hAnsi="宋体" w:eastAsia="宋体" w:cs="宋体"/>
          <w:sz w:val="24"/>
        </w:rPr>
      </w:pPr>
      <w:r>
        <w:rPr>
          <w:rFonts w:hint="eastAsia" w:ascii="宋体" w:hAnsi="宋体" w:eastAsia="宋体" w:cs="宋体"/>
          <w:sz w:val="24"/>
        </w:rPr>
        <w:t>缓存与降级：后台服务不可用或网络异常时，前端应能使用本地缓存的编排数据正常展示，不得出现白屏、空白版位或不可用页面。</w:t>
      </w:r>
    </w:p>
    <w:p w14:paraId="53C41A18">
      <w:pPr>
        <w:spacing w:line="360" w:lineRule="auto"/>
        <w:ind w:firstLine="480" w:firstLineChars="200"/>
        <w:rPr>
          <w:rFonts w:ascii="宋体" w:hAnsi="宋体" w:eastAsia="宋体" w:cs="宋体"/>
          <w:sz w:val="24"/>
        </w:rPr>
      </w:pPr>
      <w:r>
        <w:rPr>
          <w:rFonts w:hint="eastAsia" w:ascii="宋体" w:hAnsi="宋体" w:eastAsia="宋体" w:cs="宋体"/>
          <w:sz w:val="24"/>
        </w:rPr>
        <w:t>一致性校验：后台应提供前后端数据一致性核对能力，支持按页面、按推荐位核查展示数据与配置数据的差异。</w:t>
      </w:r>
    </w:p>
    <w:p w14:paraId="2D210C82">
      <w:pPr>
        <w:pStyle w:val="3"/>
        <w:spacing w:before="120" w:after="120" w:line="360" w:lineRule="auto"/>
        <w:ind w:left="573" w:hanging="573"/>
        <w:rPr>
          <w:rFonts w:ascii="黑体" w:hAnsi="黑体" w:cs="黑体"/>
          <w:sz w:val="28"/>
          <w:szCs w:val="28"/>
        </w:rPr>
      </w:pPr>
      <w:bookmarkStart w:id="369" w:name="_Toc244679218"/>
      <w:r>
        <w:rPr>
          <w:rFonts w:hint="eastAsia" w:ascii="黑体" w:hAnsi="黑体" w:cs="黑体"/>
          <w:sz w:val="28"/>
          <w:szCs w:val="28"/>
        </w:rPr>
        <w:t>运营效果数据服务</w:t>
      </w:r>
      <w:bookmarkEnd w:id="369"/>
    </w:p>
    <w:p w14:paraId="7DABB52D">
      <w:pPr>
        <w:spacing w:line="360" w:lineRule="auto"/>
        <w:ind w:firstLine="420"/>
        <w:rPr>
          <w:rFonts w:ascii="宋体" w:hAnsi="宋体" w:eastAsia="宋体" w:cs="宋体"/>
          <w:sz w:val="24"/>
        </w:rPr>
      </w:pPr>
      <w:r>
        <w:rPr>
          <w:rFonts w:hint="eastAsia" w:ascii="宋体" w:hAnsi="宋体" w:eastAsia="宋体" w:cs="宋体"/>
          <w:sz w:val="24"/>
        </w:rPr>
        <w:t>需建立标准化的体育运营数据监控体系，以离线方式提供监控核心数据指标分析结果，包括但不限于：体育频道DAU/MAU、人均观看时长、热门内容点击榜、互动行为数据等（以实际需求为准）。</w:t>
      </w:r>
    </w:p>
    <w:p w14:paraId="6982E02A">
      <w:pPr>
        <w:spacing w:line="360" w:lineRule="auto"/>
        <w:rPr>
          <w:rFonts w:ascii="宋体" w:hAnsi="宋体" w:eastAsia="宋体" w:cs="宋体"/>
          <w:sz w:val="24"/>
        </w:rPr>
      </w:pPr>
    </w:p>
    <w:p w14:paraId="1D214C7C">
      <w:pPr>
        <w:pStyle w:val="2"/>
        <w:spacing w:before="320" w:after="320" w:line="360" w:lineRule="auto"/>
        <w:ind w:left="0" w:firstLine="0"/>
        <w:rPr>
          <w:rFonts w:ascii="黑体" w:hAnsi="黑体" w:eastAsia="黑体" w:cs="黑体"/>
        </w:rPr>
      </w:pPr>
      <w:bookmarkStart w:id="370" w:name="_Toc9954"/>
      <w:bookmarkStart w:id="371" w:name="_Toc244679219"/>
      <w:r>
        <w:rPr>
          <w:rFonts w:hint="eastAsia" w:ascii="黑体" w:hAnsi="黑体" w:eastAsia="黑体" w:cs="黑体"/>
        </w:rPr>
        <w:t>产品可靠性与安全性要求</w:t>
      </w:r>
      <w:bookmarkEnd w:id="370"/>
      <w:bookmarkEnd w:id="371"/>
    </w:p>
    <w:p w14:paraId="2FACE1B4">
      <w:pPr>
        <w:pStyle w:val="3"/>
        <w:spacing w:before="120" w:after="120" w:line="360" w:lineRule="auto"/>
        <w:ind w:left="573" w:hanging="573"/>
        <w:rPr>
          <w:rFonts w:ascii="黑体" w:hAnsi="黑体" w:cs="黑体"/>
          <w:sz w:val="28"/>
          <w:szCs w:val="28"/>
        </w:rPr>
      </w:pPr>
      <w:bookmarkStart w:id="372" w:name="s6-1"/>
      <w:bookmarkEnd w:id="372"/>
      <w:bookmarkStart w:id="373" w:name="_Toc17453"/>
      <w:bookmarkStart w:id="374" w:name="_Toc11962"/>
      <w:bookmarkStart w:id="375" w:name="_Toc27702"/>
      <w:bookmarkStart w:id="376" w:name="_Toc_s6_1"/>
      <w:bookmarkStart w:id="377" w:name="_Toc4854"/>
      <w:bookmarkStart w:id="378" w:name="_Toc31010"/>
      <w:bookmarkStart w:id="379" w:name="_Toc31312"/>
      <w:bookmarkStart w:id="380" w:name="_Toc27250"/>
      <w:bookmarkStart w:id="381" w:name="_Toc244679220"/>
      <w:r>
        <w:rPr>
          <w:rFonts w:hint="eastAsia" w:ascii="黑体" w:hAnsi="黑体" w:cs="黑体"/>
          <w:sz w:val="28"/>
          <w:szCs w:val="28"/>
        </w:rPr>
        <w:t>兼容性要求</w:t>
      </w:r>
      <w:bookmarkEnd w:id="373"/>
      <w:bookmarkEnd w:id="374"/>
      <w:bookmarkEnd w:id="375"/>
      <w:bookmarkEnd w:id="376"/>
      <w:bookmarkEnd w:id="377"/>
      <w:bookmarkEnd w:id="378"/>
      <w:bookmarkEnd w:id="379"/>
      <w:bookmarkEnd w:id="380"/>
      <w:bookmarkEnd w:id="381"/>
    </w:p>
    <w:p w14:paraId="43D62B7C">
      <w:pPr>
        <w:numPr>
          <w:ilvl w:val="0"/>
          <w:numId w:val="5"/>
        </w:numPr>
        <w:spacing w:line="360" w:lineRule="auto"/>
        <w:rPr>
          <w:rFonts w:ascii="宋体" w:hAnsi="宋体" w:eastAsia="宋体" w:cs="宋体"/>
          <w:sz w:val="24"/>
        </w:rPr>
      </w:pPr>
      <w:r>
        <w:rPr>
          <w:rFonts w:hint="eastAsia" w:ascii="宋体" w:hAnsi="宋体" w:eastAsia="宋体" w:cs="宋体"/>
          <w:sz w:val="24"/>
        </w:rPr>
        <w:t>终端兼容：本产品应适配采购人指定范围的大屏终端（IPTV机顶盒），在主流芯片与主流操作环境下正常运行，不得出现页面元素错位、焦点异常或播放失败。</w:t>
      </w:r>
    </w:p>
    <w:p w14:paraId="114ECEA1">
      <w:pPr>
        <w:numPr>
          <w:ilvl w:val="0"/>
          <w:numId w:val="5"/>
        </w:numPr>
        <w:spacing w:line="360" w:lineRule="auto"/>
        <w:rPr>
          <w:rFonts w:ascii="宋体" w:hAnsi="宋体" w:eastAsia="宋体" w:cs="宋体"/>
          <w:sz w:val="24"/>
        </w:rPr>
      </w:pPr>
      <w:r>
        <w:rPr>
          <w:rFonts w:hint="eastAsia" w:ascii="宋体" w:hAnsi="宋体" w:eastAsia="宋体" w:cs="宋体"/>
          <w:sz w:val="24"/>
        </w:rPr>
        <w:t>分辨率适配：应支持主流高清及超高清分辨率下的最佳呈现，具体分辨率规格以采购人指定终端为准；不同分辨率下版式不得错乱，页面元素应自适应缩放。</w:t>
      </w:r>
    </w:p>
    <w:p w14:paraId="05241D22">
      <w:pPr>
        <w:numPr>
          <w:ilvl w:val="0"/>
          <w:numId w:val="5"/>
        </w:numPr>
        <w:spacing w:line="360" w:lineRule="auto"/>
        <w:rPr>
          <w:rFonts w:ascii="宋体" w:hAnsi="宋体" w:eastAsia="宋体" w:cs="宋体"/>
          <w:sz w:val="24"/>
        </w:rPr>
      </w:pPr>
      <w:r>
        <w:rPr>
          <w:rFonts w:hint="eastAsia" w:ascii="宋体" w:hAnsi="宋体" w:eastAsia="宋体" w:cs="宋体"/>
          <w:sz w:val="24"/>
        </w:rPr>
        <w:t>交互兼容：全部功能须适配遥控器按键操作，不同终端遥控器的键值差异应做兼容映射。</w:t>
      </w:r>
    </w:p>
    <w:p w14:paraId="734E44E7">
      <w:pPr>
        <w:numPr>
          <w:ilvl w:val="0"/>
          <w:numId w:val="5"/>
        </w:numPr>
        <w:spacing w:line="360" w:lineRule="auto"/>
        <w:rPr>
          <w:rFonts w:ascii="宋体" w:hAnsi="宋体" w:eastAsia="宋体" w:cs="宋体"/>
          <w:sz w:val="24"/>
        </w:rPr>
      </w:pPr>
      <w:r>
        <w:rPr>
          <w:rFonts w:hint="eastAsia" w:ascii="宋体" w:hAnsi="宋体" w:eastAsia="宋体" w:cs="宋体"/>
          <w:sz w:val="24"/>
        </w:rPr>
        <w:t>内容格式：应支持主流音视频编码格式与传输协议的播放要求，具体格式范围以采购人内容库现状为准。</w:t>
      </w:r>
    </w:p>
    <w:p w14:paraId="7B2A4131">
      <w:pPr>
        <w:pStyle w:val="3"/>
        <w:spacing w:before="120" w:after="120" w:line="360" w:lineRule="auto"/>
        <w:ind w:left="573" w:hanging="573"/>
        <w:rPr>
          <w:rFonts w:ascii="黑体" w:hAnsi="黑体" w:cs="黑体"/>
          <w:sz w:val="28"/>
          <w:szCs w:val="28"/>
        </w:rPr>
      </w:pPr>
      <w:bookmarkStart w:id="382" w:name="s6-2"/>
      <w:bookmarkEnd w:id="382"/>
      <w:bookmarkStart w:id="383" w:name="_Toc717"/>
      <w:bookmarkStart w:id="384" w:name="_Toc17119"/>
      <w:bookmarkStart w:id="385" w:name="_Toc21502"/>
      <w:bookmarkStart w:id="386" w:name="_Toc13984"/>
      <w:bookmarkStart w:id="387" w:name="_Toc25218"/>
      <w:bookmarkStart w:id="388" w:name="_Toc_s6_2"/>
      <w:bookmarkStart w:id="389" w:name="_Toc12197"/>
      <w:bookmarkStart w:id="390" w:name="_Toc18115"/>
      <w:bookmarkStart w:id="391" w:name="_Toc244679221"/>
      <w:r>
        <w:rPr>
          <w:rFonts w:hint="eastAsia" w:ascii="黑体" w:hAnsi="黑体" w:cs="黑体"/>
          <w:sz w:val="28"/>
          <w:szCs w:val="28"/>
        </w:rPr>
        <w:t>可靠性要求</w:t>
      </w:r>
      <w:bookmarkEnd w:id="383"/>
      <w:bookmarkEnd w:id="384"/>
      <w:bookmarkEnd w:id="385"/>
      <w:bookmarkEnd w:id="386"/>
      <w:bookmarkEnd w:id="387"/>
      <w:bookmarkEnd w:id="388"/>
      <w:bookmarkEnd w:id="389"/>
      <w:bookmarkEnd w:id="390"/>
      <w:bookmarkEnd w:id="391"/>
    </w:p>
    <w:p w14:paraId="69BCF1A3">
      <w:pPr>
        <w:numPr>
          <w:ilvl w:val="0"/>
          <w:numId w:val="6"/>
        </w:numPr>
        <w:spacing w:line="360" w:lineRule="auto"/>
        <w:rPr>
          <w:rFonts w:ascii="宋体" w:hAnsi="宋体" w:eastAsia="宋体" w:cs="宋体"/>
          <w:sz w:val="24"/>
        </w:rPr>
      </w:pPr>
      <w:r>
        <w:rPr>
          <w:rFonts w:hint="eastAsia" w:ascii="宋体" w:hAnsi="宋体" w:eastAsia="宋体" w:cs="宋体"/>
          <w:sz w:val="24"/>
        </w:rPr>
        <w:t>架构高可用：系统应具有健壮的体系架构，采用冗余配置消除单一故障点，关键设备应采用负荷分担、分布式多处理机结构，主要模块冗余度至少为N+1，接口、中间件、后台任一单节点故障不影响业务处理；故障切换应达到分钟级且无须人工干预，保证业务7×24小时不中断。</w:t>
      </w:r>
    </w:p>
    <w:p w14:paraId="272D0F1D">
      <w:pPr>
        <w:numPr>
          <w:ilvl w:val="0"/>
          <w:numId w:val="6"/>
        </w:numPr>
        <w:spacing w:line="360" w:lineRule="auto"/>
        <w:rPr>
          <w:rFonts w:ascii="宋体" w:hAnsi="宋体" w:eastAsia="宋体" w:cs="宋体"/>
          <w:sz w:val="24"/>
        </w:rPr>
      </w:pPr>
      <w:r>
        <w:rPr>
          <w:rFonts w:hint="eastAsia" w:ascii="宋体" w:hAnsi="宋体" w:eastAsia="宋体" w:cs="宋体"/>
          <w:sz w:val="24"/>
        </w:rPr>
        <w:t>连续运行：平台应支持7×24小时不间断运行，网络、主机、存储备份设备、系统软件、应用软件等应具备极高的可靠性；系统应满足在高负载状态下稳定运行至少8小时；系统利用率峰值原则上应低于70%。</w:t>
      </w:r>
    </w:p>
    <w:p w14:paraId="6294DE69">
      <w:pPr>
        <w:numPr>
          <w:ilvl w:val="0"/>
          <w:numId w:val="6"/>
        </w:numPr>
        <w:spacing w:line="360" w:lineRule="auto"/>
        <w:rPr>
          <w:rFonts w:ascii="宋体" w:hAnsi="宋体" w:eastAsia="宋体" w:cs="宋体"/>
          <w:sz w:val="24"/>
        </w:rPr>
      </w:pPr>
      <w:r>
        <w:rPr>
          <w:rFonts w:hint="eastAsia" w:ascii="宋体" w:hAnsi="宋体" w:eastAsia="宋体" w:cs="宋体"/>
          <w:sz w:val="24"/>
        </w:rPr>
        <w:t>数据备份与恢复：系统数据和业务数据应支持联机备份与联机恢复，恢复的数据必须保持其完整性和一致性；应防止非系统级的数据丢失或出错，并对系统级的数据丢失和出错提供恢复与容错机制。</w:t>
      </w:r>
    </w:p>
    <w:p w14:paraId="6B052397">
      <w:pPr>
        <w:numPr>
          <w:ilvl w:val="0"/>
          <w:numId w:val="6"/>
        </w:numPr>
        <w:spacing w:line="360" w:lineRule="auto"/>
        <w:rPr>
          <w:rFonts w:ascii="宋体" w:hAnsi="宋体" w:eastAsia="宋体" w:cs="宋体"/>
          <w:sz w:val="24"/>
        </w:rPr>
      </w:pPr>
      <w:r>
        <w:rPr>
          <w:rFonts w:hint="eastAsia" w:ascii="宋体" w:hAnsi="宋体" w:eastAsia="宋体" w:cs="宋体"/>
          <w:sz w:val="24"/>
        </w:rPr>
        <w:t>故障告警：应用系统出现故障应能及时告警，应具备自动或手动恢复措施，发生错误时能够快速恢复正常运行；关键运行指标应按优先级实时上报网管监控系统。</w:t>
      </w:r>
    </w:p>
    <w:p w14:paraId="4B220B46">
      <w:pPr>
        <w:pStyle w:val="3"/>
        <w:spacing w:before="120" w:after="120" w:line="360" w:lineRule="auto"/>
        <w:ind w:left="573" w:hanging="573"/>
        <w:rPr>
          <w:rFonts w:ascii="黑体" w:hAnsi="黑体" w:cs="黑体"/>
          <w:sz w:val="28"/>
          <w:szCs w:val="28"/>
        </w:rPr>
      </w:pPr>
      <w:bookmarkStart w:id="392" w:name="s6-3"/>
      <w:bookmarkEnd w:id="392"/>
      <w:bookmarkStart w:id="393" w:name="_Toc26990"/>
      <w:bookmarkStart w:id="394" w:name="_Toc16396"/>
      <w:bookmarkStart w:id="395" w:name="_Toc9713"/>
      <w:bookmarkStart w:id="396" w:name="_Toc_s6_3"/>
      <w:bookmarkStart w:id="397" w:name="_Toc244679222"/>
      <w:bookmarkStart w:id="398" w:name="_Toc7331"/>
      <w:bookmarkStart w:id="399" w:name="_Toc9090"/>
      <w:bookmarkStart w:id="400" w:name="_Toc19285"/>
      <w:r>
        <w:rPr>
          <w:rFonts w:hint="eastAsia" w:ascii="黑体" w:hAnsi="黑体" w:cs="黑体"/>
          <w:sz w:val="28"/>
          <w:szCs w:val="28"/>
        </w:rPr>
        <w:t>安全性要求</w:t>
      </w:r>
      <w:bookmarkEnd w:id="393"/>
      <w:bookmarkEnd w:id="394"/>
      <w:bookmarkEnd w:id="395"/>
      <w:bookmarkEnd w:id="396"/>
      <w:bookmarkEnd w:id="397"/>
      <w:bookmarkEnd w:id="398"/>
      <w:bookmarkEnd w:id="399"/>
      <w:bookmarkEnd w:id="400"/>
    </w:p>
    <w:p w14:paraId="3C772B58">
      <w:pPr>
        <w:numPr>
          <w:ilvl w:val="0"/>
          <w:numId w:val="7"/>
        </w:numPr>
        <w:spacing w:line="360" w:lineRule="auto"/>
        <w:rPr>
          <w:rFonts w:ascii="宋体" w:hAnsi="宋体" w:eastAsia="宋体" w:cs="宋体"/>
          <w:sz w:val="24"/>
        </w:rPr>
      </w:pPr>
      <w:r>
        <w:rPr>
          <w:rFonts w:hint="eastAsia" w:ascii="宋体" w:hAnsi="宋体" w:eastAsia="宋体" w:cs="宋体"/>
          <w:sz w:val="24"/>
        </w:rPr>
        <w:t>网络安全：网络系统应支持访问控制、安全检测、攻击监控等安全功能，提供完整的网络监控、报警和故障处理能力；核心网络设备应保证7×24小时不间断运行并具备冗余备份。</w:t>
      </w:r>
    </w:p>
    <w:p w14:paraId="110355B6">
      <w:pPr>
        <w:numPr>
          <w:ilvl w:val="0"/>
          <w:numId w:val="7"/>
        </w:numPr>
        <w:spacing w:line="360" w:lineRule="auto"/>
        <w:rPr>
          <w:rFonts w:ascii="宋体" w:hAnsi="宋体" w:eastAsia="宋体" w:cs="宋体"/>
          <w:sz w:val="24"/>
        </w:rPr>
      </w:pPr>
      <w:r>
        <w:rPr>
          <w:rFonts w:hint="eastAsia" w:ascii="宋体" w:hAnsi="宋体" w:eastAsia="宋体" w:cs="宋体"/>
          <w:sz w:val="24"/>
        </w:rPr>
        <w:t>系统与数据安全：系统应具备访问权限的识别和控制功能，对各级管理员授予不同级别的管理权限，出现非法访问或安全性受到破坏时必须告警；任何远程登录用户的口令均必须具有有效期；操作系统与数据库应符合相应等级安全标准，支持数据存储加密与传输通道加密；系统应具备安全审计功能并提供完整的日志记录。</w:t>
      </w:r>
    </w:p>
    <w:p w14:paraId="638884A7">
      <w:pPr>
        <w:numPr>
          <w:ilvl w:val="0"/>
          <w:numId w:val="7"/>
        </w:numPr>
        <w:spacing w:line="360" w:lineRule="auto"/>
        <w:rPr>
          <w:rFonts w:ascii="宋体" w:hAnsi="宋体" w:eastAsia="宋体" w:cs="宋体"/>
          <w:sz w:val="24"/>
        </w:rPr>
      </w:pPr>
      <w:r>
        <w:rPr>
          <w:rFonts w:hint="eastAsia" w:ascii="宋体" w:hAnsi="宋体" w:eastAsia="宋体" w:cs="宋体"/>
          <w:sz w:val="24"/>
        </w:rPr>
        <w:t>应用与业务安全：应用系统的用户管理、权限管理应充分利用操作系统和数据库的安全性，运行时须有完整的日志记录；系统和外部系统之间的连接应采用认证和访问控制鉴权方案；应保证交易信息、订单信息的完整性、安全性与可靠性。</w:t>
      </w:r>
    </w:p>
    <w:p w14:paraId="6885CB80">
      <w:pPr>
        <w:numPr>
          <w:ilvl w:val="0"/>
          <w:numId w:val="7"/>
        </w:numPr>
        <w:spacing w:line="360" w:lineRule="auto"/>
        <w:rPr>
          <w:rFonts w:ascii="宋体" w:hAnsi="宋体" w:eastAsia="宋体" w:cs="宋体"/>
          <w:sz w:val="24"/>
        </w:rPr>
      </w:pPr>
      <w:r>
        <w:rPr>
          <w:rFonts w:hint="eastAsia" w:ascii="宋体" w:hAnsi="宋体" w:eastAsia="宋体" w:cs="宋体"/>
          <w:sz w:val="24"/>
        </w:rPr>
        <w:t>组件软件管控：供应商所提供的系统正常运行所需的第三方软件（操作系统、数据库、中间件等）应为正版授权软件且无高危安全漏洞，使用开源软件应符合相关知识产权要求；所提供软件应支持物理机及虚拟机两种部署环境，适配国产操作系统。</w:t>
      </w:r>
    </w:p>
    <w:p w14:paraId="2F469E60">
      <w:pPr>
        <w:pStyle w:val="3"/>
        <w:spacing w:before="120" w:after="120" w:line="360" w:lineRule="auto"/>
        <w:ind w:left="573" w:hanging="573"/>
        <w:rPr>
          <w:rFonts w:ascii="黑体" w:hAnsi="黑体" w:cs="黑体"/>
          <w:sz w:val="28"/>
          <w:szCs w:val="28"/>
        </w:rPr>
      </w:pPr>
      <w:bookmarkStart w:id="401" w:name="s6-4"/>
      <w:bookmarkEnd w:id="401"/>
      <w:bookmarkStart w:id="402" w:name="_Toc_s6_4"/>
      <w:bookmarkStart w:id="403" w:name="_Toc12438"/>
      <w:bookmarkStart w:id="404" w:name="_Toc15901"/>
      <w:bookmarkStart w:id="405" w:name="_Toc27060"/>
      <w:bookmarkStart w:id="406" w:name="_Toc21312"/>
      <w:bookmarkStart w:id="407" w:name="_Toc244679223"/>
      <w:bookmarkStart w:id="408" w:name="_Toc28954"/>
      <w:bookmarkStart w:id="409" w:name="_Toc29466"/>
      <w:bookmarkStart w:id="410" w:name="_Toc5052"/>
      <w:r>
        <w:rPr>
          <w:rFonts w:hint="eastAsia" w:ascii="黑体" w:hAnsi="黑体" w:cs="黑体"/>
          <w:sz w:val="28"/>
          <w:szCs w:val="28"/>
        </w:rPr>
        <w:t>性能与容量要求</w:t>
      </w:r>
      <w:bookmarkEnd w:id="402"/>
      <w:bookmarkEnd w:id="403"/>
      <w:bookmarkEnd w:id="404"/>
      <w:bookmarkEnd w:id="405"/>
      <w:bookmarkEnd w:id="406"/>
      <w:bookmarkEnd w:id="407"/>
      <w:bookmarkEnd w:id="408"/>
      <w:bookmarkEnd w:id="409"/>
      <w:bookmarkEnd w:id="410"/>
    </w:p>
    <w:p w14:paraId="00826AB8">
      <w:pPr>
        <w:numPr>
          <w:ilvl w:val="0"/>
          <w:numId w:val="8"/>
        </w:numPr>
        <w:spacing w:line="360" w:lineRule="auto"/>
        <w:rPr>
          <w:rFonts w:ascii="宋体" w:hAnsi="宋体" w:eastAsia="宋体" w:cs="宋体"/>
          <w:sz w:val="24"/>
        </w:rPr>
      </w:pPr>
      <w:r>
        <w:rPr>
          <w:rFonts w:hint="eastAsia" w:ascii="宋体" w:hAnsi="宋体" w:eastAsia="宋体" w:cs="宋体"/>
          <w:sz w:val="24"/>
        </w:rPr>
        <w:t>高并发支撑：平台应支撑重大赛事期间用户集中涌入的高并发访问，具备负载均衡与弹性扩容能力，可根据赛事流量峰值灵活调整资源规模；关键设备与链路应具备冗余备份。</w:t>
      </w:r>
    </w:p>
    <w:p w14:paraId="7558FB23">
      <w:pPr>
        <w:numPr>
          <w:ilvl w:val="0"/>
          <w:numId w:val="8"/>
        </w:numPr>
        <w:spacing w:line="360" w:lineRule="auto"/>
        <w:rPr>
          <w:rFonts w:ascii="宋体" w:hAnsi="宋体" w:eastAsia="宋体" w:cs="宋体"/>
          <w:sz w:val="24"/>
        </w:rPr>
      </w:pPr>
      <w:r>
        <w:rPr>
          <w:rFonts w:hint="eastAsia" w:ascii="宋体" w:hAnsi="宋体" w:eastAsia="宋体" w:cs="宋体"/>
          <w:sz w:val="24"/>
        </w:rPr>
        <w:t>响应性能：核心接口的响应时间应不超过1秒；应采用多级缓存与异步处理机制优化请求响应链路，保障体育页面快速加载与播放流畅起播。</w:t>
      </w:r>
    </w:p>
    <w:p w14:paraId="1415E7ED">
      <w:pPr>
        <w:numPr>
          <w:ilvl w:val="0"/>
          <w:numId w:val="8"/>
        </w:numPr>
        <w:spacing w:line="360" w:lineRule="auto"/>
        <w:rPr>
          <w:rFonts w:cs="Times New Roman" w:asciiTheme="minorEastAsia" w:hAnsiTheme="minorEastAsia"/>
          <w:iCs/>
          <w:sz w:val="24"/>
        </w:rPr>
      </w:pPr>
      <w:r>
        <w:rPr>
          <w:rFonts w:hint="eastAsia" w:ascii="宋体" w:hAnsi="宋体" w:eastAsia="宋体" w:cs="宋体"/>
          <w:sz w:val="24"/>
        </w:rPr>
        <w:t>容量规划：供应商应结合采购人用户规模与业务量模型提供容量测算依据与扩容方案，测算过程与配置清单应完整可追溯，经得起审计核查。</w:t>
      </w:r>
    </w:p>
    <w:p w14:paraId="6D2756F4">
      <w:pPr>
        <w:pStyle w:val="2"/>
        <w:spacing w:before="320" w:after="320" w:line="360" w:lineRule="auto"/>
        <w:ind w:left="0" w:firstLine="0"/>
        <w:rPr>
          <w:rFonts w:ascii="黑体" w:hAnsi="黑体" w:eastAsia="黑体" w:cs="黑体"/>
        </w:rPr>
      </w:pPr>
      <w:bookmarkStart w:id="411" w:name="s7-1"/>
      <w:bookmarkEnd w:id="411"/>
      <w:bookmarkStart w:id="412" w:name="s7-2"/>
      <w:bookmarkEnd w:id="412"/>
      <w:bookmarkStart w:id="413" w:name="_Toc244679224"/>
      <w:bookmarkStart w:id="414" w:name="_Toc244077834"/>
      <w:r>
        <w:rPr>
          <w:rFonts w:hint="eastAsia" w:ascii="黑体" w:hAnsi="黑体" w:eastAsia="黑体" w:cs="黑体"/>
        </w:rPr>
        <w:t>产品交付与售后服务要求</w:t>
      </w:r>
      <w:bookmarkEnd w:id="413"/>
      <w:bookmarkEnd w:id="414"/>
    </w:p>
    <w:p w14:paraId="19E843DF">
      <w:pPr>
        <w:pStyle w:val="3"/>
        <w:spacing w:before="240" w:after="120"/>
      </w:pPr>
      <w:bookmarkStart w:id="415" w:name="_Toc244679225"/>
      <w:bookmarkStart w:id="416" w:name="_Toc22518"/>
      <w:bookmarkStart w:id="417" w:name="_Toc244077835"/>
      <w:r>
        <w:rPr>
          <w:rFonts w:ascii="Times New Roman" w:hAnsi="Times New Roman" w:eastAsia="微软雅黑"/>
          <w:color w:val="222222"/>
          <w:sz w:val="28"/>
        </w:rPr>
        <w:t>实施与培训</w:t>
      </w:r>
      <w:bookmarkEnd w:id="415"/>
      <w:bookmarkEnd w:id="416"/>
    </w:p>
    <w:p w14:paraId="0BAD6AA7">
      <w:pPr>
        <w:spacing w:line="360" w:lineRule="auto"/>
        <w:ind w:firstLine="420"/>
        <w:rPr>
          <w:rFonts w:ascii="宋体" w:hAnsi="宋体" w:eastAsia="宋体" w:cs="宋体"/>
          <w:sz w:val="24"/>
        </w:rPr>
      </w:pPr>
      <w:r>
        <w:rPr>
          <w:rFonts w:hint="eastAsia" w:ascii="宋体" w:hAnsi="宋体" w:eastAsia="宋体" w:cs="宋体"/>
          <w:sz w:val="24"/>
        </w:rPr>
        <w:t>实施要求：供应商应在合同签订或清单确认后立即组织技术人员开展需求调研，并向采购人提供产品上线的实施计划，包括人员安排、实施进度等；在实施、新旧系统并行、割接、试运行等各环节期间，应根据需要安排技术人员协助指导维护工作。</w:t>
      </w:r>
    </w:p>
    <w:p w14:paraId="25C14F7B">
      <w:pPr>
        <w:spacing w:line="360" w:lineRule="auto"/>
        <w:ind w:firstLine="420"/>
        <w:rPr>
          <w:rFonts w:ascii="宋体" w:hAnsi="宋体" w:eastAsia="宋体" w:cs="宋体"/>
          <w:sz w:val="24"/>
        </w:rPr>
      </w:pPr>
      <w:r>
        <w:rPr>
          <w:rFonts w:hint="eastAsia" w:ascii="宋体" w:hAnsi="宋体" w:eastAsia="宋体" w:cs="宋体"/>
          <w:sz w:val="24"/>
        </w:rPr>
        <w:t>培训要求：供应商应就本期采购产品提供人员培训，使培训人员达到能独立进行产品运营功能独立使用、配置管理、维护管理和平台故障排除的水平；培训对象包括系统管理人员与产品使用人员，培训内容应涵盖培训计划、培训教程、培训实施、培训考试与培训总结。</w:t>
      </w:r>
    </w:p>
    <w:p w14:paraId="4F97E153">
      <w:pPr>
        <w:spacing w:line="360" w:lineRule="auto"/>
        <w:ind w:firstLine="420"/>
        <w:rPr>
          <w:rFonts w:ascii="宋体" w:hAnsi="宋体" w:eastAsia="宋体" w:cs="宋体"/>
          <w:sz w:val="24"/>
        </w:rPr>
      </w:pPr>
      <w:r>
        <w:rPr>
          <w:rFonts w:hint="eastAsia" w:ascii="宋体" w:hAnsi="宋体" w:eastAsia="宋体" w:cs="宋体"/>
          <w:sz w:val="24"/>
        </w:rPr>
        <w:t>技术支持：供应商应向采购人提供全面、有效、及时的技术支持和服务，明确技术指导和技术支持的范围与程度，并建立由受过专业训练、具有丰富经验人员组成的技术支持队伍。</w:t>
      </w:r>
    </w:p>
    <w:p w14:paraId="57BF97B9">
      <w:pPr>
        <w:pStyle w:val="3"/>
        <w:spacing w:before="240" w:after="120"/>
      </w:pPr>
      <w:bookmarkStart w:id="418" w:name="_Toc26863"/>
      <w:bookmarkStart w:id="419" w:name="_Toc244679226"/>
      <w:r>
        <w:rPr>
          <w:rFonts w:ascii="Times New Roman" w:hAnsi="Times New Roman" w:eastAsia="微软雅黑"/>
          <w:color w:val="222222"/>
          <w:sz w:val="28"/>
        </w:rPr>
        <w:t>售后服务</w:t>
      </w:r>
      <w:bookmarkEnd w:id="418"/>
      <w:bookmarkEnd w:id="419"/>
    </w:p>
    <w:p w14:paraId="491CB2B7">
      <w:pPr>
        <w:spacing w:line="360" w:lineRule="auto"/>
        <w:ind w:firstLine="420"/>
        <w:rPr>
          <w:rFonts w:ascii="宋体" w:hAnsi="宋体" w:eastAsia="宋体" w:cs="宋体"/>
          <w:sz w:val="24"/>
        </w:rPr>
      </w:pPr>
      <w:r>
        <w:rPr>
          <w:rFonts w:hint="eastAsia" w:ascii="宋体" w:hAnsi="宋体" w:eastAsia="宋体" w:cs="宋体"/>
          <w:sz w:val="24"/>
        </w:rPr>
        <w:t>保修服务：供应商应提供保修期内的体育赛事专区产品的运维、技术支持服务，保修期自系统终验证书签署之日起计算，具体期限以采购文件与合同约定为准。</w:t>
      </w:r>
    </w:p>
    <w:p w14:paraId="03DC220F">
      <w:pPr>
        <w:spacing w:line="360" w:lineRule="auto"/>
        <w:ind w:firstLine="420"/>
        <w:rPr>
          <w:rFonts w:ascii="宋体" w:hAnsi="宋体" w:eastAsia="宋体" w:cs="宋体"/>
          <w:sz w:val="24"/>
        </w:rPr>
      </w:pPr>
      <w:r>
        <w:rPr>
          <w:rFonts w:hint="eastAsia" w:ascii="宋体" w:hAnsi="宋体" w:eastAsia="宋体" w:cs="宋体"/>
          <w:sz w:val="24"/>
        </w:rPr>
        <w:t>服务内容：保修期内供应商负责产品的日常操作处理、数据处理、缺陷修正、系调优等基础服务（新增需求开发除外）；产品发生故障时，供应商应提供技术服务支持，协助调查故障原因并修复，直至满足验收指标和性能要求。</w:t>
      </w:r>
    </w:p>
    <w:bookmarkEnd w:id="417"/>
    <w:p w14:paraId="5599A73E">
      <w:pPr>
        <w:widowControl/>
        <w:rPr>
          <w:rFonts w:asciiTheme="minorEastAsia" w:hAnsiTheme="minorEastAsia"/>
          <w:sz w:val="24"/>
        </w:rPr>
      </w:pPr>
      <w:r>
        <w:rPr>
          <w:rFonts w:hint="eastAsia" w:asciiTheme="minorEastAsia" w:hAnsiTheme="minorEastAsia"/>
          <w:sz w:val="24"/>
        </w:rPr>
        <w:br w:type="page"/>
      </w:r>
      <w:r>
        <w:rPr>
          <w:rFonts w:hint="eastAsia" w:asciiTheme="minorEastAsia" w:hAnsiTheme="minorEastAsia"/>
          <w:sz w:val="24"/>
        </w:rPr>
        <w:t>附件一：</w:t>
      </w:r>
    </w:p>
    <w:p w14:paraId="069389CF">
      <w:pPr>
        <w:numPr>
          <w:ilvl w:val="0"/>
          <w:numId w:val="2"/>
        </w:numPr>
        <w:tabs>
          <w:tab w:val="clear" w:pos="360"/>
        </w:tabs>
        <w:spacing w:after="180" w:line="360" w:lineRule="auto"/>
        <w:rPr>
          <w:rFonts w:ascii="宋体" w:hAnsi="宋体" w:eastAsia="宋体" w:cs="宋体"/>
          <w:sz w:val="24"/>
        </w:rPr>
      </w:pPr>
      <w:r>
        <w:rPr>
          <w:rFonts w:hint="eastAsia" w:asciiTheme="minorEastAsia" w:hAnsiTheme="minorEastAsia"/>
          <w:sz w:val="24"/>
        </w:rPr>
        <w:t>体育</w:t>
      </w:r>
      <w:r>
        <w:rPr>
          <w:rFonts w:asciiTheme="minorEastAsia" w:hAnsiTheme="minorEastAsia"/>
          <w:sz w:val="24"/>
        </w:rPr>
        <w:t>赛事内容须至少覆盖以下分类</w:t>
      </w:r>
      <w:r>
        <w:rPr>
          <w:rFonts w:hint="eastAsia" w:asciiTheme="minorEastAsia" w:hAnsiTheme="minorEastAsia"/>
          <w:sz w:val="24"/>
        </w:rPr>
        <w:t>及场次的赛事数据服务</w:t>
      </w:r>
      <w:r>
        <w:rPr>
          <w:rFonts w:asciiTheme="minorEastAsia" w:hAnsiTheme="minorEastAsia"/>
          <w:sz w:val="24"/>
        </w:rPr>
        <w:t>：</w:t>
      </w:r>
    </w:p>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0"/>
        <w:gridCol w:w="7310"/>
      </w:tblGrid>
      <w:tr w14:paraId="21393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Align w:val="center"/>
          </w:tcPr>
          <w:p w14:paraId="719FDC1E">
            <w:pPr>
              <w:spacing w:before="20" w:after="20"/>
              <w:jc w:val="center"/>
              <w:rPr>
                <w:rFonts w:asciiTheme="minorEastAsia" w:hAnsiTheme="minorEastAsia"/>
                <w:sz w:val="21"/>
                <w:szCs w:val="21"/>
              </w:rPr>
            </w:pPr>
            <w:r>
              <w:rPr>
                <w:rFonts w:hint="eastAsia" w:asciiTheme="minorEastAsia" w:hAnsiTheme="minorEastAsia"/>
                <w:b/>
                <w:sz w:val="21"/>
                <w:szCs w:val="21"/>
              </w:rPr>
              <w:t>分类</w:t>
            </w:r>
          </w:p>
        </w:tc>
        <w:tc>
          <w:tcPr>
            <w:tcW w:w="7310" w:type="dxa"/>
            <w:vAlign w:val="center"/>
          </w:tcPr>
          <w:p w14:paraId="559A0E47">
            <w:pPr>
              <w:spacing w:before="20" w:after="20"/>
              <w:jc w:val="center"/>
              <w:rPr>
                <w:rFonts w:asciiTheme="minorEastAsia" w:hAnsiTheme="minorEastAsia"/>
                <w:sz w:val="21"/>
                <w:szCs w:val="21"/>
              </w:rPr>
            </w:pPr>
            <w:r>
              <w:rPr>
                <w:rFonts w:hint="eastAsia" w:asciiTheme="minorEastAsia" w:hAnsiTheme="minorEastAsia"/>
                <w:b/>
                <w:sz w:val="21"/>
                <w:szCs w:val="21"/>
              </w:rPr>
              <w:t>赛事</w:t>
            </w:r>
          </w:p>
        </w:tc>
      </w:tr>
      <w:tr w14:paraId="78BF8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28CBDACF">
            <w:pPr>
              <w:spacing w:before="20" w:after="20"/>
              <w:jc w:val="center"/>
              <w:rPr>
                <w:rFonts w:asciiTheme="minorEastAsia" w:hAnsiTheme="minorEastAsia"/>
                <w:sz w:val="21"/>
                <w:szCs w:val="21"/>
              </w:rPr>
            </w:pPr>
            <w:r>
              <w:rPr>
                <w:rFonts w:hint="eastAsia" w:asciiTheme="minorEastAsia" w:hAnsiTheme="minorEastAsia"/>
                <w:b/>
                <w:sz w:val="21"/>
                <w:szCs w:val="21"/>
              </w:rPr>
              <w:t>足球</w:t>
            </w:r>
          </w:p>
        </w:tc>
        <w:tc>
          <w:tcPr>
            <w:tcW w:w="7310" w:type="dxa"/>
            <w:vAlign w:val="center"/>
          </w:tcPr>
          <w:p w14:paraId="142AEF83">
            <w:pPr>
              <w:spacing w:before="20" w:after="20"/>
              <w:rPr>
                <w:rFonts w:asciiTheme="minorEastAsia" w:hAnsiTheme="minorEastAsia"/>
                <w:sz w:val="21"/>
                <w:szCs w:val="21"/>
              </w:rPr>
            </w:pPr>
            <w:r>
              <w:rPr>
                <w:rFonts w:hint="eastAsia" w:asciiTheme="minorEastAsia" w:hAnsiTheme="minorEastAsia"/>
                <w:sz w:val="21"/>
                <w:szCs w:val="21"/>
              </w:rPr>
              <w:t>2021/22-2027/28赛季英格兰超级联赛（英超）</w:t>
            </w:r>
          </w:p>
        </w:tc>
      </w:tr>
      <w:tr w14:paraId="03A7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4CB3785E">
            <w:pPr>
              <w:rPr>
                <w:rFonts w:asciiTheme="minorEastAsia" w:hAnsiTheme="minorEastAsia"/>
                <w:sz w:val="21"/>
                <w:szCs w:val="21"/>
              </w:rPr>
            </w:pPr>
          </w:p>
        </w:tc>
        <w:tc>
          <w:tcPr>
            <w:tcW w:w="7310" w:type="dxa"/>
            <w:vAlign w:val="center"/>
          </w:tcPr>
          <w:p w14:paraId="12C91522">
            <w:pPr>
              <w:spacing w:before="20" w:after="20"/>
              <w:rPr>
                <w:rFonts w:asciiTheme="minorEastAsia" w:hAnsiTheme="minorEastAsia"/>
                <w:sz w:val="21"/>
                <w:szCs w:val="21"/>
              </w:rPr>
            </w:pPr>
            <w:r>
              <w:rPr>
                <w:rFonts w:hint="eastAsia" w:asciiTheme="minorEastAsia" w:hAnsiTheme="minorEastAsia"/>
                <w:sz w:val="21"/>
                <w:szCs w:val="21"/>
              </w:rPr>
              <w:t>2024/25-2027/28赛季英格兰足总杯</w:t>
            </w:r>
          </w:p>
        </w:tc>
      </w:tr>
      <w:tr w14:paraId="768B8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77F746E0">
            <w:pPr>
              <w:rPr>
                <w:rFonts w:asciiTheme="minorEastAsia" w:hAnsiTheme="minorEastAsia"/>
                <w:sz w:val="21"/>
                <w:szCs w:val="21"/>
              </w:rPr>
            </w:pPr>
          </w:p>
        </w:tc>
        <w:tc>
          <w:tcPr>
            <w:tcW w:w="7310" w:type="dxa"/>
            <w:vAlign w:val="center"/>
          </w:tcPr>
          <w:p w14:paraId="08509F76">
            <w:pPr>
              <w:spacing w:before="20" w:after="20"/>
              <w:rPr>
                <w:rFonts w:asciiTheme="minorEastAsia" w:hAnsiTheme="minorEastAsia"/>
                <w:sz w:val="21"/>
                <w:szCs w:val="21"/>
              </w:rPr>
            </w:pPr>
            <w:r>
              <w:rPr>
                <w:rFonts w:hint="eastAsia" w:asciiTheme="minorEastAsia" w:hAnsiTheme="minorEastAsia"/>
                <w:sz w:val="21"/>
                <w:szCs w:val="21"/>
              </w:rPr>
              <w:t>2025/26赛季德国甲级联赛（德甲）含德国超级杯</w:t>
            </w:r>
          </w:p>
        </w:tc>
      </w:tr>
      <w:tr w14:paraId="50AF0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6DC3F207">
            <w:pPr>
              <w:rPr>
                <w:rFonts w:asciiTheme="minorEastAsia" w:hAnsiTheme="minorEastAsia"/>
                <w:sz w:val="21"/>
                <w:szCs w:val="21"/>
              </w:rPr>
            </w:pPr>
          </w:p>
        </w:tc>
        <w:tc>
          <w:tcPr>
            <w:tcW w:w="7310" w:type="dxa"/>
            <w:vAlign w:val="center"/>
          </w:tcPr>
          <w:p w14:paraId="31E1CF7D">
            <w:pPr>
              <w:spacing w:before="20" w:after="20"/>
              <w:rPr>
                <w:rFonts w:asciiTheme="minorEastAsia" w:hAnsiTheme="minorEastAsia"/>
                <w:sz w:val="21"/>
                <w:szCs w:val="21"/>
              </w:rPr>
            </w:pPr>
            <w:r>
              <w:rPr>
                <w:rFonts w:hint="eastAsia" w:asciiTheme="minorEastAsia" w:hAnsiTheme="minorEastAsia"/>
                <w:sz w:val="21"/>
                <w:szCs w:val="21"/>
              </w:rPr>
              <w:t>2022/23-2025/26赛季西班牙足球甲级联赛（西甲）</w:t>
            </w:r>
          </w:p>
        </w:tc>
      </w:tr>
      <w:tr w14:paraId="22B19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189C6F0">
            <w:pPr>
              <w:rPr>
                <w:rFonts w:asciiTheme="minorEastAsia" w:hAnsiTheme="minorEastAsia"/>
                <w:sz w:val="21"/>
                <w:szCs w:val="21"/>
              </w:rPr>
            </w:pPr>
          </w:p>
        </w:tc>
        <w:tc>
          <w:tcPr>
            <w:tcW w:w="7310" w:type="dxa"/>
            <w:vAlign w:val="center"/>
          </w:tcPr>
          <w:p w14:paraId="4B8C8C4A">
            <w:pPr>
              <w:spacing w:before="20" w:after="20"/>
              <w:rPr>
                <w:rFonts w:asciiTheme="minorEastAsia" w:hAnsiTheme="minorEastAsia"/>
                <w:sz w:val="21"/>
                <w:szCs w:val="21"/>
              </w:rPr>
            </w:pPr>
            <w:r>
              <w:rPr>
                <w:rFonts w:hint="eastAsia" w:asciiTheme="minorEastAsia" w:hAnsiTheme="minorEastAsia"/>
                <w:sz w:val="21"/>
                <w:szCs w:val="21"/>
              </w:rPr>
              <w:t>2024/25-2026/27赛季意大利足球甲级联赛（意甲）含意大利杯及意大利超级杯</w:t>
            </w:r>
          </w:p>
        </w:tc>
      </w:tr>
      <w:tr w14:paraId="4E74F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CA90D29">
            <w:pPr>
              <w:rPr>
                <w:rFonts w:asciiTheme="minorEastAsia" w:hAnsiTheme="minorEastAsia"/>
                <w:sz w:val="21"/>
                <w:szCs w:val="21"/>
              </w:rPr>
            </w:pPr>
          </w:p>
        </w:tc>
        <w:tc>
          <w:tcPr>
            <w:tcW w:w="7310" w:type="dxa"/>
            <w:vAlign w:val="center"/>
          </w:tcPr>
          <w:p w14:paraId="625EA11A">
            <w:pPr>
              <w:spacing w:before="20" w:after="20"/>
              <w:rPr>
                <w:rFonts w:asciiTheme="minorEastAsia" w:hAnsiTheme="minorEastAsia"/>
                <w:sz w:val="21"/>
                <w:szCs w:val="21"/>
              </w:rPr>
            </w:pPr>
            <w:r>
              <w:rPr>
                <w:rFonts w:hint="eastAsia" w:asciiTheme="minorEastAsia" w:hAnsiTheme="minorEastAsia"/>
                <w:sz w:val="21"/>
                <w:szCs w:val="21"/>
              </w:rPr>
              <w:t>2024/25-2026/27赛季法国足球甲级联赛（法甲）含法国超级杯</w:t>
            </w:r>
          </w:p>
        </w:tc>
      </w:tr>
      <w:tr w14:paraId="7B00E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71616F1F">
            <w:pPr>
              <w:rPr>
                <w:rFonts w:asciiTheme="minorEastAsia" w:hAnsiTheme="minorEastAsia"/>
                <w:sz w:val="21"/>
                <w:szCs w:val="21"/>
              </w:rPr>
            </w:pPr>
          </w:p>
        </w:tc>
        <w:tc>
          <w:tcPr>
            <w:tcW w:w="7310" w:type="dxa"/>
            <w:vAlign w:val="center"/>
          </w:tcPr>
          <w:p w14:paraId="54FE3A3B">
            <w:pPr>
              <w:spacing w:before="20" w:after="20"/>
              <w:rPr>
                <w:rFonts w:asciiTheme="minorEastAsia" w:hAnsiTheme="minorEastAsia"/>
                <w:sz w:val="21"/>
                <w:szCs w:val="21"/>
              </w:rPr>
            </w:pPr>
            <w:r>
              <w:rPr>
                <w:rFonts w:hint="eastAsia" w:asciiTheme="minorEastAsia" w:hAnsiTheme="minorEastAsia"/>
                <w:sz w:val="21"/>
                <w:szCs w:val="21"/>
              </w:rPr>
              <w:t>2025-2028AFC国家队及俱乐部赛事（2026世界杯亚洲区预选赛、2027亚洲杯、亚冠等赛事）</w:t>
            </w:r>
          </w:p>
        </w:tc>
      </w:tr>
      <w:tr w14:paraId="53CCE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78096E52">
            <w:pPr>
              <w:rPr>
                <w:rFonts w:asciiTheme="minorEastAsia" w:hAnsiTheme="minorEastAsia"/>
                <w:sz w:val="21"/>
                <w:szCs w:val="21"/>
              </w:rPr>
            </w:pPr>
          </w:p>
        </w:tc>
        <w:tc>
          <w:tcPr>
            <w:tcW w:w="7310" w:type="dxa"/>
            <w:vAlign w:val="center"/>
          </w:tcPr>
          <w:p w14:paraId="58D515AF">
            <w:pPr>
              <w:spacing w:before="20" w:after="20"/>
              <w:rPr>
                <w:rFonts w:asciiTheme="minorEastAsia" w:hAnsiTheme="minorEastAsia"/>
                <w:sz w:val="21"/>
                <w:szCs w:val="21"/>
              </w:rPr>
            </w:pPr>
            <w:r>
              <w:rPr>
                <w:rFonts w:hint="eastAsia" w:asciiTheme="minorEastAsia" w:hAnsiTheme="minorEastAsia"/>
                <w:sz w:val="21"/>
                <w:szCs w:val="21"/>
              </w:rPr>
              <w:t>2024-2028赛季中超联赛含中甲、中乙赛事</w:t>
            </w:r>
          </w:p>
        </w:tc>
      </w:tr>
      <w:tr w14:paraId="207B4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306E12E">
            <w:pPr>
              <w:rPr>
                <w:rFonts w:asciiTheme="minorEastAsia" w:hAnsiTheme="minorEastAsia"/>
                <w:sz w:val="21"/>
                <w:szCs w:val="21"/>
              </w:rPr>
            </w:pPr>
          </w:p>
        </w:tc>
        <w:tc>
          <w:tcPr>
            <w:tcW w:w="7310" w:type="dxa"/>
            <w:vAlign w:val="center"/>
          </w:tcPr>
          <w:p w14:paraId="72495F0E">
            <w:pPr>
              <w:spacing w:before="20" w:after="20"/>
              <w:rPr>
                <w:rFonts w:asciiTheme="minorEastAsia" w:hAnsiTheme="minorEastAsia"/>
                <w:sz w:val="21"/>
                <w:szCs w:val="21"/>
              </w:rPr>
            </w:pPr>
            <w:r>
              <w:rPr>
                <w:rFonts w:hint="eastAsia" w:asciiTheme="minorEastAsia" w:hAnsiTheme="minorEastAsia"/>
                <w:sz w:val="21"/>
                <w:szCs w:val="21"/>
              </w:rPr>
              <w:t>2026年和美乡村足球超级联赛（村超）</w:t>
            </w:r>
          </w:p>
        </w:tc>
      </w:tr>
      <w:tr w14:paraId="499E9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3E1AC83">
            <w:pPr>
              <w:rPr>
                <w:rFonts w:asciiTheme="minorEastAsia" w:hAnsiTheme="minorEastAsia"/>
                <w:sz w:val="21"/>
                <w:szCs w:val="21"/>
              </w:rPr>
            </w:pPr>
          </w:p>
        </w:tc>
        <w:tc>
          <w:tcPr>
            <w:tcW w:w="7310" w:type="dxa"/>
            <w:vAlign w:val="center"/>
          </w:tcPr>
          <w:p w14:paraId="3019EA90">
            <w:pPr>
              <w:spacing w:before="20" w:after="20"/>
              <w:rPr>
                <w:rFonts w:asciiTheme="minorEastAsia" w:hAnsiTheme="minorEastAsia"/>
                <w:sz w:val="21"/>
                <w:szCs w:val="21"/>
              </w:rPr>
            </w:pPr>
            <w:r>
              <w:rPr>
                <w:rFonts w:hint="eastAsia" w:asciiTheme="minorEastAsia" w:hAnsiTheme="minorEastAsia"/>
                <w:sz w:val="21"/>
                <w:szCs w:val="21"/>
              </w:rPr>
              <w:t>2026年中国足球协会超级杯</w:t>
            </w:r>
          </w:p>
        </w:tc>
      </w:tr>
      <w:tr w14:paraId="651EF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05550CED">
            <w:pPr>
              <w:rPr>
                <w:rFonts w:asciiTheme="minorEastAsia" w:hAnsiTheme="minorEastAsia"/>
                <w:sz w:val="21"/>
                <w:szCs w:val="21"/>
              </w:rPr>
            </w:pPr>
          </w:p>
        </w:tc>
        <w:tc>
          <w:tcPr>
            <w:tcW w:w="7310" w:type="dxa"/>
            <w:vAlign w:val="center"/>
          </w:tcPr>
          <w:p w14:paraId="39C3867A">
            <w:pPr>
              <w:spacing w:before="20" w:after="20"/>
              <w:rPr>
                <w:rFonts w:asciiTheme="minorEastAsia" w:hAnsiTheme="minorEastAsia"/>
                <w:sz w:val="21"/>
                <w:szCs w:val="21"/>
              </w:rPr>
            </w:pPr>
            <w:r>
              <w:rPr>
                <w:rFonts w:hint="eastAsia" w:asciiTheme="minorEastAsia" w:hAnsiTheme="minorEastAsia"/>
                <w:sz w:val="21"/>
                <w:szCs w:val="21"/>
              </w:rPr>
              <w:t>江苏城市足球联赛（苏超）、江西省城市足球联赛（赣超）、广东省城市足球超级联赛、四川省城市足球联赛、浙江省城市足球联赛、福建省城市足球联赛、山东省城市足球联赛、湖北省城市足球联赛、东北地区城市足球联赛、内蒙古足球超级联赛</w:t>
            </w:r>
          </w:p>
        </w:tc>
      </w:tr>
      <w:tr w14:paraId="2D023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6F7C8657">
            <w:pPr>
              <w:spacing w:before="20" w:after="20"/>
              <w:jc w:val="center"/>
              <w:rPr>
                <w:rFonts w:asciiTheme="minorEastAsia" w:hAnsiTheme="minorEastAsia"/>
                <w:sz w:val="21"/>
                <w:szCs w:val="21"/>
              </w:rPr>
            </w:pPr>
            <w:r>
              <w:rPr>
                <w:rFonts w:hint="eastAsia" w:asciiTheme="minorEastAsia" w:hAnsiTheme="minorEastAsia"/>
                <w:b/>
                <w:sz w:val="21"/>
                <w:szCs w:val="21"/>
              </w:rPr>
              <w:t>篮球</w:t>
            </w:r>
          </w:p>
        </w:tc>
        <w:tc>
          <w:tcPr>
            <w:tcW w:w="7310" w:type="dxa"/>
            <w:vAlign w:val="center"/>
          </w:tcPr>
          <w:p w14:paraId="39114E33">
            <w:pPr>
              <w:spacing w:before="20" w:after="20"/>
              <w:rPr>
                <w:rFonts w:asciiTheme="minorEastAsia" w:hAnsiTheme="minorEastAsia"/>
                <w:sz w:val="21"/>
                <w:szCs w:val="21"/>
              </w:rPr>
            </w:pPr>
            <w:r>
              <w:rPr>
                <w:rFonts w:hint="eastAsia" w:asciiTheme="minorEastAsia" w:hAnsiTheme="minorEastAsia"/>
                <w:sz w:val="21"/>
                <w:szCs w:val="21"/>
              </w:rPr>
              <w:t>2020/21-2026/27赛季美国职业篮球联赛（NBA）</w:t>
            </w:r>
          </w:p>
        </w:tc>
      </w:tr>
      <w:tr w14:paraId="1C0E6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6FDFC0BB">
            <w:pPr>
              <w:rPr>
                <w:rFonts w:asciiTheme="minorEastAsia" w:hAnsiTheme="minorEastAsia"/>
                <w:sz w:val="21"/>
                <w:szCs w:val="21"/>
              </w:rPr>
            </w:pPr>
          </w:p>
        </w:tc>
        <w:tc>
          <w:tcPr>
            <w:tcW w:w="7310" w:type="dxa"/>
            <w:vAlign w:val="center"/>
          </w:tcPr>
          <w:p w14:paraId="747E8974">
            <w:pPr>
              <w:spacing w:before="20" w:after="20"/>
              <w:rPr>
                <w:rFonts w:asciiTheme="minorEastAsia" w:hAnsiTheme="minorEastAsia"/>
                <w:sz w:val="21"/>
                <w:szCs w:val="21"/>
              </w:rPr>
            </w:pPr>
            <w:r>
              <w:rPr>
                <w:rFonts w:hint="eastAsia" w:asciiTheme="minorEastAsia" w:hAnsiTheme="minorEastAsia"/>
                <w:sz w:val="21"/>
                <w:szCs w:val="21"/>
              </w:rPr>
              <w:t>2025-2026赛季NBA-G联赛</w:t>
            </w:r>
          </w:p>
        </w:tc>
      </w:tr>
      <w:tr w14:paraId="49597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8D012F6">
            <w:pPr>
              <w:rPr>
                <w:rFonts w:asciiTheme="minorEastAsia" w:hAnsiTheme="minorEastAsia"/>
                <w:sz w:val="21"/>
                <w:szCs w:val="21"/>
              </w:rPr>
            </w:pPr>
          </w:p>
        </w:tc>
        <w:tc>
          <w:tcPr>
            <w:tcW w:w="7310" w:type="dxa"/>
            <w:vAlign w:val="center"/>
          </w:tcPr>
          <w:p w14:paraId="726CB761">
            <w:pPr>
              <w:spacing w:before="20" w:after="20"/>
              <w:rPr>
                <w:rFonts w:asciiTheme="minorEastAsia" w:hAnsiTheme="minorEastAsia"/>
                <w:sz w:val="21"/>
                <w:szCs w:val="21"/>
              </w:rPr>
            </w:pPr>
            <w:r>
              <w:rPr>
                <w:rFonts w:hint="eastAsia" w:asciiTheme="minorEastAsia" w:hAnsiTheme="minorEastAsia"/>
                <w:sz w:val="21"/>
                <w:szCs w:val="21"/>
              </w:rPr>
              <w:t>24/25-27/28赛季中国女子职业篮球联赛（WCBA）</w:t>
            </w:r>
          </w:p>
        </w:tc>
      </w:tr>
      <w:tr w14:paraId="48413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324545F">
            <w:pPr>
              <w:rPr>
                <w:rFonts w:asciiTheme="minorEastAsia" w:hAnsiTheme="minorEastAsia"/>
                <w:sz w:val="21"/>
                <w:szCs w:val="21"/>
              </w:rPr>
            </w:pPr>
          </w:p>
        </w:tc>
        <w:tc>
          <w:tcPr>
            <w:tcW w:w="7310" w:type="dxa"/>
            <w:vAlign w:val="center"/>
          </w:tcPr>
          <w:p w14:paraId="25FA3B62">
            <w:pPr>
              <w:spacing w:before="20" w:after="20"/>
              <w:rPr>
                <w:rFonts w:asciiTheme="minorEastAsia" w:hAnsiTheme="minorEastAsia"/>
                <w:sz w:val="21"/>
                <w:szCs w:val="21"/>
              </w:rPr>
            </w:pPr>
            <w:r>
              <w:rPr>
                <w:rFonts w:hint="eastAsia" w:asciiTheme="minorEastAsia" w:hAnsiTheme="minorEastAsia"/>
                <w:sz w:val="21"/>
                <w:szCs w:val="21"/>
              </w:rPr>
              <w:t>2024-2027赛季全国男子三人篮球超级联赛（超三联赛）</w:t>
            </w:r>
          </w:p>
        </w:tc>
      </w:tr>
      <w:tr w14:paraId="58584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5793699">
            <w:pPr>
              <w:rPr>
                <w:rFonts w:asciiTheme="minorEastAsia" w:hAnsiTheme="minorEastAsia"/>
                <w:sz w:val="21"/>
                <w:szCs w:val="21"/>
              </w:rPr>
            </w:pPr>
          </w:p>
        </w:tc>
        <w:tc>
          <w:tcPr>
            <w:tcW w:w="7310" w:type="dxa"/>
            <w:vAlign w:val="center"/>
          </w:tcPr>
          <w:p w14:paraId="28EE5EFD">
            <w:pPr>
              <w:spacing w:before="20" w:after="20"/>
              <w:rPr>
                <w:rFonts w:asciiTheme="minorEastAsia" w:hAnsiTheme="minorEastAsia"/>
                <w:sz w:val="21"/>
                <w:szCs w:val="21"/>
              </w:rPr>
            </w:pPr>
            <w:r>
              <w:rPr>
                <w:rFonts w:hint="eastAsia" w:asciiTheme="minorEastAsia" w:hAnsiTheme="minorEastAsia"/>
                <w:sz w:val="21"/>
                <w:szCs w:val="21"/>
              </w:rPr>
              <w:t>2024-2027年国家队热身赛、邀请赛</w:t>
            </w:r>
          </w:p>
        </w:tc>
      </w:tr>
      <w:tr w14:paraId="19F03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B6EC05B">
            <w:pPr>
              <w:rPr>
                <w:rFonts w:asciiTheme="minorEastAsia" w:hAnsiTheme="minorEastAsia"/>
                <w:sz w:val="21"/>
                <w:szCs w:val="21"/>
              </w:rPr>
            </w:pPr>
          </w:p>
        </w:tc>
        <w:tc>
          <w:tcPr>
            <w:tcW w:w="7310" w:type="dxa"/>
            <w:vAlign w:val="center"/>
          </w:tcPr>
          <w:p w14:paraId="06A9FB0F">
            <w:pPr>
              <w:spacing w:before="20" w:after="20"/>
              <w:rPr>
                <w:rFonts w:asciiTheme="minorEastAsia" w:hAnsiTheme="minorEastAsia"/>
                <w:sz w:val="21"/>
                <w:szCs w:val="21"/>
              </w:rPr>
            </w:pPr>
            <w:r>
              <w:rPr>
                <w:rFonts w:hint="eastAsia" w:asciiTheme="minorEastAsia" w:hAnsiTheme="minorEastAsia"/>
                <w:sz w:val="21"/>
                <w:szCs w:val="21"/>
              </w:rPr>
              <w:t>2025-2029国际篮联赛事FIBA</w:t>
            </w:r>
          </w:p>
        </w:tc>
      </w:tr>
      <w:tr w14:paraId="384B5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630CB55">
            <w:pPr>
              <w:rPr>
                <w:rFonts w:asciiTheme="minorEastAsia" w:hAnsiTheme="minorEastAsia"/>
                <w:sz w:val="21"/>
                <w:szCs w:val="21"/>
              </w:rPr>
            </w:pPr>
          </w:p>
        </w:tc>
        <w:tc>
          <w:tcPr>
            <w:tcW w:w="7310" w:type="dxa"/>
            <w:vAlign w:val="center"/>
          </w:tcPr>
          <w:p w14:paraId="5E923CED">
            <w:pPr>
              <w:spacing w:before="20" w:after="20"/>
              <w:rPr>
                <w:rFonts w:asciiTheme="minorEastAsia" w:hAnsiTheme="minorEastAsia"/>
                <w:sz w:val="21"/>
                <w:szCs w:val="21"/>
              </w:rPr>
            </w:pPr>
            <w:r>
              <w:rPr>
                <w:rFonts w:hint="eastAsia" w:asciiTheme="minorEastAsia" w:hAnsiTheme="minorEastAsia"/>
                <w:sz w:val="21"/>
                <w:szCs w:val="21"/>
              </w:rPr>
              <w:t>全国男子篮球联赛（NBL）</w:t>
            </w:r>
          </w:p>
        </w:tc>
      </w:tr>
      <w:tr w14:paraId="3A545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CDB9B7A">
            <w:pPr>
              <w:rPr>
                <w:rFonts w:asciiTheme="minorEastAsia" w:hAnsiTheme="minorEastAsia"/>
                <w:sz w:val="21"/>
                <w:szCs w:val="21"/>
              </w:rPr>
            </w:pPr>
          </w:p>
        </w:tc>
        <w:tc>
          <w:tcPr>
            <w:tcW w:w="7310" w:type="dxa"/>
            <w:vAlign w:val="center"/>
          </w:tcPr>
          <w:p w14:paraId="14E88BB7">
            <w:pPr>
              <w:spacing w:before="20" w:after="20"/>
              <w:rPr>
                <w:rFonts w:asciiTheme="minorEastAsia" w:hAnsiTheme="minorEastAsia"/>
                <w:sz w:val="21"/>
                <w:szCs w:val="21"/>
              </w:rPr>
            </w:pPr>
            <w:r>
              <w:rPr>
                <w:rFonts w:hint="eastAsia" w:asciiTheme="minorEastAsia" w:hAnsiTheme="minorEastAsia"/>
                <w:sz w:val="21"/>
                <w:szCs w:val="21"/>
              </w:rPr>
              <w:t>浙江省城市篮球联赛</w:t>
            </w:r>
          </w:p>
        </w:tc>
      </w:tr>
      <w:tr w14:paraId="3F93E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Align w:val="center"/>
          </w:tcPr>
          <w:p w14:paraId="7DB439D5">
            <w:pPr>
              <w:spacing w:before="20" w:after="20"/>
              <w:jc w:val="center"/>
              <w:rPr>
                <w:rFonts w:asciiTheme="minorEastAsia" w:hAnsiTheme="minorEastAsia"/>
                <w:sz w:val="21"/>
                <w:szCs w:val="21"/>
              </w:rPr>
            </w:pPr>
            <w:r>
              <w:rPr>
                <w:rFonts w:hint="eastAsia" w:asciiTheme="minorEastAsia" w:hAnsiTheme="minorEastAsia"/>
                <w:b/>
                <w:sz w:val="21"/>
                <w:szCs w:val="21"/>
              </w:rPr>
              <w:t>格斗</w:t>
            </w:r>
          </w:p>
        </w:tc>
        <w:tc>
          <w:tcPr>
            <w:tcW w:w="7310" w:type="dxa"/>
            <w:vAlign w:val="center"/>
          </w:tcPr>
          <w:p w14:paraId="6C029379">
            <w:pPr>
              <w:spacing w:before="20" w:after="20"/>
              <w:rPr>
                <w:rFonts w:asciiTheme="minorEastAsia" w:hAnsiTheme="minorEastAsia"/>
                <w:sz w:val="21"/>
                <w:szCs w:val="21"/>
              </w:rPr>
            </w:pPr>
            <w:r>
              <w:rPr>
                <w:rFonts w:hint="eastAsia" w:asciiTheme="minorEastAsia" w:hAnsiTheme="minorEastAsia"/>
                <w:sz w:val="21"/>
                <w:szCs w:val="21"/>
              </w:rPr>
              <w:t>2026-2031年UFC</w:t>
            </w:r>
          </w:p>
        </w:tc>
      </w:tr>
      <w:tr w14:paraId="71BB4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0A186602">
            <w:pPr>
              <w:spacing w:before="20" w:after="20"/>
              <w:jc w:val="center"/>
              <w:rPr>
                <w:rFonts w:asciiTheme="minorEastAsia" w:hAnsiTheme="minorEastAsia"/>
                <w:sz w:val="21"/>
                <w:szCs w:val="21"/>
              </w:rPr>
            </w:pPr>
            <w:r>
              <w:rPr>
                <w:rFonts w:hint="eastAsia" w:asciiTheme="minorEastAsia" w:hAnsiTheme="minorEastAsia"/>
                <w:b/>
                <w:sz w:val="21"/>
                <w:szCs w:val="21"/>
              </w:rPr>
              <w:t>乒乓球</w:t>
            </w:r>
          </w:p>
        </w:tc>
        <w:tc>
          <w:tcPr>
            <w:tcW w:w="7310" w:type="dxa"/>
            <w:vAlign w:val="center"/>
          </w:tcPr>
          <w:p w14:paraId="36FAF7D3">
            <w:pPr>
              <w:spacing w:before="20" w:after="20"/>
              <w:rPr>
                <w:rFonts w:asciiTheme="minorEastAsia" w:hAnsiTheme="minorEastAsia"/>
                <w:sz w:val="21"/>
                <w:szCs w:val="21"/>
              </w:rPr>
            </w:pPr>
            <w:r>
              <w:rPr>
                <w:rFonts w:hint="eastAsia" w:asciiTheme="minorEastAsia" w:hAnsiTheme="minorEastAsia"/>
                <w:sz w:val="21"/>
                <w:szCs w:val="21"/>
              </w:rPr>
              <w:t>2025年-2028年WTT赛事</w:t>
            </w:r>
          </w:p>
        </w:tc>
      </w:tr>
      <w:tr w14:paraId="62A41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01BC95F3">
            <w:pPr>
              <w:rPr>
                <w:rFonts w:asciiTheme="minorEastAsia" w:hAnsiTheme="minorEastAsia"/>
                <w:sz w:val="21"/>
                <w:szCs w:val="21"/>
              </w:rPr>
            </w:pPr>
          </w:p>
        </w:tc>
        <w:tc>
          <w:tcPr>
            <w:tcW w:w="7310" w:type="dxa"/>
            <w:vAlign w:val="center"/>
          </w:tcPr>
          <w:p w14:paraId="3046476D">
            <w:pPr>
              <w:spacing w:before="20" w:after="20"/>
              <w:rPr>
                <w:rFonts w:asciiTheme="minorEastAsia" w:hAnsiTheme="minorEastAsia"/>
                <w:sz w:val="21"/>
                <w:szCs w:val="21"/>
              </w:rPr>
            </w:pPr>
            <w:r>
              <w:rPr>
                <w:rFonts w:hint="eastAsia" w:asciiTheme="minorEastAsia" w:hAnsiTheme="minorEastAsia"/>
                <w:sz w:val="21"/>
                <w:szCs w:val="21"/>
              </w:rPr>
              <w:t>第35届ITTF-ATTU亚洲杯</w:t>
            </w:r>
          </w:p>
        </w:tc>
      </w:tr>
      <w:tr w14:paraId="40AEE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7B22D034">
            <w:pPr>
              <w:rPr>
                <w:rFonts w:asciiTheme="minorEastAsia" w:hAnsiTheme="minorEastAsia"/>
                <w:sz w:val="21"/>
                <w:szCs w:val="21"/>
              </w:rPr>
            </w:pPr>
          </w:p>
        </w:tc>
        <w:tc>
          <w:tcPr>
            <w:tcW w:w="7310" w:type="dxa"/>
            <w:vAlign w:val="center"/>
          </w:tcPr>
          <w:p w14:paraId="3BD0E535">
            <w:pPr>
              <w:spacing w:before="20" w:after="20"/>
              <w:rPr>
                <w:rFonts w:asciiTheme="minorEastAsia" w:hAnsiTheme="minorEastAsia"/>
                <w:sz w:val="21"/>
                <w:szCs w:val="21"/>
              </w:rPr>
            </w:pPr>
            <w:r>
              <w:rPr>
                <w:rFonts w:hint="eastAsia" w:asciiTheme="minorEastAsia" w:hAnsiTheme="minorEastAsia"/>
                <w:sz w:val="21"/>
                <w:szCs w:val="21"/>
              </w:rPr>
              <w:t>2026国际乒联男子及女子世界杯</w:t>
            </w:r>
          </w:p>
        </w:tc>
      </w:tr>
      <w:tr w14:paraId="51CA0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00563C5D">
            <w:pPr>
              <w:rPr>
                <w:rFonts w:asciiTheme="minorEastAsia" w:hAnsiTheme="minorEastAsia"/>
                <w:sz w:val="21"/>
                <w:szCs w:val="21"/>
              </w:rPr>
            </w:pPr>
          </w:p>
        </w:tc>
        <w:tc>
          <w:tcPr>
            <w:tcW w:w="7310" w:type="dxa"/>
            <w:vAlign w:val="center"/>
          </w:tcPr>
          <w:p w14:paraId="4527B960">
            <w:pPr>
              <w:spacing w:before="20" w:after="20"/>
              <w:rPr>
                <w:rFonts w:asciiTheme="minorEastAsia" w:hAnsiTheme="minorEastAsia"/>
                <w:sz w:val="21"/>
                <w:szCs w:val="21"/>
              </w:rPr>
            </w:pPr>
            <w:r>
              <w:rPr>
                <w:rFonts w:hint="eastAsia" w:asciiTheme="minorEastAsia" w:hAnsiTheme="minorEastAsia"/>
                <w:sz w:val="21"/>
                <w:szCs w:val="21"/>
              </w:rPr>
              <w:t>2026年乒乓球亚洲团体锦标赛</w:t>
            </w:r>
          </w:p>
        </w:tc>
      </w:tr>
      <w:tr w14:paraId="1B15F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9793511">
            <w:pPr>
              <w:rPr>
                <w:rFonts w:asciiTheme="minorEastAsia" w:hAnsiTheme="minorEastAsia"/>
                <w:sz w:val="21"/>
                <w:szCs w:val="21"/>
              </w:rPr>
            </w:pPr>
          </w:p>
        </w:tc>
        <w:tc>
          <w:tcPr>
            <w:tcW w:w="7310" w:type="dxa"/>
            <w:vAlign w:val="center"/>
          </w:tcPr>
          <w:p w14:paraId="62AF5A98">
            <w:pPr>
              <w:spacing w:before="20" w:after="20"/>
              <w:rPr>
                <w:rFonts w:asciiTheme="minorEastAsia" w:hAnsiTheme="minorEastAsia"/>
                <w:sz w:val="21"/>
                <w:szCs w:val="21"/>
              </w:rPr>
            </w:pPr>
            <w:r>
              <w:rPr>
                <w:rFonts w:hint="eastAsia" w:asciiTheme="minorEastAsia" w:hAnsiTheme="minorEastAsia"/>
                <w:sz w:val="21"/>
                <w:szCs w:val="21"/>
              </w:rPr>
              <w:t>2026年国际乒联混合团体世界杯</w:t>
            </w:r>
          </w:p>
        </w:tc>
      </w:tr>
      <w:tr w14:paraId="13D0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3B348DC">
            <w:pPr>
              <w:rPr>
                <w:rFonts w:asciiTheme="minorEastAsia" w:hAnsiTheme="minorEastAsia"/>
                <w:sz w:val="21"/>
                <w:szCs w:val="21"/>
              </w:rPr>
            </w:pPr>
          </w:p>
        </w:tc>
        <w:tc>
          <w:tcPr>
            <w:tcW w:w="7310" w:type="dxa"/>
            <w:vAlign w:val="center"/>
          </w:tcPr>
          <w:p w14:paraId="74317AEA">
            <w:pPr>
              <w:spacing w:before="20" w:after="20"/>
              <w:rPr>
                <w:rFonts w:asciiTheme="minorEastAsia" w:hAnsiTheme="minorEastAsia"/>
                <w:sz w:val="21"/>
                <w:szCs w:val="21"/>
              </w:rPr>
            </w:pPr>
            <w:r>
              <w:rPr>
                <w:rFonts w:hint="eastAsia" w:asciiTheme="minorEastAsia" w:hAnsiTheme="minorEastAsia"/>
                <w:sz w:val="21"/>
                <w:szCs w:val="21"/>
              </w:rPr>
              <w:t>2026年上海乒乓球嘉年华</w:t>
            </w:r>
          </w:p>
        </w:tc>
      </w:tr>
      <w:tr w14:paraId="5AB5A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Align w:val="center"/>
          </w:tcPr>
          <w:p w14:paraId="582C69B0">
            <w:pPr>
              <w:spacing w:before="20" w:after="20"/>
              <w:jc w:val="center"/>
              <w:rPr>
                <w:rFonts w:asciiTheme="minorEastAsia" w:hAnsiTheme="minorEastAsia"/>
                <w:sz w:val="21"/>
                <w:szCs w:val="21"/>
              </w:rPr>
            </w:pPr>
            <w:r>
              <w:rPr>
                <w:rFonts w:hint="eastAsia" w:asciiTheme="minorEastAsia" w:hAnsiTheme="minorEastAsia"/>
                <w:b/>
                <w:sz w:val="21"/>
                <w:szCs w:val="21"/>
              </w:rPr>
              <w:t>斯诺克</w:t>
            </w:r>
          </w:p>
        </w:tc>
        <w:tc>
          <w:tcPr>
            <w:tcW w:w="7310" w:type="dxa"/>
            <w:vAlign w:val="center"/>
          </w:tcPr>
          <w:p w14:paraId="46ADF38F">
            <w:pPr>
              <w:spacing w:before="20" w:after="20"/>
              <w:rPr>
                <w:rFonts w:asciiTheme="minorEastAsia" w:hAnsiTheme="minorEastAsia"/>
                <w:sz w:val="21"/>
                <w:szCs w:val="21"/>
              </w:rPr>
            </w:pPr>
            <w:r>
              <w:rPr>
                <w:rFonts w:hint="eastAsia" w:asciiTheme="minorEastAsia" w:hAnsiTheme="minorEastAsia"/>
                <w:sz w:val="21"/>
                <w:szCs w:val="21"/>
              </w:rPr>
              <w:t>斯诺克</w:t>
            </w:r>
          </w:p>
        </w:tc>
      </w:tr>
      <w:tr w14:paraId="6506F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71B2D3B1">
            <w:pPr>
              <w:spacing w:before="20" w:after="20"/>
              <w:jc w:val="center"/>
              <w:rPr>
                <w:rFonts w:asciiTheme="minorEastAsia" w:hAnsiTheme="minorEastAsia"/>
                <w:sz w:val="21"/>
                <w:szCs w:val="21"/>
              </w:rPr>
            </w:pPr>
            <w:r>
              <w:rPr>
                <w:rFonts w:hint="eastAsia" w:asciiTheme="minorEastAsia" w:hAnsiTheme="minorEastAsia"/>
                <w:b/>
                <w:sz w:val="21"/>
                <w:szCs w:val="21"/>
              </w:rPr>
              <w:t>电子竞技</w:t>
            </w:r>
          </w:p>
        </w:tc>
        <w:tc>
          <w:tcPr>
            <w:tcW w:w="7310" w:type="dxa"/>
            <w:vAlign w:val="center"/>
          </w:tcPr>
          <w:p w14:paraId="0DE690B2">
            <w:pPr>
              <w:spacing w:before="20" w:after="20"/>
              <w:rPr>
                <w:rFonts w:asciiTheme="minorEastAsia" w:hAnsiTheme="minorEastAsia"/>
                <w:sz w:val="21"/>
                <w:szCs w:val="21"/>
              </w:rPr>
            </w:pPr>
            <w:r>
              <w:rPr>
                <w:rFonts w:hint="eastAsia" w:asciiTheme="minorEastAsia" w:hAnsiTheme="minorEastAsia"/>
                <w:sz w:val="21"/>
                <w:szCs w:val="21"/>
              </w:rPr>
              <w:t>王者荣耀（KPL）</w:t>
            </w:r>
          </w:p>
        </w:tc>
      </w:tr>
      <w:tr w14:paraId="6B5F6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40190D3B">
            <w:pPr>
              <w:rPr>
                <w:rFonts w:asciiTheme="minorEastAsia" w:hAnsiTheme="minorEastAsia"/>
                <w:sz w:val="21"/>
                <w:szCs w:val="21"/>
              </w:rPr>
            </w:pPr>
          </w:p>
        </w:tc>
        <w:tc>
          <w:tcPr>
            <w:tcW w:w="7310" w:type="dxa"/>
            <w:vAlign w:val="center"/>
          </w:tcPr>
          <w:p w14:paraId="41804974">
            <w:pPr>
              <w:spacing w:before="20" w:after="20"/>
              <w:rPr>
                <w:rFonts w:asciiTheme="minorEastAsia" w:hAnsiTheme="minorEastAsia"/>
                <w:sz w:val="21"/>
                <w:szCs w:val="21"/>
              </w:rPr>
            </w:pPr>
            <w:r>
              <w:rPr>
                <w:rFonts w:hint="eastAsia" w:asciiTheme="minorEastAsia" w:hAnsiTheme="minorEastAsia"/>
                <w:sz w:val="21"/>
                <w:szCs w:val="21"/>
              </w:rPr>
              <w:t>和平精英（PEL）</w:t>
            </w:r>
          </w:p>
        </w:tc>
      </w:tr>
      <w:tr w14:paraId="1801F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406826FF">
            <w:pPr>
              <w:spacing w:before="20" w:after="20"/>
              <w:jc w:val="center"/>
              <w:rPr>
                <w:rFonts w:asciiTheme="minorEastAsia" w:hAnsiTheme="minorEastAsia"/>
                <w:sz w:val="21"/>
                <w:szCs w:val="21"/>
              </w:rPr>
            </w:pPr>
            <w:r>
              <w:rPr>
                <w:rFonts w:hint="eastAsia" w:asciiTheme="minorEastAsia" w:hAnsiTheme="minorEastAsia"/>
                <w:b/>
                <w:sz w:val="21"/>
                <w:szCs w:val="21"/>
              </w:rPr>
              <w:t>网球</w:t>
            </w:r>
          </w:p>
        </w:tc>
        <w:tc>
          <w:tcPr>
            <w:tcW w:w="7310" w:type="dxa"/>
            <w:vAlign w:val="center"/>
          </w:tcPr>
          <w:p w14:paraId="6F538EA8">
            <w:pPr>
              <w:spacing w:before="20" w:after="20"/>
              <w:rPr>
                <w:rFonts w:asciiTheme="minorEastAsia" w:hAnsiTheme="minorEastAsia"/>
                <w:sz w:val="21"/>
                <w:szCs w:val="21"/>
              </w:rPr>
            </w:pPr>
            <w:r>
              <w:rPr>
                <w:rFonts w:hint="eastAsia" w:asciiTheme="minorEastAsia" w:hAnsiTheme="minorEastAsia"/>
                <w:sz w:val="21"/>
                <w:szCs w:val="21"/>
              </w:rPr>
              <w:t>2023-2025年中国网球公开赛</w:t>
            </w:r>
          </w:p>
        </w:tc>
      </w:tr>
      <w:tr w14:paraId="43519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69383ABF">
            <w:pPr>
              <w:rPr>
                <w:rFonts w:asciiTheme="minorEastAsia" w:hAnsiTheme="minorEastAsia"/>
                <w:sz w:val="21"/>
                <w:szCs w:val="21"/>
              </w:rPr>
            </w:pPr>
          </w:p>
        </w:tc>
        <w:tc>
          <w:tcPr>
            <w:tcW w:w="7310" w:type="dxa"/>
            <w:vAlign w:val="center"/>
          </w:tcPr>
          <w:p w14:paraId="5CC21683">
            <w:pPr>
              <w:spacing w:before="20" w:after="20"/>
              <w:rPr>
                <w:rFonts w:asciiTheme="minorEastAsia" w:hAnsiTheme="minorEastAsia"/>
                <w:sz w:val="21"/>
                <w:szCs w:val="21"/>
              </w:rPr>
            </w:pPr>
            <w:r>
              <w:rPr>
                <w:rFonts w:hint="eastAsia" w:asciiTheme="minorEastAsia" w:hAnsiTheme="minorEastAsia"/>
                <w:sz w:val="21"/>
                <w:szCs w:val="21"/>
              </w:rPr>
              <w:t>2023-2026英国网球公开赛</w:t>
            </w:r>
          </w:p>
        </w:tc>
      </w:tr>
      <w:tr w14:paraId="1BA5B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3D11BC0E">
            <w:pPr>
              <w:rPr>
                <w:rFonts w:asciiTheme="minorEastAsia" w:hAnsiTheme="minorEastAsia"/>
                <w:sz w:val="21"/>
                <w:szCs w:val="21"/>
              </w:rPr>
            </w:pPr>
          </w:p>
        </w:tc>
        <w:tc>
          <w:tcPr>
            <w:tcW w:w="7310" w:type="dxa"/>
            <w:vAlign w:val="center"/>
          </w:tcPr>
          <w:p w14:paraId="7BAAD329">
            <w:pPr>
              <w:spacing w:before="20" w:after="20"/>
              <w:rPr>
                <w:rFonts w:asciiTheme="minorEastAsia" w:hAnsiTheme="minorEastAsia"/>
                <w:sz w:val="21"/>
                <w:szCs w:val="21"/>
              </w:rPr>
            </w:pPr>
            <w:r>
              <w:rPr>
                <w:rFonts w:hint="eastAsia" w:asciiTheme="minorEastAsia" w:hAnsiTheme="minorEastAsia"/>
                <w:sz w:val="21"/>
                <w:szCs w:val="21"/>
              </w:rPr>
              <w:t>2026-2027年澳大利亚网球公开赛正赛及资格赛</w:t>
            </w:r>
          </w:p>
        </w:tc>
      </w:tr>
      <w:tr w14:paraId="08CB6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0FC5CF4E">
            <w:pPr>
              <w:rPr>
                <w:rFonts w:asciiTheme="minorEastAsia" w:hAnsiTheme="minorEastAsia"/>
                <w:sz w:val="21"/>
                <w:szCs w:val="21"/>
              </w:rPr>
            </w:pPr>
          </w:p>
        </w:tc>
        <w:tc>
          <w:tcPr>
            <w:tcW w:w="7310" w:type="dxa"/>
            <w:vAlign w:val="center"/>
          </w:tcPr>
          <w:p w14:paraId="5AF5140E">
            <w:pPr>
              <w:spacing w:before="20" w:after="20"/>
              <w:rPr>
                <w:rFonts w:asciiTheme="minorEastAsia" w:hAnsiTheme="minorEastAsia"/>
                <w:sz w:val="21"/>
                <w:szCs w:val="21"/>
              </w:rPr>
            </w:pPr>
            <w:r>
              <w:rPr>
                <w:rFonts w:hint="eastAsia" w:asciiTheme="minorEastAsia" w:hAnsiTheme="minorEastAsia"/>
                <w:sz w:val="21"/>
                <w:szCs w:val="21"/>
              </w:rPr>
              <w:t>2025-2026年WTA女子职业网球巡回赛</w:t>
            </w:r>
          </w:p>
        </w:tc>
      </w:tr>
      <w:tr w14:paraId="349E4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467A16C7">
            <w:pPr>
              <w:spacing w:before="20" w:after="20"/>
              <w:jc w:val="center"/>
              <w:rPr>
                <w:rFonts w:asciiTheme="minorEastAsia" w:hAnsiTheme="minorEastAsia"/>
                <w:sz w:val="21"/>
                <w:szCs w:val="21"/>
              </w:rPr>
            </w:pPr>
            <w:r>
              <w:rPr>
                <w:rFonts w:hint="eastAsia" w:asciiTheme="minorEastAsia" w:hAnsiTheme="minorEastAsia"/>
                <w:b/>
                <w:sz w:val="21"/>
                <w:szCs w:val="21"/>
              </w:rPr>
              <w:t>其他</w:t>
            </w:r>
          </w:p>
        </w:tc>
        <w:tc>
          <w:tcPr>
            <w:tcW w:w="7310" w:type="dxa"/>
            <w:vAlign w:val="center"/>
          </w:tcPr>
          <w:p w14:paraId="01619D91">
            <w:pPr>
              <w:spacing w:before="20" w:after="20"/>
              <w:rPr>
                <w:rFonts w:asciiTheme="minorEastAsia" w:hAnsiTheme="minorEastAsia"/>
                <w:sz w:val="21"/>
                <w:szCs w:val="21"/>
              </w:rPr>
            </w:pPr>
            <w:r>
              <w:rPr>
                <w:rFonts w:hint="eastAsia" w:asciiTheme="minorEastAsia" w:hAnsiTheme="minorEastAsia"/>
                <w:sz w:val="21"/>
                <w:szCs w:val="21"/>
              </w:rPr>
              <w:t>马拉松系列赛事</w:t>
            </w:r>
          </w:p>
        </w:tc>
      </w:tr>
      <w:tr w14:paraId="79404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09B50170">
            <w:pPr>
              <w:rPr>
                <w:rFonts w:asciiTheme="minorEastAsia" w:hAnsiTheme="minorEastAsia"/>
                <w:sz w:val="21"/>
                <w:szCs w:val="21"/>
              </w:rPr>
            </w:pPr>
          </w:p>
        </w:tc>
        <w:tc>
          <w:tcPr>
            <w:tcW w:w="7310" w:type="dxa"/>
            <w:vAlign w:val="center"/>
          </w:tcPr>
          <w:p w14:paraId="1974427E">
            <w:pPr>
              <w:spacing w:before="20" w:after="20"/>
              <w:rPr>
                <w:rFonts w:asciiTheme="minorEastAsia" w:hAnsiTheme="minorEastAsia"/>
                <w:sz w:val="21"/>
                <w:szCs w:val="21"/>
              </w:rPr>
            </w:pPr>
            <w:r>
              <w:rPr>
                <w:rFonts w:hint="eastAsia" w:asciiTheme="minorEastAsia" w:hAnsiTheme="minorEastAsia"/>
                <w:sz w:val="21"/>
                <w:szCs w:val="21"/>
              </w:rPr>
              <w:t>河南省女子排球城市联赛</w:t>
            </w:r>
          </w:p>
        </w:tc>
      </w:tr>
      <w:tr w14:paraId="1A198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45408175">
            <w:pPr>
              <w:rPr>
                <w:rFonts w:asciiTheme="minorEastAsia" w:hAnsiTheme="minorEastAsia"/>
                <w:sz w:val="21"/>
                <w:szCs w:val="21"/>
              </w:rPr>
            </w:pPr>
          </w:p>
        </w:tc>
        <w:tc>
          <w:tcPr>
            <w:tcW w:w="7310" w:type="dxa"/>
            <w:vAlign w:val="center"/>
          </w:tcPr>
          <w:p w14:paraId="1EF17165">
            <w:pPr>
              <w:spacing w:before="20" w:after="20"/>
              <w:rPr>
                <w:rFonts w:asciiTheme="minorEastAsia" w:hAnsiTheme="minorEastAsia"/>
                <w:sz w:val="21"/>
                <w:szCs w:val="21"/>
              </w:rPr>
            </w:pPr>
            <w:r>
              <w:rPr>
                <w:rFonts w:hint="eastAsia" w:asciiTheme="minorEastAsia" w:hAnsiTheme="minorEastAsia"/>
                <w:sz w:val="21"/>
                <w:szCs w:val="21"/>
              </w:rPr>
              <w:t>2025-2026年BWF世界羽联赛事</w:t>
            </w:r>
          </w:p>
        </w:tc>
      </w:tr>
      <w:tr w14:paraId="585BD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3961ECD8">
            <w:pPr>
              <w:rPr>
                <w:rFonts w:asciiTheme="minorEastAsia" w:hAnsiTheme="minorEastAsia"/>
                <w:sz w:val="21"/>
                <w:szCs w:val="21"/>
              </w:rPr>
            </w:pPr>
          </w:p>
        </w:tc>
        <w:tc>
          <w:tcPr>
            <w:tcW w:w="7310" w:type="dxa"/>
            <w:vAlign w:val="center"/>
          </w:tcPr>
          <w:p w14:paraId="79DD7F9B">
            <w:pPr>
              <w:spacing w:before="20" w:after="20"/>
              <w:rPr>
                <w:rFonts w:asciiTheme="minorEastAsia" w:hAnsiTheme="minorEastAsia"/>
                <w:sz w:val="21"/>
                <w:szCs w:val="21"/>
              </w:rPr>
            </w:pPr>
            <w:r>
              <w:rPr>
                <w:rFonts w:hint="eastAsia" w:asciiTheme="minorEastAsia" w:hAnsiTheme="minorEastAsia"/>
                <w:sz w:val="21"/>
                <w:szCs w:val="21"/>
              </w:rPr>
              <w:t>2025-2026中国羽毛球俱乐部超级联赛</w:t>
            </w:r>
          </w:p>
        </w:tc>
      </w:tr>
      <w:tr w14:paraId="1B828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74497799">
            <w:pPr>
              <w:rPr>
                <w:rFonts w:asciiTheme="minorEastAsia" w:hAnsiTheme="minorEastAsia"/>
                <w:sz w:val="21"/>
                <w:szCs w:val="21"/>
              </w:rPr>
            </w:pPr>
          </w:p>
        </w:tc>
        <w:tc>
          <w:tcPr>
            <w:tcW w:w="7310" w:type="dxa"/>
            <w:vAlign w:val="center"/>
          </w:tcPr>
          <w:p w14:paraId="4A7570E1">
            <w:pPr>
              <w:spacing w:before="20" w:after="20"/>
              <w:rPr>
                <w:rFonts w:asciiTheme="minorEastAsia" w:hAnsiTheme="minorEastAsia"/>
                <w:sz w:val="21"/>
                <w:szCs w:val="21"/>
              </w:rPr>
            </w:pPr>
            <w:r>
              <w:rPr>
                <w:rFonts w:hint="eastAsia" w:asciiTheme="minorEastAsia" w:hAnsiTheme="minorEastAsia"/>
                <w:sz w:val="21"/>
                <w:szCs w:val="21"/>
              </w:rPr>
              <w:t>中国匹克球系列赛事</w:t>
            </w:r>
          </w:p>
        </w:tc>
      </w:tr>
      <w:tr w14:paraId="60562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C1F33B6">
            <w:pPr>
              <w:rPr>
                <w:rFonts w:asciiTheme="minorEastAsia" w:hAnsiTheme="minorEastAsia"/>
                <w:sz w:val="21"/>
                <w:szCs w:val="21"/>
              </w:rPr>
            </w:pPr>
          </w:p>
        </w:tc>
        <w:tc>
          <w:tcPr>
            <w:tcW w:w="7310" w:type="dxa"/>
            <w:vAlign w:val="center"/>
          </w:tcPr>
          <w:p w14:paraId="427E808C">
            <w:pPr>
              <w:spacing w:before="20" w:after="20"/>
              <w:rPr>
                <w:rFonts w:asciiTheme="minorEastAsia" w:hAnsiTheme="minorEastAsia"/>
                <w:sz w:val="21"/>
                <w:szCs w:val="21"/>
              </w:rPr>
            </w:pPr>
            <w:r>
              <w:rPr>
                <w:rFonts w:hint="eastAsia" w:asciiTheme="minorEastAsia" w:hAnsiTheme="minorEastAsia"/>
                <w:sz w:val="21"/>
                <w:szCs w:val="21"/>
              </w:rPr>
              <w:t>2025-2026年CUFA中国大学生排球联赛</w:t>
            </w:r>
          </w:p>
        </w:tc>
      </w:tr>
      <w:tr w14:paraId="306C5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1DBB88B5">
            <w:pPr>
              <w:rPr>
                <w:rFonts w:asciiTheme="minorEastAsia" w:hAnsiTheme="minorEastAsia"/>
                <w:sz w:val="21"/>
                <w:szCs w:val="21"/>
              </w:rPr>
            </w:pPr>
          </w:p>
        </w:tc>
        <w:tc>
          <w:tcPr>
            <w:tcW w:w="7310" w:type="dxa"/>
            <w:vAlign w:val="center"/>
          </w:tcPr>
          <w:p w14:paraId="0BA4BAE7">
            <w:pPr>
              <w:spacing w:before="20" w:after="20"/>
              <w:rPr>
                <w:rFonts w:asciiTheme="minorEastAsia" w:hAnsiTheme="minorEastAsia"/>
                <w:sz w:val="21"/>
                <w:szCs w:val="21"/>
              </w:rPr>
            </w:pPr>
            <w:r>
              <w:rPr>
                <w:rFonts w:hint="eastAsia" w:asciiTheme="minorEastAsia" w:hAnsiTheme="minorEastAsia"/>
                <w:sz w:val="21"/>
                <w:szCs w:val="21"/>
              </w:rPr>
              <w:t>2026年全国体操锦标赛</w:t>
            </w:r>
          </w:p>
        </w:tc>
      </w:tr>
      <w:tr w14:paraId="3B74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53F22ABB">
            <w:pPr>
              <w:rPr>
                <w:rFonts w:asciiTheme="minorEastAsia" w:hAnsiTheme="minorEastAsia"/>
                <w:sz w:val="21"/>
                <w:szCs w:val="21"/>
              </w:rPr>
            </w:pPr>
          </w:p>
        </w:tc>
        <w:tc>
          <w:tcPr>
            <w:tcW w:w="7310" w:type="dxa"/>
            <w:vAlign w:val="center"/>
          </w:tcPr>
          <w:p w14:paraId="7F3B771D">
            <w:pPr>
              <w:spacing w:before="20" w:after="20"/>
              <w:rPr>
                <w:rFonts w:asciiTheme="minorEastAsia" w:hAnsiTheme="minorEastAsia"/>
                <w:sz w:val="21"/>
                <w:szCs w:val="21"/>
              </w:rPr>
            </w:pPr>
            <w:r>
              <w:rPr>
                <w:rFonts w:hint="eastAsia" w:asciiTheme="minorEastAsia" w:hAnsiTheme="minorEastAsia"/>
                <w:sz w:val="21"/>
                <w:szCs w:val="21"/>
              </w:rPr>
              <w:t>春兰杯世界职业围棋锦标赛</w:t>
            </w:r>
          </w:p>
        </w:tc>
      </w:tr>
      <w:tr w14:paraId="52FF6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restart"/>
            <w:vAlign w:val="center"/>
          </w:tcPr>
          <w:p w14:paraId="0DD82B9C">
            <w:pPr>
              <w:spacing w:before="20" w:after="20"/>
              <w:jc w:val="center"/>
              <w:rPr>
                <w:rFonts w:asciiTheme="minorEastAsia" w:hAnsiTheme="minorEastAsia"/>
                <w:sz w:val="21"/>
                <w:szCs w:val="21"/>
              </w:rPr>
            </w:pPr>
            <w:r>
              <w:rPr>
                <w:rFonts w:hint="eastAsia" w:asciiTheme="minorEastAsia" w:hAnsiTheme="minorEastAsia"/>
                <w:b/>
                <w:sz w:val="21"/>
                <w:szCs w:val="21"/>
              </w:rPr>
              <w:t>大型</w:t>
            </w:r>
          </w:p>
        </w:tc>
        <w:tc>
          <w:tcPr>
            <w:tcW w:w="7310" w:type="dxa"/>
            <w:vAlign w:val="center"/>
          </w:tcPr>
          <w:p w14:paraId="04680546">
            <w:pPr>
              <w:spacing w:before="20" w:after="20"/>
              <w:rPr>
                <w:rFonts w:asciiTheme="minorEastAsia" w:hAnsiTheme="minorEastAsia"/>
                <w:sz w:val="21"/>
                <w:szCs w:val="21"/>
              </w:rPr>
            </w:pPr>
            <w:r>
              <w:rPr>
                <w:rFonts w:hint="eastAsia" w:asciiTheme="minorEastAsia" w:hAnsiTheme="minorEastAsia"/>
                <w:sz w:val="21"/>
                <w:szCs w:val="21"/>
              </w:rPr>
              <w:t>2026年米兰冬奥会</w:t>
            </w:r>
          </w:p>
        </w:tc>
      </w:tr>
      <w:tr w14:paraId="7866A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0" w:type="dxa"/>
            <w:vMerge w:val="continue"/>
            <w:vAlign w:val="center"/>
          </w:tcPr>
          <w:p w14:paraId="66F14CFD">
            <w:pPr>
              <w:rPr>
                <w:rFonts w:asciiTheme="minorEastAsia" w:hAnsiTheme="minorEastAsia"/>
                <w:sz w:val="21"/>
                <w:szCs w:val="21"/>
              </w:rPr>
            </w:pPr>
          </w:p>
        </w:tc>
        <w:tc>
          <w:tcPr>
            <w:tcW w:w="7310" w:type="dxa"/>
            <w:vAlign w:val="center"/>
          </w:tcPr>
          <w:p w14:paraId="3F4E957F">
            <w:pPr>
              <w:spacing w:before="20" w:after="20"/>
              <w:rPr>
                <w:rFonts w:asciiTheme="minorEastAsia" w:hAnsiTheme="minorEastAsia"/>
                <w:sz w:val="21"/>
                <w:szCs w:val="21"/>
              </w:rPr>
            </w:pPr>
            <w:r>
              <w:rPr>
                <w:rFonts w:hint="eastAsia" w:asciiTheme="minorEastAsia" w:hAnsiTheme="minorEastAsia"/>
                <w:sz w:val="21"/>
                <w:szCs w:val="21"/>
              </w:rPr>
              <w:t>2026年美加墨世界杯</w:t>
            </w:r>
          </w:p>
        </w:tc>
      </w:tr>
    </w:tbl>
    <w:p w14:paraId="31A6AF72">
      <w:pPr>
        <w:spacing w:after="180" w:line="360" w:lineRule="auto"/>
        <w:rPr>
          <w:rFonts w:asciiTheme="minorEastAsia" w:hAnsiTheme="minorEastAsia"/>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E3A51">
    <w:pPr>
      <w:pStyle w:val="16"/>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043B8">
                          <w:pPr>
                            <w:pStyle w:val="1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D043B8">
                    <w:pPr>
                      <w:pStyle w:val="16"/>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2A5F25"/>
    <w:multiLevelType w:val="singleLevel"/>
    <w:tmpl w:val="D12A5F25"/>
    <w:lvl w:ilvl="0" w:tentative="0">
      <w:start w:val="1"/>
      <w:numFmt w:val="decimal"/>
      <w:lvlText w:val="(%1)"/>
      <w:lvlJc w:val="left"/>
      <w:pPr>
        <w:ind w:left="425" w:hanging="425"/>
      </w:pPr>
      <w:rPr>
        <w:rFonts w:hint="default"/>
      </w:rPr>
    </w:lvl>
  </w:abstractNum>
  <w:abstractNum w:abstractNumId="1">
    <w:nsid w:val="D302FF04"/>
    <w:multiLevelType w:val="singleLevel"/>
    <w:tmpl w:val="D302FF04"/>
    <w:lvl w:ilvl="0" w:tentative="0">
      <w:start w:val="1"/>
      <w:numFmt w:val="decimal"/>
      <w:lvlText w:val="(%1)"/>
      <w:lvlJc w:val="left"/>
      <w:pPr>
        <w:ind w:left="425" w:hanging="425"/>
      </w:pPr>
      <w:rPr>
        <w:rFonts w:hint="default"/>
      </w:rPr>
    </w:lvl>
  </w:abstractNum>
  <w:abstractNum w:abstractNumId="2">
    <w:nsid w:val="EFD20333"/>
    <w:multiLevelType w:val="singleLevel"/>
    <w:tmpl w:val="EFD20333"/>
    <w:lvl w:ilvl="0" w:tentative="0">
      <w:start w:val="1"/>
      <w:numFmt w:val="decimal"/>
      <w:lvlText w:val="(%1)"/>
      <w:lvlJc w:val="left"/>
      <w:pPr>
        <w:ind w:left="425" w:hanging="425"/>
      </w:pPr>
      <w:rPr>
        <w:rFonts w:hint="default"/>
      </w:rPr>
    </w:lvl>
  </w:abstractNum>
  <w:abstractNum w:abstractNumId="3">
    <w:nsid w:val="FFFFFF89"/>
    <w:multiLevelType w:val="singleLevel"/>
    <w:tmpl w:val="FFFFFF89"/>
    <w:lvl w:ilvl="0" w:tentative="0">
      <w:start w:val="1"/>
      <w:numFmt w:val="bullet"/>
      <w:pStyle w:val="11"/>
      <w:lvlText w:val=""/>
      <w:lvlJc w:val="left"/>
      <w:pPr>
        <w:tabs>
          <w:tab w:val="left" w:pos="360"/>
        </w:tabs>
        <w:ind w:left="360" w:hanging="360"/>
      </w:pPr>
      <w:rPr>
        <w:rFonts w:hint="default" w:ascii="Symbol" w:hAnsi="Symbol"/>
      </w:rPr>
    </w:lvl>
  </w:abstractNum>
  <w:abstractNum w:abstractNumId="4">
    <w:nsid w:val="185EFD44"/>
    <w:multiLevelType w:val="multilevel"/>
    <w:tmpl w:val="185EFD44"/>
    <w:lvl w:ilvl="0" w:tentative="0">
      <w:start w:val="1"/>
      <w:numFmt w:val="decimal"/>
      <w:pStyle w:val="2"/>
      <w:lvlText w:val="%1."/>
      <w:lvlJc w:val="left"/>
      <w:pPr>
        <w:ind w:left="432" w:hanging="432"/>
      </w:pPr>
      <w:rPr>
        <w:rFonts w:hint="default" w:ascii="黑体" w:hAnsi="黑体" w:eastAsia="黑体" w:cs="黑体"/>
      </w:rPr>
    </w:lvl>
    <w:lvl w:ilvl="1" w:tentative="0">
      <w:start w:val="1"/>
      <w:numFmt w:val="decimal"/>
      <w:pStyle w:val="3"/>
      <w:lvlText w:val="%1.%2."/>
      <w:lvlJc w:val="left"/>
      <w:pPr>
        <w:ind w:left="575" w:hanging="575"/>
      </w:pPr>
      <w:rPr>
        <w:rFonts w:hint="default" w:ascii="黑体" w:hAnsi="黑体" w:eastAsia="黑体" w:cs="黑体"/>
      </w:rPr>
    </w:lvl>
    <w:lvl w:ilvl="2" w:tentative="0">
      <w:start w:val="1"/>
      <w:numFmt w:val="decimal"/>
      <w:pStyle w:val="4"/>
      <w:lvlText w:val="%1.%2.%3."/>
      <w:lvlJc w:val="left"/>
      <w:pPr>
        <w:ind w:left="720" w:hanging="720"/>
      </w:pPr>
      <w:rPr>
        <w:rFonts w:hint="default" w:ascii="黑体" w:hAnsi="黑体" w:eastAsia="黑体" w:cs="黑体"/>
        <w:b/>
        <w:bCs/>
        <w:sz w:val="24"/>
        <w:szCs w:val="24"/>
      </w:rPr>
    </w:lvl>
    <w:lvl w:ilvl="3" w:tentative="0">
      <w:start w:val="1"/>
      <w:numFmt w:val="decimal"/>
      <w:pStyle w:val="5"/>
      <w:lvlText w:val="%1.%2.%3.%4."/>
      <w:lvlJc w:val="left"/>
      <w:pPr>
        <w:ind w:left="864" w:hanging="864"/>
      </w:pPr>
      <w:rPr>
        <w:rFonts w:hint="default"/>
        <w:sz w:val="24"/>
        <w:szCs w:val="24"/>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5">
    <w:nsid w:val="3FC3C566"/>
    <w:multiLevelType w:val="singleLevel"/>
    <w:tmpl w:val="3FC3C566"/>
    <w:lvl w:ilvl="0" w:tentative="0">
      <w:start w:val="1"/>
      <w:numFmt w:val="decimal"/>
      <w:lvlText w:val="(%1)"/>
      <w:lvlJc w:val="left"/>
      <w:pPr>
        <w:ind w:left="425" w:hanging="425"/>
      </w:pPr>
      <w:rPr>
        <w:rFonts w:hint="default"/>
      </w:rPr>
    </w:lvl>
  </w:abstractNum>
  <w:abstractNum w:abstractNumId="6">
    <w:nsid w:val="6A6A2C9A"/>
    <w:multiLevelType w:val="singleLevel"/>
    <w:tmpl w:val="6A6A2C9A"/>
    <w:lvl w:ilvl="0" w:tentative="0">
      <w:start w:val="1"/>
      <w:numFmt w:val="decimal"/>
      <w:lvlText w:val="(%1)"/>
      <w:lvlJc w:val="left"/>
      <w:pPr>
        <w:ind w:left="425" w:hanging="425"/>
      </w:pPr>
      <w:rPr>
        <w:rFonts w:hint="default"/>
      </w:rPr>
    </w:lvl>
  </w:abstractNum>
  <w:abstractNum w:abstractNumId="7">
    <w:nsid w:val="7AECFCE2"/>
    <w:multiLevelType w:val="singleLevel"/>
    <w:tmpl w:val="7AECFCE2"/>
    <w:lvl w:ilvl="0" w:tentative="0">
      <w:start w:val="1"/>
      <w:numFmt w:val="decimal"/>
      <w:lvlText w:val="(%1)"/>
      <w:lvlJc w:val="left"/>
      <w:pPr>
        <w:ind w:left="425" w:hanging="425"/>
      </w:pPr>
      <w:rPr>
        <w:rFonts w:hint="default"/>
      </w:rPr>
    </w:lvl>
  </w:abstractNum>
  <w:num w:numId="1">
    <w:abstractNumId w:val="4"/>
  </w:num>
  <w:num w:numId="2">
    <w:abstractNumId w:val="3"/>
  </w:num>
  <w:num w:numId="3">
    <w:abstractNumId w:val="7"/>
  </w:num>
  <w:num w:numId="4">
    <w:abstractNumId w:val="5"/>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NotDisplayPageBoundaries w:val="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ABECC"/>
    <w:rsid w:val="000052EC"/>
    <w:rsid w:val="0001670E"/>
    <w:rsid w:val="00060B81"/>
    <w:rsid w:val="00063794"/>
    <w:rsid w:val="00063CCF"/>
    <w:rsid w:val="000777F1"/>
    <w:rsid w:val="00087093"/>
    <w:rsid w:val="000A549F"/>
    <w:rsid w:val="000C35A6"/>
    <w:rsid w:val="000F1926"/>
    <w:rsid w:val="000F2E5C"/>
    <w:rsid w:val="001124BC"/>
    <w:rsid w:val="00130459"/>
    <w:rsid w:val="00145DAE"/>
    <w:rsid w:val="00153830"/>
    <w:rsid w:val="0017159A"/>
    <w:rsid w:val="001D23B3"/>
    <w:rsid w:val="001F0812"/>
    <w:rsid w:val="00264DCF"/>
    <w:rsid w:val="002A6419"/>
    <w:rsid w:val="002A7F52"/>
    <w:rsid w:val="002B5533"/>
    <w:rsid w:val="002B7EA0"/>
    <w:rsid w:val="003056DE"/>
    <w:rsid w:val="00326109"/>
    <w:rsid w:val="003462E3"/>
    <w:rsid w:val="00384E09"/>
    <w:rsid w:val="00396925"/>
    <w:rsid w:val="003A305E"/>
    <w:rsid w:val="003A4ECB"/>
    <w:rsid w:val="003B36DA"/>
    <w:rsid w:val="003C0DF2"/>
    <w:rsid w:val="003D7BA4"/>
    <w:rsid w:val="003E2476"/>
    <w:rsid w:val="003E6BF2"/>
    <w:rsid w:val="004133FA"/>
    <w:rsid w:val="004255F9"/>
    <w:rsid w:val="004730A6"/>
    <w:rsid w:val="00497E85"/>
    <w:rsid w:val="004D0325"/>
    <w:rsid w:val="004F0192"/>
    <w:rsid w:val="005306AF"/>
    <w:rsid w:val="00541A7C"/>
    <w:rsid w:val="0055560D"/>
    <w:rsid w:val="00571D1B"/>
    <w:rsid w:val="005951B5"/>
    <w:rsid w:val="005D6A32"/>
    <w:rsid w:val="005E16A6"/>
    <w:rsid w:val="005F40C7"/>
    <w:rsid w:val="00601C0B"/>
    <w:rsid w:val="00632328"/>
    <w:rsid w:val="006375F0"/>
    <w:rsid w:val="00646E32"/>
    <w:rsid w:val="00687A37"/>
    <w:rsid w:val="006A0AAC"/>
    <w:rsid w:val="006C1A17"/>
    <w:rsid w:val="006D3FC9"/>
    <w:rsid w:val="006D4E06"/>
    <w:rsid w:val="006E51C3"/>
    <w:rsid w:val="006F754A"/>
    <w:rsid w:val="007174F0"/>
    <w:rsid w:val="007A03A6"/>
    <w:rsid w:val="007C42C3"/>
    <w:rsid w:val="007F27B3"/>
    <w:rsid w:val="008571E3"/>
    <w:rsid w:val="008760ED"/>
    <w:rsid w:val="00883274"/>
    <w:rsid w:val="00890A48"/>
    <w:rsid w:val="00933CB7"/>
    <w:rsid w:val="00941B80"/>
    <w:rsid w:val="00963735"/>
    <w:rsid w:val="00986007"/>
    <w:rsid w:val="009D03C7"/>
    <w:rsid w:val="009F738E"/>
    <w:rsid w:val="00A407DA"/>
    <w:rsid w:val="00A40C9C"/>
    <w:rsid w:val="00A508DB"/>
    <w:rsid w:val="00A92528"/>
    <w:rsid w:val="00A95627"/>
    <w:rsid w:val="00AE388C"/>
    <w:rsid w:val="00B1444A"/>
    <w:rsid w:val="00B15AC5"/>
    <w:rsid w:val="00B26BB1"/>
    <w:rsid w:val="00B37A68"/>
    <w:rsid w:val="00B47EB6"/>
    <w:rsid w:val="00B53426"/>
    <w:rsid w:val="00B55938"/>
    <w:rsid w:val="00B57B36"/>
    <w:rsid w:val="00B80ABA"/>
    <w:rsid w:val="00B9653C"/>
    <w:rsid w:val="00BD56F7"/>
    <w:rsid w:val="00BE3CFB"/>
    <w:rsid w:val="00C36858"/>
    <w:rsid w:val="00C51C81"/>
    <w:rsid w:val="00C63EC7"/>
    <w:rsid w:val="00C832D3"/>
    <w:rsid w:val="00CB46CA"/>
    <w:rsid w:val="00CC6417"/>
    <w:rsid w:val="00CD6C07"/>
    <w:rsid w:val="00CE0A60"/>
    <w:rsid w:val="00D15102"/>
    <w:rsid w:val="00D32969"/>
    <w:rsid w:val="00D43352"/>
    <w:rsid w:val="00D87919"/>
    <w:rsid w:val="00D94502"/>
    <w:rsid w:val="00DB22AA"/>
    <w:rsid w:val="00DB6962"/>
    <w:rsid w:val="00DD043D"/>
    <w:rsid w:val="00DE69B7"/>
    <w:rsid w:val="00E27700"/>
    <w:rsid w:val="00E606CD"/>
    <w:rsid w:val="00EA078C"/>
    <w:rsid w:val="00EA258E"/>
    <w:rsid w:val="00EC3EAB"/>
    <w:rsid w:val="00ED49B6"/>
    <w:rsid w:val="00EE0F95"/>
    <w:rsid w:val="00F02299"/>
    <w:rsid w:val="00F156BB"/>
    <w:rsid w:val="00F2799B"/>
    <w:rsid w:val="00F3061D"/>
    <w:rsid w:val="00F42E9E"/>
    <w:rsid w:val="00F679FD"/>
    <w:rsid w:val="00F92BA9"/>
    <w:rsid w:val="00FA062A"/>
    <w:rsid w:val="00FF4DB1"/>
    <w:rsid w:val="01017FB5"/>
    <w:rsid w:val="010356B7"/>
    <w:rsid w:val="010A5041"/>
    <w:rsid w:val="010B6346"/>
    <w:rsid w:val="01124578"/>
    <w:rsid w:val="011E1AE4"/>
    <w:rsid w:val="012610EE"/>
    <w:rsid w:val="01292073"/>
    <w:rsid w:val="012A7AF5"/>
    <w:rsid w:val="01376E0A"/>
    <w:rsid w:val="013C6B15"/>
    <w:rsid w:val="01412F9D"/>
    <w:rsid w:val="01467425"/>
    <w:rsid w:val="014E4831"/>
    <w:rsid w:val="01511039"/>
    <w:rsid w:val="01590644"/>
    <w:rsid w:val="015A6346"/>
    <w:rsid w:val="01654456"/>
    <w:rsid w:val="016731DD"/>
    <w:rsid w:val="016A6360"/>
    <w:rsid w:val="016C1863"/>
    <w:rsid w:val="016F05E9"/>
    <w:rsid w:val="01713AEC"/>
    <w:rsid w:val="01715CEB"/>
    <w:rsid w:val="01746C6F"/>
    <w:rsid w:val="017930F7"/>
    <w:rsid w:val="017B65FA"/>
    <w:rsid w:val="01815F85"/>
    <w:rsid w:val="0186240D"/>
    <w:rsid w:val="018C4316"/>
    <w:rsid w:val="018E7819"/>
    <w:rsid w:val="019012E3"/>
    <w:rsid w:val="01914021"/>
    <w:rsid w:val="01924994"/>
    <w:rsid w:val="019A4073"/>
    <w:rsid w:val="019E1F5B"/>
    <w:rsid w:val="019F3337"/>
    <w:rsid w:val="01A377BE"/>
    <w:rsid w:val="01B24556"/>
    <w:rsid w:val="01BD43CF"/>
    <w:rsid w:val="01C32272"/>
    <w:rsid w:val="01C50FF8"/>
    <w:rsid w:val="01C66A79"/>
    <w:rsid w:val="01C744FB"/>
    <w:rsid w:val="01CB767E"/>
    <w:rsid w:val="01CD2B81"/>
    <w:rsid w:val="01D2288C"/>
    <w:rsid w:val="01D932CB"/>
    <w:rsid w:val="01DE2D5F"/>
    <w:rsid w:val="01E65CA9"/>
    <w:rsid w:val="01EF43BB"/>
    <w:rsid w:val="01F96EC8"/>
    <w:rsid w:val="01FA01CD"/>
    <w:rsid w:val="020F48EF"/>
    <w:rsid w:val="020F621C"/>
    <w:rsid w:val="0216427A"/>
    <w:rsid w:val="021B0702"/>
    <w:rsid w:val="0220040D"/>
    <w:rsid w:val="022A0D1C"/>
    <w:rsid w:val="022D3E9F"/>
    <w:rsid w:val="02304E24"/>
    <w:rsid w:val="023976A3"/>
    <w:rsid w:val="023C66B8"/>
    <w:rsid w:val="023D1F3B"/>
    <w:rsid w:val="02412B40"/>
    <w:rsid w:val="024C4754"/>
    <w:rsid w:val="02515359"/>
    <w:rsid w:val="02580567"/>
    <w:rsid w:val="02610E76"/>
    <w:rsid w:val="02646578"/>
    <w:rsid w:val="026774FC"/>
    <w:rsid w:val="026A3B24"/>
    <w:rsid w:val="026C7207"/>
    <w:rsid w:val="02705C0D"/>
    <w:rsid w:val="027A3F9F"/>
    <w:rsid w:val="027B56B6"/>
    <w:rsid w:val="028326B0"/>
    <w:rsid w:val="02890D36"/>
    <w:rsid w:val="02927447"/>
    <w:rsid w:val="029525CA"/>
    <w:rsid w:val="029638CF"/>
    <w:rsid w:val="029640FE"/>
    <w:rsid w:val="0298354F"/>
    <w:rsid w:val="029A22D5"/>
    <w:rsid w:val="02A0095B"/>
    <w:rsid w:val="02A42BE4"/>
    <w:rsid w:val="02A44DE3"/>
    <w:rsid w:val="02A47361"/>
    <w:rsid w:val="02A50666"/>
    <w:rsid w:val="02A52864"/>
    <w:rsid w:val="02AE56F2"/>
    <w:rsid w:val="02B11EFA"/>
    <w:rsid w:val="02B16677"/>
    <w:rsid w:val="02B353FD"/>
    <w:rsid w:val="02BF1210"/>
    <w:rsid w:val="02C22194"/>
    <w:rsid w:val="02CD5FA7"/>
    <w:rsid w:val="02D45932"/>
    <w:rsid w:val="02D533B3"/>
    <w:rsid w:val="02DE3CC3"/>
    <w:rsid w:val="02EA3359"/>
    <w:rsid w:val="02F8266E"/>
    <w:rsid w:val="02FA559D"/>
    <w:rsid w:val="03012D45"/>
    <w:rsid w:val="03082909"/>
    <w:rsid w:val="030B000A"/>
    <w:rsid w:val="030B2604"/>
    <w:rsid w:val="0314671B"/>
    <w:rsid w:val="03182BA3"/>
    <w:rsid w:val="031F6CAB"/>
    <w:rsid w:val="033546D2"/>
    <w:rsid w:val="033E7560"/>
    <w:rsid w:val="03456EEA"/>
    <w:rsid w:val="03477E6F"/>
    <w:rsid w:val="034D1D78"/>
    <w:rsid w:val="03541703"/>
    <w:rsid w:val="03544F87"/>
    <w:rsid w:val="035A360D"/>
    <w:rsid w:val="035C2393"/>
    <w:rsid w:val="038369CF"/>
    <w:rsid w:val="038753D5"/>
    <w:rsid w:val="03882E57"/>
    <w:rsid w:val="038A635A"/>
    <w:rsid w:val="038E05E4"/>
    <w:rsid w:val="039424ED"/>
    <w:rsid w:val="03967BEE"/>
    <w:rsid w:val="03986975"/>
    <w:rsid w:val="03B46A51"/>
    <w:rsid w:val="03D17DD3"/>
    <w:rsid w:val="03DA73DE"/>
    <w:rsid w:val="03E35AEF"/>
    <w:rsid w:val="03EA7678"/>
    <w:rsid w:val="03FD0897"/>
    <w:rsid w:val="04074A2A"/>
    <w:rsid w:val="04075A01"/>
    <w:rsid w:val="041462BE"/>
    <w:rsid w:val="041617C1"/>
    <w:rsid w:val="04175703"/>
    <w:rsid w:val="041C114C"/>
    <w:rsid w:val="042155D4"/>
    <w:rsid w:val="04253FDA"/>
    <w:rsid w:val="04291C9B"/>
    <w:rsid w:val="042E26EB"/>
    <w:rsid w:val="043232F0"/>
    <w:rsid w:val="04402605"/>
    <w:rsid w:val="0441390A"/>
    <w:rsid w:val="044C1C9B"/>
    <w:rsid w:val="044D771D"/>
    <w:rsid w:val="044F06A2"/>
    <w:rsid w:val="045370A8"/>
    <w:rsid w:val="0459572E"/>
    <w:rsid w:val="04664A43"/>
    <w:rsid w:val="046B474E"/>
    <w:rsid w:val="046F3155"/>
    <w:rsid w:val="04790595"/>
    <w:rsid w:val="047D246A"/>
    <w:rsid w:val="048033EF"/>
    <w:rsid w:val="04837BF7"/>
    <w:rsid w:val="0488627D"/>
    <w:rsid w:val="048B0DEF"/>
    <w:rsid w:val="049A1A1A"/>
    <w:rsid w:val="04A071A7"/>
    <w:rsid w:val="04A732AF"/>
    <w:rsid w:val="04B11640"/>
    <w:rsid w:val="04B86DCC"/>
    <w:rsid w:val="04B96A4C"/>
    <w:rsid w:val="04C13E58"/>
    <w:rsid w:val="04C2515D"/>
    <w:rsid w:val="04C32E81"/>
    <w:rsid w:val="04C837E3"/>
    <w:rsid w:val="04CA256A"/>
    <w:rsid w:val="04D94D82"/>
    <w:rsid w:val="04DD6DC7"/>
    <w:rsid w:val="04E27C10"/>
    <w:rsid w:val="04E50B95"/>
    <w:rsid w:val="04E7791B"/>
    <w:rsid w:val="04E92E1E"/>
    <w:rsid w:val="04EA08A0"/>
    <w:rsid w:val="04EA2A9E"/>
    <w:rsid w:val="04F11764"/>
    <w:rsid w:val="04F15CAC"/>
    <w:rsid w:val="04F200E8"/>
    <w:rsid w:val="04F77BB6"/>
    <w:rsid w:val="04FC07BA"/>
    <w:rsid w:val="05056ECB"/>
    <w:rsid w:val="050A20E6"/>
    <w:rsid w:val="050A4C6D"/>
    <w:rsid w:val="050B5164"/>
    <w:rsid w:val="050E3F58"/>
    <w:rsid w:val="05104967"/>
    <w:rsid w:val="05157166"/>
    <w:rsid w:val="051A57EC"/>
    <w:rsid w:val="051C0CEF"/>
    <w:rsid w:val="051D4572"/>
    <w:rsid w:val="052076F5"/>
    <w:rsid w:val="0522647B"/>
    <w:rsid w:val="052C6D8B"/>
    <w:rsid w:val="052F448C"/>
    <w:rsid w:val="0537511C"/>
    <w:rsid w:val="054E0EA3"/>
    <w:rsid w:val="05513747"/>
    <w:rsid w:val="05561E22"/>
    <w:rsid w:val="055B0EB3"/>
    <w:rsid w:val="055E085F"/>
    <w:rsid w:val="056239E2"/>
    <w:rsid w:val="05627F4C"/>
    <w:rsid w:val="056D77F4"/>
    <w:rsid w:val="056E3078"/>
    <w:rsid w:val="056E5276"/>
    <w:rsid w:val="057255EF"/>
    <w:rsid w:val="05781409"/>
    <w:rsid w:val="05783352"/>
    <w:rsid w:val="057A490C"/>
    <w:rsid w:val="05822DD6"/>
    <w:rsid w:val="05885E20"/>
    <w:rsid w:val="058A4BA6"/>
    <w:rsid w:val="05910CAE"/>
    <w:rsid w:val="05980638"/>
    <w:rsid w:val="05A531D1"/>
    <w:rsid w:val="05A766D5"/>
    <w:rsid w:val="05A97997"/>
    <w:rsid w:val="05B01562"/>
    <w:rsid w:val="05B16FE4"/>
    <w:rsid w:val="05B31D8A"/>
    <w:rsid w:val="05B6346C"/>
    <w:rsid w:val="05BE62FA"/>
    <w:rsid w:val="05C51508"/>
    <w:rsid w:val="05C56353"/>
    <w:rsid w:val="05C8248C"/>
    <w:rsid w:val="05CA5990"/>
    <w:rsid w:val="05CB7B8E"/>
    <w:rsid w:val="05CE4396"/>
    <w:rsid w:val="05D22D9C"/>
    <w:rsid w:val="05DA01A8"/>
    <w:rsid w:val="05E46539"/>
    <w:rsid w:val="05E774BE"/>
    <w:rsid w:val="05E929C1"/>
    <w:rsid w:val="05FA06DD"/>
    <w:rsid w:val="0603356B"/>
    <w:rsid w:val="06056A6E"/>
    <w:rsid w:val="06076FD2"/>
    <w:rsid w:val="060C6088"/>
    <w:rsid w:val="06125D84"/>
    <w:rsid w:val="061C1F17"/>
    <w:rsid w:val="061C36A8"/>
    <w:rsid w:val="061F7618"/>
    <w:rsid w:val="06262826"/>
    <w:rsid w:val="062A342B"/>
    <w:rsid w:val="062E56B4"/>
    <w:rsid w:val="06300BB7"/>
    <w:rsid w:val="063470C2"/>
    <w:rsid w:val="063475BD"/>
    <w:rsid w:val="063E7ECD"/>
    <w:rsid w:val="06410E51"/>
    <w:rsid w:val="064E48E4"/>
    <w:rsid w:val="064F5BE9"/>
    <w:rsid w:val="06507DE7"/>
    <w:rsid w:val="0654426F"/>
    <w:rsid w:val="06557AF2"/>
    <w:rsid w:val="06565574"/>
    <w:rsid w:val="0666580E"/>
    <w:rsid w:val="06750027"/>
    <w:rsid w:val="0686189B"/>
    <w:rsid w:val="068B4749"/>
    <w:rsid w:val="0690109C"/>
    <w:rsid w:val="06994D63"/>
    <w:rsid w:val="069F33E9"/>
    <w:rsid w:val="06A665F7"/>
    <w:rsid w:val="06AF3684"/>
    <w:rsid w:val="06B66892"/>
    <w:rsid w:val="06B97816"/>
    <w:rsid w:val="06BE3C9E"/>
    <w:rsid w:val="06C16E21"/>
    <w:rsid w:val="06E53B5E"/>
    <w:rsid w:val="06EA3869"/>
    <w:rsid w:val="06EB485D"/>
    <w:rsid w:val="06ED0F6A"/>
    <w:rsid w:val="06F17970"/>
    <w:rsid w:val="07005A0C"/>
    <w:rsid w:val="0701348E"/>
    <w:rsid w:val="07075397"/>
    <w:rsid w:val="07115CA7"/>
    <w:rsid w:val="07153256"/>
    <w:rsid w:val="071747CF"/>
    <w:rsid w:val="071F71BB"/>
    <w:rsid w:val="07254947"/>
    <w:rsid w:val="0729554C"/>
    <w:rsid w:val="073B6AEB"/>
    <w:rsid w:val="073C456C"/>
    <w:rsid w:val="07454E7C"/>
    <w:rsid w:val="07552F18"/>
    <w:rsid w:val="076A3DB7"/>
    <w:rsid w:val="076F3AC2"/>
    <w:rsid w:val="07736C45"/>
    <w:rsid w:val="07752148"/>
    <w:rsid w:val="07780B4E"/>
    <w:rsid w:val="077B45D0"/>
    <w:rsid w:val="077F62D7"/>
    <w:rsid w:val="07890DE8"/>
    <w:rsid w:val="0789466C"/>
    <w:rsid w:val="07935C97"/>
    <w:rsid w:val="07937179"/>
    <w:rsid w:val="07963981"/>
    <w:rsid w:val="07A04291"/>
    <w:rsid w:val="07B509B3"/>
    <w:rsid w:val="07B851BB"/>
    <w:rsid w:val="07BA49ED"/>
    <w:rsid w:val="07C531CC"/>
    <w:rsid w:val="07C71F52"/>
    <w:rsid w:val="07C95455"/>
    <w:rsid w:val="07D41268"/>
    <w:rsid w:val="07DD0873"/>
    <w:rsid w:val="07E45C7F"/>
    <w:rsid w:val="07E53700"/>
    <w:rsid w:val="07EC308B"/>
    <w:rsid w:val="07F13FAE"/>
    <w:rsid w:val="07FA7E23"/>
    <w:rsid w:val="080D6E43"/>
    <w:rsid w:val="081008B1"/>
    <w:rsid w:val="081467CE"/>
    <w:rsid w:val="08154250"/>
    <w:rsid w:val="08182C56"/>
    <w:rsid w:val="081B19DC"/>
    <w:rsid w:val="081D70DE"/>
    <w:rsid w:val="081E4B5F"/>
    <w:rsid w:val="08212225"/>
    <w:rsid w:val="082422EC"/>
    <w:rsid w:val="08261F6C"/>
    <w:rsid w:val="08285FB7"/>
    <w:rsid w:val="08383D3F"/>
    <w:rsid w:val="083D5414"/>
    <w:rsid w:val="08411379"/>
    <w:rsid w:val="084632AF"/>
    <w:rsid w:val="084724A0"/>
    <w:rsid w:val="084D1E2B"/>
    <w:rsid w:val="084D7C2D"/>
    <w:rsid w:val="085140B5"/>
    <w:rsid w:val="085D7EC7"/>
    <w:rsid w:val="08625B7F"/>
    <w:rsid w:val="08762FEF"/>
    <w:rsid w:val="08793F74"/>
    <w:rsid w:val="08903B99"/>
    <w:rsid w:val="08922920"/>
    <w:rsid w:val="089239B9"/>
    <w:rsid w:val="08945E23"/>
    <w:rsid w:val="089A7D2C"/>
    <w:rsid w:val="089E0931"/>
    <w:rsid w:val="08A27337"/>
    <w:rsid w:val="08A65C37"/>
    <w:rsid w:val="08A81240"/>
    <w:rsid w:val="08A96CC2"/>
    <w:rsid w:val="08AB57EE"/>
    <w:rsid w:val="08B253D3"/>
    <w:rsid w:val="08B55272"/>
    <w:rsid w:val="08D87811"/>
    <w:rsid w:val="08DA2D14"/>
    <w:rsid w:val="08DB0795"/>
    <w:rsid w:val="08DC4C5E"/>
    <w:rsid w:val="08E40988"/>
    <w:rsid w:val="08EB3FA2"/>
    <w:rsid w:val="08F54BC3"/>
    <w:rsid w:val="08FE7A50"/>
    <w:rsid w:val="090360D7"/>
    <w:rsid w:val="09093863"/>
    <w:rsid w:val="090C0F64"/>
    <w:rsid w:val="090F1EE9"/>
    <w:rsid w:val="09280895"/>
    <w:rsid w:val="092B4105"/>
    <w:rsid w:val="0930241E"/>
    <w:rsid w:val="09313723"/>
    <w:rsid w:val="09336C26"/>
    <w:rsid w:val="0937562C"/>
    <w:rsid w:val="093B325F"/>
    <w:rsid w:val="094758C6"/>
    <w:rsid w:val="094D3053"/>
    <w:rsid w:val="094D77D0"/>
    <w:rsid w:val="095306EF"/>
    <w:rsid w:val="095835E2"/>
    <w:rsid w:val="0970184A"/>
    <w:rsid w:val="09755111"/>
    <w:rsid w:val="09781919"/>
    <w:rsid w:val="097B701A"/>
    <w:rsid w:val="097D5DA0"/>
    <w:rsid w:val="098E0239"/>
    <w:rsid w:val="09960EC9"/>
    <w:rsid w:val="0997694A"/>
    <w:rsid w:val="099C4B8E"/>
    <w:rsid w:val="099C718D"/>
    <w:rsid w:val="09A61163"/>
    <w:rsid w:val="09A76BE4"/>
    <w:rsid w:val="09B01A72"/>
    <w:rsid w:val="09B052F6"/>
    <w:rsid w:val="09B64FCC"/>
    <w:rsid w:val="09C01D0D"/>
    <w:rsid w:val="09C55650"/>
    <w:rsid w:val="09CF2327"/>
    <w:rsid w:val="09D07DA9"/>
    <w:rsid w:val="09DA06B8"/>
    <w:rsid w:val="09E30FC8"/>
    <w:rsid w:val="09E544CB"/>
    <w:rsid w:val="09E666C9"/>
    <w:rsid w:val="09EC3E56"/>
    <w:rsid w:val="09ED3AD6"/>
    <w:rsid w:val="09F27F5D"/>
    <w:rsid w:val="09F743E5"/>
    <w:rsid w:val="09FB2E89"/>
    <w:rsid w:val="09FC086D"/>
    <w:rsid w:val="0A133D15"/>
    <w:rsid w:val="0A1D4625"/>
    <w:rsid w:val="0A1D4C4D"/>
    <w:rsid w:val="0A21302B"/>
    <w:rsid w:val="0A220AAD"/>
    <w:rsid w:val="0A27573A"/>
    <w:rsid w:val="0A296CB3"/>
    <w:rsid w:val="0A2B71BE"/>
    <w:rsid w:val="0A3B3BD5"/>
    <w:rsid w:val="0A3F005D"/>
    <w:rsid w:val="0A5237FA"/>
    <w:rsid w:val="0A542580"/>
    <w:rsid w:val="0A5D2E90"/>
    <w:rsid w:val="0A67379F"/>
    <w:rsid w:val="0A6B21A6"/>
    <w:rsid w:val="0A7E6C48"/>
    <w:rsid w:val="0A8068C8"/>
    <w:rsid w:val="0A8729A8"/>
    <w:rsid w:val="0A876253"/>
    <w:rsid w:val="0A9145E4"/>
    <w:rsid w:val="0A940DEC"/>
    <w:rsid w:val="0A9615EB"/>
    <w:rsid w:val="0A9B5FA2"/>
    <w:rsid w:val="0AA2487E"/>
    <w:rsid w:val="0AA97A8C"/>
    <w:rsid w:val="0AAD3F14"/>
    <w:rsid w:val="0AB12F85"/>
    <w:rsid w:val="0AB3259A"/>
    <w:rsid w:val="0ABF3E2E"/>
    <w:rsid w:val="0AC018B0"/>
    <w:rsid w:val="0AC53B39"/>
    <w:rsid w:val="0AC55D37"/>
    <w:rsid w:val="0AE84FF2"/>
    <w:rsid w:val="0AEE277F"/>
    <w:rsid w:val="0AF25902"/>
    <w:rsid w:val="0AFB6211"/>
    <w:rsid w:val="0AFD4F98"/>
    <w:rsid w:val="0B005F1C"/>
    <w:rsid w:val="0B01399E"/>
    <w:rsid w:val="0B04109F"/>
    <w:rsid w:val="0B0C1D2F"/>
    <w:rsid w:val="0B1D41C8"/>
    <w:rsid w:val="0B2B0F5F"/>
    <w:rsid w:val="0B2D4462"/>
    <w:rsid w:val="0B300C6A"/>
    <w:rsid w:val="0B3550F2"/>
    <w:rsid w:val="0B410F04"/>
    <w:rsid w:val="0B462E0D"/>
    <w:rsid w:val="0B463E5B"/>
    <w:rsid w:val="0B493D92"/>
    <w:rsid w:val="0B4E021A"/>
    <w:rsid w:val="0B537F25"/>
    <w:rsid w:val="0B5D4FB1"/>
    <w:rsid w:val="0B657E3F"/>
    <w:rsid w:val="0B6D524B"/>
    <w:rsid w:val="0B6E2CCD"/>
    <w:rsid w:val="0B6E5C7D"/>
    <w:rsid w:val="0B7A7C11"/>
    <w:rsid w:val="0B7B1FE3"/>
    <w:rsid w:val="0B7C7A64"/>
    <w:rsid w:val="0B7E0D69"/>
    <w:rsid w:val="0B81776F"/>
    <w:rsid w:val="0B904506"/>
    <w:rsid w:val="0B920297"/>
    <w:rsid w:val="0B927A0A"/>
    <w:rsid w:val="0B9B0319"/>
    <w:rsid w:val="0B9C63E5"/>
    <w:rsid w:val="0BA7412C"/>
    <w:rsid w:val="0BAA50B0"/>
    <w:rsid w:val="0BAD6035"/>
    <w:rsid w:val="0BAE3AB7"/>
    <w:rsid w:val="0BB743C6"/>
    <w:rsid w:val="0BCD656A"/>
    <w:rsid w:val="0BCF1A6D"/>
    <w:rsid w:val="0BCF786E"/>
    <w:rsid w:val="0BD02D72"/>
    <w:rsid w:val="0BD9485A"/>
    <w:rsid w:val="0BE3650F"/>
    <w:rsid w:val="0BE74F15"/>
    <w:rsid w:val="0BE80418"/>
    <w:rsid w:val="0BE92743"/>
    <w:rsid w:val="0BEA391B"/>
    <w:rsid w:val="0BF30FFB"/>
    <w:rsid w:val="0BFA0333"/>
    <w:rsid w:val="0C082ECB"/>
    <w:rsid w:val="0C0B3E50"/>
    <w:rsid w:val="0C0B60F6"/>
    <w:rsid w:val="0C155056"/>
    <w:rsid w:val="0C233289"/>
    <w:rsid w:val="0C3F0E27"/>
    <w:rsid w:val="0C3F55A4"/>
    <w:rsid w:val="0C426949"/>
    <w:rsid w:val="0C476233"/>
    <w:rsid w:val="0C4C26BB"/>
    <w:rsid w:val="0C4D013D"/>
    <w:rsid w:val="0C522046"/>
    <w:rsid w:val="0C5267C3"/>
    <w:rsid w:val="0C560A4C"/>
    <w:rsid w:val="0C5764CE"/>
    <w:rsid w:val="0C5D03D7"/>
    <w:rsid w:val="0C5E598A"/>
    <w:rsid w:val="0C616DDD"/>
    <w:rsid w:val="0C627450"/>
    <w:rsid w:val="0C6841EA"/>
    <w:rsid w:val="0C6B516E"/>
    <w:rsid w:val="0C7F1C11"/>
    <w:rsid w:val="0C7F638D"/>
    <w:rsid w:val="0C86159B"/>
    <w:rsid w:val="0C884A9F"/>
    <w:rsid w:val="0C8A21A0"/>
    <w:rsid w:val="0C911B2B"/>
    <w:rsid w:val="0C9F68C2"/>
    <w:rsid w:val="0CA04344"/>
    <w:rsid w:val="0CA5404F"/>
    <w:rsid w:val="0CA73CCE"/>
    <w:rsid w:val="0CAA4C53"/>
    <w:rsid w:val="0CAB41AD"/>
    <w:rsid w:val="0CAC0156"/>
    <w:rsid w:val="0CB17E61"/>
    <w:rsid w:val="0CB642E9"/>
    <w:rsid w:val="0CC27BBA"/>
    <w:rsid w:val="0CC41080"/>
    <w:rsid w:val="0CC95508"/>
    <w:rsid w:val="0CCA780D"/>
    <w:rsid w:val="0CD56D9C"/>
    <w:rsid w:val="0CD957A2"/>
    <w:rsid w:val="0CDB347F"/>
    <w:rsid w:val="0CE27C09"/>
    <w:rsid w:val="0CE31935"/>
    <w:rsid w:val="0CE515B5"/>
    <w:rsid w:val="0CE62A84"/>
    <w:rsid w:val="0CEB23EA"/>
    <w:rsid w:val="0CED2245"/>
    <w:rsid w:val="0CF0217F"/>
    <w:rsid w:val="0CF053C7"/>
    <w:rsid w:val="0CFC4A5D"/>
    <w:rsid w:val="0CFD24DF"/>
    <w:rsid w:val="0D020B65"/>
    <w:rsid w:val="0D0C4CF8"/>
    <w:rsid w:val="0D12337E"/>
    <w:rsid w:val="0D16768D"/>
    <w:rsid w:val="0D1A620C"/>
    <w:rsid w:val="0D215B97"/>
    <w:rsid w:val="0D23109A"/>
    <w:rsid w:val="0D24239E"/>
    <w:rsid w:val="0D277AA0"/>
    <w:rsid w:val="0D2E2CAE"/>
    <w:rsid w:val="0D3F09CA"/>
    <w:rsid w:val="0D4E5761"/>
    <w:rsid w:val="0D4F6A66"/>
    <w:rsid w:val="0D5044E7"/>
    <w:rsid w:val="0D53766A"/>
    <w:rsid w:val="0D5A4DF7"/>
    <w:rsid w:val="0D5C5D7C"/>
    <w:rsid w:val="0D5D7F7A"/>
    <w:rsid w:val="0D655386"/>
    <w:rsid w:val="0D66668B"/>
    <w:rsid w:val="0D714A1C"/>
    <w:rsid w:val="0D7D3608"/>
    <w:rsid w:val="0D7E24BB"/>
    <w:rsid w:val="0D7F17B3"/>
    <w:rsid w:val="0D845C3B"/>
    <w:rsid w:val="0D86333C"/>
    <w:rsid w:val="0D876BC0"/>
    <w:rsid w:val="0D8920C3"/>
    <w:rsid w:val="0DA32C6D"/>
    <w:rsid w:val="0DA769D6"/>
    <w:rsid w:val="0DAC6DFF"/>
    <w:rsid w:val="0DAD0FFE"/>
    <w:rsid w:val="0DC40C23"/>
    <w:rsid w:val="0DD124B7"/>
    <w:rsid w:val="0DD170CA"/>
    <w:rsid w:val="0DDE17CD"/>
    <w:rsid w:val="0DE66BD9"/>
    <w:rsid w:val="0DEC35A3"/>
    <w:rsid w:val="0DED3FE6"/>
    <w:rsid w:val="0E087B99"/>
    <w:rsid w:val="0E0B38F0"/>
    <w:rsid w:val="0E14552A"/>
    <w:rsid w:val="0E172C2B"/>
    <w:rsid w:val="0E19612F"/>
    <w:rsid w:val="0E1D03B8"/>
    <w:rsid w:val="0E286749"/>
    <w:rsid w:val="0E336CD8"/>
    <w:rsid w:val="0E3756DF"/>
    <w:rsid w:val="0E3A1EE7"/>
    <w:rsid w:val="0E4D6F60"/>
    <w:rsid w:val="0E4F2D85"/>
    <w:rsid w:val="0E500807"/>
    <w:rsid w:val="0E573A15"/>
    <w:rsid w:val="0E5931F1"/>
    <w:rsid w:val="0E596F18"/>
    <w:rsid w:val="0E601824"/>
    <w:rsid w:val="0E6255D4"/>
    <w:rsid w:val="0E627828"/>
    <w:rsid w:val="0E6352A9"/>
    <w:rsid w:val="0E636784"/>
    <w:rsid w:val="0E7B2950"/>
    <w:rsid w:val="0E7C48FA"/>
    <w:rsid w:val="0E8100DC"/>
    <w:rsid w:val="0E837D5C"/>
    <w:rsid w:val="0E98447E"/>
    <w:rsid w:val="0EA24D8E"/>
    <w:rsid w:val="0EA4251E"/>
    <w:rsid w:val="0EA85E0C"/>
    <w:rsid w:val="0EAA7C1C"/>
    <w:rsid w:val="0EAB349F"/>
    <w:rsid w:val="0EAB569D"/>
    <w:rsid w:val="0EAC08FD"/>
    <w:rsid w:val="0EAC0F21"/>
    <w:rsid w:val="0EAF7927"/>
    <w:rsid w:val="0EB053A8"/>
    <w:rsid w:val="0EB51830"/>
    <w:rsid w:val="0EB74D33"/>
    <w:rsid w:val="0EBA5CB8"/>
    <w:rsid w:val="0EBD6C3D"/>
    <w:rsid w:val="0EC15643"/>
    <w:rsid w:val="0EC17841"/>
    <w:rsid w:val="0EC252C3"/>
    <w:rsid w:val="0EC74C14"/>
    <w:rsid w:val="0ED004CD"/>
    <w:rsid w:val="0EDB72F9"/>
    <w:rsid w:val="0EDE7171"/>
    <w:rsid w:val="0EE3107B"/>
    <w:rsid w:val="0EEA0A05"/>
    <w:rsid w:val="0EEA4289"/>
    <w:rsid w:val="0EEE2C8F"/>
    <w:rsid w:val="0EF21695"/>
    <w:rsid w:val="0EF6009B"/>
    <w:rsid w:val="0EFA6AA1"/>
    <w:rsid w:val="0EFB6721"/>
    <w:rsid w:val="0EFC1FA5"/>
    <w:rsid w:val="0EFE54A8"/>
    <w:rsid w:val="0EFE76A6"/>
    <w:rsid w:val="0F0373B1"/>
    <w:rsid w:val="0F044E32"/>
    <w:rsid w:val="0F0E7940"/>
    <w:rsid w:val="0F131BCA"/>
    <w:rsid w:val="0F14764B"/>
    <w:rsid w:val="0F1C6C56"/>
    <w:rsid w:val="0F1F7BDB"/>
    <w:rsid w:val="0F27086A"/>
    <w:rsid w:val="0F295F6C"/>
    <w:rsid w:val="0F2C4CF2"/>
    <w:rsid w:val="0F2D2774"/>
    <w:rsid w:val="0F30117A"/>
    <w:rsid w:val="0F347B80"/>
    <w:rsid w:val="0F370B05"/>
    <w:rsid w:val="0F3A1A89"/>
    <w:rsid w:val="0F3B750B"/>
    <w:rsid w:val="0F486821"/>
    <w:rsid w:val="0F4920A4"/>
    <w:rsid w:val="0F4A1D24"/>
    <w:rsid w:val="0F4E072A"/>
    <w:rsid w:val="0F530435"/>
    <w:rsid w:val="0F5A7DC0"/>
    <w:rsid w:val="0F5E2F43"/>
    <w:rsid w:val="0F601CC9"/>
    <w:rsid w:val="0F6925D8"/>
    <w:rsid w:val="0F6C7CDA"/>
    <w:rsid w:val="0F721BE3"/>
    <w:rsid w:val="0F754D02"/>
    <w:rsid w:val="0F78156E"/>
    <w:rsid w:val="0F787370"/>
    <w:rsid w:val="0F7B24F3"/>
    <w:rsid w:val="0F7C190B"/>
    <w:rsid w:val="0F845381"/>
    <w:rsid w:val="0F8B4D0B"/>
    <w:rsid w:val="0F8F6F95"/>
    <w:rsid w:val="0F904A16"/>
    <w:rsid w:val="0F974FFC"/>
    <w:rsid w:val="0F9E17AE"/>
    <w:rsid w:val="0FA04CB1"/>
    <w:rsid w:val="0FA1625C"/>
    <w:rsid w:val="0FA7463C"/>
    <w:rsid w:val="0FAE784A"/>
    <w:rsid w:val="0FBE7AE4"/>
    <w:rsid w:val="0FBF15EE"/>
    <w:rsid w:val="0FC803F4"/>
    <w:rsid w:val="0FDB1613"/>
    <w:rsid w:val="0FDC02B9"/>
    <w:rsid w:val="0FE1571A"/>
    <w:rsid w:val="0FE2319C"/>
    <w:rsid w:val="0FF21238"/>
    <w:rsid w:val="0FFB40C6"/>
    <w:rsid w:val="10013A51"/>
    <w:rsid w:val="100214D2"/>
    <w:rsid w:val="1007595A"/>
    <w:rsid w:val="1013176C"/>
    <w:rsid w:val="101626F1"/>
    <w:rsid w:val="10181477"/>
    <w:rsid w:val="101C207C"/>
    <w:rsid w:val="101F74FF"/>
    <w:rsid w:val="10227809"/>
    <w:rsid w:val="10347723"/>
    <w:rsid w:val="103C4B2F"/>
    <w:rsid w:val="10410FB7"/>
    <w:rsid w:val="104222BC"/>
    <w:rsid w:val="10437D3D"/>
    <w:rsid w:val="104579BD"/>
    <w:rsid w:val="10480942"/>
    <w:rsid w:val="104A18C6"/>
    <w:rsid w:val="104D064D"/>
    <w:rsid w:val="105015D1"/>
    <w:rsid w:val="10526CD3"/>
    <w:rsid w:val="10560F5C"/>
    <w:rsid w:val="10580BDC"/>
    <w:rsid w:val="105842F0"/>
    <w:rsid w:val="10624D6F"/>
    <w:rsid w:val="1069217B"/>
    <w:rsid w:val="106946FA"/>
    <w:rsid w:val="1080431F"/>
    <w:rsid w:val="1082318D"/>
    <w:rsid w:val="10830B27"/>
    <w:rsid w:val="108D3635"/>
    <w:rsid w:val="109401F4"/>
    <w:rsid w:val="10942FBF"/>
    <w:rsid w:val="109542C4"/>
    <w:rsid w:val="109A074C"/>
    <w:rsid w:val="109A294A"/>
    <w:rsid w:val="109D16D1"/>
    <w:rsid w:val="109F4BD4"/>
    <w:rsid w:val="10A02655"/>
    <w:rsid w:val="10A235DA"/>
    <w:rsid w:val="10B14AEE"/>
    <w:rsid w:val="10B56D77"/>
    <w:rsid w:val="10B7227A"/>
    <w:rsid w:val="10B81EFA"/>
    <w:rsid w:val="10BA31FF"/>
    <w:rsid w:val="10C04426"/>
    <w:rsid w:val="10C2608D"/>
    <w:rsid w:val="10C70B98"/>
    <w:rsid w:val="10D01002"/>
    <w:rsid w:val="10E0563D"/>
    <w:rsid w:val="10E130BF"/>
    <w:rsid w:val="10E365C2"/>
    <w:rsid w:val="10EA0B23"/>
    <w:rsid w:val="10EA5F4D"/>
    <w:rsid w:val="10EB0D8E"/>
    <w:rsid w:val="10F26BDC"/>
    <w:rsid w:val="10F677E1"/>
    <w:rsid w:val="10FC4F6D"/>
    <w:rsid w:val="10FD070A"/>
    <w:rsid w:val="11036AF6"/>
    <w:rsid w:val="110C5208"/>
    <w:rsid w:val="11206427"/>
    <w:rsid w:val="112812B5"/>
    <w:rsid w:val="112934B3"/>
    <w:rsid w:val="11321BC4"/>
    <w:rsid w:val="113605CA"/>
    <w:rsid w:val="113B24D4"/>
    <w:rsid w:val="113F534B"/>
    <w:rsid w:val="114D3A73"/>
    <w:rsid w:val="11591A84"/>
    <w:rsid w:val="115A7505"/>
    <w:rsid w:val="115B080A"/>
    <w:rsid w:val="115B4F87"/>
    <w:rsid w:val="115C628C"/>
    <w:rsid w:val="115D3D0D"/>
    <w:rsid w:val="11647E15"/>
    <w:rsid w:val="1167461D"/>
    <w:rsid w:val="116C159F"/>
    <w:rsid w:val="116D0724"/>
    <w:rsid w:val="116F3C27"/>
    <w:rsid w:val="1173042F"/>
    <w:rsid w:val="11771034"/>
    <w:rsid w:val="117C2E73"/>
    <w:rsid w:val="117F1CC3"/>
    <w:rsid w:val="1186384C"/>
    <w:rsid w:val="118E44DC"/>
    <w:rsid w:val="118E705F"/>
    <w:rsid w:val="1197736A"/>
    <w:rsid w:val="11A256FB"/>
    <w:rsid w:val="11A30A08"/>
    <w:rsid w:val="11A61B83"/>
    <w:rsid w:val="11B13797"/>
    <w:rsid w:val="11B25995"/>
    <w:rsid w:val="11B33417"/>
    <w:rsid w:val="11B5691A"/>
    <w:rsid w:val="11B8789F"/>
    <w:rsid w:val="11BA2DA2"/>
    <w:rsid w:val="11BF4CAB"/>
    <w:rsid w:val="11C0052E"/>
    <w:rsid w:val="11C336B1"/>
    <w:rsid w:val="11C7593B"/>
    <w:rsid w:val="11CA68BF"/>
    <w:rsid w:val="11D007C9"/>
    <w:rsid w:val="11D20449"/>
    <w:rsid w:val="11DC67DA"/>
    <w:rsid w:val="11DE1CDD"/>
    <w:rsid w:val="11E51668"/>
    <w:rsid w:val="11EC0FF2"/>
    <w:rsid w:val="11F34201"/>
    <w:rsid w:val="11F43E80"/>
    <w:rsid w:val="11F8610A"/>
    <w:rsid w:val="120B18A7"/>
    <w:rsid w:val="12117034"/>
    <w:rsid w:val="12157C38"/>
    <w:rsid w:val="12284E55"/>
    <w:rsid w:val="12371472"/>
    <w:rsid w:val="12374859"/>
    <w:rsid w:val="12394975"/>
    <w:rsid w:val="123C58FA"/>
    <w:rsid w:val="124C2311"/>
    <w:rsid w:val="124F6B19"/>
    <w:rsid w:val="12527A9D"/>
    <w:rsid w:val="12531C9B"/>
    <w:rsid w:val="12550A22"/>
    <w:rsid w:val="126122B6"/>
    <w:rsid w:val="12625934"/>
    <w:rsid w:val="1264323B"/>
    <w:rsid w:val="128105EC"/>
    <w:rsid w:val="128611F1"/>
    <w:rsid w:val="128724F6"/>
    <w:rsid w:val="128D0B7C"/>
    <w:rsid w:val="12915003"/>
    <w:rsid w:val="129D0985"/>
    <w:rsid w:val="12A123D0"/>
    <w:rsid w:val="12A771A7"/>
    <w:rsid w:val="12B5207C"/>
    <w:rsid w:val="12B75243"/>
    <w:rsid w:val="12BB03C6"/>
    <w:rsid w:val="12BD714C"/>
    <w:rsid w:val="12BE4BCE"/>
    <w:rsid w:val="12C15B53"/>
    <w:rsid w:val="12DE5A77"/>
    <w:rsid w:val="12E00606"/>
    <w:rsid w:val="12E13E89"/>
    <w:rsid w:val="12E60311"/>
    <w:rsid w:val="12E77F91"/>
    <w:rsid w:val="12F001AC"/>
    <w:rsid w:val="12F26322"/>
    <w:rsid w:val="12FC46B3"/>
    <w:rsid w:val="130B1CE9"/>
    <w:rsid w:val="130D01D0"/>
    <w:rsid w:val="130F36D3"/>
    <w:rsid w:val="130F7E50"/>
    <w:rsid w:val="13110DD5"/>
    <w:rsid w:val="131F00EB"/>
    <w:rsid w:val="132C5202"/>
    <w:rsid w:val="133A1F99"/>
    <w:rsid w:val="1344612C"/>
    <w:rsid w:val="1346162F"/>
    <w:rsid w:val="134F66BB"/>
    <w:rsid w:val="135463C6"/>
    <w:rsid w:val="135550D0"/>
    <w:rsid w:val="1361677C"/>
    <w:rsid w:val="136256DC"/>
    <w:rsid w:val="13671B64"/>
    <w:rsid w:val="136C01EA"/>
    <w:rsid w:val="136E6F70"/>
    <w:rsid w:val="13706BF0"/>
    <w:rsid w:val="137568FB"/>
    <w:rsid w:val="13767449"/>
    <w:rsid w:val="1377657B"/>
    <w:rsid w:val="137D3D07"/>
    <w:rsid w:val="1381018F"/>
    <w:rsid w:val="13872098"/>
    <w:rsid w:val="13935EAB"/>
    <w:rsid w:val="13A206C4"/>
    <w:rsid w:val="13AA5AD0"/>
    <w:rsid w:val="13B43E61"/>
    <w:rsid w:val="13B476C5"/>
    <w:rsid w:val="13B65E3E"/>
    <w:rsid w:val="13B75C0B"/>
    <w:rsid w:val="13BB7B66"/>
    <w:rsid w:val="13BC4AF1"/>
    <w:rsid w:val="13BF5A76"/>
    <w:rsid w:val="13C07C74"/>
    <w:rsid w:val="13C4667A"/>
    <w:rsid w:val="13CB6B7A"/>
    <w:rsid w:val="13CD4D8B"/>
    <w:rsid w:val="13D05D10"/>
    <w:rsid w:val="13D11213"/>
    <w:rsid w:val="13DD5026"/>
    <w:rsid w:val="13E46BAF"/>
    <w:rsid w:val="13E75935"/>
    <w:rsid w:val="13E80E38"/>
    <w:rsid w:val="13E833B7"/>
    <w:rsid w:val="1410457B"/>
    <w:rsid w:val="14193B86"/>
    <w:rsid w:val="141A4E8B"/>
    <w:rsid w:val="141A7089"/>
    <w:rsid w:val="141C727D"/>
    <w:rsid w:val="1427091D"/>
    <w:rsid w:val="1428639F"/>
    <w:rsid w:val="142F15AD"/>
    <w:rsid w:val="14324730"/>
    <w:rsid w:val="143769B9"/>
    <w:rsid w:val="1438443B"/>
    <w:rsid w:val="143D0278"/>
    <w:rsid w:val="14401CC0"/>
    <w:rsid w:val="14476C53"/>
    <w:rsid w:val="144A1DD6"/>
    <w:rsid w:val="144E07DC"/>
    <w:rsid w:val="145426E6"/>
    <w:rsid w:val="145539EB"/>
    <w:rsid w:val="14576EEE"/>
    <w:rsid w:val="14663C85"/>
    <w:rsid w:val="14671706"/>
    <w:rsid w:val="14794EA4"/>
    <w:rsid w:val="147B03A7"/>
    <w:rsid w:val="147D712D"/>
    <w:rsid w:val="148000B2"/>
    <w:rsid w:val="14833235"/>
    <w:rsid w:val="14852627"/>
    <w:rsid w:val="14890F64"/>
    <w:rsid w:val="148F7048"/>
    <w:rsid w:val="14930823"/>
    <w:rsid w:val="149669D2"/>
    <w:rsid w:val="149D1BE1"/>
    <w:rsid w:val="14AD1E7B"/>
    <w:rsid w:val="14B14FFE"/>
    <w:rsid w:val="14B26303"/>
    <w:rsid w:val="14C2659D"/>
    <w:rsid w:val="14CB3AF9"/>
    <w:rsid w:val="14CC513F"/>
    <w:rsid w:val="14D13334"/>
    <w:rsid w:val="14D342B9"/>
    <w:rsid w:val="14E754D8"/>
    <w:rsid w:val="14E867DD"/>
    <w:rsid w:val="14EB1A29"/>
    <w:rsid w:val="14EF0366"/>
    <w:rsid w:val="14F03BE9"/>
    <w:rsid w:val="14F70FF5"/>
    <w:rsid w:val="14F944F9"/>
    <w:rsid w:val="14FD2EFF"/>
    <w:rsid w:val="15034E08"/>
    <w:rsid w:val="15037006"/>
    <w:rsid w:val="150424E2"/>
    <w:rsid w:val="1505030B"/>
    <w:rsid w:val="150B2214"/>
    <w:rsid w:val="15125C0F"/>
    <w:rsid w:val="1518152A"/>
    <w:rsid w:val="151B6C2C"/>
    <w:rsid w:val="151F30B3"/>
    <w:rsid w:val="15200B35"/>
    <w:rsid w:val="153C0465"/>
    <w:rsid w:val="153E3968"/>
    <w:rsid w:val="15444425"/>
    <w:rsid w:val="154B51FC"/>
    <w:rsid w:val="154D3F83"/>
    <w:rsid w:val="15535E8C"/>
    <w:rsid w:val="1555138F"/>
    <w:rsid w:val="15612C23"/>
    <w:rsid w:val="156173A0"/>
    <w:rsid w:val="15643BA8"/>
    <w:rsid w:val="15663828"/>
    <w:rsid w:val="15686D2B"/>
    <w:rsid w:val="15690030"/>
    <w:rsid w:val="1571543C"/>
    <w:rsid w:val="1573515B"/>
    <w:rsid w:val="157518C4"/>
    <w:rsid w:val="15771544"/>
    <w:rsid w:val="157902CA"/>
    <w:rsid w:val="157B7F4A"/>
    <w:rsid w:val="157E0ECE"/>
    <w:rsid w:val="158156D6"/>
    <w:rsid w:val="158540DD"/>
    <w:rsid w:val="15863D5C"/>
    <w:rsid w:val="15915971"/>
    <w:rsid w:val="15924B18"/>
    <w:rsid w:val="15A54611"/>
    <w:rsid w:val="15AD1A1E"/>
    <w:rsid w:val="15B95830"/>
    <w:rsid w:val="15BE553B"/>
    <w:rsid w:val="15CA6DCF"/>
    <w:rsid w:val="15CD1C92"/>
    <w:rsid w:val="15CD44D1"/>
    <w:rsid w:val="15CF79D4"/>
    <w:rsid w:val="15D55160"/>
    <w:rsid w:val="15EE0289"/>
    <w:rsid w:val="15EF5D0A"/>
    <w:rsid w:val="15F3690F"/>
    <w:rsid w:val="16003A26"/>
    <w:rsid w:val="16123EE8"/>
    <w:rsid w:val="16201D5D"/>
    <w:rsid w:val="1623745E"/>
    <w:rsid w:val="16240763"/>
    <w:rsid w:val="162561E4"/>
    <w:rsid w:val="16301FF7"/>
    <w:rsid w:val="1633267B"/>
    <w:rsid w:val="163D0008"/>
    <w:rsid w:val="163E350B"/>
    <w:rsid w:val="16406A0E"/>
    <w:rsid w:val="16412291"/>
    <w:rsid w:val="16460917"/>
    <w:rsid w:val="164D3B25"/>
    <w:rsid w:val="164E5D24"/>
    <w:rsid w:val="1663620B"/>
    <w:rsid w:val="166C0B57"/>
    <w:rsid w:val="1670755D"/>
    <w:rsid w:val="167801ED"/>
    <w:rsid w:val="168077F8"/>
    <w:rsid w:val="16857503"/>
    <w:rsid w:val="16884C04"/>
    <w:rsid w:val="168C360A"/>
    <w:rsid w:val="16A46254"/>
    <w:rsid w:val="16A909BC"/>
    <w:rsid w:val="16AA643D"/>
    <w:rsid w:val="16AE4E44"/>
    <w:rsid w:val="16B334CA"/>
    <w:rsid w:val="16B447CE"/>
    <w:rsid w:val="16B87951"/>
    <w:rsid w:val="16C8346F"/>
    <w:rsid w:val="16D162FD"/>
    <w:rsid w:val="16D85C88"/>
    <w:rsid w:val="16DD6E9D"/>
    <w:rsid w:val="16DE7B91"/>
    <w:rsid w:val="16F342B3"/>
    <w:rsid w:val="16FC0261"/>
    <w:rsid w:val="170F5DE2"/>
    <w:rsid w:val="171170E7"/>
    <w:rsid w:val="171D097B"/>
    <w:rsid w:val="17213AFE"/>
    <w:rsid w:val="17235FC3"/>
    <w:rsid w:val="173D7210"/>
    <w:rsid w:val="174156B7"/>
    <w:rsid w:val="17442DB9"/>
    <w:rsid w:val="17473D3D"/>
    <w:rsid w:val="1750464D"/>
    <w:rsid w:val="175A4F5C"/>
    <w:rsid w:val="175C045F"/>
    <w:rsid w:val="175F4C67"/>
    <w:rsid w:val="17681CF4"/>
    <w:rsid w:val="176C3F7D"/>
    <w:rsid w:val="176D617B"/>
    <w:rsid w:val="17707100"/>
    <w:rsid w:val="17725E86"/>
    <w:rsid w:val="17730085"/>
    <w:rsid w:val="17795811"/>
    <w:rsid w:val="177C6796"/>
    <w:rsid w:val="1780519C"/>
    <w:rsid w:val="17807DAD"/>
    <w:rsid w:val="178321B2"/>
    <w:rsid w:val="17833BA2"/>
    <w:rsid w:val="178E1F33"/>
    <w:rsid w:val="179E21CE"/>
    <w:rsid w:val="17A708DF"/>
    <w:rsid w:val="17B44371"/>
    <w:rsid w:val="17B865FB"/>
    <w:rsid w:val="17BC5001"/>
    <w:rsid w:val="17BF5F86"/>
    <w:rsid w:val="17C4240D"/>
    <w:rsid w:val="17CA4317"/>
    <w:rsid w:val="17CE2D1D"/>
    <w:rsid w:val="17D34C26"/>
    <w:rsid w:val="17DB67AF"/>
    <w:rsid w:val="17DE2FB7"/>
    <w:rsid w:val="17DF51B5"/>
    <w:rsid w:val="17E8797F"/>
    <w:rsid w:val="17EF0CD3"/>
    <w:rsid w:val="17F10953"/>
    <w:rsid w:val="17F4515B"/>
    <w:rsid w:val="17F52BDC"/>
    <w:rsid w:val="180608F8"/>
    <w:rsid w:val="18150F13"/>
    <w:rsid w:val="18194096"/>
    <w:rsid w:val="18247EA8"/>
    <w:rsid w:val="182D2D36"/>
    <w:rsid w:val="182F6239"/>
    <w:rsid w:val="183710C7"/>
    <w:rsid w:val="183923CC"/>
    <w:rsid w:val="185041F0"/>
    <w:rsid w:val="18517A73"/>
    <w:rsid w:val="18546479"/>
    <w:rsid w:val="185773FE"/>
    <w:rsid w:val="187334AB"/>
    <w:rsid w:val="188A30D0"/>
    <w:rsid w:val="18962766"/>
    <w:rsid w:val="189701E7"/>
    <w:rsid w:val="18985C69"/>
    <w:rsid w:val="18A43C7A"/>
    <w:rsid w:val="18A82680"/>
    <w:rsid w:val="18B10D91"/>
    <w:rsid w:val="18BC4BA4"/>
    <w:rsid w:val="18CA3EB9"/>
    <w:rsid w:val="18CE28C0"/>
    <w:rsid w:val="18DA4154"/>
    <w:rsid w:val="18DC7657"/>
    <w:rsid w:val="18DF05DB"/>
    <w:rsid w:val="18E45FED"/>
    <w:rsid w:val="18F13D79"/>
    <w:rsid w:val="19024052"/>
    <w:rsid w:val="190D36A9"/>
    <w:rsid w:val="191120AF"/>
    <w:rsid w:val="191974BC"/>
    <w:rsid w:val="191E5B42"/>
    <w:rsid w:val="191F13C5"/>
    <w:rsid w:val="192B2C59"/>
    <w:rsid w:val="193B4BC3"/>
    <w:rsid w:val="19414DFD"/>
    <w:rsid w:val="194A0D8E"/>
    <w:rsid w:val="195902A5"/>
    <w:rsid w:val="195E692B"/>
    <w:rsid w:val="195F43AD"/>
    <w:rsid w:val="196056B2"/>
    <w:rsid w:val="19654B16"/>
    <w:rsid w:val="196A273E"/>
    <w:rsid w:val="197752D7"/>
    <w:rsid w:val="197907DA"/>
    <w:rsid w:val="197E4C62"/>
    <w:rsid w:val="197F6E60"/>
    <w:rsid w:val="19915E81"/>
    <w:rsid w:val="199A0D0F"/>
    <w:rsid w:val="19A4161E"/>
    <w:rsid w:val="19B141B7"/>
    <w:rsid w:val="19B52BBD"/>
    <w:rsid w:val="19BF56CB"/>
    <w:rsid w:val="19C169D0"/>
    <w:rsid w:val="19C80559"/>
    <w:rsid w:val="19CA3A5C"/>
    <w:rsid w:val="19CF7EE4"/>
    <w:rsid w:val="19D16C6A"/>
    <w:rsid w:val="19D55670"/>
    <w:rsid w:val="19D94077"/>
    <w:rsid w:val="19DC71FA"/>
    <w:rsid w:val="19E24986"/>
    <w:rsid w:val="19E9612D"/>
    <w:rsid w:val="19EC4A9D"/>
    <w:rsid w:val="19EF0419"/>
    <w:rsid w:val="19F86B2A"/>
    <w:rsid w:val="19FE0A33"/>
    <w:rsid w:val="1A022A7D"/>
    <w:rsid w:val="1A0269A6"/>
    <w:rsid w:val="1A027439"/>
    <w:rsid w:val="1A027DA2"/>
    <w:rsid w:val="1A065E3F"/>
    <w:rsid w:val="1A1276D4"/>
    <w:rsid w:val="1A132F57"/>
    <w:rsid w:val="1A217CEE"/>
    <w:rsid w:val="1A264176"/>
    <w:rsid w:val="1A287679"/>
    <w:rsid w:val="1A2B27FC"/>
    <w:rsid w:val="1A302494"/>
    <w:rsid w:val="1A325A0A"/>
    <w:rsid w:val="1A395395"/>
    <w:rsid w:val="1A3F149C"/>
    <w:rsid w:val="1A47212C"/>
    <w:rsid w:val="1A4E6234"/>
    <w:rsid w:val="1A524C3A"/>
    <w:rsid w:val="1A5F061A"/>
    <w:rsid w:val="1A6C1067"/>
    <w:rsid w:val="1A6D1019"/>
    <w:rsid w:val="1A6F17BF"/>
    <w:rsid w:val="1A7651FA"/>
    <w:rsid w:val="1A772C7B"/>
    <w:rsid w:val="1A7F5B09"/>
    <w:rsid w:val="1A865494"/>
    <w:rsid w:val="1A880997"/>
    <w:rsid w:val="1A8F02A3"/>
    <w:rsid w:val="1A8F0322"/>
    <w:rsid w:val="1A907FA2"/>
    <w:rsid w:val="1A930EF5"/>
    <w:rsid w:val="1A936D28"/>
    <w:rsid w:val="1A9447AA"/>
    <w:rsid w:val="1A961EAB"/>
    <w:rsid w:val="1A9F6F9C"/>
    <w:rsid w:val="1AA25CBE"/>
    <w:rsid w:val="1AA411C1"/>
    <w:rsid w:val="1AA72145"/>
    <w:rsid w:val="1AA759C9"/>
    <w:rsid w:val="1AA90ECC"/>
    <w:rsid w:val="1AAC404F"/>
    <w:rsid w:val="1AAE1E35"/>
    <w:rsid w:val="1AAE7552"/>
    <w:rsid w:val="1AB4145B"/>
    <w:rsid w:val="1ABC20EB"/>
    <w:rsid w:val="1AC7047C"/>
    <w:rsid w:val="1AD1680D"/>
    <w:rsid w:val="1AD93C19"/>
    <w:rsid w:val="1ADD5EA3"/>
    <w:rsid w:val="1AEB73B7"/>
    <w:rsid w:val="1AF070C2"/>
    <w:rsid w:val="1AF30046"/>
    <w:rsid w:val="1B00735C"/>
    <w:rsid w:val="1B014DDE"/>
    <w:rsid w:val="1B02285F"/>
    <w:rsid w:val="1B026FDC"/>
    <w:rsid w:val="1B0353F5"/>
    <w:rsid w:val="1B0700AB"/>
    <w:rsid w:val="1B096967"/>
    <w:rsid w:val="1B141A82"/>
    <w:rsid w:val="1B155FFD"/>
    <w:rsid w:val="1B1A4683"/>
    <w:rsid w:val="1B2B01A0"/>
    <w:rsid w:val="1B2E1125"/>
    <w:rsid w:val="1B2F737D"/>
    <w:rsid w:val="1B356531"/>
    <w:rsid w:val="1B3B043B"/>
    <w:rsid w:val="1B5125DE"/>
    <w:rsid w:val="1B523C99"/>
    <w:rsid w:val="1B5622E9"/>
    <w:rsid w:val="1B562590"/>
    <w:rsid w:val="1B601668"/>
    <w:rsid w:val="1B6054C8"/>
    <w:rsid w:val="1B612879"/>
    <w:rsid w:val="1B6202FA"/>
    <w:rsid w:val="1B6260FC"/>
    <w:rsid w:val="1B633B7D"/>
    <w:rsid w:val="1B674782"/>
    <w:rsid w:val="1B6A5707"/>
    <w:rsid w:val="1B6C0C0A"/>
    <w:rsid w:val="1B726396"/>
    <w:rsid w:val="1B733E18"/>
    <w:rsid w:val="1B8056AC"/>
    <w:rsid w:val="1B8078AA"/>
    <w:rsid w:val="1B822DAD"/>
    <w:rsid w:val="1B872AB8"/>
    <w:rsid w:val="1B8D49C2"/>
    <w:rsid w:val="1B920E49"/>
    <w:rsid w:val="1B94434C"/>
    <w:rsid w:val="1B9B1759"/>
    <w:rsid w:val="1BA00681"/>
    <w:rsid w:val="1BA11DBE"/>
    <w:rsid w:val="1BAC5276"/>
    <w:rsid w:val="1BAE4EF6"/>
    <w:rsid w:val="1BAF61FB"/>
    <w:rsid w:val="1BB2137E"/>
    <w:rsid w:val="1BBF2C12"/>
    <w:rsid w:val="1BC432EE"/>
    <w:rsid w:val="1BC90FA3"/>
    <w:rsid w:val="1BCB0A96"/>
    <w:rsid w:val="1BCF2EAD"/>
    <w:rsid w:val="1BD54DB6"/>
    <w:rsid w:val="1BDB2542"/>
    <w:rsid w:val="1BDE34C7"/>
    <w:rsid w:val="1BE3794F"/>
    <w:rsid w:val="1BEA4D5B"/>
    <w:rsid w:val="1C037E84"/>
    <w:rsid w:val="1C112A1C"/>
    <w:rsid w:val="1C12049E"/>
    <w:rsid w:val="1C274BC0"/>
    <w:rsid w:val="1C284B16"/>
    <w:rsid w:val="1C384E5A"/>
    <w:rsid w:val="1C427968"/>
    <w:rsid w:val="1C4353EA"/>
    <w:rsid w:val="1C4B0278"/>
    <w:rsid w:val="1C5046FF"/>
    <w:rsid w:val="1C512C50"/>
    <w:rsid w:val="1C512E14"/>
    <w:rsid w:val="1C5C3D95"/>
    <w:rsid w:val="1C633720"/>
    <w:rsid w:val="1C7104B7"/>
    <w:rsid w:val="1C723D3B"/>
    <w:rsid w:val="1C7D42CA"/>
    <w:rsid w:val="1C7E2A48"/>
    <w:rsid w:val="1C80524F"/>
    <w:rsid w:val="1C8477A0"/>
    <w:rsid w:val="1C861D86"/>
    <w:rsid w:val="1C8B617A"/>
    <w:rsid w:val="1C8F7A67"/>
    <w:rsid w:val="1C900D6C"/>
    <w:rsid w:val="1C9B12FC"/>
    <w:rsid w:val="1C9C4B7F"/>
    <w:rsid w:val="1C9E2280"/>
    <w:rsid w:val="1C9F7D02"/>
    <w:rsid w:val="1CA03585"/>
    <w:rsid w:val="1CA4563B"/>
    <w:rsid w:val="1CA51C0B"/>
    <w:rsid w:val="1CA70991"/>
    <w:rsid w:val="1CAA6093"/>
    <w:rsid w:val="1CB15A1E"/>
    <w:rsid w:val="1CB57CA7"/>
    <w:rsid w:val="1CC26FBD"/>
    <w:rsid w:val="1CE01DF0"/>
    <w:rsid w:val="1CE44F73"/>
    <w:rsid w:val="1CE913FB"/>
    <w:rsid w:val="1CEC7E01"/>
    <w:rsid w:val="1CEF7619"/>
    <w:rsid w:val="1CF40A91"/>
    <w:rsid w:val="1CFC53F0"/>
    <w:rsid w:val="1D07422E"/>
    <w:rsid w:val="1D091930"/>
    <w:rsid w:val="1D0A51B3"/>
    <w:rsid w:val="1D0E5DB7"/>
    <w:rsid w:val="1D143544"/>
    <w:rsid w:val="1D1744C9"/>
    <w:rsid w:val="1D181F4A"/>
    <w:rsid w:val="1D1C50CD"/>
    <w:rsid w:val="1D1E3E53"/>
    <w:rsid w:val="1D234443"/>
    <w:rsid w:val="1D3A7F00"/>
    <w:rsid w:val="1D3E218A"/>
    <w:rsid w:val="1D484C98"/>
    <w:rsid w:val="1D5D4C3D"/>
    <w:rsid w:val="1D60233E"/>
    <w:rsid w:val="1D667ACB"/>
    <w:rsid w:val="1D6C3651"/>
    <w:rsid w:val="1D6E4ED7"/>
    <w:rsid w:val="1D7F7370"/>
    <w:rsid w:val="1D9A4E1B"/>
    <w:rsid w:val="1D9D21A3"/>
    <w:rsid w:val="1DA1442D"/>
    <w:rsid w:val="1DA91839"/>
    <w:rsid w:val="1DAA14A8"/>
    <w:rsid w:val="1DB37BCA"/>
    <w:rsid w:val="1DB4038D"/>
    <w:rsid w:val="1DC53368"/>
    <w:rsid w:val="1DCA3F6C"/>
    <w:rsid w:val="1DDE26B6"/>
    <w:rsid w:val="1DDE63A4"/>
    <w:rsid w:val="1DED3227"/>
    <w:rsid w:val="1DF94ABB"/>
    <w:rsid w:val="1E2223FC"/>
    <w:rsid w:val="1E233701"/>
    <w:rsid w:val="1E260E02"/>
    <w:rsid w:val="1E2D154A"/>
    <w:rsid w:val="1E302A17"/>
    <w:rsid w:val="1E35361B"/>
    <w:rsid w:val="1E3723A2"/>
    <w:rsid w:val="1E414EAF"/>
    <w:rsid w:val="1E4361B4"/>
    <w:rsid w:val="1E4A684B"/>
    <w:rsid w:val="1E521E5C"/>
    <w:rsid w:val="1E605764"/>
    <w:rsid w:val="1E632A18"/>
    <w:rsid w:val="1E780F3D"/>
    <w:rsid w:val="1E7A630E"/>
    <w:rsid w:val="1E8659A4"/>
    <w:rsid w:val="1E896929"/>
    <w:rsid w:val="1E942C1E"/>
    <w:rsid w:val="1E9736C0"/>
    <w:rsid w:val="1E9D55C9"/>
    <w:rsid w:val="1EA374D2"/>
    <w:rsid w:val="1EA700D7"/>
    <w:rsid w:val="1EAB6ADD"/>
    <w:rsid w:val="1EB109E6"/>
    <w:rsid w:val="1EB21CEB"/>
    <w:rsid w:val="1EB26468"/>
    <w:rsid w:val="1EB91676"/>
    <w:rsid w:val="1EBE438E"/>
    <w:rsid w:val="1EBF357F"/>
    <w:rsid w:val="1EC62F0A"/>
    <w:rsid w:val="1ED12142"/>
    <w:rsid w:val="1ED35AA3"/>
    <w:rsid w:val="1ED43525"/>
    <w:rsid w:val="1EDA004F"/>
    <w:rsid w:val="1EDB2EB0"/>
    <w:rsid w:val="1EE14DB9"/>
    <w:rsid w:val="1EE537BF"/>
    <w:rsid w:val="1EE61241"/>
    <w:rsid w:val="1EEA1E45"/>
    <w:rsid w:val="1EEC5348"/>
    <w:rsid w:val="1EF53A59"/>
    <w:rsid w:val="1EF614DB"/>
    <w:rsid w:val="1EFA7EE1"/>
    <w:rsid w:val="1F011A6A"/>
    <w:rsid w:val="1F073974"/>
    <w:rsid w:val="1F163F8E"/>
    <w:rsid w:val="1F173C0E"/>
    <w:rsid w:val="1F181690"/>
    <w:rsid w:val="1F340FC0"/>
    <w:rsid w:val="1F383249"/>
    <w:rsid w:val="1F392A17"/>
    <w:rsid w:val="1F3B41CE"/>
    <w:rsid w:val="1F4821DF"/>
    <w:rsid w:val="1F4C4878"/>
    <w:rsid w:val="1F512AEE"/>
    <w:rsid w:val="1F5A11FF"/>
    <w:rsid w:val="1F607885"/>
    <w:rsid w:val="1F667210"/>
    <w:rsid w:val="1F730AA4"/>
    <w:rsid w:val="1F7A5EB1"/>
    <w:rsid w:val="1F7B1734"/>
    <w:rsid w:val="1F7C71B6"/>
    <w:rsid w:val="1F7E48B7"/>
    <w:rsid w:val="1F872FC8"/>
    <w:rsid w:val="1F880A4A"/>
    <w:rsid w:val="1F921359"/>
    <w:rsid w:val="1FA173F5"/>
    <w:rsid w:val="1FA67FFA"/>
    <w:rsid w:val="1FA834FD"/>
    <w:rsid w:val="1FAA2283"/>
    <w:rsid w:val="1FB52813"/>
    <w:rsid w:val="1FBD34A2"/>
    <w:rsid w:val="1FBE56A1"/>
    <w:rsid w:val="1FC00BA4"/>
    <w:rsid w:val="1FD47844"/>
    <w:rsid w:val="1FD665CB"/>
    <w:rsid w:val="1FD8624A"/>
    <w:rsid w:val="1FE37E5F"/>
    <w:rsid w:val="1FE458E0"/>
    <w:rsid w:val="1FE76865"/>
    <w:rsid w:val="1FE93F66"/>
    <w:rsid w:val="1FEF16F3"/>
    <w:rsid w:val="1FEF7010"/>
    <w:rsid w:val="1FF14BF6"/>
    <w:rsid w:val="1FF401F7"/>
    <w:rsid w:val="20075E91"/>
    <w:rsid w:val="200B57A0"/>
    <w:rsid w:val="200E1FA8"/>
    <w:rsid w:val="200E6725"/>
    <w:rsid w:val="200F7A29"/>
    <w:rsid w:val="201054AB"/>
    <w:rsid w:val="20136430"/>
    <w:rsid w:val="20194AB6"/>
    <w:rsid w:val="201F4440"/>
    <w:rsid w:val="202B0253"/>
    <w:rsid w:val="202C5CD5"/>
    <w:rsid w:val="202E11D8"/>
    <w:rsid w:val="2031215C"/>
    <w:rsid w:val="20330EE3"/>
    <w:rsid w:val="20346964"/>
    <w:rsid w:val="203D63DC"/>
    <w:rsid w:val="203F2777"/>
    <w:rsid w:val="204B6589"/>
    <w:rsid w:val="20504C0F"/>
    <w:rsid w:val="205D1D27"/>
    <w:rsid w:val="205D6903"/>
    <w:rsid w:val="2072424B"/>
    <w:rsid w:val="207451CF"/>
    <w:rsid w:val="207460B1"/>
    <w:rsid w:val="20752C51"/>
    <w:rsid w:val="20770D67"/>
    <w:rsid w:val="2079211C"/>
    <w:rsid w:val="207A70D9"/>
    <w:rsid w:val="207E225C"/>
    <w:rsid w:val="20841BE6"/>
    <w:rsid w:val="208B4DF4"/>
    <w:rsid w:val="208C2876"/>
    <w:rsid w:val="209443FF"/>
    <w:rsid w:val="209A2298"/>
    <w:rsid w:val="209F0212"/>
    <w:rsid w:val="20A70EA1"/>
    <w:rsid w:val="20AF62AE"/>
    <w:rsid w:val="20B83B8F"/>
    <w:rsid w:val="20BB2DEE"/>
    <w:rsid w:val="20CD7E55"/>
    <w:rsid w:val="20D90E52"/>
    <w:rsid w:val="20DA13C3"/>
    <w:rsid w:val="20DD5AF8"/>
    <w:rsid w:val="20F23661"/>
    <w:rsid w:val="20F37C9C"/>
    <w:rsid w:val="20F40FA1"/>
    <w:rsid w:val="20FF3AAE"/>
    <w:rsid w:val="21016FB2"/>
    <w:rsid w:val="210202B6"/>
    <w:rsid w:val="210821C0"/>
    <w:rsid w:val="21135FD2"/>
    <w:rsid w:val="21151544"/>
    <w:rsid w:val="21155C52"/>
    <w:rsid w:val="212671F1"/>
    <w:rsid w:val="21274C73"/>
    <w:rsid w:val="212C10FB"/>
    <w:rsid w:val="2137748C"/>
    <w:rsid w:val="21447FD5"/>
    <w:rsid w:val="214C3BAE"/>
    <w:rsid w:val="215025B4"/>
    <w:rsid w:val="2152133A"/>
    <w:rsid w:val="21556A3C"/>
    <w:rsid w:val="21644AD8"/>
    <w:rsid w:val="21656CD6"/>
    <w:rsid w:val="216F2E69"/>
    <w:rsid w:val="21725FEC"/>
    <w:rsid w:val="21772473"/>
    <w:rsid w:val="217B0E7A"/>
    <w:rsid w:val="21824088"/>
    <w:rsid w:val="21862A8E"/>
    <w:rsid w:val="2187050F"/>
    <w:rsid w:val="219C4C32"/>
    <w:rsid w:val="21A70722"/>
    <w:rsid w:val="21A842C7"/>
    <w:rsid w:val="21AA19C9"/>
    <w:rsid w:val="21AF16D4"/>
    <w:rsid w:val="21B26DD5"/>
    <w:rsid w:val="21BC2F68"/>
    <w:rsid w:val="21BD7D55"/>
    <w:rsid w:val="21BF60EB"/>
    <w:rsid w:val="21C65A76"/>
    <w:rsid w:val="21C734F7"/>
    <w:rsid w:val="21CC3202"/>
    <w:rsid w:val="21D94A96"/>
    <w:rsid w:val="21DC5A1B"/>
    <w:rsid w:val="21E21B23"/>
    <w:rsid w:val="21E252CC"/>
    <w:rsid w:val="21E253A6"/>
    <w:rsid w:val="21EA6F2F"/>
    <w:rsid w:val="21F8754A"/>
    <w:rsid w:val="21FA56F9"/>
    <w:rsid w:val="21FB04CE"/>
    <w:rsid w:val="220123D8"/>
    <w:rsid w:val="22093067"/>
    <w:rsid w:val="22177DFE"/>
    <w:rsid w:val="22197A7E"/>
    <w:rsid w:val="221B2F81"/>
    <w:rsid w:val="221F2407"/>
    <w:rsid w:val="22202C8C"/>
    <w:rsid w:val="22214E8B"/>
    <w:rsid w:val="22245E0F"/>
    <w:rsid w:val="22280099"/>
    <w:rsid w:val="22322D67"/>
    <w:rsid w:val="223A3836"/>
    <w:rsid w:val="223B5A35"/>
    <w:rsid w:val="223D47BB"/>
    <w:rsid w:val="22420C43"/>
    <w:rsid w:val="22467649"/>
    <w:rsid w:val="224772C9"/>
    <w:rsid w:val="224927CC"/>
    <w:rsid w:val="224B1552"/>
    <w:rsid w:val="224E24D7"/>
    <w:rsid w:val="2253695F"/>
    <w:rsid w:val="226755FF"/>
    <w:rsid w:val="226B7889"/>
    <w:rsid w:val="22715F0F"/>
    <w:rsid w:val="227368B6"/>
    <w:rsid w:val="2277259E"/>
    <w:rsid w:val="22774421"/>
    <w:rsid w:val="227A4620"/>
    <w:rsid w:val="22803FAB"/>
    <w:rsid w:val="2287505A"/>
    <w:rsid w:val="228813B7"/>
    <w:rsid w:val="229F0FDC"/>
    <w:rsid w:val="22A379E2"/>
    <w:rsid w:val="22A763E9"/>
    <w:rsid w:val="22AB7B04"/>
    <w:rsid w:val="22B26978"/>
    <w:rsid w:val="22B70B00"/>
    <w:rsid w:val="22B76683"/>
    <w:rsid w:val="22C06C83"/>
    <w:rsid w:val="22C16F92"/>
    <w:rsid w:val="22C47F17"/>
    <w:rsid w:val="22C91E20"/>
    <w:rsid w:val="22CC2DA5"/>
    <w:rsid w:val="22D24CAE"/>
    <w:rsid w:val="22D35FB3"/>
    <w:rsid w:val="22E307CC"/>
    <w:rsid w:val="22E6394F"/>
    <w:rsid w:val="22EC10DB"/>
    <w:rsid w:val="22EF2060"/>
    <w:rsid w:val="22F619EB"/>
    <w:rsid w:val="22FB5E73"/>
    <w:rsid w:val="22FE6DF7"/>
    <w:rsid w:val="23011F7A"/>
    <w:rsid w:val="23061C85"/>
    <w:rsid w:val="23066402"/>
    <w:rsid w:val="230F4B13"/>
    <w:rsid w:val="23125A98"/>
    <w:rsid w:val="2315555B"/>
    <w:rsid w:val="2318004D"/>
    <w:rsid w:val="23197621"/>
    <w:rsid w:val="231C05A6"/>
    <w:rsid w:val="23225D32"/>
    <w:rsid w:val="23333A4E"/>
    <w:rsid w:val="233D435E"/>
    <w:rsid w:val="23447230"/>
    <w:rsid w:val="234826EF"/>
    <w:rsid w:val="2350145F"/>
    <w:rsid w:val="23547806"/>
    <w:rsid w:val="23555288"/>
    <w:rsid w:val="23562D09"/>
    <w:rsid w:val="23593C8E"/>
    <w:rsid w:val="235D6E11"/>
    <w:rsid w:val="23621A3A"/>
    <w:rsid w:val="23675615"/>
    <w:rsid w:val="23715AB1"/>
    <w:rsid w:val="237544B8"/>
    <w:rsid w:val="237E2BC9"/>
    <w:rsid w:val="23857FD5"/>
    <w:rsid w:val="23860F70"/>
    <w:rsid w:val="239A46F7"/>
    <w:rsid w:val="239D182C"/>
    <w:rsid w:val="23A6050A"/>
    <w:rsid w:val="23AB0215"/>
    <w:rsid w:val="23B452A1"/>
    <w:rsid w:val="23B74027"/>
    <w:rsid w:val="23BE5BB1"/>
    <w:rsid w:val="23CA5246"/>
    <w:rsid w:val="23CA7445"/>
    <w:rsid w:val="23D66ADB"/>
    <w:rsid w:val="23DB2F62"/>
    <w:rsid w:val="23DC5161"/>
    <w:rsid w:val="23DD6465"/>
    <w:rsid w:val="23E03B67"/>
    <w:rsid w:val="23E3036F"/>
    <w:rsid w:val="23EA577B"/>
    <w:rsid w:val="24020E9C"/>
    <w:rsid w:val="24102138"/>
    <w:rsid w:val="241330BC"/>
    <w:rsid w:val="241423BB"/>
    <w:rsid w:val="24151E43"/>
    <w:rsid w:val="24165941"/>
    <w:rsid w:val="241B5F4A"/>
    <w:rsid w:val="241C39CC"/>
    <w:rsid w:val="24202AB3"/>
    <w:rsid w:val="242258D5"/>
    <w:rsid w:val="242D3C66"/>
    <w:rsid w:val="243200EE"/>
    <w:rsid w:val="243548F6"/>
    <w:rsid w:val="243A2F7C"/>
    <w:rsid w:val="24454B90"/>
    <w:rsid w:val="24554E19"/>
    <w:rsid w:val="245628AC"/>
    <w:rsid w:val="246E5D54"/>
    <w:rsid w:val="24701257"/>
    <w:rsid w:val="247840E5"/>
    <w:rsid w:val="247B17E7"/>
    <w:rsid w:val="247C7268"/>
    <w:rsid w:val="249B429A"/>
    <w:rsid w:val="24A44BA9"/>
    <w:rsid w:val="24AD7A37"/>
    <w:rsid w:val="24B31941"/>
    <w:rsid w:val="24C663E3"/>
    <w:rsid w:val="24CC02EC"/>
    <w:rsid w:val="24D37C77"/>
    <w:rsid w:val="24D740FF"/>
    <w:rsid w:val="24DC0587"/>
    <w:rsid w:val="24DF261D"/>
    <w:rsid w:val="24E10292"/>
    <w:rsid w:val="24EA3120"/>
    <w:rsid w:val="24F536AF"/>
    <w:rsid w:val="24F72435"/>
    <w:rsid w:val="25006BE0"/>
    <w:rsid w:val="250613CB"/>
    <w:rsid w:val="25267701"/>
    <w:rsid w:val="252D708C"/>
    <w:rsid w:val="253668B6"/>
    <w:rsid w:val="253C600A"/>
    <w:rsid w:val="253D5128"/>
    <w:rsid w:val="253E4DA8"/>
    <w:rsid w:val="25444AB3"/>
    <w:rsid w:val="25457FB6"/>
    <w:rsid w:val="25465A38"/>
    <w:rsid w:val="25524700"/>
    <w:rsid w:val="25530D05"/>
    <w:rsid w:val="255C4358"/>
    <w:rsid w:val="25652A69"/>
    <w:rsid w:val="256E2074"/>
    <w:rsid w:val="257242FD"/>
    <w:rsid w:val="2585551C"/>
    <w:rsid w:val="2590132F"/>
    <w:rsid w:val="259557B7"/>
    <w:rsid w:val="259A54C2"/>
    <w:rsid w:val="259B2F43"/>
    <w:rsid w:val="259F2E44"/>
    <w:rsid w:val="25BA7ED1"/>
    <w:rsid w:val="25BC1449"/>
    <w:rsid w:val="25BE0B79"/>
    <w:rsid w:val="25C65F86"/>
    <w:rsid w:val="25C73A07"/>
    <w:rsid w:val="25CB455E"/>
    <w:rsid w:val="25D21D98"/>
    <w:rsid w:val="25DB26A8"/>
    <w:rsid w:val="25DE362C"/>
    <w:rsid w:val="25E145B1"/>
    <w:rsid w:val="25F74556"/>
    <w:rsid w:val="25FB7465"/>
    <w:rsid w:val="26082272"/>
    <w:rsid w:val="26085AF6"/>
    <w:rsid w:val="260E79FF"/>
    <w:rsid w:val="260F1BFD"/>
    <w:rsid w:val="26117B5D"/>
    <w:rsid w:val="26126405"/>
    <w:rsid w:val="26215FAD"/>
    <w:rsid w:val="26253DA1"/>
    <w:rsid w:val="26257624"/>
    <w:rsid w:val="26290229"/>
    <w:rsid w:val="263230B7"/>
    <w:rsid w:val="26361E29"/>
    <w:rsid w:val="263962C5"/>
    <w:rsid w:val="263D1448"/>
    <w:rsid w:val="263F494B"/>
    <w:rsid w:val="26461D57"/>
    <w:rsid w:val="264B1A62"/>
    <w:rsid w:val="264C3C60"/>
    <w:rsid w:val="264F5B79"/>
    <w:rsid w:val="2651396B"/>
    <w:rsid w:val="266D7A18"/>
    <w:rsid w:val="2678162D"/>
    <w:rsid w:val="267970AE"/>
    <w:rsid w:val="267A6D2E"/>
    <w:rsid w:val="26873E45"/>
    <w:rsid w:val="26916953"/>
    <w:rsid w:val="269221D6"/>
    <w:rsid w:val="269243D5"/>
    <w:rsid w:val="26937DC4"/>
    <w:rsid w:val="26A26BEE"/>
    <w:rsid w:val="26A45974"/>
    <w:rsid w:val="26AD240F"/>
    <w:rsid w:val="26AF5F03"/>
    <w:rsid w:val="26B07208"/>
    <w:rsid w:val="26B3018D"/>
    <w:rsid w:val="26D56143"/>
    <w:rsid w:val="26DF6A52"/>
    <w:rsid w:val="26E541DF"/>
    <w:rsid w:val="26E776E2"/>
    <w:rsid w:val="26EB02E7"/>
    <w:rsid w:val="26EC15EB"/>
    <w:rsid w:val="26EE126B"/>
    <w:rsid w:val="26EE4AEF"/>
    <w:rsid w:val="26F03C7F"/>
    <w:rsid w:val="2704340F"/>
    <w:rsid w:val="270C409F"/>
    <w:rsid w:val="271649AE"/>
    <w:rsid w:val="271820AF"/>
    <w:rsid w:val="27252BF1"/>
    <w:rsid w:val="27263790"/>
    <w:rsid w:val="272D45D3"/>
    <w:rsid w:val="27305558"/>
    <w:rsid w:val="27314FF2"/>
    <w:rsid w:val="27362CE4"/>
    <w:rsid w:val="273F35F4"/>
    <w:rsid w:val="27436777"/>
    <w:rsid w:val="27486482"/>
    <w:rsid w:val="274B7407"/>
    <w:rsid w:val="2750388E"/>
    <w:rsid w:val="27532294"/>
    <w:rsid w:val="2759091B"/>
    <w:rsid w:val="27632DDC"/>
    <w:rsid w:val="276415E7"/>
    <w:rsid w:val="277314C4"/>
    <w:rsid w:val="2775024B"/>
    <w:rsid w:val="27827560"/>
    <w:rsid w:val="279377FB"/>
    <w:rsid w:val="2796077F"/>
    <w:rsid w:val="279A12BC"/>
    <w:rsid w:val="279E140F"/>
    <w:rsid w:val="279F6E91"/>
    <w:rsid w:val="27A04912"/>
    <w:rsid w:val="27A5681B"/>
    <w:rsid w:val="27AF712B"/>
    <w:rsid w:val="27B435B3"/>
    <w:rsid w:val="27B66AB6"/>
    <w:rsid w:val="27B81FB9"/>
    <w:rsid w:val="27BE60C1"/>
    <w:rsid w:val="27C015C4"/>
    <w:rsid w:val="27C13545"/>
    <w:rsid w:val="27CA5756"/>
    <w:rsid w:val="27D55CE6"/>
    <w:rsid w:val="27D711E9"/>
    <w:rsid w:val="27DB3472"/>
    <w:rsid w:val="27DF65F5"/>
    <w:rsid w:val="27E3087F"/>
    <w:rsid w:val="27E53D82"/>
    <w:rsid w:val="27EC118E"/>
    <w:rsid w:val="280258B0"/>
    <w:rsid w:val="28044637"/>
    <w:rsid w:val="2808303D"/>
    <w:rsid w:val="280B3FC1"/>
    <w:rsid w:val="28105ECB"/>
    <w:rsid w:val="281A2F57"/>
    <w:rsid w:val="281B645A"/>
    <w:rsid w:val="281F4E60"/>
    <w:rsid w:val="28225DE5"/>
    <w:rsid w:val="28256D6A"/>
    <w:rsid w:val="28295770"/>
    <w:rsid w:val="282B44F6"/>
    <w:rsid w:val="2839380C"/>
    <w:rsid w:val="283A348C"/>
    <w:rsid w:val="283B0F0D"/>
    <w:rsid w:val="283B6D0F"/>
    <w:rsid w:val="2842411B"/>
    <w:rsid w:val="28462B22"/>
    <w:rsid w:val="28510EB3"/>
    <w:rsid w:val="28572169"/>
    <w:rsid w:val="285862BF"/>
    <w:rsid w:val="285B7244"/>
    <w:rsid w:val="286036CB"/>
    <w:rsid w:val="286655D5"/>
    <w:rsid w:val="286C74DE"/>
    <w:rsid w:val="286D07E3"/>
    <w:rsid w:val="286F3CE6"/>
    <w:rsid w:val="28745BEF"/>
    <w:rsid w:val="28745F5E"/>
    <w:rsid w:val="287610F2"/>
    <w:rsid w:val="287A7AF8"/>
    <w:rsid w:val="287C4933"/>
    <w:rsid w:val="287D0A7D"/>
    <w:rsid w:val="2880617F"/>
    <w:rsid w:val="28844B85"/>
    <w:rsid w:val="2887138D"/>
    <w:rsid w:val="28953E01"/>
    <w:rsid w:val="28971627"/>
    <w:rsid w:val="289870A9"/>
    <w:rsid w:val="28994B2A"/>
    <w:rsid w:val="28A21BB6"/>
    <w:rsid w:val="28AF344A"/>
    <w:rsid w:val="28B058CA"/>
    <w:rsid w:val="28C97878"/>
    <w:rsid w:val="28D10507"/>
    <w:rsid w:val="28D66B8D"/>
    <w:rsid w:val="28D93BC8"/>
    <w:rsid w:val="28DB3015"/>
    <w:rsid w:val="28E107A2"/>
    <w:rsid w:val="28E4386D"/>
    <w:rsid w:val="28F64EC4"/>
    <w:rsid w:val="28FC354A"/>
    <w:rsid w:val="29001F50"/>
    <w:rsid w:val="29223789"/>
    <w:rsid w:val="292C0FE5"/>
    <w:rsid w:val="29303DA4"/>
    <w:rsid w:val="29311825"/>
    <w:rsid w:val="293A46B3"/>
    <w:rsid w:val="294007BB"/>
    <w:rsid w:val="294471C1"/>
    <w:rsid w:val="294B77A1"/>
    <w:rsid w:val="2954525D"/>
    <w:rsid w:val="29581C87"/>
    <w:rsid w:val="295938E3"/>
    <w:rsid w:val="295B6DE6"/>
    <w:rsid w:val="295E7D6B"/>
    <w:rsid w:val="297C2B9E"/>
    <w:rsid w:val="297C731B"/>
    <w:rsid w:val="29855A2C"/>
    <w:rsid w:val="29862B06"/>
    <w:rsid w:val="298869B1"/>
    <w:rsid w:val="29894432"/>
    <w:rsid w:val="298B7936"/>
    <w:rsid w:val="299946CD"/>
    <w:rsid w:val="29996B12"/>
    <w:rsid w:val="299F1E59"/>
    <w:rsid w:val="29A11AD9"/>
    <w:rsid w:val="29AC58EC"/>
    <w:rsid w:val="29B11D74"/>
    <w:rsid w:val="29BA0485"/>
    <w:rsid w:val="29C17E10"/>
    <w:rsid w:val="29D37D2A"/>
    <w:rsid w:val="29DC0639"/>
    <w:rsid w:val="29DE3B3C"/>
    <w:rsid w:val="29E028C3"/>
    <w:rsid w:val="29E647CC"/>
    <w:rsid w:val="29ED4157"/>
    <w:rsid w:val="29FD21F3"/>
    <w:rsid w:val="2A0475FF"/>
    <w:rsid w:val="2A062B02"/>
    <w:rsid w:val="2A0A1509"/>
    <w:rsid w:val="2A0D6C0A"/>
    <w:rsid w:val="2A103412"/>
    <w:rsid w:val="2A105610"/>
    <w:rsid w:val="2A134397"/>
    <w:rsid w:val="2A136595"/>
    <w:rsid w:val="2A15789A"/>
    <w:rsid w:val="2A16751A"/>
    <w:rsid w:val="2A172D9D"/>
    <w:rsid w:val="2A193D21"/>
    <w:rsid w:val="2A1E01A9"/>
    <w:rsid w:val="2A2777B4"/>
    <w:rsid w:val="2A280AB9"/>
    <w:rsid w:val="2A29653A"/>
    <w:rsid w:val="2A2D4F40"/>
    <w:rsid w:val="2A303947"/>
    <w:rsid w:val="2A346ACA"/>
    <w:rsid w:val="2A377A4E"/>
    <w:rsid w:val="2A40615F"/>
    <w:rsid w:val="2A444B66"/>
    <w:rsid w:val="2A4931EC"/>
    <w:rsid w:val="2A496A6F"/>
    <w:rsid w:val="2A4D5475"/>
    <w:rsid w:val="2A7472D6"/>
    <w:rsid w:val="2A801147"/>
    <w:rsid w:val="2A8E045D"/>
    <w:rsid w:val="2A947DE8"/>
    <w:rsid w:val="2A970D6C"/>
    <w:rsid w:val="2A9C51F4"/>
    <w:rsid w:val="2AA30402"/>
    <w:rsid w:val="2AA34B7F"/>
    <w:rsid w:val="2AA53905"/>
    <w:rsid w:val="2AAB580F"/>
    <w:rsid w:val="2AAD0D12"/>
    <w:rsid w:val="2AB63060"/>
    <w:rsid w:val="2AD15A4E"/>
    <w:rsid w:val="2AD640D4"/>
    <w:rsid w:val="2ADA635E"/>
    <w:rsid w:val="2ADC1861"/>
    <w:rsid w:val="2ADD3A5F"/>
    <w:rsid w:val="2ADF27E6"/>
    <w:rsid w:val="2AE83FF2"/>
    <w:rsid w:val="2AED3CFA"/>
    <w:rsid w:val="2AEE177B"/>
    <w:rsid w:val="2AF43684"/>
    <w:rsid w:val="2AF8208B"/>
    <w:rsid w:val="2AF9558E"/>
    <w:rsid w:val="2AFA52AB"/>
    <w:rsid w:val="2B01621D"/>
    <w:rsid w:val="2B070127"/>
    <w:rsid w:val="2B1151B3"/>
    <w:rsid w:val="2B1264B8"/>
    <w:rsid w:val="2B2A3B5F"/>
    <w:rsid w:val="2B2E3048"/>
    <w:rsid w:val="2B347CF1"/>
    <w:rsid w:val="2B370C76"/>
    <w:rsid w:val="2B3808F6"/>
    <w:rsid w:val="2B3E27FF"/>
    <w:rsid w:val="2B3F3B04"/>
    <w:rsid w:val="2B401585"/>
    <w:rsid w:val="2B4D2E1A"/>
    <w:rsid w:val="2B503D9E"/>
    <w:rsid w:val="2B5214A0"/>
    <w:rsid w:val="2B575927"/>
    <w:rsid w:val="2B5D2AC0"/>
    <w:rsid w:val="2B604039"/>
    <w:rsid w:val="2B642A3F"/>
    <w:rsid w:val="2B6D334E"/>
    <w:rsid w:val="2B6F6851"/>
    <w:rsid w:val="2B7164D1"/>
    <w:rsid w:val="2B724D2B"/>
    <w:rsid w:val="2B7319D4"/>
    <w:rsid w:val="2B747456"/>
    <w:rsid w:val="2B7E35E9"/>
    <w:rsid w:val="2B8E3883"/>
    <w:rsid w:val="2BB9391B"/>
    <w:rsid w:val="2BC362DB"/>
    <w:rsid w:val="2BC404DA"/>
    <w:rsid w:val="2BD07B70"/>
    <w:rsid w:val="2BD9047F"/>
    <w:rsid w:val="2BDC5B80"/>
    <w:rsid w:val="2BDD3A07"/>
    <w:rsid w:val="2BE85216"/>
    <w:rsid w:val="2BF235A7"/>
    <w:rsid w:val="2BF854B1"/>
    <w:rsid w:val="2BF92F32"/>
    <w:rsid w:val="2BFA09B4"/>
    <w:rsid w:val="2C021643"/>
    <w:rsid w:val="2C044B47"/>
    <w:rsid w:val="2C102B57"/>
    <w:rsid w:val="2C12605B"/>
    <w:rsid w:val="2C133ADC"/>
    <w:rsid w:val="2C1D1E6D"/>
    <w:rsid w:val="2C202DF2"/>
    <w:rsid w:val="2C252AFD"/>
    <w:rsid w:val="2C2801FE"/>
    <w:rsid w:val="2C2C6C04"/>
    <w:rsid w:val="2C324391"/>
    <w:rsid w:val="2C344011"/>
    <w:rsid w:val="2C372A17"/>
    <w:rsid w:val="2C393D1C"/>
    <w:rsid w:val="2C3A179D"/>
    <w:rsid w:val="2C3C6E9F"/>
    <w:rsid w:val="2C3D4920"/>
    <w:rsid w:val="2C463031"/>
    <w:rsid w:val="2C6303E3"/>
    <w:rsid w:val="2C645E65"/>
    <w:rsid w:val="2C661368"/>
    <w:rsid w:val="2C676DE9"/>
    <w:rsid w:val="2C6F41F6"/>
    <w:rsid w:val="2C792587"/>
    <w:rsid w:val="2C7D0F8D"/>
    <w:rsid w:val="2C801F12"/>
    <w:rsid w:val="2C814110"/>
    <w:rsid w:val="2C825415"/>
    <w:rsid w:val="2C837613"/>
    <w:rsid w:val="2C840918"/>
    <w:rsid w:val="2C87189D"/>
    <w:rsid w:val="2C896F9E"/>
    <w:rsid w:val="2C8A22B7"/>
    <w:rsid w:val="2C8B4DFA"/>
    <w:rsid w:val="2C9021AC"/>
    <w:rsid w:val="2C9256AF"/>
    <w:rsid w:val="2C977C17"/>
    <w:rsid w:val="2C9C5FBF"/>
    <w:rsid w:val="2C9D01BD"/>
    <w:rsid w:val="2C9D6BEE"/>
    <w:rsid w:val="2C9E14C2"/>
    <w:rsid w:val="2CA27EC8"/>
    <w:rsid w:val="2CA568CE"/>
    <w:rsid w:val="2CBC0A72"/>
    <w:rsid w:val="2CBD3F75"/>
    <w:rsid w:val="2CCB2BA8"/>
    <w:rsid w:val="2CD26499"/>
    <w:rsid w:val="2CDD22AB"/>
    <w:rsid w:val="2CE41C36"/>
    <w:rsid w:val="2CEE6CC2"/>
    <w:rsid w:val="2CEF7FC7"/>
    <w:rsid w:val="2CF369CD"/>
    <w:rsid w:val="2CF376A3"/>
    <w:rsid w:val="2CFA0557"/>
    <w:rsid w:val="2D064369"/>
    <w:rsid w:val="2D0A5721"/>
    <w:rsid w:val="2D105F7D"/>
    <w:rsid w:val="2D216218"/>
    <w:rsid w:val="2D223C99"/>
    <w:rsid w:val="2D241F6F"/>
    <w:rsid w:val="2D254C1E"/>
    <w:rsid w:val="2D2A6B27"/>
    <w:rsid w:val="2D2B45A9"/>
    <w:rsid w:val="2D3816C0"/>
    <w:rsid w:val="2D3D22C5"/>
    <w:rsid w:val="2D41674C"/>
    <w:rsid w:val="2D452F54"/>
    <w:rsid w:val="2D4860D7"/>
    <w:rsid w:val="2D4C4ADE"/>
    <w:rsid w:val="2D541EEA"/>
    <w:rsid w:val="2D54576D"/>
    <w:rsid w:val="2D5D05FB"/>
    <w:rsid w:val="2D5E027B"/>
    <w:rsid w:val="2D607001"/>
    <w:rsid w:val="2D637F86"/>
    <w:rsid w:val="2D646666"/>
    <w:rsid w:val="2D657C06"/>
    <w:rsid w:val="2D70181A"/>
    <w:rsid w:val="2D74241F"/>
    <w:rsid w:val="2D757EA0"/>
    <w:rsid w:val="2D765922"/>
    <w:rsid w:val="2D7733A3"/>
    <w:rsid w:val="2D7F4033"/>
    <w:rsid w:val="2D940755"/>
    <w:rsid w:val="2D961A5A"/>
    <w:rsid w:val="2D990460"/>
    <w:rsid w:val="2D9A265E"/>
    <w:rsid w:val="2D9E1065"/>
    <w:rsid w:val="2DA42F6E"/>
    <w:rsid w:val="2DA467F1"/>
    <w:rsid w:val="2DA92C79"/>
    <w:rsid w:val="2DA9668B"/>
    <w:rsid w:val="2DAB617C"/>
    <w:rsid w:val="2DAF4B82"/>
    <w:rsid w:val="2DB77A10"/>
    <w:rsid w:val="2DBB27C8"/>
    <w:rsid w:val="2DCD6330"/>
    <w:rsid w:val="2DD87F45"/>
    <w:rsid w:val="2DD959C6"/>
    <w:rsid w:val="2DE17B90"/>
    <w:rsid w:val="2DF05F66"/>
    <w:rsid w:val="2DF80479"/>
    <w:rsid w:val="2E016B8B"/>
    <w:rsid w:val="2E0B749A"/>
    <w:rsid w:val="2E0F5EA0"/>
    <w:rsid w:val="2E122897"/>
    <w:rsid w:val="2E136AA5"/>
    <w:rsid w:val="2E176CC6"/>
    <w:rsid w:val="2E192429"/>
    <w:rsid w:val="2E1B21FD"/>
    <w:rsid w:val="2E1C1933"/>
    <w:rsid w:val="2E1F28B7"/>
    <w:rsid w:val="2E265AC6"/>
    <w:rsid w:val="2E277CC4"/>
    <w:rsid w:val="2E354A5B"/>
    <w:rsid w:val="2E3D56EB"/>
    <w:rsid w:val="2E454CF5"/>
    <w:rsid w:val="2E6076F7"/>
    <w:rsid w:val="2E6220A7"/>
    <w:rsid w:val="2E65302C"/>
    <w:rsid w:val="2E7A774E"/>
    <w:rsid w:val="2E8B79E8"/>
    <w:rsid w:val="2E903E70"/>
    <w:rsid w:val="2E9402F8"/>
    <w:rsid w:val="2E9B7C83"/>
    <w:rsid w:val="2E9F1F0C"/>
    <w:rsid w:val="2EA52F19"/>
    <w:rsid w:val="2EA96F98"/>
    <w:rsid w:val="2EAA029D"/>
    <w:rsid w:val="2EB7D784"/>
    <w:rsid w:val="2EC2522B"/>
    <w:rsid w:val="2ECC1AD7"/>
    <w:rsid w:val="2ED36EE3"/>
    <w:rsid w:val="2ED964C1"/>
    <w:rsid w:val="2EDB42EF"/>
    <w:rsid w:val="2EE338FA"/>
    <w:rsid w:val="2EEA6B08"/>
    <w:rsid w:val="2EF67098"/>
    <w:rsid w:val="2EF9389F"/>
    <w:rsid w:val="2EFB0FA1"/>
    <w:rsid w:val="2EFF79A7"/>
    <w:rsid w:val="2F1156C3"/>
    <w:rsid w:val="2F242165"/>
    <w:rsid w:val="2F257BE7"/>
    <w:rsid w:val="2F2730EA"/>
    <w:rsid w:val="2F280B6B"/>
    <w:rsid w:val="2F2965ED"/>
    <w:rsid w:val="2F305F78"/>
    <w:rsid w:val="2F3A7B8C"/>
    <w:rsid w:val="2F3D0B11"/>
    <w:rsid w:val="2F455F1D"/>
    <w:rsid w:val="2F5064AC"/>
    <w:rsid w:val="2F526AE0"/>
    <w:rsid w:val="2F563C39"/>
    <w:rsid w:val="2F593AB5"/>
    <w:rsid w:val="2F5C5B42"/>
    <w:rsid w:val="2F5E57C2"/>
    <w:rsid w:val="2F683B53"/>
    <w:rsid w:val="2F68739C"/>
    <w:rsid w:val="2F6A4E58"/>
    <w:rsid w:val="2F6B4AD8"/>
    <w:rsid w:val="2F6D7FDB"/>
    <w:rsid w:val="2F6E7D83"/>
    <w:rsid w:val="2F700F60"/>
    <w:rsid w:val="2F704980"/>
    <w:rsid w:val="2F7F157A"/>
    <w:rsid w:val="2F8224FF"/>
    <w:rsid w:val="2F907296"/>
    <w:rsid w:val="2F94151F"/>
    <w:rsid w:val="2F9616D8"/>
    <w:rsid w:val="2F964ED2"/>
    <w:rsid w:val="2F9846A2"/>
    <w:rsid w:val="2F98735A"/>
    <w:rsid w:val="2F9959A7"/>
    <w:rsid w:val="2FAA7E40"/>
    <w:rsid w:val="2FAB1294"/>
    <w:rsid w:val="2FAC3343"/>
    <w:rsid w:val="2FB461D1"/>
    <w:rsid w:val="2FBB395D"/>
    <w:rsid w:val="2FC05867"/>
    <w:rsid w:val="2FD57DB5"/>
    <w:rsid w:val="2FD67A0A"/>
    <w:rsid w:val="2FD9510C"/>
    <w:rsid w:val="2FDC0224"/>
    <w:rsid w:val="2FF005B4"/>
    <w:rsid w:val="30103067"/>
    <w:rsid w:val="30191779"/>
    <w:rsid w:val="301A71FA"/>
    <w:rsid w:val="301C26FD"/>
    <w:rsid w:val="301D237D"/>
    <w:rsid w:val="30230CE6"/>
    <w:rsid w:val="3028070E"/>
    <w:rsid w:val="302F0099"/>
    <w:rsid w:val="30305B1B"/>
    <w:rsid w:val="30347DA4"/>
    <w:rsid w:val="30357A24"/>
    <w:rsid w:val="30370D29"/>
    <w:rsid w:val="303B192D"/>
    <w:rsid w:val="30401638"/>
    <w:rsid w:val="304A1F48"/>
    <w:rsid w:val="30576C24"/>
    <w:rsid w:val="305C749A"/>
    <w:rsid w:val="30612242"/>
    <w:rsid w:val="30666048"/>
    <w:rsid w:val="30673A76"/>
    <w:rsid w:val="306A49FB"/>
    <w:rsid w:val="306C7EFE"/>
    <w:rsid w:val="30717C09"/>
    <w:rsid w:val="30727889"/>
    <w:rsid w:val="30781792"/>
    <w:rsid w:val="307F49A0"/>
    <w:rsid w:val="30806B9E"/>
    <w:rsid w:val="308B29B1"/>
    <w:rsid w:val="309026BC"/>
    <w:rsid w:val="3092233C"/>
    <w:rsid w:val="30937DBD"/>
    <w:rsid w:val="309B51CA"/>
    <w:rsid w:val="309D2223"/>
    <w:rsid w:val="309D3F50"/>
    <w:rsid w:val="30A04ED5"/>
    <w:rsid w:val="30A203D8"/>
    <w:rsid w:val="30A45AD9"/>
    <w:rsid w:val="30A844DF"/>
    <w:rsid w:val="30AC63F7"/>
    <w:rsid w:val="30B067B7"/>
    <w:rsid w:val="30BE4485"/>
    <w:rsid w:val="30C12E6F"/>
    <w:rsid w:val="30CA159C"/>
    <w:rsid w:val="30CE471F"/>
    <w:rsid w:val="30CF21A1"/>
    <w:rsid w:val="30D808B2"/>
    <w:rsid w:val="30E346C5"/>
    <w:rsid w:val="30E57BC8"/>
    <w:rsid w:val="30E92D4B"/>
    <w:rsid w:val="30EA07CC"/>
    <w:rsid w:val="30EB1AD1"/>
    <w:rsid w:val="30F00157"/>
    <w:rsid w:val="30F85563"/>
    <w:rsid w:val="30FD19EB"/>
    <w:rsid w:val="31002970"/>
    <w:rsid w:val="31075B7E"/>
    <w:rsid w:val="310C4204"/>
    <w:rsid w:val="310E7707"/>
    <w:rsid w:val="31121990"/>
    <w:rsid w:val="311915A2"/>
    <w:rsid w:val="312B28BA"/>
    <w:rsid w:val="31335748"/>
    <w:rsid w:val="31384C99"/>
    <w:rsid w:val="3147567C"/>
    <w:rsid w:val="31507277"/>
    <w:rsid w:val="3152277A"/>
    <w:rsid w:val="315A1D85"/>
    <w:rsid w:val="3179634F"/>
    <w:rsid w:val="317C35BE"/>
    <w:rsid w:val="318D3859"/>
    <w:rsid w:val="318E12DA"/>
    <w:rsid w:val="31915AE2"/>
    <w:rsid w:val="319636F2"/>
    <w:rsid w:val="319C18F5"/>
    <w:rsid w:val="31A124F9"/>
    <w:rsid w:val="31A46D01"/>
    <w:rsid w:val="31A74402"/>
    <w:rsid w:val="31A85707"/>
    <w:rsid w:val="31B20215"/>
    <w:rsid w:val="31B23A98"/>
    <w:rsid w:val="31B66C1B"/>
    <w:rsid w:val="31B7469D"/>
    <w:rsid w:val="31B859A2"/>
    <w:rsid w:val="31B97BA0"/>
    <w:rsid w:val="31C33082"/>
    <w:rsid w:val="31C35F31"/>
    <w:rsid w:val="31CE7E9A"/>
    <w:rsid w:val="31D3074A"/>
    <w:rsid w:val="31D326E5"/>
    <w:rsid w:val="31D77150"/>
    <w:rsid w:val="31DB4CF3"/>
    <w:rsid w:val="31EF007A"/>
    <w:rsid w:val="31F8678B"/>
    <w:rsid w:val="31FA1C8E"/>
    <w:rsid w:val="3207649C"/>
    <w:rsid w:val="32103E32"/>
    <w:rsid w:val="32106030"/>
    <w:rsid w:val="32300AE3"/>
    <w:rsid w:val="323474E9"/>
    <w:rsid w:val="323F6356"/>
    <w:rsid w:val="324B3A5A"/>
    <w:rsid w:val="32504E0C"/>
    <w:rsid w:val="325E19B3"/>
    <w:rsid w:val="32676A3F"/>
    <w:rsid w:val="326844C0"/>
    <w:rsid w:val="32771258"/>
    <w:rsid w:val="327E4466"/>
    <w:rsid w:val="327F1EE7"/>
    <w:rsid w:val="32807969"/>
    <w:rsid w:val="32863A70"/>
    <w:rsid w:val="328714F2"/>
    <w:rsid w:val="328A4FE6"/>
    <w:rsid w:val="328B377B"/>
    <w:rsid w:val="328E0E7D"/>
    <w:rsid w:val="32911E02"/>
    <w:rsid w:val="32932D86"/>
    <w:rsid w:val="32940808"/>
    <w:rsid w:val="32A56FD2"/>
    <w:rsid w:val="32A852AA"/>
    <w:rsid w:val="32AC3CB0"/>
    <w:rsid w:val="32B92FC6"/>
    <w:rsid w:val="32C216D7"/>
    <w:rsid w:val="32C44BDA"/>
    <w:rsid w:val="32CB6763"/>
    <w:rsid w:val="32CD7A68"/>
    <w:rsid w:val="32D1066D"/>
    <w:rsid w:val="32DA6D7E"/>
    <w:rsid w:val="32E16709"/>
    <w:rsid w:val="32E47929"/>
    <w:rsid w:val="32E62B90"/>
    <w:rsid w:val="32F20BA1"/>
    <w:rsid w:val="32F369EE"/>
    <w:rsid w:val="32FE0237"/>
    <w:rsid w:val="32FE3AB3"/>
    <w:rsid w:val="330B7CF1"/>
    <w:rsid w:val="33123E07"/>
    <w:rsid w:val="3328107B"/>
    <w:rsid w:val="332C5609"/>
    <w:rsid w:val="332D0D86"/>
    <w:rsid w:val="3333740C"/>
    <w:rsid w:val="33365E13"/>
    <w:rsid w:val="33394B99"/>
    <w:rsid w:val="333E6AA2"/>
    <w:rsid w:val="33412AB9"/>
    <w:rsid w:val="33423F49"/>
    <w:rsid w:val="334E12BB"/>
    <w:rsid w:val="335069BC"/>
    <w:rsid w:val="3356210E"/>
    <w:rsid w:val="33571BCB"/>
    <w:rsid w:val="3358764C"/>
    <w:rsid w:val="335D0CAA"/>
    <w:rsid w:val="336530DF"/>
    <w:rsid w:val="33822E88"/>
    <w:rsid w:val="339461AC"/>
    <w:rsid w:val="33A154C2"/>
    <w:rsid w:val="33A663C1"/>
    <w:rsid w:val="33AF005B"/>
    <w:rsid w:val="33B444E3"/>
    <w:rsid w:val="33B51F64"/>
    <w:rsid w:val="33B679E6"/>
    <w:rsid w:val="33C137F8"/>
    <w:rsid w:val="33C40EFA"/>
    <w:rsid w:val="33C5697B"/>
    <w:rsid w:val="33D46F96"/>
    <w:rsid w:val="33D52499"/>
    <w:rsid w:val="33D9781D"/>
    <w:rsid w:val="33DB55D1"/>
    <w:rsid w:val="33DC1E24"/>
    <w:rsid w:val="33E162AB"/>
    <w:rsid w:val="33E317AE"/>
    <w:rsid w:val="33E62944"/>
    <w:rsid w:val="33F629CD"/>
    <w:rsid w:val="33FB6E55"/>
    <w:rsid w:val="33FC48D7"/>
    <w:rsid w:val="33FF032A"/>
    <w:rsid w:val="340D5E76"/>
    <w:rsid w:val="341222FE"/>
    <w:rsid w:val="34153282"/>
    <w:rsid w:val="341579FF"/>
    <w:rsid w:val="34255EE2"/>
    <w:rsid w:val="34257C99"/>
    <w:rsid w:val="34291F23"/>
    <w:rsid w:val="342966A0"/>
    <w:rsid w:val="342A79A4"/>
    <w:rsid w:val="342C2EA8"/>
    <w:rsid w:val="3430602A"/>
    <w:rsid w:val="34336FAF"/>
    <w:rsid w:val="343A34CB"/>
    <w:rsid w:val="343E6645"/>
    <w:rsid w:val="34504361"/>
    <w:rsid w:val="345A26F2"/>
    <w:rsid w:val="3461207D"/>
    <w:rsid w:val="346A078E"/>
    <w:rsid w:val="34712317"/>
    <w:rsid w:val="34762022"/>
    <w:rsid w:val="34785525"/>
    <w:rsid w:val="34797724"/>
    <w:rsid w:val="347C06A8"/>
    <w:rsid w:val="34845AB5"/>
    <w:rsid w:val="34873A5C"/>
    <w:rsid w:val="348E3E46"/>
    <w:rsid w:val="3491064E"/>
    <w:rsid w:val="349302CD"/>
    <w:rsid w:val="349537D0"/>
    <w:rsid w:val="34964AD5"/>
    <w:rsid w:val="349C315B"/>
    <w:rsid w:val="349C69DF"/>
    <w:rsid w:val="34A45FE9"/>
    <w:rsid w:val="34A614EC"/>
    <w:rsid w:val="34A672EE"/>
    <w:rsid w:val="34B20B82"/>
    <w:rsid w:val="34BD6F13"/>
    <w:rsid w:val="34C20E1D"/>
    <w:rsid w:val="34C51DA1"/>
    <w:rsid w:val="34CB5AE2"/>
    <w:rsid w:val="34CD2A31"/>
    <w:rsid w:val="34CF26B1"/>
    <w:rsid w:val="34D11437"/>
    <w:rsid w:val="34D449C8"/>
    <w:rsid w:val="34D7553F"/>
    <w:rsid w:val="34D80DC2"/>
    <w:rsid w:val="34E31351"/>
    <w:rsid w:val="34E42656"/>
    <w:rsid w:val="34ED54E4"/>
    <w:rsid w:val="34F73875"/>
    <w:rsid w:val="34F77FF2"/>
    <w:rsid w:val="34FB69F8"/>
    <w:rsid w:val="34FF53FE"/>
    <w:rsid w:val="3506060C"/>
    <w:rsid w:val="3507028C"/>
    <w:rsid w:val="350E5A19"/>
    <w:rsid w:val="35152E25"/>
    <w:rsid w:val="35260FC4"/>
    <w:rsid w:val="352D04CC"/>
    <w:rsid w:val="3533180D"/>
    <w:rsid w:val="353D2CE5"/>
    <w:rsid w:val="35497DFC"/>
    <w:rsid w:val="35511985"/>
    <w:rsid w:val="3554290A"/>
    <w:rsid w:val="355F1FA0"/>
    <w:rsid w:val="355F451E"/>
    <w:rsid w:val="356D12B5"/>
    <w:rsid w:val="356E6D37"/>
    <w:rsid w:val="35704438"/>
    <w:rsid w:val="357A05CB"/>
    <w:rsid w:val="357D1550"/>
    <w:rsid w:val="35904CED"/>
    <w:rsid w:val="359101F0"/>
    <w:rsid w:val="359336F3"/>
    <w:rsid w:val="35A62714"/>
    <w:rsid w:val="35AE7B20"/>
    <w:rsid w:val="35B16527"/>
    <w:rsid w:val="35B361A6"/>
    <w:rsid w:val="35B6712B"/>
    <w:rsid w:val="35BC48B8"/>
    <w:rsid w:val="35C032BE"/>
    <w:rsid w:val="35C267C1"/>
    <w:rsid w:val="35C673C5"/>
    <w:rsid w:val="35CE47D2"/>
    <w:rsid w:val="35D03558"/>
    <w:rsid w:val="35D07CD5"/>
    <w:rsid w:val="35D579E0"/>
    <w:rsid w:val="35E01715"/>
    <w:rsid w:val="35EA010B"/>
    <w:rsid w:val="35EB1B84"/>
    <w:rsid w:val="35FD3123"/>
    <w:rsid w:val="3602502C"/>
    <w:rsid w:val="36032AAE"/>
    <w:rsid w:val="3604052F"/>
    <w:rsid w:val="36091134"/>
    <w:rsid w:val="36250A64"/>
    <w:rsid w:val="362B296D"/>
    <w:rsid w:val="362B4B6B"/>
    <w:rsid w:val="362E5AF0"/>
    <w:rsid w:val="362F3261"/>
    <w:rsid w:val="36393E81"/>
    <w:rsid w:val="363D2887"/>
    <w:rsid w:val="364B0D96"/>
    <w:rsid w:val="36521F92"/>
    <w:rsid w:val="365260DE"/>
    <w:rsid w:val="365E5473"/>
    <w:rsid w:val="36622AC7"/>
    <w:rsid w:val="367130E2"/>
    <w:rsid w:val="36782A6C"/>
    <w:rsid w:val="367871E9"/>
    <w:rsid w:val="367E3FB8"/>
    <w:rsid w:val="368158FA"/>
    <w:rsid w:val="36960B53"/>
    <w:rsid w:val="36986777"/>
    <w:rsid w:val="369D3BA6"/>
    <w:rsid w:val="36A003AE"/>
    <w:rsid w:val="36A233A7"/>
    <w:rsid w:val="36A50FB2"/>
    <w:rsid w:val="36A51418"/>
    <w:rsid w:val="36A54835"/>
    <w:rsid w:val="36A857BA"/>
    <w:rsid w:val="36B02BC6"/>
    <w:rsid w:val="36BB69D9"/>
    <w:rsid w:val="36BE54AF"/>
    <w:rsid w:val="36BF53DF"/>
    <w:rsid w:val="36C02E61"/>
    <w:rsid w:val="36C30D04"/>
    <w:rsid w:val="36C52B6C"/>
    <w:rsid w:val="36D3537A"/>
    <w:rsid w:val="36DE2411"/>
    <w:rsid w:val="36E62C0E"/>
    <w:rsid w:val="36E94025"/>
    <w:rsid w:val="36F210B1"/>
    <w:rsid w:val="36F85617"/>
    <w:rsid w:val="36FD2CC6"/>
    <w:rsid w:val="37003C4A"/>
    <w:rsid w:val="370116CC"/>
    <w:rsid w:val="370276FA"/>
    <w:rsid w:val="370522D0"/>
    <w:rsid w:val="370635D5"/>
    <w:rsid w:val="3709455A"/>
    <w:rsid w:val="370A6758"/>
    <w:rsid w:val="370D2F60"/>
    <w:rsid w:val="371E0C7C"/>
    <w:rsid w:val="372A0312"/>
    <w:rsid w:val="372B2510"/>
    <w:rsid w:val="37342E1F"/>
    <w:rsid w:val="373A2B2A"/>
    <w:rsid w:val="37422135"/>
    <w:rsid w:val="374A2DC5"/>
    <w:rsid w:val="374B4FC3"/>
    <w:rsid w:val="374D3D49"/>
    <w:rsid w:val="3751494E"/>
    <w:rsid w:val="375201D1"/>
    <w:rsid w:val="37535C53"/>
    <w:rsid w:val="37541156"/>
    <w:rsid w:val="375842D9"/>
    <w:rsid w:val="375955DE"/>
    <w:rsid w:val="375F74E7"/>
    <w:rsid w:val="37635EED"/>
    <w:rsid w:val="37661070"/>
    <w:rsid w:val="376D427E"/>
    <w:rsid w:val="37736187"/>
    <w:rsid w:val="3775168B"/>
    <w:rsid w:val="37822F1F"/>
    <w:rsid w:val="378309A0"/>
    <w:rsid w:val="37851925"/>
    <w:rsid w:val="378673A6"/>
    <w:rsid w:val="37930C3B"/>
    <w:rsid w:val="3795413E"/>
    <w:rsid w:val="3799691B"/>
    <w:rsid w:val="37A7315E"/>
    <w:rsid w:val="37AC3D63"/>
    <w:rsid w:val="37AD5068"/>
    <w:rsid w:val="37AE7266"/>
    <w:rsid w:val="37B87034"/>
    <w:rsid w:val="37B93079"/>
    <w:rsid w:val="37BE2D84"/>
    <w:rsid w:val="37C56E8B"/>
    <w:rsid w:val="37C60190"/>
    <w:rsid w:val="37C91115"/>
    <w:rsid w:val="37CB5D1A"/>
    <w:rsid w:val="37CF1A6D"/>
    <w:rsid w:val="37D6042A"/>
    <w:rsid w:val="37E167BB"/>
    <w:rsid w:val="37EC4B4C"/>
    <w:rsid w:val="37F5545C"/>
    <w:rsid w:val="37FD2868"/>
    <w:rsid w:val="38007070"/>
    <w:rsid w:val="380940FC"/>
    <w:rsid w:val="380D0904"/>
    <w:rsid w:val="380D38A8"/>
    <w:rsid w:val="38103A87"/>
    <w:rsid w:val="381A4397"/>
    <w:rsid w:val="381C311D"/>
    <w:rsid w:val="382175A5"/>
    <w:rsid w:val="38242728"/>
    <w:rsid w:val="38292433"/>
    <w:rsid w:val="382B190D"/>
    <w:rsid w:val="382B20B3"/>
    <w:rsid w:val="38313FBC"/>
    <w:rsid w:val="38332D42"/>
    <w:rsid w:val="383374BF"/>
    <w:rsid w:val="38337A8F"/>
    <w:rsid w:val="38396E4A"/>
    <w:rsid w:val="383F45D6"/>
    <w:rsid w:val="38552A09"/>
    <w:rsid w:val="385876FF"/>
    <w:rsid w:val="385C6105"/>
    <w:rsid w:val="38662298"/>
    <w:rsid w:val="386F5126"/>
    <w:rsid w:val="38712827"/>
    <w:rsid w:val="3875059D"/>
    <w:rsid w:val="387D663A"/>
    <w:rsid w:val="388B047F"/>
    <w:rsid w:val="388C6C54"/>
    <w:rsid w:val="388E6B5B"/>
    <w:rsid w:val="38A65280"/>
    <w:rsid w:val="38C36DAE"/>
    <w:rsid w:val="38C500B3"/>
    <w:rsid w:val="38C54323"/>
    <w:rsid w:val="38C65B34"/>
    <w:rsid w:val="38C735B6"/>
    <w:rsid w:val="38C81319"/>
    <w:rsid w:val="38CB41BA"/>
    <w:rsid w:val="38CE09C2"/>
    <w:rsid w:val="38D11947"/>
    <w:rsid w:val="38D34E4A"/>
    <w:rsid w:val="38D421D8"/>
    <w:rsid w:val="38D909BB"/>
    <w:rsid w:val="38DE31DB"/>
    <w:rsid w:val="38E23DE0"/>
    <w:rsid w:val="38E6379C"/>
    <w:rsid w:val="38E96FEE"/>
    <w:rsid w:val="38ED59F4"/>
    <w:rsid w:val="38EE3475"/>
    <w:rsid w:val="38EE6086"/>
    <w:rsid w:val="38F269C7"/>
    <w:rsid w:val="38F4537F"/>
    <w:rsid w:val="38F52E00"/>
    <w:rsid w:val="38F60882"/>
    <w:rsid w:val="38F85F83"/>
    <w:rsid w:val="39006C13"/>
    <w:rsid w:val="39072D1B"/>
    <w:rsid w:val="39074B30"/>
    <w:rsid w:val="3908401F"/>
    <w:rsid w:val="39113013"/>
    <w:rsid w:val="391223B0"/>
    <w:rsid w:val="392016C6"/>
    <w:rsid w:val="392C147D"/>
    <w:rsid w:val="392C2F5A"/>
    <w:rsid w:val="39344543"/>
    <w:rsid w:val="39355C80"/>
    <w:rsid w:val="393F66F8"/>
    <w:rsid w:val="39440601"/>
    <w:rsid w:val="394E0F10"/>
    <w:rsid w:val="394F6992"/>
    <w:rsid w:val="39535398"/>
    <w:rsid w:val="395872A2"/>
    <w:rsid w:val="396046AE"/>
    <w:rsid w:val="3961212F"/>
    <w:rsid w:val="39661E3A"/>
    <w:rsid w:val="396C3D44"/>
    <w:rsid w:val="396D5F42"/>
    <w:rsid w:val="3970274A"/>
    <w:rsid w:val="39725C4D"/>
    <w:rsid w:val="397422E6"/>
    <w:rsid w:val="39767DB4"/>
    <w:rsid w:val="397B655D"/>
    <w:rsid w:val="397C3FDE"/>
    <w:rsid w:val="397D1A60"/>
    <w:rsid w:val="3987236F"/>
    <w:rsid w:val="3998008B"/>
    <w:rsid w:val="39A05497"/>
    <w:rsid w:val="39A148C7"/>
    <w:rsid w:val="39A60CBB"/>
    <w:rsid w:val="39B750BD"/>
    <w:rsid w:val="39BE4A47"/>
    <w:rsid w:val="39C1344E"/>
    <w:rsid w:val="39CF5FE7"/>
    <w:rsid w:val="39D349ED"/>
    <w:rsid w:val="39DC787B"/>
    <w:rsid w:val="39E527ED"/>
    <w:rsid w:val="39E8110F"/>
    <w:rsid w:val="39E96B90"/>
    <w:rsid w:val="39EF0A9A"/>
    <w:rsid w:val="39F06BFD"/>
    <w:rsid w:val="3A02553C"/>
    <w:rsid w:val="3A040F3C"/>
    <w:rsid w:val="3A104852"/>
    <w:rsid w:val="3A181C5E"/>
    <w:rsid w:val="3A2223F3"/>
    <w:rsid w:val="3A22476C"/>
    <w:rsid w:val="3A24166D"/>
    <w:rsid w:val="3A274477"/>
    <w:rsid w:val="3A281EF8"/>
    <w:rsid w:val="3A2A75FA"/>
    <w:rsid w:val="3A2D6380"/>
    <w:rsid w:val="3A2E6000"/>
    <w:rsid w:val="3A3A5696"/>
    <w:rsid w:val="3A3C0B99"/>
    <w:rsid w:val="3A3D661B"/>
    <w:rsid w:val="3A415021"/>
    <w:rsid w:val="3A5A39CC"/>
    <w:rsid w:val="3A6B16E8"/>
    <w:rsid w:val="3A6E2D15"/>
    <w:rsid w:val="3A717D6E"/>
    <w:rsid w:val="3A721073"/>
    <w:rsid w:val="3A775CE5"/>
    <w:rsid w:val="3A7B60FF"/>
    <w:rsid w:val="3A7E4E86"/>
    <w:rsid w:val="3A7F09EA"/>
    <w:rsid w:val="3A810009"/>
    <w:rsid w:val="3A83350C"/>
    <w:rsid w:val="3A887993"/>
    <w:rsid w:val="3A923B26"/>
    <w:rsid w:val="3A933B02"/>
    <w:rsid w:val="3A9721AC"/>
    <w:rsid w:val="3AA271E4"/>
    <w:rsid w:val="3AAB6C4F"/>
    <w:rsid w:val="3AB62A61"/>
    <w:rsid w:val="3AB85F64"/>
    <w:rsid w:val="3ABB6EE9"/>
    <w:rsid w:val="3ABC496A"/>
    <w:rsid w:val="3ABD5CA2"/>
    <w:rsid w:val="3AC37B79"/>
    <w:rsid w:val="3AC6527A"/>
    <w:rsid w:val="3AC7657F"/>
    <w:rsid w:val="3AD0360B"/>
    <w:rsid w:val="3AD14E21"/>
    <w:rsid w:val="3AD91D1C"/>
    <w:rsid w:val="3ADB521F"/>
    <w:rsid w:val="3AE96733"/>
    <w:rsid w:val="3AEB54BA"/>
    <w:rsid w:val="3AF13B40"/>
    <w:rsid w:val="3AF24E44"/>
    <w:rsid w:val="3AF61300"/>
    <w:rsid w:val="3AF712CC"/>
    <w:rsid w:val="3AFA2251"/>
    <w:rsid w:val="3AFD31D5"/>
    <w:rsid w:val="3B02185C"/>
    <w:rsid w:val="3B094A6A"/>
    <w:rsid w:val="3B1662FE"/>
    <w:rsid w:val="3B1C5C89"/>
    <w:rsid w:val="3B1F5D8D"/>
    <w:rsid w:val="3B306EA8"/>
    <w:rsid w:val="3B3C653D"/>
    <w:rsid w:val="3B4C2F55"/>
    <w:rsid w:val="3B514E5E"/>
    <w:rsid w:val="3B536163"/>
    <w:rsid w:val="3B580085"/>
    <w:rsid w:val="3B5C6A72"/>
    <w:rsid w:val="3B5D0C70"/>
    <w:rsid w:val="3B64607D"/>
    <w:rsid w:val="3B6C6D0D"/>
    <w:rsid w:val="3B720C16"/>
    <w:rsid w:val="3B782B1F"/>
    <w:rsid w:val="3B7B7ACC"/>
    <w:rsid w:val="3B8370F1"/>
    <w:rsid w:val="3B8D7241"/>
    <w:rsid w:val="3B9001C6"/>
    <w:rsid w:val="3B926F4C"/>
    <w:rsid w:val="3B93114B"/>
    <w:rsid w:val="3B993054"/>
    <w:rsid w:val="3BA21765"/>
    <w:rsid w:val="3BAA0D70"/>
    <w:rsid w:val="3BB13F7E"/>
    <w:rsid w:val="3BB33BFE"/>
    <w:rsid w:val="3BBE3294"/>
    <w:rsid w:val="3BC26416"/>
    <w:rsid w:val="3BCA70A6"/>
    <w:rsid w:val="3BCC56A6"/>
    <w:rsid w:val="3BCF352E"/>
    <w:rsid w:val="3BD031AE"/>
    <w:rsid w:val="3BD31F34"/>
    <w:rsid w:val="3BD34132"/>
    <w:rsid w:val="3BDE5D47"/>
    <w:rsid w:val="3BE63153"/>
    <w:rsid w:val="3BE86656"/>
    <w:rsid w:val="3BF2188D"/>
    <w:rsid w:val="3BF3026A"/>
    <w:rsid w:val="3BF32469"/>
    <w:rsid w:val="3BFC0B7A"/>
    <w:rsid w:val="3C030505"/>
    <w:rsid w:val="3C042703"/>
    <w:rsid w:val="3C063688"/>
    <w:rsid w:val="3C0A7E90"/>
    <w:rsid w:val="3C0C4A09"/>
    <w:rsid w:val="3C122D1E"/>
    <w:rsid w:val="3C13079F"/>
    <w:rsid w:val="3C146221"/>
    <w:rsid w:val="3C153CA2"/>
    <w:rsid w:val="3C165EA1"/>
    <w:rsid w:val="3C1E32AD"/>
    <w:rsid w:val="3C2351B6"/>
    <w:rsid w:val="3C242C38"/>
    <w:rsid w:val="3C2D1349"/>
    <w:rsid w:val="3C356755"/>
    <w:rsid w:val="3C3C60E0"/>
    <w:rsid w:val="3C3F4AE6"/>
    <w:rsid w:val="3C464471"/>
    <w:rsid w:val="3C4953F6"/>
    <w:rsid w:val="3C4C637B"/>
    <w:rsid w:val="3C520284"/>
    <w:rsid w:val="3C545E01"/>
    <w:rsid w:val="3C551209"/>
    <w:rsid w:val="3C5A0F14"/>
    <w:rsid w:val="3C635FA0"/>
    <w:rsid w:val="3C6A4EE5"/>
    <w:rsid w:val="3C6A592B"/>
    <w:rsid w:val="3C6C75C8"/>
    <w:rsid w:val="3C7207B9"/>
    <w:rsid w:val="3C73623A"/>
    <w:rsid w:val="3C743CBC"/>
    <w:rsid w:val="3C7649A9"/>
    <w:rsid w:val="3C7A1448"/>
    <w:rsid w:val="3C7E7E4E"/>
    <w:rsid w:val="3C8A3C61"/>
    <w:rsid w:val="3C8B38E1"/>
    <w:rsid w:val="3C8E4865"/>
    <w:rsid w:val="3C9A0678"/>
    <w:rsid w:val="3C9C73FE"/>
    <w:rsid w:val="3CA05E05"/>
    <w:rsid w:val="3CAA4196"/>
    <w:rsid w:val="3CAE2B9C"/>
    <w:rsid w:val="3CBB1C67"/>
    <w:rsid w:val="3CC911C7"/>
    <w:rsid w:val="3CC94A4B"/>
    <w:rsid w:val="3CCB7F4E"/>
    <w:rsid w:val="3CDE58E9"/>
    <w:rsid w:val="3CE04670"/>
    <w:rsid w:val="3CE120F1"/>
    <w:rsid w:val="3CE242F0"/>
    <w:rsid w:val="3CE66579"/>
    <w:rsid w:val="3CED5F04"/>
    <w:rsid w:val="3CEF1407"/>
    <w:rsid w:val="3CF03605"/>
    <w:rsid w:val="3CF76813"/>
    <w:rsid w:val="3CF93F15"/>
    <w:rsid w:val="3CFA1996"/>
    <w:rsid w:val="3D007123"/>
    <w:rsid w:val="3D064921"/>
    <w:rsid w:val="3D0E228D"/>
    <w:rsid w:val="3D0E6439"/>
    <w:rsid w:val="3D10193C"/>
    <w:rsid w:val="3D160CBA"/>
    <w:rsid w:val="3D1C31D0"/>
    <w:rsid w:val="3D2A7F67"/>
    <w:rsid w:val="3D2C126C"/>
    <w:rsid w:val="3D3102FF"/>
    <w:rsid w:val="3D335711"/>
    <w:rsid w:val="3D3717FB"/>
    <w:rsid w:val="3D46700B"/>
    <w:rsid w:val="3D482D9A"/>
    <w:rsid w:val="3D54332A"/>
    <w:rsid w:val="3D6029C0"/>
    <w:rsid w:val="3D615EC3"/>
    <w:rsid w:val="3D6548C9"/>
    <w:rsid w:val="3D697A4C"/>
    <w:rsid w:val="3D6D6452"/>
    <w:rsid w:val="3D6E7757"/>
    <w:rsid w:val="3D72615D"/>
    <w:rsid w:val="3D7C7848"/>
    <w:rsid w:val="3D7F5473"/>
    <w:rsid w:val="3D886D00"/>
    <w:rsid w:val="3D891605"/>
    <w:rsid w:val="3D8B4B09"/>
    <w:rsid w:val="3D9A7025"/>
    <w:rsid w:val="3DA059A7"/>
    <w:rsid w:val="3DA16CAC"/>
    <w:rsid w:val="3DA20EAA"/>
    <w:rsid w:val="3DA512EA"/>
    <w:rsid w:val="3DA556B2"/>
    <w:rsid w:val="3DAA37D3"/>
    <w:rsid w:val="3DAC1A39"/>
    <w:rsid w:val="3DB05C42"/>
    <w:rsid w:val="3DBB3FD3"/>
    <w:rsid w:val="3DBE4F57"/>
    <w:rsid w:val="3DC1175F"/>
    <w:rsid w:val="3DCB7AF0"/>
    <w:rsid w:val="3DD03F78"/>
    <w:rsid w:val="3DE6611C"/>
    <w:rsid w:val="3DEC38A8"/>
    <w:rsid w:val="3DEF482D"/>
    <w:rsid w:val="3DF144AD"/>
    <w:rsid w:val="3DF763B6"/>
    <w:rsid w:val="3DFD3B43"/>
    <w:rsid w:val="3DFE3FF6"/>
    <w:rsid w:val="3E004AC7"/>
    <w:rsid w:val="3E006CC6"/>
    <w:rsid w:val="3E037C4A"/>
    <w:rsid w:val="3E040F4F"/>
    <w:rsid w:val="3E0456CC"/>
    <w:rsid w:val="3E0D055A"/>
    <w:rsid w:val="3E137EE5"/>
    <w:rsid w:val="3E164325"/>
    <w:rsid w:val="3E1E266B"/>
    <w:rsid w:val="3E1E6276"/>
    <w:rsid w:val="3E1F3CF7"/>
    <w:rsid w:val="3E286B85"/>
    <w:rsid w:val="3E2A2088"/>
    <w:rsid w:val="3E2E4312"/>
    <w:rsid w:val="3E301A13"/>
    <w:rsid w:val="3E3A5BA6"/>
    <w:rsid w:val="3E3B3627"/>
    <w:rsid w:val="3E422FB2"/>
    <w:rsid w:val="3E446712"/>
    <w:rsid w:val="3E453F37"/>
    <w:rsid w:val="3E5654D6"/>
    <w:rsid w:val="3E5776D4"/>
    <w:rsid w:val="3E580A38"/>
    <w:rsid w:val="3E585156"/>
    <w:rsid w:val="3E5B195E"/>
    <w:rsid w:val="3E5C3B5C"/>
    <w:rsid w:val="3E6334E7"/>
    <w:rsid w:val="3E6831F2"/>
    <w:rsid w:val="3E6A66F5"/>
    <w:rsid w:val="3E725D00"/>
    <w:rsid w:val="3E775A0B"/>
    <w:rsid w:val="3E787C09"/>
    <w:rsid w:val="3E844D20"/>
    <w:rsid w:val="3EA1684F"/>
    <w:rsid w:val="3EAC4BE0"/>
    <w:rsid w:val="3EAF4ABF"/>
    <w:rsid w:val="3EAF5B65"/>
    <w:rsid w:val="3EC77AB5"/>
    <w:rsid w:val="3EC93263"/>
    <w:rsid w:val="3ECA7A13"/>
    <w:rsid w:val="3ECC2F16"/>
    <w:rsid w:val="3ED30323"/>
    <w:rsid w:val="3ED328A1"/>
    <w:rsid w:val="3EDA7CAE"/>
    <w:rsid w:val="3EE250BA"/>
    <w:rsid w:val="3EE427BB"/>
    <w:rsid w:val="3EE5023D"/>
    <w:rsid w:val="3EE651E8"/>
    <w:rsid w:val="3EE71542"/>
    <w:rsid w:val="3EED0ECD"/>
    <w:rsid w:val="3EF01E51"/>
    <w:rsid w:val="3EF63D5B"/>
    <w:rsid w:val="3EFD36E5"/>
    <w:rsid w:val="3F0874F8"/>
    <w:rsid w:val="3F1C5008"/>
    <w:rsid w:val="3F1F711D"/>
    <w:rsid w:val="3F225EA4"/>
    <w:rsid w:val="3F277DAD"/>
    <w:rsid w:val="3F3228BB"/>
    <w:rsid w:val="3F472860"/>
    <w:rsid w:val="3F484A5E"/>
    <w:rsid w:val="3F495D63"/>
    <w:rsid w:val="3F4E21EB"/>
    <w:rsid w:val="3F530871"/>
    <w:rsid w:val="3F584CF9"/>
    <w:rsid w:val="3F605988"/>
    <w:rsid w:val="3F640B0B"/>
    <w:rsid w:val="3F642B55"/>
    <w:rsid w:val="3F6B3D19"/>
    <w:rsid w:val="3F724C94"/>
    <w:rsid w:val="3F744629"/>
    <w:rsid w:val="3F790AB1"/>
    <w:rsid w:val="3F8313C0"/>
    <w:rsid w:val="3F867DC6"/>
    <w:rsid w:val="3F914BEE"/>
    <w:rsid w:val="3F965E62"/>
    <w:rsid w:val="3F9D79EB"/>
    <w:rsid w:val="3FA376F7"/>
    <w:rsid w:val="3FA62879"/>
    <w:rsid w:val="3FA73B7E"/>
    <w:rsid w:val="3FAA23C9"/>
    <w:rsid w:val="3FB2668C"/>
    <w:rsid w:val="3FB41B8F"/>
    <w:rsid w:val="3FB557C3"/>
    <w:rsid w:val="3FB60916"/>
    <w:rsid w:val="3FB62B14"/>
    <w:rsid w:val="3FBD02A0"/>
    <w:rsid w:val="3FC221AA"/>
    <w:rsid w:val="3FCC7236"/>
    <w:rsid w:val="3FCF5C3C"/>
    <w:rsid w:val="3FD55947"/>
    <w:rsid w:val="3FD768CC"/>
    <w:rsid w:val="3FDE6257"/>
    <w:rsid w:val="3FE326DE"/>
    <w:rsid w:val="3FE710E5"/>
    <w:rsid w:val="3FE742EB"/>
    <w:rsid w:val="3FEF1D74"/>
    <w:rsid w:val="3FF638FD"/>
    <w:rsid w:val="3FFE458D"/>
    <w:rsid w:val="3FFF678B"/>
    <w:rsid w:val="40050695"/>
    <w:rsid w:val="4007741B"/>
    <w:rsid w:val="400C5AA1"/>
    <w:rsid w:val="401541B2"/>
    <w:rsid w:val="401710E3"/>
    <w:rsid w:val="401B60BB"/>
    <w:rsid w:val="40250BC9"/>
    <w:rsid w:val="402853D1"/>
    <w:rsid w:val="402C3DD7"/>
    <w:rsid w:val="403149DC"/>
    <w:rsid w:val="4035102B"/>
    <w:rsid w:val="403533E2"/>
    <w:rsid w:val="40356C65"/>
    <w:rsid w:val="40374367"/>
    <w:rsid w:val="40387BEA"/>
    <w:rsid w:val="403E1AF3"/>
    <w:rsid w:val="40402A78"/>
    <w:rsid w:val="404D430C"/>
    <w:rsid w:val="4054751A"/>
    <w:rsid w:val="405D23A8"/>
    <w:rsid w:val="405D45A6"/>
    <w:rsid w:val="405E7E2A"/>
    <w:rsid w:val="406242B1"/>
    <w:rsid w:val="40693C3C"/>
    <w:rsid w:val="406A16BE"/>
    <w:rsid w:val="406E00C4"/>
    <w:rsid w:val="40720CC9"/>
    <w:rsid w:val="4073454C"/>
    <w:rsid w:val="407364DE"/>
    <w:rsid w:val="4073674A"/>
    <w:rsid w:val="407C15D8"/>
    <w:rsid w:val="407D71FF"/>
    <w:rsid w:val="40803861"/>
    <w:rsid w:val="40807FDE"/>
    <w:rsid w:val="408E2B77"/>
    <w:rsid w:val="40965A05"/>
    <w:rsid w:val="40A37299"/>
    <w:rsid w:val="40A639A7"/>
    <w:rsid w:val="40AC3D4A"/>
    <w:rsid w:val="40AD562A"/>
    <w:rsid w:val="40B065AF"/>
    <w:rsid w:val="40B90EDF"/>
    <w:rsid w:val="40C21D4C"/>
    <w:rsid w:val="40CE5B5F"/>
    <w:rsid w:val="40D74270"/>
    <w:rsid w:val="40E04B80"/>
    <w:rsid w:val="40EA11C7"/>
    <w:rsid w:val="40EC510F"/>
    <w:rsid w:val="40ED2B91"/>
    <w:rsid w:val="40EE3E95"/>
    <w:rsid w:val="40F55A1F"/>
    <w:rsid w:val="40F847A5"/>
    <w:rsid w:val="40FC63F3"/>
    <w:rsid w:val="41007633"/>
    <w:rsid w:val="410E6949"/>
    <w:rsid w:val="411078CD"/>
    <w:rsid w:val="411D21CA"/>
    <w:rsid w:val="412E4C7F"/>
    <w:rsid w:val="412E6E7D"/>
    <w:rsid w:val="413E4F19"/>
    <w:rsid w:val="41446E23"/>
    <w:rsid w:val="41490D2C"/>
    <w:rsid w:val="41504E33"/>
    <w:rsid w:val="415512BB"/>
    <w:rsid w:val="415747BE"/>
    <w:rsid w:val="415C44C9"/>
    <w:rsid w:val="415C5171"/>
    <w:rsid w:val="416702DC"/>
    <w:rsid w:val="4167503B"/>
    <w:rsid w:val="4170316A"/>
    <w:rsid w:val="4172666D"/>
    <w:rsid w:val="41810E86"/>
    <w:rsid w:val="41826907"/>
    <w:rsid w:val="41834389"/>
    <w:rsid w:val="41885D55"/>
    <w:rsid w:val="418C7217"/>
    <w:rsid w:val="418F3A1F"/>
    <w:rsid w:val="419D4F33"/>
    <w:rsid w:val="41A0173B"/>
    <w:rsid w:val="41A710C5"/>
    <w:rsid w:val="41A90335"/>
    <w:rsid w:val="41AA204A"/>
    <w:rsid w:val="41AC7E24"/>
    <w:rsid w:val="41B3295A"/>
    <w:rsid w:val="41B370D6"/>
    <w:rsid w:val="41B44B58"/>
    <w:rsid w:val="41BB7D66"/>
    <w:rsid w:val="41CA6CFC"/>
    <w:rsid w:val="41DC5957"/>
    <w:rsid w:val="41EA5032"/>
    <w:rsid w:val="41EC09FC"/>
    <w:rsid w:val="41EF4D3D"/>
    <w:rsid w:val="41F10240"/>
    <w:rsid w:val="41FA52CC"/>
    <w:rsid w:val="41FC65D1"/>
    <w:rsid w:val="41FE3CD2"/>
    <w:rsid w:val="41FF7556"/>
    <w:rsid w:val="42091919"/>
    <w:rsid w:val="421019EE"/>
    <w:rsid w:val="42124EF1"/>
    <w:rsid w:val="421303F5"/>
    <w:rsid w:val="421B5801"/>
    <w:rsid w:val="421C22C0"/>
    <w:rsid w:val="421E6786"/>
    <w:rsid w:val="4224068F"/>
    <w:rsid w:val="422E4822"/>
    <w:rsid w:val="42332EA8"/>
    <w:rsid w:val="42552623"/>
    <w:rsid w:val="425A0B69"/>
    <w:rsid w:val="425B1E6E"/>
    <w:rsid w:val="425F59DD"/>
    <w:rsid w:val="42683702"/>
    <w:rsid w:val="42685900"/>
    <w:rsid w:val="42693382"/>
    <w:rsid w:val="426F528B"/>
    <w:rsid w:val="42702D0D"/>
    <w:rsid w:val="42760499"/>
    <w:rsid w:val="42836415"/>
    <w:rsid w:val="42860734"/>
    <w:rsid w:val="42864EB0"/>
    <w:rsid w:val="428A713A"/>
    <w:rsid w:val="428C263D"/>
    <w:rsid w:val="42903F0B"/>
    <w:rsid w:val="429709CE"/>
    <w:rsid w:val="4298644F"/>
    <w:rsid w:val="42A704E4"/>
    <w:rsid w:val="42A70C68"/>
    <w:rsid w:val="42B63FDE"/>
    <w:rsid w:val="42B86984"/>
    <w:rsid w:val="42B9425F"/>
    <w:rsid w:val="42BE088D"/>
    <w:rsid w:val="42C15095"/>
    <w:rsid w:val="42CA46A0"/>
    <w:rsid w:val="42D53D36"/>
    <w:rsid w:val="42DC7E3D"/>
    <w:rsid w:val="42DF1732"/>
    <w:rsid w:val="42E21D47"/>
    <w:rsid w:val="42E661CE"/>
    <w:rsid w:val="42E816D2"/>
    <w:rsid w:val="42E94F55"/>
    <w:rsid w:val="42EA29D6"/>
    <w:rsid w:val="42F6426B"/>
    <w:rsid w:val="42FC6174"/>
    <w:rsid w:val="4314381B"/>
    <w:rsid w:val="431E79AD"/>
    <w:rsid w:val="43233E35"/>
    <w:rsid w:val="4326283B"/>
    <w:rsid w:val="432C4745"/>
    <w:rsid w:val="433462CE"/>
    <w:rsid w:val="433575D3"/>
    <w:rsid w:val="43472D70"/>
    <w:rsid w:val="43484F6E"/>
    <w:rsid w:val="434A3CF5"/>
    <w:rsid w:val="434D6E78"/>
    <w:rsid w:val="434F39C4"/>
    <w:rsid w:val="43552086"/>
    <w:rsid w:val="43561D06"/>
    <w:rsid w:val="43565589"/>
    <w:rsid w:val="43675823"/>
    <w:rsid w:val="436F06B1"/>
    <w:rsid w:val="43744B39"/>
    <w:rsid w:val="437D2908"/>
    <w:rsid w:val="4380094B"/>
    <w:rsid w:val="43847352"/>
    <w:rsid w:val="43873B5A"/>
    <w:rsid w:val="43900BE6"/>
    <w:rsid w:val="43966372"/>
    <w:rsid w:val="43A06C82"/>
    <w:rsid w:val="43A45688"/>
    <w:rsid w:val="43AA1790"/>
    <w:rsid w:val="43B86527"/>
    <w:rsid w:val="43C62026"/>
    <w:rsid w:val="43C6583D"/>
    <w:rsid w:val="43C92044"/>
    <w:rsid w:val="43D76DDC"/>
    <w:rsid w:val="43E01C6A"/>
    <w:rsid w:val="43E17237"/>
    <w:rsid w:val="43E9037B"/>
    <w:rsid w:val="43EF4482"/>
    <w:rsid w:val="43F01F04"/>
    <w:rsid w:val="43F15787"/>
    <w:rsid w:val="43F32E89"/>
    <w:rsid w:val="44054428"/>
    <w:rsid w:val="440A2AAE"/>
    <w:rsid w:val="44241459"/>
    <w:rsid w:val="442723DE"/>
    <w:rsid w:val="44297ADF"/>
    <w:rsid w:val="442F19E9"/>
    <w:rsid w:val="443A6809"/>
    <w:rsid w:val="444E5B21"/>
    <w:rsid w:val="44524527"/>
    <w:rsid w:val="445B15B3"/>
    <w:rsid w:val="445F383D"/>
    <w:rsid w:val="445F5DBB"/>
    <w:rsid w:val="446E4D51"/>
    <w:rsid w:val="44705CD5"/>
    <w:rsid w:val="4475215D"/>
    <w:rsid w:val="44890DFE"/>
    <w:rsid w:val="448F2D07"/>
    <w:rsid w:val="449206FC"/>
    <w:rsid w:val="44A52CAC"/>
    <w:rsid w:val="44B37A44"/>
    <w:rsid w:val="44B454C5"/>
    <w:rsid w:val="44B567CA"/>
    <w:rsid w:val="44B71CCD"/>
    <w:rsid w:val="44C81F67"/>
    <w:rsid w:val="44CA2EEC"/>
    <w:rsid w:val="44CB096E"/>
    <w:rsid w:val="44CC2B6C"/>
    <w:rsid w:val="44D01572"/>
    <w:rsid w:val="44D5127D"/>
    <w:rsid w:val="44DA5705"/>
    <w:rsid w:val="44DB3186"/>
    <w:rsid w:val="44EB79FC"/>
    <w:rsid w:val="44EE0B22"/>
    <w:rsid w:val="44EF65A4"/>
    <w:rsid w:val="44F24FAA"/>
    <w:rsid w:val="44F404AD"/>
    <w:rsid w:val="44FA5C39"/>
    <w:rsid w:val="44FF20C1"/>
    <w:rsid w:val="45044997"/>
    <w:rsid w:val="451A3F70"/>
    <w:rsid w:val="451B19F1"/>
    <w:rsid w:val="45225AF9"/>
    <w:rsid w:val="452644FF"/>
    <w:rsid w:val="452E738D"/>
    <w:rsid w:val="45310312"/>
    <w:rsid w:val="4533080F"/>
    <w:rsid w:val="453329B6"/>
    <w:rsid w:val="45344B1A"/>
    <w:rsid w:val="45390FA1"/>
    <w:rsid w:val="453A31A0"/>
    <w:rsid w:val="453B0C21"/>
    <w:rsid w:val="4540092C"/>
    <w:rsid w:val="454B0EBC"/>
    <w:rsid w:val="455376FE"/>
    <w:rsid w:val="455901D1"/>
    <w:rsid w:val="45593A55"/>
    <w:rsid w:val="455C49D9"/>
    <w:rsid w:val="456017C3"/>
    <w:rsid w:val="4561219E"/>
    <w:rsid w:val="457110FB"/>
    <w:rsid w:val="45791014"/>
    <w:rsid w:val="45880D21"/>
    <w:rsid w:val="458E64AD"/>
    <w:rsid w:val="458F3F2F"/>
    <w:rsid w:val="459A7D41"/>
    <w:rsid w:val="459C3244"/>
    <w:rsid w:val="459D5443"/>
    <w:rsid w:val="459E4A6E"/>
    <w:rsid w:val="45A218CA"/>
    <w:rsid w:val="45A3734C"/>
    <w:rsid w:val="45A44DCD"/>
    <w:rsid w:val="45A715D5"/>
    <w:rsid w:val="45A75961"/>
    <w:rsid w:val="45AD56DD"/>
    <w:rsid w:val="45B140E3"/>
    <w:rsid w:val="45BA6F71"/>
    <w:rsid w:val="45BD7EF6"/>
    <w:rsid w:val="45BF7797"/>
    <w:rsid w:val="45C075E3"/>
    <w:rsid w:val="45C1217F"/>
    <w:rsid w:val="45C52D84"/>
    <w:rsid w:val="45C66607"/>
    <w:rsid w:val="45D1241A"/>
    <w:rsid w:val="45D74323"/>
    <w:rsid w:val="45F2294E"/>
    <w:rsid w:val="46084AF2"/>
    <w:rsid w:val="460A6FC5"/>
    <w:rsid w:val="460C34F8"/>
    <w:rsid w:val="461F4717"/>
    <w:rsid w:val="46202199"/>
    <w:rsid w:val="4649335D"/>
    <w:rsid w:val="464A0DDF"/>
    <w:rsid w:val="464F0AEA"/>
    <w:rsid w:val="465429F3"/>
    <w:rsid w:val="465700F4"/>
    <w:rsid w:val="46573978"/>
    <w:rsid w:val="465935F7"/>
    <w:rsid w:val="46602F82"/>
    <w:rsid w:val="46614287"/>
    <w:rsid w:val="4663778A"/>
    <w:rsid w:val="46772BA7"/>
    <w:rsid w:val="468247BC"/>
    <w:rsid w:val="468A3DC6"/>
    <w:rsid w:val="46911036"/>
    <w:rsid w:val="469446D6"/>
    <w:rsid w:val="46957BD9"/>
    <w:rsid w:val="46A017ED"/>
    <w:rsid w:val="46A401F3"/>
    <w:rsid w:val="46A55C75"/>
    <w:rsid w:val="46B77BF4"/>
    <w:rsid w:val="46BF681F"/>
    <w:rsid w:val="46C23027"/>
    <w:rsid w:val="46C35225"/>
    <w:rsid w:val="46CB5EB5"/>
    <w:rsid w:val="46CC00B3"/>
    <w:rsid w:val="46CD35B6"/>
    <w:rsid w:val="46D66444"/>
    <w:rsid w:val="46DA4E4A"/>
    <w:rsid w:val="46DF4B55"/>
    <w:rsid w:val="46E025D7"/>
    <w:rsid w:val="46E22257"/>
    <w:rsid w:val="46E3355B"/>
    <w:rsid w:val="46E37CD8"/>
    <w:rsid w:val="46EC05E8"/>
    <w:rsid w:val="46EC204B"/>
    <w:rsid w:val="46EF571E"/>
    <w:rsid w:val="46F06FEE"/>
    <w:rsid w:val="46F224F1"/>
    <w:rsid w:val="46F37F73"/>
    <w:rsid w:val="46F459F4"/>
    <w:rsid w:val="46F87C7E"/>
    <w:rsid w:val="47105324"/>
    <w:rsid w:val="471517AC"/>
    <w:rsid w:val="471B6F39"/>
    <w:rsid w:val="4730365B"/>
    <w:rsid w:val="47330D5C"/>
    <w:rsid w:val="47342061"/>
    <w:rsid w:val="47365564"/>
    <w:rsid w:val="47372FE6"/>
    <w:rsid w:val="47394F83"/>
    <w:rsid w:val="473964E9"/>
    <w:rsid w:val="473C166C"/>
    <w:rsid w:val="473D70ED"/>
    <w:rsid w:val="47434CC7"/>
    <w:rsid w:val="474706B4"/>
    <w:rsid w:val="474A4205"/>
    <w:rsid w:val="475E2EA5"/>
    <w:rsid w:val="47644DAE"/>
    <w:rsid w:val="4776054C"/>
    <w:rsid w:val="477E6A6B"/>
    <w:rsid w:val="477F33DA"/>
    <w:rsid w:val="4789176B"/>
    <w:rsid w:val="478A0E65"/>
    <w:rsid w:val="478A71EC"/>
    <w:rsid w:val="478C04F1"/>
    <w:rsid w:val="47916B77"/>
    <w:rsid w:val="479A7B3A"/>
    <w:rsid w:val="479C4F08"/>
    <w:rsid w:val="479D620D"/>
    <w:rsid w:val="47A01390"/>
    <w:rsid w:val="47A22695"/>
    <w:rsid w:val="47A4404E"/>
    <w:rsid w:val="47A67F42"/>
    <w:rsid w:val="47A7459E"/>
    <w:rsid w:val="47AA2920"/>
    <w:rsid w:val="47AB7721"/>
    <w:rsid w:val="47B14EAE"/>
    <w:rsid w:val="47BB79BB"/>
    <w:rsid w:val="47C118C5"/>
    <w:rsid w:val="47C865CD"/>
    <w:rsid w:val="47D34BBC"/>
    <w:rsid w:val="47E0136E"/>
    <w:rsid w:val="47E114CB"/>
    <w:rsid w:val="47E330FE"/>
    <w:rsid w:val="47ED6A50"/>
    <w:rsid w:val="47EF6F11"/>
    <w:rsid w:val="47FB4028"/>
    <w:rsid w:val="480126AE"/>
    <w:rsid w:val="4809333E"/>
    <w:rsid w:val="480E77C6"/>
    <w:rsid w:val="480F5247"/>
    <w:rsid w:val="48104EC7"/>
    <w:rsid w:val="48112949"/>
    <w:rsid w:val="481161CC"/>
    <w:rsid w:val="481203CA"/>
    <w:rsid w:val="4815134F"/>
    <w:rsid w:val="481A105A"/>
    <w:rsid w:val="481C4831"/>
    <w:rsid w:val="481D1FDE"/>
    <w:rsid w:val="48221D95"/>
    <w:rsid w:val="48226466"/>
    <w:rsid w:val="482728EE"/>
    <w:rsid w:val="4828256E"/>
    <w:rsid w:val="48310C7F"/>
    <w:rsid w:val="483C3E0E"/>
    <w:rsid w:val="4842699B"/>
    <w:rsid w:val="484A3DA7"/>
    <w:rsid w:val="484C1192"/>
    <w:rsid w:val="484D4D2C"/>
    <w:rsid w:val="485A4042"/>
    <w:rsid w:val="48651BBD"/>
    <w:rsid w:val="486758D6"/>
    <w:rsid w:val="486A20DE"/>
    <w:rsid w:val="487948F7"/>
    <w:rsid w:val="487B7DFA"/>
    <w:rsid w:val="487E0D7E"/>
    <w:rsid w:val="48847404"/>
    <w:rsid w:val="48862907"/>
    <w:rsid w:val="48873C0C"/>
    <w:rsid w:val="488B4811"/>
    <w:rsid w:val="48927A1F"/>
    <w:rsid w:val="48973EA7"/>
    <w:rsid w:val="489973AA"/>
    <w:rsid w:val="48B02852"/>
    <w:rsid w:val="48B6475B"/>
    <w:rsid w:val="48BA13BF"/>
    <w:rsid w:val="48BF488B"/>
    <w:rsid w:val="48C2276C"/>
    <w:rsid w:val="48CA33FC"/>
    <w:rsid w:val="48CC6EE3"/>
    <w:rsid w:val="48D32A07"/>
    <w:rsid w:val="48DD6B99"/>
    <w:rsid w:val="48DF209C"/>
    <w:rsid w:val="48E01D1C"/>
    <w:rsid w:val="48E374F8"/>
    <w:rsid w:val="48E629B4"/>
    <w:rsid w:val="48EC5B2F"/>
    <w:rsid w:val="48F1583A"/>
    <w:rsid w:val="48F30D3D"/>
    <w:rsid w:val="48F851C5"/>
    <w:rsid w:val="48F94E45"/>
    <w:rsid w:val="48FD384B"/>
    <w:rsid w:val="490002A0"/>
    <w:rsid w:val="490260FB"/>
    <w:rsid w:val="49055D58"/>
    <w:rsid w:val="49060BED"/>
    <w:rsid w:val="49092EE1"/>
    <w:rsid w:val="491834FB"/>
    <w:rsid w:val="491B667E"/>
    <w:rsid w:val="49295994"/>
    <w:rsid w:val="492A0E97"/>
    <w:rsid w:val="492B471A"/>
    <w:rsid w:val="49316623"/>
    <w:rsid w:val="493C2436"/>
    <w:rsid w:val="49441A41"/>
    <w:rsid w:val="49447842"/>
    <w:rsid w:val="494A6F42"/>
    <w:rsid w:val="49520D56"/>
    <w:rsid w:val="4955555E"/>
    <w:rsid w:val="495C70E7"/>
    <w:rsid w:val="495D4B69"/>
    <w:rsid w:val="4968677D"/>
    <w:rsid w:val="4970701E"/>
    <w:rsid w:val="49773C28"/>
    <w:rsid w:val="49796A18"/>
    <w:rsid w:val="498118A6"/>
    <w:rsid w:val="498615B1"/>
    <w:rsid w:val="498A4734"/>
    <w:rsid w:val="498E313A"/>
    <w:rsid w:val="49912631"/>
    <w:rsid w:val="49950546"/>
    <w:rsid w:val="49973A49"/>
    <w:rsid w:val="49A452DD"/>
    <w:rsid w:val="49AD3738"/>
    <w:rsid w:val="49AF6EF2"/>
    <w:rsid w:val="49B123F5"/>
    <w:rsid w:val="49B358F8"/>
    <w:rsid w:val="49B5687D"/>
    <w:rsid w:val="49B764FC"/>
    <w:rsid w:val="49B91A00"/>
    <w:rsid w:val="49BD3C89"/>
    <w:rsid w:val="49C04C0E"/>
    <w:rsid w:val="49C66B17"/>
    <w:rsid w:val="49C74598"/>
    <w:rsid w:val="49D04EA8"/>
    <w:rsid w:val="49D203AB"/>
    <w:rsid w:val="49E6704C"/>
    <w:rsid w:val="49E80350"/>
    <w:rsid w:val="49EB34D3"/>
    <w:rsid w:val="49EC0F55"/>
    <w:rsid w:val="49EE4458"/>
    <w:rsid w:val="49EF1EDA"/>
    <w:rsid w:val="4A013479"/>
    <w:rsid w:val="4A017FBB"/>
    <w:rsid w:val="4A0B3F8D"/>
    <w:rsid w:val="4A154423"/>
    <w:rsid w:val="4A161D99"/>
    <w:rsid w:val="4A192D1E"/>
    <w:rsid w:val="4A2758B7"/>
    <w:rsid w:val="4A2A2FB8"/>
    <w:rsid w:val="4A36625B"/>
    <w:rsid w:val="4A4E5776"/>
    <w:rsid w:val="4A500C79"/>
    <w:rsid w:val="4A531BFE"/>
    <w:rsid w:val="4A54482C"/>
    <w:rsid w:val="4A545481"/>
    <w:rsid w:val="4A593B07"/>
    <w:rsid w:val="4A5C4A8C"/>
    <w:rsid w:val="4A637C9A"/>
    <w:rsid w:val="4A641E98"/>
    <w:rsid w:val="4A656994"/>
    <w:rsid w:val="4A660C1F"/>
    <w:rsid w:val="4A6B50A6"/>
    <w:rsid w:val="4A6C05AA"/>
    <w:rsid w:val="4A706FB0"/>
    <w:rsid w:val="4A7111AE"/>
    <w:rsid w:val="4A7F5F45"/>
    <w:rsid w:val="4A81724A"/>
    <w:rsid w:val="4A83274D"/>
    <w:rsid w:val="4A8420B3"/>
    <w:rsid w:val="4A8423CD"/>
    <w:rsid w:val="4A857E4F"/>
    <w:rsid w:val="4A876BD5"/>
    <w:rsid w:val="4A937164"/>
    <w:rsid w:val="4A9C4C71"/>
    <w:rsid w:val="4A9F427C"/>
    <w:rsid w:val="4AB77724"/>
    <w:rsid w:val="4AC61F3D"/>
    <w:rsid w:val="4AC9763E"/>
    <w:rsid w:val="4ACA56B2"/>
    <w:rsid w:val="4ACE7349"/>
    <w:rsid w:val="4AD102CE"/>
    <w:rsid w:val="4AD43451"/>
    <w:rsid w:val="4AD9315C"/>
    <w:rsid w:val="4AE10568"/>
    <w:rsid w:val="4AE14CE5"/>
    <w:rsid w:val="4AE25FEA"/>
    <w:rsid w:val="4AE649F0"/>
    <w:rsid w:val="4AE64FD4"/>
    <w:rsid w:val="4AEA55F5"/>
    <w:rsid w:val="4AF8018E"/>
    <w:rsid w:val="4AFB1112"/>
    <w:rsid w:val="4AFC3310"/>
    <w:rsid w:val="4AFD4615"/>
    <w:rsid w:val="4B05333F"/>
    <w:rsid w:val="4B105834"/>
    <w:rsid w:val="4B1B3BC5"/>
    <w:rsid w:val="4B1E4B4A"/>
    <w:rsid w:val="4B257D58"/>
    <w:rsid w:val="4B2A0FBC"/>
    <w:rsid w:val="4B367C72"/>
    <w:rsid w:val="4B3756F4"/>
    <w:rsid w:val="4B380F77"/>
    <w:rsid w:val="4B3A447A"/>
    <w:rsid w:val="4B3C10C7"/>
    <w:rsid w:val="4B454A0A"/>
    <w:rsid w:val="4B48598E"/>
    <w:rsid w:val="4B486D3B"/>
    <w:rsid w:val="4B5716CA"/>
    <w:rsid w:val="4B573A2A"/>
    <w:rsid w:val="4B5B2430"/>
    <w:rsid w:val="4B5E7B32"/>
    <w:rsid w:val="4B603035"/>
    <w:rsid w:val="4B6068B8"/>
    <w:rsid w:val="4B6452BE"/>
    <w:rsid w:val="4B6B4C49"/>
    <w:rsid w:val="4B722056"/>
    <w:rsid w:val="4B752FDA"/>
    <w:rsid w:val="4B76388E"/>
    <w:rsid w:val="4B82486E"/>
    <w:rsid w:val="4B835265"/>
    <w:rsid w:val="4B8E1986"/>
    <w:rsid w:val="4B997D17"/>
    <w:rsid w:val="4B9A1F15"/>
    <w:rsid w:val="4B9F3E1E"/>
    <w:rsid w:val="4BA076A2"/>
    <w:rsid w:val="4BA17322"/>
    <w:rsid w:val="4BA70097"/>
    <w:rsid w:val="4BA86CAC"/>
    <w:rsid w:val="4BA9472E"/>
    <w:rsid w:val="4BAE14A6"/>
    <w:rsid w:val="4BB73A44"/>
    <w:rsid w:val="4BC60A62"/>
    <w:rsid w:val="4BC92A64"/>
    <w:rsid w:val="4BCD272A"/>
    <w:rsid w:val="4BE41090"/>
    <w:rsid w:val="4BE44913"/>
    <w:rsid w:val="4BE64593"/>
    <w:rsid w:val="4BEB429E"/>
    <w:rsid w:val="4BF6257B"/>
    <w:rsid w:val="4C0515C4"/>
    <w:rsid w:val="4C071A1C"/>
    <w:rsid w:val="4C1B5BC3"/>
    <w:rsid w:val="4C1D24EE"/>
    <w:rsid w:val="4C1E7F70"/>
    <w:rsid w:val="4C2365F6"/>
    <w:rsid w:val="4C2904FF"/>
    <w:rsid w:val="4C334692"/>
    <w:rsid w:val="4C371FA0"/>
    <w:rsid w:val="4C4039A8"/>
    <w:rsid w:val="4C411429"/>
    <w:rsid w:val="4C473333"/>
    <w:rsid w:val="4C484637"/>
    <w:rsid w:val="4C4D523C"/>
    <w:rsid w:val="4C5174C5"/>
    <w:rsid w:val="4C52788C"/>
    <w:rsid w:val="4C54044A"/>
    <w:rsid w:val="4C544BC7"/>
    <w:rsid w:val="4C5D54D6"/>
    <w:rsid w:val="4C655D55"/>
    <w:rsid w:val="4C6B47EC"/>
    <w:rsid w:val="4C7044F7"/>
    <w:rsid w:val="4C714177"/>
    <w:rsid w:val="4C760FD5"/>
    <w:rsid w:val="4C831E93"/>
    <w:rsid w:val="4C847914"/>
    <w:rsid w:val="4C947BAF"/>
    <w:rsid w:val="4CB848EB"/>
    <w:rsid w:val="4CC74F06"/>
    <w:rsid w:val="4CCE2312"/>
    <w:rsid w:val="4CE10C5C"/>
    <w:rsid w:val="4CE14C56"/>
    <w:rsid w:val="4CE17CAE"/>
    <w:rsid w:val="4CE208F1"/>
    <w:rsid w:val="4CE64136"/>
    <w:rsid w:val="4CF002C8"/>
    <w:rsid w:val="4CF621D2"/>
    <w:rsid w:val="4CF725AE"/>
    <w:rsid w:val="4D06246C"/>
    <w:rsid w:val="4D145005"/>
    <w:rsid w:val="4D1C4610"/>
    <w:rsid w:val="4D1F478F"/>
    <w:rsid w:val="4D233F9A"/>
    <w:rsid w:val="4D2A3925"/>
    <w:rsid w:val="4D2C48AA"/>
    <w:rsid w:val="4D2E7DAD"/>
    <w:rsid w:val="4D3651B9"/>
    <w:rsid w:val="4D372C3B"/>
    <w:rsid w:val="4D3806BD"/>
    <w:rsid w:val="4D3D03C8"/>
    <w:rsid w:val="4D3E25C6"/>
    <w:rsid w:val="4D405AC9"/>
    <w:rsid w:val="4D416DCE"/>
    <w:rsid w:val="4D447D52"/>
    <w:rsid w:val="4D486759"/>
    <w:rsid w:val="4D4A76DD"/>
    <w:rsid w:val="4D4B18DC"/>
    <w:rsid w:val="4D4B557E"/>
    <w:rsid w:val="4D4E60E3"/>
    <w:rsid w:val="4D4F3B65"/>
    <w:rsid w:val="4D4F4C31"/>
    <w:rsid w:val="4D5869F3"/>
    <w:rsid w:val="4D590BF1"/>
    <w:rsid w:val="4D67120C"/>
    <w:rsid w:val="4D6D3115"/>
    <w:rsid w:val="4D796F28"/>
    <w:rsid w:val="4D7F46B4"/>
    <w:rsid w:val="4D8E364A"/>
    <w:rsid w:val="4D933355"/>
    <w:rsid w:val="4D971D5B"/>
    <w:rsid w:val="4D9D5E63"/>
    <w:rsid w:val="4D9F1366"/>
    <w:rsid w:val="4DA71FF5"/>
    <w:rsid w:val="4DB637EB"/>
    <w:rsid w:val="4DC1731C"/>
    <w:rsid w:val="4DC61225"/>
    <w:rsid w:val="4DCD4433"/>
    <w:rsid w:val="4DD12E39"/>
    <w:rsid w:val="4DDA5CC7"/>
    <w:rsid w:val="4DE80860"/>
    <w:rsid w:val="4DEA3D63"/>
    <w:rsid w:val="4DEB17E5"/>
    <w:rsid w:val="4DF420F5"/>
    <w:rsid w:val="4DF80AFB"/>
    <w:rsid w:val="4DFA3FFE"/>
    <w:rsid w:val="4E036E8C"/>
    <w:rsid w:val="4E05458D"/>
    <w:rsid w:val="4E057E10"/>
    <w:rsid w:val="4E065892"/>
    <w:rsid w:val="4E096817"/>
    <w:rsid w:val="4E0E741B"/>
    <w:rsid w:val="4E1D1C34"/>
    <w:rsid w:val="4E2415BF"/>
    <w:rsid w:val="4E2912CA"/>
    <w:rsid w:val="4E2A6D4B"/>
    <w:rsid w:val="4E2C224E"/>
    <w:rsid w:val="4E300C55"/>
    <w:rsid w:val="4E351776"/>
    <w:rsid w:val="4E3C6544"/>
    <w:rsid w:val="4E455377"/>
    <w:rsid w:val="4E4A5082"/>
    <w:rsid w:val="4E4B7280"/>
    <w:rsid w:val="4E4E5C86"/>
    <w:rsid w:val="4E53210E"/>
    <w:rsid w:val="4E581E19"/>
    <w:rsid w:val="4E5B751A"/>
    <w:rsid w:val="4E5C595C"/>
    <w:rsid w:val="4E5E049F"/>
    <w:rsid w:val="4E634927"/>
    <w:rsid w:val="4E6942B2"/>
    <w:rsid w:val="4E6B77B5"/>
    <w:rsid w:val="4E6C3038"/>
    <w:rsid w:val="4E6D653B"/>
    <w:rsid w:val="4E7116BE"/>
    <w:rsid w:val="4E7613C9"/>
    <w:rsid w:val="4E781049"/>
    <w:rsid w:val="4E79234E"/>
    <w:rsid w:val="4E7D54D1"/>
    <w:rsid w:val="4E7D64B2"/>
    <w:rsid w:val="4E7E09D4"/>
    <w:rsid w:val="4E802CCA"/>
    <w:rsid w:val="4E85035F"/>
    <w:rsid w:val="4E861663"/>
    <w:rsid w:val="4E873862"/>
    <w:rsid w:val="4E891FB7"/>
    <w:rsid w:val="4E8E6A70"/>
    <w:rsid w:val="4E901F73"/>
    <w:rsid w:val="4E9179F4"/>
    <w:rsid w:val="4E9B0304"/>
    <w:rsid w:val="4EAD7325"/>
    <w:rsid w:val="4EAE4DA6"/>
    <w:rsid w:val="4EB71E32"/>
    <w:rsid w:val="4EBB663A"/>
    <w:rsid w:val="4EBE0157"/>
    <w:rsid w:val="4EC77ECE"/>
    <w:rsid w:val="4EC945D8"/>
    <w:rsid w:val="4EC95CE1"/>
    <w:rsid w:val="4ED80E18"/>
    <w:rsid w:val="4EDA10ED"/>
    <w:rsid w:val="4EDF1CF2"/>
    <w:rsid w:val="4EE33F7B"/>
    <w:rsid w:val="4EE74B80"/>
    <w:rsid w:val="4F0A3E3B"/>
    <w:rsid w:val="4F183151"/>
    <w:rsid w:val="4F1B7959"/>
    <w:rsid w:val="4F1C5930"/>
    <w:rsid w:val="4F250268"/>
    <w:rsid w:val="4F265CEA"/>
    <w:rsid w:val="4F2711ED"/>
    <w:rsid w:val="4F2833EB"/>
    <w:rsid w:val="4F33177C"/>
    <w:rsid w:val="4F383685"/>
    <w:rsid w:val="4F3A498A"/>
    <w:rsid w:val="4F3C208C"/>
    <w:rsid w:val="4F3E5F10"/>
    <w:rsid w:val="4F3F3010"/>
    <w:rsid w:val="4F3F510F"/>
    <w:rsid w:val="4F400944"/>
    <w:rsid w:val="4F46621E"/>
    <w:rsid w:val="4F47041D"/>
    <w:rsid w:val="4F4A13A1"/>
    <w:rsid w:val="4F4D2326"/>
    <w:rsid w:val="4F5145AF"/>
    <w:rsid w:val="4F545534"/>
    <w:rsid w:val="4F552FB6"/>
    <w:rsid w:val="4F573F3A"/>
    <w:rsid w:val="4F61484A"/>
    <w:rsid w:val="4F676753"/>
    <w:rsid w:val="4F6841D5"/>
    <w:rsid w:val="4F855D03"/>
    <w:rsid w:val="4F8D043E"/>
    <w:rsid w:val="4F8D0B91"/>
    <w:rsid w:val="4F917597"/>
    <w:rsid w:val="4F93631E"/>
    <w:rsid w:val="4F955F9D"/>
    <w:rsid w:val="4F9827A5"/>
    <w:rsid w:val="4F9D237F"/>
    <w:rsid w:val="4FB045C9"/>
    <w:rsid w:val="4FB3554D"/>
    <w:rsid w:val="4FB85258"/>
    <w:rsid w:val="4FBB03DB"/>
    <w:rsid w:val="4FBD38DE"/>
    <w:rsid w:val="4FC01071"/>
    <w:rsid w:val="4FC122E5"/>
    <w:rsid w:val="4FCC3EF9"/>
    <w:rsid w:val="4FDB6712"/>
    <w:rsid w:val="4FDC71D6"/>
    <w:rsid w:val="4FE1061B"/>
    <w:rsid w:val="4FE60326"/>
    <w:rsid w:val="4FE75DA8"/>
    <w:rsid w:val="4FEC52C8"/>
    <w:rsid w:val="4FEF6AC0"/>
    <w:rsid w:val="5003644E"/>
    <w:rsid w:val="500478D6"/>
    <w:rsid w:val="50051AD4"/>
    <w:rsid w:val="500707B0"/>
    <w:rsid w:val="500A39DE"/>
    <w:rsid w:val="500D4962"/>
    <w:rsid w:val="500E23E4"/>
    <w:rsid w:val="500F7E65"/>
    <w:rsid w:val="501058E7"/>
    <w:rsid w:val="50120DEA"/>
    <w:rsid w:val="50257E0B"/>
    <w:rsid w:val="502B669D"/>
    <w:rsid w:val="50303C1D"/>
    <w:rsid w:val="503D54B2"/>
    <w:rsid w:val="50484B47"/>
    <w:rsid w:val="5054095A"/>
    <w:rsid w:val="50583ADD"/>
    <w:rsid w:val="505C5D66"/>
    <w:rsid w:val="505E3468"/>
    <w:rsid w:val="50671B79"/>
    <w:rsid w:val="506917F9"/>
    <w:rsid w:val="506A2AFE"/>
    <w:rsid w:val="506C277D"/>
    <w:rsid w:val="506C7DBD"/>
    <w:rsid w:val="50737B8A"/>
    <w:rsid w:val="5074340D"/>
    <w:rsid w:val="507F7220"/>
    <w:rsid w:val="5080141E"/>
    <w:rsid w:val="509C0D4E"/>
    <w:rsid w:val="50A6165E"/>
    <w:rsid w:val="50A770DF"/>
    <w:rsid w:val="50B26775"/>
    <w:rsid w:val="50B53E76"/>
    <w:rsid w:val="50B618F8"/>
    <w:rsid w:val="50C2318C"/>
    <w:rsid w:val="50CA0599"/>
    <w:rsid w:val="50CF02A4"/>
    <w:rsid w:val="50D21228"/>
    <w:rsid w:val="50D67C2E"/>
    <w:rsid w:val="50D71E2D"/>
    <w:rsid w:val="50DB40B6"/>
    <w:rsid w:val="50DC3D36"/>
    <w:rsid w:val="50E0053E"/>
    <w:rsid w:val="50EF74D3"/>
    <w:rsid w:val="50F85BE5"/>
    <w:rsid w:val="50FC206C"/>
    <w:rsid w:val="51054EFA"/>
    <w:rsid w:val="5106384B"/>
    <w:rsid w:val="510B6E04"/>
    <w:rsid w:val="5112678F"/>
    <w:rsid w:val="512457AF"/>
    <w:rsid w:val="51273ADE"/>
    <w:rsid w:val="51317043"/>
    <w:rsid w:val="51337FC8"/>
    <w:rsid w:val="51345A4A"/>
    <w:rsid w:val="51357C48"/>
    <w:rsid w:val="51391ED1"/>
    <w:rsid w:val="513F0557"/>
    <w:rsid w:val="514214DC"/>
    <w:rsid w:val="51530EAE"/>
    <w:rsid w:val="51571481"/>
    <w:rsid w:val="51577C0B"/>
    <w:rsid w:val="51591101"/>
    <w:rsid w:val="515B4604"/>
    <w:rsid w:val="515C5909"/>
    <w:rsid w:val="51673073"/>
    <w:rsid w:val="517A073C"/>
    <w:rsid w:val="517D38BF"/>
    <w:rsid w:val="5180445B"/>
    <w:rsid w:val="51825B49"/>
    <w:rsid w:val="51827D47"/>
    <w:rsid w:val="51937FE1"/>
    <w:rsid w:val="519434E5"/>
    <w:rsid w:val="51AF7912"/>
    <w:rsid w:val="51B15013"/>
    <w:rsid w:val="51B43D99"/>
    <w:rsid w:val="51B727A0"/>
    <w:rsid w:val="51BD0E26"/>
    <w:rsid w:val="51BE7E5E"/>
    <w:rsid w:val="51C1782C"/>
    <w:rsid w:val="51D90756"/>
    <w:rsid w:val="51DE0461"/>
    <w:rsid w:val="51FF0996"/>
    <w:rsid w:val="52006417"/>
    <w:rsid w:val="5204289F"/>
    <w:rsid w:val="520A0F25"/>
    <w:rsid w:val="520D1EAA"/>
    <w:rsid w:val="520D572D"/>
    <w:rsid w:val="520F0C30"/>
    <w:rsid w:val="521A11BF"/>
    <w:rsid w:val="521B4A42"/>
    <w:rsid w:val="521B6C41"/>
    <w:rsid w:val="522762D7"/>
    <w:rsid w:val="522804D5"/>
    <w:rsid w:val="523A74F6"/>
    <w:rsid w:val="5247460D"/>
    <w:rsid w:val="5248208F"/>
    <w:rsid w:val="524A5592"/>
    <w:rsid w:val="524D0715"/>
    <w:rsid w:val="52521775"/>
    <w:rsid w:val="52530420"/>
    <w:rsid w:val="52545EA1"/>
    <w:rsid w:val="525664C6"/>
    <w:rsid w:val="52566E26"/>
    <w:rsid w:val="525E09AF"/>
    <w:rsid w:val="526A2243"/>
    <w:rsid w:val="5285086E"/>
    <w:rsid w:val="528A4CF6"/>
    <w:rsid w:val="528C01F9"/>
    <w:rsid w:val="528F4A01"/>
    <w:rsid w:val="529B0814"/>
    <w:rsid w:val="52A22E8C"/>
    <w:rsid w:val="52A41123"/>
    <w:rsid w:val="52A80F18"/>
    <w:rsid w:val="52AE1A33"/>
    <w:rsid w:val="52AE52B6"/>
    <w:rsid w:val="52B35EBB"/>
    <w:rsid w:val="52B54C41"/>
    <w:rsid w:val="52B72342"/>
    <w:rsid w:val="52BE7ACF"/>
    <w:rsid w:val="52C206D3"/>
    <w:rsid w:val="52C23569"/>
    <w:rsid w:val="52CD6A64"/>
    <w:rsid w:val="52D0546B"/>
    <w:rsid w:val="52D10CEE"/>
    <w:rsid w:val="52D67374"/>
    <w:rsid w:val="52D9353C"/>
    <w:rsid w:val="52DD6CFF"/>
    <w:rsid w:val="52E15705"/>
    <w:rsid w:val="52F11223"/>
    <w:rsid w:val="52F61E27"/>
    <w:rsid w:val="52FC75B4"/>
    <w:rsid w:val="53113E09"/>
    <w:rsid w:val="53117559"/>
    <w:rsid w:val="531371D9"/>
    <w:rsid w:val="53183661"/>
    <w:rsid w:val="53186EE4"/>
    <w:rsid w:val="532042F0"/>
    <w:rsid w:val="53211D72"/>
    <w:rsid w:val="53235275"/>
    <w:rsid w:val="53253E3E"/>
    <w:rsid w:val="532F3286"/>
    <w:rsid w:val="53327A8E"/>
    <w:rsid w:val="5334770E"/>
    <w:rsid w:val="533C03FC"/>
    <w:rsid w:val="533C259B"/>
    <w:rsid w:val="533E5A9F"/>
    <w:rsid w:val="533F1322"/>
    <w:rsid w:val="53431F26"/>
    <w:rsid w:val="534737CD"/>
    <w:rsid w:val="53493E30"/>
    <w:rsid w:val="53514ABF"/>
    <w:rsid w:val="535534C5"/>
    <w:rsid w:val="53563145"/>
    <w:rsid w:val="535A1B4B"/>
    <w:rsid w:val="53644FA3"/>
    <w:rsid w:val="536846E4"/>
    <w:rsid w:val="537304F7"/>
    <w:rsid w:val="53871716"/>
    <w:rsid w:val="5389269B"/>
    <w:rsid w:val="539058A9"/>
    <w:rsid w:val="539D38BA"/>
    <w:rsid w:val="539F2640"/>
    <w:rsid w:val="539F48DA"/>
    <w:rsid w:val="53A000C2"/>
    <w:rsid w:val="53A15B43"/>
    <w:rsid w:val="53A17D41"/>
    <w:rsid w:val="53AB3ED4"/>
    <w:rsid w:val="53AE15D6"/>
    <w:rsid w:val="53B46D62"/>
    <w:rsid w:val="53B62265"/>
    <w:rsid w:val="53B669E2"/>
    <w:rsid w:val="53BF50F3"/>
    <w:rsid w:val="53CB6987"/>
    <w:rsid w:val="53CC4409"/>
    <w:rsid w:val="53D8021B"/>
    <w:rsid w:val="53DB0C3B"/>
    <w:rsid w:val="53E10B2B"/>
    <w:rsid w:val="53E70427"/>
    <w:rsid w:val="53E72A34"/>
    <w:rsid w:val="53ED493E"/>
    <w:rsid w:val="53EF7D0D"/>
    <w:rsid w:val="53F320CA"/>
    <w:rsid w:val="54082F69"/>
    <w:rsid w:val="540A3EEE"/>
    <w:rsid w:val="540C5ACC"/>
    <w:rsid w:val="541C548D"/>
    <w:rsid w:val="541F2B8E"/>
    <w:rsid w:val="54234E18"/>
    <w:rsid w:val="54237016"/>
    <w:rsid w:val="54265D9C"/>
    <w:rsid w:val="54296D21"/>
    <w:rsid w:val="542A3333"/>
    <w:rsid w:val="542B3971"/>
    <w:rsid w:val="5430412D"/>
    <w:rsid w:val="54331D94"/>
    <w:rsid w:val="54332E6D"/>
    <w:rsid w:val="543E3443"/>
    <w:rsid w:val="54406946"/>
    <w:rsid w:val="54645881"/>
    <w:rsid w:val="54684287"/>
    <w:rsid w:val="5474391D"/>
    <w:rsid w:val="5475139F"/>
    <w:rsid w:val="54782323"/>
    <w:rsid w:val="54797DA5"/>
    <w:rsid w:val="547C1D4A"/>
    <w:rsid w:val="548825BE"/>
    <w:rsid w:val="54943E52"/>
    <w:rsid w:val="54A3318D"/>
    <w:rsid w:val="54AC14F8"/>
    <w:rsid w:val="54B42188"/>
    <w:rsid w:val="54BB1B13"/>
    <w:rsid w:val="54C10199"/>
    <w:rsid w:val="54C13A1C"/>
    <w:rsid w:val="54CF07B4"/>
    <w:rsid w:val="54D33936"/>
    <w:rsid w:val="54D56E3A"/>
    <w:rsid w:val="54D7233D"/>
    <w:rsid w:val="54E2614F"/>
    <w:rsid w:val="54E570D4"/>
    <w:rsid w:val="54E9135D"/>
    <w:rsid w:val="54E95ADA"/>
    <w:rsid w:val="54EF79E3"/>
    <w:rsid w:val="54F00CE8"/>
    <w:rsid w:val="54F15B76"/>
    <w:rsid w:val="54FE5A7F"/>
    <w:rsid w:val="55016A04"/>
    <w:rsid w:val="550B7314"/>
    <w:rsid w:val="55110DB9"/>
    <w:rsid w:val="55126C9E"/>
    <w:rsid w:val="551321A2"/>
    <w:rsid w:val="55145A25"/>
    <w:rsid w:val="55271C1F"/>
    <w:rsid w:val="552846C5"/>
    <w:rsid w:val="55303CD0"/>
    <w:rsid w:val="553426D6"/>
    <w:rsid w:val="55345F5A"/>
    <w:rsid w:val="553A45E0"/>
    <w:rsid w:val="55434EEF"/>
    <w:rsid w:val="554738F5"/>
    <w:rsid w:val="55514205"/>
    <w:rsid w:val="55532F8B"/>
    <w:rsid w:val="555A7093"/>
    <w:rsid w:val="55631913"/>
    <w:rsid w:val="556C0B96"/>
    <w:rsid w:val="557C3F5E"/>
    <w:rsid w:val="557F72D2"/>
    <w:rsid w:val="55804D54"/>
    <w:rsid w:val="558D1505"/>
    <w:rsid w:val="559304F1"/>
    <w:rsid w:val="5597277B"/>
    <w:rsid w:val="55980A4A"/>
    <w:rsid w:val="559B1181"/>
    <w:rsid w:val="559D6882"/>
    <w:rsid w:val="55A2658D"/>
    <w:rsid w:val="55A30CE4"/>
    <w:rsid w:val="55A92695"/>
    <w:rsid w:val="55B20DA6"/>
    <w:rsid w:val="55B41D2B"/>
    <w:rsid w:val="55B464A8"/>
    <w:rsid w:val="55BA03B1"/>
    <w:rsid w:val="55BE6DB7"/>
    <w:rsid w:val="55BE7B05"/>
    <w:rsid w:val="55D90C66"/>
    <w:rsid w:val="55DC290C"/>
    <w:rsid w:val="55DD34AB"/>
    <w:rsid w:val="55E67F7B"/>
    <w:rsid w:val="55E90F00"/>
    <w:rsid w:val="55F12998"/>
    <w:rsid w:val="55F8151B"/>
    <w:rsid w:val="55F93719"/>
    <w:rsid w:val="55FB249F"/>
    <w:rsid w:val="560143A9"/>
    <w:rsid w:val="56085F32"/>
    <w:rsid w:val="560A1435"/>
    <w:rsid w:val="560C01BB"/>
    <w:rsid w:val="560D5C3D"/>
    <w:rsid w:val="56153049"/>
    <w:rsid w:val="561577C6"/>
    <w:rsid w:val="56191A4F"/>
    <w:rsid w:val="561B7187"/>
    <w:rsid w:val="56355AFC"/>
    <w:rsid w:val="563C00B7"/>
    <w:rsid w:val="563D0792"/>
    <w:rsid w:val="563F3E8D"/>
    <w:rsid w:val="56424E12"/>
    <w:rsid w:val="5648259F"/>
    <w:rsid w:val="564B3523"/>
    <w:rsid w:val="564E66A6"/>
    <w:rsid w:val="56582839"/>
    <w:rsid w:val="565B37BE"/>
    <w:rsid w:val="565E4742"/>
    <w:rsid w:val="565F6940"/>
    <w:rsid w:val="566156C7"/>
    <w:rsid w:val="56630BCA"/>
    <w:rsid w:val="566540CD"/>
    <w:rsid w:val="566D36D8"/>
    <w:rsid w:val="566F245E"/>
    <w:rsid w:val="56715961"/>
    <w:rsid w:val="567A1039"/>
    <w:rsid w:val="5681017A"/>
    <w:rsid w:val="5683367D"/>
    <w:rsid w:val="56850D7E"/>
    <w:rsid w:val="56870502"/>
    <w:rsid w:val="569819EA"/>
    <w:rsid w:val="569F51AC"/>
    <w:rsid w:val="56AA0DA5"/>
    <w:rsid w:val="56AB4841"/>
    <w:rsid w:val="56B55151"/>
    <w:rsid w:val="56B72852"/>
    <w:rsid w:val="56B802D4"/>
    <w:rsid w:val="56BC6CDA"/>
    <w:rsid w:val="56C440E6"/>
    <w:rsid w:val="56C62E6D"/>
    <w:rsid w:val="56C675EA"/>
    <w:rsid w:val="56C708EE"/>
    <w:rsid w:val="56CA5FF0"/>
    <w:rsid w:val="56D133FC"/>
    <w:rsid w:val="56D71F62"/>
    <w:rsid w:val="56D82D87"/>
    <w:rsid w:val="56D8660A"/>
    <w:rsid w:val="56DD2A92"/>
    <w:rsid w:val="56DF6C95"/>
    <w:rsid w:val="56E90AA3"/>
    <w:rsid w:val="56EB1DA8"/>
    <w:rsid w:val="56ED74A9"/>
    <w:rsid w:val="56FB2042"/>
    <w:rsid w:val="570D7FA7"/>
    <w:rsid w:val="57101FE7"/>
    <w:rsid w:val="571376E9"/>
    <w:rsid w:val="57221F02"/>
    <w:rsid w:val="57245405"/>
    <w:rsid w:val="572B4D8F"/>
    <w:rsid w:val="572D0293"/>
    <w:rsid w:val="5733219C"/>
    <w:rsid w:val="57346F6A"/>
    <w:rsid w:val="573A75A8"/>
    <w:rsid w:val="574C52C4"/>
    <w:rsid w:val="57522A51"/>
    <w:rsid w:val="575262EC"/>
    <w:rsid w:val="575539D5"/>
    <w:rsid w:val="57784E8F"/>
    <w:rsid w:val="577A3C15"/>
    <w:rsid w:val="577C7118"/>
    <w:rsid w:val="577D1316"/>
    <w:rsid w:val="57800D02"/>
    <w:rsid w:val="578135A0"/>
    <w:rsid w:val="578A31A2"/>
    <w:rsid w:val="57905DB9"/>
    <w:rsid w:val="5791383A"/>
    <w:rsid w:val="57987942"/>
    <w:rsid w:val="579A66C8"/>
    <w:rsid w:val="57A31556"/>
    <w:rsid w:val="57A4463D"/>
    <w:rsid w:val="57AB43E4"/>
    <w:rsid w:val="57B439EF"/>
    <w:rsid w:val="57B759A0"/>
    <w:rsid w:val="57C85F13"/>
    <w:rsid w:val="57D342A4"/>
    <w:rsid w:val="57D65228"/>
    <w:rsid w:val="57D961AD"/>
    <w:rsid w:val="57E1103B"/>
    <w:rsid w:val="57EB51CE"/>
    <w:rsid w:val="57FB5468"/>
    <w:rsid w:val="57FD096B"/>
    <w:rsid w:val="57FE63ED"/>
    <w:rsid w:val="58070693"/>
    <w:rsid w:val="58086CFC"/>
    <w:rsid w:val="580A21FF"/>
    <w:rsid w:val="580B1E7F"/>
    <w:rsid w:val="5813728B"/>
    <w:rsid w:val="582043A3"/>
    <w:rsid w:val="58301BAD"/>
    <w:rsid w:val="58327B40"/>
    <w:rsid w:val="583B12A8"/>
    <w:rsid w:val="583E71D6"/>
    <w:rsid w:val="5841015B"/>
    <w:rsid w:val="584D2F1D"/>
    <w:rsid w:val="58502974"/>
    <w:rsid w:val="585722FF"/>
    <w:rsid w:val="58576A7B"/>
    <w:rsid w:val="585A359C"/>
    <w:rsid w:val="58612C0E"/>
    <w:rsid w:val="58645D91"/>
    <w:rsid w:val="58684797"/>
    <w:rsid w:val="5872092A"/>
    <w:rsid w:val="587E21BE"/>
    <w:rsid w:val="58832DC3"/>
    <w:rsid w:val="588675CA"/>
    <w:rsid w:val="588B3A52"/>
    <w:rsid w:val="589B3CED"/>
    <w:rsid w:val="589C7293"/>
    <w:rsid w:val="58A65901"/>
    <w:rsid w:val="58AA0A84"/>
    <w:rsid w:val="58AA6505"/>
    <w:rsid w:val="58AB32D2"/>
    <w:rsid w:val="58AF298D"/>
    <w:rsid w:val="58B13C92"/>
    <w:rsid w:val="58B27195"/>
    <w:rsid w:val="58BE0191"/>
    <w:rsid w:val="58BF0A29"/>
    <w:rsid w:val="58C70034"/>
    <w:rsid w:val="58CD1F3D"/>
    <w:rsid w:val="58D1792B"/>
    <w:rsid w:val="58D376CA"/>
    <w:rsid w:val="58D418C8"/>
    <w:rsid w:val="58E10BDE"/>
    <w:rsid w:val="58E2665F"/>
    <w:rsid w:val="58E31EE2"/>
    <w:rsid w:val="58E7636A"/>
    <w:rsid w:val="58F16C7A"/>
    <w:rsid w:val="5905591A"/>
    <w:rsid w:val="590A5625"/>
    <w:rsid w:val="590D65AA"/>
    <w:rsid w:val="59114FB0"/>
    <w:rsid w:val="59161438"/>
    <w:rsid w:val="592077C9"/>
    <w:rsid w:val="59234ECA"/>
    <w:rsid w:val="59265E4F"/>
    <w:rsid w:val="592875B7"/>
    <w:rsid w:val="592A2449"/>
    <w:rsid w:val="59335165"/>
    <w:rsid w:val="59346469"/>
    <w:rsid w:val="593730A6"/>
    <w:rsid w:val="59373B6B"/>
    <w:rsid w:val="594069F9"/>
    <w:rsid w:val="59456704"/>
    <w:rsid w:val="59466C53"/>
    <w:rsid w:val="59487688"/>
    <w:rsid w:val="59502516"/>
    <w:rsid w:val="59514715"/>
    <w:rsid w:val="59604D2F"/>
    <w:rsid w:val="597162CE"/>
    <w:rsid w:val="59735F4E"/>
    <w:rsid w:val="59762756"/>
    <w:rsid w:val="59797E57"/>
    <w:rsid w:val="597B335B"/>
    <w:rsid w:val="597D20E1"/>
    <w:rsid w:val="59810AE7"/>
    <w:rsid w:val="598516EC"/>
    <w:rsid w:val="59957788"/>
    <w:rsid w:val="5999618E"/>
    <w:rsid w:val="599A3C0F"/>
    <w:rsid w:val="599C77B2"/>
    <w:rsid w:val="59A07D17"/>
    <w:rsid w:val="59A2321A"/>
    <w:rsid w:val="59A26A9D"/>
    <w:rsid w:val="59A4671D"/>
    <w:rsid w:val="59A72F25"/>
    <w:rsid w:val="59AD15AB"/>
    <w:rsid w:val="59AF2EAE"/>
    <w:rsid w:val="59AF3A4D"/>
    <w:rsid w:val="59B469B8"/>
    <w:rsid w:val="59C0604D"/>
    <w:rsid w:val="59C13ACF"/>
    <w:rsid w:val="59C44A54"/>
    <w:rsid w:val="59C524D5"/>
    <w:rsid w:val="59CA6DFB"/>
    <w:rsid w:val="59CB43DE"/>
    <w:rsid w:val="59CC7922"/>
    <w:rsid w:val="59CD5363"/>
    <w:rsid w:val="59D714F6"/>
    <w:rsid w:val="59D949F9"/>
    <w:rsid w:val="59DB4679"/>
    <w:rsid w:val="59DD33FF"/>
    <w:rsid w:val="59DE0E81"/>
    <w:rsid w:val="59E73D0F"/>
    <w:rsid w:val="59E8398F"/>
    <w:rsid w:val="59EB2715"/>
    <w:rsid w:val="59ED7E16"/>
    <w:rsid w:val="59EF227E"/>
    <w:rsid w:val="59F16E72"/>
    <w:rsid w:val="59F62CA4"/>
    <w:rsid w:val="59FD262F"/>
    <w:rsid w:val="59FE3934"/>
    <w:rsid w:val="5A031FBA"/>
    <w:rsid w:val="5A0554BD"/>
    <w:rsid w:val="5A0667C2"/>
    <w:rsid w:val="5A0D28C9"/>
    <w:rsid w:val="5A0D7C5E"/>
    <w:rsid w:val="5A0F1650"/>
    <w:rsid w:val="5A110F4E"/>
    <w:rsid w:val="5A1866DC"/>
    <w:rsid w:val="5A261275"/>
    <w:rsid w:val="5A2C317E"/>
    <w:rsid w:val="5A312F50"/>
    <w:rsid w:val="5A363A8E"/>
    <w:rsid w:val="5A3C3419"/>
    <w:rsid w:val="5A401E1F"/>
    <w:rsid w:val="5A48722B"/>
    <w:rsid w:val="5A492C31"/>
    <w:rsid w:val="5A5515B4"/>
    <w:rsid w:val="5A576F72"/>
    <w:rsid w:val="5A5907CA"/>
    <w:rsid w:val="5A5A29C9"/>
    <w:rsid w:val="5A5B3CCD"/>
    <w:rsid w:val="5A5D394D"/>
    <w:rsid w:val="5A612353"/>
    <w:rsid w:val="5A6951E1"/>
    <w:rsid w:val="5A6A0A65"/>
    <w:rsid w:val="5A6E1669"/>
    <w:rsid w:val="5A6E746B"/>
    <w:rsid w:val="5A7857FC"/>
    <w:rsid w:val="5A7B0A82"/>
    <w:rsid w:val="5A864B12"/>
    <w:rsid w:val="5A882213"/>
    <w:rsid w:val="5A89377C"/>
    <w:rsid w:val="5A897C95"/>
    <w:rsid w:val="5A933E27"/>
    <w:rsid w:val="5A9418A9"/>
    <w:rsid w:val="5A97282E"/>
    <w:rsid w:val="5AA62E48"/>
    <w:rsid w:val="5AA708CA"/>
    <w:rsid w:val="5AA72AC8"/>
    <w:rsid w:val="5AAB4D51"/>
    <w:rsid w:val="5AB94067"/>
    <w:rsid w:val="5ABF5F70"/>
    <w:rsid w:val="5AC05DA1"/>
    <w:rsid w:val="5AD05E8B"/>
    <w:rsid w:val="5AD31415"/>
    <w:rsid w:val="5ADD771F"/>
    <w:rsid w:val="5AF815CD"/>
    <w:rsid w:val="5AFD5A55"/>
    <w:rsid w:val="5B076365"/>
    <w:rsid w:val="5B0B27EC"/>
    <w:rsid w:val="5B0E3771"/>
    <w:rsid w:val="5B106C74"/>
    <w:rsid w:val="5B1259FA"/>
    <w:rsid w:val="5B184080"/>
    <w:rsid w:val="5B1D3D8B"/>
    <w:rsid w:val="5B253396"/>
    <w:rsid w:val="5B2B529F"/>
    <w:rsid w:val="5B2D4026"/>
    <w:rsid w:val="5B2F7529"/>
    <w:rsid w:val="5B312A2C"/>
    <w:rsid w:val="5B3204AE"/>
    <w:rsid w:val="5B366EB4"/>
    <w:rsid w:val="5B3D0A3D"/>
    <w:rsid w:val="5B417443"/>
    <w:rsid w:val="5B5176DD"/>
    <w:rsid w:val="5B546464"/>
    <w:rsid w:val="5B607CF8"/>
    <w:rsid w:val="5B685104"/>
    <w:rsid w:val="5B6E700E"/>
    <w:rsid w:val="5B707F92"/>
    <w:rsid w:val="5B746998"/>
    <w:rsid w:val="5B767C9D"/>
    <w:rsid w:val="5B7E2B2B"/>
    <w:rsid w:val="5B7FABCA"/>
    <w:rsid w:val="5B833730"/>
    <w:rsid w:val="5B8411B1"/>
    <w:rsid w:val="5B887BB7"/>
    <w:rsid w:val="5B895449"/>
    <w:rsid w:val="5B8D78C2"/>
    <w:rsid w:val="5B952750"/>
    <w:rsid w:val="5B9723D0"/>
    <w:rsid w:val="5BAE5879"/>
    <w:rsid w:val="5BB55204"/>
    <w:rsid w:val="5BC62F1F"/>
    <w:rsid w:val="5BCF366A"/>
    <w:rsid w:val="5BD65738"/>
    <w:rsid w:val="5BD76A3D"/>
    <w:rsid w:val="5BDA063C"/>
    <w:rsid w:val="5BE4354C"/>
    <w:rsid w:val="5BE77F86"/>
    <w:rsid w:val="5BEC315F"/>
    <w:rsid w:val="5BEE28A9"/>
    <w:rsid w:val="5BF27267"/>
    <w:rsid w:val="5BF4276A"/>
    <w:rsid w:val="5BF86F72"/>
    <w:rsid w:val="5BFD7A80"/>
    <w:rsid w:val="5BFE68FD"/>
    <w:rsid w:val="5C060486"/>
    <w:rsid w:val="5C0A490D"/>
    <w:rsid w:val="5C0B0191"/>
    <w:rsid w:val="5C0B238F"/>
    <w:rsid w:val="5C104619"/>
    <w:rsid w:val="5C106817"/>
    <w:rsid w:val="5C183C23"/>
    <w:rsid w:val="5C1B4BA8"/>
    <w:rsid w:val="5C1D00AB"/>
    <w:rsid w:val="5C1F6E31"/>
    <w:rsid w:val="5C22776D"/>
    <w:rsid w:val="5C27423E"/>
    <w:rsid w:val="5C297741"/>
    <w:rsid w:val="5C343553"/>
    <w:rsid w:val="5C3E76E6"/>
    <w:rsid w:val="5C414DE8"/>
    <w:rsid w:val="5C4202EB"/>
    <w:rsid w:val="5C474772"/>
    <w:rsid w:val="5C4D3139"/>
    <w:rsid w:val="5C5A5991"/>
    <w:rsid w:val="5C5C4F39"/>
    <w:rsid w:val="5C5D6916"/>
    <w:rsid w:val="5C5E4398"/>
    <w:rsid w:val="5C60569C"/>
    <w:rsid w:val="5C626621"/>
    <w:rsid w:val="5C684CA7"/>
    <w:rsid w:val="5C6D49B2"/>
    <w:rsid w:val="5C6E2434"/>
    <w:rsid w:val="5C7236C4"/>
    <w:rsid w:val="5C74653B"/>
    <w:rsid w:val="5C753FBD"/>
    <w:rsid w:val="5C782D43"/>
    <w:rsid w:val="5C7A0445"/>
    <w:rsid w:val="5C7C58C4"/>
    <w:rsid w:val="5C871CD9"/>
    <w:rsid w:val="5CB163A0"/>
    <w:rsid w:val="5CB660AB"/>
    <w:rsid w:val="5CBA4AB1"/>
    <w:rsid w:val="5CBF0F39"/>
    <w:rsid w:val="5CC03137"/>
    <w:rsid w:val="5CC85FC5"/>
    <w:rsid w:val="5CCA72CA"/>
    <w:rsid w:val="5CD807DE"/>
    <w:rsid w:val="5CD96260"/>
    <w:rsid w:val="5CDB71E4"/>
    <w:rsid w:val="5CDF39EC"/>
    <w:rsid w:val="5CE26B6F"/>
    <w:rsid w:val="5CE65575"/>
    <w:rsid w:val="5CF3268D"/>
    <w:rsid w:val="5D013204"/>
    <w:rsid w:val="5D0A5B35"/>
    <w:rsid w:val="5D135140"/>
    <w:rsid w:val="5D1A034E"/>
    <w:rsid w:val="5D1C3851"/>
    <w:rsid w:val="5D1E0F52"/>
    <w:rsid w:val="5D207CD9"/>
    <w:rsid w:val="5D254161"/>
    <w:rsid w:val="5D273DE0"/>
    <w:rsid w:val="5D277664"/>
    <w:rsid w:val="5D2A05E8"/>
    <w:rsid w:val="5D2B27E7"/>
    <w:rsid w:val="5D2B606A"/>
    <w:rsid w:val="5D352CFB"/>
    <w:rsid w:val="5D37407B"/>
    <w:rsid w:val="5D3B2A81"/>
    <w:rsid w:val="5D3F1487"/>
    <w:rsid w:val="5D411EC2"/>
    <w:rsid w:val="5D4132FA"/>
    <w:rsid w:val="5D472117"/>
    <w:rsid w:val="5D4B35B7"/>
    <w:rsid w:val="5D545BA9"/>
    <w:rsid w:val="5D67264C"/>
    <w:rsid w:val="5D6D7DD8"/>
    <w:rsid w:val="5D6F32DB"/>
    <w:rsid w:val="5D7167DE"/>
    <w:rsid w:val="5D73645E"/>
    <w:rsid w:val="5D762C66"/>
    <w:rsid w:val="5D7706E8"/>
    <w:rsid w:val="5D7F7CF2"/>
    <w:rsid w:val="5D8579FD"/>
    <w:rsid w:val="5D8B7388"/>
    <w:rsid w:val="5D8D7008"/>
    <w:rsid w:val="5D8E4A8A"/>
    <w:rsid w:val="5D942216"/>
    <w:rsid w:val="5DA15CA9"/>
    <w:rsid w:val="5DA311AC"/>
    <w:rsid w:val="5DA62130"/>
    <w:rsid w:val="5DAB2F6A"/>
    <w:rsid w:val="5DBD55D9"/>
    <w:rsid w:val="5DBF0ADC"/>
    <w:rsid w:val="5DCC20E0"/>
    <w:rsid w:val="5DD56503"/>
    <w:rsid w:val="5DDF6E12"/>
    <w:rsid w:val="5DE55498"/>
    <w:rsid w:val="5DEB2C25"/>
    <w:rsid w:val="5DEB4E23"/>
    <w:rsid w:val="5DF04B2E"/>
    <w:rsid w:val="5E047F4B"/>
    <w:rsid w:val="5E0559CD"/>
    <w:rsid w:val="5E066CD2"/>
    <w:rsid w:val="5E145FE7"/>
    <w:rsid w:val="5E1636E9"/>
    <w:rsid w:val="5E17116A"/>
    <w:rsid w:val="5E19466D"/>
    <w:rsid w:val="5E1A20EF"/>
    <w:rsid w:val="5E1E0AF5"/>
    <w:rsid w:val="5E1E68F7"/>
    <w:rsid w:val="5E4567B6"/>
    <w:rsid w:val="5E4D7446"/>
    <w:rsid w:val="5E5003CB"/>
    <w:rsid w:val="5E567D56"/>
    <w:rsid w:val="5E5879D5"/>
    <w:rsid w:val="5E5C63DC"/>
    <w:rsid w:val="5E5E5162"/>
    <w:rsid w:val="5E5F6487"/>
    <w:rsid w:val="5E65126A"/>
    <w:rsid w:val="5E666CEB"/>
    <w:rsid w:val="5E677FF0"/>
    <w:rsid w:val="5E6934F3"/>
    <w:rsid w:val="5E6D40F8"/>
    <w:rsid w:val="5E6F53FC"/>
    <w:rsid w:val="5E725618"/>
    <w:rsid w:val="5E7551E2"/>
    <w:rsid w:val="5E7D2194"/>
    <w:rsid w:val="5E870525"/>
    <w:rsid w:val="5E8A4F92"/>
    <w:rsid w:val="5E8E7EB0"/>
    <w:rsid w:val="5E934209"/>
    <w:rsid w:val="5E95783A"/>
    <w:rsid w:val="5E9E3E06"/>
    <w:rsid w:val="5EA7685B"/>
    <w:rsid w:val="5EA91D5E"/>
    <w:rsid w:val="5EB21369"/>
    <w:rsid w:val="5EB71074"/>
    <w:rsid w:val="5EC37085"/>
    <w:rsid w:val="5EC6388D"/>
    <w:rsid w:val="5EC7130E"/>
    <w:rsid w:val="5ECA6A10"/>
    <w:rsid w:val="5ED2769F"/>
    <w:rsid w:val="5ED39D2E"/>
    <w:rsid w:val="5ED50624"/>
    <w:rsid w:val="5ED660A5"/>
    <w:rsid w:val="5ED8702A"/>
    <w:rsid w:val="5EDA6CAA"/>
    <w:rsid w:val="5EE6372C"/>
    <w:rsid w:val="5EE7053E"/>
    <w:rsid w:val="5EEF11CE"/>
    <w:rsid w:val="5F0458F0"/>
    <w:rsid w:val="5F0E1A83"/>
    <w:rsid w:val="5F102A07"/>
    <w:rsid w:val="5F1514A5"/>
    <w:rsid w:val="5F172392"/>
    <w:rsid w:val="5F2516A8"/>
    <w:rsid w:val="5F3176B9"/>
    <w:rsid w:val="5F332BBC"/>
    <w:rsid w:val="5F3A5DCA"/>
    <w:rsid w:val="5F3B384B"/>
    <w:rsid w:val="5F3F2252"/>
    <w:rsid w:val="5F401ED1"/>
    <w:rsid w:val="5F451BDC"/>
    <w:rsid w:val="5F4B3AE6"/>
    <w:rsid w:val="5F4F24EC"/>
    <w:rsid w:val="5F5643DE"/>
    <w:rsid w:val="5F5E4D05"/>
    <w:rsid w:val="5F5F2202"/>
    <w:rsid w:val="5F693096"/>
    <w:rsid w:val="5F6B6599"/>
    <w:rsid w:val="5F7858AF"/>
    <w:rsid w:val="5F81073D"/>
    <w:rsid w:val="5F915648"/>
    <w:rsid w:val="5F93775D"/>
    <w:rsid w:val="5F952C60"/>
    <w:rsid w:val="5F983BE5"/>
    <w:rsid w:val="5F9A3865"/>
    <w:rsid w:val="5FA345E7"/>
    <w:rsid w:val="5FB1212C"/>
    <w:rsid w:val="5FB47C92"/>
    <w:rsid w:val="5FBD2B20"/>
    <w:rsid w:val="5FC559AE"/>
    <w:rsid w:val="5FD117C0"/>
    <w:rsid w:val="5FD45FC8"/>
    <w:rsid w:val="5FD53A4A"/>
    <w:rsid w:val="5FDB5835"/>
    <w:rsid w:val="5FE13A7D"/>
    <w:rsid w:val="5FE53CE4"/>
    <w:rsid w:val="5FE61766"/>
    <w:rsid w:val="5FEF0D71"/>
    <w:rsid w:val="5FF17AF7"/>
    <w:rsid w:val="5FF63F7F"/>
    <w:rsid w:val="5FFD138B"/>
    <w:rsid w:val="60160C30"/>
    <w:rsid w:val="601879B6"/>
    <w:rsid w:val="60195438"/>
    <w:rsid w:val="601D05BB"/>
    <w:rsid w:val="60343A63"/>
    <w:rsid w:val="603514E5"/>
    <w:rsid w:val="603F5678"/>
    <w:rsid w:val="6040150D"/>
    <w:rsid w:val="60541D9A"/>
    <w:rsid w:val="605B3923"/>
    <w:rsid w:val="605E26A9"/>
    <w:rsid w:val="605E48A8"/>
    <w:rsid w:val="60692C39"/>
    <w:rsid w:val="606D13C6"/>
    <w:rsid w:val="606D163F"/>
    <w:rsid w:val="607779D0"/>
    <w:rsid w:val="608C1EF4"/>
    <w:rsid w:val="608F69C2"/>
    <w:rsid w:val="60937300"/>
    <w:rsid w:val="60975D06"/>
    <w:rsid w:val="609E5691"/>
    <w:rsid w:val="60A42E1E"/>
    <w:rsid w:val="60A4759A"/>
    <w:rsid w:val="60A5089F"/>
    <w:rsid w:val="60A62A9D"/>
    <w:rsid w:val="60A73DA2"/>
    <w:rsid w:val="60AB73E1"/>
    <w:rsid w:val="60B146B2"/>
    <w:rsid w:val="60B430B8"/>
    <w:rsid w:val="60B91793"/>
    <w:rsid w:val="60C864D5"/>
    <w:rsid w:val="60CD295D"/>
    <w:rsid w:val="60D422E8"/>
    <w:rsid w:val="60E162C7"/>
    <w:rsid w:val="60E2707F"/>
    <w:rsid w:val="60E34B01"/>
    <w:rsid w:val="60E80F88"/>
    <w:rsid w:val="60F875EA"/>
    <w:rsid w:val="60FD0F2E"/>
    <w:rsid w:val="61001EB2"/>
    <w:rsid w:val="61051BBD"/>
    <w:rsid w:val="610B0243"/>
    <w:rsid w:val="610C5CC5"/>
    <w:rsid w:val="610E4A4B"/>
    <w:rsid w:val="611046CB"/>
    <w:rsid w:val="61122998"/>
    <w:rsid w:val="61192DDC"/>
    <w:rsid w:val="61215C6A"/>
    <w:rsid w:val="6126686F"/>
    <w:rsid w:val="612F4F80"/>
    <w:rsid w:val="61356E89"/>
    <w:rsid w:val="613D6494"/>
    <w:rsid w:val="613F521A"/>
    <w:rsid w:val="61416958"/>
    <w:rsid w:val="6143039D"/>
    <w:rsid w:val="614C0CAD"/>
    <w:rsid w:val="6154193C"/>
    <w:rsid w:val="616A3AE0"/>
    <w:rsid w:val="616E5D6A"/>
    <w:rsid w:val="6170126D"/>
    <w:rsid w:val="61747C73"/>
    <w:rsid w:val="61782DF6"/>
    <w:rsid w:val="617940FB"/>
    <w:rsid w:val="618E4F99"/>
    <w:rsid w:val="618F629E"/>
    <w:rsid w:val="619523A6"/>
    <w:rsid w:val="61996BAE"/>
    <w:rsid w:val="619A682E"/>
    <w:rsid w:val="619C1D31"/>
    <w:rsid w:val="61A11A3C"/>
    <w:rsid w:val="61A54BBF"/>
    <w:rsid w:val="61A73945"/>
    <w:rsid w:val="61A935C5"/>
    <w:rsid w:val="61AB6AC8"/>
    <w:rsid w:val="61AF2F50"/>
    <w:rsid w:val="61B14255"/>
    <w:rsid w:val="61CA737D"/>
    <w:rsid w:val="61CF1286"/>
    <w:rsid w:val="61D43510"/>
    <w:rsid w:val="61D4570E"/>
    <w:rsid w:val="61D840E6"/>
    <w:rsid w:val="61D87997"/>
    <w:rsid w:val="61D95419"/>
    <w:rsid w:val="61E366AB"/>
    <w:rsid w:val="61E6342A"/>
    <w:rsid w:val="61EC2DB5"/>
    <w:rsid w:val="61F1723C"/>
    <w:rsid w:val="61F401C1"/>
    <w:rsid w:val="61F5665D"/>
    <w:rsid w:val="61FD304F"/>
    <w:rsid w:val="61FE0AD0"/>
    <w:rsid w:val="62024F58"/>
    <w:rsid w:val="620329DA"/>
    <w:rsid w:val="62090567"/>
    <w:rsid w:val="620A5BE8"/>
    <w:rsid w:val="620B7DE6"/>
    <w:rsid w:val="620C5868"/>
    <w:rsid w:val="620E45EE"/>
    <w:rsid w:val="620F67EC"/>
    <w:rsid w:val="62146770"/>
    <w:rsid w:val="62173BF9"/>
    <w:rsid w:val="62182854"/>
    <w:rsid w:val="62230D10"/>
    <w:rsid w:val="62392EB4"/>
    <w:rsid w:val="623B41B9"/>
    <w:rsid w:val="623C3E38"/>
    <w:rsid w:val="623F4DBD"/>
    <w:rsid w:val="62444AC8"/>
    <w:rsid w:val="62467FCB"/>
    <w:rsid w:val="624721CA"/>
    <w:rsid w:val="625649E2"/>
    <w:rsid w:val="62600B75"/>
    <w:rsid w:val="62624078"/>
    <w:rsid w:val="62636276"/>
    <w:rsid w:val="626671FB"/>
    <w:rsid w:val="62685F81"/>
    <w:rsid w:val="6279041A"/>
    <w:rsid w:val="627D26A4"/>
    <w:rsid w:val="628132A8"/>
    <w:rsid w:val="62A328E3"/>
    <w:rsid w:val="62A63868"/>
    <w:rsid w:val="62AC7970"/>
    <w:rsid w:val="62B13DF7"/>
    <w:rsid w:val="62C63D9D"/>
    <w:rsid w:val="62CD7EA4"/>
    <w:rsid w:val="62CF6C2B"/>
    <w:rsid w:val="62DB04BF"/>
    <w:rsid w:val="62EC0759"/>
    <w:rsid w:val="62F0715F"/>
    <w:rsid w:val="62FC09F3"/>
    <w:rsid w:val="62FE3EF7"/>
    <w:rsid w:val="63072608"/>
    <w:rsid w:val="63082288"/>
    <w:rsid w:val="631728A2"/>
    <w:rsid w:val="632131B2"/>
    <w:rsid w:val="63253DB6"/>
    <w:rsid w:val="632B1543"/>
    <w:rsid w:val="632B5CBF"/>
    <w:rsid w:val="632F46C6"/>
    <w:rsid w:val="63302147"/>
    <w:rsid w:val="6331344C"/>
    <w:rsid w:val="6333694F"/>
    <w:rsid w:val="633C17DD"/>
    <w:rsid w:val="634C61F4"/>
    <w:rsid w:val="634F7179"/>
    <w:rsid w:val="63754E3A"/>
    <w:rsid w:val="637628BB"/>
    <w:rsid w:val="637A5E7F"/>
    <w:rsid w:val="638B4DDF"/>
    <w:rsid w:val="638D24E1"/>
    <w:rsid w:val="638D5528"/>
    <w:rsid w:val="638E7F62"/>
    <w:rsid w:val="63910EE7"/>
    <w:rsid w:val="639578ED"/>
    <w:rsid w:val="639A3D75"/>
    <w:rsid w:val="63A26C03"/>
    <w:rsid w:val="63AC2D96"/>
    <w:rsid w:val="63BD3030"/>
    <w:rsid w:val="63BF6533"/>
    <w:rsid w:val="63C4043C"/>
    <w:rsid w:val="63C52E43"/>
    <w:rsid w:val="63D15554"/>
    <w:rsid w:val="63D73BDA"/>
    <w:rsid w:val="63DD1366"/>
    <w:rsid w:val="63DF6A68"/>
    <w:rsid w:val="63F0385C"/>
    <w:rsid w:val="63F56A0D"/>
    <w:rsid w:val="63F87992"/>
    <w:rsid w:val="64006F9C"/>
    <w:rsid w:val="64025D23"/>
    <w:rsid w:val="640778E1"/>
    <w:rsid w:val="640D62B2"/>
    <w:rsid w:val="640F75B7"/>
    <w:rsid w:val="64145C3D"/>
    <w:rsid w:val="641536BE"/>
    <w:rsid w:val="641A33C9"/>
    <w:rsid w:val="641E1DD0"/>
    <w:rsid w:val="64266E22"/>
    <w:rsid w:val="64343F73"/>
    <w:rsid w:val="643B7181"/>
    <w:rsid w:val="643C3014"/>
    <w:rsid w:val="643C4C03"/>
    <w:rsid w:val="6443458E"/>
    <w:rsid w:val="6444420E"/>
    <w:rsid w:val="64467711"/>
    <w:rsid w:val="64496497"/>
    <w:rsid w:val="644C4E9D"/>
    <w:rsid w:val="64523523"/>
    <w:rsid w:val="645B63B1"/>
    <w:rsid w:val="645D5138"/>
    <w:rsid w:val="64613B3E"/>
    <w:rsid w:val="6463123F"/>
    <w:rsid w:val="64637041"/>
    <w:rsid w:val="646734C9"/>
    <w:rsid w:val="64693149"/>
    <w:rsid w:val="646A0BCA"/>
    <w:rsid w:val="6489147F"/>
    <w:rsid w:val="648C2404"/>
    <w:rsid w:val="648F5856"/>
    <w:rsid w:val="64A8031D"/>
    <w:rsid w:val="64B97A50"/>
    <w:rsid w:val="64BF1959"/>
    <w:rsid w:val="64C34ADC"/>
    <w:rsid w:val="64C612E4"/>
    <w:rsid w:val="64C869E5"/>
    <w:rsid w:val="64CB796A"/>
    <w:rsid w:val="64CC31ED"/>
    <w:rsid w:val="64CC53EB"/>
    <w:rsid w:val="64D07675"/>
    <w:rsid w:val="64D50279"/>
    <w:rsid w:val="64E01E8E"/>
    <w:rsid w:val="64ED11A3"/>
    <w:rsid w:val="64FA2A38"/>
    <w:rsid w:val="64FB04B9"/>
    <w:rsid w:val="64FD143E"/>
    <w:rsid w:val="650C10E2"/>
    <w:rsid w:val="651548E6"/>
    <w:rsid w:val="651B67EF"/>
    <w:rsid w:val="651D7774"/>
    <w:rsid w:val="65282282"/>
    <w:rsid w:val="652D7F60"/>
    <w:rsid w:val="65302769"/>
    <w:rsid w:val="65320613"/>
    <w:rsid w:val="65326415"/>
    <w:rsid w:val="65374A9B"/>
    <w:rsid w:val="65385EEE"/>
    <w:rsid w:val="65397F9E"/>
    <w:rsid w:val="653E4426"/>
    <w:rsid w:val="654031AC"/>
    <w:rsid w:val="6544632F"/>
    <w:rsid w:val="6545139B"/>
    <w:rsid w:val="65472B37"/>
    <w:rsid w:val="65474D35"/>
    <w:rsid w:val="6548459E"/>
    <w:rsid w:val="65526949"/>
    <w:rsid w:val="65541E4C"/>
    <w:rsid w:val="65565DB0"/>
    <w:rsid w:val="655B17D7"/>
    <w:rsid w:val="65605C5F"/>
    <w:rsid w:val="65693F87"/>
    <w:rsid w:val="656D2D76"/>
    <w:rsid w:val="65705EF9"/>
    <w:rsid w:val="658C582A"/>
    <w:rsid w:val="65931931"/>
    <w:rsid w:val="659506B8"/>
    <w:rsid w:val="659547A6"/>
    <w:rsid w:val="659F31C5"/>
    <w:rsid w:val="65A3544F"/>
    <w:rsid w:val="65A83860"/>
    <w:rsid w:val="65AD24DB"/>
    <w:rsid w:val="65AD5D5E"/>
    <w:rsid w:val="65AE7F5D"/>
    <w:rsid w:val="65B60BEC"/>
    <w:rsid w:val="65B81B71"/>
    <w:rsid w:val="65C149FF"/>
    <w:rsid w:val="65D3019C"/>
    <w:rsid w:val="65D87EA7"/>
    <w:rsid w:val="65DA33AA"/>
    <w:rsid w:val="65DA7B27"/>
    <w:rsid w:val="65E24F34"/>
    <w:rsid w:val="65E90142"/>
    <w:rsid w:val="65EE45C9"/>
    <w:rsid w:val="65F12FD0"/>
    <w:rsid w:val="6604676D"/>
    <w:rsid w:val="66063E6E"/>
    <w:rsid w:val="66161F0A"/>
    <w:rsid w:val="661853E7"/>
    <w:rsid w:val="661E7317"/>
    <w:rsid w:val="66254723"/>
    <w:rsid w:val="66333A39"/>
    <w:rsid w:val="66377EC1"/>
    <w:rsid w:val="663B68C7"/>
    <w:rsid w:val="66464C58"/>
    <w:rsid w:val="664D397F"/>
    <w:rsid w:val="664F3369"/>
    <w:rsid w:val="66573A13"/>
    <w:rsid w:val="66576847"/>
    <w:rsid w:val="66583C79"/>
    <w:rsid w:val="666F5E1C"/>
    <w:rsid w:val="66782EA9"/>
    <w:rsid w:val="6690536D"/>
    <w:rsid w:val="669811DF"/>
    <w:rsid w:val="669924E4"/>
    <w:rsid w:val="669E30E8"/>
    <w:rsid w:val="66A0406D"/>
    <w:rsid w:val="66A065EB"/>
    <w:rsid w:val="66A110F8"/>
    <w:rsid w:val="66A562F6"/>
    <w:rsid w:val="66B17B8A"/>
    <w:rsid w:val="66BE141F"/>
    <w:rsid w:val="66C00C96"/>
    <w:rsid w:val="66C326E5"/>
    <w:rsid w:val="66C51A03"/>
    <w:rsid w:val="66CE5E36"/>
    <w:rsid w:val="66D37D3F"/>
    <w:rsid w:val="66D457C1"/>
    <w:rsid w:val="66D53242"/>
    <w:rsid w:val="66D57C50"/>
    <w:rsid w:val="66DB09CF"/>
    <w:rsid w:val="66DC2BCD"/>
    <w:rsid w:val="66E17055"/>
    <w:rsid w:val="66ED5E4D"/>
    <w:rsid w:val="66ED66EB"/>
    <w:rsid w:val="66FF1E88"/>
    <w:rsid w:val="67074E34"/>
    <w:rsid w:val="67084D16"/>
    <w:rsid w:val="67236BC5"/>
    <w:rsid w:val="67267B49"/>
    <w:rsid w:val="6728304C"/>
    <w:rsid w:val="672A3FD1"/>
    <w:rsid w:val="673448E0"/>
    <w:rsid w:val="67387A63"/>
    <w:rsid w:val="673A09E8"/>
    <w:rsid w:val="674525FC"/>
    <w:rsid w:val="675B47A0"/>
    <w:rsid w:val="675C2222"/>
    <w:rsid w:val="675D7CA3"/>
    <w:rsid w:val="6766AE88"/>
    <w:rsid w:val="676705B3"/>
    <w:rsid w:val="676818B7"/>
    <w:rsid w:val="677221C7"/>
    <w:rsid w:val="677456CA"/>
    <w:rsid w:val="67760BCD"/>
    <w:rsid w:val="67830A12"/>
    <w:rsid w:val="6788436B"/>
    <w:rsid w:val="678E0472"/>
    <w:rsid w:val="679171F9"/>
    <w:rsid w:val="67924C7A"/>
    <w:rsid w:val="67933BF7"/>
    <w:rsid w:val="67970EB3"/>
    <w:rsid w:val="67A21691"/>
    <w:rsid w:val="67AD54A4"/>
    <w:rsid w:val="67B1772D"/>
    <w:rsid w:val="67B251AF"/>
    <w:rsid w:val="67B71637"/>
    <w:rsid w:val="67BF2D6F"/>
    <w:rsid w:val="67C044C4"/>
    <w:rsid w:val="67CE4ADF"/>
    <w:rsid w:val="67CF7936"/>
    <w:rsid w:val="67DB0571"/>
    <w:rsid w:val="67DC130D"/>
    <w:rsid w:val="67E049F9"/>
    <w:rsid w:val="67E77C07"/>
    <w:rsid w:val="67F10517"/>
    <w:rsid w:val="67F219A8"/>
    <w:rsid w:val="67F36951"/>
    <w:rsid w:val="67F820A0"/>
    <w:rsid w:val="68033CB4"/>
    <w:rsid w:val="68064C39"/>
    <w:rsid w:val="680B5B3B"/>
    <w:rsid w:val="68107747"/>
    <w:rsid w:val="681419D0"/>
    <w:rsid w:val="681770D1"/>
    <w:rsid w:val="681D485E"/>
    <w:rsid w:val="681E22E0"/>
    <w:rsid w:val="682D4AF8"/>
    <w:rsid w:val="68367986"/>
    <w:rsid w:val="683A1C10"/>
    <w:rsid w:val="683D2B94"/>
    <w:rsid w:val="68400296"/>
    <w:rsid w:val="6844251F"/>
    <w:rsid w:val="6845219F"/>
    <w:rsid w:val="684734A4"/>
    <w:rsid w:val="684756A2"/>
    <w:rsid w:val="684969A7"/>
    <w:rsid w:val="68565CBD"/>
    <w:rsid w:val="68577EBB"/>
    <w:rsid w:val="685F2D49"/>
    <w:rsid w:val="686504D6"/>
    <w:rsid w:val="68706417"/>
    <w:rsid w:val="687419EA"/>
    <w:rsid w:val="687B6DF6"/>
    <w:rsid w:val="687D5B7C"/>
    <w:rsid w:val="687E7D7B"/>
    <w:rsid w:val="68860A0A"/>
    <w:rsid w:val="6892481D"/>
    <w:rsid w:val="68947D20"/>
    <w:rsid w:val="68991C29"/>
    <w:rsid w:val="68A24AB7"/>
    <w:rsid w:val="68A634BD"/>
    <w:rsid w:val="68A82244"/>
    <w:rsid w:val="68BE0B64"/>
    <w:rsid w:val="68C078EA"/>
    <w:rsid w:val="68C42A6D"/>
    <w:rsid w:val="68C55F71"/>
    <w:rsid w:val="68CB7E7A"/>
    <w:rsid w:val="68D11D83"/>
    <w:rsid w:val="68D15606"/>
    <w:rsid w:val="68D42D08"/>
    <w:rsid w:val="68D61A8E"/>
    <w:rsid w:val="68D84F91"/>
    <w:rsid w:val="68DA0494"/>
    <w:rsid w:val="68DC0114"/>
    <w:rsid w:val="68E8522C"/>
    <w:rsid w:val="68EA072F"/>
    <w:rsid w:val="68FF2C52"/>
    <w:rsid w:val="690006D4"/>
    <w:rsid w:val="69045D9D"/>
    <w:rsid w:val="69056D5A"/>
    <w:rsid w:val="690B44E7"/>
    <w:rsid w:val="69164A76"/>
    <w:rsid w:val="691D7C84"/>
    <w:rsid w:val="69200C09"/>
    <w:rsid w:val="6922410C"/>
    <w:rsid w:val="692E211D"/>
    <w:rsid w:val="693C4CB6"/>
    <w:rsid w:val="693D2737"/>
    <w:rsid w:val="69426BBF"/>
    <w:rsid w:val="694655C5"/>
    <w:rsid w:val="694B1A4D"/>
    <w:rsid w:val="694C74CE"/>
    <w:rsid w:val="694F5ED5"/>
    <w:rsid w:val="69613BF1"/>
    <w:rsid w:val="69680FFD"/>
    <w:rsid w:val="696A4500"/>
    <w:rsid w:val="696D5485"/>
    <w:rsid w:val="6973738E"/>
    <w:rsid w:val="69794B1B"/>
    <w:rsid w:val="697E0FA2"/>
    <w:rsid w:val="697F6A24"/>
    <w:rsid w:val="6983542A"/>
    <w:rsid w:val="6985204A"/>
    <w:rsid w:val="698718B2"/>
    <w:rsid w:val="69872029"/>
    <w:rsid w:val="6987602F"/>
    <w:rsid w:val="698C5D3A"/>
    <w:rsid w:val="699356C4"/>
    <w:rsid w:val="69950BC7"/>
    <w:rsid w:val="69960847"/>
    <w:rsid w:val="69962DC6"/>
    <w:rsid w:val="69A3595F"/>
    <w:rsid w:val="69A86563"/>
    <w:rsid w:val="69A93FE5"/>
    <w:rsid w:val="69AA1A66"/>
    <w:rsid w:val="69BD6509"/>
    <w:rsid w:val="69C814D1"/>
    <w:rsid w:val="69C8489A"/>
    <w:rsid w:val="69D364AE"/>
    <w:rsid w:val="69D84B34"/>
    <w:rsid w:val="69E179C2"/>
    <w:rsid w:val="69E20CC7"/>
    <w:rsid w:val="69E36748"/>
    <w:rsid w:val="69E40947"/>
    <w:rsid w:val="69E7514E"/>
    <w:rsid w:val="69E82BD0"/>
    <w:rsid w:val="69EE4AD9"/>
    <w:rsid w:val="69F021DB"/>
    <w:rsid w:val="69F369E3"/>
    <w:rsid w:val="69F40BE1"/>
    <w:rsid w:val="69FA636D"/>
    <w:rsid w:val="69FD3A6F"/>
    <w:rsid w:val="69FE14F0"/>
    <w:rsid w:val="6A075683"/>
    <w:rsid w:val="6A0A2D85"/>
    <w:rsid w:val="6A0D3D09"/>
    <w:rsid w:val="6A151116"/>
    <w:rsid w:val="6A1C3E8A"/>
    <w:rsid w:val="6A223CAF"/>
    <w:rsid w:val="6A2653F6"/>
    <w:rsid w:val="6A2C4B95"/>
    <w:rsid w:val="6A3003EA"/>
    <w:rsid w:val="6A3419CA"/>
    <w:rsid w:val="6A353A7B"/>
    <w:rsid w:val="6A364ECE"/>
    <w:rsid w:val="6A37294F"/>
    <w:rsid w:val="6A3761D2"/>
    <w:rsid w:val="6A3F57DD"/>
    <w:rsid w:val="6A427B6A"/>
    <w:rsid w:val="6A452F6A"/>
    <w:rsid w:val="6A4576E6"/>
    <w:rsid w:val="6A4609EB"/>
    <w:rsid w:val="6A4F3879"/>
    <w:rsid w:val="6A555782"/>
    <w:rsid w:val="6A5F3B13"/>
    <w:rsid w:val="6A6F052B"/>
    <w:rsid w:val="6A7D30C3"/>
    <w:rsid w:val="6A7E1356"/>
    <w:rsid w:val="6A804048"/>
    <w:rsid w:val="6A9042E2"/>
    <w:rsid w:val="6A935267"/>
    <w:rsid w:val="6A942CE9"/>
    <w:rsid w:val="6A9816EF"/>
    <w:rsid w:val="6AA66486"/>
    <w:rsid w:val="6AA731E2"/>
    <w:rsid w:val="6AA9740B"/>
    <w:rsid w:val="6AB22299"/>
    <w:rsid w:val="6AB71FA4"/>
    <w:rsid w:val="6AB954A7"/>
    <w:rsid w:val="6AC128B3"/>
    <w:rsid w:val="6AC45A36"/>
    <w:rsid w:val="6AD824D8"/>
    <w:rsid w:val="6AE82773"/>
    <w:rsid w:val="6AF20B04"/>
    <w:rsid w:val="6AF74F8C"/>
    <w:rsid w:val="6AFC1413"/>
    <w:rsid w:val="6AFD6E95"/>
    <w:rsid w:val="6B034621"/>
    <w:rsid w:val="6B161FBD"/>
    <w:rsid w:val="6B27383F"/>
    <w:rsid w:val="6B3105E9"/>
    <w:rsid w:val="6B364A70"/>
    <w:rsid w:val="6B376C47"/>
    <w:rsid w:val="6B391278"/>
    <w:rsid w:val="6B464D0B"/>
    <w:rsid w:val="6B483A91"/>
    <w:rsid w:val="6B494F04"/>
    <w:rsid w:val="6B5A722E"/>
    <w:rsid w:val="6B5D01B3"/>
    <w:rsid w:val="6B635940"/>
    <w:rsid w:val="6B670AC3"/>
    <w:rsid w:val="6B6C4F4A"/>
    <w:rsid w:val="6B7071D4"/>
    <w:rsid w:val="6B7248D5"/>
    <w:rsid w:val="6B75365C"/>
    <w:rsid w:val="6B834B70"/>
    <w:rsid w:val="6B845E74"/>
    <w:rsid w:val="6B88487B"/>
    <w:rsid w:val="6B911907"/>
    <w:rsid w:val="6B92518A"/>
    <w:rsid w:val="6B94610F"/>
    <w:rsid w:val="6B9F44A0"/>
    <w:rsid w:val="6BA0733A"/>
    <w:rsid w:val="6BA14120"/>
    <w:rsid w:val="6BA40927"/>
    <w:rsid w:val="6BA718AC"/>
    <w:rsid w:val="6BAB24B1"/>
    <w:rsid w:val="6BAE3435"/>
    <w:rsid w:val="6BB9765C"/>
    <w:rsid w:val="6BD02241"/>
    <w:rsid w:val="6BD239F5"/>
    <w:rsid w:val="6BD46EF8"/>
    <w:rsid w:val="6BD66B78"/>
    <w:rsid w:val="6BDB6883"/>
    <w:rsid w:val="6BDC307A"/>
    <w:rsid w:val="6BDF5289"/>
    <w:rsid w:val="6BE66E12"/>
    <w:rsid w:val="6BE70117"/>
    <w:rsid w:val="6BE85B99"/>
    <w:rsid w:val="6BED1113"/>
    <w:rsid w:val="6BED7707"/>
    <w:rsid w:val="6BF02FA5"/>
    <w:rsid w:val="6BF5162B"/>
    <w:rsid w:val="6BF90031"/>
    <w:rsid w:val="6C0576C7"/>
    <w:rsid w:val="6C08064C"/>
    <w:rsid w:val="6C0960CD"/>
    <w:rsid w:val="6C0C37CF"/>
    <w:rsid w:val="6C0D6CD2"/>
    <w:rsid w:val="6C177F2D"/>
    <w:rsid w:val="6C186F7E"/>
    <w:rsid w:val="6C1B186B"/>
    <w:rsid w:val="6C1C72EC"/>
    <w:rsid w:val="6C303D8F"/>
    <w:rsid w:val="6C355C98"/>
    <w:rsid w:val="6C36371A"/>
    <w:rsid w:val="6C37119B"/>
    <w:rsid w:val="6C404029"/>
    <w:rsid w:val="6C4C7E3C"/>
    <w:rsid w:val="6C505F69"/>
    <w:rsid w:val="6C5164C2"/>
    <w:rsid w:val="6C5D5A00"/>
    <w:rsid w:val="6C606ADC"/>
    <w:rsid w:val="6C6A15EA"/>
    <w:rsid w:val="6C762E7E"/>
    <w:rsid w:val="6C7C2B89"/>
    <w:rsid w:val="6C814A92"/>
    <w:rsid w:val="6C88441D"/>
    <w:rsid w:val="6CA05347"/>
    <w:rsid w:val="6CA55F4C"/>
    <w:rsid w:val="6CB155E2"/>
    <w:rsid w:val="6CB16F99"/>
    <w:rsid w:val="6CB32CE3"/>
    <w:rsid w:val="6CB716E9"/>
    <w:rsid w:val="6CBF282C"/>
    <w:rsid w:val="6CC232FE"/>
    <w:rsid w:val="6CC85207"/>
    <w:rsid w:val="6CD02EB0"/>
    <w:rsid w:val="6D0801EF"/>
    <w:rsid w:val="6D083A72"/>
    <w:rsid w:val="6D0D7EFA"/>
    <w:rsid w:val="6D144001"/>
    <w:rsid w:val="6D1F7E14"/>
    <w:rsid w:val="6D220D98"/>
    <w:rsid w:val="6D270AA3"/>
    <w:rsid w:val="6D3135B1"/>
    <w:rsid w:val="6D3721A7"/>
    <w:rsid w:val="6D3C64DB"/>
    <w:rsid w:val="6D3E06C9"/>
    <w:rsid w:val="6D473557"/>
    <w:rsid w:val="6D534DEB"/>
    <w:rsid w:val="6D547936"/>
    <w:rsid w:val="6D694D90"/>
    <w:rsid w:val="6D771A05"/>
    <w:rsid w:val="6D7A7229"/>
    <w:rsid w:val="6D7B4CAA"/>
    <w:rsid w:val="6D7D3A31"/>
    <w:rsid w:val="6D827EB8"/>
    <w:rsid w:val="6D85303B"/>
    <w:rsid w:val="6D860ABD"/>
    <w:rsid w:val="6D874340"/>
    <w:rsid w:val="6D8D0448"/>
    <w:rsid w:val="6D935BD4"/>
    <w:rsid w:val="6D940200"/>
    <w:rsid w:val="6D9D64E4"/>
    <w:rsid w:val="6DA01667"/>
    <w:rsid w:val="6DBC51E2"/>
    <w:rsid w:val="6DD05A39"/>
    <w:rsid w:val="6DD2313B"/>
    <w:rsid w:val="6DD775C2"/>
    <w:rsid w:val="6DDC3A4A"/>
    <w:rsid w:val="6DDE6F4D"/>
    <w:rsid w:val="6DE446DA"/>
    <w:rsid w:val="6DE67BDD"/>
    <w:rsid w:val="6DF05F6E"/>
    <w:rsid w:val="6E000787"/>
    <w:rsid w:val="6E025E88"/>
    <w:rsid w:val="6E056E0D"/>
    <w:rsid w:val="6E123F24"/>
    <w:rsid w:val="6E1319A6"/>
    <w:rsid w:val="6E136122"/>
    <w:rsid w:val="6E21673D"/>
    <w:rsid w:val="6E2A15CB"/>
    <w:rsid w:val="6E2D7FB5"/>
    <w:rsid w:val="6E2E3854"/>
    <w:rsid w:val="6E3034D4"/>
    <w:rsid w:val="6E39049D"/>
    <w:rsid w:val="6E3F46CC"/>
    <w:rsid w:val="6E4224F5"/>
    <w:rsid w:val="6E4D12CA"/>
    <w:rsid w:val="6E4E2323"/>
    <w:rsid w:val="6E4E761C"/>
    <w:rsid w:val="6E505F87"/>
    <w:rsid w:val="6E53278F"/>
    <w:rsid w:val="6E555C92"/>
    <w:rsid w:val="6E580E15"/>
    <w:rsid w:val="6E584699"/>
    <w:rsid w:val="6E601AA5"/>
    <w:rsid w:val="6E613CA3"/>
    <w:rsid w:val="6E655F2D"/>
    <w:rsid w:val="6E6661D3"/>
    <w:rsid w:val="6E7219BF"/>
    <w:rsid w:val="6E732CC4"/>
    <w:rsid w:val="6E7603C5"/>
    <w:rsid w:val="6E78714C"/>
    <w:rsid w:val="6E7F6AD7"/>
    <w:rsid w:val="6E8A28E9"/>
    <w:rsid w:val="6E8C2E06"/>
    <w:rsid w:val="6E8C4FA6"/>
    <w:rsid w:val="6E8C5DEC"/>
    <w:rsid w:val="6E923579"/>
    <w:rsid w:val="6E9A5102"/>
    <w:rsid w:val="6EA25D92"/>
    <w:rsid w:val="6EA64798"/>
    <w:rsid w:val="6EA70CF0"/>
    <w:rsid w:val="6EAD1BA4"/>
    <w:rsid w:val="6EAF50A7"/>
    <w:rsid w:val="6EB45CAC"/>
    <w:rsid w:val="6EB97BB5"/>
    <w:rsid w:val="6EC45F46"/>
    <w:rsid w:val="6ECE20D9"/>
    <w:rsid w:val="6ECF2640"/>
    <w:rsid w:val="6ED055DC"/>
    <w:rsid w:val="6ED1305E"/>
    <w:rsid w:val="6ED22CDD"/>
    <w:rsid w:val="6ED43FE2"/>
    <w:rsid w:val="6ED55646"/>
    <w:rsid w:val="6EDD106E"/>
    <w:rsid w:val="6EE56679"/>
    <w:rsid w:val="6EF0008F"/>
    <w:rsid w:val="6EF9099F"/>
    <w:rsid w:val="6EFB7725"/>
    <w:rsid w:val="6F073538"/>
    <w:rsid w:val="6F096A3B"/>
    <w:rsid w:val="6F0E6B0E"/>
    <w:rsid w:val="6F113E47"/>
    <w:rsid w:val="6F1D56DB"/>
    <w:rsid w:val="6F1E315D"/>
    <w:rsid w:val="6F2701E9"/>
    <w:rsid w:val="6F310AF8"/>
    <w:rsid w:val="6F32657A"/>
    <w:rsid w:val="6F341A7D"/>
    <w:rsid w:val="6F345300"/>
    <w:rsid w:val="6F395F05"/>
    <w:rsid w:val="6F3A720A"/>
    <w:rsid w:val="6F3D018E"/>
    <w:rsid w:val="6F403311"/>
    <w:rsid w:val="6F4230D3"/>
    <w:rsid w:val="6F6325CC"/>
    <w:rsid w:val="6F674856"/>
    <w:rsid w:val="6F6944D6"/>
    <w:rsid w:val="6F6E67B3"/>
    <w:rsid w:val="6F730668"/>
    <w:rsid w:val="6F753B6B"/>
    <w:rsid w:val="6F7B34F6"/>
    <w:rsid w:val="6F7C123C"/>
    <w:rsid w:val="6F7D69F9"/>
    <w:rsid w:val="6F930B9D"/>
    <w:rsid w:val="6F942D9B"/>
    <w:rsid w:val="6F973D20"/>
    <w:rsid w:val="6F992AA6"/>
    <w:rsid w:val="6F9E6F2E"/>
    <w:rsid w:val="6FBC5660"/>
    <w:rsid w:val="6FC83DE4"/>
    <w:rsid w:val="6FC87D72"/>
    <w:rsid w:val="6FCC76AE"/>
    <w:rsid w:val="6FD7038D"/>
    <w:rsid w:val="6FD8512A"/>
    <w:rsid w:val="6FD936DA"/>
    <w:rsid w:val="6FE3419F"/>
    <w:rsid w:val="6FE93B2A"/>
    <w:rsid w:val="6FEA15AC"/>
    <w:rsid w:val="6FED03FA"/>
    <w:rsid w:val="6FF51B3B"/>
    <w:rsid w:val="6FFC14C6"/>
    <w:rsid w:val="6FFD6F48"/>
    <w:rsid w:val="70042156"/>
    <w:rsid w:val="700852D9"/>
    <w:rsid w:val="700965DD"/>
    <w:rsid w:val="700B7313"/>
    <w:rsid w:val="70157E72"/>
    <w:rsid w:val="701658F3"/>
    <w:rsid w:val="70196878"/>
    <w:rsid w:val="70206203"/>
    <w:rsid w:val="70251526"/>
    <w:rsid w:val="70380103"/>
    <w:rsid w:val="704A4E48"/>
    <w:rsid w:val="704D5DCD"/>
    <w:rsid w:val="705047D3"/>
    <w:rsid w:val="705708DB"/>
    <w:rsid w:val="705F4C76"/>
    <w:rsid w:val="706246EE"/>
    <w:rsid w:val="706459F2"/>
    <w:rsid w:val="70653474"/>
    <w:rsid w:val="70661C93"/>
    <w:rsid w:val="70670B75"/>
    <w:rsid w:val="70734988"/>
    <w:rsid w:val="70901D3A"/>
    <w:rsid w:val="709561C1"/>
    <w:rsid w:val="70A20D5A"/>
    <w:rsid w:val="70A367DC"/>
    <w:rsid w:val="70AA28E3"/>
    <w:rsid w:val="70AB0365"/>
    <w:rsid w:val="70B17CF0"/>
    <w:rsid w:val="70C3128F"/>
    <w:rsid w:val="70C77C95"/>
    <w:rsid w:val="70CE50A2"/>
    <w:rsid w:val="70D746AC"/>
    <w:rsid w:val="70DE78BA"/>
    <w:rsid w:val="70DF533C"/>
    <w:rsid w:val="70E57245"/>
    <w:rsid w:val="70F80464"/>
    <w:rsid w:val="71047AFA"/>
    <w:rsid w:val="710651FB"/>
    <w:rsid w:val="71083F82"/>
    <w:rsid w:val="71132313"/>
    <w:rsid w:val="71155816"/>
    <w:rsid w:val="71165496"/>
    <w:rsid w:val="711B191E"/>
    <w:rsid w:val="711C51A1"/>
    <w:rsid w:val="711E6125"/>
    <w:rsid w:val="711F3873"/>
    <w:rsid w:val="71235736"/>
    <w:rsid w:val="71275730"/>
    <w:rsid w:val="712A66B5"/>
    <w:rsid w:val="71336FC4"/>
    <w:rsid w:val="713A21D2"/>
    <w:rsid w:val="714162DA"/>
    <w:rsid w:val="71442AE2"/>
    <w:rsid w:val="715673E9"/>
    <w:rsid w:val="71575EC0"/>
    <w:rsid w:val="71614610"/>
    <w:rsid w:val="71633397"/>
    <w:rsid w:val="7174582F"/>
    <w:rsid w:val="71772037"/>
    <w:rsid w:val="7177508B"/>
    <w:rsid w:val="717D79A1"/>
    <w:rsid w:val="718438CB"/>
    <w:rsid w:val="7185354B"/>
    <w:rsid w:val="718B0CD8"/>
    <w:rsid w:val="718E63D9"/>
    <w:rsid w:val="71997FEE"/>
    <w:rsid w:val="719B56EF"/>
    <w:rsid w:val="719C3171"/>
    <w:rsid w:val="71A44561"/>
    <w:rsid w:val="71A63A80"/>
    <w:rsid w:val="71A90288"/>
    <w:rsid w:val="71AA5D09"/>
    <w:rsid w:val="71B23116"/>
    <w:rsid w:val="71BE49AA"/>
    <w:rsid w:val="71BF242C"/>
    <w:rsid w:val="71C1592F"/>
    <w:rsid w:val="71C233B0"/>
    <w:rsid w:val="71C730BB"/>
    <w:rsid w:val="71CC3CC0"/>
    <w:rsid w:val="71D2364B"/>
    <w:rsid w:val="71D46B4E"/>
    <w:rsid w:val="71E338E5"/>
    <w:rsid w:val="71E37168"/>
    <w:rsid w:val="71E857EE"/>
    <w:rsid w:val="71EB4575"/>
    <w:rsid w:val="71EB6773"/>
    <w:rsid w:val="71ED21B3"/>
    <w:rsid w:val="71ED7A78"/>
    <w:rsid w:val="71F21981"/>
    <w:rsid w:val="71F64B04"/>
    <w:rsid w:val="71F72585"/>
    <w:rsid w:val="71FF3215"/>
    <w:rsid w:val="72005413"/>
    <w:rsid w:val="72033E1A"/>
    <w:rsid w:val="72062BA0"/>
    <w:rsid w:val="72090849"/>
    <w:rsid w:val="722111CB"/>
    <w:rsid w:val="72224BF5"/>
    <w:rsid w:val="722D2A5F"/>
    <w:rsid w:val="722E04E1"/>
    <w:rsid w:val="722F5F63"/>
    <w:rsid w:val="723301EC"/>
    <w:rsid w:val="72357E6C"/>
    <w:rsid w:val="72386703"/>
    <w:rsid w:val="723C4321"/>
    <w:rsid w:val="72414F83"/>
    <w:rsid w:val="7252403F"/>
    <w:rsid w:val="725561A2"/>
    <w:rsid w:val="7259262A"/>
    <w:rsid w:val="72632F3A"/>
    <w:rsid w:val="726700C0"/>
    <w:rsid w:val="72671940"/>
    <w:rsid w:val="726A28C4"/>
    <w:rsid w:val="726A2AAA"/>
    <w:rsid w:val="727047CE"/>
    <w:rsid w:val="727C6062"/>
    <w:rsid w:val="728E17FF"/>
    <w:rsid w:val="7291054E"/>
    <w:rsid w:val="72985992"/>
    <w:rsid w:val="72A22A1E"/>
    <w:rsid w:val="72A417A5"/>
    <w:rsid w:val="72AB0D31"/>
    <w:rsid w:val="72B33FBD"/>
    <w:rsid w:val="72B80445"/>
    <w:rsid w:val="72BA3948"/>
    <w:rsid w:val="72C22F53"/>
    <w:rsid w:val="72C37A54"/>
    <w:rsid w:val="72CA035F"/>
    <w:rsid w:val="72CF7EB2"/>
    <w:rsid w:val="72D51F74"/>
    <w:rsid w:val="72D679F5"/>
    <w:rsid w:val="72DC3727"/>
    <w:rsid w:val="72FC1E33"/>
    <w:rsid w:val="72FD3138"/>
    <w:rsid w:val="730C7ECF"/>
    <w:rsid w:val="731068D5"/>
    <w:rsid w:val="731352DC"/>
    <w:rsid w:val="731A13E3"/>
    <w:rsid w:val="731A70F8"/>
    <w:rsid w:val="732032ED"/>
    <w:rsid w:val="73231CF3"/>
    <w:rsid w:val="73252343"/>
    <w:rsid w:val="73303587"/>
    <w:rsid w:val="733A3E96"/>
    <w:rsid w:val="733B1918"/>
    <w:rsid w:val="733D1613"/>
    <w:rsid w:val="733D289D"/>
    <w:rsid w:val="733E6120"/>
    <w:rsid w:val="73424B26"/>
    <w:rsid w:val="73445AAB"/>
    <w:rsid w:val="734B5436"/>
    <w:rsid w:val="734E63BA"/>
    <w:rsid w:val="73555D45"/>
    <w:rsid w:val="735E4456"/>
    <w:rsid w:val="73602932"/>
    <w:rsid w:val="736672E4"/>
    <w:rsid w:val="736C596A"/>
    <w:rsid w:val="736D33EC"/>
    <w:rsid w:val="737C5C05"/>
    <w:rsid w:val="7380460B"/>
    <w:rsid w:val="73846894"/>
    <w:rsid w:val="73877819"/>
    <w:rsid w:val="738F4C25"/>
    <w:rsid w:val="73913866"/>
    <w:rsid w:val="739A54A6"/>
    <w:rsid w:val="739E743E"/>
    <w:rsid w:val="73A14B3F"/>
    <w:rsid w:val="73A45716"/>
    <w:rsid w:val="73AB0CD2"/>
    <w:rsid w:val="73AF515A"/>
    <w:rsid w:val="73B260DF"/>
    <w:rsid w:val="73C62B81"/>
    <w:rsid w:val="73CF3490"/>
    <w:rsid w:val="73D13110"/>
    <w:rsid w:val="73D44095"/>
    <w:rsid w:val="73D47E32"/>
    <w:rsid w:val="73D67598"/>
    <w:rsid w:val="73E346AF"/>
    <w:rsid w:val="73E42131"/>
    <w:rsid w:val="73EC38C7"/>
    <w:rsid w:val="73F445CA"/>
    <w:rsid w:val="73F71F01"/>
    <w:rsid w:val="73F80DD1"/>
    <w:rsid w:val="73FB3F54"/>
    <w:rsid w:val="740003DC"/>
    <w:rsid w:val="74003C5F"/>
    <w:rsid w:val="74015E5E"/>
    <w:rsid w:val="7408658E"/>
    <w:rsid w:val="74150381"/>
    <w:rsid w:val="74165E03"/>
    <w:rsid w:val="74337932"/>
    <w:rsid w:val="7444246B"/>
    <w:rsid w:val="744765D2"/>
    <w:rsid w:val="74491AD5"/>
    <w:rsid w:val="744E17E0"/>
    <w:rsid w:val="744E5F5D"/>
    <w:rsid w:val="745558E8"/>
    <w:rsid w:val="745A55F3"/>
    <w:rsid w:val="7461717C"/>
    <w:rsid w:val="7463267F"/>
    <w:rsid w:val="7468238A"/>
    <w:rsid w:val="74742919"/>
    <w:rsid w:val="747672ED"/>
    <w:rsid w:val="747A00A6"/>
    <w:rsid w:val="748773BC"/>
    <w:rsid w:val="7490224A"/>
    <w:rsid w:val="749347B2"/>
    <w:rsid w:val="749850D8"/>
    <w:rsid w:val="749F4A62"/>
    <w:rsid w:val="74A27702"/>
    <w:rsid w:val="74AD3D78"/>
    <w:rsid w:val="74B33703"/>
    <w:rsid w:val="74B56C06"/>
    <w:rsid w:val="74B67F0B"/>
    <w:rsid w:val="74BB4393"/>
    <w:rsid w:val="74BE1A94"/>
    <w:rsid w:val="74BE5317"/>
    <w:rsid w:val="74C0081A"/>
    <w:rsid w:val="74C23D1D"/>
    <w:rsid w:val="74C9464C"/>
    <w:rsid w:val="74CB0DAA"/>
    <w:rsid w:val="74D31A39"/>
    <w:rsid w:val="74D629BE"/>
    <w:rsid w:val="74DA13C4"/>
    <w:rsid w:val="74DB6E46"/>
    <w:rsid w:val="74E41CD4"/>
    <w:rsid w:val="74EA491C"/>
    <w:rsid w:val="74ED25E3"/>
    <w:rsid w:val="74F457F1"/>
    <w:rsid w:val="74FF5D81"/>
    <w:rsid w:val="75026D05"/>
    <w:rsid w:val="75070F8F"/>
    <w:rsid w:val="750B7459"/>
    <w:rsid w:val="750D091A"/>
    <w:rsid w:val="750D5096"/>
    <w:rsid w:val="7510189E"/>
    <w:rsid w:val="75144A21"/>
    <w:rsid w:val="7522503C"/>
    <w:rsid w:val="75232ABD"/>
    <w:rsid w:val="752C20C8"/>
    <w:rsid w:val="752E0E4E"/>
    <w:rsid w:val="752F0ACE"/>
    <w:rsid w:val="752F304D"/>
    <w:rsid w:val="75313CDE"/>
    <w:rsid w:val="75373CDC"/>
    <w:rsid w:val="753913DE"/>
    <w:rsid w:val="7541206D"/>
    <w:rsid w:val="75435570"/>
    <w:rsid w:val="75450A73"/>
    <w:rsid w:val="75487A29"/>
    <w:rsid w:val="75504886"/>
    <w:rsid w:val="7554328C"/>
    <w:rsid w:val="755E741F"/>
    <w:rsid w:val="755F4EA1"/>
    <w:rsid w:val="75614B20"/>
    <w:rsid w:val="756722AD"/>
    <w:rsid w:val="75714DBB"/>
    <w:rsid w:val="757B56CA"/>
    <w:rsid w:val="757F7954"/>
    <w:rsid w:val="75801B52"/>
    <w:rsid w:val="758075D4"/>
    <w:rsid w:val="75853A5B"/>
    <w:rsid w:val="758D46EB"/>
    <w:rsid w:val="758F7BEE"/>
    <w:rsid w:val="75982A7C"/>
    <w:rsid w:val="75984ABB"/>
    <w:rsid w:val="75A1338B"/>
    <w:rsid w:val="75A3688F"/>
    <w:rsid w:val="75A5650E"/>
    <w:rsid w:val="75D00657"/>
    <w:rsid w:val="75D0215D"/>
    <w:rsid w:val="75D03968"/>
    <w:rsid w:val="75D44E5F"/>
    <w:rsid w:val="75DC4056"/>
    <w:rsid w:val="75DE31F0"/>
    <w:rsid w:val="75E727FB"/>
    <w:rsid w:val="75EA7003"/>
    <w:rsid w:val="75F2660E"/>
    <w:rsid w:val="75FD499F"/>
    <w:rsid w:val="760E5F3E"/>
    <w:rsid w:val="761C5254"/>
    <w:rsid w:val="762F1CF6"/>
    <w:rsid w:val="76361681"/>
    <w:rsid w:val="763D320A"/>
    <w:rsid w:val="763F03EF"/>
    <w:rsid w:val="76422F15"/>
    <w:rsid w:val="76446418"/>
    <w:rsid w:val="76517CAC"/>
    <w:rsid w:val="7655413E"/>
    <w:rsid w:val="766F145A"/>
    <w:rsid w:val="767336E4"/>
    <w:rsid w:val="76804F78"/>
    <w:rsid w:val="76882384"/>
    <w:rsid w:val="76912C94"/>
    <w:rsid w:val="76993924"/>
    <w:rsid w:val="769B6E27"/>
    <w:rsid w:val="76AA3BBE"/>
    <w:rsid w:val="76AA5DBC"/>
    <w:rsid w:val="76AC4B43"/>
    <w:rsid w:val="76B03549"/>
    <w:rsid w:val="76B07CC5"/>
    <w:rsid w:val="76B61BCF"/>
    <w:rsid w:val="76B82D9C"/>
    <w:rsid w:val="76BC735B"/>
    <w:rsid w:val="76BF02E0"/>
    <w:rsid w:val="76BF6825"/>
    <w:rsid w:val="76C34768"/>
    <w:rsid w:val="76C96671"/>
    <w:rsid w:val="76CC7942"/>
    <w:rsid w:val="76D36F81"/>
    <w:rsid w:val="76DB2A57"/>
    <w:rsid w:val="76DC7890"/>
    <w:rsid w:val="76E13D18"/>
    <w:rsid w:val="76E16C86"/>
    <w:rsid w:val="76E21799"/>
    <w:rsid w:val="76E60E48"/>
    <w:rsid w:val="76F8372F"/>
    <w:rsid w:val="76F8393D"/>
    <w:rsid w:val="76FB26C3"/>
    <w:rsid w:val="77035551"/>
    <w:rsid w:val="770B70DA"/>
    <w:rsid w:val="77106DE5"/>
    <w:rsid w:val="77193E72"/>
    <w:rsid w:val="771D2878"/>
    <w:rsid w:val="77234781"/>
    <w:rsid w:val="77284146"/>
    <w:rsid w:val="77291F0E"/>
    <w:rsid w:val="772A1B8E"/>
    <w:rsid w:val="772E0594"/>
    <w:rsid w:val="7732281D"/>
    <w:rsid w:val="773A7C2A"/>
    <w:rsid w:val="773D2DAD"/>
    <w:rsid w:val="773E6630"/>
    <w:rsid w:val="77556255"/>
    <w:rsid w:val="775C1463"/>
    <w:rsid w:val="775C5BE0"/>
    <w:rsid w:val="775F45E6"/>
    <w:rsid w:val="776158EB"/>
    <w:rsid w:val="77630DEE"/>
    <w:rsid w:val="7766760F"/>
    <w:rsid w:val="77687474"/>
    <w:rsid w:val="77746B0A"/>
    <w:rsid w:val="77792F92"/>
    <w:rsid w:val="777C6115"/>
    <w:rsid w:val="77866A24"/>
    <w:rsid w:val="778A0CAD"/>
    <w:rsid w:val="778C4E61"/>
    <w:rsid w:val="778E76B4"/>
    <w:rsid w:val="77935D3A"/>
    <w:rsid w:val="779B69C9"/>
    <w:rsid w:val="779D6649"/>
    <w:rsid w:val="779F1B4C"/>
    <w:rsid w:val="77A26354"/>
    <w:rsid w:val="77B72A76"/>
    <w:rsid w:val="77B75421"/>
    <w:rsid w:val="77C01188"/>
    <w:rsid w:val="77C96214"/>
    <w:rsid w:val="77CA24A3"/>
    <w:rsid w:val="77CD049D"/>
    <w:rsid w:val="77DB77B3"/>
    <w:rsid w:val="77ED76CD"/>
    <w:rsid w:val="77F00652"/>
    <w:rsid w:val="77F23B55"/>
    <w:rsid w:val="77F834E0"/>
    <w:rsid w:val="77FC1EE6"/>
    <w:rsid w:val="77FE0C6C"/>
    <w:rsid w:val="78027672"/>
    <w:rsid w:val="7808157C"/>
    <w:rsid w:val="78152E10"/>
    <w:rsid w:val="781D5C9E"/>
    <w:rsid w:val="782753F7"/>
    <w:rsid w:val="78393DA0"/>
    <w:rsid w:val="783B0AD1"/>
    <w:rsid w:val="783D0751"/>
    <w:rsid w:val="783F74D7"/>
    <w:rsid w:val="784129DA"/>
    <w:rsid w:val="784D67ED"/>
    <w:rsid w:val="78531C99"/>
    <w:rsid w:val="78540376"/>
    <w:rsid w:val="785C5783"/>
    <w:rsid w:val="78601C0A"/>
    <w:rsid w:val="78630991"/>
    <w:rsid w:val="78671595"/>
    <w:rsid w:val="78694A98"/>
    <w:rsid w:val="78707CA6"/>
    <w:rsid w:val="78761BB0"/>
    <w:rsid w:val="78792B34"/>
    <w:rsid w:val="787A3ED4"/>
    <w:rsid w:val="787B6037"/>
    <w:rsid w:val="78823444"/>
    <w:rsid w:val="788D5058"/>
    <w:rsid w:val="78941160"/>
    <w:rsid w:val="78975968"/>
    <w:rsid w:val="789A68EC"/>
    <w:rsid w:val="789E74F1"/>
    <w:rsid w:val="78A029F4"/>
    <w:rsid w:val="78A13CF9"/>
    <w:rsid w:val="78AF778B"/>
    <w:rsid w:val="78B62999"/>
    <w:rsid w:val="78BB48A3"/>
    <w:rsid w:val="78BC6AA1"/>
    <w:rsid w:val="78C004CA"/>
    <w:rsid w:val="78D31F49"/>
    <w:rsid w:val="78DD2859"/>
    <w:rsid w:val="78E05133"/>
    <w:rsid w:val="78F76C86"/>
    <w:rsid w:val="78F86E3B"/>
    <w:rsid w:val="78FB1E09"/>
    <w:rsid w:val="78FC310E"/>
    <w:rsid w:val="78FD0B8F"/>
    <w:rsid w:val="78FE2D8D"/>
    <w:rsid w:val="790A4622"/>
    <w:rsid w:val="791344A9"/>
    <w:rsid w:val="791374B0"/>
    <w:rsid w:val="791B013F"/>
    <w:rsid w:val="791F45C7"/>
    <w:rsid w:val="7922554C"/>
    <w:rsid w:val="79256AFF"/>
    <w:rsid w:val="7926196A"/>
    <w:rsid w:val="79304861"/>
    <w:rsid w:val="79327D64"/>
    <w:rsid w:val="794A3C00"/>
    <w:rsid w:val="79535D1B"/>
    <w:rsid w:val="795445DD"/>
    <w:rsid w:val="796B33C1"/>
    <w:rsid w:val="798B16F8"/>
    <w:rsid w:val="79913601"/>
    <w:rsid w:val="79944586"/>
    <w:rsid w:val="799E7093"/>
    <w:rsid w:val="79A67D23"/>
    <w:rsid w:val="79A757A5"/>
    <w:rsid w:val="79A842C9"/>
    <w:rsid w:val="79BF2E4B"/>
    <w:rsid w:val="79C03C61"/>
    <w:rsid w:val="79C31852"/>
    <w:rsid w:val="79C8155D"/>
    <w:rsid w:val="79CB6C5E"/>
    <w:rsid w:val="79D030E6"/>
    <w:rsid w:val="79D4756E"/>
    <w:rsid w:val="79D97279"/>
    <w:rsid w:val="79E10E02"/>
    <w:rsid w:val="79E34305"/>
    <w:rsid w:val="79E41D86"/>
    <w:rsid w:val="79E5308B"/>
    <w:rsid w:val="79F414AB"/>
    <w:rsid w:val="79F53325"/>
    <w:rsid w:val="79F964A8"/>
    <w:rsid w:val="79FD0732"/>
    <w:rsid w:val="7A0016B7"/>
    <w:rsid w:val="7A00297D"/>
    <w:rsid w:val="7A057D3D"/>
    <w:rsid w:val="7A067586"/>
    <w:rsid w:val="7A096743"/>
    <w:rsid w:val="7A101951"/>
    <w:rsid w:val="7A1173D2"/>
    <w:rsid w:val="7A1A2260"/>
    <w:rsid w:val="7A232801"/>
    <w:rsid w:val="7A2E0F01"/>
    <w:rsid w:val="7A2F27AB"/>
    <w:rsid w:val="7A34668D"/>
    <w:rsid w:val="7A361B91"/>
    <w:rsid w:val="7A3B0217"/>
    <w:rsid w:val="7A3F4A1F"/>
    <w:rsid w:val="7A4A4FAE"/>
    <w:rsid w:val="7A4E39B4"/>
    <w:rsid w:val="7A50273A"/>
    <w:rsid w:val="7A5955C8"/>
    <w:rsid w:val="7A6029D5"/>
    <w:rsid w:val="7A66105B"/>
    <w:rsid w:val="7A6B0D66"/>
    <w:rsid w:val="7A7B1000"/>
    <w:rsid w:val="7A843E8E"/>
    <w:rsid w:val="7A886A8A"/>
    <w:rsid w:val="7A8F7CA1"/>
    <w:rsid w:val="7A9A18B5"/>
    <w:rsid w:val="7A9C1627"/>
    <w:rsid w:val="7A9F5D3D"/>
    <w:rsid w:val="7AAB75D1"/>
    <w:rsid w:val="7AAD2AD4"/>
    <w:rsid w:val="7AB001D5"/>
    <w:rsid w:val="7AB0201A"/>
    <w:rsid w:val="7ABB1DEA"/>
    <w:rsid w:val="7ABE2D6E"/>
    <w:rsid w:val="7AC9016E"/>
    <w:rsid w:val="7ACF0A8A"/>
    <w:rsid w:val="7AE40330"/>
    <w:rsid w:val="7AF43248"/>
    <w:rsid w:val="7AF918CE"/>
    <w:rsid w:val="7B0556E1"/>
    <w:rsid w:val="7B0B2E6E"/>
    <w:rsid w:val="7B0C2AED"/>
    <w:rsid w:val="7B0C506C"/>
    <w:rsid w:val="7B0C5AA9"/>
    <w:rsid w:val="7B0F1874"/>
    <w:rsid w:val="7B14377D"/>
    <w:rsid w:val="7B170E7E"/>
    <w:rsid w:val="7B194382"/>
    <w:rsid w:val="7B1B7885"/>
    <w:rsid w:val="7B242713"/>
    <w:rsid w:val="7B29461C"/>
    <w:rsid w:val="7B2F6525"/>
    <w:rsid w:val="7B30782A"/>
    <w:rsid w:val="7B355E49"/>
    <w:rsid w:val="7B3615D5"/>
    <w:rsid w:val="7B4C1623"/>
    <w:rsid w:val="7B5257E0"/>
    <w:rsid w:val="7B5F4AF6"/>
    <w:rsid w:val="7B6220A6"/>
    <w:rsid w:val="7B683FA2"/>
    <w:rsid w:val="7B6B0909"/>
    <w:rsid w:val="7B6E5110"/>
    <w:rsid w:val="7B851426"/>
    <w:rsid w:val="7B8A4AB6"/>
    <w:rsid w:val="7B8D68BF"/>
    <w:rsid w:val="7B8E7BC4"/>
    <w:rsid w:val="7BA07ADE"/>
    <w:rsid w:val="7BA6526A"/>
    <w:rsid w:val="7BB80A08"/>
    <w:rsid w:val="7BC13896"/>
    <w:rsid w:val="7BC6011F"/>
    <w:rsid w:val="7BD75A39"/>
    <w:rsid w:val="7BDF338E"/>
    <w:rsid w:val="7BE42B51"/>
    <w:rsid w:val="7BE63AD5"/>
    <w:rsid w:val="7BE86FD9"/>
    <w:rsid w:val="7BE911D7"/>
    <w:rsid w:val="7BFC0B25"/>
    <w:rsid w:val="7BFC23F6"/>
    <w:rsid w:val="7C0C4D1D"/>
    <w:rsid w:val="7C1A5229"/>
    <w:rsid w:val="7C1C072C"/>
    <w:rsid w:val="7C1F16B1"/>
    <w:rsid w:val="7C207132"/>
    <w:rsid w:val="7C2B54C3"/>
    <w:rsid w:val="7C395B0D"/>
    <w:rsid w:val="7C42096C"/>
    <w:rsid w:val="7C45606D"/>
    <w:rsid w:val="7C461570"/>
    <w:rsid w:val="7C463AEF"/>
    <w:rsid w:val="7C4902F7"/>
    <w:rsid w:val="7C4A5D78"/>
    <w:rsid w:val="7C532E05"/>
    <w:rsid w:val="7C61599E"/>
    <w:rsid w:val="7C63309F"/>
    <w:rsid w:val="7C664024"/>
    <w:rsid w:val="7C6A15B3"/>
    <w:rsid w:val="7C6C36C8"/>
    <w:rsid w:val="7C715C38"/>
    <w:rsid w:val="7C7E21C7"/>
    <w:rsid w:val="7C7E74CC"/>
    <w:rsid w:val="7C800451"/>
    <w:rsid w:val="7C8A156A"/>
    <w:rsid w:val="7C8D5568"/>
    <w:rsid w:val="7C916173"/>
    <w:rsid w:val="7C9C6796"/>
    <w:rsid w:val="7C9C690A"/>
    <w:rsid w:val="7CA023F9"/>
    <w:rsid w:val="7CA10985"/>
    <w:rsid w:val="7CA14209"/>
    <w:rsid w:val="7CA64E0D"/>
    <w:rsid w:val="7CB41BA4"/>
    <w:rsid w:val="7CB650A7"/>
    <w:rsid w:val="7CB72B29"/>
    <w:rsid w:val="7CB83E2E"/>
    <w:rsid w:val="7CBA3AAE"/>
    <w:rsid w:val="7CC70BC5"/>
    <w:rsid w:val="7CC962C6"/>
    <w:rsid w:val="7CD05C51"/>
    <w:rsid w:val="7CD32459"/>
    <w:rsid w:val="7CDB7866"/>
    <w:rsid w:val="7CE73678"/>
    <w:rsid w:val="7CEF1D89"/>
    <w:rsid w:val="7CF70D50"/>
    <w:rsid w:val="7CF81394"/>
    <w:rsid w:val="7CF84C17"/>
    <w:rsid w:val="7CF96E16"/>
    <w:rsid w:val="7CFB323A"/>
    <w:rsid w:val="7D0A03B5"/>
    <w:rsid w:val="7D0B5E36"/>
    <w:rsid w:val="7D0C0035"/>
    <w:rsid w:val="7D0D1339"/>
    <w:rsid w:val="7D0F0FB9"/>
    <w:rsid w:val="7D110775"/>
    <w:rsid w:val="7D152EC3"/>
    <w:rsid w:val="7D19734A"/>
    <w:rsid w:val="7D1E15D4"/>
    <w:rsid w:val="7D1E37D2"/>
    <w:rsid w:val="7D2E787B"/>
    <w:rsid w:val="7D2F72F0"/>
    <w:rsid w:val="7D3149F1"/>
    <w:rsid w:val="7D366C7B"/>
    <w:rsid w:val="7D3768FA"/>
    <w:rsid w:val="7D3D4087"/>
    <w:rsid w:val="7D5671AF"/>
    <w:rsid w:val="7D5804B4"/>
    <w:rsid w:val="7D5A6919"/>
    <w:rsid w:val="7D5D23BD"/>
    <w:rsid w:val="7D6342C7"/>
    <w:rsid w:val="7D74675F"/>
    <w:rsid w:val="7D761C62"/>
    <w:rsid w:val="7D7A0669"/>
    <w:rsid w:val="7D7E28F2"/>
    <w:rsid w:val="7D7F0374"/>
    <w:rsid w:val="7D883202"/>
    <w:rsid w:val="7D91028E"/>
    <w:rsid w:val="7D921593"/>
    <w:rsid w:val="7D972197"/>
    <w:rsid w:val="7D975A1A"/>
    <w:rsid w:val="7D9D5E27"/>
    <w:rsid w:val="7D9F5025"/>
    <w:rsid w:val="7DB31AC7"/>
    <w:rsid w:val="7DBB2757"/>
    <w:rsid w:val="7DBB4955"/>
    <w:rsid w:val="7DBD5C5A"/>
    <w:rsid w:val="7DBF115D"/>
    <w:rsid w:val="7DC14660"/>
    <w:rsid w:val="7DC70768"/>
    <w:rsid w:val="7DC861E9"/>
    <w:rsid w:val="7DCE3976"/>
    <w:rsid w:val="7DD148FB"/>
    <w:rsid w:val="7DD4587F"/>
    <w:rsid w:val="7DD53301"/>
    <w:rsid w:val="7DE03890"/>
    <w:rsid w:val="7DE54B58"/>
    <w:rsid w:val="7DE57D18"/>
    <w:rsid w:val="7DEB76A3"/>
    <w:rsid w:val="7DEF3EAB"/>
    <w:rsid w:val="7DF612B7"/>
    <w:rsid w:val="7E006343"/>
    <w:rsid w:val="7E0427CB"/>
    <w:rsid w:val="7E065CCE"/>
    <w:rsid w:val="7E0E695E"/>
    <w:rsid w:val="7E1A2770"/>
    <w:rsid w:val="7E1F3128"/>
    <w:rsid w:val="7E246903"/>
    <w:rsid w:val="7E2C5F0E"/>
    <w:rsid w:val="7E2D398F"/>
    <w:rsid w:val="7E2D7213"/>
    <w:rsid w:val="7E304914"/>
    <w:rsid w:val="7E33111C"/>
    <w:rsid w:val="7E346B9D"/>
    <w:rsid w:val="7E36681D"/>
    <w:rsid w:val="7E3A2CA5"/>
    <w:rsid w:val="7E4029B0"/>
    <w:rsid w:val="7E4251F7"/>
    <w:rsid w:val="7E425EB3"/>
    <w:rsid w:val="7E4A0D41"/>
    <w:rsid w:val="7E4B2F3F"/>
    <w:rsid w:val="7E4E3EC4"/>
    <w:rsid w:val="7E580057"/>
    <w:rsid w:val="7E5F641C"/>
    <w:rsid w:val="7E633E69"/>
    <w:rsid w:val="7E676FEC"/>
    <w:rsid w:val="7E6802F1"/>
    <w:rsid w:val="7E6E21FA"/>
    <w:rsid w:val="7E757607"/>
    <w:rsid w:val="7E7D58CD"/>
    <w:rsid w:val="7E80145B"/>
    <w:rsid w:val="7E853073"/>
    <w:rsid w:val="7E875323"/>
    <w:rsid w:val="7E8B3D29"/>
    <w:rsid w:val="7E8C502E"/>
    <w:rsid w:val="7E905C32"/>
    <w:rsid w:val="7E916B3D"/>
    <w:rsid w:val="7E9B3FC3"/>
    <w:rsid w:val="7EA34C53"/>
    <w:rsid w:val="7EA75857"/>
    <w:rsid w:val="7EAA45DE"/>
    <w:rsid w:val="7EB23BE8"/>
    <w:rsid w:val="7EB85AF2"/>
    <w:rsid w:val="7EBA0FF5"/>
    <w:rsid w:val="7EBC7D7B"/>
    <w:rsid w:val="7EC31904"/>
    <w:rsid w:val="7EC35188"/>
    <w:rsid w:val="7EC85D8C"/>
    <w:rsid w:val="7ED6703A"/>
    <w:rsid w:val="7ED763A7"/>
    <w:rsid w:val="7ED94253"/>
    <w:rsid w:val="7EE5313E"/>
    <w:rsid w:val="7EF249D2"/>
    <w:rsid w:val="7EF667A6"/>
    <w:rsid w:val="7F012A6E"/>
    <w:rsid w:val="7F0C0DFF"/>
    <w:rsid w:val="7F0E4302"/>
    <w:rsid w:val="7F143C8D"/>
    <w:rsid w:val="7F2464A6"/>
    <w:rsid w:val="7F256126"/>
    <w:rsid w:val="7F2B5E31"/>
    <w:rsid w:val="7F2C38B2"/>
    <w:rsid w:val="7F3044B7"/>
    <w:rsid w:val="7F3541C2"/>
    <w:rsid w:val="7F3B60CB"/>
    <w:rsid w:val="7F417FD4"/>
    <w:rsid w:val="7F45445C"/>
    <w:rsid w:val="7F4B6365"/>
    <w:rsid w:val="7F4D1868"/>
    <w:rsid w:val="7F4F4D6C"/>
    <w:rsid w:val="7F5027ED"/>
    <w:rsid w:val="7F567F7A"/>
    <w:rsid w:val="7F59567B"/>
    <w:rsid w:val="7F766BCC"/>
    <w:rsid w:val="7F7E2038"/>
    <w:rsid w:val="7F7F7AB9"/>
    <w:rsid w:val="7F8477C4"/>
    <w:rsid w:val="7F8A69E7"/>
    <w:rsid w:val="7FA57CF9"/>
    <w:rsid w:val="7FAB1C02"/>
    <w:rsid w:val="7FAE0608"/>
    <w:rsid w:val="7FB46CED"/>
    <w:rsid w:val="7FB57F93"/>
    <w:rsid w:val="7FB77C01"/>
    <w:rsid w:val="7FBA7C9E"/>
    <w:rsid w:val="7FBD0C23"/>
    <w:rsid w:val="7FCF0B3D"/>
    <w:rsid w:val="7FD065BE"/>
    <w:rsid w:val="7FD178C3"/>
    <w:rsid w:val="7FD62C4B"/>
    <w:rsid w:val="7FD839CB"/>
    <w:rsid w:val="7FDB4950"/>
    <w:rsid w:val="7FDD35A0"/>
    <w:rsid w:val="7FDDA5DC"/>
    <w:rsid w:val="7FE0465B"/>
    <w:rsid w:val="7FE355DF"/>
    <w:rsid w:val="7FE376CD"/>
    <w:rsid w:val="7FE7B46D"/>
    <w:rsid w:val="7FE83C65"/>
    <w:rsid w:val="7FE916E7"/>
    <w:rsid w:val="7FED00ED"/>
    <w:rsid w:val="7FF81D01"/>
    <w:rsid w:val="7FFABECC"/>
    <w:rsid w:val="7FFB3E06"/>
    <w:rsid w:val="AC76A49D"/>
    <w:rsid w:val="E9AE04CF"/>
    <w:rsid w:val="F5FFC4DE"/>
    <w:rsid w:val="F7FB1DD6"/>
    <w:rsid w:val="FFBE9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iPriority="99"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8"/>
      <w:szCs w:val="24"/>
      <w:lang w:val="en-US" w:eastAsia="zh-CN" w:bidi="ar-SA"/>
    </w:rPr>
  </w:style>
  <w:style w:type="paragraph" w:styleId="2">
    <w:name w:val="heading 1"/>
    <w:basedOn w:val="1"/>
    <w:next w:val="1"/>
    <w:link w:val="43"/>
    <w:qFormat/>
    <w:uiPriority w:val="0"/>
    <w:pPr>
      <w:keepNext/>
      <w:keepLines/>
      <w:numPr>
        <w:ilvl w:val="0"/>
        <w:numId w:val="1"/>
      </w:numPr>
      <w:spacing w:before="340" w:after="330" w:line="576" w:lineRule="auto"/>
      <w:outlineLvl w:val="0"/>
    </w:pPr>
    <w:rPr>
      <w:b/>
      <w:kern w:val="44"/>
      <w:sz w:val="44"/>
    </w:rPr>
  </w:style>
  <w:style w:type="paragraph" w:styleId="3">
    <w:name w:val="heading 2"/>
    <w:basedOn w:val="1"/>
    <w:next w:val="1"/>
    <w:link w:val="41"/>
    <w:unhideWhenUsed/>
    <w:qFormat/>
    <w:uiPriority w:val="0"/>
    <w:pPr>
      <w:keepNext/>
      <w:keepLines/>
      <w:numPr>
        <w:ilvl w:val="1"/>
        <w:numId w:val="1"/>
      </w:numPr>
      <w:spacing w:before="260" w:after="260" w:line="413" w:lineRule="auto"/>
      <w:outlineLvl w:val="1"/>
    </w:pPr>
    <w:rPr>
      <w:rFonts w:ascii="Arial" w:hAnsi="Arial" w:eastAsia="黑体"/>
      <w:b/>
      <w:sz w:val="32"/>
    </w:rPr>
  </w:style>
  <w:style w:type="paragraph" w:styleId="4">
    <w:name w:val="heading 3"/>
    <w:basedOn w:val="1"/>
    <w:next w:val="1"/>
    <w:link w:val="40"/>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link w:val="42"/>
    <w:unhideWhenUsed/>
    <w:qFormat/>
    <w:uiPriority w:val="0"/>
    <w:pPr>
      <w:keepNext/>
      <w:keepLines/>
      <w:numPr>
        <w:ilvl w:val="3"/>
        <w:numId w:val="1"/>
      </w:numPr>
      <w:spacing w:before="280" w:after="290" w:line="372" w:lineRule="auto"/>
      <w:outlineLvl w:val="3"/>
    </w:pPr>
    <w:rPr>
      <w:rFonts w:ascii="Arial" w:hAnsi="Arial" w:eastAsia="黑体"/>
      <w:b/>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rPr>
  </w:style>
  <w:style w:type="paragraph" w:styleId="7">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List Bullet"/>
    <w:basedOn w:val="1"/>
    <w:unhideWhenUsed/>
    <w:qFormat/>
    <w:uiPriority w:val="99"/>
    <w:pPr>
      <w:widowControl/>
      <w:numPr>
        <w:ilvl w:val="0"/>
        <w:numId w:val="2"/>
      </w:numPr>
      <w:tabs>
        <w:tab w:val="clear" w:pos="360"/>
      </w:tabs>
      <w:spacing w:after="200" w:line="326" w:lineRule="auto"/>
      <w:ind w:left="0" w:firstLine="0"/>
      <w:contextualSpacing/>
    </w:pPr>
    <w:rPr>
      <w:rFonts w:ascii="微软雅黑" w:hAnsi="微软雅黑" w:eastAsia="微软雅黑"/>
      <w:color w:val="212121"/>
      <w:kern w:val="0"/>
      <w:sz w:val="18"/>
      <w:szCs w:val="22"/>
      <w:lang w:eastAsia="en-US"/>
    </w:rPr>
  </w:style>
  <w:style w:type="paragraph" w:styleId="12">
    <w:name w:val="annotation text"/>
    <w:basedOn w:val="1"/>
    <w:link w:val="46"/>
    <w:qFormat/>
    <w:uiPriority w:val="0"/>
  </w:style>
  <w:style w:type="paragraph" w:styleId="13">
    <w:name w:val="Body Text"/>
    <w:basedOn w:val="1"/>
    <w:qFormat/>
    <w:uiPriority w:val="0"/>
    <w:pPr>
      <w:spacing w:after="120"/>
    </w:pPr>
  </w:style>
  <w:style w:type="paragraph" w:styleId="14">
    <w:name w:val="toc 3"/>
    <w:basedOn w:val="1"/>
    <w:next w:val="1"/>
    <w:unhideWhenUsed/>
    <w:qFormat/>
    <w:uiPriority w:val="39"/>
    <w:pPr>
      <w:ind w:left="420"/>
    </w:pPr>
    <w:rPr>
      <w:rFonts w:eastAsiaTheme="minorHAnsi"/>
      <w:iCs/>
      <w:sz w:val="22"/>
      <w:szCs w:val="22"/>
    </w:rPr>
  </w:style>
  <w:style w:type="paragraph" w:styleId="15">
    <w:name w:val="Balloon Text"/>
    <w:basedOn w:val="1"/>
    <w:link w:val="48"/>
    <w:qFormat/>
    <w:uiPriority w:val="0"/>
    <w:rPr>
      <w:sz w:val="18"/>
      <w:szCs w:val="18"/>
    </w:rPr>
  </w:style>
  <w:style w:type="paragraph" w:styleId="16">
    <w:name w:val="footer"/>
    <w:basedOn w:val="1"/>
    <w:qFormat/>
    <w:uiPriority w:val="0"/>
    <w:pPr>
      <w:tabs>
        <w:tab w:val="center" w:pos="4153"/>
        <w:tab w:val="right" w:pos="8306"/>
      </w:tabs>
      <w:snapToGrid w:val="0"/>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8">
    <w:name w:val="toc 1"/>
    <w:basedOn w:val="1"/>
    <w:next w:val="1"/>
    <w:unhideWhenUsed/>
    <w:qFormat/>
    <w:uiPriority w:val="39"/>
  </w:style>
  <w:style w:type="paragraph" w:styleId="19">
    <w:name w:val="toc 2"/>
    <w:basedOn w:val="1"/>
    <w:next w:val="1"/>
    <w:unhideWhenUsed/>
    <w:qFormat/>
    <w:uiPriority w:val="39"/>
    <w:pPr>
      <w:ind w:left="420" w:leftChars="200"/>
    </w:pPr>
  </w:style>
  <w:style w:type="paragraph" w:styleId="20">
    <w:name w:val="Normal (Web)"/>
    <w:basedOn w:val="1"/>
    <w:qFormat/>
    <w:uiPriority w:val="0"/>
    <w:pPr>
      <w:spacing w:beforeAutospacing="1" w:afterAutospacing="1"/>
    </w:pPr>
    <w:rPr>
      <w:rFonts w:cs="Times New Roman"/>
      <w:kern w:val="0"/>
      <w:sz w:val="24"/>
    </w:rPr>
  </w:style>
  <w:style w:type="paragraph" w:styleId="21">
    <w:name w:val="annotation subject"/>
    <w:basedOn w:val="12"/>
    <w:next w:val="12"/>
    <w:link w:val="47"/>
    <w:qFormat/>
    <w:uiPriority w:val="0"/>
    <w:rPr>
      <w:b/>
      <w:bCs/>
    </w:rPr>
  </w:style>
  <w:style w:type="paragraph" w:styleId="22">
    <w:name w:val="Body Text First Indent"/>
    <w:basedOn w:val="13"/>
    <w:qFormat/>
    <w:uiPriority w:val="0"/>
    <w:pPr>
      <w:ind w:firstLine="420" w:firstLineChars="1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shd w:val="clear" w:color="auto" w:fill="auto"/>
    </w:tcPr>
  </w:style>
  <w:style w:type="character" w:styleId="26">
    <w:name w:val="Strong"/>
    <w:basedOn w:val="25"/>
    <w:qFormat/>
    <w:uiPriority w:val="0"/>
    <w:rPr>
      <w:b/>
    </w:rPr>
  </w:style>
  <w:style w:type="character" w:styleId="27">
    <w:name w:val="Emphasis"/>
    <w:basedOn w:val="25"/>
    <w:qFormat/>
    <w:uiPriority w:val="0"/>
    <w:rPr>
      <w:i/>
    </w:rPr>
  </w:style>
  <w:style w:type="character" w:styleId="28">
    <w:name w:val="Hyperlink"/>
    <w:basedOn w:val="25"/>
    <w:unhideWhenUsed/>
    <w:qFormat/>
    <w:uiPriority w:val="99"/>
    <w:rPr>
      <w:color w:val="0026E5" w:themeColor="hyperlink"/>
      <w:u w:val="single"/>
      <w14:textFill>
        <w14:solidFill>
          <w14:schemeClr w14:val="hlink"/>
        </w14:solidFill>
      </w14:textFill>
    </w:rPr>
  </w:style>
  <w:style w:type="character" w:styleId="29">
    <w:name w:val="annotation reference"/>
    <w:basedOn w:val="25"/>
    <w:qFormat/>
    <w:uiPriority w:val="0"/>
    <w:rPr>
      <w:sz w:val="21"/>
      <w:szCs w:val="21"/>
    </w:rPr>
  </w:style>
  <w:style w:type="paragraph" w:customStyle="1" w:styleId="30">
    <w:name w:val="列出段落1"/>
    <w:basedOn w:val="1"/>
    <w:qFormat/>
    <w:uiPriority w:val="0"/>
    <w:pPr>
      <w:ind w:firstLine="420" w:firstLineChars="200"/>
    </w:pPr>
    <w:rPr>
      <w:rFonts w:ascii="Calibri" w:hAnsi="Calibri" w:cs="宋体"/>
      <w:sz w:val="21"/>
      <w:szCs w:val="22"/>
    </w:rPr>
  </w:style>
  <w:style w:type="paragraph" w:styleId="31">
    <w:name w:val="List Paragraph"/>
    <w:basedOn w:val="1"/>
    <w:qFormat/>
    <w:uiPriority w:val="0"/>
    <w:pPr>
      <w:ind w:firstLine="420" w:firstLineChars="200"/>
    </w:pPr>
  </w:style>
  <w:style w:type="paragraph" w:customStyle="1" w:styleId="32">
    <w:name w:val="列表段落1"/>
    <w:basedOn w:val="1"/>
    <w:qFormat/>
    <w:uiPriority w:val="34"/>
    <w:pPr>
      <w:ind w:firstLine="420" w:firstLineChars="200"/>
    </w:pPr>
    <w:rPr>
      <w:rFonts w:ascii="Times New Roman" w:hAnsi="Times New Roman"/>
    </w:rPr>
  </w:style>
  <w:style w:type="paragraph" w:customStyle="1" w:styleId="33">
    <w:name w:val="！正文"/>
    <w:basedOn w:val="1"/>
    <w:qFormat/>
    <w:uiPriority w:val="0"/>
    <w:pPr>
      <w:spacing w:line="360" w:lineRule="auto"/>
      <w:ind w:firstLine="200" w:firstLineChars="200"/>
      <w:jc w:val="both"/>
    </w:pPr>
    <w:rPr>
      <w:rFonts w:ascii="Calibri" w:hAnsi="Calibri"/>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7">
    <w:name w:val="正文内容"/>
    <w:basedOn w:val="1"/>
    <w:qFormat/>
    <w:uiPriority w:val="0"/>
    <w:pPr>
      <w:ind w:firstLine="480" w:firstLineChars="200"/>
    </w:pPr>
    <w:rPr>
      <w:rFonts w:cs="宋体"/>
      <w:szCs w:val="20"/>
    </w:rPr>
  </w:style>
  <w:style w:type="paragraph" w:customStyle="1" w:styleId="38">
    <w:name w:val="样式 标题 1h1H1Huvudrubrik章h:1h:1applevel 1Level 1 Headhead..."/>
    <w:basedOn w:val="2"/>
    <w:qFormat/>
    <w:uiPriority w:val="99"/>
    <w:pPr>
      <w:spacing w:after="0" w:line="360" w:lineRule="auto"/>
      <w:jc w:val="both"/>
    </w:pPr>
    <w:rPr>
      <w:rFonts w:ascii="黑体" w:hAnsi="宋体" w:eastAsia="黑体" w:cs="宋体"/>
      <w:bCs/>
      <w:sz w:val="28"/>
      <w:szCs w:val="28"/>
    </w:rPr>
  </w:style>
  <w:style w:type="paragraph" w:customStyle="1" w:styleId="39">
    <w:name w:val="列出段落4"/>
    <w:basedOn w:val="1"/>
    <w:qFormat/>
    <w:uiPriority w:val="34"/>
    <w:pPr>
      <w:ind w:firstLine="420" w:firstLineChars="200"/>
    </w:pPr>
    <w:rPr>
      <w:szCs w:val="22"/>
    </w:rPr>
  </w:style>
  <w:style w:type="character" w:customStyle="1" w:styleId="40">
    <w:name w:val="标题 3 Char"/>
    <w:link w:val="4"/>
    <w:qFormat/>
    <w:uiPriority w:val="0"/>
    <w:rPr>
      <w:rFonts w:asciiTheme="minorHAnsi" w:hAnsiTheme="minorHAnsi" w:eastAsiaTheme="minorEastAsia" w:cstheme="minorBidi"/>
      <w:b/>
      <w:kern w:val="2"/>
      <w:sz w:val="32"/>
      <w:szCs w:val="24"/>
    </w:rPr>
  </w:style>
  <w:style w:type="character" w:customStyle="1" w:styleId="41">
    <w:name w:val="标题 2 Char"/>
    <w:basedOn w:val="25"/>
    <w:link w:val="3"/>
    <w:qFormat/>
    <w:uiPriority w:val="0"/>
    <w:rPr>
      <w:rFonts w:ascii="Arial" w:hAnsi="Arial" w:eastAsia="黑体" w:cstheme="minorBidi"/>
      <w:b/>
      <w:kern w:val="2"/>
      <w:sz w:val="32"/>
      <w:szCs w:val="24"/>
    </w:rPr>
  </w:style>
  <w:style w:type="character" w:customStyle="1" w:styleId="42">
    <w:name w:val="标题 4 Char"/>
    <w:basedOn w:val="25"/>
    <w:link w:val="5"/>
    <w:qFormat/>
    <w:uiPriority w:val="0"/>
    <w:rPr>
      <w:rFonts w:ascii="Arial" w:hAnsi="Arial" w:eastAsia="黑体" w:cstheme="minorBidi"/>
      <w:b/>
      <w:kern w:val="2"/>
      <w:sz w:val="28"/>
      <w:szCs w:val="24"/>
    </w:rPr>
  </w:style>
  <w:style w:type="character" w:customStyle="1" w:styleId="43">
    <w:name w:val="标题 1 Char"/>
    <w:basedOn w:val="25"/>
    <w:link w:val="2"/>
    <w:qFormat/>
    <w:uiPriority w:val="0"/>
    <w:rPr>
      <w:rFonts w:asciiTheme="minorHAnsi" w:hAnsiTheme="minorHAnsi" w:eastAsiaTheme="minorEastAsia" w:cstheme="minorBidi"/>
      <w:b/>
      <w:kern w:val="44"/>
      <w:sz w:val="44"/>
      <w:szCs w:val="24"/>
    </w:rPr>
  </w:style>
  <w:style w:type="paragraph" w:customStyle="1" w:styleId="44">
    <w:name w:val="修订1"/>
    <w:hidden/>
    <w:unhideWhenUsed/>
    <w:qFormat/>
    <w:uiPriority w:val="99"/>
    <w:rPr>
      <w:rFonts w:asciiTheme="minorHAnsi" w:hAnsiTheme="minorHAnsi" w:eastAsiaTheme="minorEastAsia" w:cstheme="minorBidi"/>
      <w:kern w:val="2"/>
      <w:sz w:val="28"/>
      <w:szCs w:val="24"/>
      <w:lang w:val="en-US" w:eastAsia="zh-CN" w:bidi="ar-SA"/>
    </w:rPr>
  </w:style>
  <w:style w:type="paragraph" w:customStyle="1" w:styleId="45">
    <w:name w:val="修订2"/>
    <w:hidden/>
    <w:unhideWhenUsed/>
    <w:qFormat/>
    <w:uiPriority w:val="99"/>
    <w:rPr>
      <w:rFonts w:asciiTheme="minorHAnsi" w:hAnsiTheme="minorHAnsi" w:eastAsiaTheme="minorEastAsia" w:cstheme="minorBidi"/>
      <w:kern w:val="2"/>
      <w:sz w:val="28"/>
      <w:szCs w:val="24"/>
      <w:lang w:val="en-US" w:eastAsia="zh-CN" w:bidi="ar-SA"/>
    </w:rPr>
  </w:style>
  <w:style w:type="character" w:customStyle="1" w:styleId="46">
    <w:name w:val="批注文字 Char"/>
    <w:basedOn w:val="25"/>
    <w:link w:val="12"/>
    <w:qFormat/>
    <w:uiPriority w:val="0"/>
    <w:rPr>
      <w:rFonts w:asciiTheme="minorHAnsi" w:hAnsiTheme="minorHAnsi" w:eastAsiaTheme="minorEastAsia" w:cstheme="minorBidi"/>
      <w:kern w:val="2"/>
      <w:sz w:val="28"/>
      <w:szCs w:val="24"/>
    </w:rPr>
  </w:style>
  <w:style w:type="character" w:customStyle="1" w:styleId="47">
    <w:name w:val="批注主题 Char"/>
    <w:basedOn w:val="46"/>
    <w:link w:val="21"/>
    <w:qFormat/>
    <w:uiPriority w:val="0"/>
    <w:rPr>
      <w:rFonts w:asciiTheme="minorHAnsi" w:hAnsiTheme="minorHAnsi" w:eastAsiaTheme="minorEastAsia" w:cstheme="minorBidi"/>
      <w:b/>
      <w:bCs/>
      <w:kern w:val="2"/>
      <w:sz w:val="28"/>
      <w:szCs w:val="24"/>
    </w:rPr>
  </w:style>
  <w:style w:type="character" w:customStyle="1" w:styleId="48">
    <w:name w:val="批注框文本 Char"/>
    <w:basedOn w:val="25"/>
    <w:link w:val="1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33</Pages>
  <Words>21246</Words>
  <Characters>21811</Characters>
  <Lines>176</Lines>
  <Paragraphs>49</Paragraphs>
  <TotalTime>0</TotalTime>
  <ScaleCrop>false</ScaleCrop>
  <LinksUpToDate>false</LinksUpToDate>
  <CharactersWithSpaces>21908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2026-11-05T02:47:00Z</dcterms:created>
  <dc:creator>PC</dc:creator>
  <cp:lastModifiedBy>gc</cp:lastModifiedBy>
  <dcterms:modified xsi:type="dcterms:W3CDTF">2026-11-05T08:37:35Z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eyJoZGlkIjoiZjkyNTllNjYwMGU2YTY4NDA1NDY1NzBiOWQ5YTc5YzUiLCJ1c2VySWQiOiI0MTQ5NTc1OTIifQ==</vt:lpwstr>
  </property>
  <property fmtid="{D5CDD505-2E9C-101B-9397-08002B2CF9AE}" pid="3" name="KSOProductBuildVer">
    <vt:lpwstr>2052-12.1.0.29158</vt:lpwstr>
  </property>
  <property fmtid="{D5CDD505-2E9C-101B-9397-08002B2CF9AE}" pid="4" name="ICV">
    <vt:lpwstr>83659BFA34B043CF90825B7EDFF9FE72_13</vt:lpwstr>
  </property>
</Properties>
</file>