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15247">
      <w:pPr>
        <w:jc w:val="center"/>
        <w:rPr>
          <w:rFonts w:hint="eastAsia" w:ascii="宋体" w:hAnsi="宋体" w:eastAsia="宋体"/>
          <w:b/>
          <w:bCs/>
          <w:color w:val="auto"/>
          <w:sz w:val="36"/>
          <w:szCs w:val="36"/>
          <w:highlight w:val="none"/>
        </w:rPr>
      </w:pPr>
      <w:r>
        <w:rPr>
          <w:rFonts w:hint="eastAsia" w:ascii="宋体" w:hAnsi="宋体" w:eastAsia="宋体"/>
          <w:b/>
          <w:bCs/>
          <w:color w:val="auto"/>
          <w:sz w:val="36"/>
          <w:szCs w:val="36"/>
          <w:highlight w:val="none"/>
        </w:rPr>
        <w:t>2026年人民北核心机房维保服务采购项目需求</w:t>
      </w:r>
    </w:p>
    <w:p w14:paraId="24EA7FC1">
      <w:pPr>
        <w:pStyle w:val="37"/>
        <w:rPr>
          <w:rFonts w:hint="eastAsia"/>
          <w:color w:val="auto"/>
          <w:highlight w:val="none"/>
        </w:rPr>
      </w:pPr>
      <w:r>
        <w:rPr>
          <w:rFonts w:hint="eastAsia"/>
          <w:color w:val="auto"/>
          <w:highlight w:val="none"/>
        </w:rPr>
        <w:t>本项目计划对下表中的设备采购</w:t>
      </w:r>
      <w:r>
        <w:rPr>
          <w:rFonts w:hint="eastAsia"/>
          <w:color w:val="auto"/>
          <w:highlight w:val="none"/>
          <w:lang w:eastAsia="zh-Hans"/>
        </w:rPr>
        <w:t>维保</w:t>
      </w:r>
      <w:r>
        <w:rPr>
          <w:rFonts w:hint="eastAsia"/>
          <w:color w:val="auto"/>
          <w:highlight w:val="none"/>
        </w:rPr>
        <w:t>服务</w:t>
      </w:r>
      <w:r>
        <w:rPr>
          <w:rFonts w:hint="eastAsia"/>
          <w:color w:val="auto"/>
          <w:highlight w:val="none"/>
          <w:lang w:eastAsia="zh-Hans"/>
        </w:rPr>
        <w:t>到</w:t>
      </w:r>
      <w:r>
        <w:rPr>
          <w:rFonts w:hint="eastAsia"/>
          <w:color w:val="auto"/>
          <w:highlight w:val="none"/>
        </w:rPr>
        <w:t>2029年12月31日</w:t>
      </w:r>
      <w:r>
        <w:rPr>
          <w:rFonts w:hint="eastAsia"/>
          <w:color w:val="auto"/>
          <w:highlight w:val="none"/>
          <w:lang w:eastAsia="zh-Hans"/>
        </w:rPr>
        <w:t>，具体生效时间以设备原维保实际到期日的次日开始生效，如果合同签订日期晚于设备原维保实际到期日期，则以合同签订日期的次日开始生效。</w:t>
      </w:r>
    </w:p>
    <w:p w14:paraId="0997C717">
      <w:pPr>
        <w:pStyle w:val="37"/>
        <w:rPr>
          <w:rFonts w:hint="eastAsia"/>
          <w:color w:val="auto"/>
          <w:highlight w:val="none"/>
        </w:rPr>
      </w:pPr>
      <w:bookmarkStart w:id="0" w:name="_Toc22141"/>
      <w:r>
        <w:rPr>
          <w:rFonts w:hint="eastAsia"/>
          <w:color w:val="auto"/>
          <w:highlight w:val="none"/>
        </w:rPr>
        <w:t>维保服务内容</w:t>
      </w:r>
      <w:bookmarkEnd w:id="0"/>
    </w:p>
    <w:p w14:paraId="1E731F86">
      <w:pPr>
        <w:pStyle w:val="37"/>
        <w:rPr>
          <w:rFonts w:hint="eastAsia"/>
          <w:color w:val="auto"/>
          <w:highlight w:val="none"/>
        </w:rPr>
      </w:pPr>
      <w:r>
        <w:rPr>
          <w:rFonts w:hint="eastAsia"/>
          <w:color w:val="auto"/>
          <w:highlight w:val="none"/>
        </w:rPr>
        <w:t>1、总体需求</w:t>
      </w:r>
    </w:p>
    <w:p w14:paraId="51A201C5">
      <w:pPr>
        <w:pStyle w:val="37"/>
        <w:rPr>
          <w:rFonts w:hint="eastAsia"/>
          <w:color w:val="auto"/>
          <w:highlight w:val="none"/>
        </w:rPr>
      </w:pPr>
      <w:r>
        <w:rPr>
          <w:rFonts w:hint="eastAsia"/>
          <w:color w:val="auto"/>
          <w:highlight w:val="none"/>
        </w:rPr>
        <w:t>目前人民北核心机房包含UPS设备、精密空调、强电配电柜、服务机柜、PDU设备、新风机、风机盘管空调、照明灯具，架空静电地板等。根据实际工作需要，通过采购维保服务增强基础设施可靠性，降低机房基础设施故障对业务系统的影响，对突发事件进行快速的响应和应急处理,保障机房设备稳定运行。维保服务应满足7*24小时应急电话响应，2小时内上门服务，每月定期巡查设备，每半年UPS电池放电测试，每年4次季度巡检维护保养，故障处理和所需维修配件，以及提供特殊重要时段的现场技术保障。</w:t>
      </w:r>
    </w:p>
    <w:p w14:paraId="3499BB77">
      <w:pPr>
        <w:pStyle w:val="37"/>
        <w:rPr>
          <w:rFonts w:hint="eastAsia"/>
          <w:color w:val="auto"/>
          <w:highlight w:val="none"/>
        </w:rPr>
      </w:pPr>
      <w:r>
        <w:rPr>
          <w:rFonts w:hint="eastAsia"/>
          <w:color w:val="auto"/>
          <w:highlight w:val="none"/>
        </w:rPr>
        <w:t>2、服务需求</w:t>
      </w:r>
    </w:p>
    <w:p w14:paraId="797C2F8C">
      <w:pPr>
        <w:spacing w:after="120"/>
        <w:ind w:firstLine="480"/>
        <w:rPr>
          <w:rFonts w:hint="eastAsia" w:ascii="仿宋" w:hAnsi="仿宋" w:eastAsia="仿宋"/>
          <w:color w:val="auto"/>
          <w:kern w:val="0"/>
          <w:sz w:val="30"/>
          <w:szCs w:val="30"/>
          <w:highlight w:val="none"/>
        </w:rPr>
      </w:pPr>
      <w:r>
        <w:rPr>
          <w:rFonts w:hint="eastAsia" w:ascii="仿宋" w:hAnsi="仿宋" w:eastAsia="仿宋"/>
          <w:color w:val="auto"/>
          <w:kern w:val="0"/>
          <w:sz w:val="28"/>
          <w:szCs w:val="28"/>
          <w:highlight w:val="none"/>
        </w:rPr>
        <w:t>服务内容包括基础服务、系统增值服务、定制服务三部分。</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9"/>
        <w:gridCol w:w="5653"/>
      </w:tblGrid>
      <w:tr w14:paraId="25D7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83" w:type="pct"/>
            <w:vAlign w:val="center"/>
          </w:tcPr>
          <w:p w14:paraId="2C38F8C9">
            <w:pPr>
              <w:pStyle w:val="40"/>
              <w:spacing w:after="156" w:line="240" w:lineRule="auto"/>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服务类型</w:t>
            </w:r>
          </w:p>
        </w:tc>
        <w:tc>
          <w:tcPr>
            <w:tcW w:w="3316" w:type="pct"/>
          </w:tcPr>
          <w:p w14:paraId="20ACF24A">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服务内容</w:t>
            </w:r>
          </w:p>
        </w:tc>
      </w:tr>
      <w:tr w14:paraId="0890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restart"/>
            <w:vAlign w:val="center"/>
          </w:tcPr>
          <w:p w14:paraId="63147237">
            <w:pPr>
              <w:pStyle w:val="40"/>
              <w:spacing w:after="156" w:line="240" w:lineRule="auto"/>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基础服务</w:t>
            </w:r>
          </w:p>
        </w:tc>
        <w:tc>
          <w:tcPr>
            <w:tcW w:w="3316" w:type="pct"/>
          </w:tcPr>
          <w:p w14:paraId="226E9D2C">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技术支持热线服务</w:t>
            </w:r>
          </w:p>
        </w:tc>
      </w:tr>
      <w:tr w14:paraId="795A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vAlign w:val="center"/>
          </w:tcPr>
          <w:p w14:paraId="24837EDA">
            <w:pPr>
              <w:pStyle w:val="40"/>
              <w:spacing w:after="156" w:line="240" w:lineRule="auto"/>
              <w:jc w:val="center"/>
              <w:rPr>
                <w:rFonts w:hint="eastAsia" w:ascii="仿宋" w:hAnsi="仿宋" w:eastAsia="仿宋"/>
                <w:color w:val="auto"/>
                <w:sz w:val="28"/>
                <w:szCs w:val="28"/>
                <w:highlight w:val="none"/>
              </w:rPr>
            </w:pPr>
          </w:p>
        </w:tc>
        <w:tc>
          <w:tcPr>
            <w:tcW w:w="3316" w:type="pct"/>
          </w:tcPr>
          <w:p w14:paraId="63A62EB6">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定期巡检与预防性维护</w:t>
            </w:r>
          </w:p>
        </w:tc>
      </w:tr>
      <w:tr w14:paraId="576D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vAlign w:val="center"/>
          </w:tcPr>
          <w:p w14:paraId="2D89C145">
            <w:pPr>
              <w:pStyle w:val="40"/>
              <w:spacing w:after="156" w:line="240" w:lineRule="auto"/>
              <w:jc w:val="center"/>
              <w:rPr>
                <w:rFonts w:hint="eastAsia" w:ascii="仿宋" w:hAnsi="仿宋" w:eastAsia="仿宋"/>
                <w:color w:val="auto"/>
                <w:sz w:val="28"/>
                <w:szCs w:val="28"/>
                <w:highlight w:val="none"/>
              </w:rPr>
            </w:pPr>
          </w:p>
        </w:tc>
        <w:tc>
          <w:tcPr>
            <w:tcW w:w="3316" w:type="pct"/>
          </w:tcPr>
          <w:p w14:paraId="18C84E35">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现场故障响应解决服务</w:t>
            </w:r>
          </w:p>
        </w:tc>
      </w:tr>
      <w:tr w14:paraId="7EB7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vAlign w:val="center"/>
          </w:tcPr>
          <w:p w14:paraId="0DCFA799">
            <w:pPr>
              <w:pStyle w:val="40"/>
              <w:spacing w:after="156" w:line="240" w:lineRule="auto"/>
              <w:jc w:val="center"/>
              <w:rPr>
                <w:rFonts w:hint="eastAsia" w:ascii="仿宋" w:hAnsi="仿宋" w:eastAsia="仿宋"/>
                <w:color w:val="auto"/>
                <w:sz w:val="28"/>
                <w:szCs w:val="28"/>
                <w:highlight w:val="none"/>
              </w:rPr>
            </w:pPr>
          </w:p>
        </w:tc>
        <w:tc>
          <w:tcPr>
            <w:tcW w:w="3316" w:type="pct"/>
          </w:tcPr>
          <w:p w14:paraId="725D41F1">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重要时段电话支持服务</w:t>
            </w:r>
          </w:p>
        </w:tc>
      </w:tr>
      <w:tr w14:paraId="68F1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restart"/>
            <w:vAlign w:val="center"/>
          </w:tcPr>
          <w:p w14:paraId="654B807C">
            <w:pPr>
              <w:pStyle w:val="40"/>
              <w:spacing w:after="156" w:line="240" w:lineRule="auto"/>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系统增值服务</w:t>
            </w:r>
          </w:p>
        </w:tc>
        <w:tc>
          <w:tcPr>
            <w:tcW w:w="3316" w:type="pct"/>
          </w:tcPr>
          <w:p w14:paraId="1C8D0478">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技术交流服务</w:t>
            </w:r>
          </w:p>
        </w:tc>
      </w:tr>
      <w:tr w14:paraId="2E52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vAlign w:val="center"/>
          </w:tcPr>
          <w:p w14:paraId="066DD49E">
            <w:pPr>
              <w:pStyle w:val="40"/>
              <w:spacing w:after="156" w:line="240" w:lineRule="auto"/>
              <w:jc w:val="center"/>
              <w:rPr>
                <w:rFonts w:hint="eastAsia" w:ascii="仿宋" w:hAnsi="仿宋" w:eastAsia="仿宋"/>
                <w:color w:val="auto"/>
                <w:sz w:val="28"/>
                <w:szCs w:val="28"/>
                <w:highlight w:val="none"/>
              </w:rPr>
            </w:pPr>
          </w:p>
        </w:tc>
        <w:tc>
          <w:tcPr>
            <w:tcW w:w="3316" w:type="pct"/>
          </w:tcPr>
          <w:p w14:paraId="3E82786E">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高可靠性技术支持服务</w:t>
            </w:r>
          </w:p>
        </w:tc>
      </w:tr>
      <w:tr w14:paraId="6D5A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vAlign w:val="center"/>
          </w:tcPr>
          <w:p w14:paraId="3F991636">
            <w:pPr>
              <w:pStyle w:val="40"/>
              <w:spacing w:after="156" w:line="240" w:lineRule="auto"/>
              <w:jc w:val="center"/>
              <w:rPr>
                <w:rFonts w:hint="eastAsia" w:ascii="仿宋" w:hAnsi="仿宋" w:eastAsia="仿宋"/>
                <w:color w:val="auto"/>
                <w:sz w:val="28"/>
                <w:szCs w:val="28"/>
                <w:highlight w:val="none"/>
              </w:rPr>
            </w:pPr>
          </w:p>
        </w:tc>
        <w:tc>
          <w:tcPr>
            <w:tcW w:w="3316" w:type="pct"/>
          </w:tcPr>
          <w:p w14:paraId="6EF5F8E5">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应急处理服务</w:t>
            </w:r>
          </w:p>
        </w:tc>
      </w:tr>
      <w:tr w14:paraId="0EC1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vAlign w:val="center"/>
          </w:tcPr>
          <w:p w14:paraId="3EAA0EF6">
            <w:pPr>
              <w:pStyle w:val="40"/>
              <w:spacing w:after="156" w:line="240" w:lineRule="auto"/>
              <w:jc w:val="center"/>
              <w:rPr>
                <w:rFonts w:hint="eastAsia" w:ascii="仿宋" w:hAnsi="仿宋" w:eastAsia="仿宋"/>
                <w:color w:val="auto"/>
                <w:sz w:val="28"/>
                <w:szCs w:val="28"/>
                <w:highlight w:val="none"/>
              </w:rPr>
            </w:pPr>
          </w:p>
        </w:tc>
        <w:tc>
          <w:tcPr>
            <w:tcW w:w="3316" w:type="pct"/>
          </w:tcPr>
          <w:p w14:paraId="1D0CCA83">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系统技术支持服务</w:t>
            </w:r>
          </w:p>
        </w:tc>
      </w:tr>
      <w:tr w14:paraId="48D9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restart"/>
            <w:vAlign w:val="center"/>
          </w:tcPr>
          <w:p w14:paraId="3A05E86D">
            <w:pPr>
              <w:pStyle w:val="40"/>
              <w:spacing w:after="156" w:line="240" w:lineRule="auto"/>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定制服务</w:t>
            </w:r>
          </w:p>
        </w:tc>
        <w:tc>
          <w:tcPr>
            <w:tcW w:w="3316" w:type="pct"/>
          </w:tcPr>
          <w:p w14:paraId="0FB25E57">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现场备件保障服务</w:t>
            </w:r>
          </w:p>
        </w:tc>
      </w:tr>
      <w:tr w14:paraId="389C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tcPr>
          <w:p w14:paraId="698D7270">
            <w:pPr>
              <w:pStyle w:val="40"/>
              <w:spacing w:after="156" w:line="240" w:lineRule="auto"/>
              <w:rPr>
                <w:rFonts w:hint="eastAsia" w:ascii="仿宋" w:hAnsi="仿宋" w:eastAsia="仿宋"/>
                <w:color w:val="auto"/>
                <w:sz w:val="28"/>
                <w:szCs w:val="28"/>
                <w:highlight w:val="none"/>
              </w:rPr>
            </w:pPr>
          </w:p>
        </w:tc>
        <w:tc>
          <w:tcPr>
            <w:tcW w:w="3316" w:type="pct"/>
          </w:tcPr>
          <w:p w14:paraId="726C1CDC">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重大生产变更支持服务</w:t>
            </w:r>
          </w:p>
        </w:tc>
      </w:tr>
      <w:tr w14:paraId="24EC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tcPr>
          <w:p w14:paraId="55993A09">
            <w:pPr>
              <w:pStyle w:val="40"/>
              <w:spacing w:after="156" w:line="240" w:lineRule="auto"/>
              <w:rPr>
                <w:rFonts w:hint="eastAsia" w:ascii="仿宋" w:hAnsi="仿宋" w:eastAsia="仿宋"/>
                <w:color w:val="auto"/>
                <w:sz w:val="28"/>
                <w:szCs w:val="28"/>
                <w:highlight w:val="none"/>
              </w:rPr>
            </w:pPr>
          </w:p>
        </w:tc>
        <w:tc>
          <w:tcPr>
            <w:tcW w:w="3316" w:type="pct"/>
          </w:tcPr>
          <w:p w14:paraId="72543E70">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重要时段现场保障服务</w:t>
            </w:r>
          </w:p>
        </w:tc>
      </w:tr>
      <w:tr w14:paraId="50CA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tcPr>
          <w:p w14:paraId="166DABAB">
            <w:pPr>
              <w:pStyle w:val="40"/>
              <w:spacing w:after="156" w:line="240" w:lineRule="auto"/>
              <w:rPr>
                <w:rFonts w:hint="eastAsia" w:ascii="仿宋" w:hAnsi="仿宋" w:eastAsia="仿宋"/>
                <w:color w:val="auto"/>
                <w:sz w:val="28"/>
                <w:szCs w:val="28"/>
                <w:highlight w:val="none"/>
              </w:rPr>
            </w:pPr>
          </w:p>
        </w:tc>
        <w:tc>
          <w:tcPr>
            <w:tcW w:w="3316" w:type="pct"/>
          </w:tcPr>
          <w:p w14:paraId="085F72FA">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关键业务系统恢复服务</w:t>
            </w:r>
          </w:p>
        </w:tc>
      </w:tr>
      <w:tr w14:paraId="7620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tcPr>
          <w:p w14:paraId="04E78D76">
            <w:pPr>
              <w:pStyle w:val="40"/>
              <w:spacing w:after="156" w:line="240" w:lineRule="auto"/>
              <w:rPr>
                <w:rFonts w:hint="eastAsia" w:ascii="仿宋" w:hAnsi="仿宋" w:eastAsia="仿宋"/>
                <w:color w:val="auto"/>
                <w:sz w:val="28"/>
                <w:szCs w:val="28"/>
                <w:highlight w:val="none"/>
              </w:rPr>
            </w:pPr>
          </w:p>
        </w:tc>
        <w:tc>
          <w:tcPr>
            <w:tcW w:w="3316" w:type="pct"/>
          </w:tcPr>
          <w:p w14:paraId="422A919A">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系统高级技术支持服务</w:t>
            </w:r>
          </w:p>
        </w:tc>
      </w:tr>
      <w:tr w14:paraId="42F3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Merge w:val="continue"/>
          </w:tcPr>
          <w:p w14:paraId="5CDEB72E">
            <w:pPr>
              <w:pStyle w:val="40"/>
              <w:spacing w:after="156" w:line="240" w:lineRule="auto"/>
              <w:rPr>
                <w:rFonts w:hint="eastAsia" w:ascii="仿宋" w:hAnsi="仿宋" w:eastAsia="仿宋"/>
                <w:color w:val="auto"/>
                <w:sz w:val="28"/>
                <w:szCs w:val="28"/>
                <w:highlight w:val="none"/>
              </w:rPr>
            </w:pPr>
          </w:p>
        </w:tc>
        <w:tc>
          <w:tcPr>
            <w:tcW w:w="3316" w:type="pct"/>
          </w:tcPr>
          <w:p w14:paraId="67264A08">
            <w:pPr>
              <w:pStyle w:val="40"/>
              <w:spacing w:after="156" w:line="24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技术培训服务</w:t>
            </w:r>
          </w:p>
        </w:tc>
      </w:tr>
    </w:tbl>
    <w:p w14:paraId="646828DE">
      <w:pPr>
        <w:pStyle w:val="37"/>
        <w:rPr>
          <w:rFonts w:hint="eastAsia"/>
          <w:color w:val="auto"/>
          <w:highlight w:val="none"/>
        </w:rPr>
      </w:pPr>
      <w:r>
        <w:rPr>
          <w:rFonts w:hint="eastAsia"/>
          <w:color w:val="auto"/>
          <w:highlight w:val="none"/>
        </w:rPr>
        <w:t>3、服务内容</w:t>
      </w:r>
    </w:p>
    <w:tbl>
      <w:tblPr>
        <w:tblStyle w:val="15"/>
        <w:tblW w:w="921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363"/>
      </w:tblGrid>
      <w:tr w14:paraId="6550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45EEE73F">
            <w:pPr>
              <w:spacing w:after="120"/>
              <w:jc w:val="center"/>
              <w:textAlignment w:val="center"/>
              <w:rPr>
                <w:rFonts w:hint="eastAsia" w:ascii="仿宋" w:hAnsi="仿宋" w:eastAsia="仿宋" w:cs="宋体"/>
                <w:b/>
                <w:bCs/>
                <w:color w:val="auto"/>
                <w:sz w:val="24"/>
                <w:highlight w:val="none"/>
                <w:lang w:bidi="ar"/>
              </w:rPr>
            </w:pPr>
            <w:r>
              <w:rPr>
                <w:rFonts w:ascii="仿宋" w:hAnsi="仿宋" w:eastAsia="仿宋" w:cs="宋体"/>
                <w:b/>
                <w:bCs/>
                <w:color w:val="auto"/>
                <w:sz w:val="24"/>
                <w:highlight w:val="none"/>
                <w:lang w:bidi="ar"/>
              </w:rPr>
              <w:t>项目</w:t>
            </w:r>
          </w:p>
        </w:tc>
        <w:tc>
          <w:tcPr>
            <w:tcW w:w="8363" w:type="dxa"/>
            <w:vAlign w:val="center"/>
          </w:tcPr>
          <w:p w14:paraId="792A42C3">
            <w:pPr>
              <w:spacing w:after="120"/>
              <w:jc w:val="center"/>
              <w:textAlignment w:val="center"/>
              <w:rPr>
                <w:rFonts w:hint="eastAsia" w:ascii="仿宋" w:hAnsi="仿宋" w:eastAsia="仿宋" w:cs="宋体"/>
                <w:b/>
                <w:bCs/>
                <w:color w:val="auto"/>
                <w:sz w:val="24"/>
                <w:highlight w:val="none"/>
                <w:lang w:bidi="ar"/>
              </w:rPr>
            </w:pPr>
            <w:r>
              <w:rPr>
                <w:rFonts w:ascii="仿宋" w:hAnsi="仿宋" w:eastAsia="仿宋" w:cs="宋体"/>
                <w:b/>
                <w:bCs/>
                <w:color w:val="auto"/>
                <w:sz w:val="24"/>
                <w:highlight w:val="none"/>
                <w:lang w:bidi="ar"/>
              </w:rPr>
              <w:t>服务内容</w:t>
            </w:r>
          </w:p>
        </w:tc>
      </w:tr>
      <w:tr w14:paraId="0505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4D4506E3">
            <w:pPr>
              <w:spacing w:after="120"/>
              <w:jc w:val="left"/>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技术服务</w:t>
            </w:r>
          </w:p>
        </w:tc>
        <w:tc>
          <w:tcPr>
            <w:tcW w:w="8363" w:type="dxa"/>
            <w:vAlign w:val="center"/>
          </w:tcPr>
          <w:p w14:paraId="6C261B83">
            <w:pPr>
              <w:pStyle w:val="30"/>
              <w:widowControl/>
              <w:numPr>
                <w:ilvl w:val="0"/>
                <w:numId w:val="1"/>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提供技术响应和技术咨询服务，7×24小时技术服务热线电话。</w:t>
            </w:r>
          </w:p>
          <w:p w14:paraId="0CFA63C2">
            <w:pPr>
              <w:pStyle w:val="30"/>
              <w:widowControl/>
              <w:numPr>
                <w:ilvl w:val="0"/>
                <w:numId w:val="1"/>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提供 7×2</w:t>
            </w:r>
            <w:r>
              <w:rPr>
                <w:rFonts w:ascii="仿宋" w:hAnsi="仿宋" w:eastAsia="仿宋" w:cs="宋体"/>
                <w:color w:val="auto"/>
                <w:sz w:val="24"/>
                <w:highlight w:val="none"/>
                <w:lang w:bidi="ar"/>
              </w:rPr>
              <w:t>4</w:t>
            </w:r>
            <w:r>
              <w:rPr>
                <w:rFonts w:hint="eastAsia" w:ascii="仿宋" w:hAnsi="仿宋" w:eastAsia="仿宋" w:cs="宋体"/>
                <w:color w:val="auto"/>
                <w:sz w:val="24"/>
                <w:highlight w:val="none"/>
                <w:lang w:bidi="ar"/>
              </w:rPr>
              <w:t>小时故障应急响应和维护服务，免费提供所需的所有配件和消耗品</w:t>
            </w:r>
            <w:r>
              <w:rPr>
                <w:rFonts w:ascii="仿宋" w:hAnsi="仿宋" w:eastAsia="仿宋" w:cs="宋体"/>
                <w:color w:val="auto"/>
                <w:sz w:val="24"/>
                <w:highlight w:val="none"/>
                <w:lang w:bidi="ar"/>
              </w:rPr>
              <w:t>。</w:t>
            </w:r>
          </w:p>
          <w:p w14:paraId="7CD1C3FE">
            <w:pPr>
              <w:pStyle w:val="30"/>
              <w:widowControl/>
              <w:numPr>
                <w:ilvl w:val="0"/>
                <w:numId w:val="1"/>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根据需要在</w:t>
            </w:r>
            <w:r>
              <w:rPr>
                <w:rFonts w:hint="eastAsia" w:ascii="仿宋" w:hAnsi="仿宋" w:eastAsia="仿宋" w:cs="宋体"/>
                <w:color w:val="auto"/>
                <w:sz w:val="24"/>
                <w:highlight w:val="none"/>
                <w:lang w:bidi="ar"/>
              </w:rPr>
              <w:t>重大安全保障期、</w:t>
            </w:r>
            <w:r>
              <w:rPr>
                <w:rFonts w:ascii="仿宋" w:hAnsi="仿宋" w:eastAsia="仿宋" w:cs="宋体"/>
                <w:color w:val="auto"/>
                <w:sz w:val="24"/>
                <w:highlight w:val="none"/>
                <w:lang w:bidi="ar"/>
              </w:rPr>
              <w:t>应急演练、新系统上线</w:t>
            </w:r>
            <w:r>
              <w:rPr>
                <w:rFonts w:hint="eastAsia" w:ascii="仿宋" w:hAnsi="仿宋" w:eastAsia="仿宋" w:cs="宋体"/>
                <w:color w:val="auto"/>
                <w:sz w:val="24"/>
                <w:highlight w:val="none"/>
                <w:lang w:bidi="ar"/>
              </w:rPr>
              <w:t>等重要时段</w:t>
            </w:r>
            <w:r>
              <w:rPr>
                <w:rFonts w:ascii="仿宋" w:hAnsi="仿宋" w:eastAsia="仿宋" w:cs="宋体"/>
                <w:color w:val="auto"/>
                <w:sz w:val="24"/>
                <w:highlight w:val="none"/>
                <w:lang w:bidi="ar"/>
              </w:rPr>
              <w:t>提供现场保障和技术支持服务。</w:t>
            </w:r>
          </w:p>
          <w:p w14:paraId="1658E229">
            <w:pPr>
              <w:pStyle w:val="30"/>
              <w:widowControl/>
              <w:numPr>
                <w:ilvl w:val="0"/>
                <w:numId w:val="1"/>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根据需要为相关的技术人员提供技能培训或集中的高级技能培训、技术交流会。</w:t>
            </w:r>
          </w:p>
          <w:p w14:paraId="6AE8EE2C">
            <w:pPr>
              <w:pStyle w:val="30"/>
              <w:widowControl/>
              <w:numPr>
                <w:ilvl w:val="0"/>
                <w:numId w:val="1"/>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包括但不限于提供相关系统技术文档、技术服务网站等。</w:t>
            </w:r>
          </w:p>
        </w:tc>
      </w:tr>
      <w:tr w14:paraId="1CEC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5224D2BC">
            <w:pPr>
              <w:spacing w:after="120"/>
              <w:jc w:val="left"/>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故障</w:t>
            </w:r>
            <w:r>
              <w:rPr>
                <w:rFonts w:ascii="仿宋" w:hAnsi="仿宋" w:eastAsia="仿宋" w:cs="宋体"/>
                <w:color w:val="auto"/>
                <w:sz w:val="24"/>
                <w:highlight w:val="none"/>
                <w:lang w:bidi="ar"/>
              </w:rPr>
              <w:t>响应处理</w:t>
            </w:r>
          </w:p>
        </w:tc>
        <w:tc>
          <w:tcPr>
            <w:tcW w:w="8363" w:type="dxa"/>
            <w:vAlign w:val="center"/>
          </w:tcPr>
          <w:p w14:paraId="69B563D7">
            <w:pPr>
              <w:pStyle w:val="30"/>
              <w:widowControl/>
              <w:numPr>
                <w:ilvl w:val="0"/>
                <w:numId w:val="2"/>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当主要设备（如UPS、配电、空调）发生任何影响业务正常运作的紧急故障，服务商应在15分钟时间内响应，2小时内到达故障现场进行处理</w:t>
            </w:r>
            <w:r>
              <w:rPr>
                <w:rFonts w:ascii="仿宋" w:hAnsi="仿宋" w:eastAsia="仿宋" w:cs="宋体"/>
                <w:color w:val="auto"/>
                <w:sz w:val="24"/>
                <w:highlight w:val="none"/>
                <w:lang w:bidi="ar"/>
              </w:rPr>
              <w:t>。</w:t>
            </w:r>
          </w:p>
          <w:p w14:paraId="6EC41E5F">
            <w:pPr>
              <w:pStyle w:val="30"/>
              <w:widowControl/>
              <w:numPr>
                <w:ilvl w:val="0"/>
                <w:numId w:val="2"/>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除上面列出的以外其余系统，任何影响业务正常运作的严重故障，服务商应在15分钟时间内响应，2小时内到达故障现场进行处理。到达故障现场后，立即进行设备维护或通过更换设备零配件来保障设备恢复正常运行。当有设备发生暂时不影响机房业务正常运作的一般故障，服务商应在15分钟时间内响应，2小时内到达故障现场进行处理。到达故障现场后，立即进行设备维护或通过更换设备零配件来保障设备恢复正常运行。</w:t>
            </w:r>
          </w:p>
          <w:p w14:paraId="0DB61265">
            <w:pPr>
              <w:pStyle w:val="30"/>
              <w:widowControl/>
              <w:numPr>
                <w:ilvl w:val="0"/>
                <w:numId w:val="2"/>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设备故障排除和维修期间，根据设备稳定运行的要求，服务商提供现场技术支持和保障。</w:t>
            </w:r>
          </w:p>
        </w:tc>
      </w:tr>
      <w:tr w14:paraId="03F0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366B1E2D">
            <w:pPr>
              <w:spacing w:after="156"/>
              <w:jc w:val="left"/>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维保服务安排</w:t>
            </w:r>
          </w:p>
        </w:tc>
        <w:tc>
          <w:tcPr>
            <w:tcW w:w="8363" w:type="dxa"/>
            <w:vAlign w:val="center"/>
          </w:tcPr>
          <w:p w14:paraId="46718441">
            <w:pPr>
              <w:pStyle w:val="30"/>
              <w:widowControl/>
              <w:numPr>
                <w:ilvl w:val="0"/>
                <w:numId w:val="3"/>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现场保障服务期间，根据项目服务要求，服务商对所委托的服务范围内的机房维护设备进行巡检维护工作，每月定期巡查设备，每半年UPS电池放电测试，每年4次季度巡检维护保养，做好记录，并将巡检情况告知机房管理人员。巡检发现异常情况时，服务商须采取措施及时处理，并及时通知机房管理人员。</w:t>
            </w:r>
          </w:p>
          <w:p w14:paraId="693191B4">
            <w:pPr>
              <w:pStyle w:val="30"/>
              <w:widowControl/>
              <w:numPr>
                <w:ilvl w:val="0"/>
                <w:numId w:val="3"/>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服务商指派专门的服务人员，对所委托的服务范围内的机房环境设备按照维修保养项目和维修保养计划定期进行检修；按照计划进行季度和年度的保养。每次维护结束后5个工作日内，提交相关维护报告。</w:t>
            </w:r>
          </w:p>
          <w:p w14:paraId="4A1432DD">
            <w:pPr>
              <w:pStyle w:val="30"/>
              <w:widowControl/>
              <w:numPr>
                <w:ilvl w:val="0"/>
                <w:numId w:val="3"/>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每年服务商都要安排UPS和空调的品牌厂家或厂家授权的技术服务单位，在现场对机房管理人员进行一次全面的维护技术培训，同时做好该次培训记录文档。</w:t>
            </w:r>
          </w:p>
        </w:tc>
      </w:tr>
      <w:tr w14:paraId="0F11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2F260E1E">
            <w:pPr>
              <w:spacing w:after="156"/>
              <w:jc w:val="left"/>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技术培训要求</w:t>
            </w:r>
          </w:p>
        </w:tc>
        <w:tc>
          <w:tcPr>
            <w:tcW w:w="8363" w:type="dxa"/>
            <w:vAlign w:val="center"/>
          </w:tcPr>
          <w:p w14:paraId="61F8563C">
            <w:pPr>
              <w:pStyle w:val="30"/>
              <w:widowControl/>
              <w:numPr>
                <w:ilvl w:val="0"/>
                <w:numId w:val="4"/>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服务商需提供详细的培训教材和技术资料，负责对机房管理人员进行运维技术培训，以便机房管理人员在培训后能熟练地掌握设备软件及硬件维护工作，并能及时排除大部分的设备现场能应急处理的能力。其中，每年服务商都要安排UPS和空调的品牌厂家或厂家授权的服务单位，在现场对机房管理人员进行一次全面的使用培训，一年不少于一次。</w:t>
            </w:r>
          </w:p>
        </w:tc>
      </w:tr>
      <w:tr w14:paraId="4017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1FB6C606">
            <w:pPr>
              <w:spacing w:after="156"/>
              <w:jc w:val="left"/>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维护保障需求</w:t>
            </w:r>
          </w:p>
        </w:tc>
        <w:tc>
          <w:tcPr>
            <w:tcW w:w="8363" w:type="dxa"/>
            <w:vAlign w:val="center"/>
          </w:tcPr>
          <w:p w14:paraId="41D79AFD">
            <w:pPr>
              <w:pStyle w:val="30"/>
              <w:widowControl/>
              <w:numPr>
                <w:ilvl w:val="0"/>
                <w:numId w:val="5"/>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rPr>
              <w:t>★</w:t>
            </w:r>
            <w:r>
              <w:rPr>
                <w:rFonts w:hint="eastAsia" w:ascii="仿宋" w:hAnsi="仿宋" w:eastAsia="仿宋" w:cs="宋体"/>
                <w:color w:val="auto"/>
                <w:sz w:val="24"/>
                <w:highlight w:val="none"/>
                <w:lang w:bidi="ar"/>
              </w:rPr>
              <w:t xml:space="preserve">服务期内服务商提供7*24小时故障响应，上门服务2小时内到达现场做故障排查，软硬件出问题做报修处理，修复时间视故障严重性分为一般故障8小时完成，严重故障24小时完成，重大故障48小时完成。 </w:t>
            </w:r>
          </w:p>
          <w:p w14:paraId="0761A857">
            <w:pPr>
              <w:pStyle w:val="30"/>
              <w:widowControl/>
              <w:numPr>
                <w:ilvl w:val="0"/>
                <w:numId w:val="5"/>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服务商</w:t>
            </w:r>
            <w:r>
              <w:rPr>
                <w:rFonts w:hint="eastAsia" w:ascii="仿宋" w:hAnsi="仿宋" w:eastAsia="仿宋" w:cs="宋体"/>
                <w:color w:val="auto"/>
                <w:sz w:val="24"/>
                <w:highlight w:val="none"/>
                <w:lang w:val="en-US" w:eastAsia="zh-CN" w:bidi="ar"/>
              </w:rPr>
              <w:t>在本项目中标后</w:t>
            </w:r>
            <w:r>
              <w:rPr>
                <w:rFonts w:hint="eastAsia" w:ascii="仿宋" w:hAnsi="仿宋" w:eastAsia="仿宋" w:cs="宋体"/>
                <w:color w:val="auto"/>
                <w:sz w:val="24"/>
                <w:highlight w:val="none"/>
                <w:lang w:bidi="ar"/>
              </w:rPr>
              <w:t>应在广州市设有本地化服务机构和备件库，配有专职维护维修的人员，备充足备品备件、配有广州本地车牌号的专用服务车辆。维护设备出现故障影响正常运转时，维护商应在接到用户维修请求12小时内，带足维修配件赶到现场进行维修，且必须在24小时内设备系统恢复正常工作或提供解决处理方法。</w:t>
            </w:r>
          </w:p>
          <w:p w14:paraId="03BEF633">
            <w:pPr>
              <w:pStyle w:val="30"/>
              <w:widowControl/>
              <w:numPr>
                <w:ilvl w:val="0"/>
                <w:numId w:val="5"/>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服务商应提供完整的售后服务计划及措施（应包含公司简介、维修人员情况、应急维修时间安排、技术保障、定期巡检保养、主要零配件价格及其它服务承诺等内容）。</w:t>
            </w:r>
          </w:p>
          <w:p w14:paraId="4FF7B40E">
            <w:pPr>
              <w:pStyle w:val="30"/>
              <w:widowControl/>
              <w:numPr>
                <w:ilvl w:val="0"/>
                <w:numId w:val="5"/>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rPr>
              <w:t>★</w:t>
            </w:r>
            <w:r>
              <w:rPr>
                <w:rFonts w:hint="eastAsia" w:ascii="仿宋" w:hAnsi="仿宋" w:eastAsia="仿宋" w:cs="宋体"/>
                <w:color w:val="auto"/>
                <w:sz w:val="24"/>
                <w:highlight w:val="none"/>
                <w:lang w:bidi="ar"/>
              </w:rPr>
              <w:t>非UPS和空调的设备品牌原厂家服务商的提供维护服务时，服务商需提供本项目的原厂家维护服务保证书或项目支持授权书。</w:t>
            </w:r>
          </w:p>
          <w:p w14:paraId="6CC35965">
            <w:pPr>
              <w:pStyle w:val="30"/>
              <w:widowControl/>
              <w:numPr>
                <w:ilvl w:val="0"/>
                <w:numId w:val="5"/>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rPr>
              <w:t>★</w:t>
            </w:r>
            <w:r>
              <w:rPr>
                <w:rFonts w:hint="eastAsia" w:ascii="仿宋" w:hAnsi="仿宋" w:eastAsia="仿宋" w:cs="宋体"/>
                <w:color w:val="auto"/>
                <w:sz w:val="24"/>
                <w:highlight w:val="none"/>
                <w:lang w:bidi="ar"/>
              </w:rPr>
              <w:t xml:space="preserve">服务商的UPS和空调服务人员需经原厂家技术培训，并能提供有原厂家的服务技术认证的证书或服务授证书，人员数量不少于3名。需提供7*24小时应急响应，2小时间到场的服务，一年提供4次维护保养服务。 </w:t>
            </w:r>
          </w:p>
          <w:p w14:paraId="25476C6D">
            <w:pPr>
              <w:pStyle w:val="30"/>
              <w:widowControl/>
              <w:numPr>
                <w:ilvl w:val="0"/>
                <w:numId w:val="5"/>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服务商</w:t>
            </w:r>
            <w:r>
              <w:rPr>
                <w:rFonts w:hint="eastAsia" w:ascii="仿宋" w:hAnsi="仿宋" w:eastAsia="仿宋" w:cs="宋体"/>
                <w:color w:val="auto"/>
                <w:sz w:val="24"/>
                <w:highlight w:val="none"/>
                <w:lang w:val="en-US" w:eastAsia="zh-CN" w:bidi="ar"/>
              </w:rPr>
              <w:t>在本项目中标后设立</w:t>
            </w:r>
            <w:r>
              <w:rPr>
                <w:rFonts w:hint="eastAsia" w:ascii="仿宋" w:hAnsi="仿宋" w:eastAsia="仿宋" w:cs="宋体"/>
                <w:color w:val="auto"/>
                <w:sz w:val="24"/>
                <w:highlight w:val="none"/>
                <w:lang w:bidi="ar"/>
              </w:rPr>
              <w:t>广州自有备件库（不小于15㎡，需提供地址及图片），按设备的维护保养服务要求，为项目提供设备维修维护和应急时所需的设备配件和消耗品（不含UPS电容电池），重要设备备件响应到位时间为4小时内。</w:t>
            </w:r>
          </w:p>
        </w:tc>
      </w:tr>
      <w:tr w14:paraId="3220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627646D3">
            <w:pPr>
              <w:spacing w:after="156"/>
              <w:jc w:val="left"/>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UPS 维护要求</w:t>
            </w:r>
          </w:p>
        </w:tc>
        <w:tc>
          <w:tcPr>
            <w:tcW w:w="8363" w:type="dxa"/>
            <w:vAlign w:val="center"/>
          </w:tcPr>
          <w:p w14:paraId="6E87FBB2">
            <w:pPr>
              <w:pStyle w:val="30"/>
              <w:widowControl/>
              <w:numPr>
                <w:ilvl w:val="0"/>
                <w:numId w:val="6"/>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设备品牌原厂家提供 7×24小时故障应急响应和维护服务，免费提供所需的所有配件和消耗品（不含UPS电容电池）。</w:t>
            </w:r>
          </w:p>
          <w:p w14:paraId="71CFBCD8">
            <w:pPr>
              <w:pStyle w:val="30"/>
              <w:widowControl/>
              <w:numPr>
                <w:ilvl w:val="0"/>
                <w:numId w:val="6"/>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设备品牌原厂家应建有备件库，为项目提供设备维护和应急时所需的设备、配件和消耗品，并确保备件随时可用。</w:t>
            </w:r>
          </w:p>
          <w:p w14:paraId="498C9AF0">
            <w:pPr>
              <w:pStyle w:val="30"/>
              <w:widowControl/>
              <w:numPr>
                <w:ilvl w:val="0"/>
                <w:numId w:val="6"/>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所供备件必须为原厂家或原厂家认可的正品。</w:t>
            </w:r>
          </w:p>
        </w:tc>
      </w:tr>
      <w:tr w14:paraId="31F8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2BDB8CC1">
            <w:pPr>
              <w:spacing w:after="156"/>
              <w:jc w:val="left"/>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空调维护要求</w:t>
            </w:r>
          </w:p>
        </w:tc>
        <w:tc>
          <w:tcPr>
            <w:tcW w:w="8363" w:type="dxa"/>
            <w:vAlign w:val="center"/>
          </w:tcPr>
          <w:p w14:paraId="20B39045">
            <w:pPr>
              <w:pStyle w:val="30"/>
              <w:widowControl/>
              <w:numPr>
                <w:ilvl w:val="0"/>
                <w:numId w:val="7"/>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设备品牌原厂家提供 7×24小时故障应急响应和维护服务，免费提供所需的所有配件和消耗品。</w:t>
            </w:r>
          </w:p>
          <w:p w14:paraId="23B27DD6">
            <w:pPr>
              <w:pStyle w:val="30"/>
              <w:widowControl/>
              <w:numPr>
                <w:ilvl w:val="0"/>
                <w:numId w:val="7"/>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服务商需在建有备件库内应存放部分项目的精密空调备件，以进一步提高服务响应的及时性，备件设备响应到位时间为4小时内。</w:t>
            </w:r>
          </w:p>
          <w:p w14:paraId="11923B42">
            <w:pPr>
              <w:pStyle w:val="30"/>
              <w:widowControl/>
              <w:numPr>
                <w:ilvl w:val="0"/>
                <w:numId w:val="7"/>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所供备件必须为原厂家或原厂家认可的正品。</w:t>
            </w:r>
          </w:p>
        </w:tc>
      </w:tr>
      <w:tr w14:paraId="73D9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155E27D2">
            <w:pPr>
              <w:spacing w:after="156"/>
              <w:jc w:val="left"/>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巡检要求</w:t>
            </w:r>
          </w:p>
        </w:tc>
        <w:tc>
          <w:tcPr>
            <w:tcW w:w="8363" w:type="dxa"/>
            <w:vAlign w:val="center"/>
          </w:tcPr>
          <w:p w14:paraId="582A65F9">
            <w:pPr>
              <w:pStyle w:val="30"/>
              <w:widowControl/>
              <w:numPr>
                <w:ilvl w:val="0"/>
                <w:numId w:val="8"/>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针对维保设备和系统提供</w:t>
            </w:r>
            <w:r>
              <w:rPr>
                <w:rFonts w:hint="eastAsia" w:ascii="仿宋" w:hAnsi="仿宋" w:eastAsia="仿宋" w:cs="宋体"/>
                <w:color w:val="auto"/>
                <w:sz w:val="24"/>
                <w:highlight w:val="none"/>
                <w:lang w:bidi="ar"/>
              </w:rPr>
              <w:t>每月定期巡查服务，</w:t>
            </w:r>
            <w:r>
              <w:rPr>
                <w:rFonts w:ascii="仿宋" w:hAnsi="仿宋" w:eastAsia="仿宋" w:cs="宋体"/>
                <w:color w:val="auto"/>
                <w:sz w:val="24"/>
                <w:highlight w:val="none"/>
                <w:lang w:bidi="ar"/>
              </w:rPr>
              <w:t>每</w:t>
            </w:r>
            <w:r>
              <w:rPr>
                <w:rFonts w:hint="eastAsia" w:ascii="仿宋" w:hAnsi="仿宋" w:eastAsia="仿宋" w:cs="宋体"/>
                <w:color w:val="auto"/>
                <w:sz w:val="24"/>
                <w:highlight w:val="none"/>
                <w:lang w:bidi="ar"/>
              </w:rPr>
              <w:t>年4</w:t>
            </w:r>
            <w:r>
              <w:rPr>
                <w:rFonts w:ascii="仿宋" w:hAnsi="仿宋" w:eastAsia="仿宋" w:cs="宋体"/>
                <w:color w:val="auto"/>
                <w:sz w:val="24"/>
                <w:highlight w:val="none"/>
                <w:lang w:bidi="ar"/>
              </w:rPr>
              <w:t>次</w:t>
            </w:r>
            <w:r>
              <w:rPr>
                <w:rFonts w:hint="eastAsia" w:ascii="仿宋" w:hAnsi="仿宋" w:eastAsia="仿宋" w:cs="宋体"/>
                <w:color w:val="auto"/>
                <w:sz w:val="24"/>
                <w:highlight w:val="none"/>
                <w:lang w:bidi="ar"/>
              </w:rPr>
              <w:t>季度</w:t>
            </w:r>
            <w:r>
              <w:rPr>
                <w:rFonts w:ascii="仿宋" w:hAnsi="仿宋" w:eastAsia="仿宋" w:cs="宋体"/>
                <w:color w:val="auto"/>
                <w:sz w:val="24"/>
                <w:highlight w:val="none"/>
                <w:lang w:bidi="ar"/>
              </w:rPr>
              <w:t>巡检服务，根据巡检结果对</w:t>
            </w:r>
            <w:r>
              <w:rPr>
                <w:rFonts w:hint="eastAsia" w:ascii="仿宋" w:hAnsi="仿宋" w:eastAsia="仿宋" w:cs="宋体"/>
                <w:color w:val="auto"/>
                <w:sz w:val="24"/>
                <w:highlight w:val="none"/>
                <w:lang w:bidi="ar"/>
              </w:rPr>
              <w:t>故障处理和</w:t>
            </w:r>
            <w:r>
              <w:rPr>
                <w:rFonts w:ascii="仿宋" w:hAnsi="仿宋" w:eastAsia="仿宋" w:cs="宋体"/>
                <w:color w:val="auto"/>
                <w:sz w:val="24"/>
                <w:highlight w:val="none"/>
                <w:lang w:bidi="ar"/>
              </w:rPr>
              <w:t>系统优化</w:t>
            </w:r>
            <w:r>
              <w:rPr>
                <w:rFonts w:hint="eastAsia" w:ascii="仿宋" w:hAnsi="仿宋" w:eastAsia="仿宋" w:cs="宋体"/>
                <w:color w:val="auto"/>
                <w:sz w:val="24"/>
                <w:highlight w:val="none"/>
                <w:lang w:bidi="ar"/>
              </w:rPr>
              <w:t>；</w:t>
            </w:r>
          </w:p>
          <w:p w14:paraId="6D96F49F">
            <w:pPr>
              <w:pStyle w:val="30"/>
              <w:widowControl/>
              <w:numPr>
                <w:ilvl w:val="0"/>
                <w:numId w:val="8"/>
              </w:numPr>
              <w:spacing w:after="0" w:line="240" w:lineRule="auto"/>
              <w:contextualSpacing w:val="0"/>
              <w:textAlignment w:val="center"/>
              <w:rPr>
                <w:rFonts w:hint="eastAsia" w:ascii="仿宋" w:hAnsi="仿宋" w:eastAsia="仿宋" w:cs="宋体"/>
                <w:color w:val="auto"/>
                <w:sz w:val="24"/>
                <w:highlight w:val="none"/>
                <w:lang w:bidi="ar"/>
              </w:rPr>
            </w:pPr>
            <w:r>
              <w:rPr>
                <w:rFonts w:hint="eastAsia" w:ascii="仿宋" w:hAnsi="仿宋" w:eastAsia="仿宋" w:cs="宋体"/>
                <w:color w:val="auto"/>
                <w:sz w:val="24"/>
                <w:highlight w:val="none"/>
                <w:lang w:bidi="ar"/>
              </w:rPr>
              <w:t>月度巡查、季度巡检，</w:t>
            </w:r>
            <w:r>
              <w:rPr>
                <w:rFonts w:ascii="仿宋" w:hAnsi="仿宋" w:eastAsia="仿宋" w:cs="宋体"/>
                <w:color w:val="auto"/>
                <w:sz w:val="24"/>
                <w:highlight w:val="none"/>
                <w:lang w:bidi="ar"/>
              </w:rPr>
              <w:t>完成后5个工作日内提供书面报告；</w:t>
            </w:r>
          </w:p>
          <w:p w14:paraId="53335891">
            <w:pPr>
              <w:pStyle w:val="30"/>
              <w:widowControl/>
              <w:numPr>
                <w:ilvl w:val="0"/>
                <w:numId w:val="8"/>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年度服务完成后，提供详细的</w:t>
            </w:r>
            <w:r>
              <w:rPr>
                <w:rFonts w:hint="eastAsia" w:ascii="仿宋" w:hAnsi="仿宋" w:eastAsia="仿宋" w:cs="宋体"/>
                <w:color w:val="auto"/>
                <w:sz w:val="24"/>
                <w:highlight w:val="none"/>
                <w:lang w:bidi="ar"/>
              </w:rPr>
              <w:t>年度总结</w:t>
            </w:r>
            <w:r>
              <w:rPr>
                <w:rFonts w:ascii="仿宋" w:hAnsi="仿宋" w:eastAsia="仿宋" w:cs="宋体"/>
                <w:color w:val="auto"/>
                <w:sz w:val="24"/>
                <w:highlight w:val="none"/>
                <w:lang w:bidi="ar"/>
              </w:rPr>
              <w:t>报告。</w:t>
            </w:r>
          </w:p>
        </w:tc>
      </w:tr>
      <w:tr w14:paraId="468D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7FD8C89E">
            <w:pPr>
              <w:spacing w:after="156"/>
              <w:jc w:val="left"/>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备件要求</w:t>
            </w:r>
          </w:p>
        </w:tc>
        <w:tc>
          <w:tcPr>
            <w:tcW w:w="8363" w:type="dxa"/>
            <w:vAlign w:val="center"/>
          </w:tcPr>
          <w:p w14:paraId="3A95469E">
            <w:pPr>
              <w:pStyle w:val="30"/>
              <w:widowControl/>
              <w:numPr>
                <w:ilvl w:val="0"/>
                <w:numId w:val="9"/>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服务商</w:t>
            </w:r>
            <w:r>
              <w:rPr>
                <w:rFonts w:hint="eastAsia" w:ascii="仿宋" w:hAnsi="仿宋" w:eastAsia="仿宋" w:cs="宋体"/>
                <w:color w:val="auto"/>
                <w:sz w:val="24"/>
                <w:highlight w:val="none"/>
                <w:lang w:bidi="ar"/>
              </w:rPr>
              <w:t>需根据我司提</w:t>
            </w:r>
            <w:r>
              <w:rPr>
                <w:rFonts w:ascii="仿宋" w:hAnsi="仿宋" w:eastAsia="仿宋" w:cs="宋体"/>
                <w:color w:val="auto"/>
                <w:sz w:val="24"/>
                <w:highlight w:val="none"/>
                <w:lang w:bidi="ar"/>
              </w:rPr>
              <w:t>出的重要生产设备的关键部件清单预存备件</w:t>
            </w:r>
            <w:r>
              <w:rPr>
                <w:rFonts w:hint="eastAsia" w:ascii="仿宋" w:hAnsi="仿宋" w:eastAsia="仿宋" w:cs="宋体"/>
                <w:color w:val="auto"/>
                <w:sz w:val="24"/>
                <w:highlight w:val="none"/>
                <w:lang w:bidi="ar"/>
              </w:rPr>
              <w:t>。</w:t>
            </w:r>
          </w:p>
          <w:p w14:paraId="0BC2E090">
            <w:pPr>
              <w:pStyle w:val="30"/>
              <w:widowControl/>
              <w:numPr>
                <w:ilvl w:val="0"/>
                <w:numId w:val="9"/>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服务商所供备件必须通过正当渠道采购，为原厂或原厂家认可正品。</w:t>
            </w:r>
          </w:p>
          <w:p w14:paraId="4E2D9A87">
            <w:pPr>
              <w:pStyle w:val="30"/>
              <w:widowControl/>
              <w:numPr>
                <w:ilvl w:val="0"/>
                <w:numId w:val="9"/>
              </w:numPr>
              <w:spacing w:after="0" w:line="240" w:lineRule="auto"/>
              <w:contextualSpacing w:val="0"/>
              <w:textAlignment w:val="center"/>
              <w:rPr>
                <w:rFonts w:hint="eastAsia" w:ascii="仿宋" w:hAnsi="仿宋" w:eastAsia="仿宋" w:cs="宋体"/>
                <w:color w:val="auto"/>
                <w:sz w:val="24"/>
                <w:highlight w:val="none"/>
                <w:lang w:bidi="ar"/>
              </w:rPr>
            </w:pPr>
            <w:r>
              <w:rPr>
                <w:rFonts w:ascii="仿宋" w:hAnsi="仿宋" w:eastAsia="仿宋" w:cs="宋体"/>
                <w:color w:val="auto"/>
                <w:sz w:val="24"/>
                <w:highlight w:val="none"/>
                <w:lang w:bidi="ar"/>
              </w:rPr>
              <w:t>如故障设备在8小时内不能修复，且严重影响业务运行，服务商在故障确认后12小时内向</w:t>
            </w:r>
            <w:r>
              <w:rPr>
                <w:rFonts w:hint="eastAsia" w:ascii="仿宋" w:hAnsi="仿宋" w:eastAsia="仿宋" w:cs="宋体"/>
                <w:color w:val="auto"/>
                <w:sz w:val="24"/>
                <w:highlight w:val="none"/>
                <w:lang w:bidi="ar"/>
              </w:rPr>
              <w:t>我司</w:t>
            </w:r>
            <w:r>
              <w:rPr>
                <w:rFonts w:ascii="仿宋" w:hAnsi="仿宋" w:eastAsia="仿宋" w:cs="宋体"/>
                <w:color w:val="auto"/>
                <w:sz w:val="24"/>
                <w:highlight w:val="none"/>
                <w:lang w:bidi="ar"/>
              </w:rPr>
              <w:t>免费提供应急设备。</w:t>
            </w:r>
          </w:p>
        </w:tc>
      </w:tr>
    </w:tbl>
    <w:p w14:paraId="6397AABE">
      <w:pPr>
        <w:pStyle w:val="37"/>
        <w:ind w:firstLine="582"/>
        <w:rPr>
          <w:rStyle w:val="34"/>
          <w:rFonts w:hint="eastAsia"/>
          <w:color w:val="auto"/>
          <w:highlight w:val="none"/>
        </w:rPr>
      </w:pPr>
    </w:p>
    <w:p w14:paraId="206580BF">
      <w:pPr>
        <w:widowControl/>
        <w:spacing w:after="160" w:line="278" w:lineRule="auto"/>
        <w:jc w:val="left"/>
        <w:rPr>
          <w:rStyle w:val="34"/>
          <w:rFonts w:hint="eastAsia" w:ascii="仿宋" w:hAnsi="仿宋" w:eastAsia="仿宋" w:cs="宋体"/>
          <w:color w:val="auto"/>
          <w:sz w:val="28"/>
          <w:szCs w:val="28"/>
          <w:highlight w:val="none"/>
        </w:rPr>
      </w:pPr>
      <w:r>
        <w:rPr>
          <w:rStyle w:val="34"/>
          <w:rFonts w:hint="eastAsia"/>
          <w:color w:val="auto"/>
          <w:highlight w:val="none"/>
        </w:rPr>
        <w:br w:type="page"/>
      </w:r>
    </w:p>
    <w:p w14:paraId="3E28DDD5">
      <w:pPr>
        <w:pStyle w:val="37"/>
        <w:ind w:firstLine="582"/>
        <w:rPr>
          <w:rStyle w:val="34"/>
          <w:rFonts w:hint="eastAsia"/>
          <w:color w:val="auto"/>
          <w:highlight w:val="none"/>
        </w:rPr>
      </w:pPr>
      <w:r>
        <w:rPr>
          <w:rStyle w:val="34"/>
          <w:rFonts w:hint="eastAsia"/>
          <w:color w:val="auto"/>
          <w:highlight w:val="none"/>
        </w:rPr>
        <w:t>附表1</w:t>
      </w:r>
      <w:r>
        <w:rPr>
          <w:rStyle w:val="34"/>
          <w:color w:val="auto"/>
          <w:highlight w:val="none"/>
        </w:rPr>
        <w:t>、</w:t>
      </w:r>
      <w:r>
        <w:rPr>
          <w:rStyle w:val="34"/>
          <w:rFonts w:hint="eastAsia"/>
          <w:color w:val="auto"/>
          <w:highlight w:val="none"/>
        </w:rPr>
        <w:t>项目维保清单</w:t>
      </w:r>
    </w:p>
    <w:tbl>
      <w:tblPr>
        <w:tblStyle w:val="15"/>
        <w:tblW w:w="9654" w:type="dxa"/>
        <w:jc w:val="center"/>
        <w:tblLayout w:type="fixed"/>
        <w:tblCellMar>
          <w:top w:w="15" w:type="dxa"/>
          <w:left w:w="15" w:type="dxa"/>
          <w:bottom w:w="15" w:type="dxa"/>
          <w:right w:w="15" w:type="dxa"/>
        </w:tblCellMar>
      </w:tblPr>
      <w:tblGrid>
        <w:gridCol w:w="602"/>
        <w:gridCol w:w="1560"/>
        <w:gridCol w:w="1681"/>
        <w:gridCol w:w="992"/>
        <w:gridCol w:w="1701"/>
        <w:gridCol w:w="1559"/>
        <w:gridCol w:w="1559"/>
      </w:tblGrid>
      <w:tr w14:paraId="5CE2A235">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40645FF2">
            <w:pPr>
              <w:widowControl/>
              <w:spacing w:after="120"/>
              <w:jc w:val="center"/>
              <w:textAlignment w:val="center"/>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编号</w:t>
            </w:r>
          </w:p>
        </w:tc>
        <w:tc>
          <w:tcPr>
            <w:tcW w:w="1560" w:type="dxa"/>
            <w:tcBorders>
              <w:top w:val="single" w:color="000000" w:sz="4" w:space="0"/>
              <w:left w:val="single" w:color="000000" w:sz="4" w:space="0"/>
              <w:bottom w:val="single" w:color="000000" w:sz="4" w:space="0"/>
              <w:right w:val="single" w:color="000000" w:sz="4" w:space="0"/>
            </w:tcBorders>
            <w:vAlign w:val="center"/>
          </w:tcPr>
          <w:p w14:paraId="65C18EC5">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设备名称</w:t>
            </w:r>
          </w:p>
        </w:tc>
        <w:tc>
          <w:tcPr>
            <w:tcW w:w="1681" w:type="dxa"/>
            <w:tcBorders>
              <w:top w:val="single" w:color="000000" w:sz="4" w:space="0"/>
              <w:left w:val="single" w:color="000000" w:sz="4" w:space="0"/>
              <w:bottom w:val="single" w:color="000000" w:sz="4" w:space="0"/>
              <w:right w:val="single" w:color="000000" w:sz="4" w:space="0"/>
            </w:tcBorders>
            <w:vAlign w:val="center"/>
          </w:tcPr>
          <w:p w14:paraId="4D8EFCD3">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设备品牌</w:t>
            </w:r>
          </w:p>
        </w:tc>
        <w:tc>
          <w:tcPr>
            <w:tcW w:w="992" w:type="dxa"/>
            <w:tcBorders>
              <w:top w:val="single" w:color="000000" w:sz="4" w:space="0"/>
              <w:left w:val="single" w:color="000000" w:sz="4" w:space="0"/>
              <w:bottom w:val="single" w:color="000000" w:sz="4" w:space="0"/>
              <w:right w:val="single" w:color="000000" w:sz="4" w:space="0"/>
            </w:tcBorders>
            <w:vAlign w:val="center"/>
          </w:tcPr>
          <w:p w14:paraId="0185FBA7">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数量</w:t>
            </w:r>
          </w:p>
        </w:tc>
        <w:tc>
          <w:tcPr>
            <w:tcW w:w="1701" w:type="dxa"/>
            <w:tcBorders>
              <w:top w:val="single" w:color="000000" w:sz="4" w:space="0"/>
              <w:left w:val="single" w:color="000000" w:sz="4" w:space="0"/>
              <w:bottom w:val="single" w:color="000000" w:sz="4" w:space="0"/>
              <w:right w:val="single" w:color="000000" w:sz="4" w:space="0"/>
            </w:tcBorders>
            <w:vAlign w:val="center"/>
          </w:tcPr>
          <w:p w14:paraId="0C13F6B6">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olor w:val="auto"/>
                <w:kern w:val="0"/>
                <w:sz w:val="24"/>
                <w:highlight w:val="none"/>
              </w:rPr>
              <w:t>设备</w:t>
            </w:r>
            <w:r>
              <w:rPr>
                <w:rFonts w:hint="eastAsia" w:ascii="仿宋" w:hAnsi="仿宋" w:eastAsia="仿宋"/>
                <w:color w:val="auto"/>
                <w:kern w:val="0"/>
                <w:sz w:val="24"/>
                <w:highlight w:val="none"/>
              </w:rPr>
              <w:t>原</w:t>
            </w:r>
            <w:r>
              <w:rPr>
                <w:rFonts w:ascii="仿宋" w:hAnsi="仿宋" w:eastAsia="仿宋"/>
                <w:color w:val="auto"/>
                <w:kern w:val="0"/>
                <w:sz w:val="24"/>
                <w:highlight w:val="none"/>
              </w:rPr>
              <w:t>维保实际到期</w:t>
            </w:r>
            <w:r>
              <w:rPr>
                <w:rFonts w:hint="eastAsia" w:ascii="仿宋" w:hAnsi="仿宋" w:eastAsia="仿宋"/>
                <w:color w:val="auto"/>
                <w:kern w:val="0"/>
                <w:sz w:val="24"/>
                <w:highlight w:val="none"/>
              </w:rPr>
              <w:t>日期</w:t>
            </w:r>
          </w:p>
        </w:tc>
        <w:tc>
          <w:tcPr>
            <w:tcW w:w="1559" w:type="dxa"/>
            <w:tcBorders>
              <w:top w:val="single" w:color="000000" w:sz="4" w:space="0"/>
              <w:left w:val="single" w:color="000000" w:sz="4" w:space="0"/>
              <w:bottom w:val="single" w:color="000000" w:sz="4" w:space="0"/>
              <w:right w:val="single" w:color="000000" w:sz="4" w:space="0"/>
            </w:tcBorders>
            <w:vAlign w:val="center"/>
          </w:tcPr>
          <w:p w14:paraId="74EC4AB4">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位置</w:t>
            </w:r>
          </w:p>
        </w:tc>
        <w:tc>
          <w:tcPr>
            <w:tcW w:w="1559" w:type="dxa"/>
            <w:tcBorders>
              <w:top w:val="single" w:color="000000" w:sz="4" w:space="0"/>
              <w:left w:val="single" w:color="000000" w:sz="4" w:space="0"/>
              <w:bottom w:val="single" w:color="000000" w:sz="4" w:space="0"/>
              <w:right w:val="single" w:color="000000" w:sz="4" w:space="0"/>
            </w:tcBorders>
            <w:vAlign w:val="center"/>
          </w:tcPr>
          <w:p w14:paraId="27FAD5A3">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维保说明</w:t>
            </w:r>
          </w:p>
        </w:tc>
      </w:tr>
      <w:tr w14:paraId="7FA1CDAA">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7D75BCD7">
            <w:pPr>
              <w:widowControl/>
              <w:spacing w:after="120"/>
              <w:jc w:val="center"/>
              <w:textAlignment w:val="center"/>
              <w:rPr>
                <w:rFonts w:hint="eastAsia" w:ascii="仿宋" w:hAnsi="仿宋" w:eastAsia="仿宋" w:cs="仿宋_GB2312"/>
                <w:color w:val="auto"/>
                <w:sz w:val="28"/>
                <w:szCs w:val="28"/>
                <w:highlight w:val="none"/>
              </w:rPr>
            </w:pPr>
            <w:r>
              <w:rPr>
                <w:rFonts w:hint="eastAsia" w:ascii="仿宋" w:hAnsi="仿宋" w:eastAsia="仿宋" w:cs="宋体"/>
                <w:color w:val="auto"/>
                <w:kern w:val="0"/>
                <w:sz w:val="28"/>
                <w:szCs w:val="28"/>
                <w:highlight w:val="none"/>
              </w:rPr>
              <w:t>1</w:t>
            </w:r>
          </w:p>
        </w:tc>
        <w:tc>
          <w:tcPr>
            <w:tcW w:w="1560" w:type="dxa"/>
            <w:tcBorders>
              <w:top w:val="single" w:color="000000" w:sz="4" w:space="0"/>
              <w:left w:val="single" w:color="000000" w:sz="4" w:space="0"/>
              <w:bottom w:val="single" w:color="000000" w:sz="4" w:space="0"/>
              <w:right w:val="single" w:color="000000" w:sz="4" w:space="0"/>
            </w:tcBorders>
            <w:vAlign w:val="center"/>
          </w:tcPr>
          <w:p w14:paraId="28DA9265">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642F0421">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雷诺威/RDA042C</w:t>
            </w:r>
          </w:p>
        </w:tc>
        <w:tc>
          <w:tcPr>
            <w:tcW w:w="992" w:type="dxa"/>
            <w:tcBorders>
              <w:top w:val="single" w:color="000000" w:sz="4" w:space="0"/>
              <w:left w:val="single" w:color="000000" w:sz="4" w:space="0"/>
              <w:bottom w:val="single" w:color="000000" w:sz="4" w:space="0"/>
              <w:right w:val="single" w:color="000000" w:sz="4" w:space="0"/>
            </w:tcBorders>
            <w:vAlign w:val="center"/>
          </w:tcPr>
          <w:p w14:paraId="7ABE6537">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4台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753DD927">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60C095D7">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57414FDE">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lang w:val="en-US" w:eastAsia="zh-CN"/>
              </w:rPr>
              <w:t>/</w:t>
            </w:r>
          </w:p>
        </w:tc>
      </w:tr>
      <w:tr w14:paraId="1BFF42EA">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7D5BE0AD">
            <w:pPr>
              <w:widowControl/>
              <w:spacing w:after="120"/>
              <w:jc w:val="center"/>
              <w:textAlignment w:val="center"/>
              <w:rPr>
                <w:rFonts w:hint="eastAsia" w:ascii="仿宋" w:hAnsi="仿宋" w:eastAsia="仿宋" w:cs="仿宋_GB2312"/>
                <w:color w:val="auto"/>
                <w:sz w:val="28"/>
                <w:szCs w:val="28"/>
                <w:highlight w:val="none"/>
              </w:rPr>
            </w:pPr>
            <w:r>
              <w:rPr>
                <w:rFonts w:hint="eastAsia" w:ascii="仿宋" w:hAnsi="仿宋" w:eastAsia="仿宋" w:cs="宋体"/>
                <w:color w:val="auto"/>
                <w:kern w:val="0"/>
                <w:sz w:val="28"/>
                <w:szCs w:val="28"/>
                <w:highlight w:val="none"/>
              </w:rPr>
              <w:t>2</w:t>
            </w:r>
          </w:p>
        </w:tc>
        <w:tc>
          <w:tcPr>
            <w:tcW w:w="1560" w:type="dxa"/>
            <w:tcBorders>
              <w:top w:val="single" w:color="000000" w:sz="4" w:space="0"/>
              <w:left w:val="single" w:color="000000" w:sz="4" w:space="0"/>
              <w:bottom w:val="single" w:color="000000" w:sz="4" w:space="0"/>
              <w:right w:val="single" w:color="000000" w:sz="4" w:space="0"/>
            </w:tcBorders>
            <w:vAlign w:val="center"/>
          </w:tcPr>
          <w:p w14:paraId="48C738AB">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1DD5E0A6">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雷诺威/RUA013A</w:t>
            </w:r>
          </w:p>
        </w:tc>
        <w:tc>
          <w:tcPr>
            <w:tcW w:w="992" w:type="dxa"/>
            <w:tcBorders>
              <w:top w:val="single" w:color="000000" w:sz="4" w:space="0"/>
              <w:left w:val="single" w:color="000000" w:sz="4" w:space="0"/>
              <w:bottom w:val="single" w:color="000000" w:sz="4" w:space="0"/>
              <w:right w:val="single" w:color="000000" w:sz="4" w:space="0"/>
            </w:tcBorders>
            <w:vAlign w:val="center"/>
          </w:tcPr>
          <w:p w14:paraId="311802B1">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1台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012C1799">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1391ED26">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rPr>
              <w:t>一楼UPS房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604396DB">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包含1台</w:t>
            </w:r>
            <w:r>
              <w:rPr>
                <w:rFonts w:ascii="仿宋" w:hAnsi="仿宋" w:eastAsia="仿宋" w:cs="仿宋_GB2312"/>
                <w:color w:val="auto"/>
                <w:kern w:val="0"/>
                <w:sz w:val="28"/>
                <w:szCs w:val="28"/>
                <w:highlight w:val="none"/>
              </w:rPr>
              <w:t>RCA018</w:t>
            </w:r>
            <w:r>
              <w:rPr>
                <w:rFonts w:hint="eastAsia" w:ascii="仿宋" w:hAnsi="仿宋" w:eastAsia="仿宋" w:cs="仿宋_GB2312"/>
                <w:color w:val="auto"/>
                <w:kern w:val="0"/>
                <w:sz w:val="28"/>
                <w:szCs w:val="28"/>
                <w:highlight w:val="none"/>
              </w:rPr>
              <w:t>空调室外机</w:t>
            </w:r>
          </w:p>
        </w:tc>
      </w:tr>
      <w:tr w14:paraId="14F28D25">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2AB6C3A8">
            <w:pPr>
              <w:widowControl/>
              <w:spacing w:after="120"/>
              <w:jc w:val="center"/>
              <w:textAlignment w:val="center"/>
              <w:rPr>
                <w:rFonts w:hint="eastAsia" w:ascii="仿宋" w:hAnsi="仿宋" w:eastAsia="仿宋" w:cs="仿宋_GB2312"/>
                <w:color w:val="auto"/>
                <w:sz w:val="28"/>
                <w:szCs w:val="28"/>
                <w:highlight w:val="none"/>
              </w:rPr>
            </w:pPr>
            <w:r>
              <w:rPr>
                <w:rFonts w:hint="eastAsia" w:ascii="仿宋" w:hAnsi="仿宋" w:eastAsia="仿宋" w:cs="宋体"/>
                <w:color w:val="auto"/>
                <w:kern w:val="0"/>
                <w:sz w:val="28"/>
                <w:szCs w:val="28"/>
                <w:highlight w:val="none"/>
              </w:rPr>
              <w:t>3</w:t>
            </w:r>
          </w:p>
        </w:tc>
        <w:tc>
          <w:tcPr>
            <w:tcW w:w="1560" w:type="dxa"/>
            <w:tcBorders>
              <w:top w:val="single" w:color="000000" w:sz="4" w:space="0"/>
              <w:left w:val="single" w:color="000000" w:sz="4" w:space="0"/>
              <w:bottom w:val="single" w:color="000000" w:sz="4" w:space="0"/>
              <w:right w:val="single" w:color="000000" w:sz="4" w:space="0"/>
            </w:tcBorders>
            <w:vAlign w:val="center"/>
          </w:tcPr>
          <w:p w14:paraId="407CC3CC">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0D7032B1">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雷诺威/RUA024A</w:t>
            </w:r>
          </w:p>
        </w:tc>
        <w:tc>
          <w:tcPr>
            <w:tcW w:w="992" w:type="dxa"/>
            <w:tcBorders>
              <w:top w:val="single" w:color="000000" w:sz="4" w:space="0"/>
              <w:left w:val="single" w:color="000000" w:sz="4" w:space="0"/>
              <w:bottom w:val="single" w:color="000000" w:sz="4" w:space="0"/>
              <w:right w:val="single" w:color="000000" w:sz="4" w:space="0"/>
            </w:tcBorders>
            <w:vAlign w:val="center"/>
          </w:tcPr>
          <w:p w14:paraId="24557204">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1台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7D03C264">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14456659">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rPr>
              <w:t>一楼UPS房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45742D16">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包含1台</w:t>
            </w:r>
            <w:r>
              <w:rPr>
                <w:rFonts w:ascii="仿宋" w:hAnsi="仿宋" w:eastAsia="仿宋" w:cs="仿宋_GB2312"/>
                <w:color w:val="auto"/>
                <w:kern w:val="0"/>
                <w:sz w:val="28"/>
                <w:szCs w:val="28"/>
                <w:highlight w:val="none"/>
              </w:rPr>
              <w:t>RCA033</w:t>
            </w:r>
            <w:r>
              <w:rPr>
                <w:rFonts w:hint="eastAsia" w:ascii="仿宋" w:hAnsi="仿宋" w:eastAsia="仿宋" w:cs="仿宋_GB2312"/>
                <w:color w:val="auto"/>
                <w:kern w:val="0"/>
                <w:sz w:val="28"/>
                <w:szCs w:val="28"/>
                <w:highlight w:val="none"/>
              </w:rPr>
              <w:t>空调室外机</w:t>
            </w:r>
          </w:p>
        </w:tc>
      </w:tr>
      <w:tr w14:paraId="34331DA9">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381D8A5A">
            <w:pPr>
              <w:widowControl/>
              <w:spacing w:after="120"/>
              <w:jc w:val="center"/>
              <w:textAlignment w:val="center"/>
              <w:rPr>
                <w:rFonts w:hint="eastAsia" w:ascii="仿宋" w:hAnsi="仿宋" w:eastAsia="仿宋" w:cs="仿宋_GB2312"/>
                <w:color w:val="auto"/>
                <w:sz w:val="28"/>
                <w:szCs w:val="28"/>
                <w:highlight w:val="none"/>
              </w:rPr>
            </w:pPr>
            <w:r>
              <w:rPr>
                <w:rFonts w:ascii="仿宋" w:hAnsi="仿宋" w:eastAsia="仿宋" w:cs="宋体"/>
                <w:color w:val="auto"/>
                <w:kern w:val="0"/>
                <w:sz w:val="28"/>
                <w:szCs w:val="28"/>
                <w:highlight w:val="none"/>
              </w:rPr>
              <w:t>4</w:t>
            </w:r>
          </w:p>
        </w:tc>
        <w:tc>
          <w:tcPr>
            <w:tcW w:w="1560" w:type="dxa"/>
            <w:tcBorders>
              <w:top w:val="single" w:color="000000" w:sz="4" w:space="0"/>
              <w:left w:val="single" w:color="000000" w:sz="4" w:space="0"/>
              <w:bottom w:val="single" w:color="000000" w:sz="4" w:space="0"/>
              <w:right w:val="single" w:color="000000" w:sz="4" w:space="0"/>
            </w:tcBorders>
            <w:vAlign w:val="center"/>
          </w:tcPr>
          <w:p w14:paraId="6051643A">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UPS设备</w:t>
            </w:r>
          </w:p>
        </w:tc>
        <w:tc>
          <w:tcPr>
            <w:tcW w:w="1681" w:type="dxa"/>
            <w:tcBorders>
              <w:top w:val="single" w:color="000000" w:sz="4" w:space="0"/>
              <w:left w:val="single" w:color="000000" w:sz="4" w:space="0"/>
              <w:bottom w:val="single" w:color="000000" w:sz="4" w:space="0"/>
              <w:right w:val="single" w:color="000000" w:sz="4" w:space="0"/>
            </w:tcBorders>
            <w:vAlign w:val="center"/>
          </w:tcPr>
          <w:p w14:paraId="2D7EF47D">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索克曼/DELPHYS MP ELITE 100KVA/配电池250AH-64节</w:t>
            </w:r>
          </w:p>
        </w:tc>
        <w:tc>
          <w:tcPr>
            <w:tcW w:w="992" w:type="dxa"/>
            <w:tcBorders>
              <w:top w:val="single" w:color="000000" w:sz="4" w:space="0"/>
              <w:left w:val="single" w:color="000000" w:sz="4" w:space="0"/>
              <w:bottom w:val="single" w:color="000000" w:sz="4" w:space="0"/>
              <w:right w:val="single" w:color="000000" w:sz="4" w:space="0"/>
            </w:tcBorders>
            <w:vAlign w:val="center"/>
          </w:tcPr>
          <w:p w14:paraId="7A763D11">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2套</w:t>
            </w:r>
          </w:p>
        </w:tc>
        <w:tc>
          <w:tcPr>
            <w:tcW w:w="1701" w:type="dxa"/>
            <w:tcBorders>
              <w:top w:val="single" w:color="000000" w:sz="4" w:space="0"/>
              <w:left w:val="single" w:color="000000" w:sz="4" w:space="0"/>
              <w:bottom w:val="single" w:color="000000" w:sz="4" w:space="0"/>
              <w:right w:val="single" w:color="000000" w:sz="4" w:space="0"/>
            </w:tcBorders>
            <w:vAlign w:val="center"/>
          </w:tcPr>
          <w:p w14:paraId="2511B754">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33B2D8A0">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rPr>
              <w:t>一楼UPS房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6F2D340F">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lang w:val="en-US" w:eastAsia="zh-CN"/>
              </w:rPr>
              <w:t>/</w:t>
            </w:r>
          </w:p>
        </w:tc>
      </w:tr>
      <w:tr w14:paraId="3E4D1D1F">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280599C3">
            <w:pPr>
              <w:widowControl/>
              <w:spacing w:after="120"/>
              <w:jc w:val="center"/>
              <w:textAlignment w:val="center"/>
              <w:rPr>
                <w:rFonts w:hint="eastAsia" w:ascii="仿宋" w:hAnsi="仿宋" w:eastAsia="仿宋" w:cs="仿宋_GB2312"/>
                <w:color w:val="auto"/>
                <w:sz w:val="28"/>
                <w:szCs w:val="28"/>
                <w:highlight w:val="none"/>
              </w:rPr>
            </w:pPr>
            <w:r>
              <w:rPr>
                <w:rFonts w:ascii="仿宋" w:hAnsi="仿宋" w:eastAsia="仿宋" w:cs="宋体"/>
                <w:color w:val="auto"/>
                <w:kern w:val="0"/>
                <w:sz w:val="28"/>
                <w:szCs w:val="28"/>
                <w:highlight w:val="none"/>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79E89E9C">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强电配电柜</w:t>
            </w:r>
          </w:p>
        </w:tc>
        <w:tc>
          <w:tcPr>
            <w:tcW w:w="1681" w:type="dxa"/>
            <w:tcBorders>
              <w:top w:val="single" w:color="000000" w:sz="4" w:space="0"/>
              <w:left w:val="single" w:color="000000" w:sz="4" w:space="0"/>
              <w:bottom w:val="single" w:color="000000" w:sz="4" w:space="0"/>
              <w:right w:val="single" w:color="000000" w:sz="4" w:space="0"/>
            </w:tcBorders>
            <w:vAlign w:val="center"/>
          </w:tcPr>
          <w:p w14:paraId="6C19BF87">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格维尔</w:t>
            </w:r>
          </w:p>
        </w:tc>
        <w:tc>
          <w:tcPr>
            <w:tcW w:w="992" w:type="dxa"/>
            <w:tcBorders>
              <w:top w:val="single" w:color="000000" w:sz="4" w:space="0"/>
              <w:left w:val="single" w:color="000000" w:sz="4" w:space="0"/>
              <w:bottom w:val="single" w:color="000000" w:sz="4" w:space="0"/>
              <w:right w:val="single" w:color="000000" w:sz="4" w:space="0"/>
            </w:tcBorders>
            <w:vAlign w:val="center"/>
          </w:tcPr>
          <w:p w14:paraId="32D59DCC">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13个</w:t>
            </w:r>
          </w:p>
        </w:tc>
        <w:tc>
          <w:tcPr>
            <w:tcW w:w="1701" w:type="dxa"/>
            <w:tcBorders>
              <w:top w:val="single" w:color="000000" w:sz="4" w:space="0"/>
              <w:left w:val="single" w:color="000000" w:sz="4" w:space="0"/>
              <w:bottom w:val="single" w:color="000000" w:sz="4" w:space="0"/>
              <w:right w:val="single" w:color="000000" w:sz="4" w:space="0"/>
            </w:tcBorders>
            <w:vAlign w:val="center"/>
          </w:tcPr>
          <w:p w14:paraId="48136969">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2BBFB3DE">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rPr>
              <w:t>一楼UPS房</w:t>
            </w:r>
            <w:r>
              <w:rPr>
                <w:rFonts w:hint="eastAsia" w:ascii="仿宋" w:hAnsi="仿宋" w:eastAsia="仿宋" w:cs="仿宋_GB2312"/>
                <w:color w:val="auto"/>
                <w:kern w:val="0"/>
                <w:sz w:val="28"/>
                <w:szCs w:val="28"/>
                <w:highlight w:val="none"/>
              </w:rPr>
              <w:t>和三楼IT机房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74641380">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三楼配电柜*4个；列头配电柜*6个；一楼配电柜*3个（包含一楼计量电表箱）</w:t>
            </w:r>
          </w:p>
        </w:tc>
      </w:tr>
      <w:tr w14:paraId="00758276">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2F62FF69">
            <w:pPr>
              <w:widowControl/>
              <w:spacing w:after="120"/>
              <w:jc w:val="center"/>
              <w:textAlignment w:val="center"/>
              <w:rPr>
                <w:rFonts w:hint="eastAsia" w:ascii="仿宋" w:hAnsi="仿宋" w:eastAsia="仿宋" w:cs="仿宋_GB2312"/>
                <w:color w:val="auto"/>
                <w:sz w:val="28"/>
                <w:szCs w:val="28"/>
                <w:highlight w:val="none"/>
              </w:rPr>
            </w:pPr>
            <w:r>
              <w:rPr>
                <w:rFonts w:ascii="仿宋" w:hAnsi="仿宋" w:eastAsia="仿宋" w:cs="宋体"/>
                <w:color w:val="auto"/>
                <w:kern w:val="0"/>
                <w:sz w:val="28"/>
                <w:szCs w:val="28"/>
                <w:highlight w:val="none"/>
              </w:rPr>
              <w:t>6</w:t>
            </w:r>
          </w:p>
        </w:tc>
        <w:tc>
          <w:tcPr>
            <w:tcW w:w="1560" w:type="dxa"/>
            <w:tcBorders>
              <w:top w:val="single" w:color="000000" w:sz="4" w:space="0"/>
              <w:left w:val="single" w:color="000000" w:sz="4" w:space="0"/>
              <w:bottom w:val="single" w:color="000000" w:sz="4" w:space="0"/>
              <w:right w:val="single" w:color="000000" w:sz="4" w:space="0"/>
            </w:tcBorders>
            <w:vAlign w:val="center"/>
          </w:tcPr>
          <w:p w14:paraId="03ED2E1F">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PDU设备</w:t>
            </w:r>
          </w:p>
        </w:tc>
        <w:tc>
          <w:tcPr>
            <w:tcW w:w="1681" w:type="dxa"/>
            <w:tcBorders>
              <w:top w:val="single" w:color="000000" w:sz="4" w:space="0"/>
              <w:left w:val="single" w:color="000000" w:sz="4" w:space="0"/>
              <w:bottom w:val="single" w:color="000000" w:sz="4" w:space="0"/>
              <w:right w:val="single" w:color="000000" w:sz="4" w:space="0"/>
            </w:tcBorders>
            <w:vAlign w:val="center"/>
          </w:tcPr>
          <w:p w14:paraId="3D0F1FF9">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金盾/带监测检测模块功能/10A-10位</w:t>
            </w:r>
          </w:p>
        </w:tc>
        <w:tc>
          <w:tcPr>
            <w:tcW w:w="992" w:type="dxa"/>
            <w:tcBorders>
              <w:top w:val="single" w:color="000000" w:sz="4" w:space="0"/>
              <w:left w:val="single" w:color="000000" w:sz="4" w:space="0"/>
              <w:bottom w:val="single" w:color="000000" w:sz="4" w:space="0"/>
              <w:right w:val="single" w:color="000000" w:sz="4" w:space="0"/>
            </w:tcBorders>
            <w:vAlign w:val="center"/>
          </w:tcPr>
          <w:p w14:paraId="084A5C97">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144个</w:t>
            </w:r>
          </w:p>
        </w:tc>
        <w:tc>
          <w:tcPr>
            <w:tcW w:w="1701" w:type="dxa"/>
            <w:tcBorders>
              <w:top w:val="single" w:color="000000" w:sz="4" w:space="0"/>
              <w:left w:val="single" w:color="000000" w:sz="4" w:space="0"/>
              <w:bottom w:val="single" w:color="000000" w:sz="4" w:space="0"/>
              <w:right w:val="single" w:color="000000" w:sz="4" w:space="0"/>
            </w:tcBorders>
            <w:vAlign w:val="center"/>
          </w:tcPr>
          <w:p w14:paraId="27CECB1F">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43533BEE">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6B2EE0DE">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包含德力西/DZ47X/16A插头</w:t>
            </w:r>
          </w:p>
        </w:tc>
      </w:tr>
      <w:tr w14:paraId="390A131A">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371AAC3B">
            <w:pPr>
              <w:widowControl/>
              <w:spacing w:after="120"/>
              <w:jc w:val="center"/>
              <w:textAlignment w:val="center"/>
              <w:rPr>
                <w:rFonts w:hint="eastAsia" w:ascii="仿宋" w:hAnsi="仿宋" w:eastAsia="仿宋" w:cs="仿宋_GB2312"/>
                <w:color w:val="auto"/>
                <w:sz w:val="28"/>
                <w:szCs w:val="28"/>
                <w:highlight w:val="none"/>
              </w:rPr>
            </w:pPr>
            <w:r>
              <w:rPr>
                <w:rFonts w:hint="eastAsia" w:ascii="仿宋" w:hAnsi="仿宋" w:eastAsia="仿宋" w:cs="宋体"/>
                <w:color w:val="auto"/>
                <w:kern w:val="0"/>
                <w:sz w:val="28"/>
                <w:szCs w:val="28"/>
                <w:highlight w:val="none"/>
              </w:rPr>
              <w:t>7</w:t>
            </w:r>
          </w:p>
        </w:tc>
        <w:tc>
          <w:tcPr>
            <w:tcW w:w="1560" w:type="dxa"/>
            <w:tcBorders>
              <w:top w:val="single" w:color="000000" w:sz="4" w:space="0"/>
              <w:left w:val="single" w:color="000000" w:sz="4" w:space="0"/>
              <w:bottom w:val="single" w:color="000000" w:sz="4" w:space="0"/>
              <w:right w:val="single" w:color="000000" w:sz="4" w:space="0"/>
            </w:tcBorders>
            <w:vAlign w:val="center"/>
          </w:tcPr>
          <w:p w14:paraId="154E123A">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风机盘管空调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6F1E0240">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江南</w:t>
            </w:r>
          </w:p>
        </w:tc>
        <w:tc>
          <w:tcPr>
            <w:tcW w:w="992" w:type="dxa"/>
            <w:tcBorders>
              <w:top w:val="single" w:color="000000" w:sz="4" w:space="0"/>
              <w:left w:val="single" w:color="000000" w:sz="4" w:space="0"/>
              <w:bottom w:val="single" w:color="000000" w:sz="4" w:space="0"/>
              <w:right w:val="single" w:color="000000" w:sz="4" w:space="0"/>
            </w:tcBorders>
            <w:vAlign w:val="center"/>
          </w:tcPr>
          <w:p w14:paraId="6D494084">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3套</w:t>
            </w:r>
          </w:p>
        </w:tc>
        <w:tc>
          <w:tcPr>
            <w:tcW w:w="1701" w:type="dxa"/>
            <w:tcBorders>
              <w:top w:val="single" w:color="000000" w:sz="4" w:space="0"/>
              <w:left w:val="single" w:color="000000" w:sz="4" w:space="0"/>
              <w:bottom w:val="single" w:color="000000" w:sz="4" w:space="0"/>
              <w:right w:val="single" w:color="000000" w:sz="4" w:space="0"/>
            </w:tcBorders>
            <w:vAlign w:val="center"/>
          </w:tcPr>
          <w:p w14:paraId="2E3CFE1E">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74ED899B">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57C4EECD">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lang w:val="en-US" w:eastAsia="zh-CN"/>
              </w:rPr>
              <w:t>/</w:t>
            </w:r>
          </w:p>
        </w:tc>
      </w:tr>
      <w:tr w14:paraId="0C6EC1A1">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528BA41C">
            <w:pPr>
              <w:widowControl/>
              <w:spacing w:after="120"/>
              <w:jc w:val="center"/>
              <w:textAlignment w:val="center"/>
              <w:rPr>
                <w:rFonts w:hint="eastAsia" w:ascii="仿宋" w:hAnsi="仿宋" w:eastAsia="仿宋" w:cs="仿宋_GB2312"/>
                <w:color w:val="auto"/>
                <w:sz w:val="28"/>
                <w:szCs w:val="28"/>
                <w:highlight w:val="none"/>
              </w:rPr>
            </w:pPr>
            <w:r>
              <w:rPr>
                <w:rFonts w:hint="eastAsia" w:ascii="仿宋" w:hAnsi="仿宋" w:eastAsia="仿宋" w:cs="宋体"/>
                <w:color w:val="auto"/>
                <w:kern w:val="0"/>
                <w:sz w:val="28"/>
                <w:szCs w:val="28"/>
                <w:highlight w:val="none"/>
              </w:rPr>
              <w:t>8</w:t>
            </w:r>
          </w:p>
        </w:tc>
        <w:tc>
          <w:tcPr>
            <w:tcW w:w="1560" w:type="dxa"/>
            <w:tcBorders>
              <w:top w:val="single" w:color="000000" w:sz="4" w:space="0"/>
              <w:left w:val="single" w:color="000000" w:sz="4" w:space="0"/>
              <w:bottom w:val="single" w:color="000000" w:sz="4" w:space="0"/>
              <w:right w:val="single" w:color="000000" w:sz="4" w:space="0"/>
            </w:tcBorders>
            <w:vAlign w:val="center"/>
          </w:tcPr>
          <w:p w14:paraId="5223B3F1">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照明灯具</w:t>
            </w:r>
          </w:p>
        </w:tc>
        <w:tc>
          <w:tcPr>
            <w:tcW w:w="1681" w:type="dxa"/>
            <w:tcBorders>
              <w:top w:val="single" w:color="000000" w:sz="4" w:space="0"/>
              <w:left w:val="single" w:color="000000" w:sz="4" w:space="0"/>
              <w:bottom w:val="single" w:color="000000" w:sz="4" w:space="0"/>
              <w:right w:val="single" w:color="000000" w:sz="4" w:space="0"/>
            </w:tcBorders>
            <w:vAlign w:val="center"/>
          </w:tcPr>
          <w:p w14:paraId="3EBB025D">
            <w:pPr>
              <w:widowControl/>
              <w:spacing w:after="120" w:line="300" w:lineRule="exact"/>
              <w:jc w:val="left"/>
              <w:textAlignment w:val="center"/>
              <w:rPr>
                <w:rFonts w:hint="eastAsia" w:ascii="仿宋" w:hAnsi="仿宋" w:eastAsia="仿宋" w:cs="仿宋_GB2312"/>
                <w:color w:val="auto"/>
                <w:sz w:val="28"/>
                <w:szCs w:val="28"/>
                <w:highlight w:val="none"/>
                <w:lang w:eastAsia="zh-CN"/>
              </w:rPr>
            </w:pPr>
            <w:r>
              <w:rPr>
                <w:rFonts w:hint="eastAsia" w:ascii="仿宋" w:hAnsi="仿宋" w:eastAsia="仿宋" w:cs="仿宋_GB2312"/>
                <w:color w:val="auto"/>
                <w:sz w:val="28"/>
                <w:szCs w:val="28"/>
                <w:highlight w:val="none"/>
                <w:lang w:val="en-US" w:eastAsia="zh-CN"/>
              </w:rPr>
              <w:t>/</w:t>
            </w:r>
          </w:p>
        </w:tc>
        <w:tc>
          <w:tcPr>
            <w:tcW w:w="992" w:type="dxa"/>
            <w:tcBorders>
              <w:top w:val="single" w:color="000000" w:sz="4" w:space="0"/>
              <w:left w:val="single" w:color="000000" w:sz="4" w:space="0"/>
              <w:bottom w:val="single" w:color="000000" w:sz="4" w:space="0"/>
              <w:right w:val="single" w:color="000000" w:sz="4" w:space="0"/>
            </w:tcBorders>
            <w:vAlign w:val="center"/>
          </w:tcPr>
          <w:p w14:paraId="27566D26">
            <w:pPr>
              <w:widowControl/>
              <w:spacing w:after="120" w:line="300" w:lineRule="exact"/>
              <w:jc w:val="center"/>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kern w:val="0"/>
                <w:sz w:val="28"/>
                <w:szCs w:val="28"/>
                <w:highlight w:val="none"/>
              </w:rPr>
              <w:t>1套</w:t>
            </w:r>
          </w:p>
        </w:tc>
        <w:tc>
          <w:tcPr>
            <w:tcW w:w="1701" w:type="dxa"/>
            <w:tcBorders>
              <w:top w:val="single" w:color="000000" w:sz="4" w:space="0"/>
              <w:left w:val="single" w:color="000000" w:sz="4" w:space="0"/>
              <w:bottom w:val="single" w:color="000000" w:sz="4" w:space="0"/>
              <w:right w:val="single" w:color="000000" w:sz="4" w:space="0"/>
            </w:tcBorders>
            <w:vAlign w:val="center"/>
          </w:tcPr>
          <w:p w14:paraId="39A60998">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31CAEE4D">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一楼UPS房</w:t>
            </w:r>
            <w:r>
              <w:rPr>
                <w:rFonts w:hint="eastAsia" w:ascii="仿宋" w:hAnsi="仿宋" w:eastAsia="仿宋" w:cs="仿宋_GB2312"/>
                <w:color w:val="auto"/>
                <w:kern w:val="0"/>
                <w:sz w:val="28"/>
                <w:szCs w:val="28"/>
                <w:highlight w:val="none"/>
              </w:rPr>
              <w:t>和三楼IT机房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5124D0E5">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rPr>
              <w:t>以机房为单位</w:t>
            </w:r>
          </w:p>
        </w:tc>
      </w:tr>
      <w:tr w14:paraId="0B3422AB">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1006E833">
            <w:pPr>
              <w:widowControl/>
              <w:spacing w:after="120"/>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宋体"/>
                <w:color w:val="auto"/>
                <w:kern w:val="0"/>
                <w:sz w:val="28"/>
                <w:szCs w:val="28"/>
                <w:highlight w:val="none"/>
              </w:rPr>
              <w:t>9</w:t>
            </w:r>
          </w:p>
        </w:tc>
        <w:tc>
          <w:tcPr>
            <w:tcW w:w="1560" w:type="dxa"/>
            <w:tcBorders>
              <w:top w:val="single" w:color="000000" w:sz="4" w:space="0"/>
              <w:left w:val="single" w:color="000000" w:sz="4" w:space="0"/>
              <w:bottom w:val="single" w:color="000000" w:sz="4" w:space="0"/>
              <w:right w:val="single" w:color="000000" w:sz="4" w:space="0"/>
            </w:tcBorders>
            <w:vAlign w:val="center"/>
          </w:tcPr>
          <w:p w14:paraId="7406B488">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服务机柜</w:t>
            </w:r>
          </w:p>
        </w:tc>
        <w:tc>
          <w:tcPr>
            <w:tcW w:w="1681" w:type="dxa"/>
            <w:tcBorders>
              <w:top w:val="single" w:color="000000" w:sz="4" w:space="0"/>
              <w:left w:val="single" w:color="000000" w:sz="4" w:space="0"/>
              <w:bottom w:val="single" w:color="000000" w:sz="4" w:space="0"/>
              <w:right w:val="single" w:color="000000" w:sz="4" w:space="0"/>
            </w:tcBorders>
            <w:vAlign w:val="center"/>
          </w:tcPr>
          <w:p w14:paraId="4048B49A">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金盾/600*1100*42U</w:t>
            </w:r>
          </w:p>
        </w:tc>
        <w:tc>
          <w:tcPr>
            <w:tcW w:w="992" w:type="dxa"/>
            <w:tcBorders>
              <w:top w:val="single" w:color="000000" w:sz="4" w:space="0"/>
              <w:left w:val="single" w:color="000000" w:sz="4" w:space="0"/>
              <w:bottom w:val="single" w:color="000000" w:sz="4" w:space="0"/>
              <w:right w:val="single" w:color="000000" w:sz="4" w:space="0"/>
            </w:tcBorders>
            <w:vAlign w:val="center"/>
          </w:tcPr>
          <w:p w14:paraId="404540B3">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72个</w:t>
            </w:r>
          </w:p>
        </w:tc>
        <w:tc>
          <w:tcPr>
            <w:tcW w:w="1701" w:type="dxa"/>
            <w:tcBorders>
              <w:top w:val="single" w:color="000000" w:sz="4" w:space="0"/>
              <w:left w:val="single" w:color="000000" w:sz="4" w:space="0"/>
              <w:bottom w:val="single" w:color="000000" w:sz="4" w:space="0"/>
              <w:right w:val="single" w:color="000000" w:sz="4" w:space="0"/>
            </w:tcBorders>
            <w:vAlign w:val="center"/>
          </w:tcPr>
          <w:p w14:paraId="3BCFFB2E">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34E3D99F">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24206E4C">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lang w:val="en-US" w:eastAsia="zh-CN"/>
              </w:rPr>
              <w:t>/</w:t>
            </w:r>
          </w:p>
        </w:tc>
      </w:tr>
      <w:tr w14:paraId="03FA150A">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6A22B16A">
            <w:pPr>
              <w:widowControl/>
              <w:spacing w:after="120"/>
              <w:jc w:val="center"/>
              <w:textAlignment w:val="center"/>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10</w:t>
            </w:r>
          </w:p>
        </w:tc>
        <w:tc>
          <w:tcPr>
            <w:tcW w:w="1560" w:type="dxa"/>
            <w:tcBorders>
              <w:top w:val="single" w:color="000000" w:sz="4" w:space="0"/>
              <w:left w:val="single" w:color="000000" w:sz="4" w:space="0"/>
              <w:bottom w:val="single" w:color="000000" w:sz="4" w:space="0"/>
              <w:right w:val="single" w:color="000000" w:sz="4" w:space="0"/>
            </w:tcBorders>
            <w:vAlign w:val="center"/>
          </w:tcPr>
          <w:p w14:paraId="4FFD31A8">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架空静电地板</w:t>
            </w:r>
          </w:p>
        </w:tc>
        <w:tc>
          <w:tcPr>
            <w:tcW w:w="1681" w:type="dxa"/>
            <w:tcBorders>
              <w:top w:val="single" w:color="000000" w:sz="4" w:space="0"/>
              <w:left w:val="single" w:color="000000" w:sz="4" w:space="0"/>
              <w:bottom w:val="single" w:color="000000" w:sz="4" w:space="0"/>
              <w:right w:val="single" w:color="000000" w:sz="4" w:space="0"/>
            </w:tcBorders>
            <w:vAlign w:val="center"/>
          </w:tcPr>
          <w:p w14:paraId="3F66E76D">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沈飞/600*600</w:t>
            </w:r>
          </w:p>
        </w:tc>
        <w:tc>
          <w:tcPr>
            <w:tcW w:w="992" w:type="dxa"/>
            <w:tcBorders>
              <w:top w:val="single" w:color="000000" w:sz="4" w:space="0"/>
              <w:left w:val="single" w:color="000000" w:sz="4" w:space="0"/>
              <w:bottom w:val="single" w:color="000000" w:sz="4" w:space="0"/>
              <w:right w:val="single" w:color="000000" w:sz="4" w:space="0"/>
            </w:tcBorders>
            <w:vAlign w:val="center"/>
          </w:tcPr>
          <w:p w14:paraId="69C921ED">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1套</w:t>
            </w:r>
          </w:p>
        </w:tc>
        <w:tc>
          <w:tcPr>
            <w:tcW w:w="1701" w:type="dxa"/>
            <w:tcBorders>
              <w:top w:val="single" w:color="000000" w:sz="4" w:space="0"/>
              <w:left w:val="single" w:color="000000" w:sz="4" w:space="0"/>
              <w:bottom w:val="single" w:color="000000" w:sz="4" w:space="0"/>
              <w:right w:val="single" w:color="000000" w:sz="4" w:space="0"/>
            </w:tcBorders>
            <w:vAlign w:val="center"/>
          </w:tcPr>
          <w:p w14:paraId="64277F6D">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9</w:t>
            </w:r>
            <w:r>
              <w:rPr>
                <w:rFonts w:hint="eastAsia" w:ascii="仿宋" w:hAnsi="仿宋" w:eastAsia="仿宋" w:cs="仿宋_GB2312"/>
                <w:color w:val="auto"/>
                <w:kern w:val="0"/>
                <w:sz w:val="28"/>
                <w:szCs w:val="28"/>
                <w:highlight w:val="none"/>
              </w:rPr>
              <w:t>/</w:t>
            </w:r>
            <w:r>
              <w:rPr>
                <w:rFonts w:ascii="仿宋" w:hAnsi="仿宋" w:eastAsia="仿宋" w:cs="仿宋_GB2312"/>
                <w:color w:val="auto"/>
                <w:kern w:val="0"/>
                <w:sz w:val="28"/>
                <w:szCs w:val="28"/>
                <w:highlight w:val="none"/>
              </w:rPr>
              <w:t>3</w:t>
            </w:r>
          </w:p>
        </w:tc>
        <w:tc>
          <w:tcPr>
            <w:tcW w:w="1559" w:type="dxa"/>
            <w:tcBorders>
              <w:top w:val="single" w:color="000000" w:sz="4" w:space="0"/>
              <w:left w:val="single" w:color="000000" w:sz="4" w:space="0"/>
              <w:bottom w:val="single" w:color="000000" w:sz="4" w:space="0"/>
              <w:right w:val="single" w:color="000000" w:sz="4" w:space="0"/>
            </w:tcBorders>
            <w:vAlign w:val="center"/>
          </w:tcPr>
          <w:p w14:paraId="5A505BE0">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57E19410">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以机房为单位，包含通风地板</w:t>
            </w:r>
            <w:bookmarkStart w:id="1" w:name="_GoBack"/>
            <w:bookmarkEnd w:id="1"/>
          </w:p>
        </w:tc>
      </w:tr>
      <w:tr w14:paraId="739B398C">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2C05D156">
            <w:pPr>
              <w:widowControl/>
              <w:spacing w:after="120"/>
              <w:jc w:val="center"/>
              <w:textAlignment w:val="center"/>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11</w:t>
            </w:r>
          </w:p>
        </w:tc>
        <w:tc>
          <w:tcPr>
            <w:tcW w:w="1560" w:type="dxa"/>
            <w:tcBorders>
              <w:top w:val="single" w:color="000000" w:sz="4" w:space="0"/>
              <w:left w:val="single" w:color="000000" w:sz="4" w:space="0"/>
              <w:bottom w:val="single" w:color="000000" w:sz="4" w:space="0"/>
              <w:right w:val="single" w:color="000000" w:sz="4" w:space="0"/>
            </w:tcBorders>
            <w:vAlign w:val="center"/>
          </w:tcPr>
          <w:p w14:paraId="763CACA0">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10B774E8">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佳力图/MEAD0602M</w:t>
            </w:r>
          </w:p>
        </w:tc>
        <w:tc>
          <w:tcPr>
            <w:tcW w:w="992" w:type="dxa"/>
            <w:tcBorders>
              <w:top w:val="single" w:color="000000" w:sz="4" w:space="0"/>
              <w:left w:val="single" w:color="000000" w:sz="4" w:space="0"/>
              <w:bottom w:val="single" w:color="000000" w:sz="4" w:space="0"/>
              <w:right w:val="single" w:color="000000" w:sz="4" w:space="0"/>
            </w:tcBorders>
            <w:vAlign w:val="center"/>
          </w:tcPr>
          <w:p w14:paraId="690CA8A4">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2台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25AE9CE8">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/11/14</w:t>
            </w:r>
          </w:p>
        </w:tc>
        <w:tc>
          <w:tcPr>
            <w:tcW w:w="1559" w:type="dxa"/>
            <w:tcBorders>
              <w:top w:val="single" w:color="000000" w:sz="4" w:space="0"/>
              <w:left w:val="single" w:color="000000" w:sz="4" w:space="0"/>
              <w:bottom w:val="single" w:color="000000" w:sz="4" w:space="0"/>
              <w:right w:val="single" w:color="000000" w:sz="4" w:space="0"/>
            </w:tcBorders>
            <w:vAlign w:val="center"/>
          </w:tcPr>
          <w:p w14:paraId="36C63764">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6D47B943">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每台包含2台空调室外机</w:t>
            </w:r>
          </w:p>
        </w:tc>
      </w:tr>
      <w:tr w14:paraId="35BAA018">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24FB9397">
            <w:pPr>
              <w:widowControl/>
              <w:spacing w:after="120"/>
              <w:jc w:val="center"/>
              <w:textAlignment w:val="center"/>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12</w:t>
            </w:r>
          </w:p>
        </w:tc>
        <w:tc>
          <w:tcPr>
            <w:tcW w:w="1560" w:type="dxa"/>
            <w:tcBorders>
              <w:top w:val="single" w:color="000000" w:sz="4" w:space="0"/>
              <w:left w:val="single" w:color="000000" w:sz="4" w:space="0"/>
              <w:bottom w:val="single" w:color="000000" w:sz="4" w:space="0"/>
              <w:right w:val="single" w:color="000000" w:sz="4" w:space="0"/>
            </w:tcBorders>
            <w:vAlign w:val="center"/>
          </w:tcPr>
          <w:p w14:paraId="6259D8B4">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精密空调室外机</w:t>
            </w:r>
          </w:p>
        </w:tc>
        <w:tc>
          <w:tcPr>
            <w:tcW w:w="1681" w:type="dxa"/>
            <w:tcBorders>
              <w:top w:val="single" w:color="000000" w:sz="4" w:space="0"/>
              <w:left w:val="single" w:color="000000" w:sz="4" w:space="0"/>
              <w:bottom w:val="single" w:color="000000" w:sz="4" w:space="0"/>
              <w:right w:val="single" w:color="000000" w:sz="4" w:space="0"/>
            </w:tcBorders>
            <w:vAlign w:val="center"/>
          </w:tcPr>
          <w:p w14:paraId="2BDB4ADB">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佳力图/NACD22</w:t>
            </w:r>
          </w:p>
        </w:tc>
        <w:tc>
          <w:tcPr>
            <w:tcW w:w="992" w:type="dxa"/>
            <w:tcBorders>
              <w:top w:val="single" w:color="000000" w:sz="4" w:space="0"/>
              <w:left w:val="single" w:color="000000" w:sz="4" w:space="0"/>
              <w:bottom w:val="single" w:color="000000" w:sz="4" w:space="0"/>
              <w:right w:val="single" w:color="000000" w:sz="4" w:space="0"/>
            </w:tcBorders>
            <w:vAlign w:val="center"/>
          </w:tcPr>
          <w:p w14:paraId="16D388C1">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8</w:t>
            </w:r>
            <w:r>
              <w:rPr>
                <w:rFonts w:hint="eastAsia" w:ascii="仿宋" w:hAnsi="仿宋" w:eastAsia="仿宋" w:cs="仿宋_GB2312"/>
                <w:color w:val="auto"/>
                <w:kern w:val="0"/>
                <w:sz w:val="28"/>
                <w:szCs w:val="28"/>
                <w:highlight w:val="none"/>
              </w:rPr>
              <w:t>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4C321BBF">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/11/14</w:t>
            </w:r>
          </w:p>
        </w:tc>
        <w:tc>
          <w:tcPr>
            <w:tcW w:w="1559" w:type="dxa"/>
            <w:tcBorders>
              <w:top w:val="single" w:color="000000" w:sz="4" w:space="0"/>
              <w:left w:val="single" w:color="000000" w:sz="4" w:space="0"/>
              <w:bottom w:val="single" w:color="000000" w:sz="4" w:space="0"/>
              <w:right w:val="single" w:color="000000" w:sz="4" w:space="0"/>
            </w:tcBorders>
            <w:vAlign w:val="center"/>
          </w:tcPr>
          <w:p w14:paraId="395F3ABD">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楼顶天台</w:t>
            </w:r>
          </w:p>
        </w:tc>
        <w:tc>
          <w:tcPr>
            <w:tcW w:w="1559" w:type="dxa"/>
            <w:tcBorders>
              <w:top w:val="single" w:color="000000" w:sz="4" w:space="0"/>
              <w:left w:val="single" w:color="000000" w:sz="4" w:space="0"/>
              <w:bottom w:val="single" w:color="000000" w:sz="4" w:space="0"/>
              <w:right w:val="single" w:color="000000" w:sz="4" w:space="0"/>
            </w:tcBorders>
            <w:vAlign w:val="center"/>
          </w:tcPr>
          <w:p w14:paraId="155D4206">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三楼4台雷诺威RDA042C精密空调使用</w:t>
            </w:r>
          </w:p>
        </w:tc>
      </w:tr>
      <w:tr w14:paraId="1E9C6386">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539C903C">
            <w:pPr>
              <w:widowControl/>
              <w:spacing w:after="120"/>
              <w:jc w:val="center"/>
              <w:textAlignment w:val="center"/>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13</w:t>
            </w:r>
          </w:p>
        </w:tc>
        <w:tc>
          <w:tcPr>
            <w:tcW w:w="1560" w:type="dxa"/>
            <w:tcBorders>
              <w:top w:val="single" w:color="000000" w:sz="4" w:space="0"/>
              <w:left w:val="single" w:color="000000" w:sz="4" w:space="0"/>
              <w:bottom w:val="single" w:color="000000" w:sz="4" w:space="0"/>
              <w:right w:val="single" w:color="000000" w:sz="4" w:space="0"/>
            </w:tcBorders>
            <w:vAlign w:val="center"/>
          </w:tcPr>
          <w:p w14:paraId="38562DA2">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全热新风处理机</w:t>
            </w:r>
          </w:p>
        </w:tc>
        <w:tc>
          <w:tcPr>
            <w:tcW w:w="1681" w:type="dxa"/>
            <w:tcBorders>
              <w:top w:val="single" w:color="000000" w:sz="4" w:space="0"/>
              <w:left w:val="single" w:color="000000" w:sz="4" w:space="0"/>
              <w:bottom w:val="single" w:color="000000" w:sz="4" w:space="0"/>
              <w:right w:val="single" w:color="000000" w:sz="4" w:space="0"/>
            </w:tcBorders>
            <w:vAlign w:val="center"/>
          </w:tcPr>
          <w:p w14:paraId="5D215F8A">
            <w:pPr>
              <w:widowControl/>
              <w:spacing w:after="120" w:line="300" w:lineRule="exact"/>
              <w:jc w:val="left"/>
              <w:textAlignment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亚都/YDF-D800H(含风管/风阀）</w:t>
            </w:r>
          </w:p>
        </w:tc>
        <w:tc>
          <w:tcPr>
            <w:tcW w:w="992" w:type="dxa"/>
            <w:tcBorders>
              <w:top w:val="single" w:color="000000" w:sz="4" w:space="0"/>
              <w:left w:val="single" w:color="000000" w:sz="4" w:space="0"/>
              <w:bottom w:val="single" w:color="000000" w:sz="4" w:space="0"/>
              <w:right w:val="single" w:color="000000" w:sz="4" w:space="0"/>
            </w:tcBorders>
            <w:vAlign w:val="center"/>
          </w:tcPr>
          <w:p w14:paraId="645B1A1B">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3</w:t>
            </w:r>
            <w:r>
              <w:rPr>
                <w:rFonts w:hint="eastAsia" w:ascii="仿宋" w:hAnsi="仿宋" w:eastAsia="仿宋" w:cs="仿宋_GB2312"/>
                <w:color w:val="auto"/>
                <w:kern w:val="0"/>
                <w:sz w:val="28"/>
                <w:szCs w:val="28"/>
                <w:highlight w:val="none"/>
              </w:rPr>
              <w:t>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16056A02">
            <w:pPr>
              <w:widowControl/>
              <w:spacing w:after="120" w:line="300" w:lineRule="exact"/>
              <w:jc w:val="center"/>
              <w:textAlignment w:val="center"/>
              <w:rPr>
                <w:rFonts w:hint="eastAsia" w:ascii="仿宋" w:hAnsi="仿宋" w:eastAsia="仿宋" w:cs="仿宋_GB2312"/>
                <w:color w:val="auto"/>
                <w:kern w:val="0"/>
                <w:sz w:val="28"/>
                <w:szCs w:val="28"/>
                <w:highlight w:val="none"/>
              </w:rPr>
            </w:pPr>
            <w:r>
              <w:rPr>
                <w:rFonts w:ascii="仿宋" w:hAnsi="仿宋" w:eastAsia="仿宋" w:cs="仿宋_GB2312"/>
                <w:color w:val="auto"/>
                <w:kern w:val="0"/>
                <w:sz w:val="28"/>
                <w:szCs w:val="28"/>
                <w:highlight w:val="none"/>
              </w:rPr>
              <w:t>2026</w:t>
            </w:r>
            <w:r>
              <w:rPr>
                <w:rFonts w:hint="eastAsia" w:ascii="仿宋" w:hAnsi="仿宋" w:eastAsia="仿宋" w:cs="仿宋_GB2312"/>
                <w:color w:val="auto"/>
                <w:kern w:val="0"/>
                <w:sz w:val="28"/>
                <w:szCs w:val="28"/>
                <w:highlight w:val="none"/>
              </w:rPr>
              <w:t>/11/14</w:t>
            </w:r>
          </w:p>
        </w:tc>
        <w:tc>
          <w:tcPr>
            <w:tcW w:w="1559" w:type="dxa"/>
            <w:tcBorders>
              <w:top w:val="single" w:color="000000" w:sz="4" w:space="0"/>
              <w:left w:val="single" w:color="000000" w:sz="4" w:space="0"/>
              <w:bottom w:val="single" w:color="000000" w:sz="4" w:space="0"/>
              <w:right w:val="single" w:color="000000" w:sz="4" w:space="0"/>
            </w:tcBorders>
            <w:vAlign w:val="center"/>
          </w:tcPr>
          <w:p w14:paraId="68C08D4A">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三楼IT机房</w:t>
            </w:r>
          </w:p>
        </w:tc>
        <w:tc>
          <w:tcPr>
            <w:tcW w:w="1559" w:type="dxa"/>
            <w:tcBorders>
              <w:top w:val="single" w:color="000000" w:sz="4" w:space="0"/>
              <w:left w:val="single" w:color="000000" w:sz="4" w:space="0"/>
              <w:bottom w:val="single" w:color="000000" w:sz="4" w:space="0"/>
              <w:right w:val="single" w:color="000000" w:sz="4" w:space="0"/>
            </w:tcBorders>
            <w:vAlign w:val="center"/>
          </w:tcPr>
          <w:p w14:paraId="3DF9436C">
            <w:pPr>
              <w:widowControl/>
              <w:spacing w:after="120" w:line="300" w:lineRule="exact"/>
              <w:jc w:val="left"/>
              <w:textAlignment w:val="center"/>
              <w:rPr>
                <w:rFonts w:hint="eastAsia" w:ascii="仿宋" w:hAnsi="仿宋" w:eastAsia="仿宋" w:cs="仿宋_GB2312"/>
                <w:color w:val="auto"/>
                <w:kern w:val="0"/>
                <w:sz w:val="28"/>
                <w:szCs w:val="28"/>
                <w:highlight w:val="none"/>
              </w:rPr>
            </w:pPr>
            <w:r>
              <w:rPr>
                <w:rFonts w:hint="eastAsia" w:ascii="仿宋" w:hAnsi="仿宋" w:eastAsia="仿宋" w:cs="仿宋_GB2312"/>
                <w:color w:val="auto"/>
                <w:sz w:val="28"/>
                <w:szCs w:val="28"/>
                <w:highlight w:val="none"/>
                <w:lang w:val="en-US" w:eastAsia="zh-CN"/>
              </w:rPr>
              <w:t>/</w:t>
            </w:r>
          </w:p>
        </w:tc>
      </w:tr>
    </w:tbl>
    <w:p w14:paraId="0ECD10A2">
      <w:pPr>
        <w:widowControl/>
        <w:spacing w:after="160" w:line="278" w:lineRule="auto"/>
        <w:jc w:val="left"/>
        <w:rPr>
          <w:rStyle w:val="34"/>
          <w:rFonts w:hint="eastAsia" w:ascii="仿宋" w:hAnsi="仿宋" w:eastAsia="仿宋" w:cs="宋体"/>
          <w:color w:val="auto"/>
          <w:sz w:val="28"/>
          <w:szCs w:val="28"/>
          <w:highlight w:val="none"/>
        </w:rPr>
      </w:pPr>
      <w:r>
        <w:rPr>
          <w:rStyle w:val="34"/>
          <w:rFonts w:hint="eastAsia"/>
          <w:color w:val="auto"/>
          <w:highlight w:val="none"/>
        </w:rPr>
        <w:br w:type="page"/>
      </w:r>
    </w:p>
    <w:p w14:paraId="497491E9">
      <w:pPr>
        <w:pStyle w:val="37"/>
        <w:ind w:firstLine="582"/>
        <w:rPr>
          <w:rStyle w:val="34"/>
          <w:rFonts w:hint="eastAsia"/>
          <w:color w:val="auto"/>
          <w:highlight w:val="none"/>
        </w:rPr>
      </w:pPr>
      <w:r>
        <w:rPr>
          <w:rStyle w:val="34"/>
          <w:rFonts w:hint="eastAsia"/>
          <w:color w:val="auto"/>
          <w:highlight w:val="none"/>
        </w:rPr>
        <w:t>附表2、故障级别对照表</w:t>
      </w:r>
    </w:p>
    <w:tbl>
      <w:tblPr>
        <w:tblStyle w:val="15"/>
        <w:tblW w:w="8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6512"/>
      </w:tblGrid>
      <w:tr w14:paraId="4458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tcPr>
          <w:p w14:paraId="6DE88815">
            <w:pPr>
              <w:spacing w:after="120" w:line="400" w:lineRule="exact"/>
              <w:jc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故障级别</w:t>
            </w:r>
          </w:p>
        </w:tc>
        <w:tc>
          <w:tcPr>
            <w:tcW w:w="6512" w:type="dxa"/>
          </w:tcPr>
          <w:p w14:paraId="0CB9860B">
            <w:pPr>
              <w:spacing w:after="120" w:line="400" w:lineRule="exact"/>
              <w:jc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故障典型表现</w:t>
            </w:r>
          </w:p>
        </w:tc>
      </w:tr>
      <w:tr w14:paraId="2BD3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vAlign w:val="center"/>
          </w:tcPr>
          <w:p w14:paraId="7F8E055A">
            <w:pPr>
              <w:spacing w:after="120" w:line="400" w:lineRule="exact"/>
              <w:jc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紧急故障</w:t>
            </w:r>
          </w:p>
        </w:tc>
        <w:tc>
          <w:tcPr>
            <w:tcW w:w="6512" w:type="dxa"/>
          </w:tcPr>
          <w:p w14:paraId="06703D91">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1. 设备运行中止</w:t>
            </w:r>
          </w:p>
          <w:p w14:paraId="1AF69E7F">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2. 设备处理性能严重下降</w:t>
            </w:r>
          </w:p>
          <w:p w14:paraId="022B382C">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3. 设备处理时断时续</w:t>
            </w:r>
          </w:p>
          <w:p w14:paraId="4F168EC8">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4. 设备（系统）不能启动</w:t>
            </w:r>
          </w:p>
          <w:p w14:paraId="2F705B3D">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5. 设备（系统）出现重大异常现象</w:t>
            </w:r>
          </w:p>
          <w:p w14:paraId="0468EFB5">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6. 设备（系统）发现重大安全隐患</w:t>
            </w:r>
          </w:p>
          <w:p w14:paraId="48C09D3D">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7. 设备（系统）面临的重大危害（如火灾水灾外部和内部的攻击等）</w:t>
            </w:r>
          </w:p>
          <w:p w14:paraId="205D06A0">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8. 其他紧急故障</w:t>
            </w:r>
          </w:p>
        </w:tc>
      </w:tr>
      <w:tr w14:paraId="4814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vAlign w:val="center"/>
          </w:tcPr>
          <w:p w14:paraId="7EA9FA6B">
            <w:pPr>
              <w:spacing w:after="120" w:line="400" w:lineRule="exact"/>
              <w:jc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严重故障</w:t>
            </w:r>
          </w:p>
        </w:tc>
        <w:tc>
          <w:tcPr>
            <w:tcW w:w="6512" w:type="dxa"/>
            <w:vAlign w:val="center"/>
          </w:tcPr>
          <w:p w14:paraId="59F8CD96">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1. 设备（系统）的核心功能部分失效，但整体未完全中断</w:t>
            </w:r>
          </w:p>
          <w:p w14:paraId="38F3D0EE">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2. 设备（系统）性能显著下降，严重影响业务效率</w:t>
            </w:r>
          </w:p>
          <w:p w14:paraId="7CA30157">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3. 非核心功能完全失效，且无临时替代方案</w:t>
            </w:r>
          </w:p>
          <w:p w14:paraId="1477605E">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4. 设备（系统）出现可预见的、可能导致紧急故障的严重隐患</w:t>
            </w:r>
          </w:p>
          <w:p w14:paraId="42B8B011">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5. 数据出现错误或小范围丢失，但未造成系统性影响</w:t>
            </w:r>
          </w:p>
          <w:p w14:paraId="424765AD">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6. 其他严重故障</w:t>
            </w:r>
          </w:p>
        </w:tc>
      </w:tr>
      <w:tr w14:paraId="7BFC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tcPr>
          <w:p w14:paraId="52D07D2A">
            <w:pPr>
              <w:spacing w:after="120" w:line="400" w:lineRule="exact"/>
              <w:jc w:val="center"/>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一般故障</w:t>
            </w:r>
          </w:p>
        </w:tc>
        <w:tc>
          <w:tcPr>
            <w:tcW w:w="6512" w:type="dxa"/>
          </w:tcPr>
          <w:p w14:paraId="235E840F">
            <w:pPr>
              <w:spacing w:after="120" w:line="400" w:lineRule="exact"/>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除以上所列的其它情况</w:t>
            </w:r>
          </w:p>
        </w:tc>
      </w:tr>
    </w:tbl>
    <w:p w14:paraId="17133445">
      <w:pPr>
        <w:widowControl/>
        <w:spacing w:after="160" w:line="278" w:lineRule="auto"/>
        <w:jc w:val="left"/>
        <w:rPr>
          <w:rFonts w:hint="eastAsia" w:ascii="仿宋" w:hAnsi="仿宋" w:eastAsia="仿宋" w:cs="宋体"/>
          <w:color w:val="auto"/>
          <w:sz w:val="28"/>
          <w:szCs w:val="28"/>
          <w:highlight w:val="none"/>
        </w:rPr>
      </w:pPr>
      <w:r>
        <w:rPr>
          <w:rFonts w:hint="eastAsia"/>
          <w:color w:val="auto"/>
          <w:highlight w:val="none"/>
        </w:rPr>
        <w:br w:type="page"/>
      </w:r>
    </w:p>
    <w:p w14:paraId="62869D3D">
      <w:pPr>
        <w:pStyle w:val="37"/>
        <w:ind w:firstLine="582"/>
        <w:rPr>
          <w:rStyle w:val="34"/>
          <w:rFonts w:hint="eastAsia"/>
          <w:color w:val="auto"/>
          <w:highlight w:val="none"/>
        </w:rPr>
      </w:pPr>
      <w:r>
        <w:rPr>
          <w:rStyle w:val="34"/>
          <w:rFonts w:hint="eastAsia"/>
          <w:color w:val="auto"/>
          <w:highlight w:val="none"/>
        </w:rPr>
        <w:t>附表3、维护保障备件清单</w:t>
      </w:r>
    </w:p>
    <w:tbl>
      <w:tblPr>
        <w:tblStyle w:val="15"/>
        <w:tblW w:w="7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2618"/>
        <w:gridCol w:w="2835"/>
        <w:gridCol w:w="1408"/>
      </w:tblGrid>
      <w:tr w14:paraId="335F2CDB">
        <w:tblPrEx>
          <w:tblCellMar>
            <w:top w:w="0" w:type="dxa"/>
            <w:left w:w="108" w:type="dxa"/>
            <w:bottom w:w="0" w:type="dxa"/>
            <w:right w:w="108" w:type="dxa"/>
          </w:tblCellMar>
        </w:tblPrEx>
        <w:trPr>
          <w:trHeight w:val="457" w:hRule="atLeast"/>
          <w:jc w:val="center"/>
        </w:trPr>
        <w:tc>
          <w:tcPr>
            <w:tcW w:w="975" w:type="dxa"/>
            <w:vAlign w:val="center"/>
          </w:tcPr>
          <w:p w14:paraId="2E5E8D90">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编号</w:t>
            </w:r>
          </w:p>
        </w:tc>
        <w:tc>
          <w:tcPr>
            <w:tcW w:w="2618" w:type="dxa"/>
            <w:vAlign w:val="center"/>
          </w:tcPr>
          <w:p w14:paraId="7C69976A">
            <w:pPr>
              <w:widowControl/>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名 称</w:t>
            </w:r>
          </w:p>
        </w:tc>
        <w:tc>
          <w:tcPr>
            <w:tcW w:w="2835" w:type="dxa"/>
            <w:vAlign w:val="center"/>
          </w:tcPr>
          <w:p w14:paraId="79E2AFFF">
            <w:pPr>
              <w:widowControl/>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规   格</w:t>
            </w:r>
          </w:p>
        </w:tc>
        <w:tc>
          <w:tcPr>
            <w:tcW w:w="1408" w:type="dxa"/>
            <w:vAlign w:val="center"/>
          </w:tcPr>
          <w:p w14:paraId="0886B876">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数量</w:t>
            </w:r>
          </w:p>
        </w:tc>
      </w:tr>
      <w:tr w14:paraId="7346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6548AAEB">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1</w:t>
            </w:r>
          </w:p>
        </w:tc>
        <w:tc>
          <w:tcPr>
            <w:tcW w:w="2618" w:type="dxa"/>
            <w:vAlign w:val="center"/>
          </w:tcPr>
          <w:p w14:paraId="2FD1DFA6">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空调制冷剂</w:t>
            </w:r>
          </w:p>
        </w:tc>
        <w:tc>
          <w:tcPr>
            <w:tcW w:w="2835" w:type="dxa"/>
            <w:vAlign w:val="center"/>
          </w:tcPr>
          <w:p w14:paraId="217DBAD3">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R407C（10KG/瓶)</w:t>
            </w:r>
          </w:p>
        </w:tc>
        <w:tc>
          <w:tcPr>
            <w:tcW w:w="1408" w:type="dxa"/>
            <w:vAlign w:val="center"/>
          </w:tcPr>
          <w:p w14:paraId="6F74EA1F">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2瓶</w:t>
            </w:r>
          </w:p>
        </w:tc>
      </w:tr>
      <w:tr w14:paraId="4E10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74A81F2F">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2</w:t>
            </w:r>
          </w:p>
        </w:tc>
        <w:tc>
          <w:tcPr>
            <w:tcW w:w="2618" w:type="dxa"/>
            <w:vAlign w:val="center"/>
          </w:tcPr>
          <w:p w14:paraId="70C14848">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空调制冷剂</w:t>
            </w:r>
          </w:p>
        </w:tc>
        <w:tc>
          <w:tcPr>
            <w:tcW w:w="2835" w:type="dxa"/>
            <w:vAlign w:val="center"/>
          </w:tcPr>
          <w:p w14:paraId="41FED5E3">
            <w:pPr>
              <w:spacing w:after="120"/>
              <w:jc w:val="center"/>
              <w:rPr>
                <w:rFonts w:hint="eastAsia" w:ascii="仿宋" w:hAnsi="仿宋" w:eastAsia="仿宋" w:cs="仿宋_GB2312"/>
                <w:color w:val="auto"/>
                <w:sz w:val="28"/>
                <w:szCs w:val="28"/>
                <w:highlight w:val="none"/>
              </w:rPr>
            </w:pPr>
            <w:r>
              <w:rPr>
                <w:rFonts w:hint="eastAsia" w:ascii="仿宋" w:hAnsi="仿宋" w:eastAsia="仿宋" w:cs="宋体"/>
                <w:color w:val="auto"/>
                <w:sz w:val="28"/>
                <w:szCs w:val="28"/>
                <w:highlight w:val="none"/>
              </w:rPr>
              <w:t>R410A（10KG/瓶）</w:t>
            </w:r>
          </w:p>
        </w:tc>
        <w:tc>
          <w:tcPr>
            <w:tcW w:w="1408" w:type="dxa"/>
            <w:vAlign w:val="center"/>
          </w:tcPr>
          <w:p w14:paraId="6860364F">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2瓶</w:t>
            </w:r>
          </w:p>
        </w:tc>
      </w:tr>
      <w:tr w14:paraId="6A74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6853343C">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w:t>
            </w:r>
          </w:p>
        </w:tc>
        <w:tc>
          <w:tcPr>
            <w:tcW w:w="2618" w:type="dxa"/>
            <w:vAlign w:val="center"/>
          </w:tcPr>
          <w:p w14:paraId="5B07CFCA">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空调加湿罐</w:t>
            </w:r>
          </w:p>
        </w:tc>
        <w:tc>
          <w:tcPr>
            <w:tcW w:w="2835" w:type="dxa"/>
            <w:vAlign w:val="center"/>
          </w:tcPr>
          <w:p w14:paraId="55BB6B19">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雷诺威 8KG</w:t>
            </w:r>
          </w:p>
        </w:tc>
        <w:tc>
          <w:tcPr>
            <w:tcW w:w="1408" w:type="dxa"/>
            <w:vAlign w:val="center"/>
          </w:tcPr>
          <w:p w14:paraId="12087B72">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1个</w:t>
            </w:r>
          </w:p>
        </w:tc>
      </w:tr>
      <w:tr w14:paraId="4681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13056209">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4</w:t>
            </w:r>
          </w:p>
        </w:tc>
        <w:tc>
          <w:tcPr>
            <w:tcW w:w="2618" w:type="dxa"/>
            <w:vAlign w:val="center"/>
          </w:tcPr>
          <w:p w14:paraId="508EACBD">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空调加湿罐</w:t>
            </w:r>
          </w:p>
        </w:tc>
        <w:tc>
          <w:tcPr>
            <w:tcW w:w="2835" w:type="dxa"/>
            <w:vAlign w:val="center"/>
          </w:tcPr>
          <w:p w14:paraId="0C85B4B7">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佳力图8KG</w:t>
            </w:r>
          </w:p>
        </w:tc>
        <w:tc>
          <w:tcPr>
            <w:tcW w:w="1408" w:type="dxa"/>
            <w:vAlign w:val="center"/>
          </w:tcPr>
          <w:p w14:paraId="00729319">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1个</w:t>
            </w:r>
          </w:p>
        </w:tc>
      </w:tr>
      <w:tr w14:paraId="11C3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7B849726">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5</w:t>
            </w:r>
          </w:p>
        </w:tc>
        <w:tc>
          <w:tcPr>
            <w:tcW w:w="2618" w:type="dxa"/>
            <w:vAlign w:val="center"/>
          </w:tcPr>
          <w:p w14:paraId="28A78BCF">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空调压缩机</w:t>
            </w:r>
          </w:p>
        </w:tc>
        <w:tc>
          <w:tcPr>
            <w:tcW w:w="2835" w:type="dxa"/>
            <w:vAlign w:val="center"/>
          </w:tcPr>
          <w:p w14:paraId="3EAB598B">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ZR61KC-TFD-522</w:t>
            </w:r>
          </w:p>
        </w:tc>
        <w:tc>
          <w:tcPr>
            <w:tcW w:w="1408" w:type="dxa"/>
            <w:vAlign w:val="center"/>
          </w:tcPr>
          <w:p w14:paraId="4E96FF10">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1台</w:t>
            </w:r>
          </w:p>
        </w:tc>
      </w:tr>
      <w:tr w14:paraId="6757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255915A2">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6</w:t>
            </w:r>
          </w:p>
        </w:tc>
        <w:tc>
          <w:tcPr>
            <w:tcW w:w="2618" w:type="dxa"/>
            <w:vAlign w:val="center"/>
          </w:tcPr>
          <w:p w14:paraId="659FA0B8">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空调主控制器</w:t>
            </w:r>
          </w:p>
        </w:tc>
        <w:tc>
          <w:tcPr>
            <w:tcW w:w="2835" w:type="dxa"/>
            <w:vAlign w:val="center"/>
          </w:tcPr>
          <w:p w14:paraId="37E5ADE0">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雷诺威/原厂主控器</w:t>
            </w:r>
          </w:p>
        </w:tc>
        <w:tc>
          <w:tcPr>
            <w:tcW w:w="1408" w:type="dxa"/>
            <w:vAlign w:val="center"/>
          </w:tcPr>
          <w:p w14:paraId="014C4DF5">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1个</w:t>
            </w:r>
          </w:p>
        </w:tc>
      </w:tr>
      <w:tr w14:paraId="0170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20DD7CD9">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7</w:t>
            </w:r>
          </w:p>
        </w:tc>
        <w:tc>
          <w:tcPr>
            <w:tcW w:w="2618" w:type="dxa"/>
            <w:vAlign w:val="center"/>
          </w:tcPr>
          <w:p w14:paraId="6C0B4E7F">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空调显示操作器</w:t>
            </w:r>
          </w:p>
        </w:tc>
        <w:tc>
          <w:tcPr>
            <w:tcW w:w="2835" w:type="dxa"/>
            <w:vAlign w:val="center"/>
          </w:tcPr>
          <w:p w14:paraId="08CF4AC9">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雷诺威/LED屏</w:t>
            </w:r>
          </w:p>
        </w:tc>
        <w:tc>
          <w:tcPr>
            <w:tcW w:w="1408" w:type="dxa"/>
            <w:vAlign w:val="center"/>
          </w:tcPr>
          <w:p w14:paraId="1374C32F">
            <w:pPr>
              <w:spacing w:after="120"/>
              <w:jc w:val="center"/>
              <w:rPr>
                <w:rFonts w:hint="eastAsia" w:ascii="仿宋" w:hAnsi="仿宋" w:eastAsia="仿宋" w:cs="仿宋_GB2312"/>
                <w:color w:val="auto"/>
                <w:sz w:val="28"/>
                <w:szCs w:val="28"/>
                <w:highlight w:val="none"/>
              </w:rPr>
            </w:pPr>
            <w:r>
              <w:rPr>
                <w:rFonts w:hint="eastAsia" w:ascii="仿宋" w:hAnsi="仿宋" w:eastAsia="仿宋"/>
                <w:color w:val="auto"/>
                <w:sz w:val="28"/>
                <w:szCs w:val="28"/>
                <w:highlight w:val="none"/>
              </w:rPr>
              <w:t>1个</w:t>
            </w:r>
          </w:p>
        </w:tc>
      </w:tr>
      <w:tr w14:paraId="02D3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59621A28">
            <w:pPr>
              <w:spacing w:after="120"/>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8</w:t>
            </w:r>
          </w:p>
        </w:tc>
        <w:tc>
          <w:tcPr>
            <w:tcW w:w="2618" w:type="dxa"/>
            <w:vAlign w:val="center"/>
          </w:tcPr>
          <w:p w14:paraId="239261D3">
            <w:pPr>
              <w:spacing w:after="120"/>
              <w:jc w:val="center"/>
              <w:rPr>
                <w:rFonts w:hint="eastAsia" w:ascii="仿宋" w:hAnsi="仿宋" w:eastAsia="仿宋"/>
                <w:color w:val="auto"/>
                <w:sz w:val="28"/>
                <w:szCs w:val="28"/>
                <w:highlight w:val="none"/>
              </w:rPr>
            </w:pPr>
            <w:r>
              <w:rPr>
                <w:rFonts w:hint="eastAsia" w:ascii="仿宋" w:hAnsi="仿宋" w:eastAsia="仿宋" w:cs="宋体"/>
                <w:color w:val="auto"/>
                <w:sz w:val="28"/>
                <w:szCs w:val="28"/>
                <w:highlight w:val="none"/>
              </w:rPr>
              <w:t>空调温/湿度传感器</w:t>
            </w:r>
          </w:p>
        </w:tc>
        <w:tc>
          <w:tcPr>
            <w:tcW w:w="2835" w:type="dxa"/>
            <w:vAlign w:val="center"/>
          </w:tcPr>
          <w:p w14:paraId="41BFB32B">
            <w:pPr>
              <w:spacing w:after="120"/>
              <w:jc w:val="center"/>
              <w:rPr>
                <w:rFonts w:hint="eastAsia" w:ascii="仿宋" w:hAnsi="仿宋" w:eastAsia="仿宋"/>
                <w:color w:val="auto"/>
                <w:sz w:val="28"/>
                <w:szCs w:val="28"/>
                <w:highlight w:val="none"/>
              </w:rPr>
            </w:pPr>
            <w:r>
              <w:rPr>
                <w:rFonts w:hint="eastAsia" w:ascii="仿宋" w:hAnsi="仿宋" w:eastAsia="仿宋" w:cs="宋体"/>
                <w:color w:val="auto"/>
                <w:sz w:val="28"/>
                <w:szCs w:val="28"/>
                <w:highlight w:val="none"/>
              </w:rPr>
              <w:t>雷诺威/原厂配件</w:t>
            </w:r>
          </w:p>
        </w:tc>
        <w:tc>
          <w:tcPr>
            <w:tcW w:w="1408" w:type="dxa"/>
            <w:vAlign w:val="center"/>
          </w:tcPr>
          <w:p w14:paraId="72495874">
            <w:pPr>
              <w:spacing w:after="120"/>
              <w:jc w:val="center"/>
              <w:rPr>
                <w:rFonts w:hint="eastAsia" w:ascii="仿宋" w:hAnsi="仿宋" w:eastAsia="仿宋"/>
                <w:color w:val="auto"/>
                <w:sz w:val="28"/>
                <w:szCs w:val="28"/>
                <w:highlight w:val="none"/>
              </w:rPr>
            </w:pPr>
            <w:r>
              <w:rPr>
                <w:rFonts w:hint="eastAsia" w:ascii="仿宋" w:hAnsi="仿宋" w:eastAsia="仿宋" w:cs="宋体"/>
                <w:color w:val="auto"/>
                <w:sz w:val="28"/>
                <w:szCs w:val="28"/>
                <w:highlight w:val="none"/>
              </w:rPr>
              <w:t>1个</w:t>
            </w:r>
          </w:p>
        </w:tc>
      </w:tr>
    </w:tbl>
    <w:p w14:paraId="733AB5D4">
      <w:pPr>
        <w:pStyle w:val="37"/>
        <w:rPr>
          <w:rFonts w:hint="eastAsia"/>
          <w:color w:val="auto"/>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AC5135"/>
    <w:multiLevelType w:val="multilevel"/>
    <w:tmpl w:val="01AC513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A0E43EA"/>
    <w:multiLevelType w:val="multilevel"/>
    <w:tmpl w:val="1A0E43E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2F9C253E"/>
    <w:multiLevelType w:val="multilevel"/>
    <w:tmpl w:val="2F9C253E"/>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3A5D3AC3"/>
    <w:multiLevelType w:val="multilevel"/>
    <w:tmpl w:val="3A5D3AC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2B258F4"/>
    <w:multiLevelType w:val="multilevel"/>
    <w:tmpl w:val="42B258F4"/>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9C42653"/>
    <w:multiLevelType w:val="multilevel"/>
    <w:tmpl w:val="49C4265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5E3F6FBA"/>
    <w:multiLevelType w:val="multilevel"/>
    <w:tmpl w:val="5E3F6FB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63186C05"/>
    <w:multiLevelType w:val="multilevel"/>
    <w:tmpl w:val="63186C0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71B86F15"/>
    <w:multiLevelType w:val="multilevel"/>
    <w:tmpl w:val="71B86F1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8"/>
  </w:num>
  <w:num w:numId="2">
    <w:abstractNumId w:val="4"/>
  </w:num>
  <w:num w:numId="3">
    <w:abstractNumId w:val="6"/>
  </w:num>
  <w:num w:numId="4">
    <w:abstractNumId w:val="2"/>
  </w:num>
  <w:num w:numId="5">
    <w:abstractNumId w:val="7"/>
  </w:num>
  <w:num w:numId="6">
    <w:abstractNumId w:val="1"/>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334"/>
    <w:rsid w:val="0003355D"/>
    <w:rsid w:val="00036633"/>
    <w:rsid w:val="000540CE"/>
    <w:rsid w:val="00113D62"/>
    <w:rsid w:val="00175A19"/>
    <w:rsid w:val="00183E16"/>
    <w:rsid w:val="00235B97"/>
    <w:rsid w:val="003F5C5E"/>
    <w:rsid w:val="00426882"/>
    <w:rsid w:val="0044240F"/>
    <w:rsid w:val="00481CC7"/>
    <w:rsid w:val="004B1997"/>
    <w:rsid w:val="00626103"/>
    <w:rsid w:val="00687FD4"/>
    <w:rsid w:val="00741A69"/>
    <w:rsid w:val="0087484A"/>
    <w:rsid w:val="00913580"/>
    <w:rsid w:val="00921041"/>
    <w:rsid w:val="00925FBA"/>
    <w:rsid w:val="00953736"/>
    <w:rsid w:val="00A00D32"/>
    <w:rsid w:val="00AE7193"/>
    <w:rsid w:val="00B353B4"/>
    <w:rsid w:val="00BD4505"/>
    <w:rsid w:val="00BE6925"/>
    <w:rsid w:val="00C54A32"/>
    <w:rsid w:val="00C748F3"/>
    <w:rsid w:val="00CA6438"/>
    <w:rsid w:val="00CC652B"/>
    <w:rsid w:val="00CD76A2"/>
    <w:rsid w:val="00CE4D17"/>
    <w:rsid w:val="00D6318F"/>
    <w:rsid w:val="00DF3334"/>
    <w:rsid w:val="00E1684E"/>
    <w:rsid w:val="00E52E24"/>
    <w:rsid w:val="00F03951"/>
    <w:rsid w:val="19417AC6"/>
    <w:rsid w:val="1B8A0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17"/>
    <w:qFormat/>
    <w:uiPriority w:val="0"/>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8"/>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19"/>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0"/>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6">
    <w:name w:val="heading 5"/>
    <w:basedOn w:val="1"/>
    <w:next w:val="1"/>
    <w:link w:val="21"/>
    <w:semiHidden/>
    <w:unhideWhenUsed/>
    <w:qFormat/>
    <w:uiPriority w:val="9"/>
    <w:pPr>
      <w:keepNext/>
      <w:keepLines/>
      <w:spacing w:before="80" w:after="40" w:line="278" w:lineRule="auto"/>
      <w:jc w:val="left"/>
      <w:outlineLvl w:val="4"/>
    </w:pPr>
    <w:rPr>
      <w:rFonts w:cstheme="majorBidi"/>
      <w:color w:val="104862" w:themeColor="accent1" w:themeShade="BF"/>
      <w:sz w:val="24"/>
      <w:szCs w:val="24"/>
      <w14:ligatures w14:val="standardContextual"/>
    </w:rPr>
  </w:style>
  <w:style w:type="paragraph" w:styleId="7">
    <w:name w:val="heading 6"/>
    <w:basedOn w:val="1"/>
    <w:next w:val="1"/>
    <w:link w:val="22"/>
    <w:semiHidden/>
    <w:unhideWhenUsed/>
    <w:qFormat/>
    <w:uiPriority w:val="9"/>
    <w:pPr>
      <w:keepNext/>
      <w:keepLines/>
      <w:spacing w:before="40" w:line="278" w:lineRule="auto"/>
      <w:jc w:val="left"/>
      <w:outlineLvl w:val="5"/>
    </w:pPr>
    <w:rPr>
      <w:rFonts w:cstheme="majorBidi"/>
      <w:b/>
      <w:bCs/>
      <w:color w:val="104862" w:themeColor="accent1" w:themeShade="BF"/>
      <w:sz w:val="22"/>
      <w:szCs w:val="24"/>
      <w14:ligatures w14:val="standardContextual"/>
    </w:rPr>
  </w:style>
  <w:style w:type="paragraph" w:styleId="8">
    <w:name w:val="heading 7"/>
    <w:basedOn w:val="1"/>
    <w:next w:val="1"/>
    <w:link w:val="23"/>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pPr>
    <w:rPr>
      <w:sz w:val="18"/>
      <w:szCs w:val="18"/>
    </w:rPr>
  </w:style>
  <w:style w:type="paragraph" w:styleId="12">
    <w:name w:val="header"/>
    <w:basedOn w:val="1"/>
    <w:link w:val="35"/>
    <w:unhideWhenUsed/>
    <w:qFormat/>
    <w:uiPriority w:val="99"/>
    <w:pPr>
      <w:tabs>
        <w:tab w:val="center" w:pos="4153"/>
        <w:tab w:val="right" w:pos="8306"/>
      </w:tabs>
      <w:snapToGrid w:val="0"/>
      <w:spacing w:after="160"/>
      <w:jc w:val="center"/>
    </w:pPr>
    <w:rPr>
      <w:sz w:val="18"/>
      <w:szCs w:val="18"/>
      <w14:ligatures w14:val="standardContextual"/>
    </w:rPr>
  </w:style>
  <w:style w:type="paragraph" w:styleId="13">
    <w:name w:val="Subtitle"/>
    <w:basedOn w:val="1"/>
    <w:next w:val="1"/>
    <w:link w:val="27"/>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7">
    <w:name w:val="标题 1 字符"/>
    <w:basedOn w:val="16"/>
    <w:link w:val="2"/>
    <w:qFormat/>
    <w:uiPriority w:val="0"/>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link w:val="41"/>
    <w:qFormat/>
    <w:uiPriority w:val="34"/>
    <w:pPr>
      <w:spacing w:after="160" w:line="278" w:lineRule="auto"/>
      <w:ind w:left="720"/>
      <w:contextualSpacing/>
      <w:jc w:val="left"/>
    </w:pPr>
    <w:rPr>
      <w:sz w:val="22"/>
      <w:szCs w:val="24"/>
      <w14:ligatures w14:val="standardContextual"/>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szCs w:val="24"/>
      <w14:ligatures w14:val="standardContextual"/>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uiPriority w:val="99"/>
    <w:rPr>
      <w:sz w:val="18"/>
      <w:szCs w:val="18"/>
    </w:rPr>
  </w:style>
  <w:style w:type="paragraph" w:customStyle="1" w:styleId="37">
    <w:name w:val="snm_正文"/>
    <w:basedOn w:val="1"/>
    <w:link w:val="38"/>
    <w:autoRedefine/>
    <w:qFormat/>
    <w:uiPriority w:val="0"/>
    <w:pPr>
      <w:spacing w:line="360" w:lineRule="auto"/>
      <w:ind w:firstLine="560" w:firstLineChars="200"/>
    </w:pPr>
    <w:rPr>
      <w:rFonts w:ascii="仿宋" w:hAnsi="仿宋" w:eastAsia="仿宋" w:cs="宋体"/>
      <w:sz w:val="28"/>
      <w:szCs w:val="28"/>
    </w:rPr>
  </w:style>
  <w:style w:type="character" w:customStyle="1" w:styleId="38">
    <w:name w:val="snm_正文 Char"/>
    <w:link w:val="37"/>
    <w:autoRedefine/>
    <w:qFormat/>
    <w:uiPriority w:val="0"/>
    <w:rPr>
      <w:rFonts w:ascii="仿宋" w:hAnsi="仿宋" w:eastAsia="仿宋" w:cs="宋体"/>
      <w:sz w:val="28"/>
      <w:szCs w:val="28"/>
      <w14:ligatures w14:val="none"/>
    </w:rPr>
  </w:style>
  <w:style w:type="character" w:customStyle="1" w:styleId="39">
    <w:name w:val="无间隔 字符"/>
    <w:link w:val="40"/>
    <w:qFormat/>
    <w:uiPriority w:val="1"/>
    <w:rPr>
      <w:rFonts w:ascii="Times New Roman" w:hAnsi="Times New Roman" w:eastAsia="宋体" w:cs="Times New Roman"/>
      <w:sz w:val="21"/>
      <w:szCs w:val="21"/>
    </w:rPr>
  </w:style>
  <w:style w:type="paragraph" w:styleId="40">
    <w:name w:val="No Spacing"/>
    <w:link w:val="39"/>
    <w:qFormat/>
    <w:uiPriority w:val="1"/>
    <w:pPr>
      <w:widowControl w:val="0"/>
      <w:adjustRightInd w:val="0"/>
      <w:snapToGrid w:val="0"/>
      <w:spacing w:after="0" w:line="360" w:lineRule="auto"/>
    </w:pPr>
    <w:rPr>
      <w:rFonts w:ascii="Times New Roman" w:hAnsi="Times New Roman" w:eastAsia="宋体" w:cs="Times New Roman"/>
      <w:kern w:val="2"/>
      <w:sz w:val="21"/>
      <w:szCs w:val="21"/>
      <w:lang w:val="en-US" w:eastAsia="zh-CN" w:bidi="ar-SA"/>
      <w14:ligatures w14:val="standardContextual"/>
    </w:rPr>
  </w:style>
  <w:style w:type="character" w:customStyle="1" w:styleId="41">
    <w:name w:val="列表段落 字符"/>
    <w:link w:val="3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3275</Words>
  <Characters>3631</Characters>
  <Lines>392</Lines>
  <Paragraphs>406</Paragraphs>
  <TotalTime>20</TotalTime>
  <ScaleCrop>false</ScaleCrop>
  <LinksUpToDate>false</LinksUpToDate>
  <CharactersWithSpaces>3659</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2026-01-28T03:36:00Z</dcterms:created>
  <dc:creator>e94121</dc:creator>
  <cp:lastModifiedBy>gc</cp:lastModifiedBy>
  <dcterms:modified xsi:type="dcterms:W3CDTF">2026-04-11T09:26:47Z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eyJoZGlkIjoiNzg5M2RhNDE3ZjYzZmU1MTk2Yzc0ZjQ5NWVkMGNjNmUiLCJ1c2VySWQiOiI2MjU5ODg1NTIifQ==</vt:lpwstr>
  </property>
  <property fmtid="{D5CDD505-2E9C-101B-9397-08002B2CF9AE}" pid="3" name="KSOProductBuildVer">
    <vt:lpwstr>2052-12.1.0.22525</vt:lpwstr>
  </property>
  <property fmtid="{D5CDD505-2E9C-101B-9397-08002B2CF9AE}" pid="4" name="ICV">
    <vt:lpwstr>D48D0BCC9A704BF389A8F91A900A0F50_12</vt:lpwstr>
  </property>
</Properties>
</file>