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C6722">
      <w:pPr>
        <w:spacing w:line="360" w:lineRule="auto"/>
        <w:jc w:val="center"/>
        <w:rPr>
          <w:rFonts w:hint="eastAsia" w:asciiTheme="minorEastAsia" w:hAnsiTheme="minorEastAsia" w:cstheme="minorEastAsia"/>
          <w:b/>
          <w:sz w:val="28"/>
          <w:szCs w:val="28"/>
        </w:rPr>
      </w:pPr>
      <w:r>
        <w:rPr>
          <w:rFonts w:hint="eastAsia" w:asciiTheme="minorEastAsia" w:hAnsiTheme="minorEastAsia" w:cstheme="minorEastAsia"/>
          <w:b/>
          <w:sz w:val="28"/>
          <w:szCs w:val="28"/>
        </w:rPr>
        <w:t>2027年民科园NAS存储设备维保服务项目</w:t>
      </w:r>
    </w:p>
    <w:p w14:paraId="5A8D68F4">
      <w:pPr>
        <w:spacing w:line="360" w:lineRule="auto"/>
        <w:jc w:val="center"/>
        <w:rPr>
          <w:rFonts w:hint="eastAsia" w:asciiTheme="minorEastAsia" w:hAnsiTheme="minorEastAsia" w:cstheme="minorEastAsia"/>
          <w:b/>
          <w:sz w:val="28"/>
          <w:szCs w:val="28"/>
        </w:rPr>
      </w:pPr>
      <w:r>
        <w:rPr>
          <w:rFonts w:hint="eastAsia" w:asciiTheme="minorEastAsia" w:hAnsiTheme="minorEastAsia" w:cstheme="minorEastAsia"/>
          <w:b/>
          <w:sz w:val="28"/>
          <w:szCs w:val="28"/>
        </w:rPr>
        <w:t>采购需求</w:t>
      </w:r>
    </w:p>
    <w:p w14:paraId="7E003E2A">
      <w:pPr>
        <w:pStyle w:val="4"/>
        <w:numPr>
          <w:ilvl w:val="0"/>
          <w:numId w:val="2"/>
        </w:numPr>
        <w:ind w:left="369" w:hanging="369" w:hangingChars="175"/>
        <w:rPr>
          <w:rFonts w:hint="eastAsia" w:ascii="宋体" w:hAnsi="宋体" w:eastAsia="宋体"/>
          <w:b/>
          <w:bCs/>
          <w:color w:val="auto"/>
          <w:sz w:val="21"/>
          <w:szCs w:val="21"/>
        </w:rPr>
      </w:pPr>
      <w:r>
        <w:rPr>
          <w:rFonts w:hint="eastAsia" w:ascii="宋体" w:hAnsi="宋体" w:eastAsia="宋体"/>
          <w:b/>
          <w:bCs/>
          <w:color w:val="auto"/>
          <w:sz w:val="21"/>
          <w:szCs w:val="21"/>
        </w:rPr>
        <w:t>项目概述</w:t>
      </w:r>
    </w:p>
    <w:p w14:paraId="6A5DD62E">
      <w:pPr>
        <w:spacing w:line="360" w:lineRule="auto"/>
        <w:ind w:firstLine="420" w:firstLineChars="200"/>
        <w:rPr>
          <w:rFonts w:hint="eastAsia" w:ascii="宋体" w:hAnsi="宋体" w:cs="Arial"/>
          <w:szCs w:val="21"/>
        </w:rPr>
      </w:pPr>
      <w:r>
        <w:rPr>
          <w:rFonts w:hint="eastAsia" w:ascii="宋体" w:hAnsi="宋体" w:cs="Arial"/>
          <w:szCs w:val="21"/>
        </w:rPr>
        <w:t>为保证</w:t>
      </w:r>
      <w:r>
        <w:rPr>
          <w:rFonts w:hint="eastAsia" w:ascii="宋体" w:hAnsi="宋体" w:cs="Arial"/>
          <w:szCs w:val="21"/>
          <w:lang w:eastAsia="zh-CN"/>
        </w:rPr>
        <w:t>招标人</w:t>
      </w:r>
      <w:r>
        <w:rPr>
          <w:rFonts w:hint="eastAsia" w:ascii="宋体" w:hAnsi="宋体" w:cs="Arial"/>
          <w:szCs w:val="21"/>
        </w:rPr>
        <w:t>NetApp FAS8040和NetApp FAS9000存储设备的稳定运行，本项目要求提供专业、完善的存储维护服务。</w:t>
      </w:r>
    </w:p>
    <w:p w14:paraId="2CEE858B">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必须提供专业的维保服务、迅速到位的现场服务和备件更换服务、定期巡检服务，以保证存储系统的高可用性和高可靠性。</w:t>
      </w:r>
    </w:p>
    <w:p w14:paraId="5585EF60">
      <w:pPr>
        <w:spacing w:line="360" w:lineRule="auto"/>
        <w:ind w:firstLine="422" w:firstLineChars="200"/>
        <w:rPr>
          <w:rFonts w:hint="eastAsia" w:ascii="宋体" w:hAnsi="宋体" w:cs="Arial"/>
          <w:b/>
          <w:szCs w:val="21"/>
        </w:rPr>
      </w:pPr>
      <w:r>
        <w:rPr>
          <w:rFonts w:hint="eastAsia" w:ascii="宋体" w:hAnsi="宋体" w:cs="Arial"/>
          <w:b/>
          <w:szCs w:val="21"/>
        </w:rPr>
        <w:t>服务采购清单：</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8"/>
        <w:gridCol w:w="3683"/>
        <w:gridCol w:w="1038"/>
        <w:gridCol w:w="1038"/>
        <w:gridCol w:w="1725"/>
      </w:tblGrid>
      <w:tr w14:paraId="2CCE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09" w:type="pct"/>
            <w:vAlign w:val="center"/>
          </w:tcPr>
          <w:p w14:paraId="0E3D1377">
            <w:pPr>
              <w:adjustRightInd w:val="0"/>
              <w:snapToGrid w:val="0"/>
              <w:jc w:val="center"/>
              <w:rPr>
                <w:rFonts w:hint="eastAsia" w:ascii="宋体" w:hAnsi="宋体"/>
                <w:b/>
                <w:szCs w:val="21"/>
              </w:rPr>
            </w:pPr>
            <w:r>
              <w:rPr>
                <w:rFonts w:hint="eastAsia" w:ascii="宋体" w:hAnsi="宋体"/>
                <w:b/>
                <w:szCs w:val="21"/>
              </w:rPr>
              <w:t>序列</w:t>
            </w:r>
          </w:p>
        </w:tc>
        <w:tc>
          <w:tcPr>
            <w:tcW w:w="2161" w:type="pct"/>
            <w:vAlign w:val="center"/>
          </w:tcPr>
          <w:p w14:paraId="58206AAF">
            <w:pPr>
              <w:adjustRightInd w:val="0"/>
              <w:snapToGrid w:val="0"/>
              <w:jc w:val="center"/>
              <w:rPr>
                <w:rFonts w:hint="eastAsia" w:ascii="宋体" w:hAnsi="宋体"/>
                <w:b/>
                <w:szCs w:val="21"/>
              </w:rPr>
            </w:pPr>
            <w:r>
              <w:rPr>
                <w:rFonts w:hint="eastAsia" w:ascii="宋体" w:hAnsi="宋体"/>
                <w:b/>
                <w:szCs w:val="21"/>
              </w:rPr>
              <w:t>设备名称</w:t>
            </w:r>
          </w:p>
        </w:tc>
        <w:tc>
          <w:tcPr>
            <w:tcW w:w="609" w:type="pct"/>
            <w:vAlign w:val="center"/>
          </w:tcPr>
          <w:p w14:paraId="6EA9AD17">
            <w:pPr>
              <w:adjustRightInd w:val="0"/>
              <w:snapToGrid w:val="0"/>
              <w:jc w:val="center"/>
              <w:rPr>
                <w:rFonts w:hint="eastAsia" w:ascii="宋体" w:hAnsi="宋体"/>
                <w:b/>
                <w:szCs w:val="21"/>
              </w:rPr>
            </w:pPr>
            <w:r>
              <w:rPr>
                <w:rFonts w:hint="eastAsia" w:ascii="宋体" w:hAnsi="宋体"/>
                <w:b/>
                <w:szCs w:val="21"/>
              </w:rPr>
              <w:t>数量</w:t>
            </w:r>
          </w:p>
        </w:tc>
        <w:tc>
          <w:tcPr>
            <w:tcW w:w="609" w:type="pct"/>
            <w:vAlign w:val="center"/>
          </w:tcPr>
          <w:p w14:paraId="7E622C4F">
            <w:pPr>
              <w:adjustRightInd w:val="0"/>
              <w:snapToGrid w:val="0"/>
              <w:jc w:val="center"/>
              <w:rPr>
                <w:rFonts w:hint="eastAsia" w:ascii="宋体" w:hAnsi="宋体"/>
                <w:b/>
                <w:szCs w:val="21"/>
              </w:rPr>
            </w:pPr>
            <w:r>
              <w:rPr>
                <w:rFonts w:hint="eastAsia" w:ascii="宋体" w:hAnsi="宋体"/>
                <w:b/>
                <w:szCs w:val="21"/>
              </w:rPr>
              <w:t>单位</w:t>
            </w:r>
          </w:p>
        </w:tc>
        <w:tc>
          <w:tcPr>
            <w:tcW w:w="1012" w:type="pct"/>
            <w:vAlign w:val="center"/>
          </w:tcPr>
          <w:p w14:paraId="174AD4B4">
            <w:pPr>
              <w:adjustRightInd w:val="0"/>
              <w:snapToGrid w:val="0"/>
              <w:jc w:val="center"/>
              <w:rPr>
                <w:rFonts w:hint="eastAsia" w:ascii="宋体" w:hAnsi="宋体"/>
                <w:b/>
                <w:szCs w:val="21"/>
              </w:rPr>
            </w:pPr>
            <w:r>
              <w:rPr>
                <w:rFonts w:hint="eastAsia" w:ascii="宋体" w:hAnsi="宋体"/>
                <w:b/>
                <w:szCs w:val="21"/>
              </w:rPr>
              <w:t>交付地点</w:t>
            </w:r>
          </w:p>
        </w:tc>
      </w:tr>
      <w:tr w14:paraId="5135B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609" w:type="pct"/>
            <w:vAlign w:val="center"/>
          </w:tcPr>
          <w:p w14:paraId="113E7C7F">
            <w:pPr>
              <w:adjustRightInd w:val="0"/>
              <w:snapToGrid w:val="0"/>
              <w:jc w:val="center"/>
              <w:rPr>
                <w:rFonts w:hint="eastAsia" w:ascii="宋体" w:hAnsi="宋体"/>
                <w:szCs w:val="21"/>
              </w:rPr>
            </w:pPr>
            <w:r>
              <w:rPr>
                <w:rFonts w:hint="eastAsia" w:ascii="宋体" w:hAnsi="宋体"/>
                <w:szCs w:val="21"/>
              </w:rPr>
              <w:t>1</w:t>
            </w:r>
          </w:p>
        </w:tc>
        <w:tc>
          <w:tcPr>
            <w:tcW w:w="2161" w:type="pct"/>
            <w:vAlign w:val="center"/>
          </w:tcPr>
          <w:p w14:paraId="253AC0DF">
            <w:pPr>
              <w:adjustRightInd w:val="0"/>
              <w:snapToGrid w:val="0"/>
              <w:jc w:val="center"/>
              <w:rPr>
                <w:rFonts w:hint="eastAsia" w:ascii="宋体" w:hAnsi="宋体"/>
                <w:szCs w:val="21"/>
              </w:rPr>
            </w:pPr>
            <w:r>
              <w:rPr>
                <w:rFonts w:hint="eastAsia" w:ascii="宋体" w:hAnsi="宋体"/>
                <w:szCs w:val="21"/>
              </w:rPr>
              <w:t>NAS存储系统维保（NetApp FAS8040）</w:t>
            </w:r>
          </w:p>
        </w:tc>
        <w:tc>
          <w:tcPr>
            <w:tcW w:w="609" w:type="pct"/>
            <w:vAlign w:val="center"/>
          </w:tcPr>
          <w:p w14:paraId="5A05EF58">
            <w:pPr>
              <w:adjustRightInd w:val="0"/>
              <w:snapToGrid w:val="0"/>
              <w:jc w:val="center"/>
              <w:rPr>
                <w:rFonts w:hint="eastAsia" w:ascii="宋体" w:hAnsi="宋体"/>
                <w:szCs w:val="21"/>
              </w:rPr>
            </w:pPr>
            <w:r>
              <w:rPr>
                <w:rFonts w:hint="eastAsia" w:ascii="宋体" w:hAnsi="宋体"/>
                <w:szCs w:val="21"/>
              </w:rPr>
              <w:t>1</w:t>
            </w:r>
          </w:p>
        </w:tc>
        <w:tc>
          <w:tcPr>
            <w:tcW w:w="609" w:type="pct"/>
            <w:vAlign w:val="center"/>
          </w:tcPr>
          <w:p w14:paraId="30BBF5FC">
            <w:pPr>
              <w:adjustRightInd w:val="0"/>
              <w:snapToGrid w:val="0"/>
              <w:jc w:val="center"/>
              <w:rPr>
                <w:rFonts w:hint="eastAsia" w:ascii="宋体" w:hAnsi="宋体"/>
                <w:szCs w:val="21"/>
              </w:rPr>
            </w:pPr>
            <w:r>
              <w:rPr>
                <w:rFonts w:hint="eastAsia" w:ascii="宋体" w:hAnsi="宋体"/>
                <w:szCs w:val="21"/>
              </w:rPr>
              <w:t>项</w:t>
            </w:r>
          </w:p>
        </w:tc>
        <w:tc>
          <w:tcPr>
            <w:tcW w:w="1012" w:type="pct"/>
            <w:vAlign w:val="center"/>
          </w:tcPr>
          <w:p w14:paraId="35D8976B">
            <w:pPr>
              <w:adjustRightInd w:val="0"/>
              <w:snapToGrid w:val="0"/>
              <w:jc w:val="center"/>
              <w:rPr>
                <w:rFonts w:hint="eastAsia" w:ascii="宋体" w:hAnsi="宋体"/>
                <w:szCs w:val="21"/>
              </w:rPr>
            </w:pPr>
            <w:r>
              <w:rPr>
                <w:rFonts w:hint="eastAsia" w:ascii="宋体" w:hAnsi="宋体"/>
                <w:szCs w:val="21"/>
              </w:rPr>
              <w:t>广州</w:t>
            </w:r>
          </w:p>
        </w:tc>
      </w:tr>
      <w:tr w14:paraId="3DE9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609" w:type="pct"/>
            <w:vAlign w:val="center"/>
          </w:tcPr>
          <w:p w14:paraId="167BC090">
            <w:pPr>
              <w:adjustRightInd w:val="0"/>
              <w:snapToGrid w:val="0"/>
              <w:jc w:val="center"/>
              <w:rPr>
                <w:rFonts w:hint="eastAsia" w:ascii="宋体" w:hAnsi="宋体"/>
                <w:szCs w:val="21"/>
              </w:rPr>
            </w:pPr>
            <w:r>
              <w:rPr>
                <w:rFonts w:hint="eastAsia" w:ascii="宋体" w:hAnsi="宋体"/>
                <w:szCs w:val="21"/>
              </w:rPr>
              <w:t>2</w:t>
            </w:r>
          </w:p>
        </w:tc>
        <w:tc>
          <w:tcPr>
            <w:tcW w:w="2161" w:type="pct"/>
            <w:vAlign w:val="center"/>
          </w:tcPr>
          <w:p w14:paraId="24970564">
            <w:pPr>
              <w:adjustRightInd w:val="0"/>
              <w:snapToGrid w:val="0"/>
              <w:jc w:val="center"/>
              <w:rPr>
                <w:rFonts w:hint="eastAsia" w:ascii="宋体" w:hAnsi="宋体"/>
                <w:szCs w:val="21"/>
              </w:rPr>
            </w:pPr>
            <w:r>
              <w:rPr>
                <w:rFonts w:hint="eastAsia" w:ascii="宋体" w:hAnsi="宋体"/>
                <w:szCs w:val="21"/>
              </w:rPr>
              <w:t>NAS存储系统维保（NetApp FAS9000）</w:t>
            </w:r>
          </w:p>
        </w:tc>
        <w:tc>
          <w:tcPr>
            <w:tcW w:w="609" w:type="pct"/>
            <w:vAlign w:val="center"/>
          </w:tcPr>
          <w:p w14:paraId="50B6A631">
            <w:pPr>
              <w:adjustRightInd w:val="0"/>
              <w:snapToGrid w:val="0"/>
              <w:jc w:val="center"/>
              <w:rPr>
                <w:rFonts w:hint="eastAsia" w:ascii="宋体" w:hAnsi="宋体"/>
                <w:szCs w:val="21"/>
              </w:rPr>
            </w:pPr>
            <w:r>
              <w:rPr>
                <w:rFonts w:hint="eastAsia" w:ascii="宋体" w:hAnsi="宋体"/>
                <w:szCs w:val="21"/>
              </w:rPr>
              <w:t>1</w:t>
            </w:r>
          </w:p>
        </w:tc>
        <w:tc>
          <w:tcPr>
            <w:tcW w:w="609" w:type="pct"/>
            <w:vAlign w:val="center"/>
          </w:tcPr>
          <w:p w14:paraId="0A128FFA">
            <w:pPr>
              <w:adjustRightInd w:val="0"/>
              <w:snapToGrid w:val="0"/>
              <w:jc w:val="center"/>
              <w:rPr>
                <w:rFonts w:hint="eastAsia" w:ascii="宋体" w:hAnsi="宋体"/>
                <w:szCs w:val="21"/>
              </w:rPr>
            </w:pPr>
            <w:r>
              <w:rPr>
                <w:rFonts w:hint="eastAsia" w:ascii="宋体" w:hAnsi="宋体"/>
                <w:szCs w:val="21"/>
              </w:rPr>
              <w:t>项</w:t>
            </w:r>
          </w:p>
        </w:tc>
        <w:tc>
          <w:tcPr>
            <w:tcW w:w="1012" w:type="pct"/>
            <w:vAlign w:val="center"/>
          </w:tcPr>
          <w:p w14:paraId="052A2C10">
            <w:pPr>
              <w:adjustRightInd w:val="0"/>
              <w:snapToGrid w:val="0"/>
              <w:jc w:val="center"/>
              <w:rPr>
                <w:rFonts w:hint="eastAsia" w:ascii="宋体" w:hAnsi="宋体"/>
                <w:szCs w:val="21"/>
              </w:rPr>
            </w:pPr>
            <w:r>
              <w:rPr>
                <w:rFonts w:hint="eastAsia" w:ascii="宋体" w:hAnsi="宋体"/>
                <w:szCs w:val="21"/>
              </w:rPr>
              <w:t>广州</w:t>
            </w:r>
          </w:p>
        </w:tc>
      </w:tr>
    </w:tbl>
    <w:p w14:paraId="592DE722">
      <w:pPr>
        <w:spacing w:line="360" w:lineRule="auto"/>
        <w:rPr>
          <w:rFonts w:hint="eastAsia" w:ascii="宋体" w:hAnsi="宋体" w:cs="Arial"/>
          <w:szCs w:val="21"/>
        </w:rPr>
      </w:pPr>
    </w:p>
    <w:p w14:paraId="5108F039">
      <w:pPr>
        <w:pStyle w:val="4"/>
        <w:numPr>
          <w:ilvl w:val="0"/>
          <w:numId w:val="2"/>
        </w:numPr>
        <w:ind w:left="369" w:hanging="369" w:hangingChars="175"/>
        <w:rPr>
          <w:rFonts w:hint="eastAsia" w:ascii="宋体" w:hAnsi="宋体" w:eastAsia="宋体"/>
          <w:b/>
          <w:bCs/>
          <w:color w:val="auto"/>
          <w:sz w:val="21"/>
          <w:szCs w:val="21"/>
        </w:rPr>
      </w:pPr>
      <w:r>
        <w:rPr>
          <w:rFonts w:hint="eastAsia" w:ascii="宋体" w:hAnsi="宋体" w:eastAsia="宋体"/>
          <w:b/>
          <w:bCs/>
          <w:color w:val="auto"/>
          <w:sz w:val="21"/>
          <w:szCs w:val="21"/>
        </w:rPr>
        <w:t>维保服务内容</w:t>
      </w:r>
    </w:p>
    <w:p w14:paraId="5EF4919F">
      <w:pPr>
        <w:pStyle w:val="15"/>
        <w:numPr>
          <w:ilvl w:val="1"/>
          <w:numId w:val="3"/>
        </w:numPr>
        <w:spacing w:line="360" w:lineRule="auto"/>
        <w:ind w:left="851" w:firstLineChars="0"/>
        <w:rPr>
          <w:rFonts w:hint="eastAsia" w:ascii="宋体" w:hAnsi="宋体" w:cs="Arial"/>
          <w:b/>
          <w:szCs w:val="21"/>
        </w:rPr>
      </w:pPr>
      <w:r>
        <w:rPr>
          <w:rFonts w:hint="eastAsia" w:ascii="宋体" w:hAnsi="宋体" w:cs="Arial"/>
          <w:b/>
          <w:szCs w:val="21"/>
        </w:rPr>
        <w:t>NetApp存储系统技术服务</w:t>
      </w:r>
    </w:p>
    <w:p w14:paraId="6A241E2F">
      <w:pPr>
        <w:widowControl/>
        <w:spacing w:line="360" w:lineRule="auto"/>
        <w:ind w:firstLine="420"/>
        <w:jc w:val="left"/>
        <w:rPr>
          <w:rFonts w:hint="eastAsia" w:ascii="宋体" w:hAnsi="宋体" w:cs="Arial"/>
          <w:kern w:val="0"/>
          <w:szCs w:val="21"/>
        </w:rPr>
      </w:pPr>
      <w:r>
        <w:rPr>
          <w:rFonts w:hint="eastAsia" w:ascii="宋体" w:hAnsi="宋体" w:cs="Arial"/>
          <w:szCs w:val="21"/>
        </w:rPr>
        <w:t>N</w:t>
      </w:r>
      <w:r>
        <w:rPr>
          <w:rFonts w:hint="eastAsia" w:ascii="宋体" w:hAnsi="宋体" w:cs="Arial"/>
          <w:kern w:val="0"/>
          <w:szCs w:val="21"/>
        </w:rPr>
        <w:t xml:space="preserve"> NetApp存储系统运行维护，含：</w:t>
      </w:r>
    </w:p>
    <w:p w14:paraId="06A6EA16">
      <w:pPr>
        <w:pStyle w:val="15"/>
        <w:widowControl/>
        <w:numPr>
          <w:ilvl w:val="0"/>
          <w:numId w:val="4"/>
        </w:numPr>
        <w:spacing w:line="360" w:lineRule="auto"/>
        <w:ind w:firstLineChars="0"/>
        <w:jc w:val="left"/>
        <w:rPr>
          <w:rFonts w:ascii="宋体" w:hAnsi="宋体" w:cs="Arial"/>
          <w:kern w:val="0"/>
          <w:szCs w:val="21"/>
        </w:rPr>
      </w:pPr>
      <w:r>
        <w:rPr>
          <w:rFonts w:hint="eastAsia" w:ascii="宋体" w:hAnsi="宋体" w:cs="Arial"/>
          <w:kern w:val="0"/>
          <w:szCs w:val="21"/>
        </w:rPr>
        <w:t>NetApp FAS8040系列存储及配套软件升级服务，包括N</w:t>
      </w:r>
      <w:r>
        <w:rPr>
          <w:rFonts w:hint="eastAsia" w:ascii="宋体" w:hAnsi="宋体"/>
          <w:szCs w:val="21"/>
        </w:rPr>
        <w:t>etApp FAS8040系列存储</w:t>
      </w:r>
      <w:r>
        <w:rPr>
          <w:rFonts w:hint="eastAsia" w:ascii="宋体" w:hAnsi="宋体" w:cs="Arial"/>
          <w:szCs w:val="21"/>
        </w:rPr>
        <w:t>两个控制器节点</w:t>
      </w:r>
      <w:r>
        <w:rPr>
          <w:rFonts w:hint="eastAsia" w:ascii="宋体" w:hAnsi="宋体"/>
          <w:szCs w:val="21"/>
        </w:rPr>
        <w:t>，19台DS4246磁盘扩展柜（含456块4TB NL-SAS磁盘），存储系统配套的电源、风扇、其他模块及线缆等，</w:t>
      </w:r>
      <w:r>
        <w:rPr>
          <w:rFonts w:hint="eastAsia" w:ascii="宋体" w:hAnsi="宋体" w:cs="Arial"/>
          <w:kern w:val="0"/>
          <w:szCs w:val="21"/>
        </w:rPr>
        <w:t>7*24小时技术支持；维保期：一年。</w:t>
      </w:r>
    </w:p>
    <w:p w14:paraId="12AC3A46">
      <w:pPr>
        <w:pStyle w:val="15"/>
        <w:widowControl/>
        <w:numPr>
          <w:ilvl w:val="0"/>
          <w:numId w:val="4"/>
        </w:numPr>
        <w:spacing w:line="360" w:lineRule="auto"/>
        <w:ind w:firstLineChars="0"/>
        <w:jc w:val="left"/>
        <w:rPr>
          <w:rFonts w:hint="eastAsia" w:ascii="宋体" w:hAnsi="宋体" w:cs="Arial"/>
          <w:kern w:val="0"/>
          <w:szCs w:val="21"/>
        </w:rPr>
      </w:pPr>
      <w:bookmarkStart w:id="0" w:name="OLE_LINK3"/>
      <w:r>
        <w:rPr>
          <w:rFonts w:hint="eastAsia" w:ascii="宋体" w:hAnsi="宋体" w:cs="Arial"/>
          <w:szCs w:val="21"/>
        </w:rPr>
        <w:t>NetApp FAS9000存储及配套软件升级服务，包括FAS9000</w:t>
      </w:r>
      <w:bookmarkStart w:id="1" w:name="OLE_LINK2"/>
      <w:r>
        <w:rPr>
          <w:rFonts w:hint="eastAsia" w:ascii="宋体" w:hAnsi="宋体" w:cs="Arial"/>
          <w:szCs w:val="21"/>
        </w:rPr>
        <w:t>两个控制器节点</w:t>
      </w:r>
      <w:bookmarkEnd w:id="1"/>
      <w:r>
        <w:rPr>
          <w:rFonts w:hint="eastAsia" w:ascii="宋体" w:hAnsi="宋体" w:cs="Arial"/>
          <w:szCs w:val="21"/>
        </w:rPr>
        <w:t>，；14个DS212C磁盘柜，（含168块10TB NL-SAS磁盘），存储系统配套的电源、风扇、其他模块及线缆等，7*24小时技术支持；</w:t>
      </w:r>
      <w:r>
        <w:rPr>
          <w:rFonts w:hint="eastAsia" w:ascii="宋体" w:hAnsi="宋体" w:cs="Arial"/>
          <w:kern w:val="0"/>
          <w:szCs w:val="21"/>
        </w:rPr>
        <w:t>维保期：一年。</w:t>
      </w:r>
    </w:p>
    <w:bookmarkEnd w:id="0"/>
    <w:p w14:paraId="4C6F0EE1">
      <w:pPr>
        <w:pStyle w:val="15"/>
        <w:numPr>
          <w:ilvl w:val="1"/>
          <w:numId w:val="3"/>
        </w:numPr>
        <w:spacing w:line="360" w:lineRule="auto"/>
        <w:ind w:left="851" w:firstLineChars="0"/>
        <w:rPr>
          <w:rFonts w:hint="eastAsia" w:ascii="宋体" w:hAnsi="宋体" w:cs="Arial"/>
          <w:b/>
          <w:szCs w:val="21"/>
        </w:rPr>
      </w:pPr>
      <w:r>
        <w:rPr>
          <w:rFonts w:ascii="宋体" w:hAnsi="宋体" w:cs="Arial"/>
          <w:b/>
          <w:szCs w:val="21"/>
        </w:rPr>
        <w:t>NetApp</w:t>
      </w:r>
      <w:r>
        <w:rPr>
          <w:rFonts w:hint="eastAsia" w:ascii="宋体" w:hAnsi="宋体" w:cs="Arial"/>
          <w:b/>
          <w:szCs w:val="21"/>
        </w:rPr>
        <w:t>存储系统备件服务</w:t>
      </w:r>
    </w:p>
    <w:p w14:paraId="5B9AB31D">
      <w:pPr>
        <w:numPr>
          <w:ilvl w:val="0"/>
          <w:numId w:val="5"/>
        </w:numPr>
        <w:spacing w:line="360" w:lineRule="auto"/>
        <w:rPr>
          <w:rFonts w:ascii="宋体" w:hAnsi="宋体"/>
          <w:szCs w:val="21"/>
        </w:rPr>
      </w:pPr>
      <w:r>
        <w:rPr>
          <w:rFonts w:hint="eastAsia" w:ascii="宋体" w:hAnsi="宋体"/>
          <w:szCs w:val="21"/>
        </w:rPr>
        <w:t>NetApp FAS8040系列存储双节点控制器，19台DS4246磁盘扩展柜（含456块4TB NL-SAS磁盘），存储系统配套的电源、风扇、其他模块及线缆等，备件4小时送达：服务期：一年。</w:t>
      </w:r>
    </w:p>
    <w:p w14:paraId="1552E8DC">
      <w:pPr>
        <w:numPr>
          <w:ilvl w:val="0"/>
          <w:numId w:val="5"/>
        </w:numPr>
        <w:spacing w:line="360" w:lineRule="auto"/>
        <w:rPr>
          <w:rFonts w:ascii="宋体" w:hAnsi="宋体"/>
          <w:szCs w:val="21"/>
        </w:rPr>
      </w:pPr>
      <w:r>
        <w:rPr>
          <w:rFonts w:hint="eastAsia" w:ascii="宋体" w:hAnsi="宋体" w:cs="Arial"/>
          <w:szCs w:val="21"/>
        </w:rPr>
        <w:t>NetApp FAS9000存储及配套软件升级服务，包括FAS9000两个控制器节点，；14个DS212C磁盘柜，（含168块10TB NL-SAS磁盘），存储系统配套的电源、风扇、其他模块及线缆等，</w:t>
      </w:r>
      <w:r>
        <w:rPr>
          <w:rFonts w:hint="eastAsia" w:ascii="宋体" w:hAnsi="宋体"/>
          <w:szCs w:val="21"/>
        </w:rPr>
        <w:t>，备件4小时送达：服务期：一年。</w:t>
      </w:r>
    </w:p>
    <w:p w14:paraId="66969173">
      <w:pPr>
        <w:widowControl/>
        <w:spacing w:line="360" w:lineRule="auto"/>
        <w:ind w:left="840"/>
        <w:jc w:val="left"/>
        <w:rPr>
          <w:rFonts w:hint="eastAsia" w:ascii="宋体" w:hAnsi="宋体" w:cs="Arial"/>
          <w:kern w:val="0"/>
          <w:szCs w:val="21"/>
        </w:rPr>
      </w:pPr>
    </w:p>
    <w:p w14:paraId="75C288D0">
      <w:pPr>
        <w:pStyle w:val="2"/>
        <w:rPr>
          <w:rFonts w:hint="eastAsia"/>
        </w:rPr>
      </w:pPr>
    </w:p>
    <w:p w14:paraId="306D500D">
      <w:pPr>
        <w:pStyle w:val="15"/>
        <w:numPr>
          <w:ilvl w:val="1"/>
          <w:numId w:val="3"/>
        </w:numPr>
        <w:spacing w:line="360" w:lineRule="auto"/>
        <w:ind w:left="851" w:firstLineChars="0"/>
        <w:rPr>
          <w:rFonts w:hint="eastAsia" w:ascii="宋体" w:hAnsi="宋体" w:cs="Arial"/>
          <w:b/>
          <w:szCs w:val="21"/>
        </w:rPr>
      </w:pPr>
      <w:r>
        <w:rPr>
          <w:rFonts w:hint="eastAsia" w:ascii="宋体" w:hAnsi="宋体" w:cs="Arial"/>
          <w:b/>
          <w:szCs w:val="21"/>
        </w:rPr>
        <w:t>技术支持及响应服务</w:t>
      </w:r>
    </w:p>
    <w:p w14:paraId="6CA4C302">
      <w:pPr>
        <w:spacing w:line="360" w:lineRule="auto"/>
        <w:ind w:firstLine="420" w:firstLineChars="200"/>
        <w:rPr>
          <w:rFonts w:hint="eastAsia" w:ascii="宋体" w:hAnsi="宋体" w:cs="Arial"/>
          <w:szCs w:val="21"/>
        </w:rPr>
      </w:pPr>
      <w:r>
        <w:rPr>
          <w:rFonts w:hint="eastAsia" w:ascii="宋体" w:hAnsi="宋体" w:cs="Arial"/>
          <w:szCs w:val="21"/>
        </w:rPr>
        <w:t>维保期内，</w:t>
      </w:r>
      <w:r>
        <w:rPr>
          <w:rFonts w:hint="eastAsia" w:ascii="宋体" w:hAnsi="宋体" w:cs="Arial"/>
          <w:szCs w:val="21"/>
          <w:lang w:eastAsia="zh-CN"/>
        </w:rPr>
        <w:t>供应商</w:t>
      </w:r>
      <w:r>
        <w:rPr>
          <w:rFonts w:hint="eastAsia" w:ascii="宋体" w:hAnsi="宋体" w:cs="Arial"/>
          <w:szCs w:val="21"/>
        </w:rPr>
        <w:t>负责排除缺陷、修理或替换出现故障的部件、原件和产品(包括软件和硬件)并运送至</w:t>
      </w:r>
      <w:r>
        <w:rPr>
          <w:rFonts w:hint="eastAsia" w:ascii="宋体" w:hAnsi="宋体" w:cs="Arial"/>
          <w:szCs w:val="21"/>
          <w:lang w:eastAsia="zh-CN"/>
        </w:rPr>
        <w:t>招标人</w:t>
      </w:r>
      <w:r>
        <w:rPr>
          <w:rFonts w:hint="eastAsia" w:ascii="宋体" w:hAnsi="宋体" w:cs="Arial"/>
          <w:szCs w:val="21"/>
        </w:rPr>
        <w:t>现场，所有费用(含运输及保险费)由</w:t>
      </w:r>
      <w:r>
        <w:rPr>
          <w:rFonts w:hint="eastAsia" w:ascii="宋体" w:hAnsi="宋体" w:cs="Arial"/>
          <w:szCs w:val="21"/>
          <w:lang w:eastAsia="zh-CN"/>
        </w:rPr>
        <w:t>供应商</w:t>
      </w:r>
      <w:r>
        <w:rPr>
          <w:rFonts w:hint="eastAsia" w:ascii="宋体" w:hAnsi="宋体" w:cs="Arial"/>
          <w:szCs w:val="21"/>
        </w:rPr>
        <w:t>承担。</w:t>
      </w:r>
    </w:p>
    <w:p w14:paraId="07DA1E17">
      <w:pPr>
        <w:spacing w:line="360" w:lineRule="auto"/>
        <w:ind w:firstLine="420" w:firstLineChars="200"/>
        <w:rPr>
          <w:rFonts w:hint="eastAsia" w:ascii="宋体" w:hAnsi="宋体" w:cs="Arial"/>
          <w:szCs w:val="21"/>
        </w:rPr>
      </w:pPr>
      <w:r>
        <w:rPr>
          <w:rFonts w:hint="eastAsia" w:ascii="宋体" w:hAnsi="宋体" w:cs="Arial"/>
          <w:szCs w:val="21"/>
        </w:rPr>
        <w:t>维保期内，出现重大通信故障，</w:t>
      </w:r>
      <w:r>
        <w:rPr>
          <w:rFonts w:hint="eastAsia" w:ascii="宋体" w:hAnsi="宋体" w:cs="Arial"/>
          <w:szCs w:val="21"/>
          <w:lang w:eastAsia="zh-CN"/>
        </w:rPr>
        <w:t>供应商</w:t>
      </w:r>
      <w:r>
        <w:rPr>
          <w:rFonts w:hint="eastAsia" w:ascii="宋体" w:hAnsi="宋体" w:cs="Arial"/>
          <w:szCs w:val="21"/>
        </w:rPr>
        <w:t>应在接到</w:t>
      </w:r>
      <w:r>
        <w:rPr>
          <w:rFonts w:hint="eastAsia" w:ascii="宋体" w:hAnsi="宋体" w:cs="Arial"/>
          <w:szCs w:val="21"/>
          <w:lang w:eastAsia="zh-CN"/>
        </w:rPr>
        <w:t>招标人</w:t>
      </w:r>
      <w:r>
        <w:rPr>
          <w:rFonts w:hint="eastAsia" w:ascii="宋体" w:hAnsi="宋体" w:cs="Arial"/>
          <w:szCs w:val="21"/>
        </w:rPr>
        <w:t>通知后15分钟内做出响应并尽快提供解决方案，立即派遣工程技术人员用最快捷的交通工具前往现场，并在4小时内恢复业务，1个工作日内解决。如因</w:t>
      </w:r>
      <w:r>
        <w:rPr>
          <w:rFonts w:hint="eastAsia" w:ascii="宋体" w:hAnsi="宋体" w:cs="Arial"/>
          <w:szCs w:val="21"/>
          <w:lang w:eastAsia="zh-CN"/>
        </w:rPr>
        <w:t>供应商</w:t>
      </w:r>
      <w:r>
        <w:rPr>
          <w:rFonts w:hint="eastAsia" w:ascii="宋体" w:hAnsi="宋体" w:cs="Arial"/>
          <w:szCs w:val="21"/>
        </w:rPr>
        <w:t>原因造成投标系统设备重大通信故障，</w:t>
      </w:r>
      <w:r>
        <w:rPr>
          <w:rFonts w:hint="eastAsia" w:ascii="宋体" w:hAnsi="宋体" w:cs="Arial"/>
          <w:szCs w:val="21"/>
          <w:lang w:eastAsia="zh-CN"/>
        </w:rPr>
        <w:t>供应商</w:t>
      </w:r>
      <w:r>
        <w:rPr>
          <w:rFonts w:hint="eastAsia" w:ascii="宋体" w:hAnsi="宋体" w:cs="Arial"/>
          <w:szCs w:val="21"/>
        </w:rPr>
        <w:t>将依照本协议的规定对由此而引起的</w:t>
      </w:r>
      <w:r>
        <w:rPr>
          <w:rFonts w:hint="eastAsia" w:ascii="宋体" w:hAnsi="宋体" w:cs="Arial"/>
          <w:szCs w:val="21"/>
          <w:lang w:eastAsia="zh-CN"/>
        </w:rPr>
        <w:t>招标人</w:t>
      </w:r>
      <w:r>
        <w:rPr>
          <w:rFonts w:hint="eastAsia" w:ascii="宋体" w:hAnsi="宋体" w:cs="Arial"/>
          <w:szCs w:val="21"/>
        </w:rPr>
        <w:t>的损失承担责任。</w:t>
      </w:r>
    </w:p>
    <w:p w14:paraId="55C0FD4B">
      <w:pPr>
        <w:spacing w:line="360" w:lineRule="auto"/>
        <w:ind w:firstLine="420" w:firstLineChars="200"/>
        <w:rPr>
          <w:rFonts w:hint="eastAsia" w:ascii="宋体" w:hAnsi="宋体" w:cs="Arial"/>
          <w:szCs w:val="21"/>
        </w:rPr>
      </w:pPr>
      <w:r>
        <w:rPr>
          <w:rFonts w:hint="eastAsia" w:ascii="宋体" w:hAnsi="宋体" w:cs="Arial"/>
          <w:szCs w:val="21"/>
        </w:rPr>
        <w:t>维保期内，如果</w:t>
      </w:r>
      <w:r>
        <w:rPr>
          <w:rFonts w:hint="eastAsia" w:ascii="宋体" w:hAnsi="宋体" w:cs="Arial"/>
          <w:szCs w:val="21"/>
          <w:lang w:eastAsia="zh-CN"/>
        </w:rPr>
        <w:t>供应商</w:t>
      </w:r>
      <w:r>
        <w:rPr>
          <w:rFonts w:hint="eastAsia" w:ascii="宋体" w:hAnsi="宋体" w:cs="Arial"/>
          <w:szCs w:val="21"/>
        </w:rPr>
        <w:t>对该投标系统产品的运行、维护、保证方面进行了技术改进，</w:t>
      </w:r>
      <w:r>
        <w:rPr>
          <w:rFonts w:hint="eastAsia" w:ascii="宋体" w:hAnsi="宋体" w:cs="Arial"/>
          <w:szCs w:val="21"/>
          <w:lang w:eastAsia="zh-CN"/>
        </w:rPr>
        <w:t>供应商</w:t>
      </w:r>
      <w:r>
        <w:rPr>
          <w:rFonts w:hint="eastAsia" w:ascii="宋体" w:hAnsi="宋体" w:cs="Arial"/>
          <w:szCs w:val="21"/>
        </w:rPr>
        <w:t>应积极向</w:t>
      </w:r>
      <w:r>
        <w:rPr>
          <w:rFonts w:hint="eastAsia" w:ascii="宋体" w:hAnsi="宋体" w:cs="Arial"/>
          <w:szCs w:val="21"/>
          <w:lang w:eastAsia="zh-CN"/>
        </w:rPr>
        <w:t>招标人</w:t>
      </w:r>
      <w:r>
        <w:rPr>
          <w:rFonts w:hint="eastAsia" w:ascii="宋体" w:hAnsi="宋体" w:cs="Arial"/>
          <w:szCs w:val="21"/>
        </w:rPr>
        <w:t>推广。</w:t>
      </w:r>
      <w:r>
        <w:rPr>
          <w:rFonts w:hint="eastAsia" w:ascii="宋体" w:hAnsi="宋体" w:cs="Arial"/>
          <w:szCs w:val="21"/>
          <w:lang w:eastAsia="zh-CN"/>
        </w:rPr>
        <w:t>供应商</w:t>
      </w:r>
      <w:r>
        <w:rPr>
          <w:rFonts w:hint="eastAsia" w:ascii="宋体" w:hAnsi="宋体" w:cs="Arial"/>
          <w:szCs w:val="21"/>
        </w:rPr>
        <w:t>应免费向</w:t>
      </w:r>
      <w:r>
        <w:rPr>
          <w:rFonts w:hint="eastAsia" w:ascii="宋体" w:hAnsi="宋体" w:cs="Arial"/>
          <w:szCs w:val="21"/>
          <w:lang w:eastAsia="zh-CN"/>
        </w:rPr>
        <w:t>招标人</w:t>
      </w:r>
      <w:r>
        <w:rPr>
          <w:rFonts w:hint="eastAsia" w:ascii="宋体" w:hAnsi="宋体" w:cs="Arial"/>
          <w:szCs w:val="21"/>
        </w:rPr>
        <w:t>提供与这些技术改进有关的详细技术资料。对于增加硬件或投标系统设备功能所做的技术改进，具体费用问题须经双方进一步协商确定。一旦达成协议，</w:t>
      </w:r>
      <w:r>
        <w:rPr>
          <w:rFonts w:hint="eastAsia" w:ascii="宋体" w:hAnsi="宋体" w:cs="Arial"/>
          <w:szCs w:val="21"/>
          <w:lang w:eastAsia="zh-CN"/>
        </w:rPr>
        <w:t>招标人</w:t>
      </w:r>
      <w:r>
        <w:rPr>
          <w:rFonts w:hint="eastAsia" w:ascii="宋体" w:hAnsi="宋体" w:cs="Arial"/>
          <w:szCs w:val="21"/>
        </w:rPr>
        <w:t>将按照买卖双方约定的统一交易条件与</w:t>
      </w:r>
      <w:r>
        <w:rPr>
          <w:rFonts w:hint="eastAsia" w:ascii="宋体" w:hAnsi="宋体" w:cs="Arial"/>
          <w:szCs w:val="21"/>
          <w:lang w:eastAsia="zh-CN"/>
        </w:rPr>
        <w:t>供应商</w:t>
      </w:r>
      <w:r>
        <w:rPr>
          <w:rFonts w:hint="eastAsia" w:ascii="宋体" w:hAnsi="宋体" w:cs="Arial"/>
          <w:szCs w:val="21"/>
        </w:rPr>
        <w:t>签订补充协议。</w:t>
      </w:r>
    </w:p>
    <w:p w14:paraId="67C21523">
      <w:pPr>
        <w:spacing w:line="360" w:lineRule="auto"/>
        <w:ind w:firstLine="420" w:firstLineChars="200"/>
        <w:rPr>
          <w:rFonts w:hint="eastAsia" w:ascii="宋体" w:hAnsi="宋体" w:cs="Arial"/>
          <w:szCs w:val="21"/>
        </w:rPr>
      </w:pPr>
      <w:r>
        <w:rPr>
          <w:rFonts w:hint="eastAsia" w:ascii="宋体" w:hAnsi="宋体" w:cs="Arial"/>
          <w:szCs w:val="21"/>
        </w:rPr>
        <w:t>维保期满后，如果出现特殊和紧急情况，在</w:t>
      </w:r>
      <w:r>
        <w:rPr>
          <w:rFonts w:hint="eastAsia" w:ascii="宋体" w:hAnsi="宋体" w:cs="Arial"/>
          <w:szCs w:val="21"/>
          <w:lang w:eastAsia="zh-CN"/>
        </w:rPr>
        <w:t>招标人</w:t>
      </w:r>
      <w:r>
        <w:rPr>
          <w:rFonts w:hint="eastAsia" w:ascii="宋体" w:hAnsi="宋体" w:cs="Arial"/>
          <w:szCs w:val="21"/>
        </w:rPr>
        <w:t>要求下，</w:t>
      </w:r>
      <w:r>
        <w:rPr>
          <w:rFonts w:hint="eastAsia" w:ascii="宋体" w:hAnsi="宋体" w:cs="Arial"/>
          <w:szCs w:val="21"/>
          <w:lang w:eastAsia="zh-CN"/>
        </w:rPr>
        <w:t>供应商</w:t>
      </w:r>
      <w:r>
        <w:rPr>
          <w:rFonts w:hint="eastAsia" w:ascii="宋体" w:hAnsi="宋体" w:cs="Arial"/>
          <w:szCs w:val="21"/>
        </w:rPr>
        <w:t>承诺将派遣其工程技术人员以优惠价格到现场进行对投标系统设备检查和维修。</w:t>
      </w:r>
    </w:p>
    <w:p w14:paraId="1BB1D953">
      <w:pPr>
        <w:pStyle w:val="15"/>
        <w:numPr>
          <w:ilvl w:val="1"/>
          <w:numId w:val="3"/>
        </w:numPr>
        <w:spacing w:line="360" w:lineRule="auto"/>
        <w:ind w:left="851" w:firstLineChars="0"/>
        <w:rPr>
          <w:rFonts w:hint="eastAsia" w:ascii="宋体" w:hAnsi="宋体" w:cs="Arial"/>
          <w:b/>
          <w:szCs w:val="21"/>
        </w:rPr>
      </w:pPr>
      <w:r>
        <w:rPr>
          <w:rFonts w:hint="eastAsia" w:ascii="宋体" w:hAnsi="宋体" w:cs="Arial"/>
          <w:b/>
          <w:szCs w:val="21"/>
        </w:rPr>
        <w:t>巡检</w:t>
      </w:r>
    </w:p>
    <w:p w14:paraId="10EB176D">
      <w:pPr>
        <w:spacing w:line="360" w:lineRule="auto"/>
        <w:ind w:firstLine="420" w:firstLineChars="200"/>
        <w:rPr>
          <w:rFonts w:hint="eastAsia" w:ascii="宋体" w:hAnsi="宋体" w:cs="Arial"/>
          <w:szCs w:val="21"/>
        </w:rPr>
      </w:pPr>
      <w:r>
        <w:rPr>
          <w:rFonts w:hint="eastAsia" w:ascii="宋体" w:hAnsi="宋体" w:cs="Arial"/>
          <w:szCs w:val="21"/>
        </w:rPr>
        <w:t>在维护期内，</w:t>
      </w:r>
      <w:r>
        <w:rPr>
          <w:rFonts w:hint="eastAsia" w:ascii="宋体" w:hAnsi="宋体" w:cs="Arial"/>
          <w:szCs w:val="21"/>
          <w:lang w:eastAsia="zh-CN"/>
        </w:rPr>
        <w:t>供应商</w:t>
      </w:r>
      <w:r>
        <w:rPr>
          <w:rFonts w:hint="eastAsia" w:ascii="宋体" w:hAnsi="宋体" w:cs="Arial"/>
          <w:szCs w:val="21"/>
        </w:rPr>
        <w:t>全年为</w:t>
      </w:r>
      <w:r>
        <w:rPr>
          <w:rFonts w:hint="eastAsia" w:ascii="宋体" w:hAnsi="宋体" w:cs="Arial"/>
          <w:szCs w:val="21"/>
          <w:lang w:eastAsia="zh-CN"/>
        </w:rPr>
        <w:t>招标人</w:t>
      </w:r>
      <w:r>
        <w:rPr>
          <w:rFonts w:hint="eastAsia" w:ascii="宋体" w:hAnsi="宋体" w:cs="Arial"/>
          <w:szCs w:val="21"/>
        </w:rPr>
        <w:t>按季提供全年4次常规巡检,每次巡检由</w:t>
      </w:r>
      <w:r>
        <w:rPr>
          <w:rFonts w:hint="eastAsia" w:ascii="宋体" w:hAnsi="宋体" w:cs="Arial"/>
          <w:szCs w:val="21"/>
          <w:lang w:eastAsia="zh-CN"/>
        </w:rPr>
        <w:t>供应商</w:t>
      </w:r>
      <w:r>
        <w:rPr>
          <w:rFonts w:hint="eastAsia" w:ascii="宋体" w:hAnsi="宋体" w:cs="Arial"/>
          <w:szCs w:val="21"/>
        </w:rPr>
        <w:t>向</w:t>
      </w:r>
      <w:r>
        <w:rPr>
          <w:rFonts w:hint="eastAsia" w:ascii="宋体" w:hAnsi="宋体" w:cs="Arial"/>
          <w:szCs w:val="21"/>
          <w:lang w:eastAsia="zh-CN"/>
        </w:rPr>
        <w:t>招标人</w:t>
      </w:r>
      <w:r>
        <w:rPr>
          <w:rFonts w:hint="eastAsia" w:ascii="宋体" w:hAnsi="宋体" w:cs="Arial"/>
          <w:szCs w:val="21"/>
        </w:rPr>
        <w:t>提前3天预约或按</w:t>
      </w:r>
      <w:r>
        <w:rPr>
          <w:rFonts w:hint="eastAsia" w:ascii="宋体" w:hAnsi="宋体" w:cs="Arial"/>
          <w:szCs w:val="21"/>
          <w:lang w:eastAsia="zh-CN"/>
        </w:rPr>
        <w:t>招标人</w:t>
      </w:r>
      <w:r>
        <w:rPr>
          <w:rFonts w:hint="eastAsia" w:ascii="宋体" w:hAnsi="宋体" w:cs="Arial"/>
          <w:szCs w:val="21"/>
        </w:rPr>
        <w:t>指定时间进行。巡检内容包括存储的健康状况、存储的当前使用负荷、存储的性能状况等。针对巡检中发现的问题，</w:t>
      </w:r>
      <w:r>
        <w:rPr>
          <w:rFonts w:hint="eastAsia" w:ascii="宋体" w:hAnsi="宋体" w:cs="Arial"/>
          <w:szCs w:val="21"/>
          <w:lang w:eastAsia="zh-CN"/>
        </w:rPr>
        <w:t>供应商</w:t>
      </w:r>
      <w:r>
        <w:rPr>
          <w:rFonts w:hint="eastAsia" w:ascii="宋体" w:hAnsi="宋体" w:cs="Arial"/>
          <w:szCs w:val="21"/>
        </w:rPr>
        <w:t>应负责制定相应的改善计划及预防性措施，处理异常问题，并出具书面检测报告供</w:t>
      </w:r>
      <w:r>
        <w:rPr>
          <w:rFonts w:hint="eastAsia" w:ascii="宋体" w:hAnsi="宋体" w:cs="Arial"/>
          <w:szCs w:val="21"/>
          <w:lang w:eastAsia="zh-CN"/>
        </w:rPr>
        <w:t>招标人</w:t>
      </w:r>
      <w:r>
        <w:rPr>
          <w:rFonts w:hint="eastAsia" w:ascii="宋体" w:hAnsi="宋体" w:cs="Arial"/>
          <w:szCs w:val="21"/>
        </w:rPr>
        <w:t>存档。巡检报告内容需由</w:t>
      </w:r>
      <w:r>
        <w:rPr>
          <w:rFonts w:hint="eastAsia" w:ascii="宋体" w:hAnsi="宋体" w:cs="Arial"/>
          <w:szCs w:val="21"/>
          <w:lang w:eastAsia="zh-CN"/>
        </w:rPr>
        <w:t>供应商</w:t>
      </w:r>
      <w:r>
        <w:rPr>
          <w:rFonts w:hint="eastAsia" w:ascii="宋体" w:hAnsi="宋体" w:cs="Arial"/>
          <w:szCs w:val="21"/>
        </w:rPr>
        <w:t>工程师签字确认。</w:t>
      </w:r>
    </w:p>
    <w:p w14:paraId="25EE7502">
      <w:pPr>
        <w:pStyle w:val="15"/>
        <w:numPr>
          <w:ilvl w:val="1"/>
          <w:numId w:val="3"/>
        </w:numPr>
        <w:spacing w:line="360" w:lineRule="auto"/>
        <w:ind w:left="851" w:firstLineChars="0"/>
        <w:rPr>
          <w:rFonts w:hint="eastAsia" w:ascii="宋体" w:hAnsi="宋体" w:cs="Arial"/>
          <w:b/>
          <w:szCs w:val="21"/>
        </w:rPr>
      </w:pPr>
      <w:r>
        <w:rPr>
          <w:rFonts w:hint="eastAsia" w:ascii="宋体" w:hAnsi="宋体" w:cs="Arial"/>
          <w:b/>
          <w:szCs w:val="21"/>
        </w:rPr>
        <w:t>系统升级</w:t>
      </w:r>
    </w:p>
    <w:p w14:paraId="480BA159">
      <w:pPr>
        <w:spacing w:line="360" w:lineRule="auto"/>
        <w:ind w:firstLine="420" w:firstLineChars="200"/>
        <w:rPr>
          <w:rFonts w:hint="eastAsia" w:ascii="宋体" w:hAnsi="宋体" w:cs="Arial"/>
          <w:szCs w:val="21"/>
        </w:rPr>
      </w:pPr>
      <w:r>
        <w:rPr>
          <w:rFonts w:hint="eastAsia" w:ascii="宋体" w:hAnsi="宋体" w:cs="Arial"/>
          <w:szCs w:val="21"/>
        </w:rPr>
        <w:t>在维护期间内，如有必要，</w:t>
      </w:r>
      <w:r>
        <w:rPr>
          <w:rFonts w:hint="eastAsia" w:ascii="宋体" w:hAnsi="宋体" w:cs="Arial"/>
          <w:szCs w:val="21"/>
          <w:lang w:eastAsia="zh-CN"/>
        </w:rPr>
        <w:t>供应商</w:t>
      </w:r>
      <w:r>
        <w:rPr>
          <w:rFonts w:hint="eastAsia" w:ascii="宋体" w:hAnsi="宋体" w:cs="Arial"/>
          <w:szCs w:val="21"/>
        </w:rPr>
        <w:t>在</w:t>
      </w:r>
      <w:r>
        <w:rPr>
          <w:rFonts w:hint="eastAsia" w:ascii="宋体" w:hAnsi="宋体" w:cs="Arial"/>
          <w:szCs w:val="21"/>
          <w:lang w:eastAsia="zh-CN"/>
        </w:rPr>
        <w:t>招标人</w:t>
      </w:r>
      <w:r>
        <w:rPr>
          <w:rFonts w:hint="eastAsia" w:ascii="宋体" w:hAnsi="宋体" w:cs="Arial"/>
          <w:szCs w:val="21"/>
        </w:rPr>
        <w:t>确认同意情况下负责实施存储相应系统软件的升级工作。系统升级具有一定的风险性，</w:t>
      </w:r>
      <w:r>
        <w:rPr>
          <w:rFonts w:hint="eastAsia" w:ascii="宋体" w:hAnsi="宋体" w:cs="Arial"/>
          <w:szCs w:val="21"/>
          <w:lang w:eastAsia="zh-CN"/>
        </w:rPr>
        <w:t>供应商</w:t>
      </w:r>
      <w:r>
        <w:rPr>
          <w:rFonts w:hint="eastAsia" w:ascii="宋体" w:hAnsi="宋体" w:cs="Arial"/>
          <w:szCs w:val="21"/>
        </w:rPr>
        <w:t>工程师需与</w:t>
      </w:r>
      <w:r>
        <w:rPr>
          <w:rFonts w:hint="eastAsia" w:ascii="宋体" w:hAnsi="宋体" w:cs="Arial"/>
          <w:szCs w:val="21"/>
          <w:lang w:eastAsia="zh-CN"/>
        </w:rPr>
        <w:t>招标人</w:t>
      </w:r>
      <w:r>
        <w:rPr>
          <w:rFonts w:hint="eastAsia" w:ascii="宋体" w:hAnsi="宋体" w:cs="Arial"/>
          <w:szCs w:val="21"/>
        </w:rPr>
        <w:t>共同评估版本升级及补丁安装的必要性，并提交</w:t>
      </w:r>
      <w:r>
        <w:rPr>
          <w:rFonts w:hint="eastAsia" w:ascii="宋体" w:hAnsi="宋体" w:cs="Arial"/>
          <w:szCs w:val="21"/>
          <w:lang w:eastAsia="zh-CN"/>
        </w:rPr>
        <w:t>供应商</w:t>
      </w:r>
      <w:r>
        <w:rPr>
          <w:rFonts w:hint="eastAsia" w:ascii="宋体" w:hAnsi="宋体" w:cs="Arial"/>
          <w:szCs w:val="21"/>
        </w:rPr>
        <w:t>签字确认的实施计划，交</w:t>
      </w:r>
      <w:r>
        <w:rPr>
          <w:rFonts w:hint="eastAsia" w:ascii="宋体" w:hAnsi="宋体" w:cs="Arial"/>
          <w:szCs w:val="21"/>
          <w:lang w:eastAsia="zh-CN"/>
        </w:rPr>
        <w:t>招标人</w:t>
      </w:r>
      <w:r>
        <w:rPr>
          <w:rFonts w:hint="eastAsia" w:ascii="宋体" w:hAnsi="宋体" w:cs="Arial"/>
          <w:szCs w:val="21"/>
        </w:rPr>
        <w:t>存档。实施计划将包括实施内容、实施步骤、风险管理以及回退机制等。实施完成后</w:t>
      </w:r>
      <w:r>
        <w:rPr>
          <w:rFonts w:hint="eastAsia" w:ascii="宋体" w:hAnsi="宋体" w:cs="Arial"/>
          <w:szCs w:val="21"/>
          <w:lang w:eastAsia="zh-CN"/>
        </w:rPr>
        <w:t>供应商</w:t>
      </w:r>
      <w:r>
        <w:rPr>
          <w:rFonts w:hint="eastAsia" w:ascii="宋体" w:hAnsi="宋体" w:cs="Arial"/>
          <w:szCs w:val="21"/>
        </w:rPr>
        <w:t>工程师应负责进行测试并提交测试报告。</w:t>
      </w:r>
    </w:p>
    <w:p w14:paraId="0139A216">
      <w:pPr>
        <w:pStyle w:val="15"/>
        <w:numPr>
          <w:ilvl w:val="1"/>
          <w:numId w:val="3"/>
        </w:numPr>
        <w:spacing w:line="360" w:lineRule="auto"/>
        <w:ind w:left="851" w:firstLineChars="0"/>
        <w:rPr>
          <w:rFonts w:hint="eastAsia" w:ascii="宋体" w:hAnsi="宋体" w:cs="Arial"/>
          <w:b/>
          <w:szCs w:val="21"/>
        </w:rPr>
      </w:pPr>
      <w:r>
        <w:rPr>
          <w:rFonts w:hint="eastAsia" w:ascii="宋体" w:hAnsi="宋体" w:cs="Arial"/>
          <w:b/>
          <w:szCs w:val="21"/>
        </w:rPr>
        <w:t>现场培训</w:t>
      </w:r>
    </w:p>
    <w:p w14:paraId="1B0BD5CD">
      <w:pPr>
        <w:spacing w:line="360" w:lineRule="auto"/>
        <w:ind w:firstLine="420" w:firstLineChars="200"/>
        <w:rPr>
          <w:rFonts w:hint="eastAsia" w:ascii="宋体" w:hAnsi="宋体" w:cs="Arial"/>
          <w:szCs w:val="21"/>
        </w:rPr>
      </w:pPr>
      <w:r>
        <w:rPr>
          <w:rFonts w:hint="eastAsia" w:ascii="宋体" w:hAnsi="宋体" w:cs="Arial"/>
          <w:szCs w:val="21"/>
        </w:rPr>
        <w:t>在维护期内，由</w:t>
      </w:r>
      <w:r>
        <w:rPr>
          <w:rFonts w:hint="eastAsia" w:ascii="宋体" w:hAnsi="宋体" w:cs="Arial"/>
          <w:szCs w:val="21"/>
          <w:lang w:eastAsia="zh-CN"/>
        </w:rPr>
        <w:t>供应商</w:t>
      </w:r>
      <w:r>
        <w:rPr>
          <w:rFonts w:hint="eastAsia" w:ascii="宋体" w:hAnsi="宋体" w:cs="Arial"/>
          <w:szCs w:val="21"/>
        </w:rPr>
        <w:t>为</w:t>
      </w:r>
      <w:r>
        <w:rPr>
          <w:rFonts w:hint="eastAsia" w:ascii="宋体" w:hAnsi="宋体" w:cs="Arial"/>
          <w:szCs w:val="21"/>
          <w:lang w:eastAsia="zh-CN"/>
        </w:rPr>
        <w:t>招标人</w:t>
      </w:r>
      <w:r>
        <w:rPr>
          <w:rFonts w:hint="eastAsia" w:ascii="宋体" w:hAnsi="宋体" w:cs="Arial"/>
          <w:szCs w:val="21"/>
        </w:rPr>
        <w:t>定期对用户提供不少于2次的存储技术培训。培训内容包括存储系统设备的维护、设备管理、流量监测、日常管理等。</w:t>
      </w:r>
    </w:p>
    <w:p w14:paraId="3015C89B">
      <w:pPr>
        <w:pStyle w:val="15"/>
        <w:numPr>
          <w:ilvl w:val="1"/>
          <w:numId w:val="3"/>
        </w:numPr>
        <w:spacing w:line="360" w:lineRule="auto"/>
        <w:ind w:left="851" w:firstLineChars="0"/>
        <w:rPr>
          <w:rFonts w:hint="eastAsia" w:ascii="宋体" w:hAnsi="宋体" w:cs="Arial"/>
          <w:b/>
          <w:szCs w:val="21"/>
        </w:rPr>
      </w:pPr>
      <w:r>
        <w:rPr>
          <w:rFonts w:hint="eastAsia" w:ascii="宋体" w:hAnsi="宋体" w:cs="Arial"/>
          <w:b/>
          <w:szCs w:val="21"/>
        </w:rPr>
        <w:t>其他要求</w:t>
      </w:r>
    </w:p>
    <w:p w14:paraId="4EBDAAF3">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须承诺满足以下服务需求：</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8"/>
        <w:gridCol w:w="3787"/>
        <w:gridCol w:w="2557"/>
      </w:tblGrid>
      <w:tr w14:paraId="41492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blHeader/>
          <w:jc w:val="center"/>
        </w:trPr>
        <w:tc>
          <w:tcPr>
            <w:tcW w:w="1278" w:type="pct"/>
            <w:vAlign w:val="center"/>
          </w:tcPr>
          <w:p w14:paraId="5D541D28">
            <w:pPr>
              <w:adjustRightInd w:val="0"/>
              <w:snapToGrid w:val="0"/>
              <w:jc w:val="center"/>
              <w:rPr>
                <w:rFonts w:hint="eastAsia" w:ascii="宋体" w:hAnsi="宋体"/>
                <w:szCs w:val="21"/>
              </w:rPr>
            </w:pPr>
            <w:r>
              <w:rPr>
                <w:rFonts w:hint="eastAsia" w:ascii="宋体" w:hAnsi="宋体"/>
                <w:szCs w:val="21"/>
              </w:rPr>
              <w:t>服务项目</w:t>
            </w:r>
          </w:p>
        </w:tc>
        <w:tc>
          <w:tcPr>
            <w:tcW w:w="3722" w:type="pct"/>
            <w:gridSpan w:val="2"/>
            <w:vAlign w:val="center"/>
          </w:tcPr>
          <w:p w14:paraId="7EEF66D6">
            <w:pPr>
              <w:adjustRightInd w:val="0"/>
              <w:snapToGrid w:val="0"/>
              <w:jc w:val="center"/>
              <w:rPr>
                <w:rFonts w:hint="eastAsia" w:ascii="宋体" w:hAnsi="宋体"/>
                <w:szCs w:val="21"/>
              </w:rPr>
            </w:pPr>
            <w:r>
              <w:rPr>
                <w:rFonts w:hint="eastAsia" w:ascii="宋体" w:hAnsi="宋体"/>
                <w:szCs w:val="21"/>
              </w:rPr>
              <w:t>服务等级</w:t>
            </w:r>
          </w:p>
        </w:tc>
      </w:tr>
      <w:tr w14:paraId="2282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1278" w:type="pct"/>
            <w:vAlign w:val="center"/>
          </w:tcPr>
          <w:p w14:paraId="2DA0558F">
            <w:pPr>
              <w:adjustRightInd w:val="0"/>
              <w:snapToGrid w:val="0"/>
              <w:rPr>
                <w:rFonts w:hint="eastAsia" w:ascii="宋体" w:hAnsi="宋体"/>
                <w:szCs w:val="21"/>
              </w:rPr>
            </w:pPr>
            <w:r>
              <w:rPr>
                <w:rFonts w:hint="eastAsia" w:ascii="宋体" w:hAnsi="宋体"/>
                <w:szCs w:val="21"/>
              </w:rPr>
              <w:t>电话咨询服务</w:t>
            </w:r>
          </w:p>
        </w:tc>
        <w:tc>
          <w:tcPr>
            <w:tcW w:w="3722" w:type="pct"/>
            <w:gridSpan w:val="2"/>
            <w:vAlign w:val="center"/>
          </w:tcPr>
          <w:p w14:paraId="7AFF1920">
            <w:pPr>
              <w:adjustRightInd w:val="0"/>
              <w:snapToGrid w:val="0"/>
              <w:rPr>
                <w:rFonts w:hint="eastAsia" w:ascii="宋体" w:hAnsi="宋体"/>
                <w:szCs w:val="21"/>
              </w:rPr>
            </w:pPr>
            <w:r>
              <w:rPr>
                <w:rFonts w:hint="eastAsia" w:ascii="宋体" w:hAnsi="宋体"/>
                <w:szCs w:val="21"/>
              </w:rPr>
              <w:t>1、受理时间：7x24小时；</w:t>
            </w:r>
          </w:p>
          <w:p w14:paraId="2773DA16">
            <w:pPr>
              <w:adjustRightInd w:val="0"/>
              <w:snapToGrid w:val="0"/>
              <w:rPr>
                <w:rFonts w:hint="eastAsia" w:ascii="宋体" w:hAnsi="宋体"/>
                <w:szCs w:val="21"/>
              </w:rPr>
            </w:pPr>
            <w:r>
              <w:rPr>
                <w:rFonts w:hint="eastAsia" w:ascii="宋体" w:hAnsi="宋体"/>
                <w:szCs w:val="21"/>
              </w:rPr>
              <w:t>2、响应时间：≤15分钟；</w:t>
            </w:r>
          </w:p>
        </w:tc>
      </w:tr>
      <w:tr w14:paraId="51B1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278" w:type="pct"/>
            <w:vAlign w:val="center"/>
          </w:tcPr>
          <w:p w14:paraId="7A3A3D09">
            <w:pPr>
              <w:adjustRightInd w:val="0"/>
              <w:snapToGrid w:val="0"/>
              <w:rPr>
                <w:rFonts w:hint="eastAsia" w:ascii="宋体" w:hAnsi="宋体"/>
                <w:szCs w:val="21"/>
              </w:rPr>
            </w:pPr>
            <w:r>
              <w:rPr>
                <w:rFonts w:hint="eastAsia" w:ascii="宋体" w:hAnsi="宋体"/>
                <w:szCs w:val="21"/>
              </w:rPr>
              <w:t>电话支持服务</w:t>
            </w:r>
          </w:p>
        </w:tc>
        <w:tc>
          <w:tcPr>
            <w:tcW w:w="2222" w:type="pct"/>
            <w:vAlign w:val="center"/>
          </w:tcPr>
          <w:p w14:paraId="27447762">
            <w:pPr>
              <w:adjustRightInd w:val="0"/>
              <w:snapToGrid w:val="0"/>
              <w:rPr>
                <w:rFonts w:hint="eastAsia" w:ascii="宋体" w:hAnsi="宋体"/>
                <w:szCs w:val="21"/>
              </w:rPr>
            </w:pPr>
            <w:r>
              <w:rPr>
                <w:rFonts w:hint="eastAsia" w:ascii="宋体" w:hAnsi="宋体"/>
                <w:szCs w:val="21"/>
              </w:rPr>
              <w:t>响应时间：≤15分钟；</w:t>
            </w:r>
          </w:p>
        </w:tc>
        <w:tc>
          <w:tcPr>
            <w:tcW w:w="1500" w:type="pct"/>
            <w:vMerge w:val="restart"/>
            <w:vAlign w:val="center"/>
          </w:tcPr>
          <w:p w14:paraId="08A4C0D9">
            <w:pPr>
              <w:adjustRightInd w:val="0"/>
              <w:snapToGrid w:val="0"/>
              <w:rPr>
                <w:rFonts w:hint="eastAsia" w:ascii="宋体" w:hAnsi="宋体"/>
                <w:szCs w:val="21"/>
              </w:rPr>
            </w:pPr>
            <w:r>
              <w:rPr>
                <w:rFonts w:hint="eastAsia" w:ascii="宋体" w:hAnsi="宋体"/>
                <w:szCs w:val="21"/>
              </w:rPr>
              <w:t>2、问题解决率：</w:t>
            </w:r>
          </w:p>
          <w:p w14:paraId="3386FAEE">
            <w:pPr>
              <w:adjustRightInd w:val="0"/>
              <w:snapToGrid w:val="0"/>
              <w:rPr>
                <w:rFonts w:hint="eastAsia" w:ascii="宋体" w:hAnsi="宋体"/>
                <w:szCs w:val="21"/>
              </w:rPr>
            </w:pPr>
            <w:r>
              <w:rPr>
                <w:rFonts w:hint="eastAsia" w:ascii="宋体" w:hAnsi="宋体"/>
                <w:szCs w:val="21"/>
              </w:rPr>
              <w:t>二级问题：1个自然日内解决；</w:t>
            </w:r>
          </w:p>
          <w:p w14:paraId="5C555BD8">
            <w:pPr>
              <w:adjustRightInd w:val="0"/>
              <w:snapToGrid w:val="0"/>
              <w:rPr>
                <w:rFonts w:hint="eastAsia" w:ascii="宋体" w:hAnsi="宋体"/>
                <w:szCs w:val="21"/>
              </w:rPr>
            </w:pPr>
            <w:r>
              <w:rPr>
                <w:rFonts w:hint="eastAsia" w:ascii="宋体" w:hAnsi="宋体"/>
                <w:szCs w:val="21"/>
              </w:rPr>
              <w:t>三级问题：3个自然日内解决；</w:t>
            </w:r>
          </w:p>
        </w:tc>
      </w:tr>
      <w:tr w14:paraId="26A2B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1278" w:type="pct"/>
            <w:vAlign w:val="center"/>
          </w:tcPr>
          <w:p w14:paraId="1A59C43E">
            <w:pPr>
              <w:adjustRightInd w:val="0"/>
              <w:snapToGrid w:val="0"/>
              <w:rPr>
                <w:rFonts w:hint="eastAsia" w:ascii="宋体" w:hAnsi="宋体"/>
                <w:szCs w:val="21"/>
              </w:rPr>
            </w:pPr>
            <w:r>
              <w:rPr>
                <w:rFonts w:hint="eastAsia" w:ascii="宋体" w:hAnsi="宋体"/>
                <w:szCs w:val="21"/>
              </w:rPr>
              <w:t>远程技术支持服务</w:t>
            </w:r>
          </w:p>
        </w:tc>
        <w:tc>
          <w:tcPr>
            <w:tcW w:w="2222" w:type="pct"/>
            <w:vAlign w:val="center"/>
          </w:tcPr>
          <w:p w14:paraId="00CA421D">
            <w:pPr>
              <w:adjustRightInd w:val="0"/>
              <w:snapToGrid w:val="0"/>
              <w:rPr>
                <w:rFonts w:hint="eastAsia" w:ascii="宋体" w:hAnsi="宋体"/>
                <w:szCs w:val="21"/>
              </w:rPr>
            </w:pPr>
            <w:r>
              <w:rPr>
                <w:rFonts w:hint="eastAsia" w:ascii="宋体" w:hAnsi="宋体"/>
                <w:szCs w:val="21"/>
              </w:rPr>
              <w:t>响应时间：≤15分钟；</w:t>
            </w:r>
          </w:p>
        </w:tc>
        <w:tc>
          <w:tcPr>
            <w:tcW w:w="1500" w:type="pct"/>
            <w:vMerge w:val="continue"/>
            <w:vAlign w:val="center"/>
          </w:tcPr>
          <w:p w14:paraId="6A56FFDD">
            <w:pPr>
              <w:adjustRightInd w:val="0"/>
              <w:snapToGrid w:val="0"/>
              <w:rPr>
                <w:rFonts w:hint="eastAsia" w:ascii="宋体" w:hAnsi="宋体"/>
                <w:szCs w:val="21"/>
              </w:rPr>
            </w:pPr>
          </w:p>
        </w:tc>
      </w:tr>
      <w:tr w14:paraId="473BB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1278" w:type="pct"/>
            <w:vAlign w:val="center"/>
          </w:tcPr>
          <w:p w14:paraId="4C479CA9">
            <w:pPr>
              <w:adjustRightInd w:val="0"/>
              <w:snapToGrid w:val="0"/>
              <w:rPr>
                <w:rFonts w:hint="eastAsia" w:ascii="宋体" w:hAnsi="宋体"/>
                <w:szCs w:val="21"/>
              </w:rPr>
            </w:pPr>
            <w:r>
              <w:rPr>
                <w:rFonts w:hint="eastAsia" w:ascii="宋体" w:hAnsi="宋体"/>
                <w:szCs w:val="21"/>
              </w:rPr>
              <w:t>现场技术支持服务</w:t>
            </w:r>
          </w:p>
        </w:tc>
        <w:tc>
          <w:tcPr>
            <w:tcW w:w="3722" w:type="pct"/>
            <w:gridSpan w:val="2"/>
            <w:vAlign w:val="center"/>
          </w:tcPr>
          <w:p w14:paraId="7251CD3E">
            <w:pPr>
              <w:adjustRightInd w:val="0"/>
              <w:snapToGrid w:val="0"/>
              <w:rPr>
                <w:rFonts w:hint="eastAsia" w:ascii="宋体" w:hAnsi="宋体"/>
                <w:szCs w:val="21"/>
              </w:rPr>
            </w:pPr>
            <w:r>
              <w:rPr>
                <w:rFonts w:hint="eastAsia" w:ascii="宋体" w:hAnsi="宋体"/>
                <w:szCs w:val="21"/>
              </w:rPr>
              <w:t>1、到达现场时间：&lt;2小时</w:t>
            </w:r>
          </w:p>
        </w:tc>
      </w:tr>
      <w:tr w14:paraId="2906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1278" w:type="pct"/>
            <w:vAlign w:val="center"/>
          </w:tcPr>
          <w:p w14:paraId="593B3AA0">
            <w:pPr>
              <w:adjustRightInd w:val="0"/>
              <w:snapToGrid w:val="0"/>
              <w:rPr>
                <w:rFonts w:hint="eastAsia" w:ascii="宋体" w:hAnsi="宋体"/>
                <w:szCs w:val="21"/>
              </w:rPr>
            </w:pPr>
            <w:r>
              <w:rPr>
                <w:rFonts w:hint="eastAsia" w:ascii="宋体" w:hAnsi="宋体"/>
                <w:szCs w:val="21"/>
              </w:rPr>
              <w:t>紧急故障排除服务</w:t>
            </w:r>
          </w:p>
        </w:tc>
        <w:tc>
          <w:tcPr>
            <w:tcW w:w="2222" w:type="pct"/>
            <w:vAlign w:val="center"/>
          </w:tcPr>
          <w:p w14:paraId="5044F912">
            <w:pPr>
              <w:adjustRightInd w:val="0"/>
              <w:snapToGrid w:val="0"/>
              <w:rPr>
                <w:rFonts w:hint="eastAsia" w:ascii="宋体" w:hAnsi="宋体"/>
                <w:szCs w:val="21"/>
              </w:rPr>
            </w:pPr>
            <w:r>
              <w:rPr>
                <w:rFonts w:hint="eastAsia" w:ascii="宋体" w:hAnsi="宋体"/>
                <w:szCs w:val="21"/>
              </w:rPr>
              <w:t>一级问题：1、响应时间：</w:t>
            </w:r>
          </w:p>
          <w:p w14:paraId="0114056E">
            <w:pPr>
              <w:adjustRightInd w:val="0"/>
              <w:snapToGrid w:val="0"/>
              <w:rPr>
                <w:rFonts w:hint="eastAsia" w:ascii="宋体" w:hAnsi="宋体"/>
                <w:szCs w:val="21"/>
              </w:rPr>
            </w:pPr>
            <w:r>
              <w:rPr>
                <w:rFonts w:hint="eastAsia" w:ascii="宋体" w:hAnsi="宋体"/>
                <w:szCs w:val="21"/>
              </w:rPr>
              <w:t>电话响应时间：&lt;1</w:t>
            </w:r>
            <w:r>
              <w:rPr>
                <w:rFonts w:hint="eastAsia" w:ascii="宋体" w:hAnsi="宋体"/>
                <w:szCs w:val="21"/>
                <w:lang w:val="en-US" w:eastAsia="zh-CN"/>
              </w:rPr>
              <w:t>5</w:t>
            </w:r>
            <w:r>
              <w:rPr>
                <w:rFonts w:hint="eastAsia" w:ascii="宋体" w:hAnsi="宋体"/>
                <w:szCs w:val="21"/>
              </w:rPr>
              <w:t>分钟；</w:t>
            </w:r>
          </w:p>
          <w:p w14:paraId="7820F0EC">
            <w:pPr>
              <w:adjustRightInd w:val="0"/>
              <w:snapToGrid w:val="0"/>
              <w:rPr>
                <w:rFonts w:hint="eastAsia" w:ascii="宋体" w:hAnsi="宋体"/>
                <w:szCs w:val="21"/>
              </w:rPr>
            </w:pPr>
            <w:r>
              <w:rPr>
                <w:rFonts w:hint="eastAsia" w:ascii="宋体" w:hAnsi="宋体"/>
                <w:szCs w:val="21"/>
              </w:rPr>
              <w:t>远程接入响应时间：&lt;15分钟；</w:t>
            </w:r>
          </w:p>
          <w:p w14:paraId="22C79522">
            <w:pPr>
              <w:adjustRightInd w:val="0"/>
              <w:snapToGrid w:val="0"/>
              <w:rPr>
                <w:rFonts w:hint="eastAsia" w:ascii="宋体" w:hAnsi="宋体"/>
                <w:szCs w:val="21"/>
              </w:rPr>
            </w:pPr>
            <w:r>
              <w:rPr>
                <w:rFonts w:hint="eastAsia" w:ascii="宋体" w:hAnsi="宋体"/>
                <w:szCs w:val="21"/>
              </w:rPr>
              <w:t>到达现场时间：&lt;2小时。</w:t>
            </w:r>
          </w:p>
        </w:tc>
        <w:tc>
          <w:tcPr>
            <w:tcW w:w="1500" w:type="pct"/>
            <w:vAlign w:val="center"/>
          </w:tcPr>
          <w:p w14:paraId="5DB1010E">
            <w:pPr>
              <w:adjustRightInd w:val="0"/>
              <w:snapToGrid w:val="0"/>
              <w:rPr>
                <w:rFonts w:hint="eastAsia" w:ascii="宋体" w:hAnsi="宋体"/>
                <w:szCs w:val="21"/>
              </w:rPr>
            </w:pPr>
            <w:r>
              <w:rPr>
                <w:rFonts w:hint="eastAsia" w:ascii="宋体" w:hAnsi="宋体"/>
                <w:szCs w:val="21"/>
              </w:rPr>
              <w:t>紧急故障恢复时间：</w:t>
            </w:r>
          </w:p>
          <w:p w14:paraId="6A826FC4">
            <w:pPr>
              <w:adjustRightInd w:val="0"/>
              <w:snapToGrid w:val="0"/>
              <w:rPr>
                <w:rFonts w:hint="eastAsia" w:ascii="宋体" w:hAnsi="宋体"/>
                <w:szCs w:val="21"/>
              </w:rPr>
            </w:pPr>
            <w:r>
              <w:rPr>
                <w:rFonts w:hint="eastAsia" w:ascii="宋体" w:hAnsi="宋体"/>
                <w:szCs w:val="21"/>
              </w:rPr>
              <w:t>&lt;4小时；</w:t>
            </w:r>
          </w:p>
        </w:tc>
      </w:tr>
      <w:tr w14:paraId="30057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1278" w:type="pct"/>
            <w:vAlign w:val="center"/>
          </w:tcPr>
          <w:p w14:paraId="00E0127E">
            <w:pPr>
              <w:adjustRightInd w:val="0"/>
              <w:snapToGrid w:val="0"/>
              <w:rPr>
                <w:rFonts w:hint="eastAsia" w:ascii="宋体" w:hAnsi="宋体"/>
                <w:szCs w:val="21"/>
              </w:rPr>
            </w:pPr>
            <w:r>
              <w:rPr>
                <w:rFonts w:hint="eastAsia" w:ascii="宋体" w:hAnsi="宋体"/>
                <w:szCs w:val="21"/>
              </w:rPr>
              <w:t>设备巡检服务</w:t>
            </w:r>
          </w:p>
        </w:tc>
        <w:tc>
          <w:tcPr>
            <w:tcW w:w="3722" w:type="pct"/>
            <w:gridSpan w:val="2"/>
            <w:vAlign w:val="center"/>
          </w:tcPr>
          <w:p w14:paraId="2F321968">
            <w:pPr>
              <w:adjustRightInd w:val="0"/>
              <w:snapToGrid w:val="0"/>
              <w:rPr>
                <w:rFonts w:hint="eastAsia" w:ascii="宋体" w:hAnsi="宋体"/>
                <w:szCs w:val="21"/>
              </w:rPr>
            </w:pPr>
            <w:r>
              <w:rPr>
                <w:rFonts w:hint="eastAsia" w:ascii="宋体" w:hAnsi="宋体"/>
                <w:szCs w:val="21"/>
              </w:rPr>
              <w:t>≥4次/年；</w:t>
            </w:r>
          </w:p>
        </w:tc>
      </w:tr>
      <w:tr w14:paraId="75097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1278" w:type="pct"/>
            <w:vAlign w:val="center"/>
          </w:tcPr>
          <w:p w14:paraId="5C8D1E27">
            <w:pPr>
              <w:adjustRightInd w:val="0"/>
              <w:snapToGrid w:val="0"/>
              <w:rPr>
                <w:rFonts w:hint="eastAsia" w:ascii="宋体" w:hAnsi="宋体"/>
                <w:szCs w:val="21"/>
              </w:rPr>
            </w:pPr>
            <w:r>
              <w:rPr>
                <w:rFonts w:hint="eastAsia" w:ascii="宋体" w:hAnsi="宋体"/>
                <w:szCs w:val="21"/>
              </w:rPr>
              <w:t>故障件维修服务</w:t>
            </w:r>
          </w:p>
        </w:tc>
        <w:tc>
          <w:tcPr>
            <w:tcW w:w="3722" w:type="pct"/>
            <w:gridSpan w:val="2"/>
            <w:vAlign w:val="center"/>
          </w:tcPr>
          <w:p w14:paraId="2CCAA42F">
            <w:pPr>
              <w:adjustRightInd w:val="0"/>
              <w:snapToGrid w:val="0"/>
              <w:rPr>
                <w:rFonts w:hint="eastAsia" w:ascii="宋体" w:hAnsi="宋体"/>
                <w:szCs w:val="21"/>
              </w:rPr>
            </w:pPr>
            <w:r>
              <w:rPr>
                <w:rFonts w:hint="eastAsia" w:ascii="宋体" w:hAnsi="宋体"/>
                <w:szCs w:val="21"/>
              </w:rPr>
              <w:t>返修周期：12个工作日</w:t>
            </w:r>
          </w:p>
        </w:tc>
      </w:tr>
      <w:tr w14:paraId="5998A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1278" w:type="pct"/>
            <w:vAlign w:val="center"/>
          </w:tcPr>
          <w:p w14:paraId="064E27BF">
            <w:pPr>
              <w:adjustRightInd w:val="0"/>
              <w:snapToGrid w:val="0"/>
              <w:rPr>
                <w:rFonts w:hint="eastAsia" w:ascii="宋体" w:hAnsi="宋体"/>
                <w:szCs w:val="21"/>
              </w:rPr>
            </w:pPr>
            <w:r>
              <w:rPr>
                <w:rFonts w:hint="eastAsia" w:ascii="宋体" w:hAnsi="宋体"/>
                <w:szCs w:val="21"/>
              </w:rPr>
              <w:t>紧急备件支持服务</w:t>
            </w:r>
          </w:p>
        </w:tc>
        <w:tc>
          <w:tcPr>
            <w:tcW w:w="3722" w:type="pct"/>
            <w:gridSpan w:val="2"/>
            <w:vAlign w:val="center"/>
          </w:tcPr>
          <w:p w14:paraId="7F5777B7">
            <w:pPr>
              <w:adjustRightInd w:val="0"/>
              <w:snapToGrid w:val="0"/>
              <w:rPr>
                <w:rFonts w:hint="eastAsia" w:ascii="宋体" w:hAnsi="宋体"/>
                <w:szCs w:val="21"/>
              </w:rPr>
            </w:pPr>
            <w:r>
              <w:rPr>
                <w:rFonts w:hint="eastAsia" w:ascii="宋体" w:hAnsi="宋体"/>
                <w:szCs w:val="21"/>
              </w:rPr>
              <w:t>4小时内备件到达现场</w:t>
            </w:r>
          </w:p>
        </w:tc>
      </w:tr>
    </w:tbl>
    <w:p w14:paraId="4FC79D5C">
      <w:pPr>
        <w:spacing w:line="360" w:lineRule="auto"/>
        <w:rPr>
          <w:rFonts w:hint="eastAsia" w:ascii="宋体" w:hAnsi="宋体" w:cs="Arial"/>
          <w:szCs w:val="21"/>
        </w:rPr>
      </w:pPr>
    </w:p>
    <w:p w14:paraId="095B7334">
      <w:pPr>
        <w:pStyle w:val="4"/>
        <w:numPr>
          <w:ilvl w:val="0"/>
          <w:numId w:val="2"/>
        </w:numPr>
        <w:ind w:left="369" w:hanging="369" w:hangingChars="175"/>
        <w:rPr>
          <w:rFonts w:hint="eastAsia" w:ascii="宋体" w:hAnsi="宋体" w:eastAsia="宋体"/>
          <w:b/>
          <w:bCs/>
          <w:color w:val="auto"/>
          <w:sz w:val="21"/>
          <w:szCs w:val="21"/>
        </w:rPr>
      </w:pPr>
      <w:r>
        <w:rPr>
          <w:rFonts w:hint="eastAsia" w:ascii="宋体" w:hAnsi="宋体" w:eastAsia="宋体"/>
          <w:b/>
          <w:bCs/>
          <w:color w:val="auto"/>
          <w:sz w:val="21"/>
          <w:szCs w:val="21"/>
        </w:rPr>
        <w:t>故障级别定义</w:t>
      </w:r>
    </w:p>
    <w:p w14:paraId="547F98D2">
      <w:pPr>
        <w:spacing w:line="360" w:lineRule="auto"/>
        <w:ind w:firstLine="420" w:firstLineChars="200"/>
        <w:rPr>
          <w:rFonts w:hint="eastAsia" w:ascii="宋体" w:hAnsi="宋体" w:cs="Arial"/>
          <w:szCs w:val="21"/>
        </w:rPr>
      </w:pPr>
      <w:r>
        <w:rPr>
          <w:rFonts w:hint="eastAsia" w:ascii="宋体" w:hAnsi="宋体" w:cs="Arial"/>
          <w:szCs w:val="21"/>
        </w:rPr>
        <w:t>1、故障级别定义</w:t>
      </w:r>
    </w:p>
    <w:p w14:paraId="09D426CF">
      <w:pPr>
        <w:spacing w:line="360" w:lineRule="auto"/>
        <w:ind w:firstLine="420" w:firstLineChars="200"/>
        <w:rPr>
          <w:rFonts w:hint="eastAsia" w:ascii="宋体" w:hAnsi="宋体" w:cs="Arial"/>
          <w:szCs w:val="21"/>
        </w:rPr>
      </w:pPr>
      <w:r>
        <w:rPr>
          <w:rFonts w:hint="eastAsia" w:ascii="宋体" w:hAnsi="宋体" w:cs="Arial"/>
          <w:szCs w:val="21"/>
        </w:rPr>
        <w:t>故障级别由出现问题对</w:t>
      </w:r>
      <w:bookmarkStart w:id="2" w:name="_GoBack"/>
      <w:bookmarkEnd w:id="2"/>
      <w:r>
        <w:rPr>
          <w:rFonts w:hint="eastAsia" w:ascii="宋体" w:hAnsi="宋体" w:cs="Arial"/>
          <w:szCs w:val="21"/>
          <w:lang w:eastAsia="zh-CN"/>
        </w:rPr>
        <w:t>招标人</w:t>
      </w:r>
      <w:r>
        <w:rPr>
          <w:rFonts w:hint="eastAsia" w:ascii="宋体" w:hAnsi="宋体" w:cs="Arial"/>
          <w:szCs w:val="21"/>
        </w:rPr>
        <w:t>最终用户的影响的大小来决定。所有申请的级别都将由</w:t>
      </w:r>
      <w:r>
        <w:rPr>
          <w:rFonts w:hint="eastAsia" w:ascii="宋体" w:hAnsi="宋体" w:cs="Arial"/>
          <w:szCs w:val="21"/>
          <w:lang w:eastAsia="zh-CN"/>
        </w:rPr>
        <w:t>招标人</w:t>
      </w:r>
      <w:r>
        <w:rPr>
          <w:rFonts w:hint="eastAsia" w:ascii="宋体" w:hAnsi="宋体" w:cs="Arial"/>
          <w:szCs w:val="21"/>
        </w:rPr>
        <w:t>和</w:t>
      </w:r>
      <w:r>
        <w:rPr>
          <w:rFonts w:hint="eastAsia" w:ascii="宋体" w:hAnsi="宋体" w:cs="Arial"/>
          <w:szCs w:val="21"/>
          <w:lang w:eastAsia="zh-CN"/>
        </w:rPr>
        <w:t>供应商</w:t>
      </w:r>
      <w:r>
        <w:rPr>
          <w:rFonts w:hint="eastAsia" w:ascii="宋体" w:hAnsi="宋体" w:cs="Arial"/>
          <w:szCs w:val="21"/>
        </w:rPr>
        <w:t>支持机构共同决定，并以最终用户业务为重。</w:t>
      </w:r>
    </w:p>
    <w:p w14:paraId="59F5C5BF">
      <w:pPr>
        <w:spacing w:line="360" w:lineRule="auto"/>
        <w:ind w:firstLine="420" w:firstLineChars="200"/>
        <w:rPr>
          <w:rFonts w:hint="eastAsia" w:ascii="宋体" w:hAnsi="宋体" w:cs="Arial"/>
          <w:szCs w:val="21"/>
        </w:rPr>
      </w:pPr>
      <w:r>
        <w:rPr>
          <w:rFonts w:hint="eastAsia" w:ascii="宋体" w:hAnsi="宋体" w:cs="Arial"/>
          <w:szCs w:val="21"/>
        </w:rPr>
        <w:t xml:space="preserve">a)一级故障 </w:t>
      </w:r>
    </w:p>
    <w:p w14:paraId="5564C0F2">
      <w:pPr>
        <w:spacing w:line="360" w:lineRule="auto"/>
        <w:ind w:firstLine="420" w:firstLineChars="200"/>
        <w:rPr>
          <w:rFonts w:hint="eastAsia" w:ascii="宋体" w:hAnsi="宋体" w:cs="Arial"/>
          <w:szCs w:val="21"/>
        </w:rPr>
      </w:pPr>
      <w:r>
        <w:rPr>
          <w:rFonts w:hint="eastAsia" w:ascii="宋体" w:hAnsi="宋体" w:cs="Arial"/>
          <w:szCs w:val="21"/>
        </w:rPr>
        <w:t>-在商业、经济、技术、安全等方面给最终用户造成重大损失的故障。</w:t>
      </w:r>
    </w:p>
    <w:p w14:paraId="0121F44B">
      <w:pPr>
        <w:spacing w:line="360" w:lineRule="auto"/>
        <w:ind w:firstLine="420" w:firstLineChars="200"/>
        <w:rPr>
          <w:rFonts w:hint="eastAsia" w:ascii="宋体" w:hAnsi="宋体" w:cs="Arial"/>
          <w:szCs w:val="21"/>
        </w:rPr>
      </w:pPr>
      <w:r>
        <w:rPr>
          <w:rFonts w:hint="eastAsia" w:ascii="宋体" w:hAnsi="宋体" w:cs="Arial"/>
          <w:szCs w:val="21"/>
        </w:rPr>
        <w:t>-严重影响整个或局部系统运行，系统功能，或系统可靠性的故障。</w:t>
      </w:r>
    </w:p>
    <w:p w14:paraId="624DCF07">
      <w:pPr>
        <w:spacing w:line="360" w:lineRule="auto"/>
        <w:ind w:firstLine="420" w:firstLineChars="200"/>
        <w:rPr>
          <w:rFonts w:hint="eastAsia" w:ascii="宋体" w:hAnsi="宋体" w:cs="Arial"/>
          <w:szCs w:val="21"/>
        </w:rPr>
      </w:pPr>
      <w:r>
        <w:rPr>
          <w:rFonts w:hint="eastAsia" w:ascii="宋体" w:hAnsi="宋体" w:cs="Arial"/>
          <w:szCs w:val="21"/>
        </w:rPr>
        <w:t>-严重影响最终用户服务质量的故障。</w:t>
      </w:r>
    </w:p>
    <w:p w14:paraId="06CF4C4F">
      <w:pPr>
        <w:spacing w:line="360" w:lineRule="auto"/>
        <w:ind w:firstLine="420" w:firstLineChars="200"/>
        <w:rPr>
          <w:rFonts w:hint="eastAsia" w:ascii="宋体" w:hAnsi="宋体" w:cs="Arial"/>
          <w:szCs w:val="21"/>
        </w:rPr>
      </w:pPr>
      <w:r>
        <w:rPr>
          <w:rFonts w:hint="eastAsia" w:ascii="宋体" w:hAnsi="宋体" w:cs="Arial"/>
          <w:szCs w:val="21"/>
        </w:rPr>
        <w:t>例如：</w:t>
      </w:r>
    </w:p>
    <w:p w14:paraId="762F4834">
      <w:pPr>
        <w:spacing w:line="360" w:lineRule="auto"/>
        <w:ind w:firstLine="420" w:firstLineChars="200"/>
        <w:rPr>
          <w:rFonts w:hint="eastAsia" w:ascii="宋体" w:hAnsi="宋体" w:cs="Arial"/>
          <w:szCs w:val="21"/>
        </w:rPr>
      </w:pPr>
      <w:r>
        <w:rPr>
          <w:rFonts w:hint="eastAsia" w:ascii="宋体" w:hAnsi="宋体" w:cs="Arial"/>
          <w:szCs w:val="21"/>
        </w:rPr>
        <w:t>－设备系统瘫痪，致使无法向用户提供业务服务。</w:t>
      </w:r>
    </w:p>
    <w:p w14:paraId="176C2250">
      <w:pPr>
        <w:spacing w:line="360" w:lineRule="auto"/>
        <w:ind w:firstLine="420" w:firstLineChars="200"/>
        <w:rPr>
          <w:rFonts w:hint="eastAsia" w:ascii="宋体" w:hAnsi="宋体" w:cs="Arial"/>
          <w:szCs w:val="21"/>
        </w:rPr>
      </w:pPr>
      <w:r>
        <w:rPr>
          <w:rFonts w:hint="eastAsia" w:ascii="宋体" w:hAnsi="宋体" w:cs="Arial"/>
          <w:szCs w:val="21"/>
        </w:rPr>
        <w:t>－分节点故障，致使部分用户无法使用业务服务，不能提供正常网络服务。</w:t>
      </w:r>
    </w:p>
    <w:p w14:paraId="0A5FD25B">
      <w:pPr>
        <w:spacing w:line="360" w:lineRule="auto"/>
        <w:ind w:firstLine="420" w:firstLineChars="200"/>
        <w:rPr>
          <w:rFonts w:hint="eastAsia" w:ascii="宋体" w:hAnsi="宋体" w:cs="Arial"/>
          <w:szCs w:val="21"/>
        </w:rPr>
      </w:pPr>
      <w:r>
        <w:rPr>
          <w:rFonts w:hint="eastAsia" w:ascii="宋体" w:hAnsi="宋体" w:cs="Arial"/>
          <w:szCs w:val="21"/>
        </w:rPr>
        <w:t>－受到大面积的安全攻击，致使大量重要业务无法使用。</w:t>
      </w:r>
    </w:p>
    <w:p w14:paraId="4A88EE78">
      <w:pPr>
        <w:spacing w:line="360" w:lineRule="auto"/>
        <w:ind w:firstLine="420" w:firstLineChars="200"/>
        <w:rPr>
          <w:rFonts w:hint="eastAsia" w:ascii="宋体" w:hAnsi="宋体" w:cs="Arial"/>
          <w:szCs w:val="21"/>
        </w:rPr>
      </w:pPr>
      <w:r>
        <w:rPr>
          <w:rFonts w:hint="eastAsia" w:ascii="宋体" w:hAnsi="宋体" w:cs="Arial"/>
          <w:szCs w:val="21"/>
        </w:rPr>
        <w:t xml:space="preserve">b)二级故障 </w:t>
      </w:r>
    </w:p>
    <w:p w14:paraId="4F5F8B5A">
      <w:pPr>
        <w:spacing w:line="360" w:lineRule="auto"/>
        <w:ind w:firstLine="420" w:firstLineChars="200"/>
        <w:rPr>
          <w:rFonts w:hint="eastAsia" w:ascii="宋体" w:hAnsi="宋体" w:cs="Arial"/>
          <w:szCs w:val="21"/>
        </w:rPr>
      </w:pPr>
      <w:r>
        <w:rPr>
          <w:rFonts w:hint="eastAsia" w:ascii="宋体" w:hAnsi="宋体" w:cs="Arial"/>
          <w:szCs w:val="21"/>
        </w:rPr>
        <w:t>－在商业、经济、技术、安全等方面给最终用户造成较严重损失的故障。</w:t>
      </w:r>
    </w:p>
    <w:p w14:paraId="11C8A6F9">
      <w:pPr>
        <w:spacing w:line="360" w:lineRule="auto"/>
        <w:ind w:firstLine="420" w:firstLineChars="200"/>
        <w:rPr>
          <w:rFonts w:hint="eastAsia" w:ascii="宋体" w:hAnsi="宋体" w:cs="Arial"/>
          <w:szCs w:val="21"/>
        </w:rPr>
      </w:pPr>
      <w:r>
        <w:rPr>
          <w:rFonts w:hint="eastAsia" w:ascii="宋体" w:hAnsi="宋体" w:cs="Arial"/>
          <w:szCs w:val="21"/>
        </w:rPr>
        <w:t>－影响局部系统运行，系统功能，或系统可靠性的故障。</w:t>
      </w:r>
    </w:p>
    <w:p w14:paraId="4AA9314A">
      <w:pPr>
        <w:spacing w:line="360" w:lineRule="auto"/>
        <w:ind w:firstLine="420" w:firstLineChars="200"/>
        <w:rPr>
          <w:rFonts w:hint="eastAsia" w:ascii="宋体" w:hAnsi="宋体" w:cs="Arial"/>
          <w:szCs w:val="21"/>
        </w:rPr>
      </w:pPr>
      <w:r>
        <w:rPr>
          <w:rFonts w:hint="eastAsia" w:ascii="宋体" w:hAnsi="宋体" w:cs="Arial"/>
          <w:szCs w:val="21"/>
        </w:rPr>
        <w:t>－影响最终用户服务质量的故障。</w:t>
      </w:r>
    </w:p>
    <w:p w14:paraId="09A585F7">
      <w:pPr>
        <w:spacing w:line="360" w:lineRule="auto"/>
        <w:ind w:firstLine="420" w:firstLineChars="200"/>
        <w:rPr>
          <w:rFonts w:hint="eastAsia" w:ascii="宋体" w:hAnsi="宋体" w:cs="Arial"/>
          <w:szCs w:val="21"/>
        </w:rPr>
      </w:pPr>
      <w:r>
        <w:rPr>
          <w:rFonts w:hint="eastAsia" w:ascii="宋体" w:hAnsi="宋体" w:cs="Arial"/>
          <w:szCs w:val="21"/>
        </w:rPr>
        <w:t>例如：</w:t>
      </w:r>
    </w:p>
    <w:p w14:paraId="088E7929">
      <w:pPr>
        <w:spacing w:line="360" w:lineRule="auto"/>
        <w:ind w:firstLine="420" w:firstLineChars="200"/>
        <w:rPr>
          <w:rFonts w:hint="eastAsia" w:ascii="宋体" w:hAnsi="宋体" w:cs="Arial"/>
          <w:szCs w:val="21"/>
        </w:rPr>
      </w:pPr>
      <w:r>
        <w:rPr>
          <w:rFonts w:hint="eastAsia" w:ascii="宋体" w:hAnsi="宋体" w:cs="Arial"/>
          <w:szCs w:val="21"/>
        </w:rPr>
        <w:t>－单台设备故障，致使失去冗余备份，系统整体的的可靠性降低。</w:t>
      </w:r>
    </w:p>
    <w:p w14:paraId="748F169E">
      <w:pPr>
        <w:spacing w:line="360" w:lineRule="auto"/>
        <w:ind w:firstLine="420" w:firstLineChars="200"/>
        <w:rPr>
          <w:rFonts w:hint="eastAsia" w:ascii="宋体" w:hAnsi="宋体" w:cs="Arial"/>
          <w:szCs w:val="21"/>
        </w:rPr>
      </w:pPr>
      <w:r>
        <w:rPr>
          <w:rFonts w:hint="eastAsia" w:ascii="宋体" w:hAnsi="宋体" w:cs="Arial"/>
          <w:szCs w:val="21"/>
        </w:rPr>
        <w:t>－设备性能超负荷，致使最终用户感受到业务性能下降。</w:t>
      </w:r>
    </w:p>
    <w:p w14:paraId="571FBF62">
      <w:pPr>
        <w:spacing w:line="360" w:lineRule="auto"/>
        <w:ind w:firstLine="420" w:firstLineChars="200"/>
        <w:rPr>
          <w:rFonts w:hint="eastAsia" w:ascii="宋体" w:hAnsi="宋体" w:cs="Arial"/>
          <w:szCs w:val="21"/>
        </w:rPr>
      </w:pPr>
      <w:r>
        <w:rPr>
          <w:rFonts w:hint="eastAsia" w:ascii="宋体" w:hAnsi="宋体" w:cs="Arial"/>
          <w:szCs w:val="21"/>
        </w:rPr>
        <w:t>c)三级故障</w:t>
      </w:r>
    </w:p>
    <w:p w14:paraId="2A1BEE91">
      <w:pPr>
        <w:spacing w:line="360" w:lineRule="auto"/>
        <w:ind w:firstLine="420" w:firstLineChars="200"/>
        <w:rPr>
          <w:rFonts w:hint="eastAsia" w:ascii="宋体" w:hAnsi="宋体" w:cs="Arial"/>
          <w:szCs w:val="21"/>
        </w:rPr>
      </w:pPr>
      <w:r>
        <w:rPr>
          <w:rFonts w:hint="eastAsia" w:ascii="宋体" w:hAnsi="宋体" w:cs="Arial"/>
          <w:szCs w:val="21"/>
        </w:rPr>
        <w:t>－对最终用户造成较轻微影响的故障。</w:t>
      </w:r>
    </w:p>
    <w:p w14:paraId="42990574">
      <w:pPr>
        <w:spacing w:line="360" w:lineRule="auto"/>
        <w:ind w:firstLine="420" w:firstLineChars="200"/>
        <w:rPr>
          <w:rFonts w:hint="eastAsia" w:ascii="宋体" w:hAnsi="宋体" w:cs="Arial"/>
          <w:szCs w:val="21"/>
        </w:rPr>
      </w:pPr>
      <w:r>
        <w:rPr>
          <w:rFonts w:hint="eastAsia" w:ascii="宋体" w:hAnsi="宋体" w:cs="Arial"/>
          <w:szCs w:val="21"/>
        </w:rPr>
        <w:t>－对产品功能造成轻微影响的故障。</w:t>
      </w:r>
    </w:p>
    <w:p w14:paraId="2FEB53FD">
      <w:pPr>
        <w:spacing w:line="360" w:lineRule="auto"/>
        <w:ind w:firstLine="420" w:firstLineChars="200"/>
        <w:rPr>
          <w:rFonts w:hint="eastAsia" w:ascii="宋体" w:hAnsi="宋体" w:cs="Arial"/>
          <w:szCs w:val="21"/>
        </w:rPr>
      </w:pPr>
      <w:r>
        <w:rPr>
          <w:rFonts w:hint="eastAsia" w:ascii="宋体" w:hAnsi="宋体" w:cs="Arial"/>
          <w:szCs w:val="21"/>
        </w:rPr>
        <w:t>－在商业、经济方面给最终用户造成轻微损失的故障。</w:t>
      </w:r>
    </w:p>
    <w:p w14:paraId="436A978B">
      <w:pPr>
        <w:spacing w:line="360" w:lineRule="auto"/>
        <w:ind w:firstLine="420" w:firstLineChars="200"/>
        <w:rPr>
          <w:rFonts w:hint="eastAsia" w:ascii="宋体" w:hAnsi="宋体" w:cs="Arial"/>
          <w:szCs w:val="21"/>
        </w:rPr>
      </w:pPr>
      <w:r>
        <w:rPr>
          <w:rFonts w:hint="eastAsia" w:ascii="宋体" w:hAnsi="宋体" w:cs="Arial"/>
          <w:szCs w:val="21"/>
        </w:rPr>
        <w:t>－除紧急故障和严重故障外的其他问题。</w:t>
      </w:r>
    </w:p>
    <w:p w14:paraId="03C0352D">
      <w:pPr>
        <w:spacing w:line="360" w:lineRule="auto"/>
        <w:ind w:firstLine="420" w:firstLineChars="200"/>
        <w:rPr>
          <w:rFonts w:hint="eastAsia" w:ascii="宋体" w:hAnsi="宋体" w:cs="Arial"/>
          <w:szCs w:val="21"/>
        </w:rPr>
      </w:pPr>
      <w:r>
        <w:rPr>
          <w:rFonts w:hint="eastAsia" w:ascii="宋体" w:hAnsi="宋体" w:cs="Arial"/>
          <w:szCs w:val="21"/>
        </w:rPr>
        <w:t>例如：</w:t>
      </w:r>
    </w:p>
    <w:p w14:paraId="16B7F07B">
      <w:pPr>
        <w:spacing w:line="360" w:lineRule="auto"/>
        <w:ind w:firstLine="420" w:firstLineChars="200"/>
        <w:rPr>
          <w:rFonts w:hint="eastAsia" w:ascii="宋体" w:hAnsi="宋体" w:cs="Arial"/>
          <w:szCs w:val="21"/>
        </w:rPr>
      </w:pPr>
      <w:r>
        <w:rPr>
          <w:rFonts w:hint="eastAsia" w:ascii="宋体" w:hAnsi="宋体" w:cs="Arial"/>
          <w:szCs w:val="21"/>
        </w:rPr>
        <w:t>－一般节点故障，导致为部分用户提供的服务质量较差。</w:t>
      </w:r>
    </w:p>
    <w:p w14:paraId="3488E5AF">
      <w:pPr>
        <w:spacing w:line="360" w:lineRule="auto"/>
        <w:ind w:firstLine="420" w:firstLineChars="200"/>
        <w:rPr>
          <w:rFonts w:hint="eastAsia" w:ascii="宋体" w:hAnsi="宋体" w:cs="Arial"/>
          <w:szCs w:val="21"/>
        </w:rPr>
      </w:pPr>
      <w:r>
        <w:rPr>
          <w:rFonts w:hint="eastAsia" w:ascii="宋体" w:hAnsi="宋体" w:cs="Arial"/>
          <w:szCs w:val="21"/>
        </w:rPr>
        <w:t>－显示错误。</w:t>
      </w:r>
    </w:p>
    <w:p w14:paraId="09607433">
      <w:pPr>
        <w:spacing w:line="360" w:lineRule="auto"/>
        <w:ind w:firstLine="420" w:firstLineChars="200"/>
        <w:rPr>
          <w:rFonts w:hint="eastAsia" w:ascii="宋体" w:hAnsi="宋体" w:cs="Arial"/>
          <w:szCs w:val="21"/>
        </w:rPr>
      </w:pPr>
      <w:r>
        <w:rPr>
          <w:rFonts w:hint="eastAsia" w:ascii="宋体" w:hAnsi="宋体" w:cs="Arial"/>
          <w:szCs w:val="21"/>
        </w:rPr>
        <w:t>－文件出错。</w:t>
      </w:r>
    </w:p>
    <w:p w14:paraId="5793AFF5">
      <w:pPr>
        <w:spacing w:line="360" w:lineRule="auto"/>
        <w:ind w:firstLine="420" w:firstLineChars="200"/>
        <w:rPr>
          <w:rFonts w:hint="eastAsia" w:ascii="宋体" w:hAnsi="宋体" w:cs="Arial"/>
          <w:szCs w:val="21"/>
        </w:rPr>
      </w:pPr>
      <w:r>
        <w:rPr>
          <w:rFonts w:hint="eastAsia" w:ascii="宋体" w:hAnsi="宋体" w:cs="Arial"/>
          <w:szCs w:val="21"/>
        </w:rPr>
        <w:t>2、故障处理服务规范</w:t>
      </w:r>
    </w:p>
    <w:p w14:paraId="70551D3F">
      <w:pPr>
        <w:spacing w:line="360" w:lineRule="auto"/>
        <w:ind w:firstLine="420" w:firstLineChars="200"/>
        <w:rPr>
          <w:rFonts w:hint="eastAsia" w:ascii="宋体" w:hAnsi="宋体" w:cs="Arial"/>
          <w:szCs w:val="21"/>
        </w:rPr>
      </w:pPr>
      <w:r>
        <w:rPr>
          <w:rFonts w:hint="eastAsia" w:ascii="宋体" w:hAnsi="宋体" w:cs="Arial"/>
          <w:szCs w:val="21"/>
          <w:lang w:eastAsia="zh-CN"/>
        </w:rPr>
        <w:t>招标人</w:t>
      </w:r>
      <w:r>
        <w:rPr>
          <w:rFonts w:hint="eastAsia" w:ascii="宋体" w:hAnsi="宋体" w:cs="Arial"/>
          <w:szCs w:val="21"/>
        </w:rPr>
        <w:t>维护人员发现故障后，向</w:t>
      </w:r>
      <w:r>
        <w:rPr>
          <w:rFonts w:hint="eastAsia" w:ascii="宋体" w:hAnsi="宋体" w:cs="Arial"/>
          <w:szCs w:val="21"/>
          <w:lang w:eastAsia="zh-CN"/>
        </w:rPr>
        <w:t>供应商</w:t>
      </w:r>
      <w:r>
        <w:rPr>
          <w:rFonts w:hint="eastAsia" w:ascii="宋体" w:hAnsi="宋体" w:cs="Arial"/>
          <w:szCs w:val="21"/>
        </w:rPr>
        <w:t>申告故障，</w:t>
      </w:r>
      <w:r>
        <w:rPr>
          <w:rFonts w:hint="eastAsia" w:ascii="宋体" w:hAnsi="宋体" w:cs="Arial"/>
          <w:szCs w:val="21"/>
          <w:lang w:eastAsia="zh-CN"/>
        </w:rPr>
        <w:t>供应商</w:t>
      </w:r>
      <w:r>
        <w:rPr>
          <w:rFonts w:hint="eastAsia" w:ascii="宋体" w:hAnsi="宋体" w:cs="Arial"/>
          <w:szCs w:val="21"/>
        </w:rPr>
        <w:t>在收到</w:t>
      </w:r>
      <w:r>
        <w:rPr>
          <w:rFonts w:hint="eastAsia" w:ascii="宋体" w:hAnsi="宋体" w:cs="Arial"/>
          <w:szCs w:val="21"/>
          <w:lang w:eastAsia="zh-CN"/>
        </w:rPr>
        <w:t>招标人</w:t>
      </w:r>
      <w:r>
        <w:rPr>
          <w:rFonts w:hint="eastAsia" w:ascii="宋体" w:hAnsi="宋体" w:cs="Arial"/>
          <w:szCs w:val="21"/>
        </w:rPr>
        <w:t>申告后为</w:t>
      </w:r>
      <w:r>
        <w:rPr>
          <w:rFonts w:hint="eastAsia" w:ascii="宋体" w:hAnsi="宋体" w:cs="Arial"/>
          <w:szCs w:val="21"/>
          <w:lang w:eastAsia="zh-CN"/>
        </w:rPr>
        <w:t>招标人</w:t>
      </w:r>
      <w:r>
        <w:rPr>
          <w:rFonts w:hint="eastAsia" w:ascii="宋体" w:hAnsi="宋体" w:cs="Arial"/>
          <w:szCs w:val="21"/>
        </w:rPr>
        <w:t>进行故障处理服务，并根据</w:t>
      </w:r>
      <w:r>
        <w:rPr>
          <w:rFonts w:hint="eastAsia" w:ascii="宋体" w:hAnsi="宋体" w:cs="Arial"/>
          <w:szCs w:val="21"/>
          <w:lang w:eastAsia="zh-CN"/>
        </w:rPr>
        <w:t>招标人</w:t>
      </w:r>
      <w:r>
        <w:rPr>
          <w:rFonts w:hint="eastAsia" w:ascii="宋体" w:hAnsi="宋体" w:cs="Arial"/>
          <w:szCs w:val="21"/>
        </w:rPr>
        <w:t>申告的故障级别提供相应的服务。</w:t>
      </w:r>
    </w:p>
    <w:p w14:paraId="519930B1">
      <w:pPr>
        <w:spacing w:line="360" w:lineRule="auto"/>
        <w:ind w:firstLine="420" w:firstLineChars="200"/>
        <w:rPr>
          <w:rFonts w:hint="eastAsia" w:ascii="宋体" w:hAnsi="宋体" w:cs="Arial"/>
          <w:szCs w:val="21"/>
        </w:rPr>
      </w:pPr>
      <w:r>
        <w:rPr>
          <w:rFonts w:hint="eastAsia" w:ascii="宋体" w:hAnsi="宋体" w:cs="Arial"/>
          <w:szCs w:val="21"/>
        </w:rPr>
        <w:t>a)一级故障</w:t>
      </w:r>
    </w:p>
    <w:p w14:paraId="55E556CD">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在收到</w:t>
      </w:r>
      <w:r>
        <w:rPr>
          <w:rFonts w:hint="eastAsia" w:ascii="宋体" w:hAnsi="宋体" w:cs="Arial"/>
          <w:szCs w:val="21"/>
          <w:lang w:eastAsia="zh-CN"/>
        </w:rPr>
        <w:t>招标人</w:t>
      </w:r>
      <w:r>
        <w:rPr>
          <w:rFonts w:hint="eastAsia" w:ascii="宋体" w:hAnsi="宋体" w:cs="Arial"/>
          <w:szCs w:val="21"/>
        </w:rPr>
        <w:t>故障申告后，应立即联系相关工程师，</w:t>
      </w:r>
      <w:r>
        <w:rPr>
          <w:rFonts w:hint="eastAsia" w:ascii="宋体" w:hAnsi="宋体" w:cs="Arial"/>
          <w:szCs w:val="21"/>
          <w:lang w:eastAsia="zh-CN"/>
        </w:rPr>
        <w:t>供应商</w:t>
      </w:r>
      <w:r>
        <w:rPr>
          <w:rFonts w:hint="eastAsia" w:ascii="宋体" w:hAnsi="宋体" w:cs="Arial"/>
          <w:szCs w:val="21"/>
        </w:rPr>
        <w:t>工程师在5分钟内给予</w:t>
      </w:r>
      <w:r>
        <w:rPr>
          <w:rFonts w:hint="eastAsia" w:ascii="宋体" w:hAnsi="宋体" w:cs="Arial"/>
          <w:szCs w:val="21"/>
          <w:lang w:eastAsia="zh-CN"/>
        </w:rPr>
        <w:t>招标人</w:t>
      </w:r>
      <w:r>
        <w:rPr>
          <w:rFonts w:hint="eastAsia" w:ascii="宋体" w:hAnsi="宋体" w:cs="Arial"/>
          <w:szCs w:val="21"/>
        </w:rPr>
        <w:t>电话响应，15分钟内远程登陆网络。</w:t>
      </w:r>
    </w:p>
    <w:p w14:paraId="58C85815">
      <w:pPr>
        <w:spacing w:line="360" w:lineRule="auto"/>
        <w:ind w:firstLine="420" w:firstLineChars="200"/>
        <w:rPr>
          <w:rFonts w:hint="eastAsia" w:ascii="宋体" w:hAnsi="宋体" w:cs="Arial"/>
          <w:szCs w:val="21"/>
        </w:rPr>
      </w:pPr>
      <w:r>
        <w:rPr>
          <w:rFonts w:hint="eastAsia" w:ascii="宋体" w:hAnsi="宋体" w:cs="Arial"/>
          <w:szCs w:val="21"/>
        </w:rPr>
        <w:t>如果需要到现场，</w:t>
      </w:r>
      <w:r>
        <w:rPr>
          <w:rFonts w:hint="eastAsia" w:ascii="宋体" w:hAnsi="宋体" w:cs="Arial"/>
          <w:szCs w:val="21"/>
          <w:lang w:eastAsia="zh-CN"/>
        </w:rPr>
        <w:t>供应商</w:t>
      </w:r>
      <w:r>
        <w:rPr>
          <w:rFonts w:hint="eastAsia" w:ascii="宋体" w:hAnsi="宋体" w:cs="Arial"/>
          <w:szCs w:val="21"/>
        </w:rPr>
        <w:t>需在保证远程处理的同时增派驻点工程师到达现场，广州120分钟内到达现场。</w:t>
      </w:r>
    </w:p>
    <w:p w14:paraId="33CDB18D">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工程师需制定可行的临时应急方案，并在</w:t>
      </w:r>
      <w:r>
        <w:rPr>
          <w:rFonts w:hint="eastAsia" w:ascii="宋体" w:hAnsi="宋体" w:cs="Arial"/>
          <w:szCs w:val="21"/>
          <w:lang w:eastAsia="zh-CN"/>
        </w:rPr>
        <w:t>招标人</w:t>
      </w:r>
      <w:r>
        <w:rPr>
          <w:rFonts w:hint="eastAsia" w:ascii="宋体" w:hAnsi="宋体" w:cs="Arial"/>
          <w:szCs w:val="21"/>
        </w:rPr>
        <w:t>许可后实施，在30分钟内恢复业务基本运行，使网络恢复到不影响</w:t>
      </w:r>
      <w:r>
        <w:rPr>
          <w:rFonts w:hint="eastAsia" w:ascii="宋体" w:hAnsi="宋体" w:cs="Arial"/>
          <w:szCs w:val="21"/>
          <w:lang w:eastAsia="zh-CN"/>
        </w:rPr>
        <w:t>招标人</w:t>
      </w:r>
      <w:r>
        <w:rPr>
          <w:rFonts w:hint="eastAsia" w:ascii="宋体" w:hAnsi="宋体" w:cs="Arial"/>
          <w:szCs w:val="21"/>
        </w:rPr>
        <w:t>重要业务的运行或最终用户仅感受业务质量有轻微下降。</w:t>
      </w:r>
    </w:p>
    <w:p w14:paraId="67E92ED4">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工程师在12小时内解决全部故障，其中包括硬件提供和更换的时间。</w:t>
      </w:r>
    </w:p>
    <w:p w14:paraId="1D522DEF">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工程师在故障最终解决后1个工作日内提供故障报告。</w:t>
      </w:r>
    </w:p>
    <w:p w14:paraId="2AC2B2EE">
      <w:pPr>
        <w:spacing w:line="360" w:lineRule="auto"/>
        <w:ind w:firstLine="420" w:firstLineChars="200"/>
        <w:rPr>
          <w:rFonts w:hint="eastAsia" w:ascii="宋体" w:hAnsi="宋体" w:cs="Arial"/>
          <w:szCs w:val="21"/>
        </w:rPr>
      </w:pPr>
      <w:r>
        <w:rPr>
          <w:rFonts w:hint="eastAsia" w:ascii="宋体" w:hAnsi="宋体" w:cs="Arial"/>
          <w:szCs w:val="21"/>
        </w:rPr>
        <w:t>b)二级故障</w:t>
      </w:r>
    </w:p>
    <w:p w14:paraId="496E8DFB">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在收到</w:t>
      </w:r>
      <w:r>
        <w:rPr>
          <w:rFonts w:hint="eastAsia" w:ascii="宋体" w:hAnsi="宋体" w:cs="Arial"/>
          <w:szCs w:val="21"/>
          <w:lang w:eastAsia="zh-CN"/>
        </w:rPr>
        <w:t>招标人</w:t>
      </w:r>
      <w:r>
        <w:rPr>
          <w:rFonts w:hint="eastAsia" w:ascii="宋体" w:hAnsi="宋体" w:cs="Arial"/>
          <w:szCs w:val="21"/>
        </w:rPr>
        <w:t>故障申告后，应立即联系相关工程师，</w:t>
      </w:r>
      <w:r>
        <w:rPr>
          <w:rFonts w:hint="eastAsia" w:ascii="宋体" w:hAnsi="宋体" w:cs="Arial"/>
          <w:szCs w:val="21"/>
          <w:lang w:eastAsia="zh-CN"/>
        </w:rPr>
        <w:t>供应商</w:t>
      </w:r>
      <w:r>
        <w:rPr>
          <w:rFonts w:hint="eastAsia" w:ascii="宋体" w:hAnsi="宋体" w:cs="Arial"/>
          <w:szCs w:val="21"/>
        </w:rPr>
        <w:t>工程师在10分钟内给予</w:t>
      </w:r>
      <w:r>
        <w:rPr>
          <w:rFonts w:hint="eastAsia" w:ascii="宋体" w:hAnsi="宋体" w:cs="Arial"/>
          <w:szCs w:val="21"/>
          <w:lang w:eastAsia="zh-CN"/>
        </w:rPr>
        <w:t>招标人</w:t>
      </w:r>
      <w:r>
        <w:rPr>
          <w:rFonts w:hint="eastAsia" w:ascii="宋体" w:hAnsi="宋体" w:cs="Arial"/>
          <w:szCs w:val="21"/>
        </w:rPr>
        <w:t>电话响应，20分钟内远程登陆网络。</w:t>
      </w:r>
    </w:p>
    <w:p w14:paraId="7190452A">
      <w:pPr>
        <w:spacing w:line="360" w:lineRule="auto"/>
        <w:ind w:firstLine="420" w:firstLineChars="200"/>
        <w:rPr>
          <w:rFonts w:hint="eastAsia" w:ascii="宋体" w:hAnsi="宋体" w:cs="Arial"/>
          <w:szCs w:val="21"/>
        </w:rPr>
      </w:pPr>
      <w:r>
        <w:rPr>
          <w:rFonts w:hint="eastAsia" w:ascii="宋体" w:hAnsi="宋体" w:cs="Arial"/>
          <w:szCs w:val="21"/>
        </w:rPr>
        <w:t>如果需要到现场，</w:t>
      </w:r>
      <w:r>
        <w:rPr>
          <w:rFonts w:hint="eastAsia" w:ascii="宋体" w:hAnsi="宋体" w:cs="Arial"/>
          <w:szCs w:val="21"/>
          <w:lang w:eastAsia="zh-CN"/>
        </w:rPr>
        <w:t>供应商</w:t>
      </w:r>
      <w:r>
        <w:rPr>
          <w:rFonts w:hint="eastAsia" w:ascii="宋体" w:hAnsi="宋体" w:cs="Arial"/>
          <w:szCs w:val="21"/>
        </w:rPr>
        <w:t>需在保证远程处理的同时增派驻点工程师到达现场，广州节点2小时内到达现场，深圳、佛山等节点4小时内到达现场。</w:t>
      </w:r>
    </w:p>
    <w:p w14:paraId="54820009">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工程师需制定可行的临时应急方案，并在</w:t>
      </w:r>
      <w:r>
        <w:rPr>
          <w:rFonts w:hint="eastAsia" w:ascii="宋体" w:hAnsi="宋体" w:cs="Arial"/>
          <w:szCs w:val="21"/>
          <w:lang w:eastAsia="zh-CN"/>
        </w:rPr>
        <w:t>招标人</w:t>
      </w:r>
      <w:r>
        <w:rPr>
          <w:rFonts w:hint="eastAsia" w:ascii="宋体" w:hAnsi="宋体" w:cs="Arial"/>
          <w:szCs w:val="21"/>
        </w:rPr>
        <w:t>许可后实施，在30分钟内恢复业务基本运行，使设备或系统恢复到不影响</w:t>
      </w:r>
      <w:r>
        <w:rPr>
          <w:rFonts w:hint="eastAsia" w:ascii="宋体" w:hAnsi="宋体" w:cs="Arial"/>
          <w:szCs w:val="21"/>
          <w:lang w:eastAsia="zh-CN"/>
        </w:rPr>
        <w:t>招标人</w:t>
      </w:r>
      <w:r>
        <w:rPr>
          <w:rFonts w:hint="eastAsia" w:ascii="宋体" w:hAnsi="宋体" w:cs="Arial"/>
          <w:szCs w:val="21"/>
        </w:rPr>
        <w:t>重要业务的运行或最终用户仅感受业务质量有轻微下降。</w:t>
      </w:r>
    </w:p>
    <w:p w14:paraId="1AA33363">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工程师在24小时内解决全部故障，其中包括硬件更换的时间。</w:t>
      </w:r>
    </w:p>
    <w:p w14:paraId="2D5184F9">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工程师在故障最终解决后1个工作日内提供故障报告。</w:t>
      </w:r>
    </w:p>
    <w:p w14:paraId="634870C0">
      <w:pPr>
        <w:spacing w:line="360" w:lineRule="auto"/>
        <w:ind w:firstLine="420" w:firstLineChars="200"/>
        <w:rPr>
          <w:rFonts w:hint="eastAsia" w:ascii="宋体" w:hAnsi="宋体" w:cs="Arial"/>
          <w:szCs w:val="21"/>
        </w:rPr>
      </w:pPr>
      <w:r>
        <w:rPr>
          <w:rFonts w:hint="eastAsia" w:ascii="宋体" w:hAnsi="宋体" w:cs="Arial"/>
          <w:szCs w:val="21"/>
        </w:rPr>
        <w:t>c)三级故障</w:t>
      </w:r>
    </w:p>
    <w:p w14:paraId="62532552">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在收到</w:t>
      </w:r>
      <w:r>
        <w:rPr>
          <w:rFonts w:hint="eastAsia" w:ascii="宋体" w:hAnsi="宋体" w:cs="Arial"/>
          <w:szCs w:val="21"/>
          <w:lang w:eastAsia="zh-CN"/>
        </w:rPr>
        <w:t>招标人</w:t>
      </w:r>
      <w:r>
        <w:rPr>
          <w:rFonts w:hint="eastAsia" w:ascii="宋体" w:hAnsi="宋体" w:cs="Arial"/>
          <w:szCs w:val="21"/>
        </w:rPr>
        <w:t>故障申告后，应立即联系相关工程师，</w:t>
      </w:r>
      <w:r>
        <w:rPr>
          <w:rFonts w:hint="eastAsia" w:ascii="宋体" w:hAnsi="宋体" w:cs="Arial"/>
          <w:szCs w:val="21"/>
          <w:lang w:eastAsia="zh-CN"/>
        </w:rPr>
        <w:t>供应商</w:t>
      </w:r>
      <w:r>
        <w:rPr>
          <w:rFonts w:hint="eastAsia" w:ascii="宋体" w:hAnsi="宋体" w:cs="Arial"/>
          <w:szCs w:val="21"/>
        </w:rPr>
        <w:t>工程师在30分钟内给予</w:t>
      </w:r>
      <w:r>
        <w:rPr>
          <w:rFonts w:hint="eastAsia" w:ascii="宋体" w:hAnsi="宋体" w:cs="Arial"/>
          <w:szCs w:val="21"/>
          <w:lang w:eastAsia="zh-CN"/>
        </w:rPr>
        <w:t>招标人</w:t>
      </w:r>
      <w:r>
        <w:rPr>
          <w:rFonts w:hint="eastAsia" w:ascii="宋体" w:hAnsi="宋体" w:cs="Arial"/>
          <w:szCs w:val="21"/>
        </w:rPr>
        <w:t>电话响应，2小时内远程登陆网络。</w:t>
      </w:r>
    </w:p>
    <w:p w14:paraId="2D82A9CC">
      <w:pPr>
        <w:spacing w:line="360" w:lineRule="auto"/>
        <w:ind w:firstLine="420" w:firstLineChars="200"/>
        <w:rPr>
          <w:rFonts w:hint="eastAsia" w:ascii="宋体" w:hAnsi="宋体" w:cs="Arial"/>
          <w:szCs w:val="21"/>
        </w:rPr>
      </w:pPr>
      <w:r>
        <w:rPr>
          <w:rFonts w:hint="eastAsia" w:ascii="宋体" w:hAnsi="宋体" w:cs="Arial"/>
          <w:szCs w:val="21"/>
        </w:rPr>
        <w:t>如果需要到现场，</w:t>
      </w:r>
      <w:r>
        <w:rPr>
          <w:rFonts w:hint="eastAsia" w:ascii="宋体" w:hAnsi="宋体" w:cs="Arial"/>
          <w:szCs w:val="21"/>
          <w:lang w:eastAsia="zh-CN"/>
        </w:rPr>
        <w:t>供应商</w:t>
      </w:r>
      <w:r>
        <w:rPr>
          <w:rFonts w:hint="eastAsia" w:ascii="宋体" w:hAnsi="宋体" w:cs="Arial"/>
          <w:szCs w:val="21"/>
        </w:rPr>
        <w:t>派工程师在1个工作日内到达现场。</w:t>
      </w:r>
    </w:p>
    <w:p w14:paraId="2BB30692">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工程师需制定可行的临时应急方案，并在</w:t>
      </w:r>
      <w:r>
        <w:rPr>
          <w:rFonts w:hint="eastAsia" w:ascii="宋体" w:hAnsi="宋体" w:cs="Arial"/>
          <w:szCs w:val="21"/>
          <w:lang w:eastAsia="zh-CN"/>
        </w:rPr>
        <w:t>招标人</w:t>
      </w:r>
      <w:r>
        <w:rPr>
          <w:rFonts w:hint="eastAsia" w:ascii="宋体" w:hAnsi="宋体" w:cs="Arial"/>
          <w:szCs w:val="21"/>
        </w:rPr>
        <w:t>许可后实施，在1个工作日内恢复业务基本运行，使网络恢复到不影响</w:t>
      </w:r>
      <w:r>
        <w:rPr>
          <w:rFonts w:hint="eastAsia" w:ascii="宋体" w:hAnsi="宋体" w:cs="Arial"/>
          <w:szCs w:val="21"/>
          <w:lang w:eastAsia="zh-CN"/>
        </w:rPr>
        <w:t>招标人</w:t>
      </w:r>
      <w:r>
        <w:rPr>
          <w:rFonts w:hint="eastAsia" w:ascii="宋体" w:hAnsi="宋体" w:cs="Arial"/>
          <w:szCs w:val="21"/>
        </w:rPr>
        <w:t>重要业务的运行或最终用户仅感受业务质量有轻微下降。</w:t>
      </w:r>
    </w:p>
    <w:p w14:paraId="4694903B">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工程师在3个工作日内解决全部故障，其中包括硬件提供和更换的时间。</w:t>
      </w:r>
    </w:p>
    <w:p w14:paraId="45D48BC8">
      <w:pPr>
        <w:spacing w:line="360" w:lineRule="auto"/>
        <w:ind w:firstLine="420" w:firstLineChars="200"/>
        <w:rPr>
          <w:rFonts w:hint="eastAsia" w:ascii="宋体" w:hAnsi="宋体" w:cs="Arial"/>
          <w:szCs w:val="21"/>
        </w:rPr>
      </w:pPr>
      <w:r>
        <w:rPr>
          <w:rFonts w:hint="eastAsia" w:ascii="宋体" w:hAnsi="宋体" w:cs="Arial"/>
          <w:szCs w:val="21"/>
          <w:lang w:eastAsia="zh-CN"/>
        </w:rPr>
        <w:t>供应商</w:t>
      </w:r>
      <w:r>
        <w:rPr>
          <w:rFonts w:hint="eastAsia" w:ascii="宋体" w:hAnsi="宋体" w:cs="Arial"/>
          <w:szCs w:val="21"/>
        </w:rPr>
        <w:t>工程师在故障最终解决后2个工作日内提供故障报告。</w:t>
      </w:r>
    </w:p>
    <w:p w14:paraId="65D23252">
      <w:pPr>
        <w:spacing w:line="360" w:lineRule="auto"/>
        <w:ind w:firstLine="420" w:firstLineChars="200"/>
        <w:rPr>
          <w:rFonts w:hint="eastAsia" w:ascii="宋体" w:hAnsi="宋体" w:cs="Arial"/>
          <w:szCs w:val="21"/>
        </w:rPr>
      </w:pPr>
      <w:r>
        <w:rPr>
          <w:rFonts w:hint="eastAsia" w:ascii="宋体" w:hAnsi="宋体" w:cs="Arial"/>
          <w:szCs w:val="21"/>
        </w:rPr>
        <w:t>要求通过先进、标准、可控的技术、工具和方法，安装系统，评估系统趋势，定位系统运行瓶颈，实现系统稳定运行、各项性能指标正常高效、故障响应和处理及时、提升系统运行质量。</w:t>
      </w:r>
    </w:p>
    <w:p w14:paraId="23687EDA">
      <w:pPr>
        <w:pStyle w:val="4"/>
        <w:numPr>
          <w:ilvl w:val="0"/>
          <w:numId w:val="2"/>
        </w:numPr>
        <w:ind w:left="369" w:hanging="369" w:hangingChars="175"/>
        <w:rPr>
          <w:rFonts w:hint="eastAsia" w:ascii="宋体" w:hAnsi="宋体" w:eastAsia="宋体"/>
          <w:b/>
          <w:bCs/>
          <w:color w:val="auto"/>
          <w:sz w:val="21"/>
          <w:szCs w:val="21"/>
        </w:rPr>
      </w:pPr>
      <w:r>
        <w:rPr>
          <w:rFonts w:hint="eastAsia" w:ascii="宋体" w:hAnsi="宋体" w:eastAsia="宋体"/>
          <w:b/>
          <w:bCs/>
          <w:color w:val="auto"/>
          <w:sz w:val="21"/>
          <w:szCs w:val="21"/>
        </w:rPr>
        <w:t>付款方式</w:t>
      </w:r>
    </w:p>
    <w:p w14:paraId="5DAB9581">
      <w:pPr>
        <w:spacing w:line="360" w:lineRule="auto"/>
        <w:ind w:firstLine="420" w:firstLineChars="200"/>
        <w:rPr>
          <w:rFonts w:hint="eastAsia" w:ascii="宋体" w:hAnsi="宋体" w:cs="Arial"/>
          <w:szCs w:val="21"/>
        </w:rPr>
      </w:pPr>
      <w:r>
        <w:rPr>
          <w:rFonts w:hint="eastAsia" w:ascii="宋体" w:hAnsi="宋体" w:cs="Arial"/>
          <w:szCs w:val="21"/>
        </w:rPr>
        <w:t>按月/季度/年/指定周期，通过项目阶段验收或提供证明材料并根据考核评分结果，在完成该周期服务后，分期平均支付。</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Constantia">
    <w:panose1 w:val="02030602050306030303"/>
    <w:charset w:val="00"/>
    <w:family w:val="roman"/>
    <w:pitch w:val="default"/>
    <w:sig w:usb0="A00002EF" w:usb1="400020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07308">
    <w:pPr>
      <w:spacing w:line="237" w:lineRule="exact"/>
      <w:rPr>
        <w:rFonts w:ascii="Constantia" w:hAnsi="Constantia" w:eastAsia="Constantia" w:cs="Constantia"/>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692F6B">
                          <w:pPr>
                            <w:pStyle w:val="8"/>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D692F6B">
                    <w:pPr>
                      <w:pStyle w:val="8"/>
                    </w:pPr>
                    <w:r>
                      <w:fldChar w:fldCharType="begin"/>
                    </w:r>
                    <w:r>
                      <w:instrText xml:space="preserve"> PAGE  \* MERGEFORMAT </w:instrText>
                    </w:r>
                    <w:r>
                      <w:fldChar w:fldCharType="separate"/>
                    </w:r>
                    <w:r>
                      <w:t>16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DFC6F">
    <w:pPr>
      <w:spacing w:before="36" w:line="19" w:lineRule="exact"/>
      <w:ind w:firstLine="283" w:firstLineChars="13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2F0561"/>
    <w:multiLevelType w:val="multilevel"/>
    <w:tmpl w:val="1F2F0561"/>
    <w:lvl w:ilvl="0" w:tentative="0">
      <w:start w:val="1"/>
      <w:numFmt w:val="decimal"/>
      <w:lvlText w:val="%1."/>
      <w:lvlJc w:val="left"/>
      <w:pPr>
        <w:tabs>
          <w:tab w:val="left" w:pos="1260"/>
        </w:tabs>
        <w:ind w:left="1260" w:hanging="420"/>
      </w:pPr>
      <w:rPr>
        <w:rFonts w:hint="default"/>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1">
    <w:nsid w:val="26007FCA"/>
    <w:multiLevelType w:val="multilevel"/>
    <w:tmpl w:val="26007FCA"/>
    <w:lvl w:ilvl="0" w:tentative="0">
      <w:start w:val="1"/>
      <w:numFmt w:val="chineseCountingThousand"/>
      <w:pStyle w:val="3"/>
      <w:lvlText w:val="%1、"/>
      <w:lvlJc w:val="left"/>
      <w:pPr>
        <w:tabs>
          <w:tab w:val="left" w:pos="432"/>
        </w:tabs>
        <w:ind w:left="432" w:hanging="432"/>
      </w:pPr>
      <w:rPr>
        <w:rFonts w:hint="eastAsia"/>
      </w:rPr>
    </w:lvl>
    <w:lvl w:ilvl="1" w:tentative="0">
      <w:start w:val="1"/>
      <w:numFmt w:val="decimal"/>
      <w:lvlText w:val="3.%2"/>
      <w:lvlJc w:val="left"/>
      <w:pPr>
        <w:tabs>
          <w:tab w:val="left" w:pos="576"/>
        </w:tabs>
        <w:ind w:left="576" w:hanging="576"/>
      </w:pPr>
      <w:rPr>
        <w:rFonts w:hint="eastAsia"/>
      </w:rPr>
    </w:lvl>
    <w:lvl w:ilvl="2" w:tentative="0">
      <w:start w:val="1"/>
      <w:numFmt w:val="decimal"/>
      <w:lvlText w:val="3.5.%3 "/>
      <w:lvlJc w:val="left"/>
      <w:pPr>
        <w:tabs>
          <w:tab w:val="left" w:pos="720"/>
        </w:tabs>
        <w:ind w:left="720" w:hanging="720"/>
      </w:pPr>
      <w:rPr>
        <w:rFonts w:hint="eastAsia"/>
      </w:rPr>
    </w:lvl>
    <w:lvl w:ilvl="3" w:tentative="0">
      <w:start w:val="1"/>
      <w:numFmt w:val="decimal"/>
      <w:lvlText w:val="3.5.1.%4 "/>
      <w:lvlJc w:val="left"/>
      <w:pPr>
        <w:tabs>
          <w:tab w:val="left" w:pos="1440"/>
        </w:tabs>
        <w:ind w:left="1000" w:hanging="1000"/>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49087E9D"/>
    <w:multiLevelType w:val="multilevel"/>
    <w:tmpl w:val="49087E9D"/>
    <w:lvl w:ilvl="0" w:tentative="0">
      <w:start w:val="1"/>
      <w:numFmt w:val="chineseCountingThousand"/>
      <w:lvlText w:val="%1、"/>
      <w:lvlJc w:val="left"/>
      <w:pPr>
        <w:ind w:left="420" w:hanging="420"/>
      </w:pPr>
    </w:lvl>
    <w:lvl w:ilvl="1" w:tentative="0">
      <w:start w:val="1"/>
      <w:numFmt w:val="japaneseCounting"/>
      <w:lvlText w:val="（%2）"/>
      <w:lvlJc w:val="left"/>
      <w:pPr>
        <w:ind w:left="1260" w:hanging="84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AC649F3"/>
    <w:multiLevelType w:val="multilevel"/>
    <w:tmpl w:val="4AC649F3"/>
    <w:lvl w:ilvl="0" w:tentative="0">
      <w:start w:val="1"/>
      <w:numFmt w:val="chineseCountingThousand"/>
      <w:lvlText w:val="%1、"/>
      <w:lvlJc w:val="left"/>
      <w:pPr>
        <w:ind w:left="420" w:hanging="420"/>
      </w:pPr>
    </w:lvl>
    <w:lvl w:ilvl="1" w:tentative="0">
      <w:start w:val="1"/>
      <w:numFmt w:val="chineseCountingThousand"/>
      <w:lvlText w:val="(%2)"/>
      <w:lvlJc w:val="left"/>
      <w:pPr>
        <w:ind w:left="1260" w:hanging="84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6C83444"/>
    <w:multiLevelType w:val="multilevel"/>
    <w:tmpl w:val="76C83444"/>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dkNmU4ZTA0YjI0Zjg3NjA5OWQ4ZDUyMWVkYjZkNzIifQ=="/>
  </w:docVars>
  <w:rsids>
    <w:rsidRoot w:val="42DF5541"/>
    <w:rsid w:val="00103ADC"/>
    <w:rsid w:val="00104B09"/>
    <w:rsid w:val="00172FC5"/>
    <w:rsid w:val="003814AF"/>
    <w:rsid w:val="003B0E7A"/>
    <w:rsid w:val="004C2E83"/>
    <w:rsid w:val="00833C8B"/>
    <w:rsid w:val="00922D3A"/>
    <w:rsid w:val="009A1C4B"/>
    <w:rsid w:val="00C21B2F"/>
    <w:rsid w:val="00C8376B"/>
    <w:rsid w:val="00C86087"/>
    <w:rsid w:val="00F92D73"/>
    <w:rsid w:val="02766317"/>
    <w:rsid w:val="0B0F47BA"/>
    <w:rsid w:val="0FC64F4B"/>
    <w:rsid w:val="24453EB9"/>
    <w:rsid w:val="25BF34A8"/>
    <w:rsid w:val="39F534BE"/>
    <w:rsid w:val="3AF74E73"/>
    <w:rsid w:val="3B077FCA"/>
    <w:rsid w:val="3B3D6F2F"/>
    <w:rsid w:val="3CD41F44"/>
    <w:rsid w:val="3EAE23E6"/>
    <w:rsid w:val="42DF5541"/>
    <w:rsid w:val="459577D8"/>
    <w:rsid w:val="52691F60"/>
    <w:rsid w:val="531B6F2C"/>
    <w:rsid w:val="542B15F4"/>
    <w:rsid w:val="54332825"/>
    <w:rsid w:val="585D3481"/>
    <w:rsid w:val="5C327A9E"/>
    <w:rsid w:val="691A342D"/>
    <w:rsid w:val="69A84119"/>
    <w:rsid w:val="6A002D52"/>
    <w:rsid w:val="6AAB43CE"/>
    <w:rsid w:val="7DCC16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pageBreakBefore/>
      <w:numPr>
        <w:ilvl w:val="0"/>
        <w:numId w:val="1"/>
      </w:numPr>
      <w:spacing w:before="340" w:afterLines="50" w:line="578" w:lineRule="auto"/>
      <w:outlineLvl w:val="0"/>
    </w:pPr>
    <w:rPr>
      <w:rFonts w:eastAsia="黑体" w:cs="Times New Roman"/>
      <w:b/>
      <w:bCs/>
      <w:spacing w:val="20"/>
      <w:kern w:val="44"/>
      <w:sz w:val="36"/>
      <w:szCs w:val="44"/>
    </w:rPr>
  </w:style>
  <w:style w:type="paragraph" w:styleId="4">
    <w:name w:val="heading 2"/>
    <w:basedOn w:val="1"/>
    <w:next w:val="1"/>
    <w:unhideWhenUsed/>
    <w:qFormat/>
    <w:uiPriority w:val="9"/>
    <w:pPr>
      <w:keepNext/>
      <w:keepLines/>
      <w:spacing w:before="160" w:after="80"/>
      <w:outlineLvl w:val="1"/>
    </w:pPr>
    <w:rPr>
      <w:rFonts w:asciiTheme="majorHAnsi" w:hAnsiTheme="majorHAnsi" w:eastAsiaTheme="majorEastAsia" w:cstheme="majorBidi"/>
      <w:color w:val="2E54A1" w:themeColor="accent1" w:themeShade="BF"/>
      <w:sz w:val="32"/>
      <w:szCs w:val="32"/>
    </w:rPr>
  </w:style>
  <w:style w:type="paragraph" w:styleId="5">
    <w:name w:val="heading 3"/>
    <w:basedOn w:val="1"/>
    <w:next w:val="2"/>
    <w:unhideWhenUsed/>
    <w:qFormat/>
    <w:uiPriority w:val="9"/>
    <w:pPr>
      <w:keepNext/>
      <w:keepLines/>
      <w:spacing w:before="160" w:after="80"/>
      <w:outlineLvl w:val="2"/>
    </w:pPr>
    <w:rPr>
      <w:rFonts w:eastAsiaTheme="majorEastAsia" w:cstheme="majorBidi"/>
      <w:color w:val="2E54A1" w:themeColor="accent1" w:themeShade="BF"/>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180" w:after="180"/>
    </w:pPr>
  </w:style>
  <w:style w:type="paragraph" w:styleId="6">
    <w:name w:val="Normal Indent"/>
    <w:basedOn w:val="1"/>
    <w:qFormat/>
    <w:uiPriority w:val="0"/>
    <w:pPr>
      <w:spacing w:afterLines="50" w:line="360" w:lineRule="auto"/>
      <w:ind w:firstLine="420" w:firstLineChars="200"/>
    </w:pPr>
    <w:rPr>
      <w:rFonts w:ascii="Times New Roman" w:hAnsi="Times New Roman" w:eastAsia="宋体" w:cs="Times New Roman"/>
      <w:szCs w:val="24"/>
    </w:rPr>
  </w:style>
  <w:style w:type="paragraph" w:styleId="7">
    <w:name w:val="annotation text"/>
    <w:basedOn w:val="1"/>
    <w:qFormat/>
    <w:uiPriority w:val="0"/>
    <w:pPr>
      <w:jc w:val="left"/>
    </w:pPr>
  </w:style>
  <w:style w:type="paragraph" w:styleId="8">
    <w:name w:val="footer"/>
    <w:basedOn w:val="1"/>
    <w:unhideWhenUsed/>
    <w:qFormat/>
    <w:uiPriority w:val="99"/>
    <w:pPr>
      <w:tabs>
        <w:tab w:val="center" w:pos="4153"/>
        <w:tab w:val="right" w:pos="8306"/>
      </w:tabs>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qFormat/>
    <w:uiPriority w:val="0"/>
    <w:rPr>
      <w:sz w:val="21"/>
      <w:szCs w:val="21"/>
    </w:rPr>
  </w:style>
  <w:style w:type="paragraph" w:styleId="15">
    <w:name w:val="List Paragraph"/>
    <w:basedOn w:val="1"/>
    <w:qFormat/>
    <w:uiPriority w:val="34"/>
    <w:pPr>
      <w:ind w:firstLine="420" w:firstLineChars="200"/>
    </w:pPr>
  </w:style>
  <w:style w:type="paragraph" w:customStyle="1" w:styleId="16">
    <w:name w:val="Compact"/>
    <w:basedOn w:val="2"/>
    <w:qFormat/>
    <w:uiPriority w:val="0"/>
    <w:pPr>
      <w:spacing w:before="36" w:after="36"/>
    </w:pPr>
  </w:style>
  <w:style w:type="paragraph" w:customStyle="1" w:styleId="17">
    <w:name w:val="First Paragraph"/>
    <w:basedOn w:val="2"/>
    <w:next w:val="2"/>
    <w:qFormat/>
    <w:uiPriority w:val="0"/>
  </w:style>
  <w:style w:type="paragraph" w:customStyle="1" w:styleId="18">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9">
    <w:name w:val="页眉 字符"/>
    <w:basedOn w:val="13"/>
    <w:link w:val="9"/>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1697</Words>
  <Characters>1915</Characters>
  <Lines>14</Lines>
  <Paragraphs>4</Paragraphs>
  <TotalTime>141</TotalTime>
  <ScaleCrop>false</ScaleCrop>
  <LinksUpToDate>false</LinksUpToDate>
  <CharactersWithSpaces>1929</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2025-06-09T09:12:00Z</dcterms:created>
  <dc:creator>MEEFOND</dc:creator>
  <cp:lastModifiedBy>gc</cp:lastModifiedBy>
  <dcterms:modified xsi:type="dcterms:W3CDTF">2026-09-07T08:20:42Z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6E8867F5421D4FC497038800809F60ED_13</vt:lpwstr>
  </property>
  <property fmtid="{D5CDD505-2E9C-101B-9397-08002B2CF9AE}" pid="4" name="KSOTemplateDocerSaveRecord">
    <vt:lpwstr>eyJoZGlkIjoiOWI4OTFhYjYwMGQ4YzZhNjgxNmU0NDAzNjc3MzdhODkiLCJ1c2VySWQiOiI2MjU5ODg1NTIifQ==</vt:lpwstr>
  </property>
</Properties>
</file>