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977B4">
      <w:pPr>
        <w:spacing w:after="209" w:afterLines="67"/>
        <w:rPr>
          <w:rFonts w:asciiTheme="minorEastAsia" w:hAnsiTheme="minorEastAsia" w:cstheme="minorEastAsia"/>
          <w:sz w:val="28"/>
          <w:szCs w:val="28"/>
        </w:rPr>
      </w:pPr>
      <w:r>
        <w:rPr>
          <w:rFonts w:hint="eastAsia" w:asciiTheme="minorEastAsia" w:hAnsiTheme="minorEastAsia" w:cstheme="minorEastAsia"/>
          <w:sz w:val="28"/>
          <w:szCs w:val="28"/>
        </w:rPr>
        <w:t>附件2</w:t>
      </w:r>
    </w:p>
    <w:p w14:paraId="5109DEC6">
      <w:pPr>
        <w:spacing w:after="209" w:afterLines="67" w:line="240" w:lineRule="auto"/>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广东南方新媒体股份有限公司</w:t>
      </w:r>
    </w:p>
    <w:p w14:paraId="7AC0BC00">
      <w:pPr>
        <w:spacing w:after="209" w:afterLines="67" w:line="24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cstheme="minorEastAsia"/>
          <w:b/>
          <w:bCs/>
          <w:sz w:val="28"/>
          <w:szCs w:val="28"/>
          <w:lang w:eastAsia="zh-CN"/>
        </w:rPr>
        <w:t>2027年民科园NAS存储设备维保服务项目</w:t>
      </w:r>
    </w:p>
    <w:p w14:paraId="73243D2A">
      <w:pPr>
        <w:spacing w:after="209" w:afterLines="67"/>
        <w:jc w:val="center"/>
        <w:rPr>
          <w:rFonts w:asciiTheme="minorEastAsia" w:hAnsiTheme="minorEastAsia" w:cstheme="minorEastAsia"/>
          <w:b/>
          <w:bCs/>
          <w:sz w:val="24"/>
          <w:szCs w:val="24"/>
        </w:rPr>
      </w:pPr>
      <w:r>
        <w:rPr>
          <w:rFonts w:hint="eastAsia" w:asciiTheme="minorEastAsia" w:hAnsiTheme="minorEastAsia" w:cstheme="minorEastAsia"/>
          <w:b/>
          <w:bCs/>
          <w:sz w:val="28"/>
          <w:szCs w:val="28"/>
        </w:rPr>
        <w:t>市场调研报价文件格式</w:t>
      </w:r>
    </w:p>
    <w:p w14:paraId="44C5061D">
      <w:pPr>
        <w:pStyle w:val="25"/>
        <w:numPr>
          <w:ilvl w:val="0"/>
          <w:numId w:val="2"/>
        </w:numPr>
        <w:spacing w:after="209" w:afterLines="67"/>
        <w:ind w:firstLineChars="0"/>
        <w:rPr>
          <w:rFonts w:asciiTheme="minorEastAsia" w:hAnsiTheme="minorEastAsia" w:cstheme="minorEastAsia"/>
          <w:b/>
          <w:bCs/>
          <w:sz w:val="24"/>
          <w:szCs w:val="24"/>
        </w:rPr>
      </w:pPr>
      <w:r>
        <w:rPr>
          <w:rFonts w:hint="eastAsia" w:asciiTheme="minorEastAsia" w:hAnsiTheme="minorEastAsia" w:cstheme="minorEastAsia"/>
          <w:b/>
          <w:bCs/>
          <w:sz w:val="24"/>
          <w:szCs w:val="24"/>
        </w:rPr>
        <w:t>供应商信息登记表</w:t>
      </w:r>
    </w:p>
    <w:tbl>
      <w:tblPr>
        <w:tblStyle w:val="15"/>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9"/>
        <w:gridCol w:w="918"/>
        <w:gridCol w:w="2221"/>
        <w:gridCol w:w="1242"/>
        <w:gridCol w:w="2328"/>
      </w:tblGrid>
      <w:tr w14:paraId="147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293" w:type="pct"/>
            <w:vAlign w:val="center"/>
          </w:tcPr>
          <w:p w14:paraId="0017FF4A">
            <w:pPr>
              <w:pStyle w:val="26"/>
              <w:kinsoku w:val="0"/>
              <w:overflowPunct w:val="0"/>
              <w:spacing w:line="400" w:lineRule="exact"/>
              <w:ind w:firstLine="0" w:firstLineChars="0"/>
              <w:jc w:val="center"/>
              <w:rPr>
                <w:rFonts w:hAnsi="宋体" w:cs="仿宋"/>
              </w:rPr>
            </w:pPr>
            <w:bookmarkStart w:id="0" w:name="_Hlk199424538"/>
            <w:r>
              <w:rPr>
                <w:rFonts w:hint="eastAsia" w:hAnsi="宋体" w:cs="仿宋"/>
              </w:rPr>
              <w:t>单位名称</w:t>
            </w:r>
          </w:p>
        </w:tc>
        <w:tc>
          <w:tcPr>
            <w:tcW w:w="3706" w:type="pct"/>
            <w:gridSpan w:val="4"/>
            <w:vAlign w:val="center"/>
          </w:tcPr>
          <w:p w14:paraId="40D37690">
            <w:pPr>
              <w:tabs>
                <w:tab w:val="left" w:pos="202"/>
              </w:tabs>
              <w:spacing w:line="400" w:lineRule="exact"/>
              <w:jc w:val="center"/>
              <w:rPr>
                <w:rFonts w:ascii="宋体" w:hAnsi="宋体" w:eastAsia="宋体" w:cs="仿宋"/>
                <w:sz w:val="24"/>
                <w:szCs w:val="24"/>
              </w:rPr>
            </w:pPr>
          </w:p>
        </w:tc>
      </w:tr>
      <w:tr w14:paraId="7F9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293" w:type="pct"/>
            <w:vAlign w:val="center"/>
          </w:tcPr>
          <w:p w14:paraId="4FA551AB">
            <w:pPr>
              <w:pStyle w:val="26"/>
              <w:kinsoku w:val="0"/>
              <w:overflowPunct w:val="0"/>
              <w:spacing w:line="400" w:lineRule="exact"/>
              <w:ind w:firstLine="0" w:firstLineChars="0"/>
              <w:jc w:val="center"/>
              <w:rPr>
                <w:rFonts w:hAnsi="宋体" w:cs="仿宋"/>
              </w:rPr>
            </w:pPr>
            <w:r>
              <w:rPr>
                <w:rFonts w:hint="eastAsia" w:hAnsi="宋体" w:cs="仿宋"/>
              </w:rPr>
              <w:t>注册资金</w:t>
            </w:r>
          </w:p>
        </w:tc>
        <w:tc>
          <w:tcPr>
            <w:tcW w:w="1734" w:type="pct"/>
            <w:gridSpan w:val="2"/>
            <w:vAlign w:val="center"/>
          </w:tcPr>
          <w:p w14:paraId="6BF589B6">
            <w:pPr>
              <w:spacing w:line="400" w:lineRule="exact"/>
              <w:jc w:val="center"/>
              <w:rPr>
                <w:rFonts w:ascii="宋体" w:hAnsi="宋体" w:eastAsia="宋体" w:cs="仿宋"/>
                <w:sz w:val="24"/>
                <w:szCs w:val="24"/>
              </w:rPr>
            </w:pPr>
            <w:r>
              <w:rPr>
                <w:rFonts w:hint="eastAsia" w:ascii="宋体" w:hAnsi="宋体" w:eastAsia="宋体" w:cs="仿宋"/>
                <w:sz w:val="24"/>
                <w:szCs w:val="24"/>
              </w:rPr>
              <w:t>万元</w:t>
            </w:r>
          </w:p>
        </w:tc>
        <w:tc>
          <w:tcPr>
            <w:tcW w:w="686" w:type="pct"/>
            <w:vAlign w:val="center"/>
          </w:tcPr>
          <w:p w14:paraId="79D36110">
            <w:pPr>
              <w:pStyle w:val="26"/>
              <w:kinsoku w:val="0"/>
              <w:overflowPunct w:val="0"/>
              <w:spacing w:line="400" w:lineRule="exact"/>
              <w:ind w:firstLine="0" w:firstLineChars="0"/>
              <w:jc w:val="center"/>
              <w:rPr>
                <w:rFonts w:hAnsi="宋体" w:cs="仿宋"/>
              </w:rPr>
            </w:pPr>
            <w:r>
              <w:rPr>
                <w:rFonts w:hint="eastAsia" w:hAnsi="宋体" w:cs="仿宋"/>
              </w:rPr>
              <w:t>成立时间</w:t>
            </w:r>
          </w:p>
        </w:tc>
        <w:tc>
          <w:tcPr>
            <w:tcW w:w="1285" w:type="pct"/>
            <w:vAlign w:val="center"/>
          </w:tcPr>
          <w:p w14:paraId="2233A0C0">
            <w:pPr>
              <w:spacing w:line="400" w:lineRule="exact"/>
              <w:jc w:val="center"/>
              <w:rPr>
                <w:rFonts w:ascii="宋体" w:hAnsi="宋体" w:eastAsia="宋体" w:cs="仿宋"/>
                <w:sz w:val="24"/>
                <w:szCs w:val="24"/>
              </w:rPr>
            </w:pPr>
            <w:r>
              <w:rPr>
                <w:rFonts w:hint="eastAsia" w:ascii="宋体" w:hAnsi="宋体" w:eastAsia="宋体" w:cs="仿宋"/>
                <w:sz w:val="24"/>
                <w:szCs w:val="24"/>
              </w:rPr>
              <w:t>年</w:t>
            </w:r>
            <w:r>
              <w:rPr>
                <w:rFonts w:ascii="宋体" w:hAnsi="宋体" w:eastAsia="宋体" w:cs="仿宋"/>
                <w:sz w:val="24"/>
                <w:szCs w:val="24"/>
              </w:rPr>
              <w:t xml:space="preserve">   </w:t>
            </w:r>
            <w:r>
              <w:rPr>
                <w:rFonts w:hint="eastAsia" w:ascii="宋体" w:hAnsi="宋体" w:eastAsia="宋体" w:cs="仿宋"/>
                <w:sz w:val="24"/>
                <w:szCs w:val="24"/>
              </w:rPr>
              <w:t>月</w:t>
            </w:r>
            <w:r>
              <w:rPr>
                <w:rFonts w:ascii="宋体" w:hAnsi="宋体" w:eastAsia="宋体" w:cs="仿宋"/>
                <w:sz w:val="24"/>
                <w:szCs w:val="24"/>
              </w:rPr>
              <w:t xml:space="preserve">  </w:t>
            </w:r>
            <w:r>
              <w:rPr>
                <w:rFonts w:hint="eastAsia" w:ascii="宋体" w:hAnsi="宋体" w:eastAsia="宋体" w:cs="仿宋"/>
                <w:sz w:val="24"/>
                <w:szCs w:val="24"/>
              </w:rPr>
              <w:t>日</w:t>
            </w:r>
          </w:p>
        </w:tc>
      </w:tr>
      <w:tr w14:paraId="26F6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293" w:type="pct"/>
            <w:vAlign w:val="center"/>
          </w:tcPr>
          <w:p w14:paraId="71DA2A5C">
            <w:pPr>
              <w:pStyle w:val="26"/>
              <w:kinsoku w:val="0"/>
              <w:overflowPunct w:val="0"/>
              <w:spacing w:line="400" w:lineRule="exact"/>
              <w:ind w:firstLine="0" w:firstLineChars="0"/>
              <w:jc w:val="center"/>
              <w:rPr>
                <w:rFonts w:hAnsi="宋体" w:cs="仿宋"/>
              </w:rPr>
            </w:pPr>
            <w:r>
              <w:rPr>
                <w:rFonts w:hint="eastAsia" w:hAnsi="宋体" w:cs="仿宋"/>
              </w:rPr>
              <w:t>注册地址</w:t>
            </w:r>
          </w:p>
        </w:tc>
        <w:tc>
          <w:tcPr>
            <w:tcW w:w="3706" w:type="pct"/>
            <w:gridSpan w:val="4"/>
            <w:vAlign w:val="center"/>
          </w:tcPr>
          <w:p w14:paraId="1B743F9F">
            <w:pPr>
              <w:spacing w:line="400" w:lineRule="exact"/>
              <w:rPr>
                <w:rFonts w:ascii="宋体" w:hAnsi="宋体" w:eastAsia="宋体" w:cs="仿宋"/>
                <w:sz w:val="24"/>
                <w:szCs w:val="24"/>
              </w:rPr>
            </w:pPr>
          </w:p>
        </w:tc>
      </w:tr>
      <w:tr w14:paraId="378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3CB7E2A7">
            <w:pPr>
              <w:pStyle w:val="26"/>
              <w:kinsoku w:val="0"/>
              <w:overflowPunct w:val="0"/>
              <w:spacing w:line="400" w:lineRule="exact"/>
              <w:ind w:firstLine="0" w:firstLineChars="0"/>
              <w:jc w:val="center"/>
              <w:rPr>
                <w:rFonts w:hAnsi="宋体" w:cs="仿宋"/>
              </w:rPr>
            </w:pPr>
            <w:r>
              <w:rPr>
                <w:rFonts w:hint="eastAsia" w:hAnsi="宋体" w:cs="仿宋"/>
              </w:rPr>
              <w:t>邮政编码</w:t>
            </w:r>
          </w:p>
        </w:tc>
        <w:tc>
          <w:tcPr>
            <w:tcW w:w="1734" w:type="pct"/>
            <w:gridSpan w:val="2"/>
            <w:vAlign w:val="center"/>
          </w:tcPr>
          <w:p w14:paraId="5C193EDD">
            <w:pPr>
              <w:spacing w:line="400" w:lineRule="exact"/>
              <w:jc w:val="center"/>
              <w:rPr>
                <w:rFonts w:ascii="宋体" w:hAnsi="宋体" w:eastAsia="宋体" w:cs="仿宋"/>
                <w:sz w:val="24"/>
                <w:szCs w:val="24"/>
              </w:rPr>
            </w:pPr>
          </w:p>
        </w:tc>
        <w:tc>
          <w:tcPr>
            <w:tcW w:w="686" w:type="pct"/>
            <w:vAlign w:val="center"/>
          </w:tcPr>
          <w:p w14:paraId="20001355">
            <w:pPr>
              <w:pStyle w:val="26"/>
              <w:kinsoku w:val="0"/>
              <w:overflowPunct w:val="0"/>
              <w:spacing w:line="400" w:lineRule="exact"/>
              <w:ind w:firstLine="0" w:firstLineChars="0"/>
              <w:jc w:val="center"/>
              <w:rPr>
                <w:rFonts w:hAnsi="宋体" w:cs="仿宋"/>
              </w:rPr>
            </w:pPr>
            <w:r>
              <w:rPr>
                <w:rFonts w:hint="eastAsia" w:hAnsi="宋体" w:cs="仿宋"/>
              </w:rPr>
              <w:t>员工总数</w:t>
            </w:r>
          </w:p>
        </w:tc>
        <w:tc>
          <w:tcPr>
            <w:tcW w:w="1285" w:type="pct"/>
            <w:vAlign w:val="center"/>
          </w:tcPr>
          <w:p w14:paraId="2142DA8C">
            <w:pPr>
              <w:spacing w:line="400" w:lineRule="exact"/>
              <w:jc w:val="center"/>
              <w:rPr>
                <w:rFonts w:ascii="宋体" w:hAnsi="宋体" w:eastAsia="宋体" w:cs="仿宋"/>
                <w:sz w:val="24"/>
                <w:szCs w:val="24"/>
              </w:rPr>
            </w:pPr>
          </w:p>
        </w:tc>
      </w:tr>
      <w:tr w14:paraId="30B4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restart"/>
            <w:vAlign w:val="center"/>
          </w:tcPr>
          <w:p w14:paraId="3092C514">
            <w:pPr>
              <w:pStyle w:val="26"/>
              <w:kinsoku w:val="0"/>
              <w:overflowPunct w:val="0"/>
              <w:spacing w:line="400" w:lineRule="exact"/>
              <w:ind w:firstLine="0" w:firstLineChars="0"/>
              <w:jc w:val="center"/>
              <w:rPr>
                <w:rFonts w:hAnsi="宋体" w:cs="仿宋"/>
              </w:rPr>
            </w:pPr>
            <w:r>
              <w:rPr>
                <w:rFonts w:hint="eastAsia" w:hAnsi="宋体" w:cs="仿宋"/>
              </w:rPr>
              <w:t>联系方式</w:t>
            </w:r>
          </w:p>
        </w:tc>
        <w:tc>
          <w:tcPr>
            <w:tcW w:w="507" w:type="pct"/>
            <w:vAlign w:val="center"/>
          </w:tcPr>
          <w:p w14:paraId="361AA16B">
            <w:pPr>
              <w:pStyle w:val="26"/>
              <w:kinsoku w:val="0"/>
              <w:overflowPunct w:val="0"/>
              <w:spacing w:line="400" w:lineRule="exact"/>
              <w:ind w:firstLine="0" w:firstLineChars="0"/>
              <w:jc w:val="center"/>
              <w:rPr>
                <w:rFonts w:hAnsi="宋体" w:cs="仿宋"/>
              </w:rPr>
            </w:pPr>
            <w:r>
              <w:rPr>
                <w:rFonts w:hint="eastAsia" w:hAnsi="宋体" w:cs="仿宋"/>
              </w:rPr>
              <w:t>联系人</w:t>
            </w:r>
          </w:p>
        </w:tc>
        <w:tc>
          <w:tcPr>
            <w:tcW w:w="1227" w:type="pct"/>
            <w:vAlign w:val="center"/>
          </w:tcPr>
          <w:p w14:paraId="44E828A3">
            <w:pPr>
              <w:spacing w:line="400" w:lineRule="exact"/>
              <w:jc w:val="center"/>
              <w:rPr>
                <w:rFonts w:ascii="宋体" w:hAnsi="宋体" w:eastAsia="宋体" w:cs="仿宋"/>
                <w:sz w:val="24"/>
                <w:szCs w:val="24"/>
              </w:rPr>
            </w:pPr>
          </w:p>
        </w:tc>
        <w:tc>
          <w:tcPr>
            <w:tcW w:w="686" w:type="pct"/>
            <w:vAlign w:val="center"/>
          </w:tcPr>
          <w:p w14:paraId="3C8911C2">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0D1512C8">
            <w:pPr>
              <w:spacing w:line="400" w:lineRule="exact"/>
              <w:jc w:val="center"/>
              <w:rPr>
                <w:rFonts w:ascii="宋体" w:hAnsi="宋体" w:eastAsia="宋体" w:cs="仿宋"/>
                <w:sz w:val="24"/>
                <w:szCs w:val="24"/>
              </w:rPr>
            </w:pPr>
          </w:p>
        </w:tc>
      </w:tr>
      <w:tr w14:paraId="4700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1293" w:type="pct"/>
            <w:vMerge w:val="continue"/>
            <w:vAlign w:val="center"/>
          </w:tcPr>
          <w:p w14:paraId="683EF8FF">
            <w:pPr>
              <w:spacing w:line="400" w:lineRule="exact"/>
              <w:jc w:val="center"/>
              <w:rPr>
                <w:rFonts w:ascii="宋体" w:hAnsi="宋体" w:eastAsia="宋体" w:cs="仿宋"/>
                <w:sz w:val="24"/>
                <w:szCs w:val="24"/>
              </w:rPr>
            </w:pPr>
          </w:p>
        </w:tc>
        <w:tc>
          <w:tcPr>
            <w:tcW w:w="507" w:type="pct"/>
            <w:vAlign w:val="center"/>
          </w:tcPr>
          <w:p w14:paraId="1A755BB5">
            <w:pPr>
              <w:pStyle w:val="26"/>
              <w:kinsoku w:val="0"/>
              <w:overflowPunct w:val="0"/>
              <w:spacing w:line="400" w:lineRule="exact"/>
              <w:ind w:firstLine="0" w:firstLineChars="0"/>
              <w:jc w:val="center"/>
              <w:rPr>
                <w:rFonts w:hAnsi="宋体" w:cs="仿宋"/>
              </w:rPr>
            </w:pPr>
            <w:r>
              <w:rPr>
                <w:rFonts w:hint="eastAsia" w:hAnsi="宋体" w:cs="仿宋"/>
              </w:rPr>
              <w:t>网址</w:t>
            </w:r>
          </w:p>
        </w:tc>
        <w:tc>
          <w:tcPr>
            <w:tcW w:w="1227" w:type="pct"/>
            <w:vAlign w:val="center"/>
          </w:tcPr>
          <w:p w14:paraId="77EAE994">
            <w:pPr>
              <w:spacing w:line="400" w:lineRule="exact"/>
              <w:jc w:val="center"/>
              <w:rPr>
                <w:rFonts w:ascii="宋体" w:hAnsi="宋体" w:eastAsia="宋体" w:cs="仿宋"/>
                <w:sz w:val="24"/>
                <w:szCs w:val="24"/>
              </w:rPr>
            </w:pPr>
          </w:p>
        </w:tc>
        <w:tc>
          <w:tcPr>
            <w:tcW w:w="686" w:type="pct"/>
            <w:vAlign w:val="center"/>
          </w:tcPr>
          <w:p w14:paraId="0E3B68FD">
            <w:pPr>
              <w:pStyle w:val="26"/>
              <w:kinsoku w:val="0"/>
              <w:overflowPunct w:val="0"/>
              <w:spacing w:line="400" w:lineRule="exact"/>
              <w:ind w:firstLine="0" w:firstLineChars="0"/>
              <w:jc w:val="center"/>
              <w:rPr>
                <w:rFonts w:hAnsi="宋体" w:cs="仿宋"/>
              </w:rPr>
            </w:pPr>
            <w:r>
              <w:rPr>
                <w:rFonts w:hint="eastAsia" w:hAnsi="宋体" w:cs="仿宋"/>
              </w:rPr>
              <w:t>传真/邮箱</w:t>
            </w:r>
          </w:p>
        </w:tc>
        <w:tc>
          <w:tcPr>
            <w:tcW w:w="1285" w:type="pct"/>
            <w:vAlign w:val="center"/>
          </w:tcPr>
          <w:p w14:paraId="7905C33C">
            <w:pPr>
              <w:spacing w:line="400" w:lineRule="exact"/>
              <w:jc w:val="center"/>
              <w:rPr>
                <w:rFonts w:ascii="宋体" w:hAnsi="宋体" w:eastAsia="宋体" w:cs="仿宋"/>
                <w:sz w:val="24"/>
                <w:szCs w:val="24"/>
              </w:rPr>
            </w:pPr>
          </w:p>
        </w:tc>
      </w:tr>
      <w:tr w14:paraId="2A4E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6C08FD93">
            <w:pPr>
              <w:pStyle w:val="26"/>
              <w:kinsoku w:val="0"/>
              <w:overflowPunct w:val="0"/>
              <w:spacing w:line="400" w:lineRule="exact"/>
              <w:ind w:firstLine="0" w:firstLineChars="0"/>
              <w:jc w:val="center"/>
              <w:rPr>
                <w:rFonts w:hAnsi="宋体" w:cs="仿宋"/>
              </w:rPr>
            </w:pPr>
            <w:r>
              <w:rPr>
                <w:rFonts w:hint="eastAsia" w:hAnsi="宋体" w:cs="仿宋"/>
              </w:rPr>
              <w:t>法定代表人</w:t>
            </w:r>
          </w:p>
          <w:p w14:paraId="284273E6">
            <w:pPr>
              <w:pStyle w:val="26"/>
              <w:kinsoku w:val="0"/>
              <w:overflowPunct w:val="0"/>
              <w:spacing w:line="400" w:lineRule="exact"/>
              <w:ind w:firstLine="0" w:firstLineChars="0"/>
              <w:jc w:val="center"/>
              <w:rPr>
                <w:rFonts w:hAnsi="宋体" w:cs="仿宋"/>
              </w:rPr>
            </w:pPr>
            <w:r>
              <w:rPr>
                <w:rFonts w:hint="eastAsia" w:hAnsi="宋体" w:cs="仿宋"/>
              </w:rPr>
              <w:t>（单位负责人）</w:t>
            </w:r>
          </w:p>
        </w:tc>
        <w:tc>
          <w:tcPr>
            <w:tcW w:w="507" w:type="pct"/>
            <w:vAlign w:val="center"/>
          </w:tcPr>
          <w:p w14:paraId="3B605977">
            <w:pPr>
              <w:pStyle w:val="26"/>
              <w:kinsoku w:val="0"/>
              <w:overflowPunct w:val="0"/>
              <w:spacing w:line="400" w:lineRule="exact"/>
              <w:ind w:firstLine="0" w:firstLineChars="0"/>
              <w:jc w:val="center"/>
              <w:rPr>
                <w:rFonts w:hAnsi="宋体" w:cs="仿宋"/>
              </w:rPr>
            </w:pPr>
            <w:r>
              <w:rPr>
                <w:rFonts w:hint="eastAsia" w:hAnsi="宋体" w:cs="仿宋"/>
              </w:rPr>
              <w:t>姓名</w:t>
            </w:r>
          </w:p>
        </w:tc>
        <w:tc>
          <w:tcPr>
            <w:tcW w:w="1227" w:type="pct"/>
            <w:vAlign w:val="center"/>
          </w:tcPr>
          <w:p w14:paraId="72F35AC4">
            <w:pPr>
              <w:spacing w:line="400" w:lineRule="exact"/>
              <w:jc w:val="center"/>
              <w:rPr>
                <w:rFonts w:ascii="宋体" w:hAnsi="宋体" w:eastAsia="宋体" w:cs="仿宋"/>
                <w:sz w:val="24"/>
                <w:szCs w:val="24"/>
              </w:rPr>
            </w:pPr>
          </w:p>
        </w:tc>
        <w:tc>
          <w:tcPr>
            <w:tcW w:w="686" w:type="pct"/>
            <w:vAlign w:val="center"/>
          </w:tcPr>
          <w:p w14:paraId="026C68D7">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1EEFE668">
            <w:pPr>
              <w:tabs>
                <w:tab w:val="left" w:pos="1426"/>
              </w:tabs>
              <w:spacing w:line="400" w:lineRule="exact"/>
              <w:jc w:val="center"/>
              <w:rPr>
                <w:rFonts w:ascii="宋体" w:hAnsi="宋体" w:eastAsia="宋体" w:cs="仿宋"/>
                <w:sz w:val="24"/>
                <w:szCs w:val="24"/>
              </w:rPr>
            </w:pPr>
          </w:p>
        </w:tc>
      </w:tr>
      <w:tr w14:paraId="5C07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1293" w:type="pct"/>
            <w:vAlign w:val="center"/>
          </w:tcPr>
          <w:p w14:paraId="5546D0FE">
            <w:pPr>
              <w:pStyle w:val="26"/>
              <w:kinsoku w:val="0"/>
              <w:overflowPunct w:val="0"/>
              <w:spacing w:line="400" w:lineRule="exact"/>
              <w:ind w:firstLine="0" w:firstLineChars="0"/>
              <w:jc w:val="center"/>
              <w:rPr>
                <w:rFonts w:hAnsi="宋体" w:cs="仿宋"/>
              </w:rPr>
            </w:pPr>
            <w:r>
              <w:rPr>
                <w:rFonts w:hint="eastAsia" w:hAnsi="宋体" w:cs="仿宋"/>
              </w:rPr>
              <w:t>与本项目采购需求相关的资质或者认证证书</w:t>
            </w:r>
          </w:p>
        </w:tc>
        <w:tc>
          <w:tcPr>
            <w:tcW w:w="3706" w:type="pct"/>
            <w:gridSpan w:val="4"/>
            <w:vAlign w:val="center"/>
          </w:tcPr>
          <w:p w14:paraId="08FC7921">
            <w:pPr>
              <w:pStyle w:val="26"/>
              <w:kinsoku w:val="0"/>
              <w:overflowPunct w:val="0"/>
              <w:spacing w:line="400" w:lineRule="exact"/>
              <w:ind w:firstLine="0" w:firstLineChars="0"/>
              <w:rPr>
                <w:rFonts w:hAnsi="宋体" w:cs="仿宋"/>
              </w:rPr>
            </w:pPr>
            <w:r>
              <w:rPr>
                <w:rFonts w:hint="eastAsia" w:hAnsi="宋体" w:cs="仿宋"/>
              </w:rPr>
              <w:t>如有请罗列证书名称：</w:t>
            </w:r>
          </w:p>
        </w:tc>
      </w:tr>
      <w:tr w14:paraId="14FF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jc w:val="center"/>
        </w:trPr>
        <w:tc>
          <w:tcPr>
            <w:tcW w:w="1293" w:type="pct"/>
            <w:vAlign w:val="center"/>
          </w:tcPr>
          <w:p w14:paraId="46F419B5">
            <w:pPr>
              <w:pStyle w:val="26"/>
              <w:kinsoku w:val="0"/>
              <w:overflowPunct w:val="0"/>
              <w:spacing w:line="400" w:lineRule="exact"/>
              <w:ind w:firstLine="0" w:firstLineChars="0"/>
              <w:jc w:val="center"/>
              <w:rPr>
                <w:rFonts w:hAnsi="宋体" w:cs="仿宋"/>
              </w:rPr>
            </w:pPr>
            <w:r>
              <w:rPr>
                <w:rFonts w:hint="eastAsia" w:hAnsi="宋体" w:cs="仿宋"/>
              </w:rPr>
              <w:t>人员情况</w:t>
            </w:r>
          </w:p>
        </w:tc>
        <w:tc>
          <w:tcPr>
            <w:tcW w:w="3706" w:type="pct"/>
            <w:gridSpan w:val="4"/>
            <w:vAlign w:val="center"/>
          </w:tcPr>
          <w:p w14:paraId="1545A375">
            <w:pPr>
              <w:pStyle w:val="26"/>
              <w:kinsoku w:val="0"/>
              <w:overflowPunct w:val="0"/>
              <w:spacing w:line="400" w:lineRule="exact"/>
              <w:ind w:firstLine="0" w:firstLineChars="0"/>
              <w:rPr>
                <w:rFonts w:hAnsi="宋体" w:cs="仿宋"/>
              </w:rPr>
            </w:pPr>
            <w:r>
              <w:rPr>
                <w:rFonts w:hint="eastAsia" w:hAnsi="宋体" w:cs="仿宋"/>
              </w:rPr>
              <w:t>公司实有人员情况：</w:t>
            </w:r>
          </w:p>
          <w:p w14:paraId="00285C2D">
            <w:pPr>
              <w:pStyle w:val="26"/>
              <w:kinsoku w:val="0"/>
              <w:overflowPunct w:val="0"/>
              <w:spacing w:line="400" w:lineRule="exact"/>
              <w:ind w:firstLine="0" w:firstLineChars="0"/>
              <w:rPr>
                <w:rFonts w:hAnsi="宋体" w:cs="仿宋"/>
              </w:rPr>
            </w:pPr>
            <w:r>
              <w:rPr>
                <w:rFonts w:hint="eastAsia" w:hAnsi="宋体" w:cs="仿宋"/>
              </w:rPr>
              <w:t>广州地区人员情况：</w:t>
            </w:r>
          </w:p>
        </w:tc>
      </w:tr>
      <w:tr w14:paraId="6B2C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293" w:type="pct"/>
            <w:vAlign w:val="center"/>
          </w:tcPr>
          <w:p w14:paraId="4D9B66BF">
            <w:pPr>
              <w:pStyle w:val="26"/>
              <w:kinsoku w:val="0"/>
              <w:overflowPunct w:val="0"/>
              <w:spacing w:line="440" w:lineRule="exact"/>
              <w:ind w:firstLine="0" w:firstLineChars="0"/>
              <w:jc w:val="center"/>
              <w:rPr>
                <w:rFonts w:hAnsi="宋体" w:cs="仿宋"/>
              </w:rPr>
            </w:pPr>
            <w:r>
              <w:rPr>
                <w:rFonts w:hint="eastAsia" w:hAnsi="宋体" w:cs="仿宋"/>
              </w:rPr>
              <w:t>备注</w:t>
            </w:r>
          </w:p>
        </w:tc>
        <w:tc>
          <w:tcPr>
            <w:tcW w:w="3706" w:type="pct"/>
            <w:gridSpan w:val="4"/>
            <w:vAlign w:val="center"/>
          </w:tcPr>
          <w:p w14:paraId="76F22685">
            <w:pPr>
              <w:spacing w:line="440" w:lineRule="exact"/>
              <w:jc w:val="center"/>
              <w:rPr>
                <w:rFonts w:ascii="宋体" w:hAnsi="宋体" w:eastAsia="宋体" w:cs="仿宋"/>
                <w:sz w:val="24"/>
                <w:szCs w:val="24"/>
              </w:rPr>
            </w:pPr>
          </w:p>
        </w:tc>
      </w:tr>
      <w:bookmarkEnd w:id="0"/>
    </w:tbl>
    <w:p w14:paraId="70A426AB">
      <w:pPr>
        <w:pStyle w:val="14"/>
        <w:ind w:firstLine="0" w:firstLineChars="0"/>
      </w:pPr>
    </w:p>
    <w:p w14:paraId="3F0A306A">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二、企业证明材料列表</w:t>
      </w:r>
    </w:p>
    <w:p w14:paraId="71555126">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1、营业执照（加盖公章）</w:t>
      </w:r>
    </w:p>
    <w:p w14:paraId="5375A40A">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2、法定代表人证明书和法定代表人授权委托书（加盖公章）</w:t>
      </w:r>
    </w:p>
    <w:p w14:paraId="2C844324">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3、其他（公司简介、近5年类似项目业绩、企业荣誉、团队人员等）</w:t>
      </w:r>
    </w:p>
    <w:p w14:paraId="04AE1713">
      <w:pPr>
        <w:spacing w:after="209" w:afterLines="67" w:line="360" w:lineRule="auto"/>
        <w:rPr>
          <w:rFonts w:hint="eastAsia" w:asciiTheme="minorEastAsia" w:hAnsiTheme="minorEastAsia" w:cstheme="minorEastAsia"/>
          <w:sz w:val="24"/>
          <w:szCs w:val="24"/>
        </w:rPr>
        <w:sectPr>
          <w:foot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sz w:val="24"/>
          <w:szCs w:val="24"/>
        </w:rPr>
        <w:t>4、对项目采购需求的建议。</w:t>
      </w:r>
    </w:p>
    <w:p w14:paraId="103F7D21">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三、需求响应情况（加盖公章）</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890"/>
        <w:gridCol w:w="10774"/>
        <w:gridCol w:w="1196"/>
        <w:gridCol w:w="802"/>
      </w:tblGrid>
      <w:tr w14:paraId="1F3B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263BF77F">
            <w:pPr>
              <w:spacing w:line="200" w:lineRule="atLeast"/>
              <w:jc w:val="center"/>
              <w:rPr>
                <w:rFonts w:hint="eastAsia" w:ascii="宋体" w:hAnsi="宋体" w:eastAsia="宋体" w:cs="宋体"/>
                <w:sz w:val="21"/>
                <w:szCs w:val="21"/>
              </w:rPr>
            </w:pPr>
            <w:r>
              <w:rPr>
                <w:rFonts w:hint="eastAsia" w:ascii="宋体" w:hAnsi="宋体" w:eastAsia="宋体" w:cs="宋体"/>
                <w:sz w:val="21"/>
                <w:szCs w:val="21"/>
              </w:rPr>
              <w:t>序号</w:t>
            </w:r>
          </w:p>
        </w:tc>
        <w:tc>
          <w:tcPr>
            <w:tcW w:w="4116" w:type="pct"/>
            <w:gridSpan w:val="2"/>
            <w:vAlign w:val="center"/>
          </w:tcPr>
          <w:p w14:paraId="7BB90614">
            <w:pPr>
              <w:spacing w:line="200" w:lineRule="atLeast"/>
              <w:jc w:val="center"/>
              <w:rPr>
                <w:rFonts w:hint="eastAsia" w:ascii="宋体" w:hAnsi="宋体" w:eastAsia="宋体" w:cs="宋体"/>
                <w:sz w:val="21"/>
                <w:szCs w:val="21"/>
              </w:rPr>
            </w:pPr>
            <w:r>
              <w:rPr>
                <w:rFonts w:hint="eastAsia" w:ascii="宋体" w:hAnsi="宋体" w:eastAsia="宋体" w:cs="宋体"/>
                <w:sz w:val="21"/>
                <w:szCs w:val="21"/>
              </w:rPr>
              <w:t>需求条款</w:t>
            </w:r>
          </w:p>
        </w:tc>
        <w:tc>
          <w:tcPr>
            <w:tcW w:w="422" w:type="pct"/>
            <w:vAlign w:val="center"/>
          </w:tcPr>
          <w:p w14:paraId="3CC531D7">
            <w:pPr>
              <w:spacing w:line="200" w:lineRule="atLeast"/>
              <w:jc w:val="center"/>
              <w:rPr>
                <w:rFonts w:hint="eastAsia" w:ascii="宋体" w:hAnsi="宋体" w:eastAsia="宋体" w:cs="宋体"/>
                <w:sz w:val="21"/>
                <w:szCs w:val="21"/>
              </w:rPr>
            </w:pPr>
            <w:r>
              <w:rPr>
                <w:rFonts w:hint="eastAsia" w:ascii="宋体" w:hAnsi="宋体" w:eastAsia="宋体" w:cs="宋体"/>
                <w:sz w:val="21"/>
                <w:szCs w:val="21"/>
              </w:rPr>
              <w:t>响应情况（完全满足/部分满足/不满足）</w:t>
            </w:r>
          </w:p>
        </w:tc>
        <w:tc>
          <w:tcPr>
            <w:tcW w:w="283" w:type="pct"/>
            <w:vAlign w:val="center"/>
          </w:tcPr>
          <w:p w14:paraId="21C2B775">
            <w:pPr>
              <w:spacing w:line="200" w:lineRule="atLeast"/>
              <w:jc w:val="center"/>
              <w:rPr>
                <w:rFonts w:hint="eastAsia" w:ascii="宋体" w:hAnsi="宋体" w:eastAsia="宋体" w:cs="宋体"/>
                <w:sz w:val="21"/>
                <w:szCs w:val="21"/>
              </w:rPr>
            </w:pPr>
            <w:r>
              <w:rPr>
                <w:rFonts w:hint="eastAsia" w:ascii="宋体" w:hAnsi="宋体" w:eastAsia="宋体" w:cs="宋体"/>
                <w:sz w:val="21"/>
                <w:szCs w:val="21"/>
              </w:rPr>
              <w:t>备注（描述偏离情况）</w:t>
            </w:r>
          </w:p>
        </w:tc>
      </w:tr>
      <w:tr w14:paraId="4F5E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2962CE53">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Align w:val="center"/>
          </w:tcPr>
          <w:p w14:paraId="2A251024">
            <w:pPr>
              <w:keepNext w:val="0"/>
              <w:keepLines w:val="0"/>
              <w:pageBreakBefore w:val="0"/>
              <w:kinsoku/>
              <w:wordWrap/>
              <w:overflowPunct/>
              <w:topLinePunct w:val="0"/>
              <w:autoSpaceDE/>
              <w:autoSpaceDN/>
              <w:bidi w:val="0"/>
              <w:spacing w:line="288" w:lineRule="auto"/>
              <w:ind w:left="0" w:firstLine="0" w:firstLineChars="0"/>
              <w:jc w:val="both"/>
              <w:textAlignment w:val="auto"/>
              <w:rPr>
                <w:rStyle w:val="30"/>
                <w:rFonts w:hint="eastAsia" w:ascii="宋体" w:hAnsi="宋体" w:eastAsia="宋体" w:cs="宋体"/>
                <w:b w:val="0"/>
                <w:bCs w:val="0"/>
                <w:color w:val="auto"/>
                <w:sz w:val="21"/>
                <w:szCs w:val="21"/>
                <w:lang w:eastAsia="zh-CN"/>
              </w:rPr>
            </w:pPr>
            <w:r>
              <w:rPr>
                <w:rStyle w:val="30"/>
                <w:rFonts w:hint="eastAsia" w:ascii="宋体" w:hAnsi="宋体" w:eastAsia="宋体" w:cs="宋体"/>
                <w:b w:val="0"/>
                <w:bCs w:val="0"/>
                <w:color w:val="auto"/>
                <w:sz w:val="21"/>
                <w:szCs w:val="21"/>
                <w:lang w:eastAsia="zh-CN"/>
              </w:rPr>
              <w:t>一、项目概述</w:t>
            </w:r>
          </w:p>
        </w:tc>
        <w:tc>
          <w:tcPr>
            <w:tcW w:w="3802" w:type="pct"/>
            <w:vAlign w:val="center"/>
          </w:tcPr>
          <w:p w14:paraId="6A5DD62E">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为保证</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NetApp FAS8040和NetApp FAS9000存储设备的稳定运行，本项目要求提供专业、完善的存储维护服务。</w:t>
            </w:r>
          </w:p>
          <w:p w14:paraId="2CEE858B">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必须提供专业的维保服务、迅速到位的现场服务和备件更换服务、定期巡检服务，以保证存储系统的高可用性和高可靠性。</w:t>
            </w:r>
          </w:p>
          <w:p w14:paraId="5585EF60">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服务采购清单：</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4"/>
              <w:gridCol w:w="4559"/>
              <w:gridCol w:w="1285"/>
              <w:gridCol w:w="1285"/>
              <w:gridCol w:w="2135"/>
            </w:tblGrid>
            <w:tr w14:paraId="2CCE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9" w:type="pct"/>
                  <w:vAlign w:val="center"/>
                </w:tcPr>
                <w:p w14:paraId="0E3D1377">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序列</w:t>
                  </w:r>
                </w:p>
              </w:tc>
              <w:tc>
                <w:tcPr>
                  <w:tcW w:w="2161" w:type="pct"/>
                  <w:vAlign w:val="center"/>
                </w:tcPr>
                <w:p w14:paraId="58206AA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设备名称</w:t>
                  </w:r>
                </w:p>
              </w:tc>
              <w:tc>
                <w:tcPr>
                  <w:tcW w:w="609" w:type="pct"/>
                  <w:vAlign w:val="center"/>
                </w:tcPr>
                <w:p w14:paraId="6EA9AD17">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数量</w:t>
                  </w:r>
                </w:p>
              </w:tc>
              <w:tc>
                <w:tcPr>
                  <w:tcW w:w="609" w:type="pct"/>
                  <w:vAlign w:val="center"/>
                </w:tcPr>
                <w:p w14:paraId="7E622C4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单位</w:t>
                  </w:r>
                </w:p>
              </w:tc>
              <w:tc>
                <w:tcPr>
                  <w:tcW w:w="1012" w:type="pct"/>
                  <w:vAlign w:val="center"/>
                </w:tcPr>
                <w:p w14:paraId="174AD4B4">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交付地点</w:t>
                  </w:r>
                </w:p>
              </w:tc>
            </w:tr>
            <w:tr w14:paraId="5135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09" w:type="pct"/>
                  <w:vAlign w:val="center"/>
                </w:tcPr>
                <w:p w14:paraId="113E7C7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161" w:type="pct"/>
                  <w:vAlign w:val="center"/>
                </w:tcPr>
                <w:p w14:paraId="253AC0D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NAS存储系统维保（NetApp FAS8040）</w:t>
                  </w:r>
                </w:p>
              </w:tc>
              <w:tc>
                <w:tcPr>
                  <w:tcW w:w="609" w:type="pct"/>
                  <w:vAlign w:val="center"/>
                </w:tcPr>
                <w:p w14:paraId="5A05EF58">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609" w:type="pct"/>
                  <w:vAlign w:val="center"/>
                </w:tcPr>
                <w:p w14:paraId="30BBF5FC">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项</w:t>
                  </w:r>
                </w:p>
              </w:tc>
              <w:tc>
                <w:tcPr>
                  <w:tcW w:w="1012" w:type="pct"/>
                  <w:vAlign w:val="center"/>
                </w:tcPr>
                <w:p w14:paraId="35D8976B">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广州</w:t>
                  </w:r>
                </w:p>
              </w:tc>
            </w:tr>
            <w:tr w14:paraId="3DE9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09" w:type="pct"/>
                  <w:vAlign w:val="center"/>
                </w:tcPr>
                <w:p w14:paraId="167BC090">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2161" w:type="pct"/>
                  <w:vAlign w:val="center"/>
                </w:tcPr>
                <w:p w14:paraId="24970564">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NAS存储系统维保（NetApp FAS9000）</w:t>
                  </w:r>
                </w:p>
              </w:tc>
              <w:tc>
                <w:tcPr>
                  <w:tcW w:w="609" w:type="pct"/>
                  <w:vAlign w:val="center"/>
                </w:tcPr>
                <w:p w14:paraId="50B6A631">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609" w:type="pct"/>
                  <w:vAlign w:val="center"/>
                </w:tcPr>
                <w:p w14:paraId="0A128FFA">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项</w:t>
                  </w:r>
                </w:p>
              </w:tc>
              <w:tc>
                <w:tcPr>
                  <w:tcW w:w="1012" w:type="pct"/>
                  <w:vAlign w:val="center"/>
                </w:tcPr>
                <w:p w14:paraId="052A2C10">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广州</w:t>
                  </w:r>
                </w:p>
              </w:tc>
            </w:tr>
          </w:tbl>
          <w:p w14:paraId="1D820D13">
            <w:pPr>
              <w:pStyle w:val="29"/>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422" w:type="pct"/>
            <w:vAlign w:val="center"/>
          </w:tcPr>
          <w:p w14:paraId="1C3E9190">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10B96DF5">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4EE1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3C715DDC">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restart"/>
            <w:vAlign w:val="center"/>
          </w:tcPr>
          <w:p w14:paraId="4C27FEA3">
            <w:pPr>
              <w:keepNext w:val="0"/>
              <w:keepLines w:val="0"/>
              <w:pageBreakBefore w:val="0"/>
              <w:kinsoku/>
              <w:wordWrap/>
              <w:overflowPunct/>
              <w:topLinePunct w:val="0"/>
              <w:autoSpaceDE/>
              <w:autoSpaceDN/>
              <w:bidi w:val="0"/>
              <w:spacing w:line="288" w:lineRule="auto"/>
              <w:ind w:left="0" w:firstLine="0" w:firstLineChars="0"/>
              <w:jc w:val="both"/>
              <w:textAlignment w:val="auto"/>
              <w:rPr>
                <w:rStyle w:val="30"/>
                <w:rFonts w:hint="eastAsia" w:ascii="宋体" w:hAnsi="宋体" w:eastAsia="宋体" w:cs="宋体"/>
                <w:b w:val="0"/>
                <w:bCs w:val="0"/>
                <w:color w:val="auto"/>
                <w:sz w:val="21"/>
                <w:szCs w:val="21"/>
                <w:lang w:val="en-US" w:eastAsia="zh-CN"/>
              </w:rPr>
            </w:pPr>
            <w:r>
              <w:rPr>
                <w:rStyle w:val="30"/>
                <w:rFonts w:hint="eastAsia" w:ascii="宋体" w:hAnsi="宋体" w:eastAsia="宋体" w:cs="宋体"/>
                <w:b w:val="0"/>
                <w:bCs w:val="0"/>
                <w:color w:val="auto"/>
                <w:sz w:val="21"/>
                <w:szCs w:val="21"/>
                <w:lang w:val="en-US" w:eastAsia="zh-CN"/>
              </w:rPr>
              <w:t>二、维保服务内容</w:t>
            </w:r>
          </w:p>
        </w:tc>
        <w:tc>
          <w:tcPr>
            <w:tcW w:w="3802" w:type="pct"/>
            <w:vAlign w:val="center"/>
          </w:tcPr>
          <w:p w14:paraId="5EF4919F">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NetApp存储系统技术服务</w:t>
            </w:r>
          </w:p>
          <w:p w14:paraId="6A241E2F">
            <w:pPr>
              <w:keepNext w:val="0"/>
              <w:keepLines w:val="0"/>
              <w:pageBreakBefore w:val="0"/>
              <w:widowControl/>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kern w:val="0"/>
                <w:sz w:val="21"/>
                <w:szCs w:val="21"/>
              </w:rPr>
            </w:pPr>
            <w:r>
              <w:rPr>
                <w:rFonts w:hint="eastAsia" w:ascii="宋体" w:hAnsi="宋体" w:eastAsia="宋体" w:cs="宋体"/>
                <w:b w:val="0"/>
                <w:bCs w:val="0"/>
                <w:sz w:val="21"/>
                <w:szCs w:val="21"/>
              </w:rPr>
              <w:t>N</w:t>
            </w:r>
            <w:r>
              <w:rPr>
                <w:rFonts w:hint="eastAsia" w:ascii="宋体" w:hAnsi="宋体" w:eastAsia="宋体" w:cs="宋体"/>
                <w:b w:val="0"/>
                <w:bCs w:val="0"/>
                <w:kern w:val="0"/>
                <w:sz w:val="21"/>
                <w:szCs w:val="21"/>
              </w:rPr>
              <w:t xml:space="preserve"> NetApp存储系统运行维护，含：</w:t>
            </w:r>
          </w:p>
          <w:p w14:paraId="06A6EA16">
            <w:pPr>
              <w:pStyle w:val="25"/>
              <w:keepNext w:val="0"/>
              <w:keepLines w:val="0"/>
              <w:pageBreakBefore w:val="0"/>
              <w:widowControl/>
              <w:numPr>
                <w:ilvl w:val="0"/>
                <w:numId w:val="5"/>
              </w:numPr>
              <w:kinsoku/>
              <w:wordWrap/>
              <w:overflowPunct/>
              <w:topLinePunct w:val="0"/>
              <w:autoSpaceDE/>
              <w:autoSpaceDN/>
              <w:bidi w:val="0"/>
              <w:spacing w:line="288" w:lineRule="auto"/>
              <w:ind w:left="0" w:leftChars="0" w:firstLine="0" w:firstLineChars="0"/>
              <w:jc w:val="both"/>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NetApp FAS8040系列存储及配套软件升级服务，包括N</w:t>
            </w:r>
            <w:r>
              <w:rPr>
                <w:rFonts w:hint="eastAsia" w:ascii="宋体" w:hAnsi="宋体" w:eastAsia="宋体" w:cs="宋体"/>
                <w:b w:val="0"/>
                <w:bCs w:val="0"/>
                <w:sz w:val="21"/>
                <w:szCs w:val="21"/>
              </w:rPr>
              <w:t>etApp FAS8040系列存储两个控制器节点，19台DS4246磁盘扩展柜（含456块4TB NL-SAS磁盘），存储系统配套的电源、风扇、其他模块及线缆等，</w:t>
            </w:r>
            <w:r>
              <w:rPr>
                <w:rFonts w:hint="eastAsia" w:ascii="宋体" w:hAnsi="宋体" w:eastAsia="宋体" w:cs="宋体"/>
                <w:b w:val="0"/>
                <w:bCs w:val="0"/>
                <w:kern w:val="0"/>
                <w:sz w:val="21"/>
                <w:szCs w:val="21"/>
              </w:rPr>
              <w:t>7*24小时技术支持；维保期：一年。</w:t>
            </w:r>
          </w:p>
          <w:p w14:paraId="6D4956B4">
            <w:pPr>
              <w:pStyle w:val="25"/>
              <w:keepNext w:val="0"/>
              <w:keepLines w:val="0"/>
              <w:pageBreakBefore w:val="0"/>
              <w:widowControl/>
              <w:numPr>
                <w:ilvl w:val="0"/>
                <w:numId w:val="5"/>
              </w:numPr>
              <w:kinsoku/>
              <w:wordWrap/>
              <w:overflowPunct/>
              <w:topLinePunct w:val="0"/>
              <w:autoSpaceDE/>
              <w:autoSpaceDN/>
              <w:bidi w:val="0"/>
              <w:spacing w:line="288" w:lineRule="auto"/>
              <w:ind w:left="0" w:leftChars="0" w:firstLine="0" w:firstLineChars="0"/>
              <w:jc w:val="both"/>
              <w:textAlignment w:val="auto"/>
              <w:rPr>
                <w:rFonts w:hint="eastAsia" w:ascii="宋体" w:hAnsi="宋体" w:eastAsia="宋体" w:cs="宋体"/>
                <w:b w:val="0"/>
                <w:bCs w:val="0"/>
                <w:sz w:val="21"/>
                <w:szCs w:val="21"/>
              </w:rPr>
            </w:pPr>
            <w:bookmarkStart w:id="1" w:name="OLE_LINK3"/>
            <w:r>
              <w:rPr>
                <w:rFonts w:hint="eastAsia" w:ascii="宋体" w:hAnsi="宋体" w:eastAsia="宋体" w:cs="宋体"/>
                <w:b w:val="0"/>
                <w:bCs w:val="0"/>
                <w:sz w:val="21"/>
                <w:szCs w:val="21"/>
              </w:rPr>
              <w:t>NetApp FAS9000存储及配套软件升级服务，包括FAS9000</w:t>
            </w:r>
            <w:bookmarkStart w:id="2" w:name="OLE_LINK2"/>
            <w:r>
              <w:rPr>
                <w:rFonts w:hint="eastAsia" w:ascii="宋体" w:hAnsi="宋体" w:eastAsia="宋体" w:cs="宋体"/>
                <w:b w:val="0"/>
                <w:bCs w:val="0"/>
                <w:sz w:val="21"/>
                <w:szCs w:val="21"/>
              </w:rPr>
              <w:t>两个控制器节点</w:t>
            </w:r>
            <w:bookmarkEnd w:id="2"/>
            <w:r>
              <w:rPr>
                <w:rFonts w:hint="eastAsia" w:ascii="宋体" w:hAnsi="宋体" w:eastAsia="宋体" w:cs="宋体"/>
                <w:b w:val="0"/>
                <w:bCs w:val="0"/>
                <w:sz w:val="21"/>
                <w:szCs w:val="21"/>
              </w:rPr>
              <w:t>，；14个DS212C磁盘柜，（含168块10TB NL-SAS磁盘），存储系统配套的电源、风扇、其他模块及线缆等，7*24小时技术支持；</w:t>
            </w:r>
            <w:r>
              <w:rPr>
                <w:rFonts w:hint="eastAsia" w:ascii="宋体" w:hAnsi="宋体" w:eastAsia="宋体" w:cs="宋体"/>
                <w:b w:val="0"/>
                <w:bCs w:val="0"/>
                <w:kern w:val="0"/>
                <w:sz w:val="21"/>
                <w:szCs w:val="21"/>
              </w:rPr>
              <w:t>维保期：一年。</w:t>
            </w:r>
            <w:bookmarkEnd w:id="1"/>
          </w:p>
        </w:tc>
        <w:tc>
          <w:tcPr>
            <w:tcW w:w="422" w:type="pct"/>
            <w:vAlign w:val="center"/>
          </w:tcPr>
          <w:p w14:paraId="19500115">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7B8A54D2">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3E83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Align w:val="center"/>
          </w:tcPr>
          <w:p w14:paraId="6C6631FB">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5CEADF97">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4C6F0EE1">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NetApp存储系统备件服务</w:t>
            </w:r>
          </w:p>
          <w:p w14:paraId="5B9AB31D">
            <w:pPr>
              <w:keepNext w:val="0"/>
              <w:keepLines w:val="0"/>
              <w:pageBreakBefore w:val="0"/>
              <w:numPr>
                <w:ilvl w:val="0"/>
                <w:numId w:val="6"/>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NetApp FAS8040系列存储双节点控制器，19台DS4246磁盘扩展柜（含456块4TB NL-SAS磁盘），存储系统配套的电源、风扇、其他模块及线缆等，备件4小时送达：服务期：一年。</w:t>
            </w:r>
          </w:p>
          <w:p w14:paraId="1B6E2E80">
            <w:pPr>
              <w:keepNext w:val="0"/>
              <w:keepLines w:val="0"/>
              <w:pageBreakBefore w:val="0"/>
              <w:numPr>
                <w:ilvl w:val="0"/>
                <w:numId w:val="6"/>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NetApp FAS9000存储及配套软件升级服务，包括FAS9000两个控制器节点，；14个DS212C磁盘柜，（含168块10TB NL-SAS磁盘），存储系统配套的电源、风扇、其他模块及线缆等，，备件4小时送达：服务期：一年。</w:t>
            </w:r>
          </w:p>
        </w:tc>
        <w:tc>
          <w:tcPr>
            <w:tcW w:w="422" w:type="pct"/>
            <w:vAlign w:val="center"/>
          </w:tcPr>
          <w:p w14:paraId="78317D10">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36088569">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5669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4D2D7C3D">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5DF50E1F">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306D500D">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技术支持及响应服务</w:t>
            </w:r>
          </w:p>
          <w:p w14:paraId="6CA4C302">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维保期内，</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负责排除缺陷、修理或替换出现故障的部件、原件和产品(包括软件和硬件)并运送至</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现场，所有费用(含运输及保险费)由</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承担。</w:t>
            </w:r>
          </w:p>
          <w:p w14:paraId="07DA1E17">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维保期内，出现重大通信故障，</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应在接到</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通知后15分钟内做出响应并尽快提供解决方案，立即派遣工程技术人员用最快捷的交通工具前往现场，并在4小时内恢复业务，1个工作日内解决。如因</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原因造成投标系统设备重大通信故障，</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将依照本协议的规定对由此而引起的</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的损失承担责任。</w:t>
            </w:r>
          </w:p>
          <w:p w14:paraId="55C0FD4B">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维保期内，如果</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对该投标系统产品的运行、维护、保证方面进行了技术改进，</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应积极向</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推广。</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应免费向</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提供与这些技术改进有关的详细技术资料。对于增加硬件或投标系统设备功能所做的技术改进，具体费用问题须经双方进一步协商确定。一旦达成协议，</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将按照买卖双方约定的统一交易条件与</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签订补充协议。</w:t>
            </w:r>
          </w:p>
          <w:p w14:paraId="5DD286E9">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维保期满后，如果出现特殊和紧急情况，在</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要求下，</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承诺将派遣其工程技术人员以优惠价格到现场进行对投标系统设备检查和维修。</w:t>
            </w:r>
          </w:p>
        </w:tc>
        <w:tc>
          <w:tcPr>
            <w:tcW w:w="422" w:type="pct"/>
            <w:vAlign w:val="center"/>
          </w:tcPr>
          <w:p w14:paraId="618CC71F">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7AA01AD2">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7640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4DA6CE4E">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11482F55">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1BB1D953">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巡检</w:t>
            </w:r>
          </w:p>
          <w:p w14:paraId="69F842EC">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在维护期内，</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全年为</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按季提供全年4次常规巡检,每次巡检由</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向</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提前3天预约或按</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指定时间进行。巡检内容包括存储的健康状况、存储的当前使用负荷、存储的性能状况等。针对巡检中发现的问题，</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应负责制定相应的改善计划及预防性措施，处理异常问题，并出具书面检测报告供</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存档。巡检报告内容需由</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工程师签字确认。</w:t>
            </w:r>
          </w:p>
        </w:tc>
        <w:tc>
          <w:tcPr>
            <w:tcW w:w="422" w:type="pct"/>
            <w:vAlign w:val="center"/>
          </w:tcPr>
          <w:p w14:paraId="5AA20AA4">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06975733">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49C1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1D2FE4A7">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7D0BCCAD">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25EE7502">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系统升级</w:t>
            </w:r>
          </w:p>
          <w:p w14:paraId="0EB76911">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在维护期间内，如有必要，</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在</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确认同意情况下负责实施存储相应系统软件的升级工作。系统升级具有一定的风险性，</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工程师需与</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共同评估版本升级及补丁安装的必要性，并提交</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签字确认的实施计划，交</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存档。实施计划将包括实施内容、实施步骤、风险管理以及回退机制等。实施完成后</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工程师应负责进行测试并提交测试报告。</w:t>
            </w:r>
          </w:p>
        </w:tc>
        <w:tc>
          <w:tcPr>
            <w:tcW w:w="422" w:type="pct"/>
            <w:vAlign w:val="center"/>
          </w:tcPr>
          <w:p w14:paraId="3FAF7A8B">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7B52C558">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4CF2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043DB2EC">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78A0F8BC">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0139A216">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现场培训</w:t>
            </w:r>
          </w:p>
          <w:p w14:paraId="47CAD1F8">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在维护期内，由</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为</w:t>
            </w:r>
            <w:r>
              <w:rPr>
                <w:rFonts w:hint="eastAsia" w:ascii="宋体" w:hAnsi="宋体" w:eastAsia="宋体" w:cs="宋体"/>
                <w:b w:val="0"/>
                <w:bCs w:val="0"/>
                <w:sz w:val="21"/>
                <w:szCs w:val="21"/>
                <w:lang w:eastAsia="zh-CN"/>
              </w:rPr>
              <w:t>招标人</w:t>
            </w:r>
            <w:r>
              <w:rPr>
                <w:rFonts w:hint="eastAsia" w:ascii="宋体" w:hAnsi="宋体" w:eastAsia="宋体" w:cs="宋体"/>
                <w:b w:val="0"/>
                <w:bCs w:val="0"/>
                <w:sz w:val="21"/>
                <w:szCs w:val="21"/>
              </w:rPr>
              <w:t>定期对用户提供不少于2次的存储技术培训。培训内容包括存储系统设备的维护、设备管理、流量监测、日常管理等。</w:t>
            </w:r>
          </w:p>
        </w:tc>
        <w:tc>
          <w:tcPr>
            <w:tcW w:w="422" w:type="pct"/>
            <w:vAlign w:val="center"/>
          </w:tcPr>
          <w:p w14:paraId="4811131C">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353FA7EF">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1B4B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77" w:type="pct"/>
            <w:vAlign w:val="center"/>
          </w:tcPr>
          <w:p w14:paraId="01976DE6">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Merge w:val="continue"/>
            <w:vAlign w:val="center"/>
          </w:tcPr>
          <w:p w14:paraId="0DC8B821">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pacing w:val="0"/>
                <w:sz w:val="21"/>
                <w:szCs w:val="21"/>
                <w:lang w:val="en-US" w:eastAsia="zh-CN"/>
              </w:rPr>
            </w:pPr>
          </w:p>
        </w:tc>
        <w:tc>
          <w:tcPr>
            <w:tcW w:w="3802" w:type="pct"/>
            <w:vAlign w:val="center"/>
          </w:tcPr>
          <w:p w14:paraId="3015C89B">
            <w:pPr>
              <w:pStyle w:val="25"/>
              <w:keepNext w:val="0"/>
              <w:keepLines w:val="0"/>
              <w:pageBreakBefore w:val="0"/>
              <w:numPr>
                <w:ilvl w:val="1"/>
                <w:numId w:val="4"/>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其他要求</w:t>
            </w:r>
          </w:p>
          <w:p w14:paraId="4EBDAAF3">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须承诺满足以下服务需求：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6"/>
              <w:gridCol w:w="4688"/>
              <w:gridCol w:w="3164"/>
            </w:tblGrid>
            <w:tr w14:paraId="4149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blHeader/>
                <w:jc w:val="center"/>
              </w:trPr>
              <w:tc>
                <w:tcPr>
                  <w:tcW w:w="1278" w:type="pct"/>
                  <w:vAlign w:val="center"/>
                </w:tcPr>
                <w:p w14:paraId="5D541D28">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服务项目</w:t>
                  </w:r>
                </w:p>
              </w:tc>
              <w:tc>
                <w:tcPr>
                  <w:tcW w:w="3722" w:type="pct"/>
                  <w:gridSpan w:val="2"/>
                  <w:vAlign w:val="center"/>
                </w:tcPr>
                <w:p w14:paraId="7EEF66D6">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服务等级</w:t>
                  </w:r>
                </w:p>
              </w:tc>
            </w:tr>
            <w:tr w14:paraId="2282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2DA0558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电话咨询服务</w:t>
                  </w:r>
                </w:p>
              </w:tc>
              <w:tc>
                <w:tcPr>
                  <w:tcW w:w="3722" w:type="pct"/>
                  <w:gridSpan w:val="2"/>
                  <w:vAlign w:val="center"/>
                </w:tcPr>
                <w:p w14:paraId="7AFF1920">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1、受理时间：7x24小时；</w:t>
                  </w:r>
                </w:p>
                <w:p w14:paraId="2773DA16">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2、响应时间：≤15分钟；</w:t>
                  </w:r>
                </w:p>
              </w:tc>
            </w:tr>
            <w:tr w14:paraId="51B1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78" w:type="pct"/>
                  <w:vAlign w:val="center"/>
                </w:tcPr>
                <w:p w14:paraId="7A3A3D09">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电话支持服务</w:t>
                  </w:r>
                </w:p>
              </w:tc>
              <w:tc>
                <w:tcPr>
                  <w:tcW w:w="2222" w:type="pct"/>
                  <w:vAlign w:val="center"/>
                </w:tcPr>
                <w:p w14:paraId="27447762">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响应时间：≤15分钟；</w:t>
                  </w:r>
                </w:p>
              </w:tc>
              <w:tc>
                <w:tcPr>
                  <w:tcW w:w="1500" w:type="pct"/>
                  <w:vMerge w:val="restart"/>
                  <w:vAlign w:val="center"/>
                </w:tcPr>
                <w:p w14:paraId="08A4C0D9">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2、问题解决率：</w:t>
                  </w:r>
                </w:p>
                <w:p w14:paraId="3386FAE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二级问题：1个自然日内解决；</w:t>
                  </w:r>
                </w:p>
                <w:p w14:paraId="5C555BD8">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三级问题：3个自然日内解决；</w:t>
                  </w:r>
                </w:p>
              </w:tc>
            </w:tr>
            <w:tr w14:paraId="26A2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1A59C43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远程技术支持服务</w:t>
                  </w:r>
                </w:p>
              </w:tc>
              <w:tc>
                <w:tcPr>
                  <w:tcW w:w="2222" w:type="pct"/>
                  <w:vAlign w:val="center"/>
                </w:tcPr>
                <w:p w14:paraId="00CA421D">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响应时间：≤15分钟；</w:t>
                  </w:r>
                </w:p>
              </w:tc>
              <w:tc>
                <w:tcPr>
                  <w:tcW w:w="1500" w:type="pct"/>
                  <w:vMerge w:val="continue"/>
                  <w:vAlign w:val="center"/>
                </w:tcPr>
                <w:p w14:paraId="6A56FFDD">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p>
              </w:tc>
            </w:tr>
            <w:tr w14:paraId="473B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4C479CA9">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现场技术支持服务</w:t>
                  </w:r>
                </w:p>
              </w:tc>
              <w:tc>
                <w:tcPr>
                  <w:tcW w:w="3722" w:type="pct"/>
                  <w:gridSpan w:val="2"/>
                  <w:vAlign w:val="center"/>
                </w:tcPr>
                <w:p w14:paraId="7251CD3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1、到达现场时间：&lt;2小时</w:t>
                  </w:r>
                </w:p>
              </w:tc>
            </w:tr>
            <w:tr w14:paraId="2906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593B3AA0">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紧急故障排除服务</w:t>
                  </w:r>
                </w:p>
              </w:tc>
              <w:tc>
                <w:tcPr>
                  <w:tcW w:w="2222" w:type="pct"/>
                  <w:vAlign w:val="center"/>
                </w:tcPr>
                <w:p w14:paraId="5044F912">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一级问题：1、响应时间：</w:t>
                  </w:r>
                </w:p>
                <w:p w14:paraId="0114056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电话响应时间：&lt;1</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分钟；</w:t>
                  </w:r>
                </w:p>
                <w:p w14:paraId="7820F0EC">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远程接入响应时间：&lt;15分钟；</w:t>
                  </w:r>
                </w:p>
                <w:p w14:paraId="22C79522">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到达现场时间：&lt;2小时。</w:t>
                  </w:r>
                </w:p>
              </w:tc>
              <w:tc>
                <w:tcPr>
                  <w:tcW w:w="1500" w:type="pct"/>
                  <w:vAlign w:val="center"/>
                </w:tcPr>
                <w:p w14:paraId="5DB1010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紧急故障恢复时间：</w:t>
                  </w:r>
                </w:p>
                <w:p w14:paraId="6A826FC4">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&lt;4小时；</w:t>
                  </w:r>
                </w:p>
              </w:tc>
            </w:tr>
            <w:tr w14:paraId="3005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00E0127E">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设备巡检服务</w:t>
                  </w:r>
                </w:p>
              </w:tc>
              <w:tc>
                <w:tcPr>
                  <w:tcW w:w="3722" w:type="pct"/>
                  <w:gridSpan w:val="2"/>
                  <w:vAlign w:val="center"/>
                </w:tcPr>
                <w:p w14:paraId="2F321968">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≥4次/年；</w:t>
                  </w:r>
                </w:p>
              </w:tc>
            </w:tr>
            <w:tr w14:paraId="7509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5C8D1E27">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故障件维修服务</w:t>
                  </w:r>
                </w:p>
              </w:tc>
              <w:tc>
                <w:tcPr>
                  <w:tcW w:w="3722" w:type="pct"/>
                  <w:gridSpan w:val="2"/>
                  <w:vAlign w:val="center"/>
                </w:tcPr>
                <w:p w14:paraId="2CCAA42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返修周期：12个工作日</w:t>
                  </w:r>
                </w:p>
              </w:tc>
            </w:tr>
            <w:tr w14:paraId="5998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064E27BF">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紧急备件支持服务</w:t>
                  </w:r>
                </w:p>
              </w:tc>
              <w:tc>
                <w:tcPr>
                  <w:tcW w:w="3722" w:type="pct"/>
                  <w:gridSpan w:val="2"/>
                  <w:vAlign w:val="center"/>
                </w:tcPr>
                <w:p w14:paraId="7F5777B7">
                  <w:pPr>
                    <w:keepNext w:val="0"/>
                    <w:keepLines w:val="0"/>
                    <w:pageBreakBefore w:val="0"/>
                    <w:kinsoku/>
                    <w:wordWrap/>
                    <w:overflowPunct/>
                    <w:topLinePunct w:val="0"/>
                    <w:autoSpaceDE/>
                    <w:autoSpaceDN/>
                    <w:bidi w:val="0"/>
                    <w:adjustRightInd w:val="0"/>
                    <w:snapToGrid w:val="0"/>
                    <w:spacing w:line="288" w:lineRule="auto"/>
                    <w:ind w:left="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4小时内备件到达现场</w:t>
                  </w:r>
                </w:p>
              </w:tc>
            </w:tr>
          </w:tbl>
          <w:p w14:paraId="57E66701">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422" w:type="pct"/>
            <w:vAlign w:val="center"/>
          </w:tcPr>
          <w:p w14:paraId="4470047A">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3D5E145A">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341B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62E37F0B">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vAlign w:val="center"/>
          </w:tcPr>
          <w:p w14:paraId="27028D9A">
            <w:pPr>
              <w:keepNext w:val="0"/>
              <w:keepLines w:val="0"/>
              <w:pageBreakBefore w:val="0"/>
              <w:kinsoku/>
              <w:wordWrap/>
              <w:overflowPunct/>
              <w:topLinePunct w:val="0"/>
              <w:autoSpaceDE/>
              <w:autoSpaceDN/>
              <w:bidi w:val="0"/>
              <w:spacing w:line="288" w:lineRule="auto"/>
              <w:ind w:left="0" w:firstLine="0" w:firstLineChars="0"/>
              <w:jc w:val="both"/>
              <w:textAlignment w:val="auto"/>
              <w:rPr>
                <w:rStyle w:val="30"/>
                <w:rFonts w:hint="eastAsia" w:ascii="宋体" w:hAnsi="宋体" w:eastAsia="宋体" w:cs="宋体"/>
                <w:b w:val="0"/>
                <w:bCs w:val="0"/>
                <w:color w:val="auto"/>
                <w:sz w:val="21"/>
                <w:szCs w:val="21"/>
                <w:lang w:val="en-US" w:eastAsia="zh-CN"/>
              </w:rPr>
            </w:pPr>
            <w:r>
              <w:rPr>
                <w:rStyle w:val="30"/>
                <w:rFonts w:hint="eastAsia" w:ascii="宋体" w:hAnsi="宋体" w:eastAsia="宋体" w:cs="宋体"/>
                <w:b w:val="0"/>
                <w:bCs w:val="0"/>
                <w:color w:val="auto"/>
                <w:sz w:val="21"/>
                <w:szCs w:val="21"/>
                <w:lang w:val="en-US" w:eastAsia="zh-CN"/>
              </w:rPr>
              <w:t>三、故障级别定义</w:t>
            </w:r>
          </w:p>
        </w:tc>
        <w:tc>
          <w:tcPr>
            <w:tcW w:w="3802" w:type="pct"/>
            <w:vAlign w:val="center"/>
          </w:tcPr>
          <w:p w14:paraId="547F98D2">
            <w:pPr>
              <w:spacing w:line="360" w:lineRule="auto"/>
              <w:ind w:firstLine="420" w:firstLineChars="200"/>
              <w:rPr>
                <w:rFonts w:hint="eastAsia" w:ascii="宋体" w:hAnsi="宋体" w:cs="Arial"/>
                <w:szCs w:val="21"/>
              </w:rPr>
            </w:pPr>
            <w:r>
              <w:rPr>
                <w:rFonts w:hint="eastAsia" w:ascii="宋体" w:hAnsi="宋体" w:cs="Arial"/>
                <w:szCs w:val="21"/>
              </w:rPr>
              <w:t>1、故障级别定义</w:t>
            </w:r>
          </w:p>
          <w:p w14:paraId="09D426CF">
            <w:pPr>
              <w:spacing w:line="360" w:lineRule="auto"/>
              <w:ind w:firstLine="420" w:firstLineChars="200"/>
              <w:rPr>
                <w:rFonts w:hint="eastAsia" w:ascii="宋体" w:hAnsi="宋体" w:cs="Arial"/>
                <w:szCs w:val="21"/>
              </w:rPr>
            </w:pPr>
            <w:r>
              <w:rPr>
                <w:rFonts w:hint="eastAsia" w:ascii="宋体" w:hAnsi="宋体" w:cs="Arial"/>
                <w:szCs w:val="21"/>
              </w:rPr>
              <w:t>故障级别由出现问题对</w:t>
            </w:r>
            <w:r>
              <w:rPr>
                <w:rFonts w:hint="eastAsia" w:ascii="宋体" w:hAnsi="宋体" w:cs="Arial"/>
                <w:szCs w:val="21"/>
                <w:lang w:eastAsia="zh-CN"/>
              </w:rPr>
              <w:t>招标人</w:t>
            </w:r>
            <w:r>
              <w:rPr>
                <w:rFonts w:hint="eastAsia" w:ascii="宋体" w:hAnsi="宋体" w:cs="Arial"/>
                <w:szCs w:val="21"/>
              </w:rPr>
              <w:t>最终用户的影响的大小来决定。所有申请的级别都将由</w:t>
            </w:r>
            <w:r>
              <w:rPr>
                <w:rFonts w:hint="eastAsia" w:ascii="宋体" w:hAnsi="宋体" w:cs="Arial"/>
                <w:szCs w:val="21"/>
                <w:lang w:eastAsia="zh-CN"/>
              </w:rPr>
              <w:t>招标人</w:t>
            </w:r>
            <w:r>
              <w:rPr>
                <w:rFonts w:hint="eastAsia" w:ascii="宋体" w:hAnsi="宋体" w:cs="Arial"/>
                <w:szCs w:val="21"/>
              </w:rPr>
              <w:t>和</w:t>
            </w:r>
            <w:r>
              <w:rPr>
                <w:rFonts w:hint="eastAsia" w:ascii="宋体" w:hAnsi="宋体" w:cs="Arial"/>
                <w:szCs w:val="21"/>
                <w:lang w:eastAsia="zh-CN"/>
              </w:rPr>
              <w:t>供应商</w:t>
            </w:r>
            <w:r>
              <w:rPr>
                <w:rFonts w:hint="eastAsia" w:ascii="宋体" w:hAnsi="宋体" w:cs="Arial"/>
                <w:szCs w:val="21"/>
              </w:rPr>
              <w:t>支持机构共同决定，并以最终用户业务为重。</w:t>
            </w:r>
          </w:p>
          <w:p w14:paraId="59F5C5BF">
            <w:pPr>
              <w:spacing w:line="360" w:lineRule="auto"/>
              <w:ind w:firstLine="420" w:firstLineChars="200"/>
              <w:rPr>
                <w:rFonts w:hint="eastAsia" w:ascii="宋体" w:hAnsi="宋体" w:cs="Arial"/>
                <w:szCs w:val="21"/>
              </w:rPr>
            </w:pPr>
            <w:r>
              <w:rPr>
                <w:rFonts w:hint="eastAsia" w:ascii="宋体" w:hAnsi="宋体" w:cs="Arial"/>
                <w:szCs w:val="21"/>
              </w:rPr>
              <w:t xml:space="preserve">a)一级故障 </w:t>
            </w:r>
          </w:p>
          <w:p w14:paraId="5564C0F2">
            <w:pPr>
              <w:spacing w:line="360" w:lineRule="auto"/>
              <w:ind w:firstLine="420" w:firstLineChars="200"/>
              <w:rPr>
                <w:rFonts w:hint="eastAsia" w:ascii="宋体" w:hAnsi="宋体" w:cs="Arial"/>
                <w:szCs w:val="21"/>
              </w:rPr>
            </w:pPr>
            <w:r>
              <w:rPr>
                <w:rFonts w:hint="eastAsia" w:ascii="宋体" w:hAnsi="宋体" w:cs="Arial"/>
                <w:szCs w:val="21"/>
              </w:rPr>
              <w:t>-在商业、经济、技术、安全等方面给最终用户造成重大损失的故障。</w:t>
            </w:r>
          </w:p>
          <w:p w14:paraId="0121F44B">
            <w:pPr>
              <w:spacing w:line="360" w:lineRule="auto"/>
              <w:ind w:firstLine="420" w:firstLineChars="200"/>
              <w:rPr>
                <w:rFonts w:hint="eastAsia" w:ascii="宋体" w:hAnsi="宋体" w:cs="Arial"/>
                <w:szCs w:val="21"/>
              </w:rPr>
            </w:pPr>
            <w:r>
              <w:rPr>
                <w:rFonts w:hint="eastAsia" w:ascii="宋体" w:hAnsi="宋体" w:cs="Arial"/>
                <w:szCs w:val="21"/>
              </w:rPr>
              <w:t>-严重影响整个或局部系统运行，系统功能，或系统可靠性的故障。</w:t>
            </w:r>
          </w:p>
          <w:p w14:paraId="624DCF07">
            <w:pPr>
              <w:spacing w:line="360" w:lineRule="auto"/>
              <w:ind w:firstLine="420" w:firstLineChars="200"/>
              <w:rPr>
                <w:rFonts w:hint="eastAsia" w:ascii="宋体" w:hAnsi="宋体" w:cs="Arial"/>
                <w:szCs w:val="21"/>
              </w:rPr>
            </w:pPr>
            <w:r>
              <w:rPr>
                <w:rFonts w:hint="eastAsia" w:ascii="宋体" w:hAnsi="宋体" w:cs="Arial"/>
                <w:szCs w:val="21"/>
              </w:rPr>
              <w:t>-严重影响最终用户服务质量的故障。</w:t>
            </w:r>
          </w:p>
          <w:p w14:paraId="06CF4C4F">
            <w:pPr>
              <w:spacing w:line="360" w:lineRule="auto"/>
              <w:ind w:firstLine="420" w:firstLineChars="200"/>
              <w:rPr>
                <w:rFonts w:hint="eastAsia" w:ascii="宋体" w:hAnsi="宋体" w:cs="Arial"/>
                <w:szCs w:val="21"/>
              </w:rPr>
            </w:pPr>
            <w:r>
              <w:rPr>
                <w:rFonts w:hint="eastAsia" w:ascii="宋体" w:hAnsi="宋体" w:cs="Arial"/>
                <w:szCs w:val="21"/>
              </w:rPr>
              <w:t>例如：</w:t>
            </w:r>
          </w:p>
          <w:p w14:paraId="762F4834">
            <w:pPr>
              <w:spacing w:line="360" w:lineRule="auto"/>
              <w:ind w:firstLine="420" w:firstLineChars="200"/>
              <w:rPr>
                <w:rFonts w:hint="eastAsia" w:ascii="宋体" w:hAnsi="宋体" w:cs="Arial"/>
                <w:szCs w:val="21"/>
              </w:rPr>
            </w:pPr>
            <w:r>
              <w:rPr>
                <w:rFonts w:hint="eastAsia" w:ascii="宋体" w:hAnsi="宋体" w:cs="Arial"/>
                <w:szCs w:val="21"/>
              </w:rPr>
              <w:t>－设备系统瘫痪，致使无法向用户提供业务服务。</w:t>
            </w:r>
          </w:p>
          <w:p w14:paraId="176C2250">
            <w:pPr>
              <w:spacing w:line="360" w:lineRule="auto"/>
              <w:ind w:firstLine="420" w:firstLineChars="200"/>
              <w:rPr>
                <w:rFonts w:hint="eastAsia" w:ascii="宋体" w:hAnsi="宋体" w:cs="Arial"/>
                <w:szCs w:val="21"/>
              </w:rPr>
            </w:pPr>
            <w:r>
              <w:rPr>
                <w:rFonts w:hint="eastAsia" w:ascii="宋体" w:hAnsi="宋体" w:cs="Arial"/>
                <w:szCs w:val="21"/>
              </w:rPr>
              <w:t>－分节点故障，致使部分用户无法使用业务服务，不能提供正常网络服务。</w:t>
            </w:r>
          </w:p>
          <w:p w14:paraId="0A5FD25B">
            <w:pPr>
              <w:spacing w:line="360" w:lineRule="auto"/>
              <w:ind w:firstLine="420" w:firstLineChars="200"/>
              <w:rPr>
                <w:rFonts w:hint="eastAsia" w:ascii="宋体" w:hAnsi="宋体" w:cs="Arial"/>
                <w:szCs w:val="21"/>
              </w:rPr>
            </w:pPr>
            <w:r>
              <w:rPr>
                <w:rFonts w:hint="eastAsia" w:ascii="宋体" w:hAnsi="宋体" w:cs="Arial"/>
                <w:szCs w:val="21"/>
              </w:rPr>
              <w:t>－受到大面积的安全攻击，致使大量重要业务无法使用。</w:t>
            </w:r>
          </w:p>
          <w:p w14:paraId="4A88EE78">
            <w:pPr>
              <w:spacing w:line="360" w:lineRule="auto"/>
              <w:ind w:firstLine="420" w:firstLineChars="200"/>
              <w:rPr>
                <w:rFonts w:hint="eastAsia" w:ascii="宋体" w:hAnsi="宋体" w:cs="Arial"/>
                <w:szCs w:val="21"/>
              </w:rPr>
            </w:pPr>
            <w:r>
              <w:rPr>
                <w:rFonts w:hint="eastAsia" w:ascii="宋体" w:hAnsi="宋体" w:cs="Arial"/>
                <w:szCs w:val="21"/>
              </w:rPr>
              <w:t xml:space="preserve">b)二级故障 </w:t>
            </w:r>
          </w:p>
          <w:p w14:paraId="4F5F8B5A">
            <w:pPr>
              <w:spacing w:line="360" w:lineRule="auto"/>
              <w:ind w:firstLine="420" w:firstLineChars="200"/>
              <w:rPr>
                <w:rFonts w:hint="eastAsia" w:ascii="宋体" w:hAnsi="宋体" w:cs="Arial"/>
                <w:szCs w:val="21"/>
              </w:rPr>
            </w:pPr>
            <w:r>
              <w:rPr>
                <w:rFonts w:hint="eastAsia" w:ascii="宋体" w:hAnsi="宋体" w:cs="Arial"/>
                <w:szCs w:val="21"/>
              </w:rPr>
              <w:t>－在商业、经济、技术、安全等方面给最终用户造成较严重损失的故障。</w:t>
            </w:r>
          </w:p>
          <w:p w14:paraId="11C8A6F9">
            <w:pPr>
              <w:spacing w:line="360" w:lineRule="auto"/>
              <w:ind w:firstLine="420" w:firstLineChars="200"/>
              <w:rPr>
                <w:rFonts w:hint="eastAsia" w:ascii="宋体" w:hAnsi="宋体" w:cs="Arial"/>
                <w:szCs w:val="21"/>
              </w:rPr>
            </w:pPr>
            <w:r>
              <w:rPr>
                <w:rFonts w:hint="eastAsia" w:ascii="宋体" w:hAnsi="宋体" w:cs="Arial"/>
                <w:szCs w:val="21"/>
              </w:rPr>
              <w:t>－影响局部系统运行，系统功能，或系统可靠性的故障。</w:t>
            </w:r>
          </w:p>
          <w:p w14:paraId="4AA9314A">
            <w:pPr>
              <w:spacing w:line="360" w:lineRule="auto"/>
              <w:ind w:firstLine="420" w:firstLineChars="200"/>
              <w:rPr>
                <w:rFonts w:hint="eastAsia" w:ascii="宋体" w:hAnsi="宋体" w:cs="Arial"/>
                <w:szCs w:val="21"/>
              </w:rPr>
            </w:pPr>
            <w:r>
              <w:rPr>
                <w:rFonts w:hint="eastAsia" w:ascii="宋体" w:hAnsi="宋体" w:cs="Arial"/>
                <w:szCs w:val="21"/>
              </w:rPr>
              <w:t>－影响最终用户服务质量的故障。</w:t>
            </w:r>
          </w:p>
          <w:p w14:paraId="09A585F7">
            <w:pPr>
              <w:spacing w:line="360" w:lineRule="auto"/>
              <w:ind w:firstLine="420" w:firstLineChars="200"/>
              <w:rPr>
                <w:rFonts w:hint="eastAsia" w:ascii="宋体" w:hAnsi="宋体" w:cs="Arial"/>
                <w:szCs w:val="21"/>
              </w:rPr>
            </w:pPr>
            <w:r>
              <w:rPr>
                <w:rFonts w:hint="eastAsia" w:ascii="宋体" w:hAnsi="宋体" w:cs="Arial"/>
                <w:szCs w:val="21"/>
              </w:rPr>
              <w:t>例如：</w:t>
            </w:r>
          </w:p>
          <w:p w14:paraId="088E7929">
            <w:pPr>
              <w:spacing w:line="360" w:lineRule="auto"/>
              <w:ind w:firstLine="420" w:firstLineChars="200"/>
              <w:rPr>
                <w:rFonts w:hint="eastAsia" w:ascii="宋体" w:hAnsi="宋体" w:cs="Arial"/>
                <w:szCs w:val="21"/>
              </w:rPr>
            </w:pPr>
            <w:r>
              <w:rPr>
                <w:rFonts w:hint="eastAsia" w:ascii="宋体" w:hAnsi="宋体" w:cs="Arial"/>
                <w:szCs w:val="21"/>
              </w:rPr>
              <w:t>－单台设备故障，致使失去冗余备份，系统整体的的可靠性降低。</w:t>
            </w:r>
          </w:p>
          <w:p w14:paraId="748F169E">
            <w:pPr>
              <w:spacing w:line="360" w:lineRule="auto"/>
              <w:ind w:firstLine="420" w:firstLineChars="200"/>
              <w:rPr>
                <w:rFonts w:hint="eastAsia" w:ascii="宋体" w:hAnsi="宋体" w:cs="Arial"/>
                <w:szCs w:val="21"/>
              </w:rPr>
            </w:pPr>
            <w:r>
              <w:rPr>
                <w:rFonts w:hint="eastAsia" w:ascii="宋体" w:hAnsi="宋体" w:cs="Arial"/>
                <w:szCs w:val="21"/>
              </w:rPr>
              <w:t>－设备性能超负荷，致使最终用户感受到业务性能下降。</w:t>
            </w:r>
          </w:p>
          <w:p w14:paraId="571FBF62">
            <w:pPr>
              <w:spacing w:line="360" w:lineRule="auto"/>
              <w:ind w:firstLine="420" w:firstLineChars="200"/>
              <w:rPr>
                <w:rFonts w:hint="eastAsia" w:ascii="宋体" w:hAnsi="宋体" w:cs="Arial"/>
                <w:szCs w:val="21"/>
              </w:rPr>
            </w:pPr>
            <w:r>
              <w:rPr>
                <w:rFonts w:hint="eastAsia" w:ascii="宋体" w:hAnsi="宋体" w:cs="Arial"/>
                <w:szCs w:val="21"/>
              </w:rPr>
              <w:t>c)三级故障</w:t>
            </w:r>
          </w:p>
          <w:p w14:paraId="2A1BEE91">
            <w:pPr>
              <w:spacing w:line="360" w:lineRule="auto"/>
              <w:ind w:firstLine="420" w:firstLineChars="200"/>
              <w:rPr>
                <w:rFonts w:hint="eastAsia" w:ascii="宋体" w:hAnsi="宋体" w:cs="Arial"/>
                <w:szCs w:val="21"/>
              </w:rPr>
            </w:pPr>
            <w:r>
              <w:rPr>
                <w:rFonts w:hint="eastAsia" w:ascii="宋体" w:hAnsi="宋体" w:cs="Arial"/>
                <w:szCs w:val="21"/>
              </w:rPr>
              <w:t>－对最终用户造成较轻微影响的故障。</w:t>
            </w:r>
          </w:p>
          <w:p w14:paraId="42990574">
            <w:pPr>
              <w:spacing w:line="360" w:lineRule="auto"/>
              <w:ind w:firstLine="420" w:firstLineChars="200"/>
              <w:rPr>
                <w:rFonts w:hint="eastAsia" w:ascii="宋体" w:hAnsi="宋体" w:cs="Arial"/>
                <w:szCs w:val="21"/>
              </w:rPr>
            </w:pPr>
            <w:r>
              <w:rPr>
                <w:rFonts w:hint="eastAsia" w:ascii="宋体" w:hAnsi="宋体" w:cs="Arial"/>
                <w:szCs w:val="21"/>
              </w:rPr>
              <w:t>－对产品功能造成轻微影响的故障。</w:t>
            </w:r>
          </w:p>
          <w:p w14:paraId="2FEB53FD">
            <w:pPr>
              <w:spacing w:line="360" w:lineRule="auto"/>
              <w:ind w:firstLine="420" w:firstLineChars="200"/>
              <w:rPr>
                <w:rFonts w:hint="eastAsia" w:ascii="宋体" w:hAnsi="宋体" w:cs="Arial"/>
                <w:szCs w:val="21"/>
              </w:rPr>
            </w:pPr>
            <w:r>
              <w:rPr>
                <w:rFonts w:hint="eastAsia" w:ascii="宋体" w:hAnsi="宋体" w:cs="Arial"/>
                <w:szCs w:val="21"/>
              </w:rPr>
              <w:t>－在商业、经济方面给最终用户造成轻微损失的故障。</w:t>
            </w:r>
          </w:p>
          <w:p w14:paraId="436A978B">
            <w:pPr>
              <w:spacing w:line="360" w:lineRule="auto"/>
              <w:ind w:firstLine="420" w:firstLineChars="200"/>
              <w:rPr>
                <w:rFonts w:hint="eastAsia" w:ascii="宋体" w:hAnsi="宋体" w:cs="Arial"/>
                <w:szCs w:val="21"/>
              </w:rPr>
            </w:pPr>
            <w:r>
              <w:rPr>
                <w:rFonts w:hint="eastAsia" w:ascii="宋体" w:hAnsi="宋体" w:cs="Arial"/>
                <w:szCs w:val="21"/>
              </w:rPr>
              <w:t>－除紧急故障和严重故障外的其他问题。</w:t>
            </w:r>
          </w:p>
          <w:p w14:paraId="03C0352D">
            <w:pPr>
              <w:spacing w:line="360" w:lineRule="auto"/>
              <w:ind w:firstLine="420" w:firstLineChars="200"/>
              <w:rPr>
                <w:rFonts w:hint="eastAsia" w:ascii="宋体" w:hAnsi="宋体" w:cs="Arial"/>
                <w:szCs w:val="21"/>
              </w:rPr>
            </w:pPr>
            <w:r>
              <w:rPr>
                <w:rFonts w:hint="eastAsia" w:ascii="宋体" w:hAnsi="宋体" w:cs="Arial"/>
                <w:szCs w:val="21"/>
              </w:rPr>
              <w:t>例如：</w:t>
            </w:r>
          </w:p>
          <w:p w14:paraId="16B7F07B">
            <w:pPr>
              <w:spacing w:line="360" w:lineRule="auto"/>
              <w:ind w:firstLine="420" w:firstLineChars="200"/>
              <w:rPr>
                <w:rFonts w:hint="eastAsia" w:ascii="宋体" w:hAnsi="宋体" w:cs="Arial"/>
                <w:szCs w:val="21"/>
              </w:rPr>
            </w:pPr>
            <w:r>
              <w:rPr>
                <w:rFonts w:hint="eastAsia" w:ascii="宋体" w:hAnsi="宋体" w:cs="Arial"/>
                <w:szCs w:val="21"/>
              </w:rPr>
              <w:t>－一般节点故障，导致为部分用户提供的服务质量较差。</w:t>
            </w:r>
          </w:p>
          <w:p w14:paraId="3488E5AF">
            <w:pPr>
              <w:spacing w:line="360" w:lineRule="auto"/>
              <w:ind w:firstLine="420" w:firstLineChars="200"/>
              <w:rPr>
                <w:rFonts w:hint="eastAsia" w:ascii="宋体" w:hAnsi="宋体" w:cs="Arial"/>
                <w:szCs w:val="21"/>
              </w:rPr>
            </w:pPr>
            <w:r>
              <w:rPr>
                <w:rFonts w:hint="eastAsia" w:ascii="宋体" w:hAnsi="宋体" w:cs="Arial"/>
                <w:szCs w:val="21"/>
              </w:rPr>
              <w:t>－显示错误。</w:t>
            </w:r>
          </w:p>
          <w:p w14:paraId="09607433">
            <w:pPr>
              <w:spacing w:line="360" w:lineRule="auto"/>
              <w:ind w:firstLine="420" w:firstLineChars="200"/>
              <w:rPr>
                <w:rFonts w:hint="eastAsia" w:ascii="宋体" w:hAnsi="宋体" w:cs="Arial"/>
                <w:szCs w:val="21"/>
              </w:rPr>
            </w:pPr>
            <w:r>
              <w:rPr>
                <w:rFonts w:hint="eastAsia" w:ascii="宋体" w:hAnsi="宋体" w:cs="Arial"/>
                <w:szCs w:val="21"/>
              </w:rPr>
              <w:t>－文件出错。</w:t>
            </w:r>
          </w:p>
          <w:p w14:paraId="5793AFF5">
            <w:pPr>
              <w:spacing w:line="360" w:lineRule="auto"/>
              <w:ind w:firstLine="420" w:firstLineChars="200"/>
              <w:rPr>
                <w:rFonts w:hint="eastAsia" w:ascii="宋体" w:hAnsi="宋体" w:cs="Arial"/>
                <w:szCs w:val="21"/>
              </w:rPr>
            </w:pPr>
            <w:r>
              <w:rPr>
                <w:rFonts w:hint="eastAsia" w:ascii="宋体" w:hAnsi="宋体" w:cs="Arial"/>
                <w:szCs w:val="21"/>
              </w:rPr>
              <w:t>2、故障处理服务规范</w:t>
            </w:r>
          </w:p>
          <w:p w14:paraId="70551D3F">
            <w:pPr>
              <w:spacing w:line="360" w:lineRule="auto"/>
              <w:ind w:firstLine="420" w:firstLineChars="200"/>
              <w:rPr>
                <w:rFonts w:hint="eastAsia" w:ascii="宋体" w:hAnsi="宋体" w:cs="Arial"/>
                <w:szCs w:val="21"/>
              </w:rPr>
            </w:pPr>
            <w:r>
              <w:rPr>
                <w:rFonts w:hint="eastAsia" w:ascii="宋体" w:hAnsi="宋体" w:cs="Arial"/>
                <w:szCs w:val="21"/>
                <w:lang w:eastAsia="zh-CN"/>
              </w:rPr>
              <w:t>招标人</w:t>
            </w:r>
            <w:r>
              <w:rPr>
                <w:rFonts w:hint="eastAsia" w:ascii="宋体" w:hAnsi="宋体" w:cs="Arial"/>
                <w:szCs w:val="21"/>
              </w:rPr>
              <w:t>维护人员发现故障后，向</w:t>
            </w:r>
            <w:r>
              <w:rPr>
                <w:rFonts w:hint="eastAsia" w:ascii="宋体" w:hAnsi="宋体" w:cs="Arial"/>
                <w:szCs w:val="21"/>
                <w:lang w:eastAsia="zh-CN"/>
              </w:rPr>
              <w:t>供应商</w:t>
            </w:r>
            <w:r>
              <w:rPr>
                <w:rFonts w:hint="eastAsia" w:ascii="宋体" w:hAnsi="宋体" w:cs="Arial"/>
                <w:szCs w:val="21"/>
              </w:rPr>
              <w:t>申告故障，</w:t>
            </w: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申告后为</w:t>
            </w:r>
            <w:r>
              <w:rPr>
                <w:rFonts w:hint="eastAsia" w:ascii="宋体" w:hAnsi="宋体" w:cs="Arial"/>
                <w:szCs w:val="21"/>
                <w:lang w:eastAsia="zh-CN"/>
              </w:rPr>
              <w:t>招标人</w:t>
            </w:r>
            <w:r>
              <w:rPr>
                <w:rFonts w:hint="eastAsia" w:ascii="宋体" w:hAnsi="宋体" w:cs="Arial"/>
                <w:szCs w:val="21"/>
              </w:rPr>
              <w:t>进行故障处理服务，并根据</w:t>
            </w:r>
            <w:r>
              <w:rPr>
                <w:rFonts w:hint="eastAsia" w:ascii="宋体" w:hAnsi="宋体" w:cs="Arial"/>
                <w:szCs w:val="21"/>
                <w:lang w:eastAsia="zh-CN"/>
              </w:rPr>
              <w:t>招标人</w:t>
            </w:r>
            <w:r>
              <w:rPr>
                <w:rFonts w:hint="eastAsia" w:ascii="宋体" w:hAnsi="宋体" w:cs="Arial"/>
                <w:szCs w:val="21"/>
              </w:rPr>
              <w:t>申告的故障级别提供相应的服务。</w:t>
            </w:r>
          </w:p>
          <w:p w14:paraId="519930B1">
            <w:pPr>
              <w:spacing w:line="360" w:lineRule="auto"/>
              <w:ind w:firstLine="420" w:firstLineChars="200"/>
              <w:rPr>
                <w:rFonts w:hint="eastAsia" w:ascii="宋体" w:hAnsi="宋体" w:cs="Arial"/>
                <w:szCs w:val="21"/>
              </w:rPr>
            </w:pPr>
            <w:r>
              <w:rPr>
                <w:rFonts w:hint="eastAsia" w:ascii="宋体" w:hAnsi="宋体" w:cs="Arial"/>
                <w:szCs w:val="21"/>
              </w:rPr>
              <w:t>a)一级故障</w:t>
            </w:r>
          </w:p>
          <w:p w14:paraId="55E556CD">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工程师在5分钟内给予</w:t>
            </w:r>
            <w:r>
              <w:rPr>
                <w:rFonts w:hint="eastAsia" w:ascii="宋体" w:hAnsi="宋体" w:cs="Arial"/>
                <w:szCs w:val="21"/>
                <w:lang w:eastAsia="zh-CN"/>
              </w:rPr>
              <w:t>招标人</w:t>
            </w:r>
            <w:r>
              <w:rPr>
                <w:rFonts w:hint="eastAsia" w:ascii="宋体" w:hAnsi="宋体" w:cs="Arial"/>
                <w:szCs w:val="21"/>
              </w:rPr>
              <w:t>电话响应，15分钟内远程登陆网络。</w:t>
            </w:r>
          </w:p>
          <w:p w14:paraId="58C85815">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需在保证远程处理的同时增派驻点工程师到达现场，广州120分钟内到达现场。</w:t>
            </w:r>
          </w:p>
          <w:p w14:paraId="33CDB18D">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许可后实施，在30分钟内恢复业务基本运行，使网络恢复到不影响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67E92ED4">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工程师在12小时内解决全部故障，其中包括硬件提供和更换的时间。</w:t>
            </w:r>
          </w:p>
          <w:p w14:paraId="1D522DEF">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工程师在故障最终解决后1个工作日内提供故障报告。</w:t>
            </w:r>
          </w:p>
          <w:p w14:paraId="2AC2B2EE">
            <w:pPr>
              <w:spacing w:line="360" w:lineRule="auto"/>
              <w:ind w:firstLine="420" w:firstLineChars="200"/>
              <w:rPr>
                <w:rFonts w:hint="eastAsia" w:ascii="宋体" w:hAnsi="宋体" w:cs="Arial"/>
                <w:szCs w:val="21"/>
              </w:rPr>
            </w:pPr>
            <w:r>
              <w:rPr>
                <w:rFonts w:hint="eastAsia" w:ascii="宋体" w:hAnsi="宋体" w:cs="Arial"/>
                <w:szCs w:val="21"/>
              </w:rPr>
              <w:t>b)二级故障</w:t>
            </w:r>
          </w:p>
          <w:p w14:paraId="496E8DFB">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工程师在10分钟内给予</w:t>
            </w:r>
            <w:r>
              <w:rPr>
                <w:rFonts w:hint="eastAsia" w:ascii="宋体" w:hAnsi="宋体" w:cs="Arial"/>
                <w:szCs w:val="21"/>
                <w:lang w:eastAsia="zh-CN"/>
              </w:rPr>
              <w:t>招标人</w:t>
            </w:r>
            <w:r>
              <w:rPr>
                <w:rFonts w:hint="eastAsia" w:ascii="宋体" w:hAnsi="宋体" w:cs="Arial"/>
                <w:szCs w:val="21"/>
              </w:rPr>
              <w:t>电话响应，20分钟内远程登陆网络。</w:t>
            </w:r>
          </w:p>
          <w:p w14:paraId="7190452A">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需在保证远程处理的同时增派驻点工程师到达现场，广州节点2小时内到达现场，深圳、佛山等节点4小时内到达现场。</w:t>
            </w:r>
          </w:p>
          <w:p w14:paraId="54820009">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许可后实施，在30分钟内恢复业务基本运行，使设备或系统恢复到不影响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1AA33363">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工程师在24小时内解决全部故障，其中包括硬件更换的时间。</w:t>
            </w:r>
          </w:p>
          <w:p w14:paraId="2D5184F9">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工程师在故障最终解决后1个工作日内提供故障报告。</w:t>
            </w:r>
          </w:p>
          <w:p w14:paraId="634870C0">
            <w:pPr>
              <w:spacing w:line="360" w:lineRule="auto"/>
              <w:ind w:firstLine="420" w:firstLineChars="200"/>
              <w:rPr>
                <w:rFonts w:hint="eastAsia" w:ascii="宋体" w:hAnsi="宋体" w:cs="Arial"/>
                <w:szCs w:val="21"/>
              </w:rPr>
            </w:pPr>
            <w:r>
              <w:rPr>
                <w:rFonts w:hint="eastAsia" w:ascii="宋体" w:hAnsi="宋体" w:cs="Arial"/>
                <w:szCs w:val="21"/>
              </w:rPr>
              <w:t>c)三级故障</w:t>
            </w:r>
          </w:p>
          <w:p w14:paraId="62532552">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工程师在30分钟内给予</w:t>
            </w:r>
            <w:r>
              <w:rPr>
                <w:rFonts w:hint="eastAsia" w:ascii="宋体" w:hAnsi="宋体" w:cs="Arial"/>
                <w:szCs w:val="21"/>
                <w:lang w:eastAsia="zh-CN"/>
              </w:rPr>
              <w:t>招标人</w:t>
            </w:r>
            <w:r>
              <w:rPr>
                <w:rFonts w:hint="eastAsia" w:ascii="宋体" w:hAnsi="宋体" w:cs="Arial"/>
                <w:szCs w:val="21"/>
              </w:rPr>
              <w:t>电话响应，2小时内远程登陆网络。</w:t>
            </w:r>
          </w:p>
          <w:p w14:paraId="2D82A9CC">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派工程师在1个工作日内到达现场。</w:t>
            </w:r>
          </w:p>
          <w:p w14:paraId="2BB30692">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许可后实施，在1个工作日内恢复业务基本运行，使网络恢复到不影响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4694903B">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工程师在3个工作日内解决全部故障，其中包括硬件提供和更换的时间。</w:t>
            </w:r>
          </w:p>
          <w:p w14:paraId="45D48BC8">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工程师在故障最终解决后2个工作日内提供故障报告。</w:t>
            </w:r>
          </w:p>
          <w:p w14:paraId="134B33B3">
            <w:pPr>
              <w:spacing w:line="360" w:lineRule="auto"/>
              <w:ind w:firstLine="420" w:firstLineChars="200"/>
              <w:rPr>
                <w:rFonts w:hint="eastAsia" w:ascii="宋体" w:hAnsi="宋体" w:eastAsia="宋体" w:cs="宋体"/>
                <w:b w:val="0"/>
                <w:bCs w:val="0"/>
                <w:sz w:val="21"/>
                <w:szCs w:val="21"/>
              </w:rPr>
            </w:pPr>
            <w:r>
              <w:rPr>
                <w:rFonts w:hint="eastAsia" w:ascii="宋体" w:hAnsi="宋体" w:cs="Arial"/>
                <w:szCs w:val="21"/>
              </w:rPr>
              <w:t>要求</w:t>
            </w:r>
            <w:bookmarkStart w:id="3" w:name="_GoBack"/>
            <w:bookmarkEnd w:id="3"/>
            <w:r>
              <w:rPr>
                <w:rFonts w:hint="eastAsia" w:ascii="宋体" w:hAnsi="宋体" w:cs="Arial"/>
                <w:szCs w:val="21"/>
              </w:rPr>
              <w:t>通过先进、标准、可控的技术、工具和方法，安装系统，评估系统趋势，定位系统运行瓶颈，实现系统稳定运行、各项性能指标正常高效、故障响应和处理及时、提升系统运行质量。</w:t>
            </w:r>
          </w:p>
        </w:tc>
        <w:tc>
          <w:tcPr>
            <w:tcW w:w="422" w:type="pct"/>
            <w:vAlign w:val="center"/>
          </w:tcPr>
          <w:p w14:paraId="06DA9D45">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2AC523C3">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r w14:paraId="17D8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7" w:type="pct"/>
            <w:vAlign w:val="center"/>
          </w:tcPr>
          <w:p w14:paraId="5B7D4832">
            <w:pPr>
              <w:keepNext w:val="0"/>
              <w:keepLines w:val="0"/>
              <w:pageBreakBefore w:val="0"/>
              <w:numPr>
                <w:ilvl w:val="0"/>
                <w:numId w:val="3"/>
              </w:numPr>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314" w:type="pct"/>
            <w:shd w:val="clear"/>
            <w:vAlign w:val="center"/>
          </w:tcPr>
          <w:p w14:paraId="08479785">
            <w:pPr>
              <w:keepNext w:val="0"/>
              <w:keepLines w:val="0"/>
              <w:pageBreakBefore w:val="0"/>
              <w:kinsoku/>
              <w:wordWrap/>
              <w:overflowPunct/>
              <w:topLinePunct w:val="0"/>
              <w:autoSpaceDE/>
              <w:autoSpaceDN/>
              <w:bidi w:val="0"/>
              <w:spacing w:line="288" w:lineRule="auto"/>
              <w:ind w:left="0" w:leftChars="0" w:firstLine="0" w:firstLineChars="0"/>
              <w:jc w:val="both"/>
              <w:textAlignment w:val="auto"/>
              <w:rPr>
                <w:rFonts w:hint="eastAsia" w:ascii="宋体" w:hAnsi="宋体" w:eastAsia="宋体" w:cs="宋体"/>
                <w:b w:val="0"/>
                <w:bCs w:val="0"/>
                <w:smallCaps/>
                <w:color w:val="auto"/>
                <w:spacing w:val="5"/>
                <w:kern w:val="2"/>
                <w:sz w:val="21"/>
                <w:szCs w:val="21"/>
                <w:lang w:val="en-US" w:eastAsia="zh-CN" w:bidi="ar-SA"/>
              </w:rPr>
            </w:pPr>
            <w:r>
              <w:rPr>
                <w:rStyle w:val="30"/>
                <w:rFonts w:hint="eastAsia" w:ascii="宋体" w:hAnsi="宋体" w:eastAsia="宋体" w:cs="宋体"/>
                <w:b w:val="0"/>
                <w:bCs w:val="0"/>
                <w:color w:val="auto"/>
                <w:sz w:val="21"/>
                <w:szCs w:val="21"/>
                <w:lang w:val="en-US" w:eastAsia="zh-CN"/>
              </w:rPr>
              <w:t>四、付款方式</w:t>
            </w:r>
          </w:p>
        </w:tc>
        <w:tc>
          <w:tcPr>
            <w:tcW w:w="3802" w:type="pct"/>
            <w:shd w:val="clear"/>
            <w:vAlign w:val="center"/>
          </w:tcPr>
          <w:p w14:paraId="5A7A0CCC">
            <w:pPr>
              <w:keepNext w:val="0"/>
              <w:keepLines w:val="0"/>
              <w:pageBreakBefore w:val="0"/>
              <w:kinsoku/>
              <w:wordWrap/>
              <w:overflowPunct/>
              <w:topLinePunct w:val="0"/>
              <w:autoSpaceDE/>
              <w:autoSpaceDN/>
              <w:bidi w:val="0"/>
              <w:spacing w:line="288" w:lineRule="auto"/>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rPr>
              <w:t>按月/季度/年/指定周期，通过项目阶段验收或提供证明材料并根据考核评分结果，在完成该周期服务后，分期平均支付。</w:t>
            </w:r>
          </w:p>
        </w:tc>
        <w:tc>
          <w:tcPr>
            <w:tcW w:w="422" w:type="pct"/>
            <w:vAlign w:val="center"/>
          </w:tcPr>
          <w:p w14:paraId="79688632">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c>
          <w:tcPr>
            <w:tcW w:w="283" w:type="pct"/>
            <w:vAlign w:val="center"/>
          </w:tcPr>
          <w:p w14:paraId="00F01177">
            <w:pPr>
              <w:keepNext w:val="0"/>
              <w:keepLines w:val="0"/>
              <w:pageBreakBefore w:val="0"/>
              <w:kinsoku/>
              <w:wordWrap/>
              <w:overflowPunct/>
              <w:topLinePunct w:val="0"/>
              <w:autoSpaceDE/>
              <w:autoSpaceDN/>
              <w:bidi w:val="0"/>
              <w:spacing w:line="288" w:lineRule="auto"/>
              <w:ind w:left="0" w:firstLine="0" w:firstLineChars="0"/>
              <w:jc w:val="both"/>
              <w:textAlignment w:val="auto"/>
              <w:rPr>
                <w:rFonts w:hint="eastAsia" w:ascii="宋体" w:hAnsi="宋体" w:eastAsia="宋体" w:cs="宋体"/>
                <w:b w:val="0"/>
                <w:bCs w:val="0"/>
                <w:sz w:val="21"/>
                <w:szCs w:val="21"/>
              </w:rPr>
            </w:pPr>
          </w:p>
        </w:tc>
      </w:tr>
    </w:tbl>
    <w:p w14:paraId="26D96D1F">
      <w:pPr>
        <w:spacing w:after="209" w:afterLines="67"/>
        <w:rPr>
          <w:rFonts w:asciiTheme="minorEastAsia" w:hAnsiTheme="minorEastAsia" w:cstheme="minorEastAsia"/>
          <w:b/>
          <w:bCs/>
          <w:sz w:val="24"/>
          <w:szCs w:val="24"/>
        </w:rPr>
      </w:pPr>
    </w:p>
    <w:p w14:paraId="7B2213B6">
      <w:pPr>
        <w:spacing w:after="209" w:afterLines="67"/>
        <w:rPr>
          <w:rFonts w:hint="eastAsia" w:asciiTheme="minorEastAsia" w:hAnsiTheme="minorEastAsia" w:cstheme="minorEastAsia"/>
          <w:b/>
          <w:bCs/>
          <w:sz w:val="24"/>
          <w:szCs w:val="24"/>
        </w:rPr>
        <w:sectPr>
          <w:pgSz w:w="16838" w:h="11906" w:orient="landscape"/>
          <w:pgMar w:top="1800" w:right="1440" w:bottom="1800" w:left="1440" w:header="851" w:footer="992" w:gutter="0"/>
          <w:cols w:space="425" w:num="1"/>
          <w:docGrid w:type="lines" w:linePitch="312" w:charSpace="0"/>
        </w:sectPr>
      </w:pPr>
    </w:p>
    <w:p w14:paraId="1F6A1EBD">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四、报价内容（加盖公章）</w:t>
      </w:r>
    </w:p>
    <w:tbl>
      <w:tblPr>
        <w:tblStyle w:val="15"/>
        <w:tblW w:w="4996" w:type="pct"/>
        <w:jc w:val="center"/>
        <w:tblLayout w:type="fixed"/>
        <w:tblCellMar>
          <w:top w:w="0" w:type="dxa"/>
          <w:left w:w="108" w:type="dxa"/>
          <w:bottom w:w="0" w:type="dxa"/>
          <w:right w:w="108" w:type="dxa"/>
        </w:tblCellMar>
      </w:tblPr>
      <w:tblGrid>
        <w:gridCol w:w="760"/>
        <w:gridCol w:w="3161"/>
        <w:gridCol w:w="1085"/>
        <w:gridCol w:w="1230"/>
        <w:gridCol w:w="1649"/>
        <w:gridCol w:w="1612"/>
        <w:gridCol w:w="3183"/>
        <w:gridCol w:w="1483"/>
      </w:tblGrid>
      <w:tr w14:paraId="65D9BB33">
        <w:tblPrEx>
          <w:tblCellMar>
            <w:top w:w="0" w:type="dxa"/>
            <w:left w:w="108" w:type="dxa"/>
            <w:bottom w:w="0" w:type="dxa"/>
            <w:right w:w="108" w:type="dxa"/>
          </w:tblCellMar>
        </w:tblPrEx>
        <w:trPr>
          <w:trHeight w:val="570"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15BA4925">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115" w:type="pct"/>
            <w:tcBorders>
              <w:top w:val="single" w:color="auto" w:sz="4" w:space="0"/>
              <w:left w:val="nil"/>
              <w:bottom w:val="single" w:color="auto" w:sz="4" w:space="0"/>
              <w:right w:val="single" w:color="auto" w:sz="4" w:space="0"/>
            </w:tcBorders>
            <w:noWrap/>
            <w:vAlign w:val="center"/>
          </w:tcPr>
          <w:p w14:paraId="355BBFA7">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设备名称</w:t>
            </w:r>
          </w:p>
        </w:tc>
        <w:tc>
          <w:tcPr>
            <w:tcW w:w="383" w:type="pct"/>
            <w:tcBorders>
              <w:top w:val="single" w:color="auto" w:sz="4" w:space="0"/>
              <w:left w:val="nil"/>
              <w:bottom w:val="single" w:color="auto" w:sz="4" w:space="0"/>
              <w:right w:val="single" w:color="auto" w:sz="4" w:space="0"/>
            </w:tcBorders>
            <w:noWrap/>
            <w:vAlign w:val="center"/>
          </w:tcPr>
          <w:p w14:paraId="108C972F">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434" w:type="pct"/>
            <w:tcBorders>
              <w:top w:val="single" w:color="auto" w:sz="4" w:space="0"/>
              <w:left w:val="nil"/>
              <w:bottom w:val="single" w:color="auto" w:sz="4" w:space="0"/>
              <w:right w:val="single" w:color="auto" w:sz="4" w:space="0"/>
            </w:tcBorders>
            <w:noWrap/>
            <w:vAlign w:val="center"/>
          </w:tcPr>
          <w:p w14:paraId="5A5FBDB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582" w:type="pct"/>
            <w:tcBorders>
              <w:top w:val="single" w:color="auto" w:sz="4" w:space="0"/>
              <w:left w:val="nil"/>
              <w:bottom w:val="single" w:color="auto" w:sz="4" w:space="0"/>
              <w:right w:val="single" w:color="auto" w:sz="4" w:space="0"/>
            </w:tcBorders>
            <w:noWrap w:val="0"/>
            <w:vAlign w:val="center"/>
          </w:tcPr>
          <w:p w14:paraId="176AB727">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交付地点</w:t>
            </w:r>
          </w:p>
        </w:tc>
        <w:tc>
          <w:tcPr>
            <w:tcW w:w="569" w:type="pct"/>
            <w:tcBorders>
              <w:top w:val="single" w:color="auto" w:sz="4" w:space="0"/>
              <w:left w:val="nil"/>
              <w:bottom w:val="single" w:color="auto" w:sz="4" w:space="0"/>
              <w:right w:val="single" w:color="auto" w:sz="4" w:space="0"/>
            </w:tcBorders>
            <w:noWrap w:val="0"/>
            <w:vAlign w:val="center"/>
          </w:tcPr>
          <w:p w14:paraId="55976DC3">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维保时间</w:t>
            </w:r>
          </w:p>
          <w:p w14:paraId="2969897E">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（年）</w:t>
            </w:r>
          </w:p>
        </w:tc>
        <w:tc>
          <w:tcPr>
            <w:tcW w:w="1123" w:type="pct"/>
            <w:tcBorders>
              <w:top w:val="single" w:color="auto" w:sz="4" w:space="0"/>
              <w:left w:val="nil"/>
              <w:bottom w:val="single" w:color="auto" w:sz="4" w:space="0"/>
              <w:right w:val="single" w:color="auto" w:sz="4" w:space="0"/>
            </w:tcBorders>
            <w:noWrap w:val="0"/>
            <w:vAlign w:val="center"/>
          </w:tcPr>
          <w:p w14:paraId="564B9C93">
            <w:pPr>
              <w:widowControl/>
              <w:spacing w:after="156"/>
              <w:jc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含税报价</w:t>
            </w:r>
          </w:p>
          <w:p w14:paraId="45F96520">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（元）</w:t>
            </w:r>
          </w:p>
        </w:tc>
        <w:tc>
          <w:tcPr>
            <w:tcW w:w="523" w:type="pct"/>
            <w:tcBorders>
              <w:top w:val="single" w:color="auto" w:sz="4" w:space="0"/>
              <w:left w:val="nil"/>
              <w:bottom w:val="single" w:color="auto" w:sz="4" w:space="0"/>
              <w:right w:val="single" w:color="auto" w:sz="4" w:space="0"/>
            </w:tcBorders>
            <w:noWrap w:val="0"/>
            <w:vAlign w:val="center"/>
          </w:tcPr>
          <w:p w14:paraId="2D138912">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5DAB0428">
        <w:tblPrEx>
          <w:tblCellMar>
            <w:top w:w="0" w:type="dxa"/>
            <w:left w:w="108" w:type="dxa"/>
            <w:bottom w:w="0" w:type="dxa"/>
            <w:right w:w="108" w:type="dxa"/>
          </w:tblCellMar>
        </w:tblPrEx>
        <w:trPr>
          <w:trHeight w:val="465"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431ECA8A">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1115" w:type="pct"/>
            <w:tcBorders>
              <w:top w:val="single" w:color="auto" w:sz="4" w:space="0"/>
              <w:left w:val="nil"/>
              <w:bottom w:val="single" w:color="auto" w:sz="4" w:space="0"/>
              <w:right w:val="single" w:color="auto" w:sz="4" w:space="0"/>
            </w:tcBorders>
            <w:noWrap/>
            <w:vAlign w:val="center"/>
          </w:tcPr>
          <w:p w14:paraId="596C7DB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NAS存储系统维保</w:t>
            </w:r>
          </w:p>
          <w:p w14:paraId="14BDB6ED">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（NetApp FAS8040）</w:t>
            </w:r>
          </w:p>
        </w:tc>
        <w:tc>
          <w:tcPr>
            <w:tcW w:w="383" w:type="pct"/>
            <w:tcBorders>
              <w:top w:val="single" w:color="auto" w:sz="4" w:space="0"/>
              <w:left w:val="nil"/>
              <w:bottom w:val="single" w:color="auto" w:sz="4" w:space="0"/>
              <w:right w:val="single" w:color="auto" w:sz="4" w:space="0"/>
            </w:tcBorders>
            <w:noWrap/>
            <w:vAlign w:val="center"/>
          </w:tcPr>
          <w:p w14:paraId="543C74E9">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434" w:type="pct"/>
            <w:tcBorders>
              <w:top w:val="single" w:color="auto" w:sz="4" w:space="0"/>
              <w:left w:val="nil"/>
              <w:bottom w:val="single" w:color="auto" w:sz="4" w:space="0"/>
              <w:right w:val="single" w:color="auto" w:sz="4" w:space="0"/>
            </w:tcBorders>
            <w:noWrap/>
            <w:vAlign w:val="center"/>
          </w:tcPr>
          <w:p w14:paraId="1F87CBAB">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w:t>
            </w:r>
          </w:p>
        </w:tc>
        <w:tc>
          <w:tcPr>
            <w:tcW w:w="582" w:type="pct"/>
            <w:tcBorders>
              <w:top w:val="single" w:color="auto" w:sz="4" w:space="0"/>
              <w:left w:val="nil"/>
              <w:bottom w:val="single" w:color="auto" w:sz="4" w:space="0"/>
              <w:right w:val="single" w:color="auto" w:sz="4" w:space="0"/>
            </w:tcBorders>
            <w:noWrap/>
            <w:vAlign w:val="center"/>
          </w:tcPr>
          <w:p w14:paraId="5671D22E">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广州</w:t>
            </w:r>
          </w:p>
        </w:tc>
        <w:tc>
          <w:tcPr>
            <w:tcW w:w="569" w:type="pct"/>
            <w:tcBorders>
              <w:top w:val="single" w:color="auto" w:sz="4" w:space="0"/>
              <w:left w:val="nil"/>
              <w:bottom w:val="single" w:color="auto" w:sz="4" w:space="0"/>
              <w:right w:val="single" w:color="auto" w:sz="4" w:space="0"/>
            </w:tcBorders>
            <w:noWrap/>
            <w:vAlign w:val="center"/>
          </w:tcPr>
          <w:p w14:paraId="5B95223D">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1123" w:type="pct"/>
            <w:tcBorders>
              <w:top w:val="single" w:color="auto" w:sz="4" w:space="0"/>
              <w:left w:val="nil"/>
              <w:bottom w:val="single" w:color="auto" w:sz="4" w:space="0"/>
              <w:right w:val="single" w:color="auto" w:sz="4" w:space="0"/>
            </w:tcBorders>
            <w:shd w:val="clear" w:color="auto" w:fill="FFFF00"/>
            <w:noWrap/>
            <w:vAlign w:val="center"/>
          </w:tcPr>
          <w:p w14:paraId="0A957CCF">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523" w:type="pct"/>
            <w:tcBorders>
              <w:top w:val="single" w:color="auto" w:sz="4" w:space="0"/>
              <w:left w:val="nil"/>
              <w:bottom w:val="single" w:color="auto" w:sz="4" w:space="0"/>
              <w:right w:val="single" w:color="auto" w:sz="4" w:space="0"/>
            </w:tcBorders>
            <w:shd w:val="clear" w:color="auto" w:fill="FFFF00"/>
            <w:noWrap/>
            <w:vAlign w:val="center"/>
          </w:tcPr>
          <w:p w14:paraId="4D3915F6">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66854D50">
        <w:tblPrEx>
          <w:tblCellMar>
            <w:top w:w="0" w:type="dxa"/>
            <w:left w:w="108" w:type="dxa"/>
            <w:bottom w:w="0" w:type="dxa"/>
            <w:right w:w="108" w:type="dxa"/>
          </w:tblCellMar>
        </w:tblPrEx>
        <w:trPr>
          <w:trHeight w:val="465"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3E50E4FF">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w:t>
            </w:r>
          </w:p>
        </w:tc>
        <w:tc>
          <w:tcPr>
            <w:tcW w:w="1115" w:type="pct"/>
            <w:tcBorders>
              <w:top w:val="single" w:color="auto" w:sz="4" w:space="0"/>
              <w:left w:val="nil"/>
              <w:bottom w:val="single" w:color="auto" w:sz="4" w:space="0"/>
              <w:right w:val="single" w:color="auto" w:sz="4" w:space="0"/>
            </w:tcBorders>
            <w:noWrap/>
            <w:vAlign w:val="center"/>
          </w:tcPr>
          <w:p w14:paraId="665C9404">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NAS存储系统维保</w:t>
            </w:r>
          </w:p>
          <w:p w14:paraId="65855516">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（NetApp FAS9000）</w:t>
            </w:r>
          </w:p>
        </w:tc>
        <w:tc>
          <w:tcPr>
            <w:tcW w:w="383" w:type="pct"/>
            <w:tcBorders>
              <w:top w:val="single" w:color="auto" w:sz="4" w:space="0"/>
              <w:left w:val="nil"/>
              <w:bottom w:val="single" w:color="auto" w:sz="4" w:space="0"/>
              <w:right w:val="single" w:color="auto" w:sz="4" w:space="0"/>
            </w:tcBorders>
            <w:noWrap/>
            <w:vAlign w:val="center"/>
          </w:tcPr>
          <w:p w14:paraId="2508DFE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434" w:type="pct"/>
            <w:tcBorders>
              <w:top w:val="single" w:color="auto" w:sz="4" w:space="0"/>
              <w:left w:val="nil"/>
              <w:bottom w:val="single" w:color="auto" w:sz="4" w:space="0"/>
              <w:right w:val="single" w:color="auto" w:sz="4" w:space="0"/>
            </w:tcBorders>
            <w:noWrap/>
            <w:vAlign w:val="center"/>
          </w:tcPr>
          <w:p w14:paraId="3B953582">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w:t>
            </w:r>
          </w:p>
        </w:tc>
        <w:tc>
          <w:tcPr>
            <w:tcW w:w="582" w:type="pct"/>
            <w:tcBorders>
              <w:top w:val="single" w:color="auto" w:sz="4" w:space="0"/>
              <w:left w:val="nil"/>
              <w:bottom w:val="single" w:color="auto" w:sz="4" w:space="0"/>
              <w:right w:val="single" w:color="auto" w:sz="4" w:space="0"/>
            </w:tcBorders>
            <w:noWrap/>
            <w:vAlign w:val="center"/>
          </w:tcPr>
          <w:p w14:paraId="7A84E677">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广州</w:t>
            </w:r>
          </w:p>
        </w:tc>
        <w:tc>
          <w:tcPr>
            <w:tcW w:w="569" w:type="pct"/>
            <w:tcBorders>
              <w:top w:val="single" w:color="auto" w:sz="4" w:space="0"/>
              <w:left w:val="nil"/>
              <w:bottom w:val="single" w:color="auto" w:sz="4" w:space="0"/>
              <w:right w:val="single" w:color="auto" w:sz="4" w:space="0"/>
            </w:tcBorders>
            <w:noWrap/>
            <w:vAlign w:val="center"/>
          </w:tcPr>
          <w:p w14:paraId="1FC7DE19">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1123" w:type="pct"/>
            <w:tcBorders>
              <w:top w:val="single" w:color="auto" w:sz="4" w:space="0"/>
              <w:left w:val="nil"/>
              <w:bottom w:val="single" w:color="auto" w:sz="4" w:space="0"/>
              <w:right w:val="single" w:color="auto" w:sz="4" w:space="0"/>
            </w:tcBorders>
            <w:shd w:val="clear" w:color="auto" w:fill="FFFF00"/>
            <w:noWrap/>
            <w:vAlign w:val="center"/>
          </w:tcPr>
          <w:p w14:paraId="009EF2AF">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523" w:type="pct"/>
            <w:tcBorders>
              <w:top w:val="single" w:color="auto" w:sz="4" w:space="0"/>
              <w:left w:val="nil"/>
              <w:bottom w:val="single" w:color="auto" w:sz="4" w:space="0"/>
              <w:right w:val="single" w:color="auto" w:sz="4" w:space="0"/>
            </w:tcBorders>
            <w:shd w:val="clear" w:color="auto" w:fill="FFFF00"/>
            <w:noWrap/>
            <w:vAlign w:val="center"/>
          </w:tcPr>
          <w:p w14:paraId="28569D1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7E121AC3">
        <w:tblPrEx>
          <w:tblCellMar>
            <w:top w:w="0" w:type="dxa"/>
            <w:left w:w="108" w:type="dxa"/>
            <w:bottom w:w="0" w:type="dxa"/>
            <w:right w:w="108" w:type="dxa"/>
          </w:tblCellMar>
        </w:tblPrEx>
        <w:trPr>
          <w:trHeight w:val="465" w:hRule="atLeast"/>
          <w:jc w:val="center"/>
        </w:trPr>
        <w:tc>
          <w:tcPr>
            <w:tcW w:w="3352" w:type="pct"/>
            <w:gridSpan w:val="6"/>
            <w:tcBorders>
              <w:top w:val="single" w:color="auto" w:sz="4" w:space="0"/>
              <w:left w:val="single" w:color="auto" w:sz="4" w:space="0"/>
              <w:bottom w:val="single" w:color="auto" w:sz="4" w:space="0"/>
              <w:right w:val="single" w:color="auto" w:sz="4" w:space="0"/>
            </w:tcBorders>
            <w:noWrap/>
            <w:vAlign w:val="center"/>
          </w:tcPr>
          <w:p w14:paraId="57BB3394">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1647" w:type="pct"/>
            <w:gridSpan w:val="2"/>
            <w:tcBorders>
              <w:top w:val="single" w:color="auto" w:sz="4" w:space="0"/>
              <w:left w:val="nil"/>
              <w:bottom w:val="single" w:color="auto" w:sz="4" w:space="0"/>
              <w:right w:val="single" w:color="auto" w:sz="4" w:space="0"/>
            </w:tcBorders>
            <w:shd w:val="clear" w:color="auto" w:fill="FFFF00"/>
            <w:noWrap/>
            <w:vAlign w:val="center"/>
          </w:tcPr>
          <w:p w14:paraId="7B2F7C98">
            <w:pPr>
              <w:widowControl/>
              <w:spacing w:after="156"/>
              <w:jc w:val="center"/>
              <w:rPr>
                <w:rFonts w:hint="eastAsia" w:ascii="宋体" w:hAnsi="宋体" w:eastAsia="宋体" w:cs="宋体"/>
                <w:b/>
                <w:bCs/>
                <w:i w:val="0"/>
                <w:iCs w:val="0"/>
                <w:color w:val="000000"/>
                <w:kern w:val="0"/>
                <w:sz w:val="24"/>
                <w:szCs w:val="24"/>
                <w:highlight w:val="yellow"/>
                <w:u w:val="none"/>
                <w:lang w:val="en-US" w:eastAsia="zh-CN" w:bidi="ar"/>
              </w:rPr>
            </w:pPr>
          </w:p>
        </w:tc>
      </w:tr>
      <w:tr w14:paraId="2AF73C0E">
        <w:tblPrEx>
          <w:tblCellMar>
            <w:top w:w="0" w:type="dxa"/>
            <w:left w:w="108" w:type="dxa"/>
            <w:bottom w:w="0" w:type="dxa"/>
            <w:right w:w="108" w:type="dxa"/>
          </w:tblCellMar>
        </w:tblPrEx>
        <w:trPr>
          <w:trHeight w:val="46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07AF1113">
            <w:pPr>
              <w:widowControl/>
              <w:spacing w:after="156"/>
              <w:jc w:val="left"/>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填写说明：</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产品配置要求请查看附件1：《用户需求书》；</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参与调研的供应商仅需填写标黄部分，且价格保留两位小数；</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如有其他说明，请填写至“备注”内；</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此表需打印扫描加盖公章并将填写后的word文件一同发送至调研邮箱。</w:t>
            </w:r>
          </w:p>
        </w:tc>
      </w:tr>
    </w:tbl>
    <w:p w14:paraId="3A1FA2D5">
      <w:pPr>
        <w:spacing w:after="209" w:afterLines="67"/>
        <w:jc w:val="right"/>
        <w:rPr>
          <w:rFonts w:asciiTheme="minorEastAsia" w:hAnsiTheme="minorEastAsia" w:cstheme="minorEastAsia"/>
          <w:b/>
          <w:bCs/>
          <w:sz w:val="24"/>
          <w:szCs w:val="24"/>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354303"/>
    </w:sdtPr>
    <w:sdtEndPr>
      <w:rPr>
        <w:rFonts w:asciiTheme="minorEastAsia" w:hAnsiTheme="minorEastAsia"/>
        <w:sz w:val="24"/>
        <w:szCs w:val="24"/>
      </w:rPr>
    </w:sdtEndPr>
    <w:sdtContent>
      <w:p w14:paraId="4F386978">
        <w:pPr>
          <w:pStyle w:val="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4</w:t>
        </w:r>
        <w:r>
          <w:rPr>
            <w:rFonts w:asciiTheme="minorEastAsia" w:hAnsiTheme="minorEastAsia"/>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E4C18"/>
    <w:multiLevelType w:val="singleLevel"/>
    <w:tmpl w:val="9A7E4C18"/>
    <w:lvl w:ilvl="0" w:tentative="0">
      <w:start w:val="1"/>
      <w:numFmt w:val="decimal"/>
      <w:lvlText w:val="%1."/>
      <w:lvlJc w:val="left"/>
      <w:pPr>
        <w:ind w:left="425" w:hanging="425"/>
      </w:pPr>
      <w:rPr>
        <w:rFonts w:hint="default"/>
      </w:rPr>
    </w:lvl>
  </w:abstractNum>
  <w:abstractNum w:abstractNumId="1">
    <w:nsid w:val="BA36BCBD"/>
    <w:multiLevelType w:val="multilevel"/>
    <w:tmpl w:val="BA36BCBD"/>
    <w:lvl w:ilvl="0" w:tentative="0">
      <w:start w:val="1"/>
      <w:numFmt w:val="decimal"/>
      <w:lvlText w:val="%1."/>
      <w:lvlJc w:val="left"/>
      <w:pPr>
        <w:tabs>
          <w:tab w:val="left" w:pos="0"/>
        </w:tabs>
        <w:ind w:left="0" w:leftChars="0" w:firstLine="0" w:firstLineChars="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2">
    <w:nsid w:val="26007FCA"/>
    <w:multiLevelType w:val="multilevel"/>
    <w:tmpl w:val="26007FCA"/>
    <w:lvl w:ilvl="0" w:tentative="0">
      <w:start w:val="1"/>
      <w:numFmt w:val="chineseCountingThousand"/>
      <w:pStyle w:val="3"/>
      <w:lvlText w:val="%1、"/>
      <w:lvlJc w:val="left"/>
      <w:pPr>
        <w:tabs>
          <w:tab w:val="left" w:pos="432"/>
        </w:tabs>
        <w:ind w:left="432" w:hanging="432"/>
      </w:pPr>
      <w:rPr>
        <w:rFonts w:hint="eastAsia"/>
      </w:rPr>
    </w:lvl>
    <w:lvl w:ilvl="1" w:tentative="0">
      <w:start w:val="1"/>
      <w:numFmt w:val="decimal"/>
      <w:lvlText w:val="3.%2"/>
      <w:lvlJc w:val="left"/>
      <w:pPr>
        <w:tabs>
          <w:tab w:val="left" w:pos="576"/>
        </w:tabs>
        <w:ind w:left="576" w:hanging="576"/>
      </w:pPr>
      <w:rPr>
        <w:rFonts w:hint="eastAsia"/>
      </w:rPr>
    </w:lvl>
    <w:lvl w:ilvl="2" w:tentative="0">
      <w:start w:val="1"/>
      <w:numFmt w:val="decimal"/>
      <w:lvlText w:val="3.5.%3 "/>
      <w:lvlJc w:val="left"/>
      <w:pPr>
        <w:tabs>
          <w:tab w:val="left" w:pos="720"/>
        </w:tabs>
        <w:ind w:left="720" w:hanging="720"/>
      </w:pPr>
      <w:rPr>
        <w:rFonts w:hint="eastAsia"/>
      </w:rPr>
    </w:lvl>
    <w:lvl w:ilvl="3" w:tentative="0">
      <w:start w:val="1"/>
      <w:numFmt w:val="decimal"/>
      <w:lvlText w:val="3.5.1.%4 "/>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BEE12A5"/>
    <w:multiLevelType w:val="multilevel"/>
    <w:tmpl w:val="2BEE12A5"/>
    <w:lvl w:ilvl="0" w:tentative="0">
      <w:start w:val="1"/>
      <w:numFmt w:val="japaneseCounting"/>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AC649F3"/>
    <w:multiLevelType w:val="multilevel"/>
    <w:tmpl w:val="4AC649F3"/>
    <w:lvl w:ilvl="0" w:tentative="0">
      <w:start w:val="1"/>
      <w:numFmt w:val="chineseCountingThousand"/>
      <w:lvlText w:val="%1、"/>
      <w:lvlJc w:val="left"/>
      <w:pPr>
        <w:ind w:left="420" w:hanging="420"/>
      </w:pPr>
    </w:lvl>
    <w:lvl w:ilvl="1" w:tentative="0">
      <w:start w:val="1"/>
      <w:numFmt w:val="chineseCountingThousand"/>
      <w:lvlText w:val="(%2)"/>
      <w:lvlJc w:val="left"/>
      <w:pPr>
        <w:ind w:left="1260" w:hanging="8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6C83444"/>
    <w:multiLevelType w:val="multilevel"/>
    <w:tmpl w:val="76C83444"/>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kNmU4ZTA0YjI0Zjg3NjA5OWQ4ZDUyMWVkYjZkNzIifQ=="/>
  </w:docVars>
  <w:rsids>
    <w:rsidRoot w:val="509C3417"/>
    <w:rsid w:val="00231D84"/>
    <w:rsid w:val="005E15D2"/>
    <w:rsid w:val="00687B51"/>
    <w:rsid w:val="006E3F95"/>
    <w:rsid w:val="00706D87"/>
    <w:rsid w:val="007D69C4"/>
    <w:rsid w:val="00943FEC"/>
    <w:rsid w:val="009A44E3"/>
    <w:rsid w:val="00B419DF"/>
    <w:rsid w:val="00B73413"/>
    <w:rsid w:val="00DF1D82"/>
    <w:rsid w:val="00EC18DF"/>
    <w:rsid w:val="01544C76"/>
    <w:rsid w:val="02AE1145"/>
    <w:rsid w:val="036C34DA"/>
    <w:rsid w:val="03A4265D"/>
    <w:rsid w:val="04B35139"/>
    <w:rsid w:val="050A1AB6"/>
    <w:rsid w:val="069521F9"/>
    <w:rsid w:val="0730481F"/>
    <w:rsid w:val="078D3A1F"/>
    <w:rsid w:val="08601134"/>
    <w:rsid w:val="09675FB7"/>
    <w:rsid w:val="0AC97464"/>
    <w:rsid w:val="0BBA6DAD"/>
    <w:rsid w:val="101A3C7B"/>
    <w:rsid w:val="10CE4387"/>
    <w:rsid w:val="11A150AB"/>
    <w:rsid w:val="11EA0E33"/>
    <w:rsid w:val="11F16DED"/>
    <w:rsid w:val="13C857F6"/>
    <w:rsid w:val="18491716"/>
    <w:rsid w:val="186B5062"/>
    <w:rsid w:val="1AD47E27"/>
    <w:rsid w:val="1EF65EF6"/>
    <w:rsid w:val="21FD7606"/>
    <w:rsid w:val="220420C6"/>
    <w:rsid w:val="234C0E45"/>
    <w:rsid w:val="258B383C"/>
    <w:rsid w:val="25B33FCA"/>
    <w:rsid w:val="25EE55BB"/>
    <w:rsid w:val="27C63FD7"/>
    <w:rsid w:val="2A050591"/>
    <w:rsid w:val="2E2B5035"/>
    <w:rsid w:val="2E9322F5"/>
    <w:rsid w:val="30E12562"/>
    <w:rsid w:val="324A4137"/>
    <w:rsid w:val="33F705B7"/>
    <w:rsid w:val="35750372"/>
    <w:rsid w:val="35F745D6"/>
    <w:rsid w:val="360712B0"/>
    <w:rsid w:val="38B40117"/>
    <w:rsid w:val="3CAB670C"/>
    <w:rsid w:val="3CE32368"/>
    <w:rsid w:val="3FD057F7"/>
    <w:rsid w:val="402B55A8"/>
    <w:rsid w:val="426A1DB3"/>
    <w:rsid w:val="450F36EA"/>
    <w:rsid w:val="45F750AA"/>
    <w:rsid w:val="46384F0C"/>
    <w:rsid w:val="476C2E05"/>
    <w:rsid w:val="4B246E03"/>
    <w:rsid w:val="4B8D2230"/>
    <w:rsid w:val="4CAC5CC3"/>
    <w:rsid w:val="4EAB089F"/>
    <w:rsid w:val="4EE243ED"/>
    <w:rsid w:val="50792C6A"/>
    <w:rsid w:val="509C3417"/>
    <w:rsid w:val="51E87E4E"/>
    <w:rsid w:val="52C66E8B"/>
    <w:rsid w:val="52EE0219"/>
    <w:rsid w:val="5326524A"/>
    <w:rsid w:val="5A4B1C58"/>
    <w:rsid w:val="5C975811"/>
    <w:rsid w:val="5EC75FCE"/>
    <w:rsid w:val="5F660EF9"/>
    <w:rsid w:val="61FEF1DB"/>
    <w:rsid w:val="62E745B8"/>
    <w:rsid w:val="62F010AB"/>
    <w:rsid w:val="630B0E65"/>
    <w:rsid w:val="63C27722"/>
    <w:rsid w:val="640B3432"/>
    <w:rsid w:val="671609C5"/>
    <w:rsid w:val="68E83A44"/>
    <w:rsid w:val="6AD46028"/>
    <w:rsid w:val="6B590552"/>
    <w:rsid w:val="6CA53D7D"/>
    <w:rsid w:val="6FB46293"/>
    <w:rsid w:val="715156A2"/>
    <w:rsid w:val="76343069"/>
    <w:rsid w:val="77515232"/>
    <w:rsid w:val="779605E4"/>
    <w:rsid w:val="77BB3365"/>
    <w:rsid w:val="7AAF67FA"/>
    <w:rsid w:val="7B117AF2"/>
    <w:rsid w:val="7CB00608"/>
    <w:rsid w:val="7DE135EB"/>
    <w:rsid w:val="F7FFB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4"/>
    <w:qFormat/>
    <w:uiPriority w:val="0"/>
    <w:pPr>
      <w:keepNext/>
      <w:keepLines/>
      <w:pageBreakBefore/>
      <w:numPr>
        <w:ilvl w:val="0"/>
        <w:numId w:val="1"/>
      </w:numPr>
      <w:spacing w:before="340" w:afterLines="50" w:line="578" w:lineRule="auto"/>
      <w:outlineLvl w:val="0"/>
    </w:pPr>
    <w:rPr>
      <w:rFonts w:eastAsia="黑体" w:cs="Times New Roman"/>
      <w:b/>
      <w:bCs/>
      <w:spacing w:val="20"/>
      <w:kern w:val="44"/>
      <w:sz w:val="36"/>
      <w:szCs w:val="44"/>
    </w:rPr>
  </w:style>
  <w:style w:type="paragraph" w:styleId="5">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paragraph" w:styleId="7">
    <w:name w:val="heading 4"/>
    <w:basedOn w:val="1"/>
    <w:next w:val="4"/>
    <w:qFormat/>
    <w:uiPriority w:val="9"/>
    <w:pPr>
      <w:keepNext/>
      <w:keepLines/>
      <w:tabs>
        <w:tab w:val="left" w:pos="1079"/>
        <w:tab w:val="left" w:pos="1440"/>
      </w:tabs>
      <w:spacing w:before="280" w:line="377" w:lineRule="auto"/>
      <w:outlineLvl w:val="3"/>
    </w:pPr>
    <w:rPr>
      <w:rFonts w:ascii="Arial" w:hAnsi="Arial" w:eastAsia="黑体"/>
      <w:b/>
      <w:bCs/>
      <w:spacing w:val="10"/>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4">
    <w:name w:val="Normal Indent"/>
    <w:basedOn w:val="1"/>
    <w:qFormat/>
    <w:uiPriority w:val="0"/>
    <w:pPr>
      <w:spacing w:afterLines="50" w:line="360" w:lineRule="auto"/>
      <w:ind w:firstLine="420" w:firstLineChars="200"/>
    </w:pPr>
    <w:rPr>
      <w:rFonts w:ascii="Times New Roman" w:hAnsi="Times New Roman" w:eastAsia="宋体" w:cs="Times New Roman"/>
      <w:szCs w:val="24"/>
    </w:rPr>
  </w:style>
  <w:style w:type="paragraph" w:styleId="8">
    <w:name w:val="annotation text"/>
    <w:basedOn w:val="1"/>
    <w:semiHidden/>
    <w:qFormat/>
    <w:uiPriority w:val="0"/>
    <w:pPr>
      <w:jc w:val="left"/>
    </w:pPr>
  </w:style>
  <w:style w:type="paragraph" w:styleId="9">
    <w:name w:val="Balloon Text"/>
    <w:basedOn w:val="1"/>
    <w:link w:val="20"/>
    <w:qFormat/>
    <w:uiPriority w:val="0"/>
    <w:rPr>
      <w:sz w:val="18"/>
      <w:szCs w:val="18"/>
    </w:rPr>
  </w:style>
  <w:style w:type="paragraph" w:styleId="10">
    <w:name w:val="footer"/>
    <w:basedOn w:val="1"/>
    <w:link w:val="19"/>
    <w:qFormat/>
    <w:uiPriority w:val="99"/>
    <w:pPr>
      <w:tabs>
        <w:tab w:val="center" w:pos="4153"/>
        <w:tab w:val="right" w:pos="8306"/>
      </w:tabs>
      <w:snapToGrid w:val="0"/>
      <w:jc w:val="left"/>
    </w:pPr>
    <w:rPr>
      <w:sz w:val="18"/>
      <w:szCs w:val="18"/>
    </w:rPr>
  </w:style>
  <w:style w:type="paragraph" w:styleId="11">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2">
    <w:name w:val="index 1"/>
    <w:basedOn w:val="1"/>
    <w:next w:val="1"/>
    <w:unhideWhenUsed/>
    <w:qFormat/>
    <w:uiPriority w:val="99"/>
    <w:pPr>
      <w:spacing w:line="200" w:lineRule="atLeast"/>
      <w:jc w:val="center"/>
    </w:pPr>
    <w:rPr>
      <w:rFonts w:ascii="宋体" w:hAnsi="宋体"/>
    </w:rPr>
  </w:style>
  <w:style w:type="paragraph" w:styleId="13">
    <w:name w:val="Title"/>
    <w:basedOn w:val="1"/>
    <w:next w:val="1"/>
    <w:qFormat/>
    <w:uiPriority w:val="0"/>
    <w:pPr>
      <w:keepNext/>
      <w:keepLines/>
      <w:spacing w:before="240" w:after="60" w:afterLines="0" w:line="415" w:lineRule="auto"/>
      <w:jc w:val="left"/>
      <w:outlineLvl w:val="2"/>
    </w:pPr>
    <w:rPr>
      <w:rFonts w:ascii="等线 Light" w:hAnsi="等线 Light" w:eastAsia="黑体"/>
      <w:sz w:val="28"/>
      <w:szCs w:val="32"/>
    </w:rPr>
  </w:style>
  <w:style w:type="paragraph" w:styleId="14">
    <w:name w:val="Body Text First Indent"/>
    <w:basedOn w:val="2"/>
    <w:qFormat/>
    <w:uiPriority w:val="0"/>
    <w:pPr>
      <w:ind w:firstLine="420" w:firstLineChars="100"/>
    </w:pPr>
    <w:rPr>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1"/>
    <w:qFormat/>
    <w:uiPriority w:val="0"/>
    <w:rPr>
      <w:kern w:val="2"/>
      <w:sz w:val="18"/>
      <w:szCs w:val="18"/>
    </w:rPr>
  </w:style>
  <w:style w:type="character" w:customStyle="1" w:styleId="19">
    <w:name w:val="页脚 Char"/>
    <w:basedOn w:val="17"/>
    <w:link w:val="10"/>
    <w:qFormat/>
    <w:uiPriority w:val="99"/>
    <w:rPr>
      <w:kern w:val="2"/>
      <w:sz w:val="18"/>
      <w:szCs w:val="18"/>
    </w:rPr>
  </w:style>
  <w:style w:type="character" w:customStyle="1" w:styleId="20">
    <w:name w:val="批注框文本 Char"/>
    <w:basedOn w:val="17"/>
    <w:link w:val="9"/>
    <w:qFormat/>
    <w:uiPriority w:val="0"/>
    <w:rPr>
      <w:kern w:val="2"/>
      <w:sz w:val="18"/>
      <w:szCs w:val="18"/>
    </w:rPr>
  </w:style>
  <w:style w:type="character" w:customStyle="1" w:styleId="21">
    <w:name w:val="font31"/>
    <w:qFormat/>
    <w:uiPriority w:val="0"/>
    <w:rPr>
      <w:rFonts w:hint="eastAsia" w:ascii="宋体" w:hAnsi="宋体" w:eastAsia="宋体" w:cs="宋体"/>
      <w:color w:val="000000"/>
      <w:sz w:val="20"/>
      <w:szCs w:val="20"/>
      <w:u w:val="none"/>
    </w:rPr>
  </w:style>
  <w:style w:type="character" w:customStyle="1" w:styleId="22">
    <w:name w:val="font01"/>
    <w:qFormat/>
    <w:uiPriority w:val="0"/>
    <w:rPr>
      <w:rFonts w:hint="default" w:ascii="Arial" w:hAnsi="Arial" w:cs="Arial"/>
      <w:color w:val="000000"/>
      <w:sz w:val="20"/>
      <w:szCs w:val="20"/>
      <w:u w:val="none"/>
    </w:rPr>
  </w:style>
  <w:style w:type="paragraph" w:customStyle="1" w:styleId="23">
    <w:name w:val="Table Text"/>
    <w:basedOn w:val="1"/>
    <w:semiHidden/>
    <w:qFormat/>
    <w:uiPriority w:val="0"/>
    <w:rPr>
      <w:rFonts w:ascii="宋体" w:hAnsi="宋体" w:eastAsia="宋体" w:cs="宋体"/>
      <w:sz w:val="20"/>
      <w:szCs w:val="20"/>
      <w:lang w:eastAsia="en-US"/>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styleId="25">
    <w:name w:val="List Paragraph"/>
    <w:basedOn w:val="1"/>
    <w:qFormat/>
    <w:uiPriority w:val="99"/>
    <w:pPr>
      <w:ind w:firstLine="420" w:firstLineChars="200"/>
    </w:pPr>
  </w:style>
  <w:style w:type="paragraph" w:customStyle="1" w:styleId="26">
    <w:name w:val="Table Paragraph"/>
    <w:basedOn w:val="1"/>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paragraph" w:customStyle="1" w:styleId="27">
    <w:name w:val="正文正文"/>
    <w:basedOn w:val="25"/>
    <w:qFormat/>
    <w:uiPriority w:val="0"/>
    <w:pPr>
      <w:spacing w:line="360" w:lineRule="auto"/>
      <w:ind w:right="42" w:rightChars="20" w:firstLine="480"/>
    </w:pPr>
    <w:rPr>
      <w:rFonts w:ascii="Calibri" w:hAnsi="Calibri" w:eastAsia="宋体" w:cs="Times New Roman"/>
      <w:sz w:val="24"/>
      <w:szCs w:val="24"/>
    </w:rPr>
  </w:style>
  <w:style w:type="paragraph" w:customStyle="1" w:styleId="28">
    <w:name w:val="列出段落1"/>
    <w:basedOn w:val="1"/>
    <w:qFormat/>
    <w:uiPriority w:val="0"/>
    <w:pPr>
      <w:spacing w:after="0" w:afterLines="0" w:line="240" w:lineRule="auto"/>
      <w:ind w:firstLine="420" w:firstLineChars="200"/>
    </w:pPr>
    <w:rPr>
      <w:rFonts w:ascii="Tahoma" w:hAnsi="Tahoma" w:eastAsia="PMingLiU"/>
      <w:kern w:val="0"/>
      <w:sz w:val="20"/>
      <w:szCs w:val="20"/>
    </w:rPr>
  </w:style>
  <w:style w:type="paragraph" w:customStyle="1" w:styleId="29">
    <w:name w:val="snm_正文"/>
    <w:basedOn w:val="1"/>
    <w:autoRedefine/>
    <w:qFormat/>
    <w:uiPriority w:val="0"/>
    <w:pPr>
      <w:spacing w:line="360" w:lineRule="auto"/>
      <w:ind w:firstLine="560" w:firstLineChars="200"/>
    </w:pPr>
    <w:rPr>
      <w:rFonts w:ascii="仿宋" w:hAnsi="仿宋" w:eastAsia="仿宋" w:cs="宋体"/>
      <w:sz w:val="28"/>
      <w:szCs w:val="28"/>
    </w:rPr>
  </w:style>
  <w:style w:type="character" w:customStyle="1" w:styleId="30">
    <w:name w:val="明显参考1"/>
    <w:basedOn w:val="17"/>
    <w:qFormat/>
    <w:uiPriority w:val="32"/>
    <w:rPr>
      <w:b/>
      <w:bCs/>
      <w:smallCaps/>
      <w:color w:val="2E75B6"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2168</Words>
  <Characters>2415</Characters>
  <Lines>8</Lines>
  <Paragraphs>2</Paragraphs>
  <TotalTime>0</TotalTime>
  <ScaleCrop>false</ScaleCrop>
  <LinksUpToDate>false</LinksUpToDate>
  <CharactersWithSpaces>2436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2025-05-29T07:26:00Z</dcterms:created>
  <dc:creator>ZFCG</dc:creator>
  <cp:lastModifiedBy>gc</cp:lastModifiedBy>
  <dcterms:modified xsi:type="dcterms:W3CDTF">2026-09-07T08:53:48Z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06A602B205A548D5A6FC3390B4B08F0E_13</vt:lpwstr>
  </property>
  <property fmtid="{D5CDD505-2E9C-101B-9397-08002B2CF9AE}" pid="4" name="KSOTemplateDocerSaveRecord">
    <vt:lpwstr>eyJoZGlkIjoiOWI4OTFhYjYwMGQ4YzZhNjgxNmU0NDAzNjc3MzdhODkiLCJ1c2VySWQiOiI2MjU5ODg1NTIifQ==</vt:lpwstr>
  </property>
</Properties>
</file>