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54D8EA">
      <w:pPr>
        <w:numPr>
          <w:ilvl w:val="0"/>
          <w:numId w:val="0"/>
        </w:num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液相色谱串联多重碎裂高分辨质谱仪联用系统需求说明</w:t>
      </w:r>
    </w:p>
    <w:p w14:paraId="10FD9E3D">
      <w:pPr>
        <w:numPr>
          <w:ilvl w:val="0"/>
          <w:numId w:val="1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多重碎裂高分辨质谱仪应用特点</w:t>
      </w:r>
    </w:p>
    <w:p w14:paraId="598D6A73"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1、疾病标志物及通路分析，运用代谢组学及脂质组学等手段精准分析疾病标志物及通路。</w:t>
      </w:r>
    </w:p>
    <w:p w14:paraId="23F5724F"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2、大小分子药物代谢与安全性，新药临床前代谢途径深度解析及药物表征，如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抗体药物的二硫键定位、糖基化位点分析，ADC 药物的 DAR 值与连接子稳定性评估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等。</w:t>
      </w:r>
    </w:p>
    <w:p w14:paraId="413BB56B"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高通量药物筛选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133Hz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扫描速率支持DIA、MRMHR 等快速采集模式，适合大规模生物样本库分析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 w14:paraId="47D85BA1"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多重碎裂高分辨质谱仪设备主要特点</w:t>
      </w:r>
    </w:p>
    <w:p w14:paraId="12517F1B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1、灵敏度：Zeno 阱使 MS/MS 灵敏度提升 5-20 倍，远超常规 TOF。</w:t>
      </w:r>
    </w:p>
    <w:p w14:paraId="08420588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2、碎裂能力：EAD+CID 双模式，结构解析能力优于单一 CID 的高分辨系统。</w:t>
      </w:r>
    </w:p>
    <w:p w14:paraId="59338A94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3、高通量：133 Hz 扫描速率 + 宽动态范围，适合大规模临床与研发项目。</w:t>
      </w:r>
    </w:p>
    <w:p w14:paraId="7E606A0E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三、技术参数</w:t>
      </w:r>
    </w:p>
    <w:p w14:paraId="6BFFD51C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1、高分辨质谱</w:t>
      </w:r>
    </w:p>
    <w:p w14:paraId="491EA580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1.1质谱类型：四极杆飞行时间质谱系统。</w:t>
      </w:r>
    </w:p>
    <w:p w14:paraId="77F0BEFA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1.2 ESI源耐受最大流速不低于3 mL/min（不分流的情况下），流速可在软件上设置，并能实际运行样品。</w:t>
      </w:r>
    </w:p>
    <w:p w14:paraId="43562D4E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1.3离子源内辅助加热气温度：≥750 ℃，该温度能在仪器控制软件设置并能实际运行样品。</w:t>
      </w:r>
    </w:p>
    <w:p w14:paraId="1327C3EC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1.4离子源内有主动废气排放装置，防止气体在密闭的离子源腔体中的回流，降低离子源的记忆效应和污染，耐受100%水。</w:t>
      </w:r>
    </w:p>
    <w:p w14:paraId="133AE6F6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★1.5离子源接口： 离子接口为“纯锥孔结构”或“锥孔+毛细管结构”，考虑到后期维护成本，若投标型号为“纯锥孔结构“，需在配置中配锥孔擦拭棒≥500根，若整体传输结构含有毛细管部件，需在配置中配投标型号原厂备用毛细管≥500根，以同时保持高灵敏度和优异的抗污染能力。（提供制造商盖章说明等证明资料）</w:t>
      </w:r>
    </w:p>
    <w:p w14:paraId="08DCE44E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1.6 离子导入装置：使用RF聚焦离子，采用四极杆结构，便于清洗维护。</w:t>
      </w:r>
    </w:p>
    <w:p w14:paraId="4A1118DC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1.7 配备自动质量校准系统，该系统可以在进样之间采用外标方法进行校正。</w:t>
      </w:r>
    </w:p>
    <w:p w14:paraId="75BFDA24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1.8 气源供应：采用高纯氮气作为雾化气和碰撞气，无需额外氩气。</w:t>
      </w:r>
    </w:p>
    <w:p w14:paraId="457D1FE0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1.9检测器：TDC和ADC混合检测器，采集频率≥40 GHz，每25皮秒输出一次信号。</w:t>
      </w:r>
    </w:p>
    <w:p w14:paraId="2B5370CB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★1.10质量范围（m/z）：20-40000或更宽。</w:t>
      </w:r>
    </w:p>
    <w:p w14:paraId="3758DD09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▲1.11 高质量端分辨率及采集速度：在质荷比1070处测量（高质量段），分辨率＞42,000 FWHM。测量时扫描频率必须≥120 Hz（120张谱图/秒）。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（提供制造商盖章说明等证明资料）</w:t>
      </w:r>
    </w:p>
    <w:p w14:paraId="3FC8B17B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1.12质量精度：外标法≤2ppm，内标法≤1ppm。</w:t>
      </w:r>
    </w:p>
    <w:p w14:paraId="7B2CA086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1.13 一级MS最大扫描速度≥25Hz，即每秒可采集25张高分辨MS/MS谱图，维持分辨率≥40000。</w:t>
      </w:r>
    </w:p>
    <w:p w14:paraId="7CFC79C8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1.14 二级MS/MS最大扫描速度≥120Hz，即每秒可采集120张高分辨MS/MS谱图，维持分辨率≥40000。</w:t>
      </w:r>
    </w:p>
    <w:p w14:paraId="408DCBA2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1.15信息关联扫描：一级MS扫描可接120个MS/MS扫描，MS和MS/MS分辨率≥40000。</w:t>
      </w:r>
    </w:p>
    <w:p w14:paraId="2FA693F0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1.16背景扣除：具备实时动态背景实时扣除功能。</w:t>
      </w:r>
    </w:p>
    <w:p w14:paraId="130B7AD9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▲1.17全子离子碎裂模式灵敏度：可以采取变化Q1扫描窗口的方法，将 10-1000 质量范围分为180个以上窗口进行隔离碰撞，并得到这些离子的所有子离子扫描全图。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（提供软件截图且制造商盖章证明）</w:t>
      </w:r>
    </w:p>
    <w:p w14:paraId="17B377AC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1.18具备多质量亏损（MDF）实时触发MS/MS采集功能，能够优先分析具备同样多质量亏损（MDF）的化合物。</w:t>
      </w:r>
    </w:p>
    <w:p w14:paraId="7E3DB477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1.19定量线性动态范围≥5个数量级。</w:t>
      </w:r>
    </w:p>
    <w:p w14:paraId="7AB651F2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1.20二级MSMS正离子模式灵敏度：50fg 利血平柱上进样 S/N≥1000：1 。</w:t>
      </w:r>
    </w:p>
    <w:p w14:paraId="1F6C779D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1.21二级MS/MS负离子模式灵敏度：100 fg氯霉素柱上进样 S/N≥1500：1 。</w:t>
      </w:r>
    </w:p>
    <w:p w14:paraId="02EA9F73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▲1.22 在复杂基质中的定量灵敏度：复杂基质橄榄油中测试0.2 ppb的Thiobencarb, Imidacloprid, Oxamyl，采用MRM HR扫描模式，进样5 uL，信噪比S/N ≥ 5。（提供MRM HR色谱图证明）</w:t>
      </w:r>
    </w:p>
    <w:p w14:paraId="0FE6D7A3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▲1.23碰撞模式：包含碰撞活化解离和电子激活解离两种碰撞模式，以便可以获得丰富的碎裂信息进行结构鉴定。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（提供制造商盖章说明等证明资料）</w:t>
      </w:r>
    </w:p>
    <w:p w14:paraId="02FA0B36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1.24电子激活解离能量连续可调范围：0-25 eV。</w:t>
      </w:r>
    </w:p>
    <w:p w14:paraId="488A84CD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▲1.25 小分子代谢物结构鉴定能力：小分子代谢物可获得丰富的碎片结构信息用于结构鉴定，测试地瑞那韦-O-葡萄糖苷酸的二级图谱，可获得母离子m/z 724.2，子离子m/z 69.0, 92.0，116.1， 156.0， 202.1， 241.1， 283.1， 292.1， 392.2， 436.1， 525.2， 548.2， 568.2， 612.2等涵盖小碎片和大碎片的丰富碎裂信息。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（提供图谱证明）</w:t>
      </w:r>
    </w:p>
    <w:p w14:paraId="3419ABA3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▲1.26 脂质结构鉴定能力：脂质鉴定可获得头部基团、骨架等丰富的区域异构信息，测试PC（18:0/18:1）可获得母离子m/z 788.6，子离子m/z 184.0、224.1、394.3、491.3、520.3、603.5、745.5等涵盖小碎片和大碎片的丰富碎裂信息。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（提供图谱证明）</w:t>
      </w:r>
    </w:p>
    <w:p w14:paraId="53962881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1.27 采用高通量MRM HR扫描模式排除假阳性功能：在单次实验中可同时检测单个化合物的15个MRM HR离子对以避免由于基质干扰其中某几个离子对而造成结果的误判，测试嘧菌酯，可同时检测不少于15个MRM HR离子对。</w:t>
      </w:r>
    </w:p>
    <w:p w14:paraId="750D9C28">
      <w:pPr>
        <w:pStyle w:val="2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1.28 </w:t>
      </w:r>
      <w:r>
        <w:rPr>
          <w:rFonts w:hint="eastAsia" w:asciiTheme="minorEastAsia" w:hAnsiTheme="minorEastAsia" w:eastAsiaTheme="minorEastAsia" w:cstheme="minorEastAsia"/>
          <w:spacing w:val="0"/>
          <w:kern w:val="2"/>
          <w:sz w:val="21"/>
          <w:szCs w:val="21"/>
          <w:lang w:val="en-US" w:eastAsia="zh-CN" w:bidi="ar-SA"/>
        </w:rPr>
        <w:t>能兼容无鞘液方式(优于有鞘液方式)的毛细管电泳质谱连接接口，分析强极性物质。</w:t>
      </w:r>
    </w:p>
    <w:p w14:paraId="551DFA17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 超高效液相色谱部分</w:t>
      </w:r>
    </w:p>
    <w:p w14:paraId="2CD03400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输液单元（二元超高压梯度系统）</w:t>
      </w:r>
    </w:p>
    <w:p w14:paraId="70A81E46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2.1.1流速范围：0.001-5.000mL/min，操作压力：≥15000psi；</w:t>
      </w:r>
    </w:p>
    <w:p w14:paraId="53CCF227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2.1.2流量精度：&lt;0.07%RSD；</w:t>
      </w:r>
    </w:p>
    <w:p w14:paraId="72B69C7A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自动进样器</w:t>
      </w:r>
    </w:p>
    <w:p w14:paraId="7ECEA708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2.2.1温度范围：4～45˚C；</w:t>
      </w:r>
    </w:p>
    <w:p w14:paraId="067BA860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2.2.2样品数量：可放置160个以上1.5mL样品瓶；</w:t>
      </w:r>
    </w:p>
    <w:p w14:paraId="6DC70311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2.2.3进样体积：0.1-50 µL；</w:t>
      </w:r>
    </w:p>
    <w:p w14:paraId="3504B47C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2.2.4进样交叉污染：&lt; 0.0015%；</w:t>
      </w:r>
    </w:p>
    <w:p w14:paraId="3283CFB3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智能化柱温箱</w:t>
      </w:r>
    </w:p>
    <w:p w14:paraId="3C505B2A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2.3.1柱温范围：室温~85℃。</w:t>
      </w:r>
    </w:p>
    <w:p w14:paraId="7CFB47B3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3软件功能</w:t>
      </w:r>
    </w:p>
    <w:p w14:paraId="37B471DE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3.1配备最新版色谱质谱数据分析软件，具备同位素模式匹配、精确质量计算、精确二级碎片结构推断。</w:t>
      </w:r>
    </w:p>
    <w:p w14:paraId="226D4BE6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3.2实时自动MS和MS/MS切换功能：自动识别色谱流出物的质谱图，并按照用户定义的条件如离子强度、最大或最小质荷比限制、最强的单个或数个离子等，自动对某种或多种离子进行MS/MS分析，获得该离子的结构信息。</w:t>
      </w:r>
    </w:p>
    <w:p w14:paraId="4A93695A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3.3仪器在分析复杂的共流出物或干扰很强的样品时，可以选择特定的离子或色谱保留时间，自动动态排除干扰离子，而给出其它相对信号较弱的共流出物的离子的MS/MS信息。自动动态包含选择特定的离子进行MS/MS分析。</w:t>
      </w:r>
    </w:p>
    <w:p w14:paraId="664411A5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▲3.4具有动态背景扣除功能，保证即使在体内复杂基质中能获得高质量的 MS/MS质谱图。有效排除本底噪音的干扰，快速发现被掩盖在强背景噪音下的目标化合物（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提供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操作文档、接口文档（如有）和注意事项）。</w:t>
      </w:r>
    </w:p>
    <w:p w14:paraId="43C4BD45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3.5配备专业的MSMSALL分析软件：能够抽提碎片离子的高分辨XIC，借助专利的算法，将碎片离子分组和归类，产生类似于MRM的数据，从而实现对样本中所有离子对的定量。</w:t>
      </w:r>
    </w:p>
    <w:p w14:paraId="7D5CC2EF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 配置清单</w:t>
      </w:r>
    </w:p>
    <w:p w14:paraId="0B203B31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4.1多重碎裂高分辨质谱主机1套</w:t>
      </w:r>
    </w:p>
    <w:p w14:paraId="46005953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包括：质量分析器1台、离子源1个、机械泵1个、质量检测器1套。</w:t>
      </w:r>
    </w:p>
    <w:p w14:paraId="7028B3FE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4.2高效液相色谱系统1套</w:t>
      </w:r>
    </w:p>
    <w:p w14:paraId="6AB5C0F6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包括：二元高压泵1套、柱温箱1个、自动进样器1个、控制器1个。</w:t>
      </w:r>
    </w:p>
    <w:p w14:paraId="42AC6F4E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4.3数据分析工作站1套</w:t>
      </w:r>
    </w:p>
    <w:p w14:paraId="1D84D916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包括：采集分析软件1套、分析软件1套、数据库1套、数据输出系统1套。</w:t>
      </w:r>
    </w:p>
    <w:p w14:paraId="097F699A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4.4高效液相色谱连接组件1套、高纯气体过滤器1套、超纯氮气钢瓶减压器1套、不间断电源1套。</w:t>
      </w:r>
    </w:p>
    <w:p w14:paraId="1285AD2F"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4.5试剂耗材：校准试剂20瓶，泵油10瓶，色谱柱6根，进样小瓶500个。</w:t>
      </w:r>
    </w:p>
    <w:p w14:paraId="24714690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49294F6D">
      <w:pPr>
        <w:pStyle w:val="2"/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四、 </w:t>
      </w:r>
      <w:r>
        <w:rPr>
          <w:rFonts w:hint="eastAsia" w:ascii="宋体" w:hAnsi="宋体" w:eastAsia="宋体" w:cs="Times New Roman"/>
          <w:bCs/>
          <w:spacing w:val="0"/>
          <w:kern w:val="2"/>
          <w:sz w:val="22"/>
          <w:szCs w:val="22"/>
          <w:highlight w:val="none"/>
          <w:lang w:val="en-US" w:eastAsia="zh-CN" w:bidi="ar-SA"/>
        </w:rPr>
        <w:t>系统质保期5年，自验收合格之日起计算。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FA341F"/>
    <w:multiLevelType w:val="singleLevel"/>
    <w:tmpl w:val="94FA34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YzczMzZlMjJmMDhjMWQ1Zjg5YjljMGVhOGJjYzQifQ=="/>
  </w:docVars>
  <w:rsids>
    <w:rsidRoot w:val="00000000"/>
    <w:rsid w:val="002D269B"/>
    <w:rsid w:val="077C6F0A"/>
    <w:rsid w:val="09061CDB"/>
    <w:rsid w:val="0A2543E3"/>
    <w:rsid w:val="0DCD2DC7"/>
    <w:rsid w:val="0EDE2DB2"/>
    <w:rsid w:val="0FA15CAA"/>
    <w:rsid w:val="10506EFD"/>
    <w:rsid w:val="105C5BE0"/>
    <w:rsid w:val="10B4201D"/>
    <w:rsid w:val="118C2F9A"/>
    <w:rsid w:val="12FE3A23"/>
    <w:rsid w:val="13DD188A"/>
    <w:rsid w:val="1437000B"/>
    <w:rsid w:val="164D0F4E"/>
    <w:rsid w:val="166B5873"/>
    <w:rsid w:val="17BB0135"/>
    <w:rsid w:val="19B1359D"/>
    <w:rsid w:val="1A516B2E"/>
    <w:rsid w:val="1AC03A1B"/>
    <w:rsid w:val="1B7A20B5"/>
    <w:rsid w:val="1D273B54"/>
    <w:rsid w:val="211A411E"/>
    <w:rsid w:val="238635AE"/>
    <w:rsid w:val="24653902"/>
    <w:rsid w:val="25513E86"/>
    <w:rsid w:val="26431A21"/>
    <w:rsid w:val="275F62DC"/>
    <w:rsid w:val="27A42993"/>
    <w:rsid w:val="2BBE3E83"/>
    <w:rsid w:val="31653193"/>
    <w:rsid w:val="325154C6"/>
    <w:rsid w:val="32963820"/>
    <w:rsid w:val="32BB5035"/>
    <w:rsid w:val="3445105A"/>
    <w:rsid w:val="34833930"/>
    <w:rsid w:val="34C86D34"/>
    <w:rsid w:val="35703B12"/>
    <w:rsid w:val="37427AD3"/>
    <w:rsid w:val="384635F3"/>
    <w:rsid w:val="38710670"/>
    <w:rsid w:val="39230A07"/>
    <w:rsid w:val="39C649EB"/>
    <w:rsid w:val="3AD44EE6"/>
    <w:rsid w:val="3B800BCA"/>
    <w:rsid w:val="3C243C4B"/>
    <w:rsid w:val="3CAA4150"/>
    <w:rsid w:val="3F540BEA"/>
    <w:rsid w:val="401B7113"/>
    <w:rsid w:val="422229DB"/>
    <w:rsid w:val="45820D08"/>
    <w:rsid w:val="4799373F"/>
    <w:rsid w:val="47D14C87"/>
    <w:rsid w:val="47EF7803"/>
    <w:rsid w:val="49072733"/>
    <w:rsid w:val="49DC5B65"/>
    <w:rsid w:val="4CF60CEC"/>
    <w:rsid w:val="4ED137BE"/>
    <w:rsid w:val="4EED611E"/>
    <w:rsid w:val="4F2E6E63"/>
    <w:rsid w:val="53193986"/>
    <w:rsid w:val="56116B96"/>
    <w:rsid w:val="56574EF1"/>
    <w:rsid w:val="57FD5624"/>
    <w:rsid w:val="581131F4"/>
    <w:rsid w:val="58913FBE"/>
    <w:rsid w:val="596516D3"/>
    <w:rsid w:val="5B473BBF"/>
    <w:rsid w:val="5D9753A5"/>
    <w:rsid w:val="5F526256"/>
    <w:rsid w:val="5F784D70"/>
    <w:rsid w:val="61842912"/>
    <w:rsid w:val="62061579"/>
    <w:rsid w:val="63770981"/>
    <w:rsid w:val="63E47698"/>
    <w:rsid w:val="64265F03"/>
    <w:rsid w:val="65786DF0"/>
    <w:rsid w:val="66293A88"/>
    <w:rsid w:val="68B72045"/>
    <w:rsid w:val="6A5F78C6"/>
    <w:rsid w:val="6B3E6D14"/>
    <w:rsid w:val="6C1A00FB"/>
    <w:rsid w:val="6C211CC5"/>
    <w:rsid w:val="6D91263F"/>
    <w:rsid w:val="6DE27C66"/>
    <w:rsid w:val="6DF66946"/>
    <w:rsid w:val="6E731D44"/>
    <w:rsid w:val="6E906D9A"/>
    <w:rsid w:val="6E9F0D8B"/>
    <w:rsid w:val="70DA60AB"/>
    <w:rsid w:val="723B26D6"/>
    <w:rsid w:val="72556331"/>
    <w:rsid w:val="75472976"/>
    <w:rsid w:val="76CE66B2"/>
    <w:rsid w:val="7926072B"/>
    <w:rsid w:val="7AD63D87"/>
    <w:rsid w:val="7B3D3E06"/>
    <w:rsid w:val="7CFC254F"/>
    <w:rsid w:val="7D586D8A"/>
    <w:rsid w:val="7DDF11A4"/>
    <w:rsid w:val="7E84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220" w:line="220" w:lineRule="atLeast"/>
      <w:jc w:val="both"/>
    </w:pPr>
    <w:rPr>
      <w:spacing w:val="-5"/>
    </w:rPr>
  </w:style>
  <w:style w:type="paragraph" w:styleId="4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2405</Words>
  <Characters>2967</Characters>
  <Lines>0</Lines>
  <Paragraphs>0</Paragraphs>
  <TotalTime>1</TotalTime>
  <ScaleCrop>false</ScaleCrop>
  <LinksUpToDate>false</LinksUpToDate>
  <CharactersWithSpaces>3047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2026-01-23T02:06:00Z</dcterms:created>
  <dc:creator>WHJ</dc:creator>
  <cp:lastModifiedBy>GC</cp:lastModifiedBy>
  <dcterms:modified xsi:type="dcterms:W3CDTF">2026-02-28T07:55:10Z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47A2B3AB27A14E27A39F1B93CB052600_12</vt:lpwstr>
  </property>
  <property fmtid="{D5CDD505-2E9C-101B-9397-08002B2CF9AE}" pid="4" name="KSOTemplateDocerSaveRecord">
    <vt:lpwstr>eyJoZGlkIjoiOTczZjUzNjRmZWJlY2Q1OTViM2IyODU2MDgxNDkyMTQiLCJ1c2VySWQiOiIyMjk3NjA5In0=</vt:lpwstr>
  </property>
</Properties>
</file>