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F8740C">
      <w:pPr>
        <w:pStyle w:val="2"/>
        <w:keepNext w:val="0"/>
        <w:keepLines w:val="0"/>
        <w:pageBreakBefore w:val="0"/>
        <w:widowControl w:val="0"/>
        <w:kinsoku/>
        <w:wordWrap/>
        <w:overflowPunct/>
        <w:topLinePunct w:val="0"/>
        <w:bidi w:val="0"/>
        <w:spacing w:before="0" w:after="0"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采购需求</w:t>
      </w:r>
    </w:p>
    <w:p w14:paraId="0BCB1BF0">
      <w:pPr>
        <w:keepLines w:val="0"/>
        <w:pageBreakBefore w:val="0"/>
        <w:widowControl w:val="0"/>
        <w:kinsoku/>
        <w:wordWrap/>
        <w:overflowPunct/>
        <w:topLinePunct w:val="0"/>
        <w:bidi w:val="0"/>
        <w:adjustRightInd w:val="0"/>
        <w:snapToGrid w:val="0"/>
        <w:rPr>
          <w:rFonts w:hint="eastAsia" w:ascii="宋体" w:hAnsi="宋体" w:eastAsia="宋体" w:cs="宋体"/>
          <w:color w:val="auto"/>
          <w:szCs w:val="21"/>
          <w:highlight w:val="none"/>
        </w:rPr>
      </w:pPr>
    </w:p>
    <w:p w14:paraId="09FB71A6">
      <w:pPr>
        <w:keepLines w:val="0"/>
        <w:pageBreakBefore w:val="0"/>
        <w:widowControl w:val="0"/>
        <w:kinsoku/>
        <w:wordWrap/>
        <w:overflowPunct/>
        <w:topLinePunct w:val="0"/>
        <w:bidi w:val="0"/>
        <w:outlineLvl w:val="1"/>
        <w:rPr>
          <w:rFonts w:hint="eastAsia" w:ascii="宋体" w:hAnsi="宋体" w:eastAsia="宋体" w:cs="宋体"/>
          <w:b/>
          <w:bCs/>
          <w:color w:val="auto"/>
          <w:highlight w:val="none"/>
        </w:rPr>
      </w:pPr>
      <w:bookmarkStart w:id="0" w:name="_Toc10025"/>
      <w:bookmarkStart w:id="1" w:name="_Toc104160554"/>
      <w:bookmarkStart w:id="2" w:name="_Toc171529101"/>
      <w:bookmarkStart w:id="3" w:name="_Toc104040686"/>
      <w:r>
        <w:rPr>
          <w:rFonts w:hint="eastAsia" w:ascii="宋体" w:hAnsi="宋体" w:eastAsia="宋体" w:cs="宋体"/>
          <w:b/>
          <w:bCs/>
          <w:color w:val="auto"/>
          <w:highlight w:val="none"/>
        </w:rPr>
        <w:t>一、项目概述</w:t>
      </w:r>
      <w:bookmarkEnd w:id="0"/>
      <w:bookmarkEnd w:id="1"/>
      <w:bookmarkEnd w:id="2"/>
      <w:bookmarkEnd w:id="3"/>
    </w:p>
    <w:p w14:paraId="0E43AE45">
      <w:pPr>
        <w:keepLines w:val="0"/>
        <w:pageBreakBefore w:val="0"/>
        <w:widowControl w:val="0"/>
        <w:kinsoku/>
        <w:wordWrap/>
        <w:overflowPunct/>
        <w:topLinePunct w:val="0"/>
        <w:bidi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szCs w:val="21"/>
          <w:highlight w:val="none"/>
        </w:rPr>
        <w:t>1.</w:t>
      </w:r>
      <w:r>
        <w:rPr>
          <w:rFonts w:hint="eastAsia" w:ascii="宋体" w:hAnsi="宋体" w:eastAsia="宋体" w:cs="宋体"/>
          <w:color w:val="auto"/>
          <w:highlight w:val="none"/>
        </w:rPr>
        <w:t>采购标的</w:t>
      </w:r>
    </w:p>
    <w:tbl>
      <w:tblPr>
        <w:tblStyle w:val="7"/>
        <w:tblW w:w="98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97"/>
        <w:gridCol w:w="744"/>
        <w:gridCol w:w="3660"/>
        <w:gridCol w:w="2274"/>
      </w:tblGrid>
      <w:tr w14:paraId="33E1B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3197" w:type="dxa"/>
            <w:shd w:val="clear" w:color="auto" w:fill="EEECE1"/>
            <w:vAlign w:val="center"/>
          </w:tcPr>
          <w:p w14:paraId="5581530C">
            <w:pPr>
              <w:keepLines w:val="0"/>
              <w:pageBreakBefore w:val="0"/>
              <w:widowControl w:val="0"/>
              <w:kinsoku/>
              <w:wordWrap/>
              <w:overflowPunct/>
              <w:topLinePunct w:val="0"/>
              <w:bidi w:val="0"/>
              <w:jc w:val="center"/>
              <w:rPr>
                <w:rFonts w:hint="eastAsia" w:ascii="宋体" w:hAnsi="宋体" w:eastAsia="宋体" w:cs="宋体"/>
                <w:b/>
                <w:color w:val="auto"/>
                <w:highlight w:val="none"/>
              </w:rPr>
            </w:pPr>
            <w:r>
              <w:rPr>
                <w:rFonts w:hint="eastAsia" w:ascii="宋体" w:hAnsi="宋体" w:eastAsia="宋体" w:cs="宋体"/>
                <w:b/>
                <w:color w:val="auto"/>
                <w:highlight w:val="none"/>
              </w:rPr>
              <w:t>采购内容</w:t>
            </w:r>
          </w:p>
        </w:tc>
        <w:tc>
          <w:tcPr>
            <w:tcW w:w="744" w:type="dxa"/>
            <w:shd w:val="clear" w:color="auto" w:fill="EEECE1"/>
            <w:vAlign w:val="center"/>
          </w:tcPr>
          <w:p w14:paraId="5D5BE639">
            <w:pPr>
              <w:keepLines w:val="0"/>
              <w:pageBreakBefore w:val="0"/>
              <w:widowControl w:val="0"/>
              <w:kinsoku/>
              <w:wordWrap/>
              <w:overflowPunct/>
              <w:topLinePunct w:val="0"/>
              <w:bidi w:val="0"/>
              <w:jc w:val="center"/>
              <w:rPr>
                <w:rFonts w:hint="eastAsia" w:ascii="宋体" w:hAnsi="宋体" w:eastAsia="宋体" w:cs="宋体"/>
                <w:b/>
                <w:color w:val="auto"/>
                <w:highlight w:val="none"/>
              </w:rPr>
            </w:pPr>
            <w:r>
              <w:rPr>
                <w:rFonts w:hint="eastAsia" w:ascii="宋体" w:hAnsi="宋体" w:eastAsia="宋体" w:cs="宋体"/>
                <w:b/>
                <w:color w:val="auto"/>
                <w:highlight w:val="none"/>
              </w:rPr>
              <w:t>数量</w:t>
            </w:r>
          </w:p>
        </w:tc>
        <w:tc>
          <w:tcPr>
            <w:tcW w:w="3660" w:type="dxa"/>
            <w:shd w:val="clear" w:color="auto" w:fill="EEECE1"/>
            <w:vAlign w:val="center"/>
          </w:tcPr>
          <w:p w14:paraId="299C0402">
            <w:pPr>
              <w:keepLines w:val="0"/>
              <w:pageBreakBefore w:val="0"/>
              <w:widowControl w:val="0"/>
              <w:kinsoku/>
              <w:wordWrap/>
              <w:overflowPunct/>
              <w:topLinePunct w:val="0"/>
              <w:bidi w:val="0"/>
              <w:jc w:val="center"/>
              <w:rPr>
                <w:rFonts w:hint="eastAsia" w:ascii="宋体" w:hAnsi="宋体" w:eastAsia="宋体" w:cs="宋体"/>
                <w:b/>
                <w:color w:val="auto"/>
                <w:highlight w:val="none"/>
              </w:rPr>
            </w:pPr>
            <w:r>
              <w:rPr>
                <w:rFonts w:hint="eastAsia" w:ascii="宋体" w:hAnsi="宋体" w:eastAsia="宋体" w:cs="宋体"/>
                <w:b/>
                <w:color w:val="auto"/>
                <w:highlight w:val="none"/>
              </w:rPr>
              <w:t>完工期</w:t>
            </w:r>
          </w:p>
        </w:tc>
        <w:tc>
          <w:tcPr>
            <w:tcW w:w="2274" w:type="dxa"/>
            <w:shd w:val="clear" w:color="auto" w:fill="EEECE1"/>
            <w:vAlign w:val="center"/>
          </w:tcPr>
          <w:p w14:paraId="61527866">
            <w:pPr>
              <w:keepLines w:val="0"/>
              <w:pageBreakBefore w:val="0"/>
              <w:widowControl w:val="0"/>
              <w:kinsoku/>
              <w:wordWrap/>
              <w:overflowPunct/>
              <w:topLinePunct w:val="0"/>
              <w:bidi w:val="0"/>
              <w:jc w:val="center"/>
              <w:rPr>
                <w:rFonts w:hint="eastAsia" w:ascii="宋体" w:hAnsi="宋体" w:eastAsia="宋体" w:cs="宋体"/>
                <w:color w:val="auto"/>
                <w:highlight w:val="none"/>
              </w:rPr>
            </w:pPr>
            <w:r>
              <w:rPr>
                <w:rFonts w:hint="eastAsia" w:ascii="宋体" w:hAnsi="宋体" w:eastAsia="宋体" w:cs="宋体"/>
                <w:b/>
                <w:color w:val="auto"/>
                <w:highlight w:val="none"/>
              </w:rPr>
              <w:t>最高限价</w:t>
            </w:r>
          </w:p>
        </w:tc>
      </w:tr>
      <w:tr w14:paraId="66D8A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3197" w:type="dxa"/>
            <w:vAlign w:val="center"/>
          </w:tcPr>
          <w:p w14:paraId="758F5793">
            <w:pPr>
              <w:keepLines w:val="0"/>
              <w:pageBreakBefore w:val="0"/>
              <w:widowControl w:val="0"/>
              <w:kinsoku/>
              <w:wordWrap/>
              <w:overflowPunct/>
              <w:topLinePunct w:val="0"/>
              <w:bidi w:val="0"/>
              <w:jc w:val="center"/>
              <w:rPr>
                <w:rFonts w:hint="eastAsia" w:ascii="宋体" w:hAnsi="宋体" w:eastAsia="宋体" w:cs="宋体"/>
                <w:color w:val="auto"/>
                <w:highlight w:val="none"/>
                <w:lang w:eastAsia="zh-CN"/>
              </w:rPr>
            </w:pPr>
            <w:r>
              <w:rPr>
                <w:rFonts w:hint="eastAsia" w:ascii="宋体" w:hAnsi="宋体" w:eastAsia="宋体" w:cs="宋体"/>
                <w:color w:val="auto"/>
                <w:szCs w:val="21"/>
                <w:highlight w:val="none"/>
                <w:lang w:eastAsia="zh-CN"/>
              </w:rPr>
              <w:t>北京师范大学珠海校区乐育楼一带一路学院空间改造项目</w:t>
            </w:r>
          </w:p>
        </w:tc>
        <w:tc>
          <w:tcPr>
            <w:tcW w:w="744" w:type="dxa"/>
            <w:vAlign w:val="center"/>
          </w:tcPr>
          <w:p w14:paraId="171FABF9">
            <w:pPr>
              <w:keepLines w:val="0"/>
              <w:pageBreakBefore w:val="0"/>
              <w:widowControl w:val="0"/>
              <w:kinsoku/>
              <w:wordWrap/>
              <w:overflowPunct/>
              <w:topLinePunct w:val="0"/>
              <w:bidi w:val="0"/>
              <w:jc w:val="center"/>
              <w:rPr>
                <w:rFonts w:hint="eastAsia" w:ascii="宋体" w:hAnsi="宋体" w:eastAsia="宋体" w:cs="宋体"/>
                <w:color w:val="auto"/>
                <w:highlight w:val="none"/>
              </w:rPr>
            </w:pPr>
            <w:r>
              <w:rPr>
                <w:rFonts w:hint="eastAsia" w:ascii="宋体" w:hAnsi="宋体" w:eastAsia="宋体" w:cs="宋体"/>
                <w:color w:val="auto"/>
                <w:highlight w:val="none"/>
              </w:rPr>
              <w:t>1项</w:t>
            </w:r>
          </w:p>
        </w:tc>
        <w:tc>
          <w:tcPr>
            <w:tcW w:w="3660" w:type="dxa"/>
            <w:vAlign w:val="center"/>
          </w:tcPr>
          <w:p w14:paraId="351535D1">
            <w:pPr>
              <w:pStyle w:val="10"/>
              <w:keepLines w:val="0"/>
              <w:pageBreakBefore w:val="0"/>
              <w:widowControl w:val="0"/>
              <w:kinsoku/>
              <w:wordWrap/>
              <w:overflowPunct/>
              <w:topLinePunct w:val="0"/>
              <w:bidi w:val="0"/>
              <w:spacing w:line="360" w:lineRule="auto"/>
              <w:ind w:right="-82" w:rightChars="-39" w:hanging="54"/>
              <w:rPr>
                <w:rFonts w:hint="eastAsia" w:ascii="宋体" w:hAnsi="宋体" w:eastAsia="宋体" w:cs="宋体"/>
                <w:snapToGrid/>
                <w:color w:val="auto"/>
                <w:spacing w:val="0"/>
                <w:kern w:val="2"/>
                <w:sz w:val="21"/>
                <w:highlight w:val="none"/>
              </w:rPr>
            </w:pPr>
            <w:r>
              <w:rPr>
                <w:rFonts w:hint="eastAsia" w:ascii="宋体" w:hAnsi="宋体" w:eastAsia="宋体" w:cs="宋体"/>
                <w:snapToGrid/>
                <w:color w:val="auto"/>
                <w:spacing w:val="0"/>
                <w:kern w:val="2"/>
                <w:sz w:val="21"/>
                <w:highlight w:val="none"/>
              </w:rPr>
              <w:t>自采购人或监理单位发出开工令之日起</w:t>
            </w:r>
            <w:r>
              <w:rPr>
                <w:rFonts w:hint="eastAsia" w:ascii="宋体" w:hAnsi="宋体" w:eastAsia="宋体" w:cs="宋体"/>
                <w:snapToGrid/>
                <w:color w:val="auto"/>
                <w:spacing w:val="0"/>
                <w:kern w:val="2"/>
                <w:sz w:val="21"/>
                <w:highlight w:val="none"/>
                <w:lang w:val="en-US" w:eastAsia="zh-CN"/>
              </w:rPr>
              <w:t>6</w:t>
            </w:r>
            <w:r>
              <w:rPr>
                <w:rFonts w:hint="eastAsia" w:ascii="宋体" w:hAnsi="宋体" w:eastAsia="宋体" w:cs="宋体"/>
                <w:snapToGrid/>
                <w:color w:val="auto"/>
                <w:spacing w:val="0"/>
                <w:kern w:val="2"/>
                <w:sz w:val="21"/>
                <w:highlight w:val="none"/>
              </w:rPr>
              <w:t>0天内完成竣工验收并交付使用</w:t>
            </w:r>
          </w:p>
        </w:tc>
        <w:tc>
          <w:tcPr>
            <w:tcW w:w="2274" w:type="dxa"/>
            <w:vAlign w:val="center"/>
          </w:tcPr>
          <w:p w14:paraId="09BE5BE9">
            <w:pPr>
              <w:keepLines w:val="0"/>
              <w:pageBreakBefore w:val="0"/>
              <w:widowControl w:val="0"/>
              <w:kinsoku/>
              <w:wordWrap/>
              <w:overflowPunct/>
              <w:topLinePunct w:val="0"/>
              <w:bidi w:val="0"/>
              <w:jc w:val="center"/>
              <w:rPr>
                <w:rFonts w:hint="eastAsia" w:ascii="宋体" w:hAnsi="宋体" w:eastAsia="宋体" w:cs="宋体"/>
                <w:color w:val="auto"/>
                <w:highlight w:val="none"/>
              </w:rPr>
            </w:pPr>
            <w:r>
              <w:rPr>
                <w:rFonts w:hint="eastAsia" w:ascii="宋体" w:hAnsi="宋体" w:eastAsia="宋体" w:cs="宋体"/>
                <w:color w:val="auto"/>
                <w:highlight w:val="none"/>
              </w:rPr>
              <w:t>人民币3645882.81元</w:t>
            </w:r>
          </w:p>
        </w:tc>
      </w:tr>
    </w:tbl>
    <w:p w14:paraId="20FD955E">
      <w:pPr>
        <w:pStyle w:val="11"/>
        <w:keepLines w:val="0"/>
        <w:pageBreakBefore w:val="0"/>
        <w:widowControl w:val="0"/>
        <w:kinsoku/>
        <w:wordWrap/>
        <w:overflowPunct/>
        <w:topLinePunct w:val="0"/>
        <w:autoSpaceDE/>
        <w:autoSpaceDN/>
        <w:bidi w:val="0"/>
        <w:ind w:firstLine="0" w:firstLineChars="0"/>
        <w:rPr>
          <w:rFonts w:hint="eastAsia" w:ascii="宋体" w:hAnsi="宋体" w:eastAsia="宋体" w:cs="宋体"/>
          <w:color w:val="auto"/>
          <w:sz w:val="21"/>
          <w:szCs w:val="21"/>
          <w:highlight w:val="none"/>
          <w:lang w:eastAsia="zh-CN"/>
        </w:rPr>
      </w:pPr>
    </w:p>
    <w:p w14:paraId="3B57FDCE">
      <w:pPr>
        <w:keepLines w:val="0"/>
        <w:pageBreakBefore w:val="0"/>
        <w:widowControl w:val="0"/>
        <w:kinsoku/>
        <w:wordWrap/>
        <w:overflowPunct/>
        <w:topLinePunct w:val="0"/>
        <w:bidi w:val="0"/>
        <w:snapToGrid w:val="0"/>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2.技术要求：</w:t>
      </w:r>
    </w:p>
    <w:p w14:paraId="15FBC55B">
      <w:pPr>
        <w:pStyle w:val="11"/>
        <w:keepLines w:val="0"/>
        <w:pageBreakBefore w:val="0"/>
        <w:widowControl w:val="0"/>
        <w:kinsoku/>
        <w:wordWrap/>
        <w:overflowPunct/>
        <w:topLinePunct w:val="0"/>
        <w:autoSpaceDE/>
        <w:autoSpaceDN/>
        <w:bidi w:val="0"/>
        <w:spacing w:line="360" w:lineRule="auto"/>
        <w:ind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（1）工程量清单：详见磋商文件附件—《工程量清单》；响应报价应当包含完成工程量清单项目所需的所有费用。</w:t>
      </w:r>
    </w:p>
    <w:p w14:paraId="77A85A80">
      <w:pPr>
        <w:pStyle w:val="11"/>
        <w:keepLines w:val="0"/>
        <w:pageBreakBefore w:val="0"/>
        <w:widowControl w:val="0"/>
        <w:kinsoku/>
        <w:wordWrap/>
        <w:overflowPunct/>
        <w:topLinePunct w:val="0"/>
        <w:autoSpaceDE/>
        <w:autoSpaceDN/>
        <w:bidi w:val="0"/>
        <w:spacing w:line="360" w:lineRule="auto"/>
        <w:ind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（2）主要材料使用要求：</w:t>
      </w:r>
    </w:p>
    <w:p w14:paraId="783A9FA6">
      <w:pPr>
        <w:pStyle w:val="11"/>
        <w:keepLines w:val="0"/>
        <w:pageBreakBefore w:val="0"/>
        <w:widowControl w:val="0"/>
        <w:kinsoku/>
        <w:wordWrap/>
        <w:overflowPunct/>
        <w:topLinePunct w:val="0"/>
        <w:autoSpaceDE/>
        <w:autoSpaceDN/>
        <w:bidi w:val="0"/>
        <w:spacing w:line="360" w:lineRule="auto"/>
        <w:ind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2.1必须符合国家、广东省、珠海市现行规范及要求。</w:t>
      </w:r>
    </w:p>
    <w:p w14:paraId="6BA2FFF6">
      <w:pPr>
        <w:pStyle w:val="11"/>
        <w:keepLines w:val="0"/>
        <w:pageBreakBefore w:val="0"/>
        <w:widowControl w:val="0"/>
        <w:kinsoku/>
        <w:wordWrap/>
        <w:overflowPunct/>
        <w:topLinePunct w:val="0"/>
        <w:autoSpaceDE/>
        <w:autoSpaceDN/>
        <w:bidi w:val="0"/>
        <w:spacing w:line="360" w:lineRule="auto"/>
        <w:ind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2.2必须符合《关于扩大政府采购支持绿色建材促进建筑品质提升政策实施范围的通知》（财库〔2022〕35号）中要求的《绿色建筑和绿色建材政府采购需求标准》。</w:t>
      </w:r>
    </w:p>
    <w:p w14:paraId="41C476ED">
      <w:pPr>
        <w:pStyle w:val="11"/>
        <w:keepLines w:val="0"/>
        <w:pageBreakBefore w:val="0"/>
        <w:widowControl w:val="0"/>
        <w:kinsoku/>
        <w:wordWrap/>
        <w:overflowPunct/>
        <w:topLinePunct w:val="0"/>
        <w:autoSpaceDE/>
        <w:autoSpaceDN/>
        <w:bidi w:val="0"/>
        <w:spacing w:line="360" w:lineRule="auto"/>
        <w:ind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2.3必须经具有检验资格的部门检验合格之后方可使用。</w:t>
      </w:r>
    </w:p>
    <w:p w14:paraId="353D89B0">
      <w:pPr>
        <w:pStyle w:val="11"/>
        <w:keepLines w:val="0"/>
        <w:pageBreakBefore w:val="0"/>
        <w:widowControl w:val="0"/>
        <w:kinsoku/>
        <w:wordWrap/>
        <w:overflowPunct/>
        <w:topLinePunct w:val="0"/>
        <w:autoSpaceDE/>
        <w:autoSpaceDN/>
        <w:bidi w:val="0"/>
        <w:spacing w:line="360" w:lineRule="auto"/>
        <w:ind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2.4必须经采购人确认之后方可使用。</w:t>
      </w:r>
    </w:p>
    <w:p w14:paraId="5FEB1969">
      <w:pPr>
        <w:pStyle w:val="11"/>
        <w:keepLines w:val="0"/>
        <w:pageBreakBefore w:val="0"/>
        <w:widowControl w:val="0"/>
        <w:kinsoku/>
        <w:wordWrap/>
        <w:overflowPunct/>
        <w:topLinePunct w:val="0"/>
        <w:autoSpaceDE/>
        <w:autoSpaceDN/>
        <w:bidi w:val="0"/>
        <w:ind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2.5</w:t>
      </w:r>
      <w:r>
        <w:rPr>
          <w:rFonts w:hint="eastAsia" w:ascii="宋体" w:hAnsi="宋体" w:eastAsia="宋体" w:cs="宋体"/>
          <w:color w:val="auto"/>
          <w:sz w:val="21"/>
          <w:szCs w:val="21"/>
          <w:highlight w:val="none"/>
          <w:lang w:eastAsia="zh-CN"/>
        </w:rPr>
        <w:t>主要材料必须符合预算书、磋商文件的规定和要求。</w:t>
      </w:r>
    </w:p>
    <w:p w14:paraId="593AB8D8">
      <w:pPr>
        <w:pStyle w:val="11"/>
        <w:keepLines w:val="0"/>
        <w:pageBreakBefore w:val="0"/>
        <w:widowControl w:val="0"/>
        <w:kinsoku/>
        <w:wordWrap/>
        <w:overflowPunct/>
        <w:topLinePunct w:val="0"/>
        <w:autoSpaceDE/>
        <w:autoSpaceDN/>
        <w:bidi w:val="0"/>
        <w:ind w:firstLine="0" w:firstLineChars="0"/>
        <w:rPr>
          <w:rFonts w:hint="eastAsia" w:ascii="宋体" w:hAnsi="宋体" w:eastAsia="宋体" w:cs="宋体"/>
          <w:color w:val="auto"/>
          <w:sz w:val="21"/>
          <w:szCs w:val="21"/>
          <w:highlight w:val="none"/>
          <w:lang w:eastAsia="zh-CN"/>
        </w:rPr>
      </w:pPr>
    </w:p>
    <w:p w14:paraId="3CD21F4B">
      <w:pPr>
        <w:pStyle w:val="12"/>
        <w:keepLines w:val="0"/>
        <w:pageBreakBefore w:val="0"/>
        <w:widowControl w:val="0"/>
        <w:kinsoku/>
        <w:wordWrap/>
        <w:overflowPunct/>
        <w:topLinePunct w:val="0"/>
        <w:autoSpaceDE/>
        <w:autoSpaceDN/>
        <w:bidi w:val="0"/>
        <w:rPr>
          <w:rFonts w:hint="eastAsia" w:ascii="宋体" w:hAnsi="宋体" w:eastAsia="宋体" w:cs="宋体"/>
          <w:color w:val="auto"/>
          <w:sz w:val="21"/>
          <w:szCs w:val="21"/>
          <w:highlight w:val="none"/>
          <w:lang w:eastAsia="zh-CN"/>
        </w:rPr>
      </w:pPr>
      <w:bookmarkStart w:id="4" w:name="_Toc29836"/>
      <w:r>
        <w:rPr>
          <w:rFonts w:hint="eastAsia" w:ascii="宋体" w:hAnsi="宋体" w:eastAsia="宋体" w:cs="宋体"/>
          <w:color w:val="auto"/>
          <w:sz w:val="21"/>
          <w:szCs w:val="21"/>
          <w:highlight w:val="none"/>
          <w:lang w:eastAsia="zh-CN"/>
        </w:rPr>
        <w:t>二、主要商务要求</w:t>
      </w:r>
      <w:bookmarkEnd w:id="4"/>
    </w:p>
    <w:p w14:paraId="64075E81">
      <w:pPr>
        <w:pStyle w:val="6"/>
        <w:keepLines w:val="0"/>
        <w:pageBreakBefore w:val="0"/>
        <w:widowControl w:val="0"/>
        <w:numPr>
          <w:ilvl w:val="0"/>
          <w:numId w:val="1"/>
        </w:numPr>
        <w:kinsoku/>
        <w:wordWrap/>
        <w:overflowPunct/>
        <w:topLinePunct w:val="0"/>
        <w:bidi w:val="0"/>
        <w:spacing w:after="0" w:line="360" w:lineRule="auto"/>
        <w:ind w:left="0" w:leftChars="0" w:firstLine="42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标的提供的时间：</w:t>
      </w:r>
      <w:r>
        <w:rPr>
          <w:rFonts w:hint="eastAsia" w:ascii="宋体" w:hAnsi="宋体" w:eastAsia="宋体" w:cs="宋体"/>
          <w:color w:val="auto"/>
          <w:highlight w:val="none"/>
        </w:rPr>
        <w:t>自采购人或监理单位发出开工令之日起</w:t>
      </w:r>
      <w:r>
        <w:rPr>
          <w:rFonts w:hint="eastAsia" w:ascii="宋体" w:hAnsi="宋体" w:eastAsia="宋体" w:cs="宋体"/>
          <w:color w:val="auto"/>
          <w:highlight w:val="none"/>
          <w:lang w:val="en-US" w:eastAsia="zh-CN"/>
        </w:rPr>
        <w:t>6</w:t>
      </w:r>
      <w:r>
        <w:rPr>
          <w:rFonts w:hint="eastAsia" w:ascii="宋体" w:hAnsi="宋体" w:eastAsia="宋体" w:cs="宋体"/>
          <w:color w:val="auto"/>
          <w:highlight w:val="none"/>
        </w:rPr>
        <w:t>0天内完成竣工验收并交付使用</w:t>
      </w:r>
    </w:p>
    <w:p w14:paraId="09C1680A">
      <w:pPr>
        <w:pStyle w:val="6"/>
        <w:keepLines w:val="0"/>
        <w:pageBreakBefore w:val="0"/>
        <w:widowControl w:val="0"/>
        <w:numPr>
          <w:ilvl w:val="0"/>
          <w:numId w:val="1"/>
        </w:numPr>
        <w:kinsoku/>
        <w:wordWrap/>
        <w:overflowPunct/>
        <w:topLinePunct w:val="0"/>
        <w:bidi w:val="0"/>
        <w:spacing w:after="0" w:line="360" w:lineRule="auto"/>
        <w:ind w:left="0" w:leftChars="0" w:firstLine="42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标的提供的地点：北京师范大学珠海校区内。</w:t>
      </w:r>
    </w:p>
    <w:p w14:paraId="5BC0EDB2">
      <w:pPr>
        <w:pStyle w:val="6"/>
        <w:keepLines w:val="0"/>
        <w:pageBreakBefore w:val="0"/>
        <w:widowControl w:val="0"/>
        <w:numPr>
          <w:ilvl w:val="0"/>
          <w:numId w:val="1"/>
        </w:numPr>
        <w:kinsoku/>
        <w:wordWrap/>
        <w:overflowPunct/>
        <w:topLinePunct w:val="0"/>
        <w:bidi w:val="0"/>
        <w:spacing w:after="0" w:line="360" w:lineRule="auto"/>
        <w:ind w:left="0" w:leftChars="0" w:firstLine="42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付款方式：</w:t>
      </w:r>
    </w:p>
    <w:p w14:paraId="3FE08451">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（1）预付款：合同签订生效且采购人收到成交人开具的有效发票后10个工作日内，支付签约合同价（扣除暂列金额、暂估价）30%的预付款(遇采购人假期顺延)。</w:t>
      </w:r>
    </w:p>
    <w:p w14:paraId="701CD51E">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2）进度款：①经监理（如有）、采购人确认完成全部工程量的80%时，支付至合同价（扣除暂列金额、暂估价）的65%。(遇采购人假期顺延)。②全部施工完成后，经监理、采购人检查工程资料齐全并通过采购人竣工验收合格，且未发生拖欠工人工资的行为，支付至合同价（扣除暂列金额、暂估价）的80%。实际已发生的暂列金额及暂估价工程，经监理单位、造价咨询单位以及采购人、成交人确认和计量计价后，按确认的计量计价金额的80%支付。(遇采购人假期顺延)。  </w:t>
      </w:r>
    </w:p>
    <w:p w14:paraId="0F925332">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rPr>
        <w:t>（3）结算款：工程验收合格后，成交人必须向采购人提交完整的结算资料和结算书，北京师范大学珠海校区完成工程结算后10个工作日内支付至珠海校区工程结算价的90％，北京师范大学审计部门完成工程结算审计后10个工作日内支付至审计结算价的100%（包含前述已支付的合同价款，遇采购人假期顺延）；</w:t>
      </w:r>
    </w:p>
    <w:p w14:paraId="2CC76084">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保修金：在采购人支付至结算价的100%之前且不满两年缺陷责任期的，成交人须向采购人提交结算总价的3％作为工程质量保证金。在缺陷责任期内，如果成交人不按合同的约定承担保修责任的，采购人有权自行进行保修、保养并在保修金内开支所需费用；缺陷责任期满后，若无质量问题，保修金由采购人全额无息退还给成交人。成交人可提交工程质量保证保函替代工程质量保证金，工程质量保证保函的额度、期限与工程质量保证金一致；工程质量保证为连带责任保证方式，工程质量保证保函为不可撤销保函，不设免赔额、免赔率，有效期满后自动失效。</w:t>
      </w:r>
    </w:p>
    <w:p w14:paraId="01307346">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结算原则：工程完工后，由成交人绘制竣工图并编制工程结算，最终以采购人审计后的工程造价作为结算价。工程结算的依据有：采购人现场工程师的签证单、工程量核实确认表（工程量须提供计算过程及相关照片），竣工验收表，竣工图，投标报价清单等与造价相关的文件。</w:t>
      </w:r>
    </w:p>
    <w:p w14:paraId="43D8712A">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5.1 响应报价清单中已有的项目，按响应报价清单价格执行；</w:t>
      </w:r>
    </w:p>
    <w:p w14:paraId="792B48DB">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5.2 响应报价清单中有类似的项目，参照响应报价清单的类似项目的价格执行；</w:t>
      </w:r>
    </w:p>
    <w:p w14:paraId="0748DFD2">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5.3 响应报价清单中没有的项目，依据《建设工程工程量清单计价规范》（</w:t>
      </w:r>
      <w:r>
        <w:rPr>
          <w:rFonts w:hint="eastAsia" w:ascii="宋体" w:hAnsi="宋体" w:eastAsia="宋体" w:cs="宋体"/>
          <w:color w:val="auto"/>
          <w:szCs w:val="21"/>
          <w:highlight w:val="none"/>
          <w:lang w:eastAsia="zh-CN"/>
        </w:rPr>
        <w:t>GB/T 50500</w:t>
      </w:r>
      <w:r>
        <w:rPr>
          <w:rFonts w:hint="eastAsia" w:ascii="宋体" w:hAnsi="宋体" w:eastAsia="宋体" w:cs="宋体"/>
          <w:color w:val="auto"/>
          <w:szCs w:val="21"/>
          <w:highlight w:val="none"/>
          <w:lang w:val="en-US" w:eastAsia="zh-CN"/>
        </w:rPr>
        <w:t>-</w:t>
      </w:r>
      <w:r>
        <w:rPr>
          <w:rFonts w:hint="eastAsia" w:ascii="宋体" w:hAnsi="宋体" w:eastAsia="宋体" w:cs="宋体"/>
          <w:color w:val="auto"/>
          <w:szCs w:val="21"/>
          <w:highlight w:val="none"/>
          <w:lang w:eastAsia="zh-CN"/>
        </w:rPr>
        <w:t>20</w:t>
      </w:r>
      <w:r>
        <w:rPr>
          <w:rFonts w:hint="eastAsia" w:ascii="宋体" w:hAnsi="宋体" w:eastAsia="宋体" w:cs="宋体"/>
          <w:color w:val="auto"/>
          <w:szCs w:val="21"/>
          <w:highlight w:val="none"/>
          <w:lang w:val="en-US" w:eastAsia="zh-CN"/>
        </w:rPr>
        <w:t>24</w:t>
      </w:r>
      <w:r>
        <w:rPr>
          <w:rFonts w:hint="eastAsia" w:ascii="宋体" w:hAnsi="宋体" w:eastAsia="宋体" w:cs="宋体"/>
          <w:color w:val="auto"/>
          <w:szCs w:val="21"/>
          <w:highlight w:val="none"/>
        </w:rPr>
        <w:t>）、《广东省建设工程计价依据2018》，《广东省市政工程综合定额》（2018年）、《广东省房屋建筑与装饰工程综合定额》（2018年）、《广东省通用安装工程综合定额》（2018年）、《广东省园林绿化工程综合定额2018》等及其相应取费标准，其中：有上下限的费用项目（含利润），其费率取中值；材料价格执行施工同期当月《珠海工程造价信息》公布的价格，特殊材料按“货比三家”的原则经采购人确认后作为计价依据。按此方式进行结算后，对总价进行审计后×成交费率作为最终的结算价（税前），但信息价中没有的而由采购人确认的单价不再进行下浮。</w:t>
      </w:r>
    </w:p>
    <w:p w14:paraId="222579BC">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1）按施工期间《</w:t>
      </w:r>
      <w:r>
        <w:rPr>
          <w:rFonts w:hint="eastAsia" w:ascii="宋体" w:hAnsi="宋体" w:eastAsia="宋体" w:cs="宋体"/>
          <w:smallCaps/>
          <w:color w:val="auto"/>
          <w:highlight w:val="none"/>
        </w:rPr>
        <w:t>珠海建设工程造价行业信息</w:t>
      </w:r>
      <w:r>
        <w:rPr>
          <w:rFonts w:hint="eastAsia" w:ascii="宋体" w:hAnsi="宋体" w:eastAsia="宋体" w:cs="宋体"/>
          <w:color w:val="auto"/>
          <w:szCs w:val="21"/>
          <w:highlight w:val="none"/>
        </w:rPr>
        <w:t>》当月公布的材料中档价格执行（地材价格按照同期唐家、下栅材料市场价计入）；</w:t>
      </w:r>
    </w:p>
    <w:p w14:paraId="3453AB17">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2）《珠海建设工程造价行业信息》未列的材料，按实际使用材料，由采购人、成交人双方共同确认材料价格计算，不再参与下浮。</w:t>
      </w:r>
    </w:p>
    <w:p w14:paraId="55C2EC53">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3）在施工过程中，如遇材料有价格波动，均不予调整。</w:t>
      </w:r>
    </w:p>
    <w:p w14:paraId="23D7CE39">
      <w:pPr>
        <w:spacing w:line="360" w:lineRule="auto"/>
        <w:ind w:firstLine="420" w:firstLineChars="200"/>
        <w:rPr>
          <w:rFonts w:hint="eastAsia" w:ascii="宋体" w:hAnsi="宋体" w:eastAsia="宋体" w:cs="宋体"/>
          <w:smallCaps w:val="0"/>
          <w:color w:val="auto"/>
          <w:szCs w:val="21"/>
          <w:highlight w:val="none"/>
        </w:rPr>
      </w:pPr>
      <w:r>
        <w:rPr>
          <w:rFonts w:hint="eastAsia" w:ascii="宋体" w:hAnsi="宋体" w:eastAsia="宋体" w:cs="宋体"/>
          <w:color w:val="auto"/>
          <w:szCs w:val="21"/>
          <w:highlight w:val="none"/>
        </w:rPr>
        <w:t>4）</w:t>
      </w:r>
      <w:r>
        <w:rPr>
          <w:rFonts w:hint="eastAsia" w:ascii="宋体" w:hAnsi="宋体" w:eastAsia="宋体" w:cs="宋体"/>
          <w:smallCaps w:val="0"/>
          <w:color w:val="auto"/>
          <w:szCs w:val="21"/>
          <w:highlight w:val="none"/>
        </w:rPr>
        <w:t>响应报价清单中没有的项目，按以上原则计算后，结算价按成交下浮率让利。暂列金额和暂估价结算时按照实际发生额结算，按成交下浮率让利。 成交费率=（最终成交价－暂估价－暂列金额）/（预算价－暂估价－暂列金额）×100%，</w:t>
      </w:r>
      <w:r>
        <w:rPr>
          <w:rFonts w:hint="eastAsia" w:ascii="宋体" w:hAnsi="宋体" w:eastAsia="宋体" w:cs="宋体"/>
          <w:color w:val="auto"/>
          <w:szCs w:val="21"/>
          <w:highlight w:val="none"/>
        </w:rPr>
        <w:t>成交下浮率=1-成交费率</w:t>
      </w:r>
      <w:r>
        <w:rPr>
          <w:rFonts w:hint="eastAsia" w:ascii="宋体" w:hAnsi="宋体" w:eastAsia="宋体" w:cs="宋体"/>
          <w:smallCaps w:val="0"/>
          <w:color w:val="auto"/>
          <w:szCs w:val="21"/>
          <w:highlight w:val="none"/>
        </w:rPr>
        <w:t>。</w:t>
      </w:r>
    </w:p>
    <w:p w14:paraId="45FA2F9A">
      <w:pPr>
        <w:spacing w:line="360" w:lineRule="auto"/>
        <w:ind w:firstLine="420" w:firstLineChars="200"/>
        <w:rPr>
          <w:rFonts w:hint="eastAsia" w:ascii="宋体" w:hAnsi="宋体" w:eastAsia="宋体" w:cs="宋体"/>
          <w:smallCaps w:val="0"/>
          <w:color w:val="auto"/>
          <w:szCs w:val="21"/>
          <w:highlight w:val="none"/>
        </w:rPr>
      </w:pPr>
      <w:r>
        <w:rPr>
          <w:rFonts w:hint="eastAsia" w:ascii="宋体" w:hAnsi="宋体" w:eastAsia="宋体" w:cs="宋体"/>
          <w:smallCaps w:val="0"/>
          <w:color w:val="auto"/>
          <w:szCs w:val="21"/>
          <w:highlight w:val="none"/>
          <w:lang w:val="en-US" w:eastAsia="zh-CN"/>
        </w:rPr>
        <w:t>5）</w:t>
      </w:r>
      <w:r>
        <w:rPr>
          <w:rFonts w:hint="eastAsia" w:ascii="宋体" w:hAnsi="宋体" w:eastAsia="宋体" w:cs="宋体"/>
          <w:smallCaps w:val="0"/>
          <w:color w:val="auto"/>
          <w:szCs w:val="21"/>
          <w:highlight w:val="none"/>
        </w:rPr>
        <w:t>磋商费率：经磋商后，如最终报价较首轮报价有下浮的，除不可竞争费（含安全生产措施费、暂列金额、暂估价）不进行调整外，其余工程量清单各综合单价按其首轮报价时的各综合单价同比例下浮，即首轮报价工程量清单各综合单价*磋商费率等于结算的各综合单价。磋商费率=（最终报价-不可竞争费）÷（首轮报价-不可竞争费）。说明：磋商费率以及调整后的单价和总价均保留2位小数。其它原则同结算原则。</w:t>
      </w:r>
    </w:p>
    <w:p w14:paraId="2995B93F">
      <w:pPr>
        <w:spacing w:line="360" w:lineRule="auto"/>
        <w:ind w:firstLine="420" w:firstLineChars="200"/>
        <w:rPr>
          <w:rFonts w:hint="eastAsia" w:ascii="宋体" w:hAnsi="宋体" w:eastAsia="宋体" w:cs="宋体"/>
          <w:smallCaps w:val="0"/>
          <w:color w:val="auto"/>
          <w:szCs w:val="21"/>
          <w:highlight w:val="none"/>
        </w:rPr>
      </w:pPr>
      <w:r>
        <w:rPr>
          <w:rFonts w:hint="eastAsia" w:ascii="宋体" w:hAnsi="宋体" w:eastAsia="宋体" w:cs="宋体"/>
          <w:smallCaps w:val="0"/>
          <w:color w:val="auto"/>
          <w:szCs w:val="21"/>
          <w:highlight w:val="none"/>
          <w:lang w:val="en-US" w:eastAsia="zh-CN"/>
        </w:rPr>
        <w:t>6）</w:t>
      </w:r>
      <w:r>
        <w:rPr>
          <w:rFonts w:hint="eastAsia" w:ascii="宋体" w:hAnsi="宋体" w:eastAsia="宋体" w:cs="宋体"/>
          <w:smallCaps w:val="0"/>
          <w:color w:val="auto"/>
          <w:szCs w:val="21"/>
          <w:highlight w:val="none"/>
        </w:rPr>
        <w:t>如果因为非</w:t>
      </w:r>
      <w:r>
        <w:rPr>
          <w:rFonts w:hint="eastAsia" w:ascii="宋体" w:hAnsi="宋体" w:eastAsia="宋体" w:cs="宋体"/>
          <w:smallCaps w:val="0"/>
          <w:color w:val="auto"/>
          <w:szCs w:val="21"/>
          <w:highlight w:val="none"/>
          <w:lang w:eastAsia="zh-CN"/>
        </w:rPr>
        <w:t>成交供应商</w:t>
      </w:r>
      <w:r>
        <w:rPr>
          <w:rFonts w:hint="eastAsia" w:ascii="宋体" w:hAnsi="宋体" w:eastAsia="宋体" w:cs="宋体"/>
          <w:smallCaps w:val="0"/>
          <w:color w:val="auto"/>
          <w:szCs w:val="21"/>
          <w:highlight w:val="none"/>
        </w:rPr>
        <w:t>原因，</w:t>
      </w:r>
      <w:r>
        <w:rPr>
          <w:rFonts w:hint="eastAsia" w:ascii="宋体" w:hAnsi="宋体" w:eastAsia="宋体" w:cs="宋体"/>
          <w:smallCaps w:val="0"/>
          <w:color w:val="auto"/>
          <w:szCs w:val="21"/>
          <w:highlight w:val="none"/>
          <w:lang w:eastAsia="zh-CN"/>
        </w:rPr>
        <w:t>采购人</w:t>
      </w:r>
      <w:r>
        <w:rPr>
          <w:rFonts w:hint="eastAsia" w:ascii="宋体" w:hAnsi="宋体" w:eastAsia="宋体" w:cs="宋体"/>
          <w:smallCaps w:val="0"/>
          <w:color w:val="auto"/>
          <w:szCs w:val="21"/>
          <w:highlight w:val="none"/>
        </w:rPr>
        <w:t>删减了合同中的某项原定工作或工程，结算时将调减此项目</w:t>
      </w:r>
      <w:r>
        <w:rPr>
          <w:rFonts w:hint="eastAsia" w:ascii="宋体" w:hAnsi="宋体" w:eastAsia="宋体" w:cs="宋体"/>
          <w:smallCaps w:val="0"/>
          <w:color w:val="auto"/>
          <w:szCs w:val="21"/>
          <w:highlight w:val="none"/>
          <w:lang w:eastAsia="zh-CN"/>
        </w:rPr>
        <w:t>。</w:t>
      </w:r>
      <w:r>
        <w:rPr>
          <w:rFonts w:hint="eastAsia" w:ascii="宋体" w:hAnsi="宋体" w:eastAsia="宋体" w:cs="宋体"/>
          <w:smallCaps w:val="0"/>
          <w:color w:val="auto"/>
          <w:szCs w:val="21"/>
          <w:highlight w:val="none"/>
        </w:rPr>
        <w:t>结算金额超过采购预算金额，按采购预算金额支付结算款。</w:t>
      </w:r>
    </w:p>
    <w:p w14:paraId="1B492E00">
      <w:pPr>
        <w:spacing w:line="360" w:lineRule="auto"/>
        <w:ind w:firstLine="420" w:firstLineChars="200"/>
        <w:rPr>
          <w:rFonts w:hint="eastAsia" w:ascii="宋体" w:hAnsi="宋体" w:eastAsia="宋体" w:cs="宋体"/>
          <w:smallCaps w:val="0"/>
          <w:color w:val="auto"/>
          <w:szCs w:val="21"/>
          <w:highlight w:val="none"/>
        </w:rPr>
      </w:pPr>
      <w:r>
        <w:rPr>
          <w:rFonts w:hint="eastAsia" w:ascii="宋体" w:hAnsi="宋体" w:eastAsia="宋体" w:cs="宋体"/>
          <w:smallCaps w:val="0"/>
          <w:color w:val="auto"/>
          <w:szCs w:val="21"/>
          <w:highlight w:val="none"/>
          <w:lang w:val="en-US" w:eastAsia="zh-CN"/>
        </w:rPr>
        <w:t>7）</w:t>
      </w:r>
      <w:r>
        <w:rPr>
          <w:rFonts w:hint="eastAsia" w:ascii="宋体" w:hAnsi="宋体" w:eastAsia="宋体" w:cs="宋体"/>
          <w:smallCaps w:val="0"/>
          <w:color w:val="auto"/>
          <w:szCs w:val="21"/>
          <w:highlight w:val="none"/>
        </w:rPr>
        <w:t xml:space="preserve"> 措施费：（1）合同承包工程（即图纸及预算项目）范围内的措施项目费总价包干，结算时不予调整。供应商在报价时，项目措施费按现行有关工程计价办法计算，供应商认为需要增加措施项目的，可在措施项目中补充列项及报价。不论供应商在报价时是否对措施项目进行补充列项及报价，供应商所报的措施项目总费用应视为按照磋商文件的规定全面完成本工程所需发生的全部措施项目费用。</w:t>
      </w:r>
    </w:p>
    <w:p w14:paraId="15948D41">
      <w:pPr>
        <w:spacing w:line="360" w:lineRule="auto"/>
        <w:ind w:firstLine="420" w:firstLineChars="200"/>
        <w:rPr>
          <w:rFonts w:hint="eastAsia" w:ascii="宋体" w:hAnsi="宋体" w:eastAsia="宋体" w:cs="宋体"/>
          <w:smallCaps w:val="0"/>
          <w:color w:val="auto"/>
          <w:szCs w:val="21"/>
          <w:highlight w:val="none"/>
        </w:rPr>
      </w:pPr>
      <w:r>
        <w:rPr>
          <w:rFonts w:hint="eastAsia" w:ascii="宋体" w:hAnsi="宋体" w:eastAsia="宋体" w:cs="宋体"/>
          <w:smallCaps w:val="0"/>
          <w:color w:val="auto"/>
          <w:szCs w:val="21"/>
          <w:highlight w:val="none"/>
          <w:lang w:val="en-US" w:eastAsia="zh-CN"/>
        </w:rPr>
        <w:t>8）采购人</w:t>
      </w:r>
      <w:r>
        <w:rPr>
          <w:rFonts w:hint="eastAsia" w:ascii="宋体" w:hAnsi="宋体" w:eastAsia="宋体" w:cs="宋体"/>
          <w:smallCaps w:val="0"/>
          <w:color w:val="auto"/>
          <w:szCs w:val="21"/>
          <w:highlight w:val="none"/>
        </w:rPr>
        <w:t>、监理单位或政府行政主管部门认为</w:t>
      </w:r>
      <w:r>
        <w:rPr>
          <w:rFonts w:hint="eastAsia" w:ascii="宋体" w:hAnsi="宋体" w:eastAsia="宋体" w:cs="宋体"/>
          <w:smallCaps w:val="0"/>
          <w:color w:val="auto"/>
          <w:szCs w:val="21"/>
          <w:highlight w:val="none"/>
          <w:lang w:val="en-US" w:eastAsia="zh-CN"/>
        </w:rPr>
        <w:t>成交供应商</w:t>
      </w:r>
      <w:r>
        <w:rPr>
          <w:rFonts w:hint="eastAsia" w:ascii="宋体" w:hAnsi="宋体" w:eastAsia="宋体" w:cs="宋体"/>
          <w:smallCaps w:val="0"/>
          <w:color w:val="auto"/>
          <w:szCs w:val="21"/>
          <w:highlight w:val="none"/>
        </w:rPr>
        <w:t>的施工方案、措施（包括实施过程的）等不能保证施工安全、工程质量及施工工期时，</w:t>
      </w:r>
      <w:r>
        <w:rPr>
          <w:rFonts w:hint="eastAsia" w:ascii="宋体" w:hAnsi="宋体" w:eastAsia="宋体" w:cs="宋体"/>
          <w:smallCaps w:val="0"/>
          <w:color w:val="auto"/>
          <w:szCs w:val="21"/>
          <w:highlight w:val="none"/>
          <w:lang w:val="en-US" w:eastAsia="zh-CN"/>
        </w:rPr>
        <w:t>成交供应商</w:t>
      </w:r>
      <w:r>
        <w:rPr>
          <w:rFonts w:hint="eastAsia" w:ascii="宋体" w:hAnsi="宋体" w:eastAsia="宋体" w:cs="宋体"/>
          <w:smallCaps w:val="0"/>
          <w:color w:val="auto"/>
          <w:szCs w:val="21"/>
          <w:highlight w:val="none"/>
        </w:rPr>
        <w:t>应按照</w:t>
      </w:r>
      <w:r>
        <w:rPr>
          <w:rFonts w:hint="eastAsia" w:ascii="宋体" w:hAnsi="宋体" w:eastAsia="宋体" w:cs="宋体"/>
          <w:smallCaps w:val="0"/>
          <w:color w:val="auto"/>
          <w:szCs w:val="21"/>
          <w:highlight w:val="none"/>
          <w:lang w:val="en-US" w:eastAsia="zh-CN"/>
        </w:rPr>
        <w:t>采购人</w:t>
      </w:r>
      <w:r>
        <w:rPr>
          <w:rFonts w:hint="eastAsia" w:ascii="宋体" w:hAnsi="宋体" w:eastAsia="宋体" w:cs="宋体"/>
          <w:smallCaps w:val="0"/>
          <w:color w:val="auto"/>
          <w:szCs w:val="21"/>
          <w:highlight w:val="none"/>
        </w:rPr>
        <w:t>、监理单位或政府行政主管部门意见对方案和措施进行完善和修改，整改费用不予增加</w:t>
      </w:r>
      <w:r>
        <w:rPr>
          <w:rFonts w:hint="eastAsia" w:ascii="宋体" w:hAnsi="宋体" w:eastAsia="宋体" w:cs="宋体"/>
          <w:color w:val="auto"/>
          <w:szCs w:val="21"/>
          <w:highlight w:val="none"/>
        </w:rPr>
        <w:t>。</w:t>
      </w:r>
    </w:p>
    <w:p w14:paraId="7D7B36A3">
      <w:pPr>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smallCaps w:val="0"/>
          <w:color w:val="auto"/>
          <w:szCs w:val="21"/>
          <w:highlight w:val="none"/>
          <w:lang w:val="en-US" w:eastAsia="zh-CN"/>
        </w:rPr>
        <w:t>9）</w:t>
      </w:r>
      <w:r>
        <w:rPr>
          <w:rFonts w:hint="eastAsia" w:ascii="宋体" w:hAnsi="宋体" w:eastAsia="宋体" w:cs="宋体"/>
          <w:smallCaps w:val="0"/>
          <w:color w:val="auto"/>
          <w:szCs w:val="21"/>
          <w:highlight w:val="none"/>
        </w:rPr>
        <w:t>结算时仅非</w:t>
      </w:r>
      <w:r>
        <w:rPr>
          <w:rFonts w:hint="eastAsia" w:ascii="宋体" w:hAnsi="宋体" w:eastAsia="宋体" w:cs="宋体"/>
          <w:smallCaps w:val="0"/>
          <w:color w:val="auto"/>
          <w:szCs w:val="21"/>
          <w:highlight w:val="none"/>
          <w:lang w:eastAsia="zh-CN"/>
        </w:rPr>
        <w:t>成交供应商</w:t>
      </w:r>
      <w:r>
        <w:rPr>
          <w:rFonts w:hint="eastAsia" w:ascii="宋体" w:hAnsi="宋体" w:eastAsia="宋体" w:cs="宋体"/>
          <w:smallCaps w:val="0"/>
          <w:color w:val="auto"/>
          <w:szCs w:val="21"/>
          <w:highlight w:val="none"/>
        </w:rPr>
        <w:t>原因导致措施项目实质性变化引起的费用增减，按合同约定结算</w:t>
      </w:r>
      <w:r>
        <w:rPr>
          <w:rFonts w:hint="eastAsia" w:ascii="宋体" w:hAnsi="宋体" w:eastAsia="宋体" w:cs="宋体"/>
          <w:color w:val="auto"/>
          <w:szCs w:val="21"/>
          <w:highlight w:val="none"/>
        </w:rPr>
        <w:t>。</w:t>
      </w:r>
    </w:p>
    <w:p w14:paraId="6A3E33F6">
      <w:pPr>
        <w:spacing w:line="360" w:lineRule="auto"/>
        <w:ind w:firstLine="420" w:firstLineChars="200"/>
        <w:rPr>
          <w:rFonts w:hint="eastAsia" w:ascii="宋体" w:hAnsi="宋体" w:eastAsia="宋体" w:cs="宋体"/>
          <w:smallCaps w:val="0"/>
          <w:color w:val="auto"/>
          <w:szCs w:val="21"/>
          <w:highlight w:val="none"/>
        </w:rPr>
      </w:pPr>
      <w:r>
        <w:rPr>
          <w:rFonts w:hint="eastAsia" w:ascii="宋体" w:hAnsi="宋体" w:eastAsia="宋体" w:cs="宋体"/>
          <w:smallCaps w:val="0"/>
          <w:color w:val="auto"/>
          <w:szCs w:val="21"/>
          <w:highlight w:val="none"/>
          <w:lang w:val="en-US" w:eastAsia="zh-CN"/>
        </w:rPr>
        <w:t>10）</w:t>
      </w:r>
      <w:r>
        <w:rPr>
          <w:rFonts w:hint="eastAsia" w:ascii="宋体" w:hAnsi="宋体" w:eastAsia="宋体" w:cs="宋体"/>
          <w:smallCaps w:val="0"/>
          <w:color w:val="auto"/>
          <w:szCs w:val="21"/>
          <w:highlight w:val="none"/>
        </w:rPr>
        <w:t>由于政策调整或其他原因导致工程项目终止、规模缩减，</w:t>
      </w:r>
      <w:r>
        <w:rPr>
          <w:rFonts w:hint="eastAsia" w:ascii="宋体" w:hAnsi="宋体" w:eastAsia="宋体" w:cs="宋体"/>
          <w:smallCaps w:val="0"/>
          <w:color w:val="auto"/>
          <w:szCs w:val="21"/>
          <w:highlight w:val="none"/>
          <w:lang w:eastAsia="zh-CN"/>
        </w:rPr>
        <w:t>采购人</w:t>
      </w:r>
      <w:r>
        <w:rPr>
          <w:rFonts w:hint="eastAsia" w:ascii="宋体" w:hAnsi="宋体" w:eastAsia="宋体" w:cs="宋体"/>
          <w:smallCaps w:val="0"/>
          <w:color w:val="auto"/>
          <w:szCs w:val="21"/>
          <w:highlight w:val="none"/>
        </w:rPr>
        <w:t>将按照缩减之后的实际完成工程量结算并支付相关费用，未实施项目，不管是工程直接费、措施费、规费或税金，结算时按实核减，</w:t>
      </w:r>
      <w:r>
        <w:rPr>
          <w:rFonts w:hint="eastAsia" w:ascii="宋体" w:hAnsi="宋体" w:eastAsia="宋体" w:cs="宋体"/>
          <w:smallCaps w:val="0"/>
          <w:color w:val="auto"/>
          <w:szCs w:val="21"/>
          <w:highlight w:val="none"/>
          <w:lang w:eastAsia="zh-CN"/>
        </w:rPr>
        <w:t>采购人</w:t>
      </w:r>
      <w:r>
        <w:rPr>
          <w:rFonts w:hint="eastAsia" w:ascii="宋体" w:hAnsi="宋体" w:eastAsia="宋体" w:cs="宋体"/>
          <w:smallCaps w:val="0"/>
          <w:color w:val="auto"/>
          <w:szCs w:val="21"/>
          <w:highlight w:val="none"/>
        </w:rPr>
        <w:t>不做任何赔偿。</w:t>
      </w:r>
    </w:p>
    <w:p w14:paraId="5A0C3A6D">
      <w:pPr>
        <w:spacing w:line="360" w:lineRule="auto"/>
        <w:ind w:firstLine="420" w:firstLineChars="200"/>
        <w:rPr>
          <w:rFonts w:hint="eastAsia" w:ascii="宋体" w:hAnsi="宋体" w:eastAsia="宋体" w:cs="宋体"/>
          <w:smallCaps w:val="0"/>
          <w:color w:val="auto"/>
          <w:szCs w:val="21"/>
          <w:highlight w:val="none"/>
        </w:rPr>
      </w:pPr>
      <w:r>
        <w:rPr>
          <w:rFonts w:hint="eastAsia" w:ascii="宋体" w:hAnsi="宋体" w:eastAsia="宋体" w:cs="宋体"/>
          <w:color w:val="auto"/>
          <w:szCs w:val="21"/>
          <w:highlight w:val="none"/>
          <w:lang w:val="en-US" w:eastAsia="zh-CN"/>
        </w:rPr>
        <w:t>11）</w:t>
      </w:r>
      <w:r>
        <w:rPr>
          <w:rFonts w:hint="eastAsia" w:ascii="宋体" w:hAnsi="宋体" w:eastAsia="宋体" w:cs="宋体"/>
          <w:color w:val="auto"/>
          <w:szCs w:val="21"/>
          <w:highlight w:val="none"/>
        </w:rPr>
        <w:t>规费、税金计算费率等在响应报价中属于非竞争性项目，</w:t>
      </w:r>
      <w:r>
        <w:rPr>
          <w:rFonts w:hint="eastAsia" w:ascii="宋体" w:hAnsi="宋体" w:eastAsia="宋体" w:cs="宋体"/>
          <w:color w:val="auto"/>
          <w:szCs w:val="21"/>
          <w:highlight w:val="none"/>
          <w:lang w:eastAsia="zh-CN"/>
        </w:rPr>
        <w:t>成交供应商</w:t>
      </w:r>
      <w:r>
        <w:rPr>
          <w:rFonts w:hint="eastAsia" w:ascii="宋体" w:hAnsi="宋体" w:eastAsia="宋体" w:cs="宋体"/>
          <w:color w:val="auto"/>
          <w:szCs w:val="21"/>
          <w:highlight w:val="none"/>
        </w:rPr>
        <w:t>必须按照规定进行报价，未报或少报将视为该项费用已包含在其它费用内而不予支付。</w:t>
      </w:r>
    </w:p>
    <w:p w14:paraId="6DC04A49">
      <w:pPr>
        <w:pStyle w:val="6"/>
        <w:keepLines w:val="0"/>
        <w:pageBreakBefore w:val="0"/>
        <w:widowControl w:val="0"/>
        <w:numPr>
          <w:ilvl w:val="0"/>
          <w:numId w:val="1"/>
        </w:numPr>
        <w:kinsoku/>
        <w:wordWrap/>
        <w:overflowPunct/>
        <w:topLinePunct w:val="0"/>
        <w:bidi w:val="0"/>
        <w:spacing w:after="0" w:line="360" w:lineRule="auto"/>
        <w:ind w:left="0" w:leftChars="0" w:firstLine="42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验收要求：</w:t>
      </w:r>
    </w:p>
    <w:p w14:paraId="1B8BFD6F">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验收时间：采购人将自成交供应商完成全部修缮工程并达到验收条件且提出书面验收申请之日起10个工作日内组织验收，验收要求、验收标准及方法按国家、广东省、珠海市现行验收评审标准执行。</w:t>
      </w:r>
    </w:p>
    <w:p w14:paraId="471E3F09">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验收方式：工程竣工后，采购人在收到</w:t>
      </w:r>
      <w:r>
        <w:rPr>
          <w:rFonts w:hint="eastAsia" w:ascii="宋体" w:hAnsi="宋体" w:eastAsia="宋体" w:cs="宋体"/>
          <w:color w:val="auto"/>
          <w:szCs w:val="21"/>
          <w:highlight w:val="none"/>
          <w:lang w:eastAsia="zh-CN"/>
        </w:rPr>
        <w:t>成交供应商</w:t>
      </w:r>
      <w:r>
        <w:rPr>
          <w:rFonts w:hint="eastAsia" w:ascii="宋体" w:hAnsi="宋体" w:eastAsia="宋体" w:cs="宋体"/>
          <w:color w:val="auto"/>
          <w:szCs w:val="21"/>
          <w:highlight w:val="none"/>
        </w:rPr>
        <w:t>的竣工报告及完整的工程文件15日内，组织人员对工程进行验收。</w:t>
      </w:r>
      <w:r>
        <w:rPr>
          <w:rFonts w:hint="eastAsia" w:ascii="宋体" w:hAnsi="宋体" w:eastAsia="宋体" w:cs="宋体"/>
          <w:color w:val="auto"/>
          <w:highlight w:val="none"/>
        </w:rPr>
        <w:t>成交供应商负责在工期期满后一个月内向</w:t>
      </w:r>
      <w:r>
        <w:rPr>
          <w:rFonts w:hint="eastAsia" w:ascii="宋体" w:hAnsi="宋体" w:eastAsia="宋体" w:cs="宋体"/>
          <w:color w:val="auto"/>
          <w:szCs w:val="21"/>
          <w:highlight w:val="none"/>
        </w:rPr>
        <w:t>采购人</w:t>
      </w:r>
      <w:r>
        <w:rPr>
          <w:rFonts w:hint="eastAsia" w:ascii="宋体" w:hAnsi="宋体" w:eastAsia="宋体" w:cs="宋体"/>
          <w:color w:val="auto"/>
          <w:highlight w:val="none"/>
        </w:rPr>
        <w:t>申请验收及收方工作，期限自本合同规定的工期结束之日起算。除非因</w:t>
      </w:r>
      <w:r>
        <w:rPr>
          <w:rFonts w:hint="eastAsia" w:ascii="宋体" w:hAnsi="宋体" w:eastAsia="宋体" w:cs="宋体"/>
          <w:color w:val="auto"/>
          <w:szCs w:val="21"/>
          <w:highlight w:val="none"/>
        </w:rPr>
        <w:t>采购人</w:t>
      </w:r>
      <w:r>
        <w:rPr>
          <w:rFonts w:hint="eastAsia" w:ascii="宋体" w:hAnsi="宋体" w:eastAsia="宋体" w:cs="宋体"/>
          <w:color w:val="auto"/>
          <w:highlight w:val="none"/>
        </w:rPr>
        <w:t>变更，该期限不受工期延误的影响</w:t>
      </w:r>
      <w:r>
        <w:rPr>
          <w:rFonts w:hint="eastAsia" w:ascii="宋体" w:hAnsi="宋体" w:eastAsia="宋体" w:cs="宋体"/>
          <w:color w:val="auto"/>
          <w:szCs w:val="21"/>
          <w:highlight w:val="none"/>
        </w:rPr>
        <w:t>。工程验收合格后，所有资料移交采购人后，由采购人行使管理运行职责。</w:t>
      </w:r>
    </w:p>
    <w:p w14:paraId="10ACA82A">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）验收标准：按广东省、珠海市以及行业现行验收评审标准执行，符合采购文件要求、投标（响应）文件承诺及合同要求。</w:t>
      </w:r>
    </w:p>
    <w:p w14:paraId="3D7AEA01">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）验收相关费用：因工程质量不合格及其它由</w:t>
      </w:r>
      <w:r>
        <w:rPr>
          <w:rFonts w:hint="eastAsia" w:ascii="宋体" w:hAnsi="宋体" w:eastAsia="宋体" w:cs="宋体"/>
          <w:color w:val="auto"/>
          <w:szCs w:val="21"/>
          <w:highlight w:val="none"/>
          <w:lang w:eastAsia="zh-CN"/>
        </w:rPr>
        <w:t>成交供应商</w:t>
      </w:r>
      <w:r>
        <w:rPr>
          <w:rFonts w:hint="eastAsia" w:ascii="宋体" w:hAnsi="宋体" w:eastAsia="宋体" w:cs="宋体"/>
          <w:color w:val="auto"/>
          <w:szCs w:val="21"/>
          <w:highlight w:val="none"/>
        </w:rPr>
        <w:t>原因造成工程未能通过验收或造成返工的，产生的费用由成交供应商承担。采购人负责组织履约验收工作，验收过程中发生的应向第三方支付的检验检测费、劳务报酬等费用支出，由采购人支付。对于首次验收不合格，重新验收产生的费用，由过错方承担。在验收期间，成交供应商的交通、住宿、保险等费用自理。</w:t>
      </w:r>
    </w:p>
    <w:p w14:paraId="2542E583">
      <w:pPr>
        <w:pStyle w:val="6"/>
        <w:keepLines w:val="0"/>
        <w:pageBreakBefore w:val="0"/>
        <w:widowControl w:val="0"/>
        <w:numPr>
          <w:ilvl w:val="0"/>
          <w:numId w:val="1"/>
        </w:numPr>
        <w:kinsoku/>
        <w:wordWrap/>
        <w:overflowPunct/>
        <w:topLinePunct w:val="0"/>
        <w:bidi w:val="0"/>
        <w:spacing w:after="0" w:line="360" w:lineRule="auto"/>
        <w:ind w:left="0" w:leftChars="0" w:firstLine="42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质量要求：</w:t>
      </w:r>
    </w:p>
    <w:p w14:paraId="03E180D2">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（1）要求：合格。</w:t>
      </w:r>
    </w:p>
    <w:p w14:paraId="717AD0AB">
      <w:pPr>
        <w:pStyle w:val="6"/>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（2）标准：执行国家、广东省、珠海市现行工程质量验评标准。</w:t>
      </w:r>
    </w:p>
    <w:p w14:paraId="0FA4180D">
      <w:pPr>
        <w:keepLines w:val="0"/>
        <w:pageBreakBefore w:val="0"/>
        <w:widowControl w:val="0"/>
        <w:kinsoku/>
        <w:wordWrap/>
        <w:overflowPunct/>
        <w:topLinePunct w:val="0"/>
        <w:bidi w:val="0"/>
        <w:rPr>
          <w:rFonts w:hint="eastAsia" w:ascii="宋体" w:hAnsi="宋体" w:eastAsia="宋体" w:cs="宋体"/>
          <w:color w:val="auto"/>
          <w:szCs w:val="21"/>
          <w:highlight w:val="none"/>
        </w:rPr>
      </w:pPr>
    </w:p>
    <w:p w14:paraId="253B5BCD">
      <w:pPr>
        <w:keepLines w:val="0"/>
        <w:pageBreakBefore w:val="0"/>
        <w:widowControl w:val="0"/>
        <w:kinsoku/>
        <w:wordWrap/>
        <w:overflowPunct/>
        <w:topLinePunct w:val="0"/>
        <w:bidi w:val="0"/>
        <w:outlineLvl w:val="1"/>
        <w:rPr>
          <w:rFonts w:hint="eastAsia" w:ascii="宋体" w:hAnsi="宋体" w:eastAsia="宋体" w:cs="宋体"/>
          <w:b/>
          <w:bCs/>
          <w:color w:val="auto"/>
          <w:highlight w:val="none"/>
        </w:rPr>
      </w:pPr>
      <w:bookmarkStart w:id="5" w:name="_Toc6918"/>
      <w:bookmarkStart w:id="6" w:name="_Toc17322"/>
      <w:bookmarkStart w:id="7" w:name="_Toc24973"/>
      <w:bookmarkStart w:id="8" w:name="_Toc28690"/>
      <w:r>
        <w:rPr>
          <w:rFonts w:hint="eastAsia" w:ascii="宋体" w:hAnsi="宋体" w:eastAsia="宋体" w:cs="宋体"/>
          <w:b/>
          <w:bCs/>
          <w:color w:val="auto"/>
          <w:highlight w:val="none"/>
        </w:rPr>
        <w:t>★三、其他商务需求</w:t>
      </w:r>
      <w:bookmarkEnd w:id="5"/>
      <w:bookmarkEnd w:id="6"/>
      <w:bookmarkEnd w:id="7"/>
      <w:bookmarkEnd w:id="8"/>
    </w:p>
    <w:tbl>
      <w:tblPr>
        <w:tblStyle w:val="8"/>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9"/>
        <w:gridCol w:w="1331"/>
        <w:gridCol w:w="7814"/>
      </w:tblGrid>
      <w:tr w14:paraId="0F4DC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5" w:type="pct"/>
            <w:vAlign w:val="center"/>
          </w:tcPr>
          <w:p w14:paraId="7D6FC5E9">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编号</w:t>
            </w:r>
          </w:p>
        </w:tc>
        <w:tc>
          <w:tcPr>
            <w:tcW w:w="676" w:type="pct"/>
            <w:vAlign w:val="center"/>
          </w:tcPr>
          <w:p w14:paraId="10330720">
            <w:pPr>
              <w:keepLines w:val="0"/>
              <w:pageBreakBefore w:val="0"/>
              <w:widowControl w:val="0"/>
              <w:kinsoku/>
              <w:wordWrap/>
              <w:overflowPunct/>
              <w:topLinePunct w:val="0"/>
              <w:bidi w:val="0"/>
              <w:spacing w:line="360" w:lineRule="auto"/>
              <w:ind w:left="44" w:leftChars="21"/>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内容明细</w:t>
            </w:r>
          </w:p>
        </w:tc>
        <w:tc>
          <w:tcPr>
            <w:tcW w:w="3967" w:type="pct"/>
            <w:vAlign w:val="center"/>
          </w:tcPr>
          <w:p w14:paraId="1403FE53">
            <w:pPr>
              <w:keepLines w:val="0"/>
              <w:pageBreakBefore w:val="0"/>
              <w:widowControl w:val="0"/>
              <w:kinsoku/>
              <w:wordWrap/>
              <w:overflowPunct/>
              <w:topLinePunct w:val="0"/>
              <w:bidi w:val="0"/>
              <w:spacing w:line="360" w:lineRule="auto"/>
              <w:ind w:left="44" w:leftChars="21"/>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内容说明</w:t>
            </w:r>
          </w:p>
        </w:tc>
      </w:tr>
      <w:tr w14:paraId="2CA4C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355" w:type="pct"/>
            <w:vAlign w:val="center"/>
          </w:tcPr>
          <w:p w14:paraId="3C67381A">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1</w:t>
            </w:r>
          </w:p>
        </w:tc>
        <w:tc>
          <w:tcPr>
            <w:tcW w:w="676" w:type="pct"/>
            <w:vAlign w:val="center"/>
          </w:tcPr>
          <w:p w14:paraId="587CFFEF">
            <w:pPr>
              <w:keepLines w:val="0"/>
              <w:pageBreakBefore w:val="0"/>
              <w:widowControl w:val="0"/>
              <w:kinsoku/>
              <w:wordWrap/>
              <w:overflowPunct/>
              <w:topLinePunct w:val="0"/>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缺陷责任期</w:t>
            </w:r>
          </w:p>
        </w:tc>
        <w:tc>
          <w:tcPr>
            <w:tcW w:w="3967" w:type="pct"/>
            <w:vAlign w:val="center"/>
          </w:tcPr>
          <w:p w14:paraId="3991B3AD">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1、本工程缺陷责任期为2年（其中防水保修期为5年），质量保修期执行国务院《建设工程质量管理条例》第40条的规定，没有规定的项目按照两年执行。缺陷责任期、保修期均自本工程竣工验收合格之日起计。</w:t>
            </w:r>
          </w:p>
          <w:p w14:paraId="188260D3">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2、质量质保责任：</w:t>
            </w:r>
          </w:p>
          <w:p w14:paraId="6E63EFB1">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（1）属于质保范围的项目，成交供应商应在接到采购人通知后的2天内派人质保。成交供应商未能在规定时间内派人质保的，采购人可自行或委托第三方质保，费用由成交供应商支付。</w:t>
            </w:r>
          </w:p>
          <w:p w14:paraId="371FC26B">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（2）发生紧急抢修事故的，成交供应商在接到通知后，应立即赶赴现场进行抢修。</w:t>
            </w:r>
          </w:p>
          <w:p w14:paraId="36090ACA">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（3）供应商需要认真核查内容，如果在缺陷责任期出现质量导致破裂的由成交供应商负责。</w:t>
            </w:r>
          </w:p>
        </w:tc>
      </w:tr>
      <w:tr w14:paraId="17A8B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5" w:type="pct"/>
            <w:vAlign w:val="center"/>
          </w:tcPr>
          <w:p w14:paraId="0C6C5452">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2</w:t>
            </w:r>
          </w:p>
        </w:tc>
        <w:tc>
          <w:tcPr>
            <w:tcW w:w="676" w:type="pct"/>
            <w:vAlign w:val="center"/>
          </w:tcPr>
          <w:p w14:paraId="2D14FBCF">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color w:val="auto"/>
                <w:szCs w:val="21"/>
                <w:highlight w:val="none"/>
              </w:rPr>
              <w:t>违约责任</w:t>
            </w:r>
          </w:p>
        </w:tc>
        <w:tc>
          <w:tcPr>
            <w:tcW w:w="3967" w:type="pct"/>
          </w:tcPr>
          <w:p w14:paraId="2411E194">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因成交供应商原因，按施工合同总工期约定一旦出现工期拖延，工程每延误一天，成交供应商按工程结算造价的1‰向采购人支付违约金，累加计算。延误超过5天的，采购人有权中止合同，成交供应商无条件退场，已完成的工作量按实结算，工期顺延条件按合同约定。</w:t>
            </w:r>
          </w:p>
          <w:p w14:paraId="6DBE22AF">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（2）合同工期调整条件：由采购人及监理工程师确认的不可抗力（地震、洪灾、战争、台风、当地气象部门确认的暴雨等，但不包括一般下雨天）造成的工期延误，</w:t>
            </w:r>
            <w:r>
              <w:rPr>
                <w:rFonts w:hint="eastAsia" w:ascii="宋体" w:hAnsi="宋体" w:eastAsia="宋体" w:cs="宋体"/>
                <w:color w:val="auto"/>
                <w:highlight w:val="none"/>
              </w:rPr>
              <w:t>经采购人确认后工期顺延</w:t>
            </w:r>
            <w:r>
              <w:rPr>
                <w:rFonts w:hint="eastAsia" w:ascii="宋体" w:hAnsi="宋体" w:eastAsia="宋体" w:cs="宋体"/>
                <w:color w:val="auto"/>
                <w:szCs w:val="21"/>
                <w:highlight w:val="none"/>
              </w:rPr>
              <w:t>；经采购人确认的非成交供应商原因造成的工期延误，工期顺延。</w:t>
            </w:r>
          </w:p>
          <w:p w14:paraId="501336C7">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3）竣工日期约定：本工程确定成交供应商后若因采购人原因不能按时开工，其开工日期以采购人书面确认的开工令为准，延迟开工不增加任何费用。以各方责任主体共同签署的竣工验收报告的日期为准，质量缺陷责任期（质量保修期）从竣工验收之日起计算。</w:t>
            </w:r>
          </w:p>
          <w:p w14:paraId="6D0E274F">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（4）成交通知书签发之日起30个日历天内签订施工合同，按照采购人要求的时间提交施工报建等资料。</w:t>
            </w:r>
          </w:p>
          <w:p w14:paraId="7D217AB8">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5）如果由于采购人的原因造成工期延期的，成交供应商有义务及时做好人员及机械的安置工作，与之有关所涉及的一切费用由成交供应商支付，成交供应商均不得提出索赔，工期相应顺延。因政策性原因或工程款拨付等原因，由采购人发出停工通知的，停工期间不支付工地看护费用、机械设备停滞费用、材料租赁费用、人工工资及其他任何经济补偿，施工工期须采购人确认后予以顺延。</w:t>
            </w:r>
          </w:p>
          <w:p w14:paraId="62A0905A">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（6）采购人逾期付款的，每日应向成交供应商偿付逾期款项的</w:t>
            </w:r>
            <w:r>
              <w:rPr>
                <w:rFonts w:hint="eastAsia" w:ascii="宋体" w:hAnsi="宋体" w:eastAsia="宋体" w:cs="宋体"/>
                <w:color w:val="auto"/>
                <w:szCs w:val="21"/>
                <w:highlight w:val="none"/>
                <w:lang w:val="en-US" w:eastAsia="zh-CN"/>
              </w:rPr>
              <w:t>万</w:t>
            </w:r>
            <w:r>
              <w:rPr>
                <w:rFonts w:hint="eastAsia" w:ascii="宋体" w:hAnsi="宋体" w:eastAsia="宋体" w:cs="宋体"/>
                <w:color w:val="auto"/>
                <w:szCs w:val="21"/>
                <w:highlight w:val="none"/>
              </w:rPr>
              <w:t>分之五作为违约金。</w:t>
            </w:r>
          </w:p>
        </w:tc>
      </w:tr>
      <w:tr w14:paraId="63D5F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1245B17F">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3</w:t>
            </w:r>
          </w:p>
        </w:tc>
        <w:tc>
          <w:tcPr>
            <w:tcW w:w="676" w:type="pct"/>
            <w:vAlign w:val="center"/>
          </w:tcPr>
          <w:p w14:paraId="5019171D">
            <w:pPr>
              <w:keepLines w:val="0"/>
              <w:pageBreakBefore w:val="0"/>
              <w:widowControl w:val="0"/>
              <w:kinsoku/>
              <w:wordWrap/>
              <w:overflowPunct/>
              <w:topLinePunct w:val="0"/>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highlight w:val="none"/>
              </w:rPr>
              <w:t>安全生产文明施工要求</w:t>
            </w:r>
          </w:p>
        </w:tc>
        <w:tc>
          <w:tcPr>
            <w:tcW w:w="3967" w:type="pct"/>
          </w:tcPr>
          <w:p w14:paraId="29ABFF5F">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1、</w:t>
            </w:r>
            <w:r>
              <w:rPr>
                <w:rStyle w:val="13"/>
                <w:rFonts w:hint="eastAsia" w:ascii="宋体" w:hAnsi="宋体" w:eastAsia="宋体" w:cs="宋体"/>
                <w:color w:val="auto"/>
                <w:kern w:val="2"/>
                <w:highlight w:val="none"/>
              </w:rPr>
              <w:t>工程质量要求</w:t>
            </w:r>
            <w:r>
              <w:rPr>
                <w:rFonts w:hint="eastAsia" w:ascii="宋体" w:hAnsi="宋体" w:eastAsia="宋体" w:cs="宋体"/>
                <w:color w:val="auto"/>
                <w:highlight w:val="none"/>
              </w:rPr>
              <w:t>：合格。</w:t>
            </w:r>
          </w:p>
          <w:p w14:paraId="1BBA9DA5">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2、成交供应商在施工期间应严格遵守《中华人民共和国安全生产法》（国家主席70号令）、《全国人民代表大会常务委员会关于修改&lt;中华人民共和国安全生产法&gt;的决定》、《建设工程安全生产管理条例》（中华人民共和国国务院令第393号）以及文明施工、深夜施工、环卫和城管、计划生育等规定，建立规章制度和防护措施。若违反以上规定，由此造成的经济和法律责任，均由成交供应商负责。</w:t>
            </w:r>
          </w:p>
          <w:p w14:paraId="31627B78">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3、其它事项：</w:t>
            </w:r>
          </w:p>
          <w:p w14:paraId="3E9D3D1B">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1）成交供应商负责通过所有验评，并负责所有费用。如果不能达到要求而返工，成交供应商应无条件承担所有费用，且工期不得顺延。</w:t>
            </w:r>
          </w:p>
          <w:p w14:paraId="2227E4D9">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highlight w:val="none"/>
              </w:rPr>
              <w:t>2）成交供应商必须按照广东省关于安全生产文明施工措施费的规定投入安全生产文明施工费用，不满足安全生产文明施工要求，被采购人、建设主管部门、安监站等因安全问题发出停工整改通知的，成交供应商每次支付违约金2万元，并记入诚信记录作为信誉考核依据。</w:t>
            </w:r>
          </w:p>
        </w:tc>
      </w:tr>
      <w:tr w14:paraId="61E07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59E80E13">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4</w:t>
            </w:r>
          </w:p>
        </w:tc>
        <w:tc>
          <w:tcPr>
            <w:tcW w:w="676" w:type="pct"/>
            <w:vAlign w:val="center"/>
          </w:tcPr>
          <w:p w14:paraId="0A5B9B19">
            <w:pPr>
              <w:keepLines w:val="0"/>
              <w:pageBreakBefore w:val="0"/>
              <w:widowControl w:val="0"/>
              <w:kinsoku/>
              <w:wordWrap/>
              <w:overflowPunct/>
              <w:topLinePunct w:val="0"/>
              <w:bidi w:val="0"/>
              <w:spacing w:line="360" w:lineRule="auto"/>
              <w:jc w:val="center"/>
              <w:rPr>
                <w:rFonts w:hint="eastAsia" w:ascii="宋体" w:hAnsi="宋体" w:eastAsia="宋体" w:cs="宋体"/>
                <w:color w:val="auto"/>
                <w:highlight w:val="none"/>
              </w:rPr>
            </w:pPr>
            <w:r>
              <w:rPr>
                <w:rFonts w:hint="eastAsia" w:ascii="宋体" w:hAnsi="宋体" w:eastAsia="宋体" w:cs="宋体"/>
                <w:color w:val="auto"/>
                <w:highlight w:val="none"/>
              </w:rPr>
              <w:t>工期要求</w:t>
            </w:r>
          </w:p>
        </w:tc>
        <w:tc>
          <w:tcPr>
            <w:tcW w:w="3967" w:type="pct"/>
          </w:tcPr>
          <w:p w14:paraId="76F105E6">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1、本工程工期为</w:t>
            </w:r>
            <w:r>
              <w:rPr>
                <w:rFonts w:hint="eastAsia" w:ascii="宋体" w:hAnsi="宋体" w:eastAsia="宋体" w:cs="宋体"/>
                <w:color w:val="auto"/>
                <w:szCs w:val="21"/>
                <w:highlight w:val="none"/>
              </w:rPr>
              <w:t>自采购人或监理单位发出开工令之日起</w:t>
            </w:r>
            <w:r>
              <w:rPr>
                <w:rFonts w:hint="eastAsia" w:ascii="宋体" w:hAnsi="宋体" w:eastAsia="宋体" w:cs="宋体"/>
                <w:color w:val="auto"/>
                <w:highlight w:val="none"/>
                <w:lang w:val="en-US" w:eastAsia="zh-CN"/>
              </w:rPr>
              <w:t>60天</w:t>
            </w:r>
            <w:r>
              <w:rPr>
                <w:rFonts w:hint="eastAsia" w:ascii="宋体" w:hAnsi="宋体" w:eastAsia="宋体" w:cs="宋体"/>
                <w:color w:val="auto"/>
                <w:highlight w:val="none"/>
              </w:rPr>
              <w:t>内，</w:t>
            </w:r>
            <w:r>
              <w:rPr>
                <w:rFonts w:hint="eastAsia" w:ascii="宋体" w:hAnsi="宋体" w:eastAsia="宋体" w:cs="宋体"/>
                <w:color w:val="auto"/>
                <w:szCs w:val="21"/>
                <w:highlight w:val="none"/>
              </w:rPr>
              <w:t>完成竣工验收并交付使用</w:t>
            </w:r>
            <w:r>
              <w:rPr>
                <w:rFonts w:hint="eastAsia" w:ascii="宋体" w:hAnsi="宋体" w:eastAsia="宋体" w:cs="宋体"/>
                <w:color w:val="auto"/>
                <w:highlight w:val="none"/>
              </w:rPr>
              <w:t>。成交供应商须在发出成交通知书后30个日历天内与采购人签订合同，管理人员到位，进行工程交底，同时组织施工人员，同时进场做施工前准备工作。开工日期从采购人签发的开工报告日期开始计算。</w:t>
            </w:r>
          </w:p>
          <w:p w14:paraId="78A3B64F">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2、由采购人确认的不可抗力（地震、洪灾、战争、台风、当地气象部门确认的暴雨等）造成的工期延误，经采购人确认后工期顺延。</w:t>
            </w:r>
          </w:p>
          <w:p w14:paraId="15332D1E">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3、由于非成交供应商原因造成工期拖延，经采购人确认后工期顺延，但工程造价不予调整。</w:t>
            </w:r>
          </w:p>
          <w:p w14:paraId="2BE56468">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4、由于成交供应商原因导致延误工期的处理：因成交供应商原因造成工期延误的，从延期的第二天起，成交供应商每延期一天，按工程合同价的1‰向采购人支付违约金。若延期超过5天，采购人有权终止合同，并追究成交供应商的违约责任。</w:t>
            </w:r>
          </w:p>
          <w:p w14:paraId="124896D5">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5、其它事项：本项目如需报建，则成交通知书发出后3天内，成交供应商应及时做好进场施工前准备工作，并协助采购人完成办理施工许可手续。</w:t>
            </w:r>
          </w:p>
        </w:tc>
      </w:tr>
      <w:tr w14:paraId="74A39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390B59F9">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5</w:t>
            </w:r>
          </w:p>
        </w:tc>
        <w:tc>
          <w:tcPr>
            <w:tcW w:w="676" w:type="pct"/>
            <w:vAlign w:val="center"/>
          </w:tcPr>
          <w:p w14:paraId="19FB6025">
            <w:pPr>
              <w:keepLines w:val="0"/>
              <w:pageBreakBefore w:val="0"/>
              <w:widowControl w:val="0"/>
              <w:kinsoku/>
              <w:wordWrap/>
              <w:overflowPunct/>
              <w:topLinePunct w:val="0"/>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highlight w:val="none"/>
              </w:rPr>
              <w:t>承包风险</w:t>
            </w:r>
          </w:p>
        </w:tc>
        <w:tc>
          <w:tcPr>
            <w:tcW w:w="3967" w:type="pct"/>
          </w:tcPr>
          <w:p w14:paraId="780ABCB9">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1、由于政策调整或其他非承包人原因导致项目终止或工程规模缩减，采购人将按照成交供应商实际已完成的部分支付费用；未实施项目，不管是工程直接费、措施费、规费或税金，结算时按实核减。由于项目终止或工程规模缩减导致成交供应商实际损失的，成交供应商无权要求采购人按照项目终止和工程规模缩减造成的实际损失予以赔偿。</w:t>
            </w:r>
          </w:p>
          <w:p w14:paraId="1F7A5994">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2、由于自然灾害、恶劣气候条件等不可抗力因素导致的实际损失，采购人承担实际损失的[0]%，成交供应商承担实际损失的[100]%。</w:t>
            </w:r>
          </w:p>
          <w:p w14:paraId="1E5F007D">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3、其它事项：</w:t>
            </w:r>
          </w:p>
          <w:p w14:paraId="26C924B4">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1）采购人有权根据使用要求和工程需要对设计、主要材料及设备进行变更，有权根据变更以及磋商文件及承包合同约定的造价调整方式对造价进行调整，成交供应商必须予以执行。成交供应商不能以设计、主要材料及设备变更导致损失为理由要求采购人予以赔偿。</w:t>
            </w:r>
          </w:p>
          <w:p w14:paraId="7ED0A9C3">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（2）合同价款在合同期间，不因工程造价管理机构或行业主管部门发布的造价调整而调整。</w:t>
            </w:r>
          </w:p>
          <w:p w14:paraId="1F442219">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（3）成交供应商不得发生拖欠工人工资的行为；如有发生，采购人有权直接将工程进度款用于发放工人工资。</w:t>
            </w:r>
          </w:p>
          <w:p w14:paraId="375E28FA">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（4）由于采购人原因导致工期拖延的，成交供应商不得进行经济索赔，但可以要求采购人顺延工期。</w:t>
            </w:r>
          </w:p>
          <w:p w14:paraId="7ADF5707">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（5）一个合格承包商所应考虑到的不可预见风险。</w:t>
            </w:r>
          </w:p>
          <w:p w14:paraId="3C41567B">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highlight w:val="none"/>
              </w:rPr>
              <w:t>（6）实施过程中使用的消防材料、设备等需按消防验收要求，监理见证送检合格。费用在响应报价中综合考虑。</w:t>
            </w:r>
          </w:p>
        </w:tc>
      </w:tr>
      <w:tr w14:paraId="29512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0F091FCC">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6</w:t>
            </w:r>
          </w:p>
        </w:tc>
        <w:tc>
          <w:tcPr>
            <w:tcW w:w="676" w:type="pct"/>
            <w:vAlign w:val="center"/>
          </w:tcPr>
          <w:p w14:paraId="0548C1F1">
            <w:pPr>
              <w:keepLines w:val="0"/>
              <w:pageBreakBefore w:val="0"/>
              <w:widowControl w:val="0"/>
              <w:kinsoku/>
              <w:wordWrap/>
              <w:overflowPunct/>
              <w:topLinePunct w:val="0"/>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响应报价风险</w:t>
            </w:r>
          </w:p>
        </w:tc>
        <w:tc>
          <w:tcPr>
            <w:tcW w:w="3967" w:type="pct"/>
          </w:tcPr>
          <w:p w14:paraId="3418C574">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1、供应商依据磋商文件提供的工程量清单等资料，并自行考虑风险因素计算响应报价，一旦成交，响应报价将不会因市场变化因素而得到调整。</w:t>
            </w:r>
          </w:p>
          <w:p w14:paraId="56E92A10">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报价应当包含完成采购工程量清单项目所需的所有费用，包括但不限于：工程量清单项目费、项目措施费、规费、税金、安全生产文明施工措施费、施工配合费、预留资金以及竞争性磋商文件及承包合同约定应当由供应商承担的风险因素等费用。供应商应当根据采购工程量清单以及勘察、设计文件等材料自行考虑风险因素进行报价。否则，一旦成交，采购人将不予支付除了竞争性磋商文件及承包合同约定的由采购人承担的风险因素之外的任何补偿。</w:t>
            </w:r>
          </w:p>
          <w:p w14:paraId="1DBB11AC">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3、供应商应按照磋商文件提供的工程量清单逐项填写单价及合价，供应商没有填写单价及合价的项目，采购人将视为此项费用已包括在工程量清单项目的其它单价及合价中而不予支付。</w:t>
            </w:r>
          </w:p>
          <w:p w14:paraId="35346C7A">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4、采购人发出的磋商文件内容和格式不许增加和修改，供应商确认工程量清单存在的缺项、漏项、计算误差或认为采购人提供的资料存在不明确、不一致时，应在响应截止日之前3个工作日（或采购人和所有供应商认可的时间）内，以书面方式向采购人提出。供应商未在规定的时间内向采购人提出异议，则采购人要求完成的全部工作内容。</w:t>
            </w:r>
          </w:p>
        </w:tc>
      </w:tr>
      <w:tr w14:paraId="645FB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2EFC2675">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7</w:t>
            </w:r>
          </w:p>
        </w:tc>
        <w:tc>
          <w:tcPr>
            <w:tcW w:w="676" w:type="pct"/>
            <w:vAlign w:val="center"/>
          </w:tcPr>
          <w:p w14:paraId="05DD61E8">
            <w:pPr>
              <w:keepLines w:val="0"/>
              <w:pageBreakBefore w:val="0"/>
              <w:widowControl w:val="0"/>
              <w:kinsoku/>
              <w:wordWrap/>
              <w:overflowPunct/>
              <w:topLinePunct w:val="0"/>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造价调整条件及范围</w:t>
            </w:r>
          </w:p>
        </w:tc>
        <w:tc>
          <w:tcPr>
            <w:tcW w:w="3967" w:type="pct"/>
          </w:tcPr>
          <w:p w14:paraId="44415597">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1、由于设计、主要材料及设备变更造成工程量增加或减少、价格升高或降低导致的造价变化。</w:t>
            </w:r>
          </w:p>
          <w:p w14:paraId="3735806C">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2、由于工程商洽造成工程量增加或减少、价格升高或降低导致的造价变化。</w:t>
            </w:r>
          </w:p>
          <w:p w14:paraId="397B77A2">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3、其他事项：</w:t>
            </w:r>
          </w:p>
          <w:p w14:paraId="44BC8F77">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（1）由于政策调整或其他原因导致项目终止或工程规模缩减。</w:t>
            </w:r>
          </w:p>
          <w:p w14:paraId="2BA11280">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（2）采购人确认的，符合政府投资管理条例规定并经审批同意的工程量增减、设计变更或工程商洽。</w:t>
            </w:r>
          </w:p>
          <w:p w14:paraId="3B670106">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（3）经监督部门确认，工程量属于多列多算等虚增工程造价的，结算时或审计中全部扣减，这种情况不受工程量误差调整条款限制。但若是少算的工程造价也不增加，请供应商在响应报价时充分考虑。</w:t>
            </w:r>
          </w:p>
          <w:p w14:paraId="128185A5">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（4）不符合政府投资管理条例规定的造价增加不能作为工程结算的依据。</w:t>
            </w:r>
          </w:p>
          <w:p w14:paraId="2BE59C74">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（5）磋商文件及承包合同约定由成交供应商承担的风险因素范围之内不予调整。</w:t>
            </w:r>
          </w:p>
          <w:p w14:paraId="082CCE2F">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（6）由于市场价格波动导致造价变化，所有价格均不调整。</w:t>
            </w:r>
          </w:p>
        </w:tc>
      </w:tr>
      <w:tr w14:paraId="78AAF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7B8A64DF">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8</w:t>
            </w:r>
          </w:p>
        </w:tc>
        <w:tc>
          <w:tcPr>
            <w:tcW w:w="676" w:type="pct"/>
            <w:vAlign w:val="center"/>
          </w:tcPr>
          <w:p w14:paraId="53A8AD23">
            <w:pPr>
              <w:keepLines w:val="0"/>
              <w:pageBreakBefore w:val="0"/>
              <w:widowControl w:val="0"/>
              <w:kinsoku/>
              <w:wordWrap/>
              <w:overflowPunct/>
              <w:topLinePunct w:val="0"/>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价款调整方式</w:t>
            </w:r>
          </w:p>
        </w:tc>
        <w:tc>
          <w:tcPr>
            <w:tcW w:w="3967" w:type="pct"/>
          </w:tcPr>
          <w:p w14:paraId="20C91CF4">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由于政策调整或其他原因导致工程项目终止、规模缩减，采购人将按照缩减之后的实际完成工程量结算并支付相关费用，未实施项目，不管是工程直接费、措施费、规费或税金，结算时按实核减，采购人不做任何赔偿。</w:t>
            </w:r>
          </w:p>
        </w:tc>
      </w:tr>
      <w:tr w14:paraId="2EF6C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54DD50E9">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9</w:t>
            </w:r>
          </w:p>
        </w:tc>
        <w:tc>
          <w:tcPr>
            <w:tcW w:w="676" w:type="pct"/>
            <w:vAlign w:val="center"/>
          </w:tcPr>
          <w:p w14:paraId="00D5EA45">
            <w:pPr>
              <w:keepLines w:val="0"/>
              <w:pageBreakBefore w:val="0"/>
              <w:widowControl w:val="0"/>
              <w:kinsoku/>
              <w:wordWrap/>
              <w:overflowPunct/>
              <w:topLinePunct w:val="0"/>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项目措施费</w:t>
            </w:r>
          </w:p>
        </w:tc>
        <w:tc>
          <w:tcPr>
            <w:tcW w:w="3967" w:type="pct"/>
          </w:tcPr>
          <w:p w14:paraId="017F78E2">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1、完成磋商文件所提供的工程量清单项目范围内所需的全部措施费用。供应商根据本工程的具体情况，以“项”或“宗”列项报价。</w:t>
            </w:r>
          </w:p>
          <w:p w14:paraId="453705E9">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措施项目费不予调整，供应商漏报或少报，采购人将视为此项费用已包括在其它费用之内而不予支付。</w:t>
            </w:r>
          </w:p>
          <w:p w14:paraId="0586A689">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因现场变更或条件发生变化属于采购范围以外的措施项目费，按合同约定结算。</w:t>
            </w:r>
          </w:p>
          <w:p w14:paraId="1C631B25">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其它说明：措施项目费已含在工程量清单的报价中。</w:t>
            </w:r>
          </w:p>
          <w:p w14:paraId="269D3DB1">
            <w:pPr>
              <w:pStyle w:val="3"/>
              <w:pageBreakBefore w:val="0"/>
              <w:widowControl w:val="0"/>
              <w:kinsoku/>
              <w:wordWrap/>
              <w:overflowPunct/>
              <w:topLinePunct w:val="0"/>
              <w:bidi w:val="0"/>
              <w:spacing w:line="360" w:lineRule="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5、合同承包工程（即图纸及预算项目）范围内的措施项目费总价包干，结算时不予调整。供应商在报价时，项目措施费按现行有关工程计价办法计算，供应商认为需要增加措施项目的，可在措施项目中补充列项及报价。不论供应商在报价时是否对措施项目进行补充列项及报价，供应商所报的措施项目总费用应视为按照磋商文件的规定全面完成本工程所需发生的全部措施项目费用。</w:t>
            </w:r>
          </w:p>
          <w:p w14:paraId="519A0C61">
            <w:pPr>
              <w:pStyle w:val="3"/>
              <w:pageBreakBefore w:val="0"/>
              <w:widowControl w:val="0"/>
              <w:kinsoku/>
              <w:wordWrap/>
              <w:overflowPunct/>
              <w:topLinePunct w:val="0"/>
              <w:bidi w:val="0"/>
              <w:spacing w:line="360" w:lineRule="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6、采购人、监理单位或政府行政主管部门认为成交供应商的施工方案、措施（包括实施过程的）等不能保证施工安全、工程质量及施工工期时，成交供应商应按照采购人、监理单位或政府行政主管部门意见对方案和措施进行完善和修改，整改费用不予增加。</w:t>
            </w:r>
          </w:p>
          <w:p w14:paraId="0DC4E3EF">
            <w:pPr>
              <w:pStyle w:val="3"/>
              <w:pageBreakBefore w:val="0"/>
              <w:widowControl w:val="0"/>
              <w:kinsoku/>
              <w:wordWrap/>
              <w:overflowPunct/>
              <w:topLinePunct w:val="0"/>
              <w:bidi w:val="0"/>
              <w:spacing w:line="360" w:lineRule="auto"/>
              <w:rPr>
                <w:rFonts w:hint="eastAsia" w:ascii="宋体" w:hAnsi="宋体" w:eastAsia="宋体" w:cs="宋体"/>
                <w:color w:val="auto"/>
                <w:highlight w:val="none"/>
                <w:lang w:val="en-US" w:eastAsia="zh-CN"/>
              </w:rPr>
            </w:pPr>
            <w:r>
              <w:rPr>
                <w:rFonts w:hint="eastAsia" w:ascii="宋体" w:hAnsi="宋体" w:eastAsia="宋体" w:cs="宋体"/>
                <w:color w:val="auto"/>
                <w:szCs w:val="21"/>
                <w:highlight w:val="none"/>
                <w:lang w:val="en-US" w:eastAsia="zh-CN"/>
              </w:rPr>
              <w:t>7、结算时仅非成交供应商原因导致措施项目实质性变化引起的费用增减，按合同约定结算。</w:t>
            </w:r>
          </w:p>
        </w:tc>
      </w:tr>
      <w:tr w14:paraId="43B82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2B2DECE9">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10</w:t>
            </w:r>
          </w:p>
        </w:tc>
        <w:tc>
          <w:tcPr>
            <w:tcW w:w="676" w:type="pct"/>
            <w:vAlign w:val="center"/>
          </w:tcPr>
          <w:p w14:paraId="1BB2DDE7">
            <w:pPr>
              <w:keepLines w:val="0"/>
              <w:pageBreakBefore w:val="0"/>
              <w:widowControl w:val="0"/>
              <w:kinsoku/>
              <w:wordWrap/>
              <w:overflowPunct/>
              <w:topLinePunct w:val="0"/>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highlight w:val="none"/>
              </w:rPr>
              <w:t>争议解决途径</w:t>
            </w:r>
          </w:p>
        </w:tc>
        <w:tc>
          <w:tcPr>
            <w:tcW w:w="3967" w:type="pct"/>
          </w:tcPr>
          <w:p w14:paraId="66B22A02">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1、本合同的成立、有效性、解释、履行、签署、修订和终止以及争议的解决均应适用中华人民共和国法律。</w:t>
            </w:r>
          </w:p>
          <w:p w14:paraId="2CA62DFF">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2、如果任何争议或权利要求起因于本合同及其附件或与本合同及其附件有关或与本合同及其附件的解释、违约、终止或效力有关，都应由双方通过友好协商解决。</w:t>
            </w:r>
          </w:p>
          <w:p w14:paraId="19F3B564">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3、本项目合同实施或者与合同有关的一切争议应通过双方友好协商解决。如双方友好协商开始后30天还不能解决的，可提交珠海国际仲裁院仲裁或者依法向珠海市人民法院提起诉讼，同时，由违约方承担守约方支出的全部费用，包括但不限于律师费、仲裁费、诉讼费、保全费、保全担保费、差旅费、材料费、调查费、评估费、鉴定费等费用。</w:t>
            </w:r>
          </w:p>
          <w:p w14:paraId="59F053E3">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4、诉讼进行过程中，除双方有争议的部分外，本合同其他部分仍然有效，各方应继续履行。</w:t>
            </w:r>
          </w:p>
          <w:p w14:paraId="45B3E137">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5、争议解决途径由双方在合同中确定。</w:t>
            </w:r>
          </w:p>
        </w:tc>
      </w:tr>
      <w:tr w14:paraId="2FE6E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5CC78194">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11</w:t>
            </w:r>
          </w:p>
        </w:tc>
        <w:tc>
          <w:tcPr>
            <w:tcW w:w="676" w:type="pct"/>
            <w:vAlign w:val="center"/>
          </w:tcPr>
          <w:p w14:paraId="3947E173">
            <w:pPr>
              <w:keepLines w:val="0"/>
              <w:pageBreakBefore w:val="0"/>
              <w:widowControl w:val="0"/>
              <w:kinsoku/>
              <w:wordWrap/>
              <w:overflowPunct/>
              <w:topLinePunct w:val="0"/>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bCs/>
                <w:color w:val="auto"/>
                <w:highlight w:val="none"/>
              </w:rPr>
              <w:t>其他</w:t>
            </w:r>
          </w:p>
        </w:tc>
        <w:tc>
          <w:tcPr>
            <w:tcW w:w="3967" w:type="pct"/>
          </w:tcPr>
          <w:p w14:paraId="04BED2B0">
            <w:pPr>
              <w:pStyle w:val="5"/>
              <w:keepLines w:val="0"/>
              <w:pageBreakBefore w:val="0"/>
              <w:widowControl w:val="0"/>
              <w:tabs>
                <w:tab w:val="left" w:pos="540"/>
              </w:tabs>
              <w:kinsoku/>
              <w:wordWrap/>
              <w:overflowPunct/>
              <w:topLinePunct w:val="0"/>
              <w:bidi w:val="0"/>
              <w:snapToGrid w:val="0"/>
              <w:spacing w:line="360" w:lineRule="auto"/>
              <w:rPr>
                <w:rFonts w:hint="eastAsia" w:ascii="宋体" w:hAnsi="宋体" w:eastAsia="宋体" w:cs="宋体"/>
                <w:bCs/>
                <w:color w:val="auto"/>
                <w:highlight w:val="none"/>
              </w:rPr>
            </w:pPr>
            <w:r>
              <w:rPr>
                <w:rFonts w:hint="eastAsia" w:ascii="宋体" w:hAnsi="宋体" w:eastAsia="宋体" w:cs="宋体"/>
                <w:bCs/>
                <w:color w:val="auto"/>
                <w:highlight w:val="none"/>
              </w:rPr>
              <w:t>1、成交供应商在施工前要与北京师范大学珠海校区物业服务中心签订“校区维修施工协议书”，接受北师大珠海校区物业服务中心的统一管理；</w:t>
            </w:r>
          </w:p>
          <w:p w14:paraId="75D3373D">
            <w:pPr>
              <w:pStyle w:val="5"/>
              <w:keepLines w:val="0"/>
              <w:pageBreakBefore w:val="0"/>
              <w:widowControl w:val="0"/>
              <w:tabs>
                <w:tab w:val="left" w:pos="540"/>
              </w:tabs>
              <w:kinsoku/>
              <w:wordWrap/>
              <w:overflowPunct/>
              <w:topLinePunct w:val="0"/>
              <w:bidi w:val="0"/>
              <w:snapToGrid w:val="0"/>
              <w:spacing w:line="360" w:lineRule="auto"/>
              <w:rPr>
                <w:rFonts w:hint="eastAsia" w:ascii="宋体" w:hAnsi="宋体" w:eastAsia="宋体" w:cs="宋体"/>
                <w:bCs/>
                <w:color w:val="auto"/>
                <w:highlight w:val="none"/>
              </w:rPr>
            </w:pPr>
            <w:r>
              <w:rPr>
                <w:rFonts w:hint="eastAsia" w:ascii="宋体" w:hAnsi="宋体" w:eastAsia="宋体" w:cs="宋体"/>
                <w:bCs/>
                <w:color w:val="auto"/>
                <w:highlight w:val="none"/>
              </w:rPr>
              <w:t>2、施工期间，成交供应商必须保证校园内物品安全，如有被盗或损坏，成交单位应负责赔偿；</w:t>
            </w:r>
          </w:p>
          <w:p w14:paraId="071EB230">
            <w:pPr>
              <w:pStyle w:val="5"/>
              <w:keepLines w:val="0"/>
              <w:pageBreakBefore w:val="0"/>
              <w:widowControl w:val="0"/>
              <w:tabs>
                <w:tab w:val="left" w:pos="540"/>
              </w:tabs>
              <w:kinsoku/>
              <w:wordWrap/>
              <w:overflowPunct/>
              <w:topLinePunct w:val="0"/>
              <w:bidi w:val="0"/>
              <w:snapToGrid w:val="0"/>
              <w:spacing w:line="360" w:lineRule="auto"/>
              <w:rPr>
                <w:rFonts w:hint="eastAsia" w:ascii="宋体" w:hAnsi="宋体" w:eastAsia="宋体" w:cs="宋体"/>
                <w:bCs/>
                <w:color w:val="auto"/>
                <w:highlight w:val="none"/>
              </w:rPr>
            </w:pPr>
            <w:r>
              <w:rPr>
                <w:rFonts w:hint="eastAsia" w:ascii="宋体" w:hAnsi="宋体" w:eastAsia="宋体" w:cs="宋体"/>
                <w:bCs/>
                <w:color w:val="auto"/>
                <w:highlight w:val="none"/>
              </w:rPr>
              <w:t>3、为了保证学校正常的工作，遵守学校交通管理的规定, 成交供应商应妥善安排好施工计划；</w:t>
            </w:r>
          </w:p>
          <w:p w14:paraId="78CB7F2F">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bCs/>
                <w:color w:val="auto"/>
                <w:highlight w:val="none"/>
              </w:rPr>
              <w:t>4、施工完成后，成交供应商应将垃圾的清运走，搞好清洁卫生，且负责将移动的物品归原。</w:t>
            </w:r>
          </w:p>
        </w:tc>
      </w:tr>
      <w:tr w14:paraId="30BF2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5" w:type="pct"/>
            <w:vAlign w:val="center"/>
          </w:tcPr>
          <w:p w14:paraId="2EAA4762">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12</w:t>
            </w:r>
          </w:p>
        </w:tc>
        <w:tc>
          <w:tcPr>
            <w:tcW w:w="676" w:type="pct"/>
            <w:vAlign w:val="center"/>
          </w:tcPr>
          <w:p w14:paraId="6DD8F982">
            <w:pPr>
              <w:keepLines w:val="0"/>
              <w:pageBreakBefore w:val="0"/>
              <w:widowControl w:val="0"/>
              <w:kinsoku/>
              <w:wordWrap/>
              <w:overflowPunct/>
              <w:topLinePunct w:val="0"/>
              <w:bidi w:val="0"/>
              <w:spacing w:line="360" w:lineRule="auto"/>
              <w:jc w:val="center"/>
              <w:rPr>
                <w:rFonts w:hint="eastAsia" w:ascii="宋体" w:hAnsi="宋体" w:eastAsia="宋体" w:cs="宋体"/>
                <w:color w:val="auto"/>
                <w:highlight w:val="none"/>
              </w:rPr>
            </w:pPr>
            <w:r>
              <w:rPr>
                <w:rFonts w:hint="eastAsia" w:ascii="宋体" w:hAnsi="宋体" w:eastAsia="宋体" w:cs="宋体"/>
                <w:color w:val="auto"/>
                <w:highlight w:val="none"/>
              </w:rPr>
              <w:t>安全生产措施费</w:t>
            </w:r>
          </w:p>
        </w:tc>
        <w:tc>
          <w:tcPr>
            <w:tcW w:w="3967" w:type="pct"/>
          </w:tcPr>
          <w:p w14:paraId="73FA0845">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szCs w:val="21"/>
                <w:highlight w:val="none"/>
              </w:rPr>
              <w:t>按系数计算的绿色施工安全防护措施费中的安全生产措施费：落实安全生产措施所需的所有费用，安全生产措施费属于非竞争性费用，供应商必须按照[</w:t>
            </w:r>
            <w:r>
              <w:rPr>
                <w:rFonts w:hint="eastAsia" w:ascii="宋体" w:hAnsi="宋体" w:eastAsia="宋体" w:cs="宋体"/>
                <w:color w:val="auto"/>
                <w:szCs w:val="21"/>
                <w:highlight w:val="none"/>
                <w:lang w:val="en-US" w:eastAsia="zh-CN"/>
              </w:rPr>
              <w:t>93148.35</w:t>
            </w:r>
            <w:r>
              <w:rPr>
                <w:rFonts w:hint="eastAsia" w:ascii="宋体" w:hAnsi="宋体" w:eastAsia="宋体" w:cs="宋体"/>
                <w:color w:val="auto"/>
                <w:szCs w:val="21"/>
                <w:highlight w:val="none"/>
                <w:lang w:val="en-US" w:eastAsia="zh-CN"/>
              </w:rPr>
              <w:tab/>
            </w:r>
            <w:r>
              <w:rPr>
                <w:rFonts w:hint="eastAsia" w:ascii="宋体" w:hAnsi="宋体" w:eastAsia="宋体" w:cs="宋体"/>
                <w:color w:val="auto"/>
                <w:szCs w:val="21"/>
                <w:highlight w:val="none"/>
              </w:rPr>
              <w:t>]元固定报价，否则将视为无效响应。</w:t>
            </w:r>
          </w:p>
        </w:tc>
      </w:tr>
      <w:tr w14:paraId="2DDE5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6F5A09EB">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13</w:t>
            </w:r>
          </w:p>
        </w:tc>
        <w:tc>
          <w:tcPr>
            <w:tcW w:w="676" w:type="pct"/>
            <w:vAlign w:val="center"/>
          </w:tcPr>
          <w:p w14:paraId="3AE26FEB">
            <w:pPr>
              <w:keepLines w:val="0"/>
              <w:pageBreakBefore w:val="0"/>
              <w:widowControl w:val="0"/>
              <w:kinsoku/>
              <w:wordWrap/>
              <w:overflowPunct/>
              <w:topLinePunct w:val="0"/>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暂列金</w:t>
            </w:r>
          </w:p>
        </w:tc>
        <w:tc>
          <w:tcPr>
            <w:tcW w:w="3967" w:type="pct"/>
          </w:tcPr>
          <w:p w14:paraId="3D171FDB">
            <w:pPr>
              <w:keepLines w:val="0"/>
              <w:pageBreakBefore w:val="0"/>
              <w:widowControl w:val="0"/>
              <w:kinsoku/>
              <w:wordWrap/>
              <w:overflowPunct/>
              <w:topLinePunct w:val="0"/>
              <w:bidi w:val="0"/>
              <w:spacing w:line="360" w:lineRule="auto"/>
              <w:rPr>
                <w:rFonts w:hint="eastAsia" w:ascii="宋体" w:hAnsi="宋体" w:eastAsia="宋体" w:cs="宋体"/>
                <w:color w:val="auto"/>
                <w:highlight w:val="none"/>
              </w:rPr>
            </w:pPr>
            <w:r>
              <w:rPr>
                <w:rFonts w:hint="eastAsia" w:ascii="宋体" w:hAnsi="宋体" w:eastAsia="宋体" w:cs="宋体"/>
                <w:color w:val="auto"/>
                <w:szCs w:val="21"/>
                <w:highlight w:val="none"/>
              </w:rPr>
              <w:t>按照260000.00元报价，不可竞争</w:t>
            </w:r>
            <w:r>
              <w:rPr>
                <w:rFonts w:hint="eastAsia" w:ascii="宋体" w:hAnsi="宋体" w:eastAsia="宋体" w:cs="宋体"/>
                <w:color w:val="auto"/>
                <w:highlight w:val="none"/>
              </w:rPr>
              <w:t>，按照实际发生额结算</w:t>
            </w:r>
            <w:r>
              <w:rPr>
                <w:rFonts w:hint="eastAsia" w:ascii="宋体" w:hAnsi="宋体" w:eastAsia="宋体" w:cs="宋体"/>
                <w:color w:val="auto"/>
                <w:szCs w:val="21"/>
                <w:highlight w:val="none"/>
              </w:rPr>
              <w:t>。</w:t>
            </w:r>
          </w:p>
        </w:tc>
      </w:tr>
      <w:tr w14:paraId="27D50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1940BFA9">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14</w:t>
            </w:r>
          </w:p>
        </w:tc>
        <w:tc>
          <w:tcPr>
            <w:tcW w:w="676" w:type="pct"/>
            <w:vAlign w:val="center"/>
          </w:tcPr>
          <w:p w14:paraId="3D3EBD3A">
            <w:pPr>
              <w:keepLines w:val="0"/>
              <w:pageBreakBefore w:val="0"/>
              <w:widowControl w:val="0"/>
              <w:kinsoku/>
              <w:wordWrap/>
              <w:overflowPunct/>
              <w:topLinePunct w:val="0"/>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暂估价</w:t>
            </w:r>
          </w:p>
        </w:tc>
        <w:tc>
          <w:tcPr>
            <w:tcW w:w="3967" w:type="pct"/>
          </w:tcPr>
          <w:p w14:paraId="44F974F9">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按照160000.00元报价，不可竞争</w:t>
            </w:r>
            <w:r>
              <w:rPr>
                <w:rFonts w:hint="eastAsia" w:ascii="宋体" w:hAnsi="宋体" w:eastAsia="宋体" w:cs="宋体"/>
                <w:color w:val="auto"/>
                <w:highlight w:val="none"/>
              </w:rPr>
              <w:t>；暂估价用于消防工程、部分强弱电工程、零星修缮等，按照实际发生额结算</w:t>
            </w:r>
            <w:r>
              <w:rPr>
                <w:rFonts w:hint="eastAsia" w:ascii="宋体" w:hAnsi="宋体" w:eastAsia="宋体" w:cs="宋体"/>
                <w:color w:val="auto"/>
                <w:szCs w:val="21"/>
                <w:highlight w:val="none"/>
              </w:rPr>
              <w:t>。</w:t>
            </w:r>
          </w:p>
        </w:tc>
      </w:tr>
    </w:tbl>
    <w:p w14:paraId="66D003D7">
      <w:pPr>
        <w:keepLines w:val="0"/>
        <w:pageBreakBefore w:val="0"/>
        <w:widowControl w:val="0"/>
        <w:kinsoku/>
        <w:wordWrap/>
        <w:overflowPunct/>
        <w:topLinePunct w:val="0"/>
        <w:bidi w:val="0"/>
        <w:rPr>
          <w:rFonts w:hint="eastAsia" w:ascii="宋体" w:hAnsi="宋体" w:eastAsia="宋体" w:cs="宋体"/>
          <w:color w:val="auto"/>
          <w:highlight w:val="none"/>
        </w:rPr>
      </w:pPr>
    </w:p>
    <w:p w14:paraId="1080DDCE">
      <w:pPr>
        <w:pStyle w:val="12"/>
        <w:keepLines w:val="0"/>
        <w:pageBreakBefore w:val="0"/>
        <w:widowControl w:val="0"/>
        <w:kinsoku/>
        <w:wordWrap/>
        <w:overflowPunct/>
        <w:topLinePunct w:val="0"/>
        <w:autoSpaceDE/>
        <w:autoSpaceDN/>
        <w:bidi w:val="0"/>
        <w:rPr>
          <w:rFonts w:hint="eastAsia" w:ascii="宋体" w:hAnsi="宋体" w:eastAsia="宋体" w:cs="宋体"/>
          <w:color w:val="auto"/>
          <w:sz w:val="21"/>
          <w:szCs w:val="21"/>
          <w:highlight w:val="none"/>
          <w:lang w:eastAsia="zh-CN"/>
        </w:rPr>
      </w:pPr>
      <w:bookmarkStart w:id="9" w:name="_Toc16507"/>
      <w:bookmarkStart w:id="10" w:name="_Toc3131"/>
      <w:r>
        <w:rPr>
          <w:rFonts w:hint="eastAsia" w:ascii="宋体" w:hAnsi="宋体" w:eastAsia="宋体" w:cs="宋体"/>
          <w:color w:val="auto"/>
          <w:sz w:val="21"/>
          <w:szCs w:val="21"/>
          <w:highlight w:val="none"/>
          <w:lang w:eastAsia="zh-CN"/>
        </w:rPr>
        <w:t>四、技术标准与要求</w:t>
      </w:r>
      <w:bookmarkEnd w:id="9"/>
      <w:bookmarkEnd w:id="10"/>
    </w:p>
    <w:tbl>
      <w:tblPr>
        <w:tblStyle w:val="8"/>
        <w:tblW w:w="499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1"/>
        <w:gridCol w:w="1326"/>
        <w:gridCol w:w="7819"/>
      </w:tblGrid>
      <w:tr w14:paraId="2D209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00B5C6BB">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序号</w:t>
            </w:r>
          </w:p>
        </w:tc>
        <w:tc>
          <w:tcPr>
            <w:tcW w:w="674" w:type="pct"/>
            <w:vAlign w:val="center"/>
          </w:tcPr>
          <w:p w14:paraId="3164E097">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内容明细</w:t>
            </w:r>
          </w:p>
        </w:tc>
        <w:tc>
          <w:tcPr>
            <w:tcW w:w="3973" w:type="pct"/>
            <w:vAlign w:val="center"/>
          </w:tcPr>
          <w:p w14:paraId="463BC16C">
            <w:pPr>
              <w:keepLines w:val="0"/>
              <w:pageBreakBefore w:val="0"/>
              <w:widowControl w:val="0"/>
              <w:kinsoku/>
              <w:wordWrap/>
              <w:overflowPunct/>
              <w:topLinePunct w:val="0"/>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具体技术（参数）要求</w:t>
            </w:r>
          </w:p>
        </w:tc>
      </w:tr>
      <w:tr w14:paraId="162A9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0018F854">
            <w:pPr>
              <w:pStyle w:val="14"/>
              <w:keepLines w:val="0"/>
              <w:pageBreakBefore w:val="0"/>
              <w:widowControl w:val="0"/>
              <w:numPr>
                <w:ilvl w:val="0"/>
                <w:numId w:val="2"/>
              </w:numPr>
              <w:suppressAutoHyphens w:val="0"/>
              <w:kinsoku/>
              <w:wordWrap/>
              <w:overflowPunct/>
              <w:topLinePunct w:val="0"/>
              <w:autoSpaceDE w:val="0"/>
              <w:autoSpaceDN w:val="0"/>
              <w:bidi w:val="0"/>
              <w:spacing w:line="360" w:lineRule="auto"/>
              <w:ind w:left="0" w:firstLine="0"/>
              <w:jc w:val="center"/>
              <w:rPr>
                <w:rFonts w:hint="eastAsia" w:ascii="宋体" w:hAnsi="宋体" w:eastAsia="宋体" w:cs="宋体"/>
                <w:b/>
                <w:bCs/>
                <w:color w:val="auto"/>
                <w:szCs w:val="21"/>
                <w:highlight w:val="none"/>
                <w:lang w:eastAsia="zh-CN"/>
              </w:rPr>
            </w:pPr>
          </w:p>
        </w:tc>
        <w:tc>
          <w:tcPr>
            <w:tcW w:w="674" w:type="pct"/>
            <w:vAlign w:val="center"/>
          </w:tcPr>
          <w:p w14:paraId="209B0568">
            <w:pPr>
              <w:pStyle w:val="6"/>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承包方式</w:t>
            </w:r>
          </w:p>
        </w:tc>
        <w:tc>
          <w:tcPr>
            <w:tcW w:w="3973" w:type="pct"/>
            <w:vAlign w:val="center"/>
          </w:tcPr>
          <w:p w14:paraId="4204BC48">
            <w:pPr>
              <w:keepLines w:val="0"/>
              <w:pageBreakBefore w:val="0"/>
              <w:widowControl w:val="0"/>
              <w:kinsoku/>
              <w:wordWrap/>
              <w:overflowPunct/>
              <w:topLinePunct w:val="0"/>
              <w:bidi w:val="0"/>
              <w:snapToGrid w:val="0"/>
              <w:spacing w:line="360" w:lineRule="auto"/>
              <w:textAlignment w:val="baseline"/>
              <w:rPr>
                <w:rStyle w:val="13"/>
                <w:rFonts w:hint="eastAsia" w:ascii="宋体" w:hAnsi="宋体" w:eastAsia="宋体" w:cs="宋体"/>
                <w:color w:val="auto"/>
                <w:highlight w:val="none"/>
              </w:rPr>
            </w:pPr>
            <w:r>
              <w:rPr>
                <w:rFonts w:hint="eastAsia" w:ascii="宋体" w:hAnsi="宋体" w:eastAsia="宋体" w:cs="宋体"/>
                <w:color w:val="auto"/>
                <w:szCs w:val="21"/>
                <w:highlight w:val="none"/>
              </w:rPr>
              <w:t>1、</w:t>
            </w:r>
            <w:r>
              <w:rPr>
                <w:rStyle w:val="13"/>
                <w:rFonts w:hint="eastAsia" w:ascii="宋体" w:hAnsi="宋体" w:eastAsia="宋体" w:cs="宋体"/>
                <w:color w:val="auto"/>
                <w:highlight w:val="none"/>
              </w:rPr>
              <w:t>根据采购人所提供的磋商文件、图纸、工程量清单等范围内的工程内容，由成交供应商包工、包料、包工期、包质量、包安全、包文明施工，包通过验收且验收合格。</w:t>
            </w:r>
          </w:p>
          <w:p w14:paraId="43372D1C">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Style w:val="13"/>
                <w:rFonts w:hint="eastAsia" w:ascii="宋体" w:hAnsi="宋体" w:eastAsia="宋体" w:cs="宋体"/>
                <w:color w:val="auto"/>
                <w:kern w:val="2"/>
                <w:highlight w:val="none"/>
              </w:rPr>
              <w:t>成交供应商不许转包，不许擅自分包</w:t>
            </w:r>
            <w:r>
              <w:rPr>
                <w:rStyle w:val="13"/>
                <w:rFonts w:hint="eastAsia" w:ascii="宋体" w:hAnsi="宋体" w:eastAsia="宋体" w:cs="宋体"/>
                <w:color w:val="auto"/>
                <w:highlight w:val="none"/>
              </w:rPr>
              <w:t>。</w:t>
            </w:r>
          </w:p>
        </w:tc>
      </w:tr>
      <w:tr w14:paraId="384B0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24A5D1B6">
            <w:pPr>
              <w:pStyle w:val="14"/>
              <w:keepLines w:val="0"/>
              <w:pageBreakBefore w:val="0"/>
              <w:widowControl w:val="0"/>
              <w:numPr>
                <w:ilvl w:val="0"/>
                <w:numId w:val="2"/>
              </w:numPr>
              <w:suppressAutoHyphens w:val="0"/>
              <w:kinsoku/>
              <w:wordWrap/>
              <w:overflowPunct/>
              <w:topLinePunct w:val="0"/>
              <w:autoSpaceDE w:val="0"/>
              <w:autoSpaceDN w:val="0"/>
              <w:bidi w:val="0"/>
              <w:spacing w:line="360" w:lineRule="auto"/>
              <w:ind w:left="0" w:firstLine="0"/>
              <w:jc w:val="center"/>
              <w:rPr>
                <w:rFonts w:hint="eastAsia" w:ascii="宋体" w:hAnsi="宋体" w:eastAsia="宋体" w:cs="宋体"/>
                <w:b/>
                <w:bCs/>
                <w:color w:val="auto"/>
                <w:szCs w:val="21"/>
                <w:highlight w:val="none"/>
                <w:lang w:eastAsia="zh-CN"/>
              </w:rPr>
            </w:pPr>
          </w:p>
        </w:tc>
        <w:tc>
          <w:tcPr>
            <w:tcW w:w="674" w:type="pct"/>
            <w:vAlign w:val="center"/>
          </w:tcPr>
          <w:p w14:paraId="0A5B4EA0">
            <w:pPr>
              <w:pStyle w:val="6"/>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highlight w:val="none"/>
              </w:rPr>
            </w:pPr>
            <w:r>
              <w:rPr>
                <w:rStyle w:val="13"/>
                <w:rFonts w:hint="eastAsia" w:ascii="宋体" w:hAnsi="宋体" w:eastAsia="宋体" w:cs="宋体"/>
                <w:color w:val="auto"/>
                <w:highlight w:val="none"/>
              </w:rPr>
              <w:t>合同总价</w:t>
            </w:r>
          </w:p>
        </w:tc>
        <w:tc>
          <w:tcPr>
            <w:tcW w:w="3973" w:type="pct"/>
            <w:vAlign w:val="center"/>
          </w:tcPr>
          <w:p w14:paraId="4E6D8906">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Style w:val="13"/>
                <w:rFonts w:hint="eastAsia" w:ascii="宋体" w:hAnsi="宋体" w:eastAsia="宋体" w:cs="宋体"/>
                <w:color w:val="auto"/>
                <w:kern w:val="2"/>
                <w:highlight w:val="none"/>
              </w:rPr>
              <w:t>报价文件包含响应报价及综合单价时，响应报价为暂定合同总价。综合单价在磋商文件及施工合同约定的风险范围之内不可调整</w:t>
            </w:r>
            <w:r>
              <w:rPr>
                <w:rStyle w:val="13"/>
                <w:rFonts w:hint="eastAsia" w:ascii="宋体" w:hAnsi="宋体" w:eastAsia="宋体" w:cs="宋体"/>
                <w:color w:val="auto"/>
                <w:highlight w:val="none"/>
              </w:rPr>
              <w:t>。</w:t>
            </w:r>
          </w:p>
        </w:tc>
      </w:tr>
      <w:tr w14:paraId="289C2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5AB182BA">
            <w:pPr>
              <w:pStyle w:val="14"/>
              <w:keepLines w:val="0"/>
              <w:pageBreakBefore w:val="0"/>
              <w:widowControl w:val="0"/>
              <w:numPr>
                <w:ilvl w:val="0"/>
                <w:numId w:val="2"/>
              </w:numPr>
              <w:suppressAutoHyphens w:val="0"/>
              <w:kinsoku/>
              <w:wordWrap/>
              <w:overflowPunct/>
              <w:topLinePunct w:val="0"/>
              <w:autoSpaceDE w:val="0"/>
              <w:autoSpaceDN w:val="0"/>
              <w:bidi w:val="0"/>
              <w:spacing w:line="360" w:lineRule="auto"/>
              <w:ind w:left="0" w:firstLine="0"/>
              <w:jc w:val="center"/>
              <w:rPr>
                <w:rFonts w:hint="eastAsia" w:ascii="宋体" w:hAnsi="宋体" w:eastAsia="宋体" w:cs="宋体"/>
                <w:b/>
                <w:bCs/>
                <w:color w:val="auto"/>
                <w:szCs w:val="21"/>
                <w:highlight w:val="none"/>
                <w:lang w:eastAsia="zh-CN"/>
              </w:rPr>
            </w:pPr>
            <w:bookmarkStart w:id="11" w:name="_GoBack" w:colFirst="2" w:colLast="2"/>
          </w:p>
        </w:tc>
        <w:tc>
          <w:tcPr>
            <w:tcW w:w="674" w:type="pct"/>
            <w:vAlign w:val="center"/>
          </w:tcPr>
          <w:p w14:paraId="70E8989A">
            <w:pPr>
              <w:pStyle w:val="6"/>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highlight w:val="none"/>
              </w:rPr>
              <w:t>施工要求</w:t>
            </w:r>
          </w:p>
        </w:tc>
        <w:tc>
          <w:tcPr>
            <w:tcW w:w="7819" w:type="dxa"/>
            <w:vAlign w:val="center"/>
          </w:tcPr>
          <w:p w14:paraId="45EE4CFA">
            <w:pPr>
              <w:pStyle w:val="6"/>
              <w:keepLines w:val="0"/>
              <w:pageBreakBefore w:val="0"/>
              <w:widowControl w:val="0"/>
              <w:kinsoku/>
              <w:wordWrap/>
              <w:overflowPunct/>
              <w:topLinePunct w:val="0"/>
              <w:bidi w:val="0"/>
              <w:spacing w:after="0" w:line="360" w:lineRule="auto"/>
              <w:ind w:left="0" w:leftChars="0" w:right="0" w:rightChars="0" w:firstLine="0" w:firstLineChars="0"/>
              <w:rPr>
                <w:rFonts w:hint="eastAsia"/>
              </w:rPr>
            </w:pPr>
            <w:r>
              <w:rPr>
                <w:rFonts w:hint="eastAsia"/>
                <w:lang w:val="en-US" w:eastAsia="zh-CN"/>
              </w:rPr>
              <w:t>1、</w:t>
            </w:r>
            <w:r>
              <w:rPr>
                <w:rFonts w:hint="eastAsia"/>
              </w:rPr>
              <w:t>采购人欢迎各供应商根据各企业实际提出缩短工期的响应文件。供应商因赶工而需要增加费用应于响应报价中考虑。</w:t>
            </w:r>
          </w:p>
          <w:p w14:paraId="10E88555">
            <w:pPr>
              <w:pStyle w:val="6"/>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rPr>
              <w:t>2、合同约定的工程项目，成交供应商不得转包。否则，采购人有权单方面终止合同，并令其立即退场，由此而造成的经济损失由成交供应商负责赔偿。</w:t>
            </w:r>
          </w:p>
        </w:tc>
      </w:tr>
      <w:bookmarkEnd w:id="11"/>
      <w:tr w14:paraId="4856B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0087EA92">
            <w:pPr>
              <w:pStyle w:val="14"/>
              <w:keepLines w:val="0"/>
              <w:pageBreakBefore w:val="0"/>
              <w:widowControl w:val="0"/>
              <w:numPr>
                <w:ilvl w:val="0"/>
                <w:numId w:val="2"/>
              </w:numPr>
              <w:suppressAutoHyphens w:val="0"/>
              <w:kinsoku/>
              <w:wordWrap/>
              <w:overflowPunct/>
              <w:topLinePunct w:val="0"/>
              <w:autoSpaceDE w:val="0"/>
              <w:autoSpaceDN w:val="0"/>
              <w:bidi w:val="0"/>
              <w:spacing w:line="360" w:lineRule="auto"/>
              <w:ind w:left="0" w:firstLine="0"/>
              <w:jc w:val="center"/>
              <w:rPr>
                <w:rFonts w:hint="eastAsia" w:ascii="宋体" w:hAnsi="宋体" w:eastAsia="宋体" w:cs="宋体"/>
                <w:b/>
                <w:bCs/>
                <w:color w:val="auto"/>
                <w:szCs w:val="21"/>
                <w:highlight w:val="none"/>
                <w:lang w:eastAsia="zh-CN"/>
              </w:rPr>
            </w:pPr>
          </w:p>
        </w:tc>
        <w:tc>
          <w:tcPr>
            <w:tcW w:w="674" w:type="pct"/>
            <w:vAlign w:val="center"/>
          </w:tcPr>
          <w:p w14:paraId="264ED30C">
            <w:pPr>
              <w:pStyle w:val="6"/>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highlight w:val="none"/>
              </w:rPr>
              <w:t>施工条件及管理要求</w:t>
            </w:r>
          </w:p>
        </w:tc>
        <w:tc>
          <w:tcPr>
            <w:tcW w:w="3973" w:type="pct"/>
            <w:vAlign w:val="center"/>
          </w:tcPr>
          <w:p w14:paraId="67FD29F2">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1、采购人不提供临设及材料加工场地，临时设施及材料加工由成交供应商自行解决，其费用由成交供应商自理。</w:t>
            </w:r>
          </w:p>
          <w:p w14:paraId="31A2C46E">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成交供应商应确保施工现场的清洁卫生，进场施工要保证道路畅通，建筑垃圾必须清理干净，若在实施过程发生因施工的建筑垃圾影响采购人的正常运营，经通知成交供应商不予处理的，采购人自行安排保洁人员清理，清理发生费用由成交供应商支付。</w:t>
            </w:r>
          </w:p>
          <w:p w14:paraId="221AE049">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3、成交供应商在施工现场需对现有已安装完毕的设施或装饰装修实施成品保护，若由于施工操作不当而由成交供应商按采购人要求进行整改时，成交供应商必须对其进行修复，修复费用已包含在总价中。</w:t>
            </w:r>
          </w:p>
          <w:p w14:paraId="0EAC6495">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4、所实施的内容需经采购人确认后购买，工程量按实际发生计算。</w:t>
            </w:r>
          </w:p>
        </w:tc>
      </w:tr>
      <w:tr w14:paraId="6F17B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0B7E18CF">
            <w:pPr>
              <w:pStyle w:val="14"/>
              <w:keepLines w:val="0"/>
              <w:pageBreakBefore w:val="0"/>
              <w:widowControl w:val="0"/>
              <w:numPr>
                <w:ilvl w:val="0"/>
                <w:numId w:val="2"/>
              </w:numPr>
              <w:suppressAutoHyphens w:val="0"/>
              <w:kinsoku/>
              <w:wordWrap/>
              <w:overflowPunct/>
              <w:topLinePunct w:val="0"/>
              <w:autoSpaceDE w:val="0"/>
              <w:autoSpaceDN w:val="0"/>
              <w:bidi w:val="0"/>
              <w:spacing w:line="360" w:lineRule="auto"/>
              <w:ind w:left="0" w:firstLine="0"/>
              <w:jc w:val="center"/>
              <w:rPr>
                <w:rFonts w:hint="eastAsia" w:ascii="宋体" w:hAnsi="宋体" w:eastAsia="宋体" w:cs="宋体"/>
                <w:b/>
                <w:bCs/>
                <w:color w:val="auto"/>
                <w:szCs w:val="21"/>
                <w:highlight w:val="none"/>
                <w:lang w:eastAsia="zh-CN"/>
              </w:rPr>
            </w:pPr>
          </w:p>
        </w:tc>
        <w:tc>
          <w:tcPr>
            <w:tcW w:w="674" w:type="pct"/>
            <w:vAlign w:val="center"/>
          </w:tcPr>
          <w:p w14:paraId="6E2113BD">
            <w:pPr>
              <w:pStyle w:val="6"/>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主要材料使用要求</w:t>
            </w:r>
          </w:p>
        </w:tc>
        <w:tc>
          <w:tcPr>
            <w:tcW w:w="3973" w:type="pct"/>
            <w:vAlign w:val="center"/>
          </w:tcPr>
          <w:p w14:paraId="1D4A2950">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1、必须符合国家、广东省、珠海市现行规范及要求。</w:t>
            </w:r>
          </w:p>
          <w:p w14:paraId="2369BF96">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2、必须符合《关于扩大政府采购支持绿色建材促进建筑品质提升政策实施范围的通知》（财库〔2022〕35号）中要求的《绿色建筑和绿色建材政府采购需求标准》。</w:t>
            </w:r>
          </w:p>
          <w:p w14:paraId="31EF3462">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3、必须经具有检验资格的部门检验合格之后方可使用。</w:t>
            </w:r>
          </w:p>
          <w:p w14:paraId="661A5882">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4、必须经采购人确认之后方可使用</w:t>
            </w:r>
          </w:p>
        </w:tc>
      </w:tr>
      <w:tr w14:paraId="25FB7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478EAEA2">
            <w:pPr>
              <w:pStyle w:val="14"/>
              <w:keepLines w:val="0"/>
              <w:pageBreakBefore w:val="0"/>
              <w:widowControl w:val="0"/>
              <w:numPr>
                <w:ilvl w:val="0"/>
                <w:numId w:val="2"/>
              </w:numPr>
              <w:suppressAutoHyphens w:val="0"/>
              <w:kinsoku/>
              <w:wordWrap/>
              <w:overflowPunct/>
              <w:topLinePunct w:val="0"/>
              <w:autoSpaceDE w:val="0"/>
              <w:autoSpaceDN w:val="0"/>
              <w:bidi w:val="0"/>
              <w:spacing w:line="360" w:lineRule="auto"/>
              <w:ind w:left="0" w:firstLine="0"/>
              <w:jc w:val="center"/>
              <w:rPr>
                <w:rFonts w:hint="eastAsia" w:ascii="宋体" w:hAnsi="宋体" w:eastAsia="宋体" w:cs="宋体"/>
                <w:b/>
                <w:bCs/>
                <w:color w:val="auto"/>
                <w:szCs w:val="21"/>
                <w:highlight w:val="none"/>
                <w:lang w:eastAsia="zh-CN"/>
              </w:rPr>
            </w:pPr>
          </w:p>
        </w:tc>
        <w:tc>
          <w:tcPr>
            <w:tcW w:w="674" w:type="pct"/>
            <w:vAlign w:val="center"/>
          </w:tcPr>
          <w:p w14:paraId="623F3E4D">
            <w:pPr>
              <w:pStyle w:val="6"/>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合同文本</w:t>
            </w:r>
          </w:p>
        </w:tc>
        <w:tc>
          <w:tcPr>
            <w:tcW w:w="3973" w:type="pct"/>
            <w:vAlign w:val="center"/>
          </w:tcPr>
          <w:p w14:paraId="3DF1C3D2">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以由双方根据竞争性磋商文件商定提供的合同范本为准。竞争性磋商文件作为合同组成部分之一，并且解释顺序优先。</w:t>
            </w:r>
          </w:p>
        </w:tc>
      </w:tr>
      <w:tr w14:paraId="3AFB9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76DD4C9E">
            <w:pPr>
              <w:pStyle w:val="14"/>
              <w:keepLines w:val="0"/>
              <w:pageBreakBefore w:val="0"/>
              <w:widowControl w:val="0"/>
              <w:numPr>
                <w:ilvl w:val="0"/>
                <w:numId w:val="2"/>
              </w:numPr>
              <w:suppressAutoHyphens w:val="0"/>
              <w:kinsoku/>
              <w:wordWrap/>
              <w:overflowPunct/>
              <w:topLinePunct w:val="0"/>
              <w:autoSpaceDE w:val="0"/>
              <w:autoSpaceDN w:val="0"/>
              <w:bidi w:val="0"/>
              <w:spacing w:line="360" w:lineRule="auto"/>
              <w:ind w:left="0" w:firstLine="0"/>
              <w:jc w:val="center"/>
              <w:rPr>
                <w:rFonts w:hint="eastAsia" w:ascii="宋体" w:hAnsi="宋体" w:eastAsia="宋体" w:cs="宋体"/>
                <w:b/>
                <w:bCs/>
                <w:color w:val="auto"/>
                <w:szCs w:val="21"/>
                <w:highlight w:val="none"/>
                <w:lang w:eastAsia="zh-CN"/>
              </w:rPr>
            </w:pPr>
          </w:p>
        </w:tc>
        <w:tc>
          <w:tcPr>
            <w:tcW w:w="674" w:type="pct"/>
            <w:vAlign w:val="center"/>
          </w:tcPr>
          <w:p w14:paraId="26724D02">
            <w:pPr>
              <w:pStyle w:val="6"/>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计算误差风险</w:t>
            </w:r>
          </w:p>
        </w:tc>
        <w:tc>
          <w:tcPr>
            <w:tcW w:w="3973" w:type="pct"/>
            <w:vAlign w:val="center"/>
          </w:tcPr>
          <w:p w14:paraId="03C26A7F">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供应商认为工程量清单存在计算错误的应当在响应截止之前至少提前[ 2 ]天或在采购人和所有供应商共同认可的时间之内以书面方式向采购人提出。否则，一旦成交，工程量清单误差累计在+[ 3 ]%或-[ 3 ]%之内的不予调整。</w:t>
            </w:r>
          </w:p>
          <w:p w14:paraId="56ECA9EC">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2、其它事项：[按本竞争性磋商文件“造价调整条件及范围”条款处理]。</w:t>
            </w:r>
          </w:p>
        </w:tc>
      </w:tr>
      <w:tr w14:paraId="728F8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3ED670B8">
            <w:pPr>
              <w:pStyle w:val="14"/>
              <w:keepLines w:val="0"/>
              <w:pageBreakBefore w:val="0"/>
              <w:widowControl w:val="0"/>
              <w:numPr>
                <w:ilvl w:val="0"/>
                <w:numId w:val="2"/>
              </w:numPr>
              <w:suppressAutoHyphens w:val="0"/>
              <w:kinsoku/>
              <w:wordWrap/>
              <w:overflowPunct/>
              <w:topLinePunct w:val="0"/>
              <w:autoSpaceDE w:val="0"/>
              <w:autoSpaceDN w:val="0"/>
              <w:bidi w:val="0"/>
              <w:spacing w:line="360" w:lineRule="auto"/>
              <w:ind w:left="0" w:firstLine="0"/>
              <w:jc w:val="center"/>
              <w:rPr>
                <w:rFonts w:hint="eastAsia" w:ascii="宋体" w:hAnsi="宋体" w:eastAsia="宋体" w:cs="宋体"/>
                <w:b/>
                <w:bCs/>
                <w:color w:val="auto"/>
                <w:szCs w:val="21"/>
                <w:highlight w:val="none"/>
                <w:lang w:eastAsia="zh-CN"/>
              </w:rPr>
            </w:pPr>
          </w:p>
        </w:tc>
        <w:tc>
          <w:tcPr>
            <w:tcW w:w="674" w:type="pct"/>
            <w:vAlign w:val="center"/>
          </w:tcPr>
          <w:p w14:paraId="104B7AF4">
            <w:pPr>
              <w:pStyle w:val="6"/>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规费、税金</w:t>
            </w:r>
          </w:p>
        </w:tc>
        <w:tc>
          <w:tcPr>
            <w:tcW w:w="3973" w:type="pct"/>
            <w:vAlign w:val="center"/>
          </w:tcPr>
          <w:p w14:paraId="1CB8AB08">
            <w:pPr>
              <w:keepLines w:val="0"/>
              <w:pageBreakBefore w:val="0"/>
              <w:widowControl w:val="0"/>
              <w:kinsoku/>
              <w:wordWrap/>
              <w:overflowPunct/>
              <w:topLinePunct w:val="0"/>
              <w:bidi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1、规费、税金等在响应报价中属于非竞争性费用，供应商必须按照规定进行报价，未报或少报将视为该项费用已包含在其它费用内而不予支付。</w:t>
            </w:r>
          </w:p>
          <w:p w14:paraId="078F71DE">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2、其它说明：已包含在工程量清单的报价中。</w:t>
            </w:r>
          </w:p>
        </w:tc>
      </w:tr>
      <w:tr w14:paraId="36B6F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6C9F08EF">
            <w:pPr>
              <w:pStyle w:val="14"/>
              <w:keepLines w:val="0"/>
              <w:pageBreakBefore w:val="0"/>
              <w:widowControl w:val="0"/>
              <w:numPr>
                <w:ilvl w:val="0"/>
                <w:numId w:val="2"/>
              </w:numPr>
              <w:suppressAutoHyphens w:val="0"/>
              <w:kinsoku/>
              <w:wordWrap/>
              <w:overflowPunct/>
              <w:topLinePunct w:val="0"/>
              <w:autoSpaceDE w:val="0"/>
              <w:autoSpaceDN w:val="0"/>
              <w:bidi w:val="0"/>
              <w:spacing w:line="360" w:lineRule="auto"/>
              <w:ind w:left="0" w:firstLine="0"/>
              <w:jc w:val="center"/>
              <w:rPr>
                <w:rFonts w:hint="eastAsia" w:ascii="宋体" w:hAnsi="宋体" w:eastAsia="宋体" w:cs="宋体"/>
                <w:b/>
                <w:bCs/>
                <w:color w:val="auto"/>
                <w:szCs w:val="21"/>
                <w:highlight w:val="none"/>
                <w:lang w:eastAsia="zh-CN"/>
              </w:rPr>
            </w:pPr>
          </w:p>
        </w:tc>
        <w:tc>
          <w:tcPr>
            <w:tcW w:w="674" w:type="pct"/>
            <w:vAlign w:val="center"/>
          </w:tcPr>
          <w:p w14:paraId="505AEEE3">
            <w:pPr>
              <w:pStyle w:val="6"/>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其它事项</w:t>
            </w:r>
          </w:p>
        </w:tc>
        <w:tc>
          <w:tcPr>
            <w:tcW w:w="3973" w:type="pct"/>
            <w:vAlign w:val="center"/>
          </w:tcPr>
          <w:p w14:paraId="2D508A12">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成交供应商不许随意更换响应文件中所报的项目负责人，如确须更换，则事前须征得采购人同意，如有违反，一经发现取消成交资格，并赔偿由此造成的一切损失（包含质量安全事故、拖延工期、增加投资等损失）。</w:t>
            </w:r>
          </w:p>
          <w:p w14:paraId="607A0C92">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2、在工程进行中，成交供应商要注意保护场内的各种管线和设施。若有任何损坏，须立即通知有关部门和采购人，并由损坏单位承担损失和修复费用。</w:t>
            </w:r>
          </w:p>
          <w:p w14:paraId="1C964E72">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3、供应商应承担所有与编写和提交响应文件有关的费用，不论响应的结果如何，代理机构、采购人在任何情况下均无义务和责任承担这些费用。</w:t>
            </w:r>
          </w:p>
          <w:p w14:paraId="53241535">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4、供应商成交后，如因采购人的原因取消建设的，成交供应商应无条件服从，不得因此向采购人提出任何索赔。</w:t>
            </w:r>
          </w:p>
          <w:p w14:paraId="2F405A1E">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5、该项目施工期间其他区域正常运营，必须保证工作人员安全，做好安全围挡及安全标识。</w:t>
            </w:r>
          </w:p>
          <w:p w14:paraId="46E7E785">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6、本项目在施工中做好安全防护措施，由于施工造成的污染，成交供应商必须在当天及时处理。若因成交供应商原因导致的自身或除成交供应商以外的人员伤亡等安全事故的，均由成交供应商自行负责并承担所发生的一切费用。</w:t>
            </w:r>
          </w:p>
          <w:p w14:paraId="15B750A7">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7、供应商应充分考虑施工期间一切可能发生的不确定因素而导致工期延长、施工措施、采购人工程量增加而造成施工费用的增加，包括施工过程中因赶工而发生的措施费由供应商在降幅中考虑，成交后均不得调整。</w:t>
            </w:r>
          </w:p>
          <w:p w14:paraId="364D7968">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8、施工图纸中原有需要改造的，供应商需根据采购人要求处理，费用包含在本次报价中。</w:t>
            </w:r>
          </w:p>
          <w:p w14:paraId="33D52BEA">
            <w:pPr>
              <w:pStyle w:val="6"/>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9、施工中破坏的物品仍按原样修复，所涉及的一切费用均由成交供应商承担。如果由于采购人的原因造成工期延期的，成交供应商不得进行经济的索赔，但采购人顺延工期。</w:t>
            </w:r>
          </w:p>
        </w:tc>
      </w:tr>
    </w:tbl>
    <w:p w14:paraId="6317F89E"/>
    <w:sectPr>
      <w:pgSz w:w="11906" w:h="16838"/>
      <w:pgMar w:top="1134" w:right="1134" w:bottom="1134" w:left="1134" w:header="851" w:footer="992"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文鼎CS中黑">
    <w:altName w:val="黑体"/>
    <w:panose1 w:val="00000000000000000000"/>
    <w:charset w:val="86"/>
    <w:family w:val="modern"/>
    <w:pitch w:val="default"/>
    <w:sig w:usb0="00000000" w:usb1="00000000" w:usb2="00000010" w:usb3="00000000" w:csb0="00040000" w:csb1="00000000"/>
  </w:font>
  <w:font w:name="等线 Light">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843436"/>
    <w:multiLevelType w:val="multilevel"/>
    <w:tmpl w:val="1C843436"/>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3BF84A49"/>
    <w:multiLevelType w:val="multilevel"/>
    <w:tmpl w:val="3BF84A49"/>
    <w:lvl w:ilvl="0" w:tentative="0">
      <w:start w:val="1"/>
      <w:numFmt w:val="decimal"/>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8A595B"/>
    <w:rsid w:val="33925348"/>
    <w:rsid w:val="6E8A59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360" w:lineRule="auto"/>
      <w:jc w:val="both"/>
    </w:pPr>
    <w:rPr>
      <w:rFonts w:ascii="宋体" w:hAnsi="宋体" w:eastAsia="宋体" w:cs="Times New Roman"/>
      <w:kern w:val="2"/>
      <w:sz w:val="21"/>
      <w:szCs w:val="24"/>
      <w:lang w:val="en-US" w:eastAsia="zh-CN" w:bidi="ar-SA"/>
    </w:rPr>
  </w:style>
  <w:style w:type="paragraph" w:styleId="2">
    <w:name w:val="heading 1"/>
    <w:basedOn w:val="1"/>
    <w:next w:val="1"/>
    <w:qFormat/>
    <w:uiPriority w:val="9"/>
    <w:pPr>
      <w:keepNext/>
      <w:keepLines/>
      <w:spacing w:before="340" w:after="330" w:line="578" w:lineRule="auto"/>
      <w:jc w:val="center"/>
      <w:outlineLvl w:val="0"/>
    </w:pPr>
    <w:rPr>
      <w:rFonts w:eastAsia="文鼎CS中黑"/>
      <w:b/>
      <w:bCs/>
      <w:kern w:val="44"/>
      <w:sz w:val="52"/>
      <w:szCs w:val="44"/>
    </w:rPr>
  </w:style>
  <w:style w:type="character" w:default="1" w:styleId="9">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3">
    <w:name w:val="Body Text"/>
    <w:basedOn w:val="1"/>
    <w:next w:val="1"/>
    <w:qFormat/>
    <w:uiPriority w:val="0"/>
  </w:style>
  <w:style w:type="paragraph" w:styleId="4">
    <w:name w:val="Body Text Indent"/>
    <w:basedOn w:val="1"/>
    <w:qFormat/>
    <w:uiPriority w:val="0"/>
    <w:pPr>
      <w:adjustRightInd w:val="0"/>
      <w:snapToGrid w:val="0"/>
      <w:ind w:firstLine="420" w:firstLineChars="200"/>
    </w:pPr>
  </w:style>
  <w:style w:type="paragraph" w:styleId="5">
    <w:name w:val="Plain Text"/>
    <w:basedOn w:val="1"/>
    <w:qFormat/>
    <w:uiPriority w:val="0"/>
    <w:rPr>
      <w:rFonts w:hAnsi="等线 Light" w:eastAsia="Courier New" w:cs="等线 Light"/>
      <w:szCs w:val="21"/>
    </w:rPr>
  </w:style>
  <w:style w:type="paragraph" w:styleId="6">
    <w:name w:val="Body Text First Indent 2"/>
    <w:basedOn w:val="4"/>
    <w:qFormat/>
    <w:uiPriority w:val="99"/>
    <w:pPr>
      <w:adjustRightInd/>
      <w:snapToGrid/>
      <w:spacing w:after="120" w:line="240" w:lineRule="auto"/>
      <w:ind w:left="420" w:leftChars="200"/>
    </w:pPr>
  </w:style>
  <w:style w:type="table" w:styleId="8">
    <w:name w:val="Table Grid"/>
    <w:basedOn w:val="7"/>
    <w:unhideWhenUse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图"/>
    <w:basedOn w:val="1"/>
    <w:qFormat/>
    <w:uiPriority w:val="0"/>
    <w:pPr>
      <w:keepNext/>
      <w:adjustRightInd w:val="0"/>
      <w:spacing w:before="60" w:after="60" w:line="300" w:lineRule="auto"/>
      <w:jc w:val="center"/>
      <w:textAlignment w:val="center"/>
    </w:pPr>
    <w:rPr>
      <w:snapToGrid w:val="0"/>
      <w:spacing w:val="20"/>
      <w:kern w:val="0"/>
      <w:sz w:val="24"/>
      <w:szCs w:val="20"/>
    </w:rPr>
  </w:style>
  <w:style w:type="paragraph" w:customStyle="1" w:styleId="11">
    <w:name w:val="B"/>
    <w:basedOn w:val="3"/>
    <w:qFormat/>
    <w:uiPriority w:val="1"/>
    <w:pPr>
      <w:autoSpaceDE w:val="0"/>
      <w:autoSpaceDN w:val="0"/>
      <w:ind w:firstLine="480" w:firstLineChars="200"/>
      <w:jc w:val="left"/>
    </w:pPr>
    <w:rPr>
      <w:rFonts w:cs="宋体"/>
      <w:sz w:val="24"/>
      <w:lang w:eastAsia="en-US"/>
    </w:rPr>
  </w:style>
  <w:style w:type="paragraph" w:customStyle="1" w:styleId="12">
    <w:name w:val="C"/>
    <w:basedOn w:val="1"/>
    <w:qFormat/>
    <w:uiPriority w:val="1"/>
    <w:pPr>
      <w:widowControl w:val="0"/>
      <w:autoSpaceDE w:val="0"/>
      <w:autoSpaceDN w:val="0"/>
      <w:jc w:val="left"/>
      <w:outlineLvl w:val="1"/>
    </w:pPr>
    <w:rPr>
      <w:rFonts w:cs="宋体"/>
      <w:b/>
      <w:bCs/>
      <w:kern w:val="0"/>
      <w:sz w:val="24"/>
      <w:lang w:eastAsia="en-US"/>
    </w:rPr>
  </w:style>
  <w:style w:type="character" w:customStyle="1" w:styleId="13">
    <w:name w:val="NormalCharacter"/>
    <w:qFormat/>
    <w:uiPriority w:val="0"/>
  </w:style>
  <w:style w:type="paragraph" w:styleId="14">
    <w:name w:val="List Paragraph"/>
    <w:basedOn w:val="1"/>
    <w:autoRedefine/>
    <w:qFormat/>
    <w:uiPriority w:val="1"/>
    <w:pPr>
      <w:suppressAutoHyphens/>
      <w:ind w:firstLine="420"/>
    </w:pPr>
    <w:rPr>
      <w:rFonts w:ascii="华文中宋" w:hAnsi="华文中宋"/>
      <w:kern w:val="1"/>
      <w:szCs w:val="22"/>
      <w:lang w:eastAsia="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3340</Words>
  <Characters>3430</Characters>
  <Lines>0</Lines>
  <Paragraphs>0</Paragraphs>
  <TotalTime>0</TotalTime>
  <ScaleCrop>false</ScaleCrop>
  <LinksUpToDate>false</LinksUpToDate>
  <CharactersWithSpaces>3438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2026-03-19T00:47:00Z</dcterms:created>
  <dc:creator>星垂野</dc:creator>
  <cp:lastModifiedBy>星垂野</cp:lastModifiedBy>
  <dcterms:modified xsi:type="dcterms:W3CDTF">2026-03-19T01:31:03Z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49EC931360BD4B0392B2DFC454E63566_11</vt:lpwstr>
  </property>
  <property fmtid="{D5CDD505-2E9C-101B-9397-08002B2CF9AE}" pid="4" name="KSOTemplateDocerSaveRecord">
    <vt:lpwstr>eyJoZGlkIjoiMDk2OTA1NDkwMDRkYzM1ZjcyOTU0MGYwZjMwMjMzM2IiLCJ1c2VySWQiOiI2MDQyNjU5NzIifQ==</vt:lpwstr>
  </property>
</Properties>
</file>