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b/>
          <w:bCs/>
          <w:color w:val="auto"/>
          <w:sz w:val="32"/>
          <w:highlight w:val="none"/>
        </w:rPr>
      </w:pPr>
      <w:r>
        <w:rPr>
          <w:rFonts w:hint="eastAsia"/>
          <w:b/>
          <w:bCs/>
          <w:color w:val="auto"/>
          <w:sz w:val="32"/>
          <w:highlight w:val="none"/>
        </w:rPr>
        <w:t>建筑安装工程承包合同</w:t>
      </w:r>
    </w:p>
    <w:p>
      <w:pPr>
        <w:spacing w:line="420" w:lineRule="exact"/>
        <w:rPr>
          <w:b/>
          <w:bCs/>
          <w:color w:val="auto"/>
          <w:sz w:val="28"/>
          <w:highlight w:val="none"/>
        </w:rPr>
      </w:pPr>
    </w:p>
    <w:p>
      <w:pPr>
        <w:spacing w:line="420" w:lineRule="exact"/>
        <w:rPr>
          <w:bCs/>
          <w:color w:val="auto"/>
          <w:sz w:val="28"/>
          <w:highlight w:val="none"/>
          <w:u w:val="single"/>
        </w:rPr>
      </w:pPr>
      <w:r>
        <w:rPr>
          <w:rFonts w:hint="eastAsia"/>
          <w:bCs/>
          <w:color w:val="auto"/>
          <w:sz w:val="28"/>
          <w:highlight w:val="none"/>
        </w:rPr>
        <w:t>合同编号：</w:t>
      </w:r>
      <w:r>
        <w:rPr>
          <w:rFonts w:hint="eastAsia"/>
          <w:bCs/>
          <w:color w:val="auto"/>
          <w:sz w:val="28"/>
          <w:highlight w:val="none"/>
          <w:u w:val="single"/>
          <w:lang w:val="en-US" w:eastAsia="zh-CN"/>
        </w:rPr>
        <w:t xml:space="preserve">               </w:t>
      </w:r>
      <w:r>
        <w:rPr>
          <w:bCs/>
          <w:color w:val="auto"/>
          <w:sz w:val="28"/>
          <w:highlight w:val="none"/>
        </w:rPr>
        <w:t xml:space="preserve">     </w:t>
      </w:r>
      <w:r>
        <w:rPr>
          <w:rFonts w:hint="eastAsia"/>
          <w:bCs/>
          <w:color w:val="auto"/>
          <w:sz w:val="28"/>
          <w:highlight w:val="none"/>
        </w:rPr>
        <w:t>合同签订地点：</w:t>
      </w:r>
      <w:r>
        <w:rPr>
          <w:bCs/>
          <w:color w:val="auto"/>
          <w:sz w:val="28"/>
          <w:highlight w:val="none"/>
          <w:u w:val="single"/>
        </w:rPr>
        <w:t xml:space="preserve"> </w:t>
      </w:r>
      <w:r>
        <w:rPr>
          <w:rFonts w:hint="eastAsia"/>
          <w:bCs/>
          <w:color w:val="auto"/>
          <w:sz w:val="28"/>
          <w:highlight w:val="none"/>
          <w:u w:val="single"/>
        </w:rPr>
        <w:t xml:space="preserve">   </w:t>
      </w:r>
      <w:r>
        <w:rPr>
          <w:rFonts w:hint="eastAsia"/>
          <w:bCs/>
          <w:color w:val="auto"/>
          <w:sz w:val="28"/>
          <w:highlight w:val="none"/>
          <w:u w:val="single"/>
          <w:lang w:val="en-US" w:eastAsia="zh-CN"/>
        </w:rPr>
        <w:t>广州市</w:t>
      </w:r>
      <w:r>
        <w:rPr>
          <w:bCs/>
          <w:color w:val="auto"/>
          <w:sz w:val="28"/>
          <w:highlight w:val="none"/>
          <w:u w:val="single"/>
        </w:rPr>
        <w:t xml:space="preserve"> </w:t>
      </w:r>
      <w:r>
        <w:rPr>
          <w:rFonts w:hint="eastAsia"/>
          <w:bCs/>
          <w:color w:val="auto"/>
          <w:sz w:val="28"/>
          <w:highlight w:val="none"/>
          <w:u w:val="single"/>
        </w:rPr>
        <w:t xml:space="preserve">          </w:t>
      </w:r>
      <w:r>
        <w:rPr>
          <w:bCs/>
          <w:color w:val="auto"/>
          <w:sz w:val="28"/>
          <w:highlight w:val="none"/>
          <w:u w:val="single"/>
        </w:rPr>
        <w:t xml:space="preserve">  </w:t>
      </w:r>
    </w:p>
    <w:p>
      <w:pPr>
        <w:spacing w:line="420" w:lineRule="exact"/>
        <w:rPr>
          <w:color w:val="auto"/>
          <w:highlight w:val="none"/>
        </w:rPr>
      </w:pPr>
    </w:p>
    <w:p>
      <w:pPr>
        <w:spacing w:line="420" w:lineRule="exact"/>
        <w:ind w:firstLine="480"/>
        <w:rPr>
          <w:color w:val="auto"/>
          <w:sz w:val="24"/>
          <w:szCs w:val="24"/>
          <w:highlight w:val="none"/>
        </w:rPr>
      </w:pPr>
      <w:r>
        <w:rPr>
          <w:rFonts w:hint="eastAsia"/>
          <w:color w:val="auto"/>
          <w:sz w:val="24"/>
          <w:szCs w:val="24"/>
          <w:highlight w:val="none"/>
        </w:rPr>
        <w:t>甲方：</w:t>
      </w:r>
      <w:r>
        <w:rPr>
          <w:rFonts w:hint="eastAsia"/>
          <w:color w:val="auto"/>
          <w:sz w:val="24"/>
          <w:szCs w:val="24"/>
          <w:highlight w:val="none"/>
          <w:u w:val="single"/>
          <w:lang w:val="en-US" w:eastAsia="zh-CN"/>
        </w:rPr>
        <w:t>广州白云山中一药业有限公司</w:t>
      </w:r>
    </w:p>
    <w:p>
      <w:pPr>
        <w:spacing w:line="420" w:lineRule="exact"/>
        <w:ind w:firstLine="480"/>
        <w:rPr>
          <w:rFonts w:hint="default" w:eastAsia="宋体"/>
          <w:color w:val="auto"/>
          <w:sz w:val="24"/>
          <w:szCs w:val="24"/>
          <w:highlight w:val="none"/>
          <w:u w:val="single"/>
          <w:lang w:val="en-US" w:eastAsia="zh-CN"/>
        </w:rPr>
      </w:pPr>
      <w:r>
        <w:rPr>
          <w:rFonts w:hint="eastAsia"/>
          <w:color w:val="auto"/>
          <w:sz w:val="24"/>
          <w:szCs w:val="24"/>
          <w:highlight w:val="none"/>
        </w:rPr>
        <w:t>乙方：</w:t>
      </w:r>
      <w:r>
        <w:rPr>
          <w:rFonts w:hint="eastAsia"/>
          <w:color w:val="auto"/>
          <w:sz w:val="24"/>
          <w:szCs w:val="24"/>
          <w:highlight w:val="none"/>
          <w:u w:val="single"/>
          <w:lang w:val="en-US" w:eastAsia="zh-CN"/>
        </w:rPr>
        <w:t xml:space="preserve">                          </w:t>
      </w:r>
    </w:p>
    <w:p>
      <w:pPr>
        <w:spacing w:line="420" w:lineRule="exact"/>
        <w:ind w:firstLine="480" w:firstLineChars="200"/>
        <w:rPr>
          <w:color w:val="auto"/>
          <w:sz w:val="24"/>
          <w:highlight w:val="none"/>
        </w:rPr>
      </w:pPr>
      <w:r>
        <w:rPr>
          <w:rFonts w:hint="eastAsia"/>
          <w:color w:val="auto"/>
          <w:sz w:val="24"/>
          <w:highlight w:val="none"/>
        </w:rPr>
        <w:t>根据《中华人民共和国民法典》和《中华人民共和国建筑法》、《建筑工程质量验收标准》及有关规定，为明确双方的权利、义务和经济责任，经双方协商一致订立本合同。</w:t>
      </w:r>
    </w:p>
    <w:p>
      <w:pPr>
        <w:widowControl/>
        <w:numPr>
          <w:ilvl w:val="0"/>
          <w:numId w:val="1"/>
        </w:numPr>
        <w:spacing w:line="420" w:lineRule="exact"/>
        <w:jc w:val="center"/>
        <w:rPr>
          <w:b/>
          <w:bCs/>
          <w:color w:val="auto"/>
          <w:sz w:val="28"/>
          <w:highlight w:val="none"/>
        </w:rPr>
      </w:pPr>
      <w:r>
        <w:rPr>
          <w:b/>
          <w:bCs/>
          <w:color w:val="auto"/>
          <w:sz w:val="28"/>
          <w:highlight w:val="none"/>
        </w:rPr>
        <w:t xml:space="preserve">   </w:t>
      </w:r>
      <w:r>
        <w:rPr>
          <w:rFonts w:hint="eastAsia"/>
          <w:b/>
          <w:bCs/>
          <w:color w:val="auto"/>
          <w:sz w:val="28"/>
          <w:highlight w:val="none"/>
        </w:rPr>
        <w:t>项目概况</w:t>
      </w:r>
    </w:p>
    <w:p>
      <w:pPr>
        <w:widowControl/>
        <w:numPr>
          <w:ilvl w:val="1"/>
          <w:numId w:val="1"/>
        </w:numPr>
        <w:tabs>
          <w:tab w:val="left" w:pos="900"/>
        </w:tabs>
        <w:spacing w:line="420" w:lineRule="exact"/>
        <w:ind w:left="900"/>
        <w:jc w:val="left"/>
        <w:rPr>
          <w:rFonts w:ascii="宋体" w:hAnsi="宋体"/>
          <w:color w:val="auto"/>
          <w:sz w:val="24"/>
          <w:highlight w:val="none"/>
        </w:rPr>
      </w:pPr>
      <w:r>
        <w:rPr>
          <w:rFonts w:hint="eastAsia" w:ascii="宋体" w:hAnsi="宋体"/>
          <w:color w:val="auto"/>
          <w:sz w:val="24"/>
          <w:highlight w:val="none"/>
        </w:rPr>
        <w:t>工程名称：</w:t>
      </w:r>
      <w:r>
        <w:rPr>
          <w:rFonts w:hint="eastAsia" w:ascii="宋体" w:hAnsi="宋体" w:cs="Times New Roman"/>
          <w:color w:val="auto"/>
          <w:sz w:val="24"/>
          <w:highlight w:val="none"/>
          <w:u w:val="single"/>
          <w:lang w:val="en-US" w:eastAsia="zh-CN"/>
        </w:rPr>
        <w:t xml:space="preserve"> 公司营销楼五楼部分办公区改造项目</w:t>
      </w:r>
    </w:p>
    <w:p>
      <w:pPr>
        <w:widowControl/>
        <w:numPr>
          <w:ilvl w:val="1"/>
          <w:numId w:val="1"/>
        </w:numPr>
        <w:tabs>
          <w:tab w:val="left" w:pos="900"/>
        </w:tabs>
        <w:spacing w:line="420" w:lineRule="exact"/>
        <w:ind w:left="900"/>
        <w:jc w:val="left"/>
        <w:rPr>
          <w:rFonts w:hint="eastAsia" w:ascii="宋体" w:hAnsi="宋体"/>
          <w:color w:val="auto"/>
          <w:sz w:val="24"/>
          <w:highlight w:val="none"/>
        </w:rPr>
      </w:pPr>
      <w:r>
        <w:rPr>
          <w:rFonts w:hint="eastAsia" w:ascii="宋体" w:hAnsi="宋体"/>
          <w:color w:val="auto"/>
          <w:sz w:val="24"/>
          <w:highlight w:val="none"/>
        </w:rPr>
        <w:t>工程地点：</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广州市黄埔区云埔一路32号</w:t>
      </w:r>
      <w:r>
        <w:rPr>
          <w:rFonts w:hint="eastAsia" w:ascii="宋体" w:hAnsi="宋体"/>
          <w:color w:val="auto"/>
          <w:sz w:val="24"/>
          <w:highlight w:val="none"/>
          <w:u w:val="single"/>
        </w:rPr>
        <w:t xml:space="preserve"> </w:t>
      </w:r>
    </w:p>
    <w:p>
      <w:pPr>
        <w:widowControl/>
        <w:numPr>
          <w:ilvl w:val="1"/>
          <w:numId w:val="1"/>
        </w:numPr>
        <w:tabs>
          <w:tab w:val="left" w:pos="900"/>
        </w:tabs>
        <w:spacing w:line="420" w:lineRule="exact"/>
        <w:ind w:left="900"/>
        <w:jc w:val="left"/>
        <w:rPr>
          <w:rFonts w:hint="eastAsia" w:ascii="宋体" w:hAnsi="宋体"/>
          <w:color w:val="auto"/>
          <w:sz w:val="24"/>
          <w:highlight w:val="none"/>
        </w:rPr>
      </w:pPr>
      <w:r>
        <w:rPr>
          <w:rFonts w:hint="eastAsia" w:ascii="宋体" w:hAnsi="宋体"/>
          <w:color w:val="auto"/>
          <w:sz w:val="24"/>
          <w:highlight w:val="none"/>
        </w:rPr>
        <w:t>工程内容及施工范围：</w:t>
      </w:r>
    </w:p>
    <w:p>
      <w:pPr>
        <w:widowControl/>
        <w:tabs>
          <w:tab w:val="left" w:pos="900"/>
        </w:tabs>
        <w:spacing w:line="420" w:lineRule="exact"/>
        <w:ind w:left="420"/>
        <w:jc w:val="left"/>
        <w:rPr>
          <w:rFonts w:hint="default" w:ascii="宋体" w:hAnsi="宋体"/>
          <w:color w:val="auto"/>
          <w:sz w:val="24"/>
          <w:highlight w:val="none"/>
          <w:u w:val="single"/>
          <w:lang w:val="en-US"/>
        </w:rPr>
      </w:pP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1、详见项目报价清单和改造方案。</w:t>
      </w:r>
    </w:p>
    <w:p>
      <w:pPr>
        <w:widowControl/>
        <w:numPr>
          <w:ilvl w:val="1"/>
          <w:numId w:val="1"/>
        </w:numPr>
        <w:tabs>
          <w:tab w:val="left" w:pos="900"/>
        </w:tabs>
        <w:spacing w:line="420" w:lineRule="exact"/>
        <w:ind w:left="900"/>
        <w:jc w:val="left"/>
        <w:rPr>
          <w:rFonts w:hint="eastAsia" w:ascii="宋体" w:hAnsi="宋体" w:cs="宋体"/>
          <w:color w:val="auto"/>
          <w:sz w:val="24"/>
          <w:szCs w:val="24"/>
          <w:highlight w:val="none"/>
          <w:u w:val="single"/>
        </w:rPr>
      </w:pPr>
      <w:r>
        <w:rPr>
          <w:rFonts w:hint="eastAsia" w:ascii="宋体" w:hAnsi="宋体"/>
          <w:color w:val="auto"/>
          <w:sz w:val="24"/>
          <w:highlight w:val="none"/>
        </w:rPr>
        <w:t>工程质量及技术要求：</w:t>
      </w:r>
    </w:p>
    <w:p>
      <w:pPr>
        <w:widowControl/>
        <w:numPr>
          <w:ilvl w:val="0"/>
          <w:numId w:val="0"/>
        </w:numPr>
        <w:tabs>
          <w:tab w:val="left" w:pos="900"/>
        </w:tabs>
        <w:spacing w:line="420" w:lineRule="exact"/>
        <w:ind w:firstLine="480" w:firstLineChars="200"/>
        <w:jc w:val="left"/>
        <w:rPr>
          <w:rFonts w:hint="eastAsia" w:ascii="宋体" w:hAnsi="宋体"/>
          <w:color w:val="auto"/>
          <w:sz w:val="24"/>
          <w:highlight w:val="none"/>
          <w:u w:val="none"/>
        </w:rPr>
      </w:pPr>
      <w:bookmarkStart w:id="0" w:name="OLE_LINK1"/>
      <w:r>
        <w:rPr>
          <w:rFonts w:hint="eastAsia" w:ascii="宋体" w:hAnsi="宋体"/>
          <w:color w:val="auto"/>
          <w:sz w:val="24"/>
          <w:highlight w:val="none"/>
          <w:u w:val="single"/>
          <w:lang w:val="en-US" w:eastAsia="zh-CN"/>
        </w:rPr>
        <w:t>1、按报价清单的要求完成工程内容；2、按相关规范要求</w:t>
      </w:r>
      <w:bookmarkStart w:id="2" w:name="_GoBack"/>
      <w:bookmarkEnd w:id="2"/>
      <w:r>
        <w:rPr>
          <w:rFonts w:hint="eastAsia" w:ascii="宋体" w:hAnsi="宋体"/>
          <w:color w:val="auto"/>
          <w:sz w:val="24"/>
          <w:highlight w:val="none"/>
          <w:u w:val="single"/>
          <w:lang w:val="en-US" w:eastAsia="zh-CN"/>
        </w:rPr>
        <w:t xml:space="preserve">验收合格。 </w:t>
      </w:r>
      <w:r>
        <w:rPr>
          <w:rFonts w:hint="eastAsia" w:ascii="宋体" w:hAnsi="宋体"/>
          <w:color w:val="auto"/>
          <w:sz w:val="24"/>
          <w:highlight w:val="none"/>
          <w:u w:val="none"/>
        </w:rPr>
        <w:t xml:space="preserve"> </w:t>
      </w:r>
      <w:bookmarkEnd w:id="0"/>
      <w:r>
        <w:rPr>
          <w:rFonts w:hint="eastAsia" w:ascii="宋体" w:hAnsi="宋体"/>
          <w:color w:val="auto"/>
          <w:sz w:val="24"/>
          <w:highlight w:val="none"/>
          <w:u w:val="none"/>
        </w:rPr>
        <w:t xml:space="preserve">   </w:t>
      </w:r>
    </w:p>
    <w:p>
      <w:pPr>
        <w:widowControl/>
        <w:tabs>
          <w:tab w:val="left" w:pos="900"/>
        </w:tabs>
        <w:spacing w:line="420" w:lineRule="exact"/>
        <w:ind w:left="420"/>
        <w:jc w:val="left"/>
        <w:rPr>
          <w:rFonts w:hint="eastAsia" w:ascii="宋体" w:hAnsi="宋体"/>
          <w:color w:val="auto"/>
          <w:sz w:val="24"/>
          <w:highlight w:val="none"/>
        </w:rPr>
      </w:pPr>
      <w:r>
        <w:rPr>
          <w:rFonts w:hint="eastAsia" w:ascii="宋体" w:hAnsi="宋体"/>
          <w:color w:val="auto"/>
          <w:sz w:val="24"/>
          <w:highlight w:val="none"/>
        </w:rPr>
        <w:t>合同价款</w:t>
      </w:r>
    </w:p>
    <w:p>
      <w:pPr>
        <w:widowControl/>
        <w:spacing w:line="420" w:lineRule="exact"/>
        <w:jc w:val="center"/>
        <w:rPr>
          <w:rFonts w:hint="eastAsia" w:ascii="宋体" w:hAnsi="宋体"/>
          <w:color w:val="auto"/>
          <w:sz w:val="24"/>
          <w:szCs w:val="24"/>
          <w:highlight w:val="none"/>
        </w:rPr>
      </w:pPr>
      <w:r>
        <w:rPr>
          <w:rFonts w:hint="eastAsia" w:ascii="宋体" w:hAnsi="宋体"/>
          <w:color w:val="auto"/>
          <w:sz w:val="24"/>
          <w:szCs w:val="24"/>
          <w:highlight w:val="none"/>
        </w:rPr>
        <w:t>合同金额以预算价为依据。预算书经甲乙双方确认，各执一份。</w:t>
      </w:r>
    </w:p>
    <w:p>
      <w:pPr>
        <w:widowControl/>
        <w:spacing w:line="420" w:lineRule="exact"/>
        <w:jc w:val="both"/>
        <w:rPr>
          <w:rFonts w:hint="eastAsia" w:ascii="宋体" w:hAnsi="宋体"/>
          <w:color w:val="auto"/>
          <w:sz w:val="24"/>
          <w:szCs w:val="24"/>
          <w:highlight w:val="none"/>
        </w:rPr>
      </w:pPr>
      <w:r>
        <w:rPr>
          <w:rFonts w:hint="eastAsia" w:ascii="宋体" w:hAnsi="宋体"/>
          <w:color w:val="auto"/>
          <w:sz w:val="24"/>
          <w:szCs w:val="24"/>
          <w:highlight w:val="none"/>
        </w:rPr>
        <w:t>本合同含税金额为人民币（大写）：</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（小写）：</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元 ，其中含增值税为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元</w:t>
      </w:r>
      <w:r>
        <w:rPr>
          <w:rFonts w:hint="eastAsia" w:ascii="宋体" w:hAnsi="宋体"/>
          <w:color w:val="auto"/>
          <w:sz w:val="24"/>
          <w:szCs w:val="24"/>
          <w:highlight w:val="none"/>
          <w:lang w:eastAsia="zh-CN"/>
        </w:rPr>
        <w:t>，</w:t>
      </w:r>
      <w:r>
        <w:rPr>
          <w:rFonts w:hint="eastAsia" w:ascii="宋体" w:hAnsi="宋体"/>
          <w:color w:val="auto"/>
          <w:sz w:val="24"/>
          <w:szCs w:val="24"/>
          <w:highlight w:val="none"/>
        </w:rPr>
        <w:t>本工程合同金额包含暂列金额为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元。</w:t>
      </w:r>
    </w:p>
    <w:p>
      <w:pPr>
        <w:widowControl/>
        <w:spacing w:line="420" w:lineRule="exact"/>
        <w:jc w:val="center"/>
        <w:rPr>
          <w:rFonts w:hint="eastAsia" w:ascii="宋体" w:hAnsi="宋体"/>
          <w:b/>
          <w:color w:val="auto"/>
          <w:sz w:val="28"/>
          <w:szCs w:val="28"/>
          <w:highlight w:val="none"/>
        </w:rPr>
      </w:pPr>
      <w:r>
        <w:rPr>
          <w:rFonts w:hint="eastAsia" w:ascii="宋体" w:hAnsi="宋体"/>
          <w:b/>
          <w:color w:val="auto"/>
          <w:sz w:val="28"/>
          <w:szCs w:val="28"/>
          <w:highlight w:val="none"/>
        </w:rPr>
        <w:t>第二条  施工准备</w:t>
      </w:r>
    </w:p>
    <w:p>
      <w:pPr>
        <w:widowControl/>
        <w:numPr>
          <w:ilvl w:val="0"/>
          <w:numId w:val="2"/>
        </w:numPr>
        <w:spacing w:line="420" w:lineRule="exact"/>
        <w:jc w:val="left"/>
        <w:rPr>
          <w:rFonts w:hint="eastAsia" w:ascii="宋体" w:hAnsi="宋体"/>
          <w:color w:val="auto"/>
          <w:sz w:val="24"/>
          <w:szCs w:val="24"/>
          <w:highlight w:val="none"/>
        </w:rPr>
      </w:pPr>
      <w:r>
        <w:rPr>
          <w:rFonts w:hint="eastAsia" w:ascii="宋体" w:hAnsi="宋体"/>
          <w:color w:val="auto"/>
          <w:sz w:val="24"/>
          <w:szCs w:val="24"/>
          <w:highlight w:val="none"/>
        </w:rPr>
        <w:t>甲方：</w:t>
      </w:r>
    </w:p>
    <w:p>
      <w:pPr>
        <w:spacing w:line="420" w:lineRule="exact"/>
        <w:ind w:firstLine="420"/>
        <w:rPr>
          <w:rFonts w:hint="eastAsia" w:ascii="宋体" w:hAnsi="宋体"/>
          <w:color w:val="auto"/>
          <w:sz w:val="24"/>
          <w:szCs w:val="24"/>
          <w:highlight w:val="none"/>
        </w:rPr>
      </w:pPr>
      <w:r>
        <w:rPr>
          <w:rFonts w:hint="eastAsia" w:ascii="宋体" w:hAnsi="宋体"/>
          <w:color w:val="auto"/>
          <w:sz w:val="24"/>
          <w:szCs w:val="24"/>
          <w:highlight w:val="none"/>
        </w:rPr>
        <w:t>1、在</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年</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日前，根据乙方的申请和施工现场需要负责提供施工现场总的施工水源、电源应满足施工用水、用电需要。</w:t>
      </w:r>
    </w:p>
    <w:p>
      <w:pPr>
        <w:spacing w:line="420" w:lineRule="exact"/>
        <w:ind w:firstLine="420"/>
        <w:rPr>
          <w:rFonts w:hint="eastAsia" w:ascii="宋体" w:hAnsi="宋体"/>
          <w:color w:val="auto"/>
          <w:sz w:val="24"/>
          <w:szCs w:val="24"/>
          <w:highlight w:val="none"/>
        </w:rPr>
      </w:pPr>
      <w:r>
        <w:rPr>
          <w:rFonts w:hint="eastAsia" w:ascii="宋体" w:hAnsi="宋体"/>
          <w:color w:val="auto"/>
          <w:sz w:val="24"/>
          <w:szCs w:val="24"/>
          <w:highlight w:val="none"/>
        </w:rPr>
        <w:t>2、在开工前进行技术交底，并提供满足施工质量的有关资料。</w:t>
      </w:r>
    </w:p>
    <w:p>
      <w:pPr>
        <w:widowControl/>
        <w:spacing w:line="420" w:lineRule="exact"/>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二、乙方：</w:t>
      </w:r>
    </w:p>
    <w:p>
      <w:pPr>
        <w:pStyle w:val="3"/>
        <w:spacing w:line="360" w:lineRule="auto"/>
        <w:rPr>
          <w:rFonts w:ascii="Helvetica" w:hAnsi="Helvetica" w:cs="Helvetica"/>
          <w:color w:val="auto"/>
          <w:spacing w:val="4"/>
          <w:sz w:val="24"/>
          <w:highlight w:val="none"/>
          <w:shd w:val="clear" w:color="auto" w:fill="FFFFFF"/>
        </w:rPr>
      </w:pPr>
      <w:r>
        <w:rPr>
          <w:rFonts w:hint="eastAsia"/>
          <w:color w:val="auto"/>
          <w:sz w:val="24"/>
          <w:highlight w:val="none"/>
        </w:rPr>
        <w:t>1、项目经理（施工经办人）：</w:t>
      </w:r>
      <w:r>
        <w:rPr>
          <w:rFonts w:hint="eastAsia"/>
          <w:color w:val="auto"/>
          <w:sz w:val="24"/>
          <w:highlight w:val="none"/>
          <w:u w:val="single"/>
        </w:rPr>
        <w:t xml:space="preserve">             </w:t>
      </w:r>
      <w:r>
        <w:rPr>
          <w:rFonts w:hint="eastAsia"/>
          <w:color w:val="auto"/>
          <w:sz w:val="24"/>
          <w:highlight w:val="none"/>
        </w:rPr>
        <w:t>作为本项目实际经办人，</w:t>
      </w:r>
      <w:r>
        <w:rPr>
          <w:rFonts w:ascii="Helvetica" w:hAnsi="Helvetica" w:eastAsia="Helvetica" w:cs="Helvetica"/>
          <w:color w:val="auto"/>
          <w:spacing w:val="4"/>
          <w:sz w:val="24"/>
          <w:highlight w:val="none"/>
          <w:shd w:val="clear" w:color="auto" w:fill="FFFFFF"/>
        </w:rPr>
        <w:t>负责项目的规划、执行、监控和收尾工作</w:t>
      </w:r>
      <w:r>
        <w:rPr>
          <w:rFonts w:hint="eastAsia" w:ascii="Helvetica" w:hAnsi="Helvetica" w:cs="Helvetica"/>
          <w:color w:val="auto"/>
          <w:spacing w:val="4"/>
          <w:sz w:val="24"/>
          <w:highlight w:val="none"/>
          <w:shd w:val="clear" w:color="auto" w:fill="FFFFFF"/>
        </w:rPr>
        <w:t>，是本项目的直接责任人，主要包括合同履行责任、质量保证责任、工作安全责任、知识产权保护责任、保密责任、农民工工资支付责任等。 项目经理需要保证项目的正常进行，遵守合同约定，保证项目质量，提供安全的工作环境，保护知识产权，同时还要确保项目中的商业秘密不被泄露、农民工工资及时足额支付等。以上的各种责任，若没有得到妥善处理，引发纠纷影响甲方正常生产经营活动，甲方有权直接追究项目经理或乙方法律责任。</w:t>
      </w:r>
    </w:p>
    <w:p>
      <w:pPr>
        <w:pStyle w:val="3"/>
        <w:spacing w:line="360" w:lineRule="auto"/>
        <w:rPr>
          <w:rFonts w:hint="eastAsia"/>
          <w:color w:val="auto"/>
          <w:sz w:val="24"/>
          <w:highlight w:val="none"/>
        </w:rPr>
      </w:pPr>
      <w:r>
        <w:rPr>
          <w:rFonts w:hint="eastAsia"/>
          <w:color w:val="auto"/>
          <w:sz w:val="24"/>
          <w:highlight w:val="none"/>
        </w:rPr>
        <w:t>2、负责施工区域的临时道路、临时设施、水电管线的铺设、管理、使用和维修工作；</w:t>
      </w:r>
    </w:p>
    <w:p>
      <w:pPr>
        <w:spacing w:line="360" w:lineRule="auto"/>
        <w:ind w:firstLine="420"/>
        <w:rPr>
          <w:rFonts w:hint="eastAsia" w:ascii="宋体" w:hAnsi="宋体"/>
          <w:color w:val="auto"/>
          <w:sz w:val="24"/>
          <w:szCs w:val="24"/>
          <w:highlight w:val="none"/>
        </w:rPr>
      </w:pPr>
      <w:r>
        <w:rPr>
          <w:rFonts w:hint="eastAsia" w:ascii="宋体" w:hAnsi="宋体"/>
          <w:color w:val="auto"/>
          <w:sz w:val="24"/>
          <w:szCs w:val="24"/>
          <w:highlight w:val="none"/>
        </w:rPr>
        <w:t>3、组织施工管理人员和材料，施工机械进场；</w:t>
      </w:r>
    </w:p>
    <w:p>
      <w:pPr>
        <w:spacing w:line="360" w:lineRule="auto"/>
        <w:ind w:firstLine="420"/>
        <w:rPr>
          <w:rFonts w:hint="eastAsia" w:ascii="宋体" w:hAnsi="宋体"/>
          <w:color w:val="auto"/>
          <w:sz w:val="24"/>
          <w:szCs w:val="24"/>
          <w:highlight w:val="none"/>
        </w:rPr>
      </w:pPr>
      <w:r>
        <w:rPr>
          <w:rFonts w:hint="eastAsia" w:ascii="宋体" w:hAnsi="宋体"/>
          <w:color w:val="auto"/>
          <w:sz w:val="24"/>
          <w:szCs w:val="24"/>
          <w:highlight w:val="none"/>
        </w:rPr>
        <w:t>4、编制施工组织设计或施工方案，施工预算，施工总进度计划，材料设备、成品、半成品等进场计划（包括月计划），用水、用电计划，送发甲方。</w:t>
      </w:r>
    </w:p>
    <w:p>
      <w:pPr>
        <w:spacing w:line="360" w:lineRule="auto"/>
        <w:ind w:firstLine="420"/>
        <w:rPr>
          <w:rFonts w:hint="eastAsia" w:ascii="宋体" w:hAnsi="宋体"/>
          <w:color w:val="auto"/>
          <w:sz w:val="24"/>
          <w:szCs w:val="24"/>
          <w:highlight w:val="none"/>
        </w:rPr>
      </w:pPr>
      <w:r>
        <w:rPr>
          <w:rFonts w:hint="eastAsia" w:ascii="宋体" w:hAnsi="宋体"/>
          <w:color w:val="auto"/>
          <w:sz w:val="24"/>
          <w:szCs w:val="24"/>
          <w:highlight w:val="none"/>
        </w:rPr>
        <w:t>5、负责对施工人员的安全教育和管理，做到安全、文明施工。</w:t>
      </w:r>
    </w:p>
    <w:p>
      <w:pPr>
        <w:spacing w:line="360" w:lineRule="auto"/>
        <w:ind w:firstLine="420"/>
        <w:rPr>
          <w:rFonts w:hint="eastAsia" w:ascii="宋体" w:hAnsi="宋体"/>
          <w:color w:val="auto"/>
          <w:sz w:val="24"/>
          <w:szCs w:val="24"/>
          <w:highlight w:val="none"/>
        </w:rPr>
      </w:pPr>
      <w:r>
        <w:rPr>
          <w:rFonts w:hint="eastAsia" w:ascii="宋体" w:hAnsi="宋体"/>
          <w:color w:val="auto"/>
          <w:sz w:val="24"/>
          <w:szCs w:val="24"/>
          <w:highlight w:val="none"/>
        </w:rPr>
        <w:t>6、负责成品保护和施工现场场地的清洁工作。</w:t>
      </w:r>
    </w:p>
    <w:p>
      <w:pPr>
        <w:widowControl/>
        <w:spacing w:line="360" w:lineRule="auto"/>
        <w:jc w:val="center"/>
        <w:rPr>
          <w:rFonts w:hint="eastAsia" w:ascii="宋体" w:hAnsi="宋体"/>
          <w:b/>
          <w:color w:val="auto"/>
          <w:sz w:val="28"/>
          <w:szCs w:val="28"/>
          <w:highlight w:val="none"/>
        </w:rPr>
      </w:pPr>
    </w:p>
    <w:p>
      <w:pPr>
        <w:widowControl/>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第三条  工程期限</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highlight w:val="none"/>
        </w:rPr>
        <w:t>一、</w:t>
      </w:r>
      <w:r>
        <w:rPr>
          <w:rFonts w:hint="eastAsia" w:ascii="宋体" w:hAnsi="宋体"/>
          <w:color w:val="auto"/>
          <w:sz w:val="24"/>
          <w:szCs w:val="24"/>
          <w:highlight w:val="none"/>
        </w:rPr>
        <w:t>根据国家工期定额和使用需要，商定工程期限为：</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开工日期：</w:t>
      </w:r>
      <w:r>
        <w:rPr>
          <w:rFonts w:hint="eastAsia" w:ascii="宋体" w:hAnsi="宋体"/>
          <w:color w:val="auto"/>
          <w:sz w:val="24"/>
          <w:szCs w:val="24"/>
          <w:highlight w:val="none"/>
          <w:u w:val="single"/>
        </w:rPr>
        <w:t xml:space="preserve">       年     月   日。</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竣工日期：</w:t>
      </w:r>
      <w:r>
        <w:rPr>
          <w:rFonts w:hint="eastAsia" w:ascii="宋体" w:hAnsi="宋体"/>
          <w:color w:val="auto"/>
          <w:sz w:val="24"/>
          <w:szCs w:val="24"/>
          <w:highlight w:val="none"/>
          <w:u w:val="single"/>
        </w:rPr>
        <w:t xml:space="preserve">       年     月   日</w:t>
      </w:r>
      <w:r>
        <w:rPr>
          <w:rFonts w:hint="eastAsia" w:ascii="宋体" w:hAnsi="宋体"/>
          <w:color w:val="auto"/>
          <w:sz w:val="24"/>
          <w:szCs w:val="24"/>
          <w:highlight w:val="none"/>
        </w:rPr>
        <w:t>。</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工程工期为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天（日历天）。</w:t>
      </w:r>
    </w:p>
    <w:p>
      <w:pPr>
        <w:numPr>
          <w:ilvl w:val="0"/>
          <w:numId w:val="2"/>
        </w:numPr>
        <w:spacing w:line="360" w:lineRule="auto"/>
        <w:rPr>
          <w:rFonts w:ascii="宋体" w:hAnsi="宋体"/>
          <w:color w:val="auto"/>
          <w:sz w:val="24"/>
          <w:szCs w:val="24"/>
          <w:highlight w:val="none"/>
        </w:rPr>
      </w:pPr>
      <w:r>
        <w:rPr>
          <w:rFonts w:hint="eastAsia" w:ascii="宋体" w:hAnsi="宋体"/>
          <w:color w:val="auto"/>
          <w:sz w:val="24"/>
          <w:szCs w:val="24"/>
          <w:highlight w:val="none"/>
        </w:rPr>
        <w:t>如遇不可抗力等因素而延误工期，需经甲方项目负责人签证后，顺延延误的工期。</w:t>
      </w:r>
    </w:p>
    <w:p>
      <w:pPr>
        <w:pStyle w:val="3"/>
        <w:spacing w:line="360" w:lineRule="auto"/>
        <w:ind w:left="900" w:firstLine="0"/>
        <w:rPr>
          <w:rFonts w:hint="eastAsia"/>
          <w:color w:val="auto"/>
          <w:highlight w:val="none"/>
        </w:rPr>
      </w:pPr>
    </w:p>
    <w:p>
      <w:pPr>
        <w:widowControl/>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第四条  工程质量</w:t>
      </w:r>
    </w:p>
    <w:p>
      <w:pPr>
        <w:widowControl/>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一、本工程质量应达到规定要求。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二、乙方必须严格按照施工图纸、说明文件和国家颁发的建筑工程规范、规程和标准进行施工，并接受甲方项目经办人的监督。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三、乙方在施工过程中必须遵守下列规定：</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highlight w:val="none"/>
        </w:rPr>
        <w:t>1、由乙方提供的主要原材料、设备、构配件、半成品必须</w:t>
      </w:r>
      <w:r>
        <w:rPr>
          <w:rFonts w:hint="eastAsia"/>
          <w:color w:val="auto"/>
          <w:sz w:val="24"/>
          <w:szCs w:val="24"/>
          <w:highlight w:val="none"/>
        </w:rPr>
        <w:t>符合双方约定的品牌、规格、型号等，并提供质量合格证等，经甲方审核后方可用于工程。</w:t>
      </w:r>
    </w:p>
    <w:p>
      <w:pPr>
        <w:spacing w:line="360" w:lineRule="auto"/>
        <w:ind w:firstLine="420"/>
        <w:rPr>
          <w:rFonts w:hint="eastAsia" w:ascii="宋体" w:hAnsi="宋体"/>
          <w:color w:val="auto"/>
          <w:sz w:val="24"/>
          <w:highlight w:val="none"/>
        </w:rPr>
      </w:pPr>
      <w:r>
        <w:rPr>
          <w:rFonts w:hint="eastAsia" w:ascii="宋体" w:hAnsi="宋体"/>
          <w:color w:val="auto"/>
          <w:sz w:val="24"/>
          <w:highlight w:val="none"/>
        </w:rPr>
        <w:t>2、由甲方提供的主要原材料、设备、构配件、半成品也必须有质量合格证方可用于工程。</w:t>
      </w:r>
    </w:p>
    <w:p>
      <w:pPr>
        <w:spacing w:line="360" w:lineRule="auto"/>
        <w:ind w:firstLine="420"/>
        <w:rPr>
          <w:rFonts w:hint="eastAsia" w:ascii="宋体" w:hAnsi="宋体"/>
          <w:color w:val="auto"/>
          <w:sz w:val="24"/>
          <w:highlight w:val="none"/>
        </w:rPr>
      </w:pPr>
      <w:r>
        <w:rPr>
          <w:rFonts w:hint="eastAsia" w:ascii="宋体" w:hAnsi="宋体"/>
          <w:color w:val="auto"/>
          <w:sz w:val="24"/>
          <w:highlight w:val="none"/>
        </w:rPr>
        <w:t>3、隐蔽工程必须经甲方项目经办人检查、验收、签章后，方可进行下一道工序；</w:t>
      </w:r>
    </w:p>
    <w:p>
      <w:pPr>
        <w:spacing w:line="360" w:lineRule="auto"/>
        <w:ind w:firstLine="420"/>
        <w:rPr>
          <w:rFonts w:hint="eastAsia" w:ascii="宋体" w:hAnsi="宋体"/>
          <w:color w:val="auto"/>
          <w:sz w:val="24"/>
          <w:highlight w:val="none"/>
        </w:rPr>
      </w:pPr>
      <w:r>
        <w:rPr>
          <w:rFonts w:hint="eastAsia" w:ascii="宋体" w:hAnsi="宋体"/>
          <w:color w:val="auto"/>
          <w:sz w:val="24"/>
          <w:highlight w:val="none"/>
        </w:rPr>
        <w:t>4、乙方应按质量验评标准对工程进行分项、分部和单位工程质量进行评定，并及时将自评结果送甲方；</w:t>
      </w:r>
    </w:p>
    <w:p>
      <w:pPr>
        <w:spacing w:line="360" w:lineRule="auto"/>
        <w:ind w:firstLine="420"/>
        <w:rPr>
          <w:rFonts w:hint="eastAsia" w:ascii="宋体" w:hAnsi="宋体"/>
          <w:color w:val="auto"/>
          <w:sz w:val="24"/>
          <w:highlight w:val="none"/>
        </w:rPr>
      </w:pPr>
      <w:r>
        <w:rPr>
          <w:rFonts w:hint="eastAsia" w:ascii="宋体" w:hAnsi="宋体"/>
          <w:color w:val="auto"/>
          <w:sz w:val="24"/>
          <w:highlight w:val="none"/>
        </w:rPr>
        <w:t>5、乙方在施工中发生质量事故，应及时报告甲方和当地建筑工程质量监督站。一般质量事故的处理结果应送甲方和质量监督站备案；重大质量事故的处理方案，应经设计单位、质量监督站、甲方等单位共同研究，并经设计建设单位签证后实施；</w:t>
      </w:r>
    </w:p>
    <w:p>
      <w:pPr>
        <w:spacing w:line="360" w:lineRule="auto"/>
        <w:ind w:firstLine="420"/>
        <w:rPr>
          <w:rFonts w:hint="eastAsia" w:ascii="宋体" w:hAnsi="宋体"/>
          <w:color w:val="auto"/>
          <w:sz w:val="24"/>
          <w:highlight w:val="none"/>
        </w:rPr>
      </w:pPr>
      <w:r>
        <w:rPr>
          <w:rFonts w:hint="eastAsia" w:ascii="宋体" w:hAnsi="宋体"/>
          <w:color w:val="auto"/>
          <w:sz w:val="24"/>
          <w:highlight w:val="none"/>
        </w:rPr>
        <w:t>6、工程竣工后，乙方按规定对工程实行保修，保修期限自通过竣工验收之日起算，时间为</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24</w:t>
      </w:r>
      <w:r>
        <w:rPr>
          <w:rFonts w:hint="eastAsia" w:ascii="宋体" w:hAnsi="宋体"/>
          <w:color w:val="auto"/>
          <w:sz w:val="24"/>
          <w:highlight w:val="none"/>
          <w:u w:val="single"/>
        </w:rPr>
        <w:t xml:space="preserve"> </w:t>
      </w:r>
      <w:r>
        <w:rPr>
          <w:rFonts w:hint="eastAsia" w:ascii="宋体" w:hAnsi="宋体"/>
          <w:color w:val="auto"/>
          <w:sz w:val="24"/>
          <w:highlight w:val="none"/>
        </w:rPr>
        <w:t>个月。</w:t>
      </w:r>
    </w:p>
    <w:p>
      <w:pPr>
        <w:widowControl/>
        <w:numPr>
          <w:ilvl w:val="0"/>
          <w:numId w:val="3"/>
        </w:num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工程价款结算方式和期限</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一、付款办法：</w:t>
      </w:r>
    </w:p>
    <w:p>
      <w:pPr>
        <w:spacing w:line="360" w:lineRule="auto"/>
        <w:ind w:firstLine="480"/>
        <w:rPr>
          <w:rFonts w:hint="eastAsia"/>
          <w:color w:val="auto"/>
          <w:sz w:val="24"/>
          <w:highlight w:val="none"/>
        </w:rPr>
      </w:pPr>
      <w:r>
        <w:rPr>
          <w:color w:val="auto"/>
          <w:sz w:val="24"/>
          <w:highlight w:val="none"/>
        </w:rPr>
        <w:t>1</w:t>
      </w:r>
      <w:r>
        <w:rPr>
          <w:rFonts w:hint="eastAsia"/>
          <w:color w:val="auto"/>
          <w:sz w:val="24"/>
          <w:highlight w:val="none"/>
        </w:rPr>
        <w:t>、五万元</w:t>
      </w:r>
      <w:r>
        <w:rPr>
          <w:rFonts w:hint="eastAsia"/>
          <w:color w:val="auto"/>
          <w:sz w:val="24"/>
          <w:highlight w:val="none"/>
          <w:u w:val="single"/>
        </w:rPr>
        <w:t>（</w:t>
      </w:r>
      <w:r>
        <w:rPr>
          <w:rFonts w:hint="eastAsia"/>
          <w:color w:val="auto"/>
          <w:sz w:val="24"/>
          <w:highlight w:val="none"/>
          <w:u w:val="single"/>
          <w:lang w:val="en-US" w:eastAsia="zh-CN"/>
        </w:rPr>
        <w:t>不</w:t>
      </w:r>
      <w:r>
        <w:rPr>
          <w:rFonts w:hint="eastAsia"/>
          <w:color w:val="auto"/>
          <w:sz w:val="24"/>
          <w:highlight w:val="none"/>
          <w:u w:val="single"/>
        </w:rPr>
        <w:t>含五万元）</w:t>
      </w:r>
      <w:r>
        <w:rPr>
          <w:rFonts w:hint="eastAsia"/>
          <w:color w:val="auto"/>
          <w:sz w:val="24"/>
          <w:highlight w:val="none"/>
        </w:rPr>
        <w:t>以内的工程，在工程完工验收合格、审批手续完成并确认后，甲方向乙方支付结算款。</w:t>
      </w:r>
    </w:p>
    <w:p>
      <w:pPr>
        <w:spacing w:line="360" w:lineRule="auto"/>
        <w:ind w:firstLine="480"/>
        <w:rPr>
          <w:color w:val="auto"/>
          <w:sz w:val="24"/>
          <w:highlight w:val="none"/>
        </w:rPr>
      </w:pPr>
      <w:r>
        <w:rPr>
          <w:rFonts w:hint="eastAsia"/>
          <w:color w:val="auto"/>
          <w:sz w:val="24"/>
          <w:highlight w:val="none"/>
        </w:rPr>
        <w:t>2、五万元（含五万元）以上、二十万元（不含二十万元）以下的工程，签订合同后七个工作日内，甲方向乙方支付工程款</w:t>
      </w:r>
      <w:r>
        <w:rPr>
          <w:color w:val="auto"/>
          <w:sz w:val="24"/>
          <w:highlight w:val="none"/>
        </w:rPr>
        <w:t>30%</w:t>
      </w:r>
      <w:r>
        <w:rPr>
          <w:rFonts w:hint="eastAsia"/>
          <w:color w:val="auto"/>
          <w:sz w:val="24"/>
          <w:highlight w:val="none"/>
        </w:rPr>
        <w:t>；工程完成</w:t>
      </w:r>
      <w:r>
        <w:rPr>
          <w:color w:val="auto"/>
          <w:sz w:val="24"/>
          <w:highlight w:val="none"/>
        </w:rPr>
        <w:t>100%</w:t>
      </w:r>
      <w:r>
        <w:rPr>
          <w:rFonts w:hint="eastAsia"/>
          <w:color w:val="auto"/>
          <w:sz w:val="24"/>
          <w:highlight w:val="none"/>
        </w:rPr>
        <w:t>并竣工验收完毕后，甲方向乙方支付工程款至</w:t>
      </w:r>
      <w:r>
        <w:rPr>
          <w:color w:val="auto"/>
          <w:sz w:val="24"/>
          <w:highlight w:val="none"/>
        </w:rPr>
        <w:t>80%</w:t>
      </w:r>
      <w:r>
        <w:rPr>
          <w:rFonts w:hint="eastAsia"/>
          <w:color w:val="auto"/>
          <w:sz w:val="24"/>
          <w:highlight w:val="none"/>
        </w:rPr>
        <w:t>；余款在结算审批手续完成并确认后，甲方向乙方支付结算款。</w:t>
      </w:r>
    </w:p>
    <w:p>
      <w:pPr>
        <w:spacing w:line="360" w:lineRule="auto"/>
        <w:ind w:firstLine="480"/>
        <w:rPr>
          <w:color w:val="auto"/>
          <w:sz w:val="24"/>
          <w:highlight w:val="none"/>
        </w:rPr>
      </w:pPr>
      <w:r>
        <w:rPr>
          <w:rFonts w:hint="eastAsia"/>
          <w:color w:val="auto"/>
          <w:sz w:val="24"/>
          <w:highlight w:val="none"/>
        </w:rPr>
        <w:t>3、二十万元（含二十万元）以上，签订合同后七个工作日内，甲方向乙方支付工程款</w:t>
      </w:r>
      <w:r>
        <w:rPr>
          <w:color w:val="auto"/>
          <w:sz w:val="24"/>
          <w:highlight w:val="none"/>
        </w:rPr>
        <w:t>30%</w:t>
      </w:r>
      <w:r>
        <w:rPr>
          <w:rFonts w:hint="eastAsia"/>
          <w:color w:val="auto"/>
          <w:sz w:val="24"/>
          <w:highlight w:val="none"/>
        </w:rPr>
        <w:t>；工程进度完成</w:t>
      </w:r>
      <w:r>
        <w:rPr>
          <w:color w:val="auto"/>
          <w:sz w:val="24"/>
          <w:highlight w:val="none"/>
        </w:rPr>
        <w:t>80%</w:t>
      </w:r>
      <w:r>
        <w:rPr>
          <w:rFonts w:hint="eastAsia"/>
          <w:color w:val="auto"/>
          <w:sz w:val="24"/>
          <w:highlight w:val="none"/>
        </w:rPr>
        <w:t>，甲方向乙方支付工程款至</w:t>
      </w:r>
      <w:r>
        <w:rPr>
          <w:color w:val="auto"/>
          <w:sz w:val="24"/>
          <w:highlight w:val="none"/>
        </w:rPr>
        <w:t>50%</w:t>
      </w:r>
      <w:r>
        <w:rPr>
          <w:rFonts w:hint="eastAsia"/>
          <w:color w:val="auto"/>
          <w:sz w:val="24"/>
          <w:highlight w:val="none"/>
        </w:rPr>
        <w:t>；工程完成</w:t>
      </w:r>
      <w:r>
        <w:rPr>
          <w:color w:val="auto"/>
          <w:sz w:val="24"/>
          <w:highlight w:val="none"/>
        </w:rPr>
        <w:t>100%</w:t>
      </w:r>
      <w:r>
        <w:rPr>
          <w:rFonts w:hint="eastAsia"/>
          <w:color w:val="auto"/>
          <w:sz w:val="24"/>
          <w:highlight w:val="none"/>
        </w:rPr>
        <w:t>并办理竣工验收后，甲方向乙方支付工程款至8</w:t>
      </w:r>
      <w:r>
        <w:rPr>
          <w:color w:val="auto"/>
          <w:sz w:val="24"/>
          <w:highlight w:val="none"/>
        </w:rPr>
        <w:t>0%</w:t>
      </w:r>
      <w:r>
        <w:rPr>
          <w:rFonts w:hint="eastAsia"/>
          <w:color w:val="auto"/>
          <w:sz w:val="24"/>
          <w:highlight w:val="none"/>
        </w:rPr>
        <w:t>；余款在结算审批手续完成并确认后，甲方向乙方支付结算款至97%，余款作为工程的质保金。质保金在保修期到期后不计息结算。</w:t>
      </w:r>
    </w:p>
    <w:p>
      <w:pPr>
        <w:spacing w:line="360" w:lineRule="auto"/>
        <w:ind w:firstLine="480"/>
        <w:rPr>
          <w:rFonts w:ascii="宋体" w:hAnsi="宋体"/>
          <w:color w:val="auto"/>
          <w:sz w:val="24"/>
          <w:highlight w:val="none"/>
        </w:rPr>
      </w:pPr>
      <w:r>
        <w:rPr>
          <w:rFonts w:hint="eastAsia"/>
          <w:color w:val="auto"/>
          <w:sz w:val="24"/>
          <w:highlight w:val="none"/>
        </w:rPr>
        <w:t>4、</w:t>
      </w:r>
      <w:r>
        <w:rPr>
          <w:rFonts w:hint="eastAsia" w:ascii="宋体" w:hAnsi="宋体"/>
          <w:color w:val="auto"/>
          <w:sz w:val="24"/>
          <w:highlight w:val="none"/>
        </w:rPr>
        <w:t>付款前提：乙方开具符合国家税务局规定的增值税专用发票交付给甲方。</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按本合同第五条第一点付款办法的第</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 ）</w:t>
      </w:r>
      <w:r>
        <w:rPr>
          <w:rFonts w:hint="eastAsia" w:ascii="宋体" w:hAnsi="宋体"/>
          <w:color w:val="auto"/>
          <w:sz w:val="24"/>
          <w:highlight w:val="none"/>
        </w:rPr>
        <w:t>小点办理。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w:t>
      </w:r>
      <w:r>
        <w:rPr>
          <w:rFonts w:hint="eastAsia"/>
          <w:color w:val="auto"/>
          <w:sz w:val="24"/>
          <w:szCs w:val="24"/>
          <w:highlight w:val="none"/>
        </w:rPr>
        <w:t>合同结算方式：本项目按实结算，执行《建设工程工程量清单计价标准》（GB/T50500-2024）、《房屋建筑与装饰工程工程量计算规范》(GB50854-2013)、《通用安装工程工程量计算标准》（GB/T 50856-2024）等相关规范，工程量按甲方确认的竣工图纸或甲方确认的工程量计算，综合单价按</w:t>
      </w:r>
      <w:r>
        <w:rPr>
          <w:rFonts w:hint="eastAsia"/>
          <w:color w:val="auto"/>
          <w:sz w:val="24"/>
          <w:szCs w:val="24"/>
          <w:highlight w:val="none"/>
          <w:u w:val="single"/>
        </w:rPr>
        <w:t xml:space="preserve">  </w:t>
      </w:r>
      <w:r>
        <w:rPr>
          <w:rFonts w:hint="eastAsia"/>
          <w:color w:val="auto"/>
          <w:sz w:val="24"/>
          <w:szCs w:val="24"/>
          <w:highlight w:val="none"/>
          <w:u w:val="single"/>
          <w:lang w:val="en-US" w:eastAsia="zh-CN"/>
        </w:rPr>
        <w:t>综合单价包干。</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二、结算手续：</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1、工程结算价在五万元（不含五万元）以下，甲方经办人负责对结算书审核、并按审批程序报批。结算审批手续完成后二十个工作日内向乙方支付结算款项。</w:t>
      </w:r>
    </w:p>
    <w:p>
      <w:pPr>
        <w:spacing w:line="360" w:lineRule="auto"/>
        <w:ind w:firstLine="480" w:firstLineChars="200"/>
        <w:rPr>
          <w:rFonts w:hint="eastAsia"/>
          <w:color w:val="auto"/>
          <w:sz w:val="24"/>
          <w:highlight w:val="none"/>
        </w:rPr>
      </w:pPr>
      <w:r>
        <w:rPr>
          <w:color w:val="auto"/>
          <w:sz w:val="24"/>
          <w:highlight w:val="none"/>
        </w:rPr>
        <w:t>2</w:t>
      </w:r>
      <w:r>
        <w:rPr>
          <w:rFonts w:hint="eastAsia"/>
          <w:color w:val="auto"/>
          <w:sz w:val="24"/>
          <w:highlight w:val="none"/>
        </w:rPr>
        <w:t>、工程结算价在五万元（含五万元）以上，结算书及竣工图经甲方经办人审核确认后，甲方经办人负责将结算书、预算书及竣工图送至具有资质的造价咨询机构审核。审核的咨询费收取方式按造价咨询机构提供的有关文件为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3、施工单位所报预算单价，如经有资质的审核机构审核后，审减单价的，按审减后单价结算；如审核单价调升的，按预算单价结算，差额视作让利。</w:t>
      </w:r>
    </w:p>
    <w:p>
      <w:pPr>
        <w:spacing w:line="360" w:lineRule="auto"/>
        <w:ind w:firstLine="470" w:firstLineChars="196"/>
        <w:rPr>
          <w:rFonts w:hint="eastAsia" w:ascii="宋体" w:hAnsi="宋体"/>
          <w:b/>
          <w:bCs/>
          <w:color w:val="auto"/>
          <w:sz w:val="24"/>
          <w:highlight w:val="none"/>
        </w:rPr>
      </w:pPr>
      <w:r>
        <w:rPr>
          <w:rFonts w:hint="eastAsia" w:ascii="宋体" w:hAnsi="宋体"/>
          <w:color w:val="auto"/>
          <w:sz w:val="24"/>
          <w:highlight w:val="none"/>
        </w:rPr>
        <w:t>三、付款方式：1）甲方汇款；  2）甲方支票结算；  3）银行承兑汇票。</w:t>
      </w:r>
    </w:p>
    <w:p>
      <w:pPr>
        <w:spacing w:line="360" w:lineRule="auto"/>
        <w:ind w:firstLine="420"/>
        <w:jc w:val="center"/>
        <w:rPr>
          <w:rFonts w:hint="eastAsia" w:ascii="宋体" w:hAnsi="宋体"/>
          <w:b/>
          <w:color w:val="auto"/>
          <w:sz w:val="28"/>
          <w:szCs w:val="28"/>
          <w:highlight w:val="none"/>
        </w:rPr>
      </w:pPr>
    </w:p>
    <w:p>
      <w:pPr>
        <w:spacing w:line="360" w:lineRule="auto"/>
        <w:ind w:firstLine="420"/>
        <w:jc w:val="center"/>
        <w:rPr>
          <w:rFonts w:hint="eastAsia" w:ascii="宋体" w:hAnsi="宋体"/>
          <w:bCs/>
          <w:color w:val="auto"/>
          <w:sz w:val="28"/>
          <w:szCs w:val="28"/>
          <w:highlight w:val="none"/>
        </w:rPr>
      </w:pPr>
      <w:r>
        <w:rPr>
          <w:rFonts w:hint="eastAsia" w:ascii="宋体" w:hAnsi="宋体"/>
          <w:b/>
          <w:color w:val="auto"/>
          <w:sz w:val="28"/>
          <w:szCs w:val="28"/>
          <w:highlight w:val="none"/>
        </w:rPr>
        <w:t>第六条</w:t>
      </w:r>
      <w:r>
        <w:rPr>
          <w:rFonts w:hint="eastAsia" w:ascii="宋体" w:hAnsi="宋体"/>
          <w:bCs/>
          <w:color w:val="auto"/>
          <w:sz w:val="28"/>
          <w:szCs w:val="28"/>
          <w:highlight w:val="none"/>
        </w:rPr>
        <w:t xml:space="preserve">  </w:t>
      </w:r>
      <w:r>
        <w:rPr>
          <w:rFonts w:hint="eastAsia" w:ascii="宋体" w:hAnsi="宋体"/>
          <w:b/>
          <w:color w:val="auto"/>
          <w:sz w:val="28"/>
          <w:szCs w:val="28"/>
          <w:highlight w:val="none"/>
        </w:rPr>
        <w:t>施工与设计变更</w:t>
      </w:r>
    </w:p>
    <w:p>
      <w:pPr>
        <w:spacing w:line="360" w:lineRule="auto"/>
        <w:ind w:firstLine="480" w:firstLineChars="200"/>
        <w:rPr>
          <w:rFonts w:hint="eastAsia"/>
          <w:color w:val="auto"/>
          <w:sz w:val="24"/>
          <w:szCs w:val="24"/>
          <w:highlight w:val="none"/>
        </w:rPr>
      </w:pPr>
      <w:r>
        <w:rPr>
          <w:rFonts w:hint="eastAsia"/>
          <w:color w:val="auto"/>
          <w:sz w:val="24"/>
          <w:szCs w:val="24"/>
          <w:highlight w:val="none"/>
        </w:rPr>
        <w:t>一、甲方如需变更设计，甲方必须及时通知乙方，乙方接到甲方的变更通知书后才予实施。因变更导致合同价款的增减按变更后的实际工程量结算。因变更造成损失的，由甲方承担，延误的工期相应顺延。施工中乙方不得对原工程设计自行变更，因乙方擅自变更设计发生的费用和由此导致甲方的直接损失由乙方承担，延误的工期不予顺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二、变更计价处理原则：因甲方原因提出的变更，工程量予以调整，但综合单价项目无论出现何种情况都不再予以调整。其中的综合单价按以下原则确定：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1、若原投标报价有相同的子目，按原投标报价相同子目的综合单价执行；</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若原投标报价无相同的子目，但有类似的子目，则参照类似子目的综合单价，按其单价分析方法进行调整换算得出该子目的综合单价，原管理费、利润水平、人工费、材料费及机械费不变等其余项目不作任何调整。经甲方相关人员核定后作为暂定价，最后需经省建行造价咨询中心审核后作为结算单价；</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3、若原投标报价中无相同或类似的子目，可采用以下的方法计算综合单价：按《建设工程工程量清单计价标准》（GB/T 50500-2024）、《广东省建设工程计价依据（2018）》及相关定额等规定执行，人材机价格按施工当期政府相关部门发布的信息价计算，信息价没有的，参考市场价确定。</w:t>
      </w:r>
    </w:p>
    <w:p>
      <w:pPr>
        <w:pStyle w:val="3"/>
        <w:spacing w:line="360" w:lineRule="auto"/>
        <w:rPr>
          <w:rFonts w:hint="eastAsia"/>
          <w:color w:val="auto"/>
          <w:highlight w:val="none"/>
        </w:rPr>
      </w:pPr>
    </w:p>
    <w:p>
      <w:pPr>
        <w:widowControl/>
        <w:numPr>
          <w:ilvl w:val="0"/>
          <w:numId w:val="4"/>
        </w:num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工程验收</w:t>
      </w:r>
    </w:p>
    <w:p>
      <w:pPr>
        <w:spacing w:line="360" w:lineRule="auto"/>
        <w:ind w:firstLine="540" w:firstLineChars="225"/>
        <w:rPr>
          <w:rFonts w:hint="eastAsia" w:ascii="宋体" w:hAnsi="宋体"/>
          <w:color w:val="auto"/>
          <w:sz w:val="24"/>
          <w:highlight w:val="none"/>
        </w:rPr>
      </w:pPr>
      <w:r>
        <w:rPr>
          <w:rFonts w:hint="eastAsia" w:ascii="宋体" w:hAnsi="宋体"/>
          <w:color w:val="auto"/>
          <w:sz w:val="24"/>
          <w:highlight w:val="none"/>
        </w:rPr>
        <w:t>一、竣工工程验收，以国家颁发的《关于基本建设项目竣工验收暂行规定》、《工程施工及验收规范》、《建筑安装工程质量检验评定标准》和国务院有关部门制定的竣工验收规定及施工图纸及说明书，施工技术文件为依据。</w:t>
      </w:r>
    </w:p>
    <w:p>
      <w:pPr>
        <w:spacing w:line="360" w:lineRule="auto"/>
        <w:ind w:firstLine="540" w:firstLineChars="225"/>
        <w:rPr>
          <w:rFonts w:hint="eastAsia" w:ascii="宋体" w:hAnsi="宋体"/>
          <w:color w:val="auto"/>
          <w:sz w:val="24"/>
          <w:highlight w:val="none"/>
        </w:rPr>
      </w:pPr>
      <w:r>
        <w:rPr>
          <w:rFonts w:hint="eastAsia" w:ascii="宋体" w:hAnsi="宋体"/>
          <w:color w:val="auto"/>
          <w:sz w:val="24"/>
          <w:highlight w:val="none"/>
        </w:rPr>
        <w:t>二、工程施工中地下工程，结构工程必须具有隐蔽验收签证，试压、试水、抗渗等记录。工程竣工质量经当地监督部门检验合格后，甲方须及时办理验收签证手续。</w:t>
      </w:r>
    </w:p>
    <w:p>
      <w:pPr>
        <w:spacing w:line="360" w:lineRule="auto"/>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rPr>
        <w:t xml:space="preserve">三、工程竣工验收合格后，从工程通过竣工验收之日起计，保修期为 </w:t>
      </w:r>
      <w:r>
        <w:rPr>
          <w:rFonts w:hint="eastAsia" w:ascii="宋体" w:hAnsi="宋体"/>
          <w:color w:val="auto"/>
          <w:sz w:val="24"/>
          <w:highlight w:val="none"/>
          <w:u w:val="single"/>
        </w:rPr>
        <w:t xml:space="preserve"> 24</w:t>
      </w:r>
      <w:r>
        <w:rPr>
          <w:rFonts w:hint="eastAsia" w:ascii="宋体" w:hAnsi="宋体"/>
          <w:color w:val="auto"/>
          <w:sz w:val="24"/>
          <w:highlight w:val="none"/>
        </w:rPr>
        <w:t>个月。在规定的保修期内，凡因施工造成的质量事故和质量缺陷应由乙方无偿保修。其保修条件、范围和期限</w:t>
      </w:r>
      <w:r>
        <w:rPr>
          <w:rFonts w:ascii="宋体" w:hAnsi="宋体"/>
          <w:color w:val="auto"/>
          <w:sz w:val="24"/>
          <w:highlight w:val="none"/>
        </w:rPr>
        <w:t>依据中华人民共和国建设部令第80号《房屋建筑工程质量保修办法》的规定执行。</w:t>
      </w:r>
      <w:r>
        <w:rPr>
          <w:rFonts w:hint="eastAsia" w:ascii="宋体" w:hAnsi="宋体"/>
          <w:color w:val="auto"/>
          <w:sz w:val="24"/>
          <w:highlight w:val="none"/>
          <w:lang w:val="en-US" w:eastAsia="zh-CN"/>
        </w:rPr>
        <w:t>[参考</w:t>
      </w:r>
      <w:r>
        <w:rPr>
          <w:rFonts w:hint="eastAsia" w:ascii="宋体" w:hAnsi="宋体"/>
          <w:color w:val="auto"/>
          <w:sz w:val="24"/>
          <w:highlight w:val="none"/>
        </w:rPr>
        <w:t>本办法第二条，对不涉及新建、改建或扩建的房屋建筑物及其附属构筑物所进行的局部防水防渗工程的保修期按</w:t>
      </w:r>
      <w:r>
        <w:rPr>
          <w:rFonts w:hint="eastAsia" w:ascii="宋体" w:hAnsi="宋体"/>
          <w:color w:val="auto"/>
          <w:sz w:val="24"/>
          <w:highlight w:val="none"/>
          <w:lang w:val="en-US" w:eastAsia="zh-CN"/>
        </w:rPr>
        <w:t>2年</w:t>
      </w:r>
      <w:r>
        <w:rPr>
          <w:rFonts w:hint="eastAsia" w:ascii="宋体" w:hAnsi="宋体"/>
          <w:color w:val="auto"/>
          <w:sz w:val="24"/>
          <w:highlight w:val="none"/>
        </w:rPr>
        <w:t>计算。</w:t>
      </w:r>
      <w:r>
        <w:rPr>
          <w:rFonts w:hint="eastAsia" w:ascii="宋体" w:hAnsi="宋体"/>
          <w:color w:val="auto"/>
          <w:sz w:val="24"/>
          <w:highlight w:val="none"/>
          <w:lang w:val="en-US" w:eastAsia="zh-CN"/>
        </w:rPr>
        <w:t>]</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四、工程竣工后乙方应及时通知甲方进行验收，甲方应在工程竣工后</w:t>
      </w:r>
      <w:r>
        <w:rPr>
          <w:rFonts w:hint="eastAsia" w:ascii="宋体" w:hAnsi="宋体"/>
          <w:color w:val="auto"/>
          <w:sz w:val="24"/>
          <w:highlight w:val="none"/>
          <w:u w:val="single"/>
        </w:rPr>
        <w:t xml:space="preserve">      </w:t>
      </w:r>
      <w:r>
        <w:rPr>
          <w:rFonts w:hint="eastAsia" w:ascii="宋体" w:hAnsi="宋体"/>
          <w:color w:val="auto"/>
          <w:sz w:val="24"/>
          <w:highlight w:val="none"/>
        </w:rPr>
        <w:t>天</w:t>
      </w:r>
      <w:r>
        <w:rPr>
          <w:rFonts w:hint="eastAsia" w:ascii="宋体" w:hAnsi="宋体"/>
          <w:color w:val="auto"/>
          <w:sz w:val="24"/>
          <w:highlight w:val="none"/>
          <w:u w:val="single"/>
          <w:lang w:val="en-US" w:eastAsia="zh-CN"/>
        </w:rPr>
        <w:t>10天</w:t>
      </w:r>
      <w:r>
        <w:rPr>
          <w:rFonts w:hint="eastAsia" w:ascii="宋体" w:hAnsi="宋体"/>
          <w:color w:val="auto"/>
          <w:sz w:val="24"/>
          <w:highlight w:val="none"/>
        </w:rPr>
        <w:t>内进行验收。</w:t>
      </w:r>
    </w:p>
    <w:p>
      <w:pPr>
        <w:pStyle w:val="3"/>
        <w:spacing w:line="360" w:lineRule="auto"/>
        <w:rPr>
          <w:rFonts w:hint="eastAsia"/>
          <w:color w:val="auto"/>
          <w:highlight w:val="none"/>
        </w:rPr>
      </w:pPr>
    </w:p>
    <w:p>
      <w:pPr>
        <w:widowControl/>
        <w:numPr>
          <w:ilvl w:val="0"/>
          <w:numId w:val="4"/>
        </w:num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知识产权约定</w:t>
      </w:r>
    </w:p>
    <w:p>
      <w:pPr>
        <w:spacing w:line="360" w:lineRule="auto"/>
        <w:ind w:firstLine="540" w:firstLineChars="225"/>
        <w:rPr>
          <w:rFonts w:hint="eastAsia" w:ascii="宋体" w:hAnsi="宋体"/>
          <w:color w:val="auto"/>
          <w:sz w:val="24"/>
          <w:highlight w:val="none"/>
        </w:rPr>
      </w:pPr>
      <w:r>
        <w:rPr>
          <w:rFonts w:hint="eastAsia" w:ascii="宋体" w:hAnsi="宋体"/>
          <w:color w:val="auto"/>
          <w:sz w:val="24"/>
          <w:highlight w:val="none"/>
        </w:rPr>
        <w:t>一、乙方须保证所提供的原材料、设备、构配件、半成品等所</w:t>
      </w:r>
      <w:r>
        <w:rPr>
          <w:rFonts w:ascii="宋体" w:hAnsi="宋体"/>
          <w:color w:val="auto"/>
          <w:sz w:val="24"/>
          <w:highlight w:val="none"/>
        </w:rPr>
        <w:t>涉及</w:t>
      </w:r>
      <w:r>
        <w:rPr>
          <w:rFonts w:hint="eastAsia" w:ascii="宋体" w:hAnsi="宋体"/>
          <w:color w:val="auto"/>
          <w:sz w:val="24"/>
          <w:highlight w:val="none"/>
        </w:rPr>
        <w:t>的</w:t>
      </w:r>
      <w:r>
        <w:rPr>
          <w:rFonts w:ascii="宋体" w:hAnsi="宋体"/>
          <w:color w:val="auto"/>
          <w:sz w:val="24"/>
          <w:highlight w:val="none"/>
        </w:rPr>
        <w:t>专利技术等知识产权内容，都已获得符合法律规定的授权，</w:t>
      </w:r>
      <w:r>
        <w:rPr>
          <w:rFonts w:hint="eastAsia" w:ascii="宋体" w:hAnsi="宋体"/>
          <w:color w:val="auto"/>
          <w:sz w:val="24"/>
          <w:highlight w:val="none"/>
        </w:rPr>
        <w:t>不侵犯第三方的知识产权。</w:t>
      </w:r>
    </w:p>
    <w:p>
      <w:pPr>
        <w:spacing w:line="360" w:lineRule="auto"/>
        <w:ind w:firstLine="540" w:firstLineChars="225"/>
        <w:rPr>
          <w:rFonts w:ascii="宋体" w:hAnsi="宋体"/>
          <w:color w:val="auto"/>
          <w:sz w:val="24"/>
          <w:highlight w:val="none"/>
        </w:rPr>
      </w:pPr>
      <w:r>
        <w:rPr>
          <w:rFonts w:hint="eastAsia" w:ascii="宋体" w:hAnsi="宋体"/>
          <w:color w:val="auto"/>
          <w:sz w:val="24"/>
          <w:highlight w:val="none"/>
        </w:rPr>
        <w:t>二、</w:t>
      </w:r>
      <w:r>
        <w:rPr>
          <w:rFonts w:ascii="宋体" w:hAnsi="宋体"/>
          <w:color w:val="auto"/>
          <w:sz w:val="24"/>
          <w:highlight w:val="none"/>
        </w:rPr>
        <w:t>对于</w:t>
      </w:r>
      <w:r>
        <w:rPr>
          <w:rFonts w:hint="eastAsia" w:ascii="宋体" w:hAnsi="宋体"/>
          <w:color w:val="auto"/>
          <w:sz w:val="24"/>
          <w:highlight w:val="none"/>
        </w:rPr>
        <w:t>甲方</w:t>
      </w:r>
      <w:r>
        <w:rPr>
          <w:rFonts w:ascii="宋体" w:hAnsi="宋体"/>
          <w:color w:val="auto"/>
          <w:sz w:val="24"/>
          <w:highlight w:val="none"/>
        </w:rPr>
        <w:t>在</w:t>
      </w:r>
      <w:r>
        <w:rPr>
          <w:rFonts w:hint="eastAsia" w:ascii="宋体" w:hAnsi="宋体"/>
          <w:color w:val="auto"/>
          <w:sz w:val="24"/>
          <w:highlight w:val="none"/>
        </w:rPr>
        <w:t>后续</w:t>
      </w:r>
      <w:r>
        <w:rPr>
          <w:rFonts w:ascii="宋体" w:hAnsi="宋体"/>
          <w:color w:val="auto"/>
          <w:sz w:val="24"/>
          <w:highlight w:val="none"/>
        </w:rPr>
        <w:t>生产、使用时必须拥有的</w:t>
      </w:r>
      <w:r>
        <w:rPr>
          <w:rFonts w:hint="eastAsia" w:ascii="宋体" w:hAnsi="宋体"/>
          <w:color w:val="auto"/>
          <w:sz w:val="24"/>
          <w:highlight w:val="none"/>
        </w:rPr>
        <w:t>相关</w:t>
      </w:r>
      <w:r>
        <w:rPr>
          <w:rFonts w:ascii="宋体" w:hAnsi="宋体"/>
          <w:color w:val="auto"/>
          <w:sz w:val="24"/>
          <w:highlight w:val="none"/>
        </w:rPr>
        <w:t>知识产权</w:t>
      </w:r>
      <w:r>
        <w:rPr>
          <w:rFonts w:hint="eastAsia" w:ascii="宋体" w:hAnsi="宋体"/>
          <w:color w:val="auto"/>
          <w:sz w:val="24"/>
          <w:highlight w:val="none"/>
        </w:rPr>
        <w:t>使用</w:t>
      </w:r>
      <w:r>
        <w:rPr>
          <w:rFonts w:ascii="宋体" w:hAnsi="宋体"/>
          <w:color w:val="auto"/>
          <w:sz w:val="24"/>
          <w:highlight w:val="none"/>
        </w:rPr>
        <w:t>许可的情况，</w:t>
      </w:r>
      <w:r>
        <w:rPr>
          <w:rFonts w:hint="eastAsia" w:ascii="宋体" w:hAnsi="宋体"/>
          <w:color w:val="auto"/>
          <w:sz w:val="24"/>
          <w:highlight w:val="none"/>
        </w:rPr>
        <w:t>乙方</w:t>
      </w:r>
      <w:r>
        <w:rPr>
          <w:rFonts w:ascii="宋体" w:hAnsi="宋体"/>
          <w:color w:val="auto"/>
          <w:sz w:val="24"/>
          <w:highlight w:val="none"/>
        </w:rPr>
        <w:t>依据本合同向</w:t>
      </w:r>
      <w:r>
        <w:rPr>
          <w:rFonts w:hint="eastAsia" w:ascii="宋体" w:hAnsi="宋体"/>
          <w:color w:val="auto"/>
          <w:sz w:val="24"/>
          <w:highlight w:val="none"/>
        </w:rPr>
        <w:t>甲方</w:t>
      </w:r>
      <w:r>
        <w:rPr>
          <w:rFonts w:ascii="宋体" w:hAnsi="宋体"/>
          <w:color w:val="auto"/>
          <w:sz w:val="24"/>
          <w:highlight w:val="none"/>
        </w:rPr>
        <w:t>授予该知识产权的使用许可</w:t>
      </w:r>
      <w:r>
        <w:rPr>
          <w:rFonts w:hint="eastAsia" w:ascii="宋体" w:hAnsi="宋体"/>
          <w:color w:val="auto"/>
          <w:sz w:val="24"/>
          <w:highlight w:val="none"/>
        </w:rPr>
        <w:t>。</w:t>
      </w:r>
    </w:p>
    <w:p>
      <w:pPr>
        <w:pStyle w:val="3"/>
        <w:spacing w:line="360" w:lineRule="auto"/>
        <w:rPr>
          <w:rFonts w:hint="eastAsia"/>
          <w:color w:val="auto"/>
          <w:highlight w:val="none"/>
        </w:rPr>
      </w:pPr>
    </w:p>
    <w:p>
      <w:pPr>
        <w:widowControl/>
        <w:numPr>
          <w:ilvl w:val="0"/>
          <w:numId w:val="4"/>
        </w:numPr>
        <w:spacing w:line="360" w:lineRule="auto"/>
        <w:jc w:val="center"/>
        <w:rPr>
          <w:rFonts w:hint="eastAsia" w:ascii="宋体" w:hAnsi="宋体"/>
          <w:b/>
          <w:bCs/>
          <w:color w:val="auto"/>
          <w:sz w:val="28"/>
          <w:szCs w:val="28"/>
          <w:highlight w:val="none"/>
        </w:rPr>
      </w:pPr>
      <w:r>
        <w:rPr>
          <w:rFonts w:hint="eastAsia" w:ascii="宋体" w:hAnsi="宋体"/>
          <w:b/>
          <w:bCs/>
          <w:color w:val="auto"/>
          <w:sz w:val="28"/>
          <w:szCs w:val="28"/>
          <w:highlight w:val="none"/>
        </w:rPr>
        <w:t>违约责任</w:t>
      </w:r>
    </w:p>
    <w:p>
      <w:pPr>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一、乙方的责任：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1、工程质量不符合合同规定的，负责无偿修理或返工。由于修理或返工造成逾期交付的，偿付逾期违约金。</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2、工程不能按合同规定的工期交付使用的，工期每延迟一天按本工程合同价款的1%在工程结算款中进行扣罚。</w:t>
      </w:r>
    </w:p>
    <w:p>
      <w:pPr>
        <w:spacing w:line="360" w:lineRule="auto"/>
        <w:ind w:firstLine="420" w:firstLineChars="175"/>
        <w:rPr>
          <w:color w:val="auto"/>
          <w:sz w:val="24"/>
          <w:highlight w:val="none"/>
        </w:rPr>
      </w:pPr>
      <w:r>
        <w:rPr>
          <w:rFonts w:hint="eastAsia" w:ascii="宋体" w:hAnsi="宋体"/>
          <w:color w:val="auto"/>
          <w:sz w:val="24"/>
          <w:highlight w:val="none"/>
        </w:rPr>
        <w:t>3、</w:t>
      </w:r>
      <w:r>
        <w:rPr>
          <w:color w:val="auto"/>
          <w:sz w:val="24"/>
          <w:highlight w:val="none"/>
        </w:rPr>
        <w:t>若</w:t>
      </w:r>
      <w:r>
        <w:rPr>
          <w:rFonts w:hint="eastAsia"/>
          <w:color w:val="auto"/>
          <w:sz w:val="24"/>
          <w:highlight w:val="none"/>
        </w:rPr>
        <w:t>由于乙方</w:t>
      </w:r>
      <w:r>
        <w:rPr>
          <w:color w:val="auto"/>
          <w:sz w:val="24"/>
          <w:highlight w:val="none"/>
        </w:rPr>
        <w:t>所提供的</w:t>
      </w:r>
      <w:r>
        <w:rPr>
          <w:rFonts w:hint="eastAsia" w:ascii="宋体" w:hAnsi="宋体"/>
          <w:color w:val="auto"/>
          <w:sz w:val="24"/>
          <w:highlight w:val="none"/>
        </w:rPr>
        <w:t>原材料、设备、构配件、半成品等</w:t>
      </w:r>
      <w:r>
        <w:rPr>
          <w:color w:val="auto"/>
          <w:sz w:val="24"/>
          <w:highlight w:val="none"/>
        </w:rPr>
        <w:t>存在知识产权瑕疵引起纠纷，</w:t>
      </w:r>
      <w:r>
        <w:rPr>
          <w:rFonts w:hint="eastAsia"/>
          <w:color w:val="auto"/>
          <w:sz w:val="24"/>
          <w:highlight w:val="none"/>
        </w:rPr>
        <w:t>乙方</w:t>
      </w:r>
      <w:r>
        <w:rPr>
          <w:color w:val="auto"/>
          <w:sz w:val="24"/>
          <w:highlight w:val="none"/>
        </w:rPr>
        <w:t>须负责与第三方</w:t>
      </w:r>
      <w:r>
        <w:rPr>
          <w:rFonts w:hint="eastAsia"/>
          <w:color w:val="auto"/>
          <w:sz w:val="24"/>
          <w:highlight w:val="none"/>
        </w:rPr>
        <w:t>交涉</w:t>
      </w:r>
      <w:r>
        <w:rPr>
          <w:color w:val="auto"/>
          <w:sz w:val="24"/>
          <w:highlight w:val="none"/>
        </w:rPr>
        <w:t>并承担可能发生的一切法律责任和经济责任，由此给</w:t>
      </w:r>
      <w:r>
        <w:rPr>
          <w:rFonts w:hint="eastAsia"/>
          <w:color w:val="auto"/>
          <w:sz w:val="24"/>
          <w:highlight w:val="none"/>
        </w:rPr>
        <w:t>甲方</w:t>
      </w:r>
      <w:r>
        <w:rPr>
          <w:color w:val="auto"/>
          <w:sz w:val="24"/>
          <w:highlight w:val="none"/>
        </w:rPr>
        <w:t>造成的一切损失由</w:t>
      </w:r>
      <w:r>
        <w:rPr>
          <w:rFonts w:hint="eastAsia"/>
          <w:color w:val="auto"/>
          <w:sz w:val="24"/>
          <w:highlight w:val="none"/>
        </w:rPr>
        <w:t>乙方</w:t>
      </w:r>
      <w:r>
        <w:rPr>
          <w:color w:val="auto"/>
          <w:sz w:val="24"/>
          <w:highlight w:val="none"/>
        </w:rPr>
        <w:t>承担。</w:t>
      </w:r>
    </w:p>
    <w:p>
      <w:pPr>
        <w:pStyle w:val="3"/>
        <w:spacing w:line="360" w:lineRule="auto"/>
        <w:rPr>
          <w:rFonts w:hint="eastAsia" w:ascii="Calibri" w:hAnsi="Calibri"/>
          <w:color w:val="auto"/>
          <w:sz w:val="24"/>
          <w:highlight w:val="none"/>
        </w:rPr>
      </w:pPr>
      <w:r>
        <w:rPr>
          <w:rFonts w:ascii="Calibri" w:hAnsi="Calibri"/>
          <w:color w:val="auto"/>
          <w:sz w:val="28"/>
          <w:szCs w:val="28"/>
          <w:highlight w:val="none"/>
        </w:rPr>
        <w:t>4</w:t>
      </w:r>
      <w:r>
        <w:rPr>
          <w:rFonts w:hint="eastAsia" w:ascii="Calibri" w:hAnsi="Calibri"/>
          <w:color w:val="auto"/>
          <w:sz w:val="28"/>
          <w:szCs w:val="28"/>
          <w:highlight w:val="none"/>
        </w:rPr>
        <w:t>、</w:t>
      </w:r>
      <w:r>
        <w:rPr>
          <w:rFonts w:hint="eastAsia"/>
          <w:color w:val="auto"/>
          <w:sz w:val="24"/>
          <w:highlight w:val="none"/>
        </w:rPr>
        <w:t>乙方提供的主要原材料、设备、构配件、半成品</w:t>
      </w:r>
      <w:r>
        <w:rPr>
          <w:rFonts w:hint="eastAsia" w:ascii="Calibri" w:hAnsi="Calibri"/>
          <w:color w:val="auto"/>
          <w:sz w:val="24"/>
          <w:highlight w:val="none"/>
        </w:rPr>
        <w:t>不符合双方约定的品牌、规格、型号等或未提供质量合格证的，甲方有权要求乙方更换或重做，或要求乙方承担甲方损失的相应违约赔偿责任。</w:t>
      </w:r>
    </w:p>
    <w:p>
      <w:pPr>
        <w:pStyle w:val="3"/>
        <w:spacing w:line="360" w:lineRule="auto"/>
        <w:rPr>
          <w:rFonts w:hint="eastAsia" w:ascii="Calibri" w:hAnsi="Calibri"/>
          <w:color w:val="auto"/>
          <w:sz w:val="24"/>
          <w:highlight w:val="none"/>
        </w:rPr>
      </w:pPr>
      <w:r>
        <w:rPr>
          <w:rFonts w:hint="eastAsia" w:ascii="Calibri" w:hAnsi="Calibri"/>
          <w:color w:val="auto"/>
          <w:sz w:val="24"/>
          <w:highlight w:val="none"/>
        </w:rPr>
        <w:t>5、质量保修期内，由乙方原因造成的工程缺陷，乙方应负责维修并承担工程鉴定及维修费用。如乙方不维修也不承担费用，甲方有权从质量保证金中扣除，费用超出质量保证金额的，甲方可向乙方进行索赔，乙方维修并承担相应费用后，不免除对工程的损失赔偿责任。</w:t>
      </w:r>
    </w:p>
    <w:p>
      <w:pPr>
        <w:spacing w:line="360" w:lineRule="auto"/>
        <w:ind w:firstLine="480" w:firstLineChars="200"/>
        <w:rPr>
          <w:rFonts w:hint="eastAsia" w:ascii="Calibri" w:hAnsi="Calibri"/>
          <w:color w:val="auto"/>
          <w:sz w:val="24"/>
          <w:szCs w:val="24"/>
          <w:highlight w:val="none"/>
        </w:rPr>
      </w:pPr>
      <w:r>
        <w:rPr>
          <w:rFonts w:hint="eastAsia" w:ascii="Calibri" w:hAnsi="Calibri"/>
          <w:color w:val="auto"/>
          <w:sz w:val="24"/>
          <w:szCs w:val="24"/>
          <w:highlight w:val="none"/>
        </w:rPr>
        <w:t>6、乙方必须严格按照国家相关法律法规及合同约定，及时、足额支付农民工工资，确保不发生拖欠农民工工资的情况。若因乙方原因导致农民工工资未能及时、足额发放引发纠纷，进而发生影响甲方正常生产经营活动的事件，甲方有权利追究乙方责任，同时乙方还应赔偿甲方由此遭受的实际损失及消除不良影响。</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二、甲方的责任：</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未能按照合同的规定履行自己应负的责任，除竣工日期得以顺延外，还应赔偿乙方由此造成的实际损失。</w:t>
      </w:r>
    </w:p>
    <w:p>
      <w:pPr>
        <w:pStyle w:val="3"/>
        <w:spacing w:line="360" w:lineRule="auto"/>
        <w:rPr>
          <w:rFonts w:hint="eastAsia"/>
          <w:color w:val="auto"/>
          <w:highlight w:val="none"/>
        </w:rPr>
      </w:pPr>
    </w:p>
    <w:p>
      <w:pPr>
        <w:widowControl/>
        <w:numPr>
          <w:ilvl w:val="0"/>
          <w:numId w:val="4"/>
        </w:num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防火、安全责任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一、开工前，甲乙双方应签订安全施工协议书。乙方应向甲方保卫部门申请办理施工人员进入厂区的出入证。工程需要临时用电、临时动火、高处作业、有限空间危险作业的，应向甲方保卫部、安全监督部申请办理相关的审批手续，未办理相关的审批手续不得进场施工。</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二、乙方对作业场所安全、消防安全负责。应加强防火、防盗、施工安全防护措施和加强对施工队伍的管理，并指定落实施工现场安全责任人，书面通知甲方。在施工中应严格遵守和执行安全、文明和深夜施工等规定。否则，导致造成的损失和有关部门给予处罚或追究赔偿的经济损失均由乙方负责。</w:t>
      </w:r>
    </w:p>
    <w:p>
      <w:pPr>
        <w:pStyle w:val="3"/>
        <w:spacing w:line="360" w:lineRule="auto"/>
        <w:rPr>
          <w:rFonts w:hint="eastAsia"/>
          <w:color w:val="auto"/>
          <w:highlight w:val="none"/>
        </w:rPr>
      </w:pPr>
    </w:p>
    <w:p>
      <w:pPr>
        <w:widowControl/>
        <w:numPr>
          <w:ilvl w:val="0"/>
          <w:numId w:val="4"/>
        </w:num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争议解决办法</w:t>
      </w:r>
    </w:p>
    <w:p>
      <w:pPr>
        <w:spacing w:line="360" w:lineRule="auto"/>
        <w:ind w:firstLine="482"/>
        <w:rPr>
          <w:rFonts w:ascii="宋体" w:hAnsi="宋体"/>
          <w:color w:val="auto"/>
          <w:sz w:val="24"/>
          <w:highlight w:val="none"/>
        </w:rPr>
      </w:pPr>
      <w:r>
        <w:rPr>
          <w:rFonts w:hint="eastAsia" w:ascii="宋体" w:hAnsi="宋体"/>
          <w:color w:val="auto"/>
          <w:sz w:val="24"/>
          <w:highlight w:val="none"/>
        </w:rPr>
        <w:t>在履行合同时发生争议，双方应和解或者调解解决，如果当事人不愿和解、调解或和解、调解不成，向甲方住所地有管辖权的人民法院起诉。</w:t>
      </w:r>
    </w:p>
    <w:p>
      <w:pPr>
        <w:spacing w:line="360" w:lineRule="auto"/>
        <w:jc w:val="center"/>
        <w:rPr>
          <w:rFonts w:ascii="宋体" w:hAnsi="宋体"/>
          <w:b/>
          <w:bCs/>
          <w:color w:val="auto"/>
          <w:sz w:val="28"/>
          <w:szCs w:val="28"/>
          <w:highlight w:val="none"/>
        </w:rPr>
      </w:pPr>
    </w:p>
    <w:p>
      <w:pPr>
        <w:spacing w:line="360" w:lineRule="auto"/>
        <w:jc w:val="center"/>
        <w:rPr>
          <w:rFonts w:hint="eastAsia" w:ascii="宋体" w:hAnsi="宋体"/>
          <w:b/>
          <w:bCs/>
          <w:color w:val="auto"/>
          <w:sz w:val="28"/>
          <w:szCs w:val="28"/>
          <w:highlight w:val="none"/>
        </w:rPr>
      </w:pPr>
      <w:r>
        <w:rPr>
          <w:rFonts w:hint="eastAsia" w:ascii="宋体" w:hAnsi="宋体"/>
          <w:b/>
          <w:bCs/>
          <w:color w:val="auto"/>
          <w:sz w:val="28"/>
          <w:szCs w:val="28"/>
          <w:highlight w:val="none"/>
        </w:rPr>
        <w:t>第十二条  附则</w:t>
      </w:r>
    </w:p>
    <w:p>
      <w:pPr>
        <w:pStyle w:val="3"/>
        <w:spacing w:line="360" w:lineRule="auto"/>
        <w:ind w:firstLine="482" w:firstLineChars="200"/>
        <w:rPr>
          <w:rFonts w:hint="eastAsia" w:ascii="Calibri" w:hAnsi="Calibri"/>
          <w:color w:val="auto"/>
          <w:kern w:val="2"/>
          <w:sz w:val="24"/>
          <w:highlight w:val="none"/>
        </w:rPr>
      </w:pPr>
      <w:r>
        <w:rPr>
          <w:rFonts w:hint="eastAsia"/>
          <w:b/>
          <w:bCs/>
          <w:color w:val="auto"/>
          <w:sz w:val="24"/>
          <w:highlight w:val="none"/>
        </w:rPr>
        <w:t>一、</w:t>
      </w:r>
      <w:r>
        <w:rPr>
          <w:rFonts w:hint="eastAsia" w:ascii="Calibri" w:hAnsi="Calibri"/>
          <w:color w:val="auto"/>
          <w:kern w:val="2"/>
          <w:sz w:val="24"/>
          <w:highlight w:val="none"/>
        </w:rPr>
        <w:t xml:space="preserve">下列文件均为本合同的组成部分： </w:t>
      </w:r>
    </w:p>
    <w:p>
      <w:pPr>
        <w:pStyle w:val="3"/>
        <w:spacing w:line="360" w:lineRule="auto"/>
        <w:ind w:firstLine="480" w:firstLineChars="200"/>
        <w:rPr>
          <w:rFonts w:hint="eastAsia" w:ascii="Calibri" w:hAnsi="Calibri"/>
          <w:color w:val="auto"/>
          <w:kern w:val="2"/>
          <w:sz w:val="24"/>
          <w:highlight w:val="none"/>
        </w:rPr>
      </w:pPr>
      <w:r>
        <w:rPr>
          <w:rFonts w:ascii="Calibri" w:hAnsi="Calibri"/>
          <w:color w:val="auto"/>
          <w:kern w:val="2"/>
          <w:sz w:val="24"/>
          <w:highlight w:val="none"/>
        </w:rPr>
        <w:t>1</w:t>
      </w:r>
      <w:r>
        <w:rPr>
          <w:rFonts w:hint="eastAsia" w:ascii="Calibri" w:hAnsi="Calibri"/>
          <w:color w:val="auto"/>
          <w:kern w:val="2"/>
          <w:sz w:val="24"/>
          <w:highlight w:val="none"/>
        </w:rPr>
        <w:t>、项目招标文件、投标文件、答疑、补充通知等；</w:t>
      </w:r>
    </w:p>
    <w:p>
      <w:pPr>
        <w:pStyle w:val="3"/>
        <w:spacing w:line="360" w:lineRule="auto"/>
        <w:ind w:firstLine="480" w:firstLineChars="200"/>
        <w:rPr>
          <w:rFonts w:hint="eastAsia" w:ascii="Calibri" w:hAnsi="Calibri"/>
          <w:color w:val="auto"/>
          <w:kern w:val="2"/>
          <w:sz w:val="24"/>
          <w:highlight w:val="none"/>
        </w:rPr>
      </w:pPr>
      <w:r>
        <w:rPr>
          <w:rFonts w:ascii="Calibri" w:hAnsi="Calibri"/>
          <w:color w:val="auto"/>
          <w:kern w:val="2"/>
          <w:sz w:val="24"/>
          <w:highlight w:val="none"/>
        </w:rPr>
        <w:t>2</w:t>
      </w:r>
      <w:r>
        <w:rPr>
          <w:rFonts w:hint="eastAsia" w:ascii="Calibri" w:hAnsi="Calibri"/>
          <w:color w:val="auto"/>
          <w:kern w:val="2"/>
          <w:sz w:val="24"/>
          <w:highlight w:val="none"/>
        </w:rPr>
        <w:t>、项目邀请函、采购公告、响应文件等采购过程涉及的相关资料；</w:t>
      </w:r>
    </w:p>
    <w:p>
      <w:pPr>
        <w:pStyle w:val="3"/>
        <w:spacing w:line="360" w:lineRule="auto"/>
        <w:ind w:firstLine="480" w:firstLineChars="200"/>
        <w:rPr>
          <w:b/>
          <w:bCs/>
          <w:color w:val="auto"/>
          <w:sz w:val="28"/>
          <w:szCs w:val="28"/>
          <w:highlight w:val="none"/>
        </w:rPr>
      </w:pPr>
      <w:r>
        <w:rPr>
          <w:rFonts w:ascii="Calibri" w:hAnsi="Calibri"/>
          <w:color w:val="auto"/>
          <w:kern w:val="2"/>
          <w:sz w:val="24"/>
          <w:highlight w:val="none"/>
        </w:rPr>
        <w:t>3</w:t>
      </w:r>
      <w:r>
        <w:rPr>
          <w:rFonts w:hint="eastAsia" w:ascii="Calibri" w:hAnsi="Calibri"/>
          <w:color w:val="auto"/>
          <w:kern w:val="2"/>
          <w:sz w:val="24"/>
          <w:highlight w:val="none"/>
        </w:rPr>
        <w:t>、本合同执行中共同签署的补充与修正等文件。</w:t>
      </w:r>
    </w:p>
    <w:p>
      <w:pPr>
        <w:spacing w:line="360" w:lineRule="auto"/>
        <w:ind w:firstLine="420"/>
        <w:rPr>
          <w:rFonts w:hint="eastAsia" w:ascii="宋体" w:hAnsi="宋体"/>
          <w:color w:val="auto"/>
          <w:sz w:val="24"/>
          <w:szCs w:val="24"/>
          <w:highlight w:val="none"/>
        </w:rPr>
      </w:pPr>
      <w:r>
        <w:rPr>
          <w:rFonts w:hint="eastAsia" w:ascii="宋体" w:hAnsi="宋体"/>
          <w:color w:val="auto"/>
          <w:sz w:val="24"/>
          <w:szCs w:val="24"/>
          <w:highlight w:val="none"/>
        </w:rPr>
        <w:t xml:space="preserve">二、本合同一式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肆</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份，甲方执</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份，乙方执</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份。</w:t>
      </w:r>
    </w:p>
    <w:p>
      <w:pPr>
        <w:spacing w:line="360" w:lineRule="auto"/>
        <w:ind w:firstLine="420"/>
        <w:rPr>
          <w:rFonts w:hint="eastAsia" w:ascii="宋体" w:hAnsi="宋体"/>
          <w:color w:val="auto"/>
          <w:sz w:val="24"/>
          <w:szCs w:val="24"/>
          <w:highlight w:val="none"/>
        </w:rPr>
      </w:pPr>
      <w:r>
        <w:rPr>
          <w:rFonts w:hint="eastAsia" w:ascii="宋体" w:hAnsi="宋体"/>
          <w:color w:val="auto"/>
          <w:sz w:val="24"/>
          <w:szCs w:val="24"/>
          <w:highlight w:val="none"/>
        </w:rPr>
        <w:t>三、本合同自双方代表签字，加盖双方公章或合同专用章即生效，需办理鉴（公）证的，自办毕鉴（公）证之日起生效；本合同效力在工程竣工验收符合要求且工程款结清后终止。</w:t>
      </w:r>
    </w:p>
    <w:p>
      <w:pPr>
        <w:spacing w:line="360" w:lineRule="auto"/>
        <w:ind w:firstLine="420"/>
        <w:rPr>
          <w:rFonts w:hint="eastAsia" w:ascii="宋体" w:hAnsi="宋体"/>
          <w:color w:val="auto"/>
          <w:sz w:val="24"/>
          <w:szCs w:val="24"/>
          <w:highlight w:val="none"/>
        </w:rPr>
      </w:pPr>
      <w:r>
        <w:rPr>
          <w:rFonts w:hint="eastAsia" w:ascii="宋体" w:hAnsi="宋体"/>
          <w:color w:val="auto"/>
          <w:sz w:val="24"/>
          <w:szCs w:val="24"/>
          <w:highlight w:val="none"/>
        </w:rPr>
        <w:t>四、本合同签订后，结合工程实际，如需要补充或修改合同条款内容，经双方协商一致后，签订补充协议。补充协议与本合同具有同等效力。</w:t>
      </w:r>
    </w:p>
    <w:p>
      <w:pPr>
        <w:spacing w:line="420" w:lineRule="exact"/>
        <w:rPr>
          <w:rFonts w:hint="eastAsia" w:ascii="宋体" w:hAnsi="宋体"/>
          <w:color w:val="auto"/>
          <w:sz w:val="24"/>
          <w:highlight w:val="none"/>
        </w:rPr>
      </w:pPr>
    </w:p>
    <w:tbl>
      <w:tblPr>
        <w:tblStyle w:val="4"/>
        <w:tblW w:w="0" w:type="auto"/>
        <w:tblInd w:w="0" w:type="dxa"/>
        <w:tblLayout w:type="fixed"/>
        <w:tblCellMar>
          <w:top w:w="0" w:type="dxa"/>
          <w:left w:w="108" w:type="dxa"/>
          <w:bottom w:w="0" w:type="dxa"/>
          <w:right w:w="108" w:type="dxa"/>
        </w:tblCellMar>
      </w:tblPr>
      <w:tblGrid>
        <w:gridCol w:w="4219"/>
        <w:gridCol w:w="284"/>
        <w:gridCol w:w="4019"/>
      </w:tblGrid>
      <w:tr>
        <w:tblPrEx>
          <w:tblCellMar>
            <w:top w:w="0" w:type="dxa"/>
            <w:left w:w="108" w:type="dxa"/>
            <w:bottom w:w="0" w:type="dxa"/>
            <w:right w:w="108" w:type="dxa"/>
          </w:tblCellMar>
        </w:tblPrEx>
        <w:trPr>
          <w:trHeight w:val="454" w:hRule="atLeast"/>
        </w:trPr>
        <w:tc>
          <w:tcPr>
            <w:tcW w:w="4219" w:type="dxa"/>
            <w:noWrap w:val="0"/>
            <w:vAlign w:val="top"/>
          </w:tcPr>
          <w:p>
            <w:pPr>
              <w:spacing w:line="420" w:lineRule="exact"/>
              <w:ind w:left="1568" w:leftChars="1" w:hanging="1566" w:hangingChars="650"/>
              <w:rPr>
                <w:rFonts w:hint="eastAsia" w:ascii="宋体" w:hAnsi="宋体" w:cs="宋体"/>
                <w:b/>
                <w:color w:val="auto"/>
                <w:sz w:val="24"/>
                <w:szCs w:val="24"/>
                <w:highlight w:val="none"/>
              </w:rPr>
            </w:pPr>
            <w:r>
              <w:rPr>
                <w:rFonts w:hint="eastAsia" w:ascii="宋体" w:hAnsi="宋体" w:cs="宋体"/>
                <w:b/>
                <w:color w:val="auto"/>
                <w:sz w:val="24"/>
                <w:szCs w:val="24"/>
                <w:highlight w:val="none"/>
              </w:rPr>
              <w:t>甲方（盖章）：</w:t>
            </w:r>
            <w:r>
              <w:rPr>
                <w:rFonts w:hint="eastAsia" w:ascii="宋体" w:hAnsi="宋体" w:cs="宋体"/>
                <w:b/>
                <w:color w:val="auto"/>
                <w:sz w:val="24"/>
                <w:szCs w:val="24"/>
                <w:highlight w:val="none"/>
                <w:lang w:val="en-US" w:eastAsia="zh-CN"/>
              </w:rPr>
              <w:t>广州白云山中一药业有限公司</w:t>
            </w: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ind w:left="1687" w:hanging="1687" w:hangingChars="700"/>
              <w:rPr>
                <w:rFonts w:hint="eastAsia" w:ascii="宋体" w:hAnsi="宋体" w:cs="宋体"/>
                <w:b/>
                <w:color w:val="auto"/>
                <w:sz w:val="24"/>
                <w:szCs w:val="24"/>
                <w:highlight w:val="none"/>
              </w:rPr>
            </w:pPr>
            <w:r>
              <w:rPr>
                <w:rFonts w:hint="eastAsia" w:ascii="宋体" w:hAnsi="宋体" w:cs="宋体"/>
                <w:b/>
                <w:color w:val="auto"/>
                <w:sz w:val="24"/>
                <w:szCs w:val="24"/>
                <w:highlight w:val="none"/>
              </w:rPr>
              <w:t>乙方（盖章）：</w:t>
            </w:r>
          </w:p>
        </w:tc>
      </w:tr>
      <w:tr>
        <w:tblPrEx>
          <w:tblCellMar>
            <w:top w:w="0" w:type="dxa"/>
            <w:left w:w="108" w:type="dxa"/>
            <w:bottom w:w="0" w:type="dxa"/>
            <w:right w:w="108" w:type="dxa"/>
          </w:tblCellMar>
        </w:tblPrEx>
        <w:trPr>
          <w:trHeight w:val="454" w:hRule="atLeast"/>
        </w:trPr>
        <w:tc>
          <w:tcPr>
            <w:tcW w:w="42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法定代表人（签章）：</w:t>
            </w: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法定代表人（签章）：</w:t>
            </w:r>
          </w:p>
        </w:tc>
      </w:tr>
      <w:tr>
        <w:tblPrEx>
          <w:tblCellMar>
            <w:top w:w="0" w:type="dxa"/>
            <w:left w:w="108" w:type="dxa"/>
            <w:bottom w:w="0" w:type="dxa"/>
            <w:right w:w="108" w:type="dxa"/>
          </w:tblCellMar>
        </w:tblPrEx>
        <w:trPr>
          <w:trHeight w:val="454" w:hRule="atLeast"/>
        </w:trPr>
        <w:tc>
          <w:tcPr>
            <w:tcW w:w="42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委托代理人（签字）：</w:t>
            </w: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项目经理（签字）：</w:t>
            </w:r>
          </w:p>
        </w:tc>
      </w:tr>
      <w:tr>
        <w:tblPrEx>
          <w:tblCellMar>
            <w:top w:w="0" w:type="dxa"/>
            <w:left w:w="108" w:type="dxa"/>
            <w:bottom w:w="0" w:type="dxa"/>
            <w:right w:w="108" w:type="dxa"/>
          </w:tblCellMar>
        </w:tblPrEx>
        <w:trPr>
          <w:trHeight w:val="454" w:hRule="atLeast"/>
        </w:trPr>
        <w:tc>
          <w:tcPr>
            <w:tcW w:w="42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单位地址：</w:t>
            </w:r>
            <w:r>
              <w:rPr>
                <w:rFonts w:hint="eastAsia" w:ascii="宋体" w:hAnsi="宋体" w:cs="宋体"/>
                <w:color w:val="auto"/>
                <w:sz w:val="24"/>
                <w:szCs w:val="24"/>
                <w:highlight w:val="none"/>
                <w:lang w:val="en-US" w:eastAsia="zh-CN"/>
              </w:rPr>
              <w:t>广州市黄埔区云埔一路32号</w:t>
            </w: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单位地址：</w:t>
            </w:r>
            <w:bookmarkStart w:id="1" w:name="_Hlk38628410"/>
          </w:p>
          <w:bookmarkEnd w:id="1"/>
          <w:p>
            <w:pPr>
              <w:spacing w:line="420" w:lineRule="exact"/>
              <w:rPr>
                <w:rFonts w:hint="eastAsia" w:ascii="宋体" w:hAnsi="宋体" w:cs="宋体"/>
                <w:b/>
                <w:color w:val="auto"/>
                <w:sz w:val="24"/>
                <w:szCs w:val="24"/>
                <w:highlight w:val="none"/>
              </w:rPr>
            </w:pPr>
          </w:p>
        </w:tc>
      </w:tr>
      <w:tr>
        <w:tblPrEx>
          <w:tblCellMar>
            <w:top w:w="0" w:type="dxa"/>
            <w:left w:w="108" w:type="dxa"/>
            <w:bottom w:w="0" w:type="dxa"/>
            <w:right w:w="108" w:type="dxa"/>
          </w:tblCellMar>
        </w:tblPrEx>
        <w:trPr>
          <w:trHeight w:val="454" w:hRule="atLeast"/>
        </w:trPr>
        <w:tc>
          <w:tcPr>
            <w:tcW w:w="4219" w:type="dxa"/>
            <w:noWrap w:val="0"/>
            <w:vAlign w:val="top"/>
          </w:tcPr>
          <w:p>
            <w:pPr>
              <w:spacing w:line="420" w:lineRule="exact"/>
              <w:rPr>
                <w:rFonts w:hint="default" w:ascii="宋体" w:hAnsi="宋体" w:eastAsia="宋体" w:cs="宋体"/>
                <w:b/>
                <w:color w:val="auto"/>
                <w:sz w:val="24"/>
                <w:szCs w:val="24"/>
                <w:highlight w:val="none"/>
                <w:lang w:val="en-US" w:eastAsia="zh-CN"/>
              </w:rPr>
            </w:pPr>
            <w:r>
              <w:rPr>
                <w:rFonts w:hint="eastAsia" w:ascii="宋体" w:hAnsi="宋体" w:cs="宋体"/>
                <w:color w:val="auto"/>
                <w:sz w:val="24"/>
                <w:szCs w:val="24"/>
                <w:highlight w:val="none"/>
              </w:rPr>
              <w:t>联系电话：</w:t>
            </w:r>
            <w:r>
              <w:rPr>
                <w:rFonts w:hint="eastAsia" w:ascii="宋体" w:hAnsi="宋体" w:cs="宋体"/>
                <w:color w:val="auto"/>
                <w:sz w:val="24"/>
                <w:szCs w:val="24"/>
                <w:highlight w:val="none"/>
                <w:lang w:val="en-US" w:eastAsia="zh-CN"/>
              </w:rPr>
              <w:t>020-31559168转1839</w:t>
            </w: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联系电话：</w:t>
            </w:r>
          </w:p>
        </w:tc>
      </w:tr>
      <w:tr>
        <w:tblPrEx>
          <w:tblCellMar>
            <w:top w:w="0" w:type="dxa"/>
            <w:left w:w="108" w:type="dxa"/>
            <w:bottom w:w="0" w:type="dxa"/>
            <w:right w:w="108" w:type="dxa"/>
          </w:tblCellMar>
        </w:tblPrEx>
        <w:trPr>
          <w:trHeight w:val="454" w:hRule="atLeast"/>
        </w:trPr>
        <w:tc>
          <w:tcPr>
            <w:tcW w:w="42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传真：</w:t>
            </w: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color w:val="auto"/>
                <w:sz w:val="24"/>
                <w:szCs w:val="24"/>
                <w:highlight w:val="none"/>
              </w:rPr>
              <w:t>传真：</w:t>
            </w:r>
          </w:p>
        </w:tc>
      </w:tr>
      <w:tr>
        <w:tblPrEx>
          <w:tblCellMar>
            <w:top w:w="0" w:type="dxa"/>
            <w:left w:w="108" w:type="dxa"/>
            <w:bottom w:w="0" w:type="dxa"/>
            <w:right w:w="108" w:type="dxa"/>
          </w:tblCellMar>
        </w:tblPrEx>
        <w:trPr>
          <w:trHeight w:val="454" w:hRule="atLeast"/>
        </w:trPr>
        <w:tc>
          <w:tcPr>
            <w:tcW w:w="4219" w:type="dxa"/>
            <w:noWrap w:val="0"/>
            <w:vAlign w:val="top"/>
          </w:tcPr>
          <w:p>
            <w:pPr>
              <w:spacing w:line="420" w:lineRule="exact"/>
              <w:rPr>
                <w:rFonts w:hint="default" w:ascii="宋体" w:hAnsi="宋体" w:eastAsia="宋体" w:cs="宋体"/>
                <w:b/>
                <w:color w:val="auto"/>
                <w:sz w:val="24"/>
                <w:szCs w:val="24"/>
                <w:highlight w:val="none"/>
                <w:lang w:val="en-US" w:eastAsia="zh-CN"/>
              </w:rPr>
            </w:pPr>
            <w:r>
              <w:rPr>
                <w:rFonts w:hint="eastAsia" w:ascii="宋体" w:hAnsi="宋体" w:cs="宋体"/>
                <w:color w:val="auto"/>
                <w:sz w:val="24"/>
                <w:szCs w:val="24"/>
                <w:highlight w:val="none"/>
              </w:rPr>
              <w:t>邮政编码：</w:t>
            </w:r>
            <w:r>
              <w:rPr>
                <w:rFonts w:hint="eastAsia" w:ascii="宋体" w:hAnsi="宋体" w:cs="宋体"/>
                <w:color w:val="auto"/>
                <w:sz w:val="24"/>
                <w:szCs w:val="24"/>
                <w:highlight w:val="none"/>
                <w:lang w:val="en-US" w:eastAsia="zh-CN"/>
              </w:rPr>
              <w:t>510000</w:t>
            </w: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rPr>
                <w:rFonts w:ascii="宋体" w:hAnsi="宋体" w:cs="宋体"/>
                <w:b/>
                <w:color w:val="auto"/>
                <w:sz w:val="24"/>
                <w:szCs w:val="24"/>
                <w:highlight w:val="none"/>
              </w:rPr>
            </w:pPr>
            <w:r>
              <w:rPr>
                <w:rFonts w:hint="eastAsia" w:ascii="宋体" w:hAnsi="宋体" w:cs="宋体"/>
                <w:color w:val="auto"/>
                <w:sz w:val="24"/>
                <w:szCs w:val="24"/>
                <w:highlight w:val="none"/>
              </w:rPr>
              <w:t>邮政编码：</w:t>
            </w:r>
          </w:p>
        </w:tc>
      </w:tr>
      <w:tr>
        <w:tblPrEx>
          <w:tblCellMar>
            <w:top w:w="0" w:type="dxa"/>
            <w:left w:w="108" w:type="dxa"/>
            <w:bottom w:w="0" w:type="dxa"/>
            <w:right w:w="108" w:type="dxa"/>
          </w:tblCellMar>
        </w:tblPrEx>
        <w:trPr>
          <w:trHeight w:val="1200" w:hRule="atLeast"/>
        </w:trPr>
        <w:tc>
          <w:tcPr>
            <w:tcW w:w="42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b/>
                <w:color w:val="auto"/>
                <w:sz w:val="24"/>
                <w:szCs w:val="24"/>
                <w:highlight w:val="none"/>
              </w:rPr>
              <w:t>开户银行及账号：</w:t>
            </w:r>
          </w:p>
          <w:p>
            <w:pPr>
              <w:spacing w:line="420" w:lineRule="exact"/>
              <w:rPr>
                <w:rFonts w:hint="eastAsia" w:ascii="宋体" w:hAnsi="宋体" w:cs="宋体"/>
                <w:color w:val="auto"/>
                <w:sz w:val="24"/>
                <w:szCs w:val="24"/>
                <w:highlight w:val="none"/>
              </w:rPr>
            </w:pPr>
          </w:p>
          <w:p>
            <w:pPr>
              <w:spacing w:line="420" w:lineRule="exact"/>
              <w:rPr>
                <w:rFonts w:hint="eastAsia" w:ascii="宋体" w:hAnsi="宋体" w:cs="宋体"/>
                <w:color w:val="auto"/>
                <w:sz w:val="24"/>
                <w:szCs w:val="24"/>
                <w:highlight w:val="none"/>
              </w:rPr>
            </w:pPr>
          </w:p>
        </w:tc>
        <w:tc>
          <w:tcPr>
            <w:tcW w:w="284" w:type="dxa"/>
            <w:noWrap w:val="0"/>
            <w:vAlign w:val="top"/>
          </w:tcPr>
          <w:p>
            <w:pPr>
              <w:spacing w:line="420" w:lineRule="exact"/>
              <w:rPr>
                <w:rFonts w:hint="eastAsia" w:ascii="宋体" w:hAnsi="宋体" w:cs="宋体"/>
                <w:color w:val="auto"/>
                <w:sz w:val="24"/>
                <w:szCs w:val="24"/>
                <w:highlight w:val="none"/>
              </w:rPr>
            </w:pPr>
          </w:p>
        </w:tc>
        <w:tc>
          <w:tcPr>
            <w:tcW w:w="4019" w:type="dxa"/>
            <w:noWrap w:val="0"/>
            <w:vAlign w:val="top"/>
          </w:tcPr>
          <w:p>
            <w:pPr>
              <w:spacing w:line="420" w:lineRule="exact"/>
              <w:rPr>
                <w:rFonts w:hint="eastAsia" w:ascii="宋体" w:hAnsi="宋体" w:cs="宋体"/>
                <w:b/>
                <w:color w:val="auto"/>
                <w:sz w:val="24"/>
                <w:szCs w:val="24"/>
                <w:highlight w:val="none"/>
              </w:rPr>
            </w:pPr>
            <w:r>
              <w:rPr>
                <w:rFonts w:hint="eastAsia" w:ascii="宋体" w:hAnsi="宋体" w:cs="宋体"/>
                <w:b/>
                <w:color w:val="auto"/>
                <w:sz w:val="24"/>
                <w:szCs w:val="24"/>
                <w:highlight w:val="none"/>
              </w:rPr>
              <w:t>开户银行及账号：</w:t>
            </w:r>
          </w:p>
          <w:p>
            <w:pPr>
              <w:spacing w:line="420" w:lineRule="exact"/>
              <w:rPr>
                <w:rFonts w:hint="eastAsia" w:ascii="宋体" w:hAnsi="宋体" w:cs="宋体"/>
                <w:b/>
                <w:color w:val="auto"/>
                <w:sz w:val="24"/>
                <w:szCs w:val="24"/>
                <w:highlight w:val="none"/>
              </w:rPr>
            </w:pPr>
          </w:p>
          <w:p>
            <w:pPr>
              <w:spacing w:line="420" w:lineRule="exact"/>
              <w:rPr>
                <w:rFonts w:hint="eastAsia" w:ascii="宋体" w:hAnsi="宋体" w:cs="宋体"/>
                <w:b/>
                <w:color w:val="auto"/>
                <w:sz w:val="24"/>
                <w:szCs w:val="24"/>
                <w:highlight w:val="none"/>
              </w:rPr>
            </w:pPr>
          </w:p>
        </w:tc>
      </w:tr>
    </w:tbl>
    <w:p>
      <w:pPr>
        <w:spacing w:line="420" w:lineRule="exact"/>
        <w:rPr>
          <w:rFonts w:hint="eastAsia" w:ascii="宋体" w:hAnsi="宋体"/>
          <w:color w:val="auto"/>
          <w:sz w:val="24"/>
          <w:highlight w:val="none"/>
        </w:rPr>
      </w:pPr>
    </w:p>
    <w:p>
      <w:pPr>
        <w:spacing w:line="420" w:lineRule="exact"/>
        <w:jc w:val="center"/>
      </w:pPr>
      <w:r>
        <w:rPr>
          <w:rFonts w:hint="eastAsia" w:ascii="宋体" w:hAnsi="宋体"/>
          <w:color w:val="auto"/>
          <w:sz w:val="24"/>
          <w:highlight w:val="none"/>
        </w:rPr>
        <w:t>签订日期：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A1438"/>
    <w:multiLevelType w:val="multilevel"/>
    <w:tmpl w:val="072A1438"/>
    <w:lvl w:ilvl="0" w:tentative="0">
      <w:start w:val="1"/>
      <w:numFmt w:val="japaneseCounting"/>
      <w:lvlText w:val="第%1条"/>
      <w:lvlJc w:val="left"/>
      <w:pPr>
        <w:tabs>
          <w:tab w:val="left" w:pos="960"/>
        </w:tabs>
        <w:ind w:left="960" w:hanging="960"/>
      </w:pPr>
    </w:lvl>
    <w:lvl w:ilvl="1" w:tentative="0">
      <w:start w:val="1"/>
      <w:numFmt w:val="japaneseCounting"/>
      <w:lvlText w:val="%2、"/>
      <w:lvlJc w:val="left"/>
      <w:pPr>
        <w:tabs>
          <w:tab w:val="left" w:pos="795"/>
        </w:tabs>
        <w:ind w:left="795" w:hanging="48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3FB29C4"/>
    <w:multiLevelType w:val="multilevel"/>
    <w:tmpl w:val="13FB29C4"/>
    <w:lvl w:ilvl="0" w:tentative="0">
      <w:start w:val="1"/>
      <w:numFmt w:val="japaneseCounting"/>
      <w:lvlText w:val="%1、"/>
      <w:lvlJc w:val="left"/>
      <w:pPr>
        <w:tabs>
          <w:tab w:val="left" w:pos="900"/>
        </w:tabs>
        <w:ind w:left="900" w:hanging="48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F8E3AE3"/>
    <w:multiLevelType w:val="multilevel"/>
    <w:tmpl w:val="1F8E3AE3"/>
    <w:lvl w:ilvl="0" w:tentative="0">
      <w:start w:val="7"/>
      <w:numFmt w:val="japaneseCounting"/>
      <w:lvlText w:val="第%1条"/>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C508D4"/>
    <w:multiLevelType w:val="multilevel"/>
    <w:tmpl w:val="1FC508D4"/>
    <w:lvl w:ilvl="0" w:tentative="0">
      <w:start w:val="5"/>
      <w:numFmt w:val="japaneseCounting"/>
      <w:lvlText w:val="第%1条"/>
      <w:lvlJc w:val="left"/>
      <w:pPr>
        <w:tabs>
          <w:tab w:val="left" w:pos="840"/>
        </w:tabs>
        <w:ind w:left="840" w:hanging="840"/>
      </w:pPr>
      <w:rPr>
        <w:rFonts w:hint="default"/>
      </w:rPr>
    </w:lvl>
    <w:lvl w:ilvl="1" w:tentative="0">
      <w:start w:val="1"/>
      <w:numFmt w:val="lowerLetter"/>
      <w:lvlText w:val="%2)"/>
      <w:lvlJc w:val="left"/>
      <w:pPr>
        <w:tabs>
          <w:tab w:val="left" w:pos="840"/>
        </w:tabs>
        <w:ind w:left="840" w:hanging="420"/>
      </w:pPr>
    </w:lvl>
    <w:lvl w:ilvl="2" w:tentative="0">
      <w:start w:val="1"/>
      <w:numFmt w:val="japaneseCounting"/>
      <w:lvlText w:val="%3、"/>
      <w:lvlJc w:val="left"/>
      <w:pPr>
        <w:tabs>
          <w:tab w:val="left" w:pos="1320"/>
        </w:tabs>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1YmI2YWE5NTZlNTVkYTQzZTliNjIxN2Q1MmUyNTAifQ=="/>
    <w:docVar w:name="KSO_WPS_MARK_KEY" w:val="df7f4ffb-bace-441a-ae57-228394f7ca32"/>
  </w:docVars>
  <w:rsids>
    <w:rsidRoot w:val="00000000"/>
    <w:rsid w:val="01BB7833"/>
    <w:rsid w:val="026C6D7F"/>
    <w:rsid w:val="02D10E31"/>
    <w:rsid w:val="03795BF7"/>
    <w:rsid w:val="03F86B1C"/>
    <w:rsid w:val="044E2BE0"/>
    <w:rsid w:val="0486237A"/>
    <w:rsid w:val="04ED41A7"/>
    <w:rsid w:val="05255621"/>
    <w:rsid w:val="058D14E6"/>
    <w:rsid w:val="060519C4"/>
    <w:rsid w:val="066F3D59"/>
    <w:rsid w:val="06CB49BC"/>
    <w:rsid w:val="07287718"/>
    <w:rsid w:val="07C772C4"/>
    <w:rsid w:val="08205E41"/>
    <w:rsid w:val="089332B7"/>
    <w:rsid w:val="08D15B8E"/>
    <w:rsid w:val="08D37B58"/>
    <w:rsid w:val="08DD2784"/>
    <w:rsid w:val="090C4171"/>
    <w:rsid w:val="09BC05EC"/>
    <w:rsid w:val="0A56459C"/>
    <w:rsid w:val="0AE93662"/>
    <w:rsid w:val="0B386398"/>
    <w:rsid w:val="0BF64289"/>
    <w:rsid w:val="0CCF0636"/>
    <w:rsid w:val="0E7825CD"/>
    <w:rsid w:val="0EA33418"/>
    <w:rsid w:val="0F29751B"/>
    <w:rsid w:val="107870C0"/>
    <w:rsid w:val="11DD37F5"/>
    <w:rsid w:val="11FC2EB7"/>
    <w:rsid w:val="124B075F"/>
    <w:rsid w:val="128D521B"/>
    <w:rsid w:val="131119A8"/>
    <w:rsid w:val="15170DCC"/>
    <w:rsid w:val="15744470"/>
    <w:rsid w:val="15A308B2"/>
    <w:rsid w:val="15D23CCD"/>
    <w:rsid w:val="15E45FCC"/>
    <w:rsid w:val="160E2D9E"/>
    <w:rsid w:val="164200CB"/>
    <w:rsid w:val="16443E43"/>
    <w:rsid w:val="18277578"/>
    <w:rsid w:val="19481E9C"/>
    <w:rsid w:val="1A0A7151"/>
    <w:rsid w:val="1B754A9E"/>
    <w:rsid w:val="1B7E3953"/>
    <w:rsid w:val="1B811695"/>
    <w:rsid w:val="1CA078F9"/>
    <w:rsid w:val="1CDC4DD5"/>
    <w:rsid w:val="1DA8115B"/>
    <w:rsid w:val="1E34479D"/>
    <w:rsid w:val="1ED63AA6"/>
    <w:rsid w:val="1EE6018D"/>
    <w:rsid w:val="1FAF67D1"/>
    <w:rsid w:val="1FC14756"/>
    <w:rsid w:val="1FC77172"/>
    <w:rsid w:val="1FEB6089"/>
    <w:rsid w:val="20084BBB"/>
    <w:rsid w:val="20895274"/>
    <w:rsid w:val="21134B3E"/>
    <w:rsid w:val="22001566"/>
    <w:rsid w:val="226B2757"/>
    <w:rsid w:val="22A068A5"/>
    <w:rsid w:val="22D12F02"/>
    <w:rsid w:val="230A01C2"/>
    <w:rsid w:val="23166B67"/>
    <w:rsid w:val="23CD36CA"/>
    <w:rsid w:val="23E12CD1"/>
    <w:rsid w:val="24044C11"/>
    <w:rsid w:val="246456B0"/>
    <w:rsid w:val="2471674B"/>
    <w:rsid w:val="24A65CC9"/>
    <w:rsid w:val="25B032A3"/>
    <w:rsid w:val="262F241A"/>
    <w:rsid w:val="263E08AF"/>
    <w:rsid w:val="26793695"/>
    <w:rsid w:val="26F23447"/>
    <w:rsid w:val="275163C0"/>
    <w:rsid w:val="27F7697A"/>
    <w:rsid w:val="286D0FD7"/>
    <w:rsid w:val="29826D04"/>
    <w:rsid w:val="2A462AC6"/>
    <w:rsid w:val="2AAF3B29"/>
    <w:rsid w:val="2ABC1DA2"/>
    <w:rsid w:val="2B165956"/>
    <w:rsid w:val="2C7548FE"/>
    <w:rsid w:val="2C9034E6"/>
    <w:rsid w:val="2CA43435"/>
    <w:rsid w:val="2DAA682A"/>
    <w:rsid w:val="2E33681F"/>
    <w:rsid w:val="2E5073D1"/>
    <w:rsid w:val="2F0D4964"/>
    <w:rsid w:val="2F1403FE"/>
    <w:rsid w:val="2FF43D8C"/>
    <w:rsid w:val="30406FD1"/>
    <w:rsid w:val="30E958BB"/>
    <w:rsid w:val="31C4411F"/>
    <w:rsid w:val="3233306E"/>
    <w:rsid w:val="32A55811"/>
    <w:rsid w:val="3352567D"/>
    <w:rsid w:val="335F3C12"/>
    <w:rsid w:val="339C6C14"/>
    <w:rsid w:val="33D463AE"/>
    <w:rsid w:val="33D939C5"/>
    <w:rsid w:val="3431735D"/>
    <w:rsid w:val="34B84025"/>
    <w:rsid w:val="35301D0A"/>
    <w:rsid w:val="36CF7301"/>
    <w:rsid w:val="372238D5"/>
    <w:rsid w:val="376343CB"/>
    <w:rsid w:val="389B56ED"/>
    <w:rsid w:val="389E3391"/>
    <w:rsid w:val="38BF587F"/>
    <w:rsid w:val="39363667"/>
    <w:rsid w:val="399D7242"/>
    <w:rsid w:val="39DD3AE3"/>
    <w:rsid w:val="3A445910"/>
    <w:rsid w:val="3A564669"/>
    <w:rsid w:val="3A7601BF"/>
    <w:rsid w:val="3B820DE6"/>
    <w:rsid w:val="3B9A1C8B"/>
    <w:rsid w:val="3B9D279F"/>
    <w:rsid w:val="3BF375EE"/>
    <w:rsid w:val="3BF770DE"/>
    <w:rsid w:val="3C0B227E"/>
    <w:rsid w:val="3C831601"/>
    <w:rsid w:val="3D773CC6"/>
    <w:rsid w:val="3D8F6D85"/>
    <w:rsid w:val="3D9B7F3D"/>
    <w:rsid w:val="3DD058AD"/>
    <w:rsid w:val="3E666E62"/>
    <w:rsid w:val="3E8811DA"/>
    <w:rsid w:val="3EB968CD"/>
    <w:rsid w:val="41272213"/>
    <w:rsid w:val="429D6505"/>
    <w:rsid w:val="43B14016"/>
    <w:rsid w:val="43D63A7D"/>
    <w:rsid w:val="43DD4E0B"/>
    <w:rsid w:val="43E53CC0"/>
    <w:rsid w:val="44B57B36"/>
    <w:rsid w:val="44CB5FF8"/>
    <w:rsid w:val="45790B64"/>
    <w:rsid w:val="45CC15DB"/>
    <w:rsid w:val="45EF7078"/>
    <w:rsid w:val="46432FE7"/>
    <w:rsid w:val="464E46A6"/>
    <w:rsid w:val="470B6133"/>
    <w:rsid w:val="47F15329"/>
    <w:rsid w:val="48147269"/>
    <w:rsid w:val="48517B76"/>
    <w:rsid w:val="48A2598E"/>
    <w:rsid w:val="48F30C2D"/>
    <w:rsid w:val="491F5EC6"/>
    <w:rsid w:val="4AFD3FE5"/>
    <w:rsid w:val="4B0215FB"/>
    <w:rsid w:val="4B92297F"/>
    <w:rsid w:val="4C935807"/>
    <w:rsid w:val="4D113236"/>
    <w:rsid w:val="4D3C2C64"/>
    <w:rsid w:val="4DBC1F35"/>
    <w:rsid w:val="4EA62B35"/>
    <w:rsid w:val="4F553901"/>
    <w:rsid w:val="4F6C34E7"/>
    <w:rsid w:val="50232B7C"/>
    <w:rsid w:val="506445A6"/>
    <w:rsid w:val="51281690"/>
    <w:rsid w:val="51477D68"/>
    <w:rsid w:val="51A76A58"/>
    <w:rsid w:val="521E2D38"/>
    <w:rsid w:val="52CD24EF"/>
    <w:rsid w:val="531C6FD2"/>
    <w:rsid w:val="532365B3"/>
    <w:rsid w:val="535A6478"/>
    <w:rsid w:val="53E46168"/>
    <w:rsid w:val="53F00B8B"/>
    <w:rsid w:val="53FB2343"/>
    <w:rsid w:val="54666AED"/>
    <w:rsid w:val="547D1CF3"/>
    <w:rsid w:val="54F55D2D"/>
    <w:rsid w:val="550B5550"/>
    <w:rsid w:val="56226FF5"/>
    <w:rsid w:val="562B40FC"/>
    <w:rsid w:val="57122BC6"/>
    <w:rsid w:val="573568B4"/>
    <w:rsid w:val="57387588"/>
    <w:rsid w:val="5750105C"/>
    <w:rsid w:val="581F559B"/>
    <w:rsid w:val="583628E4"/>
    <w:rsid w:val="58450D2C"/>
    <w:rsid w:val="5898359F"/>
    <w:rsid w:val="58DC348C"/>
    <w:rsid w:val="58F24A5D"/>
    <w:rsid w:val="591F0DE6"/>
    <w:rsid w:val="5980650D"/>
    <w:rsid w:val="59A33FA9"/>
    <w:rsid w:val="59DC1FEB"/>
    <w:rsid w:val="5A2055FA"/>
    <w:rsid w:val="5A405C9C"/>
    <w:rsid w:val="5A443D90"/>
    <w:rsid w:val="5A7846F0"/>
    <w:rsid w:val="5ADD34EB"/>
    <w:rsid w:val="5B1E7D8B"/>
    <w:rsid w:val="5B2F46E4"/>
    <w:rsid w:val="5B5402AD"/>
    <w:rsid w:val="5E2356B9"/>
    <w:rsid w:val="5EE237C6"/>
    <w:rsid w:val="5F5F6BC4"/>
    <w:rsid w:val="5F6E6E08"/>
    <w:rsid w:val="5FBF1411"/>
    <w:rsid w:val="5FFB68ED"/>
    <w:rsid w:val="609D5BF6"/>
    <w:rsid w:val="60D84E80"/>
    <w:rsid w:val="6106200D"/>
    <w:rsid w:val="622A5268"/>
    <w:rsid w:val="62353C0D"/>
    <w:rsid w:val="624F1172"/>
    <w:rsid w:val="629848C7"/>
    <w:rsid w:val="62BD60DC"/>
    <w:rsid w:val="62DE6052"/>
    <w:rsid w:val="630930CF"/>
    <w:rsid w:val="639977D0"/>
    <w:rsid w:val="64542A70"/>
    <w:rsid w:val="64550596"/>
    <w:rsid w:val="646507D9"/>
    <w:rsid w:val="648D7D30"/>
    <w:rsid w:val="64B259E8"/>
    <w:rsid w:val="650578B7"/>
    <w:rsid w:val="654A5C21"/>
    <w:rsid w:val="66976C44"/>
    <w:rsid w:val="669C24AC"/>
    <w:rsid w:val="66B27F22"/>
    <w:rsid w:val="66D6776C"/>
    <w:rsid w:val="6848469A"/>
    <w:rsid w:val="69961435"/>
    <w:rsid w:val="69DD79AD"/>
    <w:rsid w:val="6A7259FE"/>
    <w:rsid w:val="6AA10091"/>
    <w:rsid w:val="6ACE312D"/>
    <w:rsid w:val="6B1D005F"/>
    <w:rsid w:val="6B453112"/>
    <w:rsid w:val="6B6F5C40"/>
    <w:rsid w:val="6B8864B3"/>
    <w:rsid w:val="6C07661A"/>
    <w:rsid w:val="6D20450C"/>
    <w:rsid w:val="6DE95A4D"/>
    <w:rsid w:val="6E70494A"/>
    <w:rsid w:val="6E934195"/>
    <w:rsid w:val="6F094457"/>
    <w:rsid w:val="6F55769C"/>
    <w:rsid w:val="703379DD"/>
    <w:rsid w:val="711710AD"/>
    <w:rsid w:val="71834994"/>
    <w:rsid w:val="71D376CA"/>
    <w:rsid w:val="72084E9A"/>
    <w:rsid w:val="724F0D1A"/>
    <w:rsid w:val="725A3947"/>
    <w:rsid w:val="72824C4C"/>
    <w:rsid w:val="72DA05E4"/>
    <w:rsid w:val="730833A3"/>
    <w:rsid w:val="73424777"/>
    <w:rsid w:val="73993FFB"/>
    <w:rsid w:val="742064CB"/>
    <w:rsid w:val="74575C64"/>
    <w:rsid w:val="748A7DE8"/>
    <w:rsid w:val="74933140"/>
    <w:rsid w:val="74BE74FF"/>
    <w:rsid w:val="75134281"/>
    <w:rsid w:val="7521074C"/>
    <w:rsid w:val="752B15CB"/>
    <w:rsid w:val="75E654F2"/>
    <w:rsid w:val="76D37B69"/>
    <w:rsid w:val="77091ABA"/>
    <w:rsid w:val="78C064CE"/>
    <w:rsid w:val="78DD498A"/>
    <w:rsid w:val="79136F07"/>
    <w:rsid w:val="794D2C6A"/>
    <w:rsid w:val="794F33AE"/>
    <w:rsid w:val="7984574E"/>
    <w:rsid w:val="79921C19"/>
    <w:rsid w:val="79A44EE5"/>
    <w:rsid w:val="79F521A7"/>
    <w:rsid w:val="7A5872B9"/>
    <w:rsid w:val="7A6B5CC2"/>
    <w:rsid w:val="7ADD3367"/>
    <w:rsid w:val="7BFA5853"/>
    <w:rsid w:val="7D375B1E"/>
    <w:rsid w:val="7E464D80"/>
    <w:rsid w:val="7EAA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 w:type="paragraph" w:styleId="3">
    <w:name w:val="Normal Indent"/>
    <w:basedOn w:val="1"/>
    <w:qFormat/>
    <w:uiPriority w:val="0"/>
    <w:pPr>
      <w:ind w:firstLine="420"/>
    </w:pPr>
  </w:style>
  <w:style w:type="character" w:styleId="6">
    <w:name w:val="Strong"/>
    <w:basedOn w:val="5"/>
    <w:qFormat/>
    <w:uiPriority w:val="0"/>
    <w:rPr>
      <w:b/>
      <w:bCs/>
    </w:rPr>
  </w:style>
  <w:style w:type="character" w:styleId="7">
    <w:name w:val="FollowedHyperlink"/>
    <w:basedOn w:val="5"/>
    <w:qFormat/>
    <w:uiPriority w:val="0"/>
    <w:rPr>
      <w:color w:val="4D7AD8"/>
      <w:u w:val="none"/>
    </w:rPr>
  </w:style>
  <w:style w:type="character" w:styleId="8">
    <w:name w:val="HTML Definition"/>
    <w:basedOn w:val="5"/>
    <w:qFormat/>
    <w:uiPriority w:val="0"/>
    <w:rPr>
      <w:i/>
      <w:iCs/>
    </w:rPr>
  </w:style>
  <w:style w:type="character" w:styleId="9">
    <w:name w:val="Hyperlink"/>
    <w:basedOn w:val="5"/>
    <w:qFormat/>
    <w:uiPriority w:val="0"/>
    <w:rPr>
      <w:color w:val="4D7AD8"/>
      <w:u w:val="none"/>
    </w:rPr>
  </w:style>
  <w:style w:type="character" w:styleId="10">
    <w:name w:val="HTML Code"/>
    <w:basedOn w:val="5"/>
    <w:qFormat/>
    <w:uiPriority w:val="0"/>
    <w:rPr>
      <w:rFonts w:hint="default" w:ascii="Consolas" w:hAnsi="Consolas" w:eastAsia="Consolas" w:cs="Consolas"/>
      <w:sz w:val="21"/>
      <w:szCs w:val="21"/>
    </w:rPr>
  </w:style>
  <w:style w:type="character" w:styleId="11">
    <w:name w:val="HTML Keyboard"/>
    <w:basedOn w:val="5"/>
    <w:qFormat/>
    <w:uiPriority w:val="0"/>
    <w:rPr>
      <w:rFonts w:ascii="Consolas" w:hAnsi="Consolas" w:eastAsia="Consolas" w:cs="Consolas"/>
      <w:sz w:val="21"/>
      <w:szCs w:val="21"/>
    </w:rPr>
  </w:style>
  <w:style w:type="character" w:styleId="12">
    <w:name w:val="HTML Sample"/>
    <w:basedOn w:val="5"/>
    <w:qFormat/>
    <w:uiPriority w:val="0"/>
    <w:rPr>
      <w:rFonts w:hint="default" w:ascii="Consolas" w:hAnsi="Consolas" w:eastAsia="Consolas" w:cs="Consolas"/>
      <w:sz w:val="21"/>
      <w:szCs w:val="21"/>
    </w:rPr>
  </w:style>
  <w:style w:type="character" w:customStyle="1" w:styleId="13">
    <w:name w:val="hover41"/>
    <w:basedOn w:val="5"/>
    <w:qFormat/>
    <w:uiPriority w:val="0"/>
    <w:rPr>
      <w:color w:val="009DFF"/>
    </w:rPr>
  </w:style>
  <w:style w:type="character" w:customStyle="1" w:styleId="14">
    <w:name w:val="hover42"/>
    <w:basedOn w:val="5"/>
    <w:qFormat/>
    <w:uiPriority w:val="0"/>
    <w:rPr>
      <w:color w:val="009DFF"/>
    </w:rPr>
  </w:style>
  <w:style w:type="character" w:customStyle="1" w:styleId="15">
    <w:name w:val="cke_notification_progress"/>
    <w:basedOn w:val="5"/>
    <w:qFormat/>
    <w:uiPriority w:val="0"/>
    <w:rPr>
      <w:shd w:val="clear" w:fill="0F74A8"/>
    </w:rPr>
  </w:style>
  <w:style w:type="character" w:customStyle="1" w:styleId="16">
    <w:name w:val="ant-tree-checkbox5"/>
    <w:basedOn w:val="5"/>
    <w:qFormat/>
    <w:uiPriority w:val="0"/>
  </w:style>
  <w:style w:type="character" w:customStyle="1" w:styleId="17">
    <w:name w:val="first-child"/>
    <w:basedOn w:val="5"/>
    <w:qFormat/>
    <w:uiPriority w:val="0"/>
  </w:style>
  <w:style w:type="character" w:customStyle="1" w:styleId="18">
    <w:name w:val="first-child1"/>
    <w:basedOn w:val="5"/>
    <w:qFormat/>
    <w:uiPriority w:val="0"/>
  </w:style>
  <w:style w:type="character" w:customStyle="1" w:styleId="19">
    <w:name w:val="first-child2"/>
    <w:basedOn w:val="5"/>
    <w:qFormat/>
    <w:uiPriority w:val="0"/>
    <w:rPr>
      <w:color w:val="999999"/>
      <w:sz w:val="33"/>
      <w:szCs w:val="33"/>
    </w:rPr>
  </w:style>
  <w:style w:type="character" w:customStyle="1" w:styleId="20">
    <w:name w:val="ant-radio+*"/>
    <w:basedOn w:val="5"/>
    <w:qFormat/>
    <w:uiPriority w:val="0"/>
  </w:style>
  <w:style w:type="character" w:customStyle="1" w:styleId="21">
    <w:name w:val="ant-select-tree-iconele"/>
    <w:basedOn w:val="5"/>
    <w:qFormat/>
    <w:uiPriority w:val="0"/>
  </w:style>
  <w:style w:type="character" w:customStyle="1" w:styleId="22">
    <w:name w:val="wea-dropdown-triangle2"/>
    <w:basedOn w:val="5"/>
    <w:qFormat/>
    <w:uiPriority w:val="0"/>
  </w:style>
  <w:style w:type="character" w:customStyle="1" w:styleId="23">
    <w:name w:val="wea-thumbnails-doc-content-subtitle"/>
    <w:basedOn w:val="5"/>
    <w:qFormat/>
    <w:uiPriority w:val="0"/>
    <w:rPr>
      <w:color w:val="9A9A9A"/>
    </w:rPr>
  </w:style>
  <w:style w:type="character" w:customStyle="1" w:styleId="24">
    <w:name w:val="ant-tree-iconele"/>
    <w:basedOn w:val="5"/>
    <w:qFormat/>
    <w:uiPriority w:val="0"/>
  </w:style>
  <w:style w:type="character" w:customStyle="1" w:styleId="25">
    <w:name w:val="cke_path_empty"/>
    <w:basedOn w:val="5"/>
    <w:qFormat/>
    <w:uiPriority w:val="0"/>
    <w:rPr>
      <w:b/>
      <w:bCs/>
      <w:color w:val="484848"/>
      <w:sz w:val="16"/>
      <w:szCs w:val="16"/>
      <w:u w:val="none"/>
    </w:rPr>
  </w:style>
  <w:style w:type="character" w:customStyle="1" w:styleId="26">
    <w:name w:val="last-child"/>
    <w:basedOn w:val="5"/>
    <w:qFormat/>
    <w:uiPriority w:val="0"/>
  </w:style>
  <w:style w:type="character" w:customStyle="1" w:styleId="27">
    <w:name w:val="ant-select-tree-checkbox2"/>
    <w:basedOn w:val="5"/>
    <w:qFormat/>
    <w:uiPriority w:val="0"/>
  </w:style>
  <w:style w:type="character" w:customStyle="1" w:styleId="28">
    <w:name w:val="auto-pass-node"/>
    <w:basedOn w:val="5"/>
    <w:qFormat/>
    <w:uiPriority w:val="0"/>
    <w:rPr>
      <w:bdr w:val="single" w:color="DC4446" w:sz="6" w:space="0"/>
      <w:shd w:val="clear" w:fill="A9E2FF"/>
    </w:rPr>
  </w:style>
  <w:style w:type="character" w:customStyle="1" w:styleId="29">
    <w:name w:val="ant-tree-switcher16"/>
    <w:basedOn w:val="5"/>
    <w:qFormat/>
    <w:uiPriority w:val="0"/>
  </w:style>
  <w:style w:type="character" w:customStyle="1" w:styleId="30">
    <w:name w:val="first-of-type"/>
    <w:basedOn w:val="5"/>
    <w:qFormat/>
    <w:uiPriority w:val="0"/>
    <w:rPr>
      <w:color w:val="FF0000"/>
    </w:rPr>
  </w:style>
  <w:style w:type="character" w:customStyle="1" w:styleId="31">
    <w:name w:val="first-of-type1"/>
    <w:basedOn w:val="5"/>
    <w:qFormat/>
    <w:uiPriority w:val="0"/>
    <w:rPr>
      <w:color w:val="FF0000"/>
    </w:rPr>
  </w:style>
  <w:style w:type="character" w:customStyle="1" w:styleId="32">
    <w:name w:val="first-of-type2"/>
    <w:basedOn w:val="5"/>
    <w:qFormat/>
    <w:uiPriority w:val="0"/>
    <w:rPr>
      <w:color w:val="FF0000"/>
    </w:rPr>
  </w:style>
  <w:style w:type="character" w:customStyle="1" w:styleId="33">
    <w:name w:val="nth-child(2)2"/>
    <w:basedOn w:val="5"/>
    <w:qFormat/>
    <w:uiPriority w:val="0"/>
  </w:style>
  <w:style w:type="character" w:customStyle="1" w:styleId="34">
    <w:name w:val="cke_colorbox1"/>
    <w:basedOn w:val="5"/>
    <w:qFormat/>
    <w:uiPriority w:val="0"/>
  </w:style>
  <w:style w:type="character" w:customStyle="1" w:styleId="35">
    <w:name w:val="cke_colorbox2"/>
    <w:basedOn w:val="5"/>
    <w:qFormat/>
    <w:uiPriority w:val="0"/>
  </w:style>
  <w:style w:type="character" w:customStyle="1" w:styleId="36">
    <w:name w:val="cke_colorbox3"/>
    <w:basedOn w:val="5"/>
    <w:qFormat/>
    <w:uiPriority w:val="0"/>
    <w:rPr>
      <w:bdr w:val="single" w:color="808080" w:sz="6" w:space="0"/>
    </w:rPr>
  </w:style>
  <w:style w:type="character" w:customStyle="1" w:styleId="37">
    <w:name w:val="button"/>
    <w:basedOn w:val="5"/>
    <w:qFormat/>
    <w:uiPriority w:val="0"/>
  </w:style>
  <w:style w:type="character" w:customStyle="1" w:styleId="38">
    <w:name w:val="button1"/>
    <w:basedOn w:val="5"/>
    <w:qFormat/>
    <w:uiPriority w:val="0"/>
  </w:style>
  <w:style w:type="character" w:customStyle="1" w:styleId="39">
    <w:name w:val="ant-table-row-expand-icon"/>
    <w:basedOn w:val="5"/>
    <w:qFormat/>
    <w:uiPriority w:val="0"/>
    <w:rPr>
      <w:vanish/>
    </w:rPr>
  </w:style>
  <w:style w:type="character" w:customStyle="1" w:styleId="40">
    <w:name w:val="current-node"/>
    <w:basedOn w:val="5"/>
    <w:qFormat/>
    <w:uiPriority w:val="0"/>
    <w:rPr>
      <w:bdr w:val="single" w:color="F5B87B" w:sz="6" w:space="0"/>
      <w:shd w:val="clear" w:fill="FFE8CC"/>
    </w:rPr>
  </w:style>
  <w:style w:type="character" w:customStyle="1" w:styleId="41">
    <w:name w:val="isrevision"/>
    <w:basedOn w:val="5"/>
    <w:qFormat/>
    <w:uiPriority w:val="0"/>
    <w:rPr>
      <w:color w:val="000000"/>
      <w:sz w:val="18"/>
      <w:szCs w:val="18"/>
      <w:bdr w:val="single" w:color="E9E9E9" w:sz="6" w:space="0"/>
      <w:shd w:val="clear" w:fill="FFFFFF"/>
    </w:rPr>
  </w:style>
  <w:style w:type="character" w:customStyle="1" w:styleId="42">
    <w:name w:val="ant-select-tree-switcher"/>
    <w:basedOn w:val="5"/>
    <w:qFormat/>
    <w:uiPriority w:val="0"/>
  </w:style>
  <w:style w:type="character" w:customStyle="1" w:styleId="43">
    <w:name w:val="tmpztreemove_arrow"/>
    <w:basedOn w:val="5"/>
    <w:qFormat/>
    <w:uiPriority w:val="0"/>
  </w:style>
  <w:style w:type="character" w:customStyle="1" w:styleId="44">
    <w:name w:val="passed-node"/>
    <w:basedOn w:val="5"/>
    <w:qFormat/>
    <w:uiPriority w:val="0"/>
    <w:rPr>
      <w:bdr w:val="single" w:color="49A8D4" w:sz="6" w:space="0"/>
      <w:shd w:val="clear" w:fill="A9E3FF"/>
    </w:rPr>
  </w:style>
  <w:style w:type="character" w:customStyle="1" w:styleId="45">
    <w:name w:val="not-pass-node"/>
    <w:basedOn w:val="5"/>
    <w:qFormat/>
    <w:uiPriority w:val="0"/>
    <w:rPr>
      <w:bdr w:val="single" w:color="5ABD6B" w:sz="6" w:space="0"/>
      <w:shd w:val="clear" w:fill="BFF3C3"/>
    </w:rPr>
  </w:style>
  <w:style w:type="character" w:customStyle="1" w:styleId="46">
    <w:name w:val="label16"/>
    <w:basedOn w:val="5"/>
    <w:qFormat/>
    <w:uiPriority w:val="0"/>
  </w:style>
  <w:style w:type="character" w:customStyle="1" w:styleId="47">
    <w:name w:val="label17"/>
    <w:basedOn w:val="5"/>
    <w:qFormat/>
    <w:uiPriority w:val="0"/>
  </w:style>
  <w:style w:type="character" w:customStyle="1" w:styleId="48">
    <w:name w:val="top-label"/>
    <w:basedOn w:val="5"/>
    <w:qFormat/>
    <w:uiPriority w:val="0"/>
  </w:style>
  <w:style w:type="character" w:customStyle="1" w:styleId="49">
    <w:name w:val="disabled4"/>
    <w:basedOn w:val="5"/>
    <w:qFormat/>
    <w:uiPriority w:val="0"/>
    <w:rPr>
      <w:color w:val="AAAAAA"/>
      <w:shd w:val="clear" w:fill="F7F7F7"/>
    </w:rPr>
  </w:style>
  <w:style w:type="character" w:customStyle="1" w:styleId="50">
    <w:name w:val="cke_dialog_ui_button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4494</Words>
  <Characters>4593</Characters>
  <Lines>0</Lines>
  <Paragraphs>0</Paragraphs>
  <TotalTime>2</TotalTime>
  <ScaleCrop>false</ScaleCrop>
  <LinksUpToDate>false</LinksUpToDate>
  <CharactersWithSpaces>4825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2024-12-02T06:52:00Z</dcterms:created>
  <dc:creator>zyyy</dc:creator>
  <cp:lastModifiedBy>胡水勇</cp:lastModifiedBy>
  <dcterms:modified xsi:type="dcterms:W3CDTF">2025-08-20T03:40:24Z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75C4881C068348328B468DECDD9D72A9_12</vt:lpwstr>
  </property>
</Properties>
</file>