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2C956">
      <w:pPr>
        <w:spacing w:line="360" w:lineRule="auto"/>
        <w:ind w:firstLine="560"/>
        <w:rPr>
          <w:rFonts w:hint="eastAsia" w:ascii="宋体" w:hAnsi="宋体" w:cs="宋体"/>
          <w:color w:val="auto"/>
          <w:sz w:val="28"/>
          <w:szCs w:val="28"/>
          <w:highlight w:val="none"/>
        </w:rPr>
      </w:pPr>
    </w:p>
    <w:p w14:paraId="7482AB73">
      <w:pPr>
        <w:spacing w:line="360" w:lineRule="auto"/>
        <w:ind w:firstLine="560"/>
        <w:rPr>
          <w:rFonts w:ascii="宋体" w:hAnsi="宋体" w:cs="宋体"/>
          <w:color w:val="auto"/>
          <w:sz w:val="28"/>
          <w:szCs w:val="28"/>
          <w:highlight w:val="none"/>
        </w:rPr>
      </w:pPr>
    </w:p>
    <w:p w14:paraId="53F8585B">
      <w:pPr>
        <w:spacing w:line="360" w:lineRule="auto"/>
        <w:ind w:firstLine="560"/>
        <w:rPr>
          <w:rFonts w:ascii="宋体" w:hAnsi="宋体" w:cs="宋体"/>
          <w:color w:val="auto"/>
          <w:sz w:val="28"/>
          <w:szCs w:val="28"/>
          <w:highlight w:val="none"/>
        </w:rPr>
      </w:pPr>
    </w:p>
    <w:p w14:paraId="79628561">
      <w:pPr>
        <w:spacing w:line="360" w:lineRule="auto"/>
        <w:ind w:firstLine="560"/>
        <w:jc w:val="left"/>
        <w:rPr>
          <w:rFonts w:ascii="宋体" w:hAnsi="宋体" w:cs="宋体"/>
          <w:color w:val="auto"/>
          <w:sz w:val="28"/>
          <w:szCs w:val="28"/>
          <w:highlight w:val="none"/>
        </w:rPr>
      </w:pPr>
    </w:p>
    <w:p w14:paraId="10497EC5">
      <w:pPr>
        <w:jc w:val="center"/>
        <w:rPr>
          <w:rFonts w:hint="eastAsia" w:ascii="黑体" w:eastAsia="黑体"/>
          <w:color w:val="auto"/>
          <w:sz w:val="40"/>
          <w:szCs w:val="40"/>
          <w:highlight w:val="none"/>
          <w:u w:val="single"/>
        </w:rPr>
      </w:pPr>
      <w:r>
        <w:rPr>
          <w:rFonts w:hint="eastAsia" w:ascii="黑体" w:eastAsia="黑体"/>
          <w:color w:val="auto"/>
          <w:sz w:val="40"/>
          <w:szCs w:val="40"/>
          <w:highlight w:val="none"/>
          <w:u w:val="single"/>
        </w:rPr>
        <w:t>东城街道堑头社区居民委员会堑头路13号危旧房改造工程</w:t>
      </w:r>
    </w:p>
    <w:p w14:paraId="2DDADB16">
      <w:pPr>
        <w:jc w:val="center"/>
        <w:rPr>
          <w:rFonts w:hint="eastAsia" w:ascii="黑体" w:eastAsia="黑体"/>
          <w:color w:val="auto"/>
          <w:sz w:val="28"/>
          <w:szCs w:val="28"/>
          <w:highlight w:val="none"/>
        </w:rPr>
      </w:pPr>
    </w:p>
    <w:p w14:paraId="4E8D238E">
      <w:pPr>
        <w:jc w:val="center"/>
        <w:rPr>
          <w:rFonts w:ascii="黑体" w:eastAsia="黑体"/>
          <w:color w:val="auto"/>
          <w:sz w:val="28"/>
          <w:szCs w:val="28"/>
          <w:highlight w:val="none"/>
        </w:rPr>
      </w:pPr>
      <w:r>
        <w:rPr>
          <w:rFonts w:hint="eastAsia" w:ascii="黑体" w:eastAsia="黑体"/>
          <w:color w:val="auto"/>
          <w:sz w:val="28"/>
          <w:szCs w:val="28"/>
          <w:highlight w:val="none"/>
        </w:rPr>
        <w:t>项目编号：AJJS-GZ-05-01-015(2025)</w:t>
      </w:r>
    </w:p>
    <w:p w14:paraId="1799E072">
      <w:pPr>
        <w:rPr>
          <w:color w:val="auto"/>
          <w:sz w:val="28"/>
          <w:szCs w:val="28"/>
          <w:highlight w:val="none"/>
        </w:rPr>
      </w:pPr>
    </w:p>
    <w:p w14:paraId="0544316F">
      <w:pPr>
        <w:rPr>
          <w:color w:val="auto"/>
          <w:sz w:val="28"/>
          <w:szCs w:val="28"/>
          <w:highlight w:val="none"/>
        </w:rPr>
      </w:pPr>
    </w:p>
    <w:p w14:paraId="242935C2">
      <w:pPr>
        <w:jc w:val="center"/>
        <w:rPr>
          <w:rFonts w:ascii="黑体" w:eastAsia="黑体"/>
          <w:color w:val="auto"/>
          <w:sz w:val="44"/>
          <w:szCs w:val="44"/>
          <w:highlight w:val="none"/>
        </w:rPr>
      </w:pPr>
      <w:r>
        <w:rPr>
          <w:rFonts w:hint="eastAsia" w:ascii="黑体" w:eastAsia="黑体"/>
          <w:color w:val="auto"/>
          <w:sz w:val="44"/>
          <w:szCs w:val="44"/>
          <w:highlight w:val="none"/>
        </w:rPr>
        <w:t>竞争性谈判文件</w:t>
      </w:r>
    </w:p>
    <w:p w14:paraId="5C00236C">
      <w:pPr>
        <w:spacing w:line="400" w:lineRule="exact"/>
        <w:rPr>
          <w:color w:val="auto"/>
          <w:highlight w:val="none"/>
        </w:rPr>
      </w:pPr>
    </w:p>
    <w:p w14:paraId="0C5BDF2C">
      <w:pPr>
        <w:spacing w:line="400" w:lineRule="exact"/>
        <w:rPr>
          <w:color w:val="auto"/>
          <w:highlight w:val="none"/>
        </w:rPr>
      </w:pPr>
    </w:p>
    <w:p w14:paraId="3B8D54E8">
      <w:pPr>
        <w:spacing w:line="400" w:lineRule="exact"/>
        <w:rPr>
          <w:color w:val="auto"/>
          <w:highlight w:val="none"/>
        </w:rPr>
      </w:pPr>
    </w:p>
    <w:p w14:paraId="37FF0B6B">
      <w:pPr>
        <w:spacing w:line="400" w:lineRule="exact"/>
        <w:rPr>
          <w:color w:val="auto"/>
          <w:highlight w:val="none"/>
        </w:rPr>
      </w:pPr>
    </w:p>
    <w:p w14:paraId="6D0B30C4">
      <w:pPr>
        <w:spacing w:line="400" w:lineRule="exact"/>
        <w:rPr>
          <w:color w:val="auto"/>
          <w:highlight w:val="none"/>
        </w:rPr>
      </w:pPr>
    </w:p>
    <w:p w14:paraId="615ABA33">
      <w:pPr>
        <w:spacing w:line="400" w:lineRule="exact"/>
        <w:rPr>
          <w:color w:val="auto"/>
          <w:highlight w:val="none"/>
        </w:rPr>
      </w:pPr>
    </w:p>
    <w:p w14:paraId="70A61F0D">
      <w:pPr>
        <w:spacing w:line="400" w:lineRule="exact"/>
        <w:rPr>
          <w:color w:val="auto"/>
          <w:highlight w:val="none"/>
        </w:rPr>
      </w:pPr>
    </w:p>
    <w:p w14:paraId="30021E79">
      <w:pPr>
        <w:jc w:val="center"/>
        <w:rPr>
          <w:rFonts w:ascii="黑体" w:eastAsia="黑体"/>
          <w:color w:val="auto"/>
          <w:sz w:val="28"/>
          <w:szCs w:val="28"/>
          <w:highlight w:val="none"/>
        </w:rPr>
      </w:pPr>
      <w:r>
        <w:rPr>
          <w:rFonts w:hint="eastAsia" w:ascii="黑体" w:eastAsia="黑体"/>
          <w:color w:val="auto"/>
          <w:sz w:val="28"/>
          <w:szCs w:val="28"/>
          <w:highlight w:val="none"/>
        </w:rPr>
        <w:t>采购人：</w:t>
      </w:r>
      <w:r>
        <w:rPr>
          <w:rFonts w:hint="eastAsia" w:ascii="黑体" w:eastAsia="黑体"/>
          <w:color w:val="auto"/>
          <w:sz w:val="28"/>
          <w:szCs w:val="28"/>
          <w:highlight w:val="none"/>
          <w:u w:val="single"/>
          <w:lang w:eastAsia="zh-CN"/>
        </w:rPr>
        <w:t>东莞市安居建设投资有限公司</w:t>
      </w:r>
      <w:r>
        <w:rPr>
          <w:rFonts w:hint="eastAsia" w:ascii="黑体" w:eastAsia="黑体"/>
          <w:color w:val="auto"/>
          <w:sz w:val="28"/>
          <w:szCs w:val="28"/>
          <w:highlight w:val="none"/>
        </w:rPr>
        <w:t>（盖单位章）</w:t>
      </w:r>
    </w:p>
    <w:p w14:paraId="5C57DF66">
      <w:pPr>
        <w:jc w:val="center"/>
        <w:rPr>
          <w:rFonts w:ascii="黑体" w:eastAsia="黑体"/>
          <w:color w:val="auto"/>
          <w:sz w:val="28"/>
          <w:szCs w:val="28"/>
          <w:highlight w:val="none"/>
        </w:rPr>
      </w:pPr>
      <w:r>
        <w:rPr>
          <w:rFonts w:hint="eastAsia" w:ascii="黑体" w:eastAsia="黑体"/>
          <w:color w:val="auto"/>
          <w:sz w:val="28"/>
          <w:szCs w:val="28"/>
          <w:highlight w:val="none"/>
        </w:rPr>
        <w:t>采购代理机构：</w:t>
      </w:r>
      <w:r>
        <w:rPr>
          <w:rFonts w:hint="eastAsia" w:ascii="黑体" w:eastAsia="黑体"/>
          <w:color w:val="auto"/>
          <w:sz w:val="28"/>
          <w:szCs w:val="28"/>
          <w:highlight w:val="none"/>
          <w:u w:val="single"/>
          <w:lang w:eastAsia="zh-CN"/>
        </w:rPr>
        <w:t>公诚管理咨询有限公司</w:t>
      </w:r>
      <w:r>
        <w:rPr>
          <w:rFonts w:hint="eastAsia" w:ascii="黑体" w:eastAsia="黑体"/>
          <w:color w:val="auto"/>
          <w:sz w:val="28"/>
          <w:szCs w:val="28"/>
          <w:highlight w:val="none"/>
        </w:rPr>
        <w:t>（盖单位章）</w:t>
      </w:r>
    </w:p>
    <w:p w14:paraId="322224EC">
      <w:pPr>
        <w:jc w:val="center"/>
        <w:rPr>
          <w:rFonts w:ascii="黑体" w:eastAsia="黑体"/>
          <w:color w:val="auto"/>
          <w:sz w:val="28"/>
          <w:szCs w:val="28"/>
          <w:highlight w:val="none"/>
        </w:rPr>
      </w:pPr>
      <w:r>
        <w:rPr>
          <w:rFonts w:hint="eastAsia" w:ascii="黑体" w:eastAsia="黑体"/>
          <w:color w:val="auto"/>
          <w:sz w:val="28"/>
          <w:szCs w:val="28"/>
          <w:highlight w:val="none"/>
        </w:rPr>
        <w:t xml:space="preserve"> </w:t>
      </w:r>
      <w:r>
        <w:rPr>
          <w:rFonts w:hint="eastAsia" w:ascii="黑体" w:eastAsia="黑体"/>
          <w:color w:val="auto"/>
          <w:sz w:val="28"/>
          <w:szCs w:val="28"/>
          <w:highlight w:val="none"/>
          <w:u w:val="single"/>
          <w:lang w:val="en-US" w:eastAsia="zh-CN"/>
        </w:rPr>
        <w:t>2025</w:t>
      </w:r>
      <w:r>
        <w:rPr>
          <w:rFonts w:hint="eastAsia" w:ascii="黑体" w:eastAsia="黑体"/>
          <w:color w:val="auto"/>
          <w:sz w:val="28"/>
          <w:szCs w:val="28"/>
          <w:highlight w:val="none"/>
        </w:rPr>
        <w:t>年</w:t>
      </w:r>
      <w:r>
        <w:rPr>
          <w:rFonts w:hint="eastAsia" w:ascii="黑体" w:eastAsia="黑体"/>
          <w:color w:val="auto"/>
          <w:sz w:val="28"/>
          <w:szCs w:val="28"/>
          <w:highlight w:val="none"/>
          <w:u w:val="single"/>
          <w:lang w:val="en-US" w:eastAsia="zh-CN"/>
        </w:rPr>
        <w:t>12</w:t>
      </w:r>
      <w:r>
        <w:rPr>
          <w:rFonts w:hint="eastAsia" w:ascii="黑体" w:eastAsia="黑体"/>
          <w:color w:val="auto"/>
          <w:sz w:val="28"/>
          <w:szCs w:val="28"/>
          <w:highlight w:val="none"/>
        </w:rPr>
        <w:t>月</w:t>
      </w:r>
    </w:p>
    <w:p w14:paraId="62EF358B">
      <w:pPr>
        <w:keepNext w:val="0"/>
        <w:keepLines w:val="0"/>
        <w:pageBreakBefore w:val="0"/>
        <w:widowControl w:val="0"/>
        <w:kinsoku/>
        <w:wordWrap/>
        <w:overflowPunct/>
        <w:topLinePunct w:val="0"/>
        <w:autoSpaceDE/>
        <w:autoSpaceDN/>
        <w:bidi w:val="0"/>
        <w:adjustRightInd/>
        <w:snapToGrid/>
        <w:spacing w:line="120" w:lineRule="auto"/>
        <w:jc w:val="center"/>
        <w:textAlignment w:val="auto"/>
        <w:rPr>
          <w:rFonts w:ascii="黑体" w:eastAsia="黑体"/>
          <w:color w:val="auto"/>
          <w:sz w:val="28"/>
          <w:szCs w:val="28"/>
          <w:highlight w:val="none"/>
        </w:rPr>
      </w:pPr>
      <w:r>
        <w:rPr>
          <w:rFonts w:eastAsia="华文隶书"/>
          <w:color w:val="auto"/>
          <w:sz w:val="44"/>
          <w:szCs w:val="44"/>
          <w:highlight w:val="none"/>
        </w:rPr>
        <w:br w:type="page"/>
      </w:r>
      <w:r>
        <w:rPr>
          <w:rFonts w:hint="eastAsia" w:ascii="黑体" w:eastAsia="黑体"/>
          <w:color w:val="auto"/>
          <w:sz w:val="28"/>
          <w:szCs w:val="28"/>
          <w:highlight w:val="none"/>
        </w:rPr>
        <w:t>目 录</w:t>
      </w:r>
    </w:p>
    <w:p w14:paraId="601067D6">
      <w:pPr>
        <w:pStyle w:val="27"/>
        <w:tabs>
          <w:tab w:val="right" w:leader="dot" w:pos="8296"/>
        </w:tabs>
        <w:rPr>
          <w:rFonts w:asciiTheme="minorHAnsi" w:hAnsiTheme="minorHAnsi" w:eastAsiaTheme="minorEastAsia" w:cstheme="minorBidi"/>
          <w:b w:val="0"/>
          <w:bCs w:val="0"/>
          <w:caps w:val="0"/>
          <w:color w:val="auto"/>
          <w:sz w:val="21"/>
          <w:szCs w:val="22"/>
          <w:highlight w:val="none"/>
        </w:rPr>
      </w:pPr>
      <w:r>
        <w:rPr>
          <w:rFonts w:ascii="黑体" w:eastAsia="黑体"/>
          <w:color w:val="auto"/>
          <w:sz w:val="28"/>
          <w:szCs w:val="28"/>
          <w:highlight w:val="none"/>
        </w:rPr>
        <w:fldChar w:fldCharType="begin"/>
      </w:r>
      <w:r>
        <w:rPr>
          <w:rFonts w:ascii="黑体" w:eastAsia="黑体"/>
          <w:color w:val="auto"/>
          <w:sz w:val="28"/>
          <w:szCs w:val="28"/>
          <w:highlight w:val="none"/>
        </w:rPr>
        <w:instrText xml:space="preserve"> </w:instrText>
      </w:r>
      <w:r>
        <w:rPr>
          <w:rFonts w:hint="eastAsia" w:ascii="黑体" w:eastAsia="黑体"/>
          <w:color w:val="auto"/>
          <w:sz w:val="28"/>
          <w:szCs w:val="28"/>
          <w:highlight w:val="none"/>
        </w:rPr>
        <w:instrText xml:space="preserve">TOC \o "1-3" \h \z \u</w:instrText>
      </w:r>
      <w:r>
        <w:rPr>
          <w:rFonts w:ascii="黑体" w:eastAsia="黑体"/>
          <w:color w:val="auto"/>
          <w:sz w:val="28"/>
          <w:szCs w:val="28"/>
          <w:highlight w:val="none"/>
        </w:rPr>
        <w:instrText xml:space="preserve"> </w:instrText>
      </w:r>
      <w:r>
        <w:rPr>
          <w:rFonts w:ascii="黑体" w:eastAsia="黑体"/>
          <w:color w:val="auto"/>
          <w:sz w:val="28"/>
          <w:szCs w:val="28"/>
          <w:highlight w:val="none"/>
        </w:rPr>
        <w:fldChar w:fldCharType="separate"/>
      </w:r>
      <w:r>
        <w:rPr>
          <w:color w:val="auto"/>
          <w:highlight w:val="none"/>
        </w:rPr>
        <w:fldChar w:fldCharType="begin"/>
      </w:r>
      <w:r>
        <w:rPr>
          <w:color w:val="auto"/>
          <w:highlight w:val="none"/>
        </w:rPr>
        <w:instrText xml:space="preserve"> HYPERLINK \l "_Toc75852749" </w:instrText>
      </w:r>
      <w:r>
        <w:rPr>
          <w:color w:val="auto"/>
          <w:highlight w:val="none"/>
        </w:rPr>
        <w:fldChar w:fldCharType="separate"/>
      </w:r>
      <w:r>
        <w:rPr>
          <w:rStyle w:val="43"/>
          <w:rFonts w:hint="eastAsia" w:ascii="宋体" w:hAnsi="宋体" w:cs="宋体"/>
          <w:color w:val="auto"/>
          <w:kern w:val="0"/>
          <w:highlight w:val="none"/>
        </w:rPr>
        <w:t>第一章</w:t>
      </w:r>
      <w:r>
        <w:rPr>
          <w:rStyle w:val="43"/>
          <w:rFonts w:ascii="宋体" w:hAnsi="宋体" w:cs="宋体"/>
          <w:color w:val="auto"/>
          <w:kern w:val="0"/>
          <w:highlight w:val="none"/>
        </w:rPr>
        <w:t xml:space="preserve">  </w:t>
      </w:r>
      <w:r>
        <w:rPr>
          <w:rStyle w:val="43"/>
          <w:rFonts w:hint="eastAsia" w:ascii="宋体" w:hAnsi="宋体" w:cs="宋体"/>
          <w:color w:val="auto"/>
          <w:kern w:val="0"/>
          <w:highlight w:val="none"/>
        </w:rPr>
        <w:t>竞争性谈判公告</w:t>
      </w:r>
      <w:r>
        <w:rPr>
          <w:color w:val="auto"/>
          <w:highlight w:val="none"/>
        </w:rPr>
        <w:tab/>
      </w:r>
      <w:r>
        <w:rPr>
          <w:color w:val="auto"/>
          <w:highlight w:val="none"/>
        </w:rPr>
        <w:fldChar w:fldCharType="begin"/>
      </w:r>
      <w:r>
        <w:rPr>
          <w:color w:val="auto"/>
          <w:highlight w:val="none"/>
        </w:rPr>
        <w:instrText xml:space="preserve"> PAGEREF _Toc75852749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706C6411">
      <w:pPr>
        <w:pStyle w:val="27"/>
        <w:tabs>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"_Toc75852750" </w:instrText>
      </w:r>
      <w:r>
        <w:rPr>
          <w:color w:val="auto"/>
          <w:highlight w:val="none"/>
        </w:rPr>
        <w:fldChar w:fldCharType="separate"/>
      </w:r>
      <w:r>
        <w:rPr>
          <w:rStyle w:val="43"/>
          <w:rFonts w:hint="eastAsia" w:ascii="宋体" w:hAnsi="宋体" w:cs="宋体"/>
          <w:color w:val="auto"/>
          <w:kern w:val="0"/>
          <w:highlight w:val="none"/>
        </w:rPr>
        <w:t>第二章</w:t>
      </w:r>
      <w:r>
        <w:rPr>
          <w:rStyle w:val="43"/>
          <w:rFonts w:ascii="宋体" w:hAnsi="宋体" w:cs="宋体"/>
          <w:color w:val="auto"/>
          <w:kern w:val="0"/>
          <w:highlight w:val="none"/>
        </w:rPr>
        <w:t xml:space="preserve"> </w:t>
      </w:r>
      <w:r>
        <w:rPr>
          <w:rStyle w:val="43"/>
          <w:rFonts w:hint="eastAsia" w:ascii="宋体" w:hAnsi="宋体" w:cs="宋体"/>
          <w:color w:val="auto"/>
          <w:kern w:val="0"/>
          <w:highlight w:val="none"/>
        </w:rPr>
        <w:t>竞争性谈判响应须知</w:t>
      </w:r>
      <w:r>
        <w:rPr>
          <w:color w:val="auto"/>
          <w:highlight w:val="none"/>
        </w:rPr>
        <w:tab/>
      </w:r>
      <w:r>
        <w:rPr>
          <w:color w:val="auto"/>
          <w:highlight w:val="none"/>
        </w:rPr>
        <w:fldChar w:fldCharType="begin"/>
      </w:r>
      <w:r>
        <w:rPr>
          <w:color w:val="auto"/>
          <w:highlight w:val="none"/>
        </w:rPr>
        <w:instrText xml:space="preserve"> PAGEREF _Toc75852750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0947CC87">
      <w:pPr>
        <w:pStyle w:val="27"/>
        <w:tabs>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"_Toc75852751" </w:instrText>
      </w:r>
      <w:r>
        <w:rPr>
          <w:color w:val="auto"/>
          <w:highlight w:val="none"/>
        </w:rPr>
        <w:fldChar w:fldCharType="separate"/>
      </w:r>
      <w:r>
        <w:rPr>
          <w:rStyle w:val="43"/>
          <w:rFonts w:hint="eastAsia"/>
          <w:color w:val="auto"/>
          <w:highlight w:val="none"/>
        </w:rPr>
        <w:t>竞争性谈判响应须知前附表</w:t>
      </w:r>
      <w:r>
        <w:rPr>
          <w:color w:val="auto"/>
          <w:highlight w:val="none"/>
        </w:rPr>
        <w:tab/>
      </w:r>
      <w:r>
        <w:rPr>
          <w:color w:val="auto"/>
          <w:highlight w:val="none"/>
        </w:rPr>
        <w:fldChar w:fldCharType="begin"/>
      </w:r>
      <w:r>
        <w:rPr>
          <w:color w:val="auto"/>
          <w:highlight w:val="none"/>
        </w:rPr>
        <w:instrText xml:space="preserve"> PAGEREF _Toc75852751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227DFD2F">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"_Toc75852752" </w:instrText>
      </w:r>
      <w:r>
        <w:rPr>
          <w:color w:val="auto"/>
          <w:highlight w:val="none"/>
        </w:rPr>
        <w:fldChar w:fldCharType="separate"/>
      </w:r>
      <w:r>
        <w:rPr>
          <w:rStyle w:val="43"/>
          <w:rFonts w:ascii="黑体" w:hAnsi="黑体"/>
          <w:color w:val="auto"/>
          <w:highlight w:val="none"/>
        </w:rPr>
        <w:t xml:space="preserve">1. </w:t>
      </w:r>
      <w:r>
        <w:rPr>
          <w:rStyle w:val="43"/>
          <w:rFonts w:hint="eastAsia" w:ascii="黑体" w:hAnsi="黑体"/>
          <w:color w:val="auto"/>
          <w:highlight w:val="none"/>
        </w:rPr>
        <w:t>总则</w:t>
      </w:r>
      <w:r>
        <w:rPr>
          <w:color w:val="auto"/>
          <w:highlight w:val="none"/>
        </w:rPr>
        <w:tab/>
      </w:r>
      <w:r>
        <w:rPr>
          <w:color w:val="auto"/>
          <w:highlight w:val="none"/>
        </w:rPr>
        <w:fldChar w:fldCharType="begin"/>
      </w:r>
      <w:r>
        <w:rPr>
          <w:color w:val="auto"/>
          <w:highlight w:val="none"/>
        </w:rPr>
        <w:instrText xml:space="preserve"> PAGEREF _Toc75852752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5666B902">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"_Toc75852753" </w:instrText>
      </w:r>
      <w:r>
        <w:rPr>
          <w:color w:val="auto"/>
          <w:highlight w:val="none"/>
        </w:rPr>
        <w:fldChar w:fldCharType="separate"/>
      </w:r>
      <w:r>
        <w:rPr>
          <w:rStyle w:val="43"/>
          <w:rFonts w:ascii="黑体" w:hAnsi="黑体"/>
          <w:color w:val="auto"/>
          <w:highlight w:val="none"/>
        </w:rPr>
        <w:t xml:space="preserve">2. </w:t>
      </w:r>
      <w:r>
        <w:rPr>
          <w:rStyle w:val="43"/>
          <w:rFonts w:hint="eastAsia" w:ascii="黑体" w:hAnsi="黑体"/>
          <w:color w:val="auto"/>
          <w:highlight w:val="none"/>
        </w:rPr>
        <w:t>竞争性谈判文件</w:t>
      </w:r>
      <w:r>
        <w:rPr>
          <w:color w:val="auto"/>
          <w:highlight w:val="none"/>
        </w:rPr>
        <w:tab/>
      </w:r>
      <w:r>
        <w:rPr>
          <w:color w:val="auto"/>
          <w:highlight w:val="none"/>
        </w:rPr>
        <w:fldChar w:fldCharType="begin"/>
      </w:r>
      <w:r>
        <w:rPr>
          <w:color w:val="auto"/>
          <w:highlight w:val="none"/>
        </w:rPr>
        <w:instrText xml:space="preserve"> PAGEREF _Toc75852753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14:paraId="3DD45FC3">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"_Toc75852754" </w:instrText>
      </w:r>
      <w:r>
        <w:rPr>
          <w:color w:val="auto"/>
          <w:highlight w:val="none"/>
        </w:rPr>
        <w:fldChar w:fldCharType="separate"/>
      </w:r>
      <w:r>
        <w:rPr>
          <w:rStyle w:val="43"/>
          <w:rFonts w:ascii="黑体" w:hAnsi="黑体"/>
          <w:color w:val="auto"/>
          <w:highlight w:val="none"/>
        </w:rPr>
        <w:t xml:space="preserve">3. </w:t>
      </w:r>
      <w:r>
        <w:rPr>
          <w:rStyle w:val="43"/>
          <w:rFonts w:hint="eastAsia" w:ascii="黑体" w:hAnsi="黑体"/>
          <w:color w:val="auto"/>
          <w:highlight w:val="none"/>
        </w:rPr>
        <w:t>响应文件</w:t>
      </w:r>
      <w:r>
        <w:rPr>
          <w:color w:val="auto"/>
          <w:highlight w:val="none"/>
        </w:rPr>
        <w:tab/>
      </w:r>
      <w:r>
        <w:rPr>
          <w:color w:val="auto"/>
          <w:highlight w:val="none"/>
        </w:rPr>
        <w:fldChar w:fldCharType="begin"/>
      </w:r>
      <w:r>
        <w:rPr>
          <w:color w:val="auto"/>
          <w:highlight w:val="none"/>
        </w:rPr>
        <w:instrText xml:space="preserve"> PAGEREF _Toc75852754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14:paraId="176A941C">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"_Toc75852755" </w:instrText>
      </w:r>
      <w:r>
        <w:rPr>
          <w:color w:val="auto"/>
          <w:highlight w:val="none"/>
        </w:rPr>
        <w:fldChar w:fldCharType="separate"/>
      </w:r>
      <w:r>
        <w:rPr>
          <w:rStyle w:val="43"/>
          <w:rFonts w:ascii="黑体" w:hAnsi="黑体"/>
          <w:color w:val="auto"/>
          <w:highlight w:val="none"/>
        </w:rPr>
        <w:t xml:space="preserve">4. </w:t>
      </w:r>
      <w:r>
        <w:rPr>
          <w:rStyle w:val="43"/>
          <w:rFonts w:hint="eastAsia" w:ascii="黑体" w:hAnsi="黑体"/>
          <w:color w:val="auto"/>
          <w:highlight w:val="none"/>
        </w:rPr>
        <w:t>竞争性谈判</w:t>
      </w:r>
      <w:r>
        <w:rPr>
          <w:color w:val="auto"/>
          <w:highlight w:val="none"/>
        </w:rPr>
        <w:tab/>
      </w:r>
      <w:r>
        <w:rPr>
          <w:color w:val="auto"/>
          <w:highlight w:val="none"/>
        </w:rPr>
        <w:fldChar w:fldCharType="begin"/>
      </w:r>
      <w:r>
        <w:rPr>
          <w:color w:val="auto"/>
          <w:highlight w:val="none"/>
        </w:rPr>
        <w:instrText xml:space="preserve"> PAGEREF _Toc75852755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14:paraId="6EC0A899">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"_Toc75852756" </w:instrText>
      </w:r>
      <w:r>
        <w:rPr>
          <w:color w:val="auto"/>
          <w:highlight w:val="none"/>
        </w:rPr>
        <w:fldChar w:fldCharType="separate"/>
      </w:r>
      <w:r>
        <w:rPr>
          <w:rStyle w:val="43"/>
          <w:color w:val="auto"/>
          <w:highlight w:val="none"/>
        </w:rPr>
        <w:t xml:space="preserve">5. </w:t>
      </w:r>
      <w:r>
        <w:rPr>
          <w:rStyle w:val="43"/>
          <w:rFonts w:hint="eastAsia"/>
          <w:color w:val="auto"/>
          <w:highlight w:val="none"/>
        </w:rPr>
        <w:t>公开唱标</w:t>
      </w:r>
      <w:r>
        <w:rPr>
          <w:color w:val="auto"/>
          <w:highlight w:val="none"/>
        </w:rPr>
        <w:tab/>
      </w:r>
      <w:r>
        <w:rPr>
          <w:color w:val="auto"/>
          <w:highlight w:val="none"/>
        </w:rPr>
        <w:fldChar w:fldCharType="begin"/>
      </w:r>
      <w:r>
        <w:rPr>
          <w:color w:val="auto"/>
          <w:highlight w:val="none"/>
        </w:rPr>
        <w:instrText xml:space="preserve"> PAGEREF _Toc75852756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7010D8C9">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"_Toc75852757" </w:instrText>
      </w:r>
      <w:r>
        <w:rPr>
          <w:color w:val="auto"/>
          <w:highlight w:val="none"/>
        </w:rPr>
        <w:fldChar w:fldCharType="separate"/>
      </w:r>
      <w:r>
        <w:rPr>
          <w:rStyle w:val="43"/>
          <w:color w:val="auto"/>
          <w:highlight w:val="none"/>
        </w:rPr>
        <w:t xml:space="preserve">6. </w:t>
      </w:r>
      <w:r>
        <w:rPr>
          <w:rStyle w:val="43"/>
          <w:rFonts w:hint="eastAsia"/>
          <w:color w:val="auto"/>
          <w:highlight w:val="none"/>
        </w:rPr>
        <w:t>评审</w:t>
      </w:r>
      <w:r>
        <w:rPr>
          <w:color w:val="auto"/>
          <w:highlight w:val="none"/>
        </w:rPr>
        <w:tab/>
      </w:r>
      <w:r>
        <w:rPr>
          <w:color w:val="auto"/>
          <w:highlight w:val="none"/>
        </w:rPr>
        <w:fldChar w:fldCharType="begin"/>
      </w:r>
      <w:r>
        <w:rPr>
          <w:color w:val="auto"/>
          <w:highlight w:val="none"/>
        </w:rPr>
        <w:instrText xml:space="preserve"> PAGEREF _Toc75852757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515983BD">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"_Toc75852758" </w:instrText>
      </w:r>
      <w:r>
        <w:rPr>
          <w:color w:val="auto"/>
          <w:highlight w:val="none"/>
        </w:rPr>
        <w:fldChar w:fldCharType="separate"/>
      </w:r>
      <w:r>
        <w:rPr>
          <w:rStyle w:val="43"/>
          <w:color w:val="auto"/>
          <w:highlight w:val="none"/>
        </w:rPr>
        <w:t xml:space="preserve">7. </w:t>
      </w:r>
      <w:r>
        <w:rPr>
          <w:rStyle w:val="43"/>
          <w:rFonts w:hint="eastAsia"/>
          <w:color w:val="auto"/>
          <w:highlight w:val="none"/>
        </w:rPr>
        <w:t>成交</w:t>
      </w:r>
      <w:r>
        <w:rPr>
          <w:color w:val="auto"/>
          <w:highlight w:val="none"/>
        </w:rPr>
        <w:tab/>
      </w:r>
      <w:r>
        <w:rPr>
          <w:color w:val="auto"/>
          <w:highlight w:val="none"/>
        </w:rPr>
        <w:fldChar w:fldCharType="begin"/>
      </w:r>
      <w:r>
        <w:rPr>
          <w:color w:val="auto"/>
          <w:highlight w:val="none"/>
        </w:rPr>
        <w:instrText xml:space="preserve"> PAGEREF _Toc75852758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721FD913">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"_Toc75852759" </w:instrText>
      </w:r>
      <w:r>
        <w:rPr>
          <w:color w:val="auto"/>
          <w:highlight w:val="none"/>
        </w:rPr>
        <w:fldChar w:fldCharType="separate"/>
      </w:r>
      <w:r>
        <w:rPr>
          <w:rStyle w:val="43"/>
          <w:color w:val="auto"/>
          <w:highlight w:val="none"/>
        </w:rPr>
        <w:t>8.</w:t>
      </w:r>
      <w:r>
        <w:rPr>
          <w:rStyle w:val="43"/>
          <w:rFonts w:hint="eastAsia"/>
          <w:color w:val="auto"/>
          <w:highlight w:val="none"/>
        </w:rPr>
        <w:t>合同签订</w:t>
      </w:r>
      <w:r>
        <w:rPr>
          <w:color w:val="auto"/>
          <w:highlight w:val="none"/>
        </w:rPr>
        <w:tab/>
      </w:r>
      <w:r>
        <w:rPr>
          <w:color w:val="auto"/>
          <w:highlight w:val="none"/>
        </w:rPr>
        <w:fldChar w:fldCharType="begin"/>
      </w:r>
      <w:r>
        <w:rPr>
          <w:color w:val="auto"/>
          <w:highlight w:val="none"/>
        </w:rPr>
        <w:instrText xml:space="preserve"> PAGEREF _Toc75852759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4AD7B1ED">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"_Toc75852760" </w:instrText>
      </w:r>
      <w:r>
        <w:rPr>
          <w:color w:val="auto"/>
          <w:highlight w:val="none"/>
        </w:rPr>
        <w:fldChar w:fldCharType="separate"/>
      </w:r>
      <w:r>
        <w:rPr>
          <w:rStyle w:val="43"/>
          <w:color w:val="auto"/>
          <w:highlight w:val="none"/>
        </w:rPr>
        <w:t>9.</w:t>
      </w:r>
      <w:r>
        <w:rPr>
          <w:rStyle w:val="43"/>
          <w:rFonts w:hint="eastAsia"/>
          <w:color w:val="auto"/>
          <w:highlight w:val="none"/>
        </w:rPr>
        <w:t>采购代理服务费</w:t>
      </w:r>
      <w:r>
        <w:rPr>
          <w:color w:val="auto"/>
          <w:highlight w:val="none"/>
        </w:rPr>
        <w:tab/>
      </w:r>
      <w:r>
        <w:rPr>
          <w:color w:val="auto"/>
          <w:highlight w:val="none"/>
        </w:rPr>
        <w:fldChar w:fldCharType="begin"/>
      </w:r>
      <w:r>
        <w:rPr>
          <w:color w:val="auto"/>
          <w:highlight w:val="none"/>
        </w:rPr>
        <w:instrText xml:space="preserve"> PAGEREF _Toc75852760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4FD1ACE2">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"_Toc75852761" </w:instrText>
      </w:r>
      <w:r>
        <w:rPr>
          <w:color w:val="auto"/>
          <w:highlight w:val="none"/>
        </w:rPr>
        <w:fldChar w:fldCharType="separate"/>
      </w:r>
      <w:r>
        <w:rPr>
          <w:rStyle w:val="43"/>
          <w:color w:val="auto"/>
          <w:highlight w:val="none"/>
        </w:rPr>
        <w:t xml:space="preserve">10. </w:t>
      </w:r>
      <w:r>
        <w:rPr>
          <w:rStyle w:val="43"/>
          <w:rFonts w:hint="eastAsia"/>
          <w:color w:val="auto"/>
          <w:highlight w:val="none"/>
        </w:rPr>
        <w:t>纪律和监督</w:t>
      </w:r>
      <w:r>
        <w:rPr>
          <w:color w:val="auto"/>
          <w:highlight w:val="none"/>
        </w:rPr>
        <w:tab/>
      </w:r>
      <w:r>
        <w:rPr>
          <w:color w:val="auto"/>
          <w:highlight w:val="none"/>
        </w:rPr>
        <w:fldChar w:fldCharType="begin"/>
      </w:r>
      <w:r>
        <w:rPr>
          <w:color w:val="auto"/>
          <w:highlight w:val="none"/>
        </w:rPr>
        <w:instrText xml:space="preserve"> PAGEREF _Toc75852761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39E2477F">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"_Toc75852762" </w:instrText>
      </w:r>
      <w:r>
        <w:rPr>
          <w:color w:val="auto"/>
          <w:highlight w:val="none"/>
        </w:rPr>
        <w:fldChar w:fldCharType="separate"/>
      </w:r>
      <w:r>
        <w:rPr>
          <w:rStyle w:val="43"/>
          <w:color w:val="auto"/>
          <w:highlight w:val="none"/>
        </w:rPr>
        <w:t xml:space="preserve">11. </w:t>
      </w:r>
      <w:r>
        <w:rPr>
          <w:rStyle w:val="43"/>
          <w:rFonts w:hint="eastAsia"/>
          <w:color w:val="auto"/>
          <w:highlight w:val="none"/>
        </w:rPr>
        <w:t>需要补充的其他内容</w:t>
      </w:r>
      <w:r>
        <w:rPr>
          <w:color w:val="auto"/>
          <w:highlight w:val="none"/>
        </w:rPr>
        <w:tab/>
      </w:r>
      <w:r>
        <w:rPr>
          <w:color w:val="auto"/>
          <w:highlight w:val="none"/>
        </w:rPr>
        <w:fldChar w:fldCharType="begin"/>
      </w:r>
      <w:r>
        <w:rPr>
          <w:color w:val="auto"/>
          <w:highlight w:val="none"/>
        </w:rPr>
        <w:instrText xml:space="preserve"> PAGEREF _Toc75852762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38DDB478">
      <w:pPr>
        <w:pStyle w:val="27"/>
        <w:tabs>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"_Toc75852763" </w:instrText>
      </w:r>
      <w:r>
        <w:rPr>
          <w:color w:val="auto"/>
          <w:highlight w:val="none"/>
        </w:rPr>
        <w:fldChar w:fldCharType="separate"/>
      </w:r>
      <w:r>
        <w:rPr>
          <w:rStyle w:val="43"/>
          <w:rFonts w:hint="eastAsia" w:ascii="宋体" w:hAnsi="宋体"/>
          <w:color w:val="auto"/>
          <w:highlight w:val="none"/>
        </w:rPr>
        <w:t>第三章</w:t>
      </w:r>
      <w:r>
        <w:rPr>
          <w:rStyle w:val="43"/>
          <w:rFonts w:ascii="宋体" w:hAnsi="宋体"/>
          <w:color w:val="auto"/>
          <w:highlight w:val="none"/>
        </w:rPr>
        <w:t xml:space="preserve"> </w:t>
      </w:r>
      <w:r>
        <w:rPr>
          <w:rStyle w:val="43"/>
          <w:rFonts w:hint="eastAsia" w:ascii="宋体" w:hAnsi="宋体"/>
          <w:color w:val="auto"/>
          <w:highlight w:val="none"/>
        </w:rPr>
        <w:t>评审办法</w:t>
      </w:r>
      <w:r>
        <w:rPr>
          <w:color w:val="auto"/>
          <w:highlight w:val="none"/>
        </w:rPr>
        <w:tab/>
      </w:r>
      <w:r>
        <w:rPr>
          <w:color w:val="auto"/>
          <w:highlight w:val="none"/>
        </w:rPr>
        <w:fldChar w:fldCharType="begin"/>
      </w:r>
      <w:r>
        <w:rPr>
          <w:color w:val="auto"/>
          <w:highlight w:val="none"/>
        </w:rPr>
        <w:instrText xml:space="preserve"> PAGEREF _Toc75852763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2C613790">
      <w:pPr>
        <w:pStyle w:val="20"/>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"_Toc75852764" </w:instrText>
      </w:r>
      <w:r>
        <w:rPr>
          <w:color w:val="auto"/>
          <w:highlight w:val="none"/>
        </w:rPr>
        <w:fldChar w:fldCharType="separate"/>
      </w:r>
      <w:r>
        <w:rPr>
          <w:rStyle w:val="43"/>
          <w:rFonts w:hint="eastAsia" w:ascii="黑体" w:hAnsi="黑体" w:eastAsia="黑体"/>
          <w:color w:val="auto"/>
          <w:highlight w:val="none"/>
        </w:rPr>
        <w:t>一、评审办法前附表</w:t>
      </w:r>
      <w:r>
        <w:rPr>
          <w:color w:val="auto"/>
          <w:highlight w:val="none"/>
        </w:rPr>
        <w:tab/>
      </w:r>
      <w:r>
        <w:rPr>
          <w:color w:val="auto"/>
          <w:highlight w:val="none"/>
        </w:rPr>
        <w:fldChar w:fldCharType="begin"/>
      </w:r>
      <w:r>
        <w:rPr>
          <w:color w:val="auto"/>
          <w:highlight w:val="none"/>
        </w:rPr>
        <w:instrText xml:space="preserve"> PAGEREF _Toc75852764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289D4C3B">
      <w:pPr>
        <w:pStyle w:val="20"/>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"_Toc75852765" </w:instrText>
      </w:r>
      <w:r>
        <w:rPr>
          <w:color w:val="auto"/>
          <w:highlight w:val="none"/>
        </w:rPr>
        <w:fldChar w:fldCharType="separate"/>
      </w:r>
      <w:r>
        <w:rPr>
          <w:rStyle w:val="43"/>
          <w:rFonts w:ascii="黑体" w:hAnsi="黑体" w:eastAsia="黑体"/>
          <w:color w:val="auto"/>
          <w:highlight w:val="none"/>
        </w:rPr>
        <w:t>1</w:t>
      </w:r>
      <w:r>
        <w:rPr>
          <w:rStyle w:val="43"/>
          <w:rFonts w:hint="eastAsia" w:ascii="黑体" w:hAnsi="黑体" w:eastAsia="黑体"/>
          <w:color w:val="auto"/>
          <w:highlight w:val="none"/>
        </w:rPr>
        <w:t>．评审方法</w:t>
      </w:r>
      <w:r>
        <w:rPr>
          <w:color w:val="auto"/>
          <w:highlight w:val="none"/>
        </w:rPr>
        <w:tab/>
      </w:r>
      <w:r>
        <w:rPr>
          <w:color w:val="auto"/>
          <w:highlight w:val="none"/>
        </w:rPr>
        <w:fldChar w:fldCharType="begin"/>
      </w:r>
      <w:r>
        <w:rPr>
          <w:color w:val="auto"/>
          <w:highlight w:val="none"/>
        </w:rPr>
        <w:instrText xml:space="preserve"> PAGEREF _Toc75852765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358240C3">
      <w:pPr>
        <w:pStyle w:val="20"/>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"_Toc75852766" </w:instrText>
      </w:r>
      <w:r>
        <w:rPr>
          <w:color w:val="auto"/>
          <w:highlight w:val="none"/>
        </w:rPr>
        <w:fldChar w:fldCharType="separate"/>
      </w:r>
      <w:r>
        <w:rPr>
          <w:rStyle w:val="43"/>
          <w:rFonts w:ascii="黑体" w:hAnsi="黑体" w:eastAsia="黑体"/>
          <w:color w:val="auto"/>
          <w:highlight w:val="none"/>
        </w:rPr>
        <w:t>2</w:t>
      </w:r>
      <w:r>
        <w:rPr>
          <w:rStyle w:val="43"/>
          <w:rFonts w:hint="eastAsia" w:ascii="黑体" w:hAnsi="黑体" w:eastAsia="黑体"/>
          <w:color w:val="auto"/>
          <w:highlight w:val="none"/>
        </w:rPr>
        <w:t>．评审标准</w:t>
      </w:r>
      <w:r>
        <w:rPr>
          <w:color w:val="auto"/>
          <w:highlight w:val="none"/>
        </w:rPr>
        <w:tab/>
      </w:r>
      <w:r>
        <w:rPr>
          <w:color w:val="auto"/>
          <w:highlight w:val="none"/>
        </w:rPr>
        <w:fldChar w:fldCharType="begin"/>
      </w:r>
      <w:r>
        <w:rPr>
          <w:color w:val="auto"/>
          <w:highlight w:val="none"/>
        </w:rPr>
        <w:instrText xml:space="preserve"> PAGEREF _Toc75852766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60FB3DB2">
      <w:pPr>
        <w:pStyle w:val="20"/>
        <w:tabs>
          <w:tab w:val="right" w:leader="dot" w:pos="8296"/>
        </w:tabs>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"_Toc75852767" </w:instrText>
      </w:r>
      <w:r>
        <w:rPr>
          <w:color w:val="auto"/>
          <w:highlight w:val="none"/>
        </w:rPr>
        <w:fldChar w:fldCharType="separate"/>
      </w:r>
      <w:r>
        <w:rPr>
          <w:rStyle w:val="43"/>
          <w:rFonts w:ascii="黑体" w:hAnsi="黑体" w:eastAsia="黑体"/>
          <w:color w:val="auto"/>
          <w:highlight w:val="none"/>
        </w:rPr>
        <w:t>3</w:t>
      </w:r>
      <w:r>
        <w:rPr>
          <w:rStyle w:val="43"/>
          <w:rFonts w:hint="eastAsia" w:ascii="黑体" w:hAnsi="黑体" w:eastAsia="黑体"/>
          <w:color w:val="auto"/>
          <w:highlight w:val="none"/>
        </w:rPr>
        <w:t>．评审程序</w:t>
      </w:r>
      <w:r>
        <w:rPr>
          <w:color w:val="auto"/>
          <w:highlight w:val="none"/>
        </w:rPr>
        <w:tab/>
      </w:r>
      <w:r>
        <w:rPr>
          <w:color w:val="auto"/>
          <w:highlight w:val="none"/>
        </w:rPr>
        <w:fldChar w:fldCharType="begin"/>
      </w:r>
      <w:r>
        <w:rPr>
          <w:color w:val="auto"/>
          <w:highlight w:val="none"/>
        </w:rPr>
        <w:instrText xml:space="preserve"> PAGEREF _Toc75852767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217AD319">
      <w:pPr>
        <w:pStyle w:val="27"/>
        <w:tabs>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"_Toc75852768" </w:instrText>
      </w:r>
      <w:r>
        <w:rPr>
          <w:color w:val="auto"/>
          <w:highlight w:val="none"/>
        </w:rPr>
        <w:fldChar w:fldCharType="separate"/>
      </w:r>
      <w:r>
        <w:rPr>
          <w:rStyle w:val="43"/>
          <w:rFonts w:hint="eastAsia" w:ascii="宋体" w:hAnsi="宋体"/>
          <w:color w:val="auto"/>
          <w:highlight w:val="none"/>
        </w:rPr>
        <w:t>第四章</w:t>
      </w:r>
      <w:r>
        <w:rPr>
          <w:rStyle w:val="43"/>
          <w:rFonts w:ascii="宋体" w:hAnsi="宋体"/>
          <w:color w:val="auto"/>
          <w:highlight w:val="none"/>
        </w:rPr>
        <w:t xml:space="preserve"> </w:t>
      </w:r>
      <w:r>
        <w:rPr>
          <w:rStyle w:val="43"/>
          <w:rFonts w:hint="eastAsia" w:ascii="宋体" w:hAnsi="宋体"/>
          <w:color w:val="auto"/>
          <w:highlight w:val="none"/>
        </w:rPr>
        <w:t>用户需求书</w:t>
      </w:r>
      <w:r>
        <w:rPr>
          <w:rStyle w:val="43"/>
          <w:rFonts w:ascii="宋体" w:hAnsi="宋体"/>
          <w:color w:val="auto"/>
          <w:highlight w:val="none"/>
        </w:rPr>
        <w:t>/</w:t>
      </w:r>
      <w:r>
        <w:rPr>
          <w:rStyle w:val="43"/>
          <w:rFonts w:hint="eastAsia" w:ascii="宋体" w:hAnsi="宋体"/>
          <w:color w:val="auto"/>
          <w:highlight w:val="none"/>
        </w:rPr>
        <w:t>技术规范书</w:t>
      </w:r>
      <w:r>
        <w:rPr>
          <w:color w:val="auto"/>
          <w:highlight w:val="none"/>
        </w:rPr>
        <w:tab/>
      </w:r>
      <w:r>
        <w:rPr>
          <w:color w:val="auto"/>
          <w:highlight w:val="none"/>
        </w:rPr>
        <w:fldChar w:fldCharType="begin"/>
      </w:r>
      <w:r>
        <w:rPr>
          <w:color w:val="auto"/>
          <w:highlight w:val="none"/>
        </w:rPr>
        <w:instrText xml:space="preserve"> PAGEREF _Toc75852768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00011C1C">
      <w:pPr>
        <w:pStyle w:val="27"/>
        <w:tabs>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"_Toc75852769" </w:instrText>
      </w:r>
      <w:r>
        <w:rPr>
          <w:color w:val="auto"/>
          <w:highlight w:val="none"/>
        </w:rPr>
        <w:fldChar w:fldCharType="separate"/>
      </w:r>
      <w:r>
        <w:rPr>
          <w:rStyle w:val="43"/>
          <w:rFonts w:hint="eastAsia"/>
          <w:color w:val="auto"/>
          <w:highlight w:val="none"/>
        </w:rPr>
        <w:t>第五章</w:t>
      </w:r>
      <w:r>
        <w:rPr>
          <w:rStyle w:val="43"/>
          <w:color w:val="auto"/>
          <w:highlight w:val="none"/>
        </w:rPr>
        <w:t xml:space="preserve"> </w:t>
      </w:r>
      <w:r>
        <w:rPr>
          <w:rStyle w:val="43"/>
          <w:rFonts w:hint="eastAsia"/>
          <w:color w:val="auto"/>
          <w:highlight w:val="none"/>
        </w:rPr>
        <w:t>合同条款格式</w:t>
      </w:r>
      <w:r>
        <w:rPr>
          <w:color w:val="auto"/>
          <w:highlight w:val="none"/>
        </w:rPr>
        <w:tab/>
      </w:r>
      <w:r>
        <w:rPr>
          <w:color w:val="auto"/>
          <w:highlight w:val="none"/>
        </w:rPr>
        <w:fldChar w:fldCharType="begin"/>
      </w:r>
      <w:r>
        <w:rPr>
          <w:color w:val="auto"/>
          <w:highlight w:val="none"/>
        </w:rPr>
        <w:instrText xml:space="preserve"> PAGEREF _Toc75852769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45A01039">
      <w:pPr>
        <w:pStyle w:val="27"/>
        <w:tabs>
          <w:tab w:val="right" w:leader="dot" w:pos="8296"/>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"_Toc75852770" </w:instrText>
      </w:r>
      <w:r>
        <w:rPr>
          <w:color w:val="auto"/>
          <w:highlight w:val="none"/>
        </w:rPr>
        <w:fldChar w:fldCharType="separate"/>
      </w:r>
      <w:r>
        <w:rPr>
          <w:rStyle w:val="43"/>
          <w:rFonts w:hint="eastAsia" w:ascii="宋体" w:hAnsi="宋体"/>
          <w:color w:val="auto"/>
          <w:highlight w:val="none"/>
        </w:rPr>
        <w:t>第六章</w:t>
      </w:r>
      <w:r>
        <w:rPr>
          <w:rStyle w:val="43"/>
          <w:rFonts w:ascii="宋体" w:hAnsi="宋体"/>
          <w:color w:val="auto"/>
          <w:highlight w:val="none"/>
        </w:rPr>
        <w:t xml:space="preserve"> </w:t>
      </w:r>
      <w:r>
        <w:rPr>
          <w:rStyle w:val="43"/>
          <w:rFonts w:hint="eastAsia" w:ascii="宋体" w:hAnsi="宋体"/>
          <w:color w:val="auto"/>
          <w:highlight w:val="none"/>
        </w:rPr>
        <w:t>响应文件格式</w:t>
      </w:r>
      <w:r>
        <w:rPr>
          <w:color w:val="auto"/>
          <w:highlight w:val="none"/>
        </w:rPr>
        <w:tab/>
      </w:r>
      <w:r>
        <w:rPr>
          <w:color w:val="auto"/>
          <w:highlight w:val="none"/>
        </w:rPr>
        <w:fldChar w:fldCharType="begin"/>
      </w:r>
      <w:r>
        <w:rPr>
          <w:color w:val="auto"/>
          <w:highlight w:val="none"/>
        </w:rPr>
        <w:instrText xml:space="preserve"> PAGEREF _Toc75852770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672A2826">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"_Toc75852772" </w:instrText>
      </w:r>
      <w:r>
        <w:rPr>
          <w:color w:val="auto"/>
          <w:highlight w:val="none"/>
        </w:rPr>
        <w:fldChar w:fldCharType="separate"/>
      </w:r>
      <w:r>
        <w:rPr>
          <w:rStyle w:val="43"/>
          <w:rFonts w:hint="eastAsia"/>
          <w:color w:val="auto"/>
          <w:highlight w:val="none"/>
        </w:rPr>
        <w:t>第一部分</w:t>
      </w:r>
      <w:r>
        <w:rPr>
          <w:rStyle w:val="43"/>
          <w:color w:val="auto"/>
          <w:highlight w:val="none"/>
        </w:rPr>
        <w:t xml:space="preserve">  </w:t>
      </w:r>
      <w:r>
        <w:rPr>
          <w:rStyle w:val="43"/>
          <w:rFonts w:hint="eastAsia"/>
          <w:color w:val="auto"/>
          <w:highlight w:val="none"/>
        </w:rPr>
        <w:t>技术商务部分</w:t>
      </w:r>
      <w:r>
        <w:rPr>
          <w:color w:val="auto"/>
          <w:highlight w:val="none"/>
        </w:rPr>
        <w:tab/>
      </w:r>
      <w:r>
        <w:rPr>
          <w:color w:val="auto"/>
          <w:highlight w:val="none"/>
        </w:rPr>
        <w:fldChar w:fldCharType="begin"/>
      </w:r>
      <w:r>
        <w:rPr>
          <w:color w:val="auto"/>
          <w:highlight w:val="none"/>
        </w:rPr>
        <w:instrText xml:space="preserve"> PAGEREF _Toc75852772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57531810">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"_Toc75852773" </w:instrText>
      </w:r>
      <w:r>
        <w:rPr>
          <w:color w:val="auto"/>
          <w:highlight w:val="none"/>
        </w:rPr>
        <w:fldChar w:fldCharType="separate"/>
      </w:r>
      <w:r>
        <w:rPr>
          <w:rStyle w:val="43"/>
          <w:rFonts w:hint="eastAsia"/>
          <w:color w:val="auto"/>
          <w:highlight w:val="none"/>
        </w:rPr>
        <w:t>一、</w:t>
      </w:r>
      <w:r>
        <w:rPr>
          <w:rStyle w:val="43"/>
          <w:rFonts w:hint="eastAsia" w:ascii="黑体" w:hAnsi="宋体"/>
          <w:color w:val="auto"/>
          <w:highlight w:val="none"/>
        </w:rPr>
        <w:t>评审索引表</w:t>
      </w:r>
      <w:r>
        <w:rPr>
          <w:color w:val="auto"/>
          <w:highlight w:val="none"/>
        </w:rPr>
        <w:tab/>
      </w:r>
      <w:r>
        <w:rPr>
          <w:color w:val="auto"/>
          <w:highlight w:val="none"/>
        </w:rPr>
        <w:fldChar w:fldCharType="begin"/>
      </w:r>
      <w:r>
        <w:rPr>
          <w:color w:val="auto"/>
          <w:highlight w:val="none"/>
        </w:rPr>
        <w:instrText xml:space="preserve"> PAGEREF _Toc75852773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29CF0AFC">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"_Toc75852774" </w:instrText>
      </w:r>
      <w:r>
        <w:rPr>
          <w:color w:val="auto"/>
          <w:highlight w:val="none"/>
        </w:rPr>
        <w:fldChar w:fldCharType="separate"/>
      </w:r>
      <w:r>
        <w:rPr>
          <w:rStyle w:val="43"/>
          <w:rFonts w:hint="eastAsia"/>
          <w:color w:val="auto"/>
          <w:highlight w:val="none"/>
        </w:rPr>
        <w:t>二、竞争性谈判响应函</w:t>
      </w:r>
      <w:r>
        <w:rPr>
          <w:color w:val="auto"/>
          <w:highlight w:val="none"/>
        </w:rPr>
        <w:tab/>
      </w:r>
      <w:r>
        <w:rPr>
          <w:color w:val="auto"/>
          <w:highlight w:val="none"/>
        </w:rPr>
        <w:fldChar w:fldCharType="begin"/>
      </w:r>
      <w:r>
        <w:rPr>
          <w:color w:val="auto"/>
          <w:highlight w:val="none"/>
        </w:rPr>
        <w:instrText xml:space="preserve"> PAGEREF _Toc75852774 \h </w:instrText>
      </w:r>
      <w:r>
        <w:rPr>
          <w:color w:val="auto"/>
          <w:highlight w:val="none"/>
        </w:rPr>
        <w:fldChar w:fldCharType="separate"/>
      </w:r>
      <w:r>
        <w:rPr>
          <w:color w:val="auto"/>
          <w:highlight w:val="none"/>
        </w:rPr>
        <w:t>32</w:t>
      </w:r>
      <w:r>
        <w:rPr>
          <w:color w:val="auto"/>
          <w:highlight w:val="none"/>
        </w:rPr>
        <w:fldChar w:fldCharType="end"/>
      </w:r>
      <w:r>
        <w:rPr>
          <w:color w:val="auto"/>
          <w:highlight w:val="none"/>
        </w:rPr>
        <w:fldChar w:fldCharType="end"/>
      </w:r>
    </w:p>
    <w:p w14:paraId="06E531FA">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"_Toc75852775" </w:instrText>
      </w:r>
      <w:r>
        <w:rPr>
          <w:color w:val="auto"/>
          <w:highlight w:val="none"/>
        </w:rPr>
        <w:fldChar w:fldCharType="separate"/>
      </w:r>
      <w:r>
        <w:rPr>
          <w:rStyle w:val="43"/>
          <w:rFonts w:hint="eastAsia" w:ascii="黑体"/>
          <w:color w:val="auto"/>
          <w:highlight w:val="none"/>
        </w:rPr>
        <w:t>三、联合体协议书（如有）</w:t>
      </w:r>
      <w:r>
        <w:rPr>
          <w:color w:val="auto"/>
          <w:highlight w:val="none"/>
        </w:rPr>
        <w:tab/>
      </w:r>
      <w:r>
        <w:rPr>
          <w:color w:val="auto"/>
          <w:highlight w:val="none"/>
        </w:rPr>
        <w:fldChar w:fldCharType="begin"/>
      </w:r>
      <w:r>
        <w:rPr>
          <w:color w:val="auto"/>
          <w:highlight w:val="none"/>
        </w:rPr>
        <w:instrText xml:space="preserve"> PAGEREF _Toc75852775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21BB01CA">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"_Toc75852776" </w:instrText>
      </w:r>
      <w:r>
        <w:rPr>
          <w:color w:val="auto"/>
          <w:highlight w:val="none"/>
        </w:rPr>
        <w:fldChar w:fldCharType="separate"/>
      </w:r>
      <w:r>
        <w:rPr>
          <w:rStyle w:val="43"/>
          <w:rFonts w:hint="eastAsia"/>
          <w:color w:val="auto"/>
          <w:highlight w:val="none"/>
        </w:rPr>
        <w:t>四、法定代表人身份证明</w:t>
      </w:r>
      <w:r>
        <w:rPr>
          <w:color w:val="auto"/>
          <w:highlight w:val="none"/>
        </w:rPr>
        <w:tab/>
      </w:r>
      <w:r>
        <w:rPr>
          <w:color w:val="auto"/>
          <w:highlight w:val="none"/>
        </w:rPr>
        <w:fldChar w:fldCharType="begin"/>
      </w:r>
      <w:r>
        <w:rPr>
          <w:color w:val="auto"/>
          <w:highlight w:val="none"/>
        </w:rPr>
        <w:instrText xml:space="preserve"> PAGEREF _Toc75852776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1E405E2E">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"_Toc75852777" </w:instrText>
      </w:r>
      <w:r>
        <w:rPr>
          <w:color w:val="auto"/>
          <w:highlight w:val="none"/>
        </w:rPr>
        <w:fldChar w:fldCharType="separate"/>
      </w:r>
      <w:r>
        <w:rPr>
          <w:rStyle w:val="43"/>
          <w:rFonts w:hint="eastAsia"/>
          <w:color w:val="auto"/>
          <w:highlight w:val="none"/>
        </w:rPr>
        <w:t>五、法定代表人授权委托书</w:t>
      </w:r>
      <w:r>
        <w:rPr>
          <w:color w:val="auto"/>
          <w:highlight w:val="none"/>
        </w:rPr>
        <w:tab/>
      </w:r>
      <w:r>
        <w:rPr>
          <w:color w:val="auto"/>
          <w:highlight w:val="none"/>
        </w:rPr>
        <w:fldChar w:fldCharType="begin"/>
      </w:r>
      <w:r>
        <w:rPr>
          <w:color w:val="auto"/>
          <w:highlight w:val="none"/>
        </w:rPr>
        <w:instrText xml:space="preserve"> PAGEREF _Toc75852777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2669BC3E">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"_Toc75852778" </w:instrText>
      </w:r>
      <w:r>
        <w:rPr>
          <w:color w:val="auto"/>
          <w:highlight w:val="none"/>
        </w:rPr>
        <w:fldChar w:fldCharType="separate"/>
      </w:r>
      <w:r>
        <w:rPr>
          <w:rStyle w:val="43"/>
          <w:rFonts w:hint="eastAsia"/>
          <w:color w:val="auto"/>
          <w:highlight w:val="none"/>
        </w:rPr>
        <w:t>六、项目实施方案</w:t>
      </w:r>
      <w:r>
        <w:rPr>
          <w:color w:val="auto"/>
          <w:highlight w:val="none"/>
        </w:rPr>
        <w:tab/>
      </w:r>
      <w:r>
        <w:rPr>
          <w:color w:val="auto"/>
          <w:highlight w:val="none"/>
        </w:rPr>
        <w:fldChar w:fldCharType="begin"/>
      </w:r>
      <w:r>
        <w:rPr>
          <w:color w:val="auto"/>
          <w:highlight w:val="none"/>
        </w:rPr>
        <w:instrText xml:space="preserve"> PAGEREF _Toc75852778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41674C79">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"_Toc75852779" </w:instrText>
      </w:r>
      <w:r>
        <w:rPr>
          <w:color w:val="auto"/>
          <w:highlight w:val="none"/>
        </w:rPr>
        <w:fldChar w:fldCharType="separate"/>
      </w:r>
      <w:r>
        <w:rPr>
          <w:rStyle w:val="43"/>
          <w:rFonts w:hint="eastAsia"/>
          <w:color w:val="auto"/>
          <w:highlight w:val="none"/>
        </w:rPr>
        <w:t>七、项目管理机构</w:t>
      </w:r>
      <w:r>
        <w:rPr>
          <w:color w:val="auto"/>
          <w:highlight w:val="none"/>
        </w:rPr>
        <w:tab/>
      </w:r>
      <w:r>
        <w:rPr>
          <w:color w:val="auto"/>
          <w:highlight w:val="none"/>
        </w:rPr>
        <w:fldChar w:fldCharType="begin"/>
      </w:r>
      <w:r>
        <w:rPr>
          <w:color w:val="auto"/>
          <w:highlight w:val="none"/>
        </w:rPr>
        <w:instrText xml:space="preserve"> PAGEREF _Toc75852779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32ED8F68">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"_Toc75852780" </w:instrText>
      </w:r>
      <w:r>
        <w:rPr>
          <w:color w:val="auto"/>
          <w:highlight w:val="none"/>
        </w:rPr>
        <w:fldChar w:fldCharType="separate"/>
      </w:r>
      <w:r>
        <w:rPr>
          <w:rStyle w:val="43"/>
          <w:rFonts w:hint="eastAsia" w:ascii="黑体"/>
          <w:color w:val="auto"/>
          <w:highlight w:val="none"/>
        </w:rPr>
        <w:t>八、实质性条款偏离表</w:t>
      </w:r>
      <w:r>
        <w:rPr>
          <w:color w:val="auto"/>
          <w:highlight w:val="none"/>
        </w:rPr>
        <w:tab/>
      </w:r>
      <w:r>
        <w:rPr>
          <w:color w:val="auto"/>
          <w:highlight w:val="none"/>
        </w:rPr>
        <w:fldChar w:fldCharType="begin"/>
      </w:r>
      <w:r>
        <w:rPr>
          <w:color w:val="auto"/>
          <w:highlight w:val="none"/>
        </w:rPr>
        <w:instrText xml:space="preserve"> PAGEREF _Toc75852780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5EA34D44">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"_Toc75852781" </w:instrText>
      </w:r>
      <w:r>
        <w:rPr>
          <w:color w:val="auto"/>
          <w:highlight w:val="none"/>
        </w:rPr>
        <w:fldChar w:fldCharType="separate"/>
      </w:r>
      <w:r>
        <w:rPr>
          <w:rStyle w:val="43"/>
          <w:rFonts w:hint="eastAsia" w:ascii="黑体"/>
          <w:color w:val="auto"/>
          <w:highlight w:val="none"/>
        </w:rPr>
        <w:t>九、技术条款偏离表</w:t>
      </w:r>
      <w:r>
        <w:rPr>
          <w:color w:val="auto"/>
          <w:highlight w:val="none"/>
        </w:rPr>
        <w:tab/>
      </w:r>
      <w:r>
        <w:rPr>
          <w:color w:val="auto"/>
          <w:highlight w:val="none"/>
        </w:rPr>
        <w:fldChar w:fldCharType="begin"/>
      </w:r>
      <w:r>
        <w:rPr>
          <w:color w:val="auto"/>
          <w:highlight w:val="none"/>
        </w:rPr>
        <w:instrText xml:space="preserve"> PAGEREF _Toc75852781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39D8044B">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"_Toc75852782" </w:instrText>
      </w:r>
      <w:r>
        <w:rPr>
          <w:color w:val="auto"/>
          <w:highlight w:val="none"/>
        </w:rPr>
        <w:fldChar w:fldCharType="separate"/>
      </w:r>
      <w:r>
        <w:rPr>
          <w:rStyle w:val="43"/>
          <w:rFonts w:hint="eastAsia"/>
          <w:color w:val="auto"/>
          <w:highlight w:val="none"/>
        </w:rPr>
        <w:t>十、资格审查资料</w:t>
      </w:r>
      <w:r>
        <w:rPr>
          <w:color w:val="auto"/>
          <w:highlight w:val="none"/>
        </w:rPr>
        <w:tab/>
      </w:r>
      <w:r>
        <w:rPr>
          <w:color w:val="auto"/>
          <w:highlight w:val="none"/>
        </w:rPr>
        <w:fldChar w:fldCharType="begin"/>
      </w:r>
      <w:r>
        <w:rPr>
          <w:color w:val="auto"/>
          <w:highlight w:val="none"/>
        </w:rPr>
        <w:instrText xml:space="preserve"> PAGEREF _Toc75852782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14:paraId="2F297BE0">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"_Toc75852783" </w:instrText>
      </w:r>
      <w:r>
        <w:rPr>
          <w:color w:val="auto"/>
          <w:highlight w:val="none"/>
        </w:rPr>
        <w:fldChar w:fldCharType="separate"/>
      </w:r>
      <w:r>
        <w:rPr>
          <w:rStyle w:val="43"/>
          <w:rFonts w:hint="eastAsia"/>
          <w:color w:val="auto"/>
          <w:highlight w:val="none"/>
        </w:rPr>
        <w:t>十一、其他需要补充的资料</w:t>
      </w:r>
      <w:r>
        <w:rPr>
          <w:color w:val="auto"/>
          <w:highlight w:val="none"/>
        </w:rPr>
        <w:tab/>
      </w:r>
      <w:r>
        <w:rPr>
          <w:color w:val="auto"/>
          <w:highlight w:val="none"/>
        </w:rPr>
        <w:fldChar w:fldCharType="begin"/>
      </w:r>
      <w:r>
        <w:rPr>
          <w:color w:val="auto"/>
          <w:highlight w:val="none"/>
        </w:rPr>
        <w:instrText xml:space="preserve"> PAGEREF _Toc75852783 \h </w:instrText>
      </w:r>
      <w:r>
        <w:rPr>
          <w:color w:val="auto"/>
          <w:highlight w:val="none"/>
        </w:rPr>
        <w:fldChar w:fldCharType="separate"/>
      </w:r>
      <w:r>
        <w:rPr>
          <w:color w:val="auto"/>
          <w:highlight w:val="none"/>
        </w:rPr>
        <w:t>43</w:t>
      </w:r>
      <w:r>
        <w:rPr>
          <w:color w:val="auto"/>
          <w:highlight w:val="none"/>
        </w:rPr>
        <w:fldChar w:fldCharType="end"/>
      </w:r>
      <w:r>
        <w:rPr>
          <w:color w:val="auto"/>
          <w:highlight w:val="none"/>
        </w:rPr>
        <w:fldChar w:fldCharType="end"/>
      </w:r>
    </w:p>
    <w:p w14:paraId="658216EA">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"_Toc75852784" </w:instrText>
      </w:r>
      <w:r>
        <w:rPr>
          <w:color w:val="auto"/>
          <w:highlight w:val="none"/>
        </w:rPr>
        <w:fldChar w:fldCharType="separate"/>
      </w:r>
      <w:r>
        <w:rPr>
          <w:rStyle w:val="43"/>
          <w:rFonts w:hint="eastAsia"/>
          <w:color w:val="auto"/>
          <w:highlight w:val="none"/>
        </w:rPr>
        <w:t>第二部分</w:t>
      </w:r>
      <w:r>
        <w:rPr>
          <w:rStyle w:val="43"/>
          <w:color w:val="auto"/>
          <w:highlight w:val="none"/>
        </w:rPr>
        <w:t xml:space="preserve">  </w:t>
      </w:r>
      <w:r>
        <w:rPr>
          <w:rStyle w:val="43"/>
          <w:rFonts w:hint="eastAsia"/>
          <w:color w:val="auto"/>
          <w:highlight w:val="none"/>
        </w:rPr>
        <w:t>经济部分</w:t>
      </w:r>
      <w:r>
        <w:rPr>
          <w:color w:val="auto"/>
          <w:highlight w:val="none"/>
        </w:rPr>
        <w:tab/>
      </w:r>
      <w:r>
        <w:rPr>
          <w:color w:val="auto"/>
          <w:highlight w:val="none"/>
        </w:rPr>
        <w:fldChar w:fldCharType="begin"/>
      </w:r>
      <w:r>
        <w:rPr>
          <w:color w:val="auto"/>
          <w:highlight w:val="none"/>
        </w:rPr>
        <w:instrText xml:space="preserve"> PAGEREF _Toc75852784 \h </w:instrText>
      </w:r>
      <w:r>
        <w:rPr>
          <w:color w:val="auto"/>
          <w:highlight w:val="none"/>
        </w:rPr>
        <w:fldChar w:fldCharType="separate"/>
      </w:r>
      <w:r>
        <w:rPr>
          <w:color w:val="auto"/>
          <w:highlight w:val="none"/>
        </w:rPr>
        <w:t>44</w:t>
      </w:r>
      <w:r>
        <w:rPr>
          <w:color w:val="auto"/>
          <w:highlight w:val="none"/>
        </w:rPr>
        <w:fldChar w:fldCharType="end"/>
      </w:r>
      <w:r>
        <w:rPr>
          <w:color w:val="auto"/>
          <w:highlight w:val="none"/>
        </w:rPr>
        <w:fldChar w:fldCharType="end"/>
      </w:r>
    </w:p>
    <w:p w14:paraId="4AB60758">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"_Toc75852785" </w:instrText>
      </w:r>
      <w:r>
        <w:rPr>
          <w:color w:val="auto"/>
          <w:highlight w:val="none"/>
        </w:rPr>
        <w:fldChar w:fldCharType="separate"/>
      </w:r>
      <w:r>
        <w:rPr>
          <w:rStyle w:val="43"/>
          <w:rFonts w:hint="eastAsia" w:ascii="黑体"/>
          <w:color w:val="auto"/>
          <w:highlight w:val="none"/>
        </w:rPr>
        <w:t>一、报价一览表</w:t>
      </w:r>
      <w:r>
        <w:rPr>
          <w:color w:val="auto"/>
          <w:highlight w:val="none"/>
        </w:rPr>
        <w:tab/>
      </w:r>
      <w:r>
        <w:rPr>
          <w:color w:val="auto"/>
          <w:highlight w:val="none"/>
        </w:rPr>
        <w:fldChar w:fldCharType="begin"/>
      </w:r>
      <w:r>
        <w:rPr>
          <w:color w:val="auto"/>
          <w:highlight w:val="none"/>
        </w:rPr>
        <w:instrText xml:space="preserve"> PAGEREF _Toc75852785 \h </w:instrText>
      </w:r>
      <w:r>
        <w:rPr>
          <w:color w:val="auto"/>
          <w:highlight w:val="none"/>
        </w:rPr>
        <w:fldChar w:fldCharType="separate"/>
      </w:r>
      <w:r>
        <w:rPr>
          <w:color w:val="auto"/>
          <w:highlight w:val="none"/>
        </w:rPr>
        <w:t>44</w:t>
      </w:r>
      <w:r>
        <w:rPr>
          <w:color w:val="auto"/>
          <w:highlight w:val="none"/>
        </w:rPr>
        <w:fldChar w:fldCharType="end"/>
      </w:r>
      <w:r>
        <w:rPr>
          <w:color w:val="auto"/>
          <w:highlight w:val="none"/>
        </w:rPr>
        <w:fldChar w:fldCharType="end"/>
      </w:r>
    </w:p>
    <w:p w14:paraId="444489DE">
      <w:pPr>
        <w:pStyle w:val="33"/>
        <w:tabs>
          <w:tab w:val="right" w:leader="dot" w:pos="8296"/>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"_Toc75852786" </w:instrText>
      </w:r>
      <w:r>
        <w:rPr>
          <w:color w:val="auto"/>
          <w:highlight w:val="none"/>
        </w:rPr>
        <w:fldChar w:fldCharType="separate"/>
      </w:r>
      <w:r>
        <w:rPr>
          <w:rStyle w:val="43"/>
          <w:rFonts w:hint="eastAsia" w:ascii="黑体"/>
          <w:color w:val="auto"/>
          <w:highlight w:val="none"/>
        </w:rPr>
        <w:t>二、分项报价表</w:t>
      </w:r>
      <w:r>
        <w:rPr>
          <w:color w:val="auto"/>
          <w:highlight w:val="none"/>
        </w:rPr>
        <w:tab/>
      </w:r>
      <w:r>
        <w:rPr>
          <w:color w:val="auto"/>
          <w:highlight w:val="none"/>
        </w:rPr>
        <w:fldChar w:fldCharType="begin"/>
      </w:r>
      <w:r>
        <w:rPr>
          <w:color w:val="auto"/>
          <w:highlight w:val="none"/>
        </w:rPr>
        <w:instrText xml:space="preserve"> PAGEREF _Toc75852786 \h </w:instrText>
      </w:r>
      <w:r>
        <w:rPr>
          <w:color w:val="auto"/>
          <w:highlight w:val="none"/>
        </w:rPr>
        <w:fldChar w:fldCharType="separate"/>
      </w:r>
      <w:r>
        <w:rPr>
          <w:color w:val="auto"/>
          <w:highlight w:val="none"/>
        </w:rPr>
        <w:t>45</w:t>
      </w:r>
      <w:r>
        <w:rPr>
          <w:color w:val="auto"/>
          <w:highlight w:val="none"/>
        </w:rPr>
        <w:fldChar w:fldCharType="end"/>
      </w:r>
      <w:r>
        <w:rPr>
          <w:color w:val="auto"/>
          <w:highlight w:val="none"/>
        </w:rPr>
        <w:fldChar w:fldCharType="end"/>
      </w:r>
    </w:p>
    <w:p w14:paraId="785A1366">
      <w:pPr>
        <w:pStyle w:val="33"/>
        <w:tabs>
          <w:tab w:val="right" w:leader="dot" w:pos="8296"/>
        </w:tabs>
        <w:rPr>
          <w:rFonts w:ascii="黑体" w:eastAsia="黑体"/>
          <w:color w:val="auto"/>
          <w:sz w:val="28"/>
          <w:szCs w:val="28"/>
          <w:highlight w:val="none"/>
        </w:rPr>
      </w:pPr>
      <w:r>
        <w:rPr>
          <w:color w:val="auto"/>
          <w:highlight w:val="none"/>
        </w:rPr>
        <w:fldChar w:fldCharType="begin"/>
      </w:r>
      <w:r>
        <w:rPr>
          <w:color w:val="auto"/>
          <w:highlight w:val="none"/>
        </w:rPr>
        <w:instrText xml:space="preserve"> HYPERLINK \l "_Toc75852787" </w:instrText>
      </w:r>
      <w:r>
        <w:rPr>
          <w:color w:val="auto"/>
          <w:highlight w:val="none"/>
        </w:rPr>
        <w:fldChar w:fldCharType="separate"/>
      </w:r>
      <w:r>
        <w:rPr>
          <w:rStyle w:val="43"/>
          <w:rFonts w:hint="eastAsia"/>
          <w:color w:val="auto"/>
          <w:highlight w:val="none"/>
        </w:rPr>
        <w:t>第三部分</w:t>
      </w:r>
      <w:r>
        <w:rPr>
          <w:rStyle w:val="43"/>
          <w:color w:val="auto"/>
          <w:highlight w:val="none"/>
        </w:rPr>
        <w:t xml:space="preserve">  </w:t>
      </w:r>
      <w:r>
        <w:rPr>
          <w:rStyle w:val="43"/>
          <w:rFonts w:hint="eastAsia"/>
          <w:color w:val="auto"/>
          <w:highlight w:val="none"/>
        </w:rPr>
        <w:t>唱标信封（单独密封）</w:t>
      </w:r>
      <w:r>
        <w:rPr>
          <w:color w:val="auto"/>
          <w:highlight w:val="none"/>
        </w:rPr>
        <w:tab/>
      </w:r>
      <w:r>
        <w:rPr>
          <w:color w:val="auto"/>
          <w:highlight w:val="none"/>
        </w:rPr>
        <w:fldChar w:fldCharType="begin"/>
      </w:r>
      <w:r>
        <w:rPr>
          <w:color w:val="auto"/>
          <w:highlight w:val="none"/>
        </w:rPr>
        <w:instrText xml:space="preserve"> PAGEREF _Toc75852787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r>
        <w:rPr>
          <w:rFonts w:ascii="黑体" w:eastAsia="黑体"/>
          <w:color w:val="auto"/>
          <w:sz w:val="28"/>
          <w:szCs w:val="28"/>
          <w:highlight w:val="none"/>
        </w:rPr>
        <w:fldChar w:fldCharType="end"/>
      </w:r>
    </w:p>
    <w:p w14:paraId="32A71A61">
      <w:pPr>
        <w:pStyle w:val="70"/>
        <w:rPr>
          <w:rFonts w:ascii="宋体" w:hAnsi="宋体" w:eastAsia="宋体" w:cs="宋体"/>
          <w:b/>
          <w:color w:val="auto"/>
          <w:kern w:val="0"/>
          <w:sz w:val="28"/>
          <w:szCs w:val="28"/>
          <w:highlight w:val="none"/>
        </w:rPr>
        <w:sectPr>
          <w:footerReference r:id="rId3" w:type="default"/>
          <w:pgSz w:w="11906" w:h="16838"/>
          <w:pgMar w:top="1440" w:right="1800" w:bottom="1440" w:left="1800" w:header="851" w:footer="992" w:gutter="0"/>
          <w:cols w:space="720" w:num="1"/>
          <w:docGrid w:type="lines" w:linePitch="312" w:charSpace="0"/>
        </w:sectPr>
      </w:pPr>
      <w:bookmarkStart w:id="0" w:name="_Toc227057880"/>
      <w:bookmarkStart w:id="1" w:name="_Toc456551871"/>
    </w:p>
    <w:p w14:paraId="4FABCB7C">
      <w:pPr>
        <w:pStyle w:val="70"/>
        <w:rPr>
          <w:rFonts w:ascii="宋体" w:hAnsi="宋体" w:eastAsia="宋体" w:cs="宋体"/>
          <w:b/>
          <w:color w:val="auto"/>
          <w:kern w:val="0"/>
          <w:sz w:val="28"/>
          <w:szCs w:val="28"/>
          <w:highlight w:val="none"/>
        </w:rPr>
      </w:pPr>
      <w:bookmarkStart w:id="2" w:name="_Toc75852749"/>
      <w:r>
        <w:rPr>
          <w:rFonts w:hint="eastAsia" w:ascii="宋体" w:hAnsi="宋体" w:eastAsia="宋体" w:cs="宋体"/>
          <w:b/>
          <w:color w:val="auto"/>
          <w:kern w:val="0"/>
          <w:sz w:val="28"/>
          <w:szCs w:val="28"/>
          <w:highlight w:val="none"/>
        </w:rPr>
        <w:t>第</w:t>
      </w:r>
      <w:r>
        <w:rPr>
          <w:rFonts w:ascii="宋体" w:hAnsi="宋体" w:eastAsia="宋体" w:cs="宋体"/>
          <w:b/>
          <w:color w:val="auto"/>
          <w:kern w:val="0"/>
          <w:sz w:val="28"/>
          <w:szCs w:val="28"/>
          <w:highlight w:val="none"/>
        </w:rPr>
        <w:t>一章  竞争性谈判公告</w:t>
      </w:r>
      <w:bookmarkEnd w:id="2"/>
    </w:p>
    <w:p w14:paraId="0CAA427F">
      <w:pPr>
        <w:spacing w:line="440" w:lineRule="exact"/>
        <w:jc w:val="center"/>
        <w:rPr>
          <w:rFonts w:ascii="黑体" w:hAnsi="黑体" w:eastAsia="黑体" w:cs="宋体"/>
          <w:color w:val="auto"/>
          <w:sz w:val="28"/>
          <w:szCs w:val="28"/>
          <w:highlight w:val="none"/>
        </w:rPr>
      </w:pPr>
      <w:r>
        <w:rPr>
          <w:rFonts w:ascii="黑体" w:hAnsi="黑体" w:eastAsia="黑体" w:cs="宋体"/>
          <w:color w:val="auto"/>
          <w:sz w:val="28"/>
          <w:szCs w:val="28"/>
          <w:highlight w:val="none"/>
        </w:rPr>
        <w:t xml:space="preserve"> [</w:t>
      </w:r>
      <w:r>
        <w:rPr>
          <w:rFonts w:hint="eastAsia" w:ascii="黑体" w:hAnsi="黑体" w:eastAsia="黑体" w:cs="宋体"/>
          <w:color w:val="auto"/>
          <w:sz w:val="28"/>
          <w:szCs w:val="28"/>
          <w:highlight w:val="none"/>
          <w:u w:val="single"/>
        </w:rPr>
        <w:t>东城街道堑头社区居民委员会堑头路13号危旧房改造工程</w:t>
      </w:r>
      <w:r>
        <w:rPr>
          <w:rFonts w:ascii="黑体" w:hAnsi="黑体" w:eastAsia="黑体" w:cs="宋体"/>
          <w:color w:val="auto"/>
          <w:sz w:val="28"/>
          <w:szCs w:val="28"/>
          <w:highlight w:val="none"/>
        </w:rPr>
        <w:t xml:space="preserve">]项目竞争性谈判公告 </w:t>
      </w:r>
    </w:p>
    <w:p w14:paraId="7AC5AB92">
      <w:pPr>
        <w:spacing w:line="440" w:lineRule="exact"/>
        <w:jc w:val="center"/>
        <w:rPr>
          <w:rFonts w:ascii="黑体" w:hAnsi="黑体" w:eastAsia="黑体" w:cs="宋体"/>
          <w:color w:val="auto"/>
          <w:sz w:val="28"/>
          <w:szCs w:val="28"/>
          <w:highlight w:val="none"/>
        </w:rPr>
      </w:pPr>
    </w:p>
    <w:p w14:paraId="0C53EB0A">
      <w:pPr>
        <w:spacing w:after="1" w:line="322" w:lineRule="auto"/>
        <w:ind w:left="-14" w:right="162" w:firstLine="630"/>
        <w:rPr>
          <w:color w:val="auto"/>
          <w:highlight w:val="none"/>
        </w:rPr>
      </w:pPr>
      <w:r>
        <w:rPr>
          <w:rFonts w:hint="eastAsia"/>
          <w:color w:val="auto"/>
          <w:highlight w:val="none"/>
          <w:u w:val="single"/>
        </w:rPr>
        <w:t>东城街道堑头社区居民委员会堑头路13号危旧房改造工程</w:t>
      </w:r>
      <w:r>
        <w:rPr>
          <w:color w:val="auto"/>
          <w:highlight w:val="none"/>
        </w:rPr>
        <w:t>项目采购人为</w:t>
      </w:r>
      <w:r>
        <w:rPr>
          <w:color w:val="auto"/>
          <w:highlight w:val="none"/>
          <w:u w:val="single"/>
        </w:rPr>
        <w:t xml:space="preserve"> </w:t>
      </w:r>
      <w:r>
        <w:rPr>
          <w:rFonts w:hint="eastAsia"/>
          <w:color w:val="auto"/>
          <w:highlight w:val="none"/>
          <w:u w:val="single"/>
        </w:rPr>
        <w:t>东莞市安居建设投资有限公司</w:t>
      </w:r>
      <w:r>
        <w:rPr>
          <w:color w:val="auto"/>
          <w:highlight w:val="none"/>
          <w:u w:val="single"/>
        </w:rPr>
        <w:t xml:space="preserve">  </w:t>
      </w:r>
      <w:r>
        <w:rPr>
          <w:color w:val="auto"/>
          <w:highlight w:val="none"/>
        </w:rPr>
        <w:t>，采购代理机构为</w:t>
      </w:r>
      <w:r>
        <w:rPr>
          <w:color w:val="auto"/>
          <w:highlight w:val="none"/>
          <w:u w:val="single"/>
        </w:rPr>
        <w:t xml:space="preserve">  </w:t>
      </w:r>
      <w:r>
        <w:rPr>
          <w:rFonts w:hint="eastAsia"/>
          <w:color w:val="auto"/>
          <w:highlight w:val="none"/>
          <w:u w:val="single"/>
        </w:rPr>
        <w:t>公诚管理咨询有限公司</w:t>
      </w:r>
      <w:r>
        <w:rPr>
          <w:color w:val="auto"/>
          <w:highlight w:val="none"/>
          <w:u w:val="single"/>
        </w:rPr>
        <w:t xml:space="preserve"> </w:t>
      </w:r>
      <w:r>
        <w:rPr>
          <w:rFonts w:hint="eastAsia"/>
          <w:color w:val="auto"/>
          <w:highlight w:val="none"/>
        </w:rPr>
        <w:t>，</w:t>
      </w:r>
      <w:r>
        <w:rPr>
          <w:color w:val="auto"/>
          <w:highlight w:val="none"/>
        </w:rPr>
        <w:t>已具备竞争性谈判条件，现进行公开竞争性谈判。</w:t>
      </w:r>
    </w:p>
    <w:p w14:paraId="0A6CA0CC">
      <w:pPr>
        <w:rPr>
          <w:rFonts w:ascii="黑体" w:eastAsia="黑体"/>
          <w:b/>
          <w:color w:val="auto"/>
          <w:sz w:val="28"/>
          <w:szCs w:val="28"/>
          <w:highlight w:val="none"/>
        </w:rPr>
      </w:pPr>
      <w:r>
        <w:rPr>
          <w:rFonts w:ascii="黑体" w:eastAsia="黑体"/>
          <w:b/>
          <w:color w:val="auto"/>
          <w:sz w:val="28"/>
          <w:szCs w:val="28"/>
          <w:highlight w:val="none"/>
        </w:rPr>
        <w:t xml:space="preserve">一、 </w:t>
      </w:r>
      <w:r>
        <w:rPr>
          <w:rFonts w:hint="eastAsia" w:ascii="黑体" w:eastAsia="黑体"/>
          <w:b/>
          <w:color w:val="auto"/>
          <w:sz w:val="28"/>
          <w:szCs w:val="28"/>
          <w:highlight w:val="none"/>
        </w:rPr>
        <w:t>项目名称及</w:t>
      </w:r>
      <w:r>
        <w:rPr>
          <w:rFonts w:ascii="黑体" w:eastAsia="黑体"/>
          <w:b/>
          <w:color w:val="auto"/>
          <w:sz w:val="28"/>
          <w:szCs w:val="28"/>
          <w:highlight w:val="none"/>
        </w:rPr>
        <w:t xml:space="preserve">采购内容 </w:t>
      </w:r>
    </w:p>
    <w:p w14:paraId="04617480">
      <w:pPr>
        <w:numPr>
          <w:ilvl w:val="1"/>
          <w:numId w:val="2"/>
        </w:numPr>
        <w:spacing w:line="300" w:lineRule="auto"/>
        <w:ind w:left="0" w:firstLine="425"/>
        <w:rPr>
          <w:rFonts w:ascii="宋体" w:hAnsi="宋体"/>
          <w:color w:val="auto"/>
          <w:szCs w:val="21"/>
          <w:highlight w:val="none"/>
        </w:rPr>
      </w:pPr>
      <w:r>
        <w:rPr>
          <w:rFonts w:hint="eastAsia" w:ascii="宋体" w:hAnsi="宋体"/>
          <w:color w:val="auto"/>
          <w:szCs w:val="21"/>
          <w:highlight w:val="none"/>
        </w:rPr>
        <w:t>项目名称：</w:t>
      </w:r>
      <w:r>
        <w:rPr>
          <w:rFonts w:hint="eastAsia" w:ascii="宋体" w:hAnsi="宋体"/>
          <w:color w:val="auto"/>
          <w:szCs w:val="21"/>
          <w:highlight w:val="none"/>
          <w:u w:val="single"/>
        </w:rPr>
        <w:t>东城街道堑头社区居民委员会堑头路13号危旧房改造工程</w:t>
      </w:r>
      <w:r>
        <w:rPr>
          <w:rFonts w:hint="eastAsia" w:ascii="宋体" w:hAnsi="宋体"/>
          <w:color w:val="auto"/>
          <w:szCs w:val="21"/>
          <w:highlight w:val="none"/>
        </w:rPr>
        <w:t>；</w:t>
      </w:r>
    </w:p>
    <w:p w14:paraId="29BF036E">
      <w:pPr>
        <w:numPr>
          <w:ilvl w:val="1"/>
          <w:numId w:val="2"/>
        </w:numPr>
        <w:spacing w:line="300" w:lineRule="auto"/>
        <w:ind w:left="0" w:firstLine="425"/>
        <w:rPr>
          <w:rFonts w:ascii="宋体" w:hAnsi="宋体"/>
          <w:color w:val="auto"/>
          <w:szCs w:val="21"/>
          <w:highlight w:val="none"/>
        </w:rPr>
      </w:pPr>
      <w:r>
        <w:rPr>
          <w:rFonts w:hint="eastAsia" w:ascii="宋体" w:hAnsi="宋体"/>
          <w:color w:val="auto"/>
          <w:szCs w:val="21"/>
          <w:highlight w:val="none"/>
        </w:rPr>
        <w:t>采购范围：</w:t>
      </w:r>
      <w:r>
        <w:rPr>
          <w:rFonts w:hint="eastAsia" w:ascii="宋体" w:hAnsi="宋体"/>
          <w:color w:val="auto"/>
          <w:szCs w:val="21"/>
          <w:highlight w:val="none"/>
          <w:lang w:val="en-US" w:eastAsia="zh-CN"/>
        </w:rPr>
        <w:t>堑头路13号，对以上建筑城市危旧房改造，建筑总面积约1490.6㎡</w:t>
      </w:r>
      <w:r>
        <w:rPr>
          <w:rFonts w:hint="eastAsia" w:ascii="宋体" w:hAnsi="宋体"/>
          <w:color w:val="auto"/>
          <w:szCs w:val="21"/>
          <w:highlight w:val="none"/>
        </w:rPr>
        <w:t>。</w:t>
      </w:r>
      <w:r>
        <w:rPr>
          <w:rFonts w:hint="eastAsia" w:ascii="宋体" w:hAnsi="宋体" w:cs="宋体"/>
          <w:color w:val="auto"/>
          <w:szCs w:val="21"/>
          <w:highlight w:val="none"/>
        </w:rPr>
        <w:t>按招标图纸及工程量清单所含内容，主要包括但不限于：建筑工程、结构工程、给排水工程等。注：</w:t>
      </w:r>
      <w:r>
        <w:rPr>
          <w:rFonts w:hint="eastAsia" w:ascii="宋体" w:hAnsi="宋体"/>
          <w:color w:val="auto"/>
          <w:szCs w:val="21"/>
          <w:highlight w:val="none"/>
          <w:u w:val="single"/>
          <w:lang w:eastAsia="zh-CN"/>
        </w:rPr>
        <w:t>以上</w:t>
      </w:r>
      <w:r>
        <w:rPr>
          <w:rFonts w:hint="eastAsia" w:ascii="宋体" w:hAnsi="宋体"/>
          <w:color w:val="auto"/>
          <w:szCs w:val="21"/>
          <w:highlight w:val="none"/>
          <w:u w:val="single"/>
          <w:lang w:val="en-US" w:eastAsia="zh-CN"/>
        </w:rPr>
        <w:t>采购</w:t>
      </w:r>
      <w:r>
        <w:rPr>
          <w:rFonts w:hint="eastAsia" w:ascii="宋体" w:hAnsi="宋体"/>
          <w:color w:val="auto"/>
          <w:szCs w:val="21"/>
          <w:highlight w:val="none"/>
          <w:u w:val="single"/>
          <w:lang w:eastAsia="zh-CN"/>
        </w:rPr>
        <w:t>范围未尽事宜，详见竞争性谈判文件第</w:t>
      </w:r>
      <w:r>
        <w:rPr>
          <w:rFonts w:hint="eastAsia" w:ascii="宋体" w:hAnsi="宋体"/>
          <w:color w:val="auto"/>
          <w:szCs w:val="21"/>
          <w:highlight w:val="none"/>
          <w:u w:val="single"/>
          <w:lang w:val="en-US" w:eastAsia="zh-CN"/>
        </w:rPr>
        <w:t>四</w:t>
      </w:r>
      <w:r>
        <w:rPr>
          <w:rFonts w:hint="eastAsia" w:ascii="宋体" w:hAnsi="宋体"/>
          <w:color w:val="auto"/>
          <w:szCs w:val="21"/>
          <w:highlight w:val="none"/>
          <w:u w:val="single"/>
          <w:lang w:eastAsia="zh-CN"/>
        </w:rPr>
        <w:t>章《</w:t>
      </w:r>
      <w:r>
        <w:rPr>
          <w:rFonts w:hint="eastAsia" w:ascii="宋体" w:hAnsi="宋体"/>
          <w:color w:val="auto"/>
          <w:szCs w:val="21"/>
          <w:highlight w:val="none"/>
          <w:u w:val="single"/>
          <w:lang w:val="en-US" w:eastAsia="zh-CN"/>
        </w:rPr>
        <w:t>用户需求书/技术规范书</w:t>
      </w:r>
      <w:r>
        <w:rPr>
          <w:rFonts w:hint="eastAsia" w:ascii="宋体" w:hAnsi="宋体"/>
          <w:color w:val="auto"/>
          <w:szCs w:val="21"/>
          <w:highlight w:val="none"/>
          <w:u w:val="single"/>
          <w:lang w:eastAsia="zh-CN"/>
        </w:rPr>
        <w:t>》</w:t>
      </w:r>
      <w:r>
        <w:rPr>
          <w:rFonts w:hint="eastAsia" w:ascii="宋体" w:hAnsi="宋体"/>
          <w:color w:val="auto"/>
          <w:szCs w:val="21"/>
          <w:highlight w:val="none"/>
        </w:rPr>
        <w:t>；</w:t>
      </w:r>
    </w:p>
    <w:p w14:paraId="1FF35DE4">
      <w:pPr>
        <w:numPr>
          <w:ilvl w:val="1"/>
          <w:numId w:val="2"/>
        </w:numPr>
        <w:spacing w:line="300" w:lineRule="auto"/>
        <w:ind w:left="0" w:firstLine="425"/>
        <w:rPr>
          <w:rFonts w:ascii="宋体" w:hAnsi="宋体"/>
          <w:color w:val="auto"/>
          <w:szCs w:val="21"/>
          <w:highlight w:val="none"/>
        </w:rPr>
      </w:pPr>
      <w:r>
        <w:rPr>
          <w:rFonts w:hint="eastAsia" w:ascii="宋体" w:hAnsi="宋体"/>
          <w:color w:val="auto"/>
          <w:szCs w:val="21"/>
          <w:highlight w:val="none"/>
        </w:rPr>
        <w:t>项目地点：</w:t>
      </w:r>
      <w:r>
        <w:rPr>
          <w:rFonts w:hint="eastAsia" w:ascii="宋体" w:hAnsi="宋体" w:cs="宋体"/>
          <w:color w:val="auto"/>
          <w:szCs w:val="21"/>
          <w:highlight w:val="none"/>
          <w:u w:val="single"/>
          <w:lang w:val="en-US" w:eastAsia="zh-CN"/>
        </w:rPr>
        <w:t>东莞市东城街道</w:t>
      </w:r>
      <w:r>
        <w:rPr>
          <w:rFonts w:hint="eastAsia" w:ascii="宋体" w:hAnsi="宋体"/>
          <w:color w:val="auto"/>
          <w:szCs w:val="21"/>
          <w:highlight w:val="none"/>
        </w:rPr>
        <w:t>；</w:t>
      </w:r>
    </w:p>
    <w:p w14:paraId="5665BFE1">
      <w:pPr>
        <w:numPr>
          <w:ilvl w:val="1"/>
          <w:numId w:val="2"/>
        </w:numPr>
        <w:spacing w:line="300" w:lineRule="auto"/>
        <w:ind w:left="0" w:firstLine="425"/>
        <w:rPr>
          <w:rFonts w:ascii="宋体" w:hAnsi="宋体"/>
          <w:color w:val="auto"/>
          <w:szCs w:val="21"/>
          <w:highlight w:val="none"/>
        </w:rPr>
      </w:pPr>
      <w:r>
        <w:rPr>
          <w:rFonts w:hint="eastAsia" w:ascii="宋体" w:hAnsi="宋体"/>
          <w:color w:val="auto"/>
          <w:szCs w:val="21"/>
          <w:highlight w:val="none"/>
        </w:rPr>
        <w:t>服务时间（工期）：</w:t>
      </w:r>
      <w:r>
        <w:rPr>
          <w:rFonts w:hint="eastAsia" w:ascii="宋体" w:hAnsi="宋体"/>
          <w:color w:val="auto"/>
          <w:szCs w:val="21"/>
          <w:highlight w:val="none"/>
          <w:u w:val="single"/>
          <w:lang w:val="en-US" w:eastAsia="zh-CN"/>
        </w:rPr>
        <w:t>124日历天</w:t>
      </w:r>
      <w:r>
        <w:rPr>
          <w:rFonts w:hint="eastAsia" w:ascii="宋体" w:hAnsi="宋体"/>
          <w:color w:val="auto"/>
          <w:szCs w:val="21"/>
          <w:highlight w:val="none"/>
        </w:rPr>
        <w:t>；</w:t>
      </w:r>
    </w:p>
    <w:p w14:paraId="187F0297">
      <w:pPr>
        <w:numPr>
          <w:ilvl w:val="1"/>
          <w:numId w:val="2"/>
        </w:numPr>
        <w:spacing w:line="300" w:lineRule="auto"/>
        <w:ind w:left="0" w:firstLine="425"/>
        <w:rPr>
          <w:rFonts w:ascii="宋体" w:hAnsi="宋体"/>
          <w:color w:val="auto"/>
          <w:szCs w:val="21"/>
          <w:highlight w:val="none"/>
        </w:rPr>
      </w:pPr>
      <w:r>
        <w:rPr>
          <w:rFonts w:hint="eastAsia" w:ascii="宋体" w:hAnsi="宋体"/>
          <w:color w:val="auto"/>
          <w:szCs w:val="21"/>
          <w:highlight w:val="none"/>
        </w:rPr>
        <w:t>预算金额：</w:t>
      </w:r>
      <w:r>
        <w:rPr>
          <w:rFonts w:hint="eastAsia" w:ascii="宋体" w:hAnsi="宋体" w:cs="宋体"/>
          <w:color w:val="auto"/>
          <w:szCs w:val="21"/>
          <w:highlight w:val="none"/>
          <w:u w:val="single"/>
          <w:lang w:val="en-US" w:eastAsia="zh-CN"/>
        </w:rPr>
        <w:t>1424230.72</w:t>
      </w:r>
      <w:r>
        <w:rPr>
          <w:rFonts w:hint="eastAsia" w:ascii="宋体" w:hAnsi="宋体" w:cs="宋体"/>
          <w:color w:val="auto"/>
          <w:szCs w:val="21"/>
          <w:highlight w:val="none"/>
          <w:u w:val="none"/>
          <w:lang w:val="en-US" w:eastAsia="zh-CN"/>
        </w:rPr>
        <w:t>元</w:t>
      </w:r>
      <w:r>
        <w:rPr>
          <w:rFonts w:hint="eastAsia" w:hAnsi="宋体"/>
          <w:color w:val="auto"/>
          <w:sz w:val="21"/>
          <w:szCs w:val="21"/>
          <w:highlight w:val="none"/>
          <w:lang w:eastAsia="zh-CN"/>
        </w:rPr>
        <w:t>（</w:t>
      </w:r>
      <w:r>
        <w:rPr>
          <w:rFonts w:hint="eastAsia" w:hAnsi="宋体"/>
          <w:color w:val="auto"/>
          <w:sz w:val="21"/>
          <w:szCs w:val="21"/>
          <w:highlight w:val="none"/>
          <w:lang w:val="en-US" w:eastAsia="zh-CN"/>
        </w:rPr>
        <w:t>含</w:t>
      </w:r>
      <w:r>
        <w:rPr>
          <w:rFonts w:hint="eastAsia" w:ascii="宋体" w:hAnsi="宋体" w:eastAsia="宋体" w:cs="宋体"/>
          <w:snapToGrid/>
          <w:color w:val="auto"/>
          <w:kern w:val="2"/>
          <w:highlight w:val="none"/>
          <w:lang w:eastAsia="zh-CN"/>
        </w:rPr>
        <w:t>安全生产措施单列费</w:t>
      </w:r>
      <w:r>
        <w:rPr>
          <w:rFonts w:hint="eastAsia" w:ascii="宋体" w:hAnsi="宋体" w:eastAsia="宋体" w:cs="宋体"/>
          <w:snapToGrid/>
          <w:color w:val="auto"/>
          <w:kern w:val="2"/>
          <w:highlight w:val="none"/>
          <w:lang w:val="en-US" w:eastAsia="zh-CN"/>
        </w:rPr>
        <w:t>34959.01</w:t>
      </w:r>
      <w:r>
        <w:rPr>
          <w:rFonts w:hint="eastAsia" w:ascii="宋体" w:hAnsi="宋体" w:cs="宋体"/>
          <w:snapToGrid/>
          <w:color w:val="auto"/>
          <w:kern w:val="2"/>
          <w:highlight w:val="none"/>
          <w:lang w:val="en-US" w:eastAsia="zh-CN"/>
        </w:rPr>
        <w:t>元</w:t>
      </w:r>
      <w:r>
        <w:rPr>
          <w:rFonts w:hint="eastAsia" w:hAnsi="宋体"/>
          <w:color w:val="auto"/>
          <w:sz w:val="21"/>
          <w:szCs w:val="21"/>
          <w:highlight w:val="none"/>
          <w:lang w:eastAsia="zh-CN"/>
        </w:rPr>
        <w:t>）</w:t>
      </w:r>
      <w:r>
        <w:rPr>
          <w:rFonts w:hint="eastAsia" w:ascii="宋体" w:hAnsi="宋体"/>
          <w:color w:val="auto"/>
          <w:szCs w:val="21"/>
          <w:highlight w:val="none"/>
        </w:rPr>
        <w:t>；</w:t>
      </w:r>
    </w:p>
    <w:p w14:paraId="5B932B41">
      <w:pPr>
        <w:numPr>
          <w:ilvl w:val="1"/>
          <w:numId w:val="2"/>
        </w:numPr>
        <w:spacing w:line="300" w:lineRule="auto"/>
        <w:ind w:left="0" w:firstLine="425"/>
        <w:rPr>
          <w:rFonts w:ascii="宋体" w:hAnsi="宋体"/>
          <w:color w:val="auto"/>
          <w:szCs w:val="21"/>
          <w:highlight w:val="none"/>
        </w:rPr>
      </w:pPr>
      <w:r>
        <w:rPr>
          <w:rFonts w:hint="eastAsia" w:ascii="宋体" w:hAnsi="宋体"/>
          <w:color w:val="auto"/>
          <w:szCs w:val="21"/>
          <w:highlight w:val="none"/>
        </w:rPr>
        <w:t>最高限价：</w:t>
      </w:r>
      <w:r>
        <w:rPr>
          <w:rFonts w:hint="eastAsia" w:ascii="宋体" w:hAnsi="宋体" w:cs="宋体"/>
          <w:color w:val="auto"/>
          <w:szCs w:val="21"/>
          <w:highlight w:val="none"/>
          <w:u w:val="single"/>
          <w:lang w:val="en-US" w:eastAsia="zh-CN"/>
        </w:rPr>
        <w:t>1424230.72</w:t>
      </w:r>
      <w:r>
        <w:rPr>
          <w:rFonts w:hint="eastAsia" w:ascii="宋体" w:hAnsi="宋体" w:cs="宋体"/>
          <w:color w:val="auto"/>
          <w:szCs w:val="21"/>
          <w:highlight w:val="none"/>
          <w:u w:val="none"/>
          <w:lang w:val="en-US" w:eastAsia="zh-CN"/>
        </w:rPr>
        <w:t>元</w:t>
      </w:r>
      <w:r>
        <w:rPr>
          <w:rFonts w:hint="eastAsia" w:hAnsi="宋体"/>
          <w:color w:val="auto"/>
          <w:sz w:val="21"/>
          <w:szCs w:val="21"/>
          <w:highlight w:val="none"/>
          <w:lang w:eastAsia="zh-CN"/>
        </w:rPr>
        <w:t>（</w:t>
      </w:r>
      <w:r>
        <w:rPr>
          <w:rFonts w:hint="eastAsia" w:hAnsi="宋体"/>
          <w:color w:val="auto"/>
          <w:sz w:val="21"/>
          <w:szCs w:val="21"/>
          <w:highlight w:val="none"/>
          <w:lang w:val="en-US" w:eastAsia="zh-CN"/>
        </w:rPr>
        <w:t>含</w:t>
      </w:r>
      <w:r>
        <w:rPr>
          <w:rFonts w:hint="eastAsia" w:ascii="宋体" w:hAnsi="宋体" w:eastAsia="宋体" w:cs="宋体"/>
          <w:snapToGrid/>
          <w:color w:val="auto"/>
          <w:kern w:val="2"/>
          <w:highlight w:val="none"/>
          <w:lang w:eastAsia="zh-CN"/>
        </w:rPr>
        <w:t>安全生产措施单列费</w:t>
      </w:r>
      <w:r>
        <w:rPr>
          <w:rFonts w:hint="eastAsia" w:ascii="宋体" w:hAnsi="宋体" w:eastAsia="宋体" w:cs="宋体"/>
          <w:snapToGrid/>
          <w:color w:val="auto"/>
          <w:kern w:val="2"/>
          <w:highlight w:val="none"/>
          <w:lang w:val="en-US" w:eastAsia="zh-CN"/>
        </w:rPr>
        <w:t>34959.01</w:t>
      </w:r>
      <w:r>
        <w:rPr>
          <w:rFonts w:hint="eastAsia" w:ascii="宋体" w:hAnsi="宋体" w:cs="宋体"/>
          <w:snapToGrid/>
          <w:color w:val="auto"/>
          <w:kern w:val="2"/>
          <w:highlight w:val="none"/>
          <w:lang w:val="en-US" w:eastAsia="zh-CN"/>
        </w:rPr>
        <w:t>元</w:t>
      </w:r>
      <w:r>
        <w:rPr>
          <w:rFonts w:hint="eastAsia" w:hAnsi="宋体"/>
          <w:color w:val="auto"/>
          <w:sz w:val="21"/>
          <w:szCs w:val="21"/>
          <w:highlight w:val="none"/>
          <w:lang w:eastAsia="zh-CN"/>
        </w:rPr>
        <w:t>）</w:t>
      </w:r>
      <w:r>
        <w:rPr>
          <w:rFonts w:hint="eastAsia" w:ascii="宋体" w:hAnsi="宋体"/>
          <w:color w:val="auto"/>
          <w:szCs w:val="21"/>
          <w:highlight w:val="none"/>
        </w:rPr>
        <w:t>；</w:t>
      </w:r>
    </w:p>
    <w:p w14:paraId="37EF32A2">
      <w:pPr>
        <w:numPr>
          <w:ilvl w:val="1"/>
          <w:numId w:val="2"/>
        </w:numPr>
        <w:spacing w:line="300" w:lineRule="auto"/>
        <w:ind w:left="0" w:firstLine="425"/>
        <w:rPr>
          <w:rFonts w:ascii="宋体" w:hAnsi="宋体"/>
          <w:color w:val="auto"/>
          <w:szCs w:val="21"/>
          <w:highlight w:val="none"/>
        </w:rPr>
      </w:pPr>
      <w:r>
        <w:rPr>
          <w:rFonts w:hint="eastAsia" w:ascii="宋体" w:hAnsi="宋体"/>
          <w:color w:val="auto"/>
          <w:szCs w:val="21"/>
          <w:highlight w:val="none"/>
        </w:rPr>
        <w:t>标包划分：</w:t>
      </w:r>
      <w:r>
        <w:rPr>
          <w:rStyle w:val="44"/>
          <w:rFonts w:hint="eastAsia"/>
          <w:color w:val="auto"/>
          <w:highlight w:val="none"/>
        </w:rPr>
        <w:t>本项目</w:t>
      </w:r>
      <w:r>
        <w:rPr>
          <w:rStyle w:val="44"/>
          <w:rFonts w:hint="eastAsia"/>
          <w:color w:val="auto"/>
          <w:highlight w:val="none"/>
          <w:u w:val="single"/>
        </w:rPr>
        <w:t>不划分</w:t>
      </w:r>
      <w:r>
        <w:rPr>
          <w:rStyle w:val="44"/>
          <w:rFonts w:hint="eastAsia"/>
          <w:color w:val="auto"/>
          <w:highlight w:val="none"/>
        </w:rPr>
        <w:t>标包</w:t>
      </w:r>
      <w:r>
        <w:rPr>
          <w:rFonts w:hint="eastAsia" w:ascii="宋体" w:hAnsi="宋体"/>
          <w:color w:val="auto"/>
          <w:spacing w:val="2"/>
          <w:szCs w:val="21"/>
          <w:highlight w:val="none"/>
        </w:rPr>
        <w:t>。</w:t>
      </w:r>
    </w:p>
    <w:p w14:paraId="6E763868">
      <w:pPr>
        <w:rPr>
          <w:rFonts w:ascii="黑体" w:eastAsia="黑体"/>
          <w:b/>
          <w:color w:val="auto"/>
          <w:sz w:val="28"/>
          <w:szCs w:val="28"/>
          <w:highlight w:val="none"/>
        </w:rPr>
      </w:pPr>
      <w:r>
        <w:rPr>
          <w:rFonts w:ascii="黑体" w:eastAsia="黑体"/>
          <w:b/>
          <w:color w:val="auto"/>
          <w:sz w:val="28"/>
          <w:szCs w:val="28"/>
          <w:highlight w:val="none"/>
        </w:rPr>
        <w:t xml:space="preserve">二、 </w:t>
      </w:r>
      <w:r>
        <w:rPr>
          <w:rFonts w:hint="eastAsia" w:ascii="黑体" w:eastAsia="黑体"/>
          <w:b/>
          <w:color w:val="auto"/>
          <w:sz w:val="28"/>
          <w:szCs w:val="28"/>
          <w:highlight w:val="none"/>
        </w:rPr>
        <w:t>响应人</w:t>
      </w:r>
      <w:r>
        <w:rPr>
          <w:rFonts w:ascii="黑体" w:eastAsia="黑体"/>
          <w:b/>
          <w:color w:val="auto"/>
          <w:sz w:val="28"/>
          <w:szCs w:val="28"/>
          <w:highlight w:val="none"/>
        </w:rPr>
        <w:t>资格</w:t>
      </w:r>
      <w:r>
        <w:rPr>
          <w:rFonts w:hint="eastAsia" w:ascii="黑体" w:eastAsia="黑体"/>
          <w:b/>
          <w:color w:val="auto"/>
          <w:sz w:val="28"/>
          <w:szCs w:val="28"/>
          <w:highlight w:val="none"/>
        </w:rPr>
        <w:t>要求</w:t>
      </w:r>
    </w:p>
    <w:p w14:paraId="0728F680">
      <w:pPr>
        <w:numPr>
          <w:ilvl w:val="1"/>
          <w:numId w:val="3"/>
        </w:numPr>
        <w:spacing w:line="400" w:lineRule="exact"/>
        <w:ind w:left="851" w:hanging="425"/>
        <w:rPr>
          <w:rFonts w:ascii="宋体"/>
          <w:color w:val="auto"/>
          <w:szCs w:val="21"/>
          <w:highlight w:val="none"/>
        </w:rPr>
      </w:pPr>
      <w:r>
        <w:rPr>
          <w:rFonts w:hint="eastAsia" w:ascii="宋体" w:hAnsi="宋体"/>
          <w:color w:val="auto"/>
          <w:szCs w:val="21"/>
          <w:highlight w:val="none"/>
        </w:rPr>
        <w:t>响应人须为在中华人民共和国境内登记注册的具有独立承担民事责任能力的法人或其他组织。【提供《营业执照》复印件（加盖公章）或《事业单位法人证书》复印件（加盖公章）或其他主体证书复印件（加盖公章）】</w:t>
      </w:r>
    </w:p>
    <w:p w14:paraId="49853E2D">
      <w:pPr>
        <w:numPr>
          <w:ilvl w:val="1"/>
          <w:numId w:val="3"/>
        </w:numPr>
        <w:spacing w:line="400" w:lineRule="exact"/>
        <w:ind w:left="851" w:hanging="425"/>
        <w:rPr>
          <w:rFonts w:ascii="宋体"/>
          <w:color w:val="auto"/>
          <w:szCs w:val="21"/>
          <w:highlight w:val="none"/>
        </w:rPr>
      </w:pPr>
      <w:r>
        <w:rPr>
          <w:rFonts w:hint="eastAsia" w:ascii="宋体" w:hAnsi="宋体"/>
          <w:color w:val="auto"/>
          <w:szCs w:val="21"/>
          <w:highlight w:val="none"/>
        </w:rPr>
        <w:t>资质要求：响应人须具备</w:t>
      </w:r>
      <w:r>
        <w:rPr>
          <w:rFonts w:ascii="宋体" w:hAnsi="宋体"/>
          <w:color w:val="auto"/>
          <w:szCs w:val="21"/>
          <w:highlight w:val="none"/>
          <w:u w:val="single"/>
        </w:rPr>
        <w:t xml:space="preserve"> 住房和城乡建设主管部门 </w:t>
      </w:r>
      <w:r>
        <w:rPr>
          <w:rFonts w:hint="eastAsia" w:ascii="宋体" w:hAnsi="宋体"/>
          <w:color w:val="auto"/>
          <w:szCs w:val="21"/>
          <w:highlight w:val="none"/>
        </w:rPr>
        <w:t>颁发的</w:t>
      </w:r>
      <w:r>
        <w:rPr>
          <w:rFonts w:ascii="宋体" w:hAnsi="宋体"/>
          <w:color w:val="auto"/>
          <w:szCs w:val="21"/>
          <w:highlight w:val="none"/>
          <w:u w:val="single"/>
        </w:rPr>
        <w:t xml:space="preserve"> </w:t>
      </w:r>
      <w:r>
        <w:rPr>
          <w:rFonts w:hint="eastAsia" w:ascii="宋体" w:hAnsi="宋体" w:cs="宋体"/>
          <w:color w:val="auto"/>
          <w:szCs w:val="21"/>
          <w:highlight w:val="none"/>
          <w:u w:val="single"/>
        </w:rPr>
        <w:t>特种工程专业承包（结构补强）（不分等级）</w:t>
      </w:r>
      <w:r>
        <w:rPr>
          <w:rFonts w:ascii="宋体" w:hAnsi="宋体"/>
          <w:color w:val="auto"/>
          <w:szCs w:val="21"/>
          <w:highlight w:val="none"/>
          <w:u w:val="single"/>
        </w:rPr>
        <w:t xml:space="preserve"> </w:t>
      </w:r>
      <w:r>
        <w:rPr>
          <w:rFonts w:hint="eastAsia" w:ascii="宋体" w:hAnsi="宋体"/>
          <w:color w:val="auto"/>
          <w:szCs w:val="21"/>
          <w:highlight w:val="none"/>
        </w:rPr>
        <w:t>资质且在有效期内。【提供资质证书复印件（加盖公章）】</w:t>
      </w:r>
    </w:p>
    <w:p w14:paraId="17AF2E99">
      <w:pPr>
        <w:numPr>
          <w:ilvl w:val="1"/>
          <w:numId w:val="3"/>
        </w:numPr>
        <w:spacing w:line="400" w:lineRule="exact"/>
        <w:ind w:left="851" w:hanging="425"/>
        <w:rPr>
          <w:rFonts w:ascii="宋体"/>
          <w:color w:val="auto"/>
          <w:szCs w:val="21"/>
          <w:highlight w:val="none"/>
        </w:rPr>
      </w:pPr>
      <w:r>
        <w:rPr>
          <w:rFonts w:hint="eastAsia" w:ascii="宋体" w:hAnsi="宋体"/>
          <w:color w:val="auto"/>
          <w:szCs w:val="21"/>
          <w:highlight w:val="none"/>
        </w:rPr>
        <w:t>业绩要求：</w:t>
      </w:r>
      <w:r>
        <w:rPr>
          <w:rFonts w:hint="eastAsia"/>
          <w:color w:val="auto"/>
          <w:szCs w:val="21"/>
          <w:highlight w:val="none"/>
        </w:rPr>
        <w:t>具备</w:t>
      </w:r>
      <w:r>
        <w:rPr>
          <w:color w:val="auto"/>
          <w:szCs w:val="21"/>
          <w:highlight w:val="none"/>
          <w:u w:val="single"/>
        </w:rPr>
        <w:t xml:space="preserve"> </w:t>
      </w:r>
      <w:r>
        <w:rPr>
          <w:rFonts w:hint="eastAsia"/>
          <w:color w:val="auto"/>
          <w:szCs w:val="21"/>
          <w:highlight w:val="none"/>
          <w:u w:val="single"/>
        </w:rPr>
        <w:t>结构加固</w:t>
      </w:r>
      <w:r>
        <w:rPr>
          <w:color w:val="auto"/>
          <w:szCs w:val="21"/>
          <w:highlight w:val="none"/>
          <w:u w:val="single"/>
        </w:rPr>
        <w:t xml:space="preserve">  </w:t>
      </w:r>
      <w:r>
        <w:rPr>
          <w:rFonts w:hint="eastAsia"/>
          <w:color w:val="auto"/>
          <w:szCs w:val="21"/>
          <w:highlight w:val="none"/>
        </w:rPr>
        <w:t>项目经验，要求</w:t>
      </w:r>
      <w:r>
        <w:rPr>
          <w:color w:val="auto"/>
          <w:szCs w:val="21"/>
          <w:highlight w:val="none"/>
          <w:u w:val="single"/>
        </w:rPr>
        <w:t xml:space="preserve"> </w:t>
      </w:r>
      <w:r>
        <w:rPr>
          <w:rFonts w:hint="eastAsia"/>
          <w:color w:val="auto"/>
          <w:szCs w:val="21"/>
          <w:highlight w:val="none"/>
          <w:u w:val="single"/>
          <w:lang w:val="en-US" w:eastAsia="zh-CN"/>
        </w:rPr>
        <w:t>2020</w:t>
      </w:r>
      <w:r>
        <w:rPr>
          <w:color w:val="auto"/>
          <w:szCs w:val="21"/>
          <w:highlight w:val="none"/>
          <w:u w:val="single"/>
        </w:rPr>
        <w:t xml:space="preserve"> </w:t>
      </w:r>
      <w:r>
        <w:rPr>
          <w:rFonts w:hint="eastAsia"/>
          <w:color w:val="auto"/>
          <w:szCs w:val="21"/>
          <w:highlight w:val="none"/>
        </w:rPr>
        <w:t>年</w:t>
      </w:r>
      <w:r>
        <w:rPr>
          <w:color w:val="auto"/>
          <w:szCs w:val="21"/>
          <w:highlight w:val="none"/>
          <w:u w:val="single"/>
        </w:rPr>
        <w:t xml:space="preserve"> </w:t>
      </w:r>
      <w:r>
        <w:rPr>
          <w:rFonts w:hint="eastAsia"/>
          <w:color w:val="auto"/>
          <w:szCs w:val="21"/>
          <w:highlight w:val="none"/>
          <w:u w:val="single"/>
          <w:lang w:val="en-US" w:eastAsia="zh-CN"/>
        </w:rPr>
        <w:t>1</w:t>
      </w:r>
      <w:r>
        <w:rPr>
          <w:color w:val="auto"/>
          <w:szCs w:val="21"/>
          <w:highlight w:val="none"/>
          <w:u w:val="single"/>
        </w:rPr>
        <w:t xml:space="preserve">  </w:t>
      </w:r>
      <w:r>
        <w:rPr>
          <w:rFonts w:hint="eastAsia"/>
          <w:color w:val="auto"/>
          <w:szCs w:val="21"/>
          <w:highlight w:val="none"/>
        </w:rPr>
        <w:t>月</w:t>
      </w:r>
      <w:r>
        <w:rPr>
          <w:color w:val="auto"/>
          <w:szCs w:val="21"/>
          <w:highlight w:val="none"/>
          <w:u w:val="single"/>
        </w:rPr>
        <w:t xml:space="preserve"> </w:t>
      </w:r>
      <w:r>
        <w:rPr>
          <w:rFonts w:hint="eastAsia"/>
          <w:color w:val="auto"/>
          <w:szCs w:val="21"/>
          <w:highlight w:val="none"/>
          <w:u w:val="single"/>
          <w:lang w:val="en-US" w:eastAsia="zh-CN"/>
        </w:rPr>
        <w:t>1</w:t>
      </w:r>
      <w:r>
        <w:rPr>
          <w:color w:val="auto"/>
          <w:szCs w:val="21"/>
          <w:highlight w:val="none"/>
          <w:u w:val="single"/>
        </w:rPr>
        <w:t xml:space="preserve"> </w:t>
      </w:r>
      <w:r>
        <w:rPr>
          <w:rFonts w:hint="eastAsia"/>
          <w:color w:val="auto"/>
          <w:szCs w:val="21"/>
          <w:highlight w:val="none"/>
        </w:rPr>
        <w:t>日起至</w:t>
      </w:r>
      <w:r>
        <w:rPr>
          <w:rFonts w:hint="eastAsia"/>
          <w:color w:val="auto"/>
          <w:szCs w:val="21"/>
          <w:highlight w:val="none"/>
          <w:u w:val="single"/>
          <w:lang w:val="en-US" w:eastAsia="zh-CN"/>
        </w:rPr>
        <w:t>今</w:t>
      </w:r>
      <w:r>
        <w:rPr>
          <w:rFonts w:hint="eastAsia"/>
          <w:color w:val="auto"/>
          <w:szCs w:val="21"/>
          <w:highlight w:val="none"/>
        </w:rPr>
        <w:t>，完成至少</w:t>
      </w:r>
      <w:r>
        <w:rPr>
          <w:color w:val="auto"/>
          <w:szCs w:val="21"/>
          <w:highlight w:val="none"/>
        </w:rPr>
        <w:t>1</w:t>
      </w:r>
      <w:r>
        <w:rPr>
          <w:rFonts w:hint="eastAsia"/>
          <w:color w:val="auto"/>
          <w:szCs w:val="21"/>
          <w:highlight w:val="none"/>
        </w:rPr>
        <w:t>个</w:t>
      </w:r>
      <w:r>
        <w:rPr>
          <w:color w:val="auto"/>
          <w:szCs w:val="21"/>
          <w:highlight w:val="none"/>
          <w:u w:val="single"/>
        </w:rPr>
        <w:t xml:space="preserve">  </w:t>
      </w:r>
      <w:r>
        <w:rPr>
          <w:rFonts w:hint="eastAsia"/>
          <w:color w:val="auto"/>
          <w:szCs w:val="21"/>
          <w:highlight w:val="none"/>
          <w:u w:val="single"/>
        </w:rPr>
        <w:t>结构加固</w:t>
      </w:r>
      <w:r>
        <w:rPr>
          <w:color w:val="auto"/>
          <w:szCs w:val="21"/>
          <w:highlight w:val="none"/>
          <w:u w:val="single"/>
        </w:rPr>
        <w:t xml:space="preserve">  </w:t>
      </w:r>
      <w:r>
        <w:rPr>
          <w:rFonts w:hint="eastAsia"/>
          <w:color w:val="auto"/>
          <w:szCs w:val="21"/>
          <w:highlight w:val="none"/>
        </w:rPr>
        <w:t>业绩</w:t>
      </w:r>
      <w:r>
        <w:rPr>
          <w:rFonts w:hint="eastAsia"/>
          <w:color w:val="auto"/>
          <w:szCs w:val="21"/>
          <w:highlight w:val="none"/>
          <w:lang w:eastAsia="zh-CN"/>
        </w:rPr>
        <w:t>，</w:t>
      </w:r>
      <w:r>
        <w:rPr>
          <w:rFonts w:hint="eastAsia"/>
          <w:color w:val="auto"/>
          <w:szCs w:val="21"/>
          <w:highlight w:val="none"/>
          <w:lang w:val="en-US" w:eastAsia="zh-CN"/>
        </w:rPr>
        <w:t>且</w:t>
      </w:r>
      <w:r>
        <w:rPr>
          <w:rFonts w:hint="eastAsia" w:ascii="宋体" w:hAnsi="宋体" w:eastAsia="宋体" w:cs="宋体"/>
          <w:color w:val="auto"/>
          <w:sz w:val="21"/>
          <w:szCs w:val="21"/>
          <w:highlight w:val="none"/>
        </w:rPr>
        <w:t>合同金额≥</w:t>
      </w:r>
      <w:r>
        <w:rPr>
          <w:rFonts w:hint="eastAsia" w:ascii="宋体" w:hAnsi="宋体" w:cs="宋体"/>
          <w:color w:val="auto"/>
          <w:sz w:val="21"/>
          <w:szCs w:val="21"/>
          <w:highlight w:val="none"/>
          <w:u w:val="single"/>
          <w:lang w:val="en-US" w:eastAsia="zh-CN"/>
        </w:rPr>
        <w:t>90万元</w:t>
      </w:r>
      <w:r>
        <w:rPr>
          <w:rFonts w:hint="eastAsia" w:ascii="宋体" w:hAnsi="宋体" w:eastAsia="宋体" w:cs="宋体"/>
          <w:color w:val="auto"/>
          <w:sz w:val="21"/>
          <w:szCs w:val="21"/>
          <w:highlight w:val="none"/>
        </w:rPr>
        <w:t>人民币</w:t>
      </w:r>
      <w:r>
        <w:rPr>
          <w:rFonts w:hint="eastAsia" w:ascii="宋体" w:hAnsi="宋体" w:eastAsia="宋体" w:cs="宋体"/>
          <w:color w:val="auto"/>
          <w:sz w:val="21"/>
          <w:szCs w:val="21"/>
          <w:highlight w:val="none"/>
          <w:lang w:eastAsia="zh-CN"/>
        </w:rPr>
        <w:t>。</w:t>
      </w:r>
      <w:r>
        <w:rPr>
          <w:rFonts w:hint="eastAsia" w:ascii="宋体" w:hAnsi="宋体"/>
          <w:color w:val="auto"/>
          <w:szCs w:val="21"/>
          <w:highlight w:val="none"/>
        </w:rPr>
        <w:t>【按</w:t>
      </w:r>
      <w:r>
        <w:rPr>
          <w:rFonts w:hint="eastAsia" w:ascii="宋体" w:hAnsi="宋体" w:cs="宋体"/>
          <w:color w:val="auto"/>
          <w:szCs w:val="21"/>
          <w:highlight w:val="none"/>
          <w:lang w:val="en-US" w:eastAsia="zh-CN"/>
        </w:rPr>
        <w:t>竣工验收</w:t>
      </w:r>
      <w:r>
        <w:rPr>
          <w:rFonts w:hint="eastAsia" w:ascii="宋体" w:hAnsi="宋体"/>
          <w:color w:val="auto"/>
          <w:szCs w:val="21"/>
          <w:highlight w:val="none"/>
        </w:rPr>
        <w:t>时间为准，须提供</w:t>
      </w:r>
      <w:r>
        <w:rPr>
          <w:rFonts w:hint="eastAsia" w:ascii="宋体" w:hAnsi="宋体" w:cs="宋体"/>
          <w:color w:val="auto"/>
          <w:szCs w:val="21"/>
          <w:highlight w:val="none"/>
        </w:rPr>
        <w:t>提供业绩证明材料</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包括但不限于合同关键页、</w:t>
      </w:r>
      <w:r>
        <w:rPr>
          <w:rFonts w:hint="eastAsia" w:ascii="宋体" w:hAnsi="宋体" w:eastAsia="宋体" w:cs="宋体"/>
          <w:color w:val="auto"/>
          <w:sz w:val="21"/>
          <w:szCs w:val="21"/>
          <w:highlight w:val="none"/>
          <w:shd w:val="clear" w:color="auto" w:fill="FFFFFF"/>
        </w:rPr>
        <w:t>竣工验收报告、合同履行期间任一期发生的发票</w:t>
      </w:r>
      <w:r>
        <w:rPr>
          <w:rFonts w:hint="eastAsia" w:ascii="宋体" w:hAnsi="宋体" w:cs="宋体"/>
          <w:color w:val="auto"/>
          <w:szCs w:val="21"/>
          <w:highlight w:val="none"/>
          <w:lang w:eastAsia="zh-CN"/>
        </w:rPr>
        <w:t>）</w:t>
      </w:r>
      <w:r>
        <w:rPr>
          <w:rFonts w:hint="eastAsia" w:ascii="宋体" w:hAnsi="宋体"/>
          <w:color w:val="auto"/>
          <w:szCs w:val="21"/>
          <w:highlight w:val="none"/>
        </w:rPr>
        <w:t>等证明材料】</w:t>
      </w:r>
    </w:p>
    <w:p w14:paraId="369B6CCA">
      <w:pPr>
        <w:numPr>
          <w:ilvl w:val="1"/>
          <w:numId w:val="3"/>
        </w:numPr>
        <w:spacing w:line="400" w:lineRule="exact"/>
        <w:ind w:left="851" w:hanging="425"/>
        <w:rPr>
          <w:rFonts w:ascii="宋体"/>
          <w:strike w:val="0"/>
          <w:dstrike w:val="0"/>
          <w:color w:val="auto"/>
          <w:szCs w:val="21"/>
          <w:highlight w:val="none"/>
        </w:rPr>
      </w:pPr>
      <w:r>
        <w:rPr>
          <w:rFonts w:hint="eastAsia" w:ascii="宋体" w:hAnsi="宋体" w:eastAsia="宋体" w:cs="Times New Roman"/>
          <w:color w:val="auto"/>
          <w:szCs w:val="21"/>
          <w:highlight w:val="none"/>
        </w:rPr>
        <w:t>人员要求：响应人拟派</w:t>
      </w:r>
      <w:r>
        <w:rPr>
          <w:rFonts w:hint="eastAsia" w:ascii="宋体" w:hAnsi="宋体"/>
          <w:color w:val="auto"/>
          <w:szCs w:val="21"/>
          <w:highlight w:val="none"/>
        </w:rPr>
        <w:t>项目负责人须</w:t>
      </w:r>
      <w:r>
        <w:rPr>
          <w:rFonts w:hint="eastAsia" w:ascii="宋体" w:hAnsi="宋体"/>
          <w:color w:val="auto"/>
          <w:szCs w:val="21"/>
          <w:highlight w:val="none"/>
          <w:lang w:val="en-US" w:eastAsia="zh-CN"/>
        </w:rPr>
        <w:t>同时</w:t>
      </w:r>
      <w:r>
        <w:rPr>
          <w:rFonts w:hint="eastAsia" w:ascii="宋体" w:hAnsi="宋体"/>
          <w:color w:val="auto"/>
          <w:szCs w:val="21"/>
          <w:highlight w:val="none"/>
        </w:rPr>
        <w:t>具备</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s="宋体"/>
          <w:color w:val="auto"/>
          <w:szCs w:val="21"/>
          <w:highlight w:val="none"/>
          <w:u w:val="single"/>
        </w:rPr>
        <w:t>二级或以上等级的注册建造师，建造师注册证书中列明的专业类别为</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建筑工程</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2）、</w:t>
      </w:r>
      <w:r>
        <w:rPr>
          <w:rFonts w:hint="eastAsia" w:ascii="宋体" w:hAnsi="宋体" w:cs="宋体"/>
          <w:bCs/>
          <w:color w:val="auto"/>
          <w:szCs w:val="21"/>
          <w:highlight w:val="none"/>
          <w:u w:val="single"/>
        </w:rPr>
        <w:t>具备安全生产考核合格证（须为项目负责人安全生产考核合格证，即“建安B”类证）</w:t>
      </w:r>
      <w:r>
        <w:rPr>
          <w:rFonts w:hint="eastAsia" w:ascii="宋体" w:hAnsi="宋体"/>
          <w:color w:val="auto"/>
          <w:szCs w:val="21"/>
          <w:highlight w:val="none"/>
        </w:rPr>
        <w:t>。【提供</w:t>
      </w:r>
      <w:r>
        <w:rPr>
          <w:rFonts w:hint="eastAsia" w:ascii="宋体" w:hAnsi="宋体"/>
          <w:color w:val="auto"/>
          <w:szCs w:val="21"/>
          <w:highlight w:val="none"/>
          <w:u w:val="none"/>
          <w:lang w:val="en-US" w:eastAsia="zh-CN"/>
        </w:rPr>
        <w:t>相关</w:t>
      </w:r>
      <w:r>
        <w:rPr>
          <w:rFonts w:hint="eastAsia" w:ascii="宋体" w:hAnsi="宋体"/>
          <w:color w:val="auto"/>
          <w:szCs w:val="21"/>
          <w:highlight w:val="none"/>
        </w:rPr>
        <w:t>证书复印件（加盖公章）】</w:t>
      </w:r>
    </w:p>
    <w:p w14:paraId="3A2DB1D8">
      <w:pPr>
        <w:numPr>
          <w:ilvl w:val="1"/>
          <w:numId w:val="3"/>
        </w:numPr>
        <w:spacing w:line="400" w:lineRule="exact"/>
        <w:ind w:left="851" w:hanging="425"/>
        <w:rPr>
          <w:rFonts w:ascii="宋体" w:hAnsi="宋体"/>
          <w:color w:val="auto"/>
          <w:szCs w:val="21"/>
          <w:highlight w:val="none"/>
        </w:rPr>
      </w:pPr>
      <w:r>
        <w:rPr>
          <w:rFonts w:hint="eastAsia" w:ascii="宋体" w:hAnsi="宋体"/>
          <w:color w:val="auto"/>
          <w:szCs w:val="21"/>
          <w:highlight w:val="none"/>
        </w:rPr>
        <w:t>响应人的单位负责人为同一人或者存在直接控股、管理关系的不同响应人，不得参加同一合同项下的采购活动。</w:t>
      </w:r>
    </w:p>
    <w:p w14:paraId="060C805E">
      <w:pPr>
        <w:numPr>
          <w:ilvl w:val="1"/>
          <w:numId w:val="3"/>
        </w:numPr>
        <w:spacing w:line="400" w:lineRule="exact"/>
        <w:ind w:left="851" w:hanging="425"/>
        <w:rPr>
          <w:rFonts w:ascii="宋体" w:hAnsi="宋体"/>
          <w:color w:val="auto"/>
          <w:szCs w:val="21"/>
          <w:highlight w:val="none"/>
        </w:rPr>
      </w:pPr>
      <w:r>
        <w:rPr>
          <w:rFonts w:hint="eastAsia" w:ascii="宋体" w:hAnsi="宋体"/>
          <w:color w:val="auto"/>
          <w:szCs w:val="21"/>
          <w:highlight w:val="none"/>
        </w:rPr>
        <w:t>响应人参加采购活动前三年内，在经营活动中没有重大违法记录。【提供书面声明】</w:t>
      </w:r>
    </w:p>
    <w:p w14:paraId="28A541E9">
      <w:pPr>
        <w:numPr>
          <w:ilvl w:val="1"/>
          <w:numId w:val="3"/>
        </w:numPr>
        <w:spacing w:line="400" w:lineRule="exact"/>
        <w:ind w:left="851" w:hanging="425"/>
        <w:rPr>
          <w:rFonts w:ascii="宋体" w:hAnsi="宋体"/>
          <w:color w:val="auto"/>
          <w:szCs w:val="21"/>
          <w:highlight w:val="none"/>
        </w:rPr>
      </w:pPr>
      <w:r>
        <w:rPr>
          <w:rFonts w:hint="eastAsia" w:ascii="宋体" w:hAnsi="宋体"/>
          <w:color w:val="auto"/>
          <w:szCs w:val="21"/>
          <w:highlight w:val="none"/>
        </w:rPr>
        <w:t>响应人未被列入“信用中国”网站(www.creditchina.gov.cn)“记录失信被执行人或重大税收违法案件当事人名单或政府采购严重违法失信行为”记录名单。【以响应截止日当天在“信用中国”网站（www.creditchina.gov.cn）查询结果为准，如相关失信记录已失效，响应人需提供相关证明资料】</w:t>
      </w:r>
    </w:p>
    <w:p w14:paraId="66DE3E1E">
      <w:pPr>
        <w:numPr>
          <w:ilvl w:val="1"/>
          <w:numId w:val="3"/>
        </w:numPr>
        <w:spacing w:line="400" w:lineRule="exact"/>
        <w:ind w:left="851" w:hanging="425"/>
        <w:rPr>
          <w:rFonts w:ascii="宋体" w:hAnsi="宋体"/>
          <w:color w:val="auto"/>
          <w:szCs w:val="21"/>
          <w:highlight w:val="none"/>
        </w:rPr>
      </w:pPr>
      <w:r>
        <w:rPr>
          <w:rFonts w:hint="eastAsia" w:ascii="宋体" w:hAnsi="宋体"/>
          <w:color w:val="auto"/>
          <w:szCs w:val="21"/>
          <w:highlight w:val="none"/>
        </w:rPr>
        <w:t>未被列入东实集团及下属企业工程建设领域黑名单。【以东莞实业投资控股集团有限公司发文（东实通〔2021〕44号）、（东实通〔2021〕98号）</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（东实通〔2022〕75号）（东实通〔2023〕37号）、（东实通〔2024〕163号）、（东实通〔2024〕195号）</w:t>
      </w:r>
      <w:r>
        <w:rPr>
          <w:rFonts w:hint="eastAsia" w:ascii="宋体" w:hAnsi="宋体"/>
          <w:color w:val="auto"/>
          <w:szCs w:val="21"/>
          <w:highlight w:val="none"/>
        </w:rPr>
        <w:t>为准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如有最新发文通知，按最新文件执行。</w:t>
      </w:r>
      <w:r>
        <w:rPr>
          <w:rFonts w:hint="eastAsia" w:ascii="宋体" w:hAnsi="宋体"/>
          <w:color w:val="auto"/>
          <w:szCs w:val="21"/>
          <w:highlight w:val="none"/>
        </w:rPr>
        <w:t>】</w:t>
      </w:r>
    </w:p>
    <w:p w14:paraId="7701E0C2">
      <w:pPr>
        <w:numPr>
          <w:ilvl w:val="1"/>
          <w:numId w:val="3"/>
        </w:numPr>
        <w:spacing w:line="400" w:lineRule="exact"/>
        <w:ind w:left="851" w:hanging="425"/>
        <w:rPr>
          <w:rFonts w:ascii="宋体" w:hAnsi="宋体"/>
          <w:color w:val="auto"/>
          <w:szCs w:val="21"/>
          <w:highlight w:val="none"/>
        </w:rPr>
      </w:pPr>
      <w:r>
        <w:rPr>
          <w:rFonts w:hint="eastAsia" w:ascii="宋体" w:hAnsi="宋体"/>
          <w:color w:val="auto"/>
          <w:szCs w:val="21"/>
          <w:highlight w:val="none"/>
        </w:rPr>
        <w:t>本项目</w:t>
      </w:r>
      <w:r>
        <w:rPr>
          <w:rFonts w:hint="eastAsia" w:ascii="宋体" w:hAnsi="宋体"/>
          <w:color w:val="auto"/>
          <w:szCs w:val="21"/>
          <w:highlight w:val="none"/>
          <w:u w:val="single"/>
        </w:rPr>
        <w:t>（不接受）</w:t>
      </w:r>
      <w:r>
        <w:rPr>
          <w:rFonts w:hint="eastAsia" w:ascii="宋体" w:hAnsi="宋体"/>
          <w:color w:val="auto"/>
          <w:szCs w:val="21"/>
          <w:highlight w:val="none"/>
        </w:rPr>
        <w:t>联合体响应。</w:t>
      </w:r>
    </w:p>
    <w:p w14:paraId="1E1866D8">
      <w:pPr>
        <w:rPr>
          <w:rFonts w:ascii="黑体" w:eastAsia="黑体"/>
          <w:b/>
          <w:color w:val="auto"/>
          <w:sz w:val="28"/>
          <w:szCs w:val="28"/>
          <w:highlight w:val="none"/>
        </w:rPr>
      </w:pPr>
      <w:r>
        <w:rPr>
          <w:rFonts w:ascii="黑体" w:eastAsia="黑体"/>
          <w:b/>
          <w:color w:val="auto"/>
          <w:sz w:val="28"/>
          <w:szCs w:val="28"/>
          <w:highlight w:val="none"/>
        </w:rPr>
        <w:t>三、 竞争性谈判文件的获取</w:t>
      </w:r>
    </w:p>
    <w:p w14:paraId="292E2365">
      <w:pPr>
        <w:pStyle w:val="106"/>
        <w:ind w:left="850" w:leftChars="208" w:hanging="413" w:hangingChars="197"/>
        <w:rPr>
          <w:rFonts w:ascii="宋体" w:hAnsi="宋体"/>
          <w:color w:val="auto"/>
          <w:szCs w:val="21"/>
          <w:highlight w:val="none"/>
        </w:rPr>
      </w:pPr>
      <w:r>
        <w:rPr>
          <w:rFonts w:hint="eastAsia" w:ascii="宋体" w:hAnsi="宋体"/>
          <w:color w:val="auto"/>
          <w:szCs w:val="21"/>
          <w:highlight w:val="none"/>
        </w:rPr>
        <w:t>3.1</w:t>
      </w:r>
      <w:r>
        <w:rPr>
          <w:rFonts w:ascii="宋体" w:hAnsi="宋体"/>
          <w:color w:val="auto"/>
          <w:szCs w:val="21"/>
          <w:highlight w:val="none"/>
        </w:rPr>
        <w:t>竞争性谈判文件获取时间：</w:t>
      </w:r>
      <w:r>
        <w:rPr>
          <w:rFonts w:hint="eastAsia" w:hAnsi="宋体"/>
          <w:color w:val="auto"/>
          <w:kern w:val="2"/>
          <w:sz w:val="21"/>
          <w:szCs w:val="21"/>
          <w:highlight w:val="none"/>
        </w:rPr>
        <w:t>拟参加</w:t>
      </w:r>
      <w:r>
        <w:rPr>
          <w:rFonts w:hint="eastAsia" w:hAnsi="宋体"/>
          <w:color w:val="auto"/>
          <w:kern w:val="2"/>
          <w:sz w:val="21"/>
          <w:szCs w:val="21"/>
          <w:highlight w:val="none"/>
          <w:lang w:val="en-US" w:eastAsia="zh-CN"/>
        </w:rPr>
        <w:t>谈判</w:t>
      </w:r>
      <w:r>
        <w:rPr>
          <w:rFonts w:hint="eastAsia" w:hAnsi="宋体"/>
          <w:color w:val="auto"/>
          <w:kern w:val="2"/>
          <w:sz w:val="21"/>
          <w:szCs w:val="21"/>
          <w:highlight w:val="none"/>
        </w:rPr>
        <w:t>的供应商于</w:t>
      </w:r>
      <w:r>
        <w:rPr>
          <w:rFonts w:hint="eastAsia" w:hAnsi="宋体"/>
          <w:color w:val="auto"/>
          <w:kern w:val="2"/>
          <w:sz w:val="21"/>
          <w:szCs w:val="21"/>
          <w:highlight w:val="none"/>
          <w:lang w:val="en-US" w:eastAsia="zh-CN"/>
        </w:rPr>
        <w:t>响应文件递交</w:t>
      </w:r>
      <w:r>
        <w:rPr>
          <w:rFonts w:hint="eastAsia" w:hAnsi="宋体"/>
          <w:color w:val="auto"/>
          <w:kern w:val="2"/>
          <w:sz w:val="21"/>
          <w:szCs w:val="21"/>
          <w:highlight w:val="none"/>
        </w:rPr>
        <w:t>截止时间前自行网上下载</w:t>
      </w:r>
      <w:r>
        <w:rPr>
          <w:rFonts w:hint="eastAsia" w:hAnsi="宋体"/>
          <w:color w:val="auto"/>
          <w:kern w:val="2"/>
          <w:sz w:val="21"/>
          <w:szCs w:val="21"/>
          <w:highlight w:val="none"/>
          <w:lang w:val="en-US" w:eastAsia="zh-CN"/>
        </w:rPr>
        <w:t>竞争性谈判</w:t>
      </w:r>
      <w:r>
        <w:rPr>
          <w:rFonts w:hint="eastAsia" w:hAnsi="宋体"/>
          <w:color w:val="auto"/>
          <w:kern w:val="2"/>
          <w:sz w:val="21"/>
          <w:szCs w:val="21"/>
          <w:highlight w:val="none"/>
        </w:rPr>
        <w:t>文件</w:t>
      </w:r>
      <w:r>
        <w:rPr>
          <w:color w:val="auto"/>
          <w:highlight w:val="none"/>
        </w:rPr>
        <w:t>。</w:t>
      </w:r>
    </w:p>
    <w:p w14:paraId="6A1092A2">
      <w:pPr>
        <w:pStyle w:val="106"/>
        <w:ind w:left="850" w:leftChars="208" w:hanging="413" w:hangingChars="197"/>
        <w:rPr>
          <w:color w:val="auto"/>
          <w:highlight w:val="none"/>
        </w:rPr>
      </w:pPr>
      <w:r>
        <w:rPr>
          <w:rFonts w:hint="eastAsia" w:ascii="宋体" w:hAnsi="宋体"/>
          <w:color w:val="auto"/>
          <w:szCs w:val="21"/>
          <w:highlight w:val="none"/>
        </w:rPr>
        <w:t>3.2</w:t>
      </w:r>
      <w:r>
        <w:rPr>
          <w:color w:val="auto"/>
          <w:highlight w:val="none"/>
        </w:rPr>
        <w:t>竞争性谈判文件获取</w:t>
      </w:r>
      <w:r>
        <w:rPr>
          <w:rFonts w:hint="eastAsia"/>
          <w:color w:val="auto"/>
          <w:highlight w:val="none"/>
        </w:rPr>
        <w:t>地点</w:t>
      </w:r>
      <w:r>
        <w:rPr>
          <w:color w:val="auto"/>
          <w:highlight w:val="none"/>
        </w:rPr>
        <w:t>：</w:t>
      </w:r>
      <w:r>
        <w:rPr>
          <w:rFonts w:hint="eastAsia"/>
          <w:color w:val="auto"/>
          <w:highlight w:val="none"/>
          <w:u w:val="single"/>
        </w:rPr>
        <w:t>/</w:t>
      </w:r>
      <w:r>
        <w:rPr>
          <w:color w:val="auto"/>
          <w:highlight w:val="none"/>
        </w:rPr>
        <w:t>。</w:t>
      </w:r>
    </w:p>
    <w:p w14:paraId="18D652DB">
      <w:pPr>
        <w:pStyle w:val="106"/>
        <w:ind w:left="850" w:leftChars="208" w:hanging="413" w:hangingChars="197"/>
        <w:rPr>
          <w:color w:val="auto"/>
          <w:highlight w:val="none"/>
        </w:rPr>
      </w:pPr>
      <w:r>
        <w:rPr>
          <w:rFonts w:hint="eastAsia" w:ascii="宋体" w:hAnsi="宋体"/>
          <w:color w:val="auto"/>
          <w:szCs w:val="21"/>
          <w:highlight w:val="none"/>
        </w:rPr>
        <w:t>3.3</w:t>
      </w:r>
      <w:r>
        <w:rPr>
          <w:rFonts w:ascii="宋体" w:hAnsi="宋体"/>
          <w:color w:val="auto"/>
          <w:szCs w:val="21"/>
          <w:highlight w:val="none"/>
        </w:rPr>
        <w:t>竞争性谈判文件</w:t>
      </w:r>
      <w:r>
        <w:rPr>
          <w:color w:val="auto"/>
          <w:highlight w:val="none"/>
        </w:rPr>
        <w:t>获取方式：</w:t>
      </w:r>
      <w:r>
        <w:rPr>
          <w:rFonts w:hint="eastAsia"/>
          <w:color w:val="auto"/>
          <w:highlight w:val="none"/>
          <w:u w:val="none"/>
        </w:rPr>
        <w:t>东莞实业投资控股集团有限公司网站（http://www.dgsy.com.cn/）</w:t>
      </w:r>
      <w:r>
        <w:rPr>
          <w:rFonts w:hint="eastAsia"/>
          <w:color w:val="auto"/>
          <w:highlight w:val="none"/>
          <w:u w:val="none"/>
          <w:lang w:val="en-US" w:eastAsia="zh-CN"/>
        </w:rPr>
        <w:t>-</w:t>
      </w:r>
      <w:r>
        <w:rPr>
          <w:rFonts w:hint="eastAsia"/>
          <w:color w:val="auto"/>
          <w:highlight w:val="none"/>
          <w:u w:val="none"/>
        </w:rPr>
        <w:t>招标采购栏目</w:t>
      </w:r>
      <w:r>
        <w:rPr>
          <w:rFonts w:hint="eastAsia"/>
          <w:color w:val="auto"/>
          <w:highlight w:val="none"/>
          <w:u w:val="none"/>
          <w:lang w:eastAsia="zh-CN"/>
        </w:rPr>
        <w:t>、</w:t>
      </w:r>
      <w:r>
        <w:rPr>
          <w:rFonts w:hint="eastAsia" w:hAnsi="宋体"/>
          <w:color w:val="auto"/>
          <w:kern w:val="2"/>
          <w:sz w:val="21"/>
          <w:szCs w:val="21"/>
          <w:highlight w:val="none"/>
          <w:u w:val="none"/>
        </w:rPr>
        <w:t>东莞市安居建设投资有限公司网站（https://www.0769anju.com/）</w:t>
      </w:r>
      <w:r>
        <w:rPr>
          <w:rFonts w:hint="eastAsia" w:hAnsi="宋体"/>
          <w:color w:val="auto"/>
          <w:kern w:val="2"/>
          <w:sz w:val="21"/>
          <w:szCs w:val="21"/>
          <w:highlight w:val="none"/>
          <w:u w:val="none"/>
          <w:lang w:val="en-US" w:eastAsia="zh-CN"/>
        </w:rPr>
        <w:t>-招标信息</w:t>
      </w:r>
      <w:r>
        <w:rPr>
          <w:rFonts w:hint="eastAsia" w:hAnsi="宋体"/>
          <w:color w:val="auto"/>
          <w:kern w:val="2"/>
          <w:sz w:val="21"/>
          <w:szCs w:val="21"/>
          <w:highlight w:val="none"/>
          <w:u w:val="none"/>
        </w:rPr>
        <w:t>、中国招标投标公共服务平台（http://www.cebpubservice.com/）</w:t>
      </w:r>
      <w:r>
        <w:rPr>
          <w:rFonts w:hint="eastAsia" w:hAnsi="宋体"/>
          <w:color w:val="auto"/>
          <w:kern w:val="2"/>
          <w:sz w:val="21"/>
          <w:szCs w:val="21"/>
          <w:highlight w:val="none"/>
          <w:u w:val="none"/>
          <w:lang w:eastAsia="zh-CN"/>
        </w:rPr>
        <w:t>、</w:t>
      </w:r>
      <w:r>
        <w:rPr>
          <w:rFonts w:hint="eastAsia" w:hAnsi="宋体"/>
          <w:color w:val="auto"/>
          <w:kern w:val="2"/>
          <w:sz w:val="21"/>
          <w:szCs w:val="21"/>
          <w:highlight w:val="none"/>
          <w:u w:val="none"/>
          <w:lang w:val="en-US" w:eastAsia="zh-CN"/>
        </w:rPr>
        <w:t>公诚管理咨询有限公司-诚E招电子采购交易平台（https://www.chengezhao.com）</w:t>
      </w:r>
      <w:r>
        <w:rPr>
          <w:rFonts w:hint="eastAsia"/>
          <w:color w:val="auto"/>
          <w:highlight w:val="none"/>
        </w:rPr>
        <w:t>不记名免费下载</w:t>
      </w:r>
      <w:r>
        <w:rPr>
          <w:color w:val="auto"/>
          <w:highlight w:val="none"/>
        </w:rPr>
        <w:t>。</w:t>
      </w:r>
    </w:p>
    <w:p w14:paraId="713554A7">
      <w:pPr>
        <w:rPr>
          <w:rFonts w:ascii="黑体" w:eastAsia="黑体"/>
          <w:b/>
          <w:color w:val="auto"/>
          <w:sz w:val="28"/>
          <w:szCs w:val="28"/>
          <w:highlight w:val="none"/>
        </w:rPr>
      </w:pPr>
      <w:r>
        <w:rPr>
          <w:rFonts w:ascii="黑体" w:eastAsia="黑体"/>
          <w:b/>
          <w:color w:val="auto"/>
          <w:sz w:val="28"/>
          <w:szCs w:val="28"/>
          <w:highlight w:val="none"/>
        </w:rPr>
        <w:t xml:space="preserve">四、 响应文件的递交 </w:t>
      </w:r>
    </w:p>
    <w:p w14:paraId="25FD743E">
      <w:pPr>
        <w:pStyle w:val="106"/>
        <w:ind w:left="850" w:leftChars="208" w:hanging="413" w:hangingChars="197"/>
        <w:rPr>
          <w:color w:val="auto"/>
          <w:highlight w:val="none"/>
        </w:rPr>
      </w:pPr>
      <w:r>
        <w:rPr>
          <w:rFonts w:hint="eastAsia" w:ascii="宋体" w:hAnsi="宋体"/>
          <w:color w:val="auto"/>
          <w:szCs w:val="21"/>
          <w:highlight w:val="none"/>
        </w:rPr>
        <w:t>4.1</w:t>
      </w:r>
      <w:r>
        <w:rPr>
          <w:color w:val="auto"/>
          <w:highlight w:val="none"/>
        </w:rPr>
        <w:t>响应文件递交的截止时间为</w:t>
      </w:r>
      <w:r>
        <w:rPr>
          <w:color w:val="auto"/>
          <w:highlight w:val="none"/>
          <w:u w:val="single"/>
        </w:rPr>
        <w:t>20</w:t>
      </w:r>
      <w:r>
        <w:rPr>
          <w:rFonts w:hint="eastAsia"/>
          <w:color w:val="auto"/>
          <w:highlight w:val="none"/>
          <w:u w:val="single"/>
          <w:lang w:val="en-US" w:eastAsia="zh-CN"/>
        </w:rPr>
        <w:t>25</w:t>
      </w:r>
      <w:r>
        <w:rPr>
          <w:color w:val="auto"/>
          <w:highlight w:val="none"/>
        </w:rPr>
        <w:t>年</w:t>
      </w:r>
      <w:r>
        <w:rPr>
          <w:rFonts w:hint="eastAsia"/>
          <w:color w:val="auto"/>
          <w:highlight w:val="none"/>
          <w:u w:val="single"/>
          <w:lang w:val="en-US" w:eastAsia="zh-CN"/>
        </w:rPr>
        <w:t>12</w:t>
      </w:r>
      <w:r>
        <w:rPr>
          <w:color w:val="auto"/>
          <w:highlight w:val="none"/>
        </w:rPr>
        <w:t>月</w:t>
      </w:r>
      <w:r>
        <w:rPr>
          <w:rFonts w:hint="eastAsia"/>
          <w:color w:val="auto"/>
          <w:highlight w:val="none"/>
          <w:u w:val="single"/>
          <w:lang w:val="en-US" w:eastAsia="zh-CN"/>
        </w:rPr>
        <w:t>15</w:t>
      </w:r>
      <w:r>
        <w:rPr>
          <w:color w:val="auto"/>
          <w:highlight w:val="none"/>
        </w:rPr>
        <w:t>日</w:t>
      </w:r>
      <w:r>
        <w:rPr>
          <w:rFonts w:hint="eastAsia"/>
          <w:color w:val="auto"/>
          <w:highlight w:val="none"/>
          <w:u w:val="single"/>
          <w:lang w:val="en-US" w:eastAsia="zh-CN"/>
        </w:rPr>
        <w:t>09</w:t>
      </w:r>
      <w:r>
        <w:rPr>
          <w:color w:val="auto"/>
          <w:highlight w:val="none"/>
        </w:rPr>
        <w:t>时</w:t>
      </w:r>
      <w:r>
        <w:rPr>
          <w:rFonts w:hint="eastAsia"/>
          <w:color w:val="auto"/>
          <w:highlight w:val="none"/>
          <w:u w:val="single"/>
          <w:lang w:val="en-US" w:eastAsia="zh-CN"/>
        </w:rPr>
        <w:t>30</w:t>
      </w:r>
      <w:r>
        <w:rPr>
          <w:color w:val="auto"/>
          <w:highlight w:val="none"/>
        </w:rPr>
        <w:t>分，</w:t>
      </w:r>
      <w:r>
        <w:rPr>
          <w:color w:val="auto"/>
          <w:highlight w:val="none"/>
        </w:rPr>
        <w:t>递交地点为</w:t>
      </w:r>
      <w:r>
        <w:rPr>
          <w:color w:val="auto"/>
          <w:highlight w:val="none"/>
          <w:u w:val="single"/>
        </w:rPr>
        <w:t xml:space="preserve"> </w:t>
      </w:r>
      <w:r>
        <w:rPr>
          <w:rFonts w:hint="eastAsia"/>
          <w:color w:val="auto"/>
          <w:highlight w:val="none"/>
          <w:u w:val="single"/>
        </w:rPr>
        <w:t>东莞市东城街道东城中路东城段62号新基地360互联网产业园A座</w:t>
      </w:r>
      <w:r>
        <w:rPr>
          <w:rFonts w:hint="eastAsia"/>
          <w:color w:val="auto"/>
          <w:highlight w:val="none"/>
          <w:u w:val="single"/>
          <w:lang w:val="en-US" w:eastAsia="zh-CN"/>
        </w:rPr>
        <w:t>6</w:t>
      </w:r>
      <w:r>
        <w:rPr>
          <w:rFonts w:hint="eastAsia"/>
          <w:color w:val="auto"/>
          <w:highlight w:val="none"/>
          <w:u w:val="single"/>
        </w:rPr>
        <w:t>楼</w:t>
      </w:r>
      <w:r>
        <w:rPr>
          <w:rFonts w:hint="eastAsia"/>
          <w:color w:val="auto"/>
          <w:highlight w:val="none"/>
          <w:u w:val="single"/>
          <w:lang w:val="en-US" w:eastAsia="zh-CN"/>
        </w:rPr>
        <w:t>628</w:t>
      </w:r>
      <w:r>
        <w:rPr>
          <w:rFonts w:hint="eastAsia"/>
          <w:color w:val="auto"/>
          <w:highlight w:val="none"/>
          <w:u w:val="single"/>
        </w:rPr>
        <w:t>会议室</w:t>
      </w:r>
      <w:r>
        <w:rPr>
          <w:rFonts w:hint="eastAsia"/>
          <w:color w:val="auto"/>
          <w:highlight w:val="none"/>
          <w:u w:val="single"/>
          <w:lang w:eastAsia="zh-CN"/>
        </w:rPr>
        <w:t>（</w:t>
      </w:r>
      <w:r>
        <w:rPr>
          <w:rFonts w:hint="eastAsia"/>
          <w:color w:val="auto"/>
          <w:highlight w:val="none"/>
          <w:u w:val="single"/>
          <w:lang w:val="en-US" w:eastAsia="zh-CN"/>
        </w:rPr>
        <w:t>二</w:t>
      </w:r>
      <w:r>
        <w:rPr>
          <w:rFonts w:hint="eastAsia"/>
          <w:color w:val="auto"/>
          <w:highlight w:val="none"/>
          <w:u w:val="single"/>
          <w:lang w:eastAsia="zh-CN"/>
        </w:rPr>
        <w:t>）</w:t>
      </w:r>
      <w:r>
        <w:rPr>
          <w:color w:val="auto"/>
          <w:highlight w:val="none"/>
          <w:u w:val="single"/>
        </w:rPr>
        <w:t xml:space="preserve"> </w:t>
      </w:r>
      <w:r>
        <w:rPr>
          <w:color w:val="auto"/>
          <w:highlight w:val="none"/>
        </w:rPr>
        <w:t>。</w:t>
      </w:r>
    </w:p>
    <w:p w14:paraId="39C02DDB">
      <w:pPr>
        <w:pStyle w:val="106"/>
        <w:ind w:left="850" w:leftChars="208" w:hanging="413" w:hangingChars="197"/>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2</w:t>
      </w:r>
      <w:r>
        <w:rPr>
          <w:rFonts w:hint="eastAsia" w:ascii="宋体" w:hAnsi="宋体"/>
          <w:color w:val="auto"/>
          <w:szCs w:val="21"/>
          <w:highlight w:val="none"/>
        </w:rPr>
        <w:t>出现以下情形时，采购人/采购代理机构不予接收响应文件：</w:t>
      </w:r>
    </w:p>
    <w:p w14:paraId="1CABF69D">
      <w:pPr>
        <w:pStyle w:val="106"/>
        <w:ind w:left="850" w:leftChars="208" w:hanging="413" w:hangingChars="197"/>
        <w:rPr>
          <w:rFonts w:ascii="宋体" w:hAnsi="宋体"/>
          <w:color w:val="auto"/>
          <w:highlight w:val="none"/>
        </w:rPr>
      </w:pPr>
      <w:r>
        <w:rPr>
          <w:rFonts w:hint="eastAsia" w:ascii="宋体" w:hAnsi="宋体"/>
          <w:color w:val="auto"/>
          <w:highlight w:val="none"/>
        </w:rPr>
        <w:t>4.</w:t>
      </w:r>
      <w:r>
        <w:rPr>
          <w:rFonts w:ascii="宋体" w:hAnsi="宋体"/>
          <w:color w:val="auto"/>
          <w:highlight w:val="none"/>
        </w:rPr>
        <w:t>2</w:t>
      </w:r>
      <w:r>
        <w:rPr>
          <w:rFonts w:hint="eastAsia" w:ascii="宋体" w:hAnsi="宋体"/>
          <w:color w:val="auto"/>
          <w:highlight w:val="none"/>
        </w:rPr>
        <w:t>.1逾期送达或者未送达指定地点的；</w:t>
      </w:r>
    </w:p>
    <w:p w14:paraId="0C20A687">
      <w:pPr>
        <w:pStyle w:val="106"/>
        <w:ind w:left="850" w:leftChars="208" w:hanging="413" w:hangingChars="197"/>
        <w:rPr>
          <w:rFonts w:ascii="宋体" w:hAnsi="宋体"/>
          <w:color w:val="auto"/>
          <w:highlight w:val="none"/>
        </w:rPr>
      </w:pPr>
      <w:r>
        <w:rPr>
          <w:rFonts w:hint="eastAsia" w:ascii="宋体" w:hAnsi="宋体"/>
          <w:color w:val="auto"/>
          <w:highlight w:val="none"/>
        </w:rPr>
        <w:t>4.</w:t>
      </w:r>
      <w:r>
        <w:rPr>
          <w:rFonts w:ascii="宋体" w:hAnsi="宋体"/>
          <w:color w:val="auto"/>
          <w:highlight w:val="none"/>
        </w:rPr>
        <w:t>2</w:t>
      </w:r>
      <w:r>
        <w:rPr>
          <w:rFonts w:hint="eastAsia" w:ascii="宋体" w:hAnsi="宋体"/>
          <w:color w:val="auto"/>
          <w:highlight w:val="none"/>
        </w:rPr>
        <w:t>.2未按竞争性谈判文件要求密封的。</w:t>
      </w:r>
    </w:p>
    <w:p w14:paraId="5BA13314">
      <w:pPr>
        <w:rPr>
          <w:rFonts w:ascii="黑体" w:eastAsia="黑体"/>
          <w:b/>
          <w:color w:val="auto"/>
          <w:sz w:val="28"/>
          <w:szCs w:val="28"/>
          <w:highlight w:val="none"/>
        </w:rPr>
      </w:pPr>
      <w:r>
        <w:rPr>
          <w:rFonts w:ascii="黑体" w:eastAsia="黑体"/>
          <w:b/>
          <w:color w:val="auto"/>
          <w:sz w:val="28"/>
          <w:szCs w:val="28"/>
          <w:highlight w:val="none"/>
        </w:rPr>
        <w:t xml:space="preserve">五、 发布公告的媒介 </w:t>
      </w:r>
    </w:p>
    <w:p w14:paraId="4AAE2413">
      <w:pPr>
        <w:ind w:left="-14" w:firstLine="640"/>
        <w:rPr>
          <w:color w:val="auto"/>
          <w:highlight w:val="none"/>
        </w:rPr>
      </w:pPr>
      <w:r>
        <w:rPr>
          <w:color w:val="auto"/>
          <w:highlight w:val="none"/>
        </w:rPr>
        <w:t>本次公告在</w:t>
      </w:r>
      <w:r>
        <w:rPr>
          <w:rFonts w:hint="eastAsia"/>
          <w:color w:val="auto"/>
          <w:highlight w:val="none"/>
        </w:rPr>
        <w:t>东莞实业投资控股集团有限公司网站</w:t>
      </w:r>
      <w:r>
        <w:rPr>
          <w:color w:val="auto"/>
          <w:highlight w:val="none"/>
        </w:rPr>
        <w:t>（</w:t>
      </w:r>
      <w:r>
        <w:rPr>
          <w:rFonts w:hint="eastAsia"/>
          <w:color w:val="auto"/>
          <w:highlight w:val="none"/>
        </w:rPr>
        <w:t>网址：http://www.dgsy.com.cn/</w:t>
      </w:r>
      <w:r>
        <w:rPr>
          <w:color w:val="auto"/>
          <w:highlight w:val="none"/>
        </w:rPr>
        <w:t>）</w:t>
      </w:r>
      <w:r>
        <w:rPr>
          <w:rFonts w:hint="eastAsia"/>
          <w:color w:val="auto"/>
          <w:highlight w:val="none"/>
        </w:rPr>
        <w:t>、</w:t>
      </w:r>
      <w:r>
        <w:rPr>
          <w:rFonts w:hint="eastAsia" w:hAnsi="宋体"/>
          <w:color w:val="auto"/>
          <w:kern w:val="2"/>
          <w:sz w:val="21"/>
          <w:szCs w:val="21"/>
          <w:highlight w:val="none"/>
        </w:rPr>
        <w:t>东莞市安居建设投资有限公司网站（https://www.0769anju.com/）、中国招标投标公共服务平台（http://www.cebpubservice.com/）</w:t>
      </w:r>
      <w:r>
        <w:rPr>
          <w:rFonts w:hint="eastAsia" w:hAnsi="宋体"/>
          <w:color w:val="auto"/>
          <w:kern w:val="2"/>
          <w:sz w:val="21"/>
          <w:szCs w:val="21"/>
          <w:highlight w:val="none"/>
          <w:lang w:eastAsia="zh-CN"/>
        </w:rPr>
        <w:t>、</w:t>
      </w:r>
      <w:r>
        <w:rPr>
          <w:rFonts w:hint="eastAsia" w:hAnsi="宋体"/>
          <w:color w:val="auto"/>
          <w:kern w:val="2"/>
          <w:sz w:val="21"/>
          <w:szCs w:val="21"/>
          <w:highlight w:val="none"/>
          <w:lang w:val="en-US" w:eastAsia="zh-CN"/>
        </w:rPr>
        <w:t>公诚管理咨询有限公司-诚E招电子采购交易平台（https://www.chengezhao.com）</w:t>
      </w:r>
      <w:r>
        <w:rPr>
          <w:color w:val="auto"/>
          <w:highlight w:val="none"/>
        </w:rPr>
        <w:t>上发布</w:t>
      </w:r>
      <w:r>
        <w:rPr>
          <w:rFonts w:hint="eastAsia"/>
          <w:color w:val="auto"/>
          <w:highlight w:val="none"/>
        </w:rPr>
        <w:t>。</w:t>
      </w:r>
    </w:p>
    <w:p w14:paraId="15AAD8A7">
      <w:pPr>
        <w:rPr>
          <w:rFonts w:ascii="黑体" w:eastAsia="黑体"/>
          <w:b/>
          <w:color w:val="auto"/>
          <w:sz w:val="28"/>
          <w:szCs w:val="28"/>
          <w:highlight w:val="none"/>
        </w:rPr>
      </w:pPr>
      <w:r>
        <w:rPr>
          <w:rFonts w:ascii="黑体" w:eastAsia="黑体"/>
          <w:b/>
          <w:color w:val="auto"/>
          <w:sz w:val="28"/>
          <w:szCs w:val="28"/>
          <w:highlight w:val="none"/>
        </w:rPr>
        <w:t xml:space="preserve">六、 </w:t>
      </w:r>
      <w:r>
        <w:rPr>
          <w:rFonts w:hint="eastAsia" w:ascii="黑体" w:eastAsia="黑体"/>
          <w:b/>
          <w:color w:val="auto"/>
          <w:sz w:val="28"/>
          <w:szCs w:val="28"/>
          <w:highlight w:val="none"/>
        </w:rPr>
        <w:t>竞争性谈判保证金</w:t>
      </w:r>
      <w:r>
        <w:rPr>
          <w:rFonts w:ascii="黑体" w:eastAsia="黑体"/>
          <w:b/>
          <w:color w:val="auto"/>
          <w:sz w:val="28"/>
          <w:szCs w:val="28"/>
          <w:highlight w:val="none"/>
        </w:rPr>
        <w:t xml:space="preserve"> </w:t>
      </w:r>
    </w:p>
    <w:p w14:paraId="564639C9">
      <w:pPr>
        <w:pStyle w:val="106"/>
        <w:ind w:left="850" w:leftChars="208" w:hanging="413" w:hangingChars="197"/>
        <w:rPr>
          <w:rFonts w:ascii="宋体" w:hAnsi="宋体"/>
          <w:color w:val="auto"/>
          <w:highlight w:val="none"/>
        </w:rPr>
      </w:pPr>
      <w:r>
        <w:rPr>
          <w:rFonts w:hint="eastAsia" w:ascii="宋体" w:hAnsi="宋体"/>
          <w:color w:val="auto"/>
          <w:highlight w:val="none"/>
        </w:rPr>
        <w:t>6.1.</w:t>
      </w:r>
      <w:r>
        <w:rPr>
          <w:rFonts w:ascii="宋体" w:hAnsi="宋体"/>
          <w:color w:val="auto"/>
          <w:highlight w:val="none"/>
        </w:rPr>
        <w:t>竞争性谈判</w:t>
      </w:r>
      <w:r>
        <w:rPr>
          <w:rFonts w:hint="eastAsia" w:ascii="宋体" w:hAnsi="宋体"/>
          <w:color w:val="auto"/>
          <w:highlight w:val="none"/>
        </w:rPr>
        <w:t>保证金金额：</w:t>
      </w:r>
      <w:r>
        <w:rPr>
          <w:rFonts w:ascii="宋体" w:hAnsi="宋体"/>
          <w:color w:val="auto"/>
          <w:highlight w:val="none"/>
          <w:u w:val="single"/>
        </w:rPr>
        <w:t xml:space="preserve"> </w:t>
      </w:r>
      <w:r>
        <w:rPr>
          <w:rFonts w:hint="eastAsia" w:ascii="宋体" w:hAnsi="宋体"/>
          <w:color w:val="auto"/>
          <w:highlight w:val="none"/>
          <w:u w:val="single"/>
          <w:lang w:val="en-US" w:eastAsia="zh-CN"/>
        </w:rPr>
        <w:t>25000</w:t>
      </w:r>
      <w:r>
        <w:rPr>
          <w:rFonts w:ascii="宋体" w:hAnsi="宋体"/>
          <w:color w:val="auto"/>
          <w:highlight w:val="none"/>
          <w:u w:val="single"/>
        </w:rPr>
        <w:t xml:space="preserve"> </w:t>
      </w:r>
      <w:r>
        <w:rPr>
          <w:rFonts w:ascii="宋体" w:hAnsi="宋体"/>
          <w:color w:val="auto"/>
          <w:highlight w:val="none"/>
        </w:rPr>
        <w:t xml:space="preserve"> </w:t>
      </w:r>
      <w:r>
        <w:rPr>
          <w:rFonts w:hint="eastAsia" w:ascii="宋体" w:hAnsi="宋体"/>
          <w:color w:val="auto"/>
          <w:highlight w:val="none"/>
        </w:rPr>
        <w:t>元</w:t>
      </w:r>
      <w:r>
        <w:rPr>
          <w:rFonts w:ascii="宋体" w:hAnsi="宋体"/>
          <w:color w:val="auto"/>
          <w:highlight w:val="none"/>
        </w:rPr>
        <w:t>。</w:t>
      </w:r>
    </w:p>
    <w:p w14:paraId="5F23B9EC">
      <w:pPr>
        <w:pStyle w:val="106"/>
        <w:ind w:left="850" w:leftChars="208" w:hanging="413" w:hangingChars="197"/>
        <w:rPr>
          <w:rFonts w:ascii="宋体" w:hAnsi="宋体"/>
          <w:color w:val="auto"/>
          <w:highlight w:val="none"/>
        </w:rPr>
      </w:pPr>
      <w:r>
        <w:rPr>
          <w:rFonts w:hint="eastAsia" w:ascii="宋体" w:hAnsi="宋体"/>
          <w:color w:val="auto"/>
          <w:highlight w:val="none"/>
        </w:rPr>
        <w:t>6.2.竞争性谈判保证金缴纳方式：银行转账或电汇。</w:t>
      </w:r>
      <w:bookmarkStart w:id="223" w:name="_GoBack"/>
      <w:bookmarkEnd w:id="223"/>
    </w:p>
    <w:p w14:paraId="78A06DC5">
      <w:pPr>
        <w:rPr>
          <w:rFonts w:ascii="黑体" w:eastAsia="黑体"/>
          <w:b/>
          <w:color w:val="auto"/>
          <w:sz w:val="28"/>
          <w:szCs w:val="28"/>
          <w:highlight w:val="none"/>
        </w:rPr>
      </w:pPr>
      <w:r>
        <w:rPr>
          <w:rFonts w:hint="eastAsia" w:ascii="黑体" w:eastAsia="黑体"/>
          <w:b/>
          <w:color w:val="auto"/>
          <w:sz w:val="28"/>
          <w:szCs w:val="28"/>
          <w:highlight w:val="none"/>
        </w:rPr>
        <w:t>七</w:t>
      </w:r>
      <w:r>
        <w:rPr>
          <w:rFonts w:ascii="黑体" w:eastAsia="黑体"/>
          <w:b/>
          <w:color w:val="auto"/>
          <w:sz w:val="28"/>
          <w:szCs w:val="28"/>
          <w:highlight w:val="none"/>
        </w:rPr>
        <w:t xml:space="preserve">、 联系方式 </w:t>
      </w:r>
    </w:p>
    <w:p w14:paraId="3DA01301">
      <w:pPr>
        <w:tabs>
          <w:tab w:val="left" w:pos="900"/>
          <w:tab w:val="left" w:pos="1262"/>
        </w:tabs>
        <w:spacing w:line="440" w:lineRule="exact"/>
        <w:ind w:left="142" w:firstLine="424" w:firstLineChars="202"/>
        <w:rPr>
          <w:rFonts w:ascii="宋体" w:hAnsi="宋体"/>
          <w:color w:val="auto"/>
          <w:szCs w:val="21"/>
          <w:highlight w:val="none"/>
        </w:rPr>
      </w:pPr>
      <w:r>
        <w:rPr>
          <w:rFonts w:hint="eastAsia" w:ascii="宋体" w:hAnsi="宋体"/>
          <w:color w:val="auto"/>
          <w:szCs w:val="21"/>
          <w:highlight w:val="none"/>
        </w:rPr>
        <w:t>采购人</w:t>
      </w:r>
      <w:r>
        <w:rPr>
          <w:rFonts w:ascii="宋体" w:hAnsi="宋体"/>
          <w:color w:val="auto"/>
          <w:szCs w:val="21"/>
          <w:highlight w:val="none"/>
        </w:rPr>
        <w:t>名称：</w:t>
      </w:r>
      <w:r>
        <w:rPr>
          <w:rFonts w:hint="eastAsia" w:ascii="宋体" w:hAnsi="宋体" w:cs="宋体"/>
          <w:color w:val="auto"/>
          <w:highlight w:val="none"/>
          <w:u w:val="single"/>
          <w:lang w:eastAsia="zh-CN"/>
        </w:rPr>
        <w:t>东莞市安居建设投资有限公司</w:t>
      </w:r>
    </w:p>
    <w:p w14:paraId="4105F1B1">
      <w:pPr>
        <w:tabs>
          <w:tab w:val="left" w:pos="900"/>
          <w:tab w:val="left" w:pos="1262"/>
        </w:tabs>
        <w:spacing w:line="440" w:lineRule="exact"/>
        <w:ind w:left="142" w:firstLine="424" w:firstLineChars="202"/>
        <w:rPr>
          <w:rFonts w:ascii="宋体" w:hAnsi="宋体"/>
          <w:color w:val="auto"/>
          <w:szCs w:val="21"/>
          <w:highlight w:val="none"/>
        </w:rPr>
      </w:pPr>
      <w:r>
        <w:rPr>
          <w:rFonts w:ascii="宋体" w:hAnsi="宋体"/>
          <w:color w:val="auto"/>
          <w:szCs w:val="21"/>
          <w:highlight w:val="none"/>
        </w:rPr>
        <w:t>采购</w:t>
      </w:r>
      <w:r>
        <w:rPr>
          <w:rFonts w:hint="eastAsia" w:ascii="宋体" w:hAnsi="宋体"/>
          <w:color w:val="auto"/>
          <w:szCs w:val="21"/>
          <w:highlight w:val="none"/>
        </w:rPr>
        <w:t>人</w:t>
      </w:r>
      <w:r>
        <w:rPr>
          <w:rFonts w:ascii="宋体" w:hAnsi="宋体"/>
          <w:color w:val="auto"/>
          <w:szCs w:val="21"/>
          <w:highlight w:val="none"/>
        </w:rPr>
        <w:t>地址：</w:t>
      </w:r>
      <w:r>
        <w:rPr>
          <w:rFonts w:hint="eastAsia" w:ascii="宋体" w:hAnsi="宋体" w:cs="宋体"/>
          <w:color w:val="auto"/>
          <w:szCs w:val="21"/>
          <w:highlight w:val="none"/>
          <w:u w:val="single"/>
        </w:rPr>
        <w:t>广东省东莞市东城街道莞长路东城段27号6栋101室</w:t>
      </w:r>
    </w:p>
    <w:p w14:paraId="1C15F576">
      <w:pPr>
        <w:tabs>
          <w:tab w:val="left" w:pos="900"/>
          <w:tab w:val="left" w:pos="1262"/>
        </w:tabs>
        <w:spacing w:line="440" w:lineRule="exact"/>
        <w:ind w:left="142" w:firstLine="424" w:firstLineChars="202"/>
        <w:rPr>
          <w:rFonts w:ascii="宋体" w:hAnsi="宋体"/>
          <w:color w:val="auto"/>
          <w:szCs w:val="21"/>
          <w:highlight w:val="none"/>
        </w:rPr>
      </w:pPr>
      <w:r>
        <w:rPr>
          <w:rFonts w:ascii="宋体" w:hAnsi="宋体"/>
          <w:color w:val="auto"/>
          <w:szCs w:val="21"/>
          <w:highlight w:val="none"/>
        </w:rPr>
        <w:t>联系人：</w:t>
      </w:r>
      <w:r>
        <w:rPr>
          <w:rFonts w:hint="eastAsia"/>
          <w:color w:val="auto"/>
          <w:szCs w:val="21"/>
          <w:highlight w:val="none"/>
          <w:u w:val="single"/>
        </w:rPr>
        <w:t>江先生</w:t>
      </w:r>
    </w:p>
    <w:p w14:paraId="11766166">
      <w:pPr>
        <w:tabs>
          <w:tab w:val="left" w:pos="900"/>
          <w:tab w:val="left" w:pos="1262"/>
        </w:tabs>
        <w:spacing w:line="440" w:lineRule="exact"/>
        <w:ind w:left="142" w:firstLine="424" w:firstLineChars="202"/>
        <w:rPr>
          <w:rFonts w:ascii="宋体" w:hAnsi="宋体"/>
          <w:color w:val="auto"/>
          <w:szCs w:val="21"/>
          <w:highlight w:val="none"/>
        </w:rPr>
      </w:pPr>
      <w:r>
        <w:rPr>
          <w:rFonts w:ascii="宋体" w:hAnsi="宋体"/>
          <w:color w:val="auto"/>
          <w:szCs w:val="21"/>
          <w:highlight w:val="none"/>
        </w:rPr>
        <w:t>联系电话：</w:t>
      </w:r>
      <w:r>
        <w:rPr>
          <w:rFonts w:hint="eastAsia" w:ascii="宋体" w:hAnsi="宋体"/>
          <w:color w:val="auto"/>
          <w:highlight w:val="none"/>
          <w:u w:val="single"/>
        </w:rPr>
        <w:t>0769-22226146</w:t>
      </w:r>
    </w:p>
    <w:p w14:paraId="16A1C3D0">
      <w:pPr>
        <w:tabs>
          <w:tab w:val="left" w:pos="900"/>
          <w:tab w:val="left" w:pos="1262"/>
        </w:tabs>
        <w:spacing w:line="440" w:lineRule="exact"/>
        <w:ind w:left="142" w:firstLine="424" w:firstLineChars="202"/>
        <w:rPr>
          <w:rFonts w:hint="eastAsia" w:ascii="宋体" w:hAnsi="宋体" w:eastAsia="宋体"/>
          <w:color w:val="auto"/>
          <w:szCs w:val="21"/>
          <w:highlight w:val="none"/>
          <w:lang w:eastAsia="zh-CN"/>
        </w:rPr>
      </w:pPr>
      <w:r>
        <w:rPr>
          <w:rFonts w:ascii="宋体" w:hAnsi="宋体"/>
          <w:color w:val="auto"/>
          <w:szCs w:val="21"/>
          <w:highlight w:val="none"/>
        </w:rPr>
        <w:t>电子邮件：</w:t>
      </w:r>
      <w:r>
        <w:rPr>
          <w:rFonts w:hint="eastAsia" w:ascii="宋体" w:hAnsi="宋体"/>
          <w:color w:val="auto"/>
          <w:szCs w:val="21"/>
          <w:highlight w:val="none"/>
          <w:lang w:val="en-US" w:eastAsia="zh-CN"/>
        </w:rPr>
        <w:t>/</w:t>
      </w:r>
    </w:p>
    <w:p w14:paraId="56E1C70C">
      <w:pPr>
        <w:tabs>
          <w:tab w:val="left" w:pos="900"/>
          <w:tab w:val="left" w:pos="1262"/>
        </w:tabs>
        <w:spacing w:line="440" w:lineRule="exact"/>
        <w:ind w:left="142" w:firstLine="424" w:firstLineChars="202"/>
        <w:rPr>
          <w:rFonts w:ascii="宋体" w:hAnsi="宋体"/>
          <w:color w:val="auto"/>
          <w:szCs w:val="21"/>
          <w:highlight w:val="none"/>
        </w:rPr>
      </w:pPr>
      <w:r>
        <w:rPr>
          <w:rFonts w:hint="eastAsia" w:ascii="宋体" w:hAnsi="宋体"/>
          <w:color w:val="auto"/>
          <w:szCs w:val="21"/>
          <w:highlight w:val="none"/>
        </w:rPr>
        <w:t>采购人</w:t>
      </w:r>
      <w:r>
        <w:rPr>
          <w:rFonts w:ascii="宋体" w:hAnsi="宋体"/>
          <w:color w:val="auto"/>
          <w:szCs w:val="21"/>
          <w:highlight w:val="none"/>
        </w:rPr>
        <w:t>采购代理机构名称：</w:t>
      </w:r>
      <w:r>
        <w:rPr>
          <w:rFonts w:hint="eastAsia"/>
          <w:color w:val="auto"/>
          <w:szCs w:val="21"/>
          <w:highlight w:val="none"/>
          <w:u w:val="single"/>
        </w:rPr>
        <w:t>公诚管理咨询有限公司</w:t>
      </w:r>
    </w:p>
    <w:p w14:paraId="2E9DF1F3">
      <w:pPr>
        <w:tabs>
          <w:tab w:val="left" w:pos="900"/>
          <w:tab w:val="left" w:pos="1262"/>
        </w:tabs>
        <w:spacing w:line="440" w:lineRule="exact"/>
        <w:ind w:left="142" w:firstLine="424" w:firstLineChars="202"/>
        <w:rPr>
          <w:rFonts w:ascii="宋体" w:hAnsi="宋体"/>
          <w:color w:val="auto"/>
          <w:szCs w:val="21"/>
          <w:highlight w:val="none"/>
        </w:rPr>
      </w:pPr>
      <w:r>
        <w:rPr>
          <w:rFonts w:ascii="宋体" w:hAnsi="宋体"/>
          <w:color w:val="auto"/>
          <w:szCs w:val="21"/>
          <w:highlight w:val="none"/>
        </w:rPr>
        <w:t>采购代理机构地址：</w:t>
      </w:r>
      <w:r>
        <w:rPr>
          <w:rFonts w:hint="eastAsia"/>
          <w:color w:val="auto"/>
          <w:szCs w:val="21"/>
          <w:highlight w:val="none"/>
          <w:u w:val="single"/>
        </w:rPr>
        <w:t>东莞市东城街道东城中路东城段62号新基地360互联网产业园A 座6楼601</w:t>
      </w:r>
      <w:r>
        <w:rPr>
          <w:rFonts w:ascii="宋体" w:hAnsi="宋体"/>
          <w:color w:val="auto"/>
          <w:szCs w:val="21"/>
          <w:highlight w:val="none"/>
        </w:rPr>
        <w:t xml:space="preserve">  </w:t>
      </w:r>
    </w:p>
    <w:p w14:paraId="7C57C1E7">
      <w:pPr>
        <w:tabs>
          <w:tab w:val="left" w:pos="900"/>
          <w:tab w:val="left" w:pos="1262"/>
        </w:tabs>
        <w:spacing w:line="440" w:lineRule="exact"/>
        <w:ind w:left="142" w:firstLine="424" w:firstLineChars="202"/>
        <w:rPr>
          <w:rFonts w:ascii="宋体" w:hAnsi="宋体"/>
          <w:color w:val="auto"/>
          <w:szCs w:val="21"/>
          <w:highlight w:val="none"/>
        </w:rPr>
      </w:pPr>
      <w:r>
        <w:rPr>
          <w:rFonts w:ascii="宋体" w:hAnsi="宋体"/>
          <w:color w:val="auto"/>
          <w:szCs w:val="21"/>
          <w:highlight w:val="none"/>
        </w:rPr>
        <w:t>联系人：</w:t>
      </w:r>
      <w:r>
        <w:rPr>
          <w:rFonts w:hint="eastAsia"/>
          <w:color w:val="auto"/>
          <w:szCs w:val="21"/>
          <w:highlight w:val="none"/>
          <w:u w:val="single"/>
        </w:rPr>
        <w:t>张先生</w:t>
      </w:r>
      <w:r>
        <w:rPr>
          <w:rFonts w:ascii="宋体" w:hAnsi="宋体"/>
          <w:color w:val="auto"/>
          <w:szCs w:val="21"/>
          <w:highlight w:val="none"/>
        </w:rPr>
        <w:t xml:space="preserve"> </w:t>
      </w:r>
    </w:p>
    <w:p w14:paraId="4DB6B7D3">
      <w:pPr>
        <w:tabs>
          <w:tab w:val="left" w:pos="900"/>
          <w:tab w:val="left" w:pos="1262"/>
        </w:tabs>
        <w:spacing w:line="440" w:lineRule="exact"/>
        <w:ind w:left="142" w:firstLine="424" w:firstLineChars="202"/>
        <w:rPr>
          <w:rFonts w:ascii="宋体" w:hAnsi="宋体"/>
          <w:color w:val="auto"/>
          <w:szCs w:val="21"/>
          <w:highlight w:val="none"/>
        </w:rPr>
      </w:pPr>
      <w:r>
        <w:rPr>
          <w:rFonts w:ascii="宋体" w:hAnsi="宋体"/>
          <w:color w:val="auto"/>
          <w:szCs w:val="21"/>
          <w:highlight w:val="none"/>
        </w:rPr>
        <w:t>联系电话：</w:t>
      </w:r>
      <w:r>
        <w:rPr>
          <w:rFonts w:hint="eastAsia"/>
          <w:color w:val="auto"/>
          <w:szCs w:val="21"/>
          <w:highlight w:val="none"/>
          <w:u w:val="single"/>
        </w:rPr>
        <w:t>0769-22332234</w:t>
      </w:r>
      <w:r>
        <w:rPr>
          <w:rFonts w:ascii="宋体" w:hAnsi="宋体"/>
          <w:color w:val="auto"/>
          <w:szCs w:val="21"/>
          <w:highlight w:val="none"/>
        </w:rPr>
        <w:t xml:space="preserve">  </w:t>
      </w:r>
    </w:p>
    <w:p w14:paraId="19747825">
      <w:pPr>
        <w:tabs>
          <w:tab w:val="left" w:pos="900"/>
          <w:tab w:val="left" w:pos="1262"/>
        </w:tabs>
        <w:spacing w:line="440" w:lineRule="exact"/>
        <w:ind w:left="142" w:firstLine="424" w:firstLineChars="202"/>
        <w:rPr>
          <w:rFonts w:hint="eastAsia" w:ascii="宋体" w:hAnsi="宋体" w:eastAsia="宋体"/>
          <w:color w:val="auto"/>
          <w:szCs w:val="21"/>
          <w:highlight w:val="none"/>
          <w:lang w:eastAsia="zh-CN"/>
        </w:rPr>
      </w:pPr>
      <w:r>
        <w:rPr>
          <w:rFonts w:ascii="宋体" w:hAnsi="宋体"/>
          <w:color w:val="auto"/>
          <w:szCs w:val="21"/>
          <w:highlight w:val="none"/>
        </w:rPr>
        <w:t>电子邮件：</w:t>
      </w:r>
      <w:r>
        <w:rPr>
          <w:rFonts w:hint="eastAsia" w:ascii="宋体" w:hAnsi="宋体"/>
          <w:color w:val="auto"/>
          <w:szCs w:val="21"/>
          <w:highlight w:val="none"/>
          <w:lang w:val="en-US" w:eastAsia="zh-CN"/>
        </w:rPr>
        <w:t>/</w:t>
      </w:r>
    </w:p>
    <w:p w14:paraId="75B6EBB2">
      <w:pPr>
        <w:tabs>
          <w:tab w:val="left" w:pos="900"/>
          <w:tab w:val="left" w:pos="1262"/>
        </w:tabs>
        <w:spacing w:line="440" w:lineRule="exact"/>
        <w:ind w:left="142" w:firstLine="424" w:firstLineChars="202"/>
        <w:rPr>
          <w:rFonts w:ascii="宋体" w:hAnsi="宋体"/>
          <w:color w:val="auto"/>
          <w:szCs w:val="21"/>
          <w:highlight w:val="none"/>
        </w:rPr>
      </w:pPr>
      <w:r>
        <w:rPr>
          <w:rFonts w:ascii="宋体" w:hAnsi="宋体"/>
          <w:color w:val="auto"/>
          <w:szCs w:val="21"/>
          <w:highlight w:val="none"/>
        </w:rPr>
        <w:t xml:space="preserve">  </w:t>
      </w:r>
    </w:p>
    <w:p w14:paraId="057D07E6">
      <w:pPr>
        <w:tabs>
          <w:tab w:val="left" w:pos="900"/>
          <w:tab w:val="left" w:pos="1262"/>
        </w:tabs>
        <w:spacing w:line="440" w:lineRule="exact"/>
        <w:ind w:left="142" w:firstLine="424" w:firstLineChars="202"/>
        <w:jc w:val="right"/>
        <w:rPr>
          <w:rFonts w:hint="default" w:ascii="宋体" w:hAnsi="宋体"/>
          <w:color w:val="auto"/>
          <w:szCs w:val="21"/>
          <w:highlight w:val="none"/>
          <w:lang w:val="en-US"/>
        </w:rPr>
      </w:pPr>
      <w:r>
        <w:rPr>
          <w:rFonts w:hint="eastAsia" w:ascii="宋体" w:hAnsi="宋体"/>
          <w:color w:val="auto"/>
          <w:szCs w:val="21"/>
          <w:highlight w:val="none"/>
        </w:rPr>
        <w:t>采购人/</w:t>
      </w:r>
      <w:r>
        <w:rPr>
          <w:rFonts w:ascii="宋体" w:hAnsi="宋体"/>
          <w:color w:val="auto"/>
          <w:szCs w:val="21"/>
          <w:highlight w:val="none"/>
        </w:rPr>
        <w:t>采购代理机构：</w:t>
      </w:r>
      <w:r>
        <w:rPr>
          <w:rFonts w:hint="eastAsia" w:ascii="宋体" w:hAnsi="宋体" w:cs="宋体"/>
          <w:color w:val="auto"/>
          <w:highlight w:val="none"/>
          <w:u w:val="single"/>
          <w:lang w:eastAsia="zh-CN"/>
        </w:rPr>
        <w:t>东莞市安居建设投资有限公司</w:t>
      </w:r>
      <w:r>
        <w:rPr>
          <w:rFonts w:hint="eastAsia" w:ascii="宋体" w:hAnsi="宋体" w:cs="宋体"/>
          <w:color w:val="auto"/>
          <w:highlight w:val="none"/>
          <w:u w:val="single"/>
          <w:lang w:val="en-US" w:eastAsia="zh-CN"/>
        </w:rPr>
        <w:t>/</w:t>
      </w:r>
      <w:r>
        <w:rPr>
          <w:rFonts w:hint="eastAsia"/>
          <w:color w:val="auto"/>
          <w:szCs w:val="21"/>
          <w:highlight w:val="none"/>
          <w:u w:val="single"/>
        </w:rPr>
        <w:t>公诚管理咨询有限公司</w:t>
      </w:r>
    </w:p>
    <w:p w14:paraId="6EAF57BD">
      <w:pPr>
        <w:tabs>
          <w:tab w:val="left" w:pos="900"/>
          <w:tab w:val="left" w:pos="1262"/>
        </w:tabs>
        <w:wordWrap w:val="0"/>
        <w:spacing w:line="440" w:lineRule="exact"/>
        <w:ind w:left="142" w:firstLine="424" w:firstLineChars="202"/>
        <w:jc w:val="right"/>
        <w:rPr>
          <w:rFonts w:hint="eastAsia" w:ascii="宋体" w:hAnsi="宋体"/>
          <w:color w:val="auto"/>
          <w:szCs w:val="21"/>
          <w:highlight w:val="none"/>
        </w:rPr>
      </w:pPr>
      <w:r>
        <w:rPr>
          <w:rFonts w:hint="eastAsia" w:ascii="宋体" w:hAnsi="宋体"/>
          <w:color w:val="auto"/>
          <w:szCs w:val="21"/>
          <w:highlight w:val="none"/>
        </w:rPr>
        <w:t xml:space="preserve">                                     </w:t>
      </w:r>
    </w:p>
    <w:p w14:paraId="28A4BC53">
      <w:pPr>
        <w:tabs>
          <w:tab w:val="left" w:pos="900"/>
          <w:tab w:val="left" w:pos="1262"/>
        </w:tabs>
        <w:wordWrap w:val="0"/>
        <w:spacing w:line="440" w:lineRule="exact"/>
        <w:ind w:left="142" w:firstLine="424" w:firstLineChars="202"/>
        <w:jc w:val="right"/>
        <w:rPr>
          <w:rFonts w:ascii="黑体" w:eastAsia="黑体"/>
          <w:b/>
          <w:color w:val="auto"/>
          <w:sz w:val="28"/>
          <w:szCs w:val="28"/>
          <w:highlight w:val="none"/>
        </w:rPr>
      </w:pPr>
      <w:r>
        <w:rPr>
          <w:rFonts w:ascii="宋体" w:hAnsi="宋体"/>
          <w:color w:val="auto"/>
          <w:szCs w:val="21"/>
          <w:highlight w:val="none"/>
        </w:rPr>
        <w:t>日期：</w:t>
      </w:r>
      <w:r>
        <w:rPr>
          <w:rFonts w:hint="eastAsia" w:ascii="宋体" w:hAnsi="宋体"/>
          <w:color w:val="auto"/>
          <w:szCs w:val="21"/>
          <w:highlight w:val="none"/>
          <w:u w:val="single"/>
          <w:lang w:val="en-US" w:eastAsia="zh-CN"/>
        </w:rPr>
        <w:t>2025</w:t>
      </w:r>
      <w:r>
        <w:rPr>
          <w:rFonts w:ascii="宋体" w:hAnsi="宋体"/>
          <w:color w:val="auto"/>
          <w:szCs w:val="21"/>
          <w:highlight w:val="none"/>
        </w:rPr>
        <w:t>年</w:t>
      </w:r>
      <w:r>
        <w:rPr>
          <w:rFonts w:hint="eastAsia" w:ascii="宋体" w:hAnsi="宋体"/>
          <w:color w:val="auto"/>
          <w:szCs w:val="21"/>
          <w:highlight w:val="none"/>
          <w:u w:val="single"/>
          <w:lang w:val="en-US" w:eastAsia="zh-CN"/>
        </w:rPr>
        <w:t>12</w:t>
      </w:r>
      <w:r>
        <w:rPr>
          <w:rFonts w:ascii="宋体" w:hAnsi="宋体"/>
          <w:color w:val="auto"/>
          <w:szCs w:val="21"/>
          <w:highlight w:val="none"/>
        </w:rPr>
        <w:t>月</w:t>
      </w:r>
      <w:r>
        <w:rPr>
          <w:rFonts w:hint="eastAsia" w:ascii="宋体" w:hAnsi="宋体"/>
          <w:color w:val="auto"/>
          <w:szCs w:val="21"/>
          <w:highlight w:val="none"/>
          <w:u w:val="single"/>
          <w:lang w:val="en-US" w:eastAsia="zh-CN"/>
        </w:rPr>
        <w:t>8</w:t>
      </w:r>
      <w:r>
        <w:rPr>
          <w:rFonts w:ascii="宋体" w:hAnsi="宋体"/>
          <w:color w:val="auto"/>
          <w:szCs w:val="21"/>
          <w:highlight w:val="none"/>
        </w:rPr>
        <w:t>日</w:t>
      </w:r>
    </w:p>
    <w:p w14:paraId="52D997B7">
      <w:pPr>
        <w:ind w:left="-14" w:firstLine="640"/>
        <w:jc w:val="right"/>
        <w:rPr>
          <w:color w:val="auto"/>
          <w:highlight w:val="none"/>
        </w:rPr>
      </w:pPr>
      <w:r>
        <w:rPr>
          <w:color w:val="auto"/>
          <w:highlight w:val="none"/>
        </w:rPr>
        <w:t xml:space="preserve"> </w:t>
      </w:r>
      <w:r>
        <w:rPr>
          <w:rFonts w:hint="eastAsia"/>
          <w:color w:val="auto"/>
          <w:highlight w:val="none"/>
        </w:rPr>
        <w:t xml:space="preserve">                                    </w:t>
      </w:r>
    </w:p>
    <w:p w14:paraId="367EAE40">
      <w:pPr>
        <w:pStyle w:val="70"/>
        <w:rPr>
          <w:rFonts w:ascii="宋体" w:hAnsi="宋体" w:eastAsia="宋体" w:cs="宋体"/>
          <w:b/>
          <w:color w:val="auto"/>
          <w:kern w:val="0"/>
          <w:sz w:val="28"/>
          <w:szCs w:val="28"/>
          <w:highlight w:val="none"/>
        </w:rPr>
      </w:pPr>
      <w:r>
        <w:rPr>
          <w:b/>
          <w:color w:val="auto"/>
          <w:sz w:val="28"/>
          <w:szCs w:val="28"/>
          <w:highlight w:val="none"/>
        </w:rPr>
        <w:br w:type="page"/>
      </w:r>
      <w:bookmarkEnd w:id="0"/>
      <w:bookmarkEnd w:id="1"/>
      <w:bookmarkStart w:id="3" w:name="_Toc75852750"/>
      <w:bookmarkStart w:id="4" w:name="_Toc456551874"/>
      <w:r>
        <w:rPr>
          <w:rFonts w:hint="eastAsia" w:ascii="宋体" w:hAnsi="宋体" w:eastAsia="宋体" w:cs="宋体"/>
          <w:b/>
          <w:color w:val="auto"/>
          <w:kern w:val="0"/>
          <w:sz w:val="28"/>
          <w:szCs w:val="28"/>
          <w:highlight w:val="none"/>
        </w:rPr>
        <w:t>第二章 竞争性谈判响应须知</w:t>
      </w:r>
      <w:bookmarkEnd w:id="3"/>
      <w:bookmarkEnd w:id="4"/>
    </w:p>
    <w:p w14:paraId="34EF9C3A">
      <w:pPr>
        <w:pStyle w:val="2"/>
        <w:spacing w:line="240" w:lineRule="auto"/>
        <w:jc w:val="left"/>
        <w:rPr>
          <w:color w:val="auto"/>
          <w:sz w:val="28"/>
          <w:szCs w:val="28"/>
          <w:highlight w:val="none"/>
        </w:rPr>
      </w:pPr>
      <w:bookmarkStart w:id="5" w:name="_Toc75852751"/>
      <w:bookmarkStart w:id="6" w:name="_Toc456551875"/>
      <w:r>
        <w:rPr>
          <w:rFonts w:hint="eastAsia"/>
          <w:color w:val="auto"/>
          <w:sz w:val="28"/>
          <w:szCs w:val="28"/>
          <w:highlight w:val="none"/>
        </w:rPr>
        <w:t>竞争性谈判响应须知前附表</w:t>
      </w:r>
      <w:bookmarkEnd w:id="5"/>
      <w:bookmarkEnd w:id="6"/>
    </w:p>
    <w:p w14:paraId="674921C7">
      <w:pPr>
        <w:spacing w:line="440" w:lineRule="exact"/>
        <w:ind w:right="-340" w:rightChars="-162"/>
        <w:jc w:val="left"/>
        <w:rPr>
          <w:color w:val="auto"/>
          <w:szCs w:val="21"/>
          <w:highlight w:val="none"/>
        </w:rPr>
      </w:pPr>
      <w:r>
        <w:rPr>
          <w:rFonts w:hint="eastAsia"/>
          <w:color w:val="auto"/>
          <w:szCs w:val="21"/>
          <w:highlight w:val="none"/>
        </w:rPr>
        <w:t>本竞争性谈判响应须知前附表是对竞争性谈判响应须知正文的具体补充和修改，如有矛盾，以本前附表为准。</w:t>
      </w:r>
    </w:p>
    <w:tbl>
      <w:tblPr>
        <w:tblStyle w:val="37"/>
        <w:tblW w:w="8931" w:type="dxa"/>
        <w:tblInd w:w="-176" w:type="dxa"/>
        <w:tblLayout w:type="fixed"/>
        <w:tblCellMar>
          <w:top w:w="0" w:type="dxa"/>
          <w:left w:w="108" w:type="dxa"/>
          <w:bottom w:w="0" w:type="dxa"/>
          <w:right w:w="108" w:type="dxa"/>
        </w:tblCellMar>
      </w:tblPr>
      <w:tblGrid>
        <w:gridCol w:w="993"/>
        <w:gridCol w:w="1843"/>
        <w:gridCol w:w="6095"/>
      </w:tblGrid>
      <w:tr w14:paraId="44A783BC">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7BA1BEC8">
            <w:pPr>
              <w:jc w:val="center"/>
              <w:rPr>
                <w:b/>
                <w:color w:val="auto"/>
                <w:szCs w:val="21"/>
                <w:highlight w:val="none"/>
              </w:rPr>
            </w:pPr>
            <w:r>
              <w:rPr>
                <w:b/>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14:paraId="072109A7">
            <w:pPr>
              <w:jc w:val="center"/>
              <w:rPr>
                <w:b/>
                <w:color w:val="auto"/>
                <w:szCs w:val="21"/>
                <w:highlight w:val="none"/>
              </w:rPr>
            </w:pPr>
            <w:r>
              <w:rPr>
                <w:b/>
                <w:color w:val="auto"/>
                <w:szCs w:val="21"/>
                <w:highlight w:val="none"/>
              </w:rPr>
              <w:t>条  款  名  称</w:t>
            </w:r>
          </w:p>
        </w:tc>
        <w:tc>
          <w:tcPr>
            <w:tcW w:w="6095" w:type="dxa"/>
            <w:tcBorders>
              <w:top w:val="single" w:color="auto" w:sz="4" w:space="0"/>
              <w:left w:val="single" w:color="auto" w:sz="4" w:space="0"/>
              <w:bottom w:val="single" w:color="auto" w:sz="4" w:space="0"/>
              <w:right w:val="single" w:color="auto" w:sz="4" w:space="0"/>
            </w:tcBorders>
            <w:vAlign w:val="center"/>
          </w:tcPr>
          <w:p w14:paraId="197BFD0C">
            <w:pPr>
              <w:jc w:val="center"/>
              <w:rPr>
                <w:b/>
                <w:color w:val="auto"/>
                <w:szCs w:val="21"/>
                <w:highlight w:val="none"/>
              </w:rPr>
            </w:pPr>
            <w:r>
              <w:rPr>
                <w:b/>
                <w:color w:val="auto"/>
                <w:szCs w:val="21"/>
                <w:highlight w:val="none"/>
              </w:rPr>
              <w:t>编  列  内  容</w:t>
            </w:r>
          </w:p>
        </w:tc>
      </w:tr>
      <w:tr w14:paraId="7EA19C97">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69759CFC">
            <w:pPr>
              <w:jc w:val="center"/>
              <w:rPr>
                <w:color w:val="auto"/>
                <w:szCs w:val="21"/>
                <w:highlight w:val="none"/>
              </w:rPr>
            </w:pPr>
            <w:r>
              <w:rPr>
                <w:rFonts w:hint="eastAsia"/>
                <w:color w:val="auto"/>
                <w:szCs w:val="21"/>
                <w:highlight w:val="none"/>
              </w:rPr>
              <w:t>1.1.5</w:t>
            </w:r>
          </w:p>
        </w:tc>
        <w:tc>
          <w:tcPr>
            <w:tcW w:w="1843" w:type="dxa"/>
            <w:tcBorders>
              <w:top w:val="single" w:color="auto" w:sz="4" w:space="0"/>
              <w:left w:val="single" w:color="auto" w:sz="4" w:space="0"/>
              <w:bottom w:val="single" w:color="auto" w:sz="4" w:space="0"/>
              <w:right w:val="single" w:color="auto" w:sz="4" w:space="0"/>
            </w:tcBorders>
            <w:vAlign w:val="center"/>
          </w:tcPr>
          <w:p w14:paraId="601459A5">
            <w:pPr>
              <w:jc w:val="left"/>
              <w:rPr>
                <w:color w:val="auto"/>
                <w:szCs w:val="21"/>
                <w:highlight w:val="none"/>
              </w:rPr>
            </w:pPr>
            <w:r>
              <w:rPr>
                <w:rFonts w:hint="eastAsia"/>
                <w:color w:val="auto"/>
                <w:highlight w:val="none"/>
              </w:rPr>
              <w:t>项目承包方式</w:t>
            </w:r>
          </w:p>
        </w:tc>
        <w:tc>
          <w:tcPr>
            <w:tcW w:w="6095" w:type="dxa"/>
            <w:tcBorders>
              <w:top w:val="single" w:color="auto" w:sz="4" w:space="0"/>
              <w:left w:val="single" w:color="auto" w:sz="4" w:space="0"/>
              <w:bottom w:val="single" w:color="auto" w:sz="4" w:space="0"/>
              <w:right w:val="single" w:color="auto" w:sz="4" w:space="0"/>
            </w:tcBorders>
            <w:vAlign w:val="center"/>
          </w:tcPr>
          <w:p w14:paraId="07BFF094">
            <w:pPr>
              <w:autoSpaceDE w:val="0"/>
              <w:autoSpaceDN w:val="0"/>
              <w:rPr>
                <w:rFonts w:ascii="宋体" w:hAnsi="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color w:val="auto"/>
                <w:szCs w:val="21"/>
                <w:highlight w:val="none"/>
              </w:rPr>
              <w:t>固定总价包干</w:t>
            </w:r>
          </w:p>
          <w:p w14:paraId="697D04E0">
            <w:pPr>
              <w:autoSpaceDE w:val="0"/>
              <w:autoSpaceDN w:val="0"/>
              <w:rPr>
                <w:rFonts w:ascii="宋体" w:hAnsi="宋体"/>
                <w:color w:val="auto"/>
                <w:szCs w:val="21"/>
                <w:highlight w:val="none"/>
              </w:rPr>
            </w:pPr>
            <w:r>
              <w:rPr>
                <w:rFonts w:hint="eastAsia" w:ascii="宋体" w:hAnsi="宋体"/>
                <w:color w:val="auto"/>
                <w:szCs w:val="21"/>
                <w:highlight w:val="none"/>
              </w:rPr>
              <w:t>□固定单价暂定总价包干</w:t>
            </w:r>
          </w:p>
          <w:p w14:paraId="7C30FE88">
            <w:pPr>
              <w:autoSpaceDE w:val="0"/>
              <w:autoSpaceDN w:val="0"/>
              <w:rPr>
                <w:rFonts w:ascii="宋体" w:hAnsi="宋体"/>
                <w:color w:val="auto"/>
                <w:szCs w:val="21"/>
                <w:highlight w:val="none"/>
              </w:rPr>
            </w:pPr>
            <w:r>
              <w:rPr>
                <w:rFonts w:hint="eastAsia" w:ascii="宋体" w:hAnsi="宋体"/>
                <w:color w:val="auto"/>
                <w:szCs w:val="21"/>
                <w:highlight w:val="none"/>
              </w:rPr>
              <w:t>□其他，</w:t>
            </w:r>
            <w:r>
              <w:rPr>
                <w:rFonts w:hint="eastAsia" w:ascii="宋体" w:hAnsi="宋体"/>
                <w:color w:val="auto"/>
                <w:szCs w:val="21"/>
                <w:highlight w:val="none"/>
                <w:u w:val="single"/>
              </w:rPr>
              <w:t xml:space="preserve">             </w:t>
            </w:r>
          </w:p>
        </w:tc>
      </w:tr>
      <w:tr w14:paraId="0E28A7B5">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1901505B">
            <w:pPr>
              <w:jc w:val="center"/>
              <w:rPr>
                <w:color w:val="auto"/>
                <w:szCs w:val="21"/>
                <w:highlight w:val="none"/>
              </w:rPr>
            </w:pPr>
            <w:r>
              <w:rPr>
                <w:color w:val="auto"/>
                <w:szCs w:val="21"/>
                <w:highlight w:val="none"/>
              </w:rPr>
              <w:t>1.2</w:t>
            </w:r>
          </w:p>
        </w:tc>
        <w:tc>
          <w:tcPr>
            <w:tcW w:w="1843" w:type="dxa"/>
            <w:tcBorders>
              <w:top w:val="single" w:color="auto" w:sz="4" w:space="0"/>
              <w:left w:val="single" w:color="auto" w:sz="4" w:space="0"/>
              <w:bottom w:val="single" w:color="auto" w:sz="4" w:space="0"/>
              <w:right w:val="single" w:color="auto" w:sz="4" w:space="0"/>
            </w:tcBorders>
            <w:vAlign w:val="center"/>
          </w:tcPr>
          <w:p w14:paraId="62748481">
            <w:pPr>
              <w:jc w:val="left"/>
              <w:rPr>
                <w:color w:val="auto"/>
                <w:szCs w:val="21"/>
                <w:highlight w:val="none"/>
              </w:rPr>
            </w:pPr>
            <w:r>
              <w:rPr>
                <w:color w:val="auto"/>
                <w:szCs w:val="21"/>
                <w:highlight w:val="none"/>
              </w:rPr>
              <w:t>资金来源</w:t>
            </w:r>
          </w:p>
        </w:tc>
        <w:tc>
          <w:tcPr>
            <w:tcW w:w="6095" w:type="dxa"/>
            <w:tcBorders>
              <w:top w:val="single" w:color="auto" w:sz="4" w:space="0"/>
              <w:left w:val="single" w:color="auto" w:sz="4" w:space="0"/>
              <w:bottom w:val="single" w:color="auto" w:sz="4" w:space="0"/>
              <w:right w:val="single" w:color="auto" w:sz="4" w:space="0"/>
            </w:tcBorders>
            <w:vAlign w:val="center"/>
          </w:tcPr>
          <w:p w14:paraId="2B0C33B6">
            <w:pPr>
              <w:autoSpaceDE w:val="0"/>
              <w:autoSpaceDN w:val="0"/>
              <w:rPr>
                <w:rFonts w:ascii="宋体" w:hAnsi="宋体" w:cs="宋体"/>
                <w:color w:val="auto"/>
                <w:szCs w:val="21"/>
                <w:highlight w:val="none"/>
              </w:rPr>
            </w:pPr>
            <w:r>
              <w:rPr>
                <w:rFonts w:hint="eastAsia" w:ascii="宋体" w:hAnsi="宋体" w:cs="宋体"/>
                <w:color w:val="auto"/>
                <w:szCs w:val="21"/>
                <w:highlight w:val="none"/>
              </w:rPr>
              <w:t>企业自筹</w:t>
            </w:r>
          </w:p>
        </w:tc>
      </w:tr>
      <w:tr w14:paraId="1E199969">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48B69562">
            <w:pPr>
              <w:jc w:val="center"/>
              <w:rPr>
                <w:color w:val="auto"/>
                <w:szCs w:val="21"/>
                <w:highlight w:val="none"/>
              </w:rPr>
            </w:pPr>
            <w:r>
              <w:rPr>
                <w:rFonts w:hint="eastAsia"/>
                <w:color w:val="auto"/>
                <w:szCs w:val="21"/>
                <w:highlight w:val="none"/>
              </w:rPr>
              <w:t>1.3.5</w:t>
            </w:r>
          </w:p>
        </w:tc>
        <w:tc>
          <w:tcPr>
            <w:tcW w:w="1843" w:type="dxa"/>
            <w:tcBorders>
              <w:top w:val="single" w:color="auto" w:sz="4" w:space="0"/>
              <w:left w:val="single" w:color="auto" w:sz="4" w:space="0"/>
              <w:bottom w:val="single" w:color="auto" w:sz="4" w:space="0"/>
              <w:right w:val="single" w:color="auto" w:sz="4" w:space="0"/>
            </w:tcBorders>
            <w:vAlign w:val="center"/>
          </w:tcPr>
          <w:p w14:paraId="1F8DA725">
            <w:pPr>
              <w:jc w:val="left"/>
              <w:rPr>
                <w:color w:val="auto"/>
                <w:szCs w:val="21"/>
                <w:highlight w:val="none"/>
              </w:rPr>
            </w:pPr>
            <w:r>
              <w:rPr>
                <w:rFonts w:hint="eastAsia"/>
                <w:color w:val="auto"/>
                <w:szCs w:val="21"/>
                <w:highlight w:val="none"/>
              </w:rPr>
              <w:t>质量要求</w:t>
            </w:r>
          </w:p>
        </w:tc>
        <w:tc>
          <w:tcPr>
            <w:tcW w:w="6095" w:type="dxa"/>
            <w:tcBorders>
              <w:top w:val="single" w:color="auto" w:sz="4" w:space="0"/>
              <w:left w:val="single" w:color="auto" w:sz="4" w:space="0"/>
              <w:bottom w:val="single" w:color="auto" w:sz="4" w:space="0"/>
              <w:right w:val="single" w:color="auto" w:sz="4" w:space="0"/>
            </w:tcBorders>
            <w:vAlign w:val="center"/>
          </w:tcPr>
          <w:p w14:paraId="1852086A">
            <w:pPr>
              <w:autoSpaceDE w:val="0"/>
              <w:autoSpaceDN w:val="0"/>
              <w:rPr>
                <w:rFonts w:ascii="宋体" w:hAnsi="宋体" w:cs="宋体"/>
                <w:color w:val="auto"/>
                <w:szCs w:val="21"/>
                <w:highlight w:val="none"/>
              </w:rPr>
            </w:pPr>
            <w:r>
              <w:rPr>
                <w:rFonts w:hint="eastAsia" w:ascii="宋体" w:hAnsi="宋体" w:cs="宋体"/>
                <w:color w:val="auto"/>
                <w:szCs w:val="21"/>
                <w:highlight w:val="none"/>
              </w:rPr>
              <w:t>达到国家或行业质量检验评定的合格标准</w:t>
            </w:r>
          </w:p>
        </w:tc>
      </w:tr>
      <w:tr w14:paraId="12F64F10">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571F0EE2">
            <w:pPr>
              <w:jc w:val="center"/>
              <w:rPr>
                <w:color w:val="auto"/>
                <w:szCs w:val="21"/>
                <w:highlight w:val="none"/>
              </w:rPr>
            </w:pPr>
            <w:r>
              <w:rPr>
                <w:rFonts w:hint="eastAsia"/>
                <w:color w:val="auto"/>
                <w:szCs w:val="21"/>
                <w:highlight w:val="none"/>
              </w:rPr>
              <w:t>1.6.3</w:t>
            </w:r>
          </w:p>
        </w:tc>
        <w:tc>
          <w:tcPr>
            <w:tcW w:w="1843" w:type="dxa"/>
            <w:tcBorders>
              <w:top w:val="single" w:color="auto" w:sz="4" w:space="0"/>
              <w:left w:val="single" w:color="auto" w:sz="4" w:space="0"/>
              <w:bottom w:val="single" w:color="auto" w:sz="4" w:space="0"/>
              <w:right w:val="single" w:color="auto" w:sz="4" w:space="0"/>
            </w:tcBorders>
            <w:vAlign w:val="center"/>
          </w:tcPr>
          <w:p w14:paraId="5D8AE7B7">
            <w:pPr>
              <w:jc w:val="left"/>
              <w:rPr>
                <w:color w:val="auto"/>
                <w:szCs w:val="21"/>
                <w:highlight w:val="none"/>
              </w:rPr>
            </w:pPr>
            <w:r>
              <w:rPr>
                <w:rFonts w:hint="eastAsia"/>
                <w:color w:val="auto"/>
                <w:szCs w:val="21"/>
                <w:highlight w:val="none"/>
              </w:rPr>
              <w:t>联合体响应</w:t>
            </w:r>
          </w:p>
        </w:tc>
        <w:tc>
          <w:tcPr>
            <w:tcW w:w="6095" w:type="dxa"/>
            <w:tcBorders>
              <w:top w:val="single" w:color="auto" w:sz="4" w:space="0"/>
              <w:left w:val="single" w:color="auto" w:sz="4" w:space="0"/>
              <w:bottom w:val="single" w:color="auto" w:sz="4" w:space="0"/>
              <w:right w:val="single" w:color="auto" w:sz="4" w:space="0"/>
            </w:tcBorders>
            <w:vAlign w:val="center"/>
          </w:tcPr>
          <w:p w14:paraId="34E83BBC">
            <w:pPr>
              <w:autoSpaceDE w:val="0"/>
              <w:autoSpaceDN w:val="0"/>
              <w:rPr>
                <w:rFonts w:ascii="宋体" w:hAnsi="宋体" w:cs="宋体"/>
                <w:color w:val="auto"/>
                <w:szCs w:val="21"/>
                <w:highlight w:val="none"/>
              </w:rPr>
            </w:pPr>
            <w:r>
              <w:rPr>
                <w:rFonts w:hint="eastAsia"/>
                <w:color w:val="auto"/>
                <w:szCs w:val="21"/>
                <w:highlight w:val="none"/>
              </w:rPr>
              <w:t>■</w:t>
            </w:r>
            <w:r>
              <w:rPr>
                <w:rFonts w:hint="eastAsia" w:ascii="宋体" w:hAnsi="宋体" w:cs="宋体"/>
                <w:color w:val="auto"/>
                <w:szCs w:val="21"/>
                <w:highlight w:val="none"/>
              </w:rPr>
              <w:t>不接受</w:t>
            </w:r>
          </w:p>
          <w:p w14:paraId="4C48767C">
            <w:pPr>
              <w:autoSpaceDE w:val="0"/>
              <w:autoSpaceDN w:val="0"/>
              <w:rPr>
                <w:rFonts w:ascii="宋体" w:hAnsi="宋体" w:cs="宋体"/>
                <w:color w:val="auto"/>
                <w:szCs w:val="21"/>
                <w:highlight w:val="none"/>
              </w:rPr>
            </w:pPr>
            <w:r>
              <w:rPr>
                <w:rFonts w:hint="eastAsia" w:ascii="宋体" w:hAnsi="宋体"/>
                <w:color w:val="auto"/>
                <w:szCs w:val="21"/>
                <w:highlight w:val="none"/>
              </w:rPr>
              <w:t>□</w:t>
            </w:r>
            <w:r>
              <w:rPr>
                <w:rFonts w:hint="eastAsia" w:ascii="宋体" w:hAnsi="宋体" w:cs="宋体"/>
                <w:color w:val="auto"/>
                <w:szCs w:val="21"/>
                <w:highlight w:val="none"/>
              </w:rPr>
              <w:t>接受，</w:t>
            </w:r>
            <w:r>
              <w:rPr>
                <w:rFonts w:hint="eastAsia" w:ascii="宋体" w:hAnsi="宋体"/>
                <w:color w:val="auto"/>
                <w:szCs w:val="21"/>
                <w:highlight w:val="none"/>
              </w:rPr>
              <w:t>联合体响应的，应满足下列要求：</w:t>
            </w:r>
            <w:r>
              <w:rPr>
                <w:rFonts w:hint="eastAsia" w:ascii="宋体" w:hAnsi="宋体"/>
                <w:color w:val="auto"/>
                <w:szCs w:val="21"/>
                <w:highlight w:val="none"/>
                <w:u w:val="single"/>
              </w:rPr>
              <w:t xml:space="preserve">         </w:t>
            </w:r>
            <w:r>
              <w:rPr>
                <w:rFonts w:hint="eastAsia" w:ascii="宋体" w:hAnsi="宋体"/>
                <w:color w:val="auto"/>
                <w:szCs w:val="21"/>
                <w:highlight w:val="none"/>
              </w:rPr>
              <w:t>。</w:t>
            </w:r>
          </w:p>
        </w:tc>
      </w:tr>
      <w:tr w14:paraId="64B76B71">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0E43CE64">
            <w:pPr>
              <w:jc w:val="center"/>
              <w:rPr>
                <w:rFonts w:ascii="宋体" w:hAnsi="宋体" w:cs="宋体"/>
                <w:color w:val="auto"/>
                <w:szCs w:val="21"/>
                <w:highlight w:val="none"/>
              </w:rPr>
            </w:pPr>
            <w:r>
              <w:rPr>
                <w:rFonts w:hint="eastAsia" w:ascii="宋体" w:hAnsi="宋体" w:cs="宋体"/>
                <w:color w:val="auto"/>
                <w:szCs w:val="21"/>
                <w:highlight w:val="none"/>
              </w:rPr>
              <w:t>1.12</w:t>
            </w:r>
          </w:p>
        </w:tc>
        <w:tc>
          <w:tcPr>
            <w:tcW w:w="1843" w:type="dxa"/>
            <w:tcBorders>
              <w:top w:val="single" w:color="auto" w:sz="4" w:space="0"/>
              <w:left w:val="single" w:color="auto" w:sz="4" w:space="0"/>
              <w:bottom w:val="single" w:color="auto" w:sz="4" w:space="0"/>
              <w:right w:val="single" w:color="auto" w:sz="4" w:space="0"/>
            </w:tcBorders>
            <w:vAlign w:val="center"/>
          </w:tcPr>
          <w:p w14:paraId="5A5180EF">
            <w:pPr>
              <w:jc w:val="left"/>
              <w:rPr>
                <w:rFonts w:ascii="宋体" w:hAnsi="宋体" w:cs="宋体"/>
                <w:color w:val="auto"/>
                <w:szCs w:val="21"/>
                <w:highlight w:val="none"/>
              </w:rPr>
            </w:pPr>
            <w:r>
              <w:rPr>
                <w:rFonts w:hint="eastAsia" w:ascii="宋体" w:hAnsi="宋体" w:cs="宋体"/>
                <w:color w:val="auto"/>
                <w:szCs w:val="21"/>
                <w:highlight w:val="none"/>
              </w:rPr>
              <w:t>踏勘现场</w:t>
            </w:r>
          </w:p>
        </w:tc>
        <w:tc>
          <w:tcPr>
            <w:tcW w:w="6095" w:type="dxa"/>
            <w:tcBorders>
              <w:top w:val="single" w:color="auto" w:sz="4" w:space="0"/>
              <w:left w:val="single" w:color="auto" w:sz="4" w:space="0"/>
              <w:bottom w:val="single" w:color="auto" w:sz="4" w:space="0"/>
              <w:right w:val="single" w:color="auto" w:sz="4" w:space="0"/>
            </w:tcBorders>
            <w:vAlign w:val="center"/>
          </w:tcPr>
          <w:p w14:paraId="03CC29EB">
            <w:pPr>
              <w:autoSpaceDE w:val="0"/>
              <w:autoSpaceDN w:val="0"/>
              <w:rPr>
                <w:rFonts w:ascii="宋体" w:hAnsi="宋体" w:cs="宋体"/>
                <w:color w:val="auto"/>
                <w:szCs w:val="21"/>
                <w:highlight w:val="none"/>
              </w:rPr>
            </w:pPr>
            <w:r>
              <w:rPr>
                <w:rFonts w:hint="eastAsia"/>
                <w:color w:val="auto"/>
                <w:szCs w:val="21"/>
                <w:highlight w:val="none"/>
              </w:rPr>
              <w:t>■</w:t>
            </w:r>
            <w:r>
              <w:rPr>
                <w:rFonts w:hint="eastAsia" w:ascii="宋体" w:hAnsi="宋体" w:cs="宋体"/>
                <w:color w:val="auto"/>
                <w:szCs w:val="21"/>
                <w:highlight w:val="none"/>
              </w:rPr>
              <w:t>不组织</w:t>
            </w:r>
          </w:p>
          <w:p w14:paraId="4A70CEB9">
            <w:pPr>
              <w:autoSpaceDE w:val="0"/>
              <w:autoSpaceDN w:val="0"/>
              <w:rPr>
                <w:rFonts w:ascii="宋体" w:hAnsi="宋体" w:cs="宋体"/>
                <w:color w:val="auto"/>
                <w:szCs w:val="21"/>
                <w:highlight w:val="none"/>
              </w:rPr>
            </w:pPr>
            <w:r>
              <w:rPr>
                <w:rFonts w:hint="eastAsia" w:ascii="宋体" w:hAnsi="宋体"/>
                <w:color w:val="auto"/>
                <w:szCs w:val="21"/>
                <w:highlight w:val="none"/>
              </w:rPr>
              <w:t>□</w:t>
            </w:r>
            <w:r>
              <w:rPr>
                <w:rFonts w:hint="eastAsia" w:ascii="宋体" w:hAnsi="宋体" w:cs="宋体"/>
                <w:color w:val="auto"/>
                <w:szCs w:val="21"/>
                <w:highlight w:val="none"/>
              </w:rPr>
              <w:t>组织，踏勘现场时间、地点：</w:t>
            </w:r>
            <w:r>
              <w:rPr>
                <w:rFonts w:hint="eastAsia" w:ascii="宋体" w:hAnsi="宋体" w:cs="宋体"/>
                <w:color w:val="auto"/>
                <w:szCs w:val="21"/>
                <w:highlight w:val="none"/>
                <w:u w:val="single"/>
              </w:rPr>
              <w:t xml:space="preserve">                         </w:t>
            </w:r>
          </w:p>
        </w:tc>
      </w:tr>
      <w:tr w14:paraId="40F2B12C">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6BA1BEE4">
            <w:pPr>
              <w:jc w:val="center"/>
              <w:rPr>
                <w:rFonts w:ascii="宋体" w:hAnsi="宋体" w:cs="宋体"/>
                <w:color w:val="auto"/>
                <w:szCs w:val="21"/>
                <w:highlight w:val="none"/>
              </w:rPr>
            </w:pPr>
            <w:r>
              <w:rPr>
                <w:rFonts w:hint="eastAsia" w:ascii="宋体" w:hAnsi="宋体" w:cs="宋体"/>
                <w:color w:val="auto"/>
                <w:szCs w:val="21"/>
                <w:highlight w:val="none"/>
              </w:rPr>
              <w:t>2.1.3</w:t>
            </w:r>
          </w:p>
        </w:tc>
        <w:tc>
          <w:tcPr>
            <w:tcW w:w="1843" w:type="dxa"/>
            <w:tcBorders>
              <w:top w:val="single" w:color="auto" w:sz="4" w:space="0"/>
              <w:left w:val="single" w:color="auto" w:sz="4" w:space="0"/>
              <w:bottom w:val="single" w:color="auto" w:sz="4" w:space="0"/>
              <w:right w:val="single" w:color="auto" w:sz="4" w:space="0"/>
            </w:tcBorders>
            <w:vAlign w:val="center"/>
          </w:tcPr>
          <w:p w14:paraId="37251FCC">
            <w:pPr>
              <w:jc w:val="left"/>
              <w:rPr>
                <w:rFonts w:ascii="宋体" w:hAnsi="宋体" w:cs="宋体"/>
                <w:color w:val="auto"/>
                <w:szCs w:val="21"/>
                <w:highlight w:val="none"/>
              </w:rPr>
            </w:pPr>
            <w:r>
              <w:rPr>
                <w:rFonts w:hint="eastAsia" w:ascii="宋体" w:hAnsi="宋体" w:cs="宋体"/>
                <w:color w:val="auto"/>
                <w:szCs w:val="21"/>
                <w:highlight w:val="none"/>
              </w:rPr>
              <w:t>实质性要求</w:t>
            </w:r>
          </w:p>
        </w:tc>
        <w:tc>
          <w:tcPr>
            <w:tcW w:w="6095" w:type="dxa"/>
            <w:tcBorders>
              <w:top w:val="single" w:color="auto" w:sz="4" w:space="0"/>
              <w:left w:val="single" w:color="auto" w:sz="4" w:space="0"/>
              <w:bottom w:val="single" w:color="auto" w:sz="4" w:space="0"/>
              <w:right w:val="single" w:color="auto" w:sz="4" w:space="0"/>
            </w:tcBorders>
            <w:vAlign w:val="center"/>
          </w:tcPr>
          <w:p w14:paraId="2641AF66">
            <w:pPr>
              <w:autoSpaceDE w:val="0"/>
              <w:autoSpaceDN w:val="0"/>
              <w:jc w:val="left"/>
              <w:rPr>
                <w:rFonts w:ascii="宋体" w:hAnsi="宋体" w:cs="宋体"/>
                <w:color w:val="auto"/>
                <w:szCs w:val="21"/>
                <w:highlight w:val="none"/>
              </w:rPr>
            </w:pPr>
            <w:r>
              <w:rPr>
                <w:rFonts w:hint="eastAsia" w:ascii="宋体" w:hAnsi="宋体" w:cs="宋体"/>
                <w:color w:val="auto"/>
                <w:szCs w:val="21"/>
                <w:highlight w:val="none"/>
              </w:rPr>
              <w:t>竞争性谈判文件中标识“</w:t>
            </w:r>
            <w:r>
              <w:rPr>
                <w:rFonts w:eastAsia="黑体"/>
                <w:color w:val="auto"/>
                <w:sz w:val="32"/>
                <w:szCs w:val="32"/>
                <w:highlight w:val="none"/>
              </w:rPr>
              <w:sym w:font="Wingdings" w:char="00AB"/>
            </w:r>
            <w:r>
              <w:rPr>
                <w:rFonts w:hint="eastAsia" w:ascii="宋体" w:hAnsi="宋体" w:cs="宋体"/>
                <w:color w:val="auto"/>
                <w:szCs w:val="21"/>
                <w:highlight w:val="none"/>
              </w:rPr>
              <w:t>”的条款，均为实质性条款，任何不满足实质性条款的谈判响应将被否决。</w:t>
            </w:r>
          </w:p>
        </w:tc>
      </w:tr>
      <w:tr w14:paraId="311E0EE7">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3983CC03">
            <w:pPr>
              <w:jc w:val="center"/>
              <w:rPr>
                <w:rFonts w:ascii="宋体" w:hAnsi="宋体" w:cs="宋体"/>
                <w:color w:val="auto"/>
                <w:szCs w:val="21"/>
                <w:highlight w:val="none"/>
              </w:rPr>
            </w:pPr>
            <w:r>
              <w:rPr>
                <w:rFonts w:hint="eastAsia" w:ascii="宋体" w:hAnsi="宋体" w:cs="宋体"/>
                <w:color w:val="auto"/>
                <w:szCs w:val="21"/>
                <w:highlight w:val="none"/>
              </w:rPr>
              <w:t>2.2.1</w:t>
            </w:r>
          </w:p>
        </w:tc>
        <w:tc>
          <w:tcPr>
            <w:tcW w:w="1843" w:type="dxa"/>
            <w:tcBorders>
              <w:top w:val="single" w:color="auto" w:sz="4" w:space="0"/>
              <w:left w:val="single" w:color="auto" w:sz="4" w:space="0"/>
              <w:bottom w:val="single" w:color="auto" w:sz="4" w:space="0"/>
              <w:right w:val="single" w:color="auto" w:sz="4" w:space="0"/>
            </w:tcBorders>
            <w:vAlign w:val="center"/>
          </w:tcPr>
          <w:p w14:paraId="10365F91">
            <w:pPr>
              <w:jc w:val="left"/>
              <w:rPr>
                <w:rFonts w:ascii="宋体" w:hAnsi="宋体" w:cs="宋体"/>
                <w:color w:val="auto"/>
                <w:szCs w:val="21"/>
                <w:highlight w:val="none"/>
              </w:rPr>
            </w:pPr>
            <w:r>
              <w:rPr>
                <w:rFonts w:hint="eastAsia" w:ascii="宋体" w:hAnsi="宋体" w:cs="宋体"/>
                <w:color w:val="auto"/>
                <w:szCs w:val="21"/>
                <w:highlight w:val="none"/>
              </w:rPr>
              <w:t>响应人提出澄清要求的截止时间和方式</w:t>
            </w:r>
          </w:p>
        </w:tc>
        <w:tc>
          <w:tcPr>
            <w:tcW w:w="6095" w:type="dxa"/>
            <w:tcBorders>
              <w:top w:val="single" w:color="auto" w:sz="4" w:space="0"/>
              <w:left w:val="single" w:color="auto" w:sz="4" w:space="0"/>
              <w:bottom w:val="single" w:color="auto" w:sz="4" w:space="0"/>
              <w:right w:val="single" w:color="auto" w:sz="4" w:space="0"/>
            </w:tcBorders>
            <w:vAlign w:val="center"/>
          </w:tcPr>
          <w:p w14:paraId="10FCF44D">
            <w:pPr>
              <w:autoSpaceDE w:val="0"/>
              <w:autoSpaceDN w:val="0"/>
              <w:rPr>
                <w:rFonts w:ascii="宋体" w:hAnsi="宋体" w:cs="宋体"/>
                <w:color w:val="auto"/>
                <w:szCs w:val="21"/>
                <w:highlight w:val="none"/>
              </w:rPr>
            </w:pPr>
            <w:r>
              <w:rPr>
                <w:rFonts w:hint="eastAsia" w:ascii="宋体" w:hAnsi="宋体" w:cs="宋体"/>
                <w:color w:val="auto"/>
                <w:szCs w:val="21"/>
                <w:highlight w:val="none"/>
              </w:rPr>
              <w:t>响应人应当在提交响应文件截止时间至少2日前提出澄清要求。</w:t>
            </w:r>
          </w:p>
          <w:p w14:paraId="5334F168">
            <w:pPr>
              <w:autoSpaceDE w:val="0"/>
              <w:autoSpaceDN w:val="0"/>
              <w:rPr>
                <w:rFonts w:ascii="宋体" w:hAnsi="宋体" w:cs="宋体"/>
                <w:color w:val="auto"/>
                <w:szCs w:val="21"/>
                <w:highlight w:val="none"/>
              </w:rPr>
            </w:pPr>
            <w:r>
              <w:rPr>
                <w:rFonts w:hint="eastAsia" w:ascii="宋体" w:hAnsi="宋体" w:cs="宋体"/>
                <w:color w:val="auto"/>
                <w:szCs w:val="21"/>
                <w:highlight w:val="none"/>
              </w:rPr>
              <w:t>提出澄清要求的方式：书面方式</w:t>
            </w:r>
          </w:p>
        </w:tc>
      </w:tr>
      <w:tr w14:paraId="702D5D5F">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692E91E0">
            <w:pPr>
              <w:jc w:val="center"/>
              <w:rPr>
                <w:rFonts w:ascii="宋体" w:hAnsi="宋体" w:cs="宋体"/>
                <w:color w:val="auto"/>
                <w:szCs w:val="21"/>
                <w:highlight w:val="none"/>
              </w:rPr>
            </w:pPr>
            <w:r>
              <w:rPr>
                <w:rFonts w:hint="eastAsia" w:ascii="宋体" w:hAnsi="宋体" w:cs="宋体"/>
                <w:color w:val="auto"/>
                <w:szCs w:val="21"/>
                <w:highlight w:val="none"/>
              </w:rPr>
              <w:t>2.2.2</w:t>
            </w:r>
          </w:p>
        </w:tc>
        <w:tc>
          <w:tcPr>
            <w:tcW w:w="1843" w:type="dxa"/>
            <w:tcBorders>
              <w:top w:val="single" w:color="auto" w:sz="4" w:space="0"/>
              <w:left w:val="single" w:color="auto" w:sz="4" w:space="0"/>
              <w:bottom w:val="single" w:color="auto" w:sz="4" w:space="0"/>
              <w:right w:val="single" w:color="auto" w:sz="4" w:space="0"/>
            </w:tcBorders>
            <w:vAlign w:val="center"/>
          </w:tcPr>
          <w:p w14:paraId="3A9F3609">
            <w:pPr>
              <w:jc w:val="left"/>
              <w:rPr>
                <w:rFonts w:ascii="宋体" w:hAnsi="宋体" w:cs="宋体"/>
                <w:color w:val="auto"/>
                <w:szCs w:val="21"/>
                <w:highlight w:val="none"/>
              </w:rPr>
            </w:pPr>
            <w:r>
              <w:rPr>
                <w:rFonts w:hint="eastAsia" w:ascii="宋体" w:hAnsi="宋体" w:cs="宋体"/>
                <w:color w:val="auto"/>
                <w:szCs w:val="21"/>
                <w:highlight w:val="none"/>
              </w:rPr>
              <w:t>采购人澄清或修改发布方式</w:t>
            </w:r>
          </w:p>
        </w:tc>
        <w:tc>
          <w:tcPr>
            <w:tcW w:w="6095" w:type="dxa"/>
            <w:tcBorders>
              <w:top w:val="single" w:color="auto" w:sz="4" w:space="0"/>
              <w:left w:val="single" w:color="auto" w:sz="4" w:space="0"/>
              <w:bottom w:val="single" w:color="auto" w:sz="4" w:space="0"/>
              <w:right w:val="single" w:color="auto" w:sz="4" w:space="0"/>
            </w:tcBorders>
            <w:vAlign w:val="center"/>
          </w:tcPr>
          <w:p w14:paraId="08E8D42F">
            <w:pPr>
              <w:rPr>
                <w:color w:val="auto"/>
                <w:highlight w:val="none"/>
              </w:rPr>
            </w:pPr>
            <w:r>
              <w:rPr>
                <w:rFonts w:hint="eastAsia" w:ascii="宋体" w:hAnsi="宋体" w:cs="宋体"/>
                <w:color w:val="auto"/>
                <w:szCs w:val="21"/>
                <w:highlight w:val="none"/>
              </w:rPr>
              <w:t>采购人发出的澄清或修改内容统一以补充通知文件形式发布在</w:t>
            </w:r>
            <w:r>
              <w:rPr>
                <w:rFonts w:hint="eastAsia"/>
                <w:color w:val="auto"/>
                <w:highlight w:val="none"/>
              </w:rPr>
              <w:t>东莞实业投资控股集团有限公司网站</w:t>
            </w:r>
            <w:r>
              <w:rPr>
                <w:color w:val="auto"/>
                <w:highlight w:val="none"/>
              </w:rPr>
              <w:t>（</w:t>
            </w:r>
            <w:r>
              <w:rPr>
                <w:rFonts w:hint="eastAsia"/>
                <w:color w:val="auto"/>
                <w:highlight w:val="none"/>
              </w:rPr>
              <w:t>网址：http://www.dgsy.com.cn/</w:t>
            </w:r>
            <w:r>
              <w:rPr>
                <w:color w:val="auto"/>
                <w:highlight w:val="none"/>
              </w:rPr>
              <w:t>）</w:t>
            </w:r>
            <w:r>
              <w:rPr>
                <w:rFonts w:hint="eastAsia"/>
                <w:color w:val="auto"/>
                <w:highlight w:val="none"/>
              </w:rPr>
              <w:t>、</w:t>
            </w:r>
            <w:r>
              <w:rPr>
                <w:rFonts w:hint="eastAsia" w:hAnsi="宋体"/>
                <w:color w:val="auto"/>
                <w:kern w:val="2"/>
                <w:sz w:val="21"/>
                <w:szCs w:val="21"/>
                <w:highlight w:val="none"/>
              </w:rPr>
              <w:t>东莞市安居建设投资有限公司网站（https://www.0769anju.com/）、中国招标投标公共服务平台（http://www.cebpubservice.com/）</w:t>
            </w:r>
            <w:r>
              <w:rPr>
                <w:rFonts w:hint="eastAsia" w:hAnsi="宋体"/>
                <w:color w:val="auto"/>
                <w:kern w:val="2"/>
                <w:sz w:val="21"/>
                <w:szCs w:val="21"/>
                <w:highlight w:val="none"/>
                <w:lang w:eastAsia="zh-CN"/>
              </w:rPr>
              <w:t>、</w:t>
            </w:r>
            <w:r>
              <w:rPr>
                <w:rFonts w:hint="eastAsia" w:hAnsi="宋体"/>
                <w:color w:val="auto"/>
                <w:kern w:val="2"/>
                <w:sz w:val="21"/>
                <w:szCs w:val="21"/>
                <w:highlight w:val="none"/>
                <w:lang w:val="en-US" w:eastAsia="zh-CN"/>
              </w:rPr>
              <w:t>公诚管理咨询有限公司-诚E招电子采购交易平台（https://www.chengezhao.com）</w:t>
            </w:r>
            <w:r>
              <w:rPr>
                <w:rFonts w:hint="eastAsia"/>
                <w:color w:val="auto"/>
                <w:highlight w:val="none"/>
              </w:rPr>
              <w:t>，视为潜在竞争性谈判响应人已获取相关文件。</w:t>
            </w:r>
          </w:p>
          <w:p w14:paraId="6720CB8A">
            <w:pPr>
              <w:autoSpaceDE w:val="0"/>
              <w:autoSpaceDN w:val="0"/>
              <w:rPr>
                <w:rFonts w:ascii="宋体" w:hAnsi="宋体" w:cs="宋体"/>
                <w:color w:val="auto"/>
                <w:szCs w:val="21"/>
                <w:highlight w:val="none"/>
              </w:rPr>
            </w:pPr>
            <w:r>
              <w:rPr>
                <w:rFonts w:hint="eastAsia"/>
                <w:color w:val="auto"/>
                <w:highlight w:val="none"/>
              </w:rPr>
              <w:t>若潜在竞争性谈判响应人未留意或未及时获取</w:t>
            </w:r>
            <w:r>
              <w:rPr>
                <w:rFonts w:hint="eastAsia" w:ascii="宋体" w:hAnsi="宋体" w:cs="宋体"/>
                <w:color w:val="auto"/>
                <w:szCs w:val="21"/>
                <w:highlight w:val="none"/>
              </w:rPr>
              <w:t>补充通知文件</w:t>
            </w:r>
            <w:r>
              <w:rPr>
                <w:rFonts w:hint="eastAsia"/>
                <w:color w:val="auto"/>
                <w:highlight w:val="none"/>
              </w:rPr>
              <w:t>，一切后果由竞争性谈判响应人自行承担。</w:t>
            </w:r>
          </w:p>
        </w:tc>
      </w:tr>
      <w:tr w14:paraId="7D266BFB">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17640977">
            <w:pPr>
              <w:jc w:val="center"/>
              <w:rPr>
                <w:color w:val="auto"/>
                <w:szCs w:val="21"/>
                <w:highlight w:val="none"/>
              </w:rPr>
            </w:pPr>
            <w:r>
              <w:rPr>
                <w:rFonts w:hint="eastAsia"/>
                <w:color w:val="auto"/>
                <w:szCs w:val="21"/>
                <w:highlight w:val="none"/>
              </w:rPr>
              <w:t>3.2.2</w:t>
            </w:r>
          </w:p>
        </w:tc>
        <w:tc>
          <w:tcPr>
            <w:tcW w:w="1843" w:type="dxa"/>
            <w:tcBorders>
              <w:top w:val="single" w:color="auto" w:sz="4" w:space="0"/>
              <w:left w:val="single" w:color="auto" w:sz="4" w:space="0"/>
              <w:bottom w:val="single" w:color="auto" w:sz="4" w:space="0"/>
              <w:right w:val="single" w:color="auto" w:sz="4" w:space="0"/>
            </w:tcBorders>
            <w:vAlign w:val="center"/>
          </w:tcPr>
          <w:p w14:paraId="73CBC8C2">
            <w:pPr>
              <w:jc w:val="left"/>
              <w:rPr>
                <w:color w:val="auto"/>
                <w:szCs w:val="21"/>
                <w:highlight w:val="none"/>
              </w:rPr>
            </w:pPr>
            <w:r>
              <w:rPr>
                <w:rFonts w:hint="eastAsia" w:ascii="宋体" w:hAnsi="宋体" w:cs="宋体"/>
                <w:color w:val="auto"/>
                <w:szCs w:val="21"/>
                <w:highlight w:val="none"/>
              </w:rPr>
              <w:t>响应文件响应和编写</w:t>
            </w:r>
          </w:p>
        </w:tc>
        <w:tc>
          <w:tcPr>
            <w:tcW w:w="6095" w:type="dxa"/>
            <w:tcBorders>
              <w:top w:val="single" w:color="auto" w:sz="4" w:space="0"/>
              <w:left w:val="single" w:color="auto" w:sz="4" w:space="0"/>
              <w:bottom w:val="single" w:color="auto" w:sz="4" w:space="0"/>
              <w:right w:val="single" w:color="auto" w:sz="4" w:space="0"/>
            </w:tcBorders>
            <w:vAlign w:val="center"/>
          </w:tcPr>
          <w:p w14:paraId="6BE1B2F5">
            <w:pPr>
              <w:autoSpaceDE w:val="0"/>
              <w:autoSpaceDN w:val="0"/>
              <w:rPr>
                <w:rFonts w:ascii="宋体" w:hAnsi="宋体" w:cs="宋体"/>
                <w:color w:val="auto"/>
                <w:szCs w:val="21"/>
                <w:highlight w:val="none"/>
              </w:rPr>
            </w:pPr>
            <w:r>
              <w:rPr>
                <w:rFonts w:hint="eastAsia" w:ascii="宋体" w:hAnsi="宋体" w:cs="宋体"/>
                <w:color w:val="auto"/>
                <w:szCs w:val="21"/>
                <w:highlight w:val="none"/>
              </w:rPr>
              <w:t>本条款增加规定：</w:t>
            </w:r>
          </w:p>
          <w:p w14:paraId="4C9B6434">
            <w:pPr>
              <w:numPr>
                <w:ilvl w:val="0"/>
                <w:numId w:val="0"/>
              </w:numPr>
              <w:tabs>
                <w:tab w:val="left" w:pos="318"/>
              </w:tabs>
              <w:ind w:left="360" w:leftChars="0" w:hanging="360" w:firstLineChars="0"/>
              <w:rPr>
                <w:rFonts w:ascii="宋体" w:hAnsi="宋体"/>
                <w:color w:val="auto"/>
                <w:szCs w:val="21"/>
                <w:highlight w:val="none"/>
              </w:rPr>
            </w:pPr>
            <w:r>
              <w:rPr>
                <w:rFonts w:hint="default" w:ascii="宋体" w:hAnsi="宋体" w:eastAsia="宋体" w:cs="Times New Roman"/>
                <w:color w:val="auto"/>
                <w:kern w:val="2"/>
                <w:sz w:val="21"/>
                <w:szCs w:val="21"/>
                <w:highlight w:val="none"/>
                <w:lang w:val="en-US" w:eastAsia="zh-CN" w:bidi="ar-SA"/>
              </w:rPr>
              <w:t>1.</w:t>
            </w:r>
            <w:r>
              <w:rPr>
                <w:rFonts w:hint="eastAsia" w:ascii="宋体" w:hAnsi="宋体"/>
                <w:color w:val="auto"/>
                <w:szCs w:val="21"/>
                <w:highlight w:val="none"/>
              </w:rPr>
              <w:t>响应人应</w:t>
            </w:r>
            <w:r>
              <w:rPr>
                <w:rFonts w:ascii="宋体" w:hAnsi="宋体"/>
                <w:color w:val="auto"/>
                <w:szCs w:val="21"/>
                <w:highlight w:val="none"/>
              </w:rPr>
              <w:t>对竞争性谈判文件中的</w:t>
            </w:r>
            <w:r>
              <w:rPr>
                <w:rFonts w:hint="eastAsia" w:ascii="宋体" w:hAnsi="宋体"/>
                <w:color w:val="auto"/>
                <w:szCs w:val="21"/>
                <w:highlight w:val="none"/>
              </w:rPr>
              <w:t>《</w:t>
            </w:r>
            <w:r>
              <w:rPr>
                <w:rFonts w:hint="eastAsia" w:ascii="宋体" w:hAnsi="宋体"/>
                <w:color w:val="auto"/>
                <w:szCs w:val="21"/>
                <w:highlight w:val="none"/>
                <w:lang w:val="en-US" w:eastAsia="zh-CN"/>
              </w:rPr>
              <w:t>实质性条款偏离表</w:t>
            </w:r>
            <w:r>
              <w:rPr>
                <w:rFonts w:hint="eastAsia" w:ascii="宋体" w:hAnsi="宋体"/>
                <w:color w:val="auto"/>
                <w:szCs w:val="21"/>
                <w:highlight w:val="none"/>
              </w:rPr>
              <w:t>》填写实质性条款响应情况。</w:t>
            </w:r>
            <w:r>
              <w:rPr>
                <w:rFonts w:hint="eastAsia" w:hAnsi="宋体"/>
                <w:b/>
                <w:color w:val="auto"/>
                <w:szCs w:val="21"/>
                <w:highlight w:val="none"/>
              </w:rPr>
              <w:t>响应人若有一项带“★”的条款未响应或不满足，将按无效响应处理。</w:t>
            </w:r>
          </w:p>
          <w:p w14:paraId="005FFAD5">
            <w:pPr>
              <w:numPr>
                <w:ilvl w:val="0"/>
                <w:numId w:val="0"/>
              </w:numPr>
              <w:tabs>
                <w:tab w:val="left" w:pos="318"/>
              </w:tabs>
              <w:ind w:left="360" w:leftChars="0" w:hanging="360" w:firstLineChars="0"/>
              <w:rPr>
                <w:color w:val="auto"/>
                <w:szCs w:val="21"/>
                <w:highlight w:val="none"/>
              </w:rPr>
            </w:pPr>
            <w:r>
              <w:rPr>
                <w:rFonts w:hint="default" w:ascii="Times New Roman" w:hAnsi="Times New Roman" w:eastAsia="宋体" w:cs="Times New Roman"/>
                <w:color w:val="auto"/>
                <w:kern w:val="2"/>
                <w:sz w:val="21"/>
                <w:szCs w:val="21"/>
                <w:highlight w:val="none"/>
                <w:lang w:val="en-US" w:eastAsia="zh-CN" w:bidi="ar-SA"/>
              </w:rPr>
              <w:t>2.</w:t>
            </w:r>
            <w:r>
              <w:rPr>
                <w:rFonts w:hint="eastAsia" w:ascii="宋体" w:hAnsi="宋体" w:cs="宋体"/>
                <w:bCs/>
                <w:color w:val="auto"/>
                <w:szCs w:val="21"/>
                <w:highlight w:val="none"/>
              </w:rPr>
              <w:t>响应人对竞争性谈判文件中</w:t>
            </w:r>
            <w:r>
              <w:rPr>
                <w:rFonts w:ascii="宋体" w:hAnsi="宋体"/>
                <w:color w:val="auto"/>
                <w:szCs w:val="21"/>
                <w:highlight w:val="none"/>
              </w:rPr>
              <w:t>“合同条款”</w:t>
            </w:r>
            <w:r>
              <w:rPr>
                <w:rFonts w:hint="eastAsia" w:ascii="宋体" w:hAnsi="宋体"/>
                <w:color w:val="auto"/>
                <w:szCs w:val="21"/>
                <w:highlight w:val="none"/>
              </w:rPr>
              <w:t>、“用户需求书/技术规范书”</w:t>
            </w:r>
            <w:r>
              <w:rPr>
                <w:rFonts w:hint="eastAsia" w:ascii="宋体" w:hAnsi="宋体" w:cs="宋体"/>
                <w:bCs/>
                <w:color w:val="auto"/>
                <w:szCs w:val="21"/>
                <w:highlight w:val="none"/>
              </w:rPr>
              <w:t>作出的负偏离，采购人如不接受，可要求响应人以竞争性谈判文件中的要求为准，如响应人拒绝的，采购人有权取消其成交资格或取消合同，采购人不作任何补偿。</w:t>
            </w:r>
          </w:p>
        </w:tc>
      </w:tr>
      <w:tr w14:paraId="5990EADE">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46097BA3">
            <w:pPr>
              <w:jc w:val="center"/>
              <w:rPr>
                <w:color w:val="auto"/>
                <w:szCs w:val="21"/>
                <w:highlight w:val="none"/>
              </w:rPr>
            </w:pPr>
            <w:r>
              <w:rPr>
                <w:rFonts w:hint="eastAsia"/>
                <w:color w:val="auto"/>
                <w:szCs w:val="21"/>
                <w:highlight w:val="none"/>
              </w:rPr>
              <w:t>3.2.4</w:t>
            </w:r>
          </w:p>
        </w:tc>
        <w:tc>
          <w:tcPr>
            <w:tcW w:w="1843" w:type="dxa"/>
            <w:tcBorders>
              <w:top w:val="single" w:color="auto" w:sz="4" w:space="0"/>
              <w:left w:val="single" w:color="auto" w:sz="4" w:space="0"/>
              <w:bottom w:val="single" w:color="auto" w:sz="4" w:space="0"/>
              <w:right w:val="single" w:color="auto" w:sz="4" w:space="0"/>
            </w:tcBorders>
            <w:vAlign w:val="center"/>
          </w:tcPr>
          <w:p w14:paraId="74D90363">
            <w:pPr>
              <w:jc w:val="left"/>
              <w:rPr>
                <w:color w:val="auto"/>
                <w:szCs w:val="21"/>
                <w:highlight w:val="none"/>
              </w:rPr>
            </w:pPr>
            <w:r>
              <w:rPr>
                <w:rFonts w:hint="eastAsia" w:ascii="宋体" w:hAnsi="宋体" w:cs="宋体"/>
                <w:color w:val="auto"/>
                <w:szCs w:val="21"/>
                <w:highlight w:val="none"/>
              </w:rPr>
              <w:t>响应文件的盖章</w:t>
            </w:r>
          </w:p>
        </w:tc>
        <w:tc>
          <w:tcPr>
            <w:tcW w:w="6095" w:type="dxa"/>
            <w:tcBorders>
              <w:top w:val="single" w:color="auto" w:sz="4" w:space="0"/>
              <w:left w:val="single" w:color="auto" w:sz="4" w:space="0"/>
              <w:bottom w:val="single" w:color="auto" w:sz="4" w:space="0"/>
              <w:right w:val="single" w:color="auto" w:sz="4" w:space="0"/>
            </w:tcBorders>
            <w:vAlign w:val="center"/>
          </w:tcPr>
          <w:p w14:paraId="4463F1BD">
            <w:pPr>
              <w:autoSpaceDE w:val="0"/>
              <w:autoSpaceDN w:val="0"/>
              <w:rPr>
                <w:rFonts w:ascii="宋体" w:hAnsi="宋体" w:cs="宋体"/>
                <w:color w:val="auto"/>
                <w:szCs w:val="21"/>
                <w:highlight w:val="none"/>
              </w:rPr>
            </w:pPr>
            <w:r>
              <w:rPr>
                <w:rFonts w:hint="eastAsia" w:ascii="宋体" w:hAnsi="宋体" w:cs="宋体"/>
                <w:color w:val="auto"/>
                <w:szCs w:val="21"/>
                <w:highlight w:val="none"/>
              </w:rPr>
              <w:t>本条款增加规定：</w:t>
            </w:r>
          </w:p>
          <w:p w14:paraId="493DB467">
            <w:pPr>
              <w:numPr>
                <w:ilvl w:val="0"/>
                <w:numId w:val="0"/>
              </w:numPr>
              <w:ind w:left="360" w:leftChars="0" w:hanging="360" w:firstLineChars="0"/>
              <w:rPr>
                <w:rFonts w:ascii="宋体" w:hAnsi="宋体"/>
                <w:b/>
                <w:color w:val="auto"/>
                <w:szCs w:val="21"/>
                <w:highlight w:val="none"/>
              </w:rPr>
            </w:pPr>
            <w:r>
              <w:rPr>
                <w:rFonts w:hint="default" w:ascii="宋体" w:hAnsi="宋体" w:eastAsia="宋体" w:cs="Times New Roman"/>
                <w:b/>
                <w:color w:val="auto"/>
                <w:kern w:val="2"/>
                <w:sz w:val="21"/>
                <w:szCs w:val="21"/>
                <w:highlight w:val="none"/>
                <w:lang w:val="en-US" w:eastAsia="zh-CN" w:bidi="ar-SA"/>
              </w:rPr>
              <w:t>1.</w:t>
            </w:r>
            <w:r>
              <w:rPr>
                <w:rFonts w:hint="eastAsia" w:ascii="宋体" w:hAnsi="宋体"/>
                <w:b/>
                <w:color w:val="auto"/>
                <w:szCs w:val="21"/>
                <w:highlight w:val="none"/>
              </w:rPr>
              <w:t>响应文件中凡出现响应人单位落款的地方应盖单位公章，如使用依照国家行政部门要求已备案的投标专用章、业务专用章的，应提供所使用印章的合法备案证明（复印件需加盖公章）。</w:t>
            </w:r>
          </w:p>
          <w:p w14:paraId="5F3EBDF7">
            <w:pPr>
              <w:numPr>
                <w:ilvl w:val="0"/>
                <w:numId w:val="0"/>
              </w:numPr>
              <w:ind w:left="360" w:leftChars="0" w:hanging="360" w:firstLineChars="0"/>
              <w:rPr>
                <w:rFonts w:ascii="宋体" w:hAnsi="宋体"/>
                <w:color w:val="auto"/>
                <w:szCs w:val="21"/>
                <w:highlight w:val="none"/>
              </w:rPr>
            </w:pPr>
            <w:r>
              <w:rPr>
                <w:rFonts w:hint="default" w:ascii="宋体" w:hAnsi="宋体" w:eastAsia="宋体" w:cs="Times New Roman"/>
                <w:color w:val="auto"/>
                <w:kern w:val="2"/>
                <w:sz w:val="21"/>
                <w:szCs w:val="21"/>
                <w:highlight w:val="none"/>
                <w:lang w:val="en-US" w:eastAsia="zh-CN" w:bidi="ar-SA"/>
              </w:rPr>
              <w:t>2.</w:t>
            </w:r>
            <w:r>
              <w:rPr>
                <w:rFonts w:hint="eastAsia" w:ascii="宋体" w:hAnsi="宋体"/>
                <w:color w:val="auto"/>
                <w:szCs w:val="21"/>
                <w:highlight w:val="none"/>
              </w:rPr>
              <w:t>同时响应文件盖章必须符合以下其中一种：</w:t>
            </w:r>
          </w:p>
          <w:p w14:paraId="050A91D0">
            <w:pPr>
              <w:numPr>
                <w:ilvl w:val="0"/>
                <w:numId w:val="0"/>
              </w:numPr>
              <w:ind w:left="381" w:leftChars="0" w:hanging="381" w:firstLineChars="0"/>
              <w:rPr>
                <w:rFonts w:ascii="宋体" w:hAnsi="宋体"/>
                <w:color w:val="auto"/>
                <w:szCs w:val="21"/>
                <w:highlight w:val="none"/>
              </w:rPr>
            </w:pPr>
            <w:r>
              <w:rPr>
                <w:rFonts w:ascii="宋体" w:hAnsi="宋体" w:eastAsia="宋体" w:cs="Times New Roman"/>
                <w:color w:val="auto"/>
                <w:kern w:val="2"/>
                <w:sz w:val="21"/>
                <w:szCs w:val="21"/>
                <w:highlight w:val="none"/>
                <w:lang w:val="en-US" w:eastAsia="zh-CN" w:bidi="ar-SA"/>
              </w:rPr>
              <w:t>1)</w:t>
            </w:r>
            <w:r>
              <w:rPr>
                <w:rFonts w:hint="eastAsia" w:ascii="宋体" w:hAnsi="宋体"/>
                <w:color w:val="auto"/>
                <w:szCs w:val="21"/>
                <w:highlight w:val="none"/>
              </w:rPr>
              <w:t>加盖响应人单位骑缝章；</w:t>
            </w:r>
          </w:p>
          <w:p w14:paraId="01888D51">
            <w:pPr>
              <w:numPr>
                <w:ilvl w:val="0"/>
                <w:numId w:val="0"/>
              </w:numPr>
              <w:ind w:left="381" w:leftChars="0" w:hanging="381" w:firstLineChars="0"/>
              <w:rPr>
                <w:rFonts w:ascii="宋体" w:hAnsi="宋体"/>
                <w:color w:val="auto"/>
                <w:szCs w:val="21"/>
                <w:highlight w:val="none"/>
              </w:rPr>
            </w:pPr>
            <w:r>
              <w:rPr>
                <w:rFonts w:ascii="宋体" w:hAnsi="宋体" w:eastAsia="宋体" w:cs="Times New Roman"/>
                <w:color w:val="auto"/>
                <w:kern w:val="2"/>
                <w:sz w:val="21"/>
                <w:szCs w:val="21"/>
                <w:highlight w:val="none"/>
                <w:lang w:val="en-US" w:eastAsia="zh-CN" w:bidi="ar-SA"/>
              </w:rPr>
              <w:t>2)</w:t>
            </w:r>
            <w:r>
              <w:rPr>
                <w:rFonts w:hint="eastAsia" w:ascii="宋体" w:hAnsi="宋体"/>
                <w:color w:val="auto"/>
                <w:szCs w:val="21"/>
                <w:highlight w:val="none"/>
              </w:rPr>
              <w:t xml:space="preserve">逐页加盖响应人单位印章。 </w:t>
            </w:r>
          </w:p>
          <w:p w14:paraId="6EA20B1B">
            <w:pPr>
              <w:pStyle w:val="69"/>
              <w:ind w:firstLine="0" w:firstLineChars="0"/>
              <w:rPr>
                <w:color w:val="auto"/>
                <w:szCs w:val="21"/>
                <w:highlight w:val="none"/>
              </w:rPr>
            </w:pPr>
            <w:r>
              <w:rPr>
                <w:rFonts w:hint="eastAsia" w:ascii="宋体" w:hAnsi="宋体"/>
                <w:b/>
                <w:color w:val="auto"/>
                <w:szCs w:val="21"/>
                <w:highlight w:val="none"/>
              </w:rPr>
              <w:t>请按上述要求制作响应文件，否则其谈判响应将被否决。</w:t>
            </w:r>
          </w:p>
        </w:tc>
      </w:tr>
      <w:tr w14:paraId="32F2D16E">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278F26C9">
            <w:pPr>
              <w:jc w:val="center"/>
              <w:rPr>
                <w:color w:val="auto"/>
                <w:szCs w:val="21"/>
                <w:highlight w:val="none"/>
              </w:rPr>
            </w:pPr>
            <w:r>
              <w:rPr>
                <w:rFonts w:hint="eastAsia"/>
                <w:color w:val="auto"/>
                <w:szCs w:val="21"/>
                <w:highlight w:val="none"/>
              </w:rPr>
              <w:t>3.3</w:t>
            </w:r>
          </w:p>
        </w:tc>
        <w:tc>
          <w:tcPr>
            <w:tcW w:w="1843" w:type="dxa"/>
            <w:tcBorders>
              <w:top w:val="single" w:color="auto" w:sz="4" w:space="0"/>
              <w:left w:val="single" w:color="auto" w:sz="4" w:space="0"/>
              <w:bottom w:val="single" w:color="auto" w:sz="4" w:space="0"/>
              <w:right w:val="single" w:color="auto" w:sz="4" w:space="0"/>
            </w:tcBorders>
            <w:vAlign w:val="center"/>
          </w:tcPr>
          <w:p w14:paraId="39CFA238">
            <w:pPr>
              <w:jc w:val="center"/>
              <w:rPr>
                <w:rFonts w:ascii="宋体" w:hAnsi="宋体"/>
                <w:color w:val="auto"/>
                <w:szCs w:val="21"/>
                <w:highlight w:val="none"/>
              </w:rPr>
            </w:pPr>
            <w:r>
              <w:rPr>
                <w:rFonts w:hint="eastAsia" w:ascii="宋体" w:hAnsi="宋体"/>
                <w:color w:val="auto"/>
                <w:szCs w:val="21"/>
                <w:highlight w:val="none"/>
              </w:rPr>
              <w:t>报价方式及具体要求</w:t>
            </w:r>
          </w:p>
        </w:tc>
        <w:tc>
          <w:tcPr>
            <w:tcW w:w="6095" w:type="dxa"/>
            <w:tcBorders>
              <w:top w:val="single" w:color="auto" w:sz="4" w:space="0"/>
              <w:left w:val="single" w:color="auto" w:sz="4" w:space="0"/>
              <w:bottom w:val="single" w:color="auto" w:sz="4" w:space="0"/>
              <w:right w:val="single" w:color="auto" w:sz="4" w:space="0"/>
            </w:tcBorders>
            <w:vAlign w:val="center"/>
          </w:tcPr>
          <w:p w14:paraId="6D8F16D5">
            <w:pPr>
              <w:autoSpaceDE w:val="0"/>
              <w:autoSpaceDN w:val="0"/>
              <w:rPr>
                <w:rFonts w:ascii="宋体" w:hAnsi="宋体" w:cs="宋体"/>
                <w:color w:val="auto"/>
                <w:szCs w:val="21"/>
                <w:highlight w:val="none"/>
              </w:rPr>
            </w:pPr>
            <w:r>
              <w:rPr>
                <w:rFonts w:hint="eastAsia" w:ascii="宋体" w:hAnsi="宋体" w:cs="宋体"/>
                <w:color w:val="auto"/>
                <w:szCs w:val="21"/>
                <w:highlight w:val="none"/>
              </w:rPr>
              <w:t>本条款增加规定：</w:t>
            </w:r>
          </w:p>
          <w:p w14:paraId="256BD713">
            <w:pPr>
              <w:numPr>
                <w:ilvl w:val="0"/>
                <w:numId w:val="0"/>
              </w:numPr>
              <w:ind w:left="420" w:leftChars="0" w:hanging="420" w:firstLineChars="0"/>
              <w:rPr>
                <w:rFonts w:ascii="宋体" w:hAnsi="宋体"/>
                <w:color w:val="auto"/>
                <w:szCs w:val="21"/>
                <w:highlight w:val="none"/>
              </w:rPr>
            </w:pPr>
            <w:r>
              <w:rPr>
                <w:rFonts w:ascii="宋体" w:hAnsi="宋体" w:eastAsia="宋体" w:cs="Times New Roman"/>
                <w:color w:val="auto"/>
                <w:kern w:val="2"/>
                <w:sz w:val="21"/>
                <w:szCs w:val="21"/>
                <w:highlight w:val="none"/>
                <w:lang w:val="en-US" w:eastAsia="zh-CN" w:bidi="ar-SA"/>
              </w:rPr>
              <w:t>1.</w:t>
            </w:r>
            <w:r>
              <w:rPr>
                <w:rFonts w:hint="eastAsia" w:ascii="宋体" w:hAnsi="宋体"/>
                <w:color w:val="auto"/>
                <w:szCs w:val="21"/>
                <w:highlight w:val="none"/>
              </w:rPr>
              <w:t>本项目采用价税分离的报价方式。</w:t>
            </w:r>
          </w:p>
          <w:p w14:paraId="3526CABF">
            <w:pPr>
              <w:numPr>
                <w:ilvl w:val="0"/>
                <w:numId w:val="0"/>
              </w:numPr>
              <w:ind w:left="420" w:leftChars="0" w:hanging="420" w:firstLineChars="0"/>
              <w:rPr>
                <w:rFonts w:ascii="宋体" w:hAnsi="宋体"/>
                <w:color w:val="auto"/>
                <w:szCs w:val="21"/>
                <w:highlight w:val="none"/>
              </w:rPr>
            </w:pPr>
            <w:r>
              <w:rPr>
                <w:rFonts w:ascii="宋体" w:hAnsi="宋体" w:eastAsia="宋体" w:cs="Times New Roman"/>
                <w:color w:val="auto"/>
                <w:kern w:val="2"/>
                <w:sz w:val="21"/>
                <w:szCs w:val="21"/>
                <w:highlight w:val="none"/>
                <w:lang w:val="en-US" w:eastAsia="zh-CN" w:bidi="ar-SA"/>
              </w:rPr>
              <w:t>2.</w:t>
            </w:r>
            <w:r>
              <w:rPr>
                <w:rFonts w:hint="eastAsia" w:ascii="宋体" w:hAnsi="宋体"/>
                <w:b/>
                <w:color w:val="auto"/>
                <w:szCs w:val="21"/>
                <w:highlight w:val="none"/>
              </w:rPr>
              <w:t>本项目谈判报价(含税）不得超过最高限价。</w:t>
            </w:r>
            <w:r>
              <w:rPr>
                <w:rFonts w:hint="eastAsia" w:ascii="宋体" w:hAnsi="宋体"/>
                <w:color w:val="auto"/>
                <w:szCs w:val="21"/>
                <w:highlight w:val="none"/>
              </w:rPr>
              <w:t>若谈判报价(含税）超过谈判最高限价的，或谈判小组按竞争性谈判文件的要求对谈判报价(含税）进行修正后的修正价格超过谈判最高限价的，将作否决谈判处理。</w:t>
            </w:r>
          </w:p>
          <w:p w14:paraId="2C3CC8DF">
            <w:pPr>
              <w:numPr>
                <w:ilvl w:val="0"/>
                <w:numId w:val="0"/>
              </w:numPr>
              <w:ind w:left="420" w:leftChars="0" w:hanging="420" w:firstLineChars="0"/>
              <w:rPr>
                <w:rFonts w:ascii="宋体" w:hAnsi="宋体"/>
                <w:color w:val="auto"/>
                <w:szCs w:val="21"/>
                <w:highlight w:val="none"/>
              </w:rPr>
            </w:pPr>
            <w:r>
              <w:rPr>
                <w:rFonts w:ascii="宋体" w:hAnsi="宋体" w:eastAsia="宋体" w:cs="Times New Roman"/>
                <w:color w:val="auto"/>
                <w:kern w:val="2"/>
                <w:sz w:val="21"/>
                <w:szCs w:val="21"/>
                <w:highlight w:val="none"/>
                <w:lang w:val="en-US" w:eastAsia="zh-CN" w:bidi="ar-SA"/>
              </w:rPr>
              <w:t>3.</w:t>
            </w:r>
            <w:r>
              <w:rPr>
                <w:rFonts w:hint="eastAsia" w:ascii="宋体" w:hAnsi="宋体"/>
                <w:color w:val="auto"/>
                <w:szCs w:val="21"/>
                <w:highlight w:val="none"/>
              </w:rPr>
              <w:t>谈判报价应包括所有材料、人工、利润及相关税费等所有费用。</w:t>
            </w:r>
          </w:p>
        </w:tc>
      </w:tr>
      <w:tr w14:paraId="743F79C5">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28592834">
            <w:pPr>
              <w:jc w:val="center"/>
              <w:rPr>
                <w:color w:val="auto"/>
                <w:szCs w:val="21"/>
                <w:highlight w:val="none"/>
              </w:rPr>
            </w:pPr>
            <w:r>
              <w:rPr>
                <w:color w:val="auto"/>
                <w:szCs w:val="21"/>
                <w:highlight w:val="none"/>
              </w:rPr>
              <w:t>3.</w:t>
            </w:r>
            <w:r>
              <w:rPr>
                <w:rFonts w:hint="eastAsia"/>
                <w:color w:val="auto"/>
                <w:szCs w:val="21"/>
                <w:highlight w:val="none"/>
              </w:rPr>
              <w:t>4.1</w:t>
            </w:r>
          </w:p>
        </w:tc>
        <w:tc>
          <w:tcPr>
            <w:tcW w:w="1843" w:type="dxa"/>
            <w:tcBorders>
              <w:top w:val="single" w:color="auto" w:sz="4" w:space="0"/>
              <w:left w:val="single" w:color="auto" w:sz="4" w:space="0"/>
              <w:bottom w:val="single" w:color="auto" w:sz="4" w:space="0"/>
              <w:right w:val="single" w:color="auto" w:sz="4" w:space="0"/>
            </w:tcBorders>
            <w:vAlign w:val="center"/>
          </w:tcPr>
          <w:p w14:paraId="7F68120D">
            <w:pPr>
              <w:jc w:val="left"/>
              <w:rPr>
                <w:color w:val="auto"/>
                <w:szCs w:val="21"/>
                <w:highlight w:val="none"/>
              </w:rPr>
            </w:pPr>
            <w:r>
              <w:rPr>
                <w:rFonts w:hint="eastAsia" w:ascii="宋体" w:hAnsi="宋体" w:cs="宋体"/>
                <w:color w:val="auto"/>
                <w:szCs w:val="21"/>
                <w:highlight w:val="none"/>
              </w:rPr>
              <w:t>谈判</w:t>
            </w:r>
            <w:r>
              <w:rPr>
                <w:color w:val="auto"/>
                <w:szCs w:val="21"/>
                <w:highlight w:val="none"/>
              </w:rPr>
              <w:t>有效期</w:t>
            </w:r>
          </w:p>
        </w:tc>
        <w:tc>
          <w:tcPr>
            <w:tcW w:w="6095" w:type="dxa"/>
            <w:tcBorders>
              <w:top w:val="single" w:color="auto" w:sz="4" w:space="0"/>
              <w:left w:val="single" w:color="auto" w:sz="4" w:space="0"/>
              <w:bottom w:val="single" w:color="auto" w:sz="4" w:space="0"/>
              <w:right w:val="single" w:color="auto" w:sz="4" w:space="0"/>
            </w:tcBorders>
            <w:vAlign w:val="center"/>
          </w:tcPr>
          <w:p w14:paraId="568981A5">
            <w:pPr>
              <w:rPr>
                <w:color w:val="auto"/>
                <w:szCs w:val="21"/>
                <w:highlight w:val="none"/>
              </w:rPr>
            </w:pPr>
            <w:r>
              <w:rPr>
                <w:rFonts w:hint="eastAsia" w:ascii="宋体" w:hAnsi="宋体" w:cs="宋体"/>
                <w:color w:val="auto"/>
                <w:szCs w:val="21"/>
                <w:highlight w:val="none"/>
              </w:rPr>
              <w:t>谈判有效期：</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90</w:t>
            </w:r>
            <w:r>
              <w:rPr>
                <w:rFonts w:ascii="宋体" w:hAnsi="宋体" w:cs="宋体"/>
                <w:color w:val="auto"/>
                <w:szCs w:val="21"/>
                <w:highlight w:val="none"/>
                <w:u w:val="single"/>
              </w:rPr>
              <w:t xml:space="preserve"> </w:t>
            </w:r>
            <w:r>
              <w:rPr>
                <w:rFonts w:hint="eastAsia" w:ascii="宋体" w:hAnsi="宋体" w:cs="宋体"/>
                <w:color w:val="auto"/>
                <w:szCs w:val="21"/>
                <w:highlight w:val="none"/>
              </w:rPr>
              <w:t>天。</w:t>
            </w:r>
          </w:p>
        </w:tc>
      </w:tr>
      <w:tr w14:paraId="4371A20A">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422F6ACF">
            <w:pPr>
              <w:jc w:val="center"/>
              <w:rPr>
                <w:color w:val="auto"/>
                <w:szCs w:val="21"/>
                <w:highlight w:val="none"/>
              </w:rPr>
            </w:pPr>
            <w:r>
              <w:rPr>
                <w:color w:val="auto"/>
                <w:szCs w:val="21"/>
                <w:highlight w:val="none"/>
              </w:rPr>
              <w:t>3.</w:t>
            </w:r>
            <w:r>
              <w:rPr>
                <w:rFonts w:hint="eastAsia"/>
                <w:color w:val="auto"/>
                <w:szCs w:val="21"/>
                <w:highlight w:val="none"/>
              </w:rPr>
              <w:t>5</w:t>
            </w:r>
            <w:r>
              <w:rPr>
                <w:color w:val="auto"/>
                <w:szCs w:val="21"/>
                <w:highlight w:val="none"/>
              </w:rPr>
              <w:t>.1</w:t>
            </w:r>
          </w:p>
        </w:tc>
        <w:tc>
          <w:tcPr>
            <w:tcW w:w="1843" w:type="dxa"/>
            <w:tcBorders>
              <w:top w:val="single" w:color="auto" w:sz="4" w:space="0"/>
              <w:left w:val="single" w:color="auto" w:sz="4" w:space="0"/>
              <w:bottom w:val="single" w:color="auto" w:sz="4" w:space="0"/>
              <w:right w:val="single" w:color="auto" w:sz="4" w:space="0"/>
            </w:tcBorders>
            <w:vAlign w:val="center"/>
          </w:tcPr>
          <w:p w14:paraId="302164F0">
            <w:pPr>
              <w:jc w:val="left"/>
              <w:rPr>
                <w:color w:val="auto"/>
                <w:szCs w:val="21"/>
                <w:highlight w:val="none"/>
              </w:rPr>
            </w:pPr>
            <w:r>
              <w:rPr>
                <w:color w:val="auto"/>
                <w:szCs w:val="21"/>
                <w:highlight w:val="none"/>
              </w:rPr>
              <w:t>谈判保证金</w:t>
            </w:r>
            <w:r>
              <w:rPr>
                <w:rFonts w:hint="eastAsia"/>
                <w:color w:val="auto"/>
                <w:szCs w:val="21"/>
                <w:highlight w:val="none"/>
              </w:rPr>
              <w:t>金额</w:t>
            </w:r>
          </w:p>
        </w:tc>
        <w:tc>
          <w:tcPr>
            <w:tcW w:w="6095" w:type="dxa"/>
            <w:tcBorders>
              <w:top w:val="single" w:color="auto" w:sz="4" w:space="0"/>
              <w:left w:val="single" w:color="auto" w:sz="4" w:space="0"/>
              <w:bottom w:val="single" w:color="auto" w:sz="4" w:space="0"/>
              <w:right w:val="single" w:color="auto" w:sz="4" w:space="0"/>
            </w:tcBorders>
            <w:vAlign w:val="center"/>
          </w:tcPr>
          <w:p w14:paraId="0C2A0795">
            <w:pPr>
              <w:rPr>
                <w:color w:val="auto"/>
                <w:szCs w:val="21"/>
                <w:highlight w:val="none"/>
              </w:rPr>
            </w:pPr>
            <w:r>
              <w:rPr>
                <w:rFonts w:hint="eastAsia" w:ascii="宋体" w:hAnsi="宋体" w:cs="宋体"/>
                <w:color w:val="auto"/>
                <w:szCs w:val="21"/>
                <w:highlight w:val="none"/>
              </w:rPr>
              <w:t>谈判保证金金额：</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25000元。</w:t>
            </w:r>
            <w:r>
              <w:rPr>
                <w:rFonts w:ascii="宋体" w:hAnsi="宋体" w:cs="宋体"/>
                <w:color w:val="auto"/>
                <w:szCs w:val="21"/>
                <w:highlight w:val="none"/>
                <w:u w:val="single"/>
              </w:rPr>
              <w:t xml:space="preserve"> </w:t>
            </w:r>
          </w:p>
        </w:tc>
      </w:tr>
      <w:tr w14:paraId="03D09958">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79623B56">
            <w:pPr>
              <w:jc w:val="center"/>
              <w:rPr>
                <w:color w:val="auto"/>
                <w:szCs w:val="21"/>
                <w:highlight w:val="none"/>
              </w:rPr>
            </w:pPr>
            <w:r>
              <w:rPr>
                <w:rFonts w:hint="eastAsia"/>
                <w:color w:val="auto"/>
                <w:szCs w:val="21"/>
                <w:highlight w:val="none"/>
              </w:rPr>
              <w:t>3.5.2</w:t>
            </w:r>
          </w:p>
        </w:tc>
        <w:tc>
          <w:tcPr>
            <w:tcW w:w="1843" w:type="dxa"/>
            <w:tcBorders>
              <w:top w:val="single" w:color="auto" w:sz="4" w:space="0"/>
              <w:left w:val="single" w:color="auto" w:sz="4" w:space="0"/>
              <w:bottom w:val="single" w:color="auto" w:sz="4" w:space="0"/>
              <w:right w:val="single" w:color="auto" w:sz="4" w:space="0"/>
            </w:tcBorders>
            <w:vAlign w:val="center"/>
          </w:tcPr>
          <w:p w14:paraId="488B4D0D">
            <w:pPr>
              <w:jc w:val="left"/>
              <w:rPr>
                <w:color w:val="auto"/>
                <w:szCs w:val="21"/>
                <w:highlight w:val="none"/>
              </w:rPr>
            </w:pPr>
            <w:r>
              <w:rPr>
                <w:rFonts w:hint="eastAsia"/>
                <w:color w:val="auto"/>
                <w:szCs w:val="21"/>
                <w:highlight w:val="none"/>
              </w:rPr>
              <w:t>谈判保证金形式</w:t>
            </w:r>
          </w:p>
        </w:tc>
        <w:tc>
          <w:tcPr>
            <w:tcW w:w="6095" w:type="dxa"/>
            <w:tcBorders>
              <w:top w:val="single" w:color="auto" w:sz="4" w:space="0"/>
              <w:left w:val="single" w:color="auto" w:sz="4" w:space="0"/>
              <w:bottom w:val="single" w:color="auto" w:sz="4" w:space="0"/>
              <w:right w:val="single" w:color="auto" w:sz="4" w:space="0"/>
            </w:tcBorders>
            <w:vAlign w:val="center"/>
          </w:tcPr>
          <w:p w14:paraId="2317BA79">
            <w:pPr>
              <w:rPr>
                <w:color w:val="auto"/>
                <w:szCs w:val="21"/>
                <w:highlight w:val="none"/>
              </w:rPr>
            </w:pPr>
            <w:r>
              <w:rPr>
                <w:color w:val="auto"/>
                <w:szCs w:val="21"/>
                <w:highlight w:val="none"/>
              </w:rPr>
              <w:t>1</w:t>
            </w:r>
            <w:r>
              <w:rPr>
                <w:rFonts w:hint="eastAsia"/>
                <w:color w:val="auto"/>
                <w:szCs w:val="21"/>
                <w:highlight w:val="none"/>
              </w:rPr>
              <w:t>.谈判保证金的形式：银行转账或电汇。</w:t>
            </w:r>
          </w:p>
          <w:p w14:paraId="60598A1F">
            <w:pPr>
              <w:rPr>
                <w:color w:val="auto"/>
                <w:szCs w:val="21"/>
                <w:highlight w:val="none"/>
              </w:rPr>
            </w:pPr>
            <w:r>
              <w:rPr>
                <w:color w:val="auto"/>
                <w:szCs w:val="21"/>
                <w:highlight w:val="none"/>
              </w:rPr>
              <w:t>2</w:t>
            </w:r>
            <w:r>
              <w:rPr>
                <w:rFonts w:hint="eastAsia"/>
                <w:color w:val="auto"/>
                <w:szCs w:val="21"/>
                <w:highlight w:val="none"/>
              </w:rPr>
              <w:t>.响应文件中须提供谈判保证金缴纳凭证复印件。唱标同时将公开展示谈判保证金凭证。</w:t>
            </w:r>
          </w:p>
          <w:p w14:paraId="6614C31E">
            <w:pPr>
              <w:rPr>
                <w:color w:val="auto"/>
                <w:szCs w:val="21"/>
                <w:highlight w:val="none"/>
              </w:rPr>
            </w:pPr>
            <w:r>
              <w:rPr>
                <w:rFonts w:hint="eastAsia"/>
                <w:color w:val="auto"/>
                <w:szCs w:val="21"/>
                <w:highlight w:val="none"/>
              </w:rPr>
              <w:t>3.谈判保证金有效期与谈判有效期一致。</w:t>
            </w:r>
          </w:p>
          <w:p w14:paraId="458E3967">
            <w:pPr>
              <w:rPr>
                <w:color w:val="auto"/>
                <w:szCs w:val="21"/>
                <w:highlight w:val="none"/>
              </w:rPr>
            </w:pPr>
            <w:r>
              <w:rPr>
                <w:rFonts w:hint="eastAsia"/>
                <w:color w:val="auto"/>
                <w:szCs w:val="21"/>
                <w:highlight w:val="none"/>
              </w:rPr>
              <w:t>4.提交谈判保证金帐户信息：</w:t>
            </w:r>
          </w:p>
          <w:p w14:paraId="7C3D06A5">
            <w:pPr>
              <w:rPr>
                <w:rFonts w:hint="eastAsia"/>
                <w:b/>
                <w:bCs/>
                <w:color w:val="auto"/>
                <w:szCs w:val="21"/>
                <w:highlight w:val="none"/>
              </w:rPr>
            </w:pPr>
            <w:r>
              <w:rPr>
                <w:rFonts w:hint="eastAsia"/>
                <w:b/>
                <w:bCs/>
                <w:color w:val="auto"/>
                <w:szCs w:val="21"/>
                <w:highlight w:val="none"/>
              </w:rPr>
              <w:t>开户名：</w:t>
            </w:r>
            <w:bookmarkStart w:id="7" w:name="_Hlk91344704"/>
            <w:r>
              <w:rPr>
                <w:rFonts w:hint="eastAsia"/>
                <w:b/>
                <w:bCs/>
                <w:color w:val="auto"/>
                <w:szCs w:val="21"/>
                <w:highlight w:val="none"/>
              </w:rPr>
              <w:t>公诚管理咨询有限公司</w:t>
            </w:r>
            <w:bookmarkEnd w:id="7"/>
            <w:r>
              <w:rPr>
                <w:rFonts w:hint="eastAsia"/>
                <w:b/>
                <w:bCs/>
                <w:color w:val="auto"/>
                <w:szCs w:val="21"/>
                <w:highlight w:val="none"/>
              </w:rPr>
              <w:t xml:space="preserve"> </w:t>
            </w:r>
          </w:p>
          <w:p w14:paraId="4C34ED2A">
            <w:pPr>
              <w:rPr>
                <w:rFonts w:hint="eastAsia"/>
                <w:b/>
                <w:bCs/>
                <w:color w:val="auto"/>
                <w:szCs w:val="21"/>
                <w:highlight w:val="none"/>
              </w:rPr>
            </w:pPr>
            <w:r>
              <w:rPr>
                <w:rFonts w:hint="eastAsia"/>
                <w:b/>
                <w:bCs/>
                <w:color w:val="auto"/>
                <w:szCs w:val="21"/>
                <w:highlight w:val="none"/>
              </w:rPr>
              <w:t xml:space="preserve">开户银行：中信银行广州花园支行 </w:t>
            </w:r>
          </w:p>
          <w:p w14:paraId="257B3C9A">
            <w:pPr>
              <w:rPr>
                <w:color w:val="auto"/>
                <w:szCs w:val="21"/>
                <w:highlight w:val="none"/>
              </w:rPr>
            </w:pPr>
            <w:r>
              <w:rPr>
                <w:rFonts w:hint="eastAsia"/>
                <w:b/>
                <w:bCs/>
                <w:color w:val="auto"/>
                <w:szCs w:val="21"/>
                <w:highlight w:val="none"/>
              </w:rPr>
              <w:t>账号：3110910037672522893</w:t>
            </w:r>
          </w:p>
        </w:tc>
      </w:tr>
      <w:tr w14:paraId="780F9418">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74977DB0">
            <w:pPr>
              <w:jc w:val="center"/>
              <w:rPr>
                <w:color w:val="auto"/>
                <w:szCs w:val="21"/>
                <w:highlight w:val="none"/>
              </w:rPr>
            </w:pPr>
            <w:r>
              <w:rPr>
                <w:color w:val="auto"/>
                <w:szCs w:val="21"/>
                <w:highlight w:val="none"/>
              </w:rPr>
              <w:t>3.</w:t>
            </w:r>
            <w:r>
              <w:rPr>
                <w:rFonts w:hint="eastAsia"/>
                <w:color w:val="auto"/>
                <w:szCs w:val="21"/>
                <w:highlight w:val="none"/>
              </w:rPr>
              <w:t>6</w:t>
            </w:r>
            <w:r>
              <w:rPr>
                <w:color w:val="auto"/>
                <w:szCs w:val="21"/>
                <w:highlight w:val="none"/>
              </w:rPr>
              <w:t>.</w:t>
            </w:r>
            <w:r>
              <w:rPr>
                <w:rFonts w:hint="eastAsia"/>
                <w:color w:val="auto"/>
                <w:szCs w:val="21"/>
                <w:highlight w:val="none"/>
              </w:rPr>
              <w:t>1</w:t>
            </w:r>
          </w:p>
        </w:tc>
        <w:tc>
          <w:tcPr>
            <w:tcW w:w="1843" w:type="dxa"/>
            <w:tcBorders>
              <w:top w:val="single" w:color="auto" w:sz="4" w:space="0"/>
              <w:left w:val="single" w:color="auto" w:sz="4" w:space="0"/>
              <w:bottom w:val="single" w:color="auto" w:sz="4" w:space="0"/>
              <w:right w:val="single" w:color="auto" w:sz="4" w:space="0"/>
            </w:tcBorders>
            <w:vAlign w:val="center"/>
          </w:tcPr>
          <w:p w14:paraId="72BDB608">
            <w:pPr>
              <w:jc w:val="left"/>
              <w:rPr>
                <w:color w:val="auto"/>
                <w:szCs w:val="21"/>
                <w:highlight w:val="none"/>
              </w:rPr>
            </w:pPr>
            <w:r>
              <w:rPr>
                <w:color w:val="auto"/>
                <w:szCs w:val="21"/>
                <w:highlight w:val="none"/>
              </w:rPr>
              <w:t>响应文件份数</w:t>
            </w:r>
          </w:p>
        </w:tc>
        <w:tc>
          <w:tcPr>
            <w:tcW w:w="6095" w:type="dxa"/>
            <w:tcBorders>
              <w:top w:val="single" w:color="auto" w:sz="4" w:space="0"/>
              <w:left w:val="single" w:color="auto" w:sz="4" w:space="0"/>
              <w:bottom w:val="single" w:color="auto" w:sz="4" w:space="0"/>
              <w:right w:val="single" w:color="auto" w:sz="4" w:space="0"/>
            </w:tcBorders>
            <w:vAlign w:val="center"/>
          </w:tcPr>
          <w:p w14:paraId="72FD3CBA">
            <w:pPr>
              <w:rPr>
                <w:rFonts w:hAnsi="宋体" w:cs="宋体"/>
                <w:b/>
                <w:color w:val="auto"/>
                <w:szCs w:val="21"/>
                <w:highlight w:val="none"/>
              </w:rPr>
            </w:pPr>
            <w:r>
              <w:rPr>
                <w:rFonts w:hint="eastAsia" w:hAnsi="宋体" w:cs="宋体"/>
                <w:b/>
                <w:color w:val="auto"/>
                <w:szCs w:val="21"/>
                <w:highlight w:val="none"/>
              </w:rPr>
              <w:t>正本</w:t>
            </w:r>
            <w:r>
              <w:rPr>
                <w:rFonts w:hint="eastAsia" w:hAnsi="宋体" w:cs="宋体"/>
                <w:b/>
                <w:color w:val="auto"/>
                <w:szCs w:val="21"/>
                <w:highlight w:val="none"/>
                <w:u w:val="single"/>
              </w:rPr>
              <w:t>1</w:t>
            </w:r>
            <w:r>
              <w:rPr>
                <w:rFonts w:hint="eastAsia" w:hAnsi="宋体" w:cs="宋体"/>
                <w:b/>
                <w:color w:val="auto"/>
                <w:szCs w:val="21"/>
                <w:highlight w:val="none"/>
              </w:rPr>
              <w:t>份、副本</w:t>
            </w:r>
            <w:r>
              <w:rPr>
                <w:rFonts w:hint="eastAsia" w:hAnsi="宋体" w:cs="宋体"/>
                <w:b/>
                <w:color w:val="auto"/>
                <w:szCs w:val="21"/>
                <w:highlight w:val="none"/>
                <w:u w:val="single"/>
              </w:rPr>
              <w:t>2</w:t>
            </w:r>
            <w:r>
              <w:rPr>
                <w:rFonts w:hint="eastAsia" w:hAnsi="宋体" w:cs="宋体"/>
                <w:b/>
                <w:color w:val="auto"/>
                <w:szCs w:val="21"/>
                <w:highlight w:val="none"/>
              </w:rPr>
              <w:t>份，唱标信封</w:t>
            </w:r>
            <w:r>
              <w:rPr>
                <w:rFonts w:hint="eastAsia" w:hAnsi="宋体" w:cs="宋体"/>
                <w:b/>
                <w:color w:val="auto"/>
                <w:szCs w:val="21"/>
                <w:highlight w:val="none"/>
                <w:u w:val="single"/>
              </w:rPr>
              <w:t>1</w:t>
            </w:r>
            <w:r>
              <w:rPr>
                <w:rFonts w:hint="eastAsia" w:hAnsi="宋体" w:cs="宋体"/>
                <w:b/>
                <w:color w:val="auto"/>
                <w:szCs w:val="21"/>
                <w:highlight w:val="none"/>
              </w:rPr>
              <w:t>份。</w:t>
            </w:r>
          </w:p>
        </w:tc>
      </w:tr>
      <w:tr w14:paraId="0339F1D8">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08B1458C">
            <w:pPr>
              <w:jc w:val="center"/>
              <w:rPr>
                <w:color w:val="auto"/>
                <w:szCs w:val="21"/>
                <w:highlight w:val="none"/>
              </w:rPr>
            </w:pPr>
            <w:r>
              <w:rPr>
                <w:color w:val="auto"/>
                <w:szCs w:val="21"/>
                <w:highlight w:val="none"/>
              </w:rPr>
              <w:t>3.</w:t>
            </w:r>
            <w:r>
              <w:rPr>
                <w:rFonts w:hint="eastAsia"/>
                <w:color w:val="auto"/>
                <w:szCs w:val="21"/>
                <w:highlight w:val="none"/>
              </w:rPr>
              <w:t>6</w:t>
            </w:r>
            <w:r>
              <w:rPr>
                <w:color w:val="auto"/>
                <w:szCs w:val="21"/>
                <w:highlight w:val="none"/>
              </w:rPr>
              <w:t>.</w:t>
            </w:r>
            <w:r>
              <w:rPr>
                <w:rFonts w:hint="eastAsia"/>
                <w:color w:val="auto"/>
                <w:szCs w:val="21"/>
                <w:highlight w:val="none"/>
              </w:rPr>
              <w:t>6</w:t>
            </w:r>
          </w:p>
        </w:tc>
        <w:tc>
          <w:tcPr>
            <w:tcW w:w="1843" w:type="dxa"/>
            <w:tcBorders>
              <w:top w:val="single" w:color="auto" w:sz="4" w:space="0"/>
              <w:left w:val="single" w:color="auto" w:sz="4" w:space="0"/>
              <w:bottom w:val="single" w:color="auto" w:sz="4" w:space="0"/>
              <w:right w:val="single" w:color="auto" w:sz="4" w:space="0"/>
            </w:tcBorders>
            <w:vAlign w:val="center"/>
          </w:tcPr>
          <w:p w14:paraId="13C5C3D5">
            <w:pPr>
              <w:jc w:val="left"/>
              <w:rPr>
                <w:rFonts w:ascii="宋体" w:hAnsi="宋体" w:cs="宋体"/>
                <w:color w:val="auto"/>
                <w:szCs w:val="21"/>
                <w:highlight w:val="none"/>
              </w:rPr>
            </w:pPr>
            <w:r>
              <w:rPr>
                <w:rFonts w:hint="eastAsia" w:ascii="宋体" w:hAnsi="宋体" w:cs="宋体"/>
                <w:color w:val="auto"/>
                <w:szCs w:val="21"/>
                <w:highlight w:val="none"/>
              </w:rPr>
              <w:t>响应文件的密封和标记要求</w:t>
            </w:r>
          </w:p>
        </w:tc>
        <w:tc>
          <w:tcPr>
            <w:tcW w:w="6095" w:type="dxa"/>
            <w:tcBorders>
              <w:top w:val="single" w:color="auto" w:sz="4" w:space="0"/>
              <w:left w:val="single" w:color="auto" w:sz="4" w:space="0"/>
              <w:bottom w:val="single" w:color="auto" w:sz="4" w:space="0"/>
              <w:right w:val="single" w:color="auto" w:sz="4" w:space="0"/>
            </w:tcBorders>
            <w:vAlign w:val="center"/>
          </w:tcPr>
          <w:p w14:paraId="24F69028">
            <w:pPr>
              <w:autoSpaceDE w:val="0"/>
              <w:autoSpaceDN w:val="0"/>
              <w:rPr>
                <w:rFonts w:ascii="宋体" w:hAnsi="宋体" w:cs="宋体"/>
                <w:color w:val="auto"/>
                <w:szCs w:val="21"/>
                <w:highlight w:val="none"/>
              </w:rPr>
            </w:pPr>
            <w:r>
              <w:rPr>
                <w:rFonts w:hint="eastAsia" w:ascii="宋体" w:hAnsi="宋体" w:cs="宋体"/>
                <w:color w:val="auto"/>
                <w:szCs w:val="21"/>
                <w:highlight w:val="none"/>
              </w:rPr>
              <w:t>本条款增加规定：</w:t>
            </w:r>
          </w:p>
          <w:p w14:paraId="220516D7">
            <w:pPr>
              <w:rPr>
                <w:rFonts w:ascii="宋体" w:hAnsi="宋体" w:cs="宋体"/>
                <w:color w:val="auto"/>
                <w:szCs w:val="21"/>
                <w:highlight w:val="none"/>
              </w:rPr>
            </w:pPr>
            <w:r>
              <w:rPr>
                <w:rFonts w:hint="eastAsia" w:ascii="宋体" w:hAnsi="宋体" w:cs="宋体"/>
                <w:color w:val="auto"/>
                <w:szCs w:val="21"/>
                <w:highlight w:val="none"/>
              </w:rPr>
              <w:t>1）商务技术响应文件、经济响应文件应分别装订，密封后，加贴封条，在封口处加盖骑缝章</w:t>
            </w:r>
            <w:r>
              <w:rPr>
                <w:rFonts w:hint="eastAsia"/>
                <w:color w:val="auto"/>
                <w:szCs w:val="21"/>
                <w:highlight w:val="none"/>
              </w:rPr>
              <w:t>或者由响应人的法定代表人或其委托代理人签字</w:t>
            </w:r>
            <w:r>
              <w:rPr>
                <w:rFonts w:hint="eastAsia" w:ascii="宋体" w:hAnsi="宋体" w:cs="宋体"/>
                <w:color w:val="auto"/>
                <w:szCs w:val="21"/>
                <w:highlight w:val="none"/>
              </w:rPr>
              <w:t>。</w:t>
            </w:r>
          </w:p>
          <w:p w14:paraId="3849F472">
            <w:pPr>
              <w:rPr>
                <w:rFonts w:ascii="宋体" w:hAnsi="宋体" w:cs="宋体"/>
                <w:color w:val="auto"/>
                <w:szCs w:val="21"/>
                <w:highlight w:val="none"/>
              </w:rPr>
            </w:pPr>
            <w:r>
              <w:rPr>
                <w:rFonts w:hint="eastAsia" w:ascii="宋体" w:hAnsi="宋体" w:cs="宋体"/>
                <w:color w:val="auto"/>
                <w:szCs w:val="21"/>
                <w:highlight w:val="none"/>
              </w:rPr>
              <w:t>2）商务技术竞争性谈判响应文件里不能含有任何有关谈判报价信息。</w:t>
            </w:r>
          </w:p>
          <w:p w14:paraId="0833980D">
            <w:pPr>
              <w:rPr>
                <w:rFonts w:ascii="宋体" w:hAnsi="宋体" w:cs="宋体"/>
                <w:color w:val="auto"/>
                <w:szCs w:val="21"/>
                <w:highlight w:val="none"/>
              </w:rPr>
            </w:pPr>
            <w:r>
              <w:rPr>
                <w:rFonts w:hint="eastAsia" w:ascii="宋体" w:hAnsi="宋体" w:cs="宋体"/>
                <w:color w:val="auto"/>
                <w:szCs w:val="21"/>
                <w:highlight w:val="none"/>
              </w:rPr>
              <w:t>3）响应文件</w:t>
            </w:r>
            <w:r>
              <w:rPr>
                <w:rFonts w:hint="eastAsia"/>
                <w:color w:val="auto"/>
                <w:szCs w:val="21"/>
                <w:highlight w:val="none"/>
              </w:rPr>
              <w:t>外层包封</w:t>
            </w:r>
            <w:r>
              <w:rPr>
                <w:rFonts w:hint="eastAsia" w:ascii="宋体" w:hAnsi="宋体" w:cs="宋体"/>
                <w:color w:val="auto"/>
                <w:szCs w:val="21"/>
                <w:highlight w:val="none"/>
              </w:rPr>
              <w:t>上应写明的内容如下：</w:t>
            </w:r>
          </w:p>
          <w:p w14:paraId="3E5CEE02">
            <w:pPr>
              <w:rPr>
                <w:rFonts w:ascii="宋体" w:hAnsi="宋体"/>
                <w:b/>
                <w:color w:val="auto"/>
                <w:szCs w:val="21"/>
                <w:highlight w:val="none"/>
              </w:rPr>
            </w:pPr>
            <w:r>
              <w:rPr>
                <w:rFonts w:hint="eastAsia" w:ascii="宋体" w:hAnsi="宋体"/>
                <w:b/>
                <w:color w:val="auto"/>
                <w:szCs w:val="21"/>
                <w:highlight w:val="none"/>
              </w:rPr>
              <w:t xml:space="preserve">采购人名称： </w:t>
            </w:r>
          </w:p>
          <w:p w14:paraId="0E23A0EA">
            <w:pPr>
              <w:rPr>
                <w:rFonts w:ascii="宋体" w:hAnsi="宋体"/>
                <w:b/>
                <w:color w:val="auto"/>
                <w:szCs w:val="21"/>
                <w:highlight w:val="none"/>
              </w:rPr>
            </w:pPr>
            <w:r>
              <w:rPr>
                <w:rFonts w:hint="eastAsia" w:ascii="宋体" w:hAnsi="宋体"/>
                <w:b/>
                <w:color w:val="auto"/>
                <w:szCs w:val="21"/>
                <w:highlight w:val="none"/>
              </w:rPr>
              <w:t>采购代理机构名称：</w:t>
            </w:r>
          </w:p>
          <w:p w14:paraId="07E0F0DA">
            <w:pPr>
              <w:rPr>
                <w:rFonts w:ascii="宋体" w:hAnsi="宋体"/>
                <w:b/>
                <w:color w:val="auto"/>
                <w:szCs w:val="21"/>
                <w:highlight w:val="none"/>
              </w:rPr>
            </w:pPr>
            <w:r>
              <w:rPr>
                <w:rFonts w:hint="eastAsia" w:ascii="宋体" w:hAnsi="宋体"/>
                <w:b/>
                <w:color w:val="auto"/>
                <w:szCs w:val="21"/>
                <w:highlight w:val="none"/>
              </w:rPr>
              <w:t>递交响应文件地址：</w:t>
            </w:r>
          </w:p>
          <w:p w14:paraId="5B848561">
            <w:pPr>
              <w:rPr>
                <w:rFonts w:ascii="宋体" w:hAnsi="宋体"/>
                <w:b/>
                <w:color w:val="auto"/>
                <w:szCs w:val="21"/>
                <w:highlight w:val="none"/>
              </w:rPr>
            </w:pPr>
            <w:r>
              <w:rPr>
                <w:rFonts w:hint="eastAsia" w:ascii="宋体" w:hAnsi="宋体"/>
                <w:b/>
                <w:color w:val="auto"/>
                <w:szCs w:val="21"/>
                <w:highlight w:val="none"/>
                <w:u w:val="single"/>
              </w:rPr>
              <w:t xml:space="preserve">            </w:t>
            </w:r>
            <w:r>
              <w:rPr>
                <w:rFonts w:hint="eastAsia" w:ascii="宋体" w:hAnsi="宋体"/>
                <w:b/>
                <w:color w:val="auto"/>
                <w:szCs w:val="21"/>
                <w:highlight w:val="none"/>
              </w:rPr>
              <w:t>（项目名称）响应文件</w:t>
            </w:r>
          </w:p>
          <w:p w14:paraId="05FDBE32">
            <w:pPr>
              <w:rPr>
                <w:rFonts w:ascii="宋体" w:hAnsi="宋体"/>
                <w:b/>
                <w:color w:val="auto"/>
                <w:szCs w:val="21"/>
                <w:highlight w:val="none"/>
              </w:rPr>
            </w:pPr>
            <w:r>
              <w:rPr>
                <w:rFonts w:hint="eastAsia" w:ascii="宋体" w:hAnsi="宋体"/>
                <w:b/>
                <w:color w:val="auto"/>
                <w:szCs w:val="21"/>
                <w:highlight w:val="none"/>
              </w:rPr>
              <w:t>响应人名称：</w:t>
            </w:r>
          </w:p>
          <w:p w14:paraId="7276437A">
            <w:pPr>
              <w:rPr>
                <w:rFonts w:ascii="宋体" w:hAnsi="宋体"/>
                <w:b/>
                <w:color w:val="auto"/>
                <w:szCs w:val="21"/>
                <w:highlight w:val="none"/>
              </w:rPr>
            </w:pPr>
            <w:r>
              <w:rPr>
                <w:rFonts w:hint="eastAsia" w:ascii="宋体" w:hAnsi="宋体"/>
                <w:b/>
                <w:color w:val="auto"/>
                <w:szCs w:val="21"/>
                <w:highlight w:val="none"/>
              </w:rPr>
              <w:t>联系人：</w:t>
            </w:r>
          </w:p>
          <w:p w14:paraId="3E078BD1">
            <w:pPr>
              <w:rPr>
                <w:rFonts w:ascii="宋体" w:hAnsi="宋体"/>
                <w:b/>
                <w:color w:val="auto"/>
                <w:szCs w:val="21"/>
                <w:highlight w:val="none"/>
              </w:rPr>
            </w:pPr>
            <w:r>
              <w:rPr>
                <w:rFonts w:hint="eastAsia" w:ascii="宋体" w:hAnsi="宋体"/>
                <w:b/>
                <w:color w:val="auto"/>
                <w:szCs w:val="21"/>
                <w:highlight w:val="none"/>
              </w:rPr>
              <w:t>联系方式：</w:t>
            </w:r>
          </w:p>
          <w:p w14:paraId="428BAB5D">
            <w:pPr>
              <w:rPr>
                <w:color w:val="auto"/>
                <w:szCs w:val="21"/>
                <w:highlight w:val="none"/>
              </w:rPr>
            </w:pPr>
            <w:r>
              <w:rPr>
                <w:rFonts w:hint="eastAsia" w:ascii="宋体" w:hAnsi="宋体"/>
                <w:b/>
                <w:color w:val="auto"/>
                <w:szCs w:val="21"/>
                <w:highlight w:val="none"/>
              </w:rPr>
              <w:t>在</w:t>
            </w:r>
            <w:r>
              <w:rPr>
                <w:rFonts w:hint="eastAsia" w:ascii="宋体" w:hAnsi="宋体"/>
                <w:b/>
                <w:color w:val="auto"/>
                <w:szCs w:val="21"/>
                <w:highlight w:val="none"/>
                <w:u w:val="single"/>
              </w:rPr>
              <w:t xml:space="preserve">  </w:t>
            </w:r>
            <w:r>
              <w:rPr>
                <w:rFonts w:hint="eastAsia" w:ascii="宋体" w:hAnsi="宋体"/>
                <w:b/>
                <w:color w:val="auto"/>
                <w:szCs w:val="21"/>
                <w:highlight w:val="none"/>
              </w:rPr>
              <w:t>年</w:t>
            </w:r>
            <w:r>
              <w:rPr>
                <w:rFonts w:hint="eastAsia" w:ascii="宋体" w:hAnsi="宋体"/>
                <w:b/>
                <w:color w:val="auto"/>
                <w:szCs w:val="21"/>
                <w:highlight w:val="none"/>
                <w:u w:val="single"/>
              </w:rPr>
              <w:t xml:space="preserve">  </w:t>
            </w:r>
            <w:r>
              <w:rPr>
                <w:rFonts w:hint="eastAsia" w:ascii="宋体" w:hAnsi="宋体"/>
                <w:b/>
                <w:color w:val="auto"/>
                <w:szCs w:val="21"/>
                <w:highlight w:val="none"/>
              </w:rPr>
              <w:t>月</w:t>
            </w:r>
            <w:r>
              <w:rPr>
                <w:rFonts w:hint="eastAsia" w:ascii="宋体" w:hAnsi="宋体"/>
                <w:b/>
                <w:color w:val="auto"/>
                <w:szCs w:val="21"/>
                <w:highlight w:val="none"/>
                <w:u w:val="single"/>
              </w:rPr>
              <w:t xml:space="preserve">  </w:t>
            </w:r>
            <w:r>
              <w:rPr>
                <w:rFonts w:hint="eastAsia" w:ascii="宋体" w:hAnsi="宋体"/>
                <w:b/>
                <w:color w:val="auto"/>
                <w:szCs w:val="21"/>
                <w:highlight w:val="none"/>
              </w:rPr>
              <w:t>日</w:t>
            </w:r>
            <w:r>
              <w:rPr>
                <w:rFonts w:hint="eastAsia" w:ascii="宋体" w:hAnsi="宋体"/>
                <w:b/>
                <w:color w:val="auto"/>
                <w:szCs w:val="21"/>
                <w:highlight w:val="none"/>
                <w:u w:val="single"/>
              </w:rPr>
              <w:t xml:space="preserve">  </w:t>
            </w:r>
            <w:r>
              <w:rPr>
                <w:rFonts w:hint="eastAsia" w:ascii="宋体" w:hAnsi="宋体"/>
                <w:b/>
                <w:color w:val="auto"/>
                <w:szCs w:val="21"/>
                <w:highlight w:val="none"/>
              </w:rPr>
              <w:t>时</w:t>
            </w:r>
            <w:r>
              <w:rPr>
                <w:rFonts w:hint="eastAsia" w:ascii="宋体" w:hAnsi="宋体"/>
                <w:b/>
                <w:color w:val="auto"/>
                <w:szCs w:val="21"/>
                <w:highlight w:val="none"/>
                <w:u w:val="single"/>
              </w:rPr>
              <w:t xml:space="preserve">  </w:t>
            </w:r>
            <w:r>
              <w:rPr>
                <w:rFonts w:hint="eastAsia" w:ascii="宋体" w:hAnsi="宋体"/>
                <w:b/>
                <w:color w:val="auto"/>
                <w:szCs w:val="21"/>
                <w:highlight w:val="none"/>
              </w:rPr>
              <w:t>分前不得开启</w:t>
            </w:r>
          </w:p>
        </w:tc>
      </w:tr>
      <w:tr w14:paraId="25ED8C02">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60FFA3E3">
            <w:pPr>
              <w:jc w:val="center"/>
              <w:rPr>
                <w:color w:val="auto"/>
                <w:szCs w:val="21"/>
                <w:highlight w:val="none"/>
              </w:rPr>
            </w:pPr>
            <w:r>
              <w:rPr>
                <w:rFonts w:hint="eastAsia"/>
                <w:color w:val="auto"/>
                <w:szCs w:val="21"/>
                <w:highlight w:val="none"/>
              </w:rPr>
              <w:t>4.1.1</w:t>
            </w:r>
          </w:p>
        </w:tc>
        <w:tc>
          <w:tcPr>
            <w:tcW w:w="1843" w:type="dxa"/>
            <w:tcBorders>
              <w:top w:val="single" w:color="auto" w:sz="4" w:space="0"/>
              <w:left w:val="single" w:color="auto" w:sz="4" w:space="0"/>
              <w:bottom w:val="single" w:color="auto" w:sz="4" w:space="0"/>
              <w:right w:val="single" w:color="auto" w:sz="4" w:space="0"/>
            </w:tcBorders>
            <w:vAlign w:val="center"/>
          </w:tcPr>
          <w:p w14:paraId="4A3F330D">
            <w:pPr>
              <w:jc w:val="left"/>
              <w:rPr>
                <w:color w:val="auto"/>
                <w:szCs w:val="21"/>
                <w:highlight w:val="none"/>
              </w:rPr>
            </w:pPr>
            <w:r>
              <w:rPr>
                <w:rFonts w:hint="eastAsia" w:hAnsi="宋体"/>
                <w:color w:val="auto"/>
                <w:szCs w:val="21"/>
                <w:highlight w:val="none"/>
              </w:rPr>
              <w:t>响应文件递交截止时间</w:t>
            </w:r>
          </w:p>
        </w:tc>
        <w:tc>
          <w:tcPr>
            <w:tcW w:w="6095" w:type="dxa"/>
            <w:tcBorders>
              <w:top w:val="single" w:color="auto" w:sz="4" w:space="0"/>
              <w:left w:val="single" w:color="auto" w:sz="4" w:space="0"/>
              <w:bottom w:val="single" w:color="auto" w:sz="4" w:space="0"/>
              <w:right w:val="single" w:color="auto" w:sz="4" w:space="0"/>
            </w:tcBorders>
            <w:vAlign w:val="center"/>
          </w:tcPr>
          <w:p w14:paraId="759666AA">
            <w:pPr>
              <w:pStyle w:val="69"/>
              <w:ind w:firstLine="0" w:firstLineChars="0"/>
              <w:rPr>
                <w:rFonts w:hAnsi="宋体"/>
                <w:color w:val="auto"/>
                <w:szCs w:val="21"/>
                <w:highlight w:val="none"/>
              </w:rPr>
            </w:pPr>
            <w:r>
              <w:rPr>
                <w:rFonts w:hint="eastAsia" w:ascii="宋体" w:hAnsi="宋体" w:cs="宋体"/>
                <w:color w:val="auto"/>
                <w:szCs w:val="21"/>
                <w:highlight w:val="none"/>
              </w:rPr>
              <w:t>详见竞争性谈判公告</w:t>
            </w:r>
          </w:p>
        </w:tc>
      </w:tr>
      <w:tr w14:paraId="1BEE06BD">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2520F322">
            <w:pPr>
              <w:jc w:val="center"/>
              <w:rPr>
                <w:color w:val="auto"/>
                <w:szCs w:val="21"/>
                <w:highlight w:val="none"/>
              </w:rPr>
            </w:pPr>
            <w:r>
              <w:rPr>
                <w:rFonts w:hint="eastAsia"/>
                <w:color w:val="auto"/>
                <w:szCs w:val="21"/>
                <w:highlight w:val="none"/>
              </w:rPr>
              <w:t>4.1.2</w:t>
            </w:r>
          </w:p>
        </w:tc>
        <w:tc>
          <w:tcPr>
            <w:tcW w:w="1843" w:type="dxa"/>
            <w:tcBorders>
              <w:top w:val="single" w:color="auto" w:sz="4" w:space="0"/>
              <w:left w:val="single" w:color="auto" w:sz="4" w:space="0"/>
              <w:bottom w:val="single" w:color="auto" w:sz="4" w:space="0"/>
              <w:right w:val="single" w:color="auto" w:sz="4" w:space="0"/>
            </w:tcBorders>
            <w:vAlign w:val="center"/>
          </w:tcPr>
          <w:p w14:paraId="7C1C20FC">
            <w:pPr>
              <w:jc w:val="left"/>
              <w:rPr>
                <w:rFonts w:hAnsi="宋体"/>
                <w:color w:val="auto"/>
                <w:szCs w:val="21"/>
                <w:highlight w:val="none"/>
              </w:rPr>
            </w:pPr>
            <w:r>
              <w:rPr>
                <w:rFonts w:hint="eastAsia" w:hAnsi="宋体"/>
                <w:color w:val="auto"/>
                <w:szCs w:val="21"/>
                <w:highlight w:val="none"/>
              </w:rPr>
              <w:t>响应文件递交地点</w:t>
            </w:r>
          </w:p>
        </w:tc>
        <w:tc>
          <w:tcPr>
            <w:tcW w:w="6095" w:type="dxa"/>
            <w:tcBorders>
              <w:top w:val="single" w:color="auto" w:sz="4" w:space="0"/>
              <w:left w:val="single" w:color="auto" w:sz="4" w:space="0"/>
              <w:bottom w:val="single" w:color="auto" w:sz="4" w:space="0"/>
              <w:right w:val="single" w:color="auto" w:sz="4" w:space="0"/>
            </w:tcBorders>
            <w:vAlign w:val="center"/>
          </w:tcPr>
          <w:p w14:paraId="5E2A683E">
            <w:pPr>
              <w:pStyle w:val="69"/>
              <w:ind w:firstLine="0" w:firstLineChars="0"/>
              <w:rPr>
                <w:rFonts w:ascii="宋体" w:hAnsi="宋体" w:cs="宋体"/>
                <w:color w:val="auto"/>
                <w:szCs w:val="21"/>
                <w:highlight w:val="none"/>
                <w:u w:val="single"/>
              </w:rPr>
            </w:pPr>
            <w:r>
              <w:rPr>
                <w:rFonts w:hint="eastAsia" w:ascii="宋体" w:hAnsi="宋体" w:cs="宋体"/>
                <w:color w:val="auto"/>
                <w:szCs w:val="21"/>
                <w:highlight w:val="none"/>
              </w:rPr>
              <w:t>详见竞争性谈判公告</w:t>
            </w:r>
          </w:p>
        </w:tc>
      </w:tr>
      <w:tr w14:paraId="36F3D383">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15854FF0">
            <w:pPr>
              <w:jc w:val="center"/>
              <w:rPr>
                <w:color w:val="auto"/>
                <w:szCs w:val="21"/>
                <w:highlight w:val="none"/>
              </w:rPr>
            </w:pPr>
            <w:r>
              <w:rPr>
                <w:rFonts w:hint="eastAsia"/>
                <w:color w:val="auto"/>
                <w:szCs w:val="21"/>
                <w:highlight w:val="none"/>
              </w:rPr>
              <w:t>4.1.4</w:t>
            </w:r>
          </w:p>
        </w:tc>
        <w:tc>
          <w:tcPr>
            <w:tcW w:w="1843" w:type="dxa"/>
            <w:tcBorders>
              <w:top w:val="single" w:color="auto" w:sz="4" w:space="0"/>
              <w:left w:val="single" w:color="auto" w:sz="4" w:space="0"/>
              <w:bottom w:val="single" w:color="auto" w:sz="4" w:space="0"/>
              <w:right w:val="single" w:color="auto" w:sz="4" w:space="0"/>
            </w:tcBorders>
            <w:vAlign w:val="center"/>
          </w:tcPr>
          <w:p w14:paraId="36586468">
            <w:pPr>
              <w:jc w:val="left"/>
              <w:rPr>
                <w:rFonts w:hAnsi="宋体"/>
                <w:color w:val="auto"/>
                <w:szCs w:val="21"/>
                <w:highlight w:val="none"/>
              </w:rPr>
            </w:pPr>
            <w:r>
              <w:rPr>
                <w:rFonts w:hint="eastAsia" w:hAnsi="宋体"/>
                <w:color w:val="auto"/>
                <w:szCs w:val="21"/>
                <w:highlight w:val="none"/>
              </w:rPr>
              <w:t>响应文件退还</w:t>
            </w:r>
          </w:p>
        </w:tc>
        <w:tc>
          <w:tcPr>
            <w:tcW w:w="6095" w:type="dxa"/>
            <w:tcBorders>
              <w:top w:val="single" w:color="auto" w:sz="4" w:space="0"/>
              <w:left w:val="single" w:color="auto" w:sz="4" w:space="0"/>
              <w:bottom w:val="single" w:color="auto" w:sz="4" w:space="0"/>
              <w:right w:val="single" w:color="auto" w:sz="4" w:space="0"/>
            </w:tcBorders>
            <w:vAlign w:val="center"/>
          </w:tcPr>
          <w:p w14:paraId="7810C8CA">
            <w:pPr>
              <w:autoSpaceDE w:val="0"/>
              <w:autoSpaceDN w:val="0"/>
              <w:rPr>
                <w:rFonts w:ascii="宋体" w:hAnsi="宋体" w:cs="宋体"/>
                <w:color w:val="auto"/>
                <w:szCs w:val="21"/>
                <w:highlight w:val="none"/>
                <w:u w:val="single"/>
              </w:rPr>
            </w:pPr>
            <w:r>
              <w:rPr>
                <w:rFonts w:hint="eastAsia" w:ascii="宋体" w:hAnsi="宋体" w:cs="宋体"/>
                <w:color w:val="auto"/>
                <w:szCs w:val="21"/>
                <w:highlight w:val="none"/>
              </w:rPr>
              <w:t>不退还</w:t>
            </w:r>
          </w:p>
        </w:tc>
      </w:tr>
      <w:tr w14:paraId="30782BF4">
        <w:tblPrEx>
          <w:tblCellMar>
            <w:top w:w="0" w:type="dxa"/>
            <w:left w:w="108" w:type="dxa"/>
            <w:bottom w:w="0" w:type="dxa"/>
            <w:right w:w="108" w:type="dxa"/>
          </w:tblCellMar>
        </w:tblPrEx>
        <w:trPr>
          <w:trHeight w:val="880" w:hRule="atLeast"/>
        </w:trPr>
        <w:tc>
          <w:tcPr>
            <w:tcW w:w="993" w:type="dxa"/>
            <w:tcBorders>
              <w:top w:val="single" w:color="auto" w:sz="4" w:space="0"/>
              <w:left w:val="single" w:color="auto" w:sz="4" w:space="0"/>
              <w:right w:val="single" w:color="auto" w:sz="4" w:space="0"/>
            </w:tcBorders>
            <w:vAlign w:val="center"/>
          </w:tcPr>
          <w:p w14:paraId="4306123F">
            <w:pPr>
              <w:jc w:val="center"/>
              <w:rPr>
                <w:color w:val="auto"/>
                <w:szCs w:val="21"/>
                <w:highlight w:val="none"/>
              </w:rPr>
            </w:pPr>
            <w:r>
              <w:rPr>
                <w:color w:val="auto"/>
                <w:szCs w:val="21"/>
                <w:highlight w:val="none"/>
              </w:rPr>
              <w:t>5.1</w:t>
            </w:r>
          </w:p>
        </w:tc>
        <w:tc>
          <w:tcPr>
            <w:tcW w:w="1843" w:type="dxa"/>
            <w:tcBorders>
              <w:top w:val="single" w:color="auto" w:sz="4" w:space="0"/>
              <w:left w:val="single" w:color="auto" w:sz="4" w:space="0"/>
              <w:right w:val="single" w:color="auto" w:sz="4" w:space="0"/>
            </w:tcBorders>
            <w:vAlign w:val="center"/>
          </w:tcPr>
          <w:p w14:paraId="5AF6C391">
            <w:pPr>
              <w:jc w:val="left"/>
              <w:rPr>
                <w:color w:val="auto"/>
                <w:szCs w:val="21"/>
                <w:highlight w:val="none"/>
              </w:rPr>
            </w:pPr>
            <w:r>
              <w:rPr>
                <w:rFonts w:hint="eastAsia"/>
                <w:color w:val="auto"/>
                <w:szCs w:val="21"/>
                <w:highlight w:val="none"/>
              </w:rPr>
              <w:t>唱标时间和地点</w:t>
            </w:r>
          </w:p>
        </w:tc>
        <w:tc>
          <w:tcPr>
            <w:tcW w:w="6095" w:type="dxa"/>
            <w:tcBorders>
              <w:top w:val="single" w:color="auto" w:sz="4" w:space="0"/>
              <w:left w:val="single" w:color="auto" w:sz="4" w:space="0"/>
              <w:right w:val="single" w:color="auto" w:sz="4" w:space="0"/>
            </w:tcBorders>
            <w:vAlign w:val="center"/>
          </w:tcPr>
          <w:p w14:paraId="47B972DC">
            <w:pPr>
              <w:rPr>
                <w:color w:val="auto"/>
                <w:szCs w:val="21"/>
                <w:highlight w:val="none"/>
              </w:rPr>
            </w:pPr>
            <w:r>
              <w:rPr>
                <w:rFonts w:hint="eastAsia" w:ascii="宋体" w:hAnsi="宋体" w:cs="宋体"/>
                <w:color w:val="auto"/>
                <w:szCs w:val="21"/>
                <w:highlight w:val="none"/>
              </w:rPr>
              <w:t>同响应文件递交截止时间和地点</w:t>
            </w:r>
          </w:p>
        </w:tc>
      </w:tr>
      <w:tr w14:paraId="3DD70B0A">
        <w:tblPrEx>
          <w:tblCellMar>
            <w:top w:w="0" w:type="dxa"/>
            <w:left w:w="108" w:type="dxa"/>
            <w:bottom w:w="0" w:type="dxa"/>
            <w:right w:w="108" w:type="dxa"/>
          </w:tblCellMar>
        </w:tblPrEx>
        <w:trPr>
          <w:trHeight w:val="381" w:hRule="atLeast"/>
        </w:trPr>
        <w:tc>
          <w:tcPr>
            <w:tcW w:w="993" w:type="dxa"/>
            <w:tcBorders>
              <w:top w:val="single" w:color="auto" w:sz="4" w:space="0"/>
              <w:left w:val="single" w:color="auto" w:sz="4" w:space="0"/>
              <w:right w:val="single" w:color="auto" w:sz="4" w:space="0"/>
            </w:tcBorders>
            <w:vAlign w:val="center"/>
          </w:tcPr>
          <w:p w14:paraId="0D3AF4CE">
            <w:pPr>
              <w:jc w:val="center"/>
              <w:rPr>
                <w:color w:val="auto"/>
                <w:szCs w:val="21"/>
                <w:highlight w:val="none"/>
              </w:rPr>
            </w:pPr>
            <w:r>
              <w:rPr>
                <w:rFonts w:hint="eastAsia"/>
                <w:color w:val="auto"/>
                <w:szCs w:val="21"/>
                <w:highlight w:val="none"/>
              </w:rPr>
              <w:t>6.1.1</w:t>
            </w:r>
          </w:p>
        </w:tc>
        <w:tc>
          <w:tcPr>
            <w:tcW w:w="1843" w:type="dxa"/>
            <w:tcBorders>
              <w:top w:val="single" w:color="auto" w:sz="4" w:space="0"/>
              <w:left w:val="single" w:color="auto" w:sz="4" w:space="0"/>
              <w:right w:val="single" w:color="auto" w:sz="4" w:space="0"/>
            </w:tcBorders>
            <w:vAlign w:val="center"/>
          </w:tcPr>
          <w:p w14:paraId="29CE290D">
            <w:pPr>
              <w:jc w:val="left"/>
              <w:rPr>
                <w:color w:val="auto"/>
                <w:szCs w:val="21"/>
                <w:highlight w:val="none"/>
              </w:rPr>
            </w:pPr>
            <w:r>
              <w:rPr>
                <w:rFonts w:hint="eastAsia"/>
                <w:color w:val="auto"/>
                <w:szCs w:val="21"/>
                <w:highlight w:val="none"/>
              </w:rPr>
              <w:t>谈判小组组成人数</w:t>
            </w:r>
          </w:p>
        </w:tc>
        <w:tc>
          <w:tcPr>
            <w:tcW w:w="6095" w:type="dxa"/>
            <w:tcBorders>
              <w:top w:val="single" w:color="auto" w:sz="4" w:space="0"/>
              <w:left w:val="single" w:color="auto" w:sz="4" w:space="0"/>
              <w:right w:val="single" w:color="auto" w:sz="4" w:space="0"/>
            </w:tcBorders>
            <w:vAlign w:val="center"/>
          </w:tcPr>
          <w:p w14:paraId="6509A3A0">
            <w:pPr>
              <w:rPr>
                <w:color w:val="auto"/>
                <w:szCs w:val="21"/>
                <w:highlight w:val="none"/>
              </w:rPr>
            </w:pPr>
            <w:r>
              <w:rPr>
                <w:rFonts w:hint="eastAsia" w:ascii="宋体" w:hAnsi="宋体" w:cs="宋体"/>
                <w:color w:val="auto"/>
                <w:szCs w:val="21"/>
                <w:highlight w:val="none"/>
              </w:rPr>
              <w:t>3人以上单数</w:t>
            </w:r>
          </w:p>
        </w:tc>
      </w:tr>
      <w:tr w14:paraId="5953965C">
        <w:tblPrEx>
          <w:tblCellMar>
            <w:top w:w="0" w:type="dxa"/>
            <w:left w:w="108" w:type="dxa"/>
            <w:bottom w:w="0" w:type="dxa"/>
            <w:right w:w="108" w:type="dxa"/>
          </w:tblCellMar>
        </w:tblPrEx>
        <w:trPr>
          <w:trHeight w:val="381" w:hRule="atLeast"/>
        </w:trPr>
        <w:tc>
          <w:tcPr>
            <w:tcW w:w="993" w:type="dxa"/>
            <w:tcBorders>
              <w:top w:val="single" w:color="auto" w:sz="4" w:space="0"/>
              <w:left w:val="single" w:color="auto" w:sz="4" w:space="0"/>
              <w:right w:val="single" w:color="auto" w:sz="4" w:space="0"/>
            </w:tcBorders>
            <w:vAlign w:val="center"/>
          </w:tcPr>
          <w:p w14:paraId="7DCF5745">
            <w:pPr>
              <w:jc w:val="center"/>
              <w:rPr>
                <w:color w:val="auto"/>
                <w:szCs w:val="21"/>
                <w:highlight w:val="none"/>
              </w:rPr>
            </w:pPr>
            <w:r>
              <w:rPr>
                <w:rFonts w:hint="eastAsia"/>
                <w:color w:val="auto"/>
                <w:szCs w:val="21"/>
                <w:highlight w:val="none"/>
              </w:rPr>
              <w:t>6.3</w:t>
            </w:r>
          </w:p>
        </w:tc>
        <w:tc>
          <w:tcPr>
            <w:tcW w:w="1843" w:type="dxa"/>
            <w:tcBorders>
              <w:top w:val="single" w:color="auto" w:sz="4" w:space="0"/>
              <w:left w:val="single" w:color="auto" w:sz="4" w:space="0"/>
              <w:right w:val="single" w:color="auto" w:sz="4" w:space="0"/>
            </w:tcBorders>
            <w:vAlign w:val="center"/>
          </w:tcPr>
          <w:p w14:paraId="1653EDB3">
            <w:pPr>
              <w:jc w:val="left"/>
              <w:rPr>
                <w:color w:val="auto"/>
                <w:szCs w:val="21"/>
                <w:highlight w:val="none"/>
              </w:rPr>
            </w:pPr>
            <w:r>
              <w:rPr>
                <w:rFonts w:hint="eastAsia"/>
                <w:color w:val="auto"/>
                <w:szCs w:val="21"/>
                <w:highlight w:val="none"/>
              </w:rPr>
              <w:t>评审方法</w:t>
            </w:r>
          </w:p>
        </w:tc>
        <w:tc>
          <w:tcPr>
            <w:tcW w:w="6095" w:type="dxa"/>
            <w:tcBorders>
              <w:top w:val="single" w:color="auto" w:sz="4" w:space="0"/>
              <w:left w:val="single" w:color="auto" w:sz="4" w:space="0"/>
              <w:right w:val="single" w:color="auto" w:sz="4" w:space="0"/>
            </w:tcBorders>
            <w:vAlign w:val="center"/>
          </w:tcPr>
          <w:p w14:paraId="2B543A76">
            <w:pPr>
              <w:rPr>
                <w:rFonts w:ascii="宋体" w:hAnsi="宋体" w:cs="宋体"/>
                <w:color w:val="auto"/>
                <w:szCs w:val="21"/>
                <w:highlight w:val="none"/>
              </w:rPr>
            </w:pPr>
            <w:r>
              <w:rPr>
                <w:rFonts w:hint="eastAsia" w:ascii="宋体" w:hAnsi="宋体"/>
                <w:color w:val="auto"/>
                <w:szCs w:val="21"/>
                <w:highlight w:val="none"/>
              </w:rPr>
              <w:t>最低评标价法</w:t>
            </w:r>
          </w:p>
        </w:tc>
      </w:tr>
      <w:tr w14:paraId="598683EF">
        <w:tblPrEx>
          <w:tblCellMar>
            <w:top w:w="0" w:type="dxa"/>
            <w:left w:w="108" w:type="dxa"/>
            <w:bottom w:w="0" w:type="dxa"/>
            <w:right w:w="108" w:type="dxa"/>
          </w:tblCellMar>
        </w:tblPrEx>
        <w:trPr>
          <w:trHeight w:val="381" w:hRule="atLeast"/>
        </w:trPr>
        <w:tc>
          <w:tcPr>
            <w:tcW w:w="993" w:type="dxa"/>
            <w:tcBorders>
              <w:top w:val="single" w:color="auto" w:sz="4" w:space="0"/>
              <w:left w:val="single" w:color="auto" w:sz="4" w:space="0"/>
              <w:right w:val="single" w:color="auto" w:sz="4" w:space="0"/>
            </w:tcBorders>
            <w:vAlign w:val="center"/>
          </w:tcPr>
          <w:p w14:paraId="76BC2AEC">
            <w:pPr>
              <w:jc w:val="center"/>
              <w:rPr>
                <w:color w:val="auto"/>
                <w:szCs w:val="21"/>
                <w:highlight w:val="none"/>
              </w:rPr>
            </w:pPr>
            <w:r>
              <w:rPr>
                <w:rFonts w:hint="eastAsia"/>
                <w:color w:val="auto"/>
                <w:szCs w:val="21"/>
                <w:highlight w:val="none"/>
              </w:rPr>
              <w:t>6.4</w:t>
            </w:r>
          </w:p>
        </w:tc>
        <w:tc>
          <w:tcPr>
            <w:tcW w:w="1843" w:type="dxa"/>
            <w:tcBorders>
              <w:top w:val="single" w:color="auto" w:sz="4" w:space="0"/>
              <w:left w:val="single" w:color="auto" w:sz="4" w:space="0"/>
              <w:right w:val="single" w:color="auto" w:sz="4" w:space="0"/>
            </w:tcBorders>
            <w:vAlign w:val="center"/>
          </w:tcPr>
          <w:p w14:paraId="2BC7A855">
            <w:pPr>
              <w:jc w:val="left"/>
              <w:rPr>
                <w:rFonts w:ascii="宋体" w:hAnsi="宋体" w:cs="宋体"/>
                <w:color w:val="auto"/>
                <w:szCs w:val="21"/>
                <w:highlight w:val="none"/>
              </w:rPr>
            </w:pPr>
            <w:r>
              <w:rPr>
                <w:rFonts w:hint="eastAsia" w:ascii="宋体" w:hAnsi="宋体" w:cs="宋体"/>
                <w:color w:val="auto"/>
                <w:szCs w:val="21"/>
                <w:highlight w:val="none"/>
              </w:rPr>
              <w:t>推荐成交候选人原则</w:t>
            </w:r>
          </w:p>
        </w:tc>
        <w:tc>
          <w:tcPr>
            <w:tcW w:w="6095" w:type="dxa"/>
            <w:tcBorders>
              <w:top w:val="single" w:color="auto" w:sz="4" w:space="0"/>
              <w:left w:val="single" w:color="auto" w:sz="4" w:space="0"/>
              <w:right w:val="single" w:color="auto" w:sz="4" w:space="0"/>
            </w:tcBorders>
            <w:vAlign w:val="center"/>
          </w:tcPr>
          <w:p w14:paraId="25917D74">
            <w:pPr>
              <w:autoSpaceDE w:val="0"/>
              <w:autoSpaceDN w:val="0"/>
              <w:rPr>
                <w:rFonts w:ascii="宋体" w:hAnsi="宋体" w:cs="宋体"/>
                <w:color w:val="auto"/>
                <w:szCs w:val="21"/>
                <w:highlight w:val="none"/>
              </w:rPr>
            </w:pPr>
            <w:r>
              <w:rPr>
                <w:rFonts w:hint="eastAsia" w:ascii="宋体" w:hAnsi="宋体" w:cs="宋体"/>
                <w:color w:val="auto"/>
                <w:kern w:val="0"/>
                <w:highlight w:val="none"/>
              </w:rPr>
              <w:t>本项目推荐</w:t>
            </w:r>
            <w:r>
              <w:rPr>
                <w:rFonts w:hint="eastAsia" w:ascii="宋体" w:hAnsi="宋体" w:cs="宋体"/>
                <w:color w:val="auto"/>
                <w:kern w:val="0"/>
                <w:highlight w:val="none"/>
                <w:lang w:val="en-US" w:eastAsia="zh-CN"/>
              </w:rPr>
              <w:t>2</w:t>
            </w:r>
            <w:r>
              <w:rPr>
                <w:rFonts w:hint="eastAsia" w:ascii="宋体" w:hAnsi="宋体" w:cs="宋体"/>
                <w:color w:val="auto"/>
                <w:kern w:val="0"/>
                <w:highlight w:val="none"/>
              </w:rPr>
              <w:t>（不大于两名）名成交候选单位。</w:t>
            </w:r>
            <w:r>
              <w:rPr>
                <w:rFonts w:hint="eastAsia"/>
                <w:color w:val="auto"/>
                <w:szCs w:val="21"/>
                <w:highlight w:val="none"/>
              </w:rPr>
              <w:t>根据符合采购需求、质量和服务且报价最低的原则按顺序排列推荐成交侯选人</w:t>
            </w:r>
            <w:r>
              <w:rPr>
                <w:rFonts w:hint="eastAsia" w:ascii="宋体" w:hAnsi="宋体" w:cs="宋体"/>
                <w:color w:val="auto"/>
                <w:kern w:val="0"/>
                <w:highlight w:val="none"/>
              </w:rPr>
              <w:t>。</w:t>
            </w:r>
          </w:p>
        </w:tc>
      </w:tr>
      <w:tr w14:paraId="1D6EFAE4">
        <w:tblPrEx>
          <w:tblCellMar>
            <w:top w:w="0" w:type="dxa"/>
            <w:left w:w="108" w:type="dxa"/>
            <w:bottom w:w="0" w:type="dxa"/>
            <w:right w:w="108" w:type="dxa"/>
          </w:tblCellMar>
        </w:tblPrEx>
        <w:trPr>
          <w:trHeight w:val="381" w:hRule="atLeast"/>
        </w:trPr>
        <w:tc>
          <w:tcPr>
            <w:tcW w:w="993" w:type="dxa"/>
            <w:tcBorders>
              <w:top w:val="single" w:color="auto" w:sz="4" w:space="0"/>
              <w:left w:val="single" w:color="auto" w:sz="4" w:space="0"/>
              <w:right w:val="single" w:color="auto" w:sz="4" w:space="0"/>
            </w:tcBorders>
            <w:vAlign w:val="center"/>
          </w:tcPr>
          <w:p w14:paraId="18805BE4">
            <w:pPr>
              <w:jc w:val="center"/>
              <w:rPr>
                <w:color w:val="auto"/>
                <w:szCs w:val="21"/>
                <w:highlight w:val="none"/>
              </w:rPr>
            </w:pPr>
            <w:r>
              <w:rPr>
                <w:rFonts w:hint="eastAsia"/>
                <w:color w:val="auto"/>
                <w:szCs w:val="21"/>
                <w:highlight w:val="none"/>
              </w:rPr>
              <w:t>7.1</w:t>
            </w:r>
          </w:p>
        </w:tc>
        <w:tc>
          <w:tcPr>
            <w:tcW w:w="1843" w:type="dxa"/>
            <w:tcBorders>
              <w:top w:val="single" w:color="auto" w:sz="4" w:space="0"/>
              <w:left w:val="single" w:color="auto" w:sz="4" w:space="0"/>
              <w:right w:val="single" w:color="auto" w:sz="4" w:space="0"/>
            </w:tcBorders>
            <w:vAlign w:val="center"/>
          </w:tcPr>
          <w:p w14:paraId="0F51FB2B">
            <w:pPr>
              <w:jc w:val="left"/>
              <w:rPr>
                <w:rFonts w:ascii="宋体" w:hAnsi="宋体" w:cs="宋体"/>
                <w:color w:val="auto"/>
                <w:szCs w:val="21"/>
                <w:highlight w:val="none"/>
              </w:rPr>
            </w:pPr>
            <w:r>
              <w:rPr>
                <w:rStyle w:val="82"/>
                <w:rFonts w:hint="eastAsia"/>
                <w:color w:val="auto"/>
                <w:szCs w:val="21"/>
                <w:highlight w:val="none"/>
              </w:rPr>
              <w:t>成交候选人公示媒介</w:t>
            </w:r>
          </w:p>
        </w:tc>
        <w:tc>
          <w:tcPr>
            <w:tcW w:w="6095" w:type="dxa"/>
            <w:tcBorders>
              <w:top w:val="single" w:color="auto" w:sz="4" w:space="0"/>
              <w:left w:val="single" w:color="auto" w:sz="4" w:space="0"/>
              <w:right w:val="single" w:color="auto" w:sz="4" w:space="0"/>
            </w:tcBorders>
            <w:vAlign w:val="center"/>
          </w:tcPr>
          <w:p w14:paraId="571D6315">
            <w:pPr>
              <w:autoSpaceDE w:val="0"/>
              <w:autoSpaceDN w:val="0"/>
              <w:rPr>
                <w:rFonts w:ascii="宋体" w:hAnsi="宋体" w:cs="宋体"/>
                <w:color w:val="auto"/>
                <w:kern w:val="0"/>
                <w:highlight w:val="none"/>
              </w:rPr>
            </w:pPr>
            <w:r>
              <w:rPr>
                <w:rFonts w:hint="eastAsia"/>
                <w:color w:val="auto"/>
                <w:highlight w:val="none"/>
              </w:rPr>
              <w:t>东莞实业投资控股集团有限公司网站</w:t>
            </w:r>
            <w:r>
              <w:rPr>
                <w:color w:val="auto"/>
                <w:highlight w:val="none"/>
              </w:rPr>
              <w:t>（</w:t>
            </w:r>
            <w:r>
              <w:rPr>
                <w:rFonts w:hint="eastAsia"/>
                <w:color w:val="auto"/>
                <w:highlight w:val="none"/>
              </w:rPr>
              <w:t>网址：http://www.dgsy.com.cn/</w:t>
            </w:r>
            <w:r>
              <w:rPr>
                <w:color w:val="auto"/>
                <w:highlight w:val="none"/>
              </w:rPr>
              <w:t>）</w:t>
            </w:r>
            <w:r>
              <w:rPr>
                <w:rFonts w:hint="eastAsia" w:hAnsi="宋体"/>
                <w:color w:val="auto"/>
                <w:kern w:val="2"/>
                <w:sz w:val="21"/>
                <w:szCs w:val="21"/>
                <w:highlight w:val="none"/>
                <w:lang w:val="en-US" w:eastAsia="zh-CN"/>
              </w:rPr>
              <w:t>。</w:t>
            </w:r>
          </w:p>
        </w:tc>
      </w:tr>
      <w:tr w14:paraId="4737AD94">
        <w:tblPrEx>
          <w:tblCellMar>
            <w:top w:w="0" w:type="dxa"/>
            <w:left w:w="108" w:type="dxa"/>
            <w:bottom w:w="0" w:type="dxa"/>
            <w:right w:w="108" w:type="dxa"/>
          </w:tblCellMar>
        </w:tblPrEx>
        <w:trPr>
          <w:trHeight w:val="880" w:hRule="atLeast"/>
        </w:trPr>
        <w:tc>
          <w:tcPr>
            <w:tcW w:w="993" w:type="dxa"/>
            <w:tcBorders>
              <w:top w:val="single" w:color="auto" w:sz="4" w:space="0"/>
              <w:left w:val="single" w:color="auto" w:sz="4" w:space="0"/>
              <w:right w:val="single" w:color="auto" w:sz="4" w:space="0"/>
            </w:tcBorders>
            <w:vAlign w:val="center"/>
          </w:tcPr>
          <w:p w14:paraId="459BC3A3">
            <w:pPr>
              <w:jc w:val="center"/>
              <w:rPr>
                <w:color w:val="auto"/>
                <w:szCs w:val="21"/>
                <w:highlight w:val="none"/>
              </w:rPr>
            </w:pPr>
            <w:r>
              <w:rPr>
                <w:rFonts w:hint="eastAsia"/>
                <w:color w:val="auto"/>
                <w:szCs w:val="21"/>
                <w:highlight w:val="none"/>
              </w:rPr>
              <w:t>7.3.1</w:t>
            </w:r>
          </w:p>
        </w:tc>
        <w:tc>
          <w:tcPr>
            <w:tcW w:w="1843" w:type="dxa"/>
            <w:tcBorders>
              <w:top w:val="single" w:color="auto" w:sz="4" w:space="0"/>
              <w:left w:val="single" w:color="auto" w:sz="4" w:space="0"/>
              <w:right w:val="single" w:color="auto" w:sz="4" w:space="0"/>
            </w:tcBorders>
            <w:vAlign w:val="center"/>
          </w:tcPr>
          <w:p w14:paraId="03AD10A5">
            <w:pPr>
              <w:jc w:val="left"/>
              <w:rPr>
                <w:rFonts w:ascii="宋体" w:hAnsi="宋体" w:cs="宋体"/>
                <w:color w:val="auto"/>
                <w:szCs w:val="21"/>
                <w:highlight w:val="none"/>
              </w:rPr>
            </w:pPr>
            <w:r>
              <w:rPr>
                <w:rFonts w:hint="eastAsia" w:ascii="宋体" w:hAnsi="宋体" w:cs="宋体"/>
                <w:color w:val="auto"/>
                <w:szCs w:val="21"/>
                <w:highlight w:val="none"/>
              </w:rPr>
              <w:t>成交人确定</w:t>
            </w:r>
          </w:p>
        </w:tc>
        <w:tc>
          <w:tcPr>
            <w:tcW w:w="6095" w:type="dxa"/>
            <w:tcBorders>
              <w:top w:val="single" w:color="auto" w:sz="4" w:space="0"/>
              <w:left w:val="single" w:color="auto" w:sz="4" w:space="0"/>
              <w:right w:val="single" w:color="auto" w:sz="4" w:space="0"/>
            </w:tcBorders>
            <w:vAlign w:val="center"/>
          </w:tcPr>
          <w:p w14:paraId="216447E9">
            <w:pPr>
              <w:autoSpaceDE w:val="0"/>
              <w:autoSpaceDN w:val="0"/>
              <w:rPr>
                <w:rFonts w:ascii="宋体" w:hAnsi="宋体" w:cs="宋体"/>
                <w:color w:val="auto"/>
                <w:szCs w:val="21"/>
                <w:highlight w:val="none"/>
              </w:rPr>
            </w:pPr>
            <w:r>
              <w:rPr>
                <w:rFonts w:hint="eastAsia" w:ascii="宋体" w:hAnsi="宋体"/>
                <w:color w:val="auto"/>
                <w:szCs w:val="21"/>
                <w:highlight w:val="none"/>
              </w:rPr>
              <w:t>□</w:t>
            </w:r>
            <w:r>
              <w:rPr>
                <w:rFonts w:hint="eastAsia" w:hAnsi="宋体"/>
                <w:color w:val="auto"/>
                <w:szCs w:val="21"/>
                <w:highlight w:val="none"/>
              </w:rPr>
              <w:t>谈判小组直接确定成交人</w:t>
            </w:r>
            <w:r>
              <w:rPr>
                <w:rFonts w:hint="eastAsia" w:ascii="宋体" w:hAnsi="宋体" w:cs="宋体"/>
                <w:color w:val="auto"/>
                <w:szCs w:val="21"/>
                <w:highlight w:val="none"/>
              </w:rPr>
              <w:t>，</w:t>
            </w:r>
            <w:r>
              <w:rPr>
                <w:rFonts w:hint="eastAsia" w:hAnsi="宋体"/>
                <w:color w:val="auto"/>
                <w:szCs w:val="21"/>
                <w:highlight w:val="none"/>
              </w:rPr>
              <w:t>成交人数量：</w:t>
            </w:r>
            <w:r>
              <w:rPr>
                <w:rFonts w:ascii="宋体" w:hAnsi="宋体" w:cs="宋体"/>
                <w:color w:val="auto"/>
                <w:szCs w:val="21"/>
                <w:highlight w:val="none"/>
                <w:u w:val="single"/>
              </w:rPr>
              <w:t xml:space="preserve">    </w:t>
            </w:r>
            <w:r>
              <w:rPr>
                <w:rFonts w:hint="eastAsia" w:ascii="宋体" w:hAnsi="宋体" w:cs="宋体"/>
                <w:color w:val="auto"/>
                <w:szCs w:val="21"/>
                <w:highlight w:val="none"/>
              </w:rPr>
              <w:t>人</w:t>
            </w:r>
          </w:p>
          <w:p w14:paraId="1F277171">
            <w:pPr>
              <w:autoSpaceDE w:val="0"/>
              <w:autoSpaceDN w:val="0"/>
              <w:rPr>
                <w:rFonts w:ascii="宋体" w:hAnsi="宋体" w:cs="宋体"/>
                <w:color w:val="auto"/>
                <w:szCs w:val="21"/>
                <w:highlight w:val="none"/>
              </w:rPr>
            </w:pPr>
            <w:r>
              <w:rPr>
                <w:rFonts w:hint="eastAsia"/>
                <w:color w:val="auto"/>
                <w:szCs w:val="21"/>
                <w:highlight w:val="none"/>
              </w:rPr>
              <w:t>■</w:t>
            </w:r>
            <w:r>
              <w:rPr>
                <w:rFonts w:hint="eastAsia" w:ascii="宋体" w:hAnsi="宋体" w:cs="宋体"/>
                <w:color w:val="auto"/>
                <w:szCs w:val="21"/>
                <w:highlight w:val="none"/>
              </w:rPr>
              <w:t>采购人确定成交人，</w:t>
            </w:r>
            <w:r>
              <w:rPr>
                <w:rFonts w:hint="eastAsia" w:hAnsi="宋体"/>
                <w:color w:val="auto"/>
                <w:szCs w:val="21"/>
                <w:highlight w:val="none"/>
              </w:rPr>
              <w:t>成交人数量：</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w:t>
            </w:r>
            <w:r>
              <w:rPr>
                <w:rFonts w:ascii="宋体" w:hAnsi="宋体" w:cs="宋体"/>
                <w:color w:val="auto"/>
                <w:szCs w:val="21"/>
                <w:highlight w:val="none"/>
                <w:u w:val="single"/>
              </w:rPr>
              <w:t xml:space="preserve"> </w:t>
            </w:r>
            <w:r>
              <w:rPr>
                <w:rFonts w:hint="eastAsia" w:ascii="宋体" w:hAnsi="宋体" w:cs="宋体"/>
                <w:color w:val="auto"/>
                <w:szCs w:val="21"/>
                <w:highlight w:val="none"/>
              </w:rPr>
              <w:t>人</w:t>
            </w:r>
          </w:p>
        </w:tc>
      </w:tr>
      <w:tr w14:paraId="2F54B441">
        <w:tblPrEx>
          <w:tblCellMar>
            <w:top w:w="0" w:type="dxa"/>
            <w:left w:w="108" w:type="dxa"/>
            <w:bottom w:w="0" w:type="dxa"/>
            <w:right w:w="108" w:type="dxa"/>
          </w:tblCellMar>
        </w:tblPrEx>
        <w:trPr>
          <w:trHeight w:val="880" w:hRule="atLeast"/>
        </w:trPr>
        <w:tc>
          <w:tcPr>
            <w:tcW w:w="993" w:type="dxa"/>
            <w:tcBorders>
              <w:top w:val="single" w:color="auto" w:sz="4" w:space="0"/>
              <w:left w:val="single" w:color="auto" w:sz="4" w:space="0"/>
              <w:right w:val="single" w:color="auto" w:sz="4" w:space="0"/>
            </w:tcBorders>
            <w:vAlign w:val="center"/>
          </w:tcPr>
          <w:p w14:paraId="3E0AE314">
            <w:pPr>
              <w:jc w:val="center"/>
              <w:rPr>
                <w:color w:val="auto"/>
                <w:szCs w:val="21"/>
                <w:highlight w:val="none"/>
              </w:rPr>
            </w:pPr>
            <w:r>
              <w:rPr>
                <w:rFonts w:hint="eastAsia"/>
                <w:color w:val="auto"/>
                <w:szCs w:val="21"/>
                <w:highlight w:val="none"/>
              </w:rPr>
              <w:t>7.3.2</w:t>
            </w:r>
          </w:p>
        </w:tc>
        <w:tc>
          <w:tcPr>
            <w:tcW w:w="1843" w:type="dxa"/>
            <w:tcBorders>
              <w:top w:val="single" w:color="auto" w:sz="4" w:space="0"/>
              <w:left w:val="single" w:color="auto" w:sz="4" w:space="0"/>
              <w:right w:val="single" w:color="auto" w:sz="4" w:space="0"/>
            </w:tcBorders>
            <w:vAlign w:val="center"/>
          </w:tcPr>
          <w:p w14:paraId="42B647B6">
            <w:pPr>
              <w:jc w:val="left"/>
              <w:rPr>
                <w:rFonts w:ascii="宋体" w:hAnsi="宋体" w:cs="宋体"/>
                <w:color w:val="auto"/>
                <w:szCs w:val="21"/>
                <w:highlight w:val="none"/>
              </w:rPr>
            </w:pPr>
            <w:r>
              <w:rPr>
                <w:rFonts w:hint="eastAsia" w:ascii="宋体" w:hAnsi="宋体" w:cs="宋体"/>
                <w:color w:val="auto"/>
                <w:szCs w:val="21"/>
                <w:highlight w:val="none"/>
              </w:rPr>
              <w:t>成交原则</w:t>
            </w:r>
          </w:p>
        </w:tc>
        <w:tc>
          <w:tcPr>
            <w:tcW w:w="6095" w:type="dxa"/>
            <w:tcBorders>
              <w:top w:val="single" w:color="auto" w:sz="4" w:space="0"/>
              <w:left w:val="single" w:color="auto" w:sz="4" w:space="0"/>
              <w:right w:val="single" w:color="auto" w:sz="4" w:space="0"/>
            </w:tcBorders>
            <w:vAlign w:val="center"/>
          </w:tcPr>
          <w:p w14:paraId="0D87D721">
            <w:pPr>
              <w:autoSpaceDE w:val="0"/>
              <w:autoSpaceDN w:val="0"/>
              <w:rPr>
                <w:rFonts w:ascii="宋体" w:hAnsi="宋体" w:cs="宋体"/>
                <w:color w:val="auto"/>
                <w:szCs w:val="21"/>
                <w:highlight w:val="none"/>
              </w:rPr>
            </w:pPr>
            <w:r>
              <w:rPr>
                <w:color w:val="auto"/>
                <w:szCs w:val="21"/>
                <w:highlight w:val="none"/>
              </w:rPr>
              <w:t>采购人</w:t>
            </w:r>
            <w:r>
              <w:rPr>
                <w:rFonts w:hint="eastAsia"/>
                <w:color w:val="auto"/>
                <w:szCs w:val="21"/>
                <w:highlight w:val="none"/>
              </w:rPr>
              <w:t>根据谈判小组推荐的</w:t>
            </w:r>
            <w:r>
              <w:rPr>
                <w:color w:val="auto"/>
                <w:szCs w:val="21"/>
                <w:highlight w:val="none"/>
              </w:rPr>
              <w:t>成交候选人</w:t>
            </w:r>
            <w:r>
              <w:rPr>
                <w:rFonts w:hint="eastAsia"/>
                <w:color w:val="auto"/>
                <w:szCs w:val="21"/>
                <w:highlight w:val="none"/>
              </w:rPr>
              <w:t>名单排序</w:t>
            </w:r>
            <w:r>
              <w:rPr>
                <w:color w:val="auto"/>
                <w:szCs w:val="21"/>
                <w:highlight w:val="none"/>
              </w:rPr>
              <w:t>依次确定成交人</w:t>
            </w:r>
            <w:r>
              <w:rPr>
                <w:rFonts w:hint="eastAsia"/>
                <w:color w:val="auto"/>
                <w:szCs w:val="21"/>
                <w:highlight w:val="none"/>
              </w:rPr>
              <w:t>。</w:t>
            </w:r>
          </w:p>
        </w:tc>
      </w:tr>
      <w:tr w14:paraId="5FF23982">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5F93DBFB">
            <w:pPr>
              <w:jc w:val="center"/>
              <w:rPr>
                <w:color w:val="auto"/>
                <w:szCs w:val="21"/>
                <w:highlight w:val="none"/>
              </w:rPr>
            </w:pPr>
            <w:r>
              <w:rPr>
                <w:rFonts w:hint="eastAsia"/>
                <w:color w:val="auto"/>
                <w:szCs w:val="21"/>
                <w:highlight w:val="none"/>
              </w:rPr>
              <w:t>8.1.1</w:t>
            </w:r>
          </w:p>
        </w:tc>
        <w:tc>
          <w:tcPr>
            <w:tcW w:w="1843" w:type="dxa"/>
            <w:tcBorders>
              <w:top w:val="single" w:color="auto" w:sz="4" w:space="0"/>
              <w:left w:val="single" w:color="auto" w:sz="4" w:space="0"/>
              <w:bottom w:val="single" w:color="auto" w:sz="4" w:space="0"/>
              <w:right w:val="single" w:color="auto" w:sz="4" w:space="0"/>
            </w:tcBorders>
            <w:vAlign w:val="center"/>
          </w:tcPr>
          <w:p w14:paraId="466B1921">
            <w:pPr>
              <w:jc w:val="left"/>
              <w:rPr>
                <w:color w:val="auto"/>
                <w:szCs w:val="21"/>
                <w:highlight w:val="none"/>
              </w:rPr>
            </w:pPr>
            <w:r>
              <w:rPr>
                <w:rFonts w:hint="eastAsia" w:ascii="宋体" w:hAnsi="宋体" w:cs="宋体"/>
                <w:color w:val="auto"/>
                <w:szCs w:val="21"/>
                <w:highlight w:val="none"/>
              </w:rPr>
              <w:t>履约担保金额、缴纳方式及要求</w:t>
            </w:r>
          </w:p>
        </w:tc>
        <w:tc>
          <w:tcPr>
            <w:tcW w:w="6095" w:type="dxa"/>
            <w:tcBorders>
              <w:top w:val="single" w:color="auto" w:sz="4" w:space="0"/>
              <w:left w:val="single" w:color="auto" w:sz="4" w:space="0"/>
              <w:bottom w:val="single" w:color="auto" w:sz="4" w:space="0"/>
              <w:right w:val="single" w:color="auto" w:sz="4" w:space="0"/>
            </w:tcBorders>
            <w:vAlign w:val="center"/>
          </w:tcPr>
          <w:p w14:paraId="15AFE4E0">
            <w:pPr>
              <w:autoSpaceDE w:val="0"/>
              <w:autoSpaceDN w:val="0"/>
              <w:jc w:val="left"/>
              <w:rPr>
                <w:rFonts w:ascii="宋体" w:hAnsi="宋体" w:cs="宋体"/>
                <w:color w:val="auto"/>
                <w:szCs w:val="21"/>
                <w:highlight w:val="none"/>
              </w:rPr>
            </w:pPr>
            <w:r>
              <w:rPr>
                <w:rFonts w:hint="eastAsia" w:ascii="宋体" w:hAnsi="宋体" w:cs="宋体"/>
                <w:color w:val="auto"/>
                <w:szCs w:val="21"/>
                <w:highlight w:val="none"/>
              </w:rPr>
              <w:t>1.履约担保金额：合同金额的</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10</w:t>
            </w:r>
            <w:r>
              <w:rPr>
                <w:rFonts w:ascii="宋体" w:hAnsi="宋体" w:cs="宋体"/>
                <w:color w:val="auto"/>
                <w:szCs w:val="21"/>
                <w:highlight w:val="none"/>
                <w:u w:val="single"/>
              </w:rPr>
              <w:t xml:space="preserve"> </w:t>
            </w:r>
            <w:r>
              <w:rPr>
                <w:rFonts w:ascii="宋体" w:hAnsi="宋体" w:cs="宋体"/>
                <w:color w:val="auto"/>
                <w:szCs w:val="21"/>
                <w:highlight w:val="none"/>
              </w:rPr>
              <w:t>%</w:t>
            </w:r>
          </w:p>
          <w:p w14:paraId="17EC2FB5">
            <w:pPr>
              <w:rPr>
                <w:rFonts w:ascii="宋体" w:hAnsi="宋体" w:cs="宋体"/>
                <w:color w:val="auto"/>
                <w:szCs w:val="21"/>
                <w:highlight w:val="none"/>
                <w:u w:val="single"/>
              </w:rPr>
            </w:pPr>
            <w:r>
              <w:rPr>
                <w:rFonts w:hint="eastAsia" w:ascii="宋体" w:hAnsi="宋体" w:cs="宋体"/>
                <w:color w:val="auto"/>
                <w:szCs w:val="21"/>
                <w:highlight w:val="none"/>
              </w:rPr>
              <w:t>2.履约担保方式：</w:t>
            </w:r>
            <w:r>
              <w:rPr>
                <w:rFonts w:hint="eastAsia" w:ascii="宋体" w:hAnsi="宋体" w:cs="宋体"/>
                <w:color w:val="auto"/>
                <w:szCs w:val="21"/>
                <w:highlight w:val="none"/>
                <w:u w:val="single"/>
              </w:rPr>
              <w:t>（现金/银行汇票/银行支票/银行保函）</w:t>
            </w:r>
          </w:p>
          <w:p w14:paraId="5AEEED6C">
            <w:pPr>
              <w:rPr>
                <w:rFonts w:hAnsi="宋体"/>
                <w:color w:val="auto"/>
                <w:szCs w:val="21"/>
                <w:highlight w:val="none"/>
                <w:lang w:val="zh-CN"/>
              </w:rPr>
            </w:pPr>
            <w:r>
              <w:rPr>
                <w:rFonts w:hint="eastAsia" w:hAnsi="宋体"/>
                <w:color w:val="auto"/>
                <w:szCs w:val="21"/>
                <w:highlight w:val="none"/>
                <w:lang w:val="zh-CN"/>
              </w:rPr>
              <w:t>3.响应人在合同签订前提交履约担保，履约担保金额不超过成交合同金额的10%，如果成交人提交的履约保函的有效期先于合同要求的履约保函有效期到达，成交人应在原提交的履约保函有效期满前15天，无条件办理保函延期手续。否则，视为成交人违约，采购人可在保函到期前将保函金额转为现金存入履约保证金帐户。</w:t>
            </w:r>
          </w:p>
          <w:p w14:paraId="1B172AB1">
            <w:pPr>
              <w:rPr>
                <w:rFonts w:hAnsi="宋体"/>
                <w:color w:val="auto"/>
                <w:szCs w:val="21"/>
                <w:highlight w:val="none"/>
                <w:lang w:val="zh-CN"/>
              </w:rPr>
            </w:pPr>
            <w:r>
              <w:rPr>
                <w:rFonts w:hint="eastAsia" w:hAnsi="宋体"/>
                <w:color w:val="auto"/>
                <w:szCs w:val="21"/>
                <w:highlight w:val="none"/>
                <w:lang w:val="zh-CN"/>
              </w:rPr>
              <w:t>4.履约担保期限</w:t>
            </w:r>
            <w:r>
              <w:rPr>
                <w:rFonts w:hint="eastAsia" w:hAnsi="宋体"/>
                <w:color w:val="auto"/>
                <w:szCs w:val="21"/>
                <w:highlight w:val="none"/>
                <w:u w:val="single"/>
                <w:lang w:val="zh-CN"/>
              </w:rPr>
              <w:t>从合同签订之日起至项目完工验收合格并结算完毕后，经双方签字7天内保持有效</w:t>
            </w:r>
            <w:r>
              <w:rPr>
                <w:rFonts w:hint="eastAsia" w:hAnsi="宋体"/>
                <w:color w:val="auto"/>
                <w:szCs w:val="21"/>
                <w:highlight w:val="none"/>
                <w:lang w:val="zh-CN"/>
              </w:rPr>
              <w:t>。</w:t>
            </w:r>
          </w:p>
          <w:p w14:paraId="62CD95B3">
            <w:pPr>
              <w:rPr>
                <w:rFonts w:hAnsi="宋体"/>
                <w:color w:val="auto"/>
                <w:szCs w:val="21"/>
                <w:highlight w:val="none"/>
                <w:lang w:val="zh-CN"/>
              </w:rPr>
            </w:pPr>
            <w:r>
              <w:rPr>
                <w:rFonts w:hint="eastAsia" w:hAnsi="宋体"/>
                <w:color w:val="auto"/>
                <w:szCs w:val="21"/>
                <w:highlight w:val="none"/>
                <w:lang w:val="zh-CN"/>
              </w:rPr>
              <w:t>5.履约担保要求：</w:t>
            </w:r>
          </w:p>
          <w:p w14:paraId="03F4E639">
            <w:pPr>
              <w:rPr>
                <w:rFonts w:hAnsi="宋体"/>
                <w:color w:val="auto"/>
                <w:szCs w:val="21"/>
                <w:highlight w:val="none"/>
                <w:lang w:val="zh-CN"/>
              </w:rPr>
            </w:pPr>
            <w:r>
              <w:rPr>
                <w:rFonts w:hint="eastAsia" w:hAnsi="宋体"/>
                <w:color w:val="auto"/>
                <w:szCs w:val="21"/>
                <w:highlight w:val="none"/>
                <w:lang w:val="zh-CN"/>
              </w:rPr>
              <w:t>（1）履约保函。如果响应人的履约担保是以银行保函形式提供的，则该银行保函应：</w:t>
            </w:r>
          </w:p>
          <w:p w14:paraId="6530C54A">
            <w:pPr>
              <w:rPr>
                <w:rFonts w:hAnsi="宋体"/>
                <w:color w:val="auto"/>
                <w:szCs w:val="21"/>
                <w:highlight w:val="none"/>
                <w:lang w:val="zh-CN"/>
              </w:rPr>
            </w:pPr>
            <w:r>
              <w:rPr>
                <w:rFonts w:hint="eastAsia" w:hAnsi="宋体"/>
                <w:color w:val="auto"/>
                <w:szCs w:val="21"/>
                <w:highlight w:val="none"/>
                <w:lang w:val="zh-CN"/>
              </w:rPr>
              <w:t>①保函应由银行支行或以上银行机构开具，非东莞市行政区内的银行开具的保函要由银行所在地公证部门出具的公证书。</w:t>
            </w:r>
          </w:p>
          <w:p w14:paraId="1B0D84A6">
            <w:pPr>
              <w:rPr>
                <w:rFonts w:hAnsi="宋体"/>
                <w:color w:val="auto"/>
                <w:szCs w:val="21"/>
                <w:highlight w:val="none"/>
                <w:lang w:val="zh-CN"/>
              </w:rPr>
            </w:pPr>
            <w:r>
              <w:rPr>
                <w:rFonts w:hint="eastAsia" w:hAnsi="宋体"/>
                <w:color w:val="auto"/>
                <w:szCs w:val="21"/>
                <w:highlight w:val="none"/>
                <w:lang w:val="zh-CN"/>
              </w:rPr>
              <w:t>②保函的格式参考竞争性谈判文件中提供的无条件不可撤销履约保函格式，保函担保期内若项目未能按期竣工，保函必须延期，办理延期手续时在银行方面所产生费用由报价人负责。</w:t>
            </w:r>
          </w:p>
          <w:p w14:paraId="70A682D5">
            <w:pPr>
              <w:rPr>
                <w:rFonts w:hAnsi="宋体"/>
                <w:color w:val="auto"/>
                <w:szCs w:val="21"/>
                <w:highlight w:val="none"/>
                <w:lang w:val="zh-CN"/>
              </w:rPr>
            </w:pPr>
            <w:r>
              <w:rPr>
                <w:rFonts w:hint="eastAsia" w:hAnsi="宋体"/>
                <w:color w:val="auto"/>
                <w:szCs w:val="21"/>
                <w:highlight w:val="none"/>
                <w:lang w:val="zh-CN"/>
              </w:rPr>
              <w:t>③履约保函必须打印，手写、涂改无效。</w:t>
            </w:r>
          </w:p>
          <w:p w14:paraId="3EF61DDD">
            <w:pPr>
              <w:rPr>
                <w:rFonts w:hAnsi="宋体"/>
                <w:color w:val="auto"/>
                <w:szCs w:val="21"/>
                <w:highlight w:val="none"/>
                <w:lang w:val="zh-CN"/>
              </w:rPr>
            </w:pPr>
            <w:r>
              <w:rPr>
                <w:rFonts w:hint="eastAsia" w:hAnsi="宋体"/>
                <w:color w:val="auto"/>
                <w:szCs w:val="21"/>
                <w:highlight w:val="none"/>
                <w:lang w:val="zh-CN"/>
              </w:rPr>
              <w:t>（2）履约保证金。可采用电汇、银行汇票等银行转帐方式提交，但不可以采用现金方式提交。响应人必须保证履约保证金以响应人名称在</w:t>
            </w:r>
            <w:r>
              <w:rPr>
                <w:rFonts w:hint="eastAsia" w:hAnsi="宋体"/>
                <w:color w:val="auto"/>
                <w:szCs w:val="21"/>
                <w:highlight w:val="none"/>
                <w:u w:val="single"/>
                <w:lang w:val="zh-CN"/>
              </w:rPr>
              <w:t>签订合同</w:t>
            </w:r>
            <w:r>
              <w:rPr>
                <w:rFonts w:hint="eastAsia" w:hAnsi="宋体"/>
                <w:color w:val="auto"/>
                <w:szCs w:val="21"/>
                <w:highlight w:val="none"/>
                <w:lang w:val="zh-CN"/>
              </w:rPr>
              <w:t>前提交至采购人指定账户。</w:t>
            </w:r>
          </w:p>
          <w:p w14:paraId="02E48420">
            <w:pPr>
              <w:rPr>
                <w:rFonts w:hAnsi="宋体"/>
                <w:color w:val="auto"/>
                <w:szCs w:val="21"/>
                <w:highlight w:val="none"/>
                <w:lang w:val="zh-CN"/>
              </w:rPr>
            </w:pPr>
            <w:r>
              <w:rPr>
                <w:rFonts w:hint="eastAsia" w:hAnsi="宋体"/>
                <w:color w:val="auto"/>
                <w:szCs w:val="21"/>
                <w:highlight w:val="none"/>
                <w:lang w:val="zh-CN"/>
              </w:rPr>
              <w:t>（3）若成交人不能按本竞争性谈判文件的规定提交履约保证金的，采购人将有权取消成交人的成交资格（采购人可以按照谈判小组提出的成交候选人名单排序依次确定其他成交候选人为成交人，也可以重新采购），谈判保证金不予退还，给采购人造成的损失如果超过谈判保证金数额的，还应当对超过部分予以赔偿。</w:t>
            </w:r>
          </w:p>
          <w:p w14:paraId="13AD7520">
            <w:pPr>
              <w:rPr>
                <w:rFonts w:hAnsi="宋体"/>
                <w:color w:val="auto"/>
                <w:szCs w:val="21"/>
                <w:highlight w:val="none"/>
                <w:lang w:val="zh-CN"/>
              </w:rPr>
            </w:pPr>
            <w:r>
              <w:rPr>
                <w:rFonts w:hint="eastAsia" w:hAnsi="宋体"/>
                <w:color w:val="auto"/>
                <w:szCs w:val="21"/>
                <w:highlight w:val="none"/>
                <w:lang w:val="zh-CN"/>
              </w:rPr>
              <w:t>（4）为取得履约担保所需的费用，由成交人承担；若工期延误，履约担保时间延长，延长费用由成交人承担。</w:t>
            </w:r>
          </w:p>
          <w:p w14:paraId="00731AA2">
            <w:pPr>
              <w:rPr>
                <w:rFonts w:hAnsi="宋体"/>
                <w:color w:val="auto"/>
                <w:szCs w:val="21"/>
                <w:highlight w:val="none"/>
                <w:lang w:val="zh-CN"/>
              </w:rPr>
            </w:pPr>
            <w:r>
              <w:rPr>
                <w:rFonts w:hint="eastAsia" w:hAnsi="宋体"/>
                <w:color w:val="auto"/>
                <w:szCs w:val="21"/>
                <w:highlight w:val="none"/>
                <w:lang w:val="zh-CN"/>
              </w:rPr>
              <w:t>（5）若成交人在合同履行过程中出现项目质量事故、工期拖延、欠付工人工资、欠付材料款等情况，采购人在经核查属实后，有权将履约保函金额转为现金存入履约保证金账户；成交人造成采购人损失的，采购人有权立即没收其履约担保，若造成损失超过履约担保的，还应当对超过部分予以赔偿。</w:t>
            </w:r>
          </w:p>
          <w:p w14:paraId="5AD16056">
            <w:pPr>
              <w:rPr>
                <w:rFonts w:hAnsi="宋体"/>
                <w:color w:val="auto"/>
                <w:szCs w:val="21"/>
                <w:highlight w:val="none"/>
                <w:lang w:val="zh-CN"/>
              </w:rPr>
            </w:pPr>
            <w:r>
              <w:rPr>
                <w:rFonts w:hint="eastAsia" w:hAnsi="宋体"/>
                <w:color w:val="auto"/>
                <w:szCs w:val="21"/>
                <w:highlight w:val="none"/>
                <w:lang w:val="zh-CN"/>
              </w:rPr>
              <w:t>（6）下列任何情况发生时，采购人有权行使享有的担保权利：</w:t>
            </w:r>
          </w:p>
          <w:p w14:paraId="2D69B8E2">
            <w:pPr>
              <w:rPr>
                <w:rFonts w:hAnsi="宋体"/>
                <w:color w:val="auto"/>
                <w:szCs w:val="21"/>
                <w:highlight w:val="none"/>
                <w:lang w:val="zh-CN"/>
              </w:rPr>
            </w:pPr>
            <w:r>
              <w:rPr>
                <w:rFonts w:hint="eastAsia" w:hAnsi="宋体"/>
                <w:color w:val="auto"/>
                <w:szCs w:val="21"/>
                <w:highlight w:val="none"/>
                <w:lang w:val="zh-CN"/>
              </w:rPr>
              <w:t>①成交人将本项目转让给他人，或者在报价文件中未说明，且未经采购人同意，将成交项目分包给他人的；</w:t>
            </w:r>
          </w:p>
          <w:p w14:paraId="4BE67BC9">
            <w:pPr>
              <w:rPr>
                <w:rFonts w:hAnsi="宋体"/>
                <w:color w:val="auto"/>
                <w:szCs w:val="21"/>
                <w:highlight w:val="none"/>
                <w:lang w:val="zh-CN"/>
              </w:rPr>
            </w:pPr>
            <w:r>
              <w:rPr>
                <w:rFonts w:hint="eastAsia" w:hAnsi="宋体"/>
                <w:color w:val="auto"/>
                <w:szCs w:val="21"/>
                <w:highlight w:val="none"/>
                <w:lang w:val="zh-CN"/>
              </w:rPr>
              <w:t>②成交人在履行采购合同期间，违反有关法律法规的规定及合同约定的条款，损害了采购人的利益。</w:t>
            </w:r>
          </w:p>
          <w:p w14:paraId="6427A502">
            <w:pPr>
              <w:rPr>
                <w:color w:val="auto"/>
                <w:szCs w:val="21"/>
                <w:highlight w:val="none"/>
              </w:rPr>
            </w:pPr>
            <w:r>
              <w:rPr>
                <w:rFonts w:hint="eastAsia" w:hAnsi="宋体"/>
                <w:color w:val="auto"/>
                <w:szCs w:val="21"/>
                <w:highlight w:val="none"/>
                <w:lang w:val="zh-CN"/>
              </w:rPr>
              <w:t>（7）在整个项目验收合格后，成交人向采购人提交退回履约担保的申请，采购人办理履约担保退还手续。</w:t>
            </w:r>
          </w:p>
        </w:tc>
      </w:tr>
      <w:tr w14:paraId="6C9D4845">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6A950CC3">
            <w:pPr>
              <w:jc w:val="center"/>
              <w:rPr>
                <w:color w:val="auto"/>
                <w:szCs w:val="21"/>
                <w:highlight w:val="none"/>
              </w:rPr>
            </w:pPr>
            <w:r>
              <w:rPr>
                <w:rFonts w:hint="eastAsia"/>
                <w:color w:val="auto"/>
                <w:szCs w:val="21"/>
                <w:highlight w:val="none"/>
              </w:rPr>
              <w:t>9</w:t>
            </w:r>
          </w:p>
        </w:tc>
        <w:tc>
          <w:tcPr>
            <w:tcW w:w="1843" w:type="dxa"/>
            <w:tcBorders>
              <w:top w:val="single" w:color="auto" w:sz="4" w:space="0"/>
              <w:left w:val="single" w:color="auto" w:sz="4" w:space="0"/>
              <w:bottom w:val="single" w:color="auto" w:sz="4" w:space="0"/>
              <w:right w:val="single" w:color="auto" w:sz="4" w:space="0"/>
            </w:tcBorders>
            <w:vAlign w:val="center"/>
          </w:tcPr>
          <w:p w14:paraId="73177B30">
            <w:pPr>
              <w:jc w:val="left"/>
              <w:rPr>
                <w:color w:val="auto"/>
                <w:szCs w:val="21"/>
                <w:highlight w:val="none"/>
              </w:rPr>
            </w:pPr>
            <w:r>
              <w:rPr>
                <w:rFonts w:hint="eastAsia" w:ascii="宋体" w:hAnsi="宋体" w:cs="宋体"/>
                <w:color w:val="auto"/>
                <w:szCs w:val="21"/>
                <w:highlight w:val="none"/>
              </w:rPr>
              <w:t>采购代理服务费金额、交纳方式和时限</w:t>
            </w:r>
          </w:p>
        </w:tc>
        <w:tc>
          <w:tcPr>
            <w:tcW w:w="6095" w:type="dxa"/>
            <w:tcBorders>
              <w:top w:val="single" w:color="auto" w:sz="4" w:space="0"/>
              <w:left w:val="single" w:color="auto" w:sz="4" w:space="0"/>
              <w:bottom w:val="single" w:color="auto" w:sz="4" w:space="0"/>
              <w:right w:val="single" w:color="auto" w:sz="4" w:space="0"/>
            </w:tcBorders>
            <w:vAlign w:val="center"/>
          </w:tcPr>
          <w:p w14:paraId="66DDE549">
            <w:pPr>
              <w:autoSpaceDE w:val="0"/>
              <w:autoSpaceDN w:val="0"/>
              <w:rPr>
                <w:rFonts w:ascii="宋体" w:hAnsi="宋体" w:cs="宋体"/>
                <w:color w:val="auto"/>
                <w:szCs w:val="21"/>
                <w:highlight w:val="none"/>
              </w:rPr>
            </w:pPr>
            <w:r>
              <w:rPr>
                <w:rFonts w:hint="eastAsia"/>
                <w:color w:val="auto"/>
                <w:szCs w:val="21"/>
                <w:highlight w:val="none"/>
              </w:rPr>
              <w:t>■</w:t>
            </w:r>
            <w:r>
              <w:rPr>
                <w:rFonts w:hint="eastAsia" w:hAnsi="宋体"/>
                <w:color w:val="auto"/>
                <w:szCs w:val="21"/>
                <w:highlight w:val="none"/>
              </w:rPr>
              <w:t>由采购人支付</w:t>
            </w:r>
          </w:p>
          <w:p w14:paraId="69B1FD4E">
            <w:pPr>
              <w:autoSpaceDE w:val="0"/>
              <w:autoSpaceDN w:val="0"/>
              <w:rPr>
                <w:rFonts w:ascii="宋体" w:hAnsi="宋体"/>
                <w:color w:val="auto"/>
                <w:szCs w:val="21"/>
                <w:highlight w:val="none"/>
              </w:rPr>
            </w:pPr>
            <w:r>
              <w:rPr>
                <w:rFonts w:hint="eastAsia" w:ascii="宋体" w:hAnsi="宋体"/>
                <w:color w:val="auto"/>
                <w:szCs w:val="21"/>
                <w:highlight w:val="none"/>
              </w:rPr>
              <w:t>□</w:t>
            </w:r>
            <w:r>
              <w:rPr>
                <w:rFonts w:hint="eastAsia"/>
                <w:color w:val="auto"/>
                <w:szCs w:val="21"/>
                <w:highlight w:val="none"/>
              </w:rPr>
              <w:t>由成交人支付，具体如下：</w:t>
            </w:r>
          </w:p>
          <w:p w14:paraId="6C4F86BB">
            <w:pPr>
              <w:autoSpaceDE w:val="0"/>
              <w:autoSpaceDN w:val="0"/>
              <w:rPr>
                <w:rFonts w:ascii="宋体" w:hAnsi="宋体" w:cs="宋体"/>
                <w:color w:val="auto"/>
                <w:szCs w:val="21"/>
                <w:highlight w:val="none"/>
              </w:rPr>
            </w:pPr>
            <w:r>
              <w:rPr>
                <w:rFonts w:hint="eastAsia" w:ascii="宋体" w:hAnsi="宋体"/>
                <w:b/>
                <w:color w:val="auto"/>
                <w:szCs w:val="21"/>
                <w:highlight w:val="none"/>
              </w:rPr>
              <w:t>采购代理服务费的金额：</w:t>
            </w:r>
            <w:r>
              <w:rPr>
                <w:rFonts w:hint="eastAsia" w:ascii="宋体" w:hAnsi="宋体" w:eastAsia="宋体" w:cs="宋体"/>
                <w:color w:val="auto"/>
                <w:sz w:val="21"/>
                <w:szCs w:val="21"/>
                <w:highlight w:val="none"/>
                <w:u w:val="single"/>
              </w:rPr>
              <w:t>按国家计委《招标代理服务收费管理暂行办法》及《国家发展改革委关于降低部分建设项目收费标准规范收费行为等有关问题的通知》规定标准的70%收取</w:t>
            </w:r>
            <w:r>
              <w:rPr>
                <w:rFonts w:hint="eastAsia" w:ascii="宋体" w:hAnsi="宋体"/>
                <w:b/>
                <w:color w:val="auto"/>
                <w:szCs w:val="21"/>
                <w:highlight w:val="none"/>
                <w:u w:val="single"/>
              </w:rPr>
              <w:t>。</w:t>
            </w:r>
          </w:p>
          <w:p w14:paraId="41F09544">
            <w:pPr>
              <w:autoSpaceDE w:val="0"/>
              <w:autoSpaceDN w:val="0"/>
              <w:rPr>
                <w:rFonts w:ascii="宋体" w:hAnsi="宋体" w:cs="宋体"/>
                <w:color w:val="auto"/>
                <w:szCs w:val="21"/>
                <w:highlight w:val="none"/>
              </w:rPr>
            </w:pPr>
            <w:r>
              <w:rPr>
                <w:rFonts w:hint="eastAsia" w:ascii="宋体" w:hAnsi="宋体" w:cs="宋体"/>
                <w:color w:val="auto"/>
                <w:szCs w:val="21"/>
                <w:highlight w:val="none"/>
              </w:rPr>
              <w:t>交纳方式：</w:t>
            </w:r>
            <w:r>
              <w:rPr>
                <w:rFonts w:hint="eastAsia" w:ascii="宋体" w:hAnsi="宋体" w:cs="宋体"/>
                <w:color w:val="auto"/>
                <w:szCs w:val="21"/>
                <w:highlight w:val="none"/>
                <w:u w:val="single"/>
              </w:rPr>
              <w:t>详见第六章响应文件格式</w:t>
            </w:r>
          </w:p>
          <w:p w14:paraId="459B29BE">
            <w:pPr>
              <w:autoSpaceDE w:val="0"/>
              <w:autoSpaceDN w:val="0"/>
              <w:rPr>
                <w:rFonts w:ascii="宋体" w:hAnsi="宋体"/>
                <w:color w:val="auto"/>
                <w:szCs w:val="21"/>
                <w:highlight w:val="none"/>
              </w:rPr>
            </w:pPr>
            <w:r>
              <w:rPr>
                <w:rFonts w:hint="eastAsia" w:ascii="宋体" w:hAnsi="宋体" w:cs="宋体"/>
                <w:color w:val="auto"/>
                <w:szCs w:val="21"/>
                <w:highlight w:val="none"/>
              </w:rPr>
              <w:t>交纳时限：</w:t>
            </w:r>
            <w:r>
              <w:rPr>
                <w:rFonts w:hint="eastAsia" w:ascii="宋体" w:hAnsi="宋体" w:cs="宋体"/>
                <w:color w:val="auto"/>
                <w:szCs w:val="21"/>
                <w:highlight w:val="none"/>
                <w:u w:val="single"/>
              </w:rPr>
              <w:t>详见第六章响应文件格式</w:t>
            </w:r>
          </w:p>
        </w:tc>
      </w:tr>
      <w:tr w14:paraId="02567732">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14:paraId="68EA6EA2">
            <w:pPr>
              <w:jc w:val="center"/>
              <w:rPr>
                <w:color w:val="auto"/>
                <w:szCs w:val="21"/>
                <w:highlight w:val="none"/>
              </w:rPr>
            </w:pPr>
            <w:r>
              <w:rPr>
                <w:rFonts w:hint="eastAsia"/>
                <w:color w:val="auto"/>
                <w:szCs w:val="21"/>
                <w:highlight w:val="none"/>
              </w:rPr>
              <w:t>11</w:t>
            </w:r>
          </w:p>
        </w:tc>
        <w:tc>
          <w:tcPr>
            <w:tcW w:w="7938" w:type="dxa"/>
            <w:gridSpan w:val="2"/>
            <w:tcBorders>
              <w:top w:val="single" w:color="auto" w:sz="4" w:space="0"/>
              <w:left w:val="single" w:color="auto" w:sz="4" w:space="0"/>
              <w:bottom w:val="single" w:color="auto" w:sz="4" w:space="0"/>
              <w:right w:val="single" w:color="auto" w:sz="4" w:space="0"/>
            </w:tcBorders>
            <w:vAlign w:val="center"/>
          </w:tcPr>
          <w:p w14:paraId="04A32887">
            <w:pPr>
              <w:jc w:val="left"/>
              <w:rPr>
                <w:color w:val="auto"/>
                <w:szCs w:val="21"/>
                <w:highlight w:val="none"/>
              </w:rPr>
            </w:pPr>
            <w:r>
              <w:rPr>
                <w:rFonts w:hint="eastAsia" w:ascii="宋体" w:hAnsi="宋体" w:cs="宋体"/>
                <w:color w:val="auto"/>
                <w:szCs w:val="21"/>
                <w:highlight w:val="none"/>
              </w:rPr>
              <w:t>需要补充的其他内容</w:t>
            </w:r>
          </w:p>
        </w:tc>
      </w:tr>
    </w:tbl>
    <w:p w14:paraId="71D953A1">
      <w:pPr>
        <w:widowControl/>
        <w:jc w:val="left"/>
        <w:rPr>
          <w:b/>
          <w:color w:val="auto"/>
          <w:highlight w:val="none"/>
        </w:rPr>
      </w:pPr>
    </w:p>
    <w:p w14:paraId="396A43B8">
      <w:pPr>
        <w:widowControl/>
        <w:jc w:val="left"/>
        <w:rPr>
          <w:b/>
          <w:color w:val="auto"/>
          <w:highlight w:val="none"/>
        </w:rPr>
      </w:pPr>
      <w:r>
        <w:rPr>
          <w:b/>
          <w:color w:val="auto"/>
          <w:highlight w:val="none"/>
        </w:rPr>
        <w:br w:type="page"/>
      </w:r>
    </w:p>
    <w:p w14:paraId="3CB4C9FA">
      <w:pPr>
        <w:pStyle w:val="3"/>
        <w:rPr>
          <w:rFonts w:ascii="黑体" w:hAnsi="黑体"/>
          <w:color w:val="auto"/>
          <w:highlight w:val="none"/>
        </w:rPr>
      </w:pPr>
      <w:bookmarkStart w:id="8" w:name="_Toc75852752"/>
      <w:bookmarkStart w:id="9" w:name="_Toc456551876"/>
      <w:r>
        <w:rPr>
          <w:rFonts w:hint="eastAsia" w:ascii="黑体" w:hAnsi="黑体"/>
          <w:color w:val="auto"/>
          <w:highlight w:val="none"/>
        </w:rPr>
        <w:t>1. 总则</w:t>
      </w:r>
      <w:bookmarkEnd w:id="8"/>
      <w:bookmarkEnd w:id="9"/>
    </w:p>
    <w:p w14:paraId="7EB55761">
      <w:pPr>
        <w:spacing w:line="400" w:lineRule="exact"/>
        <w:rPr>
          <w:rFonts w:ascii="宋体" w:hAnsi="宋体"/>
          <w:b/>
          <w:color w:val="auto"/>
          <w:sz w:val="32"/>
          <w:szCs w:val="32"/>
          <w:highlight w:val="none"/>
        </w:rPr>
      </w:pPr>
      <w:bookmarkStart w:id="10" w:name="_Toc475552123"/>
      <w:bookmarkStart w:id="11" w:name="_Toc456551877"/>
      <w:r>
        <w:rPr>
          <w:rFonts w:hint="eastAsia" w:ascii="宋体" w:hAnsi="宋体"/>
          <w:b/>
          <w:color w:val="auto"/>
          <w:sz w:val="32"/>
          <w:szCs w:val="32"/>
          <w:highlight w:val="none"/>
        </w:rPr>
        <w:t>1.1 项目概况</w:t>
      </w:r>
      <w:bookmarkEnd w:id="10"/>
      <w:bookmarkEnd w:id="11"/>
    </w:p>
    <w:p w14:paraId="0DE62318">
      <w:pPr>
        <w:spacing w:line="400" w:lineRule="exact"/>
        <w:ind w:firstLine="420" w:firstLineChars="200"/>
        <w:rPr>
          <w:color w:val="auto"/>
          <w:highlight w:val="none"/>
        </w:rPr>
      </w:pPr>
      <w:r>
        <w:rPr>
          <w:rFonts w:hint="eastAsia"/>
          <w:color w:val="auto"/>
          <w:highlight w:val="none"/>
        </w:rPr>
        <w:t>1.1.1本项目根据东实集团及采购人相关招标采购管理规定执行，本项目已具备竞争性谈判条件，现对本项目进行竞争性谈判。</w:t>
      </w:r>
    </w:p>
    <w:p w14:paraId="50DD1720">
      <w:pPr>
        <w:spacing w:line="400" w:lineRule="exact"/>
        <w:ind w:firstLine="420" w:firstLineChars="200"/>
        <w:rPr>
          <w:color w:val="auto"/>
          <w:highlight w:val="none"/>
        </w:rPr>
      </w:pPr>
      <w:r>
        <w:rPr>
          <w:rFonts w:hint="eastAsia"/>
          <w:color w:val="auto"/>
          <w:highlight w:val="none"/>
        </w:rPr>
        <w:t>1.1.2 本项目采购人：见竞争性谈判公告或竞争性谈判响应须知前附表。</w:t>
      </w:r>
    </w:p>
    <w:p w14:paraId="4CCD046F">
      <w:pPr>
        <w:spacing w:line="400" w:lineRule="exact"/>
        <w:ind w:firstLine="420" w:firstLineChars="200"/>
        <w:rPr>
          <w:color w:val="auto"/>
          <w:highlight w:val="none"/>
        </w:rPr>
      </w:pPr>
      <w:r>
        <w:rPr>
          <w:rFonts w:hint="eastAsia"/>
          <w:color w:val="auto"/>
          <w:highlight w:val="none"/>
        </w:rPr>
        <w:t>1.1.3 本项目名称：见竞争性谈判公告或竞争性谈判响应须知前附表。</w:t>
      </w:r>
    </w:p>
    <w:p w14:paraId="7030000C">
      <w:pPr>
        <w:spacing w:line="400" w:lineRule="exact"/>
        <w:ind w:firstLine="420" w:firstLineChars="200"/>
        <w:rPr>
          <w:color w:val="auto"/>
          <w:highlight w:val="none"/>
        </w:rPr>
      </w:pPr>
      <w:r>
        <w:rPr>
          <w:rFonts w:hint="eastAsia"/>
          <w:color w:val="auto"/>
          <w:highlight w:val="none"/>
        </w:rPr>
        <w:t>1.1.4 本项目地点：见竞争性谈判公告或竞争性谈判响应须知前附表。</w:t>
      </w:r>
    </w:p>
    <w:p w14:paraId="7C7EB182">
      <w:pPr>
        <w:spacing w:line="400" w:lineRule="exact"/>
        <w:ind w:firstLine="420" w:firstLineChars="200"/>
        <w:rPr>
          <w:color w:val="auto"/>
          <w:highlight w:val="none"/>
        </w:rPr>
      </w:pPr>
      <w:r>
        <w:rPr>
          <w:rFonts w:hint="eastAsia"/>
          <w:color w:val="auto"/>
          <w:highlight w:val="none"/>
        </w:rPr>
        <w:t>1.1.5本项目承包方式：见竞争性谈判公告或竞争性谈判响应须知前附表。</w:t>
      </w:r>
    </w:p>
    <w:p w14:paraId="236CD0D3">
      <w:pPr>
        <w:spacing w:line="400" w:lineRule="exact"/>
        <w:rPr>
          <w:rFonts w:ascii="宋体" w:hAnsi="宋体"/>
          <w:b/>
          <w:color w:val="auto"/>
          <w:sz w:val="32"/>
          <w:szCs w:val="32"/>
          <w:highlight w:val="none"/>
        </w:rPr>
      </w:pPr>
      <w:bookmarkStart w:id="12" w:name="_Toc456551878"/>
      <w:bookmarkStart w:id="13" w:name="_Toc475552124"/>
      <w:r>
        <w:rPr>
          <w:rFonts w:hint="eastAsia" w:ascii="宋体" w:hAnsi="宋体"/>
          <w:b/>
          <w:color w:val="auto"/>
          <w:sz w:val="32"/>
          <w:szCs w:val="32"/>
          <w:highlight w:val="none"/>
        </w:rPr>
        <w:t>1.2 资金来源和落实情况</w:t>
      </w:r>
      <w:bookmarkEnd w:id="12"/>
      <w:bookmarkEnd w:id="13"/>
    </w:p>
    <w:p w14:paraId="2093E73A">
      <w:pPr>
        <w:spacing w:line="400" w:lineRule="exact"/>
        <w:ind w:firstLine="420" w:firstLineChars="200"/>
        <w:rPr>
          <w:color w:val="auto"/>
          <w:highlight w:val="none"/>
        </w:rPr>
      </w:pPr>
      <w:r>
        <w:rPr>
          <w:rFonts w:hint="eastAsia"/>
          <w:color w:val="auto"/>
          <w:highlight w:val="none"/>
        </w:rPr>
        <w:t>本项目资金已落实，资金来源见竞争性谈判公告或竞争性谈判响应须知前附表。</w:t>
      </w:r>
    </w:p>
    <w:p w14:paraId="651A54DD">
      <w:pPr>
        <w:spacing w:line="400" w:lineRule="exact"/>
        <w:rPr>
          <w:rFonts w:ascii="宋体" w:hAnsi="宋体"/>
          <w:b/>
          <w:color w:val="auto"/>
          <w:sz w:val="32"/>
          <w:szCs w:val="32"/>
          <w:highlight w:val="none"/>
        </w:rPr>
      </w:pPr>
      <w:bookmarkStart w:id="14" w:name="_Toc475552125"/>
      <w:bookmarkStart w:id="15" w:name="_Toc456551879"/>
      <w:r>
        <w:rPr>
          <w:rFonts w:hint="eastAsia" w:ascii="宋体" w:hAnsi="宋体"/>
          <w:b/>
          <w:color w:val="auto"/>
          <w:sz w:val="32"/>
          <w:szCs w:val="32"/>
          <w:highlight w:val="none"/>
        </w:rPr>
        <w:t>1.3 竞争性谈判范围、服务时间和质量要求</w:t>
      </w:r>
      <w:bookmarkEnd w:id="14"/>
      <w:bookmarkEnd w:id="15"/>
    </w:p>
    <w:p w14:paraId="3E369659">
      <w:pPr>
        <w:spacing w:line="400" w:lineRule="exact"/>
        <w:ind w:firstLine="420" w:firstLineChars="200"/>
        <w:rPr>
          <w:color w:val="auto"/>
          <w:highlight w:val="none"/>
        </w:rPr>
      </w:pPr>
      <w:r>
        <w:rPr>
          <w:rFonts w:hint="eastAsia"/>
          <w:color w:val="auto"/>
          <w:highlight w:val="none"/>
        </w:rPr>
        <w:t>1.3.1 本次竞争性谈判范围：见竞争性谈判公告或竞争性谈判响应须知前附表。</w:t>
      </w:r>
    </w:p>
    <w:p w14:paraId="4F32BC08">
      <w:pPr>
        <w:spacing w:line="400" w:lineRule="exact"/>
        <w:ind w:firstLine="420" w:firstLineChars="200"/>
        <w:rPr>
          <w:color w:val="auto"/>
          <w:highlight w:val="none"/>
        </w:rPr>
      </w:pPr>
      <w:r>
        <w:rPr>
          <w:rFonts w:hint="eastAsia"/>
          <w:color w:val="auto"/>
          <w:highlight w:val="none"/>
        </w:rPr>
        <w:t>1.3.2 本项目的服务时间：见竞争性谈判公告或竞争性谈判响应须知前附表。</w:t>
      </w:r>
    </w:p>
    <w:p w14:paraId="686467BB">
      <w:pPr>
        <w:spacing w:line="400" w:lineRule="exact"/>
        <w:ind w:firstLine="420" w:firstLineChars="200"/>
        <w:rPr>
          <w:color w:val="auto"/>
          <w:highlight w:val="none"/>
        </w:rPr>
      </w:pPr>
      <w:r>
        <w:rPr>
          <w:rFonts w:hint="eastAsia"/>
          <w:color w:val="auto"/>
          <w:highlight w:val="none"/>
        </w:rPr>
        <w:t>1.3.4 本项目的标包划分情况：见竞争性谈判公告或竞争性谈判响应须知前附表。</w:t>
      </w:r>
    </w:p>
    <w:p w14:paraId="6EEC4F31">
      <w:pPr>
        <w:spacing w:line="400" w:lineRule="exact"/>
        <w:ind w:firstLine="420" w:firstLineChars="200"/>
        <w:rPr>
          <w:color w:val="auto"/>
          <w:highlight w:val="none"/>
        </w:rPr>
      </w:pPr>
      <w:r>
        <w:rPr>
          <w:rFonts w:hint="eastAsia"/>
          <w:color w:val="auto"/>
          <w:highlight w:val="none"/>
        </w:rPr>
        <w:t>1.3.5本项目的质量要求：见竞争性谈判公告或竞争性谈判响应须知前附表。</w:t>
      </w:r>
    </w:p>
    <w:p w14:paraId="7AA6F7F8">
      <w:pPr>
        <w:spacing w:line="400" w:lineRule="exact"/>
        <w:rPr>
          <w:rFonts w:ascii="宋体" w:hAnsi="宋体"/>
          <w:b/>
          <w:color w:val="auto"/>
          <w:sz w:val="32"/>
          <w:szCs w:val="32"/>
          <w:highlight w:val="none"/>
        </w:rPr>
      </w:pPr>
      <w:bookmarkStart w:id="16" w:name="_Toc456551880"/>
      <w:bookmarkStart w:id="17" w:name="_Toc475552126"/>
      <w:r>
        <w:rPr>
          <w:rFonts w:hint="eastAsia" w:ascii="宋体" w:hAnsi="宋体"/>
          <w:b/>
          <w:color w:val="auto"/>
          <w:sz w:val="32"/>
          <w:szCs w:val="32"/>
          <w:highlight w:val="none"/>
        </w:rPr>
        <w:t>1.4 竞争性谈判方式</w:t>
      </w:r>
      <w:bookmarkEnd w:id="16"/>
      <w:bookmarkEnd w:id="17"/>
    </w:p>
    <w:p w14:paraId="7283D7F5">
      <w:pPr>
        <w:adjustRightInd w:val="0"/>
        <w:snapToGrid w:val="0"/>
        <w:spacing w:line="440" w:lineRule="exact"/>
        <w:ind w:firstLine="420" w:firstLineChars="200"/>
        <w:rPr>
          <w:color w:val="auto"/>
          <w:highlight w:val="none"/>
        </w:rPr>
      </w:pPr>
      <w:r>
        <w:rPr>
          <w:rFonts w:hint="eastAsia"/>
          <w:color w:val="auto"/>
          <w:highlight w:val="none"/>
        </w:rPr>
        <w:t>公开竞争性谈判：</w:t>
      </w:r>
      <w:r>
        <w:rPr>
          <w:rFonts w:ascii="Arial" w:hAnsi="Arial" w:cs="Arial"/>
          <w:color w:val="auto"/>
          <w:szCs w:val="21"/>
          <w:highlight w:val="none"/>
        </w:rPr>
        <w:t>是指采购人以竞争性谈判公告的方式邀请不特定的法人或者其他组织竞争性谈判。</w:t>
      </w:r>
    </w:p>
    <w:p w14:paraId="4EC19BC1">
      <w:pPr>
        <w:spacing w:line="400" w:lineRule="exact"/>
        <w:rPr>
          <w:rFonts w:ascii="宋体" w:hAnsi="宋体"/>
          <w:b/>
          <w:color w:val="auto"/>
          <w:sz w:val="32"/>
          <w:szCs w:val="32"/>
          <w:highlight w:val="none"/>
        </w:rPr>
      </w:pPr>
      <w:bookmarkStart w:id="18" w:name="_Toc456551881"/>
      <w:bookmarkStart w:id="19" w:name="_Toc475552127"/>
      <w:r>
        <w:rPr>
          <w:rFonts w:hint="eastAsia" w:ascii="宋体" w:hAnsi="宋体"/>
          <w:b/>
          <w:color w:val="auto"/>
          <w:sz w:val="32"/>
          <w:szCs w:val="32"/>
          <w:highlight w:val="none"/>
        </w:rPr>
        <w:t>1.5 竞争性谈判组织形式</w:t>
      </w:r>
      <w:bookmarkEnd w:id="18"/>
      <w:bookmarkEnd w:id="19"/>
    </w:p>
    <w:p w14:paraId="74811028">
      <w:pPr>
        <w:adjustRightInd w:val="0"/>
        <w:snapToGrid w:val="0"/>
        <w:spacing w:line="440" w:lineRule="exact"/>
        <w:ind w:firstLine="420" w:firstLineChars="200"/>
        <w:rPr>
          <w:color w:val="auto"/>
          <w:highlight w:val="none"/>
        </w:rPr>
      </w:pPr>
      <w:r>
        <w:rPr>
          <w:rFonts w:hint="eastAsia"/>
          <w:color w:val="auto"/>
          <w:highlight w:val="none"/>
        </w:rPr>
        <w:t>本次竞争性谈判由采购人自行组织或委托采购代理机构的方式进行，竞争性谈判组织形式、代理机构名称及联系方式见</w:t>
      </w:r>
      <w:r>
        <w:rPr>
          <w:rFonts w:hint="eastAsia"/>
          <w:bCs/>
          <w:color w:val="auto"/>
          <w:highlight w:val="none"/>
        </w:rPr>
        <w:t>第一章 “竞争性谈判公告”</w:t>
      </w:r>
      <w:r>
        <w:rPr>
          <w:rFonts w:hint="eastAsia"/>
          <w:color w:val="auto"/>
          <w:highlight w:val="none"/>
        </w:rPr>
        <w:t>。</w:t>
      </w:r>
    </w:p>
    <w:p w14:paraId="1655C598">
      <w:pPr>
        <w:spacing w:line="400" w:lineRule="exact"/>
        <w:rPr>
          <w:rFonts w:ascii="宋体" w:hAnsi="宋体"/>
          <w:b/>
          <w:color w:val="auto"/>
          <w:sz w:val="32"/>
          <w:szCs w:val="32"/>
          <w:highlight w:val="none"/>
        </w:rPr>
      </w:pPr>
      <w:bookmarkStart w:id="20" w:name="_Toc456551882"/>
      <w:bookmarkStart w:id="21" w:name="_Toc475552128"/>
      <w:r>
        <w:rPr>
          <w:rFonts w:hint="eastAsia" w:ascii="宋体" w:hAnsi="宋体"/>
          <w:b/>
          <w:color w:val="auto"/>
          <w:sz w:val="32"/>
          <w:szCs w:val="32"/>
          <w:highlight w:val="none"/>
        </w:rPr>
        <w:t>1.6</w:t>
      </w:r>
      <w:bookmarkEnd w:id="20"/>
      <w:bookmarkEnd w:id="21"/>
      <w:r>
        <w:rPr>
          <w:rFonts w:hint="eastAsia" w:ascii="宋体" w:hAnsi="宋体"/>
          <w:b/>
          <w:color w:val="auto"/>
          <w:sz w:val="32"/>
          <w:szCs w:val="32"/>
          <w:highlight w:val="none"/>
        </w:rPr>
        <w:t>响应人资格要求</w:t>
      </w:r>
    </w:p>
    <w:p w14:paraId="738A23D2">
      <w:pPr>
        <w:spacing w:line="400" w:lineRule="exact"/>
        <w:ind w:firstLine="359" w:firstLineChars="171"/>
        <w:rPr>
          <w:color w:val="auto"/>
          <w:highlight w:val="none"/>
        </w:rPr>
      </w:pPr>
      <w:r>
        <w:rPr>
          <w:rFonts w:hint="eastAsia"/>
          <w:color w:val="auto"/>
          <w:highlight w:val="none"/>
        </w:rPr>
        <w:t>1.6.1</w:t>
      </w:r>
      <w:r>
        <w:rPr>
          <w:rFonts w:hint="eastAsia" w:ascii="宋体" w:hAnsi="宋体" w:cs="宋体"/>
          <w:color w:val="auto"/>
          <w:szCs w:val="21"/>
          <w:highlight w:val="none"/>
        </w:rPr>
        <w:t>响应人应具备承担本项目服务的资格要求：</w:t>
      </w:r>
      <w:r>
        <w:rPr>
          <w:rFonts w:hint="eastAsia"/>
          <w:color w:val="auto"/>
          <w:highlight w:val="none"/>
        </w:rPr>
        <w:t>见竞争性谈判公告或竞争性谈判响应须知前附表。</w:t>
      </w:r>
    </w:p>
    <w:p w14:paraId="158D13B2">
      <w:pPr>
        <w:spacing w:line="400" w:lineRule="exact"/>
        <w:ind w:firstLine="359" w:firstLineChars="171"/>
        <w:rPr>
          <w:color w:val="auto"/>
          <w:highlight w:val="none"/>
        </w:rPr>
      </w:pPr>
      <w:r>
        <w:rPr>
          <w:rFonts w:hint="eastAsia"/>
          <w:color w:val="auto"/>
          <w:highlight w:val="none"/>
        </w:rPr>
        <w:t>1.6.2</w:t>
      </w:r>
      <w:r>
        <w:rPr>
          <w:rFonts w:hint="eastAsia" w:ascii="宋体" w:hAnsi="宋体" w:cs="宋体"/>
          <w:color w:val="auto"/>
          <w:szCs w:val="21"/>
          <w:highlight w:val="none"/>
        </w:rPr>
        <w:t>本项目采用资格后审的审查方式</w:t>
      </w:r>
      <w:r>
        <w:rPr>
          <w:rFonts w:hint="eastAsia"/>
          <w:color w:val="auto"/>
          <w:highlight w:val="none"/>
        </w:rPr>
        <w:t>。</w:t>
      </w:r>
    </w:p>
    <w:p w14:paraId="6039566C">
      <w:pPr>
        <w:spacing w:line="400" w:lineRule="exact"/>
        <w:ind w:firstLine="359" w:firstLineChars="171"/>
        <w:rPr>
          <w:color w:val="auto"/>
          <w:highlight w:val="none"/>
        </w:rPr>
      </w:pPr>
      <w:r>
        <w:rPr>
          <w:rFonts w:hint="eastAsia"/>
          <w:color w:val="auto"/>
          <w:highlight w:val="none"/>
        </w:rPr>
        <w:t>1.6.3本须知前附表规定接受联合体响应的，除本须知前附表的要求外，还应遵守以下规定：</w:t>
      </w:r>
    </w:p>
    <w:p w14:paraId="12B5675F">
      <w:pPr>
        <w:spacing w:line="400" w:lineRule="exact"/>
        <w:ind w:firstLine="359" w:firstLineChars="171"/>
        <w:rPr>
          <w:color w:val="auto"/>
          <w:highlight w:val="none"/>
        </w:rPr>
      </w:pPr>
      <w:r>
        <w:rPr>
          <w:rFonts w:hint="eastAsia"/>
          <w:color w:val="auto"/>
          <w:highlight w:val="none"/>
        </w:rPr>
        <w:t>（1）联合体各方应按竞争性谈判文件提供的格式签订联合体协议书，明确联合体牵头人和各方权利义务；</w:t>
      </w:r>
    </w:p>
    <w:p w14:paraId="544B5DD5">
      <w:pPr>
        <w:spacing w:line="400" w:lineRule="exact"/>
        <w:ind w:firstLine="359" w:firstLineChars="171"/>
        <w:rPr>
          <w:color w:val="auto"/>
          <w:highlight w:val="none"/>
        </w:rPr>
      </w:pPr>
      <w:r>
        <w:rPr>
          <w:rFonts w:hint="eastAsia"/>
          <w:color w:val="auto"/>
          <w:highlight w:val="none"/>
        </w:rPr>
        <w:t>（2）联合体各方不得再以自己名义单独或参加其他联合体在同一标包中响应；</w:t>
      </w:r>
    </w:p>
    <w:p w14:paraId="6A5BA8AA">
      <w:pPr>
        <w:spacing w:line="400" w:lineRule="exact"/>
        <w:ind w:firstLine="359" w:firstLineChars="171"/>
        <w:rPr>
          <w:color w:val="auto"/>
          <w:highlight w:val="none"/>
        </w:rPr>
      </w:pPr>
      <w:r>
        <w:rPr>
          <w:rFonts w:hint="eastAsia"/>
          <w:color w:val="auto"/>
          <w:highlight w:val="none"/>
        </w:rPr>
        <w:t>（3）联合体牵头人须在响应文件上按要求加盖公司法人公章及法定代表人签名（或盖私章），无需联合体共同加盖公司法人公章及法定代表人签名（或盖私章）；</w:t>
      </w:r>
    </w:p>
    <w:p w14:paraId="59627E5D">
      <w:pPr>
        <w:spacing w:line="400" w:lineRule="exact"/>
        <w:ind w:firstLine="359" w:firstLineChars="171"/>
        <w:rPr>
          <w:rFonts w:hAnsi="宋体"/>
          <w:color w:val="auto"/>
          <w:highlight w:val="none"/>
        </w:rPr>
      </w:pPr>
      <w:r>
        <w:rPr>
          <w:rFonts w:hint="eastAsia"/>
          <w:color w:val="auto"/>
          <w:highlight w:val="none"/>
        </w:rPr>
        <w:t>（4）本须知前附表规定的其他要求。</w:t>
      </w:r>
    </w:p>
    <w:p w14:paraId="3296923F">
      <w:pPr>
        <w:spacing w:line="400" w:lineRule="exact"/>
        <w:rPr>
          <w:rFonts w:ascii="宋体" w:hAnsi="宋体"/>
          <w:b/>
          <w:color w:val="auto"/>
          <w:sz w:val="32"/>
          <w:szCs w:val="32"/>
          <w:highlight w:val="none"/>
        </w:rPr>
      </w:pPr>
      <w:bookmarkStart w:id="22" w:name="_Toc475552129"/>
      <w:bookmarkStart w:id="23" w:name="_Toc456551883"/>
      <w:r>
        <w:rPr>
          <w:rFonts w:hint="eastAsia" w:ascii="宋体" w:hAnsi="宋体"/>
          <w:b/>
          <w:color w:val="auto"/>
          <w:sz w:val="32"/>
          <w:szCs w:val="32"/>
          <w:highlight w:val="none"/>
        </w:rPr>
        <w:t>1.</w:t>
      </w:r>
      <w:r>
        <w:rPr>
          <w:rFonts w:ascii="宋体" w:hAnsi="宋体"/>
          <w:b/>
          <w:color w:val="auto"/>
          <w:sz w:val="32"/>
          <w:szCs w:val="32"/>
          <w:highlight w:val="none"/>
        </w:rPr>
        <w:t>7</w:t>
      </w:r>
      <w:r>
        <w:rPr>
          <w:rFonts w:hint="eastAsia" w:ascii="宋体" w:hAnsi="宋体"/>
          <w:b/>
          <w:color w:val="auto"/>
          <w:sz w:val="32"/>
          <w:szCs w:val="32"/>
          <w:highlight w:val="none"/>
        </w:rPr>
        <w:t xml:space="preserve"> 响应人不得存在的情形</w:t>
      </w:r>
      <w:bookmarkEnd w:id="22"/>
      <w:bookmarkEnd w:id="23"/>
    </w:p>
    <w:p w14:paraId="55755A45">
      <w:pPr>
        <w:spacing w:line="400" w:lineRule="exact"/>
        <w:ind w:firstLine="359" w:firstLineChars="171"/>
        <w:rPr>
          <w:color w:val="auto"/>
          <w:highlight w:val="none"/>
        </w:rPr>
      </w:pPr>
      <w:r>
        <w:rPr>
          <w:rFonts w:hint="eastAsia"/>
          <w:color w:val="auto"/>
          <w:highlight w:val="none"/>
        </w:rPr>
        <w:t>1.</w:t>
      </w:r>
      <w:r>
        <w:rPr>
          <w:color w:val="auto"/>
          <w:highlight w:val="none"/>
        </w:rPr>
        <w:t>7</w:t>
      </w:r>
      <w:r>
        <w:rPr>
          <w:rFonts w:hint="eastAsia"/>
          <w:color w:val="auto"/>
          <w:highlight w:val="none"/>
        </w:rPr>
        <w:t>.1 响应人不得存在下列情形之一，否则采购人有权取消其参与响应资格或成交资格：</w:t>
      </w:r>
    </w:p>
    <w:p w14:paraId="1214EBAD">
      <w:pPr>
        <w:spacing w:line="400" w:lineRule="exact"/>
        <w:ind w:firstLine="359" w:firstLineChars="171"/>
        <w:rPr>
          <w:color w:val="auto"/>
          <w:highlight w:val="none"/>
        </w:rPr>
      </w:pPr>
      <w:r>
        <w:rPr>
          <w:rFonts w:hint="eastAsia"/>
          <w:color w:val="auto"/>
          <w:highlight w:val="none"/>
        </w:rPr>
        <w:t>（1）为采购人不具有独立法人资格的附属机构（单位）；</w:t>
      </w:r>
    </w:p>
    <w:p w14:paraId="47A200D2">
      <w:pPr>
        <w:spacing w:line="400" w:lineRule="exact"/>
        <w:ind w:firstLine="359" w:firstLineChars="171"/>
        <w:rPr>
          <w:color w:val="auto"/>
          <w:highlight w:val="none"/>
        </w:rPr>
      </w:pPr>
      <w:r>
        <w:rPr>
          <w:rFonts w:hint="eastAsia"/>
          <w:color w:val="auto"/>
          <w:highlight w:val="none"/>
        </w:rPr>
        <w:t>（</w:t>
      </w:r>
      <w:r>
        <w:rPr>
          <w:color w:val="auto"/>
          <w:highlight w:val="none"/>
        </w:rPr>
        <w:t>2</w:t>
      </w:r>
      <w:r>
        <w:rPr>
          <w:rFonts w:hint="eastAsia"/>
          <w:color w:val="auto"/>
          <w:highlight w:val="none"/>
        </w:rPr>
        <w:t xml:space="preserve">）被责令停业的； </w:t>
      </w:r>
    </w:p>
    <w:p w14:paraId="2D06623D">
      <w:pPr>
        <w:spacing w:line="400" w:lineRule="exact"/>
        <w:ind w:firstLine="359" w:firstLineChars="171"/>
        <w:rPr>
          <w:color w:val="auto"/>
          <w:highlight w:val="none"/>
        </w:rPr>
      </w:pPr>
      <w:r>
        <w:rPr>
          <w:rFonts w:hint="eastAsia"/>
          <w:color w:val="auto"/>
          <w:highlight w:val="none"/>
        </w:rPr>
        <w:t>（</w:t>
      </w:r>
      <w:r>
        <w:rPr>
          <w:color w:val="auto"/>
          <w:highlight w:val="none"/>
        </w:rPr>
        <w:t>3</w:t>
      </w:r>
      <w:r>
        <w:rPr>
          <w:rFonts w:hint="eastAsia"/>
          <w:color w:val="auto"/>
          <w:highlight w:val="none"/>
        </w:rPr>
        <w:t xml:space="preserve">）被暂停或取消投标资格的； </w:t>
      </w:r>
    </w:p>
    <w:p w14:paraId="68F391DA">
      <w:pPr>
        <w:spacing w:line="400" w:lineRule="exact"/>
        <w:ind w:firstLine="359" w:firstLineChars="171"/>
        <w:rPr>
          <w:color w:val="auto"/>
          <w:highlight w:val="none"/>
        </w:rPr>
      </w:pPr>
      <w:r>
        <w:rPr>
          <w:rFonts w:hint="eastAsia"/>
          <w:color w:val="auto"/>
          <w:highlight w:val="none"/>
        </w:rPr>
        <w:t>（</w:t>
      </w:r>
      <w:r>
        <w:rPr>
          <w:color w:val="auto"/>
          <w:highlight w:val="none"/>
        </w:rPr>
        <w:t>4</w:t>
      </w:r>
      <w:r>
        <w:rPr>
          <w:rFonts w:hint="eastAsia"/>
          <w:color w:val="auto"/>
          <w:highlight w:val="none"/>
        </w:rPr>
        <w:t>）财产被接管或冻结的；</w:t>
      </w:r>
    </w:p>
    <w:p w14:paraId="632F5446">
      <w:pPr>
        <w:spacing w:line="400" w:lineRule="exact"/>
        <w:ind w:firstLine="359" w:firstLineChars="171"/>
        <w:rPr>
          <w:color w:val="auto"/>
          <w:highlight w:val="none"/>
        </w:rPr>
      </w:pPr>
      <w:r>
        <w:rPr>
          <w:rFonts w:hint="eastAsia"/>
          <w:color w:val="auto"/>
          <w:highlight w:val="none"/>
        </w:rPr>
        <w:t>（</w:t>
      </w:r>
      <w:r>
        <w:rPr>
          <w:color w:val="auto"/>
          <w:highlight w:val="none"/>
        </w:rPr>
        <w:t>5</w:t>
      </w:r>
      <w:r>
        <w:rPr>
          <w:rFonts w:hint="eastAsia"/>
          <w:color w:val="auto"/>
          <w:highlight w:val="none"/>
        </w:rPr>
        <w:t>）在最近三年内有骗取中标、严重违约、重大质量或安全问题的；</w:t>
      </w:r>
    </w:p>
    <w:p w14:paraId="29C0F9D7">
      <w:pPr>
        <w:spacing w:line="400" w:lineRule="exact"/>
        <w:ind w:firstLine="359" w:firstLineChars="171"/>
        <w:rPr>
          <w:color w:val="auto"/>
          <w:highlight w:val="none"/>
        </w:rPr>
      </w:pPr>
      <w:r>
        <w:rPr>
          <w:rFonts w:hint="eastAsia"/>
          <w:color w:val="auto"/>
          <w:highlight w:val="none"/>
        </w:rPr>
        <w:t>（</w:t>
      </w:r>
      <w:r>
        <w:rPr>
          <w:color w:val="auto"/>
          <w:highlight w:val="none"/>
        </w:rPr>
        <w:t>6</w:t>
      </w:r>
      <w:r>
        <w:rPr>
          <w:rFonts w:hint="eastAsia"/>
          <w:color w:val="auto"/>
          <w:highlight w:val="none"/>
        </w:rPr>
        <w:t>）法律法规规定的其他情形；</w:t>
      </w:r>
    </w:p>
    <w:p w14:paraId="6B3D82F9">
      <w:pPr>
        <w:spacing w:line="400" w:lineRule="exact"/>
        <w:ind w:firstLine="359" w:firstLineChars="171"/>
        <w:rPr>
          <w:color w:val="auto"/>
          <w:highlight w:val="none"/>
        </w:rPr>
      </w:pPr>
      <w:r>
        <w:rPr>
          <w:rFonts w:hint="eastAsia"/>
          <w:color w:val="auto"/>
          <w:highlight w:val="none"/>
        </w:rPr>
        <w:t>（</w:t>
      </w:r>
      <w:r>
        <w:rPr>
          <w:color w:val="auto"/>
          <w:highlight w:val="none"/>
        </w:rPr>
        <w:t>7</w:t>
      </w:r>
      <w:r>
        <w:rPr>
          <w:rFonts w:hint="eastAsia"/>
          <w:color w:val="auto"/>
          <w:highlight w:val="none"/>
        </w:rPr>
        <w:t>）竞争性谈判文件规定的其他情形：见竞争性谈判公告或竞争性谈判响应须知前附表。</w:t>
      </w:r>
    </w:p>
    <w:p w14:paraId="31D66A71">
      <w:pPr>
        <w:spacing w:line="400" w:lineRule="exact"/>
        <w:ind w:firstLine="359" w:firstLineChars="171"/>
        <w:rPr>
          <w:rFonts w:hAnsi="宋体"/>
          <w:color w:val="auto"/>
          <w:szCs w:val="21"/>
          <w:highlight w:val="none"/>
        </w:rPr>
      </w:pPr>
      <w:r>
        <w:rPr>
          <w:rFonts w:hint="eastAsia"/>
          <w:color w:val="auto"/>
          <w:highlight w:val="none"/>
        </w:rPr>
        <w:t>1.</w:t>
      </w:r>
      <w:r>
        <w:rPr>
          <w:color w:val="auto"/>
          <w:highlight w:val="none"/>
        </w:rPr>
        <w:t>7</w:t>
      </w:r>
      <w:r>
        <w:rPr>
          <w:rFonts w:hint="eastAsia"/>
          <w:color w:val="auto"/>
          <w:highlight w:val="none"/>
        </w:rPr>
        <w:t>.</w:t>
      </w:r>
      <w:r>
        <w:rPr>
          <w:color w:val="auto"/>
          <w:highlight w:val="none"/>
        </w:rPr>
        <w:t>2</w:t>
      </w:r>
      <w:r>
        <w:rPr>
          <w:rFonts w:hint="eastAsia"/>
          <w:color w:val="auto"/>
          <w:highlight w:val="none"/>
        </w:rPr>
        <w:t xml:space="preserve"> </w:t>
      </w:r>
      <w:r>
        <w:rPr>
          <w:rFonts w:hint="eastAsia" w:hAnsi="宋体"/>
          <w:color w:val="auto"/>
          <w:szCs w:val="21"/>
          <w:highlight w:val="none"/>
        </w:rPr>
        <w:t>响应人在竞争性谈判活动中有下列行为之一的，应视情节轻重，暂停或取消其参与采购人及东实集团旗下采购项目的资格：</w:t>
      </w:r>
    </w:p>
    <w:p w14:paraId="09BE3EC1">
      <w:pPr>
        <w:spacing w:line="400" w:lineRule="exact"/>
        <w:ind w:left="426"/>
        <w:rPr>
          <w:rFonts w:ascii="宋体" w:hAnsi="宋体"/>
          <w:color w:val="auto"/>
          <w:szCs w:val="21"/>
          <w:highlight w:val="none"/>
        </w:rPr>
      </w:pPr>
      <w:r>
        <w:rPr>
          <w:rFonts w:hint="eastAsia" w:ascii="宋体" w:hAnsi="宋体"/>
          <w:color w:val="auto"/>
          <w:szCs w:val="21"/>
          <w:highlight w:val="none"/>
        </w:rPr>
        <w:t xml:space="preserve">（1）响应人之间相互串通、或与采购人、代理机构、谈判小组成员串通谈判，损害采购人或者其他响应人的合法权益的； </w:t>
      </w:r>
    </w:p>
    <w:p w14:paraId="627A3373">
      <w:pPr>
        <w:spacing w:line="400" w:lineRule="exact"/>
        <w:ind w:left="426"/>
        <w:rPr>
          <w:rFonts w:ascii="宋体" w:hAnsi="宋体"/>
          <w:color w:val="auto"/>
          <w:szCs w:val="21"/>
          <w:highlight w:val="none"/>
        </w:rPr>
      </w:pPr>
      <w:r>
        <w:rPr>
          <w:rFonts w:hint="eastAsia" w:ascii="宋体" w:hAnsi="宋体"/>
          <w:color w:val="auto"/>
          <w:szCs w:val="21"/>
          <w:highlight w:val="none"/>
        </w:rPr>
        <w:t xml:space="preserve">（2）向采购人、代理机构、评审委会成员或其他相关工作人员行贿的； </w:t>
      </w:r>
    </w:p>
    <w:p w14:paraId="0514AB9B">
      <w:pPr>
        <w:spacing w:line="400" w:lineRule="exact"/>
        <w:ind w:left="426"/>
        <w:rPr>
          <w:rFonts w:ascii="宋体" w:hAnsi="宋体"/>
          <w:color w:val="auto"/>
          <w:szCs w:val="21"/>
          <w:highlight w:val="none"/>
        </w:rPr>
      </w:pPr>
      <w:r>
        <w:rPr>
          <w:rFonts w:hint="eastAsia" w:ascii="宋体" w:hAnsi="宋体"/>
          <w:color w:val="auto"/>
          <w:szCs w:val="21"/>
          <w:highlight w:val="none"/>
        </w:rPr>
        <w:t xml:space="preserve">（3）以他人名义谈判或以其他方式弄虚作假，骗取成交的； </w:t>
      </w:r>
    </w:p>
    <w:p w14:paraId="05081136">
      <w:pPr>
        <w:spacing w:line="400" w:lineRule="exact"/>
        <w:ind w:left="426"/>
        <w:rPr>
          <w:rFonts w:ascii="宋体" w:hAnsi="宋体"/>
          <w:color w:val="auto"/>
          <w:szCs w:val="21"/>
          <w:highlight w:val="none"/>
        </w:rPr>
      </w:pPr>
      <w:r>
        <w:rPr>
          <w:rFonts w:hint="eastAsia" w:ascii="宋体" w:hAnsi="宋体"/>
          <w:color w:val="auto"/>
          <w:szCs w:val="21"/>
          <w:highlight w:val="none"/>
        </w:rPr>
        <w:t xml:space="preserve">（4）成交人私自将成交项目转让给他人的，将成交项目肢解后分别转让给他人的； </w:t>
      </w:r>
    </w:p>
    <w:p w14:paraId="2188E510">
      <w:pPr>
        <w:spacing w:line="400" w:lineRule="exact"/>
        <w:ind w:left="426"/>
        <w:rPr>
          <w:rFonts w:ascii="宋体" w:hAnsi="宋体"/>
          <w:color w:val="auto"/>
          <w:szCs w:val="21"/>
          <w:highlight w:val="none"/>
        </w:rPr>
      </w:pPr>
      <w:r>
        <w:rPr>
          <w:rFonts w:hint="eastAsia" w:ascii="宋体" w:hAnsi="宋体"/>
          <w:color w:val="auto"/>
          <w:szCs w:val="21"/>
          <w:highlight w:val="none"/>
        </w:rPr>
        <w:t>（5）成交人无正当理由不与采购人订立合同，在签订合同时向采购人提出附加条件，或者不按照竞争性谈判文件要求提交履约担保的；</w:t>
      </w:r>
    </w:p>
    <w:p w14:paraId="1BC8633E">
      <w:pPr>
        <w:spacing w:line="400" w:lineRule="exact"/>
        <w:ind w:left="426"/>
        <w:rPr>
          <w:rFonts w:ascii="宋体" w:hAnsi="宋体"/>
          <w:color w:val="auto"/>
          <w:szCs w:val="21"/>
          <w:highlight w:val="none"/>
        </w:rPr>
      </w:pPr>
      <w:r>
        <w:rPr>
          <w:rFonts w:hint="eastAsia" w:ascii="宋体" w:hAnsi="宋体"/>
          <w:color w:val="auto"/>
          <w:szCs w:val="21"/>
          <w:highlight w:val="none"/>
        </w:rPr>
        <w:t xml:space="preserve">（6）响应人捏造事实、伪造材料或者以非法手段取得证明材料进行投诉，给他人造成损失的； </w:t>
      </w:r>
    </w:p>
    <w:p w14:paraId="7193FF7D">
      <w:pPr>
        <w:spacing w:line="400" w:lineRule="exact"/>
        <w:ind w:left="426"/>
        <w:rPr>
          <w:rFonts w:ascii="宋体" w:hAnsi="宋体"/>
          <w:color w:val="auto"/>
          <w:szCs w:val="21"/>
          <w:highlight w:val="none"/>
        </w:rPr>
      </w:pPr>
      <w:r>
        <w:rPr>
          <w:rFonts w:hint="eastAsia" w:ascii="宋体" w:hAnsi="宋体"/>
          <w:color w:val="auto"/>
          <w:szCs w:val="21"/>
          <w:highlight w:val="none"/>
        </w:rPr>
        <w:t xml:space="preserve">（7）相关工作人员应当回避而不回避的； </w:t>
      </w:r>
    </w:p>
    <w:p w14:paraId="55BD4091">
      <w:pPr>
        <w:spacing w:line="400" w:lineRule="exact"/>
        <w:ind w:left="426"/>
        <w:rPr>
          <w:rFonts w:ascii="宋体" w:hAnsi="宋体"/>
          <w:color w:val="auto"/>
          <w:szCs w:val="21"/>
          <w:highlight w:val="none"/>
        </w:rPr>
      </w:pPr>
      <w:r>
        <w:rPr>
          <w:rFonts w:hint="eastAsia" w:ascii="宋体" w:hAnsi="宋体"/>
          <w:color w:val="auto"/>
          <w:szCs w:val="21"/>
          <w:highlight w:val="none"/>
        </w:rPr>
        <w:t>（8）其他违法违规的行为。</w:t>
      </w:r>
    </w:p>
    <w:p w14:paraId="5862D2B7">
      <w:pPr>
        <w:spacing w:line="400" w:lineRule="exact"/>
        <w:ind w:left="426"/>
        <w:rPr>
          <w:rFonts w:ascii="宋体" w:hAnsi="宋体"/>
          <w:color w:val="auto"/>
          <w:szCs w:val="21"/>
          <w:highlight w:val="none"/>
        </w:rPr>
      </w:pPr>
      <w:r>
        <w:rPr>
          <w:bCs/>
          <w:color w:val="auto"/>
          <w:highlight w:val="none"/>
        </w:rPr>
        <w:t>1.7.</w:t>
      </w:r>
      <w:r>
        <w:rPr>
          <w:rFonts w:hint="eastAsia"/>
          <w:bCs/>
          <w:color w:val="auto"/>
          <w:highlight w:val="none"/>
        </w:rPr>
        <w:t>3</w:t>
      </w:r>
      <w:r>
        <w:rPr>
          <w:rFonts w:hint="eastAsia" w:ascii="宋体" w:hAnsi="宋体"/>
          <w:color w:val="auto"/>
          <w:szCs w:val="21"/>
          <w:highlight w:val="none"/>
        </w:rPr>
        <w:t>有下列情形之一的，视为响应人串通谈判，其响应无效：</w:t>
      </w:r>
    </w:p>
    <w:p w14:paraId="623AA0BA">
      <w:pPr>
        <w:spacing w:line="400" w:lineRule="exact"/>
        <w:ind w:left="426"/>
        <w:rPr>
          <w:rFonts w:ascii="宋体" w:hAnsi="宋体"/>
          <w:color w:val="auto"/>
          <w:szCs w:val="21"/>
          <w:highlight w:val="none"/>
        </w:rPr>
      </w:pPr>
      <w:r>
        <w:rPr>
          <w:rFonts w:hint="eastAsia" w:ascii="宋体" w:hAnsi="宋体"/>
          <w:color w:val="auto"/>
          <w:szCs w:val="21"/>
          <w:highlight w:val="none"/>
        </w:rPr>
        <w:t>（1）不同响应人的响应文件由同一单位或者个人编制；</w:t>
      </w:r>
    </w:p>
    <w:p w14:paraId="7E34EF23">
      <w:pPr>
        <w:spacing w:line="400" w:lineRule="exact"/>
        <w:ind w:left="426"/>
        <w:rPr>
          <w:rFonts w:ascii="宋体" w:hAnsi="宋体"/>
          <w:color w:val="auto"/>
          <w:szCs w:val="21"/>
          <w:highlight w:val="none"/>
        </w:rPr>
      </w:pPr>
      <w:r>
        <w:rPr>
          <w:rFonts w:hint="eastAsia" w:ascii="宋体" w:hAnsi="宋体"/>
          <w:color w:val="auto"/>
          <w:szCs w:val="21"/>
          <w:highlight w:val="none"/>
        </w:rPr>
        <w:t>（2）不同响应人委托同一单位或者个人办理响应事宜；</w:t>
      </w:r>
    </w:p>
    <w:p w14:paraId="4FC6FD50">
      <w:pPr>
        <w:spacing w:line="400" w:lineRule="exact"/>
        <w:ind w:left="426"/>
        <w:rPr>
          <w:rFonts w:ascii="宋体" w:hAnsi="宋体"/>
          <w:color w:val="auto"/>
          <w:szCs w:val="21"/>
          <w:highlight w:val="none"/>
        </w:rPr>
      </w:pPr>
      <w:r>
        <w:rPr>
          <w:rFonts w:hint="eastAsia" w:ascii="宋体" w:hAnsi="宋体"/>
          <w:color w:val="auto"/>
          <w:szCs w:val="21"/>
          <w:highlight w:val="none"/>
        </w:rPr>
        <w:t>（3）不同响应人的响应文件载明的项目管理成员或者联系人员为同一人；</w:t>
      </w:r>
    </w:p>
    <w:p w14:paraId="1FF0B99C">
      <w:pPr>
        <w:spacing w:line="400" w:lineRule="exact"/>
        <w:ind w:left="426"/>
        <w:rPr>
          <w:rFonts w:ascii="宋体" w:hAnsi="宋体"/>
          <w:color w:val="auto"/>
          <w:szCs w:val="21"/>
          <w:highlight w:val="none"/>
        </w:rPr>
      </w:pPr>
      <w:r>
        <w:rPr>
          <w:rFonts w:hint="eastAsia" w:ascii="宋体" w:hAnsi="宋体"/>
          <w:color w:val="auto"/>
          <w:szCs w:val="21"/>
          <w:highlight w:val="none"/>
        </w:rPr>
        <w:t>（4）不同响应人的响应文件异常一致或者响应报价呈规律性差异；</w:t>
      </w:r>
    </w:p>
    <w:p w14:paraId="710D5D73">
      <w:pPr>
        <w:spacing w:line="400" w:lineRule="exact"/>
        <w:ind w:left="426"/>
        <w:rPr>
          <w:rFonts w:ascii="宋体" w:hAnsi="宋体"/>
          <w:color w:val="auto"/>
          <w:szCs w:val="21"/>
          <w:highlight w:val="none"/>
        </w:rPr>
      </w:pPr>
      <w:r>
        <w:rPr>
          <w:rFonts w:hint="eastAsia" w:ascii="宋体" w:hAnsi="宋体"/>
          <w:color w:val="auto"/>
          <w:szCs w:val="21"/>
          <w:highlight w:val="none"/>
        </w:rPr>
        <w:t>（5）不同响应人的响应文件相互混装；</w:t>
      </w:r>
    </w:p>
    <w:p w14:paraId="28C7056E">
      <w:pPr>
        <w:spacing w:line="400" w:lineRule="exact"/>
        <w:ind w:left="426"/>
        <w:rPr>
          <w:rFonts w:ascii="宋体" w:hAnsi="宋体"/>
          <w:color w:val="auto"/>
          <w:szCs w:val="21"/>
          <w:highlight w:val="none"/>
        </w:rPr>
      </w:pPr>
      <w:r>
        <w:rPr>
          <w:rFonts w:hint="eastAsia" w:ascii="宋体" w:hAnsi="宋体"/>
          <w:color w:val="auto"/>
          <w:szCs w:val="21"/>
          <w:highlight w:val="none"/>
        </w:rPr>
        <w:t>（6）不同响应人的响应保证金从同一单位或者个人的账户转出。</w:t>
      </w:r>
    </w:p>
    <w:p w14:paraId="76282227">
      <w:pPr>
        <w:spacing w:line="400" w:lineRule="exact"/>
        <w:ind w:left="426"/>
        <w:rPr>
          <w:rFonts w:ascii="宋体" w:hAnsi="宋体"/>
          <w:color w:val="auto"/>
          <w:szCs w:val="21"/>
          <w:highlight w:val="none"/>
        </w:rPr>
      </w:pPr>
      <w:r>
        <w:rPr>
          <w:bCs/>
          <w:color w:val="auto"/>
          <w:highlight w:val="none"/>
        </w:rPr>
        <w:t>1.7.</w:t>
      </w:r>
      <w:r>
        <w:rPr>
          <w:rFonts w:hint="eastAsia"/>
          <w:bCs/>
          <w:color w:val="auto"/>
          <w:highlight w:val="none"/>
        </w:rPr>
        <w:t>4</w:t>
      </w:r>
      <w:r>
        <w:rPr>
          <w:rFonts w:hint="eastAsia" w:ascii="宋体" w:hAnsi="宋体"/>
          <w:color w:val="auto"/>
          <w:szCs w:val="21"/>
          <w:highlight w:val="none"/>
        </w:rPr>
        <w:t>使用通过受让或者租借等方式获取的资格、资质证书响应的，属于以他人名义谈判，其响应无效：</w:t>
      </w:r>
    </w:p>
    <w:p w14:paraId="7CB32029">
      <w:pPr>
        <w:spacing w:line="400" w:lineRule="exact"/>
        <w:ind w:left="426"/>
        <w:rPr>
          <w:rFonts w:ascii="宋体" w:hAnsi="宋体"/>
          <w:color w:val="auto"/>
          <w:szCs w:val="21"/>
          <w:highlight w:val="none"/>
        </w:rPr>
      </w:pPr>
      <w:r>
        <w:rPr>
          <w:bCs/>
          <w:color w:val="auto"/>
          <w:highlight w:val="none"/>
        </w:rPr>
        <w:t>1.7.</w:t>
      </w:r>
      <w:r>
        <w:rPr>
          <w:rFonts w:hint="eastAsia"/>
          <w:bCs/>
          <w:color w:val="auto"/>
          <w:highlight w:val="none"/>
        </w:rPr>
        <w:t>5</w:t>
      </w:r>
      <w:r>
        <w:rPr>
          <w:rFonts w:hint="eastAsia" w:ascii="宋体" w:hAnsi="宋体"/>
          <w:color w:val="auto"/>
          <w:szCs w:val="21"/>
          <w:highlight w:val="none"/>
        </w:rPr>
        <w:t>有下列情形之一的，属于以其他方式弄虚作假的行为，其响应无效：</w:t>
      </w:r>
    </w:p>
    <w:p w14:paraId="7EE5B79B">
      <w:pPr>
        <w:spacing w:line="400" w:lineRule="exact"/>
        <w:ind w:left="426"/>
        <w:rPr>
          <w:rFonts w:ascii="宋体" w:hAnsi="宋体"/>
          <w:color w:val="auto"/>
          <w:szCs w:val="21"/>
          <w:highlight w:val="none"/>
        </w:rPr>
      </w:pPr>
      <w:r>
        <w:rPr>
          <w:rFonts w:hint="eastAsia" w:ascii="宋体" w:hAnsi="宋体"/>
          <w:color w:val="auto"/>
          <w:szCs w:val="21"/>
          <w:highlight w:val="none"/>
        </w:rPr>
        <w:t>（1）使用伪造、变造的许可证件；</w:t>
      </w:r>
    </w:p>
    <w:p w14:paraId="4DC1B91B">
      <w:pPr>
        <w:spacing w:line="400" w:lineRule="exact"/>
        <w:ind w:left="426"/>
        <w:rPr>
          <w:rFonts w:ascii="宋体" w:hAnsi="宋体"/>
          <w:color w:val="auto"/>
          <w:szCs w:val="21"/>
          <w:highlight w:val="none"/>
        </w:rPr>
      </w:pPr>
      <w:r>
        <w:rPr>
          <w:rFonts w:hint="eastAsia" w:ascii="宋体" w:hAnsi="宋体"/>
          <w:color w:val="auto"/>
          <w:szCs w:val="21"/>
          <w:highlight w:val="none"/>
        </w:rPr>
        <w:t xml:space="preserve">（2）提供虚假的财务状况或者业绩； </w:t>
      </w:r>
    </w:p>
    <w:p w14:paraId="1BE72E22">
      <w:pPr>
        <w:spacing w:line="400" w:lineRule="exact"/>
        <w:ind w:left="426"/>
        <w:rPr>
          <w:rFonts w:ascii="宋体" w:hAnsi="宋体"/>
          <w:color w:val="auto"/>
          <w:szCs w:val="21"/>
          <w:highlight w:val="none"/>
        </w:rPr>
      </w:pPr>
      <w:r>
        <w:rPr>
          <w:rFonts w:hint="eastAsia" w:ascii="宋体" w:hAnsi="宋体"/>
          <w:color w:val="auto"/>
          <w:szCs w:val="21"/>
          <w:highlight w:val="none"/>
        </w:rPr>
        <w:t xml:space="preserve">（3）提供虚假的项目负责人或者主要技术人员简历、劳动关系证明； </w:t>
      </w:r>
    </w:p>
    <w:p w14:paraId="0EE1825B">
      <w:pPr>
        <w:spacing w:line="400" w:lineRule="exact"/>
        <w:ind w:left="426"/>
        <w:rPr>
          <w:rFonts w:ascii="宋体" w:hAnsi="宋体"/>
          <w:color w:val="auto"/>
          <w:szCs w:val="21"/>
          <w:highlight w:val="none"/>
        </w:rPr>
      </w:pPr>
      <w:r>
        <w:rPr>
          <w:rFonts w:hint="eastAsia" w:ascii="宋体" w:hAnsi="宋体"/>
          <w:color w:val="auto"/>
          <w:szCs w:val="21"/>
          <w:highlight w:val="none"/>
        </w:rPr>
        <w:t>（4）提供虚假的信用状况；</w:t>
      </w:r>
    </w:p>
    <w:p w14:paraId="7C5292C7">
      <w:pPr>
        <w:spacing w:line="400" w:lineRule="exact"/>
        <w:ind w:left="426"/>
        <w:rPr>
          <w:rFonts w:ascii="宋体" w:hAnsi="宋体"/>
          <w:color w:val="auto"/>
          <w:szCs w:val="21"/>
          <w:highlight w:val="none"/>
        </w:rPr>
      </w:pPr>
      <w:r>
        <w:rPr>
          <w:rFonts w:hint="eastAsia" w:ascii="宋体" w:hAnsi="宋体"/>
          <w:color w:val="auto"/>
          <w:szCs w:val="21"/>
          <w:highlight w:val="none"/>
        </w:rPr>
        <w:t>（5）其他弄虚作假的行为。</w:t>
      </w:r>
    </w:p>
    <w:p w14:paraId="06D5E591">
      <w:pPr>
        <w:spacing w:line="400" w:lineRule="exact"/>
        <w:ind w:firstLine="359" w:firstLineChars="171"/>
        <w:rPr>
          <w:bCs/>
          <w:color w:val="auto"/>
          <w:highlight w:val="none"/>
        </w:rPr>
      </w:pPr>
      <w:r>
        <w:rPr>
          <w:bCs/>
          <w:color w:val="auto"/>
          <w:highlight w:val="none"/>
        </w:rPr>
        <w:t>1.7.</w:t>
      </w:r>
      <w:r>
        <w:rPr>
          <w:rFonts w:hint="eastAsia"/>
          <w:bCs/>
          <w:color w:val="auto"/>
          <w:highlight w:val="none"/>
        </w:rPr>
        <w:t xml:space="preserve">6响应人相关工作人员与采购人或采购代理机构有以下利害关系之一的，应当回避： </w:t>
      </w:r>
    </w:p>
    <w:p w14:paraId="56D49629">
      <w:pPr>
        <w:spacing w:line="400" w:lineRule="exact"/>
        <w:ind w:firstLine="359" w:firstLineChars="171"/>
        <w:rPr>
          <w:bCs/>
          <w:color w:val="auto"/>
          <w:highlight w:val="none"/>
        </w:rPr>
      </w:pPr>
      <w:r>
        <w:rPr>
          <w:rFonts w:hint="eastAsia"/>
          <w:bCs/>
          <w:color w:val="auto"/>
          <w:highlight w:val="none"/>
        </w:rPr>
        <w:t>（一）是其主要负责人的近亲属的；</w:t>
      </w:r>
    </w:p>
    <w:p w14:paraId="34917C5C">
      <w:pPr>
        <w:spacing w:line="400" w:lineRule="exact"/>
        <w:ind w:firstLine="359" w:firstLineChars="171"/>
        <w:rPr>
          <w:bCs/>
          <w:color w:val="auto"/>
          <w:highlight w:val="none"/>
        </w:rPr>
      </w:pPr>
      <w:r>
        <w:rPr>
          <w:rFonts w:hint="eastAsia"/>
          <w:bCs/>
          <w:color w:val="auto"/>
          <w:highlight w:val="none"/>
        </w:rPr>
        <w:t>（二）竞争性谈判活动前3年内与其存在劳动关系，担任其董事、监事，是其控股股东或实际控制人，或存在其他经济利益关系，可能影响竞争性谈判活动公平公正的；</w:t>
      </w:r>
    </w:p>
    <w:p w14:paraId="4C5CAA9D">
      <w:pPr>
        <w:spacing w:line="400" w:lineRule="exact"/>
        <w:ind w:firstLine="359" w:firstLineChars="171"/>
        <w:rPr>
          <w:bCs/>
          <w:color w:val="auto"/>
          <w:highlight w:val="none"/>
        </w:rPr>
      </w:pPr>
      <w:r>
        <w:rPr>
          <w:rFonts w:hint="eastAsia"/>
          <w:bCs/>
          <w:color w:val="auto"/>
          <w:highlight w:val="none"/>
        </w:rPr>
        <w:t>（三）其他可能影响竞争性谈判活动公平、公正进行的关系。</w:t>
      </w:r>
    </w:p>
    <w:p w14:paraId="1A0A3708">
      <w:pPr>
        <w:spacing w:line="400" w:lineRule="exact"/>
        <w:rPr>
          <w:rFonts w:ascii="宋体" w:hAnsi="宋体"/>
          <w:b/>
          <w:color w:val="auto"/>
          <w:sz w:val="32"/>
          <w:szCs w:val="32"/>
          <w:highlight w:val="none"/>
        </w:rPr>
      </w:pPr>
      <w:bookmarkStart w:id="24" w:name="_Toc475552130"/>
      <w:bookmarkStart w:id="25" w:name="_Toc456551884"/>
      <w:r>
        <w:rPr>
          <w:rFonts w:hint="eastAsia" w:ascii="宋体" w:hAnsi="宋体"/>
          <w:b/>
          <w:color w:val="auto"/>
          <w:sz w:val="32"/>
          <w:szCs w:val="32"/>
          <w:highlight w:val="none"/>
        </w:rPr>
        <w:t>1.</w:t>
      </w:r>
      <w:r>
        <w:rPr>
          <w:rFonts w:ascii="宋体" w:hAnsi="宋体"/>
          <w:b/>
          <w:color w:val="auto"/>
          <w:sz w:val="32"/>
          <w:szCs w:val="32"/>
          <w:highlight w:val="none"/>
        </w:rPr>
        <w:t>8</w:t>
      </w:r>
      <w:r>
        <w:rPr>
          <w:rFonts w:hint="eastAsia" w:ascii="宋体" w:hAnsi="宋体"/>
          <w:b/>
          <w:color w:val="auto"/>
          <w:sz w:val="32"/>
          <w:szCs w:val="32"/>
          <w:highlight w:val="none"/>
        </w:rPr>
        <w:t xml:space="preserve"> 费用承担</w:t>
      </w:r>
      <w:bookmarkEnd w:id="24"/>
      <w:bookmarkEnd w:id="25"/>
    </w:p>
    <w:p w14:paraId="14EDFA43">
      <w:pPr>
        <w:spacing w:line="400" w:lineRule="exact"/>
        <w:ind w:firstLine="420" w:firstLineChars="200"/>
        <w:rPr>
          <w:color w:val="auto"/>
          <w:highlight w:val="none"/>
        </w:rPr>
      </w:pPr>
      <w:r>
        <w:rPr>
          <w:rFonts w:hint="eastAsia" w:ascii="宋体" w:hAnsi="宋体" w:cs="宋体"/>
          <w:color w:val="auto"/>
          <w:szCs w:val="21"/>
          <w:highlight w:val="none"/>
        </w:rPr>
        <w:t>响应人准备和参加竞争性谈判活动发生的费用自理</w:t>
      </w:r>
      <w:r>
        <w:rPr>
          <w:rFonts w:hint="eastAsia"/>
          <w:color w:val="auto"/>
          <w:highlight w:val="none"/>
        </w:rPr>
        <w:t>。</w:t>
      </w:r>
    </w:p>
    <w:p w14:paraId="08A69357">
      <w:pPr>
        <w:spacing w:line="400" w:lineRule="exact"/>
        <w:rPr>
          <w:rFonts w:ascii="宋体" w:hAnsi="宋体"/>
          <w:b/>
          <w:color w:val="auto"/>
          <w:sz w:val="32"/>
          <w:szCs w:val="32"/>
          <w:highlight w:val="none"/>
        </w:rPr>
      </w:pPr>
      <w:bookmarkStart w:id="26" w:name="_Toc475552131"/>
      <w:bookmarkStart w:id="27" w:name="_Toc456551885"/>
      <w:r>
        <w:rPr>
          <w:rFonts w:hint="eastAsia" w:ascii="宋体" w:hAnsi="宋体"/>
          <w:b/>
          <w:color w:val="auto"/>
          <w:sz w:val="32"/>
          <w:szCs w:val="32"/>
          <w:highlight w:val="none"/>
        </w:rPr>
        <w:t>1.</w:t>
      </w:r>
      <w:r>
        <w:rPr>
          <w:rFonts w:ascii="宋体" w:hAnsi="宋体"/>
          <w:b/>
          <w:color w:val="auto"/>
          <w:sz w:val="32"/>
          <w:szCs w:val="32"/>
          <w:highlight w:val="none"/>
        </w:rPr>
        <w:t>9</w:t>
      </w:r>
      <w:r>
        <w:rPr>
          <w:rFonts w:hint="eastAsia" w:ascii="宋体" w:hAnsi="宋体"/>
          <w:b/>
          <w:color w:val="auto"/>
          <w:sz w:val="32"/>
          <w:szCs w:val="32"/>
          <w:highlight w:val="none"/>
        </w:rPr>
        <w:t xml:space="preserve"> 保密</w:t>
      </w:r>
      <w:bookmarkEnd w:id="26"/>
      <w:bookmarkEnd w:id="27"/>
    </w:p>
    <w:p w14:paraId="796F3084">
      <w:pPr>
        <w:spacing w:line="400" w:lineRule="exact"/>
        <w:ind w:firstLine="420" w:firstLineChars="200"/>
        <w:rPr>
          <w:color w:val="auto"/>
          <w:highlight w:val="none"/>
        </w:rPr>
      </w:pPr>
      <w:r>
        <w:rPr>
          <w:rFonts w:hint="eastAsia"/>
          <w:color w:val="auto"/>
          <w:highlight w:val="none"/>
        </w:rPr>
        <w:t xml:space="preserve">参与竞争性谈判活动的各方应对竞争性谈判文件和响应文件中的商业和技术等秘密保密，违者应对由此造成的后果承担法律责任。 </w:t>
      </w:r>
    </w:p>
    <w:p w14:paraId="39A535D5">
      <w:pPr>
        <w:spacing w:line="400" w:lineRule="exact"/>
        <w:rPr>
          <w:rFonts w:ascii="宋体" w:hAnsi="宋体"/>
          <w:b/>
          <w:color w:val="auto"/>
          <w:sz w:val="32"/>
          <w:szCs w:val="32"/>
          <w:highlight w:val="none"/>
        </w:rPr>
      </w:pPr>
      <w:bookmarkStart w:id="28" w:name="_Toc456551887"/>
      <w:bookmarkStart w:id="29" w:name="_Toc475552133"/>
      <w:bookmarkStart w:id="30" w:name="_Toc456551886"/>
      <w:bookmarkStart w:id="31" w:name="_Toc475552132"/>
      <w:r>
        <w:rPr>
          <w:rFonts w:hint="eastAsia" w:ascii="宋体" w:hAnsi="宋体"/>
          <w:b/>
          <w:color w:val="auto"/>
          <w:sz w:val="32"/>
          <w:szCs w:val="32"/>
          <w:highlight w:val="none"/>
        </w:rPr>
        <w:t>1.10 语言文字</w:t>
      </w:r>
      <w:bookmarkEnd w:id="28"/>
      <w:bookmarkEnd w:id="29"/>
    </w:p>
    <w:p w14:paraId="120F0C37">
      <w:pPr>
        <w:spacing w:line="400" w:lineRule="exact"/>
        <w:ind w:firstLine="420" w:firstLineChars="200"/>
        <w:rPr>
          <w:color w:val="auto"/>
          <w:highlight w:val="none"/>
        </w:rPr>
      </w:pPr>
      <w:r>
        <w:rPr>
          <w:rFonts w:hint="eastAsia" w:ascii="宋体" w:hAnsi="宋体" w:cs="宋体"/>
          <w:color w:val="auto"/>
          <w:szCs w:val="21"/>
          <w:highlight w:val="none"/>
        </w:rPr>
        <w:t>除专用术语外，与竞争性谈判有关的语言均使用简体中文。必要时专用术语应附有中文注释。</w:t>
      </w:r>
    </w:p>
    <w:p w14:paraId="665459AB">
      <w:pPr>
        <w:spacing w:line="400" w:lineRule="exact"/>
        <w:rPr>
          <w:rFonts w:ascii="宋体" w:hAnsi="宋体"/>
          <w:b/>
          <w:color w:val="auto"/>
          <w:sz w:val="32"/>
          <w:szCs w:val="32"/>
          <w:highlight w:val="none"/>
        </w:rPr>
      </w:pPr>
      <w:r>
        <w:rPr>
          <w:rFonts w:hint="eastAsia" w:ascii="宋体" w:hAnsi="宋体"/>
          <w:b/>
          <w:color w:val="auto"/>
          <w:sz w:val="32"/>
          <w:szCs w:val="32"/>
          <w:highlight w:val="none"/>
        </w:rPr>
        <w:t>1.11 计量单位</w:t>
      </w:r>
      <w:bookmarkEnd w:id="30"/>
      <w:bookmarkEnd w:id="31"/>
    </w:p>
    <w:p w14:paraId="4D00DE18">
      <w:pPr>
        <w:spacing w:line="400" w:lineRule="exact"/>
        <w:ind w:firstLine="420" w:firstLineChars="200"/>
        <w:rPr>
          <w:color w:val="auto"/>
          <w:highlight w:val="none"/>
        </w:rPr>
      </w:pPr>
      <w:r>
        <w:rPr>
          <w:rFonts w:hint="eastAsia"/>
          <w:color w:val="auto"/>
          <w:highlight w:val="none"/>
        </w:rPr>
        <w:t>所有计量均采用中华人民共和国法定计量单位。</w:t>
      </w:r>
    </w:p>
    <w:p w14:paraId="35552AEB">
      <w:pPr>
        <w:spacing w:line="400" w:lineRule="exact"/>
        <w:rPr>
          <w:rFonts w:ascii="宋体" w:hAnsi="宋体"/>
          <w:b/>
          <w:color w:val="auto"/>
          <w:sz w:val="32"/>
          <w:szCs w:val="32"/>
          <w:highlight w:val="none"/>
        </w:rPr>
      </w:pPr>
      <w:bookmarkStart w:id="32" w:name="_Toc456551892"/>
      <w:bookmarkStart w:id="33" w:name="_Toc475552136"/>
      <w:r>
        <w:rPr>
          <w:rFonts w:hint="eastAsia" w:ascii="宋体" w:hAnsi="宋体"/>
          <w:b/>
          <w:color w:val="auto"/>
          <w:sz w:val="32"/>
          <w:szCs w:val="32"/>
          <w:highlight w:val="none"/>
        </w:rPr>
        <w:t>1.12 踏勘现场</w:t>
      </w:r>
      <w:bookmarkEnd w:id="32"/>
      <w:bookmarkEnd w:id="33"/>
    </w:p>
    <w:p w14:paraId="1F5C37F0">
      <w:pPr>
        <w:spacing w:line="400" w:lineRule="exact"/>
        <w:ind w:firstLine="420" w:firstLineChars="200"/>
        <w:rPr>
          <w:color w:val="auto"/>
          <w:highlight w:val="none"/>
        </w:rPr>
      </w:pPr>
      <w:r>
        <w:rPr>
          <w:rFonts w:hint="eastAsia"/>
          <w:color w:val="auto"/>
          <w:highlight w:val="none"/>
        </w:rPr>
        <w:t>1.12.1 竞争性谈判响应须知前附表规定组织踏勘现场的，采购人按竞争性谈判响应须知前附表规定的时间、地点组织响应人踏勘项目现场。</w:t>
      </w:r>
    </w:p>
    <w:p w14:paraId="2FDABF5D">
      <w:pPr>
        <w:spacing w:line="400" w:lineRule="exact"/>
        <w:ind w:firstLine="420" w:firstLineChars="200"/>
        <w:rPr>
          <w:color w:val="auto"/>
          <w:highlight w:val="none"/>
        </w:rPr>
      </w:pPr>
      <w:r>
        <w:rPr>
          <w:rFonts w:hint="eastAsia"/>
          <w:color w:val="auto"/>
          <w:highlight w:val="none"/>
        </w:rPr>
        <w:t>1.12.2 响应人踏勘现场发生的费用自理。</w:t>
      </w:r>
    </w:p>
    <w:p w14:paraId="75EC3011">
      <w:pPr>
        <w:spacing w:line="400" w:lineRule="exact"/>
        <w:ind w:firstLine="420" w:firstLineChars="200"/>
        <w:rPr>
          <w:color w:val="auto"/>
          <w:highlight w:val="none"/>
        </w:rPr>
      </w:pPr>
      <w:r>
        <w:rPr>
          <w:rFonts w:hint="eastAsia"/>
          <w:color w:val="auto"/>
          <w:highlight w:val="none"/>
        </w:rPr>
        <w:t>1.12.3 除采购人的原因外，响应人自行负责在踏勘现场中所发生的人员伤亡和财产损失。</w:t>
      </w:r>
    </w:p>
    <w:p w14:paraId="00FD01DA">
      <w:pPr>
        <w:spacing w:line="400" w:lineRule="exact"/>
        <w:ind w:firstLine="420" w:firstLineChars="200"/>
        <w:rPr>
          <w:color w:val="auto"/>
          <w:highlight w:val="none"/>
        </w:rPr>
      </w:pPr>
      <w:r>
        <w:rPr>
          <w:rFonts w:hint="eastAsia"/>
          <w:color w:val="auto"/>
          <w:highlight w:val="none"/>
        </w:rPr>
        <w:t>1.12.4 采购人在踏勘现场中介绍的实施地点和相关的周边环境情况，供响应人在编制响应文件时参考，采购人不对响应人据此作出的判断和决策负责。</w:t>
      </w:r>
    </w:p>
    <w:p w14:paraId="053CBD79">
      <w:pPr>
        <w:spacing w:line="400" w:lineRule="exact"/>
        <w:rPr>
          <w:color w:val="auto"/>
          <w:highlight w:val="none"/>
        </w:rPr>
      </w:pPr>
    </w:p>
    <w:p w14:paraId="063D840F">
      <w:pPr>
        <w:pStyle w:val="3"/>
        <w:rPr>
          <w:rFonts w:ascii="黑体" w:hAnsi="黑体"/>
          <w:color w:val="auto"/>
          <w:highlight w:val="none"/>
        </w:rPr>
      </w:pPr>
      <w:bookmarkStart w:id="34" w:name="_Toc456551890"/>
      <w:bookmarkStart w:id="35" w:name="_Toc75852753"/>
      <w:r>
        <w:rPr>
          <w:rFonts w:hint="eastAsia" w:ascii="黑体" w:hAnsi="黑体"/>
          <w:color w:val="auto"/>
          <w:highlight w:val="none"/>
        </w:rPr>
        <w:t>2. 竞争性谈判文件</w:t>
      </w:r>
      <w:bookmarkEnd w:id="34"/>
      <w:bookmarkEnd w:id="35"/>
    </w:p>
    <w:p w14:paraId="00FFDBCC">
      <w:pPr>
        <w:spacing w:line="400" w:lineRule="exact"/>
        <w:rPr>
          <w:rFonts w:ascii="宋体" w:hAnsi="宋体"/>
          <w:b/>
          <w:color w:val="auto"/>
          <w:sz w:val="32"/>
          <w:szCs w:val="32"/>
          <w:highlight w:val="none"/>
        </w:rPr>
      </w:pPr>
      <w:bookmarkStart w:id="36" w:name="_Toc456551891"/>
      <w:bookmarkStart w:id="37" w:name="_Toc475552135"/>
      <w:r>
        <w:rPr>
          <w:rFonts w:hint="eastAsia" w:ascii="宋体" w:hAnsi="宋体"/>
          <w:b/>
          <w:color w:val="auto"/>
          <w:sz w:val="32"/>
          <w:szCs w:val="32"/>
          <w:highlight w:val="none"/>
        </w:rPr>
        <w:t>2.1 竞争性谈判文件的组成</w:t>
      </w:r>
      <w:bookmarkEnd w:id="36"/>
      <w:bookmarkEnd w:id="37"/>
    </w:p>
    <w:p w14:paraId="729FD8FB">
      <w:pPr>
        <w:spacing w:line="400" w:lineRule="exact"/>
        <w:rPr>
          <w:color w:val="auto"/>
          <w:highlight w:val="none"/>
        </w:rPr>
      </w:pPr>
      <w:r>
        <w:rPr>
          <w:rFonts w:hint="eastAsia"/>
          <w:color w:val="auto"/>
          <w:highlight w:val="none"/>
        </w:rPr>
        <w:t>　　2.1.1 本竞争性谈判文件一般由以下部分组成：</w:t>
      </w:r>
    </w:p>
    <w:p w14:paraId="79540292">
      <w:pPr>
        <w:spacing w:line="400" w:lineRule="exact"/>
        <w:ind w:firstLine="567" w:firstLineChars="270"/>
        <w:rPr>
          <w:color w:val="auto"/>
          <w:highlight w:val="none"/>
        </w:rPr>
      </w:pPr>
      <w:r>
        <w:rPr>
          <w:rFonts w:hint="eastAsia"/>
          <w:color w:val="auto"/>
          <w:highlight w:val="none"/>
        </w:rPr>
        <w:t>第一章 竞争性谈判公告</w:t>
      </w:r>
    </w:p>
    <w:p w14:paraId="26F3A6A2">
      <w:pPr>
        <w:spacing w:line="400" w:lineRule="exact"/>
        <w:ind w:firstLine="567" w:firstLineChars="270"/>
        <w:rPr>
          <w:color w:val="auto"/>
          <w:highlight w:val="none"/>
        </w:rPr>
      </w:pPr>
      <w:r>
        <w:rPr>
          <w:rFonts w:hint="eastAsia"/>
          <w:color w:val="auto"/>
          <w:highlight w:val="none"/>
        </w:rPr>
        <w:t>第二章 竞争性谈判响应须知</w:t>
      </w:r>
    </w:p>
    <w:p w14:paraId="6C4C579C">
      <w:pPr>
        <w:spacing w:line="400" w:lineRule="exact"/>
        <w:ind w:firstLine="567" w:firstLineChars="270"/>
        <w:rPr>
          <w:color w:val="auto"/>
          <w:highlight w:val="none"/>
        </w:rPr>
      </w:pPr>
      <w:r>
        <w:rPr>
          <w:rFonts w:hint="eastAsia"/>
          <w:color w:val="auto"/>
          <w:highlight w:val="none"/>
        </w:rPr>
        <w:t>第三章 评审办法</w:t>
      </w:r>
    </w:p>
    <w:p w14:paraId="47C9F5CE">
      <w:pPr>
        <w:spacing w:line="400" w:lineRule="exact"/>
        <w:ind w:firstLine="567" w:firstLineChars="270"/>
        <w:rPr>
          <w:color w:val="auto"/>
          <w:highlight w:val="none"/>
        </w:rPr>
      </w:pPr>
      <w:r>
        <w:rPr>
          <w:rFonts w:hint="eastAsia"/>
          <w:color w:val="auto"/>
          <w:highlight w:val="none"/>
        </w:rPr>
        <w:t>第四章 用户需求书(服务类/货物类)；技术规范书、工程量清单、图纸（施工类）；</w:t>
      </w:r>
    </w:p>
    <w:p w14:paraId="29E7BCAC">
      <w:pPr>
        <w:spacing w:line="400" w:lineRule="exact"/>
        <w:ind w:firstLine="567" w:firstLineChars="270"/>
        <w:rPr>
          <w:color w:val="auto"/>
          <w:highlight w:val="none"/>
        </w:rPr>
      </w:pPr>
      <w:r>
        <w:rPr>
          <w:rFonts w:hint="eastAsia"/>
          <w:color w:val="auto"/>
          <w:highlight w:val="none"/>
        </w:rPr>
        <w:t>第五章 合同模板</w:t>
      </w:r>
    </w:p>
    <w:p w14:paraId="3A3DEE59">
      <w:pPr>
        <w:spacing w:line="400" w:lineRule="exact"/>
        <w:ind w:firstLine="567" w:firstLineChars="270"/>
        <w:rPr>
          <w:color w:val="auto"/>
          <w:highlight w:val="none"/>
        </w:rPr>
      </w:pPr>
      <w:r>
        <w:rPr>
          <w:rFonts w:hint="eastAsia"/>
          <w:color w:val="auto"/>
          <w:highlight w:val="none"/>
        </w:rPr>
        <w:t>第六章 响应文件格式</w:t>
      </w:r>
    </w:p>
    <w:p w14:paraId="74ED9A54">
      <w:pPr>
        <w:spacing w:line="400" w:lineRule="exact"/>
        <w:ind w:firstLine="567" w:firstLineChars="270"/>
        <w:rPr>
          <w:color w:val="auto"/>
          <w:highlight w:val="none"/>
        </w:rPr>
      </w:pPr>
      <w:r>
        <w:rPr>
          <w:rFonts w:hint="eastAsia"/>
          <w:color w:val="auto"/>
          <w:highlight w:val="none"/>
        </w:rPr>
        <w:t>采购人另有要求的，见竞争性谈判响应须知前附表。</w:t>
      </w:r>
    </w:p>
    <w:p w14:paraId="5A468C17">
      <w:pPr>
        <w:spacing w:line="400" w:lineRule="exact"/>
        <w:ind w:firstLine="567" w:firstLineChars="270"/>
        <w:rPr>
          <w:color w:val="auto"/>
          <w:highlight w:val="none"/>
        </w:rPr>
      </w:pPr>
      <w:r>
        <w:rPr>
          <w:rFonts w:hint="eastAsia" w:ascii="宋体" w:hAnsi="宋体" w:cs="宋体"/>
          <w:color w:val="auto"/>
          <w:szCs w:val="21"/>
          <w:highlight w:val="none"/>
        </w:rPr>
        <w:t>根据本章第2.2款对竞争性谈判文件所作的澄清、修改，构成竞争性谈判文件的组成部分。</w:t>
      </w:r>
    </w:p>
    <w:p w14:paraId="5F7926B2">
      <w:pPr>
        <w:spacing w:line="400" w:lineRule="exact"/>
        <w:ind w:firstLine="420" w:firstLineChars="200"/>
        <w:rPr>
          <w:color w:val="auto"/>
          <w:highlight w:val="none"/>
        </w:rPr>
      </w:pPr>
      <w:r>
        <w:rPr>
          <w:rFonts w:hint="eastAsia"/>
          <w:color w:val="auto"/>
          <w:highlight w:val="none"/>
        </w:rPr>
        <w:t>2.1.2竞争性谈判文件对同一内容的表述应当一致。第一章 “竞争性谈判公告”与竞争性谈判文件在同一内容的表述上有矛盾或冲突时，以第一章 “竞争性谈判公告”为准；竞争性谈判响应须知前附表与正文在同一内容的表述上有矛盾或冲突时，以竞争性谈判响应须知前附表为准。</w:t>
      </w:r>
    </w:p>
    <w:p w14:paraId="45CE5A6C">
      <w:pPr>
        <w:spacing w:line="400" w:lineRule="exact"/>
        <w:ind w:firstLine="420" w:firstLineChars="200"/>
        <w:rPr>
          <w:color w:val="auto"/>
          <w:highlight w:val="none"/>
        </w:rPr>
      </w:pPr>
      <w:r>
        <w:rPr>
          <w:rFonts w:hint="eastAsia"/>
          <w:color w:val="auto"/>
          <w:highlight w:val="none"/>
        </w:rPr>
        <w:t>2.1.3</w:t>
      </w:r>
      <w:r>
        <w:rPr>
          <w:rFonts w:hint="eastAsia" w:ascii="宋体" w:hAnsi="宋体" w:cs="宋体"/>
          <w:b/>
          <w:color w:val="auto"/>
          <w:szCs w:val="21"/>
          <w:highlight w:val="none"/>
        </w:rPr>
        <w:t>竞争性谈判文件中标识“</w:t>
      </w:r>
      <w:r>
        <w:rPr>
          <w:rFonts w:eastAsia="黑体"/>
          <w:b/>
          <w:color w:val="auto"/>
          <w:sz w:val="32"/>
          <w:szCs w:val="32"/>
          <w:highlight w:val="none"/>
        </w:rPr>
        <w:sym w:font="Wingdings" w:char="00AB"/>
      </w:r>
      <w:r>
        <w:rPr>
          <w:rFonts w:hint="eastAsia" w:ascii="宋体" w:hAnsi="宋体" w:cs="宋体"/>
          <w:b/>
          <w:color w:val="auto"/>
          <w:szCs w:val="21"/>
          <w:highlight w:val="none"/>
        </w:rPr>
        <w:t>”的条款，均为实质性条款，任何不满足实质性条款的谈判将被否决</w:t>
      </w:r>
      <w:r>
        <w:rPr>
          <w:rFonts w:hint="eastAsia"/>
          <w:b/>
          <w:color w:val="auto"/>
          <w:highlight w:val="none"/>
        </w:rPr>
        <w:t>；</w:t>
      </w:r>
      <w:r>
        <w:rPr>
          <w:rFonts w:hint="eastAsia"/>
          <w:color w:val="auto"/>
          <w:highlight w:val="none"/>
        </w:rPr>
        <w:t>对于非实质性要求和条件，</w:t>
      </w:r>
      <w:r>
        <w:rPr>
          <w:rFonts w:hint="eastAsia" w:ascii="宋体" w:hAnsi="宋体" w:cs="宋体"/>
          <w:color w:val="auto"/>
          <w:szCs w:val="21"/>
          <w:highlight w:val="none"/>
        </w:rPr>
        <w:t>偏离应当符合采购文件规定的偏离范围和幅度</w:t>
      </w:r>
      <w:r>
        <w:rPr>
          <w:rFonts w:hint="eastAsia"/>
          <w:color w:val="auto"/>
          <w:highlight w:val="none"/>
        </w:rPr>
        <w:t>。</w:t>
      </w:r>
    </w:p>
    <w:p w14:paraId="186FC052">
      <w:pPr>
        <w:spacing w:line="400" w:lineRule="exact"/>
        <w:rPr>
          <w:rFonts w:ascii="宋体" w:hAnsi="宋体"/>
          <w:b/>
          <w:color w:val="auto"/>
          <w:sz w:val="32"/>
          <w:szCs w:val="32"/>
          <w:highlight w:val="none"/>
        </w:rPr>
      </w:pPr>
      <w:bookmarkStart w:id="38" w:name="_Toc456551894"/>
      <w:bookmarkStart w:id="39" w:name="_Toc475552138"/>
      <w:r>
        <w:rPr>
          <w:rFonts w:hint="eastAsia" w:ascii="宋体" w:hAnsi="宋体"/>
          <w:b/>
          <w:color w:val="auto"/>
          <w:sz w:val="32"/>
          <w:szCs w:val="32"/>
          <w:highlight w:val="none"/>
        </w:rPr>
        <w:t>2.2 竞争性谈判文件的澄清和修改</w:t>
      </w:r>
      <w:bookmarkEnd w:id="38"/>
      <w:bookmarkEnd w:id="39"/>
    </w:p>
    <w:p w14:paraId="1231D086">
      <w:pPr>
        <w:spacing w:line="400" w:lineRule="exact"/>
        <w:ind w:firstLine="420" w:firstLineChars="200"/>
        <w:rPr>
          <w:color w:val="auto"/>
          <w:highlight w:val="none"/>
        </w:rPr>
      </w:pPr>
      <w:r>
        <w:rPr>
          <w:rFonts w:hint="eastAsia"/>
          <w:color w:val="auto"/>
          <w:highlight w:val="none"/>
        </w:rPr>
        <w:t>2.2.1响应人对竞争性谈判文件有任何疑问的，应当按照竞争性谈判响应须知前附表规定的时间和方式，向采购人提出澄清要求。</w:t>
      </w:r>
    </w:p>
    <w:p w14:paraId="1C196A24">
      <w:pPr>
        <w:spacing w:line="400" w:lineRule="exact"/>
        <w:ind w:firstLine="420" w:firstLineChars="200"/>
        <w:rPr>
          <w:color w:val="auto"/>
          <w:highlight w:val="none"/>
        </w:rPr>
      </w:pPr>
      <w:r>
        <w:rPr>
          <w:rFonts w:hint="eastAsia"/>
          <w:color w:val="auto"/>
          <w:highlight w:val="none"/>
        </w:rPr>
        <w:t>2.2.2</w:t>
      </w:r>
      <w:r>
        <w:rPr>
          <w:rFonts w:hint="eastAsia" w:ascii="宋体" w:hAnsi="宋体" w:cs="宋体"/>
          <w:color w:val="auto"/>
          <w:szCs w:val="21"/>
          <w:highlight w:val="none"/>
        </w:rPr>
        <w:t>无论是采购人根据需要主动对竞争性谈判文件进行必要的澄清，或是根据响应人的要求对竞争性谈判文件做出澄清，</w:t>
      </w:r>
      <w:r>
        <w:rPr>
          <w:rFonts w:hint="eastAsia"/>
          <w:color w:val="auto"/>
          <w:highlight w:val="none"/>
        </w:rPr>
        <w:t>采购人都应当按照竞争性谈判响应须知前附表规定的时间和方式，将澄清或修改内容发给所有潜在竞争性谈判响应人，但不指明问题的来源。</w:t>
      </w:r>
    </w:p>
    <w:p w14:paraId="1609A92B">
      <w:pPr>
        <w:spacing w:line="400" w:lineRule="exact"/>
        <w:ind w:firstLine="420" w:firstLineChars="200"/>
        <w:rPr>
          <w:color w:val="auto"/>
          <w:highlight w:val="none"/>
        </w:rPr>
      </w:pPr>
      <w:r>
        <w:rPr>
          <w:rFonts w:hint="eastAsia"/>
          <w:color w:val="auto"/>
          <w:highlight w:val="none"/>
        </w:rPr>
        <w:t>2.2.3如澄清或修改的内容可能影响响应文件编制的，应当在递交响应文件截止时间至少3日前发出，不足3日的，采购人应相应顺延递交响应文件的截止时间。</w:t>
      </w:r>
    </w:p>
    <w:p w14:paraId="0BAB920B">
      <w:pPr>
        <w:spacing w:line="400" w:lineRule="exact"/>
        <w:ind w:firstLine="420" w:firstLineChars="200"/>
        <w:rPr>
          <w:color w:val="auto"/>
          <w:highlight w:val="none"/>
        </w:rPr>
      </w:pPr>
      <w:r>
        <w:rPr>
          <w:rFonts w:hint="eastAsia"/>
          <w:color w:val="auto"/>
          <w:highlight w:val="none"/>
        </w:rPr>
        <w:t>2.2.4所有关于竞争性谈判文件的澄清和修改均作为竞争性谈判文件的补充部分。当竞争性谈判文件、竞争性谈判文件的澄清或修改等在同一内容的表述上不一致时，以最后发出的书面文件为准。</w:t>
      </w:r>
    </w:p>
    <w:p w14:paraId="500E650B">
      <w:pPr>
        <w:spacing w:line="400" w:lineRule="exact"/>
        <w:ind w:firstLine="420" w:firstLineChars="200"/>
        <w:rPr>
          <w:color w:val="auto"/>
          <w:highlight w:val="none"/>
        </w:rPr>
      </w:pPr>
      <w:r>
        <w:rPr>
          <w:rFonts w:hint="eastAsia"/>
          <w:color w:val="auto"/>
          <w:highlight w:val="none"/>
        </w:rPr>
        <w:t>2.2.5</w:t>
      </w:r>
      <w:r>
        <w:rPr>
          <w:rFonts w:hint="eastAsia" w:ascii="宋体" w:hAnsi="宋体" w:cs="宋体"/>
          <w:color w:val="auto"/>
          <w:szCs w:val="21"/>
          <w:highlight w:val="none"/>
        </w:rPr>
        <w:t>响应人对采购人提供的竞争性谈判文件所作出的推论、解释和结论，采购人概不负责；响应人由于对竞争性谈判文件的任何推论和误解以及采购人对有关问题的口头解释所造成的后果，均由响应人自行负责。</w:t>
      </w:r>
    </w:p>
    <w:p w14:paraId="534747EA">
      <w:pPr>
        <w:spacing w:line="400" w:lineRule="exact"/>
        <w:ind w:firstLine="420" w:firstLineChars="200"/>
        <w:rPr>
          <w:color w:val="auto"/>
          <w:highlight w:val="none"/>
        </w:rPr>
      </w:pPr>
    </w:p>
    <w:p w14:paraId="709EAB94">
      <w:pPr>
        <w:pStyle w:val="3"/>
        <w:rPr>
          <w:rFonts w:ascii="黑体" w:hAnsi="黑体"/>
          <w:color w:val="auto"/>
          <w:highlight w:val="none"/>
        </w:rPr>
      </w:pPr>
      <w:bookmarkStart w:id="40" w:name="_Toc456551895"/>
      <w:bookmarkStart w:id="41" w:name="_Toc75852754"/>
      <w:r>
        <w:rPr>
          <w:rFonts w:hint="eastAsia" w:ascii="黑体" w:hAnsi="黑体"/>
          <w:color w:val="auto"/>
          <w:highlight w:val="none"/>
        </w:rPr>
        <w:t>3. 响应文件</w:t>
      </w:r>
      <w:bookmarkEnd w:id="40"/>
      <w:bookmarkEnd w:id="41"/>
    </w:p>
    <w:p w14:paraId="1229493A">
      <w:pPr>
        <w:spacing w:line="400" w:lineRule="exact"/>
        <w:rPr>
          <w:rFonts w:ascii="宋体" w:hAnsi="宋体"/>
          <w:b/>
          <w:color w:val="auto"/>
          <w:sz w:val="32"/>
          <w:szCs w:val="32"/>
          <w:highlight w:val="none"/>
        </w:rPr>
      </w:pPr>
      <w:bookmarkStart w:id="42" w:name="_Toc456551896"/>
      <w:bookmarkStart w:id="43" w:name="_Toc475552140"/>
      <w:r>
        <w:rPr>
          <w:rFonts w:hint="eastAsia" w:ascii="宋体" w:hAnsi="宋体"/>
          <w:b/>
          <w:color w:val="auto"/>
          <w:sz w:val="32"/>
          <w:szCs w:val="32"/>
          <w:highlight w:val="none"/>
        </w:rPr>
        <w:t>3.1 响应文件的组成</w:t>
      </w:r>
      <w:bookmarkEnd w:id="42"/>
      <w:bookmarkEnd w:id="43"/>
    </w:p>
    <w:p w14:paraId="54EADE4E">
      <w:pPr>
        <w:spacing w:line="400" w:lineRule="exact"/>
        <w:ind w:firstLine="359" w:firstLineChars="171"/>
        <w:rPr>
          <w:rFonts w:ascii="宋体" w:hAnsi="宋体" w:cs="宋体"/>
          <w:color w:val="auto"/>
          <w:szCs w:val="21"/>
          <w:highlight w:val="none"/>
        </w:rPr>
      </w:pPr>
      <w:r>
        <w:rPr>
          <w:rFonts w:hint="eastAsia" w:ascii="宋体" w:hAnsi="宋体" w:cs="宋体"/>
          <w:color w:val="auto"/>
          <w:szCs w:val="21"/>
          <w:highlight w:val="none"/>
        </w:rPr>
        <w:t>响应人应当按照竞争性谈判文件的要求编制并提交响应文件。</w:t>
      </w:r>
    </w:p>
    <w:p w14:paraId="515F44EE">
      <w:pPr>
        <w:spacing w:line="400" w:lineRule="exact"/>
        <w:rPr>
          <w:rFonts w:ascii="宋体" w:hAnsi="宋体"/>
          <w:b/>
          <w:color w:val="auto"/>
          <w:sz w:val="32"/>
          <w:szCs w:val="32"/>
          <w:highlight w:val="none"/>
        </w:rPr>
      </w:pPr>
      <w:bookmarkStart w:id="44" w:name="_Toc456551897"/>
      <w:bookmarkStart w:id="45" w:name="_Toc475552141"/>
      <w:r>
        <w:rPr>
          <w:rFonts w:hint="eastAsia" w:ascii="宋体" w:hAnsi="宋体"/>
          <w:b/>
          <w:color w:val="auto"/>
          <w:sz w:val="32"/>
          <w:szCs w:val="32"/>
          <w:highlight w:val="none"/>
        </w:rPr>
        <w:t>3.2响应文件的编制</w:t>
      </w:r>
      <w:bookmarkEnd w:id="44"/>
      <w:bookmarkEnd w:id="45"/>
    </w:p>
    <w:p w14:paraId="4EE43C32">
      <w:pPr>
        <w:spacing w:line="400" w:lineRule="exact"/>
        <w:ind w:firstLine="420" w:firstLineChars="200"/>
        <w:rPr>
          <w:color w:val="auto"/>
          <w:szCs w:val="21"/>
          <w:highlight w:val="none"/>
        </w:rPr>
      </w:pPr>
      <w:r>
        <w:rPr>
          <w:rFonts w:hint="eastAsia"/>
          <w:color w:val="auto"/>
          <w:szCs w:val="21"/>
          <w:highlight w:val="none"/>
        </w:rPr>
        <w:t>3.2.1响应人应当按照竞争性谈判文件的要求编制响应文件，响应文件应当对竞争性谈判文件提出的实质性要求和条件作出响应。</w:t>
      </w:r>
      <w:r>
        <w:rPr>
          <w:color w:val="auto"/>
          <w:szCs w:val="21"/>
          <w:highlight w:val="none"/>
        </w:rPr>
        <w:t xml:space="preserve"> </w:t>
      </w:r>
    </w:p>
    <w:p w14:paraId="24E62CEC">
      <w:pPr>
        <w:spacing w:line="400" w:lineRule="exact"/>
        <w:ind w:firstLine="420" w:firstLineChars="200"/>
        <w:rPr>
          <w:color w:val="auto"/>
          <w:szCs w:val="21"/>
          <w:highlight w:val="none"/>
        </w:rPr>
      </w:pPr>
      <w:r>
        <w:rPr>
          <w:rFonts w:hint="eastAsia"/>
          <w:color w:val="auto"/>
          <w:szCs w:val="21"/>
          <w:highlight w:val="none"/>
        </w:rPr>
        <w:t>3.2.2</w:t>
      </w:r>
      <w:r>
        <w:rPr>
          <w:rFonts w:hint="eastAsia" w:ascii="宋体" w:hAnsi="宋体" w:cs="宋体"/>
          <w:color w:val="auto"/>
          <w:szCs w:val="21"/>
          <w:highlight w:val="none"/>
        </w:rPr>
        <w:t>响应人应认真阅读竞争性谈判文件中所有的事项、格式、条款和技术规范等。响应人没有按照竞争性谈判文件要求递交全部资料，或者响应人没有对竞争性谈判文件的所有实质性要求作出全面响应是采购人的风险，并可能导致其竞争性谈判被否决。响应文件响应和编写的具体要求见竞争性谈判响应须知前附表。</w:t>
      </w:r>
    </w:p>
    <w:p w14:paraId="2D561CA6">
      <w:pPr>
        <w:spacing w:line="400" w:lineRule="exact"/>
        <w:ind w:firstLine="420" w:firstLineChars="200"/>
        <w:rPr>
          <w:color w:val="auto"/>
          <w:szCs w:val="21"/>
          <w:highlight w:val="none"/>
        </w:rPr>
      </w:pPr>
      <w:r>
        <w:rPr>
          <w:rFonts w:hint="eastAsia"/>
          <w:color w:val="auto"/>
          <w:szCs w:val="21"/>
          <w:highlight w:val="none"/>
        </w:rPr>
        <w:t>3.2.3响应人提交的响应文件以及响应人与采购人就有关竞争性谈判的所有往来函电均应使用中文。响应人提交的证明文件和印刷的文献如使用其他语言的，相应内容应译成中文，在解释响应文件时以中文译本为准。</w:t>
      </w:r>
    </w:p>
    <w:p w14:paraId="5B95C7A6">
      <w:pPr>
        <w:spacing w:line="400" w:lineRule="exact"/>
        <w:ind w:firstLine="420" w:firstLineChars="200"/>
        <w:rPr>
          <w:color w:val="auto"/>
          <w:szCs w:val="21"/>
          <w:highlight w:val="none"/>
        </w:rPr>
      </w:pPr>
      <w:r>
        <w:rPr>
          <w:rFonts w:hint="eastAsia"/>
          <w:color w:val="auto"/>
          <w:szCs w:val="21"/>
          <w:highlight w:val="none"/>
        </w:rPr>
        <w:t>3.2.4响应文件应当使用不褪色的材料书写或打印，并盖单位公章。委托代理人签字的，响应文件应附法定代表人签署的授权委托书。响应文件应尽量避免涂改、行间插字或删除。如果出现上述情况，改动之处应加盖单位公章或由响应人的法定代表人或其委托代理人签字确认。响应文件盖章或者签字另有要求的，见竞争性谈判响应须知前附表。</w:t>
      </w:r>
    </w:p>
    <w:p w14:paraId="1C18FFC0">
      <w:pPr>
        <w:spacing w:line="400" w:lineRule="exact"/>
        <w:rPr>
          <w:rFonts w:ascii="宋体" w:hAnsi="宋体"/>
          <w:b/>
          <w:color w:val="auto"/>
          <w:sz w:val="32"/>
          <w:szCs w:val="32"/>
          <w:highlight w:val="none"/>
        </w:rPr>
      </w:pPr>
      <w:bookmarkStart w:id="46" w:name="_Toc475552142"/>
      <w:bookmarkStart w:id="47" w:name="_Toc456551898"/>
      <w:r>
        <w:rPr>
          <w:rFonts w:hint="eastAsia" w:ascii="宋体" w:hAnsi="宋体"/>
          <w:b/>
          <w:color w:val="auto"/>
          <w:sz w:val="32"/>
          <w:szCs w:val="32"/>
          <w:highlight w:val="none"/>
        </w:rPr>
        <w:t>3.3 竞争性谈判报价</w:t>
      </w:r>
      <w:bookmarkEnd w:id="46"/>
      <w:bookmarkEnd w:id="47"/>
    </w:p>
    <w:p w14:paraId="0618376E">
      <w:pPr>
        <w:spacing w:line="400" w:lineRule="exact"/>
        <w:ind w:firstLine="420" w:firstLineChars="200"/>
        <w:rPr>
          <w:color w:val="auto"/>
          <w:highlight w:val="none"/>
        </w:rPr>
      </w:pPr>
      <w:r>
        <w:rPr>
          <w:rFonts w:hint="eastAsia"/>
          <w:color w:val="auto"/>
          <w:highlight w:val="none"/>
        </w:rPr>
        <w:t>3.3.1</w:t>
      </w:r>
      <w:r>
        <w:rPr>
          <w:rFonts w:hint="eastAsia"/>
          <w:bCs/>
          <w:color w:val="auto"/>
          <w:highlight w:val="none"/>
        </w:rPr>
        <w:t>竞争性谈判报价的具体要求见竞争性谈判响应须知前附表</w:t>
      </w:r>
      <w:r>
        <w:rPr>
          <w:rFonts w:hint="eastAsia" w:ascii="宋体" w:hAnsi="宋体"/>
          <w:color w:val="auto"/>
          <w:szCs w:val="21"/>
          <w:highlight w:val="none"/>
        </w:rPr>
        <w:t>。</w:t>
      </w:r>
    </w:p>
    <w:p w14:paraId="6A131FCB">
      <w:pPr>
        <w:spacing w:line="400" w:lineRule="exact"/>
        <w:ind w:firstLine="420" w:firstLineChars="200"/>
        <w:rPr>
          <w:color w:val="auto"/>
          <w:highlight w:val="none"/>
        </w:rPr>
      </w:pPr>
      <w:r>
        <w:rPr>
          <w:rFonts w:hint="eastAsia"/>
          <w:color w:val="auto"/>
          <w:highlight w:val="none"/>
        </w:rPr>
        <w:t>3.3.2竞争性谈判货币：人民币</w:t>
      </w:r>
      <w:r>
        <w:rPr>
          <w:rFonts w:hint="eastAsia" w:ascii="宋体" w:hAnsi="宋体"/>
          <w:color w:val="auto"/>
          <w:szCs w:val="21"/>
          <w:highlight w:val="none"/>
        </w:rPr>
        <w:t>。响应文件中如出现其他币种，一律以唱标当天中国人民银行公布的汇率折算为人民币。</w:t>
      </w:r>
    </w:p>
    <w:p w14:paraId="7AB7AEB8">
      <w:pPr>
        <w:spacing w:line="400" w:lineRule="exact"/>
        <w:ind w:firstLine="420" w:firstLineChars="200"/>
        <w:rPr>
          <w:color w:val="auto"/>
          <w:highlight w:val="none"/>
        </w:rPr>
      </w:pPr>
      <w:r>
        <w:rPr>
          <w:rFonts w:hint="eastAsia"/>
          <w:color w:val="auto"/>
          <w:highlight w:val="none"/>
        </w:rPr>
        <w:t xml:space="preserve">3.3.3 </w:t>
      </w:r>
      <w:r>
        <w:rPr>
          <w:rFonts w:hint="eastAsia"/>
          <w:b/>
          <w:color w:val="auto"/>
          <w:highlight w:val="none"/>
        </w:rPr>
        <w:t>采购人设有最高谈判限价的，响应人的竞争性谈判报价不得超过最高限价，否则其谈判将被否决。</w:t>
      </w:r>
      <w:r>
        <w:rPr>
          <w:rFonts w:hint="eastAsia"/>
          <w:color w:val="auto"/>
          <w:highlight w:val="none"/>
        </w:rPr>
        <w:t>最高竞争性谈判限价或其计算方法见竞争性谈判响应须知前附表。</w:t>
      </w:r>
    </w:p>
    <w:p w14:paraId="73B6D256">
      <w:pPr>
        <w:spacing w:line="400" w:lineRule="exact"/>
        <w:ind w:firstLine="420" w:firstLineChars="200"/>
        <w:rPr>
          <w:color w:val="auto"/>
          <w:highlight w:val="none"/>
        </w:rPr>
      </w:pPr>
      <w:r>
        <w:rPr>
          <w:rFonts w:hint="eastAsia"/>
          <w:color w:val="auto"/>
          <w:highlight w:val="none"/>
        </w:rPr>
        <w:t>3.3.4 采购人不接受响应人的任何低于成本报价的不正当竞争方式。</w:t>
      </w:r>
    </w:p>
    <w:p w14:paraId="47B01312">
      <w:pPr>
        <w:spacing w:line="400" w:lineRule="exact"/>
        <w:rPr>
          <w:rFonts w:ascii="宋体" w:hAnsi="宋体"/>
          <w:b/>
          <w:color w:val="auto"/>
          <w:sz w:val="32"/>
          <w:szCs w:val="32"/>
          <w:highlight w:val="none"/>
        </w:rPr>
      </w:pPr>
      <w:bookmarkStart w:id="48" w:name="_Toc456551899"/>
      <w:bookmarkStart w:id="49" w:name="_Toc475552143"/>
      <w:r>
        <w:rPr>
          <w:rFonts w:hint="eastAsia" w:ascii="宋体" w:hAnsi="宋体"/>
          <w:b/>
          <w:color w:val="auto"/>
          <w:sz w:val="32"/>
          <w:szCs w:val="32"/>
          <w:highlight w:val="none"/>
        </w:rPr>
        <w:t>3.4 竞争性谈判有效期</w:t>
      </w:r>
      <w:bookmarkEnd w:id="48"/>
      <w:bookmarkEnd w:id="49"/>
    </w:p>
    <w:p w14:paraId="48D86DAF">
      <w:pPr>
        <w:spacing w:line="400" w:lineRule="exact"/>
        <w:ind w:firstLine="420" w:firstLineChars="200"/>
        <w:rPr>
          <w:color w:val="auto"/>
          <w:highlight w:val="none"/>
        </w:rPr>
      </w:pPr>
      <w:r>
        <w:rPr>
          <w:rFonts w:hint="eastAsia"/>
          <w:color w:val="auto"/>
          <w:highlight w:val="none"/>
        </w:rPr>
        <w:t>3.4.1谈判有效期从递交响应文件截止日起计算，竞争性谈判有效期的具体时间见竞争性谈判响应须知前附表，在此期间，响应人不得要求撤销或修改其响应文件。</w:t>
      </w:r>
      <w:r>
        <w:rPr>
          <w:rFonts w:hint="eastAsia"/>
          <w:b/>
          <w:color w:val="auto"/>
          <w:highlight w:val="none"/>
        </w:rPr>
        <w:t>谈判有效期不满足竞争性谈判文件要求的谈判将被否决。</w:t>
      </w:r>
    </w:p>
    <w:p w14:paraId="31F4ABBD">
      <w:pPr>
        <w:spacing w:line="400" w:lineRule="exact"/>
        <w:ind w:firstLine="420" w:firstLineChars="200"/>
        <w:rPr>
          <w:color w:val="auto"/>
          <w:highlight w:val="none"/>
        </w:rPr>
      </w:pPr>
      <w:r>
        <w:rPr>
          <w:rFonts w:hint="eastAsia"/>
          <w:color w:val="auto"/>
          <w:highlight w:val="none"/>
        </w:rPr>
        <w:t>3.4.2</w:t>
      </w:r>
      <w:r>
        <w:rPr>
          <w:rFonts w:hint="eastAsia" w:ascii="宋体" w:hAnsi="宋体" w:cs="宋体"/>
          <w:color w:val="auto"/>
          <w:szCs w:val="21"/>
          <w:highlight w:val="none"/>
        </w:rPr>
        <w:t>出现特殊情况需要延长谈判有效期的，采购人以书面形式通知所有响应人延长竞争性谈判有效期。响应人同意延长的，应相应延长其竞争性谈判保证金的有效期，但不得要求或被允许修改或撤销其响应文件；响应人拒绝延长的，其响应失效，但响应人有权收回其响应保证金。</w:t>
      </w:r>
    </w:p>
    <w:p w14:paraId="126D5159">
      <w:pPr>
        <w:spacing w:line="400" w:lineRule="exact"/>
        <w:rPr>
          <w:rFonts w:ascii="宋体" w:hAnsi="宋体"/>
          <w:b/>
          <w:color w:val="auto"/>
          <w:sz w:val="32"/>
          <w:szCs w:val="32"/>
          <w:highlight w:val="none"/>
        </w:rPr>
      </w:pPr>
      <w:bookmarkStart w:id="50" w:name="_Toc475552144"/>
      <w:bookmarkStart w:id="51" w:name="_Toc456551900"/>
      <w:r>
        <w:rPr>
          <w:rFonts w:hint="eastAsia" w:ascii="宋体" w:hAnsi="宋体"/>
          <w:b/>
          <w:color w:val="auto"/>
          <w:sz w:val="32"/>
          <w:szCs w:val="32"/>
          <w:highlight w:val="none"/>
        </w:rPr>
        <w:t>3.5 竞争性谈判保证金</w:t>
      </w:r>
      <w:bookmarkEnd w:id="50"/>
      <w:bookmarkEnd w:id="51"/>
    </w:p>
    <w:p w14:paraId="06D67517">
      <w:pPr>
        <w:spacing w:line="400" w:lineRule="exact"/>
        <w:ind w:firstLine="420" w:firstLineChars="200"/>
        <w:rPr>
          <w:color w:val="auto"/>
          <w:highlight w:val="none"/>
        </w:rPr>
      </w:pPr>
      <w:r>
        <w:rPr>
          <w:rFonts w:hint="eastAsia"/>
          <w:color w:val="auto"/>
          <w:highlight w:val="none"/>
        </w:rPr>
        <w:t>3.5.1 采购人要求响应人提交竞争性谈判保证金的，响应人必须在提交响应文件的同时，按照竞争性谈判响应须知前附表的规定提交竞争性谈判保证金。</w:t>
      </w:r>
    </w:p>
    <w:p w14:paraId="6C5697D8">
      <w:pPr>
        <w:spacing w:line="400" w:lineRule="exact"/>
        <w:ind w:firstLine="420" w:firstLineChars="200"/>
        <w:rPr>
          <w:color w:val="auto"/>
          <w:highlight w:val="none"/>
        </w:rPr>
      </w:pPr>
      <w:r>
        <w:rPr>
          <w:rFonts w:hint="eastAsia"/>
          <w:color w:val="auto"/>
          <w:highlight w:val="none"/>
        </w:rPr>
        <w:t>3.5.2 采购人可以规定竞争性谈判保证金是以现金、支票、银行汇票、中国注册的银行出具的银行保函等方式递交。竞争性谈判保证金的形式见竞争性谈判响应须知前附表。</w:t>
      </w:r>
    </w:p>
    <w:p w14:paraId="510C24EA">
      <w:pPr>
        <w:spacing w:line="400" w:lineRule="exact"/>
        <w:ind w:firstLine="420" w:firstLineChars="200"/>
        <w:rPr>
          <w:color w:val="auto"/>
          <w:highlight w:val="none"/>
        </w:rPr>
      </w:pPr>
      <w:r>
        <w:rPr>
          <w:rFonts w:hint="eastAsia"/>
          <w:color w:val="auto"/>
          <w:highlight w:val="none"/>
        </w:rPr>
        <w:t>3.5.3 采购人应当在项目书面合同签订后5日内向成交人和未成交的响应人无息退还竞争性谈判保证金，退还至响应人原转出账户。</w:t>
      </w:r>
    </w:p>
    <w:p w14:paraId="59F11121">
      <w:pPr>
        <w:spacing w:line="400" w:lineRule="exact"/>
        <w:ind w:firstLine="420" w:firstLineChars="200"/>
        <w:rPr>
          <w:color w:val="auto"/>
          <w:highlight w:val="none"/>
        </w:rPr>
      </w:pPr>
      <w:r>
        <w:rPr>
          <w:rFonts w:hint="eastAsia"/>
          <w:color w:val="auto"/>
          <w:highlight w:val="none"/>
        </w:rPr>
        <w:t xml:space="preserve">3.5.4 有下列情形之一的，竞争性谈判保证金可不予退还： </w:t>
      </w:r>
    </w:p>
    <w:p w14:paraId="102AFCF4">
      <w:pPr>
        <w:spacing w:line="400" w:lineRule="exact"/>
        <w:ind w:firstLine="718" w:firstLineChars="342"/>
        <w:rPr>
          <w:color w:val="auto"/>
          <w:highlight w:val="none"/>
        </w:rPr>
      </w:pPr>
      <w:r>
        <w:rPr>
          <w:rFonts w:hint="eastAsia"/>
          <w:color w:val="auto"/>
          <w:highlight w:val="none"/>
        </w:rPr>
        <w:t>（1）</w:t>
      </w:r>
      <w:r>
        <w:rPr>
          <w:rFonts w:hint="eastAsia"/>
          <w:color w:val="auto"/>
          <w:szCs w:val="18"/>
          <w:highlight w:val="none"/>
        </w:rPr>
        <w:t>响应人在规定的竞争性谈判有效期内撤销或修改其响应文件的；</w:t>
      </w:r>
    </w:p>
    <w:p w14:paraId="5C36C793">
      <w:pPr>
        <w:spacing w:line="400" w:lineRule="exact"/>
        <w:ind w:firstLine="718" w:firstLineChars="342"/>
        <w:rPr>
          <w:color w:val="auto"/>
          <w:szCs w:val="18"/>
          <w:highlight w:val="none"/>
        </w:rPr>
      </w:pPr>
      <w:r>
        <w:rPr>
          <w:rFonts w:hint="eastAsia"/>
          <w:color w:val="auto"/>
          <w:szCs w:val="18"/>
          <w:highlight w:val="none"/>
        </w:rPr>
        <w:t>（2）成交人未能在规定期限内提交履约担保或签订合同协议的；</w:t>
      </w:r>
    </w:p>
    <w:p w14:paraId="3C932F50">
      <w:pPr>
        <w:spacing w:line="400" w:lineRule="exact"/>
        <w:ind w:firstLine="718" w:firstLineChars="342"/>
        <w:rPr>
          <w:color w:val="auto"/>
          <w:szCs w:val="18"/>
          <w:highlight w:val="none"/>
        </w:rPr>
      </w:pPr>
      <w:r>
        <w:rPr>
          <w:rFonts w:hint="eastAsia"/>
          <w:color w:val="auto"/>
          <w:szCs w:val="18"/>
          <w:highlight w:val="none"/>
        </w:rPr>
        <w:t>（3）响应人有串通竞争性谈判、弄虚作假等行为的；</w:t>
      </w:r>
    </w:p>
    <w:p w14:paraId="758AF2E4">
      <w:pPr>
        <w:spacing w:line="400" w:lineRule="exact"/>
        <w:ind w:firstLine="718" w:firstLineChars="342"/>
        <w:rPr>
          <w:color w:val="auto"/>
          <w:szCs w:val="18"/>
          <w:highlight w:val="none"/>
        </w:rPr>
      </w:pPr>
      <w:r>
        <w:rPr>
          <w:rFonts w:hint="eastAsia"/>
          <w:color w:val="auto"/>
          <w:szCs w:val="18"/>
          <w:highlight w:val="none"/>
        </w:rPr>
        <w:t>（4）响应人以他人名义响应、与他人串通响应、以行贿手段谋取成交、弄虚作假等行为。</w:t>
      </w:r>
    </w:p>
    <w:p w14:paraId="6E950511">
      <w:pPr>
        <w:spacing w:line="400" w:lineRule="exact"/>
        <w:ind w:firstLine="718" w:firstLineChars="342"/>
        <w:rPr>
          <w:color w:val="auto"/>
          <w:szCs w:val="18"/>
          <w:highlight w:val="none"/>
        </w:rPr>
      </w:pPr>
      <w:r>
        <w:rPr>
          <w:rFonts w:hint="eastAsia"/>
          <w:color w:val="auto"/>
          <w:szCs w:val="18"/>
          <w:highlight w:val="none"/>
        </w:rPr>
        <w:t>（5）成交人提交虚假资料或无效资料成交，影响成交结果的。</w:t>
      </w:r>
    </w:p>
    <w:p w14:paraId="65F06146">
      <w:pPr>
        <w:spacing w:line="400" w:lineRule="exact"/>
        <w:ind w:firstLine="718" w:firstLineChars="342"/>
        <w:rPr>
          <w:color w:val="auto"/>
          <w:szCs w:val="18"/>
          <w:highlight w:val="none"/>
        </w:rPr>
      </w:pPr>
      <w:r>
        <w:rPr>
          <w:rFonts w:hint="eastAsia"/>
          <w:color w:val="auto"/>
          <w:szCs w:val="18"/>
          <w:highlight w:val="none"/>
        </w:rPr>
        <w:t>（7）成交人无正当理由拒绝提交相关证件原件核对的。</w:t>
      </w:r>
    </w:p>
    <w:p w14:paraId="51D09D42">
      <w:pPr>
        <w:spacing w:line="400" w:lineRule="exact"/>
        <w:ind w:firstLine="718" w:firstLineChars="342"/>
        <w:rPr>
          <w:color w:val="auto"/>
          <w:szCs w:val="18"/>
          <w:highlight w:val="none"/>
        </w:rPr>
      </w:pPr>
      <w:r>
        <w:rPr>
          <w:rFonts w:hint="eastAsia"/>
          <w:color w:val="auto"/>
          <w:szCs w:val="18"/>
          <w:highlight w:val="none"/>
        </w:rPr>
        <w:t>（8）成交人将本项目转让给他人，或者在响应文件中未说明，且未经采购人同意，将成交项目分包给他人的；</w:t>
      </w:r>
    </w:p>
    <w:p w14:paraId="4B2DDD38">
      <w:pPr>
        <w:spacing w:line="400" w:lineRule="exact"/>
        <w:ind w:firstLine="718" w:firstLineChars="342"/>
        <w:rPr>
          <w:color w:val="auto"/>
          <w:szCs w:val="18"/>
          <w:highlight w:val="none"/>
        </w:rPr>
      </w:pPr>
      <w:r>
        <w:rPr>
          <w:rFonts w:hint="eastAsia"/>
          <w:color w:val="auto"/>
          <w:szCs w:val="18"/>
          <w:highlight w:val="none"/>
        </w:rPr>
        <w:t>（9）其他规定见竞争性谈判响应须知前附表。</w:t>
      </w:r>
    </w:p>
    <w:p w14:paraId="398C8AEE">
      <w:pPr>
        <w:spacing w:line="400" w:lineRule="exact"/>
        <w:ind w:firstLine="422" w:firstLineChars="200"/>
        <w:rPr>
          <w:b/>
          <w:color w:val="auto"/>
          <w:highlight w:val="none"/>
        </w:rPr>
      </w:pPr>
      <w:r>
        <w:rPr>
          <w:rFonts w:hint="eastAsia"/>
          <w:b/>
          <w:color w:val="auto"/>
          <w:highlight w:val="none"/>
        </w:rPr>
        <w:t>3.5.5 未按要求提交竞争性谈判保证金或提交的竞争性谈判保证金不足的竞争性谈判将被否决。</w:t>
      </w:r>
    </w:p>
    <w:p w14:paraId="5FBAA147">
      <w:pPr>
        <w:spacing w:line="400" w:lineRule="exact"/>
        <w:rPr>
          <w:rFonts w:ascii="宋体" w:hAnsi="宋体"/>
          <w:b/>
          <w:color w:val="auto"/>
          <w:sz w:val="32"/>
          <w:szCs w:val="32"/>
          <w:highlight w:val="none"/>
        </w:rPr>
      </w:pPr>
      <w:bookmarkStart w:id="52" w:name="_Toc227057904"/>
      <w:bookmarkStart w:id="53" w:name="_Toc226969298"/>
      <w:bookmarkStart w:id="54" w:name="_Toc456551902"/>
      <w:bookmarkStart w:id="55" w:name="_Toc475552146"/>
      <w:r>
        <w:rPr>
          <w:rFonts w:hint="eastAsia" w:ascii="宋体" w:hAnsi="宋体"/>
          <w:b/>
          <w:color w:val="auto"/>
          <w:sz w:val="32"/>
          <w:szCs w:val="32"/>
          <w:highlight w:val="none"/>
        </w:rPr>
        <w:t>3.6 响应文件的式样</w:t>
      </w:r>
      <w:bookmarkEnd w:id="52"/>
      <w:bookmarkEnd w:id="53"/>
      <w:r>
        <w:rPr>
          <w:rFonts w:hint="eastAsia" w:ascii="宋体" w:hAnsi="宋体"/>
          <w:b/>
          <w:color w:val="auto"/>
          <w:sz w:val="32"/>
          <w:szCs w:val="32"/>
          <w:highlight w:val="none"/>
        </w:rPr>
        <w:t>、密封和标记</w:t>
      </w:r>
      <w:bookmarkEnd w:id="54"/>
      <w:bookmarkEnd w:id="55"/>
    </w:p>
    <w:p w14:paraId="15CA1250">
      <w:pPr>
        <w:spacing w:line="400" w:lineRule="exact"/>
        <w:ind w:firstLine="420" w:firstLineChars="200"/>
        <w:rPr>
          <w:color w:val="auto"/>
          <w:szCs w:val="21"/>
          <w:highlight w:val="none"/>
        </w:rPr>
      </w:pPr>
      <w:r>
        <w:rPr>
          <w:rFonts w:hint="eastAsia"/>
          <w:color w:val="auto"/>
          <w:szCs w:val="21"/>
          <w:highlight w:val="none"/>
        </w:rPr>
        <w:t>3.6.1响应人应当编制一份响应文件“正本”和竞争性谈判响应须知前附表所述份数的“副本”，副本为正本复印件。响应文件正本和副本如有不一致之处，以正本为准。</w:t>
      </w:r>
    </w:p>
    <w:p w14:paraId="042D41A9">
      <w:pPr>
        <w:spacing w:line="400" w:lineRule="exact"/>
        <w:ind w:firstLine="420" w:firstLineChars="200"/>
        <w:rPr>
          <w:color w:val="auto"/>
          <w:szCs w:val="21"/>
          <w:highlight w:val="none"/>
        </w:rPr>
      </w:pPr>
      <w:r>
        <w:rPr>
          <w:rFonts w:hint="eastAsia"/>
          <w:color w:val="auto"/>
          <w:szCs w:val="21"/>
          <w:highlight w:val="none"/>
        </w:rPr>
        <w:t>3.6.2每份响应文件的正本、副本及唱标信封应当分别装订，并于封面上明确标明“正本”、“副本”和“唱标信封”字样。</w:t>
      </w:r>
      <w:r>
        <w:rPr>
          <w:rFonts w:hint="eastAsia" w:ascii="宋体" w:hAnsi="宋体"/>
          <w:color w:val="auto"/>
          <w:szCs w:val="21"/>
          <w:highlight w:val="none"/>
        </w:rPr>
        <w:t>正本或副本应按目录顺序要求排列并牢固装订成册。不能有脱页，不能使用活页夹装订。</w:t>
      </w:r>
    </w:p>
    <w:p w14:paraId="573CA585">
      <w:pPr>
        <w:spacing w:line="400" w:lineRule="exact"/>
        <w:ind w:firstLine="420" w:firstLineChars="200"/>
        <w:rPr>
          <w:color w:val="auto"/>
          <w:szCs w:val="21"/>
          <w:highlight w:val="none"/>
        </w:rPr>
      </w:pPr>
      <w:r>
        <w:rPr>
          <w:rFonts w:hint="eastAsia"/>
          <w:color w:val="auto"/>
          <w:szCs w:val="21"/>
          <w:highlight w:val="none"/>
        </w:rPr>
        <w:t>3.6.3响应文件应当按照竞争性谈判文件规定密封包装，并于封装封面上明确标明“正本”、“副本”和“唱标信封”字样。密封的所有粘接缝隙必须加盖单位章或者由响应人的法定代表人或其委托代理人签字。</w:t>
      </w:r>
    </w:p>
    <w:p w14:paraId="4CA6B0D7">
      <w:pPr>
        <w:spacing w:line="400" w:lineRule="exact"/>
        <w:ind w:firstLine="420" w:firstLineChars="200"/>
        <w:rPr>
          <w:color w:val="auto"/>
          <w:szCs w:val="21"/>
          <w:highlight w:val="none"/>
        </w:rPr>
      </w:pPr>
      <w:r>
        <w:rPr>
          <w:rFonts w:hint="eastAsia"/>
          <w:color w:val="auto"/>
          <w:szCs w:val="21"/>
          <w:highlight w:val="none"/>
        </w:rPr>
        <w:t>3.6.4外层包封应当写明采购人名称和地址、项目名称、采购代理机构编号、并注明唱标时间以前不得开封。还应当写明响应人的名称与地址、联系方式，以便竞争性谈判出现逾期送达时能原封退回。</w:t>
      </w:r>
    </w:p>
    <w:p w14:paraId="31DAF38F">
      <w:pPr>
        <w:spacing w:line="400" w:lineRule="exact"/>
        <w:ind w:firstLine="420" w:firstLineChars="200"/>
        <w:rPr>
          <w:color w:val="auto"/>
          <w:szCs w:val="21"/>
          <w:highlight w:val="none"/>
        </w:rPr>
      </w:pPr>
      <w:r>
        <w:rPr>
          <w:rFonts w:hint="eastAsia"/>
          <w:color w:val="auto"/>
          <w:szCs w:val="21"/>
          <w:highlight w:val="none"/>
        </w:rPr>
        <w:t>3.6.5提交响应文件时，采购人应当对符合竞争性谈判文件规定密封和标记的响应文件进行签收。</w:t>
      </w:r>
    </w:p>
    <w:p w14:paraId="37BE8B6B">
      <w:pPr>
        <w:spacing w:line="400" w:lineRule="exact"/>
        <w:ind w:firstLine="420" w:firstLineChars="200"/>
        <w:rPr>
          <w:color w:val="auto"/>
          <w:szCs w:val="21"/>
          <w:highlight w:val="none"/>
        </w:rPr>
      </w:pPr>
      <w:r>
        <w:rPr>
          <w:rFonts w:hint="eastAsia"/>
          <w:color w:val="auto"/>
          <w:szCs w:val="21"/>
          <w:highlight w:val="none"/>
        </w:rPr>
        <w:t>3.6.6采购人对于响应文件密封、标记另有要求的，见竞争性谈判响应须知前附表。</w:t>
      </w:r>
    </w:p>
    <w:p w14:paraId="23F752E0">
      <w:pPr>
        <w:pStyle w:val="3"/>
        <w:rPr>
          <w:rFonts w:ascii="黑体" w:hAnsi="黑体"/>
          <w:color w:val="auto"/>
          <w:highlight w:val="none"/>
        </w:rPr>
      </w:pPr>
      <w:bookmarkStart w:id="56" w:name="_Toc456551904"/>
      <w:bookmarkStart w:id="57" w:name="_Toc75852755"/>
      <w:r>
        <w:rPr>
          <w:rFonts w:hint="eastAsia" w:ascii="黑体" w:hAnsi="黑体"/>
          <w:color w:val="auto"/>
          <w:highlight w:val="none"/>
        </w:rPr>
        <w:t xml:space="preserve">4. </w:t>
      </w:r>
      <w:bookmarkEnd w:id="56"/>
      <w:r>
        <w:rPr>
          <w:rFonts w:hint="eastAsia" w:ascii="黑体" w:hAnsi="黑体"/>
          <w:color w:val="auto"/>
          <w:highlight w:val="none"/>
        </w:rPr>
        <w:t>竞争性谈判</w:t>
      </w:r>
      <w:bookmarkEnd w:id="57"/>
    </w:p>
    <w:p w14:paraId="62332E65">
      <w:pPr>
        <w:spacing w:line="400" w:lineRule="exact"/>
        <w:rPr>
          <w:rFonts w:ascii="宋体" w:hAnsi="宋体"/>
          <w:b/>
          <w:color w:val="auto"/>
          <w:sz w:val="32"/>
          <w:szCs w:val="32"/>
          <w:highlight w:val="none"/>
        </w:rPr>
      </w:pPr>
      <w:bookmarkStart w:id="58" w:name="_Toc475552148"/>
      <w:bookmarkStart w:id="59" w:name="_Toc456551905"/>
      <w:r>
        <w:rPr>
          <w:rFonts w:hint="eastAsia" w:ascii="宋体" w:hAnsi="宋体"/>
          <w:b/>
          <w:color w:val="auto"/>
          <w:sz w:val="32"/>
          <w:szCs w:val="32"/>
          <w:highlight w:val="none"/>
        </w:rPr>
        <w:t>4.1 响应文件的递交</w:t>
      </w:r>
      <w:bookmarkEnd w:id="58"/>
      <w:bookmarkEnd w:id="59"/>
    </w:p>
    <w:p w14:paraId="6087BC6B">
      <w:pPr>
        <w:spacing w:line="400" w:lineRule="exact"/>
        <w:ind w:firstLine="420" w:firstLineChars="200"/>
        <w:rPr>
          <w:color w:val="auto"/>
          <w:highlight w:val="none"/>
        </w:rPr>
      </w:pPr>
      <w:r>
        <w:rPr>
          <w:rFonts w:hint="eastAsia"/>
          <w:color w:val="auto"/>
          <w:highlight w:val="none"/>
        </w:rPr>
        <w:t>4.1.1响应文件递交截止时间：见竞争性谈判响应须知前附表。</w:t>
      </w:r>
    </w:p>
    <w:p w14:paraId="52544C02">
      <w:pPr>
        <w:spacing w:line="400" w:lineRule="exact"/>
        <w:ind w:firstLine="420" w:firstLineChars="200"/>
        <w:rPr>
          <w:color w:val="auto"/>
          <w:highlight w:val="none"/>
        </w:rPr>
      </w:pPr>
      <w:r>
        <w:rPr>
          <w:rFonts w:hint="eastAsia"/>
          <w:color w:val="auto"/>
          <w:highlight w:val="none"/>
        </w:rPr>
        <w:t>4.1.2 响应人递交响应文件的地点：见竞争性谈判响应须知前附表。</w:t>
      </w:r>
    </w:p>
    <w:p w14:paraId="06F4BB3A">
      <w:pPr>
        <w:spacing w:line="400" w:lineRule="exact"/>
        <w:ind w:firstLine="420" w:firstLineChars="200"/>
        <w:rPr>
          <w:color w:val="auto"/>
          <w:highlight w:val="none"/>
        </w:rPr>
      </w:pPr>
      <w:r>
        <w:rPr>
          <w:rFonts w:hint="eastAsia"/>
          <w:color w:val="auto"/>
          <w:highlight w:val="none"/>
        </w:rPr>
        <w:t>4.1.3采购人/采购代理机构收到响应文件后，向响应人分别进行签收（唱标前不得提前公开已签收的响应人信息）。</w:t>
      </w:r>
    </w:p>
    <w:p w14:paraId="75BF5305">
      <w:pPr>
        <w:spacing w:line="400" w:lineRule="exact"/>
        <w:ind w:firstLine="420" w:firstLineChars="200"/>
        <w:rPr>
          <w:color w:val="auto"/>
          <w:highlight w:val="none"/>
        </w:rPr>
      </w:pPr>
      <w:r>
        <w:rPr>
          <w:rFonts w:hint="eastAsia"/>
          <w:color w:val="auto"/>
          <w:highlight w:val="none"/>
        </w:rPr>
        <w:t>4.1.4除竞争性谈判响应须知前附表另有规定外，响应人所递交的响应文件不予退还。</w:t>
      </w:r>
    </w:p>
    <w:p w14:paraId="47E0D470">
      <w:pPr>
        <w:spacing w:line="400" w:lineRule="exact"/>
        <w:ind w:firstLine="420" w:firstLineChars="200"/>
        <w:rPr>
          <w:color w:val="auto"/>
          <w:highlight w:val="none"/>
        </w:rPr>
      </w:pPr>
      <w:r>
        <w:rPr>
          <w:rFonts w:hint="eastAsia"/>
          <w:color w:val="auto"/>
          <w:highlight w:val="none"/>
        </w:rPr>
        <w:t>4.1.5出现以下情形时，采购人不予接收响应文件：</w:t>
      </w:r>
    </w:p>
    <w:p w14:paraId="17429CA4">
      <w:pPr>
        <w:spacing w:line="400" w:lineRule="exact"/>
        <w:ind w:firstLine="420" w:firstLineChars="200"/>
        <w:rPr>
          <w:color w:val="auto"/>
          <w:highlight w:val="none"/>
        </w:rPr>
      </w:pPr>
      <w:r>
        <w:rPr>
          <w:rFonts w:hint="eastAsia"/>
          <w:color w:val="auto"/>
          <w:highlight w:val="none"/>
        </w:rPr>
        <w:t>（1）逾期送达或者未送达指定地点的；</w:t>
      </w:r>
    </w:p>
    <w:p w14:paraId="717FEBC8">
      <w:pPr>
        <w:spacing w:line="400" w:lineRule="exact"/>
        <w:ind w:firstLine="420" w:firstLineChars="200"/>
        <w:rPr>
          <w:color w:val="auto"/>
          <w:highlight w:val="none"/>
        </w:rPr>
      </w:pPr>
      <w:r>
        <w:rPr>
          <w:rFonts w:hint="eastAsia"/>
          <w:color w:val="auto"/>
          <w:highlight w:val="none"/>
        </w:rPr>
        <w:t>（2）未按竞争性谈判文件要求密封的。</w:t>
      </w:r>
    </w:p>
    <w:p w14:paraId="53855E4D">
      <w:pPr>
        <w:spacing w:line="400" w:lineRule="exact"/>
        <w:rPr>
          <w:rFonts w:ascii="宋体" w:hAnsi="宋体"/>
          <w:b/>
          <w:color w:val="auto"/>
          <w:sz w:val="32"/>
          <w:szCs w:val="32"/>
          <w:highlight w:val="none"/>
        </w:rPr>
      </w:pPr>
      <w:bookmarkStart w:id="60" w:name="_Toc456551906"/>
      <w:bookmarkStart w:id="61" w:name="_Toc475552149"/>
      <w:r>
        <w:rPr>
          <w:rFonts w:hint="eastAsia" w:ascii="宋体" w:hAnsi="宋体"/>
          <w:b/>
          <w:color w:val="auto"/>
          <w:sz w:val="32"/>
          <w:szCs w:val="32"/>
          <w:highlight w:val="none"/>
        </w:rPr>
        <w:t>4.2 响应文件的修改、撤回和撤销</w:t>
      </w:r>
      <w:bookmarkEnd w:id="60"/>
      <w:bookmarkEnd w:id="61"/>
    </w:p>
    <w:p w14:paraId="3E7F998C">
      <w:pPr>
        <w:spacing w:line="400" w:lineRule="exact"/>
        <w:ind w:firstLine="420" w:firstLineChars="200"/>
        <w:rPr>
          <w:color w:val="auto"/>
          <w:highlight w:val="none"/>
        </w:rPr>
      </w:pPr>
      <w:r>
        <w:rPr>
          <w:rFonts w:hint="eastAsia"/>
          <w:color w:val="auto"/>
          <w:highlight w:val="none"/>
        </w:rPr>
        <w:t>4.2.1 在规定的竞争性谈判截止时间前，响应人可以修改或撤回已递交的响应文件。</w:t>
      </w:r>
    </w:p>
    <w:p w14:paraId="40326714">
      <w:pPr>
        <w:spacing w:line="400" w:lineRule="exact"/>
        <w:ind w:firstLine="420" w:firstLineChars="200"/>
        <w:rPr>
          <w:color w:val="auto"/>
          <w:highlight w:val="none"/>
        </w:rPr>
      </w:pPr>
      <w:r>
        <w:rPr>
          <w:rFonts w:hint="eastAsia"/>
          <w:color w:val="auto"/>
          <w:highlight w:val="none"/>
        </w:rPr>
        <w:t>4.2.2响应人修改后的响应文件，应当在规定的竞争性谈判截止时间前按竞争性谈判文件的规定编制、密封、标记、提交和送达。</w:t>
      </w:r>
    </w:p>
    <w:p w14:paraId="68A92E39">
      <w:pPr>
        <w:spacing w:line="400" w:lineRule="exact"/>
        <w:ind w:firstLine="420" w:firstLineChars="200"/>
        <w:rPr>
          <w:color w:val="auto"/>
          <w:highlight w:val="none"/>
        </w:rPr>
      </w:pPr>
      <w:r>
        <w:rPr>
          <w:rFonts w:hint="eastAsia"/>
          <w:color w:val="auto"/>
          <w:highlight w:val="none"/>
        </w:rPr>
        <w:t>4.2.3 响应人撤回已递交的响应文件，应当书面通知采购人。采购人已收取竞争性谈判保证金的，应当自收到响应人书面撤回通知之日起5日内退还。</w:t>
      </w:r>
    </w:p>
    <w:p w14:paraId="3D5F373E">
      <w:pPr>
        <w:spacing w:line="400" w:lineRule="exact"/>
        <w:ind w:firstLine="420" w:firstLineChars="200"/>
        <w:rPr>
          <w:color w:val="auto"/>
          <w:highlight w:val="none"/>
        </w:rPr>
      </w:pPr>
      <w:r>
        <w:rPr>
          <w:rFonts w:hint="eastAsia"/>
          <w:color w:val="auto"/>
          <w:highlight w:val="none"/>
        </w:rPr>
        <w:t>4.2.4 响应人在规定的竞争性谈判截止时间后，不得在竞争性谈判有效期内撤销其竞争性谈判，否则采购人有权不退还其竞争性谈判保证金。</w:t>
      </w:r>
    </w:p>
    <w:p w14:paraId="08D72D01">
      <w:pPr>
        <w:pStyle w:val="3"/>
        <w:rPr>
          <w:color w:val="auto"/>
          <w:highlight w:val="none"/>
        </w:rPr>
      </w:pPr>
      <w:bookmarkStart w:id="62" w:name="_Toc456551907"/>
      <w:bookmarkStart w:id="63" w:name="_Toc75852756"/>
      <w:r>
        <w:rPr>
          <w:rFonts w:hint="eastAsia"/>
          <w:color w:val="auto"/>
          <w:highlight w:val="none"/>
        </w:rPr>
        <w:t xml:space="preserve">5. </w:t>
      </w:r>
      <w:bookmarkEnd w:id="62"/>
      <w:r>
        <w:rPr>
          <w:rFonts w:hint="eastAsia"/>
          <w:color w:val="auto"/>
          <w:highlight w:val="none"/>
        </w:rPr>
        <w:t>公开唱标</w:t>
      </w:r>
      <w:bookmarkEnd w:id="63"/>
    </w:p>
    <w:p w14:paraId="41E62CEB">
      <w:pPr>
        <w:spacing w:line="400" w:lineRule="exact"/>
        <w:rPr>
          <w:rFonts w:ascii="宋体" w:hAnsi="宋体"/>
          <w:b/>
          <w:color w:val="auto"/>
          <w:sz w:val="32"/>
          <w:szCs w:val="32"/>
          <w:highlight w:val="none"/>
        </w:rPr>
      </w:pPr>
      <w:bookmarkStart w:id="64" w:name="_Toc456551908"/>
      <w:bookmarkStart w:id="65" w:name="_Toc475552151"/>
      <w:r>
        <w:rPr>
          <w:rFonts w:hint="eastAsia" w:ascii="宋体" w:hAnsi="宋体"/>
          <w:b/>
          <w:color w:val="auto"/>
          <w:sz w:val="32"/>
          <w:szCs w:val="32"/>
          <w:highlight w:val="none"/>
        </w:rPr>
        <w:t>5.1 唱标时间和地点</w:t>
      </w:r>
      <w:bookmarkEnd w:id="64"/>
      <w:bookmarkEnd w:id="65"/>
    </w:p>
    <w:p w14:paraId="36561DFF">
      <w:pPr>
        <w:spacing w:line="400" w:lineRule="exact"/>
        <w:ind w:firstLine="420" w:firstLineChars="200"/>
        <w:rPr>
          <w:color w:val="auto"/>
          <w:highlight w:val="none"/>
        </w:rPr>
      </w:pPr>
      <w:r>
        <w:rPr>
          <w:rFonts w:hint="eastAsia"/>
          <w:color w:val="auto"/>
          <w:highlight w:val="none"/>
        </w:rPr>
        <w:t>采购人将按照竞争性谈判响应须知前附表规定的时间和地点公开唱标，参加唱标的响应人代表应当签名报到，以证明其出席唱标。</w:t>
      </w:r>
    </w:p>
    <w:p w14:paraId="20C98552">
      <w:pPr>
        <w:spacing w:line="400" w:lineRule="exact"/>
        <w:rPr>
          <w:rFonts w:ascii="宋体" w:hAnsi="宋体"/>
          <w:b/>
          <w:color w:val="auto"/>
          <w:sz w:val="32"/>
          <w:szCs w:val="32"/>
          <w:highlight w:val="none"/>
        </w:rPr>
      </w:pPr>
      <w:bookmarkStart w:id="66" w:name="_Toc456551909"/>
      <w:bookmarkStart w:id="67" w:name="_Toc475552152"/>
      <w:r>
        <w:rPr>
          <w:rFonts w:hint="eastAsia" w:ascii="宋体" w:hAnsi="宋体"/>
          <w:b/>
          <w:color w:val="auto"/>
          <w:sz w:val="32"/>
          <w:szCs w:val="32"/>
          <w:highlight w:val="none"/>
        </w:rPr>
        <w:t>5.2 唱标程序</w:t>
      </w:r>
      <w:bookmarkEnd w:id="66"/>
      <w:bookmarkEnd w:id="67"/>
    </w:p>
    <w:p w14:paraId="6E0C71C7">
      <w:pPr>
        <w:spacing w:line="400" w:lineRule="exact"/>
        <w:ind w:firstLine="359" w:firstLineChars="171"/>
        <w:rPr>
          <w:color w:val="auto"/>
          <w:highlight w:val="none"/>
        </w:rPr>
      </w:pPr>
      <w:r>
        <w:rPr>
          <w:rFonts w:hint="eastAsia"/>
          <w:color w:val="auto"/>
          <w:highlight w:val="none"/>
        </w:rPr>
        <w:t>5.2.1唱标会议由采购人或其委托的采购代理机构组织并主持，响应人代表对响应文件密封性进行检查。</w:t>
      </w:r>
    </w:p>
    <w:p w14:paraId="6E75DB12">
      <w:pPr>
        <w:spacing w:line="400" w:lineRule="exact"/>
        <w:ind w:firstLine="359" w:firstLineChars="171"/>
        <w:rPr>
          <w:color w:val="auto"/>
          <w:highlight w:val="none"/>
        </w:rPr>
      </w:pPr>
      <w:r>
        <w:rPr>
          <w:rFonts w:hint="eastAsia"/>
          <w:color w:val="auto"/>
          <w:highlight w:val="none"/>
        </w:rPr>
        <w:t>5.2.2 采购人在递交响应文件截止时间前收到的所有响应文件在唱标时都应当当众予以拆封宣读。</w:t>
      </w:r>
    </w:p>
    <w:p w14:paraId="3A624471">
      <w:pPr>
        <w:spacing w:line="400" w:lineRule="exact"/>
        <w:ind w:firstLine="359" w:firstLineChars="171"/>
        <w:rPr>
          <w:color w:val="auto"/>
          <w:highlight w:val="none"/>
        </w:rPr>
      </w:pPr>
      <w:r>
        <w:rPr>
          <w:rFonts w:hint="eastAsia"/>
          <w:color w:val="auto"/>
          <w:highlight w:val="none"/>
        </w:rPr>
        <w:t>5.2.3 唱标时，采购人应当当众宣布参加本次竞争性谈判的响应人个数及响应文件的密封情况，并宣读有效竞争性谈判的“报价一览表”中的内容，“报价一览表”一般包括：唱标时间和地点、响应人名称、价格等唱标内容、唱标过程监督记录、响应人提出的异议以及竞争性谈判文件中规定的其他内容。</w:t>
      </w:r>
    </w:p>
    <w:p w14:paraId="66E8631D">
      <w:pPr>
        <w:spacing w:line="400" w:lineRule="exact"/>
        <w:ind w:firstLine="359" w:firstLineChars="171"/>
        <w:rPr>
          <w:color w:val="auto"/>
          <w:highlight w:val="none"/>
        </w:rPr>
      </w:pPr>
      <w:r>
        <w:rPr>
          <w:rFonts w:hint="eastAsia"/>
          <w:color w:val="auto"/>
          <w:highlight w:val="none"/>
        </w:rPr>
        <w:t>5.2.4唱标内容填写在“唱标记录表”中，由唱标人、记录人、采购人代表、监督人、响应人代表签字确认，存档备查。</w:t>
      </w:r>
    </w:p>
    <w:p w14:paraId="7C2F34FC">
      <w:pPr>
        <w:spacing w:line="400" w:lineRule="exact"/>
        <w:rPr>
          <w:rFonts w:ascii="宋体" w:hAnsi="宋体"/>
          <w:b/>
          <w:color w:val="auto"/>
          <w:sz w:val="32"/>
          <w:szCs w:val="32"/>
          <w:highlight w:val="none"/>
        </w:rPr>
      </w:pPr>
      <w:bookmarkStart w:id="68" w:name="_Toc456551910"/>
      <w:bookmarkStart w:id="69" w:name="_Toc475552153"/>
      <w:r>
        <w:rPr>
          <w:rFonts w:hint="eastAsia" w:ascii="宋体" w:hAnsi="宋体"/>
          <w:b/>
          <w:color w:val="auto"/>
          <w:sz w:val="32"/>
          <w:szCs w:val="32"/>
          <w:highlight w:val="none"/>
        </w:rPr>
        <w:t>5.3 唱标异议</w:t>
      </w:r>
      <w:bookmarkEnd w:id="68"/>
      <w:bookmarkEnd w:id="69"/>
    </w:p>
    <w:p w14:paraId="3A10A581">
      <w:pPr>
        <w:spacing w:line="400" w:lineRule="exact"/>
        <w:ind w:firstLine="359" w:firstLineChars="171"/>
        <w:rPr>
          <w:color w:val="auto"/>
          <w:highlight w:val="none"/>
        </w:rPr>
      </w:pPr>
      <w:r>
        <w:rPr>
          <w:rFonts w:hint="eastAsia"/>
          <w:color w:val="auto"/>
          <w:highlight w:val="none"/>
        </w:rPr>
        <w:t>响应人对唱标有异议的，应当在唱标现场提出，采购人应当当场作出答复，并制作记录。</w:t>
      </w:r>
    </w:p>
    <w:p w14:paraId="2BAA0661">
      <w:pPr>
        <w:pStyle w:val="3"/>
        <w:rPr>
          <w:color w:val="auto"/>
          <w:highlight w:val="none"/>
        </w:rPr>
      </w:pPr>
      <w:bookmarkStart w:id="70" w:name="_Toc456551912"/>
      <w:bookmarkStart w:id="71" w:name="_Toc75852757"/>
      <w:r>
        <w:rPr>
          <w:rFonts w:hint="eastAsia"/>
          <w:color w:val="auto"/>
          <w:highlight w:val="none"/>
        </w:rPr>
        <w:t xml:space="preserve">6. </w:t>
      </w:r>
      <w:bookmarkEnd w:id="70"/>
      <w:r>
        <w:rPr>
          <w:rFonts w:hint="eastAsia"/>
          <w:color w:val="auto"/>
          <w:highlight w:val="none"/>
        </w:rPr>
        <w:t>评审</w:t>
      </w:r>
      <w:bookmarkEnd w:id="71"/>
    </w:p>
    <w:p w14:paraId="34C379C7">
      <w:pPr>
        <w:spacing w:line="400" w:lineRule="exact"/>
        <w:rPr>
          <w:rFonts w:ascii="宋体" w:hAnsi="宋体"/>
          <w:b/>
          <w:color w:val="auto"/>
          <w:sz w:val="32"/>
          <w:szCs w:val="32"/>
          <w:highlight w:val="none"/>
        </w:rPr>
      </w:pPr>
      <w:bookmarkStart w:id="72" w:name="_Toc475552155"/>
      <w:bookmarkStart w:id="73" w:name="_Toc456551913"/>
      <w:r>
        <w:rPr>
          <w:rFonts w:hint="eastAsia" w:ascii="宋体" w:hAnsi="宋体"/>
          <w:b/>
          <w:color w:val="auto"/>
          <w:sz w:val="32"/>
          <w:szCs w:val="32"/>
          <w:highlight w:val="none"/>
        </w:rPr>
        <w:t xml:space="preserve">6.1 </w:t>
      </w:r>
      <w:bookmarkEnd w:id="72"/>
      <w:bookmarkEnd w:id="73"/>
      <w:r>
        <w:rPr>
          <w:rFonts w:hint="eastAsia" w:ascii="宋体" w:hAnsi="宋体"/>
          <w:b/>
          <w:color w:val="auto"/>
          <w:sz w:val="32"/>
          <w:szCs w:val="32"/>
          <w:highlight w:val="none"/>
        </w:rPr>
        <w:t>谈判小组</w:t>
      </w:r>
    </w:p>
    <w:p w14:paraId="4A238628">
      <w:pPr>
        <w:spacing w:line="400" w:lineRule="exact"/>
        <w:ind w:firstLine="420" w:firstLineChars="200"/>
        <w:rPr>
          <w:color w:val="auto"/>
          <w:szCs w:val="21"/>
          <w:highlight w:val="none"/>
        </w:rPr>
      </w:pPr>
      <w:r>
        <w:rPr>
          <w:rFonts w:hint="eastAsia"/>
          <w:color w:val="auto"/>
          <w:szCs w:val="21"/>
          <w:highlight w:val="none"/>
        </w:rPr>
        <w:t>6.1.1评审由依法组建的谈判小组负责，具体人数见竞争性谈判响应须知前附表。</w:t>
      </w:r>
    </w:p>
    <w:p w14:paraId="4FDE9594">
      <w:pPr>
        <w:spacing w:line="400" w:lineRule="exact"/>
        <w:ind w:firstLine="420" w:firstLineChars="200"/>
        <w:rPr>
          <w:color w:val="auto"/>
          <w:szCs w:val="21"/>
          <w:highlight w:val="none"/>
        </w:rPr>
      </w:pPr>
      <w:r>
        <w:rPr>
          <w:rFonts w:hint="eastAsia"/>
          <w:color w:val="auto"/>
          <w:szCs w:val="21"/>
          <w:highlight w:val="none"/>
        </w:rPr>
        <w:t>6.1.2评审期间，任何单位和个人不得非法干预或者影响评审的过程和结果。</w:t>
      </w:r>
    </w:p>
    <w:p w14:paraId="291D41EF">
      <w:pPr>
        <w:spacing w:line="400" w:lineRule="exact"/>
        <w:ind w:firstLine="420" w:firstLineChars="200"/>
        <w:rPr>
          <w:color w:val="auto"/>
          <w:szCs w:val="21"/>
          <w:highlight w:val="none"/>
        </w:rPr>
      </w:pPr>
      <w:r>
        <w:rPr>
          <w:rFonts w:hint="eastAsia"/>
          <w:color w:val="auto"/>
          <w:szCs w:val="21"/>
          <w:highlight w:val="none"/>
        </w:rPr>
        <w:t>6.1.3谈判小组成员名单在成交结果确定前保密。</w:t>
      </w:r>
    </w:p>
    <w:p w14:paraId="62772844">
      <w:pPr>
        <w:spacing w:line="400" w:lineRule="exact"/>
        <w:rPr>
          <w:rFonts w:ascii="宋体" w:hAnsi="宋体"/>
          <w:b/>
          <w:color w:val="auto"/>
          <w:sz w:val="32"/>
          <w:szCs w:val="32"/>
          <w:highlight w:val="none"/>
        </w:rPr>
      </w:pPr>
      <w:bookmarkStart w:id="74" w:name="_Toc475552156"/>
      <w:bookmarkStart w:id="75" w:name="_Toc456551914"/>
      <w:r>
        <w:rPr>
          <w:rFonts w:hint="eastAsia" w:ascii="宋体" w:hAnsi="宋体"/>
          <w:b/>
          <w:color w:val="auto"/>
          <w:sz w:val="32"/>
          <w:szCs w:val="32"/>
          <w:highlight w:val="none"/>
        </w:rPr>
        <w:t>6.2 评审原则</w:t>
      </w:r>
      <w:bookmarkEnd w:id="74"/>
      <w:bookmarkEnd w:id="75"/>
    </w:p>
    <w:p w14:paraId="1050AC9F">
      <w:pPr>
        <w:spacing w:line="400" w:lineRule="exact"/>
        <w:ind w:firstLine="420" w:firstLineChars="200"/>
        <w:rPr>
          <w:color w:val="auto"/>
          <w:highlight w:val="none"/>
        </w:rPr>
      </w:pPr>
      <w:r>
        <w:rPr>
          <w:rFonts w:hint="eastAsia"/>
          <w:color w:val="auto"/>
          <w:highlight w:val="none"/>
        </w:rPr>
        <w:t>6.2.1评审活动遵循公平、公正、科学和择优的原则。</w:t>
      </w:r>
    </w:p>
    <w:p w14:paraId="01FB032B">
      <w:pPr>
        <w:spacing w:line="400" w:lineRule="exact"/>
        <w:ind w:firstLine="420" w:firstLineChars="200"/>
        <w:rPr>
          <w:color w:val="auto"/>
          <w:highlight w:val="none"/>
        </w:rPr>
      </w:pPr>
      <w:r>
        <w:rPr>
          <w:rFonts w:hint="eastAsia"/>
          <w:color w:val="auto"/>
          <w:highlight w:val="none"/>
        </w:rPr>
        <w:t>6.2.2谈判小组按照第三章“评审办法”规定的方法、评审因素、标准和程序对响应文件进行评审。第三章“评审办法”没有规定的方法、评审因素和标准，不作为评审依据。</w:t>
      </w:r>
    </w:p>
    <w:p w14:paraId="15B52CF7">
      <w:pPr>
        <w:spacing w:line="400" w:lineRule="exact"/>
        <w:rPr>
          <w:rFonts w:ascii="宋体" w:hAnsi="宋体"/>
          <w:b/>
          <w:color w:val="auto"/>
          <w:sz w:val="32"/>
          <w:szCs w:val="32"/>
          <w:highlight w:val="none"/>
        </w:rPr>
      </w:pPr>
      <w:bookmarkStart w:id="76" w:name="_Toc475552157"/>
      <w:bookmarkStart w:id="77" w:name="_Toc456551915"/>
      <w:r>
        <w:rPr>
          <w:rFonts w:hint="eastAsia" w:ascii="宋体" w:hAnsi="宋体"/>
          <w:b/>
          <w:color w:val="auto"/>
          <w:sz w:val="32"/>
          <w:szCs w:val="32"/>
          <w:highlight w:val="none"/>
        </w:rPr>
        <w:t>6.3 评审方法</w:t>
      </w:r>
      <w:bookmarkEnd w:id="76"/>
      <w:bookmarkEnd w:id="77"/>
    </w:p>
    <w:p w14:paraId="628AB6E1">
      <w:pPr>
        <w:spacing w:line="400" w:lineRule="exact"/>
        <w:ind w:firstLine="420" w:firstLineChars="200"/>
        <w:rPr>
          <w:color w:val="auto"/>
          <w:szCs w:val="21"/>
          <w:highlight w:val="none"/>
        </w:rPr>
      </w:pPr>
      <w:r>
        <w:rPr>
          <w:rFonts w:hint="eastAsia"/>
          <w:color w:val="auto"/>
          <w:szCs w:val="21"/>
          <w:highlight w:val="none"/>
        </w:rPr>
        <w:t>6.3.1 竞争性谈判文件中详细载明评审方法作为本次评审所采用的评审方法。评审方法见竞争性谈判响应须知前附表。</w:t>
      </w:r>
    </w:p>
    <w:p w14:paraId="7E96BA97">
      <w:pPr>
        <w:spacing w:line="400" w:lineRule="exact"/>
        <w:ind w:firstLine="420" w:firstLineChars="200"/>
        <w:rPr>
          <w:color w:val="auto"/>
          <w:szCs w:val="21"/>
          <w:highlight w:val="none"/>
        </w:rPr>
      </w:pPr>
      <w:r>
        <w:rPr>
          <w:rFonts w:hint="eastAsia"/>
          <w:color w:val="auto"/>
          <w:szCs w:val="21"/>
          <w:highlight w:val="none"/>
        </w:rPr>
        <w:t>6.3.2 法律、法规允许的其他评审方法。</w:t>
      </w:r>
    </w:p>
    <w:p w14:paraId="77811F6C">
      <w:pPr>
        <w:spacing w:line="400" w:lineRule="exact"/>
        <w:rPr>
          <w:rFonts w:ascii="宋体" w:hAnsi="宋体"/>
          <w:b/>
          <w:color w:val="auto"/>
          <w:sz w:val="32"/>
          <w:szCs w:val="32"/>
          <w:highlight w:val="none"/>
        </w:rPr>
      </w:pPr>
      <w:bookmarkStart w:id="78" w:name="_Toc456551916"/>
      <w:bookmarkStart w:id="79" w:name="_Toc475552158"/>
      <w:r>
        <w:rPr>
          <w:rFonts w:hint="eastAsia" w:ascii="宋体" w:hAnsi="宋体"/>
          <w:b/>
          <w:color w:val="auto"/>
          <w:sz w:val="32"/>
          <w:szCs w:val="32"/>
          <w:highlight w:val="none"/>
        </w:rPr>
        <w:t>6.4 推荐成交候选人原则</w:t>
      </w:r>
      <w:bookmarkEnd w:id="78"/>
      <w:bookmarkEnd w:id="79"/>
    </w:p>
    <w:p w14:paraId="2F9F7A15">
      <w:pPr>
        <w:spacing w:line="400" w:lineRule="exact"/>
        <w:ind w:firstLine="420" w:firstLineChars="200"/>
        <w:rPr>
          <w:color w:val="auto"/>
          <w:szCs w:val="21"/>
          <w:highlight w:val="none"/>
        </w:rPr>
      </w:pPr>
      <w:r>
        <w:rPr>
          <w:rFonts w:hint="eastAsia"/>
          <w:color w:val="auto"/>
          <w:szCs w:val="21"/>
          <w:highlight w:val="none"/>
        </w:rPr>
        <w:t>谈判小组应当根据竞争性谈判文件的规定推荐成交候选人，具体推荐原则见竞争性谈判响应须知前附表。</w:t>
      </w:r>
    </w:p>
    <w:p w14:paraId="141B373F">
      <w:pPr>
        <w:spacing w:line="400" w:lineRule="exact"/>
        <w:rPr>
          <w:rFonts w:ascii="宋体" w:hAnsi="宋体"/>
          <w:b/>
          <w:color w:val="auto"/>
          <w:sz w:val="32"/>
          <w:szCs w:val="32"/>
          <w:highlight w:val="none"/>
        </w:rPr>
      </w:pPr>
      <w:bookmarkStart w:id="80" w:name="_Toc475552159"/>
      <w:bookmarkStart w:id="81" w:name="_Toc456551917"/>
      <w:r>
        <w:rPr>
          <w:rFonts w:hint="eastAsia" w:ascii="宋体" w:hAnsi="宋体"/>
          <w:b/>
          <w:color w:val="auto"/>
          <w:sz w:val="32"/>
          <w:szCs w:val="32"/>
          <w:highlight w:val="none"/>
        </w:rPr>
        <w:t>6.5 评审报告</w:t>
      </w:r>
      <w:bookmarkEnd w:id="80"/>
      <w:bookmarkEnd w:id="81"/>
    </w:p>
    <w:p w14:paraId="73232787">
      <w:pPr>
        <w:ind w:firstLine="420" w:firstLineChars="200"/>
        <w:rPr>
          <w:color w:val="auto"/>
          <w:highlight w:val="none"/>
        </w:rPr>
      </w:pPr>
      <w:r>
        <w:rPr>
          <w:rFonts w:hint="eastAsia"/>
          <w:bCs/>
          <w:color w:val="auto"/>
          <w:highlight w:val="none"/>
        </w:rPr>
        <w:t>评审完成后，谈判小组应当及时向采购人提交评审报告和成交候选人名单。</w:t>
      </w:r>
    </w:p>
    <w:p w14:paraId="26B0565D">
      <w:pPr>
        <w:pStyle w:val="3"/>
        <w:rPr>
          <w:color w:val="auto"/>
          <w:highlight w:val="none"/>
        </w:rPr>
      </w:pPr>
      <w:bookmarkStart w:id="82" w:name="_Toc456551918"/>
      <w:bookmarkStart w:id="83" w:name="_Toc75852758"/>
      <w:r>
        <w:rPr>
          <w:rFonts w:hint="eastAsia"/>
          <w:color w:val="auto"/>
          <w:highlight w:val="none"/>
        </w:rPr>
        <w:t xml:space="preserve">7. </w:t>
      </w:r>
      <w:bookmarkEnd w:id="82"/>
      <w:r>
        <w:rPr>
          <w:rFonts w:hint="eastAsia"/>
          <w:color w:val="auto"/>
          <w:highlight w:val="none"/>
        </w:rPr>
        <w:t>成交</w:t>
      </w:r>
      <w:bookmarkEnd w:id="83"/>
    </w:p>
    <w:p w14:paraId="55EDEC0D">
      <w:pPr>
        <w:spacing w:line="400" w:lineRule="exact"/>
        <w:rPr>
          <w:rFonts w:ascii="宋体" w:hAnsi="宋体"/>
          <w:b/>
          <w:color w:val="auto"/>
          <w:sz w:val="32"/>
          <w:szCs w:val="32"/>
          <w:highlight w:val="none"/>
        </w:rPr>
      </w:pPr>
      <w:bookmarkStart w:id="84" w:name="_Toc456551919"/>
      <w:bookmarkStart w:id="85" w:name="_Toc475552161"/>
      <w:r>
        <w:rPr>
          <w:rFonts w:hint="eastAsia" w:ascii="宋体" w:hAnsi="宋体"/>
          <w:b/>
          <w:color w:val="auto"/>
          <w:sz w:val="32"/>
          <w:szCs w:val="32"/>
          <w:highlight w:val="none"/>
        </w:rPr>
        <w:t>7.1 成交候选人公示</w:t>
      </w:r>
      <w:bookmarkEnd w:id="84"/>
      <w:bookmarkEnd w:id="85"/>
    </w:p>
    <w:p w14:paraId="23858664">
      <w:pPr>
        <w:spacing w:line="400" w:lineRule="exact"/>
        <w:ind w:firstLine="420" w:firstLineChars="200"/>
        <w:rPr>
          <w:color w:val="auto"/>
          <w:szCs w:val="21"/>
          <w:highlight w:val="none"/>
        </w:rPr>
      </w:pPr>
      <w:bookmarkStart w:id="86" w:name="_Toc456551920"/>
      <w:bookmarkStart w:id="87" w:name="_Toc475552162"/>
      <w:r>
        <w:rPr>
          <w:color w:val="auto"/>
          <w:szCs w:val="21"/>
          <w:highlight w:val="none"/>
        </w:rPr>
        <w:t>7.1.1</w:t>
      </w:r>
      <w:r>
        <w:rPr>
          <w:rFonts w:hint="eastAsia"/>
          <w:color w:val="auto"/>
          <w:szCs w:val="21"/>
          <w:highlight w:val="none"/>
        </w:rPr>
        <w:t>进行公开竞争性谈判的项目，评审结果按照采购人内控管理规定确认后，在成交候选人公示发布的媒介公示全部成交候选人，公示期不得少于</w:t>
      </w:r>
      <w:r>
        <w:rPr>
          <w:color w:val="auto"/>
          <w:szCs w:val="21"/>
          <w:highlight w:val="none"/>
        </w:rPr>
        <w:t>3</w:t>
      </w:r>
      <w:r>
        <w:rPr>
          <w:rFonts w:hint="eastAsia"/>
          <w:color w:val="auto"/>
          <w:szCs w:val="21"/>
          <w:highlight w:val="none"/>
        </w:rPr>
        <w:t>日。</w:t>
      </w:r>
    </w:p>
    <w:p w14:paraId="04F5171C">
      <w:pPr>
        <w:spacing w:line="400" w:lineRule="exact"/>
        <w:ind w:firstLine="420" w:firstLineChars="200"/>
        <w:rPr>
          <w:color w:val="auto"/>
          <w:szCs w:val="21"/>
          <w:highlight w:val="none"/>
        </w:rPr>
      </w:pPr>
      <w:r>
        <w:rPr>
          <w:color w:val="auto"/>
          <w:szCs w:val="21"/>
          <w:highlight w:val="none"/>
        </w:rPr>
        <w:t>7.1.2</w:t>
      </w:r>
      <w:r>
        <w:rPr>
          <w:rFonts w:hint="eastAsia"/>
          <w:color w:val="auto"/>
          <w:szCs w:val="21"/>
          <w:highlight w:val="none"/>
        </w:rPr>
        <w:t>响应人或者其他利害关系人对项目的评审结果有异议的，应在成交候选人公示期间提出。</w:t>
      </w:r>
    </w:p>
    <w:p w14:paraId="49845088">
      <w:pPr>
        <w:spacing w:line="400" w:lineRule="exact"/>
        <w:rPr>
          <w:rFonts w:ascii="宋体" w:hAnsi="宋体"/>
          <w:b/>
          <w:color w:val="auto"/>
          <w:sz w:val="32"/>
          <w:szCs w:val="32"/>
          <w:highlight w:val="none"/>
        </w:rPr>
      </w:pPr>
      <w:r>
        <w:rPr>
          <w:rFonts w:hint="eastAsia" w:ascii="宋体" w:hAnsi="宋体"/>
          <w:b/>
          <w:color w:val="auto"/>
          <w:sz w:val="32"/>
          <w:szCs w:val="32"/>
          <w:highlight w:val="none"/>
        </w:rPr>
        <w:t>7.2资格后审（履约能力审查）</w:t>
      </w:r>
    </w:p>
    <w:p w14:paraId="7412568E">
      <w:pPr>
        <w:spacing w:line="400" w:lineRule="exact"/>
        <w:ind w:firstLine="420" w:firstLineChars="200"/>
        <w:rPr>
          <w:color w:val="auto"/>
          <w:szCs w:val="21"/>
          <w:highlight w:val="none"/>
        </w:rPr>
      </w:pPr>
      <w:r>
        <w:rPr>
          <w:color w:val="auto"/>
          <w:szCs w:val="21"/>
          <w:highlight w:val="none"/>
        </w:rPr>
        <w:t>7.2</w:t>
      </w:r>
      <w:r>
        <w:rPr>
          <w:rFonts w:hint="eastAsia"/>
          <w:color w:val="auto"/>
          <w:szCs w:val="21"/>
          <w:highlight w:val="none"/>
        </w:rPr>
        <w:t>.1采购人将根据竞争性谈判文件中的要求，对评委会推荐的成交候选人进行资格后审。</w:t>
      </w:r>
    </w:p>
    <w:p w14:paraId="7E8F8E07">
      <w:pPr>
        <w:spacing w:line="400" w:lineRule="exact"/>
        <w:ind w:firstLine="420" w:firstLineChars="200"/>
        <w:rPr>
          <w:color w:val="auto"/>
          <w:szCs w:val="21"/>
          <w:highlight w:val="none"/>
        </w:rPr>
      </w:pPr>
      <w:r>
        <w:rPr>
          <w:color w:val="auto"/>
          <w:szCs w:val="21"/>
          <w:highlight w:val="none"/>
        </w:rPr>
        <w:t>7.2</w:t>
      </w:r>
      <w:r>
        <w:rPr>
          <w:rFonts w:hint="eastAsia"/>
          <w:color w:val="auto"/>
          <w:szCs w:val="21"/>
          <w:highlight w:val="none"/>
        </w:rPr>
        <w:t>.2成交候选人须无条件配合资格后审，否则采购人有权取消中标资格，且谈判保证金可不予退还。</w:t>
      </w:r>
    </w:p>
    <w:p w14:paraId="644899E7">
      <w:pPr>
        <w:spacing w:line="400" w:lineRule="exact"/>
        <w:ind w:firstLine="420" w:firstLineChars="200"/>
        <w:rPr>
          <w:color w:val="auto"/>
          <w:szCs w:val="21"/>
          <w:highlight w:val="none"/>
        </w:rPr>
      </w:pPr>
      <w:r>
        <w:rPr>
          <w:color w:val="auto"/>
          <w:szCs w:val="21"/>
          <w:highlight w:val="none"/>
        </w:rPr>
        <w:t>7.2</w:t>
      </w:r>
      <w:r>
        <w:rPr>
          <w:rFonts w:hint="eastAsia"/>
          <w:color w:val="auto"/>
          <w:szCs w:val="21"/>
          <w:highlight w:val="none"/>
        </w:rPr>
        <w:t>.3资格后审须提供包括但不限于营业执照、税务登记证和在响应文件中提供的资质证明文件、合同等重要证明文件的原件进行核对，综合考察成交人的履约能力。如采购人要求还须提供业绩证明的其他材料,成交候选人须配合提供。如授权其分支机构进行项目实施或提供售后服务的，亦应提供其与分支机构关系的法律证明材料。</w:t>
      </w:r>
    </w:p>
    <w:p w14:paraId="50451A65">
      <w:pPr>
        <w:spacing w:line="400" w:lineRule="exact"/>
        <w:ind w:firstLine="420" w:firstLineChars="200"/>
        <w:rPr>
          <w:color w:val="auto"/>
          <w:szCs w:val="21"/>
          <w:highlight w:val="none"/>
        </w:rPr>
      </w:pPr>
      <w:r>
        <w:rPr>
          <w:color w:val="auto"/>
          <w:szCs w:val="21"/>
          <w:highlight w:val="none"/>
        </w:rPr>
        <w:t>7.2</w:t>
      </w:r>
      <w:r>
        <w:rPr>
          <w:rFonts w:hint="eastAsia"/>
          <w:color w:val="auto"/>
          <w:szCs w:val="21"/>
          <w:highlight w:val="none"/>
        </w:rPr>
        <w:t>.4如发现响应人以他人名义谈判或者以其他方式弄虚作假，骗取成交的，采购人有权取消其成交资格，且谈判保证金可不予退还；给采购人造成损失的，应依法承担赔偿责任。</w:t>
      </w:r>
    </w:p>
    <w:p w14:paraId="0612689D">
      <w:pPr>
        <w:spacing w:line="400" w:lineRule="exact"/>
        <w:ind w:firstLine="420" w:firstLineChars="200"/>
        <w:rPr>
          <w:color w:val="auto"/>
          <w:szCs w:val="21"/>
          <w:highlight w:val="none"/>
        </w:rPr>
      </w:pPr>
      <w:r>
        <w:rPr>
          <w:color w:val="auto"/>
          <w:szCs w:val="21"/>
          <w:highlight w:val="none"/>
        </w:rPr>
        <w:t>7.2</w:t>
      </w:r>
      <w:r>
        <w:rPr>
          <w:rFonts w:hint="eastAsia"/>
          <w:color w:val="auto"/>
          <w:szCs w:val="21"/>
          <w:highlight w:val="none"/>
        </w:rPr>
        <w:t>.5如果审查通过，采购人将把合同授予该成交人；如果审查没有通过，采购人有权取消其成交资格，且谈判保证金可不予退还，并依次审查下一名成交候选人是否具备履行合同的能力或重新采购。</w:t>
      </w:r>
    </w:p>
    <w:p w14:paraId="0B44134C">
      <w:pPr>
        <w:spacing w:line="400" w:lineRule="exact"/>
        <w:rPr>
          <w:rFonts w:ascii="宋体" w:hAnsi="宋体"/>
          <w:b/>
          <w:color w:val="auto"/>
          <w:sz w:val="32"/>
          <w:szCs w:val="32"/>
          <w:highlight w:val="none"/>
        </w:rPr>
      </w:pPr>
      <w:r>
        <w:rPr>
          <w:rFonts w:hint="eastAsia" w:ascii="宋体" w:hAnsi="宋体"/>
          <w:b/>
          <w:color w:val="auto"/>
          <w:sz w:val="32"/>
          <w:szCs w:val="32"/>
          <w:highlight w:val="none"/>
        </w:rPr>
        <w:t>7.3确定成交人</w:t>
      </w:r>
      <w:bookmarkEnd w:id="86"/>
      <w:bookmarkEnd w:id="87"/>
    </w:p>
    <w:p w14:paraId="4DA5104B">
      <w:pPr>
        <w:spacing w:line="400" w:lineRule="exact"/>
        <w:ind w:firstLine="420" w:firstLineChars="200"/>
        <w:rPr>
          <w:color w:val="auto"/>
          <w:szCs w:val="21"/>
          <w:highlight w:val="none"/>
        </w:rPr>
      </w:pPr>
      <w:r>
        <w:rPr>
          <w:rFonts w:hint="eastAsia"/>
          <w:color w:val="auto"/>
          <w:szCs w:val="21"/>
          <w:highlight w:val="none"/>
        </w:rPr>
        <w:t>7.3.1除竞争性谈判响应须知前附表规定谈判小组直接确定成交人外，采购人依据谈判小组推荐的成交候选人确定成交人，成交人数量见竞争性谈判响应须知前附表。</w:t>
      </w:r>
    </w:p>
    <w:p w14:paraId="506EE43D">
      <w:pPr>
        <w:spacing w:line="400" w:lineRule="exact"/>
        <w:ind w:firstLine="420" w:firstLineChars="200"/>
        <w:rPr>
          <w:color w:val="auto"/>
          <w:szCs w:val="21"/>
          <w:highlight w:val="none"/>
        </w:rPr>
      </w:pPr>
      <w:r>
        <w:rPr>
          <w:rFonts w:hint="eastAsia"/>
          <w:color w:val="auto"/>
          <w:szCs w:val="21"/>
          <w:highlight w:val="none"/>
        </w:rPr>
        <w:t>7.3.2</w:t>
      </w:r>
      <w:r>
        <w:rPr>
          <w:color w:val="auto"/>
          <w:szCs w:val="21"/>
          <w:highlight w:val="none"/>
        </w:rPr>
        <w:t>采购人</w:t>
      </w:r>
      <w:r>
        <w:rPr>
          <w:rFonts w:hint="eastAsia"/>
          <w:color w:val="auto"/>
          <w:szCs w:val="21"/>
          <w:highlight w:val="none"/>
        </w:rPr>
        <w:t>根据谈判小组推荐的</w:t>
      </w:r>
      <w:r>
        <w:rPr>
          <w:color w:val="auto"/>
          <w:szCs w:val="21"/>
          <w:highlight w:val="none"/>
        </w:rPr>
        <w:t>成交候选人</w:t>
      </w:r>
      <w:r>
        <w:rPr>
          <w:rFonts w:hint="eastAsia"/>
          <w:color w:val="auto"/>
          <w:szCs w:val="21"/>
          <w:highlight w:val="none"/>
        </w:rPr>
        <w:t>名单排序</w:t>
      </w:r>
      <w:r>
        <w:rPr>
          <w:color w:val="auto"/>
          <w:szCs w:val="21"/>
          <w:highlight w:val="none"/>
        </w:rPr>
        <w:t>依次确定成交人，</w:t>
      </w:r>
      <w:r>
        <w:rPr>
          <w:rFonts w:hint="eastAsia"/>
          <w:color w:val="auto"/>
          <w:szCs w:val="21"/>
          <w:highlight w:val="none"/>
        </w:rPr>
        <w:t>具体成交原则见竞争性谈判响应须知前附表。</w:t>
      </w:r>
    </w:p>
    <w:p w14:paraId="4936CD94">
      <w:pPr>
        <w:spacing w:line="400" w:lineRule="exact"/>
        <w:ind w:firstLine="420" w:firstLineChars="200"/>
        <w:rPr>
          <w:color w:val="auto"/>
          <w:szCs w:val="21"/>
          <w:highlight w:val="none"/>
        </w:rPr>
      </w:pPr>
      <w:r>
        <w:rPr>
          <w:rFonts w:hint="eastAsia"/>
          <w:color w:val="auto"/>
          <w:szCs w:val="21"/>
          <w:highlight w:val="none"/>
        </w:rPr>
        <w:t>7.3.3在签订合同之前，</w:t>
      </w:r>
      <w:r>
        <w:rPr>
          <w:color w:val="auto"/>
          <w:szCs w:val="21"/>
          <w:highlight w:val="none"/>
        </w:rPr>
        <w:t>成交人</w:t>
      </w:r>
      <w:r>
        <w:rPr>
          <w:rFonts w:hint="eastAsia"/>
          <w:color w:val="auto"/>
          <w:szCs w:val="21"/>
          <w:highlight w:val="none"/>
        </w:rPr>
        <w:t>放弃成交或者</w:t>
      </w:r>
      <w:r>
        <w:rPr>
          <w:color w:val="auto"/>
          <w:szCs w:val="21"/>
          <w:highlight w:val="none"/>
        </w:rPr>
        <w:t>不能履行合同的，采购人可以按照谈判小组提出的成交候选人名单排序依次确定其他成交候选人为成交人，也可以</w:t>
      </w:r>
      <w:r>
        <w:rPr>
          <w:rFonts w:hint="eastAsia"/>
          <w:color w:val="auto"/>
          <w:szCs w:val="21"/>
          <w:highlight w:val="none"/>
        </w:rPr>
        <w:t>重新竞争性谈判。</w:t>
      </w:r>
    </w:p>
    <w:p w14:paraId="5679834D">
      <w:pPr>
        <w:spacing w:line="400" w:lineRule="exact"/>
        <w:rPr>
          <w:rFonts w:ascii="宋体" w:hAnsi="宋体"/>
          <w:b/>
          <w:color w:val="auto"/>
          <w:sz w:val="32"/>
          <w:szCs w:val="32"/>
          <w:highlight w:val="none"/>
        </w:rPr>
      </w:pPr>
      <w:bookmarkStart w:id="88" w:name="_Toc456551921"/>
      <w:bookmarkStart w:id="89" w:name="_Toc475552163"/>
      <w:r>
        <w:rPr>
          <w:rFonts w:hint="eastAsia" w:ascii="宋体" w:hAnsi="宋体"/>
          <w:b/>
          <w:color w:val="auto"/>
          <w:sz w:val="32"/>
          <w:szCs w:val="32"/>
          <w:highlight w:val="none"/>
        </w:rPr>
        <w:t>7.4 成交通知</w:t>
      </w:r>
      <w:bookmarkEnd w:id="88"/>
      <w:bookmarkEnd w:id="89"/>
    </w:p>
    <w:p w14:paraId="0EAF0754">
      <w:pPr>
        <w:spacing w:line="400" w:lineRule="exact"/>
        <w:ind w:firstLine="420" w:firstLineChars="200"/>
        <w:rPr>
          <w:color w:val="auto"/>
          <w:szCs w:val="21"/>
          <w:highlight w:val="none"/>
        </w:rPr>
      </w:pPr>
      <w:r>
        <w:rPr>
          <w:rFonts w:hint="eastAsia"/>
          <w:color w:val="auto"/>
          <w:szCs w:val="21"/>
          <w:highlight w:val="none"/>
        </w:rPr>
        <w:t>7.4.1</w:t>
      </w:r>
      <w:r>
        <w:rPr>
          <w:color w:val="auto"/>
          <w:szCs w:val="21"/>
          <w:highlight w:val="none"/>
        </w:rPr>
        <w:t>在成交通知书发出前</w:t>
      </w:r>
      <w:r>
        <w:rPr>
          <w:rFonts w:hint="eastAsia"/>
          <w:color w:val="auto"/>
          <w:szCs w:val="21"/>
          <w:highlight w:val="none"/>
        </w:rPr>
        <w:t>，</w:t>
      </w:r>
      <w:r>
        <w:rPr>
          <w:color w:val="auto"/>
          <w:szCs w:val="21"/>
          <w:highlight w:val="none"/>
        </w:rPr>
        <w:t>成交候选人的经营、财务状况发生较大变化或者存在违法行为，可能影响其履约能力的，成交候选人应</w:t>
      </w:r>
      <w:r>
        <w:rPr>
          <w:rFonts w:hint="eastAsia"/>
          <w:color w:val="auto"/>
          <w:szCs w:val="21"/>
          <w:highlight w:val="none"/>
        </w:rPr>
        <w:t>当主动告知采购人</w:t>
      </w:r>
      <w:r>
        <w:rPr>
          <w:color w:val="auto"/>
          <w:szCs w:val="21"/>
          <w:highlight w:val="none"/>
        </w:rPr>
        <w:t>。</w:t>
      </w:r>
    </w:p>
    <w:p w14:paraId="6BB8D9A2">
      <w:pPr>
        <w:spacing w:line="400" w:lineRule="exact"/>
        <w:ind w:firstLine="420" w:firstLineChars="200"/>
        <w:rPr>
          <w:color w:val="auto"/>
          <w:szCs w:val="21"/>
          <w:highlight w:val="none"/>
        </w:rPr>
      </w:pPr>
      <w:r>
        <w:rPr>
          <w:rFonts w:hint="eastAsia"/>
          <w:color w:val="auto"/>
          <w:szCs w:val="21"/>
          <w:highlight w:val="none"/>
        </w:rPr>
        <w:t>7.4.2成交人确定后，采购人应当自行或委托采购代理机构向成交人发出成交通知书，同时通知未成交人。</w:t>
      </w:r>
    </w:p>
    <w:p w14:paraId="2D821DEE">
      <w:pPr>
        <w:spacing w:line="400" w:lineRule="exact"/>
        <w:ind w:firstLine="420" w:firstLineChars="200"/>
        <w:rPr>
          <w:color w:val="auto"/>
          <w:szCs w:val="21"/>
          <w:highlight w:val="none"/>
        </w:rPr>
      </w:pPr>
      <w:r>
        <w:rPr>
          <w:rFonts w:hint="eastAsia"/>
          <w:color w:val="auto"/>
          <w:szCs w:val="21"/>
          <w:highlight w:val="none"/>
        </w:rPr>
        <w:t>7.4.3成交通知书是竞争性谈判档案和合同的组成部分。</w:t>
      </w:r>
    </w:p>
    <w:p w14:paraId="73C2F386">
      <w:pPr>
        <w:spacing w:line="400" w:lineRule="exact"/>
        <w:ind w:firstLine="420" w:firstLineChars="200"/>
        <w:rPr>
          <w:color w:val="auto"/>
          <w:szCs w:val="21"/>
          <w:highlight w:val="none"/>
        </w:rPr>
      </w:pPr>
      <w:r>
        <w:rPr>
          <w:rFonts w:hint="eastAsia"/>
          <w:color w:val="auto"/>
          <w:szCs w:val="21"/>
          <w:highlight w:val="none"/>
        </w:rPr>
        <w:t>7.4.4成交通知书对采购人和成交人具有法律约束力。成交通知书发出后，采购人改变成交结果或者成交人放弃成交的，应当承担法律责任。</w:t>
      </w:r>
    </w:p>
    <w:p w14:paraId="19054123">
      <w:pPr>
        <w:pStyle w:val="3"/>
        <w:rPr>
          <w:color w:val="auto"/>
          <w:highlight w:val="none"/>
        </w:rPr>
      </w:pPr>
      <w:bookmarkStart w:id="90" w:name="_Toc75852759"/>
      <w:bookmarkStart w:id="91" w:name="_Toc456551922"/>
      <w:r>
        <w:rPr>
          <w:rFonts w:hint="eastAsia"/>
          <w:color w:val="auto"/>
          <w:highlight w:val="none"/>
        </w:rPr>
        <w:t>8.合同签订</w:t>
      </w:r>
      <w:bookmarkEnd w:id="90"/>
      <w:bookmarkEnd w:id="91"/>
    </w:p>
    <w:p w14:paraId="79A08D17">
      <w:pPr>
        <w:spacing w:line="400" w:lineRule="exact"/>
        <w:rPr>
          <w:rFonts w:ascii="宋体" w:hAnsi="宋体"/>
          <w:b/>
          <w:color w:val="auto"/>
          <w:sz w:val="32"/>
          <w:szCs w:val="32"/>
          <w:highlight w:val="none"/>
        </w:rPr>
      </w:pPr>
      <w:bookmarkStart w:id="92" w:name="_Toc475552165"/>
      <w:bookmarkStart w:id="93" w:name="_Toc456551923"/>
      <w:r>
        <w:rPr>
          <w:rFonts w:hint="eastAsia" w:ascii="宋体" w:hAnsi="宋体"/>
          <w:b/>
          <w:color w:val="auto"/>
          <w:sz w:val="32"/>
          <w:szCs w:val="32"/>
          <w:highlight w:val="none"/>
        </w:rPr>
        <w:t>8.1 履约担保</w:t>
      </w:r>
      <w:bookmarkEnd w:id="92"/>
      <w:bookmarkEnd w:id="93"/>
    </w:p>
    <w:p w14:paraId="1F51A019">
      <w:pPr>
        <w:spacing w:line="400" w:lineRule="exact"/>
        <w:ind w:firstLine="420" w:firstLineChars="200"/>
        <w:rPr>
          <w:color w:val="auto"/>
          <w:szCs w:val="21"/>
          <w:highlight w:val="none"/>
        </w:rPr>
      </w:pPr>
      <w:r>
        <w:rPr>
          <w:rFonts w:hint="eastAsia"/>
          <w:color w:val="auto"/>
          <w:szCs w:val="21"/>
          <w:highlight w:val="none"/>
        </w:rPr>
        <w:t>8.1.1在签订合同前，成交人应当按照“竞争性谈判响应须知前附表”中规定的履约担保金额和方式向采购人提交履约担保。</w:t>
      </w:r>
    </w:p>
    <w:p w14:paraId="1977928F">
      <w:pPr>
        <w:spacing w:line="400" w:lineRule="exact"/>
        <w:ind w:firstLine="420" w:firstLineChars="200"/>
        <w:rPr>
          <w:color w:val="auto"/>
          <w:szCs w:val="21"/>
          <w:highlight w:val="none"/>
        </w:rPr>
      </w:pPr>
      <w:r>
        <w:rPr>
          <w:rFonts w:hint="eastAsia"/>
          <w:color w:val="auto"/>
          <w:szCs w:val="21"/>
          <w:highlight w:val="none"/>
        </w:rPr>
        <w:t>8.1.2 成交人不能按照竞争性谈判文件要求提交履约担保的，视为放弃成交，其竞争性谈判保证金不予退还，给采购人造成的损失超过竞争性谈判保证金数额的，成交人还应当对超过部分予以赔偿。</w:t>
      </w:r>
    </w:p>
    <w:p w14:paraId="1B3E49A0">
      <w:pPr>
        <w:spacing w:line="400" w:lineRule="exact"/>
        <w:rPr>
          <w:rFonts w:ascii="宋体" w:hAnsi="宋体"/>
          <w:b/>
          <w:color w:val="auto"/>
          <w:sz w:val="32"/>
          <w:szCs w:val="32"/>
          <w:highlight w:val="none"/>
        </w:rPr>
      </w:pPr>
      <w:bookmarkStart w:id="94" w:name="_Toc456551924"/>
      <w:bookmarkStart w:id="95" w:name="_Toc475552166"/>
      <w:r>
        <w:rPr>
          <w:rFonts w:hint="eastAsia" w:ascii="宋体" w:hAnsi="宋体"/>
          <w:b/>
          <w:color w:val="auto"/>
          <w:sz w:val="32"/>
          <w:szCs w:val="32"/>
          <w:highlight w:val="none"/>
        </w:rPr>
        <w:t>8.2合同签订</w:t>
      </w:r>
      <w:bookmarkEnd w:id="94"/>
      <w:bookmarkEnd w:id="95"/>
    </w:p>
    <w:p w14:paraId="3F9B3227">
      <w:pPr>
        <w:spacing w:line="400" w:lineRule="exact"/>
        <w:ind w:firstLine="420" w:firstLineChars="200"/>
        <w:rPr>
          <w:color w:val="auto"/>
          <w:szCs w:val="21"/>
          <w:highlight w:val="none"/>
        </w:rPr>
      </w:pPr>
      <w:r>
        <w:rPr>
          <w:rFonts w:hint="eastAsia"/>
          <w:color w:val="auto"/>
          <w:szCs w:val="21"/>
          <w:highlight w:val="none"/>
        </w:rPr>
        <w:t>8.2.1采购人和成交人应当自成交通知书发出之日起30日内，根据竞争性谈判文件和成交人的响应文件订立书面合同。</w:t>
      </w:r>
      <w:r>
        <w:rPr>
          <w:color w:val="auto"/>
          <w:szCs w:val="21"/>
          <w:highlight w:val="none"/>
        </w:rPr>
        <w:t>采购人和成交人不得再行订立背离合同实质性内容的其他协议。</w:t>
      </w:r>
    </w:p>
    <w:p w14:paraId="3FDFD065">
      <w:pPr>
        <w:spacing w:line="400" w:lineRule="exact"/>
        <w:ind w:firstLine="420" w:firstLineChars="200"/>
        <w:rPr>
          <w:color w:val="auto"/>
          <w:szCs w:val="21"/>
          <w:highlight w:val="none"/>
        </w:rPr>
      </w:pPr>
      <w:r>
        <w:rPr>
          <w:rFonts w:hint="eastAsia"/>
          <w:color w:val="auto"/>
          <w:szCs w:val="21"/>
          <w:highlight w:val="none"/>
        </w:rPr>
        <w:t>8.2.2成交人无正当理由拒签合同的，采购人取消其成交资格，其竞争性谈判保证金不予退还；给采购人造成的损失超过竞争性谈判保证金数额的，成交人还应当对超过部分予以赔偿。</w:t>
      </w:r>
    </w:p>
    <w:p w14:paraId="084A7E73">
      <w:pPr>
        <w:spacing w:line="400" w:lineRule="exact"/>
        <w:ind w:firstLine="420" w:firstLineChars="200"/>
        <w:rPr>
          <w:color w:val="auto"/>
          <w:szCs w:val="21"/>
          <w:highlight w:val="none"/>
        </w:rPr>
      </w:pPr>
    </w:p>
    <w:p w14:paraId="2CE1A765">
      <w:pPr>
        <w:pStyle w:val="3"/>
        <w:spacing w:before="240" w:after="120"/>
        <w:rPr>
          <w:color w:val="auto"/>
          <w:highlight w:val="none"/>
        </w:rPr>
      </w:pPr>
      <w:bookmarkStart w:id="96" w:name="_Toc75852760"/>
      <w:bookmarkStart w:id="97" w:name="_Toc456551926"/>
      <w:r>
        <w:rPr>
          <w:rFonts w:hint="eastAsia"/>
          <w:color w:val="auto"/>
          <w:highlight w:val="none"/>
        </w:rPr>
        <w:t>9.采购代理服务费</w:t>
      </w:r>
      <w:bookmarkEnd w:id="96"/>
      <w:bookmarkEnd w:id="97"/>
    </w:p>
    <w:p w14:paraId="67DF8835">
      <w:pPr>
        <w:spacing w:line="400" w:lineRule="exact"/>
        <w:ind w:firstLine="420" w:firstLineChars="200"/>
        <w:rPr>
          <w:color w:val="auto"/>
          <w:szCs w:val="21"/>
          <w:highlight w:val="none"/>
        </w:rPr>
      </w:pPr>
      <w:r>
        <w:rPr>
          <w:rFonts w:hint="eastAsia"/>
          <w:color w:val="auto"/>
          <w:szCs w:val="21"/>
          <w:highlight w:val="none"/>
        </w:rPr>
        <w:t>采购代理服务费的金额、形式及交纳时限见竞争性谈判响应须知前附表。</w:t>
      </w:r>
    </w:p>
    <w:p w14:paraId="05795424">
      <w:pPr>
        <w:pStyle w:val="3"/>
        <w:rPr>
          <w:color w:val="auto"/>
          <w:highlight w:val="none"/>
        </w:rPr>
      </w:pPr>
      <w:bookmarkStart w:id="98" w:name="_Toc75852761"/>
      <w:bookmarkStart w:id="99" w:name="_Toc456551927"/>
      <w:r>
        <w:rPr>
          <w:rFonts w:hint="eastAsia"/>
          <w:color w:val="auto"/>
          <w:highlight w:val="none"/>
        </w:rPr>
        <w:t>10. 纪律和监督</w:t>
      </w:r>
      <w:bookmarkEnd w:id="98"/>
      <w:bookmarkEnd w:id="99"/>
    </w:p>
    <w:p w14:paraId="1A9D985C">
      <w:pPr>
        <w:spacing w:line="400" w:lineRule="exact"/>
        <w:rPr>
          <w:rFonts w:ascii="宋体" w:hAnsi="宋体"/>
          <w:b/>
          <w:color w:val="auto"/>
          <w:sz w:val="32"/>
          <w:szCs w:val="32"/>
          <w:highlight w:val="none"/>
        </w:rPr>
      </w:pPr>
      <w:bookmarkStart w:id="100" w:name="_Toc475552169"/>
      <w:bookmarkStart w:id="101" w:name="_Toc456551928"/>
      <w:r>
        <w:rPr>
          <w:rFonts w:hint="eastAsia" w:ascii="宋体" w:hAnsi="宋体"/>
          <w:b/>
          <w:color w:val="auto"/>
          <w:sz w:val="32"/>
          <w:szCs w:val="32"/>
          <w:highlight w:val="none"/>
        </w:rPr>
        <w:t>10.1 对采购人的纪律要求</w:t>
      </w:r>
      <w:bookmarkEnd w:id="100"/>
      <w:bookmarkEnd w:id="101"/>
    </w:p>
    <w:p w14:paraId="2AEACC80">
      <w:pPr>
        <w:spacing w:line="400" w:lineRule="exact"/>
        <w:ind w:firstLine="420" w:firstLineChars="200"/>
        <w:rPr>
          <w:color w:val="auto"/>
          <w:szCs w:val="21"/>
          <w:highlight w:val="none"/>
        </w:rPr>
      </w:pPr>
      <w:r>
        <w:rPr>
          <w:rFonts w:hint="eastAsia"/>
          <w:color w:val="auto"/>
          <w:szCs w:val="21"/>
          <w:highlight w:val="none"/>
        </w:rPr>
        <w:t>采购人不得泄漏竞争性谈判活动中应当保密的情况和资料，不得与响应人串通损害国家利益、社会公共利益或者他人合法权益。</w:t>
      </w:r>
    </w:p>
    <w:p w14:paraId="0CB4247E">
      <w:pPr>
        <w:spacing w:line="400" w:lineRule="exact"/>
        <w:rPr>
          <w:rFonts w:ascii="宋体" w:hAnsi="宋体"/>
          <w:b/>
          <w:color w:val="auto"/>
          <w:sz w:val="32"/>
          <w:szCs w:val="32"/>
          <w:highlight w:val="none"/>
        </w:rPr>
      </w:pPr>
      <w:bookmarkStart w:id="102" w:name="_Toc475552170"/>
      <w:bookmarkStart w:id="103" w:name="_Toc456551929"/>
      <w:r>
        <w:rPr>
          <w:rFonts w:hint="eastAsia" w:ascii="宋体" w:hAnsi="宋体"/>
          <w:b/>
          <w:color w:val="auto"/>
          <w:sz w:val="32"/>
          <w:szCs w:val="32"/>
          <w:highlight w:val="none"/>
        </w:rPr>
        <w:t>10.2 对响应人的纪律要求</w:t>
      </w:r>
      <w:bookmarkEnd w:id="102"/>
      <w:bookmarkEnd w:id="103"/>
    </w:p>
    <w:p w14:paraId="75E8AF04">
      <w:pPr>
        <w:spacing w:line="400" w:lineRule="exact"/>
        <w:ind w:firstLine="420" w:firstLineChars="200"/>
        <w:rPr>
          <w:color w:val="auto"/>
          <w:szCs w:val="21"/>
          <w:highlight w:val="none"/>
        </w:rPr>
      </w:pPr>
      <w:r>
        <w:rPr>
          <w:rFonts w:hint="eastAsia"/>
          <w:color w:val="auto"/>
          <w:szCs w:val="21"/>
          <w:highlight w:val="none"/>
        </w:rPr>
        <w:t>响应人不得相互串通竞争性谈判或者与采购人串通竞争性谈判，不得向采购人或者谈判小组成员行贿谋取成交，不得以他人名义竞争性谈判或者以其他方式弄虚作假骗取成交；响应人不得以任何方式干扰、影响评审工作。</w:t>
      </w:r>
    </w:p>
    <w:p w14:paraId="7A8F23F6">
      <w:pPr>
        <w:spacing w:line="400" w:lineRule="exact"/>
        <w:rPr>
          <w:rFonts w:ascii="宋体" w:hAnsi="宋体"/>
          <w:b/>
          <w:color w:val="auto"/>
          <w:sz w:val="32"/>
          <w:szCs w:val="32"/>
          <w:highlight w:val="none"/>
        </w:rPr>
      </w:pPr>
      <w:bookmarkStart w:id="104" w:name="_Toc456551930"/>
      <w:bookmarkStart w:id="105" w:name="_Toc475552171"/>
      <w:r>
        <w:rPr>
          <w:rFonts w:hint="eastAsia" w:ascii="宋体" w:hAnsi="宋体"/>
          <w:b/>
          <w:color w:val="auto"/>
          <w:sz w:val="32"/>
          <w:szCs w:val="32"/>
          <w:highlight w:val="none"/>
        </w:rPr>
        <w:t>10.3 对谈判小组成员的纪律要求</w:t>
      </w:r>
      <w:bookmarkEnd w:id="104"/>
      <w:bookmarkEnd w:id="105"/>
    </w:p>
    <w:p w14:paraId="606389C7">
      <w:pPr>
        <w:spacing w:line="400" w:lineRule="exact"/>
        <w:ind w:firstLine="420" w:firstLineChars="200"/>
        <w:rPr>
          <w:color w:val="auto"/>
          <w:szCs w:val="21"/>
          <w:highlight w:val="none"/>
        </w:rPr>
      </w:pPr>
      <w:r>
        <w:rPr>
          <w:rFonts w:hint="eastAsia"/>
          <w:color w:val="auto"/>
          <w:szCs w:val="21"/>
          <w:highlight w:val="none"/>
        </w:rPr>
        <w:t>谈判小组成员不得收受他人的财物或者其他好处，不得向他人透漏对响应文件的评审和比较、成交候选人的推荐情况以及评审有关的其他情况。在评审活动中，谈判小组成员应当客观、公正地履行职责，遵守职业道德，不得擅离职守，影响评审程序正常进行，不得使用第三章“评审办法”没有规定的评审因素和标准进行评审。</w:t>
      </w:r>
    </w:p>
    <w:p w14:paraId="65A98968">
      <w:pPr>
        <w:spacing w:line="400" w:lineRule="exact"/>
        <w:rPr>
          <w:rFonts w:ascii="宋体" w:hAnsi="宋体"/>
          <w:b/>
          <w:color w:val="auto"/>
          <w:sz w:val="32"/>
          <w:szCs w:val="32"/>
          <w:highlight w:val="none"/>
        </w:rPr>
      </w:pPr>
      <w:bookmarkStart w:id="106" w:name="_Toc456551931"/>
      <w:bookmarkStart w:id="107" w:name="_Toc475552172"/>
      <w:r>
        <w:rPr>
          <w:rFonts w:hint="eastAsia" w:ascii="宋体" w:hAnsi="宋体"/>
          <w:b/>
          <w:color w:val="auto"/>
          <w:sz w:val="32"/>
          <w:szCs w:val="32"/>
          <w:highlight w:val="none"/>
        </w:rPr>
        <w:t>10.4 对与评审活动有关的工作人员的纪律要求</w:t>
      </w:r>
      <w:bookmarkEnd w:id="106"/>
      <w:bookmarkEnd w:id="107"/>
    </w:p>
    <w:p w14:paraId="34094D1F">
      <w:pPr>
        <w:spacing w:line="400" w:lineRule="exact"/>
        <w:ind w:firstLine="420" w:firstLineChars="200"/>
        <w:rPr>
          <w:color w:val="auto"/>
          <w:szCs w:val="21"/>
          <w:highlight w:val="none"/>
        </w:rPr>
      </w:pPr>
      <w:r>
        <w:rPr>
          <w:rFonts w:hint="eastAsia"/>
          <w:color w:val="auto"/>
          <w:szCs w:val="21"/>
          <w:highlight w:val="none"/>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p>
    <w:p w14:paraId="63E07F24">
      <w:pPr>
        <w:spacing w:line="400" w:lineRule="exact"/>
        <w:rPr>
          <w:rFonts w:ascii="宋体" w:hAnsi="宋体"/>
          <w:b/>
          <w:color w:val="auto"/>
          <w:sz w:val="32"/>
          <w:szCs w:val="32"/>
          <w:highlight w:val="none"/>
        </w:rPr>
      </w:pPr>
      <w:r>
        <w:rPr>
          <w:rFonts w:hint="eastAsia" w:ascii="宋体" w:hAnsi="宋体"/>
          <w:b/>
          <w:color w:val="auto"/>
          <w:sz w:val="32"/>
          <w:szCs w:val="32"/>
          <w:highlight w:val="none"/>
        </w:rPr>
        <w:t>10.5 采购监督小组</w:t>
      </w:r>
    </w:p>
    <w:p w14:paraId="367A82F6">
      <w:pPr>
        <w:spacing w:line="400" w:lineRule="exact"/>
        <w:ind w:firstLine="420" w:firstLineChars="200"/>
        <w:rPr>
          <w:color w:val="auto"/>
          <w:szCs w:val="21"/>
          <w:highlight w:val="none"/>
        </w:rPr>
      </w:pPr>
      <w:r>
        <w:rPr>
          <w:color w:val="auto"/>
          <w:szCs w:val="21"/>
          <w:highlight w:val="none"/>
        </w:rPr>
        <w:t>10.5.</w:t>
      </w:r>
      <w:r>
        <w:rPr>
          <w:rFonts w:hint="eastAsia"/>
          <w:color w:val="auto"/>
          <w:szCs w:val="21"/>
          <w:highlight w:val="none"/>
        </w:rPr>
        <w:t>1采购人应当组建采购监督小组对竞争性谈判过程进行监督，及时指出、制止违反程序及纪律的行为，但不得就资格审查或者评标涉及的实质内容发表意见或者参与资格审查委员会、谈判小组的讨论。</w:t>
      </w:r>
    </w:p>
    <w:p w14:paraId="14FEED03">
      <w:pPr>
        <w:spacing w:line="400" w:lineRule="exact"/>
        <w:ind w:firstLine="420" w:firstLineChars="200"/>
        <w:rPr>
          <w:color w:val="auto"/>
          <w:szCs w:val="21"/>
          <w:highlight w:val="none"/>
        </w:rPr>
      </w:pPr>
      <w:r>
        <w:rPr>
          <w:color w:val="auto"/>
          <w:szCs w:val="21"/>
          <w:highlight w:val="none"/>
        </w:rPr>
        <w:t>10.5.</w:t>
      </w:r>
      <w:r>
        <w:rPr>
          <w:rFonts w:hint="eastAsia"/>
          <w:color w:val="auto"/>
          <w:szCs w:val="21"/>
          <w:highlight w:val="none"/>
        </w:rPr>
        <w:t>2特殊情况导致开标、评标无法继续进行的、相关人员存在违反程序及纪律的行为被指出后仍拒绝纠正的、发现竞争性谈判活动存在其他违反相关规定行为的，采购监督小组应当及时报告监督部门。</w:t>
      </w:r>
    </w:p>
    <w:p w14:paraId="12D7572C">
      <w:pPr>
        <w:spacing w:line="400" w:lineRule="exact"/>
        <w:ind w:firstLine="420" w:firstLineChars="200"/>
        <w:rPr>
          <w:color w:val="auto"/>
          <w:szCs w:val="21"/>
          <w:highlight w:val="none"/>
        </w:rPr>
      </w:pPr>
      <w:r>
        <w:rPr>
          <w:color w:val="auto"/>
          <w:szCs w:val="21"/>
          <w:highlight w:val="none"/>
        </w:rPr>
        <w:t>10.5.</w:t>
      </w:r>
      <w:r>
        <w:rPr>
          <w:rFonts w:hint="eastAsia"/>
          <w:color w:val="auto"/>
          <w:szCs w:val="21"/>
          <w:highlight w:val="none"/>
        </w:rPr>
        <w:t>3采购监督小组可以通过检查、随机抽查、现场监督、网络在线监督等方式对竞争性谈判活动进行监督，竞争性谈判活动各方应当自觉接受监督检查。</w:t>
      </w:r>
    </w:p>
    <w:p w14:paraId="6A37E69C">
      <w:pPr>
        <w:pStyle w:val="3"/>
        <w:rPr>
          <w:color w:val="auto"/>
          <w:highlight w:val="none"/>
        </w:rPr>
      </w:pPr>
      <w:bookmarkStart w:id="108" w:name="_Toc456551933"/>
      <w:bookmarkStart w:id="109" w:name="_Toc75852762"/>
      <w:bookmarkStart w:id="110" w:name="_Toc152042305"/>
      <w:bookmarkStart w:id="111" w:name="_Toc144974497"/>
      <w:bookmarkStart w:id="112" w:name="_Toc246996175"/>
      <w:bookmarkStart w:id="113" w:name="_Toc296602420"/>
      <w:bookmarkStart w:id="114" w:name="_Toc179632546"/>
      <w:bookmarkStart w:id="115" w:name="_Toc152045529"/>
      <w:bookmarkStart w:id="116" w:name="_Toc247085689"/>
      <w:bookmarkStart w:id="117" w:name="_Toc246996918"/>
      <w:r>
        <w:rPr>
          <w:rFonts w:hint="eastAsia"/>
          <w:color w:val="auto"/>
          <w:highlight w:val="none"/>
        </w:rPr>
        <w:t>11. 需要补充的其他内容</w:t>
      </w:r>
      <w:bookmarkEnd w:id="108"/>
      <w:bookmarkEnd w:id="109"/>
    </w:p>
    <w:p w14:paraId="7D96CE47">
      <w:pPr>
        <w:spacing w:line="400" w:lineRule="exact"/>
        <w:ind w:firstLine="420" w:firstLineChars="200"/>
        <w:rPr>
          <w:color w:val="auto"/>
          <w:szCs w:val="21"/>
          <w:highlight w:val="none"/>
        </w:rPr>
      </w:pPr>
      <w:r>
        <w:rPr>
          <w:rFonts w:hint="eastAsia"/>
          <w:color w:val="auto"/>
          <w:szCs w:val="21"/>
          <w:highlight w:val="none"/>
        </w:rPr>
        <w:t>需要补充的其他内容：见竞争性谈判响应须知前附表。</w:t>
      </w:r>
    </w:p>
    <w:p w14:paraId="1D74714E">
      <w:pPr>
        <w:spacing w:before="156" w:beforeLines="50" w:after="156" w:afterLines="50" w:line="400" w:lineRule="exact"/>
        <w:rPr>
          <w:color w:val="auto"/>
          <w:highlight w:val="none"/>
        </w:rPr>
      </w:pPr>
      <w:r>
        <w:rPr>
          <w:color w:val="auto"/>
          <w:szCs w:val="21"/>
          <w:highlight w:val="none"/>
        </w:rPr>
        <w:br w:type="page"/>
      </w:r>
    </w:p>
    <w:p w14:paraId="172B8C63">
      <w:pPr>
        <w:pStyle w:val="2"/>
        <w:spacing w:before="0"/>
        <w:jc w:val="center"/>
        <w:rPr>
          <w:rFonts w:ascii="宋体" w:hAnsi="宋体"/>
          <w:color w:val="auto"/>
          <w:sz w:val="28"/>
          <w:szCs w:val="28"/>
          <w:highlight w:val="none"/>
        </w:rPr>
      </w:pPr>
      <w:bookmarkStart w:id="118" w:name="_Toc75852763"/>
      <w:bookmarkStart w:id="119" w:name="_Toc456551939"/>
      <w:r>
        <w:rPr>
          <w:rFonts w:hint="eastAsia" w:ascii="宋体" w:hAnsi="宋体"/>
          <w:color w:val="auto"/>
          <w:sz w:val="28"/>
          <w:szCs w:val="28"/>
          <w:highlight w:val="none"/>
        </w:rPr>
        <w:t>第三章 评审办法</w:t>
      </w:r>
      <w:bookmarkEnd w:id="118"/>
      <w:bookmarkEnd w:id="119"/>
    </w:p>
    <w:p w14:paraId="7CB57DA4">
      <w:pPr>
        <w:pStyle w:val="4"/>
        <w:spacing w:before="0" w:after="120" w:line="415" w:lineRule="auto"/>
        <w:jc w:val="left"/>
        <w:rPr>
          <w:rFonts w:ascii="黑体" w:hAnsi="黑体" w:eastAsia="黑体"/>
          <w:color w:val="auto"/>
          <w:sz w:val="28"/>
          <w:szCs w:val="28"/>
          <w:highlight w:val="none"/>
        </w:rPr>
      </w:pPr>
      <w:bookmarkStart w:id="120" w:name="_Toc75852764"/>
      <w:bookmarkStart w:id="121" w:name="_Toc456551940"/>
      <w:r>
        <w:rPr>
          <w:rFonts w:hint="eastAsia" w:ascii="黑体" w:hAnsi="黑体" w:eastAsia="黑体"/>
          <w:color w:val="auto"/>
          <w:sz w:val="28"/>
          <w:szCs w:val="28"/>
          <w:highlight w:val="none"/>
        </w:rPr>
        <w:t>一、评审办法前附表</w:t>
      </w:r>
      <w:bookmarkEnd w:id="120"/>
    </w:p>
    <w:tbl>
      <w:tblPr>
        <w:tblStyle w:val="3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73"/>
        <w:gridCol w:w="4689"/>
        <w:gridCol w:w="1134"/>
      </w:tblGrid>
      <w:tr w14:paraId="07EA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93" w:type="dxa"/>
            <w:tcBorders>
              <w:top w:val="single" w:color="auto" w:sz="4" w:space="0"/>
              <w:left w:val="single" w:color="auto" w:sz="4" w:space="0"/>
              <w:bottom w:val="single" w:color="auto" w:sz="4" w:space="0"/>
              <w:right w:val="single" w:color="auto" w:sz="4" w:space="0"/>
            </w:tcBorders>
            <w:vAlign w:val="center"/>
          </w:tcPr>
          <w:p w14:paraId="59A1E7F3">
            <w:pPr>
              <w:snapToGrid w:val="0"/>
              <w:jc w:val="center"/>
              <w:rPr>
                <w:rFonts w:ascii="宋体" w:hAnsi="宋体" w:cs="宋体"/>
                <w:color w:val="auto"/>
                <w:kern w:val="0"/>
                <w:sz w:val="20"/>
                <w:szCs w:val="21"/>
                <w:highlight w:val="none"/>
              </w:rPr>
            </w:pPr>
            <w:r>
              <w:rPr>
                <w:rFonts w:hint="eastAsia" w:ascii="宋体" w:hAnsi="宋体" w:cs="宋体"/>
                <w:color w:val="auto"/>
                <w:szCs w:val="21"/>
                <w:highlight w:val="none"/>
              </w:rPr>
              <w:t>序号</w:t>
            </w:r>
          </w:p>
        </w:tc>
        <w:tc>
          <w:tcPr>
            <w:tcW w:w="1973" w:type="dxa"/>
            <w:tcBorders>
              <w:top w:val="single" w:color="auto" w:sz="4" w:space="0"/>
              <w:left w:val="single" w:color="auto" w:sz="4" w:space="0"/>
              <w:bottom w:val="single" w:color="auto" w:sz="4" w:space="0"/>
              <w:right w:val="single" w:color="auto" w:sz="4" w:space="0"/>
            </w:tcBorders>
            <w:vAlign w:val="center"/>
          </w:tcPr>
          <w:p w14:paraId="334C3A5B">
            <w:pPr>
              <w:snapToGrid w:val="0"/>
              <w:jc w:val="center"/>
              <w:rPr>
                <w:rFonts w:ascii="宋体" w:hAnsi="宋体" w:cs="宋体"/>
                <w:color w:val="auto"/>
                <w:szCs w:val="21"/>
                <w:highlight w:val="none"/>
              </w:rPr>
            </w:pPr>
            <w:r>
              <w:rPr>
                <w:rFonts w:hint="eastAsia" w:ascii="宋体" w:hAnsi="宋体" w:cs="宋体"/>
                <w:color w:val="auto"/>
                <w:kern w:val="0"/>
                <w:sz w:val="20"/>
                <w:szCs w:val="21"/>
                <w:highlight w:val="none"/>
              </w:rPr>
              <w:t>评审内容</w:t>
            </w:r>
          </w:p>
        </w:tc>
        <w:tc>
          <w:tcPr>
            <w:tcW w:w="4689" w:type="dxa"/>
            <w:tcBorders>
              <w:top w:val="single" w:color="auto" w:sz="4" w:space="0"/>
              <w:left w:val="single" w:color="auto" w:sz="4" w:space="0"/>
              <w:bottom w:val="single" w:color="auto" w:sz="4" w:space="0"/>
              <w:right w:val="single" w:color="auto" w:sz="4" w:space="0"/>
            </w:tcBorders>
            <w:vAlign w:val="center"/>
          </w:tcPr>
          <w:p w14:paraId="0E67902D">
            <w:pPr>
              <w:snapToGrid w:val="0"/>
              <w:jc w:val="center"/>
              <w:rPr>
                <w:rFonts w:ascii="宋体" w:hAnsi="宋体" w:cs="宋体"/>
                <w:color w:val="auto"/>
                <w:highlight w:val="none"/>
              </w:rPr>
            </w:pPr>
            <w:r>
              <w:rPr>
                <w:rFonts w:hint="eastAsia" w:ascii="宋体" w:hAnsi="宋体" w:cs="宋体"/>
                <w:color w:val="auto"/>
                <w:kern w:val="0"/>
                <w:sz w:val="20"/>
                <w:szCs w:val="21"/>
                <w:highlight w:val="none"/>
              </w:rPr>
              <w:t>评审标准</w:t>
            </w:r>
          </w:p>
        </w:tc>
        <w:tc>
          <w:tcPr>
            <w:tcW w:w="1134" w:type="dxa"/>
            <w:tcBorders>
              <w:top w:val="single" w:color="auto" w:sz="4" w:space="0"/>
              <w:left w:val="single" w:color="auto" w:sz="4" w:space="0"/>
              <w:bottom w:val="single" w:color="auto" w:sz="4" w:space="0"/>
              <w:right w:val="single" w:color="auto" w:sz="4" w:space="0"/>
            </w:tcBorders>
            <w:vAlign w:val="center"/>
          </w:tcPr>
          <w:p w14:paraId="3612BD07">
            <w:pPr>
              <w:snapToGrid w:val="0"/>
              <w:jc w:val="center"/>
              <w:rPr>
                <w:rFonts w:ascii="宋体" w:hAnsi="宋体" w:cs="宋体"/>
                <w:color w:val="auto"/>
                <w:highlight w:val="none"/>
              </w:rPr>
            </w:pPr>
            <w:r>
              <w:rPr>
                <w:rFonts w:hint="eastAsia" w:ascii="宋体" w:hAnsi="宋体" w:cs="宋体"/>
                <w:color w:val="auto"/>
                <w:highlight w:val="none"/>
              </w:rPr>
              <w:t>竞争性谈判文件索引页码</w:t>
            </w:r>
          </w:p>
        </w:tc>
      </w:tr>
      <w:tr w14:paraId="42925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93" w:type="dxa"/>
            <w:tcBorders>
              <w:top w:val="single" w:color="auto" w:sz="4" w:space="0"/>
              <w:left w:val="single" w:color="auto" w:sz="4" w:space="0"/>
              <w:bottom w:val="single" w:color="auto" w:sz="4" w:space="0"/>
              <w:right w:val="single" w:color="auto" w:sz="4" w:space="0"/>
            </w:tcBorders>
            <w:vAlign w:val="center"/>
          </w:tcPr>
          <w:p w14:paraId="4D7A098A">
            <w:pPr>
              <w:snapToGrid w:val="0"/>
              <w:jc w:val="center"/>
              <w:rPr>
                <w:rFonts w:ascii="宋体" w:hAnsi="宋体" w:cs="宋体"/>
                <w:color w:val="auto"/>
                <w:szCs w:val="21"/>
                <w:highlight w:val="none"/>
              </w:rPr>
            </w:pPr>
            <w:r>
              <w:rPr>
                <w:rFonts w:hint="eastAsia" w:ascii="宋体" w:hAnsi="宋体" w:cs="宋体"/>
                <w:color w:val="auto"/>
                <w:szCs w:val="21"/>
                <w:highlight w:val="none"/>
              </w:rPr>
              <w:t>1</w:t>
            </w:r>
          </w:p>
        </w:tc>
        <w:tc>
          <w:tcPr>
            <w:tcW w:w="1973" w:type="dxa"/>
            <w:tcBorders>
              <w:top w:val="single" w:color="auto" w:sz="4" w:space="0"/>
              <w:left w:val="single" w:color="auto" w:sz="4" w:space="0"/>
              <w:bottom w:val="single" w:color="auto" w:sz="4" w:space="0"/>
              <w:right w:val="single" w:color="auto" w:sz="4" w:space="0"/>
            </w:tcBorders>
            <w:vAlign w:val="center"/>
          </w:tcPr>
          <w:p w14:paraId="5DCCCFBE">
            <w:pPr>
              <w:snapToGrid w:val="0"/>
              <w:jc w:val="center"/>
              <w:rPr>
                <w:rFonts w:ascii="宋体" w:hAnsi="宋体" w:cs="宋体"/>
                <w:color w:val="auto"/>
                <w:kern w:val="0"/>
                <w:sz w:val="20"/>
                <w:szCs w:val="21"/>
                <w:highlight w:val="none"/>
              </w:rPr>
            </w:pPr>
            <w:r>
              <w:rPr>
                <w:rFonts w:hint="eastAsia" w:ascii="宋体" w:hAnsi="宋体" w:cs="宋体"/>
                <w:color w:val="auto"/>
                <w:kern w:val="0"/>
                <w:sz w:val="20"/>
                <w:szCs w:val="21"/>
                <w:highlight w:val="none"/>
              </w:rPr>
              <w:t>响应人资格要求</w:t>
            </w:r>
          </w:p>
        </w:tc>
        <w:tc>
          <w:tcPr>
            <w:tcW w:w="4689" w:type="dxa"/>
            <w:tcBorders>
              <w:top w:val="single" w:color="auto" w:sz="4" w:space="0"/>
              <w:left w:val="single" w:color="auto" w:sz="4" w:space="0"/>
              <w:bottom w:val="single" w:color="auto" w:sz="4" w:space="0"/>
              <w:right w:val="single" w:color="auto" w:sz="4" w:space="0"/>
            </w:tcBorders>
            <w:vAlign w:val="center"/>
          </w:tcPr>
          <w:p w14:paraId="154A9959">
            <w:pPr>
              <w:snapToGrid w:val="0"/>
              <w:jc w:val="center"/>
              <w:rPr>
                <w:rFonts w:ascii="宋体" w:hAnsi="宋体" w:cs="宋体"/>
                <w:color w:val="auto"/>
                <w:kern w:val="0"/>
                <w:sz w:val="20"/>
                <w:szCs w:val="21"/>
                <w:highlight w:val="none"/>
              </w:rPr>
            </w:pPr>
            <w:r>
              <w:rPr>
                <w:rFonts w:hint="eastAsia" w:ascii="宋体" w:hAnsi="宋体" w:cs="宋体"/>
                <w:color w:val="auto"/>
                <w:kern w:val="0"/>
                <w:sz w:val="20"/>
                <w:szCs w:val="21"/>
                <w:highlight w:val="none"/>
              </w:rPr>
              <w:t>符合响应人资格要求</w:t>
            </w:r>
          </w:p>
        </w:tc>
        <w:tc>
          <w:tcPr>
            <w:tcW w:w="1134" w:type="dxa"/>
            <w:tcBorders>
              <w:top w:val="single" w:color="auto" w:sz="4" w:space="0"/>
              <w:left w:val="single" w:color="auto" w:sz="4" w:space="0"/>
              <w:bottom w:val="single" w:color="auto" w:sz="4" w:space="0"/>
              <w:right w:val="single" w:color="auto" w:sz="4" w:space="0"/>
            </w:tcBorders>
            <w:vAlign w:val="center"/>
          </w:tcPr>
          <w:p w14:paraId="69E99F54">
            <w:pPr>
              <w:snapToGrid w:val="0"/>
              <w:jc w:val="center"/>
              <w:rPr>
                <w:rFonts w:ascii="宋体" w:hAnsi="宋体" w:cs="宋体"/>
                <w:color w:val="auto"/>
                <w:kern w:val="0"/>
                <w:sz w:val="20"/>
                <w:szCs w:val="21"/>
                <w:highlight w:val="none"/>
              </w:rPr>
            </w:pPr>
          </w:p>
        </w:tc>
      </w:tr>
      <w:tr w14:paraId="27C7F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93" w:type="dxa"/>
            <w:tcBorders>
              <w:top w:val="single" w:color="auto" w:sz="4" w:space="0"/>
              <w:left w:val="single" w:color="auto" w:sz="4" w:space="0"/>
              <w:bottom w:val="single" w:color="auto" w:sz="4" w:space="0"/>
              <w:right w:val="single" w:color="auto" w:sz="4" w:space="0"/>
            </w:tcBorders>
            <w:vAlign w:val="center"/>
          </w:tcPr>
          <w:p w14:paraId="03DEF5A4">
            <w:pPr>
              <w:snapToGrid w:val="0"/>
              <w:jc w:val="center"/>
              <w:rPr>
                <w:rFonts w:ascii="宋体" w:hAnsi="宋体" w:cs="宋体"/>
                <w:color w:val="auto"/>
                <w:szCs w:val="21"/>
                <w:highlight w:val="none"/>
              </w:rPr>
            </w:pPr>
            <w:r>
              <w:rPr>
                <w:rFonts w:hint="eastAsia" w:ascii="宋体" w:hAnsi="宋体" w:cs="宋体"/>
                <w:color w:val="auto"/>
                <w:szCs w:val="21"/>
                <w:highlight w:val="none"/>
              </w:rPr>
              <w:t>2</w:t>
            </w:r>
          </w:p>
        </w:tc>
        <w:tc>
          <w:tcPr>
            <w:tcW w:w="1973" w:type="dxa"/>
            <w:tcBorders>
              <w:top w:val="single" w:color="auto" w:sz="4" w:space="0"/>
              <w:left w:val="single" w:color="auto" w:sz="4" w:space="0"/>
              <w:bottom w:val="single" w:color="auto" w:sz="4" w:space="0"/>
              <w:right w:val="single" w:color="auto" w:sz="4" w:space="0"/>
            </w:tcBorders>
            <w:vAlign w:val="center"/>
          </w:tcPr>
          <w:p w14:paraId="1B823F11">
            <w:pPr>
              <w:snapToGrid w:val="0"/>
              <w:jc w:val="center"/>
              <w:rPr>
                <w:rFonts w:ascii="宋体" w:hAnsi="宋体" w:cs="宋体"/>
                <w:color w:val="auto"/>
                <w:kern w:val="0"/>
                <w:sz w:val="20"/>
                <w:szCs w:val="21"/>
                <w:highlight w:val="none"/>
              </w:rPr>
            </w:pPr>
            <w:r>
              <w:rPr>
                <w:rFonts w:hint="eastAsia" w:ascii="宋体" w:hAnsi="宋体" w:cs="宋体"/>
                <w:color w:val="auto"/>
                <w:kern w:val="0"/>
                <w:sz w:val="20"/>
                <w:szCs w:val="21"/>
                <w:highlight w:val="none"/>
              </w:rPr>
              <w:t>竞争性谈判保证金</w:t>
            </w:r>
          </w:p>
        </w:tc>
        <w:tc>
          <w:tcPr>
            <w:tcW w:w="4689" w:type="dxa"/>
            <w:tcBorders>
              <w:top w:val="single" w:color="auto" w:sz="4" w:space="0"/>
              <w:left w:val="single" w:color="auto" w:sz="4" w:space="0"/>
              <w:bottom w:val="single" w:color="auto" w:sz="4" w:space="0"/>
              <w:right w:val="single" w:color="auto" w:sz="4" w:space="0"/>
            </w:tcBorders>
            <w:vAlign w:val="center"/>
          </w:tcPr>
          <w:p w14:paraId="6EBA2246">
            <w:pPr>
              <w:snapToGrid w:val="0"/>
              <w:jc w:val="center"/>
              <w:rPr>
                <w:rFonts w:ascii="宋体" w:hAnsi="宋体" w:cs="宋体"/>
                <w:color w:val="auto"/>
                <w:kern w:val="0"/>
                <w:sz w:val="20"/>
                <w:szCs w:val="21"/>
                <w:highlight w:val="none"/>
              </w:rPr>
            </w:pPr>
            <w:r>
              <w:rPr>
                <w:rFonts w:hint="eastAsia" w:hAnsi="宋体" w:cs="宋体"/>
                <w:bCs/>
                <w:color w:val="auto"/>
                <w:szCs w:val="21"/>
                <w:highlight w:val="none"/>
                <w:lang w:bidi="ar"/>
              </w:rPr>
              <w:t>按采购文件的规定提交竞争性谈判保证金的</w:t>
            </w:r>
          </w:p>
        </w:tc>
        <w:tc>
          <w:tcPr>
            <w:tcW w:w="1134" w:type="dxa"/>
            <w:tcBorders>
              <w:top w:val="single" w:color="auto" w:sz="4" w:space="0"/>
              <w:left w:val="single" w:color="auto" w:sz="4" w:space="0"/>
              <w:bottom w:val="single" w:color="auto" w:sz="4" w:space="0"/>
              <w:right w:val="single" w:color="auto" w:sz="4" w:space="0"/>
            </w:tcBorders>
            <w:vAlign w:val="center"/>
          </w:tcPr>
          <w:p w14:paraId="75C1D2FC">
            <w:pPr>
              <w:snapToGrid w:val="0"/>
              <w:jc w:val="center"/>
              <w:rPr>
                <w:rFonts w:ascii="宋体" w:hAnsi="宋体" w:cs="宋体"/>
                <w:color w:val="auto"/>
                <w:kern w:val="0"/>
                <w:sz w:val="20"/>
                <w:szCs w:val="21"/>
                <w:highlight w:val="none"/>
              </w:rPr>
            </w:pPr>
          </w:p>
        </w:tc>
      </w:tr>
      <w:tr w14:paraId="4A1F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93" w:type="dxa"/>
            <w:tcBorders>
              <w:top w:val="single" w:color="auto" w:sz="4" w:space="0"/>
              <w:left w:val="single" w:color="auto" w:sz="4" w:space="0"/>
              <w:bottom w:val="single" w:color="auto" w:sz="4" w:space="0"/>
              <w:right w:val="single" w:color="auto" w:sz="4" w:space="0"/>
            </w:tcBorders>
            <w:vAlign w:val="center"/>
          </w:tcPr>
          <w:p w14:paraId="3E0CAFCB">
            <w:pPr>
              <w:snapToGrid w:val="0"/>
              <w:jc w:val="center"/>
              <w:rPr>
                <w:rFonts w:ascii="宋体" w:hAnsi="宋体" w:cs="宋体"/>
                <w:color w:val="auto"/>
                <w:szCs w:val="21"/>
                <w:highlight w:val="none"/>
              </w:rPr>
            </w:pPr>
            <w:r>
              <w:rPr>
                <w:rFonts w:hint="eastAsia" w:ascii="宋体" w:hAnsi="宋体" w:cs="宋体"/>
                <w:color w:val="auto"/>
                <w:szCs w:val="21"/>
                <w:highlight w:val="none"/>
              </w:rPr>
              <w:t>3</w:t>
            </w:r>
          </w:p>
        </w:tc>
        <w:tc>
          <w:tcPr>
            <w:tcW w:w="1973" w:type="dxa"/>
            <w:tcBorders>
              <w:top w:val="single" w:color="auto" w:sz="4" w:space="0"/>
              <w:left w:val="single" w:color="auto" w:sz="4" w:space="0"/>
              <w:bottom w:val="single" w:color="auto" w:sz="4" w:space="0"/>
              <w:right w:val="single" w:color="auto" w:sz="4" w:space="0"/>
            </w:tcBorders>
            <w:vAlign w:val="center"/>
          </w:tcPr>
          <w:p w14:paraId="07C0DEF5">
            <w:pPr>
              <w:snapToGrid w:val="0"/>
              <w:jc w:val="center"/>
              <w:rPr>
                <w:rFonts w:ascii="宋体" w:hAnsi="宋体" w:cs="宋体"/>
                <w:color w:val="auto"/>
                <w:kern w:val="0"/>
                <w:sz w:val="20"/>
                <w:szCs w:val="21"/>
                <w:highlight w:val="none"/>
              </w:rPr>
            </w:pPr>
            <w:r>
              <w:rPr>
                <w:rFonts w:hint="eastAsia" w:ascii="宋体" w:hAnsi="宋体" w:cs="宋体"/>
                <w:color w:val="auto"/>
                <w:kern w:val="0"/>
                <w:sz w:val="20"/>
                <w:szCs w:val="21"/>
                <w:highlight w:val="none"/>
              </w:rPr>
              <w:t>响应文件盖章、签署</w:t>
            </w:r>
          </w:p>
        </w:tc>
        <w:tc>
          <w:tcPr>
            <w:tcW w:w="4689" w:type="dxa"/>
            <w:tcBorders>
              <w:top w:val="single" w:color="auto" w:sz="4" w:space="0"/>
              <w:left w:val="single" w:color="auto" w:sz="4" w:space="0"/>
              <w:bottom w:val="single" w:color="auto" w:sz="4" w:space="0"/>
              <w:right w:val="single" w:color="auto" w:sz="4" w:space="0"/>
            </w:tcBorders>
            <w:vAlign w:val="center"/>
          </w:tcPr>
          <w:p w14:paraId="0D36192D">
            <w:pPr>
              <w:snapToGrid w:val="0"/>
              <w:jc w:val="center"/>
              <w:rPr>
                <w:rFonts w:ascii="宋体" w:hAnsi="宋体" w:cs="宋体"/>
                <w:color w:val="auto"/>
                <w:kern w:val="0"/>
                <w:sz w:val="20"/>
                <w:szCs w:val="21"/>
                <w:highlight w:val="none"/>
              </w:rPr>
            </w:pPr>
            <w:r>
              <w:rPr>
                <w:rFonts w:hint="eastAsia" w:hAnsi="宋体" w:cs="宋体"/>
                <w:bCs/>
                <w:color w:val="auto"/>
                <w:szCs w:val="21"/>
                <w:highlight w:val="none"/>
                <w:lang w:bidi="ar"/>
              </w:rPr>
              <w:t>响应文件按采购文件要求签署、盖章的</w:t>
            </w:r>
          </w:p>
        </w:tc>
        <w:tc>
          <w:tcPr>
            <w:tcW w:w="1134" w:type="dxa"/>
            <w:tcBorders>
              <w:top w:val="single" w:color="auto" w:sz="4" w:space="0"/>
              <w:left w:val="single" w:color="auto" w:sz="4" w:space="0"/>
              <w:bottom w:val="single" w:color="auto" w:sz="4" w:space="0"/>
              <w:right w:val="single" w:color="auto" w:sz="4" w:space="0"/>
            </w:tcBorders>
            <w:vAlign w:val="center"/>
          </w:tcPr>
          <w:p w14:paraId="6F70815A">
            <w:pPr>
              <w:snapToGrid w:val="0"/>
              <w:jc w:val="center"/>
              <w:rPr>
                <w:rFonts w:ascii="宋体" w:hAnsi="宋体" w:cs="宋体"/>
                <w:color w:val="auto"/>
                <w:kern w:val="0"/>
                <w:sz w:val="20"/>
                <w:szCs w:val="21"/>
                <w:highlight w:val="none"/>
              </w:rPr>
            </w:pPr>
          </w:p>
        </w:tc>
      </w:tr>
      <w:tr w14:paraId="18B38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93" w:type="dxa"/>
            <w:tcBorders>
              <w:top w:val="single" w:color="auto" w:sz="4" w:space="0"/>
              <w:left w:val="single" w:color="auto" w:sz="4" w:space="0"/>
              <w:bottom w:val="single" w:color="auto" w:sz="4" w:space="0"/>
              <w:right w:val="single" w:color="auto" w:sz="4" w:space="0"/>
            </w:tcBorders>
            <w:vAlign w:val="center"/>
          </w:tcPr>
          <w:p w14:paraId="2D10FD9A">
            <w:pPr>
              <w:snapToGrid w:val="0"/>
              <w:jc w:val="center"/>
              <w:rPr>
                <w:rFonts w:ascii="宋体" w:hAnsi="宋体" w:cs="宋体"/>
                <w:color w:val="auto"/>
                <w:szCs w:val="21"/>
                <w:highlight w:val="none"/>
              </w:rPr>
            </w:pPr>
            <w:r>
              <w:rPr>
                <w:rFonts w:hint="eastAsia" w:ascii="宋体" w:hAnsi="宋体" w:cs="宋体"/>
                <w:color w:val="auto"/>
                <w:szCs w:val="21"/>
                <w:highlight w:val="none"/>
              </w:rPr>
              <w:t>4</w:t>
            </w:r>
          </w:p>
        </w:tc>
        <w:tc>
          <w:tcPr>
            <w:tcW w:w="1973" w:type="dxa"/>
            <w:tcBorders>
              <w:top w:val="single" w:color="auto" w:sz="4" w:space="0"/>
              <w:left w:val="single" w:color="auto" w:sz="4" w:space="0"/>
              <w:bottom w:val="single" w:color="auto" w:sz="4" w:space="0"/>
              <w:right w:val="single" w:color="auto" w:sz="4" w:space="0"/>
            </w:tcBorders>
            <w:vAlign w:val="center"/>
          </w:tcPr>
          <w:p w14:paraId="7FDDB6C9">
            <w:pPr>
              <w:snapToGrid w:val="0"/>
              <w:jc w:val="center"/>
              <w:rPr>
                <w:rFonts w:ascii="宋体" w:hAnsi="宋体" w:cs="宋体"/>
                <w:color w:val="auto"/>
                <w:kern w:val="0"/>
                <w:sz w:val="20"/>
                <w:szCs w:val="21"/>
                <w:highlight w:val="none"/>
              </w:rPr>
            </w:pPr>
            <w:r>
              <w:rPr>
                <w:rFonts w:hint="eastAsia" w:ascii="宋体" w:hAnsi="宋体" w:cs="宋体"/>
                <w:color w:val="auto"/>
                <w:kern w:val="0"/>
                <w:sz w:val="20"/>
                <w:szCs w:val="21"/>
                <w:highlight w:val="none"/>
              </w:rPr>
              <w:t>报价</w:t>
            </w:r>
          </w:p>
        </w:tc>
        <w:tc>
          <w:tcPr>
            <w:tcW w:w="4689" w:type="dxa"/>
            <w:tcBorders>
              <w:top w:val="single" w:color="auto" w:sz="4" w:space="0"/>
              <w:left w:val="single" w:color="auto" w:sz="4" w:space="0"/>
              <w:bottom w:val="single" w:color="auto" w:sz="4" w:space="0"/>
              <w:right w:val="single" w:color="auto" w:sz="4" w:space="0"/>
            </w:tcBorders>
            <w:vAlign w:val="center"/>
          </w:tcPr>
          <w:p w14:paraId="77BA45E9">
            <w:pPr>
              <w:snapToGrid w:val="0"/>
              <w:jc w:val="center"/>
              <w:rPr>
                <w:rFonts w:ascii="宋体" w:hAnsi="宋体" w:cs="宋体"/>
                <w:color w:val="auto"/>
                <w:kern w:val="0"/>
                <w:sz w:val="20"/>
                <w:szCs w:val="21"/>
                <w:highlight w:val="none"/>
              </w:rPr>
            </w:pPr>
            <w:r>
              <w:rPr>
                <w:rFonts w:hint="eastAsia" w:hAnsi="宋体" w:cs="宋体"/>
                <w:bCs/>
                <w:color w:val="auto"/>
                <w:szCs w:val="21"/>
                <w:highlight w:val="none"/>
                <w:lang w:bidi="ar"/>
              </w:rPr>
              <w:t>按照竞争性谈判文件的规定进行报价的</w:t>
            </w:r>
          </w:p>
        </w:tc>
        <w:tc>
          <w:tcPr>
            <w:tcW w:w="1134" w:type="dxa"/>
            <w:tcBorders>
              <w:top w:val="single" w:color="auto" w:sz="4" w:space="0"/>
              <w:left w:val="single" w:color="auto" w:sz="4" w:space="0"/>
              <w:bottom w:val="single" w:color="auto" w:sz="4" w:space="0"/>
              <w:right w:val="single" w:color="auto" w:sz="4" w:space="0"/>
            </w:tcBorders>
            <w:vAlign w:val="center"/>
          </w:tcPr>
          <w:p w14:paraId="4018F674">
            <w:pPr>
              <w:snapToGrid w:val="0"/>
              <w:jc w:val="center"/>
              <w:rPr>
                <w:rFonts w:ascii="宋体" w:hAnsi="宋体" w:cs="宋体"/>
                <w:color w:val="auto"/>
                <w:kern w:val="0"/>
                <w:sz w:val="20"/>
                <w:szCs w:val="21"/>
                <w:highlight w:val="none"/>
              </w:rPr>
            </w:pPr>
          </w:p>
        </w:tc>
      </w:tr>
      <w:tr w14:paraId="2931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93" w:type="dxa"/>
            <w:tcBorders>
              <w:top w:val="single" w:color="auto" w:sz="4" w:space="0"/>
              <w:left w:val="single" w:color="auto" w:sz="4" w:space="0"/>
              <w:bottom w:val="single" w:color="auto" w:sz="4" w:space="0"/>
              <w:right w:val="single" w:color="auto" w:sz="4" w:space="0"/>
            </w:tcBorders>
            <w:vAlign w:val="center"/>
          </w:tcPr>
          <w:p w14:paraId="3B7D96FF">
            <w:pPr>
              <w:snapToGrid w:val="0"/>
              <w:jc w:val="center"/>
              <w:rPr>
                <w:rFonts w:ascii="宋体" w:hAnsi="宋体" w:cs="宋体"/>
                <w:color w:val="auto"/>
                <w:szCs w:val="21"/>
                <w:highlight w:val="none"/>
              </w:rPr>
            </w:pPr>
            <w:r>
              <w:rPr>
                <w:rFonts w:hint="eastAsia" w:ascii="宋体" w:hAnsi="宋体" w:cs="宋体"/>
                <w:color w:val="auto"/>
                <w:szCs w:val="21"/>
                <w:highlight w:val="none"/>
              </w:rPr>
              <w:t>5</w:t>
            </w:r>
          </w:p>
        </w:tc>
        <w:tc>
          <w:tcPr>
            <w:tcW w:w="1973" w:type="dxa"/>
            <w:tcBorders>
              <w:top w:val="single" w:color="auto" w:sz="4" w:space="0"/>
              <w:left w:val="single" w:color="auto" w:sz="4" w:space="0"/>
              <w:bottom w:val="single" w:color="auto" w:sz="4" w:space="0"/>
              <w:right w:val="single" w:color="auto" w:sz="4" w:space="0"/>
            </w:tcBorders>
            <w:vAlign w:val="center"/>
          </w:tcPr>
          <w:p w14:paraId="5C168A21">
            <w:pPr>
              <w:snapToGrid w:val="0"/>
              <w:jc w:val="center"/>
              <w:rPr>
                <w:rFonts w:ascii="宋体" w:hAnsi="宋体" w:cs="宋体"/>
                <w:color w:val="auto"/>
                <w:kern w:val="0"/>
                <w:sz w:val="20"/>
                <w:szCs w:val="21"/>
                <w:highlight w:val="none"/>
              </w:rPr>
            </w:pPr>
            <w:r>
              <w:rPr>
                <w:rFonts w:hint="eastAsia" w:hAnsi="宋体" w:cs="宋体"/>
                <w:bCs/>
                <w:color w:val="auto"/>
                <w:szCs w:val="21"/>
                <w:highlight w:val="none"/>
                <w:lang w:bidi="ar"/>
              </w:rPr>
              <w:t>“★”符号的条款</w:t>
            </w:r>
          </w:p>
        </w:tc>
        <w:tc>
          <w:tcPr>
            <w:tcW w:w="4689" w:type="dxa"/>
            <w:tcBorders>
              <w:top w:val="single" w:color="auto" w:sz="4" w:space="0"/>
              <w:left w:val="single" w:color="auto" w:sz="4" w:space="0"/>
              <w:bottom w:val="single" w:color="auto" w:sz="4" w:space="0"/>
              <w:right w:val="single" w:color="auto" w:sz="4" w:space="0"/>
            </w:tcBorders>
            <w:vAlign w:val="center"/>
          </w:tcPr>
          <w:p w14:paraId="67BDF77E">
            <w:pPr>
              <w:snapToGrid w:val="0"/>
              <w:jc w:val="center"/>
              <w:rPr>
                <w:rFonts w:hAnsi="宋体" w:cs="宋体"/>
                <w:bCs/>
                <w:color w:val="auto"/>
                <w:szCs w:val="21"/>
                <w:highlight w:val="none"/>
                <w:lang w:bidi="ar"/>
              </w:rPr>
            </w:pPr>
            <w:r>
              <w:rPr>
                <w:rFonts w:hint="eastAsia" w:hAnsi="宋体" w:cs="宋体"/>
                <w:bCs/>
                <w:color w:val="auto"/>
                <w:szCs w:val="21"/>
                <w:highlight w:val="none"/>
                <w:lang w:bidi="ar"/>
              </w:rPr>
              <w:t>无负偏离标注“★”符号的条款</w:t>
            </w:r>
          </w:p>
        </w:tc>
        <w:tc>
          <w:tcPr>
            <w:tcW w:w="1134" w:type="dxa"/>
            <w:tcBorders>
              <w:top w:val="single" w:color="auto" w:sz="4" w:space="0"/>
              <w:left w:val="single" w:color="auto" w:sz="4" w:space="0"/>
              <w:bottom w:val="single" w:color="auto" w:sz="4" w:space="0"/>
              <w:right w:val="single" w:color="auto" w:sz="4" w:space="0"/>
            </w:tcBorders>
            <w:vAlign w:val="center"/>
          </w:tcPr>
          <w:p w14:paraId="7DCC7F00">
            <w:pPr>
              <w:snapToGrid w:val="0"/>
              <w:jc w:val="center"/>
              <w:rPr>
                <w:rFonts w:ascii="宋体" w:hAnsi="宋体" w:cs="宋体"/>
                <w:color w:val="auto"/>
                <w:kern w:val="0"/>
                <w:sz w:val="20"/>
                <w:szCs w:val="21"/>
                <w:highlight w:val="none"/>
              </w:rPr>
            </w:pPr>
          </w:p>
        </w:tc>
      </w:tr>
      <w:tr w14:paraId="3710E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93" w:type="dxa"/>
            <w:tcBorders>
              <w:top w:val="single" w:color="auto" w:sz="4" w:space="0"/>
              <w:left w:val="single" w:color="auto" w:sz="4" w:space="0"/>
              <w:bottom w:val="single" w:color="auto" w:sz="4" w:space="0"/>
              <w:right w:val="single" w:color="auto" w:sz="4" w:space="0"/>
            </w:tcBorders>
            <w:vAlign w:val="center"/>
          </w:tcPr>
          <w:p w14:paraId="5DE0EB0C">
            <w:pPr>
              <w:snapToGrid w:val="0"/>
              <w:jc w:val="center"/>
              <w:rPr>
                <w:rFonts w:ascii="宋体" w:hAnsi="宋体" w:cs="宋体"/>
                <w:color w:val="auto"/>
                <w:szCs w:val="21"/>
                <w:highlight w:val="none"/>
              </w:rPr>
            </w:pPr>
            <w:r>
              <w:rPr>
                <w:rFonts w:hint="eastAsia" w:ascii="宋体" w:hAnsi="宋体" w:cs="宋体"/>
                <w:color w:val="auto"/>
                <w:szCs w:val="21"/>
                <w:highlight w:val="none"/>
              </w:rPr>
              <w:t>6</w:t>
            </w:r>
          </w:p>
        </w:tc>
        <w:tc>
          <w:tcPr>
            <w:tcW w:w="1973" w:type="dxa"/>
            <w:tcBorders>
              <w:top w:val="single" w:color="auto" w:sz="4" w:space="0"/>
              <w:left w:val="single" w:color="auto" w:sz="4" w:space="0"/>
              <w:bottom w:val="single" w:color="auto" w:sz="4" w:space="0"/>
              <w:right w:val="single" w:color="auto" w:sz="4" w:space="0"/>
            </w:tcBorders>
            <w:vAlign w:val="center"/>
          </w:tcPr>
          <w:p w14:paraId="18A60B1F">
            <w:pPr>
              <w:snapToGrid w:val="0"/>
              <w:jc w:val="center"/>
              <w:rPr>
                <w:rFonts w:hAnsi="宋体" w:cs="宋体"/>
                <w:bCs/>
                <w:color w:val="auto"/>
                <w:szCs w:val="21"/>
                <w:highlight w:val="none"/>
                <w:lang w:bidi="ar"/>
              </w:rPr>
            </w:pPr>
            <w:r>
              <w:rPr>
                <w:rFonts w:hint="eastAsia" w:hAnsi="宋体" w:cs="宋体"/>
                <w:bCs/>
                <w:color w:val="auto"/>
                <w:szCs w:val="21"/>
                <w:highlight w:val="none"/>
                <w:lang w:bidi="ar"/>
              </w:rPr>
              <w:t>附加条件</w:t>
            </w:r>
          </w:p>
        </w:tc>
        <w:tc>
          <w:tcPr>
            <w:tcW w:w="4689" w:type="dxa"/>
            <w:tcBorders>
              <w:top w:val="single" w:color="auto" w:sz="4" w:space="0"/>
              <w:left w:val="single" w:color="auto" w:sz="4" w:space="0"/>
              <w:bottom w:val="single" w:color="auto" w:sz="4" w:space="0"/>
              <w:right w:val="single" w:color="auto" w:sz="4" w:space="0"/>
            </w:tcBorders>
            <w:vAlign w:val="center"/>
          </w:tcPr>
          <w:p w14:paraId="35055CFC">
            <w:pPr>
              <w:snapToGrid w:val="0"/>
              <w:jc w:val="center"/>
              <w:rPr>
                <w:rFonts w:hAnsi="宋体" w:cs="宋体"/>
                <w:bCs/>
                <w:color w:val="auto"/>
                <w:szCs w:val="21"/>
                <w:highlight w:val="none"/>
                <w:lang w:bidi="ar"/>
              </w:rPr>
            </w:pPr>
            <w:r>
              <w:rPr>
                <w:rFonts w:hint="eastAsia" w:hAnsi="宋体" w:cs="宋体"/>
                <w:bCs/>
                <w:color w:val="auto"/>
                <w:szCs w:val="21"/>
                <w:highlight w:val="none"/>
                <w:lang w:bidi="ar"/>
              </w:rPr>
              <w:t>响应文件未含有采购人不能接受的附加条件的</w:t>
            </w:r>
          </w:p>
        </w:tc>
        <w:tc>
          <w:tcPr>
            <w:tcW w:w="1134" w:type="dxa"/>
            <w:tcBorders>
              <w:top w:val="single" w:color="auto" w:sz="4" w:space="0"/>
              <w:left w:val="single" w:color="auto" w:sz="4" w:space="0"/>
              <w:bottom w:val="single" w:color="auto" w:sz="4" w:space="0"/>
              <w:right w:val="single" w:color="auto" w:sz="4" w:space="0"/>
            </w:tcBorders>
            <w:vAlign w:val="center"/>
          </w:tcPr>
          <w:p w14:paraId="29CCF648">
            <w:pPr>
              <w:snapToGrid w:val="0"/>
              <w:jc w:val="center"/>
              <w:rPr>
                <w:rFonts w:ascii="宋体" w:hAnsi="宋体" w:cs="宋体"/>
                <w:color w:val="auto"/>
                <w:kern w:val="0"/>
                <w:sz w:val="20"/>
                <w:szCs w:val="21"/>
                <w:highlight w:val="none"/>
              </w:rPr>
            </w:pPr>
          </w:p>
        </w:tc>
      </w:tr>
      <w:tr w14:paraId="033CF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93" w:type="dxa"/>
            <w:tcBorders>
              <w:top w:val="single" w:color="auto" w:sz="4" w:space="0"/>
              <w:left w:val="single" w:color="auto" w:sz="4" w:space="0"/>
              <w:bottom w:val="single" w:color="auto" w:sz="4" w:space="0"/>
              <w:right w:val="single" w:color="auto" w:sz="4" w:space="0"/>
            </w:tcBorders>
            <w:vAlign w:val="center"/>
          </w:tcPr>
          <w:p w14:paraId="1F78887D">
            <w:pPr>
              <w:snapToGrid w:val="0"/>
              <w:jc w:val="center"/>
              <w:rPr>
                <w:rFonts w:ascii="宋体" w:hAnsi="宋体" w:cs="宋体"/>
                <w:color w:val="auto"/>
                <w:szCs w:val="21"/>
                <w:highlight w:val="none"/>
              </w:rPr>
            </w:pPr>
            <w:r>
              <w:rPr>
                <w:rFonts w:hint="eastAsia" w:ascii="宋体" w:hAnsi="宋体" w:cs="宋体"/>
                <w:color w:val="auto"/>
                <w:szCs w:val="21"/>
                <w:highlight w:val="none"/>
              </w:rPr>
              <w:t>7</w:t>
            </w:r>
          </w:p>
        </w:tc>
        <w:tc>
          <w:tcPr>
            <w:tcW w:w="1973" w:type="dxa"/>
            <w:tcBorders>
              <w:top w:val="single" w:color="auto" w:sz="4" w:space="0"/>
              <w:left w:val="single" w:color="auto" w:sz="4" w:space="0"/>
              <w:bottom w:val="single" w:color="auto" w:sz="4" w:space="0"/>
              <w:right w:val="single" w:color="auto" w:sz="4" w:space="0"/>
            </w:tcBorders>
            <w:vAlign w:val="center"/>
          </w:tcPr>
          <w:p w14:paraId="6E18DED3">
            <w:pPr>
              <w:snapToGrid w:val="0"/>
              <w:jc w:val="center"/>
              <w:rPr>
                <w:rFonts w:ascii="宋体" w:hAnsi="宋体" w:cs="宋体"/>
                <w:color w:val="auto"/>
                <w:kern w:val="0"/>
                <w:sz w:val="20"/>
                <w:szCs w:val="21"/>
                <w:highlight w:val="none"/>
              </w:rPr>
            </w:pPr>
            <w:r>
              <w:rPr>
                <w:rFonts w:hint="eastAsia" w:ascii="宋体" w:hAnsi="宋体" w:cs="宋体"/>
                <w:color w:val="auto"/>
                <w:kern w:val="0"/>
                <w:sz w:val="20"/>
                <w:szCs w:val="21"/>
                <w:highlight w:val="none"/>
              </w:rPr>
              <w:t>其他</w:t>
            </w:r>
          </w:p>
        </w:tc>
        <w:tc>
          <w:tcPr>
            <w:tcW w:w="4689" w:type="dxa"/>
            <w:tcBorders>
              <w:top w:val="single" w:color="auto" w:sz="4" w:space="0"/>
              <w:left w:val="single" w:color="auto" w:sz="4" w:space="0"/>
              <w:bottom w:val="single" w:color="auto" w:sz="4" w:space="0"/>
              <w:right w:val="single" w:color="auto" w:sz="4" w:space="0"/>
            </w:tcBorders>
            <w:vAlign w:val="center"/>
          </w:tcPr>
          <w:p w14:paraId="4B29466E">
            <w:pPr>
              <w:snapToGrid w:val="0"/>
              <w:jc w:val="center"/>
              <w:rPr>
                <w:rFonts w:hAnsi="宋体" w:cs="宋体"/>
                <w:bCs/>
                <w:color w:val="auto"/>
                <w:szCs w:val="21"/>
                <w:highlight w:val="none"/>
                <w:lang w:bidi="ar"/>
              </w:rPr>
            </w:pPr>
            <w:r>
              <w:rPr>
                <w:rFonts w:hint="eastAsia" w:hAnsi="宋体" w:cs="宋体"/>
                <w:color w:val="auto"/>
                <w:szCs w:val="21"/>
                <w:highlight w:val="none"/>
              </w:rPr>
              <w:t>未出现</w:t>
            </w:r>
            <w:r>
              <w:rPr>
                <w:rFonts w:hint="eastAsia" w:hAnsi="宋体" w:cs="宋体"/>
                <w:bCs/>
                <w:color w:val="auto"/>
                <w:szCs w:val="21"/>
                <w:highlight w:val="none"/>
                <w:lang w:bidi="ar"/>
              </w:rPr>
              <w:t>法律、法规和竞争性谈判文件规定的其他无效情形。</w:t>
            </w:r>
          </w:p>
        </w:tc>
        <w:tc>
          <w:tcPr>
            <w:tcW w:w="1134" w:type="dxa"/>
            <w:tcBorders>
              <w:top w:val="single" w:color="auto" w:sz="4" w:space="0"/>
              <w:left w:val="single" w:color="auto" w:sz="4" w:space="0"/>
              <w:bottom w:val="single" w:color="auto" w:sz="4" w:space="0"/>
              <w:right w:val="single" w:color="auto" w:sz="4" w:space="0"/>
            </w:tcBorders>
            <w:vAlign w:val="center"/>
          </w:tcPr>
          <w:p w14:paraId="097FB485">
            <w:pPr>
              <w:snapToGrid w:val="0"/>
              <w:jc w:val="center"/>
              <w:rPr>
                <w:rFonts w:ascii="宋体" w:hAnsi="宋体" w:cs="宋体"/>
                <w:color w:val="auto"/>
                <w:kern w:val="0"/>
                <w:sz w:val="20"/>
                <w:szCs w:val="21"/>
                <w:highlight w:val="none"/>
              </w:rPr>
            </w:pPr>
          </w:p>
        </w:tc>
      </w:tr>
      <w:tr w14:paraId="55CCF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966" w:type="dxa"/>
            <w:gridSpan w:val="2"/>
            <w:tcBorders>
              <w:top w:val="single" w:color="auto" w:sz="4" w:space="0"/>
              <w:left w:val="single" w:color="auto" w:sz="4" w:space="0"/>
              <w:bottom w:val="single" w:color="auto" w:sz="4" w:space="0"/>
              <w:right w:val="single" w:color="auto" w:sz="4" w:space="0"/>
            </w:tcBorders>
            <w:vAlign w:val="center"/>
          </w:tcPr>
          <w:p w14:paraId="6E5DE228">
            <w:pPr>
              <w:widowControl/>
              <w:jc w:val="center"/>
              <w:rPr>
                <w:color w:val="auto"/>
                <w:szCs w:val="21"/>
                <w:highlight w:val="none"/>
              </w:rPr>
            </w:pPr>
            <w:r>
              <w:rPr>
                <w:rFonts w:hint="eastAsia" w:ascii="宋体" w:hAnsi="宋体" w:cs="宋体"/>
                <w:color w:val="auto"/>
                <w:kern w:val="0"/>
                <w:szCs w:val="21"/>
                <w:highlight w:val="none"/>
              </w:rPr>
              <w:t>成交候选人推荐原则</w:t>
            </w:r>
          </w:p>
        </w:tc>
        <w:tc>
          <w:tcPr>
            <w:tcW w:w="5823" w:type="dxa"/>
            <w:gridSpan w:val="2"/>
            <w:tcBorders>
              <w:top w:val="single" w:color="auto" w:sz="4" w:space="0"/>
              <w:left w:val="single" w:color="auto" w:sz="4" w:space="0"/>
              <w:bottom w:val="single" w:color="auto" w:sz="4" w:space="0"/>
              <w:right w:val="single" w:color="auto" w:sz="4" w:space="0"/>
            </w:tcBorders>
          </w:tcPr>
          <w:p w14:paraId="22BA07E0">
            <w:pPr>
              <w:widowControl/>
              <w:jc w:val="left"/>
              <w:rPr>
                <w:rFonts w:ascii="宋体" w:hAnsi="宋体" w:cs="宋体"/>
                <w:color w:val="auto"/>
                <w:kern w:val="0"/>
                <w:highlight w:val="none"/>
              </w:rPr>
            </w:pPr>
            <w:r>
              <w:rPr>
                <w:rFonts w:hint="eastAsia" w:ascii="宋体" w:hAnsi="宋体" w:cs="宋体"/>
                <w:color w:val="auto"/>
                <w:kern w:val="0"/>
                <w:highlight w:val="none"/>
              </w:rPr>
              <w:t>本项目推荐</w:t>
            </w:r>
            <w:r>
              <w:rPr>
                <w:rFonts w:hint="eastAsia" w:ascii="宋体" w:hAnsi="宋体" w:cs="宋体"/>
                <w:color w:val="auto"/>
                <w:kern w:val="0"/>
                <w:highlight w:val="none"/>
                <w:lang w:val="en-US" w:eastAsia="zh-CN"/>
              </w:rPr>
              <w:t>2</w:t>
            </w:r>
            <w:r>
              <w:rPr>
                <w:rFonts w:hint="eastAsia" w:ascii="宋体" w:hAnsi="宋体" w:cs="宋体"/>
                <w:color w:val="auto"/>
                <w:kern w:val="0"/>
                <w:highlight w:val="none"/>
              </w:rPr>
              <w:t>（不大于两名）名成交候选人。</w:t>
            </w:r>
            <w:r>
              <w:rPr>
                <w:rFonts w:hint="eastAsia"/>
                <w:color w:val="auto"/>
                <w:szCs w:val="21"/>
                <w:highlight w:val="none"/>
              </w:rPr>
              <w:t>根据符合采购需求、质量和服务且报价最低的原则按顺序排列推荐成交侯选人</w:t>
            </w:r>
            <w:r>
              <w:rPr>
                <w:rFonts w:hint="eastAsia" w:ascii="宋体" w:hAnsi="宋体" w:cs="宋体"/>
                <w:color w:val="auto"/>
                <w:kern w:val="0"/>
                <w:highlight w:val="none"/>
              </w:rPr>
              <w:t>。</w:t>
            </w:r>
          </w:p>
        </w:tc>
      </w:tr>
    </w:tbl>
    <w:p w14:paraId="329B72D4">
      <w:pPr>
        <w:pStyle w:val="4"/>
        <w:rPr>
          <w:rFonts w:ascii="黑体" w:hAnsi="黑体" w:eastAsia="黑体"/>
          <w:color w:val="auto"/>
          <w:sz w:val="28"/>
          <w:szCs w:val="28"/>
          <w:highlight w:val="none"/>
        </w:rPr>
      </w:pPr>
      <w:bookmarkStart w:id="122" w:name="_Toc75852765"/>
      <w:r>
        <w:rPr>
          <w:rFonts w:hint="eastAsia" w:ascii="黑体" w:hAnsi="黑体" w:eastAsia="黑体"/>
          <w:color w:val="auto"/>
          <w:sz w:val="28"/>
          <w:szCs w:val="28"/>
          <w:highlight w:val="none"/>
        </w:rPr>
        <w:t>1．评审方法</w:t>
      </w:r>
      <w:bookmarkEnd w:id="122"/>
    </w:p>
    <w:p w14:paraId="1090ED6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本次评审采用最低评标价法。谈判小组对满足竞争性谈判文件实质性要求的响应文件，</w:t>
      </w:r>
      <w:r>
        <w:rPr>
          <w:rFonts w:hint="eastAsia"/>
          <w:color w:val="auto"/>
          <w:szCs w:val="21"/>
          <w:highlight w:val="none"/>
        </w:rPr>
        <w:t>根据符合采购需求、质量和服务且报价最低的原则按顺序排列推荐成交侯选人。</w:t>
      </w:r>
    </w:p>
    <w:p w14:paraId="22F17A91">
      <w:pPr>
        <w:pStyle w:val="4"/>
        <w:rPr>
          <w:rFonts w:ascii="黑体" w:hAnsi="黑体" w:eastAsia="黑体"/>
          <w:color w:val="auto"/>
          <w:sz w:val="28"/>
          <w:szCs w:val="28"/>
          <w:highlight w:val="none"/>
        </w:rPr>
      </w:pPr>
      <w:bookmarkStart w:id="123" w:name="_Toc75852766"/>
      <w:r>
        <w:rPr>
          <w:rFonts w:hint="eastAsia" w:ascii="黑体" w:hAnsi="黑体" w:eastAsia="黑体"/>
          <w:color w:val="auto"/>
          <w:sz w:val="28"/>
          <w:szCs w:val="28"/>
          <w:highlight w:val="none"/>
        </w:rPr>
        <w:t>2．评审标准</w:t>
      </w:r>
      <w:bookmarkEnd w:id="123"/>
    </w:p>
    <w:p w14:paraId="24F7CBD8">
      <w:pPr>
        <w:spacing w:line="360" w:lineRule="auto"/>
        <w:ind w:firstLine="420" w:firstLineChars="200"/>
        <w:rPr>
          <w:rFonts w:ascii="宋体" w:hAnsi="宋体"/>
          <w:color w:val="auto"/>
          <w:szCs w:val="21"/>
          <w:highlight w:val="none"/>
        </w:rPr>
      </w:pPr>
      <w:r>
        <w:rPr>
          <w:rFonts w:hint="eastAsia"/>
          <w:color w:val="auto"/>
          <w:highlight w:val="none"/>
        </w:rPr>
        <w:t>评审标准：</w:t>
      </w:r>
      <w:r>
        <w:rPr>
          <w:rFonts w:hint="eastAsia" w:ascii="宋体" w:hAnsi="宋体"/>
          <w:color w:val="auto"/>
          <w:szCs w:val="21"/>
          <w:highlight w:val="none"/>
        </w:rPr>
        <w:t>见评审办法前附表。</w:t>
      </w:r>
    </w:p>
    <w:p w14:paraId="5153D5AA">
      <w:pPr>
        <w:pStyle w:val="4"/>
        <w:rPr>
          <w:rFonts w:ascii="黑体" w:hAnsi="黑体" w:eastAsia="黑体"/>
          <w:color w:val="auto"/>
          <w:sz w:val="28"/>
          <w:szCs w:val="28"/>
          <w:highlight w:val="none"/>
        </w:rPr>
      </w:pPr>
      <w:bookmarkStart w:id="124" w:name="_Toc75852767"/>
      <w:r>
        <w:rPr>
          <w:rFonts w:hint="eastAsia" w:ascii="黑体" w:hAnsi="黑体" w:eastAsia="黑体"/>
          <w:color w:val="auto"/>
          <w:sz w:val="28"/>
          <w:szCs w:val="28"/>
          <w:highlight w:val="none"/>
        </w:rPr>
        <w:t>3．评审程序</w:t>
      </w:r>
      <w:bookmarkEnd w:id="124"/>
    </w:p>
    <w:p w14:paraId="1838BD71">
      <w:pPr>
        <w:pStyle w:val="5"/>
        <w:rPr>
          <w:color w:val="auto"/>
          <w:highlight w:val="none"/>
        </w:rPr>
      </w:pPr>
      <w:r>
        <w:rPr>
          <w:rFonts w:hint="eastAsia"/>
          <w:color w:val="auto"/>
          <w:highlight w:val="none"/>
        </w:rPr>
        <w:t>3.1 初步评审</w:t>
      </w:r>
    </w:p>
    <w:p w14:paraId="53C853FE">
      <w:pPr>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3.1.1</w:t>
      </w:r>
      <w:r>
        <w:rPr>
          <w:rFonts w:hint="eastAsia" w:ascii="宋体" w:hAnsi="宋体"/>
          <w:color w:val="auto"/>
          <w:szCs w:val="21"/>
          <w:highlight w:val="none"/>
        </w:rPr>
        <w:t>谈判小组根据评审办法前附表规定的标准对响应文件进行评审。有一项不符合评审标准的，</w:t>
      </w:r>
      <w:r>
        <w:rPr>
          <w:rFonts w:hint="eastAsia"/>
          <w:color w:val="auto"/>
          <w:highlight w:val="none"/>
        </w:rPr>
        <w:t>谈判小组应当否决其竞争性谈判。</w:t>
      </w:r>
      <w:r>
        <w:rPr>
          <w:rFonts w:hint="eastAsia" w:ascii="宋体" w:hAnsi="宋体"/>
          <w:b/>
          <w:color w:val="auto"/>
          <w:szCs w:val="21"/>
          <w:highlight w:val="none"/>
        </w:rPr>
        <w:t xml:space="preserve"> </w:t>
      </w:r>
    </w:p>
    <w:p w14:paraId="474B1D1A">
      <w:pPr>
        <w:spacing w:line="360" w:lineRule="auto"/>
        <w:ind w:firstLine="422" w:firstLineChars="200"/>
        <w:rPr>
          <w:rFonts w:ascii="宋体" w:hAnsi="宋体"/>
          <w:color w:val="auto"/>
          <w:szCs w:val="21"/>
          <w:highlight w:val="none"/>
        </w:rPr>
      </w:pPr>
      <w:r>
        <w:rPr>
          <w:rFonts w:hint="eastAsia" w:ascii="宋体" w:hAnsi="宋体"/>
          <w:b/>
          <w:color w:val="auto"/>
          <w:szCs w:val="21"/>
          <w:highlight w:val="none"/>
        </w:rPr>
        <w:t>3.1.2</w:t>
      </w:r>
      <w:r>
        <w:rPr>
          <w:rFonts w:hint="eastAsia" w:ascii="宋体" w:hAnsi="宋体"/>
          <w:color w:val="auto"/>
          <w:szCs w:val="21"/>
          <w:highlight w:val="none"/>
        </w:rPr>
        <w:t xml:space="preserve">谈判小组可以要求响应人对响应文件中含义不明确、对同类问题表述不一致或者有明显文字、计算错误的内容做必要的澄清、说明、修正或补充。澄清、说明、修正或补充应当采用书面形式，并不得超出响应文件的范围或者改变响应文件的实质内容。响应文件不响应竞争性谈判文件的实质性要求和条件的，不允许响应人通过澄清等方式使之成为具有响应性的竞争性谈判。 </w:t>
      </w:r>
    </w:p>
    <w:p w14:paraId="27A84284">
      <w:pPr>
        <w:spacing w:line="360" w:lineRule="auto"/>
        <w:ind w:firstLine="422" w:firstLineChars="200"/>
        <w:rPr>
          <w:rFonts w:ascii="宋体" w:hAnsi="宋体"/>
          <w:color w:val="auto"/>
          <w:szCs w:val="21"/>
          <w:highlight w:val="none"/>
        </w:rPr>
      </w:pPr>
      <w:r>
        <w:rPr>
          <w:rFonts w:hint="eastAsia" w:ascii="宋体" w:hAnsi="宋体"/>
          <w:b/>
          <w:color w:val="auto"/>
          <w:szCs w:val="21"/>
          <w:highlight w:val="none"/>
        </w:rPr>
        <w:t>3.1.3</w:t>
      </w:r>
      <w:r>
        <w:rPr>
          <w:rFonts w:hint="eastAsia" w:ascii="宋体" w:hAnsi="宋体"/>
          <w:color w:val="auto"/>
          <w:szCs w:val="21"/>
          <w:highlight w:val="none"/>
        </w:rPr>
        <w:t>谈判小组不得向响应人提出带有暗示性或诱导性的问题或向其明确响应文件中的遗漏和错误，不得接受响应人主动提出的澄清、说明、修正和补充。</w:t>
      </w:r>
    </w:p>
    <w:p w14:paraId="7D0C9425">
      <w:pPr>
        <w:spacing w:line="360" w:lineRule="auto"/>
        <w:ind w:firstLine="422" w:firstLineChars="200"/>
        <w:rPr>
          <w:rFonts w:ascii="宋体" w:hAnsi="宋体"/>
          <w:b/>
          <w:color w:val="auto"/>
          <w:szCs w:val="21"/>
          <w:highlight w:val="none"/>
        </w:rPr>
      </w:pPr>
      <w:r>
        <w:rPr>
          <w:rFonts w:hint="eastAsia" w:ascii="宋体" w:hAnsi="宋体"/>
          <w:b/>
          <w:color w:val="auto"/>
          <w:szCs w:val="21"/>
          <w:highlight w:val="none"/>
        </w:rPr>
        <w:t>3.1.</w:t>
      </w:r>
      <w:r>
        <w:rPr>
          <w:rFonts w:ascii="宋体" w:hAnsi="宋体"/>
          <w:b/>
          <w:color w:val="auto"/>
          <w:szCs w:val="21"/>
          <w:highlight w:val="none"/>
        </w:rPr>
        <w:t>4</w:t>
      </w:r>
      <w:r>
        <w:rPr>
          <w:rFonts w:hint="eastAsia" w:ascii="宋体" w:hAnsi="宋体"/>
          <w:b/>
          <w:color w:val="auto"/>
          <w:szCs w:val="21"/>
          <w:highlight w:val="none"/>
        </w:rPr>
        <w:t xml:space="preserve"> 响应人有以下情形之一的，</w:t>
      </w:r>
      <w:r>
        <w:rPr>
          <w:rFonts w:hint="eastAsia"/>
          <w:b/>
          <w:color w:val="auto"/>
          <w:highlight w:val="none"/>
        </w:rPr>
        <w:t>谈判小组应当否决其竞争性谈判</w:t>
      </w:r>
      <w:r>
        <w:rPr>
          <w:rFonts w:hint="eastAsia" w:ascii="宋体" w:hAnsi="宋体"/>
          <w:b/>
          <w:color w:val="auto"/>
          <w:szCs w:val="21"/>
          <w:highlight w:val="none"/>
        </w:rPr>
        <w:t>：</w:t>
      </w:r>
    </w:p>
    <w:p w14:paraId="669C599B">
      <w:pPr>
        <w:widowControl/>
        <w:numPr>
          <w:ilvl w:val="0"/>
          <w:numId w:val="4"/>
        </w:numPr>
        <w:spacing w:after="109" w:line="259" w:lineRule="auto"/>
        <w:jc w:val="left"/>
        <w:rPr>
          <w:b/>
          <w:color w:val="auto"/>
          <w:highlight w:val="none"/>
        </w:rPr>
      </w:pPr>
      <w:r>
        <w:rPr>
          <w:b/>
          <w:color w:val="auto"/>
          <w:highlight w:val="none"/>
        </w:rPr>
        <w:t>响应文件中无法定代表人</w:t>
      </w:r>
      <w:r>
        <w:rPr>
          <w:rFonts w:hint="eastAsia"/>
          <w:b/>
          <w:color w:val="auto"/>
          <w:highlight w:val="none"/>
        </w:rPr>
        <w:t>证明书及其</w:t>
      </w:r>
      <w:r>
        <w:rPr>
          <w:b/>
          <w:color w:val="auto"/>
          <w:highlight w:val="none"/>
        </w:rPr>
        <w:t xml:space="preserve">出具的授权委托书的； </w:t>
      </w:r>
    </w:p>
    <w:p w14:paraId="17268D6A">
      <w:pPr>
        <w:widowControl/>
        <w:numPr>
          <w:ilvl w:val="0"/>
          <w:numId w:val="4"/>
        </w:numPr>
        <w:spacing w:after="109" w:line="259" w:lineRule="auto"/>
        <w:jc w:val="left"/>
        <w:rPr>
          <w:b/>
          <w:color w:val="auto"/>
          <w:highlight w:val="none"/>
        </w:rPr>
      </w:pPr>
      <w:r>
        <w:rPr>
          <w:rFonts w:hint="eastAsia"/>
          <w:b/>
          <w:color w:val="auto"/>
          <w:highlight w:val="none"/>
        </w:rPr>
        <w:t>未按竞争性谈判文件规定加盖公章和签署；</w:t>
      </w:r>
    </w:p>
    <w:p w14:paraId="3D0BE9E2">
      <w:pPr>
        <w:widowControl/>
        <w:numPr>
          <w:ilvl w:val="0"/>
          <w:numId w:val="4"/>
        </w:numPr>
        <w:spacing w:after="109" w:line="259" w:lineRule="auto"/>
        <w:jc w:val="left"/>
        <w:rPr>
          <w:b/>
          <w:color w:val="auto"/>
          <w:highlight w:val="none"/>
        </w:rPr>
      </w:pPr>
      <w:r>
        <w:rPr>
          <w:b/>
          <w:color w:val="auto"/>
          <w:highlight w:val="none"/>
        </w:rPr>
        <w:t>响应人提交两份以上不同内容的响应文件，或在一份响应文件中有两个或多个报价，且未声明哪一个为最终报价的，但按竞争性谈判文件规定提交备选竞争性谈判方案的除外；</w:t>
      </w:r>
    </w:p>
    <w:p w14:paraId="0D185CCB">
      <w:pPr>
        <w:widowControl/>
        <w:numPr>
          <w:ilvl w:val="0"/>
          <w:numId w:val="4"/>
        </w:numPr>
        <w:spacing w:after="109" w:line="259" w:lineRule="auto"/>
        <w:jc w:val="left"/>
        <w:rPr>
          <w:b/>
          <w:color w:val="auto"/>
          <w:highlight w:val="none"/>
        </w:rPr>
      </w:pPr>
      <w:r>
        <w:rPr>
          <w:b/>
          <w:color w:val="auto"/>
          <w:highlight w:val="none"/>
        </w:rPr>
        <w:t xml:space="preserve">响应人以他人名义竞争性谈判或者响应人经资格审查不符合资格条件的； </w:t>
      </w:r>
    </w:p>
    <w:p w14:paraId="7AAC9B7A">
      <w:pPr>
        <w:widowControl/>
        <w:numPr>
          <w:ilvl w:val="0"/>
          <w:numId w:val="4"/>
        </w:numPr>
        <w:spacing w:after="109" w:line="259" w:lineRule="auto"/>
        <w:jc w:val="left"/>
        <w:rPr>
          <w:b/>
          <w:color w:val="auto"/>
          <w:highlight w:val="none"/>
        </w:rPr>
      </w:pPr>
      <w:r>
        <w:rPr>
          <w:rFonts w:hint="eastAsia"/>
          <w:b/>
          <w:color w:val="auto"/>
          <w:highlight w:val="none"/>
        </w:rPr>
        <w:t>未按要求提交竞争性谈判保证金或提交的竞争性谈判保证金不足的；</w:t>
      </w:r>
    </w:p>
    <w:p w14:paraId="4AD59F51">
      <w:pPr>
        <w:widowControl/>
        <w:numPr>
          <w:ilvl w:val="0"/>
          <w:numId w:val="4"/>
        </w:numPr>
        <w:spacing w:after="109" w:line="259" w:lineRule="auto"/>
        <w:jc w:val="left"/>
        <w:rPr>
          <w:b/>
          <w:color w:val="auto"/>
          <w:highlight w:val="none"/>
        </w:rPr>
      </w:pPr>
      <w:r>
        <w:rPr>
          <w:b/>
          <w:color w:val="auto"/>
          <w:highlight w:val="none"/>
        </w:rPr>
        <w:t>竞争性谈判有效期不满足竞争性谈判文件要求的；</w:t>
      </w:r>
    </w:p>
    <w:p w14:paraId="004DB3FB">
      <w:pPr>
        <w:widowControl/>
        <w:numPr>
          <w:ilvl w:val="0"/>
          <w:numId w:val="4"/>
        </w:numPr>
        <w:spacing w:after="109" w:line="259" w:lineRule="auto"/>
        <w:jc w:val="left"/>
        <w:rPr>
          <w:b/>
          <w:color w:val="auto"/>
          <w:highlight w:val="none"/>
        </w:rPr>
      </w:pPr>
      <w:r>
        <w:rPr>
          <w:b/>
          <w:color w:val="auto"/>
          <w:highlight w:val="none"/>
        </w:rPr>
        <w:t xml:space="preserve">竞争性谈判报价低于成本价，且响应人不能按谈判小组要求对其报价进行合理说明或提供相关证明材料的； </w:t>
      </w:r>
    </w:p>
    <w:p w14:paraId="3FFE5796">
      <w:pPr>
        <w:widowControl/>
        <w:numPr>
          <w:ilvl w:val="0"/>
          <w:numId w:val="4"/>
        </w:numPr>
        <w:spacing w:after="109" w:line="259" w:lineRule="auto"/>
        <w:jc w:val="left"/>
        <w:rPr>
          <w:b/>
          <w:color w:val="auto"/>
          <w:highlight w:val="none"/>
        </w:rPr>
      </w:pPr>
      <w:r>
        <w:rPr>
          <w:b/>
          <w:color w:val="auto"/>
          <w:highlight w:val="none"/>
        </w:rPr>
        <w:t>竞争性谈判报价高于竞争性谈判文件设定的最高限价的；</w:t>
      </w:r>
    </w:p>
    <w:p w14:paraId="1B72E033">
      <w:pPr>
        <w:widowControl/>
        <w:numPr>
          <w:ilvl w:val="0"/>
          <w:numId w:val="4"/>
        </w:numPr>
        <w:spacing w:after="109" w:line="259" w:lineRule="auto"/>
        <w:jc w:val="left"/>
        <w:rPr>
          <w:b/>
          <w:color w:val="auto"/>
          <w:highlight w:val="none"/>
        </w:rPr>
      </w:pPr>
      <w:r>
        <w:rPr>
          <w:b/>
          <w:color w:val="auto"/>
          <w:highlight w:val="none"/>
        </w:rPr>
        <w:t>响应文件未能对竞争性谈判文件中提出的实质性要求和条件做出实质性响应的；</w:t>
      </w:r>
    </w:p>
    <w:p w14:paraId="210FCA10">
      <w:pPr>
        <w:widowControl/>
        <w:numPr>
          <w:ilvl w:val="0"/>
          <w:numId w:val="4"/>
        </w:numPr>
        <w:spacing w:after="109" w:line="259" w:lineRule="auto"/>
        <w:jc w:val="left"/>
        <w:rPr>
          <w:b/>
          <w:color w:val="auto"/>
          <w:highlight w:val="none"/>
        </w:rPr>
      </w:pPr>
      <w:r>
        <w:rPr>
          <w:b/>
          <w:color w:val="auto"/>
          <w:highlight w:val="none"/>
        </w:rPr>
        <w:t xml:space="preserve">响应人有串通竞争性谈判、弄虚作假、行贿等违法行为的； </w:t>
      </w:r>
    </w:p>
    <w:p w14:paraId="75C790DD">
      <w:pPr>
        <w:widowControl/>
        <w:numPr>
          <w:ilvl w:val="0"/>
          <w:numId w:val="4"/>
        </w:numPr>
        <w:spacing w:after="109" w:line="259" w:lineRule="auto"/>
        <w:jc w:val="left"/>
        <w:rPr>
          <w:b/>
          <w:color w:val="auto"/>
          <w:highlight w:val="none"/>
        </w:rPr>
      </w:pPr>
      <w:r>
        <w:rPr>
          <w:rFonts w:hint="eastAsia"/>
          <w:b/>
          <w:color w:val="auto"/>
          <w:highlight w:val="none"/>
        </w:rPr>
        <w:t>不按谈判小组要求澄清、说明或补正；</w:t>
      </w:r>
    </w:p>
    <w:p w14:paraId="040D7250">
      <w:pPr>
        <w:widowControl/>
        <w:numPr>
          <w:ilvl w:val="0"/>
          <w:numId w:val="4"/>
        </w:numPr>
        <w:spacing w:after="109" w:line="259" w:lineRule="auto"/>
        <w:jc w:val="left"/>
        <w:rPr>
          <w:b/>
          <w:color w:val="auto"/>
          <w:highlight w:val="none"/>
        </w:rPr>
      </w:pPr>
      <w:r>
        <w:rPr>
          <w:b/>
          <w:color w:val="auto"/>
          <w:highlight w:val="none"/>
        </w:rPr>
        <w:t xml:space="preserve">竞争性谈判文件明确规定可以否决竞争性谈判的其他情形。 </w:t>
      </w:r>
    </w:p>
    <w:p w14:paraId="12E71CA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3.1.</w:t>
      </w:r>
      <w:r>
        <w:rPr>
          <w:rFonts w:ascii="宋体" w:hAnsi="宋体"/>
          <w:color w:val="auto"/>
          <w:szCs w:val="21"/>
          <w:highlight w:val="none"/>
        </w:rPr>
        <w:t>5</w:t>
      </w:r>
      <w:r>
        <w:rPr>
          <w:rFonts w:hint="eastAsia" w:ascii="宋体" w:hAnsi="宋体"/>
          <w:color w:val="auto"/>
          <w:szCs w:val="21"/>
          <w:highlight w:val="none"/>
        </w:rPr>
        <w:t>评审过程中，谈判小组收到低于成本价竞争性谈判的书面质疑材料、发现响应人的综合报价明显低于其他竞争性谈判报价或者设有标底时明显低于标底，认为竞争性谈判报价可能低于成本的，应当书面要求该响应人作出书面说明并提供相关证明材料。响应人不能合理说明或者不能提供相应证明材料的，由谈判小组认定该响应人以低于成本报价竞标，</w:t>
      </w:r>
      <w:r>
        <w:rPr>
          <w:rFonts w:hint="eastAsia"/>
          <w:color w:val="auto"/>
          <w:szCs w:val="21"/>
          <w:highlight w:val="none"/>
        </w:rPr>
        <w:t>谈判小组应当否决其竞争性谈判</w:t>
      </w:r>
      <w:r>
        <w:rPr>
          <w:rFonts w:hint="eastAsia" w:ascii="宋体" w:hAnsi="宋体"/>
          <w:color w:val="auto"/>
          <w:szCs w:val="21"/>
          <w:highlight w:val="none"/>
        </w:rPr>
        <w:t>。</w:t>
      </w:r>
    </w:p>
    <w:p w14:paraId="47426E2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3.1.</w:t>
      </w:r>
      <w:r>
        <w:rPr>
          <w:rFonts w:ascii="宋体" w:hAnsi="宋体"/>
          <w:color w:val="auto"/>
          <w:szCs w:val="21"/>
          <w:highlight w:val="none"/>
        </w:rPr>
        <w:t>6</w:t>
      </w:r>
      <w:r>
        <w:rPr>
          <w:rFonts w:hint="eastAsia" w:ascii="宋体" w:hAnsi="宋体"/>
          <w:color w:val="auto"/>
          <w:szCs w:val="21"/>
          <w:highlight w:val="none"/>
        </w:rPr>
        <w:t xml:space="preserve"> 竞争性谈判报价有算术错误的，谈判小组按照以下原则对竞争性谈判报价进行修正，修正的价格经响应人书面确认后具有约束力。响应人不接受修正价格的，</w:t>
      </w:r>
      <w:r>
        <w:rPr>
          <w:rFonts w:hint="eastAsia"/>
          <w:color w:val="auto"/>
          <w:szCs w:val="21"/>
          <w:highlight w:val="none"/>
        </w:rPr>
        <w:t>谈判小组应当否决其竞争性谈判</w:t>
      </w:r>
      <w:r>
        <w:rPr>
          <w:rFonts w:hint="eastAsia" w:ascii="宋体" w:hAnsi="宋体"/>
          <w:color w:val="auto"/>
          <w:szCs w:val="21"/>
          <w:highlight w:val="none"/>
        </w:rPr>
        <w:t>。如有补充其他价格修正方式，详见竞争性谈判须知前附表。</w:t>
      </w:r>
    </w:p>
    <w:p w14:paraId="5A89DA2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(1）响应文件中的大写金额与小写金额不一致的，以大写金额为准；</w:t>
      </w:r>
    </w:p>
    <w:p w14:paraId="758355F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(2）总价金额与根据单价计算出的结果不一致的，以单价金额为准修正总价，但单价金额小数点有明显错误的除外。</w:t>
      </w:r>
    </w:p>
    <w:p w14:paraId="4A860DB2">
      <w:pPr>
        <w:widowControl/>
        <w:tabs>
          <w:tab w:val="left" w:pos="540"/>
        </w:tabs>
        <w:spacing w:line="520" w:lineRule="exact"/>
        <w:jc w:val="left"/>
        <w:rPr>
          <w:rFonts w:ascii="宋体" w:hAnsi="宋体" w:cs="Courier New"/>
          <w:b/>
          <w:color w:val="auto"/>
          <w:sz w:val="28"/>
          <w:szCs w:val="28"/>
          <w:highlight w:val="none"/>
        </w:rPr>
      </w:pPr>
      <w:r>
        <w:rPr>
          <w:rFonts w:hint="eastAsia" w:ascii="宋体" w:hAnsi="宋体" w:cs="Courier New"/>
          <w:b/>
          <w:color w:val="auto"/>
          <w:sz w:val="28"/>
          <w:szCs w:val="28"/>
          <w:highlight w:val="none"/>
        </w:rPr>
        <w:t>3.2 谈判</w:t>
      </w:r>
    </w:p>
    <w:p w14:paraId="13C83039">
      <w:pPr>
        <w:pStyle w:val="21"/>
        <w:spacing w:line="52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3.2.1确定谈判顺序</w:t>
      </w:r>
    </w:p>
    <w:p w14:paraId="01EEA3EC">
      <w:pPr>
        <w:pStyle w:val="21"/>
        <w:spacing w:line="52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谈判小组应当通过随机方式确定参加谈判的响应人的谈判顺序。</w:t>
      </w:r>
    </w:p>
    <w:p w14:paraId="3B134477">
      <w:pPr>
        <w:pStyle w:val="21"/>
        <w:spacing w:line="520" w:lineRule="exact"/>
        <w:ind w:firstLine="420" w:firstLineChars="200"/>
        <w:rPr>
          <w:rFonts w:ascii="宋体" w:hAnsi="宋体"/>
          <w:color w:val="auto"/>
          <w:szCs w:val="21"/>
          <w:highlight w:val="none"/>
        </w:rPr>
      </w:pPr>
      <w:r>
        <w:rPr>
          <w:rFonts w:hint="eastAsia" w:ascii="宋体" w:hAnsi="宋体" w:cs="宋体"/>
          <w:color w:val="auto"/>
          <w:kern w:val="0"/>
          <w:szCs w:val="21"/>
          <w:highlight w:val="none"/>
        </w:rPr>
        <w:t>3.2.2比较与评价</w:t>
      </w:r>
    </w:p>
    <w:p w14:paraId="6D3657C1">
      <w:pPr>
        <w:pStyle w:val="21"/>
        <w:spacing w:line="520" w:lineRule="exact"/>
        <w:ind w:firstLine="420" w:firstLineChars="200"/>
        <w:rPr>
          <w:rFonts w:ascii="宋体" w:hAnsi="宋体"/>
          <w:color w:val="auto"/>
          <w:szCs w:val="21"/>
          <w:highlight w:val="none"/>
        </w:rPr>
      </w:pPr>
      <w:r>
        <w:rPr>
          <w:rFonts w:hint="eastAsia" w:ascii="宋体" w:hAnsi="宋体"/>
          <w:color w:val="auto"/>
          <w:szCs w:val="21"/>
          <w:highlight w:val="none"/>
        </w:rPr>
        <w:t>谈判小组对实质性响应文件从商务、技术参数与规格型号、性能与质量、功能或整体方案、售后服务、响应人和制造商资信、相关业绩、执行合同能力等方面进行全面比较与评价。</w:t>
      </w:r>
    </w:p>
    <w:p w14:paraId="58D185BE">
      <w:pPr>
        <w:pStyle w:val="21"/>
        <w:spacing w:line="520" w:lineRule="exact"/>
        <w:ind w:firstLine="420" w:firstLineChars="200"/>
        <w:rPr>
          <w:rFonts w:ascii="宋体" w:hAnsi="宋体"/>
          <w:color w:val="auto"/>
          <w:szCs w:val="21"/>
          <w:highlight w:val="none"/>
        </w:rPr>
      </w:pPr>
      <w:r>
        <w:rPr>
          <w:rFonts w:hint="eastAsia" w:ascii="宋体" w:hAnsi="宋体"/>
          <w:color w:val="auto"/>
          <w:szCs w:val="21"/>
          <w:highlight w:val="none"/>
        </w:rPr>
        <w:t>所有谈判小组成员集体与每位实质性响应的响应人分别进行单独谈判，在谈判中，谈判的任何一方不得透露与谈判有关的其他响应人的技术资料、价格和其他信息。</w:t>
      </w:r>
      <w:r>
        <w:rPr>
          <w:rFonts w:hint="eastAsia" w:ascii="宋体" w:hAnsi="宋体" w:cs="宋体"/>
          <w:color w:val="auto"/>
          <w:kern w:val="0"/>
          <w:szCs w:val="21"/>
          <w:highlight w:val="none"/>
        </w:rPr>
        <w:t>谈判小组所有成员集中与响应人分别进行一轮或多轮谈判。</w:t>
      </w:r>
    </w:p>
    <w:p w14:paraId="7904A2F6">
      <w:pPr>
        <w:pStyle w:val="5"/>
        <w:rPr>
          <w:rFonts w:ascii="宋体" w:hAnsi="宋体"/>
          <w:color w:val="auto"/>
          <w:highlight w:val="none"/>
        </w:rPr>
      </w:pPr>
      <w:r>
        <w:rPr>
          <w:rFonts w:hint="eastAsia" w:ascii="宋体" w:hAnsi="宋体"/>
          <w:color w:val="auto"/>
          <w:highlight w:val="none"/>
        </w:rPr>
        <w:t>3.3最终报价</w:t>
      </w:r>
    </w:p>
    <w:p w14:paraId="7CF14C3C">
      <w:pPr>
        <w:widowControl/>
        <w:tabs>
          <w:tab w:val="left" w:pos="540"/>
        </w:tabs>
        <w:spacing w:line="520" w:lineRule="exact"/>
        <w:ind w:firstLine="420" w:firstLineChars="200"/>
        <w:jc w:val="left"/>
        <w:rPr>
          <w:rFonts w:ascii="宋体" w:hAnsi="宋体"/>
          <w:color w:val="auto"/>
          <w:szCs w:val="21"/>
          <w:highlight w:val="none"/>
        </w:rPr>
      </w:pPr>
      <w:r>
        <w:rPr>
          <w:rFonts w:hint="eastAsia" w:ascii="宋体" w:hAnsi="宋体"/>
          <w:color w:val="auto"/>
          <w:szCs w:val="21"/>
          <w:highlight w:val="none"/>
        </w:rPr>
        <w:t>竞争性谈判报价原则上不少于两轮报价（含唱标报价），谈判小组应要求所有参加最后一轮谈判的供应商在规定的统一截止时间前提交最终密封报价（最终报价时间视谈判进程由谈判小组决定）。原则上最后一轮报价应进行公开唱标。</w:t>
      </w:r>
    </w:p>
    <w:p w14:paraId="22028916">
      <w:pPr>
        <w:widowControl/>
        <w:tabs>
          <w:tab w:val="left" w:pos="540"/>
        </w:tabs>
        <w:spacing w:line="520" w:lineRule="exact"/>
        <w:ind w:firstLine="420" w:firstLineChars="200"/>
        <w:jc w:val="left"/>
        <w:rPr>
          <w:rFonts w:ascii="宋体" w:hAnsi="宋体"/>
          <w:color w:val="auto"/>
          <w:szCs w:val="21"/>
          <w:highlight w:val="none"/>
        </w:rPr>
      </w:pPr>
      <w:r>
        <w:rPr>
          <w:rFonts w:hint="eastAsia" w:ascii="宋体" w:hAnsi="宋体"/>
          <w:color w:val="auto"/>
          <w:szCs w:val="21"/>
          <w:highlight w:val="none"/>
        </w:rPr>
        <w:t>除非在谈判中谈判小组调整或修改采购需求内容，否则采购方不接受高于前面轮次谈判报价的最终报价。</w:t>
      </w:r>
    </w:p>
    <w:p w14:paraId="2F0967DB">
      <w:pPr>
        <w:widowControl/>
        <w:spacing w:line="520" w:lineRule="exact"/>
        <w:ind w:firstLine="422" w:firstLineChars="200"/>
        <w:jc w:val="left"/>
        <w:rPr>
          <w:rFonts w:ascii="宋体" w:hAnsi="宋体"/>
          <w:b/>
          <w:color w:val="auto"/>
          <w:szCs w:val="21"/>
          <w:highlight w:val="none"/>
        </w:rPr>
      </w:pPr>
      <w:r>
        <w:rPr>
          <w:rFonts w:hint="eastAsia" w:ascii="宋体" w:hAnsi="宋体"/>
          <w:b/>
          <w:color w:val="auto"/>
          <w:szCs w:val="21"/>
          <w:highlight w:val="none"/>
        </w:rPr>
        <w:t>响应人最终报价逾时不交的，可视为自动放弃评审资格。</w:t>
      </w:r>
    </w:p>
    <w:p w14:paraId="16E2143A">
      <w:pPr>
        <w:widowControl/>
        <w:tabs>
          <w:tab w:val="left" w:pos="540"/>
        </w:tabs>
        <w:spacing w:line="520" w:lineRule="exact"/>
        <w:jc w:val="left"/>
        <w:rPr>
          <w:rFonts w:ascii="宋体" w:hAnsi="宋体"/>
          <w:b/>
          <w:color w:val="auto"/>
          <w:sz w:val="28"/>
          <w:szCs w:val="28"/>
          <w:highlight w:val="none"/>
        </w:rPr>
      </w:pPr>
      <w:r>
        <w:rPr>
          <w:rFonts w:hint="eastAsia" w:ascii="宋体" w:hAnsi="宋体" w:cs="Courier New"/>
          <w:b/>
          <w:color w:val="auto"/>
          <w:sz w:val="28"/>
          <w:szCs w:val="28"/>
          <w:highlight w:val="none"/>
        </w:rPr>
        <w:t>3.4</w:t>
      </w:r>
      <w:r>
        <w:rPr>
          <w:rFonts w:hint="eastAsia" w:ascii="宋体" w:hAnsi="宋体"/>
          <w:b/>
          <w:color w:val="auto"/>
          <w:sz w:val="28"/>
          <w:szCs w:val="28"/>
          <w:highlight w:val="none"/>
        </w:rPr>
        <w:t>推荐成交候选人</w:t>
      </w:r>
    </w:p>
    <w:p w14:paraId="7A2EBC79">
      <w:pPr>
        <w:spacing w:line="520" w:lineRule="exact"/>
        <w:ind w:firstLine="420" w:firstLineChars="200"/>
        <w:rPr>
          <w:rFonts w:ascii="宋体" w:hAnsi="宋体" w:cs="Courier New"/>
          <w:color w:val="auto"/>
          <w:szCs w:val="21"/>
          <w:highlight w:val="none"/>
        </w:rPr>
      </w:pPr>
      <w:r>
        <w:rPr>
          <w:rFonts w:hint="eastAsia" w:ascii="宋体" w:hAnsi="宋体" w:cs="Courier New"/>
          <w:color w:val="auto"/>
          <w:szCs w:val="21"/>
          <w:highlight w:val="none"/>
        </w:rPr>
        <w:t>竞争性谈判以响应人最后一轮谈判的报价及承诺作为谈判小组向采购人推荐成交候选人的依据，谈判小组应当根据符合采购需求、质量和服务相等且报价最低的原则按顺序排列推荐成交侯选响应人。</w:t>
      </w:r>
    </w:p>
    <w:p w14:paraId="6E017221">
      <w:pPr>
        <w:spacing w:line="520" w:lineRule="exact"/>
        <w:ind w:firstLine="420" w:firstLineChars="200"/>
        <w:rPr>
          <w:rFonts w:ascii="宋体" w:hAnsi="宋体" w:cs="Courier New"/>
          <w:color w:val="auto"/>
          <w:szCs w:val="21"/>
          <w:highlight w:val="none"/>
        </w:rPr>
      </w:pPr>
      <w:r>
        <w:rPr>
          <w:rFonts w:hint="eastAsia" w:ascii="宋体" w:hAnsi="宋体" w:cs="Courier New"/>
          <w:color w:val="auto"/>
          <w:szCs w:val="21"/>
          <w:highlight w:val="none"/>
        </w:rPr>
        <w:t>谈判小组推荐非报价最低的谈判响应人为成交响应人的，须附书面报告说明理由且由谈判小组全体成员签字确认。</w:t>
      </w:r>
    </w:p>
    <w:p w14:paraId="488445B6">
      <w:pPr>
        <w:spacing w:line="520" w:lineRule="exact"/>
        <w:ind w:firstLine="420" w:firstLineChars="200"/>
        <w:rPr>
          <w:rFonts w:ascii="宋体" w:hAnsi="宋体" w:cs="Courier New"/>
          <w:color w:val="auto"/>
          <w:szCs w:val="21"/>
          <w:highlight w:val="none"/>
        </w:rPr>
      </w:pPr>
      <w:r>
        <w:rPr>
          <w:rFonts w:hint="eastAsia" w:ascii="宋体" w:hAnsi="宋体" w:cs="Courier New"/>
          <w:color w:val="auto"/>
          <w:szCs w:val="21"/>
          <w:highlight w:val="none"/>
        </w:rPr>
        <w:t>在推荐确定成交候选人之前，谈判小组认为，排在前面的成交候选人的最终报价或者某些分项报价明显不合理或者低于成本，有可能影响商品质量和不能诚信履约的，应当要求其在规定的期限内提供书面文件予以说明理由，并提交相关证明材料。否则，谈判小组可以取消该响应人的成交候选资格，按顺序由排在其次的成交候选人递补，以此类推。</w:t>
      </w:r>
    </w:p>
    <w:p w14:paraId="15733C59">
      <w:pPr>
        <w:widowControl/>
        <w:tabs>
          <w:tab w:val="left" w:pos="540"/>
        </w:tabs>
        <w:spacing w:line="520" w:lineRule="exact"/>
        <w:jc w:val="left"/>
        <w:rPr>
          <w:rFonts w:ascii="宋体" w:hAnsi="宋体"/>
          <w:b/>
          <w:color w:val="auto"/>
          <w:sz w:val="28"/>
          <w:szCs w:val="28"/>
          <w:highlight w:val="none"/>
        </w:rPr>
      </w:pPr>
      <w:r>
        <w:rPr>
          <w:rFonts w:hint="eastAsia" w:ascii="宋体" w:hAnsi="宋体"/>
          <w:b/>
          <w:color w:val="auto"/>
          <w:sz w:val="28"/>
          <w:szCs w:val="28"/>
          <w:highlight w:val="none"/>
        </w:rPr>
        <w:t>3.5编写评审报告</w:t>
      </w:r>
    </w:p>
    <w:p w14:paraId="00DEE506">
      <w:pPr>
        <w:spacing w:line="520" w:lineRule="exact"/>
        <w:ind w:firstLine="570"/>
        <w:rPr>
          <w:rFonts w:ascii="宋体" w:hAnsi="宋体"/>
          <w:color w:val="auto"/>
          <w:szCs w:val="21"/>
          <w:highlight w:val="none"/>
        </w:rPr>
      </w:pPr>
      <w:r>
        <w:rPr>
          <w:rFonts w:hint="eastAsia" w:ascii="宋体" w:hAnsi="宋体"/>
          <w:color w:val="auto"/>
          <w:szCs w:val="21"/>
          <w:highlight w:val="none"/>
        </w:rPr>
        <w:t>竞争性谈判工作结束后，谈判小组根据全体成员签字的原始记录和结果编写评审报告。评审报告内容主要包括：(1)项目基本情况；(2)竞争性谈判过程介绍；(3)谈判小组构成；(4)谈判评审情况说明（包括详细评审评分、无效响应人名单及原因）；(5)响应人最终报价情况；(6)推荐成交候选人建议等。</w:t>
      </w:r>
    </w:p>
    <w:p w14:paraId="264A71F3">
      <w:pPr>
        <w:widowControl/>
        <w:jc w:val="left"/>
        <w:rPr>
          <w:color w:val="auto"/>
          <w:sz w:val="28"/>
          <w:szCs w:val="28"/>
          <w:highlight w:val="none"/>
        </w:rPr>
        <w:sectPr>
          <w:pgSz w:w="11906" w:h="16838"/>
          <w:pgMar w:top="1440" w:right="1800" w:bottom="1440" w:left="1800" w:header="851" w:footer="992" w:gutter="0"/>
          <w:cols w:space="720" w:num="1"/>
          <w:docGrid w:type="lines" w:linePitch="312" w:charSpace="0"/>
        </w:sectPr>
      </w:pPr>
      <w:r>
        <w:rPr>
          <w:rFonts w:ascii="宋体" w:hAnsi="宋体"/>
          <w:color w:val="auto"/>
          <w:szCs w:val="21"/>
          <w:highlight w:val="none"/>
        </w:rPr>
        <w:br w:type="page"/>
      </w:r>
      <w:bookmarkEnd w:id="110"/>
      <w:bookmarkEnd w:id="111"/>
      <w:bookmarkEnd w:id="112"/>
      <w:bookmarkEnd w:id="113"/>
      <w:bookmarkEnd w:id="114"/>
      <w:bookmarkEnd w:id="115"/>
      <w:bookmarkEnd w:id="116"/>
      <w:bookmarkEnd w:id="117"/>
      <w:bookmarkEnd w:id="121"/>
      <w:bookmarkStart w:id="125" w:name="_Toc456551944"/>
    </w:p>
    <w:bookmarkEnd w:id="125"/>
    <w:p w14:paraId="110234DF">
      <w:pPr>
        <w:pStyle w:val="2"/>
        <w:jc w:val="center"/>
        <w:rPr>
          <w:rFonts w:ascii="宋体" w:hAnsi="宋体"/>
          <w:color w:val="auto"/>
          <w:sz w:val="28"/>
          <w:szCs w:val="28"/>
          <w:highlight w:val="none"/>
        </w:rPr>
      </w:pPr>
      <w:bookmarkStart w:id="126" w:name="_3._其他说明_4."/>
      <w:bookmarkEnd w:id="126"/>
      <w:bookmarkStart w:id="127" w:name="_Toc456552075"/>
      <w:bookmarkStart w:id="128" w:name="_Toc179632804"/>
      <w:bookmarkStart w:id="129" w:name="_Toc338661803"/>
      <w:bookmarkStart w:id="130" w:name="_Toc246997096"/>
      <w:bookmarkStart w:id="131" w:name="_Toc247085870"/>
      <w:bookmarkStart w:id="132" w:name="_Toc246996353"/>
      <w:bookmarkStart w:id="133" w:name="_Toc75852768"/>
      <w:r>
        <w:rPr>
          <w:rFonts w:hint="eastAsia" w:ascii="宋体" w:hAnsi="宋体"/>
          <w:color w:val="auto"/>
          <w:sz w:val="28"/>
          <w:szCs w:val="28"/>
          <w:highlight w:val="none"/>
        </w:rPr>
        <w:t xml:space="preserve">第四章 </w:t>
      </w:r>
      <w:bookmarkEnd w:id="127"/>
      <w:bookmarkEnd w:id="128"/>
      <w:bookmarkEnd w:id="129"/>
      <w:bookmarkEnd w:id="130"/>
      <w:bookmarkEnd w:id="131"/>
      <w:bookmarkEnd w:id="132"/>
      <w:r>
        <w:rPr>
          <w:rFonts w:hint="eastAsia" w:ascii="宋体" w:hAnsi="宋体"/>
          <w:color w:val="auto"/>
          <w:sz w:val="28"/>
          <w:szCs w:val="28"/>
          <w:highlight w:val="none"/>
        </w:rPr>
        <w:t>用户需求书/技术规范书</w:t>
      </w:r>
      <w:bookmarkEnd w:id="133"/>
    </w:p>
    <w:p w14:paraId="6046F1CA">
      <w:pPr>
        <w:spacing w:line="480" w:lineRule="exact"/>
        <w:ind w:firstLine="49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一、本</w:t>
      </w:r>
      <w:r>
        <w:rPr>
          <w:rFonts w:hint="eastAsia" w:ascii="宋体" w:hAnsi="宋体" w:cs="宋体"/>
          <w:color w:val="auto"/>
          <w:szCs w:val="21"/>
          <w:highlight w:val="none"/>
          <w:lang w:val="en-US" w:eastAsia="zh-CN"/>
        </w:rPr>
        <w:t>采购</w:t>
      </w:r>
      <w:r>
        <w:rPr>
          <w:rFonts w:hint="eastAsia" w:ascii="宋体" w:hAnsi="宋体" w:cs="宋体"/>
          <w:color w:val="auto"/>
          <w:szCs w:val="21"/>
          <w:highlight w:val="none"/>
        </w:rPr>
        <w:t>项目的材料、设备、施工、验收须达到现行中华人民共和国以及省、自治区、直辖市或行业的工程建设标准、规范的要求。</w:t>
      </w:r>
      <w:r>
        <w:rPr>
          <w:rFonts w:hint="eastAsia" w:ascii="宋体" w:hAnsi="宋体" w:cs="宋体"/>
          <w:color w:val="auto"/>
          <w:szCs w:val="21"/>
          <w:highlight w:val="none"/>
          <w:lang w:val="en-US" w:eastAsia="zh-CN"/>
        </w:rPr>
        <w:t>包括但不限于</w:t>
      </w:r>
      <w:r>
        <w:rPr>
          <w:rFonts w:hint="eastAsia" w:ascii="宋体" w:hAnsi="宋体" w:cs="宋体"/>
          <w:color w:val="auto"/>
          <w:szCs w:val="21"/>
          <w:highlight w:val="none"/>
        </w:rPr>
        <w:t>《中华人民共和国建筑法》</w:t>
      </w:r>
      <w:r>
        <w:rPr>
          <w:rFonts w:hint="eastAsia" w:ascii="宋体" w:hAnsi="宋体" w:cs="宋体"/>
          <w:color w:val="auto"/>
          <w:szCs w:val="21"/>
          <w:highlight w:val="none"/>
          <w:lang w:eastAsia="zh-CN"/>
        </w:rPr>
        <w:t>、《建筑结构可靠性设计统一标准》（GB 50068-2018）、《建筑抗震鉴定标准》（GB 50023-2009）、《既有建筑维护与改造通用规范》（GB 55022-2021）</w:t>
      </w:r>
      <w:r>
        <w:rPr>
          <w:rFonts w:hint="eastAsia" w:ascii="宋体" w:hAnsi="宋体" w:cs="宋体"/>
          <w:color w:val="auto"/>
          <w:szCs w:val="21"/>
          <w:highlight w:val="none"/>
          <w:lang w:val="en-US" w:eastAsia="zh-CN"/>
        </w:rPr>
        <w:t>等。</w:t>
      </w:r>
      <w:r>
        <w:rPr>
          <w:rFonts w:hint="eastAsia" w:ascii="宋体" w:hAnsi="宋体" w:cs="宋体"/>
          <w:color w:val="auto"/>
          <w:szCs w:val="21"/>
          <w:highlight w:val="none"/>
        </w:rPr>
        <w:t>如有新的文件，以最新的文件要求为准。</w:t>
      </w:r>
      <w:r>
        <w:rPr>
          <w:rFonts w:hint="eastAsia" w:ascii="宋体" w:hAnsi="宋体" w:cs="宋体"/>
          <w:color w:val="auto"/>
          <w:szCs w:val="21"/>
          <w:highlight w:val="none"/>
          <w:lang w:val="en-US" w:eastAsia="zh-CN"/>
        </w:rPr>
        <w:t>本项目预算审核单位为</w:t>
      </w:r>
      <w:r>
        <w:rPr>
          <w:rFonts w:hint="eastAsia" w:ascii="宋体" w:hAnsi="宋体" w:cs="宋体"/>
          <w:color w:val="auto"/>
          <w:szCs w:val="21"/>
          <w:highlight w:val="none"/>
        </w:rPr>
        <w:t>东莞市</w:t>
      </w:r>
      <w:r>
        <w:rPr>
          <w:rFonts w:hint="eastAsia" w:ascii="宋体" w:hAnsi="宋体" w:cs="宋体"/>
          <w:color w:val="auto"/>
          <w:szCs w:val="21"/>
          <w:highlight w:val="none"/>
          <w:lang w:val="en-US" w:eastAsia="zh-CN"/>
        </w:rPr>
        <w:t>东城</w:t>
      </w:r>
      <w:r>
        <w:rPr>
          <w:rFonts w:hint="eastAsia" w:ascii="宋体" w:hAnsi="宋体" w:cs="宋体"/>
          <w:color w:val="auto"/>
          <w:szCs w:val="21"/>
          <w:highlight w:val="none"/>
        </w:rPr>
        <w:t>财政投资审核中心</w:t>
      </w:r>
      <w:r>
        <w:rPr>
          <w:rFonts w:hint="eastAsia" w:ascii="宋体" w:hAnsi="宋体" w:cs="宋体"/>
          <w:color w:val="auto"/>
          <w:szCs w:val="21"/>
          <w:highlight w:val="none"/>
          <w:lang w:eastAsia="zh-CN"/>
        </w:rPr>
        <w:t>。</w:t>
      </w:r>
    </w:p>
    <w:p w14:paraId="1CB6C21A">
      <w:pPr>
        <w:spacing w:line="480" w:lineRule="exact"/>
        <w:ind w:firstLine="490"/>
        <w:rPr>
          <w:rFonts w:ascii="宋体" w:hAnsi="宋体" w:cs="宋体"/>
          <w:color w:val="auto"/>
          <w:szCs w:val="21"/>
          <w:highlight w:val="none"/>
        </w:rPr>
      </w:pPr>
      <w:r>
        <w:rPr>
          <w:rFonts w:hint="eastAsia" w:ascii="宋体" w:hAnsi="宋体" w:cs="宋体"/>
          <w:color w:val="auto"/>
          <w:szCs w:val="21"/>
          <w:highlight w:val="none"/>
        </w:rPr>
        <w:t>二、施工要求：</w:t>
      </w:r>
    </w:p>
    <w:p w14:paraId="2A41329E">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1、具备适合本工程条件、满足质量和使用要求的技术、管理人员。</w:t>
      </w:r>
    </w:p>
    <w:p w14:paraId="223FA2B4">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2、要求全部采用钢管脚手架、木（竹）夹板模板或组合钢模板施工，所采用的材料、设备必须满足国家有关技术操作规程的要求。</w:t>
      </w:r>
    </w:p>
    <w:p w14:paraId="7E519BEB">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3、施工组织方案需列明保证施工进度计划实施及保证质量、安全生产、文明施工、环境保护的措施；</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人应结合自身的实际情况制定合理的施工进度计划，中标后按施工合同的约定提交给监理单位和发包人确认。中标人必须按监理单位和发包人确认的施工进度计划组织施工，接受监理工程师对进度的检查、监督。</w:t>
      </w:r>
    </w:p>
    <w:p w14:paraId="1BD77FFB">
      <w:pPr>
        <w:spacing w:line="480" w:lineRule="exact"/>
        <w:ind w:firstLine="490"/>
        <w:rPr>
          <w:rFonts w:ascii="宋体" w:hAnsi="宋体" w:cs="宋体"/>
          <w:color w:val="auto"/>
          <w:szCs w:val="21"/>
          <w:highlight w:val="none"/>
        </w:rPr>
      </w:pPr>
      <w:r>
        <w:rPr>
          <w:rFonts w:hint="eastAsia" w:ascii="宋体" w:hAnsi="宋体" w:cs="宋体"/>
          <w:color w:val="auto"/>
          <w:szCs w:val="21"/>
          <w:highlight w:val="none"/>
        </w:rPr>
        <w:t>4、结合施工现场的实际情况进行施工组织设计（如须采用较复杂的施工技术的施工方案），施工中因施工方案及施工措施所引起的费用由承包人负责。</w:t>
      </w:r>
    </w:p>
    <w:p w14:paraId="35559288">
      <w:pPr>
        <w:spacing w:line="480" w:lineRule="exact"/>
        <w:ind w:firstLine="490"/>
        <w:rPr>
          <w:rFonts w:ascii="宋体" w:hAnsi="宋体" w:cs="宋体"/>
          <w:color w:val="auto"/>
          <w:szCs w:val="21"/>
          <w:highlight w:val="none"/>
        </w:rPr>
      </w:pPr>
      <w:r>
        <w:rPr>
          <w:rFonts w:hint="eastAsia" w:ascii="宋体" w:hAnsi="宋体" w:cs="宋体"/>
          <w:color w:val="auto"/>
          <w:szCs w:val="21"/>
          <w:highlight w:val="none"/>
        </w:rPr>
        <w:t>三、材料要求：</w:t>
      </w:r>
    </w:p>
    <w:p w14:paraId="2EE336C9">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1、承包人必须按</w:t>
      </w:r>
      <w:r>
        <w:rPr>
          <w:rFonts w:hint="eastAsia" w:ascii="宋体" w:hAnsi="宋体" w:cs="宋体"/>
          <w:color w:val="auto"/>
          <w:szCs w:val="21"/>
          <w:highlight w:val="none"/>
          <w:lang w:val="en-US" w:eastAsia="zh-CN"/>
        </w:rPr>
        <w:t>采购</w:t>
      </w:r>
      <w:r>
        <w:rPr>
          <w:rFonts w:hint="eastAsia" w:ascii="宋体" w:hAnsi="宋体" w:cs="宋体"/>
          <w:color w:val="auto"/>
          <w:szCs w:val="21"/>
          <w:highlight w:val="none"/>
        </w:rPr>
        <w:t>文件本章材料、设备明细表中列明的材料要求或</w:t>
      </w:r>
      <w:r>
        <w:rPr>
          <w:rFonts w:hint="eastAsia" w:ascii="宋体" w:hAnsi="宋体" w:cs="宋体"/>
          <w:color w:val="auto"/>
          <w:szCs w:val="21"/>
          <w:highlight w:val="none"/>
          <w:lang w:val="en-US" w:eastAsia="zh-CN"/>
        </w:rPr>
        <w:t>采购</w:t>
      </w:r>
      <w:r>
        <w:rPr>
          <w:rFonts w:hint="eastAsia" w:ascii="宋体" w:hAnsi="宋体" w:cs="宋体"/>
          <w:color w:val="auto"/>
          <w:szCs w:val="21"/>
          <w:highlight w:val="none"/>
        </w:rPr>
        <w:t>图纸要求，在施工中将选用的材料样板送发包人确认后订货。</w:t>
      </w:r>
    </w:p>
    <w:p w14:paraId="5DB98C84">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2、承包人购买的材料、设备必须符合设计和规范要求，必须向发包人提供厂家批号、出厂合格证、质量检验书等资料证明；发包人可随时对承包人所购买的材料、设备进行监督、检查。</w:t>
      </w:r>
    </w:p>
    <w:p w14:paraId="32509971">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3、根据《东莞市建设局关于加强预拌混凝土管理规定》（东建〔2005〕45号）有关规定，本工程必须使用预拌混凝土（经市建设局核准同意可在施工现场搅拌混凝土的除外）。</w:t>
      </w:r>
    </w:p>
    <w:p w14:paraId="591B56B2">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4、根据市住建局要求，对</w:t>
      </w:r>
      <w:r>
        <w:rPr>
          <w:rFonts w:hint="eastAsia" w:ascii="宋体" w:hAnsi="宋体" w:cs="宋体"/>
          <w:color w:val="auto"/>
          <w:szCs w:val="21"/>
          <w:highlight w:val="none"/>
          <w:lang w:val="en-US" w:eastAsia="zh-CN"/>
        </w:rPr>
        <w:t>采购</w:t>
      </w:r>
      <w:r>
        <w:rPr>
          <w:rFonts w:hint="eastAsia" w:ascii="宋体" w:hAnsi="宋体" w:cs="宋体"/>
          <w:color w:val="auto"/>
          <w:szCs w:val="21"/>
          <w:highlight w:val="none"/>
        </w:rPr>
        <w:t>工程实行“主材按定额进场验收”制度；要求承包人必须按</w:t>
      </w:r>
      <w:r>
        <w:rPr>
          <w:rFonts w:hint="eastAsia" w:ascii="宋体" w:hAnsi="宋体" w:cs="宋体"/>
          <w:color w:val="auto"/>
          <w:szCs w:val="21"/>
          <w:highlight w:val="none"/>
          <w:lang w:val="en-US" w:eastAsia="zh-CN"/>
        </w:rPr>
        <w:t>采购</w:t>
      </w:r>
      <w:r>
        <w:rPr>
          <w:rFonts w:hint="eastAsia" w:ascii="宋体" w:hAnsi="宋体" w:cs="宋体"/>
          <w:color w:val="auto"/>
          <w:szCs w:val="21"/>
          <w:highlight w:val="none"/>
        </w:rPr>
        <w:t>图纸和施工技术标准施工，不得擅自修改工程设计，不得偷工减料，施工中每批进入工地的建筑材料、设备必须由监理工程师签字。</w:t>
      </w:r>
    </w:p>
    <w:p w14:paraId="08D9D1EB">
      <w:pPr>
        <w:spacing w:line="48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5、本工程对材料及设备的要求，若材料设备明细表、</w:t>
      </w:r>
      <w:r>
        <w:rPr>
          <w:rFonts w:hint="eastAsia" w:ascii="宋体" w:hAnsi="宋体" w:cs="宋体"/>
          <w:color w:val="auto"/>
          <w:szCs w:val="21"/>
          <w:highlight w:val="none"/>
          <w:lang w:val="en-US" w:eastAsia="zh-CN"/>
        </w:rPr>
        <w:t>采购</w:t>
      </w:r>
      <w:r>
        <w:rPr>
          <w:rFonts w:hint="eastAsia" w:ascii="宋体" w:hAnsi="宋体" w:cs="宋体"/>
          <w:color w:val="auto"/>
          <w:szCs w:val="21"/>
          <w:highlight w:val="none"/>
        </w:rPr>
        <w:t>图纸、工程量清单所注明的要求不相同时，均以材料设备明细表为准；若</w:t>
      </w:r>
      <w:r>
        <w:rPr>
          <w:rFonts w:hint="eastAsia" w:ascii="宋体" w:hAnsi="宋体" w:cs="宋体"/>
          <w:color w:val="auto"/>
          <w:szCs w:val="21"/>
          <w:highlight w:val="none"/>
          <w:lang w:val="en-US" w:eastAsia="zh-CN"/>
        </w:rPr>
        <w:t>采购</w:t>
      </w:r>
      <w:r>
        <w:rPr>
          <w:rFonts w:hint="eastAsia" w:ascii="宋体" w:hAnsi="宋体" w:cs="宋体"/>
          <w:color w:val="auto"/>
          <w:szCs w:val="21"/>
          <w:highlight w:val="none"/>
        </w:rPr>
        <w:t>图纸、工程量清单所注明的要求不相同时，则以</w:t>
      </w:r>
      <w:r>
        <w:rPr>
          <w:rFonts w:hint="eastAsia" w:ascii="宋体" w:hAnsi="宋体" w:cs="宋体"/>
          <w:color w:val="auto"/>
          <w:szCs w:val="21"/>
          <w:highlight w:val="none"/>
          <w:lang w:val="en-US" w:eastAsia="zh-CN"/>
        </w:rPr>
        <w:t>采购</w:t>
      </w:r>
      <w:r>
        <w:rPr>
          <w:rFonts w:hint="eastAsia" w:ascii="宋体" w:hAnsi="宋体" w:cs="宋体"/>
          <w:color w:val="auto"/>
          <w:szCs w:val="21"/>
          <w:highlight w:val="none"/>
        </w:rPr>
        <w:t>图纸为准。</w:t>
      </w:r>
    </w:p>
    <w:p w14:paraId="2756E363">
      <w:pPr>
        <w:spacing w:line="480" w:lineRule="exact"/>
        <w:ind w:firstLine="490"/>
        <w:rPr>
          <w:rFonts w:hint="eastAsia" w:ascii="宋体" w:hAnsi="宋体" w:cs="宋体"/>
          <w:bCs/>
          <w:color w:val="auto"/>
          <w:szCs w:val="21"/>
          <w:highlight w:val="none"/>
        </w:rPr>
      </w:pPr>
      <w:r>
        <w:rPr>
          <w:rFonts w:hint="eastAsia" w:ascii="宋体" w:hAnsi="宋体" w:cs="宋体"/>
          <w:bCs/>
          <w:color w:val="auto"/>
          <w:szCs w:val="21"/>
          <w:highlight w:val="none"/>
        </w:rPr>
        <w:t>四、根据方案设计及</w:t>
      </w:r>
      <w:r>
        <w:rPr>
          <w:rFonts w:hint="eastAsia" w:ascii="宋体" w:hAnsi="宋体" w:cs="宋体"/>
          <w:bCs/>
          <w:color w:val="auto"/>
          <w:szCs w:val="21"/>
          <w:highlight w:val="none"/>
          <w:lang w:val="en-US" w:eastAsia="zh-CN"/>
        </w:rPr>
        <w:t>采购</w:t>
      </w:r>
      <w:r>
        <w:rPr>
          <w:rFonts w:hint="eastAsia" w:ascii="宋体" w:hAnsi="宋体" w:cs="宋体"/>
          <w:bCs/>
          <w:color w:val="auto"/>
          <w:szCs w:val="21"/>
          <w:highlight w:val="none"/>
        </w:rPr>
        <w:t>人要求，本项目下列材料、施工除必须达到以上标准外，还应满足下列要求：</w:t>
      </w:r>
    </w:p>
    <w:p w14:paraId="4D0B731C">
      <w:pPr>
        <w:numPr>
          <w:ilvl w:val="0"/>
          <w:numId w:val="0"/>
        </w:numPr>
        <w:spacing w:line="360" w:lineRule="auto"/>
        <w:ind w:left="0" w:leftChars="0" w:right="3" w:rightChars="0" w:firstLine="420" w:firstLineChars="200"/>
        <w:rPr>
          <w:rFonts w:hint="default" w:ascii="宋体" w:hAnsi="宋体" w:eastAsia="宋体" w:cs="宋体"/>
          <w:snapToGrid/>
          <w:color w:val="auto"/>
          <w:kern w:val="2"/>
          <w:highlight w:val="none"/>
          <w:u w:val="none"/>
          <w:lang w:val="en-US" w:eastAsia="zh-CN"/>
        </w:rPr>
      </w:pPr>
      <w:r>
        <w:rPr>
          <w:rFonts w:hint="eastAsia" w:ascii="宋体" w:hAnsi="宋体" w:eastAsia="宋体" w:cs="宋体"/>
          <w:snapToGrid/>
          <w:color w:val="auto"/>
          <w:kern w:val="2"/>
          <w:highlight w:val="none"/>
          <w:u w:val="none"/>
          <w:lang w:val="en-US" w:eastAsia="zh-CN"/>
        </w:rPr>
        <w:t>1、</w:t>
      </w:r>
      <w:r>
        <w:rPr>
          <w:rFonts w:hint="eastAsia" w:ascii="宋体" w:hAnsi="宋体" w:eastAsia="宋体" w:cs="宋体"/>
          <w:snapToGrid/>
          <w:color w:val="auto"/>
          <w:kern w:val="2"/>
          <w:highlight w:val="none"/>
          <w:u w:val="none"/>
        </w:rPr>
        <w:t>承包人应履行的其他义务：</w:t>
      </w:r>
      <w:r>
        <w:rPr>
          <w:rFonts w:hint="eastAsia" w:ascii="宋体" w:hAnsi="宋体" w:eastAsia="宋体" w:cs="宋体"/>
          <w:snapToGrid/>
          <w:color w:val="auto"/>
          <w:kern w:val="2"/>
          <w:highlight w:val="none"/>
          <w:u w:val="none"/>
          <w:lang w:eastAsia="zh-CN"/>
        </w:rPr>
        <w:t>（</w:t>
      </w:r>
      <w:r>
        <w:rPr>
          <w:rFonts w:hint="eastAsia" w:ascii="宋体" w:hAnsi="宋体" w:eastAsia="宋体" w:cs="宋体"/>
          <w:snapToGrid/>
          <w:color w:val="auto"/>
          <w:kern w:val="2"/>
          <w:highlight w:val="none"/>
          <w:u w:val="none"/>
          <w:lang w:val="en-US" w:eastAsia="zh-CN"/>
        </w:rPr>
        <w:t>1</w:t>
      </w:r>
      <w:r>
        <w:rPr>
          <w:rFonts w:hint="eastAsia" w:ascii="宋体" w:hAnsi="宋体" w:eastAsia="宋体" w:cs="宋体"/>
          <w:snapToGrid/>
          <w:color w:val="auto"/>
          <w:kern w:val="2"/>
          <w:highlight w:val="none"/>
          <w:u w:val="none"/>
          <w:lang w:eastAsia="zh-CN"/>
        </w:rPr>
        <w:t>）</w:t>
      </w:r>
      <w:r>
        <w:rPr>
          <w:rFonts w:hint="eastAsia" w:ascii="宋体" w:hAnsi="宋体" w:eastAsia="宋体" w:cs="宋体"/>
          <w:snapToGrid/>
          <w:color w:val="auto"/>
          <w:kern w:val="2"/>
          <w:highlight w:val="none"/>
          <w:u w:val="none"/>
        </w:rPr>
        <w:t xml:space="preserve"> 本工程</w:t>
      </w:r>
      <w:r>
        <w:rPr>
          <w:rFonts w:hint="eastAsia" w:ascii="宋体" w:hAnsi="宋体" w:eastAsia="宋体" w:cs="宋体"/>
          <w:snapToGrid/>
          <w:color w:val="auto"/>
          <w:kern w:val="2"/>
          <w:highlight w:val="none"/>
          <w:u w:val="none"/>
          <w:lang w:val="en-US" w:eastAsia="zh-CN"/>
        </w:rPr>
        <w:t>现场临电、临水接驳由承包人负责和园区沟通接通，发包人进行协助。承包人需要自行勘察现场临电箱变及临水总表位置，</w:t>
      </w:r>
      <w:r>
        <w:rPr>
          <w:rFonts w:hint="eastAsia" w:ascii="宋体" w:hAnsi="宋体" w:eastAsia="宋体" w:cs="宋体"/>
          <w:snapToGrid/>
          <w:color w:val="auto"/>
          <w:kern w:val="2"/>
          <w:highlight w:val="none"/>
          <w:u w:val="none"/>
        </w:rPr>
        <w:t>承包人负责从</w:t>
      </w:r>
      <w:r>
        <w:rPr>
          <w:rFonts w:hint="eastAsia" w:ascii="宋体" w:hAnsi="宋体" w:eastAsia="宋体" w:cs="宋体"/>
          <w:snapToGrid/>
          <w:color w:val="auto"/>
          <w:kern w:val="2"/>
          <w:highlight w:val="none"/>
          <w:u w:val="none"/>
          <w:lang w:val="en-US" w:eastAsia="zh-CN"/>
        </w:rPr>
        <w:t>临电箱变</w:t>
      </w:r>
      <w:r>
        <w:rPr>
          <w:rFonts w:hint="eastAsia" w:ascii="宋体" w:hAnsi="宋体" w:eastAsia="宋体" w:cs="宋体"/>
          <w:snapToGrid/>
          <w:color w:val="auto"/>
          <w:kern w:val="2"/>
          <w:highlight w:val="none"/>
          <w:u w:val="none"/>
        </w:rPr>
        <w:t>、</w:t>
      </w:r>
      <w:r>
        <w:rPr>
          <w:rFonts w:hint="eastAsia" w:ascii="宋体" w:hAnsi="宋体" w:eastAsia="宋体" w:cs="宋体"/>
          <w:snapToGrid/>
          <w:color w:val="auto"/>
          <w:kern w:val="2"/>
          <w:highlight w:val="none"/>
          <w:u w:val="none"/>
          <w:lang w:val="en-US" w:eastAsia="zh-CN"/>
        </w:rPr>
        <w:t>临水水表处</w:t>
      </w:r>
      <w:r>
        <w:rPr>
          <w:rFonts w:hint="eastAsia" w:ascii="宋体" w:hAnsi="宋体" w:eastAsia="宋体" w:cs="宋体"/>
          <w:snapToGrid/>
          <w:color w:val="auto"/>
          <w:kern w:val="2"/>
          <w:highlight w:val="none"/>
          <w:u w:val="none"/>
        </w:rPr>
        <w:t>接至工地红线内</w:t>
      </w:r>
      <w:r>
        <w:rPr>
          <w:rFonts w:hint="eastAsia" w:ascii="宋体" w:hAnsi="宋体" w:eastAsia="宋体" w:cs="宋体"/>
          <w:snapToGrid/>
          <w:color w:val="auto"/>
          <w:kern w:val="2"/>
          <w:highlight w:val="none"/>
          <w:u w:val="none"/>
          <w:lang w:val="en-US" w:eastAsia="zh-CN"/>
        </w:rPr>
        <w:t>用电点</w:t>
      </w:r>
      <w:r>
        <w:rPr>
          <w:rFonts w:hint="eastAsia" w:ascii="宋体" w:hAnsi="宋体" w:eastAsia="宋体" w:cs="宋体"/>
          <w:snapToGrid/>
          <w:color w:val="auto"/>
          <w:kern w:val="2"/>
          <w:highlight w:val="none"/>
          <w:u w:val="none"/>
        </w:rPr>
        <w:t>，</w:t>
      </w:r>
      <w:r>
        <w:rPr>
          <w:rFonts w:hint="eastAsia" w:ascii="宋体" w:hAnsi="宋体" w:eastAsia="宋体" w:cs="宋体"/>
          <w:snapToGrid/>
          <w:color w:val="auto"/>
          <w:kern w:val="2"/>
          <w:highlight w:val="none"/>
          <w:u w:val="none"/>
          <w:lang w:val="en-US" w:eastAsia="zh-CN"/>
        </w:rPr>
        <w:t>展示区临水临电需铺设专线，</w:t>
      </w:r>
      <w:r>
        <w:rPr>
          <w:rFonts w:hint="eastAsia" w:ascii="宋体" w:hAnsi="宋体" w:eastAsia="宋体" w:cs="宋体"/>
          <w:snapToGrid/>
          <w:color w:val="auto"/>
          <w:kern w:val="2"/>
          <w:highlight w:val="none"/>
          <w:u w:val="none"/>
        </w:rPr>
        <w:t>所涉及到所有费用由承包人负责，施工中的水、电费由承包人负责(其中也包括了办公区、生活区及提供给发包人的施工现场办公和生活区等)，发包人协助</w:t>
      </w:r>
      <w:r>
        <w:rPr>
          <w:rFonts w:hint="eastAsia" w:ascii="宋体" w:hAnsi="宋体" w:eastAsia="宋体" w:cs="宋体"/>
          <w:snapToGrid/>
          <w:color w:val="auto"/>
          <w:kern w:val="2"/>
          <w:highlight w:val="none"/>
          <w:u w:val="none"/>
          <w:lang w:val="en-US" w:eastAsia="zh-CN"/>
        </w:rPr>
        <w:t>承包人</w:t>
      </w:r>
      <w:r>
        <w:rPr>
          <w:rFonts w:hint="eastAsia" w:ascii="宋体" w:hAnsi="宋体" w:eastAsia="宋体" w:cs="宋体"/>
          <w:snapToGrid/>
          <w:color w:val="auto"/>
          <w:kern w:val="2"/>
          <w:highlight w:val="none"/>
          <w:u w:val="none"/>
        </w:rPr>
        <w:t>办理报建手续；开通施工场地与城乡公共道路间的通道，满足交通运输的需要，承包人承担相关费用，发包人协助承包人办理相关手续；由承包人负责准备材料并办理施工许可、道路挖掘许可证及其他所需证件、批准文件和临时用地、停水、停电、中断道路交通、交通疏导、占用道路、爆破作业等的申请批准手续(承包人自身施工资质的证件除外)，由承包人承担相关费用；做好施工场地周围地形关系问题和做好邻近建筑物、构筑物(包括文物保护建筑)、古树名木等的保护工作；达到东莞市档案馆的《东莞市城市建设档案管理办法》的移交档案标准；工地临时办公、生活用房及其它设施在用地红线范围外，承包人</w:t>
      </w:r>
      <w:r>
        <w:rPr>
          <w:rFonts w:hint="eastAsia" w:ascii="宋体" w:hAnsi="宋体" w:eastAsia="宋体" w:cs="宋体"/>
          <w:snapToGrid/>
          <w:color w:val="auto"/>
          <w:kern w:val="2"/>
          <w:highlight w:val="none"/>
          <w:u w:val="none"/>
          <w:lang w:val="en-US" w:eastAsia="zh-CN"/>
        </w:rPr>
        <w:t>自行解决并</w:t>
      </w:r>
      <w:r>
        <w:rPr>
          <w:rFonts w:hint="eastAsia" w:ascii="宋体" w:hAnsi="宋体" w:eastAsia="宋体" w:cs="宋体"/>
          <w:snapToGrid/>
          <w:color w:val="auto"/>
          <w:kern w:val="2"/>
          <w:highlight w:val="none"/>
          <w:u w:val="none"/>
        </w:rPr>
        <w:t>须承担相应的租金，同时在工地完工或不租用地块时须将所有设施拆除外运，并恢复原地形地貌。</w:t>
      </w:r>
      <w:r>
        <w:rPr>
          <w:rFonts w:hint="eastAsia" w:ascii="宋体" w:hAnsi="宋体" w:eastAsia="宋体" w:cs="宋体"/>
          <w:snapToGrid/>
          <w:color w:val="auto"/>
          <w:kern w:val="2"/>
          <w:highlight w:val="none"/>
          <w:u w:val="none"/>
          <w:lang w:eastAsia="zh-CN"/>
        </w:rPr>
        <w:t>（</w:t>
      </w:r>
      <w:r>
        <w:rPr>
          <w:rFonts w:hint="eastAsia" w:ascii="宋体" w:hAnsi="宋体" w:eastAsia="宋体" w:cs="宋体"/>
          <w:snapToGrid/>
          <w:color w:val="auto"/>
          <w:kern w:val="2"/>
          <w:highlight w:val="none"/>
          <w:u w:val="none"/>
          <w:lang w:val="en-US" w:eastAsia="zh-CN"/>
        </w:rPr>
        <w:t>2</w:t>
      </w:r>
      <w:r>
        <w:rPr>
          <w:rFonts w:hint="eastAsia" w:ascii="宋体" w:hAnsi="宋体" w:eastAsia="宋体" w:cs="宋体"/>
          <w:snapToGrid/>
          <w:color w:val="auto"/>
          <w:kern w:val="2"/>
          <w:highlight w:val="none"/>
          <w:u w:val="none"/>
          <w:lang w:eastAsia="zh-CN"/>
        </w:rPr>
        <w:t>）</w:t>
      </w:r>
      <w:r>
        <w:rPr>
          <w:rFonts w:hint="eastAsia" w:ascii="宋体" w:hAnsi="宋体" w:eastAsia="宋体" w:cs="宋体"/>
          <w:snapToGrid/>
          <w:color w:val="auto"/>
          <w:kern w:val="2"/>
          <w:highlight w:val="none"/>
          <w:u w:val="none"/>
        </w:rPr>
        <w:t>所有报建、验收工作等对外协调工作由承包</w:t>
      </w:r>
      <w:r>
        <w:rPr>
          <w:rFonts w:hint="eastAsia" w:ascii="宋体" w:hAnsi="宋体" w:eastAsia="宋体" w:cs="宋体"/>
          <w:snapToGrid/>
          <w:color w:val="auto"/>
          <w:kern w:val="2"/>
          <w:highlight w:val="none"/>
          <w:u w:val="none"/>
          <w:lang w:val="en-US" w:eastAsia="zh-CN"/>
        </w:rPr>
        <w:t>人</w:t>
      </w:r>
      <w:r>
        <w:rPr>
          <w:rFonts w:hint="eastAsia" w:ascii="宋体" w:hAnsi="宋体" w:eastAsia="宋体" w:cs="宋体"/>
          <w:snapToGrid/>
          <w:color w:val="auto"/>
          <w:kern w:val="2"/>
          <w:highlight w:val="none"/>
          <w:u w:val="none"/>
        </w:rPr>
        <w:t>完成，</w:t>
      </w:r>
      <w:r>
        <w:rPr>
          <w:rFonts w:hint="eastAsia" w:ascii="宋体" w:hAnsi="宋体" w:eastAsia="宋体" w:cs="宋体"/>
          <w:snapToGrid/>
          <w:color w:val="auto"/>
          <w:kern w:val="2"/>
          <w:highlight w:val="none"/>
          <w:u w:val="none"/>
          <w:lang w:val="en-US" w:eastAsia="zh-CN"/>
        </w:rPr>
        <w:t>发包人</w:t>
      </w:r>
      <w:r>
        <w:rPr>
          <w:rFonts w:hint="eastAsia" w:ascii="宋体" w:hAnsi="宋体" w:eastAsia="宋体" w:cs="宋体"/>
          <w:snapToGrid/>
          <w:color w:val="auto"/>
          <w:kern w:val="2"/>
          <w:highlight w:val="none"/>
          <w:u w:val="none"/>
        </w:rPr>
        <w:t>协助</w:t>
      </w:r>
      <w:r>
        <w:rPr>
          <w:rFonts w:hint="eastAsia" w:ascii="宋体" w:hAnsi="宋体" w:eastAsia="宋体" w:cs="宋体"/>
          <w:snapToGrid/>
          <w:color w:val="auto"/>
          <w:kern w:val="2"/>
          <w:highlight w:val="none"/>
          <w:u w:val="none"/>
          <w:lang w:eastAsia="zh-CN"/>
        </w:rPr>
        <w:t>。（</w:t>
      </w:r>
      <w:r>
        <w:rPr>
          <w:rFonts w:hint="eastAsia" w:ascii="宋体" w:hAnsi="宋体" w:eastAsia="宋体" w:cs="宋体"/>
          <w:snapToGrid/>
          <w:color w:val="auto"/>
          <w:kern w:val="2"/>
          <w:highlight w:val="none"/>
          <w:u w:val="none"/>
          <w:lang w:val="en-US" w:eastAsia="zh-CN"/>
        </w:rPr>
        <w:t>3</w:t>
      </w:r>
      <w:r>
        <w:rPr>
          <w:rFonts w:hint="eastAsia" w:ascii="宋体" w:hAnsi="宋体" w:eastAsia="宋体" w:cs="宋体"/>
          <w:snapToGrid/>
          <w:color w:val="auto"/>
          <w:kern w:val="2"/>
          <w:highlight w:val="none"/>
          <w:u w:val="none"/>
          <w:lang w:eastAsia="zh-CN"/>
        </w:rPr>
        <w:t>）</w:t>
      </w:r>
      <w:r>
        <w:rPr>
          <w:rFonts w:hint="eastAsia" w:ascii="宋体" w:hAnsi="宋体" w:eastAsia="宋体" w:cs="宋体"/>
          <w:snapToGrid/>
          <w:color w:val="auto"/>
          <w:kern w:val="2"/>
          <w:highlight w:val="none"/>
          <w:u w:val="none"/>
          <w:lang w:val="en-US" w:eastAsia="zh-CN"/>
        </w:rPr>
        <w:t>所有拆除旧物由施工单位自行合法合规处理，并从施工现场清理出场。（4）完成所有施工图纸的相关内容。</w:t>
      </w:r>
    </w:p>
    <w:p w14:paraId="45F99761">
      <w:pPr>
        <w:spacing w:line="480" w:lineRule="exact"/>
        <w:ind w:firstLine="490"/>
        <w:rPr>
          <w:rFonts w:hint="eastAsia" w:ascii="宋体" w:hAnsi="宋体" w:eastAsia="宋体" w:cs="宋体"/>
          <w:snapToGrid/>
          <w:color w:val="auto"/>
          <w:kern w:val="2"/>
          <w:highlight w:val="none"/>
          <w:u w:val="none"/>
        </w:rPr>
      </w:pPr>
      <w:r>
        <w:rPr>
          <w:rFonts w:hint="eastAsia" w:ascii="宋体" w:hAnsi="宋体" w:eastAsia="宋体" w:cs="宋体"/>
          <w:snapToGrid/>
          <w:color w:val="auto"/>
          <w:kern w:val="2"/>
          <w:highlight w:val="none"/>
          <w:u w:val="none"/>
          <w:lang w:val="en-US" w:eastAsia="zh-CN"/>
        </w:rPr>
        <w:t>2、报价</w:t>
      </w:r>
      <w:r>
        <w:rPr>
          <w:rFonts w:hint="eastAsia" w:ascii="宋体" w:hAnsi="宋体" w:cs="宋体"/>
          <w:snapToGrid/>
          <w:color w:val="auto"/>
          <w:kern w:val="2"/>
          <w:highlight w:val="none"/>
          <w:u w:val="none"/>
          <w:lang w:val="en-US" w:eastAsia="zh-CN"/>
        </w:rPr>
        <w:t>要求</w:t>
      </w:r>
      <w:r>
        <w:rPr>
          <w:rFonts w:hint="eastAsia" w:ascii="宋体" w:hAnsi="宋体" w:eastAsia="宋体" w:cs="宋体"/>
          <w:snapToGrid/>
          <w:color w:val="auto"/>
          <w:kern w:val="2"/>
          <w:highlight w:val="none"/>
          <w:u w:val="none"/>
          <w:lang w:val="en-US" w:eastAsia="zh-CN"/>
        </w:rPr>
        <w:t>：</w:t>
      </w:r>
      <w:r>
        <w:rPr>
          <w:rFonts w:hint="eastAsia" w:ascii="Arial" w:hAnsi="Arial" w:eastAsia="宋体" w:cs="Arial"/>
          <w:snapToGrid w:val="0"/>
          <w:color w:val="auto"/>
          <w:kern w:val="0"/>
          <w:szCs w:val="20"/>
          <w:highlight w:val="none"/>
          <w:u w:val="none"/>
          <w:lang w:val="en-US" w:eastAsia="zh-CN"/>
        </w:rPr>
        <w:t>报价</w:t>
      </w:r>
      <w:r>
        <w:rPr>
          <w:rFonts w:hint="eastAsia" w:ascii="Arial" w:hAnsi="Arial" w:eastAsia="宋体" w:cs="Arial"/>
          <w:snapToGrid w:val="0"/>
          <w:color w:val="auto"/>
          <w:kern w:val="0"/>
          <w:szCs w:val="20"/>
          <w:highlight w:val="none"/>
          <w:u w:val="none"/>
        </w:rPr>
        <w:t>如建设单位及发包人提供的工程量清单出现缺项漏项、偏差、计量错误等，均不调整合同价格，承包人投标时应充分考虑，相关费用纳入投标总价一次包干</w:t>
      </w:r>
      <w:r>
        <w:rPr>
          <w:rFonts w:hint="eastAsia" w:ascii="Arial" w:hAnsi="Arial" w:eastAsia="宋体" w:cs="Arial"/>
          <w:snapToGrid w:val="0"/>
          <w:color w:val="auto"/>
          <w:kern w:val="0"/>
          <w:szCs w:val="20"/>
          <w:highlight w:val="none"/>
          <w:u w:val="none"/>
          <w:lang w:eastAsia="zh-CN"/>
        </w:rPr>
        <w:t>。</w:t>
      </w:r>
      <w:r>
        <w:rPr>
          <w:rFonts w:hint="eastAsia" w:ascii="宋体" w:hAnsi="宋体" w:eastAsia="宋体" w:cs="宋体"/>
          <w:snapToGrid/>
          <w:color w:val="auto"/>
          <w:kern w:val="2"/>
          <w:highlight w:val="none"/>
          <w:u w:val="none"/>
        </w:rPr>
        <w:t>投标总价中措施项目费用、其他项目费用为包干价，因此工程变更及签证所发生的通用措施项目以及其他项目费用已全部包含在投标总价的措施项目清单报价中,也不再作为工程变更及签证中管理费、利润、规费和税金的计取基数。</w:t>
      </w:r>
    </w:p>
    <w:p w14:paraId="184C52CE">
      <w:pPr>
        <w:spacing w:line="480" w:lineRule="exact"/>
        <w:ind w:firstLine="490"/>
        <w:rPr>
          <w:rFonts w:hint="eastAsia" w:ascii="宋体" w:hAnsi="宋体" w:eastAsia="宋体" w:cs="宋体"/>
          <w:snapToGrid/>
          <w:color w:val="auto"/>
          <w:kern w:val="2"/>
          <w:highlight w:val="none"/>
          <w:u w:val="none"/>
          <w:lang w:val="en-US" w:eastAsia="zh-CN"/>
        </w:rPr>
      </w:pPr>
      <w:r>
        <w:rPr>
          <w:rFonts w:hint="eastAsia" w:ascii="宋体" w:hAnsi="宋体" w:eastAsia="宋体" w:cs="宋体"/>
          <w:snapToGrid/>
          <w:color w:val="auto"/>
          <w:kern w:val="2"/>
          <w:highlight w:val="none"/>
          <w:u w:val="none"/>
          <w:lang w:val="en-US" w:eastAsia="zh-CN"/>
        </w:rPr>
        <w:t>3、付款方式</w:t>
      </w:r>
    </w:p>
    <w:p w14:paraId="0B7209C5">
      <w:pPr>
        <w:spacing w:line="480" w:lineRule="exact"/>
        <w:ind w:firstLine="490"/>
        <w:rPr>
          <w:rFonts w:hint="default" w:ascii="宋体" w:hAnsi="宋体" w:eastAsia="宋体" w:cs="宋体"/>
          <w:snapToGrid/>
          <w:color w:val="auto"/>
          <w:kern w:val="2"/>
          <w:highlight w:val="none"/>
          <w:u w:val="none"/>
          <w:lang w:val="en-US" w:eastAsia="zh-CN"/>
        </w:rPr>
      </w:pPr>
      <w:r>
        <w:rPr>
          <w:rFonts w:hint="eastAsia" w:ascii="宋体" w:hAnsi="宋体" w:eastAsia="宋体" w:cs="宋体"/>
          <w:snapToGrid/>
          <w:color w:val="auto"/>
          <w:kern w:val="2"/>
          <w:highlight w:val="none"/>
          <w:u w:val="none"/>
        </w:rPr>
        <w:t>工程进度款的支付根据每期计量工程价款的80%进行支付(其中涉及工程变更、市场价格波动、合同双方通过补充协议约定等项目造成的价格调整均不纳入月进度款支付，待上述项目结算完毕后合并入工程总结算支付)。支付至合同价款的80%时(其中涉及工程变更、市场价格波动、合同双方通过补充协议约定等项目造成的价格调整均不纳入月进度款支付，待上述项目结算完毕后合并入工程总结算支付)，不再按进度付款，工程竣工验收合格后，支付至合同价款的85%，并结算审核完毕后支付至工程结算价款的97％，其余工程尾款在工程质保期满后无息付清。</w:t>
      </w:r>
    </w:p>
    <w:p w14:paraId="41E00BD5">
      <w:pPr>
        <w:spacing w:line="480" w:lineRule="exact"/>
        <w:ind w:firstLine="490"/>
        <w:rPr>
          <w:rFonts w:hint="eastAsia" w:ascii="宋体" w:hAnsi="宋体" w:cs="宋体"/>
          <w:b w:val="0"/>
          <w:bCs/>
          <w:color w:val="auto"/>
          <w:szCs w:val="21"/>
          <w:highlight w:val="none"/>
          <w:lang w:eastAsia="zh-CN"/>
        </w:rPr>
      </w:pPr>
      <w:r>
        <w:rPr>
          <w:rFonts w:hint="eastAsia" w:ascii="宋体" w:hAnsi="宋体" w:cs="宋体"/>
          <w:b w:val="0"/>
          <w:bCs/>
          <w:color w:val="auto"/>
          <w:szCs w:val="21"/>
          <w:highlight w:val="none"/>
          <w:lang w:val="en-US" w:eastAsia="zh-CN"/>
        </w:rPr>
        <w:t>4</w:t>
      </w:r>
      <w:r>
        <w:rPr>
          <w:rFonts w:hint="eastAsia" w:ascii="宋体" w:hAnsi="宋体" w:cs="宋体"/>
          <w:b w:val="0"/>
          <w:bCs/>
          <w:color w:val="auto"/>
          <w:szCs w:val="21"/>
          <w:highlight w:val="none"/>
        </w:rPr>
        <w:t>、拟派本项目的项目负责人，须</w:t>
      </w:r>
      <w:r>
        <w:rPr>
          <w:rFonts w:hint="eastAsia" w:ascii="宋体" w:hAnsi="宋体" w:cs="宋体"/>
          <w:b w:val="0"/>
          <w:bCs/>
          <w:color w:val="auto"/>
          <w:szCs w:val="21"/>
          <w:highlight w:val="none"/>
          <w:lang w:val="en-US" w:eastAsia="zh-CN"/>
        </w:rPr>
        <w:t>自行</w:t>
      </w:r>
      <w:r>
        <w:rPr>
          <w:rFonts w:hint="eastAsia" w:ascii="宋体" w:hAnsi="宋体" w:cs="宋体"/>
          <w:b w:val="0"/>
          <w:bCs/>
          <w:color w:val="auto"/>
          <w:szCs w:val="21"/>
          <w:highlight w:val="none"/>
        </w:rPr>
        <w:t>踏勘本项目工程范围现场。</w:t>
      </w:r>
      <w:r>
        <w:rPr>
          <w:rFonts w:hint="eastAsia" w:ascii="宋体" w:hAnsi="宋体" w:cs="宋体"/>
          <w:b w:val="0"/>
          <w:bCs/>
          <w:color w:val="auto"/>
          <w:szCs w:val="21"/>
          <w:highlight w:val="none"/>
          <w:lang w:eastAsia="zh-CN"/>
        </w:rPr>
        <w:t>（</w:t>
      </w:r>
      <w:r>
        <w:rPr>
          <w:rFonts w:hint="eastAsia" w:ascii="宋体" w:hAnsi="宋体" w:cs="宋体"/>
          <w:b w:val="0"/>
          <w:bCs/>
          <w:color w:val="auto"/>
          <w:szCs w:val="21"/>
          <w:highlight w:val="none"/>
          <w:lang w:val="en-US" w:eastAsia="zh-CN"/>
        </w:rPr>
        <w:t>详细地址：东莞市东城街道堑头社区居民委员会堑头路13号</w:t>
      </w:r>
      <w:r>
        <w:rPr>
          <w:rFonts w:hint="eastAsia" w:ascii="宋体" w:hAnsi="宋体" w:cs="宋体"/>
          <w:b w:val="0"/>
          <w:bCs/>
          <w:color w:val="auto"/>
          <w:szCs w:val="21"/>
          <w:highlight w:val="none"/>
          <w:lang w:eastAsia="zh-CN"/>
        </w:rPr>
        <w:t>）</w:t>
      </w:r>
    </w:p>
    <w:p w14:paraId="1968D657">
      <w:pPr>
        <w:spacing w:line="480" w:lineRule="exact"/>
        <w:ind w:firstLine="490"/>
        <w:rPr>
          <w:rFonts w:hint="eastAsia" w:ascii="宋体" w:hAnsi="宋体" w:eastAsia="宋体" w:cs="宋体"/>
          <w:b/>
          <w:color w:val="auto"/>
          <w:szCs w:val="21"/>
          <w:highlight w:val="none"/>
        </w:rPr>
      </w:pPr>
      <w:bookmarkStart w:id="134" w:name="_Toc18221"/>
      <w:bookmarkStart w:id="135" w:name="_Toc527471173"/>
      <w:bookmarkStart w:id="136" w:name="_Toc7332"/>
      <w:bookmarkStart w:id="137" w:name="_Toc489202668"/>
      <w:bookmarkStart w:id="138" w:name="_Toc13531"/>
      <w:bookmarkStart w:id="139" w:name="_Toc11476"/>
      <w:bookmarkStart w:id="140" w:name="_Toc11099"/>
      <w:r>
        <w:rPr>
          <w:rFonts w:hint="eastAsia" w:ascii="宋体" w:hAnsi="宋体" w:eastAsia="宋体" w:cs="宋体"/>
          <w:b/>
          <w:color w:val="auto"/>
          <w:szCs w:val="21"/>
          <w:highlight w:val="none"/>
        </w:rPr>
        <w:t>★</w:t>
      </w:r>
      <w:r>
        <w:rPr>
          <w:rFonts w:hint="eastAsia" w:ascii="宋体" w:hAnsi="宋体" w:cs="宋体"/>
          <w:b/>
          <w:color w:val="auto"/>
          <w:szCs w:val="21"/>
          <w:highlight w:val="none"/>
          <w:lang w:val="en-US" w:eastAsia="zh-CN"/>
        </w:rPr>
        <w:t>5</w:t>
      </w:r>
      <w:r>
        <w:rPr>
          <w:rFonts w:hint="eastAsia" w:ascii="宋体" w:hAnsi="宋体" w:cs="宋体"/>
          <w:b/>
          <w:color w:val="auto"/>
          <w:szCs w:val="21"/>
          <w:highlight w:val="none"/>
          <w:lang w:eastAsia="zh-CN"/>
        </w:rPr>
        <w:t>、</w:t>
      </w:r>
      <w:r>
        <w:rPr>
          <w:rFonts w:hint="eastAsia" w:ascii="宋体" w:hAnsi="宋体" w:eastAsia="宋体" w:cs="宋体"/>
          <w:b/>
          <w:color w:val="auto"/>
          <w:szCs w:val="21"/>
          <w:highlight w:val="none"/>
        </w:rPr>
        <w:t>项目班子人员组成表</w:t>
      </w:r>
      <w:bookmarkEnd w:id="134"/>
      <w:bookmarkEnd w:id="135"/>
      <w:bookmarkEnd w:id="136"/>
      <w:bookmarkEnd w:id="137"/>
      <w:bookmarkEnd w:id="138"/>
      <w:bookmarkEnd w:id="139"/>
      <w:bookmarkEnd w:id="140"/>
    </w:p>
    <w:p w14:paraId="65F37EC0">
      <w:pPr>
        <w:rPr>
          <w:rFonts w:ascii="宋体" w:hAnsi="宋体" w:cs="宋体"/>
          <w:color w:val="auto"/>
          <w:szCs w:val="21"/>
          <w:highlight w:val="none"/>
        </w:rPr>
      </w:pPr>
    </w:p>
    <w:tbl>
      <w:tblPr>
        <w:tblStyle w:val="3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52"/>
        <w:gridCol w:w="1075"/>
        <w:gridCol w:w="4453"/>
      </w:tblGrid>
      <w:tr w14:paraId="1FC3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9527FF7">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2552" w:type="dxa"/>
            <w:vAlign w:val="center"/>
          </w:tcPr>
          <w:p w14:paraId="7D03F600">
            <w:pPr>
              <w:snapToGrid w:val="0"/>
              <w:jc w:val="center"/>
              <w:rPr>
                <w:rFonts w:ascii="宋体" w:hAnsi="宋体" w:cs="宋体"/>
                <w:b/>
                <w:color w:val="auto"/>
                <w:szCs w:val="21"/>
                <w:highlight w:val="none"/>
              </w:rPr>
            </w:pPr>
            <w:r>
              <w:rPr>
                <w:rFonts w:hint="eastAsia" w:ascii="宋体" w:hAnsi="宋体" w:cs="宋体"/>
                <w:b/>
                <w:color w:val="auto"/>
                <w:highlight w:val="none"/>
              </w:rPr>
              <w:t>项目班子岗位及人员要求</w:t>
            </w:r>
          </w:p>
        </w:tc>
        <w:tc>
          <w:tcPr>
            <w:tcW w:w="1075" w:type="dxa"/>
            <w:vAlign w:val="center"/>
          </w:tcPr>
          <w:p w14:paraId="1C0164F3">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4453" w:type="dxa"/>
            <w:vAlign w:val="center"/>
          </w:tcPr>
          <w:p w14:paraId="7C8A76FF">
            <w:pPr>
              <w:jc w:val="center"/>
              <w:rPr>
                <w:rFonts w:ascii="宋体" w:hAnsi="宋体" w:cs="宋体"/>
                <w:b/>
                <w:color w:val="auto"/>
                <w:szCs w:val="21"/>
                <w:highlight w:val="none"/>
                <w:lang w:val="zh-CN"/>
              </w:rPr>
            </w:pPr>
            <w:r>
              <w:rPr>
                <w:rFonts w:hint="eastAsia" w:ascii="宋体" w:hAnsi="宋体" w:cs="宋体"/>
                <w:b/>
                <w:color w:val="auto"/>
                <w:szCs w:val="21"/>
                <w:highlight w:val="none"/>
                <w:lang w:val="zh-CN"/>
              </w:rPr>
              <w:t>注册证/执业资格证/上岗证</w:t>
            </w:r>
          </w:p>
          <w:p w14:paraId="670401BB">
            <w:pPr>
              <w:jc w:val="center"/>
              <w:rPr>
                <w:rFonts w:ascii="宋体" w:hAnsi="宋体" w:cs="宋体"/>
                <w:b/>
                <w:color w:val="auto"/>
                <w:szCs w:val="21"/>
                <w:highlight w:val="none"/>
                <w:lang w:val="zh-CN"/>
              </w:rPr>
            </w:pPr>
            <w:r>
              <w:rPr>
                <w:rFonts w:hint="eastAsia" w:ascii="宋体" w:hAnsi="宋体" w:cs="宋体"/>
                <w:b/>
                <w:color w:val="auto"/>
                <w:szCs w:val="21"/>
                <w:highlight w:val="none"/>
                <w:lang w:val="zh-CN"/>
              </w:rPr>
              <w:t>要求</w:t>
            </w:r>
          </w:p>
        </w:tc>
      </w:tr>
      <w:tr w14:paraId="1A2F7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22B12A91">
            <w:pPr>
              <w:spacing w:line="240" w:lineRule="auto"/>
              <w:jc w:val="center"/>
              <w:rPr>
                <w:rFonts w:ascii="宋体" w:hAnsi="宋体" w:cs="宋体"/>
                <w:color w:val="auto"/>
                <w:szCs w:val="21"/>
                <w:highlight w:val="none"/>
              </w:rPr>
            </w:pPr>
            <w:r>
              <w:rPr>
                <w:rFonts w:ascii="宋体" w:hAnsi="宋体" w:cs="宋体"/>
                <w:b/>
                <w:color w:val="auto"/>
                <w:szCs w:val="21"/>
                <w:highlight w:val="none"/>
              </w:rPr>
              <w:t>1</w:t>
            </w:r>
          </w:p>
        </w:tc>
        <w:tc>
          <w:tcPr>
            <w:tcW w:w="2552" w:type="dxa"/>
            <w:vAlign w:val="center"/>
          </w:tcPr>
          <w:p w14:paraId="01BAB819">
            <w:pPr>
              <w:spacing w:line="24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项目负责人</w:t>
            </w:r>
          </w:p>
        </w:tc>
        <w:tc>
          <w:tcPr>
            <w:tcW w:w="1075" w:type="dxa"/>
            <w:vAlign w:val="center"/>
          </w:tcPr>
          <w:p w14:paraId="73354C21">
            <w:pPr>
              <w:spacing w:line="24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4453" w:type="dxa"/>
            <w:vAlign w:val="center"/>
          </w:tcPr>
          <w:p w14:paraId="5EB67EE8">
            <w:pPr>
              <w:spacing w:line="240" w:lineRule="auto"/>
              <w:jc w:val="center"/>
              <w:rPr>
                <w:rFonts w:ascii="宋体" w:hAnsi="宋体" w:cs="宋体"/>
                <w:color w:val="auto"/>
                <w:szCs w:val="21"/>
                <w:highlight w:val="none"/>
              </w:rPr>
            </w:pPr>
            <w:r>
              <w:rPr>
                <w:rFonts w:hint="eastAsia" w:ascii="宋体" w:hAnsi="宋体" w:cs="宋体"/>
                <w:color w:val="auto"/>
                <w:szCs w:val="21"/>
                <w:highlight w:val="none"/>
              </w:rPr>
              <w:t xml:space="preserve"> 详见</w:t>
            </w:r>
            <w:r>
              <w:rPr>
                <w:rFonts w:hint="eastAsia" w:ascii="宋体" w:hAnsi="宋体" w:cs="宋体"/>
                <w:color w:val="auto"/>
                <w:szCs w:val="21"/>
                <w:highlight w:val="none"/>
                <w:lang w:val="en-US" w:eastAsia="zh-CN"/>
              </w:rPr>
              <w:t>谈判</w:t>
            </w:r>
            <w:r>
              <w:rPr>
                <w:rFonts w:hint="eastAsia" w:ascii="宋体" w:hAnsi="宋体" w:cs="宋体"/>
                <w:color w:val="auto"/>
                <w:szCs w:val="21"/>
                <w:highlight w:val="none"/>
              </w:rPr>
              <w:t xml:space="preserve">公告  </w:t>
            </w:r>
          </w:p>
        </w:tc>
      </w:tr>
      <w:tr w14:paraId="3D091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0C3C6D77">
            <w:pPr>
              <w:spacing w:line="240" w:lineRule="auto"/>
              <w:jc w:val="center"/>
              <w:rPr>
                <w:rFonts w:hint="eastAsia" w:ascii="宋体" w:hAnsi="宋体" w:eastAsia="宋体" w:cs="宋体"/>
                <w:color w:val="auto"/>
                <w:szCs w:val="21"/>
                <w:highlight w:val="none"/>
                <w:lang w:eastAsia="zh-CN"/>
              </w:rPr>
            </w:pPr>
            <w:r>
              <w:rPr>
                <w:rFonts w:hint="eastAsia" w:ascii="宋体" w:hAnsi="宋体" w:cs="宋体"/>
                <w:b/>
                <w:color w:val="auto"/>
                <w:szCs w:val="21"/>
                <w:highlight w:val="none"/>
                <w:lang w:val="en-US" w:eastAsia="zh-CN"/>
              </w:rPr>
              <w:t>2</w:t>
            </w:r>
          </w:p>
        </w:tc>
        <w:tc>
          <w:tcPr>
            <w:tcW w:w="2552" w:type="dxa"/>
            <w:vAlign w:val="center"/>
          </w:tcPr>
          <w:p w14:paraId="05402A07">
            <w:pPr>
              <w:spacing w:line="240" w:lineRule="auto"/>
              <w:jc w:val="center"/>
              <w:rPr>
                <w:rFonts w:ascii="宋体" w:hAnsi="宋体" w:cs="宋体"/>
                <w:color w:val="auto"/>
                <w:szCs w:val="21"/>
                <w:highlight w:val="none"/>
              </w:rPr>
            </w:pPr>
            <w:r>
              <w:rPr>
                <w:rFonts w:hint="eastAsia" w:ascii="宋体" w:hAnsi="宋体" w:cs="宋体"/>
                <w:color w:val="auto"/>
                <w:szCs w:val="21"/>
                <w:highlight w:val="none"/>
              </w:rPr>
              <w:t>安全员</w:t>
            </w:r>
          </w:p>
        </w:tc>
        <w:tc>
          <w:tcPr>
            <w:tcW w:w="1075" w:type="dxa"/>
            <w:vAlign w:val="center"/>
          </w:tcPr>
          <w:p w14:paraId="09990013">
            <w:pPr>
              <w:spacing w:line="24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w:t>
            </w:r>
          </w:p>
        </w:tc>
        <w:tc>
          <w:tcPr>
            <w:tcW w:w="4453" w:type="dxa"/>
            <w:vAlign w:val="center"/>
          </w:tcPr>
          <w:p w14:paraId="4DA48EDA">
            <w:pPr>
              <w:spacing w:line="240" w:lineRule="auto"/>
              <w:jc w:val="center"/>
              <w:rPr>
                <w:rFonts w:ascii="宋体" w:hAnsi="宋体" w:cs="宋体"/>
                <w:color w:val="auto"/>
                <w:szCs w:val="21"/>
                <w:highlight w:val="none"/>
              </w:rPr>
            </w:pPr>
            <w:r>
              <w:rPr>
                <w:rFonts w:hint="eastAsia" w:ascii="宋体" w:hAnsi="宋体" w:cs="宋体"/>
                <w:color w:val="auto"/>
                <w:szCs w:val="21"/>
                <w:highlight w:val="none"/>
              </w:rPr>
              <w:t>具备安全员上岗证或建设行政主管部门颁发的</w:t>
            </w:r>
            <w:r>
              <w:rPr>
                <w:rFonts w:ascii="宋体" w:hAnsi="宋体" w:cs="宋体"/>
                <w:color w:val="auto"/>
                <w:szCs w:val="21"/>
                <w:highlight w:val="none"/>
              </w:rPr>
              <w:t>安全生产考核合格证书（建安 C 类证）或注册安全工程师证书。</w:t>
            </w:r>
          </w:p>
        </w:tc>
      </w:tr>
      <w:tr w14:paraId="0B055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201D086E">
            <w:pPr>
              <w:spacing w:line="240" w:lineRule="auto"/>
              <w:jc w:val="center"/>
              <w:rPr>
                <w:rFonts w:hint="eastAsia" w:ascii="宋体" w:hAnsi="宋体" w:eastAsia="宋体" w:cs="宋体"/>
                <w:color w:val="auto"/>
                <w:szCs w:val="21"/>
                <w:highlight w:val="none"/>
                <w:lang w:eastAsia="zh-CN"/>
              </w:rPr>
            </w:pPr>
            <w:r>
              <w:rPr>
                <w:rFonts w:hint="eastAsia" w:ascii="宋体" w:hAnsi="宋体" w:cs="宋体"/>
                <w:b/>
                <w:color w:val="auto"/>
                <w:szCs w:val="21"/>
                <w:highlight w:val="none"/>
                <w:lang w:val="en-US" w:eastAsia="zh-CN"/>
              </w:rPr>
              <w:t>3</w:t>
            </w:r>
          </w:p>
        </w:tc>
        <w:tc>
          <w:tcPr>
            <w:tcW w:w="2552" w:type="dxa"/>
            <w:vAlign w:val="center"/>
          </w:tcPr>
          <w:p w14:paraId="14D91830">
            <w:pPr>
              <w:spacing w:line="240" w:lineRule="auto"/>
              <w:jc w:val="center"/>
              <w:rPr>
                <w:rFonts w:hint="eastAsia" w:ascii="宋体" w:hAnsi="宋体" w:eastAsia="宋体" w:cs="宋体"/>
                <w:color w:val="auto"/>
                <w:szCs w:val="21"/>
                <w:highlight w:val="none"/>
                <w:lang w:val="en-US" w:eastAsia="zh-CN"/>
              </w:rPr>
            </w:pPr>
            <w:r>
              <w:rPr>
                <w:rFonts w:hint="eastAsia" w:ascii="宋体" w:hAnsi="宋体" w:cs="宋体"/>
                <w:color w:val="auto"/>
                <w:kern w:val="0"/>
                <w:szCs w:val="21"/>
                <w:highlight w:val="none"/>
                <w:lang w:val="zh-CN"/>
              </w:rPr>
              <w:t>施工员</w:t>
            </w:r>
          </w:p>
        </w:tc>
        <w:tc>
          <w:tcPr>
            <w:tcW w:w="1075" w:type="dxa"/>
            <w:vAlign w:val="center"/>
          </w:tcPr>
          <w:p w14:paraId="6781B410">
            <w:pPr>
              <w:spacing w:line="24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w:t>
            </w:r>
          </w:p>
        </w:tc>
        <w:tc>
          <w:tcPr>
            <w:tcW w:w="4453" w:type="dxa"/>
            <w:vAlign w:val="center"/>
          </w:tcPr>
          <w:p w14:paraId="75E5C6B7">
            <w:pPr>
              <w:spacing w:line="24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kern w:val="0"/>
                <w:szCs w:val="21"/>
                <w:highlight w:val="none"/>
              </w:rPr>
              <w:t>具备</w:t>
            </w:r>
            <w:r>
              <w:rPr>
                <w:rFonts w:hint="eastAsia" w:ascii="宋体" w:hAnsi="宋体" w:cs="宋体"/>
                <w:color w:val="auto"/>
                <w:kern w:val="0"/>
                <w:szCs w:val="21"/>
                <w:highlight w:val="none"/>
                <w:lang w:val="zh-CN"/>
              </w:rPr>
              <w:t>施工员上岗证</w:t>
            </w:r>
          </w:p>
        </w:tc>
      </w:tr>
      <w:tr w14:paraId="605A7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10539604">
            <w:pPr>
              <w:spacing w:line="240" w:lineRule="auto"/>
              <w:jc w:val="center"/>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lang w:val="en-US" w:eastAsia="zh-CN"/>
              </w:rPr>
              <w:t>4</w:t>
            </w:r>
          </w:p>
        </w:tc>
        <w:tc>
          <w:tcPr>
            <w:tcW w:w="2552" w:type="dxa"/>
            <w:vAlign w:val="center"/>
          </w:tcPr>
          <w:p w14:paraId="71AECCF3">
            <w:pPr>
              <w:spacing w:line="24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资料员</w:t>
            </w:r>
          </w:p>
        </w:tc>
        <w:tc>
          <w:tcPr>
            <w:tcW w:w="1075" w:type="dxa"/>
            <w:vAlign w:val="center"/>
          </w:tcPr>
          <w:p w14:paraId="59F97AA4">
            <w:pPr>
              <w:spacing w:line="24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4453" w:type="dxa"/>
            <w:vAlign w:val="center"/>
          </w:tcPr>
          <w:p w14:paraId="52E2C2DD">
            <w:pPr>
              <w:spacing w:line="240" w:lineRule="auto"/>
              <w:jc w:val="center"/>
              <w:rPr>
                <w:rFonts w:ascii="宋体" w:hAnsi="宋体" w:cs="宋体"/>
                <w:color w:val="auto"/>
                <w:szCs w:val="21"/>
                <w:highlight w:val="none"/>
              </w:rPr>
            </w:pPr>
            <w:r>
              <w:rPr>
                <w:rFonts w:hint="eastAsia" w:ascii="宋体" w:hAnsi="宋体" w:cs="宋体"/>
                <w:color w:val="auto"/>
                <w:szCs w:val="21"/>
                <w:highlight w:val="none"/>
              </w:rPr>
              <w:t>具备资料员上岗证</w:t>
            </w:r>
          </w:p>
        </w:tc>
      </w:tr>
    </w:tbl>
    <w:p w14:paraId="1D65C99C">
      <w:pPr>
        <w:tabs>
          <w:tab w:val="left" w:pos="6480"/>
        </w:tabs>
        <w:spacing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备注1</w:t>
      </w:r>
      <w:r>
        <w:rPr>
          <w:rFonts w:hint="eastAsia" w:ascii="宋体" w:hAnsi="宋体" w:cs="宋体"/>
          <w:color w:val="auto"/>
          <w:szCs w:val="21"/>
          <w:highlight w:val="none"/>
          <w:lang w:eastAsia="zh-CN"/>
        </w:rPr>
        <w:t>）</w:t>
      </w:r>
      <w:r>
        <w:rPr>
          <w:rFonts w:hint="eastAsia" w:ascii="宋体" w:hAnsi="宋体" w:cs="宋体"/>
          <w:color w:val="auto"/>
          <w:szCs w:val="21"/>
          <w:highlight w:val="none"/>
        </w:rPr>
        <w:t>上述人员需附身份证及表内注明的注册证或执业资格证或上岗证等证明材料原件扫描件。</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lang w:eastAsia="zh-CN"/>
        </w:rPr>
        <w:t>）</w:t>
      </w:r>
      <w:r>
        <w:rPr>
          <w:rFonts w:hint="eastAsia" w:ascii="宋体" w:hAnsi="宋体" w:cs="宋体"/>
          <w:color w:val="auto"/>
          <w:szCs w:val="21"/>
          <w:highlight w:val="none"/>
        </w:rPr>
        <w:t>上述人员必须提供</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 xml:space="preserve">人处缴纳社保的社保缴纳证明文件，社保缴纳证明文件应具备社保管理机构印章。社保缴纳时间均为 </w:t>
      </w:r>
      <w:r>
        <w:rPr>
          <w:rFonts w:hint="eastAsia" w:ascii="宋体" w:hAnsi="宋体" w:cs="宋体"/>
          <w:color w:val="auto"/>
          <w:szCs w:val="21"/>
          <w:highlight w:val="none"/>
          <w:lang w:val="en-US" w:eastAsia="zh-CN"/>
        </w:rPr>
        <w:t>响应文件递交</w:t>
      </w:r>
      <w:r>
        <w:rPr>
          <w:rFonts w:hint="eastAsia" w:ascii="宋体" w:hAnsi="宋体" w:cs="宋体"/>
          <w:color w:val="auto"/>
          <w:szCs w:val="21"/>
          <w:highlight w:val="none"/>
        </w:rPr>
        <w:t>截止时间前（不含</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当月）半年内连续不少于三个月，社保缴纳证明文件可以是在</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人总公司或其分公司的社保缴纳证明文件，可以是原件或复印件。</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w:t>
      </w:r>
      <w:r>
        <w:rPr>
          <w:rFonts w:hint="eastAsia" w:ascii="宋体" w:hAnsi="宋体" w:cs="宋体"/>
          <w:color w:val="auto"/>
          <w:szCs w:val="21"/>
          <w:highlight w:val="none"/>
        </w:rPr>
        <w:t>其他事项：上述《项目班子人员组成表》的人员配置（不可兼任）为本</w:t>
      </w:r>
      <w:r>
        <w:rPr>
          <w:rFonts w:hint="eastAsia" w:ascii="宋体" w:hAnsi="宋体" w:cs="宋体"/>
          <w:color w:val="auto"/>
          <w:szCs w:val="21"/>
          <w:highlight w:val="none"/>
          <w:lang w:val="en-US" w:eastAsia="zh-CN"/>
        </w:rPr>
        <w:t>采购</w:t>
      </w:r>
      <w:r>
        <w:rPr>
          <w:rFonts w:hint="eastAsia" w:ascii="宋体" w:hAnsi="宋体" w:cs="宋体"/>
          <w:color w:val="auto"/>
          <w:szCs w:val="21"/>
          <w:highlight w:val="none"/>
        </w:rPr>
        <w:t>项目</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阶段的基本要求。</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人中标后，中标人须按上表要求派驻项目班子人员外，尚需满足办理工程施工许可等相关报建、报批和备案手续等要求，中标人须无条件接受。同时，发包人可要求中标人根据工程进度计划时间调整加派项目管理班子人员 。</w:t>
      </w:r>
    </w:p>
    <w:p w14:paraId="7CA2917B">
      <w:pPr>
        <w:spacing w:line="480" w:lineRule="exact"/>
        <w:ind w:firstLine="49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6、中标单位应严格遵守东莞市安居建设投资有限公司及东实集团现行及后续更新发布的各项工程管理相关制度和规定，并将其作为本项目合同履行的依据。</w:t>
      </w:r>
    </w:p>
    <w:p w14:paraId="62F024BE">
      <w:pPr>
        <w:spacing w:line="240" w:lineRule="auto"/>
        <w:jc w:val="center"/>
        <w:outlineLvl w:val="9"/>
        <w:rPr>
          <w:rFonts w:ascii="黑体" w:eastAsia="黑体"/>
          <w:color w:val="auto"/>
          <w:sz w:val="28"/>
          <w:szCs w:val="28"/>
          <w:highlight w:val="none"/>
        </w:rPr>
      </w:pPr>
      <w:r>
        <w:rPr>
          <w:rFonts w:ascii="黑体" w:eastAsia="黑体"/>
          <w:color w:val="auto"/>
          <w:sz w:val="28"/>
          <w:szCs w:val="28"/>
          <w:highlight w:val="none"/>
        </w:rPr>
        <w:br w:type="page"/>
      </w:r>
      <w:bookmarkStart w:id="141" w:name="_Toc435779386"/>
      <w:bookmarkStart w:id="142" w:name="_Toc438039969"/>
      <w:bookmarkStart w:id="143" w:name="_Toc438143778"/>
      <w:bookmarkStart w:id="144" w:name="_Toc456552076"/>
    </w:p>
    <w:p w14:paraId="31BE7014">
      <w:pPr>
        <w:pStyle w:val="2"/>
        <w:jc w:val="center"/>
        <w:rPr>
          <w:color w:val="auto"/>
          <w:sz w:val="28"/>
          <w:szCs w:val="28"/>
          <w:highlight w:val="none"/>
        </w:rPr>
      </w:pPr>
      <w:bookmarkStart w:id="145" w:name="_Toc75852769"/>
      <w:r>
        <w:rPr>
          <w:rFonts w:hint="eastAsia"/>
          <w:color w:val="auto"/>
          <w:sz w:val="28"/>
          <w:szCs w:val="28"/>
          <w:highlight w:val="none"/>
        </w:rPr>
        <w:t>第五章 合同条款格式</w:t>
      </w:r>
      <w:bookmarkEnd w:id="145"/>
    </w:p>
    <w:p w14:paraId="01FC59F3">
      <w:pPr>
        <w:widowControl/>
        <w:jc w:val="left"/>
        <w:rPr>
          <w:rFonts w:ascii="宋体" w:hAnsi="宋体"/>
          <w:b/>
          <w:bCs/>
          <w:color w:val="auto"/>
          <w:kern w:val="44"/>
          <w:sz w:val="28"/>
          <w:szCs w:val="28"/>
          <w:highlight w:val="none"/>
        </w:rPr>
      </w:pPr>
      <w:r>
        <w:rPr>
          <w:rFonts w:hint="eastAsia" w:ascii="宋体" w:hAnsi="宋体"/>
          <w:color w:val="auto"/>
          <w:sz w:val="28"/>
          <w:szCs w:val="28"/>
          <w:highlight w:val="none"/>
          <w:lang w:val="en-US" w:eastAsia="zh-CN"/>
        </w:rPr>
        <w:t>详见附件《施工合同范本》--另册</w:t>
      </w:r>
      <w:r>
        <w:rPr>
          <w:rFonts w:ascii="宋体" w:hAnsi="宋体"/>
          <w:color w:val="auto"/>
          <w:sz w:val="28"/>
          <w:szCs w:val="28"/>
          <w:highlight w:val="none"/>
        </w:rPr>
        <w:br w:type="page"/>
      </w:r>
    </w:p>
    <w:p w14:paraId="49136EDB">
      <w:pPr>
        <w:pStyle w:val="2"/>
        <w:jc w:val="center"/>
        <w:rPr>
          <w:rFonts w:ascii="宋体" w:hAnsi="宋体"/>
          <w:color w:val="auto"/>
          <w:sz w:val="28"/>
          <w:szCs w:val="28"/>
          <w:highlight w:val="none"/>
        </w:rPr>
      </w:pPr>
      <w:bookmarkStart w:id="146" w:name="_Toc75852770"/>
      <w:r>
        <w:rPr>
          <w:rFonts w:hint="eastAsia" w:ascii="宋体" w:hAnsi="宋体"/>
          <w:color w:val="auto"/>
          <w:sz w:val="28"/>
          <w:szCs w:val="28"/>
          <w:highlight w:val="none"/>
        </w:rPr>
        <w:t>第六章 响应文件格式</w:t>
      </w:r>
      <w:bookmarkEnd w:id="141"/>
      <w:bookmarkEnd w:id="142"/>
      <w:bookmarkEnd w:id="143"/>
      <w:bookmarkEnd w:id="144"/>
      <w:bookmarkEnd w:id="146"/>
    </w:p>
    <w:p w14:paraId="0990AE84">
      <w:pPr>
        <w:jc w:val="center"/>
        <w:rPr>
          <w:rFonts w:ascii="黑体" w:hAnsi="宋体" w:eastAsia="黑体"/>
          <w:color w:val="auto"/>
          <w:sz w:val="32"/>
          <w:szCs w:val="32"/>
          <w:highlight w:val="none"/>
        </w:rPr>
      </w:pPr>
    </w:p>
    <w:p w14:paraId="0E83B81A">
      <w:pPr>
        <w:jc w:val="center"/>
        <w:rPr>
          <w:rFonts w:ascii="黑体" w:hAnsi="宋体" w:eastAsia="黑体"/>
          <w:color w:val="auto"/>
          <w:sz w:val="32"/>
          <w:szCs w:val="32"/>
          <w:highlight w:val="none"/>
        </w:rPr>
      </w:pPr>
    </w:p>
    <w:p w14:paraId="6E3A6F1F">
      <w:pPr>
        <w:jc w:val="center"/>
        <w:rPr>
          <w:rFonts w:ascii="黑体" w:hAnsi="宋体" w:eastAsia="黑体"/>
          <w:color w:val="auto"/>
          <w:sz w:val="32"/>
          <w:szCs w:val="32"/>
          <w:highlight w:val="none"/>
        </w:rPr>
      </w:pPr>
    </w:p>
    <w:p w14:paraId="52C5E282">
      <w:pPr>
        <w:jc w:val="center"/>
        <w:rPr>
          <w:rFonts w:ascii="黑体" w:hAnsi="宋体" w:eastAsia="黑体"/>
          <w:color w:val="auto"/>
          <w:sz w:val="32"/>
          <w:szCs w:val="32"/>
          <w:highlight w:val="none"/>
        </w:rPr>
      </w:pPr>
    </w:p>
    <w:p w14:paraId="0C8F84F3">
      <w:pPr>
        <w:jc w:val="center"/>
        <w:rPr>
          <w:rFonts w:ascii="黑体" w:hAnsi="宋体" w:eastAsia="黑体"/>
          <w:color w:val="auto"/>
          <w:sz w:val="32"/>
          <w:szCs w:val="32"/>
          <w:highlight w:val="none"/>
        </w:rPr>
      </w:pPr>
    </w:p>
    <w:p w14:paraId="78EC0B15">
      <w:pPr>
        <w:jc w:val="center"/>
        <w:rPr>
          <w:rFonts w:ascii="黑体" w:hAnsi="宋体" w:eastAsia="黑体"/>
          <w:color w:val="auto"/>
          <w:sz w:val="32"/>
          <w:szCs w:val="32"/>
          <w:highlight w:val="none"/>
        </w:rPr>
      </w:pPr>
    </w:p>
    <w:p w14:paraId="1272164C">
      <w:pPr>
        <w:jc w:val="center"/>
        <w:rPr>
          <w:rFonts w:ascii="黑体" w:hAnsi="宋体" w:eastAsia="黑体"/>
          <w:color w:val="auto"/>
          <w:sz w:val="32"/>
          <w:szCs w:val="32"/>
          <w:highlight w:val="none"/>
        </w:rPr>
      </w:pPr>
    </w:p>
    <w:p w14:paraId="3DCE2A37">
      <w:pPr>
        <w:jc w:val="center"/>
        <w:rPr>
          <w:rFonts w:ascii="黑体" w:hAnsi="宋体" w:eastAsia="黑体"/>
          <w:color w:val="auto"/>
          <w:sz w:val="32"/>
          <w:szCs w:val="32"/>
          <w:highlight w:val="none"/>
        </w:rPr>
      </w:pPr>
    </w:p>
    <w:p w14:paraId="29365A32">
      <w:pPr>
        <w:jc w:val="center"/>
        <w:rPr>
          <w:rFonts w:ascii="黑体" w:hAnsi="宋体" w:eastAsia="黑体"/>
          <w:color w:val="auto"/>
          <w:sz w:val="32"/>
          <w:szCs w:val="32"/>
          <w:highlight w:val="none"/>
        </w:rPr>
      </w:pPr>
    </w:p>
    <w:p w14:paraId="252EFE51">
      <w:pPr>
        <w:jc w:val="center"/>
        <w:rPr>
          <w:rFonts w:ascii="黑体" w:hAnsi="宋体" w:eastAsia="黑体"/>
          <w:color w:val="auto"/>
          <w:sz w:val="32"/>
          <w:szCs w:val="32"/>
          <w:highlight w:val="none"/>
        </w:rPr>
      </w:pPr>
    </w:p>
    <w:p w14:paraId="16DF2E36">
      <w:pPr>
        <w:jc w:val="center"/>
        <w:rPr>
          <w:rFonts w:ascii="黑体" w:hAnsi="宋体" w:eastAsia="黑体"/>
          <w:color w:val="auto"/>
          <w:sz w:val="32"/>
          <w:szCs w:val="32"/>
          <w:highlight w:val="none"/>
        </w:rPr>
      </w:pPr>
    </w:p>
    <w:p w14:paraId="0AFC9DB8">
      <w:pPr>
        <w:jc w:val="center"/>
        <w:rPr>
          <w:rFonts w:ascii="黑体" w:hAnsi="宋体" w:eastAsia="黑体"/>
          <w:color w:val="auto"/>
          <w:sz w:val="32"/>
          <w:szCs w:val="32"/>
          <w:highlight w:val="none"/>
        </w:rPr>
      </w:pPr>
    </w:p>
    <w:p w14:paraId="183B55FE">
      <w:pPr>
        <w:jc w:val="center"/>
        <w:rPr>
          <w:rFonts w:ascii="黑体" w:hAnsi="宋体" w:eastAsia="黑体"/>
          <w:color w:val="auto"/>
          <w:sz w:val="32"/>
          <w:szCs w:val="32"/>
          <w:highlight w:val="none"/>
        </w:rPr>
      </w:pPr>
    </w:p>
    <w:p w14:paraId="375EA2F4">
      <w:pPr>
        <w:jc w:val="center"/>
        <w:rPr>
          <w:rFonts w:ascii="黑体" w:hAnsi="宋体" w:eastAsia="黑体"/>
          <w:color w:val="auto"/>
          <w:sz w:val="32"/>
          <w:szCs w:val="32"/>
          <w:highlight w:val="none"/>
        </w:rPr>
      </w:pPr>
    </w:p>
    <w:p w14:paraId="449E2E87">
      <w:pPr>
        <w:jc w:val="center"/>
        <w:rPr>
          <w:rFonts w:ascii="黑体" w:hAnsi="宋体" w:eastAsia="黑体"/>
          <w:color w:val="auto"/>
          <w:sz w:val="32"/>
          <w:szCs w:val="32"/>
          <w:highlight w:val="none"/>
        </w:rPr>
      </w:pPr>
    </w:p>
    <w:p w14:paraId="036BBA40">
      <w:pPr>
        <w:jc w:val="center"/>
        <w:rPr>
          <w:rFonts w:ascii="黑体" w:hAnsi="宋体" w:eastAsia="黑体"/>
          <w:color w:val="auto"/>
          <w:sz w:val="32"/>
          <w:szCs w:val="32"/>
          <w:highlight w:val="none"/>
        </w:rPr>
      </w:pPr>
    </w:p>
    <w:p w14:paraId="56D4EE7C">
      <w:pPr>
        <w:jc w:val="center"/>
        <w:rPr>
          <w:rFonts w:ascii="黑体" w:hAnsi="宋体" w:eastAsia="黑体"/>
          <w:color w:val="auto"/>
          <w:sz w:val="32"/>
          <w:szCs w:val="32"/>
          <w:highlight w:val="none"/>
        </w:rPr>
      </w:pPr>
    </w:p>
    <w:p w14:paraId="41CDDE98">
      <w:pPr>
        <w:jc w:val="center"/>
        <w:rPr>
          <w:rFonts w:ascii="黑体" w:hAnsi="宋体" w:eastAsia="黑体"/>
          <w:color w:val="auto"/>
          <w:sz w:val="32"/>
          <w:szCs w:val="32"/>
          <w:highlight w:val="none"/>
        </w:rPr>
      </w:pPr>
    </w:p>
    <w:p w14:paraId="11E13501">
      <w:pPr>
        <w:jc w:val="center"/>
        <w:rPr>
          <w:rFonts w:ascii="黑体" w:hAnsi="宋体" w:eastAsia="黑体"/>
          <w:color w:val="auto"/>
          <w:sz w:val="32"/>
          <w:szCs w:val="32"/>
          <w:highlight w:val="none"/>
        </w:rPr>
      </w:pPr>
    </w:p>
    <w:p w14:paraId="07BB1B4B">
      <w:pPr>
        <w:jc w:val="center"/>
        <w:rPr>
          <w:rFonts w:ascii="黑体" w:hAnsi="宋体" w:eastAsia="黑体"/>
          <w:color w:val="auto"/>
          <w:sz w:val="32"/>
          <w:szCs w:val="32"/>
          <w:highlight w:val="none"/>
        </w:rPr>
      </w:pPr>
    </w:p>
    <w:p w14:paraId="3012BB01">
      <w:pPr>
        <w:spacing w:line="480" w:lineRule="auto"/>
        <w:rPr>
          <w:rFonts w:eastAsia="黑体"/>
          <w:color w:val="auto"/>
          <w:sz w:val="20"/>
          <w:szCs w:val="20"/>
          <w:highlight w:val="none"/>
        </w:rPr>
      </w:pPr>
    </w:p>
    <w:p w14:paraId="599CD606">
      <w:pPr>
        <w:spacing w:line="480" w:lineRule="auto"/>
        <w:jc w:val="center"/>
        <w:rPr>
          <w:rFonts w:eastAsia="黑体"/>
          <w:color w:val="auto"/>
          <w:sz w:val="20"/>
          <w:szCs w:val="20"/>
          <w:highlight w:val="none"/>
        </w:rPr>
      </w:pPr>
      <w:r>
        <w:rPr>
          <w:rFonts w:hint="eastAsia" w:eastAsia="黑体"/>
          <w:color w:val="auto"/>
          <w:sz w:val="28"/>
          <w:szCs w:val="28"/>
          <w:highlight w:val="none"/>
          <w:u w:val="single"/>
        </w:rPr>
        <w:t xml:space="preserve">    </w:t>
      </w:r>
      <w:r>
        <w:rPr>
          <w:rFonts w:eastAsia="黑体"/>
          <w:color w:val="auto"/>
          <w:sz w:val="28"/>
          <w:szCs w:val="28"/>
          <w:highlight w:val="none"/>
          <w:u w:val="single"/>
        </w:rPr>
        <w:t>（项目名称）</w:t>
      </w:r>
      <w:r>
        <w:rPr>
          <w:rFonts w:hint="eastAsia" w:eastAsia="黑体"/>
          <w:color w:val="auto"/>
          <w:sz w:val="28"/>
          <w:szCs w:val="28"/>
          <w:highlight w:val="none"/>
          <w:u w:val="single"/>
        </w:rPr>
        <w:t xml:space="preserve"> </w:t>
      </w:r>
      <w:r>
        <w:rPr>
          <w:rFonts w:eastAsia="黑体"/>
          <w:color w:val="auto"/>
          <w:sz w:val="28"/>
          <w:szCs w:val="28"/>
          <w:highlight w:val="none"/>
          <w:u w:val="single"/>
        </w:rPr>
        <w:t xml:space="preserve">  </w:t>
      </w:r>
    </w:p>
    <w:p w14:paraId="70CB9B03">
      <w:pPr>
        <w:spacing w:line="480" w:lineRule="auto"/>
        <w:jc w:val="center"/>
        <w:rPr>
          <w:rFonts w:eastAsia="黑体"/>
          <w:color w:val="auto"/>
          <w:sz w:val="20"/>
          <w:szCs w:val="20"/>
          <w:highlight w:val="none"/>
        </w:rPr>
      </w:pPr>
    </w:p>
    <w:p w14:paraId="4E06C570">
      <w:pPr>
        <w:spacing w:line="480" w:lineRule="auto"/>
        <w:jc w:val="center"/>
        <w:rPr>
          <w:rFonts w:eastAsia="黑体"/>
          <w:color w:val="auto"/>
          <w:sz w:val="20"/>
          <w:szCs w:val="20"/>
          <w:highlight w:val="none"/>
        </w:rPr>
      </w:pPr>
    </w:p>
    <w:p w14:paraId="74D1438F">
      <w:pPr>
        <w:spacing w:line="480" w:lineRule="auto"/>
        <w:jc w:val="center"/>
        <w:rPr>
          <w:rFonts w:ascii="宋体" w:hAnsi="宋体"/>
          <w:b/>
          <w:color w:val="auto"/>
          <w:sz w:val="52"/>
          <w:szCs w:val="52"/>
          <w:highlight w:val="none"/>
        </w:rPr>
      </w:pPr>
      <w:r>
        <w:rPr>
          <w:rFonts w:hint="eastAsia" w:ascii="宋体" w:hAnsi="宋体"/>
          <w:b/>
          <w:color w:val="auto"/>
          <w:sz w:val="52"/>
          <w:szCs w:val="52"/>
          <w:highlight w:val="none"/>
        </w:rPr>
        <w:t>响</w:t>
      </w:r>
      <w:r>
        <w:rPr>
          <w:rFonts w:ascii="宋体" w:hAnsi="宋体"/>
          <w:b/>
          <w:color w:val="auto"/>
          <w:sz w:val="52"/>
          <w:szCs w:val="52"/>
          <w:highlight w:val="none"/>
        </w:rPr>
        <w:t xml:space="preserve">  </w:t>
      </w:r>
      <w:r>
        <w:rPr>
          <w:rFonts w:hint="eastAsia" w:ascii="宋体" w:hAnsi="宋体"/>
          <w:b/>
          <w:color w:val="auto"/>
          <w:sz w:val="52"/>
          <w:szCs w:val="52"/>
          <w:highlight w:val="none"/>
        </w:rPr>
        <w:t>应</w:t>
      </w:r>
      <w:r>
        <w:rPr>
          <w:rFonts w:ascii="宋体" w:hAnsi="宋体"/>
          <w:b/>
          <w:color w:val="auto"/>
          <w:sz w:val="52"/>
          <w:szCs w:val="52"/>
          <w:highlight w:val="none"/>
        </w:rPr>
        <w:t xml:space="preserve">  文  件</w:t>
      </w:r>
    </w:p>
    <w:p w14:paraId="1B19B80B">
      <w:pPr>
        <w:jc w:val="center"/>
        <w:rPr>
          <w:rFonts w:eastAsia="黑体"/>
          <w:color w:val="auto"/>
          <w:sz w:val="28"/>
          <w:szCs w:val="28"/>
          <w:highlight w:val="none"/>
        </w:rPr>
      </w:pPr>
    </w:p>
    <w:p w14:paraId="44B63179">
      <w:pPr>
        <w:jc w:val="center"/>
        <w:rPr>
          <w:rFonts w:eastAsia="黑体"/>
          <w:color w:val="auto"/>
          <w:sz w:val="28"/>
          <w:szCs w:val="28"/>
          <w:highlight w:val="none"/>
        </w:rPr>
      </w:pPr>
    </w:p>
    <w:p w14:paraId="1C94C0A2">
      <w:pPr>
        <w:rPr>
          <w:rFonts w:eastAsia="黑体"/>
          <w:color w:val="auto"/>
          <w:sz w:val="28"/>
          <w:szCs w:val="28"/>
          <w:highlight w:val="none"/>
        </w:rPr>
      </w:pPr>
    </w:p>
    <w:p w14:paraId="11AEB9E2">
      <w:pPr>
        <w:rPr>
          <w:rFonts w:eastAsia="黑体"/>
          <w:color w:val="auto"/>
          <w:sz w:val="28"/>
          <w:szCs w:val="28"/>
          <w:highlight w:val="none"/>
        </w:rPr>
      </w:pPr>
    </w:p>
    <w:p w14:paraId="771DBAF6">
      <w:pPr>
        <w:rPr>
          <w:rFonts w:eastAsia="黑体"/>
          <w:color w:val="auto"/>
          <w:sz w:val="28"/>
          <w:szCs w:val="28"/>
          <w:highlight w:val="none"/>
        </w:rPr>
      </w:pPr>
    </w:p>
    <w:p w14:paraId="4A9A617C">
      <w:pPr>
        <w:rPr>
          <w:rFonts w:eastAsia="黑体"/>
          <w:color w:val="auto"/>
          <w:sz w:val="28"/>
          <w:szCs w:val="28"/>
          <w:highlight w:val="none"/>
        </w:rPr>
      </w:pPr>
    </w:p>
    <w:p w14:paraId="1F9A9E1A">
      <w:pPr>
        <w:rPr>
          <w:rFonts w:eastAsia="黑体"/>
          <w:color w:val="auto"/>
          <w:sz w:val="28"/>
          <w:szCs w:val="28"/>
          <w:highlight w:val="none"/>
        </w:rPr>
      </w:pPr>
    </w:p>
    <w:p w14:paraId="09B00CF0">
      <w:pPr>
        <w:rPr>
          <w:rFonts w:eastAsia="黑体"/>
          <w:color w:val="auto"/>
          <w:sz w:val="28"/>
          <w:szCs w:val="28"/>
          <w:highlight w:val="none"/>
        </w:rPr>
      </w:pPr>
    </w:p>
    <w:p w14:paraId="41ECFD39">
      <w:pPr>
        <w:rPr>
          <w:rFonts w:eastAsia="黑体"/>
          <w:color w:val="auto"/>
          <w:sz w:val="28"/>
          <w:szCs w:val="28"/>
          <w:highlight w:val="none"/>
        </w:rPr>
      </w:pPr>
    </w:p>
    <w:p w14:paraId="3BBB49BA">
      <w:pPr>
        <w:rPr>
          <w:rFonts w:eastAsia="黑体"/>
          <w:color w:val="auto"/>
          <w:sz w:val="28"/>
          <w:szCs w:val="28"/>
          <w:highlight w:val="none"/>
        </w:rPr>
      </w:pPr>
    </w:p>
    <w:p w14:paraId="1B082C21">
      <w:pPr>
        <w:spacing w:line="360" w:lineRule="auto"/>
        <w:jc w:val="center"/>
        <w:rPr>
          <w:rFonts w:eastAsia="黑体"/>
          <w:color w:val="auto"/>
          <w:sz w:val="28"/>
          <w:szCs w:val="28"/>
          <w:highlight w:val="none"/>
          <w:u w:val="single"/>
        </w:rPr>
      </w:pPr>
      <w:r>
        <w:rPr>
          <w:rFonts w:eastAsia="黑体"/>
          <w:color w:val="auto"/>
          <w:sz w:val="28"/>
          <w:szCs w:val="28"/>
          <w:highlight w:val="none"/>
        </w:rPr>
        <w:t>响应人：</w:t>
      </w:r>
      <w:r>
        <w:rPr>
          <w:rFonts w:eastAsia="黑体"/>
          <w:color w:val="auto"/>
          <w:sz w:val="28"/>
          <w:szCs w:val="28"/>
          <w:highlight w:val="none"/>
          <w:u w:val="single"/>
        </w:rPr>
        <w:t xml:space="preserve">                </w:t>
      </w:r>
      <w:r>
        <w:rPr>
          <w:rFonts w:hint="eastAsia" w:eastAsia="黑体"/>
          <w:color w:val="auto"/>
          <w:sz w:val="28"/>
          <w:szCs w:val="28"/>
          <w:highlight w:val="none"/>
          <w:u w:val="single"/>
        </w:rPr>
        <w:t xml:space="preserve"> </w:t>
      </w:r>
      <w:r>
        <w:rPr>
          <w:rFonts w:eastAsia="黑体"/>
          <w:color w:val="auto"/>
          <w:sz w:val="28"/>
          <w:szCs w:val="28"/>
          <w:highlight w:val="none"/>
          <w:u w:val="single"/>
        </w:rPr>
        <w:t xml:space="preserve">      </w:t>
      </w:r>
      <w:r>
        <w:rPr>
          <w:rFonts w:eastAsia="黑体"/>
          <w:color w:val="auto"/>
          <w:sz w:val="28"/>
          <w:szCs w:val="28"/>
          <w:highlight w:val="none"/>
        </w:rPr>
        <w:t>（盖单位</w:t>
      </w:r>
      <w:r>
        <w:rPr>
          <w:rFonts w:hint="eastAsia" w:eastAsia="黑体"/>
          <w:color w:val="auto"/>
          <w:sz w:val="28"/>
          <w:szCs w:val="28"/>
          <w:highlight w:val="none"/>
        </w:rPr>
        <w:t>公</w:t>
      </w:r>
      <w:r>
        <w:rPr>
          <w:rFonts w:eastAsia="黑体"/>
          <w:color w:val="auto"/>
          <w:sz w:val="28"/>
          <w:szCs w:val="28"/>
          <w:highlight w:val="none"/>
        </w:rPr>
        <w:t>章）</w:t>
      </w:r>
    </w:p>
    <w:p w14:paraId="2391B360">
      <w:pPr>
        <w:spacing w:line="360" w:lineRule="auto"/>
        <w:jc w:val="center"/>
        <w:rPr>
          <w:rFonts w:eastAsia="黑体"/>
          <w:color w:val="auto"/>
          <w:sz w:val="28"/>
          <w:szCs w:val="28"/>
          <w:highlight w:val="none"/>
        </w:rPr>
      </w:pPr>
      <w:r>
        <w:rPr>
          <w:rFonts w:eastAsia="黑体"/>
          <w:color w:val="auto"/>
          <w:sz w:val="28"/>
          <w:szCs w:val="28"/>
          <w:highlight w:val="none"/>
        </w:rPr>
        <w:t>法定代表人或其委托代理人：</w:t>
      </w:r>
      <w:r>
        <w:rPr>
          <w:rFonts w:eastAsia="黑体"/>
          <w:color w:val="auto"/>
          <w:sz w:val="28"/>
          <w:szCs w:val="28"/>
          <w:highlight w:val="none"/>
          <w:u w:val="single"/>
        </w:rPr>
        <w:t xml:space="preserve">         </w:t>
      </w:r>
      <w:r>
        <w:rPr>
          <w:rFonts w:eastAsia="黑体"/>
          <w:color w:val="auto"/>
          <w:sz w:val="28"/>
          <w:szCs w:val="28"/>
          <w:highlight w:val="none"/>
        </w:rPr>
        <w:t>（签字）</w:t>
      </w:r>
    </w:p>
    <w:p w14:paraId="279B24FF">
      <w:pPr>
        <w:spacing w:line="360" w:lineRule="auto"/>
        <w:jc w:val="center"/>
        <w:rPr>
          <w:rFonts w:eastAsia="黑体"/>
          <w:color w:val="auto"/>
          <w:sz w:val="28"/>
          <w:szCs w:val="28"/>
          <w:highlight w:val="none"/>
        </w:rPr>
      </w:pPr>
      <w:r>
        <w:rPr>
          <w:rFonts w:eastAsia="黑体"/>
          <w:color w:val="auto"/>
          <w:sz w:val="28"/>
          <w:szCs w:val="28"/>
          <w:highlight w:val="none"/>
          <w:u w:val="single"/>
        </w:rPr>
        <w:t xml:space="preserve">        </w:t>
      </w:r>
      <w:r>
        <w:rPr>
          <w:rFonts w:eastAsia="黑体"/>
          <w:color w:val="auto"/>
          <w:sz w:val="28"/>
          <w:szCs w:val="28"/>
          <w:highlight w:val="none"/>
        </w:rPr>
        <w:t>年</w:t>
      </w:r>
      <w:r>
        <w:rPr>
          <w:rFonts w:eastAsia="黑体"/>
          <w:color w:val="auto"/>
          <w:sz w:val="28"/>
          <w:szCs w:val="28"/>
          <w:highlight w:val="none"/>
          <w:u w:val="single"/>
        </w:rPr>
        <w:t xml:space="preserve">   </w:t>
      </w:r>
      <w:r>
        <w:rPr>
          <w:rFonts w:eastAsia="黑体"/>
          <w:color w:val="auto"/>
          <w:sz w:val="28"/>
          <w:szCs w:val="28"/>
          <w:highlight w:val="none"/>
        </w:rPr>
        <w:t>月</w:t>
      </w:r>
      <w:r>
        <w:rPr>
          <w:rFonts w:eastAsia="黑体"/>
          <w:color w:val="auto"/>
          <w:sz w:val="28"/>
          <w:szCs w:val="28"/>
          <w:highlight w:val="none"/>
          <w:u w:val="single"/>
        </w:rPr>
        <w:t xml:space="preserve">  </w:t>
      </w:r>
      <w:r>
        <w:rPr>
          <w:rFonts w:eastAsia="黑体"/>
          <w:color w:val="auto"/>
          <w:sz w:val="28"/>
          <w:szCs w:val="28"/>
          <w:highlight w:val="none"/>
        </w:rPr>
        <w:t>日</w:t>
      </w:r>
    </w:p>
    <w:p w14:paraId="05E70A2E">
      <w:pPr>
        <w:jc w:val="center"/>
        <w:rPr>
          <w:rFonts w:eastAsia="黑体"/>
          <w:color w:val="auto"/>
          <w:sz w:val="28"/>
          <w:szCs w:val="28"/>
          <w:highlight w:val="none"/>
        </w:rPr>
      </w:pPr>
    </w:p>
    <w:p w14:paraId="0B7E3B64">
      <w:pPr>
        <w:widowControl/>
        <w:jc w:val="left"/>
        <w:rPr>
          <w:color w:val="auto"/>
          <w:highlight w:val="none"/>
        </w:rPr>
      </w:pPr>
      <w:r>
        <w:rPr>
          <w:color w:val="auto"/>
          <w:highlight w:val="none"/>
        </w:rPr>
        <w:br w:type="page"/>
      </w:r>
    </w:p>
    <w:p w14:paraId="04B9130B">
      <w:pPr>
        <w:pStyle w:val="3"/>
        <w:jc w:val="center"/>
        <w:rPr>
          <w:rFonts w:ascii="黑体" w:hAnsi="宋体"/>
          <w:b w:val="0"/>
          <w:color w:val="auto"/>
          <w:szCs w:val="28"/>
          <w:highlight w:val="none"/>
        </w:rPr>
      </w:pPr>
      <w:r>
        <w:rPr>
          <w:color w:val="auto"/>
          <w:highlight w:val="none"/>
        </w:rPr>
        <w:fldChar w:fldCharType="begin"/>
      </w:r>
      <w:r>
        <w:rPr>
          <w:color w:val="auto"/>
          <w:highlight w:val="none"/>
        </w:rPr>
        <w:instrText xml:space="preserve"> HYPERLINK \l "_Toc338661805" </w:instrText>
      </w:r>
      <w:r>
        <w:rPr>
          <w:color w:val="auto"/>
          <w:highlight w:val="none"/>
        </w:rPr>
        <w:fldChar w:fldCharType="separate"/>
      </w:r>
      <w:bookmarkStart w:id="147" w:name="_Toc475407552"/>
      <w:bookmarkStart w:id="148" w:name="_Toc75852771"/>
      <w:r>
        <w:rPr>
          <w:rFonts w:hint="eastAsia" w:ascii="黑体" w:hAnsi="宋体"/>
          <w:b w:val="0"/>
          <w:color w:val="auto"/>
          <w:szCs w:val="28"/>
          <w:highlight w:val="none"/>
        </w:rPr>
        <w:t>目    录</w:t>
      </w:r>
      <w:bookmarkEnd w:id="147"/>
      <w:bookmarkEnd w:id="148"/>
      <w:r>
        <w:rPr>
          <w:rFonts w:hint="eastAsia" w:ascii="黑体" w:hAnsi="宋体"/>
          <w:b w:val="0"/>
          <w:color w:val="auto"/>
          <w:szCs w:val="28"/>
          <w:highlight w:val="none"/>
        </w:rPr>
        <w:fldChar w:fldCharType="end"/>
      </w:r>
    </w:p>
    <w:p w14:paraId="4B1C4AD0">
      <w:pPr>
        <w:spacing w:line="540" w:lineRule="exact"/>
        <w:rPr>
          <w:rFonts w:eastAsia="黑体"/>
          <w:color w:val="auto"/>
          <w:sz w:val="20"/>
          <w:szCs w:val="20"/>
          <w:highlight w:val="none"/>
        </w:rPr>
      </w:pPr>
      <w:r>
        <w:rPr>
          <w:color w:val="auto"/>
          <w:highlight w:val="none"/>
        </w:rPr>
        <w:br w:type="page"/>
      </w:r>
    </w:p>
    <w:p w14:paraId="176EE1C9">
      <w:pPr>
        <w:pStyle w:val="3"/>
        <w:jc w:val="left"/>
        <w:rPr>
          <w:color w:val="auto"/>
          <w:highlight w:val="none"/>
        </w:rPr>
      </w:pPr>
      <w:bookmarkStart w:id="149" w:name="_Toc338669151"/>
      <w:bookmarkStart w:id="150" w:name="_Toc327827430"/>
      <w:bookmarkStart w:id="151" w:name="_Toc75852772"/>
      <w:bookmarkStart w:id="152" w:name="_Toc152042577"/>
      <w:bookmarkStart w:id="153" w:name="_Toc179632808"/>
      <w:bookmarkStart w:id="154" w:name="_Toc247085874"/>
      <w:bookmarkStart w:id="155" w:name="_Toc246996356"/>
      <w:bookmarkStart w:id="156" w:name="_Toc246997099"/>
      <w:bookmarkStart w:id="157" w:name="_Toc144974857"/>
      <w:bookmarkStart w:id="158" w:name="_Toc152045788"/>
      <w:r>
        <w:rPr>
          <w:rFonts w:hint="eastAsia"/>
          <w:color w:val="auto"/>
          <w:highlight w:val="none"/>
        </w:rPr>
        <w:t>第一部分</w:t>
      </w:r>
      <w:r>
        <w:rPr>
          <w:color w:val="auto"/>
          <w:highlight w:val="none"/>
        </w:rPr>
        <w:t xml:space="preserve">  </w:t>
      </w:r>
      <w:r>
        <w:rPr>
          <w:rFonts w:hint="eastAsia"/>
          <w:color w:val="auto"/>
          <w:highlight w:val="none"/>
        </w:rPr>
        <w:t>技术商务</w:t>
      </w:r>
      <w:bookmarkEnd w:id="149"/>
      <w:bookmarkEnd w:id="150"/>
      <w:r>
        <w:rPr>
          <w:rFonts w:hint="eastAsia"/>
          <w:color w:val="auto"/>
          <w:highlight w:val="none"/>
        </w:rPr>
        <w:t>部分</w:t>
      </w:r>
      <w:bookmarkEnd w:id="151"/>
    </w:p>
    <w:p w14:paraId="13D895CB">
      <w:pPr>
        <w:pStyle w:val="3"/>
        <w:jc w:val="center"/>
        <w:rPr>
          <w:rFonts w:ascii="黑体" w:hAnsi="宋体"/>
          <w:b w:val="0"/>
          <w:color w:val="auto"/>
          <w:szCs w:val="28"/>
          <w:highlight w:val="none"/>
        </w:rPr>
      </w:pPr>
      <w:bookmarkStart w:id="159" w:name="_Toc75852773"/>
      <w:bookmarkStart w:id="160" w:name="_Toc475483721"/>
      <w:bookmarkStart w:id="161" w:name="_Toc338669152"/>
      <w:r>
        <w:rPr>
          <w:rFonts w:hint="eastAsia"/>
          <w:color w:val="auto"/>
          <w:highlight w:val="none"/>
        </w:rPr>
        <w:t>一、</w:t>
      </w:r>
      <w:r>
        <w:rPr>
          <w:rFonts w:hint="eastAsia" w:ascii="黑体" w:hAnsi="宋体"/>
          <w:b w:val="0"/>
          <w:color w:val="auto"/>
          <w:szCs w:val="28"/>
          <w:highlight w:val="none"/>
        </w:rPr>
        <w:t>评审索引表</w:t>
      </w:r>
      <w:bookmarkEnd w:id="159"/>
      <w:bookmarkEnd w:id="160"/>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405"/>
        <w:gridCol w:w="1701"/>
        <w:gridCol w:w="1701"/>
        <w:gridCol w:w="2126"/>
      </w:tblGrid>
      <w:tr w14:paraId="37A6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76F741F1">
            <w:pPr>
              <w:jc w:val="center"/>
              <w:rPr>
                <w:rFonts w:ascii="宋体" w:hAnsi="宋体"/>
                <w:color w:val="auto"/>
                <w:sz w:val="24"/>
                <w:highlight w:val="none"/>
              </w:rPr>
            </w:pPr>
            <w:r>
              <w:rPr>
                <w:rFonts w:ascii="宋体" w:hAnsi="宋体"/>
                <w:color w:val="auto"/>
                <w:sz w:val="24"/>
                <w:highlight w:val="none"/>
              </w:rPr>
              <w:t>条款号</w:t>
            </w:r>
          </w:p>
        </w:tc>
        <w:tc>
          <w:tcPr>
            <w:tcW w:w="2405" w:type="dxa"/>
            <w:vAlign w:val="center"/>
          </w:tcPr>
          <w:p w14:paraId="06A9B969">
            <w:pPr>
              <w:jc w:val="center"/>
              <w:rPr>
                <w:rFonts w:ascii="宋体" w:hAnsi="宋体"/>
                <w:color w:val="auto"/>
                <w:sz w:val="24"/>
                <w:highlight w:val="none"/>
              </w:rPr>
            </w:pPr>
            <w:r>
              <w:rPr>
                <w:rFonts w:ascii="宋体" w:hAnsi="宋体"/>
                <w:color w:val="auto"/>
                <w:sz w:val="24"/>
                <w:highlight w:val="none"/>
              </w:rPr>
              <w:t>评审因素</w:t>
            </w:r>
          </w:p>
        </w:tc>
        <w:tc>
          <w:tcPr>
            <w:tcW w:w="1701" w:type="dxa"/>
            <w:vAlign w:val="center"/>
          </w:tcPr>
          <w:p w14:paraId="383A9230">
            <w:pPr>
              <w:jc w:val="center"/>
              <w:rPr>
                <w:rFonts w:ascii="宋体" w:hAnsi="宋体"/>
                <w:color w:val="auto"/>
                <w:sz w:val="24"/>
                <w:highlight w:val="none"/>
              </w:rPr>
            </w:pPr>
            <w:r>
              <w:rPr>
                <w:rFonts w:hint="eastAsia" w:ascii="宋体" w:hAnsi="宋体"/>
                <w:color w:val="auto"/>
                <w:sz w:val="24"/>
                <w:highlight w:val="none"/>
              </w:rPr>
              <w:t>响应情况</w:t>
            </w:r>
          </w:p>
        </w:tc>
        <w:tc>
          <w:tcPr>
            <w:tcW w:w="1701" w:type="dxa"/>
            <w:vAlign w:val="center"/>
          </w:tcPr>
          <w:p w14:paraId="3A071940">
            <w:pPr>
              <w:jc w:val="center"/>
              <w:rPr>
                <w:rFonts w:ascii="宋体" w:hAnsi="宋体"/>
                <w:color w:val="auto"/>
                <w:sz w:val="24"/>
                <w:highlight w:val="none"/>
              </w:rPr>
            </w:pPr>
            <w:r>
              <w:rPr>
                <w:rFonts w:hint="eastAsia" w:ascii="宋体" w:hAnsi="宋体"/>
                <w:color w:val="auto"/>
                <w:sz w:val="24"/>
                <w:highlight w:val="none"/>
              </w:rPr>
              <w:t>对应页码</w:t>
            </w:r>
          </w:p>
        </w:tc>
        <w:tc>
          <w:tcPr>
            <w:tcW w:w="2126" w:type="dxa"/>
            <w:vAlign w:val="center"/>
          </w:tcPr>
          <w:p w14:paraId="3D606F9C">
            <w:pPr>
              <w:jc w:val="center"/>
              <w:rPr>
                <w:rFonts w:ascii="宋体" w:hAnsi="宋体"/>
                <w:color w:val="auto"/>
                <w:sz w:val="24"/>
                <w:highlight w:val="none"/>
              </w:rPr>
            </w:pPr>
            <w:r>
              <w:rPr>
                <w:rFonts w:hint="eastAsia" w:ascii="宋体" w:hAnsi="宋体"/>
                <w:color w:val="auto"/>
                <w:sz w:val="24"/>
                <w:highlight w:val="none"/>
              </w:rPr>
              <w:t>备注或说明</w:t>
            </w:r>
          </w:p>
        </w:tc>
      </w:tr>
      <w:tr w14:paraId="705D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0D41B8BD">
            <w:pPr>
              <w:tabs>
                <w:tab w:val="left" w:pos="720"/>
              </w:tabs>
              <w:spacing w:line="360" w:lineRule="auto"/>
              <w:ind w:left="-2" w:firstLine="1"/>
              <w:jc w:val="center"/>
              <w:rPr>
                <w:rFonts w:ascii="宋体" w:hAnsi="宋体"/>
                <w:color w:val="auto"/>
                <w:sz w:val="24"/>
                <w:highlight w:val="none"/>
              </w:rPr>
            </w:pPr>
            <w:r>
              <w:rPr>
                <w:rFonts w:ascii="宋体" w:hAnsi="宋体"/>
                <w:color w:val="auto"/>
                <w:sz w:val="24"/>
                <w:highlight w:val="none"/>
              </w:rPr>
              <w:t>…</w:t>
            </w:r>
          </w:p>
        </w:tc>
        <w:tc>
          <w:tcPr>
            <w:tcW w:w="2405" w:type="dxa"/>
            <w:vAlign w:val="center"/>
          </w:tcPr>
          <w:p w14:paraId="2D58D539">
            <w:pPr>
              <w:tabs>
                <w:tab w:val="left" w:pos="720"/>
              </w:tabs>
              <w:spacing w:line="360" w:lineRule="auto"/>
              <w:ind w:left="-2" w:firstLine="1"/>
              <w:jc w:val="center"/>
              <w:rPr>
                <w:rFonts w:ascii="宋体" w:hAnsi="宋体"/>
                <w:color w:val="auto"/>
                <w:sz w:val="24"/>
                <w:highlight w:val="none"/>
              </w:rPr>
            </w:pPr>
            <w:r>
              <w:rPr>
                <w:rFonts w:ascii="宋体" w:hAnsi="宋体"/>
                <w:color w:val="auto"/>
                <w:sz w:val="24"/>
                <w:highlight w:val="none"/>
              </w:rPr>
              <w:t>…</w:t>
            </w:r>
          </w:p>
        </w:tc>
        <w:tc>
          <w:tcPr>
            <w:tcW w:w="1701" w:type="dxa"/>
          </w:tcPr>
          <w:p w14:paraId="43F8A5C7">
            <w:pPr>
              <w:tabs>
                <w:tab w:val="left" w:pos="720"/>
              </w:tabs>
              <w:spacing w:line="360" w:lineRule="auto"/>
              <w:jc w:val="center"/>
              <w:rPr>
                <w:rFonts w:ascii="宋体" w:hAnsi="宋体"/>
                <w:color w:val="auto"/>
                <w:sz w:val="24"/>
                <w:highlight w:val="none"/>
              </w:rPr>
            </w:pPr>
          </w:p>
        </w:tc>
        <w:tc>
          <w:tcPr>
            <w:tcW w:w="1701" w:type="dxa"/>
            <w:vAlign w:val="center"/>
          </w:tcPr>
          <w:p w14:paraId="34FC945E">
            <w:pPr>
              <w:tabs>
                <w:tab w:val="left" w:pos="720"/>
              </w:tabs>
              <w:spacing w:line="360" w:lineRule="auto"/>
              <w:jc w:val="center"/>
              <w:rPr>
                <w:rFonts w:ascii="宋体" w:hAnsi="宋体"/>
                <w:color w:val="auto"/>
                <w:sz w:val="24"/>
                <w:highlight w:val="none"/>
              </w:rPr>
            </w:pPr>
          </w:p>
        </w:tc>
        <w:tc>
          <w:tcPr>
            <w:tcW w:w="2126" w:type="dxa"/>
            <w:vAlign w:val="center"/>
          </w:tcPr>
          <w:p w14:paraId="58D4A227">
            <w:pPr>
              <w:tabs>
                <w:tab w:val="left" w:pos="720"/>
              </w:tabs>
              <w:spacing w:line="360" w:lineRule="auto"/>
              <w:jc w:val="center"/>
              <w:rPr>
                <w:rFonts w:ascii="宋体" w:hAnsi="宋体"/>
                <w:color w:val="auto"/>
                <w:sz w:val="24"/>
                <w:highlight w:val="none"/>
              </w:rPr>
            </w:pPr>
          </w:p>
        </w:tc>
      </w:tr>
      <w:tr w14:paraId="087C1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5304358A">
            <w:pPr>
              <w:tabs>
                <w:tab w:val="left" w:pos="720"/>
              </w:tabs>
              <w:spacing w:line="360" w:lineRule="auto"/>
              <w:jc w:val="center"/>
              <w:rPr>
                <w:rFonts w:ascii="宋体" w:hAnsi="宋体"/>
                <w:color w:val="auto"/>
                <w:sz w:val="24"/>
                <w:highlight w:val="none"/>
              </w:rPr>
            </w:pPr>
          </w:p>
        </w:tc>
        <w:tc>
          <w:tcPr>
            <w:tcW w:w="2405" w:type="dxa"/>
            <w:vAlign w:val="center"/>
          </w:tcPr>
          <w:p w14:paraId="6386D75B">
            <w:pPr>
              <w:tabs>
                <w:tab w:val="left" w:pos="720"/>
              </w:tabs>
              <w:spacing w:line="360" w:lineRule="auto"/>
              <w:jc w:val="center"/>
              <w:rPr>
                <w:rFonts w:ascii="宋体" w:hAnsi="宋体"/>
                <w:color w:val="auto"/>
                <w:sz w:val="24"/>
                <w:highlight w:val="none"/>
              </w:rPr>
            </w:pPr>
          </w:p>
        </w:tc>
        <w:tc>
          <w:tcPr>
            <w:tcW w:w="1701" w:type="dxa"/>
          </w:tcPr>
          <w:p w14:paraId="4700B14C">
            <w:pPr>
              <w:tabs>
                <w:tab w:val="left" w:pos="720"/>
              </w:tabs>
              <w:spacing w:line="360" w:lineRule="auto"/>
              <w:jc w:val="center"/>
              <w:rPr>
                <w:rFonts w:ascii="宋体" w:hAnsi="宋体"/>
                <w:color w:val="auto"/>
                <w:sz w:val="24"/>
                <w:highlight w:val="none"/>
              </w:rPr>
            </w:pPr>
          </w:p>
        </w:tc>
        <w:tc>
          <w:tcPr>
            <w:tcW w:w="1701" w:type="dxa"/>
            <w:vAlign w:val="center"/>
          </w:tcPr>
          <w:p w14:paraId="009E9864">
            <w:pPr>
              <w:tabs>
                <w:tab w:val="left" w:pos="720"/>
              </w:tabs>
              <w:spacing w:line="360" w:lineRule="auto"/>
              <w:jc w:val="center"/>
              <w:rPr>
                <w:rFonts w:ascii="宋体" w:hAnsi="宋体"/>
                <w:color w:val="auto"/>
                <w:sz w:val="24"/>
                <w:highlight w:val="none"/>
              </w:rPr>
            </w:pPr>
          </w:p>
        </w:tc>
        <w:tc>
          <w:tcPr>
            <w:tcW w:w="2126" w:type="dxa"/>
            <w:vAlign w:val="center"/>
          </w:tcPr>
          <w:p w14:paraId="5F48D765">
            <w:pPr>
              <w:tabs>
                <w:tab w:val="left" w:pos="720"/>
              </w:tabs>
              <w:spacing w:line="360" w:lineRule="auto"/>
              <w:jc w:val="center"/>
              <w:rPr>
                <w:rFonts w:ascii="宋体" w:hAnsi="宋体"/>
                <w:color w:val="auto"/>
                <w:sz w:val="24"/>
                <w:highlight w:val="none"/>
              </w:rPr>
            </w:pPr>
          </w:p>
        </w:tc>
      </w:tr>
      <w:tr w14:paraId="1E28D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1BAB1907">
            <w:pPr>
              <w:tabs>
                <w:tab w:val="left" w:pos="720"/>
              </w:tabs>
              <w:spacing w:line="360" w:lineRule="auto"/>
              <w:jc w:val="center"/>
              <w:rPr>
                <w:rFonts w:ascii="宋体" w:hAnsi="宋体"/>
                <w:color w:val="auto"/>
                <w:sz w:val="24"/>
                <w:highlight w:val="none"/>
              </w:rPr>
            </w:pPr>
          </w:p>
        </w:tc>
        <w:tc>
          <w:tcPr>
            <w:tcW w:w="2405" w:type="dxa"/>
            <w:vAlign w:val="center"/>
          </w:tcPr>
          <w:p w14:paraId="0DEBE26F">
            <w:pPr>
              <w:tabs>
                <w:tab w:val="left" w:pos="720"/>
              </w:tabs>
              <w:spacing w:line="360" w:lineRule="auto"/>
              <w:jc w:val="center"/>
              <w:rPr>
                <w:rFonts w:ascii="宋体" w:hAnsi="宋体"/>
                <w:color w:val="auto"/>
                <w:sz w:val="24"/>
                <w:highlight w:val="none"/>
              </w:rPr>
            </w:pPr>
          </w:p>
        </w:tc>
        <w:tc>
          <w:tcPr>
            <w:tcW w:w="1701" w:type="dxa"/>
          </w:tcPr>
          <w:p w14:paraId="2D5A7B57">
            <w:pPr>
              <w:tabs>
                <w:tab w:val="left" w:pos="720"/>
              </w:tabs>
              <w:spacing w:line="360" w:lineRule="auto"/>
              <w:jc w:val="center"/>
              <w:rPr>
                <w:rFonts w:ascii="宋体" w:hAnsi="宋体"/>
                <w:color w:val="auto"/>
                <w:sz w:val="24"/>
                <w:highlight w:val="none"/>
              </w:rPr>
            </w:pPr>
          </w:p>
        </w:tc>
        <w:tc>
          <w:tcPr>
            <w:tcW w:w="1701" w:type="dxa"/>
            <w:vAlign w:val="center"/>
          </w:tcPr>
          <w:p w14:paraId="033A893B">
            <w:pPr>
              <w:tabs>
                <w:tab w:val="left" w:pos="720"/>
              </w:tabs>
              <w:spacing w:line="360" w:lineRule="auto"/>
              <w:jc w:val="center"/>
              <w:rPr>
                <w:rFonts w:ascii="宋体" w:hAnsi="宋体"/>
                <w:color w:val="auto"/>
                <w:sz w:val="24"/>
                <w:highlight w:val="none"/>
              </w:rPr>
            </w:pPr>
          </w:p>
        </w:tc>
        <w:tc>
          <w:tcPr>
            <w:tcW w:w="2126" w:type="dxa"/>
            <w:vAlign w:val="center"/>
          </w:tcPr>
          <w:p w14:paraId="77AF60FD">
            <w:pPr>
              <w:tabs>
                <w:tab w:val="left" w:pos="720"/>
              </w:tabs>
              <w:spacing w:line="360" w:lineRule="auto"/>
              <w:jc w:val="center"/>
              <w:rPr>
                <w:rFonts w:ascii="宋体" w:hAnsi="宋体"/>
                <w:color w:val="auto"/>
                <w:sz w:val="24"/>
                <w:highlight w:val="none"/>
              </w:rPr>
            </w:pPr>
          </w:p>
        </w:tc>
      </w:tr>
      <w:tr w14:paraId="7F792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1F06B5F7">
            <w:pPr>
              <w:tabs>
                <w:tab w:val="left" w:pos="720"/>
              </w:tabs>
              <w:spacing w:line="360" w:lineRule="auto"/>
              <w:jc w:val="center"/>
              <w:rPr>
                <w:rFonts w:ascii="宋体" w:hAnsi="宋体"/>
                <w:color w:val="auto"/>
                <w:sz w:val="24"/>
                <w:highlight w:val="none"/>
              </w:rPr>
            </w:pPr>
          </w:p>
        </w:tc>
        <w:tc>
          <w:tcPr>
            <w:tcW w:w="2405" w:type="dxa"/>
            <w:vAlign w:val="center"/>
          </w:tcPr>
          <w:p w14:paraId="5F7F998C">
            <w:pPr>
              <w:tabs>
                <w:tab w:val="left" w:pos="720"/>
              </w:tabs>
              <w:spacing w:line="360" w:lineRule="auto"/>
              <w:jc w:val="center"/>
              <w:rPr>
                <w:rFonts w:ascii="宋体" w:hAnsi="宋体"/>
                <w:color w:val="auto"/>
                <w:sz w:val="24"/>
                <w:highlight w:val="none"/>
              </w:rPr>
            </w:pPr>
          </w:p>
        </w:tc>
        <w:tc>
          <w:tcPr>
            <w:tcW w:w="1701" w:type="dxa"/>
          </w:tcPr>
          <w:p w14:paraId="3D328160">
            <w:pPr>
              <w:tabs>
                <w:tab w:val="left" w:pos="720"/>
              </w:tabs>
              <w:spacing w:line="360" w:lineRule="auto"/>
              <w:jc w:val="center"/>
              <w:rPr>
                <w:rFonts w:ascii="宋体" w:hAnsi="宋体"/>
                <w:color w:val="auto"/>
                <w:sz w:val="24"/>
                <w:highlight w:val="none"/>
              </w:rPr>
            </w:pPr>
          </w:p>
        </w:tc>
        <w:tc>
          <w:tcPr>
            <w:tcW w:w="1701" w:type="dxa"/>
            <w:vAlign w:val="center"/>
          </w:tcPr>
          <w:p w14:paraId="559A20D5">
            <w:pPr>
              <w:tabs>
                <w:tab w:val="left" w:pos="720"/>
              </w:tabs>
              <w:spacing w:line="360" w:lineRule="auto"/>
              <w:jc w:val="center"/>
              <w:rPr>
                <w:rFonts w:ascii="宋体" w:hAnsi="宋体"/>
                <w:color w:val="auto"/>
                <w:sz w:val="24"/>
                <w:highlight w:val="none"/>
              </w:rPr>
            </w:pPr>
          </w:p>
        </w:tc>
        <w:tc>
          <w:tcPr>
            <w:tcW w:w="2126" w:type="dxa"/>
            <w:vAlign w:val="center"/>
          </w:tcPr>
          <w:p w14:paraId="14EA66DF">
            <w:pPr>
              <w:tabs>
                <w:tab w:val="left" w:pos="720"/>
              </w:tabs>
              <w:spacing w:line="360" w:lineRule="auto"/>
              <w:jc w:val="center"/>
              <w:rPr>
                <w:rFonts w:ascii="宋体" w:hAnsi="宋体"/>
                <w:color w:val="auto"/>
                <w:sz w:val="24"/>
                <w:highlight w:val="none"/>
              </w:rPr>
            </w:pPr>
          </w:p>
        </w:tc>
      </w:tr>
      <w:tr w14:paraId="74607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656D776F">
            <w:pPr>
              <w:tabs>
                <w:tab w:val="left" w:pos="720"/>
              </w:tabs>
              <w:spacing w:line="360" w:lineRule="auto"/>
              <w:jc w:val="center"/>
              <w:rPr>
                <w:rFonts w:ascii="宋体" w:hAnsi="宋体"/>
                <w:color w:val="auto"/>
                <w:sz w:val="24"/>
                <w:highlight w:val="none"/>
              </w:rPr>
            </w:pPr>
          </w:p>
        </w:tc>
        <w:tc>
          <w:tcPr>
            <w:tcW w:w="2405" w:type="dxa"/>
            <w:vAlign w:val="center"/>
          </w:tcPr>
          <w:p w14:paraId="338BDA3B">
            <w:pPr>
              <w:tabs>
                <w:tab w:val="left" w:pos="720"/>
              </w:tabs>
              <w:spacing w:line="360" w:lineRule="auto"/>
              <w:jc w:val="center"/>
              <w:rPr>
                <w:rFonts w:ascii="宋体" w:hAnsi="宋体"/>
                <w:color w:val="auto"/>
                <w:sz w:val="24"/>
                <w:highlight w:val="none"/>
              </w:rPr>
            </w:pPr>
          </w:p>
        </w:tc>
        <w:tc>
          <w:tcPr>
            <w:tcW w:w="1701" w:type="dxa"/>
          </w:tcPr>
          <w:p w14:paraId="173FDB68">
            <w:pPr>
              <w:tabs>
                <w:tab w:val="left" w:pos="720"/>
              </w:tabs>
              <w:spacing w:line="360" w:lineRule="auto"/>
              <w:jc w:val="center"/>
              <w:rPr>
                <w:rFonts w:ascii="宋体" w:hAnsi="宋体"/>
                <w:color w:val="auto"/>
                <w:sz w:val="24"/>
                <w:highlight w:val="none"/>
              </w:rPr>
            </w:pPr>
          </w:p>
        </w:tc>
        <w:tc>
          <w:tcPr>
            <w:tcW w:w="1701" w:type="dxa"/>
            <w:vAlign w:val="center"/>
          </w:tcPr>
          <w:p w14:paraId="07D0F3AF">
            <w:pPr>
              <w:tabs>
                <w:tab w:val="left" w:pos="720"/>
              </w:tabs>
              <w:spacing w:line="360" w:lineRule="auto"/>
              <w:jc w:val="center"/>
              <w:rPr>
                <w:rFonts w:ascii="宋体" w:hAnsi="宋体"/>
                <w:color w:val="auto"/>
                <w:sz w:val="24"/>
                <w:highlight w:val="none"/>
              </w:rPr>
            </w:pPr>
          </w:p>
        </w:tc>
        <w:tc>
          <w:tcPr>
            <w:tcW w:w="2126" w:type="dxa"/>
            <w:vAlign w:val="center"/>
          </w:tcPr>
          <w:p w14:paraId="76213E50">
            <w:pPr>
              <w:tabs>
                <w:tab w:val="left" w:pos="720"/>
              </w:tabs>
              <w:spacing w:line="360" w:lineRule="auto"/>
              <w:jc w:val="center"/>
              <w:rPr>
                <w:rFonts w:ascii="宋体" w:hAnsi="宋体"/>
                <w:color w:val="auto"/>
                <w:sz w:val="24"/>
                <w:highlight w:val="none"/>
              </w:rPr>
            </w:pPr>
          </w:p>
        </w:tc>
      </w:tr>
      <w:tr w14:paraId="5FA4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33B5AF2D">
            <w:pPr>
              <w:tabs>
                <w:tab w:val="left" w:pos="720"/>
              </w:tabs>
              <w:spacing w:line="360" w:lineRule="auto"/>
              <w:jc w:val="center"/>
              <w:rPr>
                <w:rFonts w:ascii="宋体" w:hAnsi="宋体"/>
                <w:color w:val="auto"/>
                <w:sz w:val="24"/>
                <w:highlight w:val="none"/>
              </w:rPr>
            </w:pPr>
          </w:p>
        </w:tc>
        <w:tc>
          <w:tcPr>
            <w:tcW w:w="2405" w:type="dxa"/>
            <w:vAlign w:val="center"/>
          </w:tcPr>
          <w:p w14:paraId="5C0E3394">
            <w:pPr>
              <w:tabs>
                <w:tab w:val="left" w:pos="720"/>
              </w:tabs>
              <w:spacing w:line="360" w:lineRule="auto"/>
              <w:jc w:val="center"/>
              <w:rPr>
                <w:rFonts w:ascii="宋体" w:hAnsi="宋体"/>
                <w:color w:val="auto"/>
                <w:sz w:val="24"/>
                <w:highlight w:val="none"/>
              </w:rPr>
            </w:pPr>
          </w:p>
        </w:tc>
        <w:tc>
          <w:tcPr>
            <w:tcW w:w="1701" w:type="dxa"/>
          </w:tcPr>
          <w:p w14:paraId="27DD93A0">
            <w:pPr>
              <w:tabs>
                <w:tab w:val="left" w:pos="720"/>
              </w:tabs>
              <w:spacing w:line="360" w:lineRule="auto"/>
              <w:jc w:val="center"/>
              <w:rPr>
                <w:rFonts w:ascii="宋体" w:hAnsi="宋体"/>
                <w:color w:val="auto"/>
                <w:sz w:val="24"/>
                <w:highlight w:val="none"/>
              </w:rPr>
            </w:pPr>
          </w:p>
        </w:tc>
        <w:tc>
          <w:tcPr>
            <w:tcW w:w="1701" w:type="dxa"/>
            <w:vAlign w:val="center"/>
          </w:tcPr>
          <w:p w14:paraId="7A753950">
            <w:pPr>
              <w:tabs>
                <w:tab w:val="left" w:pos="720"/>
              </w:tabs>
              <w:spacing w:line="360" w:lineRule="auto"/>
              <w:jc w:val="center"/>
              <w:rPr>
                <w:rFonts w:ascii="宋体" w:hAnsi="宋体"/>
                <w:color w:val="auto"/>
                <w:sz w:val="24"/>
                <w:highlight w:val="none"/>
              </w:rPr>
            </w:pPr>
          </w:p>
        </w:tc>
        <w:tc>
          <w:tcPr>
            <w:tcW w:w="2126" w:type="dxa"/>
            <w:vAlign w:val="center"/>
          </w:tcPr>
          <w:p w14:paraId="7E24AA3E">
            <w:pPr>
              <w:tabs>
                <w:tab w:val="left" w:pos="720"/>
              </w:tabs>
              <w:spacing w:line="360" w:lineRule="auto"/>
              <w:jc w:val="center"/>
              <w:rPr>
                <w:rFonts w:ascii="宋体" w:hAnsi="宋体"/>
                <w:color w:val="auto"/>
                <w:sz w:val="24"/>
                <w:highlight w:val="none"/>
              </w:rPr>
            </w:pPr>
          </w:p>
        </w:tc>
      </w:tr>
      <w:tr w14:paraId="74CE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358E760A">
            <w:pPr>
              <w:tabs>
                <w:tab w:val="left" w:pos="720"/>
              </w:tabs>
              <w:spacing w:line="360" w:lineRule="auto"/>
              <w:jc w:val="center"/>
              <w:rPr>
                <w:rFonts w:ascii="宋体" w:hAnsi="宋体"/>
                <w:color w:val="auto"/>
                <w:sz w:val="24"/>
                <w:highlight w:val="none"/>
              </w:rPr>
            </w:pPr>
          </w:p>
        </w:tc>
        <w:tc>
          <w:tcPr>
            <w:tcW w:w="2405" w:type="dxa"/>
            <w:vAlign w:val="center"/>
          </w:tcPr>
          <w:p w14:paraId="3553311B">
            <w:pPr>
              <w:tabs>
                <w:tab w:val="left" w:pos="720"/>
              </w:tabs>
              <w:spacing w:line="360" w:lineRule="auto"/>
              <w:jc w:val="center"/>
              <w:rPr>
                <w:rFonts w:ascii="宋体" w:hAnsi="宋体"/>
                <w:color w:val="auto"/>
                <w:sz w:val="24"/>
                <w:highlight w:val="none"/>
              </w:rPr>
            </w:pPr>
          </w:p>
        </w:tc>
        <w:tc>
          <w:tcPr>
            <w:tcW w:w="1701" w:type="dxa"/>
          </w:tcPr>
          <w:p w14:paraId="538F999F">
            <w:pPr>
              <w:tabs>
                <w:tab w:val="left" w:pos="720"/>
              </w:tabs>
              <w:spacing w:line="360" w:lineRule="auto"/>
              <w:jc w:val="center"/>
              <w:rPr>
                <w:rFonts w:ascii="宋体" w:hAnsi="宋体"/>
                <w:color w:val="auto"/>
                <w:sz w:val="24"/>
                <w:highlight w:val="none"/>
              </w:rPr>
            </w:pPr>
          </w:p>
        </w:tc>
        <w:tc>
          <w:tcPr>
            <w:tcW w:w="1701" w:type="dxa"/>
            <w:vAlign w:val="center"/>
          </w:tcPr>
          <w:p w14:paraId="4705472C">
            <w:pPr>
              <w:tabs>
                <w:tab w:val="left" w:pos="720"/>
              </w:tabs>
              <w:spacing w:line="360" w:lineRule="auto"/>
              <w:jc w:val="center"/>
              <w:rPr>
                <w:rFonts w:ascii="宋体" w:hAnsi="宋体"/>
                <w:color w:val="auto"/>
                <w:sz w:val="24"/>
                <w:highlight w:val="none"/>
              </w:rPr>
            </w:pPr>
          </w:p>
        </w:tc>
        <w:tc>
          <w:tcPr>
            <w:tcW w:w="2126" w:type="dxa"/>
            <w:vAlign w:val="center"/>
          </w:tcPr>
          <w:p w14:paraId="308837BB">
            <w:pPr>
              <w:tabs>
                <w:tab w:val="left" w:pos="720"/>
              </w:tabs>
              <w:spacing w:line="360" w:lineRule="auto"/>
              <w:jc w:val="center"/>
              <w:rPr>
                <w:rFonts w:ascii="宋体" w:hAnsi="宋体"/>
                <w:color w:val="auto"/>
                <w:sz w:val="24"/>
                <w:highlight w:val="none"/>
              </w:rPr>
            </w:pPr>
          </w:p>
        </w:tc>
      </w:tr>
      <w:tr w14:paraId="2AD93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3B6CF4FA">
            <w:pPr>
              <w:tabs>
                <w:tab w:val="left" w:pos="720"/>
              </w:tabs>
              <w:spacing w:line="360" w:lineRule="auto"/>
              <w:jc w:val="center"/>
              <w:rPr>
                <w:rFonts w:ascii="宋体" w:hAnsi="宋体"/>
                <w:color w:val="auto"/>
                <w:sz w:val="24"/>
                <w:highlight w:val="none"/>
              </w:rPr>
            </w:pPr>
          </w:p>
        </w:tc>
        <w:tc>
          <w:tcPr>
            <w:tcW w:w="2405" w:type="dxa"/>
            <w:vAlign w:val="center"/>
          </w:tcPr>
          <w:p w14:paraId="5DFEF602">
            <w:pPr>
              <w:tabs>
                <w:tab w:val="left" w:pos="720"/>
              </w:tabs>
              <w:spacing w:line="360" w:lineRule="auto"/>
              <w:jc w:val="center"/>
              <w:rPr>
                <w:rFonts w:ascii="宋体" w:hAnsi="宋体"/>
                <w:color w:val="auto"/>
                <w:sz w:val="24"/>
                <w:highlight w:val="none"/>
              </w:rPr>
            </w:pPr>
          </w:p>
        </w:tc>
        <w:tc>
          <w:tcPr>
            <w:tcW w:w="1701" w:type="dxa"/>
          </w:tcPr>
          <w:p w14:paraId="193086BE">
            <w:pPr>
              <w:tabs>
                <w:tab w:val="left" w:pos="720"/>
              </w:tabs>
              <w:spacing w:line="360" w:lineRule="auto"/>
              <w:jc w:val="center"/>
              <w:rPr>
                <w:rFonts w:ascii="宋体" w:hAnsi="宋体"/>
                <w:color w:val="auto"/>
                <w:sz w:val="24"/>
                <w:highlight w:val="none"/>
              </w:rPr>
            </w:pPr>
          </w:p>
        </w:tc>
        <w:tc>
          <w:tcPr>
            <w:tcW w:w="1701" w:type="dxa"/>
            <w:vAlign w:val="center"/>
          </w:tcPr>
          <w:p w14:paraId="75ADDC98">
            <w:pPr>
              <w:tabs>
                <w:tab w:val="left" w:pos="720"/>
              </w:tabs>
              <w:spacing w:line="360" w:lineRule="auto"/>
              <w:jc w:val="center"/>
              <w:rPr>
                <w:rFonts w:ascii="宋体" w:hAnsi="宋体"/>
                <w:color w:val="auto"/>
                <w:sz w:val="24"/>
                <w:highlight w:val="none"/>
              </w:rPr>
            </w:pPr>
          </w:p>
        </w:tc>
        <w:tc>
          <w:tcPr>
            <w:tcW w:w="2126" w:type="dxa"/>
            <w:vAlign w:val="center"/>
          </w:tcPr>
          <w:p w14:paraId="29F4AE8D">
            <w:pPr>
              <w:tabs>
                <w:tab w:val="left" w:pos="720"/>
              </w:tabs>
              <w:spacing w:line="360" w:lineRule="auto"/>
              <w:jc w:val="center"/>
              <w:rPr>
                <w:rFonts w:ascii="宋体" w:hAnsi="宋体"/>
                <w:color w:val="auto"/>
                <w:sz w:val="24"/>
                <w:highlight w:val="none"/>
              </w:rPr>
            </w:pPr>
          </w:p>
        </w:tc>
      </w:tr>
      <w:tr w14:paraId="3792B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69250584">
            <w:pPr>
              <w:tabs>
                <w:tab w:val="left" w:pos="720"/>
              </w:tabs>
              <w:spacing w:line="360" w:lineRule="auto"/>
              <w:jc w:val="center"/>
              <w:rPr>
                <w:rFonts w:ascii="宋体" w:hAnsi="宋体"/>
                <w:color w:val="auto"/>
                <w:sz w:val="24"/>
                <w:highlight w:val="none"/>
              </w:rPr>
            </w:pPr>
          </w:p>
        </w:tc>
        <w:tc>
          <w:tcPr>
            <w:tcW w:w="2405" w:type="dxa"/>
            <w:vAlign w:val="center"/>
          </w:tcPr>
          <w:p w14:paraId="4C519350">
            <w:pPr>
              <w:tabs>
                <w:tab w:val="left" w:pos="720"/>
              </w:tabs>
              <w:spacing w:line="360" w:lineRule="auto"/>
              <w:jc w:val="center"/>
              <w:rPr>
                <w:rFonts w:ascii="宋体" w:hAnsi="宋体"/>
                <w:color w:val="auto"/>
                <w:sz w:val="24"/>
                <w:highlight w:val="none"/>
              </w:rPr>
            </w:pPr>
          </w:p>
        </w:tc>
        <w:tc>
          <w:tcPr>
            <w:tcW w:w="1701" w:type="dxa"/>
          </w:tcPr>
          <w:p w14:paraId="708D2F4A">
            <w:pPr>
              <w:tabs>
                <w:tab w:val="left" w:pos="720"/>
              </w:tabs>
              <w:spacing w:line="360" w:lineRule="auto"/>
              <w:ind w:left="420"/>
              <w:jc w:val="center"/>
              <w:rPr>
                <w:rFonts w:ascii="宋体" w:hAnsi="宋体"/>
                <w:color w:val="auto"/>
                <w:sz w:val="24"/>
                <w:highlight w:val="none"/>
              </w:rPr>
            </w:pPr>
          </w:p>
        </w:tc>
        <w:tc>
          <w:tcPr>
            <w:tcW w:w="1701" w:type="dxa"/>
            <w:vAlign w:val="center"/>
          </w:tcPr>
          <w:p w14:paraId="735C11CE">
            <w:pPr>
              <w:tabs>
                <w:tab w:val="left" w:pos="720"/>
              </w:tabs>
              <w:spacing w:line="360" w:lineRule="auto"/>
              <w:ind w:left="420"/>
              <w:jc w:val="center"/>
              <w:rPr>
                <w:rFonts w:ascii="宋体" w:hAnsi="宋体"/>
                <w:color w:val="auto"/>
                <w:sz w:val="24"/>
                <w:highlight w:val="none"/>
              </w:rPr>
            </w:pPr>
          </w:p>
        </w:tc>
        <w:tc>
          <w:tcPr>
            <w:tcW w:w="2126" w:type="dxa"/>
            <w:vAlign w:val="center"/>
          </w:tcPr>
          <w:p w14:paraId="2E2409A4">
            <w:pPr>
              <w:tabs>
                <w:tab w:val="left" w:pos="720"/>
              </w:tabs>
              <w:spacing w:line="360" w:lineRule="auto"/>
              <w:ind w:left="420"/>
              <w:jc w:val="center"/>
              <w:rPr>
                <w:rFonts w:ascii="宋体" w:hAnsi="宋体"/>
                <w:color w:val="auto"/>
                <w:sz w:val="24"/>
                <w:highlight w:val="none"/>
              </w:rPr>
            </w:pPr>
          </w:p>
        </w:tc>
      </w:tr>
      <w:tr w14:paraId="7ABE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11B10619">
            <w:pPr>
              <w:tabs>
                <w:tab w:val="left" w:pos="720"/>
              </w:tabs>
              <w:spacing w:line="360" w:lineRule="auto"/>
              <w:jc w:val="center"/>
              <w:rPr>
                <w:rFonts w:ascii="宋体" w:hAnsi="宋体"/>
                <w:color w:val="auto"/>
                <w:sz w:val="24"/>
                <w:highlight w:val="none"/>
              </w:rPr>
            </w:pPr>
          </w:p>
        </w:tc>
        <w:tc>
          <w:tcPr>
            <w:tcW w:w="2405" w:type="dxa"/>
            <w:vAlign w:val="center"/>
          </w:tcPr>
          <w:p w14:paraId="4F43AB32">
            <w:pPr>
              <w:tabs>
                <w:tab w:val="left" w:pos="720"/>
              </w:tabs>
              <w:spacing w:line="360" w:lineRule="auto"/>
              <w:jc w:val="center"/>
              <w:rPr>
                <w:rFonts w:ascii="宋体" w:hAnsi="宋体"/>
                <w:color w:val="auto"/>
                <w:sz w:val="24"/>
                <w:highlight w:val="none"/>
              </w:rPr>
            </w:pPr>
          </w:p>
        </w:tc>
        <w:tc>
          <w:tcPr>
            <w:tcW w:w="1701" w:type="dxa"/>
          </w:tcPr>
          <w:p w14:paraId="720B8D41">
            <w:pPr>
              <w:tabs>
                <w:tab w:val="left" w:pos="720"/>
              </w:tabs>
              <w:spacing w:line="360" w:lineRule="auto"/>
              <w:ind w:left="420"/>
              <w:jc w:val="center"/>
              <w:rPr>
                <w:rFonts w:ascii="宋体" w:hAnsi="宋体"/>
                <w:color w:val="auto"/>
                <w:sz w:val="24"/>
                <w:highlight w:val="none"/>
              </w:rPr>
            </w:pPr>
          </w:p>
        </w:tc>
        <w:tc>
          <w:tcPr>
            <w:tcW w:w="1701" w:type="dxa"/>
            <w:vAlign w:val="center"/>
          </w:tcPr>
          <w:p w14:paraId="4036ECA0">
            <w:pPr>
              <w:tabs>
                <w:tab w:val="left" w:pos="720"/>
              </w:tabs>
              <w:spacing w:line="360" w:lineRule="auto"/>
              <w:ind w:left="420"/>
              <w:jc w:val="center"/>
              <w:rPr>
                <w:rFonts w:ascii="宋体" w:hAnsi="宋体"/>
                <w:color w:val="auto"/>
                <w:sz w:val="24"/>
                <w:highlight w:val="none"/>
              </w:rPr>
            </w:pPr>
          </w:p>
        </w:tc>
        <w:tc>
          <w:tcPr>
            <w:tcW w:w="2126" w:type="dxa"/>
            <w:vAlign w:val="center"/>
          </w:tcPr>
          <w:p w14:paraId="16209344">
            <w:pPr>
              <w:tabs>
                <w:tab w:val="left" w:pos="720"/>
              </w:tabs>
              <w:spacing w:line="360" w:lineRule="auto"/>
              <w:ind w:left="420"/>
              <w:jc w:val="center"/>
              <w:rPr>
                <w:rFonts w:ascii="宋体" w:hAnsi="宋体"/>
                <w:color w:val="auto"/>
                <w:sz w:val="24"/>
                <w:highlight w:val="none"/>
              </w:rPr>
            </w:pPr>
          </w:p>
        </w:tc>
      </w:tr>
      <w:tr w14:paraId="359A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701223FE">
            <w:pPr>
              <w:tabs>
                <w:tab w:val="left" w:pos="720"/>
              </w:tabs>
              <w:spacing w:line="360" w:lineRule="auto"/>
              <w:jc w:val="center"/>
              <w:rPr>
                <w:rFonts w:ascii="宋体" w:hAnsi="宋体"/>
                <w:color w:val="auto"/>
                <w:sz w:val="24"/>
                <w:highlight w:val="none"/>
              </w:rPr>
            </w:pPr>
          </w:p>
        </w:tc>
        <w:tc>
          <w:tcPr>
            <w:tcW w:w="2405" w:type="dxa"/>
            <w:vAlign w:val="center"/>
          </w:tcPr>
          <w:p w14:paraId="02FBCC6D">
            <w:pPr>
              <w:tabs>
                <w:tab w:val="left" w:pos="720"/>
              </w:tabs>
              <w:spacing w:line="360" w:lineRule="auto"/>
              <w:jc w:val="center"/>
              <w:rPr>
                <w:rFonts w:ascii="宋体" w:hAnsi="宋体"/>
                <w:color w:val="auto"/>
                <w:sz w:val="24"/>
                <w:highlight w:val="none"/>
              </w:rPr>
            </w:pPr>
          </w:p>
        </w:tc>
        <w:tc>
          <w:tcPr>
            <w:tcW w:w="1701" w:type="dxa"/>
          </w:tcPr>
          <w:p w14:paraId="10DE1C89">
            <w:pPr>
              <w:tabs>
                <w:tab w:val="left" w:pos="720"/>
              </w:tabs>
              <w:spacing w:line="360" w:lineRule="auto"/>
              <w:jc w:val="center"/>
              <w:rPr>
                <w:rFonts w:ascii="宋体" w:hAnsi="宋体"/>
                <w:color w:val="auto"/>
                <w:sz w:val="24"/>
                <w:highlight w:val="none"/>
              </w:rPr>
            </w:pPr>
          </w:p>
        </w:tc>
        <w:tc>
          <w:tcPr>
            <w:tcW w:w="1701" w:type="dxa"/>
            <w:vAlign w:val="center"/>
          </w:tcPr>
          <w:p w14:paraId="33F96A52">
            <w:pPr>
              <w:tabs>
                <w:tab w:val="left" w:pos="720"/>
              </w:tabs>
              <w:spacing w:line="360" w:lineRule="auto"/>
              <w:jc w:val="center"/>
              <w:rPr>
                <w:rFonts w:ascii="宋体" w:hAnsi="宋体"/>
                <w:color w:val="auto"/>
                <w:sz w:val="24"/>
                <w:highlight w:val="none"/>
              </w:rPr>
            </w:pPr>
          </w:p>
        </w:tc>
        <w:tc>
          <w:tcPr>
            <w:tcW w:w="2126" w:type="dxa"/>
            <w:vAlign w:val="center"/>
          </w:tcPr>
          <w:p w14:paraId="02709F43">
            <w:pPr>
              <w:tabs>
                <w:tab w:val="left" w:pos="720"/>
              </w:tabs>
              <w:spacing w:line="360" w:lineRule="auto"/>
              <w:jc w:val="center"/>
              <w:rPr>
                <w:rFonts w:ascii="宋体" w:hAnsi="宋体"/>
                <w:color w:val="auto"/>
                <w:sz w:val="24"/>
                <w:highlight w:val="none"/>
              </w:rPr>
            </w:pPr>
          </w:p>
        </w:tc>
      </w:tr>
      <w:tr w14:paraId="7078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054C4C95">
            <w:pPr>
              <w:tabs>
                <w:tab w:val="left" w:pos="720"/>
              </w:tabs>
              <w:spacing w:line="360" w:lineRule="auto"/>
              <w:jc w:val="center"/>
              <w:rPr>
                <w:rFonts w:ascii="宋体" w:hAnsi="宋体"/>
                <w:color w:val="auto"/>
                <w:sz w:val="24"/>
                <w:highlight w:val="none"/>
              </w:rPr>
            </w:pPr>
          </w:p>
        </w:tc>
        <w:tc>
          <w:tcPr>
            <w:tcW w:w="2405" w:type="dxa"/>
            <w:vAlign w:val="center"/>
          </w:tcPr>
          <w:p w14:paraId="5B22B583">
            <w:pPr>
              <w:tabs>
                <w:tab w:val="left" w:pos="720"/>
              </w:tabs>
              <w:spacing w:line="360" w:lineRule="auto"/>
              <w:jc w:val="center"/>
              <w:rPr>
                <w:rFonts w:ascii="宋体" w:hAnsi="宋体"/>
                <w:color w:val="auto"/>
                <w:sz w:val="24"/>
                <w:highlight w:val="none"/>
              </w:rPr>
            </w:pPr>
          </w:p>
        </w:tc>
        <w:tc>
          <w:tcPr>
            <w:tcW w:w="1701" w:type="dxa"/>
          </w:tcPr>
          <w:p w14:paraId="5D9A4412">
            <w:pPr>
              <w:tabs>
                <w:tab w:val="left" w:pos="720"/>
              </w:tabs>
              <w:spacing w:line="360" w:lineRule="auto"/>
              <w:jc w:val="center"/>
              <w:rPr>
                <w:rFonts w:ascii="宋体" w:hAnsi="宋体"/>
                <w:color w:val="auto"/>
                <w:sz w:val="24"/>
                <w:highlight w:val="none"/>
              </w:rPr>
            </w:pPr>
          </w:p>
        </w:tc>
        <w:tc>
          <w:tcPr>
            <w:tcW w:w="1701" w:type="dxa"/>
            <w:vAlign w:val="center"/>
          </w:tcPr>
          <w:p w14:paraId="02324C72">
            <w:pPr>
              <w:tabs>
                <w:tab w:val="left" w:pos="720"/>
              </w:tabs>
              <w:spacing w:line="360" w:lineRule="auto"/>
              <w:jc w:val="center"/>
              <w:rPr>
                <w:rFonts w:ascii="宋体" w:hAnsi="宋体"/>
                <w:color w:val="auto"/>
                <w:sz w:val="24"/>
                <w:highlight w:val="none"/>
              </w:rPr>
            </w:pPr>
          </w:p>
        </w:tc>
        <w:tc>
          <w:tcPr>
            <w:tcW w:w="2126" w:type="dxa"/>
            <w:vAlign w:val="center"/>
          </w:tcPr>
          <w:p w14:paraId="5EAB6616">
            <w:pPr>
              <w:tabs>
                <w:tab w:val="left" w:pos="720"/>
              </w:tabs>
              <w:spacing w:line="360" w:lineRule="auto"/>
              <w:jc w:val="center"/>
              <w:rPr>
                <w:rFonts w:ascii="宋体" w:hAnsi="宋体"/>
                <w:color w:val="auto"/>
                <w:sz w:val="24"/>
                <w:highlight w:val="none"/>
              </w:rPr>
            </w:pPr>
          </w:p>
        </w:tc>
      </w:tr>
      <w:tr w14:paraId="7BC1B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86" w:type="dxa"/>
            <w:vAlign w:val="center"/>
          </w:tcPr>
          <w:p w14:paraId="5265CD24">
            <w:pPr>
              <w:tabs>
                <w:tab w:val="left" w:pos="720"/>
              </w:tabs>
              <w:spacing w:line="360" w:lineRule="auto"/>
              <w:jc w:val="center"/>
              <w:rPr>
                <w:rFonts w:ascii="宋体" w:hAnsi="宋体"/>
                <w:color w:val="auto"/>
                <w:sz w:val="24"/>
                <w:highlight w:val="none"/>
              </w:rPr>
            </w:pPr>
          </w:p>
        </w:tc>
        <w:tc>
          <w:tcPr>
            <w:tcW w:w="2405" w:type="dxa"/>
            <w:vAlign w:val="center"/>
          </w:tcPr>
          <w:p w14:paraId="267BCF99">
            <w:pPr>
              <w:tabs>
                <w:tab w:val="left" w:pos="720"/>
              </w:tabs>
              <w:spacing w:line="360" w:lineRule="auto"/>
              <w:jc w:val="center"/>
              <w:rPr>
                <w:rFonts w:ascii="宋体" w:hAnsi="宋体"/>
                <w:color w:val="auto"/>
                <w:sz w:val="24"/>
                <w:highlight w:val="none"/>
              </w:rPr>
            </w:pPr>
          </w:p>
        </w:tc>
        <w:tc>
          <w:tcPr>
            <w:tcW w:w="1701" w:type="dxa"/>
          </w:tcPr>
          <w:p w14:paraId="76D7DB2C">
            <w:pPr>
              <w:tabs>
                <w:tab w:val="left" w:pos="720"/>
              </w:tabs>
              <w:spacing w:line="360" w:lineRule="auto"/>
              <w:jc w:val="center"/>
              <w:rPr>
                <w:rFonts w:ascii="宋体" w:hAnsi="宋体"/>
                <w:color w:val="auto"/>
                <w:sz w:val="24"/>
                <w:highlight w:val="none"/>
              </w:rPr>
            </w:pPr>
          </w:p>
        </w:tc>
        <w:tc>
          <w:tcPr>
            <w:tcW w:w="1701" w:type="dxa"/>
            <w:vAlign w:val="center"/>
          </w:tcPr>
          <w:p w14:paraId="520028D6">
            <w:pPr>
              <w:tabs>
                <w:tab w:val="left" w:pos="720"/>
              </w:tabs>
              <w:spacing w:line="360" w:lineRule="auto"/>
              <w:jc w:val="center"/>
              <w:rPr>
                <w:rFonts w:ascii="宋体" w:hAnsi="宋体"/>
                <w:color w:val="auto"/>
                <w:sz w:val="24"/>
                <w:highlight w:val="none"/>
              </w:rPr>
            </w:pPr>
          </w:p>
        </w:tc>
        <w:tc>
          <w:tcPr>
            <w:tcW w:w="2126" w:type="dxa"/>
            <w:vAlign w:val="center"/>
          </w:tcPr>
          <w:p w14:paraId="6B2B6B56">
            <w:pPr>
              <w:tabs>
                <w:tab w:val="left" w:pos="720"/>
              </w:tabs>
              <w:spacing w:line="360" w:lineRule="auto"/>
              <w:jc w:val="center"/>
              <w:rPr>
                <w:rFonts w:ascii="宋体" w:hAnsi="宋体"/>
                <w:color w:val="auto"/>
                <w:sz w:val="24"/>
                <w:highlight w:val="none"/>
              </w:rPr>
            </w:pPr>
          </w:p>
        </w:tc>
      </w:tr>
    </w:tbl>
    <w:p w14:paraId="5230CDE3">
      <w:pPr>
        <w:pStyle w:val="3"/>
        <w:jc w:val="center"/>
        <w:rPr>
          <w:color w:val="auto"/>
          <w:highlight w:val="none"/>
        </w:rPr>
      </w:pPr>
      <w:r>
        <w:rPr>
          <w:color w:val="auto"/>
          <w:highlight w:val="none"/>
        </w:rPr>
        <w:br w:type="page"/>
      </w:r>
      <w:bookmarkStart w:id="162" w:name="_Toc75852774"/>
      <w:r>
        <w:rPr>
          <w:rFonts w:hint="eastAsia"/>
          <w:color w:val="auto"/>
          <w:highlight w:val="none"/>
        </w:rPr>
        <w:t>二</w:t>
      </w:r>
      <w:r>
        <w:rPr>
          <w:color w:val="auto"/>
          <w:highlight w:val="none"/>
        </w:rPr>
        <w:t>、竞争性谈判</w:t>
      </w:r>
      <w:r>
        <w:rPr>
          <w:rFonts w:hint="eastAsia"/>
          <w:color w:val="auto"/>
          <w:highlight w:val="none"/>
        </w:rPr>
        <w:t>响应</w:t>
      </w:r>
      <w:r>
        <w:rPr>
          <w:color w:val="auto"/>
          <w:highlight w:val="none"/>
        </w:rPr>
        <w:t>函</w:t>
      </w:r>
      <w:bookmarkEnd w:id="152"/>
      <w:bookmarkEnd w:id="153"/>
      <w:bookmarkEnd w:id="154"/>
      <w:bookmarkEnd w:id="155"/>
      <w:bookmarkEnd w:id="156"/>
      <w:bookmarkEnd w:id="157"/>
      <w:bookmarkEnd w:id="158"/>
      <w:bookmarkEnd w:id="161"/>
      <w:bookmarkEnd w:id="162"/>
    </w:p>
    <w:p w14:paraId="35576F48">
      <w:pPr>
        <w:spacing w:line="400" w:lineRule="exact"/>
        <w:rPr>
          <w:color w:val="auto"/>
          <w:szCs w:val="21"/>
          <w:highlight w:val="none"/>
        </w:rPr>
      </w:pPr>
      <w:r>
        <w:rPr>
          <w:rFonts w:hint="eastAsia"/>
          <w:color w:val="auto"/>
          <w:szCs w:val="21"/>
          <w:highlight w:val="none"/>
        </w:rPr>
        <w:t>致：</w:t>
      </w:r>
      <w:r>
        <w:rPr>
          <w:color w:val="auto"/>
          <w:szCs w:val="21"/>
          <w:highlight w:val="none"/>
          <w:u w:val="single"/>
        </w:rPr>
        <w:t xml:space="preserve">       （采购人名称）</w:t>
      </w:r>
      <w:r>
        <w:rPr>
          <w:rFonts w:hint="eastAsia"/>
          <w:color w:val="auto"/>
          <w:szCs w:val="21"/>
          <w:highlight w:val="none"/>
          <w:u w:val="single"/>
        </w:rPr>
        <w:t xml:space="preserve">        </w:t>
      </w:r>
      <w:r>
        <w:rPr>
          <w:color w:val="auto"/>
          <w:szCs w:val="21"/>
          <w:highlight w:val="none"/>
        </w:rPr>
        <w:t>：</w:t>
      </w:r>
    </w:p>
    <w:p w14:paraId="7654F39F">
      <w:pPr>
        <w:spacing w:line="400" w:lineRule="exact"/>
        <w:ind w:firstLine="422" w:firstLineChars="200"/>
        <w:rPr>
          <w:color w:val="auto"/>
          <w:szCs w:val="21"/>
          <w:highlight w:val="none"/>
        </w:rPr>
      </w:pPr>
      <w:r>
        <w:rPr>
          <w:b/>
          <w:color w:val="auto"/>
          <w:szCs w:val="21"/>
          <w:highlight w:val="none"/>
          <w:u w:val="single"/>
        </w:rPr>
        <w:t xml:space="preserve"> </w:t>
      </w:r>
      <w:r>
        <w:rPr>
          <w:rFonts w:hint="eastAsia"/>
          <w:color w:val="auto"/>
          <w:szCs w:val="21"/>
          <w:highlight w:val="none"/>
          <w:u w:val="single"/>
        </w:rPr>
        <w:t>（响应人名称）（以下简称我方）</w:t>
      </w:r>
      <w:r>
        <w:rPr>
          <w:color w:val="auto"/>
          <w:szCs w:val="21"/>
          <w:highlight w:val="none"/>
        </w:rPr>
        <w:t>已仔细研究了</w:t>
      </w:r>
      <w:r>
        <w:rPr>
          <w:color w:val="auto"/>
          <w:szCs w:val="21"/>
          <w:highlight w:val="none"/>
          <w:u w:val="single"/>
        </w:rPr>
        <w:t xml:space="preserve"> （项目名称）</w:t>
      </w:r>
      <w:r>
        <w:rPr>
          <w:rFonts w:hint="eastAsia"/>
          <w:color w:val="auto"/>
          <w:szCs w:val="21"/>
          <w:highlight w:val="none"/>
          <w:u w:val="single"/>
        </w:rPr>
        <w:t>（</w:t>
      </w:r>
      <w:r>
        <w:rPr>
          <w:rFonts w:hint="eastAsia"/>
          <w:color w:val="auto"/>
          <w:szCs w:val="21"/>
          <w:highlight w:val="none"/>
        </w:rPr>
        <w:t>采购代理机构编号：</w:t>
      </w:r>
      <w:r>
        <w:rPr>
          <w:rFonts w:hint="eastAsia"/>
          <w:color w:val="auto"/>
          <w:szCs w:val="21"/>
          <w:highlight w:val="none"/>
          <w:u w:val="single"/>
        </w:rPr>
        <w:t xml:space="preserve">        ）</w:t>
      </w:r>
      <w:r>
        <w:rPr>
          <w:color w:val="auto"/>
          <w:szCs w:val="21"/>
          <w:highlight w:val="none"/>
        </w:rPr>
        <w:t>竞争性谈判文件的全部内容</w:t>
      </w:r>
      <w:r>
        <w:rPr>
          <w:rFonts w:hint="eastAsia"/>
          <w:color w:val="auto"/>
          <w:szCs w:val="21"/>
          <w:highlight w:val="none"/>
        </w:rPr>
        <w:t>，</w:t>
      </w:r>
      <w:r>
        <w:rPr>
          <w:rFonts w:hAnsi="宋体"/>
          <w:bCs/>
          <w:color w:val="auto"/>
          <w:szCs w:val="21"/>
          <w:highlight w:val="none"/>
        </w:rPr>
        <w:t>包括</w:t>
      </w:r>
      <w:r>
        <w:rPr>
          <w:rFonts w:hint="eastAsia" w:hAnsi="宋体"/>
          <w:bCs/>
          <w:color w:val="auto"/>
          <w:szCs w:val="21"/>
          <w:highlight w:val="none"/>
        </w:rPr>
        <w:t>澄清、</w:t>
      </w:r>
      <w:r>
        <w:rPr>
          <w:rFonts w:hAnsi="宋体"/>
          <w:bCs/>
          <w:color w:val="auto"/>
          <w:szCs w:val="21"/>
          <w:highlight w:val="none"/>
        </w:rPr>
        <w:t>修改文件</w:t>
      </w:r>
      <w:r>
        <w:rPr>
          <w:rFonts w:hint="eastAsia" w:hAnsi="宋体"/>
          <w:bCs/>
          <w:color w:val="auto"/>
          <w:szCs w:val="21"/>
          <w:highlight w:val="none"/>
        </w:rPr>
        <w:t>以</w:t>
      </w:r>
      <w:r>
        <w:rPr>
          <w:rFonts w:hAnsi="宋体"/>
          <w:bCs/>
          <w:color w:val="auto"/>
          <w:szCs w:val="21"/>
          <w:highlight w:val="none"/>
        </w:rPr>
        <w:t>及有关附件</w:t>
      </w:r>
      <w:r>
        <w:rPr>
          <w:color w:val="auto"/>
          <w:szCs w:val="21"/>
          <w:highlight w:val="none"/>
        </w:rPr>
        <w:t>，</w:t>
      </w:r>
      <w:r>
        <w:rPr>
          <w:color w:val="auto"/>
          <w:szCs w:val="21"/>
          <w:highlight w:val="none"/>
          <w:u w:val="single"/>
        </w:rPr>
        <w:t>愿意以</w:t>
      </w:r>
      <w:r>
        <w:rPr>
          <w:rFonts w:hint="eastAsia"/>
          <w:color w:val="auto"/>
          <w:szCs w:val="21"/>
          <w:highlight w:val="none"/>
          <w:u w:val="single"/>
        </w:rPr>
        <w:t>《报价一览表》的价格</w:t>
      </w:r>
      <w:r>
        <w:rPr>
          <w:rFonts w:hint="eastAsia"/>
          <w:color w:val="auto"/>
          <w:szCs w:val="21"/>
          <w:highlight w:val="none"/>
        </w:rPr>
        <w:t>，</w:t>
      </w:r>
      <w:r>
        <w:rPr>
          <w:color w:val="auto"/>
          <w:szCs w:val="21"/>
          <w:highlight w:val="none"/>
        </w:rPr>
        <w:t>按合同约定实施和完成</w:t>
      </w:r>
      <w:r>
        <w:rPr>
          <w:rFonts w:hint="eastAsia"/>
          <w:color w:val="auto"/>
          <w:szCs w:val="21"/>
          <w:highlight w:val="none"/>
        </w:rPr>
        <w:t>上述</w:t>
      </w:r>
      <w:r>
        <w:rPr>
          <w:color w:val="auto"/>
          <w:szCs w:val="21"/>
          <w:highlight w:val="none"/>
        </w:rPr>
        <w:t>项目的相关服务。</w:t>
      </w:r>
    </w:p>
    <w:p w14:paraId="34130C21">
      <w:pPr>
        <w:spacing w:line="400" w:lineRule="exact"/>
        <w:ind w:firstLine="420" w:firstLineChars="200"/>
        <w:rPr>
          <w:color w:val="auto"/>
          <w:szCs w:val="21"/>
          <w:highlight w:val="none"/>
        </w:rPr>
      </w:pPr>
      <w:r>
        <w:rPr>
          <w:rFonts w:hint="eastAsia"/>
          <w:color w:val="auto"/>
          <w:szCs w:val="21"/>
          <w:highlight w:val="none"/>
        </w:rPr>
        <w:t>我方承诺如下内容：</w:t>
      </w:r>
    </w:p>
    <w:p w14:paraId="59C52115">
      <w:pPr>
        <w:spacing w:line="400" w:lineRule="exact"/>
        <w:ind w:firstLine="420" w:firstLineChars="200"/>
        <w:rPr>
          <w:color w:val="auto"/>
          <w:szCs w:val="21"/>
          <w:highlight w:val="none"/>
        </w:rPr>
      </w:pPr>
      <w:r>
        <w:rPr>
          <w:rFonts w:hint="eastAsia"/>
          <w:color w:val="auto"/>
          <w:szCs w:val="21"/>
          <w:highlight w:val="none"/>
        </w:rPr>
        <w:t>1.我方的响应文件包含第二章“竞争性谈判响应须知”第</w:t>
      </w:r>
      <w:r>
        <w:rPr>
          <w:color w:val="auto"/>
          <w:highlight w:val="none"/>
        </w:rPr>
        <w:t>3.1</w:t>
      </w:r>
      <w:r>
        <w:rPr>
          <w:rFonts w:hint="eastAsia"/>
          <w:color w:val="auto"/>
          <w:szCs w:val="21"/>
          <w:highlight w:val="none"/>
        </w:rPr>
        <w:t>款规定的全部内容。</w:t>
      </w:r>
    </w:p>
    <w:p w14:paraId="7A930D53">
      <w:pPr>
        <w:spacing w:line="400" w:lineRule="exact"/>
        <w:ind w:firstLine="420" w:firstLineChars="200"/>
        <w:rPr>
          <w:color w:val="auto"/>
          <w:szCs w:val="21"/>
          <w:highlight w:val="none"/>
        </w:rPr>
      </w:pPr>
      <w:r>
        <w:rPr>
          <w:rFonts w:hint="eastAsia"/>
          <w:color w:val="auto"/>
          <w:szCs w:val="21"/>
          <w:highlight w:val="none"/>
        </w:rPr>
        <w:t>2.</w:t>
      </w:r>
      <w:r>
        <w:rPr>
          <w:color w:val="auto"/>
          <w:szCs w:val="21"/>
          <w:highlight w:val="none"/>
        </w:rPr>
        <w:t>我方承诺在</w:t>
      </w:r>
      <w:r>
        <w:rPr>
          <w:rFonts w:hint="eastAsia"/>
          <w:color w:val="auto"/>
          <w:szCs w:val="21"/>
          <w:highlight w:val="none"/>
        </w:rPr>
        <w:t>竞争性谈判文件规定的</w:t>
      </w:r>
      <w:r>
        <w:rPr>
          <w:color w:val="auto"/>
          <w:szCs w:val="21"/>
          <w:highlight w:val="none"/>
        </w:rPr>
        <w:t>竞争性谈判有效期</w:t>
      </w:r>
      <w:r>
        <w:rPr>
          <w:rFonts w:hint="eastAsia"/>
          <w:color w:val="auto"/>
          <w:szCs w:val="21"/>
          <w:highlight w:val="none"/>
        </w:rPr>
        <w:t>（竞争性谈判有效期为</w:t>
      </w:r>
      <w:r>
        <w:rPr>
          <w:rFonts w:hint="eastAsia"/>
          <w:color w:val="auto"/>
          <w:szCs w:val="21"/>
          <w:highlight w:val="none"/>
          <w:u w:val="single"/>
        </w:rPr>
        <w:t xml:space="preserve">    </w:t>
      </w:r>
      <w:r>
        <w:rPr>
          <w:rFonts w:hint="eastAsia"/>
          <w:color w:val="auto"/>
          <w:szCs w:val="21"/>
          <w:highlight w:val="none"/>
        </w:rPr>
        <w:t>天）</w:t>
      </w:r>
      <w:r>
        <w:rPr>
          <w:color w:val="auto"/>
          <w:szCs w:val="21"/>
          <w:highlight w:val="none"/>
        </w:rPr>
        <w:t>内不修改、撤销响应文件。</w:t>
      </w:r>
    </w:p>
    <w:p w14:paraId="76731C2A">
      <w:pPr>
        <w:spacing w:line="400" w:lineRule="exact"/>
        <w:ind w:firstLine="420" w:firstLineChars="200"/>
        <w:jc w:val="left"/>
        <w:rPr>
          <w:color w:val="auto"/>
          <w:szCs w:val="21"/>
          <w:highlight w:val="none"/>
        </w:rPr>
      </w:pPr>
      <w:r>
        <w:rPr>
          <w:rFonts w:hint="eastAsia"/>
          <w:color w:val="auto"/>
          <w:szCs w:val="21"/>
          <w:highlight w:val="none"/>
        </w:rPr>
        <w:t>3.</w:t>
      </w:r>
      <w:r>
        <w:rPr>
          <w:color w:val="auto"/>
          <w:szCs w:val="21"/>
          <w:highlight w:val="none"/>
        </w:rPr>
        <w:t>随同本竞争性谈判响应函提交竞争性谈判保证金一份，金额为人民币（大写）</w:t>
      </w:r>
      <w:r>
        <w:rPr>
          <w:color w:val="auto"/>
          <w:szCs w:val="21"/>
          <w:highlight w:val="none"/>
          <w:u w:val="single"/>
        </w:rPr>
        <w:t xml:space="preserve">        </w:t>
      </w:r>
      <w:r>
        <w:rPr>
          <w:color w:val="auto"/>
          <w:szCs w:val="21"/>
          <w:highlight w:val="none"/>
        </w:rPr>
        <w:t>（¥</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w:t>
      </w:r>
    </w:p>
    <w:p w14:paraId="390C7091">
      <w:pPr>
        <w:spacing w:line="400" w:lineRule="exact"/>
        <w:ind w:firstLine="420" w:firstLineChars="200"/>
        <w:rPr>
          <w:color w:val="auto"/>
          <w:szCs w:val="21"/>
          <w:highlight w:val="none"/>
        </w:rPr>
      </w:pPr>
      <w:r>
        <w:rPr>
          <w:rFonts w:hint="eastAsia"/>
          <w:color w:val="auto"/>
          <w:szCs w:val="21"/>
          <w:highlight w:val="none"/>
        </w:rPr>
        <w:t>4.我方在评审过程中根据谈判小组要求提供的符合相关规定的澄清文件，构成响应文件的组成部分。</w:t>
      </w:r>
    </w:p>
    <w:p w14:paraId="2D474783">
      <w:pPr>
        <w:spacing w:line="400" w:lineRule="exact"/>
        <w:ind w:firstLine="420" w:firstLineChars="200"/>
        <w:rPr>
          <w:color w:val="auto"/>
          <w:szCs w:val="21"/>
          <w:highlight w:val="none"/>
        </w:rPr>
      </w:pPr>
      <w:r>
        <w:rPr>
          <w:rFonts w:hint="eastAsia"/>
          <w:color w:val="auto"/>
          <w:szCs w:val="21"/>
          <w:highlight w:val="none"/>
        </w:rPr>
        <w:t>5.我方同意提供贵方可能要求的与竞争性谈判有关的一切数据或者资料，并完全理解贵方不一定接受最低价的竞争性谈判。</w:t>
      </w:r>
    </w:p>
    <w:p w14:paraId="228F4874">
      <w:pPr>
        <w:spacing w:line="400" w:lineRule="exact"/>
        <w:ind w:firstLine="420" w:firstLineChars="200"/>
        <w:rPr>
          <w:color w:val="auto"/>
          <w:szCs w:val="21"/>
          <w:highlight w:val="none"/>
        </w:rPr>
      </w:pPr>
      <w:r>
        <w:rPr>
          <w:rFonts w:hint="eastAsia"/>
          <w:color w:val="auto"/>
          <w:szCs w:val="21"/>
          <w:highlight w:val="none"/>
        </w:rPr>
        <w:t>6.我方承诺不向第三方透露与竞争性谈判相关的所有信息。</w:t>
      </w:r>
    </w:p>
    <w:p w14:paraId="6DDB5823">
      <w:pPr>
        <w:spacing w:line="400" w:lineRule="exact"/>
        <w:ind w:firstLine="420" w:firstLineChars="200"/>
        <w:rPr>
          <w:color w:val="auto"/>
          <w:szCs w:val="21"/>
          <w:highlight w:val="none"/>
        </w:rPr>
      </w:pPr>
      <w:r>
        <w:rPr>
          <w:rFonts w:hint="eastAsia"/>
          <w:color w:val="auto"/>
          <w:szCs w:val="21"/>
          <w:highlight w:val="none"/>
        </w:rPr>
        <w:t>7.</w:t>
      </w:r>
      <w:r>
        <w:rPr>
          <w:color w:val="auto"/>
          <w:szCs w:val="21"/>
          <w:highlight w:val="none"/>
        </w:rPr>
        <w:t>如我方成交：</w:t>
      </w:r>
    </w:p>
    <w:p w14:paraId="12D13A4B">
      <w:pPr>
        <w:spacing w:line="400" w:lineRule="exact"/>
        <w:ind w:firstLine="422" w:firstLineChars="201"/>
        <w:rPr>
          <w:color w:val="auto"/>
          <w:szCs w:val="21"/>
          <w:highlight w:val="none"/>
        </w:rPr>
      </w:pPr>
      <w:r>
        <w:rPr>
          <w:color w:val="auto"/>
          <w:szCs w:val="21"/>
          <w:highlight w:val="none"/>
        </w:rPr>
        <w:t>（1）我方承诺在收到成交通知书后，在成交通知书规定的期限内与你方签订合同。</w:t>
      </w:r>
    </w:p>
    <w:p w14:paraId="7FB60138">
      <w:pPr>
        <w:spacing w:line="400" w:lineRule="exact"/>
        <w:ind w:firstLine="422" w:firstLineChars="201"/>
        <w:rPr>
          <w:color w:val="auto"/>
          <w:szCs w:val="21"/>
          <w:highlight w:val="none"/>
        </w:rPr>
      </w:pPr>
      <w:r>
        <w:rPr>
          <w:color w:val="auto"/>
          <w:szCs w:val="21"/>
          <w:highlight w:val="none"/>
        </w:rPr>
        <w:t>（2）我方承诺按照竞争性谈判文件规定递交履约担保</w:t>
      </w:r>
      <w:r>
        <w:rPr>
          <w:rFonts w:hint="eastAsia"/>
          <w:color w:val="auto"/>
          <w:szCs w:val="21"/>
          <w:highlight w:val="none"/>
        </w:rPr>
        <w:t>、支付采购代理服务费</w:t>
      </w:r>
      <w:r>
        <w:rPr>
          <w:color w:val="auto"/>
          <w:szCs w:val="21"/>
          <w:highlight w:val="none"/>
        </w:rPr>
        <w:t>。</w:t>
      </w:r>
    </w:p>
    <w:p w14:paraId="0459C778">
      <w:pPr>
        <w:spacing w:line="400" w:lineRule="exact"/>
        <w:ind w:firstLine="422" w:firstLineChars="201"/>
        <w:rPr>
          <w:color w:val="auto"/>
          <w:szCs w:val="21"/>
          <w:highlight w:val="none"/>
        </w:rPr>
      </w:pPr>
      <w:r>
        <w:rPr>
          <w:rFonts w:hint="eastAsia"/>
          <w:color w:val="auto"/>
          <w:szCs w:val="21"/>
          <w:highlight w:val="none"/>
        </w:rPr>
        <w:t>（3）按照竞争性谈判文件的规定及合同约定履行相关责任和义务。</w:t>
      </w:r>
    </w:p>
    <w:p w14:paraId="0345FF78">
      <w:pPr>
        <w:spacing w:line="400" w:lineRule="exact"/>
        <w:ind w:firstLine="420" w:firstLineChars="200"/>
        <w:rPr>
          <w:b/>
          <w:color w:val="auto"/>
          <w:szCs w:val="21"/>
          <w:highlight w:val="none"/>
        </w:rPr>
      </w:pPr>
      <w:r>
        <w:rPr>
          <w:rFonts w:hint="eastAsia"/>
          <w:color w:val="auto"/>
          <w:highlight w:val="none"/>
        </w:rPr>
        <w:t>我方在此声明，所递交的响应文件以及有关资料内容完整、真实和准确，且不存在第二章“竞争性谈判响应须知”第1.</w:t>
      </w:r>
      <w:r>
        <w:rPr>
          <w:color w:val="auto"/>
          <w:highlight w:val="none"/>
        </w:rPr>
        <w:t>7</w:t>
      </w:r>
      <w:r>
        <w:rPr>
          <w:rFonts w:hint="eastAsia"/>
          <w:color w:val="auto"/>
          <w:highlight w:val="none"/>
        </w:rPr>
        <w:t>款规定的任何一种情形。</w:t>
      </w:r>
      <w:r>
        <w:rPr>
          <w:rFonts w:hAnsi="宋体"/>
          <w:bCs/>
          <w:color w:val="auto"/>
          <w:szCs w:val="21"/>
          <w:highlight w:val="none"/>
        </w:rPr>
        <w:t>如有弄虚作假，将承担相应的法律责任，并赔偿由此造成的一切损失。</w:t>
      </w:r>
    </w:p>
    <w:p w14:paraId="2F664CE7">
      <w:pPr>
        <w:spacing w:line="400" w:lineRule="exact"/>
        <w:ind w:firstLine="420" w:firstLineChars="200"/>
        <w:rPr>
          <w:color w:val="auto"/>
          <w:szCs w:val="21"/>
          <w:highlight w:val="none"/>
        </w:rPr>
      </w:pPr>
      <w:r>
        <w:rPr>
          <w:rFonts w:hint="eastAsia"/>
          <w:color w:val="auto"/>
          <w:szCs w:val="21"/>
          <w:highlight w:val="none"/>
        </w:rPr>
        <w:t>8．</w:t>
      </w:r>
      <w:r>
        <w:rPr>
          <w:color w:val="auto"/>
          <w:szCs w:val="21"/>
          <w:highlight w:val="none"/>
          <w:u w:val="single"/>
        </w:rPr>
        <w:t xml:space="preserve">    （</w:t>
      </w:r>
      <w:r>
        <w:rPr>
          <w:rFonts w:hint="eastAsia"/>
          <w:color w:val="auto"/>
          <w:szCs w:val="21"/>
          <w:highlight w:val="none"/>
          <w:u w:val="single"/>
        </w:rPr>
        <w:t>其他</w:t>
      </w:r>
      <w:r>
        <w:rPr>
          <w:color w:val="auto"/>
          <w:szCs w:val="21"/>
          <w:highlight w:val="none"/>
          <w:u w:val="single"/>
        </w:rPr>
        <w:t xml:space="preserve">补充说明）         </w:t>
      </w:r>
      <w:r>
        <w:rPr>
          <w:color w:val="auto"/>
          <w:szCs w:val="21"/>
          <w:highlight w:val="none"/>
        </w:rPr>
        <w:t>。</w:t>
      </w:r>
    </w:p>
    <w:p w14:paraId="02A0F724">
      <w:pPr>
        <w:spacing w:line="400" w:lineRule="exact"/>
        <w:ind w:firstLine="3675" w:firstLineChars="1750"/>
        <w:rPr>
          <w:color w:val="auto"/>
          <w:szCs w:val="21"/>
          <w:highlight w:val="none"/>
        </w:rPr>
      </w:pPr>
      <w:r>
        <w:rPr>
          <w:rFonts w:hint="eastAsia"/>
          <w:color w:val="auto"/>
          <w:szCs w:val="21"/>
          <w:highlight w:val="none"/>
        </w:rPr>
        <w:t>响应</w:t>
      </w:r>
      <w:r>
        <w:rPr>
          <w:color w:val="auto"/>
          <w:szCs w:val="21"/>
          <w:highlight w:val="none"/>
        </w:rPr>
        <w:t>人：</w:t>
      </w:r>
      <w:r>
        <w:rPr>
          <w:color w:val="auto"/>
          <w:szCs w:val="21"/>
          <w:highlight w:val="none"/>
          <w:u w:val="single"/>
        </w:rPr>
        <w:t xml:space="preserve">                      </w:t>
      </w:r>
      <w:r>
        <w:rPr>
          <w:color w:val="auto"/>
          <w:szCs w:val="21"/>
          <w:highlight w:val="none"/>
        </w:rPr>
        <w:t>（盖单位公章）</w:t>
      </w:r>
    </w:p>
    <w:p w14:paraId="7435D38D">
      <w:pPr>
        <w:spacing w:line="400" w:lineRule="exact"/>
        <w:ind w:firstLine="3675" w:firstLineChars="1750"/>
        <w:rPr>
          <w:color w:val="auto"/>
          <w:szCs w:val="21"/>
          <w:highlight w:val="none"/>
        </w:rPr>
      </w:pPr>
      <w:r>
        <w:rPr>
          <w:color w:val="auto"/>
          <w:szCs w:val="21"/>
          <w:highlight w:val="none"/>
        </w:rPr>
        <w:t>法定代表人或其委托代理人：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（签字）</w:t>
      </w:r>
    </w:p>
    <w:p w14:paraId="5001C042">
      <w:pPr>
        <w:spacing w:line="400" w:lineRule="exact"/>
        <w:ind w:firstLine="3675" w:firstLineChars="1750"/>
        <w:rPr>
          <w:color w:val="auto"/>
          <w:szCs w:val="21"/>
          <w:highlight w:val="none"/>
        </w:rPr>
      </w:pPr>
      <w:r>
        <w:rPr>
          <w:color w:val="auto"/>
          <w:szCs w:val="21"/>
          <w:highlight w:val="none"/>
        </w:rPr>
        <w:t>地址：</w:t>
      </w:r>
      <w:r>
        <w:rPr>
          <w:color w:val="auto"/>
          <w:szCs w:val="21"/>
          <w:highlight w:val="none"/>
          <w:u w:val="single"/>
        </w:rPr>
        <w:t xml:space="preserve">                                     </w:t>
      </w:r>
    </w:p>
    <w:p w14:paraId="6E399471">
      <w:pPr>
        <w:spacing w:line="400" w:lineRule="exact"/>
        <w:ind w:firstLine="3675" w:firstLineChars="1750"/>
        <w:rPr>
          <w:color w:val="auto"/>
          <w:szCs w:val="21"/>
          <w:highlight w:val="none"/>
          <w:u w:val="single"/>
        </w:rPr>
      </w:pPr>
      <w:r>
        <w:rPr>
          <w:color w:val="auto"/>
          <w:szCs w:val="21"/>
          <w:highlight w:val="none"/>
        </w:rPr>
        <w:t>邮政编码：</w:t>
      </w:r>
      <w:r>
        <w:rPr>
          <w:color w:val="auto"/>
          <w:szCs w:val="21"/>
          <w:highlight w:val="none"/>
          <w:u w:val="single"/>
        </w:rPr>
        <w:t xml:space="preserve">                                 </w:t>
      </w:r>
    </w:p>
    <w:p w14:paraId="3200A58B">
      <w:pPr>
        <w:spacing w:line="400" w:lineRule="exact"/>
        <w:ind w:firstLine="3675" w:firstLineChars="1750"/>
        <w:rPr>
          <w:color w:val="auto"/>
          <w:szCs w:val="21"/>
          <w:highlight w:val="none"/>
        </w:rPr>
      </w:pPr>
      <w:r>
        <w:rPr>
          <w:color w:val="auto"/>
          <w:szCs w:val="21"/>
          <w:highlight w:val="none"/>
        </w:rPr>
        <w:t>电话：</w:t>
      </w:r>
      <w:r>
        <w:rPr>
          <w:color w:val="auto"/>
          <w:szCs w:val="21"/>
          <w:highlight w:val="none"/>
          <w:u w:val="single"/>
        </w:rPr>
        <w:t xml:space="preserve">                                     </w:t>
      </w:r>
    </w:p>
    <w:p w14:paraId="5DDB8DF3">
      <w:pPr>
        <w:spacing w:line="400" w:lineRule="exact"/>
        <w:ind w:firstLine="3675" w:firstLineChars="1750"/>
        <w:rPr>
          <w:color w:val="auto"/>
          <w:szCs w:val="21"/>
          <w:highlight w:val="none"/>
        </w:rPr>
      </w:pPr>
      <w:r>
        <w:rPr>
          <w:color w:val="auto"/>
          <w:szCs w:val="21"/>
          <w:highlight w:val="none"/>
        </w:rPr>
        <w:t>传真：</w:t>
      </w:r>
      <w:r>
        <w:rPr>
          <w:color w:val="auto"/>
          <w:szCs w:val="21"/>
          <w:highlight w:val="none"/>
          <w:u w:val="single"/>
        </w:rPr>
        <w:t xml:space="preserve">                                     </w:t>
      </w:r>
    </w:p>
    <w:p w14:paraId="4AE195EB">
      <w:pPr>
        <w:spacing w:line="400" w:lineRule="exact"/>
        <w:ind w:firstLine="3675" w:firstLineChars="1750"/>
        <w:rPr>
          <w:color w:val="auto"/>
          <w:szCs w:val="21"/>
          <w:highlight w:val="none"/>
        </w:rPr>
      </w:pPr>
      <w:r>
        <w:rPr>
          <w:rFonts w:hint="eastAsia"/>
          <w:color w:val="auto"/>
          <w:szCs w:val="21"/>
          <w:highlight w:val="none"/>
        </w:rPr>
        <w:t>电子邮箱</w:t>
      </w:r>
      <w:r>
        <w:rPr>
          <w:color w:val="auto"/>
          <w:szCs w:val="21"/>
          <w:highlight w:val="none"/>
        </w:rPr>
        <w:t>：</w:t>
      </w:r>
      <w:r>
        <w:rPr>
          <w:color w:val="auto"/>
          <w:szCs w:val="21"/>
          <w:highlight w:val="none"/>
          <w:u w:val="single"/>
        </w:rPr>
        <w:t xml:space="preserve">                                 </w:t>
      </w:r>
    </w:p>
    <w:p w14:paraId="4B412EC3">
      <w:pPr>
        <w:spacing w:line="400" w:lineRule="exact"/>
        <w:ind w:firstLine="3675" w:firstLineChars="1750"/>
        <w:rPr>
          <w:color w:val="auto"/>
          <w:szCs w:val="21"/>
          <w:highlight w:val="none"/>
        </w:rPr>
      </w:pPr>
    </w:p>
    <w:p w14:paraId="1EABD93E">
      <w:pPr>
        <w:spacing w:line="440" w:lineRule="exact"/>
        <w:jc w:val="right"/>
        <w:rPr>
          <w:rFonts w:eastAsia="黑体"/>
          <w:color w:val="auto"/>
          <w:szCs w:val="21"/>
          <w:highlight w:val="none"/>
        </w:rPr>
      </w:pPr>
      <w:r>
        <w:rPr>
          <w:rFonts w:hint="eastAsia"/>
          <w:color w:val="auto"/>
          <w:szCs w:val="21"/>
          <w:highlight w:val="none"/>
          <w:u w:val="single"/>
        </w:rPr>
        <w:t xml:space="preserve">        </w:t>
      </w:r>
      <w:r>
        <w:rPr>
          <w:color w:val="auto"/>
          <w:szCs w:val="21"/>
          <w:highlight w:val="none"/>
        </w:rPr>
        <w:t>年</w:t>
      </w:r>
      <w:r>
        <w:rPr>
          <w:rFonts w:hint="eastAsia"/>
          <w:color w:val="auto"/>
          <w:szCs w:val="21"/>
          <w:highlight w:val="none"/>
          <w:u w:val="single"/>
        </w:rPr>
        <w:t xml:space="preserve">       </w:t>
      </w:r>
      <w:r>
        <w:rPr>
          <w:color w:val="auto"/>
          <w:szCs w:val="21"/>
          <w:highlight w:val="none"/>
        </w:rPr>
        <w:t>月</w:t>
      </w:r>
      <w:r>
        <w:rPr>
          <w:rFonts w:hint="eastAsia"/>
          <w:color w:val="auto"/>
          <w:szCs w:val="21"/>
          <w:highlight w:val="none"/>
          <w:u w:val="single"/>
        </w:rPr>
        <w:t xml:space="preserve">      </w:t>
      </w:r>
      <w:r>
        <w:rPr>
          <w:rFonts w:hint="eastAsia"/>
          <w:color w:val="auto"/>
          <w:szCs w:val="21"/>
          <w:highlight w:val="none"/>
        </w:rPr>
        <w:t>日</w:t>
      </w:r>
    </w:p>
    <w:p w14:paraId="41B9D04D">
      <w:pPr>
        <w:spacing w:line="440" w:lineRule="exact"/>
        <w:rPr>
          <w:rFonts w:eastAsia="黑体"/>
          <w:color w:val="auto"/>
          <w:sz w:val="20"/>
          <w:szCs w:val="20"/>
          <w:highlight w:val="none"/>
        </w:rPr>
      </w:pPr>
      <w:r>
        <w:rPr>
          <w:rFonts w:eastAsia="黑体"/>
          <w:color w:val="auto"/>
          <w:sz w:val="20"/>
          <w:szCs w:val="20"/>
          <w:highlight w:val="none"/>
        </w:rPr>
        <w:br w:type="page"/>
      </w:r>
    </w:p>
    <w:p w14:paraId="1078FD55">
      <w:pPr>
        <w:pStyle w:val="3"/>
        <w:jc w:val="center"/>
        <w:rPr>
          <w:rFonts w:ascii="黑体"/>
          <w:b w:val="0"/>
          <w:color w:val="auto"/>
          <w:highlight w:val="none"/>
        </w:rPr>
      </w:pPr>
      <w:bookmarkStart w:id="163" w:name="_Toc475483723"/>
      <w:bookmarkStart w:id="164" w:name="_Toc75852775"/>
      <w:r>
        <w:rPr>
          <w:rFonts w:hint="eastAsia" w:ascii="黑体"/>
          <w:b w:val="0"/>
          <w:color w:val="auto"/>
          <w:highlight w:val="none"/>
        </w:rPr>
        <w:t>三、联合体协议书（如有）</w:t>
      </w:r>
      <w:bookmarkEnd w:id="163"/>
      <w:bookmarkEnd w:id="164"/>
    </w:p>
    <w:p w14:paraId="0C9B53D0">
      <w:pPr>
        <w:pStyle w:val="12"/>
        <w:spacing w:line="440" w:lineRule="exact"/>
        <w:rPr>
          <w:color w:val="auto"/>
          <w:szCs w:val="21"/>
          <w:highlight w:val="none"/>
        </w:rPr>
      </w:pPr>
      <w:r>
        <w:rPr>
          <w:rFonts w:hint="eastAsia"/>
          <w:color w:val="auto"/>
          <w:szCs w:val="21"/>
          <w:highlight w:val="none"/>
          <w:u w:val="single"/>
        </w:rPr>
        <w:t xml:space="preserve">（所有成员单位名单）  </w:t>
      </w:r>
      <w:r>
        <w:rPr>
          <w:rFonts w:hAnsi="宋体"/>
          <w:color w:val="auto"/>
          <w:szCs w:val="21"/>
          <w:highlight w:val="none"/>
        </w:rPr>
        <w:t>自愿组成：</w:t>
      </w:r>
      <w:r>
        <w:rPr>
          <w:rFonts w:hint="eastAsia"/>
          <w:color w:val="auto"/>
          <w:szCs w:val="21"/>
          <w:highlight w:val="none"/>
          <w:u w:val="single"/>
        </w:rPr>
        <w:t xml:space="preserve">    </w:t>
      </w:r>
      <w:r>
        <w:rPr>
          <w:rFonts w:hAnsi="宋体"/>
          <w:color w:val="auto"/>
          <w:szCs w:val="21"/>
          <w:highlight w:val="none"/>
          <w:u w:val="single"/>
        </w:rPr>
        <w:t>（联合体名称）</w:t>
      </w:r>
      <w:r>
        <w:rPr>
          <w:rFonts w:hint="eastAsia" w:hAnsi="宋体"/>
          <w:color w:val="auto"/>
          <w:szCs w:val="21"/>
          <w:highlight w:val="none"/>
          <w:u w:val="single"/>
        </w:rPr>
        <w:t xml:space="preserve">  </w:t>
      </w:r>
      <w:r>
        <w:rPr>
          <w:rFonts w:hAnsi="宋体"/>
          <w:color w:val="auto"/>
          <w:szCs w:val="21"/>
          <w:highlight w:val="none"/>
        </w:rPr>
        <w:t>联合体，共同参加</w:t>
      </w:r>
      <w:r>
        <w:rPr>
          <w:rFonts w:hAnsi="宋体"/>
          <w:color w:val="auto"/>
          <w:szCs w:val="21"/>
          <w:highlight w:val="none"/>
          <w:u w:val="single"/>
        </w:rPr>
        <w:t>（竞争性谈判项目名称）</w:t>
      </w:r>
      <w:r>
        <w:rPr>
          <w:rFonts w:hAnsi="宋体"/>
          <w:color w:val="auto"/>
          <w:szCs w:val="21"/>
          <w:highlight w:val="none"/>
        </w:rPr>
        <w:t>竞争性谈判。现就联合体竞争性谈判事宜订立如下协议</w:t>
      </w:r>
      <w:r>
        <w:rPr>
          <w:rFonts w:hint="eastAsia" w:hAnsi="宋体"/>
          <w:color w:val="auto"/>
          <w:szCs w:val="21"/>
          <w:highlight w:val="none"/>
        </w:rPr>
        <w:t>：</w:t>
      </w:r>
    </w:p>
    <w:p w14:paraId="3DEB134D">
      <w:pPr>
        <w:pStyle w:val="12"/>
        <w:spacing w:line="440" w:lineRule="exact"/>
        <w:rPr>
          <w:color w:val="auto"/>
          <w:szCs w:val="21"/>
          <w:highlight w:val="none"/>
        </w:rPr>
      </w:pPr>
      <w:r>
        <w:rPr>
          <w:color w:val="auto"/>
          <w:szCs w:val="21"/>
          <w:highlight w:val="none"/>
        </w:rPr>
        <w:t>1</w:t>
      </w:r>
      <w:r>
        <w:rPr>
          <w:rFonts w:hint="eastAsia"/>
          <w:color w:val="auto"/>
          <w:szCs w:val="21"/>
          <w:highlight w:val="none"/>
        </w:rPr>
        <w:t>．</w:t>
      </w:r>
      <w:r>
        <w:rPr>
          <w:rFonts w:hAnsi="宋体"/>
          <w:color w:val="auto"/>
          <w:szCs w:val="21"/>
          <w:highlight w:val="none"/>
          <w:u w:val="single"/>
        </w:rPr>
        <w:t>（成员单位名称）</w:t>
      </w:r>
      <w:r>
        <w:rPr>
          <w:rFonts w:hAnsi="宋体"/>
          <w:color w:val="auto"/>
          <w:szCs w:val="21"/>
          <w:highlight w:val="none"/>
        </w:rPr>
        <w:t>为</w:t>
      </w:r>
      <w:r>
        <w:rPr>
          <w:rFonts w:hAnsi="宋体"/>
          <w:color w:val="auto"/>
          <w:szCs w:val="21"/>
          <w:highlight w:val="none"/>
          <w:u w:val="single"/>
        </w:rPr>
        <w:t>（联合体名称）</w:t>
      </w:r>
      <w:r>
        <w:rPr>
          <w:rFonts w:hAnsi="宋体"/>
          <w:color w:val="auto"/>
          <w:szCs w:val="21"/>
          <w:highlight w:val="none"/>
        </w:rPr>
        <w:t>牵头人。</w:t>
      </w:r>
    </w:p>
    <w:p w14:paraId="7E504869">
      <w:pPr>
        <w:pStyle w:val="12"/>
        <w:spacing w:line="440" w:lineRule="exact"/>
        <w:rPr>
          <w:color w:val="auto"/>
          <w:szCs w:val="21"/>
          <w:highlight w:val="none"/>
        </w:rPr>
      </w:pPr>
      <w:r>
        <w:rPr>
          <w:color w:val="auto"/>
          <w:szCs w:val="21"/>
          <w:highlight w:val="none"/>
        </w:rPr>
        <w:t>2</w:t>
      </w:r>
      <w:r>
        <w:rPr>
          <w:rFonts w:hint="eastAsia"/>
          <w:color w:val="auto"/>
          <w:szCs w:val="21"/>
          <w:highlight w:val="none"/>
        </w:rPr>
        <w:t>．</w:t>
      </w:r>
      <w:r>
        <w:rPr>
          <w:rFonts w:hAnsi="宋体"/>
          <w:color w:val="auto"/>
          <w:szCs w:val="21"/>
          <w:highlight w:val="none"/>
        </w:rPr>
        <w:t>联合体牵头人合法代表联合体各成员，负责本竞争性谈判项目响应文件编制和合同谈判活动，并代表联合体成员</w:t>
      </w:r>
      <w:r>
        <w:rPr>
          <w:rFonts w:hint="eastAsia" w:hAnsi="宋体"/>
          <w:color w:val="auto"/>
          <w:szCs w:val="21"/>
          <w:highlight w:val="none"/>
        </w:rPr>
        <w:t>递</w:t>
      </w:r>
      <w:r>
        <w:rPr>
          <w:rFonts w:hAnsi="宋体"/>
          <w:color w:val="auto"/>
          <w:szCs w:val="21"/>
          <w:highlight w:val="none"/>
        </w:rPr>
        <w:t>交和接受相关的资料、信息及指示，并处理与之有关的一切事务，负责合同实施阶段的主办、组织和协调工作。</w:t>
      </w:r>
    </w:p>
    <w:p w14:paraId="68F6E35F">
      <w:pPr>
        <w:pStyle w:val="12"/>
        <w:spacing w:line="440" w:lineRule="exact"/>
        <w:rPr>
          <w:rFonts w:hAnsi="宋体"/>
          <w:color w:val="auto"/>
          <w:szCs w:val="21"/>
          <w:highlight w:val="none"/>
        </w:rPr>
      </w:pPr>
      <w:r>
        <w:rPr>
          <w:color w:val="auto"/>
          <w:szCs w:val="21"/>
          <w:highlight w:val="none"/>
        </w:rPr>
        <w:t>3</w:t>
      </w:r>
      <w:r>
        <w:rPr>
          <w:rFonts w:hint="eastAsia"/>
          <w:color w:val="auto"/>
          <w:szCs w:val="21"/>
          <w:highlight w:val="none"/>
        </w:rPr>
        <w:t>．</w:t>
      </w:r>
      <w:r>
        <w:rPr>
          <w:rFonts w:hAnsi="宋体"/>
          <w:color w:val="auto"/>
          <w:szCs w:val="21"/>
          <w:highlight w:val="none"/>
        </w:rPr>
        <w:t>联合体将严格按照竞争性谈判文件的各项要求，递交响应文件，履行合同，并对外承担连带责任。</w:t>
      </w:r>
    </w:p>
    <w:p w14:paraId="627D9DD5">
      <w:pPr>
        <w:pStyle w:val="12"/>
        <w:spacing w:line="440" w:lineRule="exact"/>
        <w:rPr>
          <w:color w:val="auto"/>
          <w:szCs w:val="21"/>
          <w:highlight w:val="none"/>
        </w:rPr>
      </w:pPr>
      <w:r>
        <w:rPr>
          <w:color w:val="auto"/>
          <w:szCs w:val="21"/>
          <w:highlight w:val="none"/>
        </w:rPr>
        <w:t>4</w:t>
      </w:r>
      <w:r>
        <w:rPr>
          <w:rFonts w:hint="eastAsia"/>
          <w:color w:val="auto"/>
          <w:szCs w:val="21"/>
          <w:highlight w:val="none"/>
        </w:rPr>
        <w:t>．</w:t>
      </w:r>
      <w:r>
        <w:rPr>
          <w:rFonts w:hAnsi="宋体"/>
          <w:color w:val="auto"/>
          <w:szCs w:val="21"/>
          <w:highlight w:val="none"/>
        </w:rPr>
        <w:t>联合体各成员单位内部的职责分工</w:t>
      </w:r>
      <w:r>
        <w:rPr>
          <w:rFonts w:hint="eastAsia" w:hAnsi="宋体"/>
          <w:color w:val="auto"/>
          <w:szCs w:val="21"/>
          <w:highlight w:val="none"/>
        </w:rPr>
        <w:t>以及资质等级</w:t>
      </w:r>
      <w:r>
        <w:rPr>
          <w:rFonts w:hAnsi="宋体"/>
          <w:color w:val="auto"/>
          <w:szCs w:val="21"/>
          <w:highlight w:val="none"/>
        </w:rPr>
        <w:t>如下：</w:t>
      </w:r>
      <w:r>
        <w:rPr>
          <w:color w:val="auto"/>
          <w:szCs w:val="21"/>
          <w:highlight w:val="none"/>
        </w:rPr>
        <w:t>_________________</w:t>
      </w:r>
      <w:r>
        <w:rPr>
          <w:rFonts w:hint="eastAsia"/>
          <w:color w:val="auto"/>
          <w:szCs w:val="21"/>
          <w:highlight w:val="none"/>
        </w:rPr>
        <w:t>。</w:t>
      </w:r>
    </w:p>
    <w:p w14:paraId="081CEAEB">
      <w:pPr>
        <w:pStyle w:val="12"/>
        <w:spacing w:line="440" w:lineRule="exact"/>
        <w:rPr>
          <w:rFonts w:ascii="宋体" w:hAnsi="宋体"/>
          <w:color w:val="auto"/>
          <w:szCs w:val="21"/>
          <w:highlight w:val="none"/>
        </w:rPr>
      </w:pPr>
      <w:r>
        <w:rPr>
          <w:rFonts w:hint="eastAsia" w:ascii="宋体" w:hAnsi="宋体"/>
          <w:color w:val="auto"/>
          <w:szCs w:val="21"/>
          <w:highlight w:val="none"/>
        </w:rPr>
        <w:t>按照本条上述分工，联合体成员单位各自所承担的合同工作量比例如下：</w:t>
      </w:r>
      <w:r>
        <w:rPr>
          <w:rFonts w:hint="eastAsia" w:ascii="宋体" w:hAnsi="宋体"/>
          <w:color w:val="auto"/>
          <w:szCs w:val="21"/>
          <w:highlight w:val="none"/>
          <w:u w:val="single"/>
        </w:rPr>
        <w:t xml:space="preserve">           </w:t>
      </w:r>
    </w:p>
    <w:p w14:paraId="586CFA7C">
      <w:pPr>
        <w:spacing w:line="440" w:lineRule="exact"/>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67D23AF7">
      <w:pPr>
        <w:spacing w:line="440" w:lineRule="exact"/>
        <w:ind w:firstLine="424" w:firstLineChars="202"/>
        <w:rPr>
          <w:color w:val="auto"/>
          <w:szCs w:val="21"/>
          <w:highlight w:val="none"/>
        </w:rPr>
      </w:pPr>
      <w:r>
        <w:rPr>
          <w:color w:val="auto"/>
          <w:szCs w:val="21"/>
          <w:highlight w:val="none"/>
        </w:rPr>
        <w:t>5</w:t>
      </w:r>
      <w:r>
        <w:rPr>
          <w:rFonts w:hint="eastAsia"/>
          <w:color w:val="auto"/>
          <w:szCs w:val="21"/>
          <w:highlight w:val="none"/>
        </w:rPr>
        <w:t xml:space="preserve">． </w:t>
      </w:r>
      <w:r>
        <w:rPr>
          <w:color w:val="auto"/>
          <w:szCs w:val="21"/>
          <w:highlight w:val="none"/>
        </w:rPr>
        <w:t>竞争性谈判工作以及联合体在成交后</w:t>
      </w:r>
      <w:r>
        <w:rPr>
          <w:rFonts w:hint="eastAsia"/>
          <w:color w:val="auto"/>
          <w:szCs w:val="21"/>
          <w:highlight w:val="none"/>
        </w:rPr>
        <w:t>项目</w:t>
      </w:r>
      <w:r>
        <w:rPr>
          <w:color w:val="auto"/>
          <w:szCs w:val="21"/>
          <w:highlight w:val="none"/>
        </w:rPr>
        <w:t>实施过程中的有关费用按</w:t>
      </w:r>
      <w:r>
        <w:rPr>
          <w:rFonts w:hint="eastAsia"/>
          <w:color w:val="auto"/>
          <w:szCs w:val="21"/>
          <w:highlight w:val="none"/>
        </w:rPr>
        <w:t>照</w:t>
      </w:r>
      <w:r>
        <w:rPr>
          <w:color w:val="auto"/>
          <w:szCs w:val="21"/>
          <w:highlight w:val="none"/>
        </w:rPr>
        <w:t>各自承担的工作量分摊。</w:t>
      </w:r>
    </w:p>
    <w:p w14:paraId="072D005B">
      <w:pPr>
        <w:spacing w:line="440" w:lineRule="exact"/>
        <w:ind w:firstLine="424" w:firstLineChars="202"/>
        <w:rPr>
          <w:color w:val="auto"/>
          <w:szCs w:val="21"/>
          <w:highlight w:val="none"/>
        </w:rPr>
      </w:pPr>
      <w:r>
        <w:rPr>
          <w:color w:val="auto"/>
          <w:szCs w:val="21"/>
          <w:highlight w:val="none"/>
        </w:rPr>
        <w:t>6</w:t>
      </w:r>
      <w:r>
        <w:rPr>
          <w:rFonts w:hint="eastAsia"/>
          <w:color w:val="auto"/>
          <w:szCs w:val="21"/>
          <w:highlight w:val="none"/>
        </w:rPr>
        <w:t>．</w:t>
      </w:r>
      <w:r>
        <w:rPr>
          <w:color w:val="auto"/>
          <w:szCs w:val="21"/>
          <w:highlight w:val="none"/>
        </w:rPr>
        <w:t>联合体成交后，本联合体协议是合同的附件，对联合体各成员单位有合同约束力。</w:t>
      </w:r>
    </w:p>
    <w:p w14:paraId="647368BD">
      <w:pPr>
        <w:pStyle w:val="12"/>
        <w:tabs>
          <w:tab w:val="left" w:pos="6645"/>
        </w:tabs>
        <w:spacing w:line="440" w:lineRule="exact"/>
        <w:rPr>
          <w:color w:val="auto"/>
          <w:szCs w:val="21"/>
          <w:highlight w:val="none"/>
        </w:rPr>
      </w:pPr>
      <w:r>
        <w:rPr>
          <w:rFonts w:hint="eastAsia"/>
          <w:color w:val="auto"/>
          <w:szCs w:val="21"/>
          <w:highlight w:val="none"/>
        </w:rPr>
        <w:t>7．</w:t>
      </w:r>
      <w:r>
        <w:rPr>
          <w:color w:val="auto"/>
          <w:szCs w:val="21"/>
          <w:highlight w:val="none"/>
        </w:rPr>
        <w:t>本协议书自签</w:t>
      </w:r>
      <w:r>
        <w:rPr>
          <w:rFonts w:hint="eastAsia"/>
          <w:color w:val="auto"/>
          <w:szCs w:val="21"/>
          <w:highlight w:val="none"/>
        </w:rPr>
        <w:t>署</w:t>
      </w:r>
      <w:r>
        <w:rPr>
          <w:color w:val="auto"/>
          <w:szCs w:val="21"/>
          <w:highlight w:val="none"/>
        </w:rPr>
        <w:t>之日起生效，合同履行完毕后自动失效。</w:t>
      </w:r>
    </w:p>
    <w:p w14:paraId="3A861804">
      <w:pPr>
        <w:pStyle w:val="12"/>
        <w:spacing w:line="440" w:lineRule="exact"/>
        <w:rPr>
          <w:color w:val="auto"/>
          <w:szCs w:val="21"/>
          <w:highlight w:val="none"/>
        </w:rPr>
      </w:pPr>
      <w:r>
        <w:rPr>
          <w:rFonts w:hint="eastAsia"/>
          <w:color w:val="auto"/>
          <w:szCs w:val="21"/>
          <w:highlight w:val="none"/>
        </w:rPr>
        <w:t>8．</w:t>
      </w:r>
      <w:r>
        <w:rPr>
          <w:color w:val="auto"/>
          <w:szCs w:val="21"/>
          <w:highlight w:val="none"/>
        </w:rPr>
        <w:t>本协议书一式____份，联合体成员</w:t>
      </w:r>
      <w:r>
        <w:rPr>
          <w:rFonts w:hint="eastAsia"/>
          <w:color w:val="auto"/>
          <w:szCs w:val="21"/>
          <w:highlight w:val="none"/>
        </w:rPr>
        <w:t>和</w:t>
      </w:r>
      <w:r>
        <w:rPr>
          <w:color w:val="auto"/>
          <w:szCs w:val="21"/>
          <w:highlight w:val="none"/>
        </w:rPr>
        <w:t>采购人各执一份。</w:t>
      </w:r>
    </w:p>
    <w:p w14:paraId="455426DF">
      <w:pPr>
        <w:pStyle w:val="12"/>
        <w:spacing w:line="440" w:lineRule="exact"/>
        <w:rPr>
          <w:color w:val="auto"/>
          <w:szCs w:val="21"/>
          <w:highlight w:val="none"/>
        </w:rPr>
      </w:pPr>
      <w:r>
        <w:rPr>
          <w:rFonts w:hAnsi="宋体"/>
          <w:color w:val="auto"/>
          <w:szCs w:val="21"/>
          <w:highlight w:val="none"/>
        </w:rPr>
        <w:t>注：本协议书由委托人签字的，应附法定代表人签字的授权委托书。</w:t>
      </w:r>
    </w:p>
    <w:p w14:paraId="4864158C">
      <w:pPr>
        <w:pStyle w:val="12"/>
        <w:wordWrap w:val="0"/>
        <w:spacing w:line="360" w:lineRule="auto"/>
        <w:jc w:val="right"/>
        <w:rPr>
          <w:color w:val="auto"/>
          <w:szCs w:val="21"/>
          <w:highlight w:val="none"/>
        </w:rPr>
      </w:pPr>
      <w:r>
        <w:rPr>
          <w:rFonts w:hAnsi="宋体"/>
          <w:color w:val="auto"/>
          <w:szCs w:val="21"/>
          <w:highlight w:val="none"/>
        </w:rPr>
        <w:t>牵头人名称：</w:t>
      </w:r>
      <w:r>
        <w:rPr>
          <w:color w:val="auto"/>
          <w:szCs w:val="21"/>
          <w:highlight w:val="none"/>
        </w:rPr>
        <w:t>_______________________</w:t>
      </w:r>
      <w:r>
        <w:rPr>
          <w:rFonts w:hAnsi="宋体"/>
          <w:color w:val="auto"/>
          <w:szCs w:val="21"/>
          <w:highlight w:val="none"/>
        </w:rPr>
        <w:t>（盖单位公章）</w:t>
      </w:r>
    </w:p>
    <w:p w14:paraId="429B8236">
      <w:pPr>
        <w:pStyle w:val="12"/>
        <w:spacing w:line="360" w:lineRule="auto"/>
        <w:jc w:val="right"/>
        <w:rPr>
          <w:color w:val="auto"/>
          <w:szCs w:val="21"/>
          <w:highlight w:val="none"/>
        </w:rPr>
      </w:pPr>
      <w:r>
        <w:rPr>
          <w:rFonts w:hAnsi="宋体"/>
          <w:color w:val="auto"/>
          <w:szCs w:val="21"/>
          <w:highlight w:val="none"/>
        </w:rPr>
        <w:t>法定代表人或其委托代理人：</w:t>
      </w:r>
      <w:r>
        <w:rPr>
          <w:color w:val="auto"/>
          <w:szCs w:val="21"/>
          <w:highlight w:val="none"/>
        </w:rPr>
        <w:t>_____________</w:t>
      </w:r>
      <w:r>
        <w:rPr>
          <w:rFonts w:hAnsi="宋体"/>
          <w:color w:val="auto"/>
          <w:szCs w:val="21"/>
          <w:highlight w:val="none"/>
        </w:rPr>
        <w:t>（签字）</w:t>
      </w:r>
    </w:p>
    <w:p w14:paraId="62DF301A">
      <w:pPr>
        <w:pStyle w:val="12"/>
        <w:spacing w:line="360" w:lineRule="auto"/>
        <w:jc w:val="right"/>
        <w:rPr>
          <w:color w:val="auto"/>
          <w:szCs w:val="21"/>
          <w:highlight w:val="none"/>
        </w:rPr>
      </w:pPr>
    </w:p>
    <w:p w14:paraId="27453129">
      <w:pPr>
        <w:pStyle w:val="12"/>
        <w:wordWrap w:val="0"/>
        <w:spacing w:line="360" w:lineRule="auto"/>
        <w:jc w:val="right"/>
        <w:rPr>
          <w:color w:val="auto"/>
          <w:szCs w:val="21"/>
          <w:highlight w:val="none"/>
        </w:rPr>
      </w:pPr>
      <w:r>
        <w:rPr>
          <w:rFonts w:hAnsi="宋体"/>
          <w:color w:val="auto"/>
          <w:szCs w:val="21"/>
          <w:highlight w:val="none"/>
        </w:rPr>
        <w:t>成员一名称：</w:t>
      </w:r>
      <w:r>
        <w:rPr>
          <w:color w:val="auto"/>
          <w:szCs w:val="21"/>
          <w:highlight w:val="none"/>
        </w:rPr>
        <w:t>_______________________</w:t>
      </w:r>
      <w:r>
        <w:rPr>
          <w:rFonts w:hAnsi="宋体"/>
          <w:color w:val="auto"/>
          <w:szCs w:val="21"/>
          <w:highlight w:val="none"/>
        </w:rPr>
        <w:t>（盖单位公章）</w:t>
      </w:r>
    </w:p>
    <w:p w14:paraId="247BB1F6">
      <w:pPr>
        <w:pStyle w:val="12"/>
        <w:spacing w:line="360" w:lineRule="auto"/>
        <w:jc w:val="right"/>
        <w:rPr>
          <w:color w:val="auto"/>
          <w:szCs w:val="21"/>
          <w:highlight w:val="none"/>
        </w:rPr>
      </w:pPr>
      <w:r>
        <w:rPr>
          <w:rFonts w:hAnsi="宋体"/>
          <w:color w:val="auto"/>
          <w:szCs w:val="21"/>
          <w:highlight w:val="none"/>
        </w:rPr>
        <w:t>法定代表人或其委托代理人：</w:t>
      </w:r>
      <w:r>
        <w:rPr>
          <w:color w:val="auto"/>
          <w:szCs w:val="21"/>
          <w:highlight w:val="none"/>
        </w:rPr>
        <w:t>_____________</w:t>
      </w:r>
      <w:r>
        <w:rPr>
          <w:rFonts w:hAnsi="宋体"/>
          <w:color w:val="auto"/>
          <w:szCs w:val="21"/>
          <w:highlight w:val="none"/>
        </w:rPr>
        <w:t>（签字）</w:t>
      </w:r>
    </w:p>
    <w:p w14:paraId="3866E975">
      <w:pPr>
        <w:pStyle w:val="12"/>
        <w:spacing w:line="360" w:lineRule="auto"/>
        <w:jc w:val="right"/>
        <w:rPr>
          <w:color w:val="auto"/>
          <w:szCs w:val="21"/>
          <w:highlight w:val="none"/>
        </w:rPr>
      </w:pPr>
    </w:p>
    <w:p w14:paraId="5F170518">
      <w:pPr>
        <w:pStyle w:val="12"/>
        <w:spacing w:line="360" w:lineRule="auto"/>
        <w:jc w:val="right"/>
        <w:rPr>
          <w:color w:val="auto"/>
          <w:szCs w:val="21"/>
          <w:highlight w:val="none"/>
        </w:rPr>
      </w:pPr>
      <w:r>
        <w:rPr>
          <w:rFonts w:hAnsi="宋体"/>
          <w:color w:val="auto"/>
          <w:szCs w:val="21"/>
          <w:highlight w:val="none"/>
        </w:rPr>
        <w:t>成员二名称：</w:t>
      </w:r>
      <w:r>
        <w:rPr>
          <w:color w:val="auto"/>
          <w:szCs w:val="21"/>
          <w:highlight w:val="none"/>
        </w:rPr>
        <w:t>_______________________</w:t>
      </w:r>
      <w:r>
        <w:rPr>
          <w:rFonts w:hAnsi="宋体"/>
          <w:color w:val="auto"/>
          <w:szCs w:val="21"/>
          <w:highlight w:val="none"/>
        </w:rPr>
        <w:t>（盖单位公章）</w:t>
      </w:r>
    </w:p>
    <w:p w14:paraId="112B5086">
      <w:pPr>
        <w:pStyle w:val="12"/>
        <w:spacing w:line="360" w:lineRule="auto"/>
        <w:jc w:val="right"/>
        <w:rPr>
          <w:rFonts w:hAnsi="宋体"/>
          <w:color w:val="auto"/>
          <w:szCs w:val="21"/>
          <w:highlight w:val="none"/>
        </w:rPr>
      </w:pPr>
      <w:r>
        <w:rPr>
          <w:rFonts w:hAnsi="宋体"/>
          <w:color w:val="auto"/>
          <w:szCs w:val="21"/>
          <w:highlight w:val="none"/>
        </w:rPr>
        <w:t>法定代表人或其委托代理人：</w:t>
      </w:r>
      <w:r>
        <w:rPr>
          <w:color w:val="auto"/>
          <w:szCs w:val="21"/>
          <w:highlight w:val="none"/>
        </w:rPr>
        <w:t>_____________</w:t>
      </w:r>
      <w:r>
        <w:rPr>
          <w:rFonts w:hAnsi="宋体"/>
          <w:color w:val="auto"/>
          <w:szCs w:val="21"/>
          <w:highlight w:val="none"/>
        </w:rPr>
        <w:t>（签字）</w:t>
      </w:r>
    </w:p>
    <w:p w14:paraId="45BCE03F">
      <w:pPr>
        <w:pStyle w:val="12"/>
        <w:spacing w:line="360" w:lineRule="auto"/>
        <w:ind w:right="840"/>
        <w:rPr>
          <w:rFonts w:hAnsi="宋体"/>
          <w:color w:val="auto"/>
          <w:szCs w:val="21"/>
          <w:highlight w:val="none"/>
        </w:rPr>
      </w:pPr>
      <w:r>
        <w:rPr>
          <w:rFonts w:hint="eastAsia" w:hAnsi="宋体"/>
          <w:color w:val="auto"/>
          <w:szCs w:val="21"/>
          <w:highlight w:val="none"/>
        </w:rPr>
        <w:t xml:space="preserve">                             </w:t>
      </w:r>
      <w:r>
        <w:rPr>
          <w:rFonts w:hAnsi="宋体"/>
          <w:color w:val="auto"/>
          <w:szCs w:val="21"/>
          <w:highlight w:val="none"/>
        </w:rPr>
        <w:t>……</w:t>
      </w:r>
    </w:p>
    <w:p w14:paraId="79F3BA3C">
      <w:pPr>
        <w:spacing w:line="360" w:lineRule="auto"/>
        <w:ind w:firstLine="2879" w:firstLineChars="1371"/>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日</w:t>
      </w:r>
    </w:p>
    <w:p w14:paraId="163C7879">
      <w:pPr>
        <w:pStyle w:val="3"/>
        <w:jc w:val="center"/>
        <w:rPr>
          <w:color w:val="auto"/>
          <w:szCs w:val="21"/>
          <w:highlight w:val="none"/>
        </w:rPr>
      </w:pPr>
      <w:bookmarkStart w:id="165" w:name="_Toc75852776"/>
      <w:bookmarkStart w:id="166" w:name="_Toc475483724"/>
      <w:r>
        <w:rPr>
          <w:rFonts w:hint="eastAsia"/>
          <w:b w:val="0"/>
          <w:color w:val="auto"/>
          <w:highlight w:val="none"/>
        </w:rPr>
        <w:t>四、法定代表人身份证明</w:t>
      </w:r>
      <w:bookmarkEnd w:id="165"/>
      <w:bookmarkEnd w:id="166"/>
    </w:p>
    <w:p w14:paraId="28E68A5B">
      <w:pPr>
        <w:jc w:val="center"/>
        <w:rPr>
          <w:color w:val="auto"/>
          <w:szCs w:val="21"/>
          <w:highlight w:val="none"/>
        </w:rPr>
      </w:pPr>
    </w:p>
    <w:p w14:paraId="2F569B14">
      <w:pPr>
        <w:topLinePunct/>
        <w:spacing w:line="600" w:lineRule="exact"/>
        <w:rPr>
          <w:bCs/>
          <w:color w:val="auto"/>
          <w:szCs w:val="21"/>
          <w:highlight w:val="none"/>
          <w:u w:val="single"/>
        </w:rPr>
      </w:pPr>
      <w:r>
        <w:rPr>
          <w:rFonts w:hint="eastAsia"/>
          <w:bCs/>
          <w:color w:val="auto"/>
          <w:szCs w:val="21"/>
          <w:highlight w:val="none"/>
        </w:rPr>
        <w:t>响应人</w:t>
      </w:r>
      <w:r>
        <w:rPr>
          <w:bCs/>
          <w:color w:val="auto"/>
          <w:szCs w:val="21"/>
          <w:highlight w:val="none"/>
        </w:rPr>
        <w:t>名称：</w:t>
      </w:r>
      <w:r>
        <w:rPr>
          <w:bCs/>
          <w:color w:val="auto"/>
          <w:szCs w:val="21"/>
          <w:highlight w:val="none"/>
          <w:u w:val="single"/>
        </w:rPr>
        <w:t xml:space="preserve">                         </w:t>
      </w:r>
    </w:p>
    <w:p w14:paraId="288815D3">
      <w:pPr>
        <w:topLinePunct/>
        <w:spacing w:line="600" w:lineRule="exact"/>
        <w:rPr>
          <w:bCs/>
          <w:color w:val="auto"/>
          <w:szCs w:val="21"/>
          <w:highlight w:val="none"/>
        </w:rPr>
      </w:pPr>
      <w:r>
        <w:rPr>
          <w:bCs/>
          <w:color w:val="auto"/>
          <w:szCs w:val="21"/>
          <w:highlight w:val="none"/>
        </w:rPr>
        <w:t>单位性质：</w:t>
      </w:r>
      <w:r>
        <w:rPr>
          <w:bCs/>
          <w:color w:val="auto"/>
          <w:szCs w:val="21"/>
          <w:highlight w:val="none"/>
          <w:u w:val="single"/>
        </w:rPr>
        <w:t xml:space="preserve">                           </w:t>
      </w:r>
    </w:p>
    <w:p w14:paraId="07BA050A">
      <w:pPr>
        <w:topLinePunct/>
        <w:spacing w:line="600" w:lineRule="exact"/>
        <w:rPr>
          <w:bCs/>
          <w:color w:val="auto"/>
          <w:szCs w:val="21"/>
          <w:highlight w:val="none"/>
        </w:rPr>
      </w:pPr>
      <w:r>
        <w:rPr>
          <w:bCs/>
          <w:color w:val="auto"/>
          <w:szCs w:val="21"/>
          <w:highlight w:val="none"/>
        </w:rPr>
        <w:t>成立时间：</w:t>
      </w:r>
      <w:r>
        <w:rPr>
          <w:bCs/>
          <w:color w:val="auto"/>
          <w:szCs w:val="21"/>
          <w:highlight w:val="none"/>
          <w:u w:val="single"/>
        </w:rPr>
        <w:t xml:space="preserve">       </w:t>
      </w:r>
      <w:r>
        <w:rPr>
          <w:bCs/>
          <w:color w:val="auto"/>
          <w:szCs w:val="21"/>
          <w:highlight w:val="none"/>
        </w:rPr>
        <w:t>年</w:t>
      </w:r>
      <w:r>
        <w:rPr>
          <w:bCs/>
          <w:color w:val="auto"/>
          <w:szCs w:val="21"/>
          <w:highlight w:val="none"/>
          <w:u w:val="single"/>
        </w:rPr>
        <w:t xml:space="preserve">       </w:t>
      </w:r>
      <w:r>
        <w:rPr>
          <w:bCs/>
          <w:color w:val="auto"/>
          <w:szCs w:val="21"/>
          <w:highlight w:val="none"/>
        </w:rPr>
        <w:t>月</w:t>
      </w:r>
      <w:r>
        <w:rPr>
          <w:bCs/>
          <w:color w:val="auto"/>
          <w:szCs w:val="21"/>
          <w:highlight w:val="none"/>
          <w:u w:val="single"/>
        </w:rPr>
        <w:t xml:space="preserve">       </w:t>
      </w:r>
      <w:r>
        <w:rPr>
          <w:bCs/>
          <w:color w:val="auto"/>
          <w:szCs w:val="21"/>
          <w:highlight w:val="none"/>
        </w:rPr>
        <w:t>日</w:t>
      </w:r>
    </w:p>
    <w:p w14:paraId="06600BC1">
      <w:pPr>
        <w:topLinePunct/>
        <w:spacing w:line="600" w:lineRule="exact"/>
        <w:rPr>
          <w:bCs/>
          <w:color w:val="auto"/>
          <w:szCs w:val="21"/>
          <w:highlight w:val="none"/>
        </w:rPr>
      </w:pPr>
      <w:r>
        <w:rPr>
          <w:bCs/>
          <w:color w:val="auto"/>
          <w:szCs w:val="21"/>
          <w:highlight w:val="none"/>
        </w:rPr>
        <w:t>经营期限：</w:t>
      </w:r>
      <w:r>
        <w:rPr>
          <w:bCs/>
          <w:color w:val="auto"/>
          <w:szCs w:val="21"/>
          <w:highlight w:val="none"/>
          <w:u w:val="single"/>
        </w:rPr>
        <w:t xml:space="preserve">            </w:t>
      </w:r>
    </w:p>
    <w:p w14:paraId="2DAFAAA7">
      <w:pPr>
        <w:topLinePunct/>
        <w:spacing w:line="600" w:lineRule="exact"/>
        <w:rPr>
          <w:bCs/>
          <w:color w:val="auto"/>
          <w:szCs w:val="21"/>
          <w:highlight w:val="none"/>
          <w:u w:val="single"/>
        </w:rPr>
      </w:pPr>
      <w:r>
        <w:rPr>
          <w:bCs/>
          <w:color w:val="auto"/>
          <w:szCs w:val="21"/>
          <w:highlight w:val="none"/>
        </w:rPr>
        <w:t>姓名：</w:t>
      </w:r>
      <w:r>
        <w:rPr>
          <w:bCs/>
          <w:color w:val="auto"/>
          <w:szCs w:val="21"/>
          <w:highlight w:val="none"/>
          <w:u w:val="single"/>
        </w:rPr>
        <w:t xml:space="preserve">         </w:t>
      </w:r>
      <w:r>
        <w:rPr>
          <w:bCs/>
          <w:color w:val="auto"/>
          <w:szCs w:val="21"/>
          <w:highlight w:val="none"/>
        </w:rPr>
        <w:t>性别：</w:t>
      </w:r>
      <w:r>
        <w:rPr>
          <w:bCs/>
          <w:color w:val="auto"/>
          <w:szCs w:val="21"/>
          <w:highlight w:val="none"/>
          <w:u w:val="single"/>
        </w:rPr>
        <w:t xml:space="preserve">          </w:t>
      </w:r>
      <w:r>
        <w:rPr>
          <w:bCs/>
          <w:color w:val="auto"/>
          <w:szCs w:val="21"/>
          <w:highlight w:val="none"/>
        </w:rPr>
        <w:t>年龄：</w:t>
      </w:r>
      <w:r>
        <w:rPr>
          <w:bCs/>
          <w:color w:val="auto"/>
          <w:szCs w:val="21"/>
          <w:highlight w:val="none"/>
          <w:u w:val="single"/>
        </w:rPr>
        <w:t xml:space="preserve">        </w:t>
      </w:r>
      <w:r>
        <w:rPr>
          <w:rFonts w:hint="eastAsia"/>
          <w:bCs/>
          <w:color w:val="auto"/>
          <w:szCs w:val="21"/>
          <w:highlight w:val="none"/>
          <w:u w:val="single"/>
        </w:rPr>
        <w:t xml:space="preserve"> </w:t>
      </w:r>
      <w:r>
        <w:rPr>
          <w:bCs/>
          <w:color w:val="auto"/>
          <w:szCs w:val="21"/>
          <w:highlight w:val="none"/>
        </w:rPr>
        <w:t>职务：</w:t>
      </w:r>
      <w:r>
        <w:rPr>
          <w:bCs/>
          <w:color w:val="auto"/>
          <w:szCs w:val="21"/>
          <w:highlight w:val="none"/>
          <w:u w:val="single"/>
        </w:rPr>
        <w:t xml:space="preserve">        </w:t>
      </w:r>
      <w:r>
        <w:rPr>
          <w:rFonts w:hint="eastAsia"/>
          <w:bCs/>
          <w:color w:val="auto"/>
          <w:szCs w:val="21"/>
          <w:highlight w:val="none"/>
          <w:u w:val="single"/>
        </w:rPr>
        <w:t xml:space="preserve"> </w:t>
      </w:r>
    </w:p>
    <w:p w14:paraId="4732A3B5">
      <w:pPr>
        <w:topLinePunct/>
        <w:spacing w:line="600" w:lineRule="exact"/>
        <w:rPr>
          <w:bCs/>
          <w:color w:val="auto"/>
          <w:szCs w:val="21"/>
          <w:highlight w:val="none"/>
        </w:rPr>
      </w:pPr>
      <w:r>
        <w:rPr>
          <w:bCs/>
          <w:color w:val="auto"/>
          <w:szCs w:val="21"/>
          <w:highlight w:val="none"/>
        </w:rPr>
        <w:t>系</w:t>
      </w:r>
      <w:r>
        <w:rPr>
          <w:bCs/>
          <w:color w:val="auto"/>
          <w:szCs w:val="21"/>
          <w:highlight w:val="none"/>
          <w:u w:val="single"/>
        </w:rPr>
        <w:t xml:space="preserve">                   </w:t>
      </w:r>
      <w:r>
        <w:rPr>
          <w:rFonts w:hint="eastAsia"/>
          <w:bCs/>
          <w:color w:val="auto"/>
          <w:szCs w:val="21"/>
          <w:highlight w:val="none"/>
        </w:rPr>
        <w:t>（响应人</w:t>
      </w:r>
      <w:r>
        <w:rPr>
          <w:bCs/>
          <w:color w:val="auto"/>
          <w:szCs w:val="21"/>
          <w:highlight w:val="none"/>
        </w:rPr>
        <w:t>名称</w:t>
      </w:r>
      <w:r>
        <w:rPr>
          <w:rFonts w:hint="eastAsia"/>
          <w:bCs/>
          <w:color w:val="auto"/>
          <w:szCs w:val="21"/>
          <w:highlight w:val="none"/>
        </w:rPr>
        <w:t>）</w:t>
      </w:r>
      <w:r>
        <w:rPr>
          <w:bCs/>
          <w:color w:val="auto"/>
          <w:szCs w:val="21"/>
          <w:highlight w:val="none"/>
        </w:rPr>
        <w:t>的法定代表人。</w:t>
      </w:r>
    </w:p>
    <w:p w14:paraId="7CBF24D3">
      <w:pPr>
        <w:topLinePunct/>
        <w:spacing w:line="600" w:lineRule="exact"/>
        <w:ind w:firstLine="420" w:firstLineChars="200"/>
        <w:rPr>
          <w:bCs/>
          <w:color w:val="auto"/>
          <w:szCs w:val="21"/>
          <w:highlight w:val="none"/>
        </w:rPr>
      </w:pPr>
      <w:r>
        <w:rPr>
          <w:bCs/>
          <w:color w:val="auto"/>
          <w:szCs w:val="21"/>
          <w:highlight w:val="none"/>
        </w:rPr>
        <w:t>特此证明。</w:t>
      </w:r>
    </w:p>
    <w:p w14:paraId="4BF4BD32">
      <w:pPr>
        <w:topLinePunct/>
        <w:spacing w:line="440" w:lineRule="exact"/>
        <w:rPr>
          <w:color w:val="auto"/>
          <w:highlight w:val="none"/>
        </w:rPr>
      </w:pPr>
      <w:r>
        <w:rPr>
          <w:color w:val="auto"/>
          <w:highlight w:val="none"/>
        </w:rPr>
        <w:t>附：法定代表人身份证复印件</w:t>
      </w:r>
      <w:r>
        <w:rPr>
          <w:rFonts w:hint="eastAsia"/>
          <w:color w:val="auto"/>
          <w:highlight w:val="none"/>
        </w:rPr>
        <w:t>（</w:t>
      </w:r>
      <w:r>
        <w:rPr>
          <w:rFonts w:hint="eastAsia" w:ascii="宋体" w:hAnsi="宋体"/>
          <w:color w:val="auto"/>
          <w:szCs w:val="21"/>
          <w:highlight w:val="none"/>
        </w:rPr>
        <w:t>需同时提供正面及背面</w:t>
      </w:r>
      <w:r>
        <w:rPr>
          <w:rFonts w:hint="eastAsia"/>
          <w:color w:val="auto"/>
          <w:highlight w:val="none"/>
        </w:rPr>
        <w:t>）</w:t>
      </w:r>
    </w:p>
    <w:p w14:paraId="070AFB76">
      <w:pPr>
        <w:spacing w:line="440" w:lineRule="exact"/>
        <w:rPr>
          <w:color w:val="auto"/>
          <w:szCs w:val="21"/>
          <w:highlight w:val="none"/>
        </w:rPr>
      </w:pPr>
    </w:p>
    <w:p w14:paraId="4B5D9E9B">
      <w:pPr>
        <w:spacing w:line="500" w:lineRule="exact"/>
        <w:rPr>
          <w:rFonts w:ascii="宋体" w:hAnsi="宋体"/>
          <w:color w:val="auto"/>
          <w:szCs w:val="21"/>
          <w:highlight w:val="none"/>
        </w:rPr>
      </w:pPr>
    </w:p>
    <w:p w14:paraId="619A77C0">
      <w:pPr>
        <w:spacing w:line="440" w:lineRule="exact"/>
        <w:rPr>
          <w:color w:val="auto"/>
          <w:szCs w:val="21"/>
          <w:highlight w:val="none"/>
        </w:rPr>
      </w:pPr>
    </w:p>
    <w:p w14:paraId="7DF0D99D">
      <w:pPr>
        <w:spacing w:line="500" w:lineRule="exact"/>
        <w:rPr>
          <w:rFonts w:ascii="宋体" w:hAnsi="宋体"/>
          <w:color w:val="auto"/>
          <w:szCs w:val="21"/>
          <w:highlight w:val="none"/>
        </w:rPr>
      </w:pPr>
    </w:p>
    <w:p w14:paraId="1BD94636">
      <w:pPr>
        <w:spacing w:line="440" w:lineRule="exact"/>
        <w:rPr>
          <w:color w:val="auto"/>
          <w:szCs w:val="21"/>
          <w:highlight w:val="none"/>
        </w:rPr>
      </w:pPr>
    </w:p>
    <w:p w14:paraId="796747ED">
      <w:pPr>
        <w:spacing w:line="500" w:lineRule="exact"/>
        <w:rPr>
          <w:rFonts w:ascii="宋体" w:hAnsi="宋体"/>
          <w:color w:val="auto"/>
          <w:szCs w:val="21"/>
          <w:highlight w:val="none"/>
        </w:rPr>
      </w:pPr>
    </w:p>
    <w:p w14:paraId="0A3F45CA">
      <w:pPr>
        <w:spacing w:line="440" w:lineRule="exact"/>
        <w:rPr>
          <w:color w:val="auto"/>
          <w:szCs w:val="21"/>
          <w:highlight w:val="none"/>
        </w:rPr>
      </w:pPr>
    </w:p>
    <w:p w14:paraId="3864FF12">
      <w:pPr>
        <w:spacing w:line="500" w:lineRule="exact"/>
        <w:rPr>
          <w:rFonts w:ascii="宋体" w:hAnsi="宋体"/>
          <w:color w:val="auto"/>
          <w:szCs w:val="21"/>
          <w:highlight w:val="none"/>
        </w:rPr>
      </w:pPr>
    </w:p>
    <w:p w14:paraId="159A2138">
      <w:pPr>
        <w:spacing w:line="440" w:lineRule="exact"/>
        <w:rPr>
          <w:color w:val="auto"/>
          <w:szCs w:val="21"/>
          <w:highlight w:val="none"/>
        </w:rPr>
      </w:pPr>
    </w:p>
    <w:p w14:paraId="54F9265A">
      <w:pPr>
        <w:spacing w:line="440" w:lineRule="exact"/>
        <w:rPr>
          <w:color w:val="auto"/>
          <w:szCs w:val="21"/>
          <w:highlight w:val="none"/>
        </w:rPr>
      </w:pPr>
    </w:p>
    <w:p w14:paraId="75412FB2">
      <w:pPr>
        <w:spacing w:line="440" w:lineRule="exact"/>
        <w:rPr>
          <w:color w:val="auto"/>
          <w:szCs w:val="21"/>
          <w:highlight w:val="none"/>
        </w:rPr>
      </w:pPr>
    </w:p>
    <w:p w14:paraId="60CFBA2C">
      <w:pPr>
        <w:spacing w:line="440" w:lineRule="exact"/>
        <w:ind w:firstLine="4305" w:firstLineChars="2050"/>
        <w:rPr>
          <w:color w:val="auto"/>
          <w:szCs w:val="21"/>
          <w:highlight w:val="none"/>
        </w:rPr>
      </w:pPr>
    </w:p>
    <w:p w14:paraId="1C26033A">
      <w:pPr>
        <w:spacing w:line="440" w:lineRule="exact"/>
        <w:ind w:firstLine="4305" w:firstLineChars="2050"/>
        <w:rPr>
          <w:color w:val="auto"/>
          <w:szCs w:val="21"/>
          <w:highlight w:val="none"/>
        </w:rPr>
      </w:pPr>
      <w:r>
        <w:rPr>
          <w:color w:val="auto"/>
          <w:szCs w:val="21"/>
          <w:highlight w:val="none"/>
        </w:rPr>
        <w:t>响应人：</w:t>
      </w:r>
      <w:r>
        <w:rPr>
          <w:color w:val="auto"/>
          <w:szCs w:val="21"/>
          <w:highlight w:val="none"/>
          <w:u w:val="single"/>
        </w:rPr>
        <w:t xml:space="preserve">                 </w:t>
      </w:r>
      <w:r>
        <w:rPr>
          <w:color w:val="auto"/>
          <w:szCs w:val="21"/>
          <w:highlight w:val="none"/>
        </w:rPr>
        <w:t>（盖单位公章）</w:t>
      </w:r>
    </w:p>
    <w:p w14:paraId="7956885B">
      <w:pPr>
        <w:spacing w:line="440" w:lineRule="exact"/>
        <w:rPr>
          <w:color w:val="auto"/>
          <w:szCs w:val="21"/>
          <w:highlight w:val="none"/>
        </w:rPr>
      </w:pPr>
      <w:r>
        <w:rPr>
          <w:color w:val="auto"/>
          <w:szCs w:val="21"/>
          <w:highlight w:val="none"/>
        </w:rPr>
        <w:t xml:space="preserve">                                </w:t>
      </w:r>
      <w:r>
        <w:rPr>
          <w:rFonts w:hint="eastAsia"/>
          <w:color w:val="auto"/>
          <w:szCs w:val="21"/>
          <w:highlight w:val="none"/>
        </w:rPr>
        <w:t xml:space="preserve">                  </w:t>
      </w: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 xml:space="preserve">日 </w:t>
      </w:r>
    </w:p>
    <w:p w14:paraId="07BA056C">
      <w:pPr>
        <w:widowControl/>
        <w:jc w:val="left"/>
        <w:rPr>
          <w:rFonts w:ascii="Arial" w:hAnsi="Arial" w:eastAsia="黑体"/>
          <w:bCs/>
          <w:color w:val="auto"/>
          <w:sz w:val="32"/>
          <w:szCs w:val="32"/>
          <w:highlight w:val="none"/>
        </w:rPr>
      </w:pPr>
      <w:bookmarkStart w:id="167" w:name="_Toc475483725"/>
      <w:r>
        <w:rPr>
          <w:b/>
          <w:color w:val="auto"/>
          <w:highlight w:val="none"/>
        </w:rPr>
        <w:br w:type="page"/>
      </w:r>
    </w:p>
    <w:p w14:paraId="066EA52E">
      <w:pPr>
        <w:pStyle w:val="3"/>
        <w:jc w:val="center"/>
        <w:rPr>
          <w:b w:val="0"/>
          <w:color w:val="auto"/>
          <w:highlight w:val="none"/>
        </w:rPr>
      </w:pPr>
      <w:bookmarkStart w:id="168" w:name="_Toc75852777"/>
      <w:r>
        <w:rPr>
          <w:rFonts w:hint="eastAsia"/>
          <w:b w:val="0"/>
          <w:color w:val="auto"/>
          <w:highlight w:val="none"/>
        </w:rPr>
        <w:t>五、法定代表人</w:t>
      </w:r>
      <w:r>
        <w:rPr>
          <w:b w:val="0"/>
          <w:color w:val="auto"/>
          <w:highlight w:val="none"/>
        </w:rPr>
        <w:t>授权委托书</w:t>
      </w:r>
      <w:bookmarkEnd w:id="167"/>
      <w:bookmarkEnd w:id="168"/>
    </w:p>
    <w:p w14:paraId="5DC377E0">
      <w:pPr>
        <w:topLinePunct/>
        <w:spacing w:line="440" w:lineRule="exact"/>
        <w:ind w:firstLine="420" w:firstLineChars="200"/>
        <w:rPr>
          <w:color w:val="auto"/>
          <w:szCs w:val="21"/>
          <w:highlight w:val="none"/>
        </w:rPr>
      </w:pPr>
      <w:r>
        <w:rPr>
          <w:color w:val="auto"/>
          <w:szCs w:val="21"/>
          <w:highlight w:val="none"/>
        </w:rPr>
        <w:t>本人</w:t>
      </w:r>
      <w:r>
        <w:rPr>
          <w:color w:val="auto"/>
          <w:szCs w:val="21"/>
          <w:highlight w:val="none"/>
          <w:u w:val="single"/>
        </w:rPr>
        <w:t xml:space="preserve">       （姓名）</w:t>
      </w:r>
      <w:r>
        <w:rPr>
          <w:color w:val="auto"/>
          <w:szCs w:val="21"/>
          <w:highlight w:val="none"/>
        </w:rPr>
        <w:t>系</w:t>
      </w:r>
      <w:r>
        <w:rPr>
          <w:color w:val="auto"/>
          <w:szCs w:val="21"/>
          <w:highlight w:val="none"/>
          <w:u w:val="single"/>
        </w:rPr>
        <w:t xml:space="preserve"> （响应人名称）</w:t>
      </w:r>
      <w:r>
        <w:rPr>
          <w:color w:val="auto"/>
          <w:szCs w:val="21"/>
          <w:highlight w:val="none"/>
        </w:rPr>
        <w:t>的法定代表人，现委托</w:t>
      </w:r>
      <w:r>
        <w:rPr>
          <w:color w:val="auto"/>
          <w:szCs w:val="21"/>
          <w:highlight w:val="none"/>
          <w:u w:val="single"/>
        </w:rPr>
        <w:t xml:space="preserve"> </w:t>
      </w:r>
      <w:r>
        <w:rPr>
          <w:rFonts w:hint="eastAsia"/>
          <w:color w:val="auto"/>
          <w:szCs w:val="21"/>
          <w:highlight w:val="none"/>
          <w:u w:val="single"/>
        </w:rPr>
        <w:t>（姓名）</w:t>
      </w:r>
      <w:r>
        <w:rPr>
          <w:color w:val="auto"/>
          <w:szCs w:val="21"/>
          <w:highlight w:val="none"/>
        </w:rPr>
        <w:t>为我方代理人。代理人根据授权，以我方名义</w:t>
      </w:r>
      <w:r>
        <w:rPr>
          <w:rFonts w:hint="eastAsia"/>
          <w:color w:val="auto"/>
          <w:szCs w:val="21"/>
          <w:highlight w:val="none"/>
        </w:rPr>
        <w:t>全权处理</w:t>
      </w:r>
      <w:r>
        <w:rPr>
          <w:rFonts w:hint="eastAsia"/>
          <w:color w:val="auto"/>
          <w:szCs w:val="21"/>
          <w:highlight w:val="none"/>
          <w:u w:val="single"/>
        </w:rPr>
        <w:t xml:space="preserve">      </w:t>
      </w:r>
      <w:r>
        <w:rPr>
          <w:color w:val="auto"/>
          <w:szCs w:val="21"/>
          <w:highlight w:val="none"/>
          <w:u w:val="single"/>
        </w:rPr>
        <w:t>（项目名称）</w:t>
      </w:r>
      <w:r>
        <w:rPr>
          <w:rFonts w:hint="eastAsia"/>
          <w:color w:val="auto"/>
          <w:szCs w:val="21"/>
          <w:highlight w:val="none"/>
          <w:u w:val="single"/>
        </w:rPr>
        <w:t xml:space="preserve">     </w:t>
      </w:r>
      <w:r>
        <w:rPr>
          <w:rFonts w:hint="eastAsia"/>
          <w:color w:val="auto"/>
          <w:szCs w:val="21"/>
          <w:highlight w:val="none"/>
        </w:rPr>
        <w:t>标段（</w:t>
      </w:r>
      <w:r>
        <w:rPr>
          <w:color w:val="auto"/>
          <w:szCs w:val="21"/>
          <w:highlight w:val="none"/>
        </w:rPr>
        <w:t>签署、澄清</w:t>
      </w:r>
      <w:r>
        <w:rPr>
          <w:rFonts w:hint="eastAsia"/>
          <w:color w:val="auto"/>
          <w:szCs w:val="21"/>
          <w:highlight w:val="none"/>
        </w:rPr>
        <w:t>、说明、补正</w:t>
      </w:r>
      <w:r>
        <w:rPr>
          <w:color w:val="auto"/>
          <w:szCs w:val="21"/>
          <w:highlight w:val="none"/>
        </w:rPr>
        <w:t>、递交、撤回、修改响应文件</w:t>
      </w:r>
      <w:r>
        <w:rPr>
          <w:rFonts w:hint="eastAsia"/>
          <w:color w:val="auto"/>
          <w:szCs w:val="21"/>
          <w:highlight w:val="none"/>
        </w:rPr>
        <w:t>，</w:t>
      </w:r>
      <w:r>
        <w:rPr>
          <w:color w:val="auto"/>
          <w:szCs w:val="21"/>
          <w:highlight w:val="none"/>
        </w:rPr>
        <w:t>签订合同和处理</w:t>
      </w:r>
      <w:r>
        <w:rPr>
          <w:rFonts w:hint="eastAsia"/>
          <w:color w:val="auto"/>
          <w:szCs w:val="21"/>
          <w:highlight w:val="none"/>
        </w:rPr>
        <w:t>一切</w:t>
      </w:r>
      <w:r>
        <w:rPr>
          <w:color w:val="auto"/>
          <w:szCs w:val="21"/>
          <w:highlight w:val="none"/>
        </w:rPr>
        <w:t>有关事宜</w:t>
      </w:r>
      <w:r>
        <w:rPr>
          <w:rFonts w:hint="eastAsia"/>
          <w:color w:val="auto"/>
          <w:szCs w:val="21"/>
          <w:highlight w:val="none"/>
        </w:rPr>
        <w:t>）</w:t>
      </w:r>
      <w:r>
        <w:rPr>
          <w:color w:val="auto"/>
          <w:szCs w:val="21"/>
          <w:highlight w:val="none"/>
        </w:rPr>
        <w:t>，其法律后果由我方承担。</w:t>
      </w:r>
    </w:p>
    <w:p w14:paraId="2EDAC5FC">
      <w:pPr>
        <w:spacing w:line="440" w:lineRule="exact"/>
        <w:rPr>
          <w:color w:val="auto"/>
          <w:szCs w:val="21"/>
          <w:highlight w:val="none"/>
        </w:rPr>
      </w:pPr>
      <w:r>
        <w:rPr>
          <w:color w:val="auto"/>
          <w:szCs w:val="21"/>
          <w:highlight w:val="none"/>
        </w:rPr>
        <w:t xml:space="preserve">    委托期限：</w:t>
      </w:r>
      <w:r>
        <w:rPr>
          <w:color w:val="auto"/>
          <w:szCs w:val="21"/>
          <w:highlight w:val="none"/>
          <w:u w:val="single"/>
        </w:rPr>
        <w:t xml:space="preserve">             </w:t>
      </w:r>
      <w:r>
        <w:rPr>
          <w:rFonts w:hint="eastAsia"/>
          <w:color w:val="auto"/>
          <w:szCs w:val="21"/>
          <w:highlight w:val="none"/>
        </w:rPr>
        <w:t>。</w:t>
      </w:r>
    </w:p>
    <w:p w14:paraId="19EA26D2">
      <w:pPr>
        <w:spacing w:line="440" w:lineRule="exact"/>
        <w:ind w:firstLine="420" w:firstLineChars="200"/>
        <w:rPr>
          <w:color w:val="auto"/>
          <w:szCs w:val="21"/>
          <w:highlight w:val="none"/>
        </w:rPr>
      </w:pPr>
      <w:r>
        <w:rPr>
          <w:color w:val="auto"/>
          <w:szCs w:val="21"/>
          <w:highlight w:val="none"/>
        </w:rPr>
        <w:t>代理人无转委托权。</w:t>
      </w:r>
    </w:p>
    <w:p w14:paraId="46E00AB3">
      <w:pPr>
        <w:spacing w:line="440" w:lineRule="exact"/>
        <w:rPr>
          <w:rFonts w:ascii="宋体" w:hAnsi="宋体"/>
          <w:color w:val="auto"/>
          <w:szCs w:val="21"/>
          <w:highlight w:val="none"/>
        </w:rPr>
      </w:pPr>
      <w:r>
        <w:rPr>
          <w:rFonts w:hint="eastAsia" w:ascii="宋体" w:hAnsi="宋体"/>
          <w:color w:val="auto"/>
          <w:szCs w:val="21"/>
          <w:highlight w:val="none"/>
        </w:rPr>
        <w:t>附：委托代理人身份证复印件(需同时提供正面及背面)</w:t>
      </w:r>
    </w:p>
    <w:p w14:paraId="1C0748A6">
      <w:pPr>
        <w:spacing w:line="500" w:lineRule="exact"/>
        <w:rPr>
          <w:rFonts w:ascii="宋体" w:hAnsi="宋体"/>
          <w:color w:val="auto"/>
          <w:szCs w:val="21"/>
          <w:highlight w:val="none"/>
        </w:rPr>
      </w:pPr>
    </w:p>
    <w:p w14:paraId="5E7AD70E">
      <w:pPr>
        <w:spacing w:line="440" w:lineRule="exact"/>
        <w:rPr>
          <w:color w:val="auto"/>
          <w:szCs w:val="21"/>
          <w:highlight w:val="none"/>
        </w:rPr>
      </w:pPr>
    </w:p>
    <w:p w14:paraId="29990A41">
      <w:pPr>
        <w:spacing w:line="500" w:lineRule="exact"/>
        <w:rPr>
          <w:rFonts w:ascii="宋体" w:hAnsi="宋体"/>
          <w:color w:val="auto"/>
          <w:szCs w:val="21"/>
          <w:highlight w:val="none"/>
        </w:rPr>
      </w:pPr>
    </w:p>
    <w:p w14:paraId="6F2B351B">
      <w:pPr>
        <w:spacing w:line="440" w:lineRule="exact"/>
        <w:rPr>
          <w:color w:val="auto"/>
          <w:szCs w:val="21"/>
          <w:highlight w:val="none"/>
        </w:rPr>
      </w:pPr>
    </w:p>
    <w:p w14:paraId="67A13050">
      <w:pPr>
        <w:spacing w:line="440" w:lineRule="exact"/>
        <w:rPr>
          <w:color w:val="auto"/>
          <w:szCs w:val="21"/>
          <w:highlight w:val="none"/>
        </w:rPr>
      </w:pPr>
    </w:p>
    <w:p w14:paraId="2DC74F4C">
      <w:pPr>
        <w:spacing w:line="500" w:lineRule="exact"/>
        <w:rPr>
          <w:rFonts w:ascii="宋体" w:hAnsi="宋体"/>
          <w:color w:val="auto"/>
          <w:szCs w:val="21"/>
          <w:highlight w:val="none"/>
        </w:rPr>
      </w:pPr>
    </w:p>
    <w:p w14:paraId="5239CF1B">
      <w:pPr>
        <w:spacing w:line="500" w:lineRule="exact"/>
        <w:rPr>
          <w:rFonts w:ascii="宋体" w:hAnsi="宋体"/>
          <w:color w:val="auto"/>
          <w:szCs w:val="21"/>
          <w:highlight w:val="none"/>
        </w:rPr>
      </w:pPr>
    </w:p>
    <w:p w14:paraId="0ECB1701">
      <w:pPr>
        <w:spacing w:line="500" w:lineRule="exact"/>
        <w:rPr>
          <w:rFonts w:ascii="宋体" w:hAnsi="宋体"/>
          <w:color w:val="auto"/>
          <w:szCs w:val="21"/>
          <w:highlight w:val="none"/>
        </w:rPr>
      </w:pPr>
    </w:p>
    <w:p w14:paraId="203E2CD3">
      <w:pPr>
        <w:spacing w:line="440" w:lineRule="exact"/>
        <w:rPr>
          <w:color w:val="auto"/>
          <w:szCs w:val="21"/>
          <w:highlight w:val="none"/>
        </w:rPr>
      </w:pPr>
    </w:p>
    <w:p w14:paraId="0C4A5B9E">
      <w:pPr>
        <w:spacing w:line="440" w:lineRule="exact"/>
        <w:rPr>
          <w:color w:val="auto"/>
          <w:szCs w:val="21"/>
          <w:highlight w:val="none"/>
        </w:rPr>
      </w:pPr>
    </w:p>
    <w:p w14:paraId="1BA98262">
      <w:pPr>
        <w:spacing w:line="440" w:lineRule="exact"/>
        <w:rPr>
          <w:color w:val="auto"/>
          <w:szCs w:val="21"/>
          <w:highlight w:val="none"/>
        </w:rPr>
      </w:pPr>
    </w:p>
    <w:p w14:paraId="50FBB61A">
      <w:pPr>
        <w:spacing w:line="440" w:lineRule="exact"/>
        <w:rPr>
          <w:color w:val="auto"/>
          <w:szCs w:val="21"/>
          <w:highlight w:val="none"/>
        </w:rPr>
      </w:pPr>
    </w:p>
    <w:p w14:paraId="6385EEBE">
      <w:pPr>
        <w:spacing w:line="440" w:lineRule="exact"/>
        <w:jc w:val="right"/>
        <w:rPr>
          <w:color w:val="auto"/>
          <w:szCs w:val="21"/>
          <w:highlight w:val="none"/>
        </w:rPr>
      </w:pPr>
      <w:r>
        <w:rPr>
          <w:color w:val="auto"/>
          <w:szCs w:val="21"/>
          <w:highlight w:val="none"/>
        </w:rPr>
        <w:t>响应人</w:t>
      </w:r>
      <w:r>
        <w:rPr>
          <w:rFonts w:hint="eastAsia"/>
          <w:color w:val="auto"/>
          <w:szCs w:val="21"/>
          <w:highlight w:val="none"/>
        </w:rPr>
        <w:t>名称</w:t>
      </w:r>
      <w:r>
        <w:rPr>
          <w:color w:val="auto"/>
          <w:szCs w:val="21"/>
          <w:highlight w:val="none"/>
        </w:rPr>
        <w:t>：</w:t>
      </w:r>
      <w:r>
        <w:rPr>
          <w:color w:val="auto"/>
          <w:szCs w:val="21"/>
          <w:highlight w:val="none"/>
          <w:u w:val="single"/>
        </w:rPr>
        <w:t xml:space="preserve">                         </w:t>
      </w:r>
      <w:r>
        <w:rPr>
          <w:color w:val="auto"/>
          <w:szCs w:val="21"/>
          <w:highlight w:val="none"/>
        </w:rPr>
        <w:t>（盖单位公章）</w:t>
      </w:r>
    </w:p>
    <w:p w14:paraId="2424CD0F">
      <w:pPr>
        <w:spacing w:line="440" w:lineRule="exact"/>
        <w:jc w:val="right"/>
        <w:rPr>
          <w:color w:val="auto"/>
          <w:szCs w:val="21"/>
          <w:highlight w:val="none"/>
        </w:rPr>
      </w:pPr>
      <w:r>
        <w:rPr>
          <w:color w:val="auto"/>
          <w:szCs w:val="21"/>
          <w:highlight w:val="none"/>
        </w:rPr>
        <w:t>法定代表人：</w:t>
      </w:r>
      <w:r>
        <w:rPr>
          <w:color w:val="auto"/>
          <w:szCs w:val="21"/>
          <w:highlight w:val="none"/>
          <w:u w:val="single"/>
        </w:rPr>
        <w:t xml:space="preserve">                               </w:t>
      </w:r>
      <w:r>
        <w:rPr>
          <w:color w:val="auto"/>
          <w:szCs w:val="21"/>
          <w:highlight w:val="none"/>
        </w:rPr>
        <w:t>（签字）</w:t>
      </w:r>
    </w:p>
    <w:p w14:paraId="32DB90B7">
      <w:pPr>
        <w:spacing w:line="440" w:lineRule="exact"/>
        <w:ind w:right="420" w:firstLine="2940" w:firstLineChars="1400"/>
        <w:rPr>
          <w:color w:val="auto"/>
          <w:szCs w:val="21"/>
          <w:highlight w:val="none"/>
        </w:rPr>
      </w:pPr>
      <w:r>
        <w:rPr>
          <w:color w:val="auto"/>
          <w:szCs w:val="21"/>
          <w:highlight w:val="none"/>
        </w:rPr>
        <w:t>身份证号码：</w:t>
      </w:r>
      <w:r>
        <w:rPr>
          <w:color w:val="auto"/>
          <w:szCs w:val="21"/>
          <w:highlight w:val="none"/>
          <w:u w:val="single"/>
        </w:rPr>
        <w:t xml:space="preserve">                                     </w:t>
      </w:r>
    </w:p>
    <w:p w14:paraId="2C4B9546">
      <w:pPr>
        <w:spacing w:line="440" w:lineRule="exact"/>
        <w:ind w:right="105"/>
        <w:jc w:val="right"/>
        <w:rPr>
          <w:color w:val="auto"/>
          <w:szCs w:val="21"/>
          <w:highlight w:val="none"/>
        </w:rPr>
      </w:pPr>
      <w:r>
        <w:rPr>
          <w:color w:val="auto"/>
          <w:szCs w:val="21"/>
          <w:highlight w:val="none"/>
        </w:rPr>
        <w:t>委托代理人：</w:t>
      </w:r>
      <w:r>
        <w:rPr>
          <w:color w:val="auto"/>
          <w:szCs w:val="21"/>
          <w:highlight w:val="none"/>
          <w:u w:val="single"/>
        </w:rPr>
        <w:t xml:space="preserve">                              </w:t>
      </w:r>
      <w:r>
        <w:rPr>
          <w:color w:val="auto"/>
          <w:szCs w:val="21"/>
          <w:highlight w:val="none"/>
        </w:rPr>
        <w:t xml:space="preserve">（签字） </w:t>
      </w:r>
    </w:p>
    <w:p w14:paraId="6AAA5B45">
      <w:pPr>
        <w:spacing w:line="440" w:lineRule="exact"/>
        <w:ind w:right="420" w:firstLine="2940" w:firstLineChars="1400"/>
        <w:rPr>
          <w:color w:val="auto"/>
          <w:szCs w:val="21"/>
          <w:highlight w:val="none"/>
        </w:rPr>
      </w:pPr>
      <w:r>
        <w:rPr>
          <w:color w:val="auto"/>
          <w:szCs w:val="21"/>
          <w:highlight w:val="none"/>
        </w:rPr>
        <w:t>身份证号码：</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p>
    <w:p w14:paraId="247C52CA">
      <w:pPr>
        <w:spacing w:line="440" w:lineRule="exact"/>
        <w:ind w:firstLine="2310" w:firstLineChars="1100"/>
        <w:jc w:val="right"/>
        <w:rPr>
          <w:color w:val="auto"/>
          <w:szCs w:val="21"/>
          <w:highlight w:val="none"/>
        </w:rPr>
      </w:pP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日</w:t>
      </w:r>
    </w:p>
    <w:p w14:paraId="5080D85D">
      <w:pPr>
        <w:pStyle w:val="3"/>
        <w:spacing w:before="0"/>
        <w:jc w:val="center"/>
        <w:rPr>
          <w:color w:val="auto"/>
          <w:highlight w:val="none"/>
        </w:rPr>
        <w:sectPr>
          <w:pgSz w:w="11906" w:h="16838"/>
          <w:pgMar w:top="1418" w:right="1800" w:bottom="1440" w:left="1800" w:header="851" w:footer="992" w:gutter="0"/>
          <w:cols w:space="720" w:num="1"/>
          <w:docGrid w:type="lines" w:linePitch="312" w:charSpace="0"/>
        </w:sectPr>
      </w:pPr>
    </w:p>
    <w:p w14:paraId="79F93E79">
      <w:pPr>
        <w:spacing w:line="400" w:lineRule="exact"/>
        <w:rPr>
          <w:rFonts w:eastAsia="黑体"/>
          <w:color w:val="auto"/>
          <w:sz w:val="27"/>
          <w:szCs w:val="27"/>
          <w:highlight w:val="none"/>
        </w:rPr>
      </w:pPr>
    </w:p>
    <w:p w14:paraId="69DEAE3A">
      <w:pPr>
        <w:pStyle w:val="3"/>
        <w:jc w:val="center"/>
        <w:rPr>
          <w:color w:val="auto"/>
          <w:highlight w:val="none"/>
        </w:rPr>
      </w:pPr>
      <w:bookmarkStart w:id="169" w:name="_Toc144974864"/>
      <w:bookmarkStart w:id="170" w:name="_Toc246996364"/>
      <w:bookmarkStart w:id="171" w:name="_Toc152042585"/>
      <w:bookmarkStart w:id="172" w:name="_Toc179632816"/>
      <w:bookmarkStart w:id="173" w:name="_Toc246997107"/>
      <w:bookmarkStart w:id="174" w:name="_Toc247085882"/>
      <w:bookmarkStart w:id="175" w:name="_Toc75852778"/>
      <w:bookmarkStart w:id="176" w:name="_Toc338669155"/>
      <w:bookmarkStart w:id="177" w:name="_Toc152045796"/>
      <w:r>
        <w:rPr>
          <w:rFonts w:hint="eastAsia"/>
          <w:color w:val="auto"/>
          <w:highlight w:val="none"/>
        </w:rPr>
        <w:t>六</w:t>
      </w:r>
      <w:r>
        <w:rPr>
          <w:color w:val="auto"/>
          <w:highlight w:val="none"/>
        </w:rPr>
        <w:t>、</w:t>
      </w:r>
      <w:r>
        <w:rPr>
          <w:rFonts w:hint="eastAsia"/>
          <w:color w:val="auto"/>
          <w:highlight w:val="none"/>
        </w:rPr>
        <w:t>项目实施</w:t>
      </w:r>
      <w:r>
        <w:rPr>
          <w:color w:val="auto"/>
          <w:highlight w:val="none"/>
        </w:rPr>
        <w:t>方案</w:t>
      </w:r>
      <w:bookmarkEnd w:id="169"/>
      <w:bookmarkEnd w:id="170"/>
      <w:bookmarkEnd w:id="171"/>
      <w:bookmarkEnd w:id="172"/>
      <w:bookmarkEnd w:id="173"/>
      <w:bookmarkEnd w:id="174"/>
      <w:bookmarkEnd w:id="175"/>
      <w:bookmarkEnd w:id="176"/>
      <w:bookmarkEnd w:id="177"/>
    </w:p>
    <w:p w14:paraId="1ECED418">
      <w:pPr>
        <w:spacing w:line="440" w:lineRule="exact"/>
        <w:rPr>
          <w:color w:val="auto"/>
          <w:szCs w:val="21"/>
          <w:highlight w:val="none"/>
        </w:rPr>
      </w:pPr>
      <w:r>
        <w:rPr>
          <w:rFonts w:hint="eastAsia"/>
          <w:color w:val="auto"/>
          <w:szCs w:val="21"/>
          <w:highlight w:val="none"/>
        </w:rPr>
        <w:t>响应人应根据第四章“用户需求书/技术规范书”中的要求制定项目实施方案。竞争性谈判方可以根据实际情况增加内容，但不得擅自减少有关内容。格式自拟。</w:t>
      </w:r>
    </w:p>
    <w:p w14:paraId="7FAB5B35">
      <w:pPr>
        <w:widowControl/>
        <w:jc w:val="left"/>
        <w:rPr>
          <w:color w:val="auto"/>
          <w:szCs w:val="21"/>
          <w:highlight w:val="none"/>
        </w:rPr>
      </w:pPr>
      <w:r>
        <w:rPr>
          <w:color w:val="auto"/>
          <w:szCs w:val="21"/>
          <w:highlight w:val="none"/>
        </w:rPr>
        <w:br w:type="page"/>
      </w:r>
    </w:p>
    <w:p w14:paraId="6BD6ECD3">
      <w:pPr>
        <w:pStyle w:val="3"/>
        <w:jc w:val="center"/>
        <w:rPr>
          <w:color w:val="auto"/>
          <w:szCs w:val="21"/>
          <w:highlight w:val="none"/>
        </w:rPr>
      </w:pPr>
      <w:bookmarkStart w:id="178" w:name="_Toc75852779"/>
      <w:r>
        <w:rPr>
          <w:rFonts w:hint="eastAsia"/>
          <w:color w:val="auto"/>
          <w:highlight w:val="none"/>
        </w:rPr>
        <w:t>七</w:t>
      </w:r>
      <w:r>
        <w:rPr>
          <w:color w:val="auto"/>
          <w:highlight w:val="none"/>
        </w:rPr>
        <w:t>、项目管理机构</w:t>
      </w:r>
      <w:bookmarkEnd w:id="178"/>
    </w:p>
    <w:p w14:paraId="2F483C23">
      <w:pPr>
        <w:spacing w:before="312" w:beforeLines="100" w:after="312" w:afterLines="100" w:line="440" w:lineRule="exact"/>
        <w:jc w:val="center"/>
        <w:rPr>
          <w:rFonts w:ascii="Arial" w:hAnsi="Arial" w:eastAsia="黑体"/>
          <w:b/>
          <w:bCs/>
          <w:color w:val="auto"/>
          <w:sz w:val="32"/>
          <w:szCs w:val="32"/>
          <w:highlight w:val="none"/>
        </w:rPr>
      </w:pPr>
      <w:bookmarkStart w:id="179" w:name="_Toc246997113"/>
      <w:bookmarkStart w:id="180" w:name="_Toc246996370"/>
      <w:bookmarkStart w:id="181" w:name="_Toc334766997"/>
      <w:bookmarkStart w:id="182" w:name="_Toc332188244"/>
      <w:bookmarkStart w:id="183" w:name="_Toc152045804"/>
      <w:bookmarkStart w:id="184" w:name="_Toc179632824"/>
      <w:bookmarkStart w:id="185" w:name="_Toc152042593"/>
      <w:bookmarkStart w:id="186" w:name="_Toc247085888"/>
      <w:bookmarkStart w:id="187" w:name="_Toc144974872"/>
      <w:bookmarkStart w:id="188" w:name="_Toc326223615"/>
      <w:r>
        <w:rPr>
          <w:rFonts w:ascii="Arial" w:hAnsi="Arial" w:eastAsia="黑体"/>
          <w:b/>
          <w:bCs/>
          <w:color w:val="auto"/>
          <w:sz w:val="32"/>
          <w:szCs w:val="32"/>
          <w:highlight w:val="none"/>
        </w:rPr>
        <w:t>（一）项目管理机构组成表</w:t>
      </w:r>
      <w:bookmarkEnd w:id="179"/>
      <w:bookmarkEnd w:id="180"/>
      <w:bookmarkEnd w:id="181"/>
      <w:bookmarkEnd w:id="182"/>
      <w:bookmarkEnd w:id="183"/>
      <w:bookmarkEnd w:id="184"/>
      <w:bookmarkEnd w:id="185"/>
      <w:bookmarkEnd w:id="186"/>
      <w:bookmarkEnd w:id="187"/>
      <w:bookmarkEnd w:id="188"/>
    </w:p>
    <w:tbl>
      <w:tblPr>
        <w:tblStyle w:val="37"/>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93"/>
        <w:gridCol w:w="958"/>
        <w:gridCol w:w="709"/>
        <w:gridCol w:w="850"/>
        <w:gridCol w:w="709"/>
        <w:gridCol w:w="709"/>
        <w:gridCol w:w="709"/>
        <w:gridCol w:w="992"/>
        <w:gridCol w:w="1876"/>
      </w:tblGrid>
      <w:tr w14:paraId="0EC00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vAlign w:val="center"/>
          </w:tcPr>
          <w:p w14:paraId="0137CA55">
            <w:pPr>
              <w:spacing w:line="440" w:lineRule="exact"/>
              <w:jc w:val="center"/>
              <w:rPr>
                <w:color w:val="auto"/>
                <w:szCs w:val="21"/>
                <w:highlight w:val="none"/>
              </w:rPr>
            </w:pPr>
            <w:r>
              <w:rPr>
                <w:color w:val="auto"/>
                <w:szCs w:val="21"/>
                <w:highlight w:val="none"/>
              </w:rPr>
              <w:t>职务</w:t>
            </w:r>
          </w:p>
        </w:tc>
        <w:tc>
          <w:tcPr>
            <w:tcW w:w="993" w:type="dxa"/>
            <w:vMerge w:val="restart"/>
            <w:vAlign w:val="center"/>
          </w:tcPr>
          <w:p w14:paraId="5459DA85">
            <w:pPr>
              <w:spacing w:line="440" w:lineRule="exact"/>
              <w:jc w:val="center"/>
              <w:rPr>
                <w:color w:val="auto"/>
                <w:szCs w:val="21"/>
                <w:highlight w:val="none"/>
              </w:rPr>
            </w:pPr>
            <w:r>
              <w:rPr>
                <w:color w:val="auto"/>
                <w:szCs w:val="21"/>
                <w:highlight w:val="none"/>
              </w:rPr>
              <w:t>姓名</w:t>
            </w:r>
          </w:p>
        </w:tc>
        <w:tc>
          <w:tcPr>
            <w:tcW w:w="958" w:type="dxa"/>
            <w:vMerge w:val="restart"/>
            <w:vAlign w:val="center"/>
          </w:tcPr>
          <w:p w14:paraId="162110A3">
            <w:pPr>
              <w:spacing w:line="440" w:lineRule="exact"/>
              <w:jc w:val="center"/>
              <w:rPr>
                <w:color w:val="auto"/>
                <w:szCs w:val="21"/>
                <w:highlight w:val="none"/>
              </w:rPr>
            </w:pPr>
            <w:r>
              <w:rPr>
                <w:color w:val="auto"/>
                <w:szCs w:val="21"/>
                <w:highlight w:val="none"/>
              </w:rPr>
              <w:t>职称</w:t>
            </w:r>
          </w:p>
        </w:tc>
        <w:tc>
          <w:tcPr>
            <w:tcW w:w="709" w:type="dxa"/>
            <w:vMerge w:val="restart"/>
            <w:vAlign w:val="center"/>
          </w:tcPr>
          <w:p w14:paraId="0D8806DF">
            <w:pPr>
              <w:spacing w:line="440" w:lineRule="exact"/>
              <w:jc w:val="center"/>
              <w:rPr>
                <w:color w:val="auto"/>
                <w:szCs w:val="21"/>
                <w:highlight w:val="none"/>
              </w:rPr>
            </w:pPr>
            <w:r>
              <w:rPr>
                <w:rFonts w:hint="eastAsia"/>
                <w:color w:val="auto"/>
                <w:szCs w:val="21"/>
                <w:highlight w:val="none"/>
              </w:rPr>
              <w:t>学历</w:t>
            </w:r>
          </w:p>
        </w:tc>
        <w:tc>
          <w:tcPr>
            <w:tcW w:w="2977" w:type="dxa"/>
            <w:gridSpan w:val="4"/>
            <w:vAlign w:val="center"/>
          </w:tcPr>
          <w:p w14:paraId="367C61B1">
            <w:pPr>
              <w:spacing w:line="440" w:lineRule="exact"/>
              <w:jc w:val="center"/>
              <w:rPr>
                <w:color w:val="auto"/>
                <w:szCs w:val="21"/>
                <w:highlight w:val="none"/>
              </w:rPr>
            </w:pPr>
            <w:r>
              <w:rPr>
                <w:color w:val="auto"/>
                <w:szCs w:val="21"/>
                <w:highlight w:val="none"/>
              </w:rPr>
              <w:t>执业或职业资格证明</w:t>
            </w:r>
          </w:p>
        </w:tc>
        <w:tc>
          <w:tcPr>
            <w:tcW w:w="992" w:type="dxa"/>
            <w:vMerge w:val="restart"/>
            <w:vAlign w:val="center"/>
          </w:tcPr>
          <w:p w14:paraId="5CBCA47B">
            <w:pPr>
              <w:spacing w:line="440" w:lineRule="exact"/>
              <w:jc w:val="center"/>
              <w:rPr>
                <w:color w:val="auto"/>
                <w:szCs w:val="21"/>
                <w:highlight w:val="none"/>
              </w:rPr>
            </w:pPr>
            <w:r>
              <w:rPr>
                <w:rFonts w:hint="eastAsia"/>
                <w:color w:val="auto"/>
                <w:szCs w:val="21"/>
                <w:highlight w:val="none"/>
              </w:rPr>
              <w:t>同类项目工作年限（年）</w:t>
            </w:r>
          </w:p>
        </w:tc>
        <w:tc>
          <w:tcPr>
            <w:tcW w:w="1876" w:type="dxa"/>
            <w:vMerge w:val="restart"/>
            <w:vAlign w:val="center"/>
          </w:tcPr>
          <w:p w14:paraId="4BFEF313">
            <w:pPr>
              <w:spacing w:line="440" w:lineRule="exact"/>
              <w:jc w:val="center"/>
              <w:rPr>
                <w:color w:val="auto"/>
                <w:szCs w:val="21"/>
                <w:highlight w:val="none"/>
              </w:rPr>
            </w:pPr>
            <w:r>
              <w:rPr>
                <w:rFonts w:hint="eastAsia"/>
                <w:color w:val="auto"/>
                <w:szCs w:val="21"/>
                <w:highlight w:val="none"/>
              </w:rPr>
              <w:t>工作简介（项目经验）</w:t>
            </w:r>
          </w:p>
        </w:tc>
      </w:tr>
      <w:tr w14:paraId="3848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vAlign w:val="center"/>
          </w:tcPr>
          <w:p w14:paraId="7883212C">
            <w:pPr>
              <w:spacing w:line="440" w:lineRule="exact"/>
              <w:jc w:val="center"/>
              <w:rPr>
                <w:color w:val="auto"/>
                <w:szCs w:val="21"/>
                <w:highlight w:val="none"/>
              </w:rPr>
            </w:pPr>
          </w:p>
        </w:tc>
        <w:tc>
          <w:tcPr>
            <w:tcW w:w="993" w:type="dxa"/>
            <w:vMerge w:val="continue"/>
            <w:vAlign w:val="center"/>
          </w:tcPr>
          <w:p w14:paraId="599C8740">
            <w:pPr>
              <w:spacing w:line="440" w:lineRule="exact"/>
              <w:jc w:val="center"/>
              <w:rPr>
                <w:color w:val="auto"/>
                <w:szCs w:val="21"/>
                <w:highlight w:val="none"/>
              </w:rPr>
            </w:pPr>
          </w:p>
        </w:tc>
        <w:tc>
          <w:tcPr>
            <w:tcW w:w="958" w:type="dxa"/>
            <w:vMerge w:val="continue"/>
            <w:vAlign w:val="center"/>
          </w:tcPr>
          <w:p w14:paraId="64FD7C3D">
            <w:pPr>
              <w:spacing w:line="440" w:lineRule="exact"/>
              <w:jc w:val="center"/>
              <w:rPr>
                <w:color w:val="auto"/>
                <w:szCs w:val="21"/>
                <w:highlight w:val="none"/>
              </w:rPr>
            </w:pPr>
          </w:p>
        </w:tc>
        <w:tc>
          <w:tcPr>
            <w:tcW w:w="709" w:type="dxa"/>
            <w:vMerge w:val="continue"/>
            <w:vAlign w:val="center"/>
          </w:tcPr>
          <w:p w14:paraId="6B940FC4">
            <w:pPr>
              <w:spacing w:line="440" w:lineRule="exact"/>
              <w:jc w:val="center"/>
              <w:rPr>
                <w:color w:val="auto"/>
                <w:szCs w:val="21"/>
                <w:highlight w:val="none"/>
              </w:rPr>
            </w:pPr>
          </w:p>
        </w:tc>
        <w:tc>
          <w:tcPr>
            <w:tcW w:w="850" w:type="dxa"/>
            <w:vAlign w:val="center"/>
          </w:tcPr>
          <w:p w14:paraId="2A2DC9B7">
            <w:pPr>
              <w:spacing w:line="440" w:lineRule="exact"/>
              <w:jc w:val="center"/>
              <w:rPr>
                <w:color w:val="auto"/>
                <w:szCs w:val="21"/>
                <w:highlight w:val="none"/>
              </w:rPr>
            </w:pPr>
            <w:r>
              <w:rPr>
                <w:color w:val="auto"/>
                <w:szCs w:val="21"/>
                <w:highlight w:val="none"/>
              </w:rPr>
              <w:t>证书名称</w:t>
            </w:r>
          </w:p>
        </w:tc>
        <w:tc>
          <w:tcPr>
            <w:tcW w:w="709" w:type="dxa"/>
            <w:vAlign w:val="center"/>
          </w:tcPr>
          <w:p w14:paraId="39A04088">
            <w:pPr>
              <w:spacing w:line="440" w:lineRule="exact"/>
              <w:jc w:val="center"/>
              <w:rPr>
                <w:color w:val="auto"/>
                <w:szCs w:val="21"/>
                <w:highlight w:val="none"/>
              </w:rPr>
            </w:pPr>
            <w:r>
              <w:rPr>
                <w:color w:val="auto"/>
                <w:szCs w:val="21"/>
                <w:highlight w:val="none"/>
              </w:rPr>
              <w:t>级别</w:t>
            </w:r>
          </w:p>
        </w:tc>
        <w:tc>
          <w:tcPr>
            <w:tcW w:w="709" w:type="dxa"/>
            <w:vAlign w:val="center"/>
          </w:tcPr>
          <w:p w14:paraId="53D86D15">
            <w:pPr>
              <w:spacing w:line="440" w:lineRule="exact"/>
              <w:jc w:val="center"/>
              <w:rPr>
                <w:color w:val="auto"/>
                <w:szCs w:val="21"/>
                <w:highlight w:val="none"/>
              </w:rPr>
            </w:pPr>
            <w:r>
              <w:rPr>
                <w:color w:val="auto"/>
                <w:szCs w:val="21"/>
                <w:highlight w:val="none"/>
              </w:rPr>
              <w:t>证号</w:t>
            </w:r>
          </w:p>
        </w:tc>
        <w:tc>
          <w:tcPr>
            <w:tcW w:w="709" w:type="dxa"/>
            <w:vAlign w:val="center"/>
          </w:tcPr>
          <w:p w14:paraId="30DDAA01">
            <w:pPr>
              <w:spacing w:line="440" w:lineRule="exact"/>
              <w:jc w:val="center"/>
              <w:rPr>
                <w:color w:val="auto"/>
                <w:szCs w:val="21"/>
                <w:highlight w:val="none"/>
              </w:rPr>
            </w:pPr>
            <w:r>
              <w:rPr>
                <w:color w:val="auto"/>
                <w:szCs w:val="21"/>
                <w:highlight w:val="none"/>
              </w:rPr>
              <w:t>专业</w:t>
            </w:r>
          </w:p>
        </w:tc>
        <w:tc>
          <w:tcPr>
            <w:tcW w:w="992" w:type="dxa"/>
            <w:vMerge w:val="continue"/>
            <w:vAlign w:val="center"/>
          </w:tcPr>
          <w:p w14:paraId="42CFA701">
            <w:pPr>
              <w:spacing w:line="440" w:lineRule="exact"/>
              <w:jc w:val="center"/>
              <w:rPr>
                <w:color w:val="auto"/>
                <w:szCs w:val="21"/>
                <w:highlight w:val="none"/>
              </w:rPr>
            </w:pPr>
          </w:p>
        </w:tc>
        <w:tc>
          <w:tcPr>
            <w:tcW w:w="1876" w:type="dxa"/>
            <w:vMerge w:val="continue"/>
            <w:vAlign w:val="center"/>
          </w:tcPr>
          <w:p w14:paraId="3346A582">
            <w:pPr>
              <w:spacing w:line="440" w:lineRule="exact"/>
              <w:jc w:val="center"/>
              <w:rPr>
                <w:color w:val="auto"/>
                <w:szCs w:val="21"/>
                <w:highlight w:val="none"/>
              </w:rPr>
            </w:pPr>
          </w:p>
        </w:tc>
      </w:tr>
      <w:tr w14:paraId="73380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14:paraId="479AED03">
            <w:pPr>
              <w:spacing w:line="440" w:lineRule="exact"/>
              <w:jc w:val="center"/>
              <w:rPr>
                <w:color w:val="auto"/>
                <w:szCs w:val="21"/>
                <w:highlight w:val="none"/>
              </w:rPr>
            </w:pPr>
          </w:p>
        </w:tc>
        <w:tc>
          <w:tcPr>
            <w:tcW w:w="993" w:type="dxa"/>
            <w:vAlign w:val="center"/>
          </w:tcPr>
          <w:p w14:paraId="1D836435">
            <w:pPr>
              <w:spacing w:line="440" w:lineRule="exact"/>
              <w:jc w:val="center"/>
              <w:rPr>
                <w:color w:val="auto"/>
                <w:szCs w:val="21"/>
                <w:highlight w:val="none"/>
              </w:rPr>
            </w:pPr>
          </w:p>
        </w:tc>
        <w:tc>
          <w:tcPr>
            <w:tcW w:w="958" w:type="dxa"/>
            <w:vAlign w:val="center"/>
          </w:tcPr>
          <w:p w14:paraId="54A8101B">
            <w:pPr>
              <w:spacing w:line="440" w:lineRule="exact"/>
              <w:jc w:val="center"/>
              <w:rPr>
                <w:color w:val="auto"/>
                <w:szCs w:val="21"/>
                <w:highlight w:val="none"/>
              </w:rPr>
            </w:pPr>
          </w:p>
        </w:tc>
        <w:tc>
          <w:tcPr>
            <w:tcW w:w="709" w:type="dxa"/>
            <w:vAlign w:val="center"/>
          </w:tcPr>
          <w:p w14:paraId="4E7EC741">
            <w:pPr>
              <w:spacing w:line="440" w:lineRule="exact"/>
              <w:jc w:val="center"/>
              <w:rPr>
                <w:color w:val="auto"/>
                <w:szCs w:val="21"/>
                <w:highlight w:val="none"/>
              </w:rPr>
            </w:pPr>
          </w:p>
        </w:tc>
        <w:tc>
          <w:tcPr>
            <w:tcW w:w="850" w:type="dxa"/>
            <w:vAlign w:val="center"/>
          </w:tcPr>
          <w:p w14:paraId="70AEF495">
            <w:pPr>
              <w:spacing w:line="440" w:lineRule="exact"/>
              <w:jc w:val="center"/>
              <w:rPr>
                <w:color w:val="auto"/>
                <w:szCs w:val="21"/>
                <w:highlight w:val="none"/>
              </w:rPr>
            </w:pPr>
          </w:p>
        </w:tc>
        <w:tc>
          <w:tcPr>
            <w:tcW w:w="709" w:type="dxa"/>
            <w:vAlign w:val="center"/>
          </w:tcPr>
          <w:p w14:paraId="02E9EE85">
            <w:pPr>
              <w:spacing w:line="440" w:lineRule="exact"/>
              <w:jc w:val="center"/>
              <w:rPr>
                <w:color w:val="auto"/>
                <w:szCs w:val="21"/>
                <w:highlight w:val="none"/>
              </w:rPr>
            </w:pPr>
          </w:p>
        </w:tc>
        <w:tc>
          <w:tcPr>
            <w:tcW w:w="709" w:type="dxa"/>
            <w:vAlign w:val="center"/>
          </w:tcPr>
          <w:p w14:paraId="6370177E">
            <w:pPr>
              <w:spacing w:line="440" w:lineRule="exact"/>
              <w:jc w:val="center"/>
              <w:rPr>
                <w:color w:val="auto"/>
                <w:szCs w:val="21"/>
                <w:highlight w:val="none"/>
              </w:rPr>
            </w:pPr>
          </w:p>
        </w:tc>
        <w:tc>
          <w:tcPr>
            <w:tcW w:w="709" w:type="dxa"/>
            <w:vAlign w:val="center"/>
          </w:tcPr>
          <w:p w14:paraId="5E4218F0">
            <w:pPr>
              <w:spacing w:line="440" w:lineRule="exact"/>
              <w:jc w:val="center"/>
              <w:rPr>
                <w:color w:val="auto"/>
                <w:szCs w:val="21"/>
                <w:highlight w:val="none"/>
              </w:rPr>
            </w:pPr>
          </w:p>
        </w:tc>
        <w:tc>
          <w:tcPr>
            <w:tcW w:w="992" w:type="dxa"/>
            <w:vAlign w:val="center"/>
          </w:tcPr>
          <w:p w14:paraId="28C389B4">
            <w:pPr>
              <w:spacing w:line="440" w:lineRule="exact"/>
              <w:jc w:val="center"/>
              <w:rPr>
                <w:color w:val="auto"/>
                <w:szCs w:val="21"/>
                <w:highlight w:val="none"/>
              </w:rPr>
            </w:pPr>
          </w:p>
        </w:tc>
        <w:tc>
          <w:tcPr>
            <w:tcW w:w="1876" w:type="dxa"/>
            <w:vAlign w:val="center"/>
          </w:tcPr>
          <w:p w14:paraId="7086820C">
            <w:pPr>
              <w:spacing w:line="440" w:lineRule="exact"/>
              <w:jc w:val="center"/>
              <w:rPr>
                <w:color w:val="auto"/>
                <w:szCs w:val="21"/>
                <w:highlight w:val="none"/>
              </w:rPr>
            </w:pPr>
          </w:p>
        </w:tc>
      </w:tr>
      <w:tr w14:paraId="352D9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478032B6">
            <w:pPr>
              <w:spacing w:line="440" w:lineRule="exact"/>
              <w:jc w:val="center"/>
              <w:rPr>
                <w:color w:val="auto"/>
                <w:szCs w:val="21"/>
                <w:highlight w:val="none"/>
              </w:rPr>
            </w:pPr>
          </w:p>
        </w:tc>
        <w:tc>
          <w:tcPr>
            <w:tcW w:w="993" w:type="dxa"/>
          </w:tcPr>
          <w:p w14:paraId="1C26508D">
            <w:pPr>
              <w:spacing w:line="440" w:lineRule="exact"/>
              <w:jc w:val="center"/>
              <w:rPr>
                <w:color w:val="auto"/>
                <w:szCs w:val="21"/>
                <w:highlight w:val="none"/>
              </w:rPr>
            </w:pPr>
          </w:p>
        </w:tc>
        <w:tc>
          <w:tcPr>
            <w:tcW w:w="958" w:type="dxa"/>
          </w:tcPr>
          <w:p w14:paraId="04ED024D">
            <w:pPr>
              <w:spacing w:line="440" w:lineRule="exact"/>
              <w:jc w:val="center"/>
              <w:rPr>
                <w:color w:val="auto"/>
                <w:szCs w:val="21"/>
                <w:highlight w:val="none"/>
              </w:rPr>
            </w:pPr>
          </w:p>
        </w:tc>
        <w:tc>
          <w:tcPr>
            <w:tcW w:w="709" w:type="dxa"/>
          </w:tcPr>
          <w:p w14:paraId="137DE59E">
            <w:pPr>
              <w:spacing w:line="440" w:lineRule="exact"/>
              <w:jc w:val="center"/>
              <w:rPr>
                <w:color w:val="auto"/>
                <w:szCs w:val="21"/>
                <w:highlight w:val="none"/>
              </w:rPr>
            </w:pPr>
          </w:p>
        </w:tc>
        <w:tc>
          <w:tcPr>
            <w:tcW w:w="850" w:type="dxa"/>
          </w:tcPr>
          <w:p w14:paraId="5FDEA73A">
            <w:pPr>
              <w:spacing w:line="440" w:lineRule="exact"/>
              <w:jc w:val="center"/>
              <w:rPr>
                <w:color w:val="auto"/>
                <w:szCs w:val="21"/>
                <w:highlight w:val="none"/>
              </w:rPr>
            </w:pPr>
          </w:p>
        </w:tc>
        <w:tc>
          <w:tcPr>
            <w:tcW w:w="709" w:type="dxa"/>
          </w:tcPr>
          <w:p w14:paraId="7BC24B30">
            <w:pPr>
              <w:spacing w:line="440" w:lineRule="exact"/>
              <w:jc w:val="center"/>
              <w:rPr>
                <w:color w:val="auto"/>
                <w:szCs w:val="21"/>
                <w:highlight w:val="none"/>
              </w:rPr>
            </w:pPr>
          </w:p>
        </w:tc>
        <w:tc>
          <w:tcPr>
            <w:tcW w:w="709" w:type="dxa"/>
          </w:tcPr>
          <w:p w14:paraId="67CB5896">
            <w:pPr>
              <w:spacing w:line="440" w:lineRule="exact"/>
              <w:jc w:val="center"/>
              <w:rPr>
                <w:color w:val="auto"/>
                <w:szCs w:val="21"/>
                <w:highlight w:val="none"/>
              </w:rPr>
            </w:pPr>
          </w:p>
        </w:tc>
        <w:tc>
          <w:tcPr>
            <w:tcW w:w="709" w:type="dxa"/>
          </w:tcPr>
          <w:p w14:paraId="7F125EE9">
            <w:pPr>
              <w:spacing w:line="440" w:lineRule="exact"/>
              <w:jc w:val="center"/>
              <w:rPr>
                <w:color w:val="auto"/>
                <w:szCs w:val="21"/>
                <w:highlight w:val="none"/>
              </w:rPr>
            </w:pPr>
          </w:p>
        </w:tc>
        <w:tc>
          <w:tcPr>
            <w:tcW w:w="992" w:type="dxa"/>
          </w:tcPr>
          <w:p w14:paraId="7ED00A79">
            <w:pPr>
              <w:spacing w:line="440" w:lineRule="exact"/>
              <w:jc w:val="center"/>
              <w:rPr>
                <w:color w:val="auto"/>
                <w:szCs w:val="21"/>
                <w:highlight w:val="none"/>
              </w:rPr>
            </w:pPr>
          </w:p>
        </w:tc>
        <w:tc>
          <w:tcPr>
            <w:tcW w:w="1876" w:type="dxa"/>
          </w:tcPr>
          <w:p w14:paraId="0E2ED1A6">
            <w:pPr>
              <w:spacing w:line="440" w:lineRule="exact"/>
              <w:jc w:val="center"/>
              <w:rPr>
                <w:color w:val="auto"/>
                <w:szCs w:val="21"/>
                <w:highlight w:val="none"/>
              </w:rPr>
            </w:pPr>
          </w:p>
        </w:tc>
      </w:tr>
      <w:tr w14:paraId="5CE87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307B2A42">
            <w:pPr>
              <w:spacing w:line="440" w:lineRule="exact"/>
              <w:jc w:val="center"/>
              <w:rPr>
                <w:color w:val="auto"/>
                <w:szCs w:val="21"/>
                <w:highlight w:val="none"/>
              </w:rPr>
            </w:pPr>
          </w:p>
        </w:tc>
        <w:tc>
          <w:tcPr>
            <w:tcW w:w="993" w:type="dxa"/>
          </w:tcPr>
          <w:p w14:paraId="0010E6CB">
            <w:pPr>
              <w:spacing w:line="440" w:lineRule="exact"/>
              <w:jc w:val="center"/>
              <w:rPr>
                <w:color w:val="auto"/>
                <w:szCs w:val="21"/>
                <w:highlight w:val="none"/>
              </w:rPr>
            </w:pPr>
          </w:p>
        </w:tc>
        <w:tc>
          <w:tcPr>
            <w:tcW w:w="958" w:type="dxa"/>
          </w:tcPr>
          <w:p w14:paraId="2372B1CB">
            <w:pPr>
              <w:spacing w:line="440" w:lineRule="exact"/>
              <w:jc w:val="center"/>
              <w:rPr>
                <w:color w:val="auto"/>
                <w:szCs w:val="21"/>
                <w:highlight w:val="none"/>
              </w:rPr>
            </w:pPr>
          </w:p>
        </w:tc>
        <w:tc>
          <w:tcPr>
            <w:tcW w:w="709" w:type="dxa"/>
          </w:tcPr>
          <w:p w14:paraId="021B8D7F">
            <w:pPr>
              <w:spacing w:line="440" w:lineRule="exact"/>
              <w:jc w:val="center"/>
              <w:rPr>
                <w:color w:val="auto"/>
                <w:szCs w:val="21"/>
                <w:highlight w:val="none"/>
              </w:rPr>
            </w:pPr>
          </w:p>
        </w:tc>
        <w:tc>
          <w:tcPr>
            <w:tcW w:w="850" w:type="dxa"/>
          </w:tcPr>
          <w:p w14:paraId="760FEC98">
            <w:pPr>
              <w:spacing w:line="440" w:lineRule="exact"/>
              <w:jc w:val="center"/>
              <w:rPr>
                <w:color w:val="auto"/>
                <w:szCs w:val="21"/>
                <w:highlight w:val="none"/>
              </w:rPr>
            </w:pPr>
          </w:p>
        </w:tc>
        <w:tc>
          <w:tcPr>
            <w:tcW w:w="709" w:type="dxa"/>
          </w:tcPr>
          <w:p w14:paraId="5BF46A8C">
            <w:pPr>
              <w:spacing w:line="440" w:lineRule="exact"/>
              <w:jc w:val="center"/>
              <w:rPr>
                <w:color w:val="auto"/>
                <w:szCs w:val="21"/>
                <w:highlight w:val="none"/>
              </w:rPr>
            </w:pPr>
          </w:p>
        </w:tc>
        <w:tc>
          <w:tcPr>
            <w:tcW w:w="709" w:type="dxa"/>
          </w:tcPr>
          <w:p w14:paraId="4AA859D8">
            <w:pPr>
              <w:spacing w:line="440" w:lineRule="exact"/>
              <w:jc w:val="center"/>
              <w:rPr>
                <w:color w:val="auto"/>
                <w:szCs w:val="21"/>
                <w:highlight w:val="none"/>
              </w:rPr>
            </w:pPr>
          </w:p>
        </w:tc>
        <w:tc>
          <w:tcPr>
            <w:tcW w:w="709" w:type="dxa"/>
          </w:tcPr>
          <w:p w14:paraId="378B9D45">
            <w:pPr>
              <w:spacing w:line="440" w:lineRule="exact"/>
              <w:jc w:val="center"/>
              <w:rPr>
                <w:color w:val="auto"/>
                <w:szCs w:val="21"/>
                <w:highlight w:val="none"/>
              </w:rPr>
            </w:pPr>
          </w:p>
        </w:tc>
        <w:tc>
          <w:tcPr>
            <w:tcW w:w="992" w:type="dxa"/>
          </w:tcPr>
          <w:p w14:paraId="021D25D4">
            <w:pPr>
              <w:spacing w:line="440" w:lineRule="exact"/>
              <w:jc w:val="center"/>
              <w:rPr>
                <w:color w:val="auto"/>
                <w:szCs w:val="21"/>
                <w:highlight w:val="none"/>
              </w:rPr>
            </w:pPr>
          </w:p>
        </w:tc>
        <w:tc>
          <w:tcPr>
            <w:tcW w:w="1876" w:type="dxa"/>
          </w:tcPr>
          <w:p w14:paraId="3340ED9D">
            <w:pPr>
              <w:spacing w:line="440" w:lineRule="exact"/>
              <w:jc w:val="center"/>
              <w:rPr>
                <w:color w:val="auto"/>
                <w:szCs w:val="21"/>
                <w:highlight w:val="none"/>
              </w:rPr>
            </w:pPr>
          </w:p>
        </w:tc>
      </w:tr>
      <w:tr w14:paraId="3B847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5C50BDCB">
            <w:pPr>
              <w:spacing w:line="440" w:lineRule="exact"/>
              <w:jc w:val="center"/>
              <w:rPr>
                <w:color w:val="auto"/>
                <w:szCs w:val="21"/>
                <w:highlight w:val="none"/>
              </w:rPr>
            </w:pPr>
          </w:p>
        </w:tc>
        <w:tc>
          <w:tcPr>
            <w:tcW w:w="993" w:type="dxa"/>
          </w:tcPr>
          <w:p w14:paraId="208DEE83">
            <w:pPr>
              <w:spacing w:line="440" w:lineRule="exact"/>
              <w:jc w:val="center"/>
              <w:rPr>
                <w:color w:val="auto"/>
                <w:szCs w:val="21"/>
                <w:highlight w:val="none"/>
              </w:rPr>
            </w:pPr>
          </w:p>
        </w:tc>
        <w:tc>
          <w:tcPr>
            <w:tcW w:w="958" w:type="dxa"/>
          </w:tcPr>
          <w:p w14:paraId="0003E24C">
            <w:pPr>
              <w:spacing w:line="440" w:lineRule="exact"/>
              <w:jc w:val="center"/>
              <w:rPr>
                <w:color w:val="auto"/>
                <w:szCs w:val="21"/>
                <w:highlight w:val="none"/>
              </w:rPr>
            </w:pPr>
          </w:p>
        </w:tc>
        <w:tc>
          <w:tcPr>
            <w:tcW w:w="709" w:type="dxa"/>
          </w:tcPr>
          <w:p w14:paraId="300D34C2">
            <w:pPr>
              <w:spacing w:line="440" w:lineRule="exact"/>
              <w:jc w:val="center"/>
              <w:rPr>
                <w:color w:val="auto"/>
                <w:szCs w:val="21"/>
                <w:highlight w:val="none"/>
              </w:rPr>
            </w:pPr>
          </w:p>
        </w:tc>
        <w:tc>
          <w:tcPr>
            <w:tcW w:w="850" w:type="dxa"/>
          </w:tcPr>
          <w:p w14:paraId="05ADC455">
            <w:pPr>
              <w:spacing w:line="440" w:lineRule="exact"/>
              <w:jc w:val="center"/>
              <w:rPr>
                <w:color w:val="auto"/>
                <w:szCs w:val="21"/>
                <w:highlight w:val="none"/>
              </w:rPr>
            </w:pPr>
          </w:p>
        </w:tc>
        <w:tc>
          <w:tcPr>
            <w:tcW w:w="709" w:type="dxa"/>
          </w:tcPr>
          <w:p w14:paraId="7651A79C">
            <w:pPr>
              <w:spacing w:line="440" w:lineRule="exact"/>
              <w:jc w:val="center"/>
              <w:rPr>
                <w:color w:val="auto"/>
                <w:szCs w:val="21"/>
                <w:highlight w:val="none"/>
              </w:rPr>
            </w:pPr>
          </w:p>
        </w:tc>
        <w:tc>
          <w:tcPr>
            <w:tcW w:w="709" w:type="dxa"/>
          </w:tcPr>
          <w:p w14:paraId="3598131B">
            <w:pPr>
              <w:spacing w:line="440" w:lineRule="exact"/>
              <w:jc w:val="center"/>
              <w:rPr>
                <w:color w:val="auto"/>
                <w:szCs w:val="21"/>
                <w:highlight w:val="none"/>
              </w:rPr>
            </w:pPr>
          </w:p>
        </w:tc>
        <w:tc>
          <w:tcPr>
            <w:tcW w:w="709" w:type="dxa"/>
          </w:tcPr>
          <w:p w14:paraId="2621C59B">
            <w:pPr>
              <w:spacing w:line="440" w:lineRule="exact"/>
              <w:jc w:val="center"/>
              <w:rPr>
                <w:color w:val="auto"/>
                <w:szCs w:val="21"/>
                <w:highlight w:val="none"/>
              </w:rPr>
            </w:pPr>
          </w:p>
        </w:tc>
        <w:tc>
          <w:tcPr>
            <w:tcW w:w="992" w:type="dxa"/>
          </w:tcPr>
          <w:p w14:paraId="78A69A21">
            <w:pPr>
              <w:spacing w:line="440" w:lineRule="exact"/>
              <w:jc w:val="center"/>
              <w:rPr>
                <w:color w:val="auto"/>
                <w:szCs w:val="21"/>
                <w:highlight w:val="none"/>
              </w:rPr>
            </w:pPr>
          </w:p>
        </w:tc>
        <w:tc>
          <w:tcPr>
            <w:tcW w:w="1876" w:type="dxa"/>
          </w:tcPr>
          <w:p w14:paraId="2A73E77D">
            <w:pPr>
              <w:spacing w:line="440" w:lineRule="exact"/>
              <w:jc w:val="center"/>
              <w:rPr>
                <w:color w:val="auto"/>
                <w:szCs w:val="21"/>
                <w:highlight w:val="none"/>
              </w:rPr>
            </w:pPr>
          </w:p>
        </w:tc>
      </w:tr>
      <w:tr w14:paraId="32B28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63F6F768">
            <w:pPr>
              <w:spacing w:line="440" w:lineRule="exact"/>
              <w:jc w:val="center"/>
              <w:rPr>
                <w:color w:val="auto"/>
                <w:szCs w:val="21"/>
                <w:highlight w:val="none"/>
              </w:rPr>
            </w:pPr>
            <w:r>
              <w:rPr>
                <w:color w:val="auto"/>
                <w:szCs w:val="21"/>
                <w:highlight w:val="none"/>
              </w:rPr>
              <w:t>……</w:t>
            </w:r>
          </w:p>
        </w:tc>
        <w:tc>
          <w:tcPr>
            <w:tcW w:w="993" w:type="dxa"/>
          </w:tcPr>
          <w:p w14:paraId="147E2B5F">
            <w:pPr>
              <w:spacing w:line="440" w:lineRule="exact"/>
              <w:jc w:val="center"/>
              <w:rPr>
                <w:color w:val="auto"/>
                <w:szCs w:val="21"/>
                <w:highlight w:val="none"/>
              </w:rPr>
            </w:pPr>
          </w:p>
        </w:tc>
        <w:tc>
          <w:tcPr>
            <w:tcW w:w="958" w:type="dxa"/>
          </w:tcPr>
          <w:p w14:paraId="4752A624">
            <w:pPr>
              <w:spacing w:line="440" w:lineRule="exact"/>
              <w:jc w:val="center"/>
              <w:rPr>
                <w:color w:val="auto"/>
                <w:szCs w:val="21"/>
                <w:highlight w:val="none"/>
              </w:rPr>
            </w:pPr>
          </w:p>
        </w:tc>
        <w:tc>
          <w:tcPr>
            <w:tcW w:w="709" w:type="dxa"/>
          </w:tcPr>
          <w:p w14:paraId="48BC899F">
            <w:pPr>
              <w:spacing w:line="440" w:lineRule="exact"/>
              <w:jc w:val="center"/>
              <w:rPr>
                <w:color w:val="auto"/>
                <w:szCs w:val="21"/>
                <w:highlight w:val="none"/>
              </w:rPr>
            </w:pPr>
          </w:p>
        </w:tc>
        <w:tc>
          <w:tcPr>
            <w:tcW w:w="850" w:type="dxa"/>
          </w:tcPr>
          <w:p w14:paraId="03F86ABD">
            <w:pPr>
              <w:spacing w:line="440" w:lineRule="exact"/>
              <w:jc w:val="center"/>
              <w:rPr>
                <w:color w:val="auto"/>
                <w:szCs w:val="21"/>
                <w:highlight w:val="none"/>
              </w:rPr>
            </w:pPr>
          </w:p>
        </w:tc>
        <w:tc>
          <w:tcPr>
            <w:tcW w:w="709" w:type="dxa"/>
          </w:tcPr>
          <w:p w14:paraId="6C237D32">
            <w:pPr>
              <w:spacing w:line="440" w:lineRule="exact"/>
              <w:jc w:val="center"/>
              <w:rPr>
                <w:color w:val="auto"/>
                <w:szCs w:val="21"/>
                <w:highlight w:val="none"/>
              </w:rPr>
            </w:pPr>
          </w:p>
        </w:tc>
        <w:tc>
          <w:tcPr>
            <w:tcW w:w="709" w:type="dxa"/>
          </w:tcPr>
          <w:p w14:paraId="2886CB45">
            <w:pPr>
              <w:spacing w:line="440" w:lineRule="exact"/>
              <w:jc w:val="center"/>
              <w:rPr>
                <w:color w:val="auto"/>
                <w:szCs w:val="21"/>
                <w:highlight w:val="none"/>
              </w:rPr>
            </w:pPr>
          </w:p>
        </w:tc>
        <w:tc>
          <w:tcPr>
            <w:tcW w:w="709" w:type="dxa"/>
          </w:tcPr>
          <w:p w14:paraId="5630E351">
            <w:pPr>
              <w:spacing w:line="440" w:lineRule="exact"/>
              <w:jc w:val="center"/>
              <w:rPr>
                <w:color w:val="auto"/>
                <w:szCs w:val="21"/>
                <w:highlight w:val="none"/>
              </w:rPr>
            </w:pPr>
          </w:p>
        </w:tc>
        <w:tc>
          <w:tcPr>
            <w:tcW w:w="992" w:type="dxa"/>
          </w:tcPr>
          <w:p w14:paraId="2C8D7EAE">
            <w:pPr>
              <w:spacing w:line="440" w:lineRule="exact"/>
              <w:jc w:val="center"/>
              <w:rPr>
                <w:color w:val="auto"/>
                <w:szCs w:val="21"/>
                <w:highlight w:val="none"/>
              </w:rPr>
            </w:pPr>
          </w:p>
        </w:tc>
        <w:tc>
          <w:tcPr>
            <w:tcW w:w="1876" w:type="dxa"/>
          </w:tcPr>
          <w:p w14:paraId="4B41B466">
            <w:pPr>
              <w:spacing w:line="440" w:lineRule="exact"/>
              <w:jc w:val="center"/>
              <w:rPr>
                <w:color w:val="auto"/>
                <w:szCs w:val="21"/>
                <w:highlight w:val="none"/>
              </w:rPr>
            </w:pPr>
          </w:p>
        </w:tc>
      </w:tr>
      <w:tr w14:paraId="0672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06412D1E">
            <w:pPr>
              <w:spacing w:line="440" w:lineRule="exact"/>
              <w:jc w:val="center"/>
              <w:rPr>
                <w:color w:val="auto"/>
                <w:szCs w:val="21"/>
                <w:highlight w:val="none"/>
              </w:rPr>
            </w:pPr>
            <w:r>
              <w:rPr>
                <w:color w:val="auto"/>
                <w:szCs w:val="21"/>
                <w:highlight w:val="none"/>
              </w:rPr>
              <w:t>……</w:t>
            </w:r>
            <w:r>
              <w:rPr>
                <w:rFonts w:hint="eastAsia"/>
                <w:color w:val="auto"/>
                <w:szCs w:val="21"/>
                <w:highlight w:val="none"/>
              </w:rPr>
              <w:t>.</w:t>
            </w:r>
          </w:p>
        </w:tc>
        <w:tc>
          <w:tcPr>
            <w:tcW w:w="993" w:type="dxa"/>
          </w:tcPr>
          <w:p w14:paraId="0D6C8682">
            <w:pPr>
              <w:spacing w:line="440" w:lineRule="exact"/>
              <w:jc w:val="center"/>
              <w:rPr>
                <w:color w:val="auto"/>
                <w:szCs w:val="21"/>
                <w:highlight w:val="none"/>
              </w:rPr>
            </w:pPr>
          </w:p>
        </w:tc>
        <w:tc>
          <w:tcPr>
            <w:tcW w:w="958" w:type="dxa"/>
          </w:tcPr>
          <w:p w14:paraId="1770DBF5">
            <w:pPr>
              <w:spacing w:line="440" w:lineRule="exact"/>
              <w:jc w:val="center"/>
              <w:rPr>
                <w:color w:val="auto"/>
                <w:szCs w:val="21"/>
                <w:highlight w:val="none"/>
              </w:rPr>
            </w:pPr>
          </w:p>
        </w:tc>
        <w:tc>
          <w:tcPr>
            <w:tcW w:w="709" w:type="dxa"/>
          </w:tcPr>
          <w:p w14:paraId="5FB2F85B">
            <w:pPr>
              <w:spacing w:line="440" w:lineRule="exact"/>
              <w:jc w:val="center"/>
              <w:rPr>
                <w:color w:val="auto"/>
                <w:szCs w:val="21"/>
                <w:highlight w:val="none"/>
              </w:rPr>
            </w:pPr>
          </w:p>
        </w:tc>
        <w:tc>
          <w:tcPr>
            <w:tcW w:w="850" w:type="dxa"/>
          </w:tcPr>
          <w:p w14:paraId="6FEE974B">
            <w:pPr>
              <w:spacing w:line="440" w:lineRule="exact"/>
              <w:jc w:val="center"/>
              <w:rPr>
                <w:color w:val="auto"/>
                <w:szCs w:val="21"/>
                <w:highlight w:val="none"/>
              </w:rPr>
            </w:pPr>
          </w:p>
        </w:tc>
        <w:tc>
          <w:tcPr>
            <w:tcW w:w="709" w:type="dxa"/>
          </w:tcPr>
          <w:p w14:paraId="2F2F0917">
            <w:pPr>
              <w:spacing w:line="440" w:lineRule="exact"/>
              <w:jc w:val="center"/>
              <w:rPr>
                <w:color w:val="auto"/>
                <w:szCs w:val="21"/>
                <w:highlight w:val="none"/>
              </w:rPr>
            </w:pPr>
          </w:p>
        </w:tc>
        <w:tc>
          <w:tcPr>
            <w:tcW w:w="709" w:type="dxa"/>
          </w:tcPr>
          <w:p w14:paraId="3A7C801D">
            <w:pPr>
              <w:spacing w:line="440" w:lineRule="exact"/>
              <w:jc w:val="center"/>
              <w:rPr>
                <w:color w:val="auto"/>
                <w:szCs w:val="21"/>
                <w:highlight w:val="none"/>
              </w:rPr>
            </w:pPr>
          </w:p>
        </w:tc>
        <w:tc>
          <w:tcPr>
            <w:tcW w:w="709" w:type="dxa"/>
          </w:tcPr>
          <w:p w14:paraId="554B9A52">
            <w:pPr>
              <w:spacing w:line="440" w:lineRule="exact"/>
              <w:jc w:val="center"/>
              <w:rPr>
                <w:color w:val="auto"/>
                <w:szCs w:val="21"/>
                <w:highlight w:val="none"/>
              </w:rPr>
            </w:pPr>
          </w:p>
        </w:tc>
        <w:tc>
          <w:tcPr>
            <w:tcW w:w="992" w:type="dxa"/>
          </w:tcPr>
          <w:p w14:paraId="506C280F">
            <w:pPr>
              <w:spacing w:line="440" w:lineRule="exact"/>
              <w:jc w:val="center"/>
              <w:rPr>
                <w:color w:val="auto"/>
                <w:szCs w:val="21"/>
                <w:highlight w:val="none"/>
              </w:rPr>
            </w:pPr>
          </w:p>
        </w:tc>
        <w:tc>
          <w:tcPr>
            <w:tcW w:w="1876" w:type="dxa"/>
          </w:tcPr>
          <w:p w14:paraId="6049B358">
            <w:pPr>
              <w:spacing w:line="440" w:lineRule="exact"/>
              <w:jc w:val="center"/>
              <w:rPr>
                <w:color w:val="auto"/>
                <w:szCs w:val="21"/>
                <w:highlight w:val="none"/>
              </w:rPr>
            </w:pPr>
          </w:p>
        </w:tc>
      </w:tr>
      <w:tr w14:paraId="675B2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643781A0">
            <w:pPr>
              <w:spacing w:line="440" w:lineRule="exact"/>
              <w:jc w:val="center"/>
              <w:rPr>
                <w:color w:val="auto"/>
                <w:szCs w:val="21"/>
                <w:highlight w:val="none"/>
              </w:rPr>
            </w:pPr>
            <w:r>
              <w:rPr>
                <w:color w:val="auto"/>
                <w:szCs w:val="21"/>
                <w:highlight w:val="none"/>
              </w:rPr>
              <w:t>……</w:t>
            </w:r>
            <w:r>
              <w:rPr>
                <w:rFonts w:hint="eastAsia"/>
                <w:color w:val="auto"/>
                <w:szCs w:val="21"/>
                <w:highlight w:val="none"/>
              </w:rPr>
              <w:t>.</w:t>
            </w:r>
          </w:p>
        </w:tc>
        <w:tc>
          <w:tcPr>
            <w:tcW w:w="993" w:type="dxa"/>
          </w:tcPr>
          <w:p w14:paraId="4074B2EA">
            <w:pPr>
              <w:spacing w:line="440" w:lineRule="exact"/>
              <w:jc w:val="center"/>
              <w:rPr>
                <w:color w:val="auto"/>
                <w:szCs w:val="21"/>
                <w:highlight w:val="none"/>
              </w:rPr>
            </w:pPr>
          </w:p>
        </w:tc>
        <w:tc>
          <w:tcPr>
            <w:tcW w:w="958" w:type="dxa"/>
          </w:tcPr>
          <w:p w14:paraId="5800820A">
            <w:pPr>
              <w:spacing w:line="440" w:lineRule="exact"/>
              <w:jc w:val="center"/>
              <w:rPr>
                <w:color w:val="auto"/>
                <w:szCs w:val="21"/>
                <w:highlight w:val="none"/>
              </w:rPr>
            </w:pPr>
          </w:p>
        </w:tc>
        <w:tc>
          <w:tcPr>
            <w:tcW w:w="709" w:type="dxa"/>
          </w:tcPr>
          <w:p w14:paraId="26899AF7">
            <w:pPr>
              <w:spacing w:line="440" w:lineRule="exact"/>
              <w:jc w:val="center"/>
              <w:rPr>
                <w:color w:val="auto"/>
                <w:szCs w:val="21"/>
                <w:highlight w:val="none"/>
              </w:rPr>
            </w:pPr>
          </w:p>
        </w:tc>
        <w:tc>
          <w:tcPr>
            <w:tcW w:w="850" w:type="dxa"/>
          </w:tcPr>
          <w:p w14:paraId="080ACDB3">
            <w:pPr>
              <w:spacing w:line="440" w:lineRule="exact"/>
              <w:jc w:val="center"/>
              <w:rPr>
                <w:color w:val="auto"/>
                <w:szCs w:val="21"/>
                <w:highlight w:val="none"/>
              </w:rPr>
            </w:pPr>
          </w:p>
        </w:tc>
        <w:tc>
          <w:tcPr>
            <w:tcW w:w="709" w:type="dxa"/>
          </w:tcPr>
          <w:p w14:paraId="218208F2">
            <w:pPr>
              <w:spacing w:line="440" w:lineRule="exact"/>
              <w:jc w:val="center"/>
              <w:rPr>
                <w:color w:val="auto"/>
                <w:szCs w:val="21"/>
                <w:highlight w:val="none"/>
              </w:rPr>
            </w:pPr>
          </w:p>
        </w:tc>
        <w:tc>
          <w:tcPr>
            <w:tcW w:w="709" w:type="dxa"/>
          </w:tcPr>
          <w:p w14:paraId="149DF93E">
            <w:pPr>
              <w:spacing w:line="440" w:lineRule="exact"/>
              <w:jc w:val="center"/>
              <w:rPr>
                <w:color w:val="auto"/>
                <w:szCs w:val="21"/>
                <w:highlight w:val="none"/>
              </w:rPr>
            </w:pPr>
          </w:p>
        </w:tc>
        <w:tc>
          <w:tcPr>
            <w:tcW w:w="709" w:type="dxa"/>
          </w:tcPr>
          <w:p w14:paraId="0B6F8463">
            <w:pPr>
              <w:spacing w:line="440" w:lineRule="exact"/>
              <w:jc w:val="center"/>
              <w:rPr>
                <w:color w:val="auto"/>
                <w:szCs w:val="21"/>
                <w:highlight w:val="none"/>
              </w:rPr>
            </w:pPr>
          </w:p>
        </w:tc>
        <w:tc>
          <w:tcPr>
            <w:tcW w:w="992" w:type="dxa"/>
          </w:tcPr>
          <w:p w14:paraId="50367AAB">
            <w:pPr>
              <w:spacing w:line="440" w:lineRule="exact"/>
              <w:jc w:val="center"/>
              <w:rPr>
                <w:color w:val="auto"/>
                <w:szCs w:val="21"/>
                <w:highlight w:val="none"/>
              </w:rPr>
            </w:pPr>
          </w:p>
        </w:tc>
        <w:tc>
          <w:tcPr>
            <w:tcW w:w="1876" w:type="dxa"/>
          </w:tcPr>
          <w:p w14:paraId="550CCE82">
            <w:pPr>
              <w:spacing w:line="440" w:lineRule="exact"/>
              <w:jc w:val="center"/>
              <w:rPr>
                <w:color w:val="auto"/>
                <w:szCs w:val="21"/>
                <w:highlight w:val="none"/>
              </w:rPr>
            </w:pPr>
          </w:p>
        </w:tc>
      </w:tr>
      <w:tr w14:paraId="54897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4" w:type="dxa"/>
          </w:tcPr>
          <w:p w14:paraId="2F595F4E">
            <w:pPr>
              <w:spacing w:line="440" w:lineRule="exact"/>
              <w:jc w:val="center"/>
              <w:rPr>
                <w:color w:val="auto"/>
                <w:szCs w:val="21"/>
                <w:highlight w:val="none"/>
              </w:rPr>
            </w:pPr>
          </w:p>
        </w:tc>
        <w:tc>
          <w:tcPr>
            <w:tcW w:w="993" w:type="dxa"/>
          </w:tcPr>
          <w:p w14:paraId="12AA0E4D">
            <w:pPr>
              <w:spacing w:line="440" w:lineRule="exact"/>
              <w:jc w:val="center"/>
              <w:rPr>
                <w:color w:val="auto"/>
                <w:szCs w:val="21"/>
                <w:highlight w:val="none"/>
              </w:rPr>
            </w:pPr>
          </w:p>
        </w:tc>
        <w:tc>
          <w:tcPr>
            <w:tcW w:w="958" w:type="dxa"/>
          </w:tcPr>
          <w:p w14:paraId="20F36715">
            <w:pPr>
              <w:spacing w:line="440" w:lineRule="exact"/>
              <w:jc w:val="center"/>
              <w:rPr>
                <w:color w:val="auto"/>
                <w:szCs w:val="21"/>
                <w:highlight w:val="none"/>
              </w:rPr>
            </w:pPr>
          </w:p>
        </w:tc>
        <w:tc>
          <w:tcPr>
            <w:tcW w:w="709" w:type="dxa"/>
          </w:tcPr>
          <w:p w14:paraId="34C65291">
            <w:pPr>
              <w:spacing w:line="440" w:lineRule="exact"/>
              <w:jc w:val="center"/>
              <w:rPr>
                <w:color w:val="auto"/>
                <w:szCs w:val="21"/>
                <w:highlight w:val="none"/>
              </w:rPr>
            </w:pPr>
          </w:p>
        </w:tc>
        <w:tc>
          <w:tcPr>
            <w:tcW w:w="850" w:type="dxa"/>
          </w:tcPr>
          <w:p w14:paraId="375A5885">
            <w:pPr>
              <w:spacing w:line="440" w:lineRule="exact"/>
              <w:jc w:val="center"/>
              <w:rPr>
                <w:color w:val="auto"/>
                <w:szCs w:val="21"/>
                <w:highlight w:val="none"/>
              </w:rPr>
            </w:pPr>
          </w:p>
        </w:tc>
        <w:tc>
          <w:tcPr>
            <w:tcW w:w="709" w:type="dxa"/>
          </w:tcPr>
          <w:p w14:paraId="2002C9F9">
            <w:pPr>
              <w:spacing w:line="440" w:lineRule="exact"/>
              <w:jc w:val="center"/>
              <w:rPr>
                <w:color w:val="auto"/>
                <w:szCs w:val="21"/>
                <w:highlight w:val="none"/>
              </w:rPr>
            </w:pPr>
          </w:p>
        </w:tc>
        <w:tc>
          <w:tcPr>
            <w:tcW w:w="709" w:type="dxa"/>
          </w:tcPr>
          <w:p w14:paraId="260B1F43">
            <w:pPr>
              <w:spacing w:line="440" w:lineRule="exact"/>
              <w:jc w:val="center"/>
              <w:rPr>
                <w:color w:val="auto"/>
                <w:szCs w:val="21"/>
                <w:highlight w:val="none"/>
              </w:rPr>
            </w:pPr>
          </w:p>
        </w:tc>
        <w:tc>
          <w:tcPr>
            <w:tcW w:w="709" w:type="dxa"/>
          </w:tcPr>
          <w:p w14:paraId="13BB23F6">
            <w:pPr>
              <w:spacing w:line="440" w:lineRule="exact"/>
              <w:jc w:val="center"/>
              <w:rPr>
                <w:color w:val="auto"/>
                <w:szCs w:val="21"/>
                <w:highlight w:val="none"/>
              </w:rPr>
            </w:pPr>
          </w:p>
        </w:tc>
        <w:tc>
          <w:tcPr>
            <w:tcW w:w="992" w:type="dxa"/>
          </w:tcPr>
          <w:p w14:paraId="0D5F46F2">
            <w:pPr>
              <w:spacing w:line="440" w:lineRule="exact"/>
              <w:jc w:val="center"/>
              <w:rPr>
                <w:color w:val="auto"/>
                <w:szCs w:val="21"/>
                <w:highlight w:val="none"/>
              </w:rPr>
            </w:pPr>
          </w:p>
        </w:tc>
        <w:tc>
          <w:tcPr>
            <w:tcW w:w="1876" w:type="dxa"/>
          </w:tcPr>
          <w:p w14:paraId="1B317CB2">
            <w:pPr>
              <w:spacing w:line="440" w:lineRule="exact"/>
              <w:jc w:val="center"/>
              <w:rPr>
                <w:color w:val="auto"/>
                <w:szCs w:val="21"/>
                <w:highlight w:val="none"/>
              </w:rPr>
            </w:pPr>
          </w:p>
        </w:tc>
      </w:tr>
      <w:tr w14:paraId="5A9F3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389EA063">
            <w:pPr>
              <w:spacing w:line="440" w:lineRule="exact"/>
              <w:jc w:val="center"/>
              <w:rPr>
                <w:color w:val="auto"/>
                <w:szCs w:val="21"/>
                <w:highlight w:val="none"/>
              </w:rPr>
            </w:pPr>
          </w:p>
        </w:tc>
        <w:tc>
          <w:tcPr>
            <w:tcW w:w="993" w:type="dxa"/>
          </w:tcPr>
          <w:p w14:paraId="387BC59D">
            <w:pPr>
              <w:spacing w:line="440" w:lineRule="exact"/>
              <w:jc w:val="center"/>
              <w:rPr>
                <w:color w:val="auto"/>
                <w:szCs w:val="21"/>
                <w:highlight w:val="none"/>
              </w:rPr>
            </w:pPr>
          </w:p>
        </w:tc>
        <w:tc>
          <w:tcPr>
            <w:tcW w:w="958" w:type="dxa"/>
          </w:tcPr>
          <w:p w14:paraId="7F58F518">
            <w:pPr>
              <w:spacing w:line="440" w:lineRule="exact"/>
              <w:jc w:val="center"/>
              <w:rPr>
                <w:color w:val="auto"/>
                <w:szCs w:val="21"/>
                <w:highlight w:val="none"/>
              </w:rPr>
            </w:pPr>
          </w:p>
        </w:tc>
        <w:tc>
          <w:tcPr>
            <w:tcW w:w="709" w:type="dxa"/>
          </w:tcPr>
          <w:p w14:paraId="12BF8A7D">
            <w:pPr>
              <w:spacing w:line="440" w:lineRule="exact"/>
              <w:jc w:val="center"/>
              <w:rPr>
                <w:color w:val="auto"/>
                <w:szCs w:val="21"/>
                <w:highlight w:val="none"/>
              </w:rPr>
            </w:pPr>
          </w:p>
        </w:tc>
        <w:tc>
          <w:tcPr>
            <w:tcW w:w="850" w:type="dxa"/>
          </w:tcPr>
          <w:p w14:paraId="59309F1F">
            <w:pPr>
              <w:spacing w:line="440" w:lineRule="exact"/>
              <w:jc w:val="center"/>
              <w:rPr>
                <w:color w:val="auto"/>
                <w:szCs w:val="21"/>
                <w:highlight w:val="none"/>
              </w:rPr>
            </w:pPr>
          </w:p>
        </w:tc>
        <w:tc>
          <w:tcPr>
            <w:tcW w:w="709" w:type="dxa"/>
          </w:tcPr>
          <w:p w14:paraId="39554D91">
            <w:pPr>
              <w:spacing w:line="440" w:lineRule="exact"/>
              <w:jc w:val="center"/>
              <w:rPr>
                <w:color w:val="auto"/>
                <w:szCs w:val="21"/>
                <w:highlight w:val="none"/>
              </w:rPr>
            </w:pPr>
          </w:p>
        </w:tc>
        <w:tc>
          <w:tcPr>
            <w:tcW w:w="709" w:type="dxa"/>
          </w:tcPr>
          <w:p w14:paraId="188D7D55">
            <w:pPr>
              <w:spacing w:line="440" w:lineRule="exact"/>
              <w:jc w:val="center"/>
              <w:rPr>
                <w:color w:val="auto"/>
                <w:szCs w:val="21"/>
                <w:highlight w:val="none"/>
              </w:rPr>
            </w:pPr>
          </w:p>
        </w:tc>
        <w:tc>
          <w:tcPr>
            <w:tcW w:w="709" w:type="dxa"/>
          </w:tcPr>
          <w:p w14:paraId="070DEE90">
            <w:pPr>
              <w:spacing w:line="440" w:lineRule="exact"/>
              <w:jc w:val="center"/>
              <w:rPr>
                <w:color w:val="auto"/>
                <w:szCs w:val="21"/>
                <w:highlight w:val="none"/>
              </w:rPr>
            </w:pPr>
          </w:p>
        </w:tc>
        <w:tc>
          <w:tcPr>
            <w:tcW w:w="992" w:type="dxa"/>
          </w:tcPr>
          <w:p w14:paraId="3C85C522">
            <w:pPr>
              <w:spacing w:line="440" w:lineRule="exact"/>
              <w:jc w:val="center"/>
              <w:rPr>
                <w:color w:val="auto"/>
                <w:szCs w:val="21"/>
                <w:highlight w:val="none"/>
              </w:rPr>
            </w:pPr>
          </w:p>
        </w:tc>
        <w:tc>
          <w:tcPr>
            <w:tcW w:w="1876" w:type="dxa"/>
          </w:tcPr>
          <w:p w14:paraId="72E87361">
            <w:pPr>
              <w:spacing w:line="440" w:lineRule="exact"/>
              <w:jc w:val="center"/>
              <w:rPr>
                <w:color w:val="auto"/>
                <w:szCs w:val="21"/>
                <w:highlight w:val="none"/>
              </w:rPr>
            </w:pPr>
          </w:p>
        </w:tc>
      </w:tr>
      <w:tr w14:paraId="3E672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29C4747E">
            <w:pPr>
              <w:spacing w:line="440" w:lineRule="exact"/>
              <w:jc w:val="center"/>
              <w:rPr>
                <w:color w:val="auto"/>
                <w:szCs w:val="21"/>
                <w:highlight w:val="none"/>
              </w:rPr>
            </w:pPr>
          </w:p>
        </w:tc>
        <w:tc>
          <w:tcPr>
            <w:tcW w:w="993" w:type="dxa"/>
            <w:tcBorders>
              <w:top w:val="single" w:color="auto" w:sz="4" w:space="0"/>
              <w:left w:val="single" w:color="auto" w:sz="4" w:space="0"/>
              <w:bottom w:val="single" w:color="auto" w:sz="4" w:space="0"/>
              <w:right w:val="single" w:color="auto" w:sz="4" w:space="0"/>
            </w:tcBorders>
          </w:tcPr>
          <w:p w14:paraId="70B5D8A4">
            <w:pPr>
              <w:spacing w:line="440" w:lineRule="exact"/>
              <w:jc w:val="center"/>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tcPr>
          <w:p w14:paraId="0B4507BD">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72469062">
            <w:pPr>
              <w:spacing w:line="440" w:lineRule="exact"/>
              <w:jc w:val="center"/>
              <w:rPr>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tcPr>
          <w:p w14:paraId="181DFEAF">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51C03572">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55CF4741">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0BED7796">
            <w:pPr>
              <w:spacing w:line="440" w:lineRule="exact"/>
              <w:jc w:val="center"/>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30116958">
            <w:pPr>
              <w:spacing w:line="440" w:lineRule="exact"/>
              <w:jc w:val="center"/>
              <w:rPr>
                <w:color w:val="auto"/>
                <w:szCs w:val="21"/>
                <w:highlight w:val="none"/>
              </w:rPr>
            </w:pPr>
          </w:p>
        </w:tc>
        <w:tc>
          <w:tcPr>
            <w:tcW w:w="1876" w:type="dxa"/>
            <w:tcBorders>
              <w:top w:val="single" w:color="auto" w:sz="4" w:space="0"/>
              <w:left w:val="single" w:color="auto" w:sz="4" w:space="0"/>
              <w:bottom w:val="single" w:color="auto" w:sz="4" w:space="0"/>
              <w:right w:val="single" w:color="auto" w:sz="4" w:space="0"/>
            </w:tcBorders>
          </w:tcPr>
          <w:p w14:paraId="2703231F">
            <w:pPr>
              <w:spacing w:line="440" w:lineRule="exact"/>
              <w:jc w:val="center"/>
              <w:rPr>
                <w:color w:val="auto"/>
                <w:szCs w:val="21"/>
                <w:highlight w:val="none"/>
              </w:rPr>
            </w:pPr>
          </w:p>
        </w:tc>
      </w:tr>
      <w:tr w14:paraId="44EA5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156B9976">
            <w:pPr>
              <w:spacing w:line="440" w:lineRule="exact"/>
              <w:jc w:val="center"/>
              <w:rPr>
                <w:color w:val="auto"/>
                <w:szCs w:val="21"/>
                <w:highlight w:val="none"/>
              </w:rPr>
            </w:pPr>
          </w:p>
        </w:tc>
        <w:tc>
          <w:tcPr>
            <w:tcW w:w="993" w:type="dxa"/>
            <w:tcBorders>
              <w:top w:val="single" w:color="auto" w:sz="4" w:space="0"/>
              <w:left w:val="single" w:color="auto" w:sz="4" w:space="0"/>
              <w:bottom w:val="single" w:color="auto" w:sz="4" w:space="0"/>
              <w:right w:val="single" w:color="auto" w:sz="4" w:space="0"/>
            </w:tcBorders>
          </w:tcPr>
          <w:p w14:paraId="5BEAFE03">
            <w:pPr>
              <w:spacing w:line="440" w:lineRule="exact"/>
              <w:jc w:val="center"/>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tcPr>
          <w:p w14:paraId="611F9121">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130F893D">
            <w:pPr>
              <w:spacing w:line="440" w:lineRule="exact"/>
              <w:jc w:val="center"/>
              <w:rPr>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tcPr>
          <w:p w14:paraId="5610B25D">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59978562">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24E4D426">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79AB7D95">
            <w:pPr>
              <w:spacing w:line="440" w:lineRule="exact"/>
              <w:jc w:val="center"/>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42FDBDC8">
            <w:pPr>
              <w:spacing w:line="440" w:lineRule="exact"/>
              <w:jc w:val="center"/>
              <w:rPr>
                <w:color w:val="auto"/>
                <w:szCs w:val="21"/>
                <w:highlight w:val="none"/>
              </w:rPr>
            </w:pPr>
          </w:p>
        </w:tc>
        <w:tc>
          <w:tcPr>
            <w:tcW w:w="1876" w:type="dxa"/>
            <w:tcBorders>
              <w:top w:val="single" w:color="auto" w:sz="4" w:space="0"/>
              <w:left w:val="single" w:color="auto" w:sz="4" w:space="0"/>
              <w:bottom w:val="single" w:color="auto" w:sz="4" w:space="0"/>
              <w:right w:val="single" w:color="auto" w:sz="4" w:space="0"/>
            </w:tcBorders>
          </w:tcPr>
          <w:p w14:paraId="1B6676DA">
            <w:pPr>
              <w:spacing w:line="440" w:lineRule="exact"/>
              <w:jc w:val="center"/>
              <w:rPr>
                <w:color w:val="auto"/>
                <w:szCs w:val="21"/>
                <w:highlight w:val="none"/>
              </w:rPr>
            </w:pPr>
          </w:p>
        </w:tc>
      </w:tr>
      <w:tr w14:paraId="3131F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6C2BA15D">
            <w:pPr>
              <w:spacing w:line="440" w:lineRule="exact"/>
              <w:jc w:val="center"/>
              <w:rPr>
                <w:color w:val="auto"/>
                <w:szCs w:val="21"/>
                <w:highlight w:val="none"/>
              </w:rPr>
            </w:pPr>
          </w:p>
        </w:tc>
        <w:tc>
          <w:tcPr>
            <w:tcW w:w="993" w:type="dxa"/>
            <w:tcBorders>
              <w:top w:val="single" w:color="auto" w:sz="4" w:space="0"/>
              <w:left w:val="single" w:color="auto" w:sz="4" w:space="0"/>
              <w:bottom w:val="single" w:color="auto" w:sz="4" w:space="0"/>
              <w:right w:val="single" w:color="auto" w:sz="4" w:space="0"/>
            </w:tcBorders>
          </w:tcPr>
          <w:p w14:paraId="60DA7082">
            <w:pPr>
              <w:spacing w:line="440" w:lineRule="exact"/>
              <w:jc w:val="center"/>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tcPr>
          <w:p w14:paraId="371B11A8">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2481191F">
            <w:pPr>
              <w:spacing w:line="440" w:lineRule="exact"/>
              <w:jc w:val="center"/>
              <w:rPr>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tcPr>
          <w:p w14:paraId="07AD91DB">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28C13F00">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189A9E92">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7EC20A05">
            <w:pPr>
              <w:spacing w:line="440" w:lineRule="exact"/>
              <w:jc w:val="center"/>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750770DA">
            <w:pPr>
              <w:spacing w:line="440" w:lineRule="exact"/>
              <w:jc w:val="center"/>
              <w:rPr>
                <w:color w:val="auto"/>
                <w:szCs w:val="21"/>
                <w:highlight w:val="none"/>
              </w:rPr>
            </w:pPr>
          </w:p>
        </w:tc>
        <w:tc>
          <w:tcPr>
            <w:tcW w:w="1876" w:type="dxa"/>
            <w:tcBorders>
              <w:top w:val="single" w:color="auto" w:sz="4" w:space="0"/>
              <w:left w:val="single" w:color="auto" w:sz="4" w:space="0"/>
              <w:bottom w:val="single" w:color="auto" w:sz="4" w:space="0"/>
              <w:right w:val="single" w:color="auto" w:sz="4" w:space="0"/>
            </w:tcBorders>
          </w:tcPr>
          <w:p w14:paraId="398151F5">
            <w:pPr>
              <w:spacing w:line="440" w:lineRule="exact"/>
              <w:jc w:val="center"/>
              <w:rPr>
                <w:color w:val="auto"/>
                <w:szCs w:val="21"/>
                <w:highlight w:val="none"/>
              </w:rPr>
            </w:pPr>
          </w:p>
        </w:tc>
      </w:tr>
      <w:tr w14:paraId="2AE5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14:paraId="65545F9B">
            <w:pPr>
              <w:spacing w:line="440" w:lineRule="exact"/>
              <w:jc w:val="center"/>
              <w:rPr>
                <w:color w:val="auto"/>
                <w:szCs w:val="21"/>
                <w:highlight w:val="none"/>
              </w:rPr>
            </w:pPr>
          </w:p>
        </w:tc>
        <w:tc>
          <w:tcPr>
            <w:tcW w:w="993" w:type="dxa"/>
            <w:tcBorders>
              <w:top w:val="single" w:color="auto" w:sz="4" w:space="0"/>
              <w:left w:val="single" w:color="auto" w:sz="4" w:space="0"/>
              <w:bottom w:val="single" w:color="auto" w:sz="4" w:space="0"/>
              <w:right w:val="single" w:color="auto" w:sz="4" w:space="0"/>
            </w:tcBorders>
          </w:tcPr>
          <w:p w14:paraId="70E4A4EF">
            <w:pPr>
              <w:spacing w:line="440" w:lineRule="exact"/>
              <w:jc w:val="center"/>
              <w:rPr>
                <w:color w:val="auto"/>
                <w:szCs w:val="21"/>
                <w:highlight w:val="none"/>
              </w:rPr>
            </w:pPr>
          </w:p>
        </w:tc>
        <w:tc>
          <w:tcPr>
            <w:tcW w:w="958" w:type="dxa"/>
            <w:tcBorders>
              <w:top w:val="single" w:color="auto" w:sz="4" w:space="0"/>
              <w:left w:val="single" w:color="auto" w:sz="4" w:space="0"/>
              <w:bottom w:val="single" w:color="auto" w:sz="4" w:space="0"/>
              <w:right w:val="single" w:color="auto" w:sz="4" w:space="0"/>
            </w:tcBorders>
          </w:tcPr>
          <w:p w14:paraId="0E9846AF">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02DC63BF">
            <w:pPr>
              <w:spacing w:line="440" w:lineRule="exact"/>
              <w:jc w:val="center"/>
              <w:rPr>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tcPr>
          <w:p w14:paraId="5BEB4464">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6BAB9E66">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31E89961">
            <w:pPr>
              <w:spacing w:line="440" w:lineRule="exact"/>
              <w:jc w:val="center"/>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4350EE7D">
            <w:pPr>
              <w:spacing w:line="440" w:lineRule="exact"/>
              <w:jc w:val="center"/>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12D9F97F">
            <w:pPr>
              <w:spacing w:line="440" w:lineRule="exact"/>
              <w:jc w:val="center"/>
              <w:rPr>
                <w:color w:val="auto"/>
                <w:szCs w:val="21"/>
                <w:highlight w:val="none"/>
              </w:rPr>
            </w:pPr>
          </w:p>
        </w:tc>
        <w:tc>
          <w:tcPr>
            <w:tcW w:w="1876" w:type="dxa"/>
            <w:tcBorders>
              <w:top w:val="single" w:color="auto" w:sz="4" w:space="0"/>
              <w:left w:val="single" w:color="auto" w:sz="4" w:space="0"/>
              <w:bottom w:val="single" w:color="auto" w:sz="4" w:space="0"/>
              <w:right w:val="single" w:color="auto" w:sz="4" w:space="0"/>
            </w:tcBorders>
          </w:tcPr>
          <w:p w14:paraId="4F452692">
            <w:pPr>
              <w:spacing w:line="440" w:lineRule="exact"/>
              <w:jc w:val="center"/>
              <w:rPr>
                <w:color w:val="auto"/>
                <w:szCs w:val="21"/>
                <w:highlight w:val="none"/>
              </w:rPr>
            </w:pPr>
          </w:p>
        </w:tc>
      </w:tr>
    </w:tbl>
    <w:p w14:paraId="0F9E4836">
      <w:pPr>
        <w:topLinePunct/>
        <w:spacing w:line="440" w:lineRule="exact"/>
        <w:jc w:val="left"/>
        <w:rPr>
          <w:color w:val="auto"/>
          <w:sz w:val="20"/>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w:t>
      </w:r>
      <w:r>
        <w:rPr>
          <w:rFonts w:hint="eastAsia" w:ascii="宋体" w:hAnsi="宋体" w:cs="宋体"/>
          <w:color w:val="auto"/>
          <w:szCs w:val="21"/>
          <w:highlight w:val="none"/>
        </w:rPr>
        <w:t>上述人员需附身份证及表内注明的注册证或执业资格证或上岗证等证明材料原件扫描件。</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lang w:eastAsia="zh-CN"/>
        </w:rPr>
        <w:t>）</w:t>
      </w:r>
      <w:r>
        <w:rPr>
          <w:rFonts w:hint="eastAsia" w:ascii="宋体" w:hAnsi="宋体" w:cs="宋体"/>
          <w:color w:val="auto"/>
          <w:szCs w:val="21"/>
          <w:highlight w:val="none"/>
        </w:rPr>
        <w:t>上述人员必须提供</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人处缴纳社保的社保缴纳证明文件，社保缴纳证明文件应具备社保管理机构印章。社保缴纳时间均为</w:t>
      </w:r>
      <w:r>
        <w:rPr>
          <w:rFonts w:hint="eastAsia" w:ascii="宋体" w:hAnsi="宋体" w:cs="宋体"/>
          <w:color w:val="auto"/>
          <w:szCs w:val="21"/>
          <w:highlight w:val="none"/>
          <w:lang w:val="en-US" w:eastAsia="zh-CN"/>
        </w:rPr>
        <w:t>响应文件递交</w:t>
      </w:r>
      <w:r>
        <w:rPr>
          <w:rFonts w:hint="eastAsia" w:ascii="宋体" w:hAnsi="宋体" w:cs="宋体"/>
          <w:color w:val="auto"/>
          <w:szCs w:val="21"/>
          <w:highlight w:val="none"/>
        </w:rPr>
        <w:t>截止时间前（不含</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当月）半年内连续不少于三个月，社保缴纳证明文件可以是在</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人总公司或其分公司的社保缴纳证明文件，可以是原件或复印件。</w:t>
      </w:r>
      <w:r>
        <w:rPr>
          <w:color w:val="auto"/>
          <w:sz w:val="20"/>
          <w:highlight w:val="none"/>
        </w:rPr>
        <w:br w:type="page"/>
      </w:r>
    </w:p>
    <w:p w14:paraId="4644E828">
      <w:pPr>
        <w:spacing w:before="312" w:beforeLines="100" w:after="312" w:afterLines="100" w:line="440" w:lineRule="exact"/>
        <w:jc w:val="center"/>
        <w:rPr>
          <w:rFonts w:ascii="Arial" w:hAnsi="Arial" w:eastAsia="黑体"/>
          <w:b/>
          <w:bCs/>
          <w:color w:val="auto"/>
          <w:sz w:val="32"/>
          <w:szCs w:val="32"/>
          <w:highlight w:val="none"/>
        </w:rPr>
      </w:pPr>
      <w:bookmarkStart w:id="189" w:name="_Toc179632825"/>
      <w:bookmarkStart w:id="190" w:name="_Toc326223616"/>
      <w:bookmarkStart w:id="191" w:name="_Toc152042594"/>
      <w:bookmarkStart w:id="192" w:name="_Toc152045805"/>
      <w:bookmarkStart w:id="193" w:name="_Toc334766998"/>
      <w:bookmarkStart w:id="194" w:name="_Toc246997114"/>
      <w:bookmarkStart w:id="195" w:name="_Toc247085889"/>
      <w:bookmarkStart w:id="196" w:name="_Toc332188245"/>
      <w:bookmarkStart w:id="197" w:name="_Toc144974873"/>
      <w:bookmarkStart w:id="198" w:name="_Toc246996371"/>
      <w:r>
        <w:rPr>
          <w:rFonts w:ascii="Arial" w:hAnsi="Arial" w:eastAsia="黑体"/>
          <w:b/>
          <w:bCs/>
          <w:color w:val="auto"/>
          <w:sz w:val="32"/>
          <w:szCs w:val="32"/>
          <w:highlight w:val="none"/>
        </w:rPr>
        <w:t>（二）</w:t>
      </w:r>
      <w:r>
        <w:rPr>
          <w:rFonts w:hint="eastAsia" w:ascii="Arial" w:hAnsi="Arial" w:eastAsia="黑体"/>
          <w:b/>
          <w:bCs/>
          <w:color w:val="auto"/>
          <w:sz w:val="32"/>
          <w:szCs w:val="32"/>
          <w:highlight w:val="none"/>
        </w:rPr>
        <w:t>项目负责人</w:t>
      </w:r>
      <w:r>
        <w:rPr>
          <w:rFonts w:ascii="Arial" w:hAnsi="Arial" w:eastAsia="黑体"/>
          <w:b/>
          <w:bCs/>
          <w:color w:val="auto"/>
          <w:sz w:val="32"/>
          <w:szCs w:val="32"/>
          <w:highlight w:val="none"/>
        </w:rPr>
        <w:t>简历表</w:t>
      </w:r>
      <w:bookmarkEnd w:id="189"/>
      <w:bookmarkEnd w:id="190"/>
      <w:bookmarkEnd w:id="191"/>
      <w:bookmarkEnd w:id="192"/>
      <w:bookmarkEnd w:id="193"/>
      <w:bookmarkEnd w:id="194"/>
      <w:bookmarkEnd w:id="195"/>
      <w:bookmarkEnd w:id="196"/>
      <w:bookmarkEnd w:id="197"/>
      <w:bookmarkEnd w:id="198"/>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173"/>
        <w:gridCol w:w="765"/>
        <w:gridCol w:w="314"/>
        <w:gridCol w:w="927"/>
        <w:gridCol w:w="446"/>
        <w:gridCol w:w="619"/>
        <w:gridCol w:w="708"/>
        <w:gridCol w:w="1097"/>
        <w:gridCol w:w="325"/>
        <w:gridCol w:w="2135"/>
      </w:tblGrid>
      <w:tr w14:paraId="573CA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gridSpan w:val="2"/>
            <w:vAlign w:val="center"/>
          </w:tcPr>
          <w:p w14:paraId="5DE8FACA">
            <w:pPr>
              <w:spacing w:line="440" w:lineRule="exact"/>
              <w:jc w:val="center"/>
              <w:rPr>
                <w:rFonts w:ascii="宋体" w:hAnsi="宋体"/>
                <w:color w:val="auto"/>
                <w:szCs w:val="21"/>
                <w:highlight w:val="none"/>
              </w:rPr>
            </w:pPr>
            <w:r>
              <w:rPr>
                <w:rFonts w:ascii="宋体" w:hAnsi="宋体"/>
                <w:color w:val="auto"/>
                <w:szCs w:val="21"/>
                <w:highlight w:val="none"/>
              </w:rPr>
              <w:t>姓  名</w:t>
            </w:r>
          </w:p>
        </w:tc>
        <w:tc>
          <w:tcPr>
            <w:tcW w:w="1079" w:type="dxa"/>
            <w:gridSpan w:val="2"/>
            <w:vAlign w:val="center"/>
          </w:tcPr>
          <w:p w14:paraId="4DEA0BBF">
            <w:pPr>
              <w:spacing w:line="440" w:lineRule="exact"/>
              <w:jc w:val="center"/>
              <w:rPr>
                <w:rFonts w:ascii="宋体" w:hAnsi="宋体"/>
                <w:color w:val="auto"/>
                <w:szCs w:val="21"/>
                <w:highlight w:val="none"/>
              </w:rPr>
            </w:pPr>
          </w:p>
        </w:tc>
        <w:tc>
          <w:tcPr>
            <w:tcW w:w="927" w:type="dxa"/>
            <w:vAlign w:val="center"/>
          </w:tcPr>
          <w:p w14:paraId="26D17B99">
            <w:pPr>
              <w:spacing w:line="440" w:lineRule="exact"/>
              <w:jc w:val="center"/>
              <w:rPr>
                <w:rFonts w:ascii="宋体" w:hAnsi="宋体"/>
                <w:color w:val="auto"/>
                <w:szCs w:val="21"/>
                <w:highlight w:val="none"/>
              </w:rPr>
            </w:pPr>
            <w:r>
              <w:rPr>
                <w:rFonts w:ascii="宋体" w:hAnsi="宋体"/>
                <w:color w:val="auto"/>
                <w:szCs w:val="21"/>
                <w:highlight w:val="none"/>
              </w:rPr>
              <w:t>年 龄</w:t>
            </w:r>
          </w:p>
        </w:tc>
        <w:tc>
          <w:tcPr>
            <w:tcW w:w="1065" w:type="dxa"/>
            <w:gridSpan w:val="2"/>
            <w:vAlign w:val="center"/>
          </w:tcPr>
          <w:p w14:paraId="4D7F74EC">
            <w:pPr>
              <w:spacing w:line="440" w:lineRule="exact"/>
              <w:jc w:val="center"/>
              <w:rPr>
                <w:rFonts w:ascii="宋体" w:hAnsi="宋体"/>
                <w:color w:val="auto"/>
                <w:szCs w:val="21"/>
                <w:highlight w:val="none"/>
              </w:rPr>
            </w:pPr>
          </w:p>
        </w:tc>
        <w:tc>
          <w:tcPr>
            <w:tcW w:w="2130" w:type="dxa"/>
            <w:gridSpan w:val="3"/>
            <w:vAlign w:val="center"/>
          </w:tcPr>
          <w:p w14:paraId="2DB5617F">
            <w:pPr>
              <w:spacing w:line="440" w:lineRule="exact"/>
              <w:jc w:val="center"/>
              <w:rPr>
                <w:rFonts w:ascii="宋体" w:hAnsi="宋体"/>
                <w:color w:val="auto"/>
                <w:szCs w:val="21"/>
                <w:highlight w:val="none"/>
              </w:rPr>
            </w:pPr>
            <w:r>
              <w:rPr>
                <w:rFonts w:ascii="宋体" w:hAnsi="宋体"/>
                <w:color w:val="auto"/>
                <w:szCs w:val="21"/>
                <w:highlight w:val="none"/>
              </w:rPr>
              <w:t>学历</w:t>
            </w:r>
          </w:p>
        </w:tc>
        <w:tc>
          <w:tcPr>
            <w:tcW w:w="2135" w:type="dxa"/>
            <w:vAlign w:val="center"/>
          </w:tcPr>
          <w:p w14:paraId="2269FDDC">
            <w:pPr>
              <w:spacing w:line="440" w:lineRule="exact"/>
              <w:rPr>
                <w:rFonts w:ascii="宋体" w:hAnsi="宋体"/>
                <w:color w:val="auto"/>
                <w:szCs w:val="21"/>
                <w:highlight w:val="none"/>
              </w:rPr>
            </w:pPr>
          </w:p>
        </w:tc>
      </w:tr>
      <w:tr w14:paraId="1ABC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gridSpan w:val="2"/>
            <w:vAlign w:val="center"/>
          </w:tcPr>
          <w:p w14:paraId="4CF89D7D">
            <w:pPr>
              <w:spacing w:line="440" w:lineRule="exact"/>
              <w:jc w:val="center"/>
              <w:rPr>
                <w:rFonts w:ascii="宋体" w:hAnsi="宋体"/>
                <w:color w:val="auto"/>
                <w:szCs w:val="21"/>
                <w:highlight w:val="none"/>
              </w:rPr>
            </w:pPr>
            <w:r>
              <w:rPr>
                <w:rFonts w:ascii="宋体" w:hAnsi="宋体"/>
                <w:color w:val="auto"/>
                <w:szCs w:val="21"/>
                <w:highlight w:val="none"/>
              </w:rPr>
              <w:t>职  称</w:t>
            </w:r>
          </w:p>
        </w:tc>
        <w:tc>
          <w:tcPr>
            <w:tcW w:w="1079" w:type="dxa"/>
            <w:gridSpan w:val="2"/>
            <w:vAlign w:val="center"/>
          </w:tcPr>
          <w:p w14:paraId="78BEACDB">
            <w:pPr>
              <w:spacing w:line="440" w:lineRule="exact"/>
              <w:jc w:val="center"/>
              <w:rPr>
                <w:rFonts w:ascii="宋体" w:hAnsi="宋体"/>
                <w:color w:val="auto"/>
                <w:szCs w:val="21"/>
                <w:highlight w:val="none"/>
              </w:rPr>
            </w:pPr>
          </w:p>
        </w:tc>
        <w:tc>
          <w:tcPr>
            <w:tcW w:w="927" w:type="dxa"/>
            <w:vAlign w:val="center"/>
          </w:tcPr>
          <w:p w14:paraId="45FA55B4">
            <w:pPr>
              <w:spacing w:line="440" w:lineRule="exact"/>
              <w:jc w:val="center"/>
              <w:rPr>
                <w:rFonts w:ascii="宋体" w:hAnsi="宋体"/>
                <w:color w:val="auto"/>
                <w:szCs w:val="21"/>
                <w:highlight w:val="none"/>
              </w:rPr>
            </w:pPr>
            <w:r>
              <w:rPr>
                <w:rFonts w:ascii="宋体" w:hAnsi="宋体"/>
                <w:color w:val="auto"/>
                <w:szCs w:val="21"/>
                <w:highlight w:val="none"/>
              </w:rPr>
              <w:t>职 务</w:t>
            </w:r>
          </w:p>
        </w:tc>
        <w:tc>
          <w:tcPr>
            <w:tcW w:w="1065" w:type="dxa"/>
            <w:gridSpan w:val="2"/>
            <w:vAlign w:val="center"/>
          </w:tcPr>
          <w:p w14:paraId="2FB6B5E1">
            <w:pPr>
              <w:spacing w:line="440" w:lineRule="exact"/>
              <w:jc w:val="center"/>
              <w:rPr>
                <w:rFonts w:ascii="宋体" w:hAnsi="宋体"/>
                <w:color w:val="auto"/>
                <w:szCs w:val="21"/>
                <w:highlight w:val="none"/>
              </w:rPr>
            </w:pPr>
          </w:p>
        </w:tc>
        <w:tc>
          <w:tcPr>
            <w:tcW w:w="2130" w:type="dxa"/>
            <w:gridSpan w:val="3"/>
            <w:vAlign w:val="center"/>
          </w:tcPr>
          <w:p w14:paraId="0F6C4A43">
            <w:pPr>
              <w:spacing w:line="440" w:lineRule="exact"/>
              <w:jc w:val="center"/>
              <w:rPr>
                <w:rFonts w:ascii="宋体" w:hAnsi="宋体"/>
                <w:color w:val="auto"/>
                <w:szCs w:val="21"/>
                <w:highlight w:val="none"/>
              </w:rPr>
            </w:pPr>
            <w:r>
              <w:rPr>
                <w:rFonts w:ascii="宋体" w:hAnsi="宋体"/>
                <w:color w:val="auto"/>
                <w:szCs w:val="21"/>
                <w:highlight w:val="none"/>
              </w:rPr>
              <w:t>拟在本合同任职</w:t>
            </w:r>
          </w:p>
        </w:tc>
        <w:tc>
          <w:tcPr>
            <w:tcW w:w="2135" w:type="dxa"/>
            <w:vAlign w:val="center"/>
          </w:tcPr>
          <w:p w14:paraId="4869B7CB">
            <w:pPr>
              <w:spacing w:line="440" w:lineRule="exact"/>
              <w:rPr>
                <w:rFonts w:ascii="宋体" w:hAnsi="宋体"/>
                <w:color w:val="auto"/>
                <w:szCs w:val="21"/>
                <w:highlight w:val="none"/>
              </w:rPr>
            </w:pPr>
          </w:p>
        </w:tc>
      </w:tr>
      <w:tr w14:paraId="018A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gridSpan w:val="2"/>
            <w:vAlign w:val="center"/>
          </w:tcPr>
          <w:p w14:paraId="55B3B1FC">
            <w:pPr>
              <w:spacing w:line="440" w:lineRule="exact"/>
              <w:rPr>
                <w:rFonts w:ascii="宋体" w:hAnsi="宋体"/>
                <w:color w:val="auto"/>
                <w:szCs w:val="21"/>
                <w:highlight w:val="none"/>
              </w:rPr>
            </w:pPr>
            <w:r>
              <w:rPr>
                <w:rFonts w:ascii="宋体" w:hAnsi="宋体"/>
                <w:color w:val="auto"/>
                <w:szCs w:val="21"/>
                <w:highlight w:val="none"/>
              </w:rPr>
              <w:t>毕业学校</w:t>
            </w:r>
          </w:p>
        </w:tc>
        <w:tc>
          <w:tcPr>
            <w:tcW w:w="7336" w:type="dxa"/>
            <w:gridSpan w:val="9"/>
          </w:tcPr>
          <w:p w14:paraId="69BFE391">
            <w:pPr>
              <w:spacing w:line="440" w:lineRule="exact"/>
              <w:rPr>
                <w:rFonts w:ascii="宋体" w:hAnsi="宋体"/>
                <w:color w:val="auto"/>
                <w:szCs w:val="21"/>
                <w:highlight w:val="none"/>
              </w:rPr>
            </w:pPr>
            <w:r>
              <w:rPr>
                <w:rFonts w:ascii="宋体" w:hAnsi="宋体"/>
                <w:color w:val="auto"/>
                <w:szCs w:val="21"/>
                <w:highlight w:val="none"/>
              </w:rPr>
              <w:t xml:space="preserve">      年毕业于            学校        专业</w:t>
            </w:r>
          </w:p>
        </w:tc>
      </w:tr>
      <w:tr w14:paraId="1803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gridSpan w:val="2"/>
            <w:vAlign w:val="center"/>
          </w:tcPr>
          <w:p w14:paraId="2964078E">
            <w:pPr>
              <w:spacing w:line="440" w:lineRule="exact"/>
              <w:rPr>
                <w:rFonts w:ascii="宋体" w:hAnsi="宋体"/>
                <w:color w:val="auto"/>
                <w:szCs w:val="21"/>
                <w:highlight w:val="none"/>
              </w:rPr>
            </w:pPr>
            <w:r>
              <w:rPr>
                <w:rFonts w:hint="eastAsia" w:ascii="宋体" w:hAnsi="宋体"/>
                <w:color w:val="auto"/>
                <w:szCs w:val="21"/>
                <w:highlight w:val="none"/>
              </w:rPr>
              <w:t>同类项目工作年限（年）：</w:t>
            </w:r>
          </w:p>
        </w:tc>
        <w:tc>
          <w:tcPr>
            <w:tcW w:w="7336" w:type="dxa"/>
            <w:gridSpan w:val="9"/>
          </w:tcPr>
          <w:p w14:paraId="7D82A514">
            <w:pPr>
              <w:spacing w:line="440" w:lineRule="exact"/>
              <w:rPr>
                <w:rFonts w:ascii="宋体" w:hAnsi="宋体"/>
                <w:color w:val="auto"/>
                <w:szCs w:val="21"/>
                <w:highlight w:val="none"/>
              </w:rPr>
            </w:pPr>
          </w:p>
        </w:tc>
      </w:tr>
      <w:tr w14:paraId="7649F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11"/>
            <w:vAlign w:val="center"/>
          </w:tcPr>
          <w:p w14:paraId="6BD21A5B">
            <w:pPr>
              <w:spacing w:line="440" w:lineRule="exact"/>
              <w:rPr>
                <w:rFonts w:ascii="宋体" w:hAnsi="宋体"/>
                <w:color w:val="auto"/>
                <w:szCs w:val="21"/>
                <w:highlight w:val="none"/>
              </w:rPr>
            </w:pPr>
            <w:r>
              <w:rPr>
                <w:rFonts w:ascii="宋体" w:hAnsi="宋体"/>
                <w:color w:val="auto"/>
                <w:szCs w:val="21"/>
                <w:highlight w:val="none"/>
              </w:rPr>
              <w:t>主要工作经历</w:t>
            </w:r>
          </w:p>
        </w:tc>
      </w:tr>
      <w:tr w14:paraId="3600B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3" w:type="dxa"/>
            <w:vAlign w:val="center"/>
          </w:tcPr>
          <w:p w14:paraId="0F55C8BF">
            <w:pPr>
              <w:spacing w:line="440" w:lineRule="exact"/>
              <w:rPr>
                <w:rFonts w:ascii="宋体" w:hAnsi="宋体"/>
                <w:color w:val="auto"/>
                <w:szCs w:val="21"/>
                <w:highlight w:val="none"/>
              </w:rPr>
            </w:pPr>
            <w:r>
              <w:rPr>
                <w:rFonts w:ascii="宋体" w:hAnsi="宋体"/>
                <w:color w:val="auto"/>
                <w:szCs w:val="21"/>
                <w:highlight w:val="none"/>
              </w:rPr>
              <w:t>时  间</w:t>
            </w:r>
          </w:p>
        </w:tc>
        <w:tc>
          <w:tcPr>
            <w:tcW w:w="938" w:type="dxa"/>
            <w:gridSpan w:val="2"/>
            <w:vAlign w:val="center"/>
          </w:tcPr>
          <w:p w14:paraId="69031024">
            <w:pPr>
              <w:spacing w:line="440" w:lineRule="exact"/>
              <w:rPr>
                <w:rFonts w:ascii="宋体" w:hAnsi="宋体"/>
                <w:color w:val="auto"/>
                <w:szCs w:val="21"/>
                <w:highlight w:val="none"/>
              </w:rPr>
            </w:pPr>
            <w:r>
              <w:rPr>
                <w:rFonts w:hint="eastAsia" w:ascii="宋体" w:hAnsi="宋体"/>
                <w:color w:val="auto"/>
                <w:szCs w:val="21"/>
                <w:highlight w:val="none"/>
              </w:rPr>
              <w:t>甲方名称</w:t>
            </w:r>
          </w:p>
        </w:tc>
        <w:tc>
          <w:tcPr>
            <w:tcW w:w="1687" w:type="dxa"/>
            <w:gridSpan w:val="3"/>
            <w:vAlign w:val="center"/>
          </w:tcPr>
          <w:p w14:paraId="358F1D3B">
            <w:pPr>
              <w:spacing w:line="440" w:lineRule="exact"/>
              <w:rPr>
                <w:rFonts w:ascii="宋体" w:hAnsi="宋体"/>
                <w:color w:val="auto"/>
                <w:szCs w:val="21"/>
                <w:highlight w:val="none"/>
              </w:rPr>
            </w:pPr>
            <w:r>
              <w:rPr>
                <w:rFonts w:ascii="宋体" w:hAnsi="宋体"/>
                <w:color w:val="auto"/>
                <w:szCs w:val="21"/>
                <w:highlight w:val="none"/>
              </w:rPr>
              <w:t>参加过的类似项目</w:t>
            </w:r>
            <w:r>
              <w:rPr>
                <w:rFonts w:hint="eastAsia" w:ascii="宋体" w:hAnsi="宋体"/>
                <w:color w:val="auto"/>
                <w:szCs w:val="21"/>
                <w:highlight w:val="none"/>
              </w:rPr>
              <w:t>(项目名称)</w:t>
            </w:r>
          </w:p>
        </w:tc>
        <w:tc>
          <w:tcPr>
            <w:tcW w:w="1327" w:type="dxa"/>
            <w:gridSpan w:val="2"/>
            <w:vAlign w:val="center"/>
          </w:tcPr>
          <w:p w14:paraId="4E612657">
            <w:pPr>
              <w:spacing w:line="440" w:lineRule="exact"/>
              <w:rPr>
                <w:rFonts w:ascii="宋体" w:hAnsi="宋体"/>
                <w:color w:val="auto"/>
                <w:szCs w:val="21"/>
                <w:highlight w:val="none"/>
              </w:rPr>
            </w:pPr>
            <w:r>
              <w:rPr>
                <w:rFonts w:hint="eastAsia" w:ascii="宋体" w:hAnsi="宋体"/>
                <w:color w:val="auto"/>
                <w:szCs w:val="21"/>
                <w:highlight w:val="none"/>
              </w:rPr>
              <w:t>合同金额（万元）</w:t>
            </w:r>
          </w:p>
        </w:tc>
        <w:tc>
          <w:tcPr>
            <w:tcW w:w="1097" w:type="dxa"/>
            <w:vAlign w:val="center"/>
          </w:tcPr>
          <w:p w14:paraId="0008C382">
            <w:pPr>
              <w:spacing w:line="440" w:lineRule="exact"/>
              <w:rPr>
                <w:rFonts w:ascii="宋体" w:hAnsi="宋体"/>
                <w:color w:val="auto"/>
                <w:szCs w:val="21"/>
                <w:highlight w:val="none"/>
              </w:rPr>
            </w:pPr>
            <w:r>
              <w:rPr>
                <w:rFonts w:ascii="宋体" w:hAnsi="宋体"/>
                <w:color w:val="auto"/>
                <w:szCs w:val="21"/>
                <w:highlight w:val="none"/>
              </w:rPr>
              <w:t>担任职务</w:t>
            </w:r>
          </w:p>
        </w:tc>
        <w:tc>
          <w:tcPr>
            <w:tcW w:w="2460" w:type="dxa"/>
            <w:gridSpan w:val="2"/>
            <w:vAlign w:val="center"/>
          </w:tcPr>
          <w:p w14:paraId="6B40F4EB">
            <w:pPr>
              <w:spacing w:line="440" w:lineRule="exact"/>
              <w:rPr>
                <w:rFonts w:ascii="宋体" w:hAnsi="宋体"/>
                <w:color w:val="auto"/>
                <w:szCs w:val="21"/>
                <w:highlight w:val="none"/>
              </w:rPr>
            </w:pPr>
            <w:r>
              <w:rPr>
                <w:rFonts w:hint="eastAsia" w:ascii="宋体" w:hAnsi="宋体"/>
                <w:color w:val="auto"/>
                <w:szCs w:val="21"/>
                <w:highlight w:val="none"/>
              </w:rPr>
              <w:t>甲方联系人</w:t>
            </w:r>
            <w:r>
              <w:rPr>
                <w:rFonts w:ascii="宋体" w:hAnsi="宋体"/>
                <w:color w:val="auto"/>
                <w:szCs w:val="21"/>
                <w:highlight w:val="none"/>
              </w:rPr>
              <w:t>及联系电话</w:t>
            </w:r>
          </w:p>
        </w:tc>
      </w:tr>
      <w:tr w14:paraId="2F40A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13" w:type="dxa"/>
          </w:tcPr>
          <w:p w14:paraId="54C7517B">
            <w:pPr>
              <w:spacing w:line="440" w:lineRule="exact"/>
              <w:rPr>
                <w:rFonts w:eastAsia="黑体"/>
                <w:color w:val="auto"/>
                <w:szCs w:val="21"/>
                <w:highlight w:val="none"/>
              </w:rPr>
            </w:pPr>
          </w:p>
        </w:tc>
        <w:tc>
          <w:tcPr>
            <w:tcW w:w="938" w:type="dxa"/>
            <w:gridSpan w:val="2"/>
          </w:tcPr>
          <w:p w14:paraId="7D8DB2E6">
            <w:pPr>
              <w:spacing w:line="440" w:lineRule="exact"/>
              <w:rPr>
                <w:rFonts w:eastAsia="黑体"/>
                <w:color w:val="auto"/>
                <w:szCs w:val="21"/>
                <w:highlight w:val="none"/>
              </w:rPr>
            </w:pPr>
          </w:p>
        </w:tc>
        <w:tc>
          <w:tcPr>
            <w:tcW w:w="1687" w:type="dxa"/>
            <w:gridSpan w:val="3"/>
          </w:tcPr>
          <w:p w14:paraId="40150BE1">
            <w:pPr>
              <w:spacing w:line="440" w:lineRule="exact"/>
              <w:rPr>
                <w:rFonts w:eastAsia="黑体"/>
                <w:color w:val="auto"/>
                <w:szCs w:val="21"/>
                <w:highlight w:val="none"/>
              </w:rPr>
            </w:pPr>
          </w:p>
        </w:tc>
        <w:tc>
          <w:tcPr>
            <w:tcW w:w="1327" w:type="dxa"/>
            <w:gridSpan w:val="2"/>
          </w:tcPr>
          <w:p w14:paraId="027586FE">
            <w:pPr>
              <w:spacing w:line="440" w:lineRule="exact"/>
              <w:rPr>
                <w:rFonts w:eastAsia="黑体"/>
                <w:color w:val="auto"/>
                <w:szCs w:val="21"/>
                <w:highlight w:val="none"/>
              </w:rPr>
            </w:pPr>
          </w:p>
        </w:tc>
        <w:tc>
          <w:tcPr>
            <w:tcW w:w="1097" w:type="dxa"/>
          </w:tcPr>
          <w:p w14:paraId="71C85FFD">
            <w:pPr>
              <w:spacing w:line="440" w:lineRule="exact"/>
              <w:rPr>
                <w:rFonts w:eastAsia="黑体"/>
                <w:color w:val="auto"/>
                <w:szCs w:val="21"/>
                <w:highlight w:val="none"/>
              </w:rPr>
            </w:pPr>
          </w:p>
        </w:tc>
        <w:tc>
          <w:tcPr>
            <w:tcW w:w="2460" w:type="dxa"/>
            <w:gridSpan w:val="2"/>
          </w:tcPr>
          <w:p w14:paraId="2F176313">
            <w:pPr>
              <w:spacing w:line="440" w:lineRule="exact"/>
              <w:rPr>
                <w:rFonts w:eastAsia="黑体"/>
                <w:color w:val="auto"/>
                <w:szCs w:val="21"/>
                <w:highlight w:val="none"/>
              </w:rPr>
            </w:pPr>
          </w:p>
        </w:tc>
      </w:tr>
      <w:tr w14:paraId="0517F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13" w:type="dxa"/>
          </w:tcPr>
          <w:p w14:paraId="5F01AC97">
            <w:pPr>
              <w:spacing w:line="440" w:lineRule="exact"/>
              <w:rPr>
                <w:rFonts w:eastAsia="黑体"/>
                <w:color w:val="auto"/>
                <w:szCs w:val="21"/>
                <w:highlight w:val="none"/>
              </w:rPr>
            </w:pPr>
          </w:p>
        </w:tc>
        <w:tc>
          <w:tcPr>
            <w:tcW w:w="938" w:type="dxa"/>
            <w:gridSpan w:val="2"/>
          </w:tcPr>
          <w:p w14:paraId="5E47066E">
            <w:pPr>
              <w:spacing w:line="440" w:lineRule="exact"/>
              <w:rPr>
                <w:rFonts w:eastAsia="黑体"/>
                <w:color w:val="auto"/>
                <w:szCs w:val="21"/>
                <w:highlight w:val="none"/>
              </w:rPr>
            </w:pPr>
          </w:p>
        </w:tc>
        <w:tc>
          <w:tcPr>
            <w:tcW w:w="1687" w:type="dxa"/>
            <w:gridSpan w:val="3"/>
          </w:tcPr>
          <w:p w14:paraId="65CE812D">
            <w:pPr>
              <w:spacing w:line="440" w:lineRule="exact"/>
              <w:rPr>
                <w:rFonts w:eastAsia="黑体"/>
                <w:color w:val="auto"/>
                <w:szCs w:val="21"/>
                <w:highlight w:val="none"/>
              </w:rPr>
            </w:pPr>
          </w:p>
        </w:tc>
        <w:tc>
          <w:tcPr>
            <w:tcW w:w="1327" w:type="dxa"/>
            <w:gridSpan w:val="2"/>
          </w:tcPr>
          <w:p w14:paraId="3E3E85AC">
            <w:pPr>
              <w:spacing w:line="440" w:lineRule="exact"/>
              <w:rPr>
                <w:rFonts w:eastAsia="黑体"/>
                <w:color w:val="auto"/>
                <w:szCs w:val="21"/>
                <w:highlight w:val="none"/>
              </w:rPr>
            </w:pPr>
          </w:p>
        </w:tc>
        <w:tc>
          <w:tcPr>
            <w:tcW w:w="1097" w:type="dxa"/>
          </w:tcPr>
          <w:p w14:paraId="7F9AE7A7">
            <w:pPr>
              <w:spacing w:line="440" w:lineRule="exact"/>
              <w:rPr>
                <w:rFonts w:eastAsia="黑体"/>
                <w:color w:val="auto"/>
                <w:szCs w:val="21"/>
                <w:highlight w:val="none"/>
              </w:rPr>
            </w:pPr>
          </w:p>
        </w:tc>
        <w:tc>
          <w:tcPr>
            <w:tcW w:w="2460" w:type="dxa"/>
            <w:gridSpan w:val="2"/>
          </w:tcPr>
          <w:p w14:paraId="74B5FF81">
            <w:pPr>
              <w:spacing w:line="440" w:lineRule="exact"/>
              <w:rPr>
                <w:rFonts w:eastAsia="黑体"/>
                <w:color w:val="auto"/>
                <w:szCs w:val="21"/>
                <w:highlight w:val="none"/>
              </w:rPr>
            </w:pPr>
          </w:p>
        </w:tc>
      </w:tr>
      <w:tr w14:paraId="7CC70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13" w:type="dxa"/>
          </w:tcPr>
          <w:p w14:paraId="02B44004">
            <w:pPr>
              <w:spacing w:line="440" w:lineRule="exact"/>
              <w:rPr>
                <w:rFonts w:eastAsia="黑体"/>
                <w:color w:val="auto"/>
                <w:szCs w:val="21"/>
                <w:highlight w:val="none"/>
              </w:rPr>
            </w:pPr>
          </w:p>
        </w:tc>
        <w:tc>
          <w:tcPr>
            <w:tcW w:w="938" w:type="dxa"/>
            <w:gridSpan w:val="2"/>
          </w:tcPr>
          <w:p w14:paraId="58087B9F">
            <w:pPr>
              <w:spacing w:line="440" w:lineRule="exact"/>
              <w:rPr>
                <w:rFonts w:eastAsia="黑体"/>
                <w:color w:val="auto"/>
                <w:szCs w:val="21"/>
                <w:highlight w:val="none"/>
              </w:rPr>
            </w:pPr>
          </w:p>
        </w:tc>
        <w:tc>
          <w:tcPr>
            <w:tcW w:w="1687" w:type="dxa"/>
            <w:gridSpan w:val="3"/>
          </w:tcPr>
          <w:p w14:paraId="587B5602">
            <w:pPr>
              <w:spacing w:line="440" w:lineRule="exact"/>
              <w:rPr>
                <w:rFonts w:eastAsia="黑体"/>
                <w:color w:val="auto"/>
                <w:szCs w:val="21"/>
                <w:highlight w:val="none"/>
              </w:rPr>
            </w:pPr>
          </w:p>
        </w:tc>
        <w:tc>
          <w:tcPr>
            <w:tcW w:w="1327" w:type="dxa"/>
            <w:gridSpan w:val="2"/>
          </w:tcPr>
          <w:p w14:paraId="0E9F7401">
            <w:pPr>
              <w:spacing w:line="440" w:lineRule="exact"/>
              <w:rPr>
                <w:rFonts w:eastAsia="黑体"/>
                <w:color w:val="auto"/>
                <w:szCs w:val="21"/>
                <w:highlight w:val="none"/>
              </w:rPr>
            </w:pPr>
          </w:p>
        </w:tc>
        <w:tc>
          <w:tcPr>
            <w:tcW w:w="1097" w:type="dxa"/>
          </w:tcPr>
          <w:p w14:paraId="163205B6">
            <w:pPr>
              <w:spacing w:line="440" w:lineRule="exact"/>
              <w:rPr>
                <w:rFonts w:eastAsia="黑体"/>
                <w:color w:val="auto"/>
                <w:szCs w:val="21"/>
                <w:highlight w:val="none"/>
              </w:rPr>
            </w:pPr>
          </w:p>
        </w:tc>
        <w:tc>
          <w:tcPr>
            <w:tcW w:w="2460" w:type="dxa"/>
            <w:gridSpan w:val="2"/>
          </w:tcPr>
          <w:p w14:paraId="1811C533">
            <w:pPr>
              <w:spacing w:line="440" w:lineRule="exact"/>
              <w:rPr>
                <w:rFonts w:eastAsia="黑体"/>
                <w:color w:val="auto"/>
                <w:szCs w:val="21"/>
                <w:highlight w:val="none"/>
              </w:rPr>
            </w:pPr>
          </w:p>
        </w:tc>
      </w:tr>
      <w:tr w14:paraId="5FE9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13" w:type="dxa"/>
          </w:tcPr>
          <w:p w14:paraId="79F90E16">
            <w:pPr>
              <w:spacing w:line="440" w:lineRule="exact"/>
              <w:rPr>
                <w:rFonts w:eastAsia="黑体"/>
                <w:color w:val="auto"/>
                <w:szCs w:val="21"/>
                <w:highlight w:val="none"/>
              </w:rPr>
            </w:pPr>
          </w:p>
        </w:tc>
        <w:tc>
          <w:tcPr>
            <w:tcW w:w="938" w:type="dxa"/>
            <w:gridSpan w:val="2"/>
          </w:tcPr>
          <w:p w14:paraId="629E620B">
            <w:pPr>
              <w:spacing w:line="440" w:lineRule="exact"/>
              <w:rPr>
                <w:rFonts w:eastAsia="黑体"/>
                <w:color w:val="auto"/>
                <w:szCs w:val="21"/>
                <w:highlight w:val="none"/>
              </w:rPr>
            </w:pPr>
          </w:p>
        </w:tc>
        <w:tc>
          <w:tcPr>
            <w:tcW w:w="1687" w:type="dxa"/>
            <w:gridSpan w:val="3"/>
          </w:tcPr>
          <w:p w14:paraId="71242A2B">
            <w:pPr>
              <w:spacing w:line="440" w:lineRule="exact"/>
              <w:rPr>
                <w:rFonts w:eastAsia="黑体"/>
                <w:color w:val="auto"/>
                <w:szCs w:val="21"/>
                <w:highlight w:val="none"/>
              </w:rPr>
            </w:pPr>
          </w:p>
        </w:tc>
        <w:tc>
          <w:tcPr>
            <w:tcW w:w="1327" w:type="dxa"/>
            <w:gridSpan w:val="2"/>
          </w:tcPr>
          <w:p w14:paraId="13729C39">
            <w:pPr>
              <w:spacing w:line="440" w:lineRule="exact"/>
              <w:rPr>
                <w:rFonts w:eastAsia="黑体"/>
                <w:color w:val="auto"/>
                <w:szCs w:val="21"/>
                <w:highlight w:val="none"/>
              </w:rPr>
            </w:pPr>
          </w:p>
        </w:tc>
        <w:tc>
          <w:tcPr>
            <w:tcW w:w="1097" w:type="dxa"/>
          </w:tcPr>
          <w:p w14:paraId="2EE00010">
            <w:pPr>
              <w:spacing w:line="440" w:lineRule="exact"/>
              <w:rPr>
                <w:rFonts w:eastAsia="黑体"/>
                <w:color w:val="auto"/>
                <w:szCs w:val="21"/>
                <w:highlight w:val="none"/>
              </w:rPr>
            </w:pPr>
          </w:p>
        </w:tc>
        <w:tc>
          <w:tcPr>
            <w:tcW w:w="2460" w:type="dxa"/>
            <w:gridSpan w:val="2"/>
          </w:tcPr>
          <w:p w14:paraId="626F38FB">
            <w:pPr>
              <w:spacing w:line="440" w:lineRule="exact"/>
              <w:rPr>
                <w:rFonts w:eastAsia="黑体"/>
                <w:color w:val="auto"/>
                <w:szCs w:val="21"/>
                <w:highlight w:val="none"/>
              </w:rPr>
            </w:pPr>
          </w:p>
        </w:tc>
      </w:tr>
      <w:tr w14:paraId="1579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13" w:type="dxa"/>
          </w:tcPr>
          <w:p w14:paraId="2B4A01BA">
            <w:pPr>
              <w:spacing w:line="440" w:lineRule="exact"/>
              <w:rPr>
                <w:rFonts w:eastAsia="黑体"/>
                <w:color w:val="auto"/>
                <w:szCs w:val="21"/>
                <w:highlight w:val="none"/>
              </w:rPr>
            </w:pPr>
          </w:p>
        </w:tc>
        <w:tc>
          <w:tcPr>
            <w:tcW w:w="938" w:type="dxa"/>
            <w:gridSpan w:val="2"/>
          </w:tcPr>
          <w:p w14:paraId="51310FD1">
            <w:pPr>
              <w:spacing w:line="440" w:lineRule="exact"/>
              <w:rPr>
                <w:rFonts w:eastAsia="黑体"/>
                <w:color w:val="auto"/>
                <w:szCs w:val="21"/>
                <w:highlight w:val="none"/>
              </w:rPr>
            </w:pPr>
          </w:p>
        </w:tc>
        <w:tc>
          <w:tcPr>
            <w:tcW w:w="1687" w:type="dxa"/>
            <w:gridSpan w:val="3"/>
          </w:tcPr>
          <w:p w14:paraId="62389732">
            <w:pPr>
              <w:spacing w:line="440" w:lineRule="exact"/>
              <w:rPr>
                <w:rFonts w:eastAsia="黑体"/>
                <w:color w:val="auto"/>
                <w:szCs w:val="21"/>
                <w:highlight w:val="none"/>
              </w:rPr>
            </w:pPr>
          </w:p>
        </w:tc>
        <w:tc>
          <w:tcPr>
            <w:tcW w:w="1327" w:type="dxa"/>
            <w:gridSpan w:val="2"/>
          </w:tcPr>
          <w:p w14:paraId="300D43F0">
            <w:pPr>
              <w:spacing w:line="440" w:lineRule="exact"/>
              <w:rPr>
                <w:rFonts w:eastAsia="黑体"/>
                <w:color w:val="auto"/>
                <w:szCs w:val="21"/>
                <w:highlight w:val="none"/>
              </w:rPr>
            </w:pPr>
          </w:p>
        </w:tc>
        <w:tc>
          <w:tcPr>
            <w:tcW w:w="1097" w:type="dxa"/>
          </w:tcPr>
          <w:p w14:paraId="07F421D0">
            <w:pPr>
              <w:spacing w:line="440" w:lineRule="exact"/>
              <w:rPr>
                <w:rFonts w:eastAsia="黑体"/>
                <w:color w:val="auto"/>
                <w:szCs w:val="21"/>
                <w:highlight w:val="none"/>
              </w:rPr>
            </w:pPr>
          </w:p>
        </w:tc>
        <w:tc>
          <w:tcPr>
            <w:tcW w:w="2460" w:type="dxa"/>
            <w:gridSpan w:val="2"/>
          </w:tcPr>
          <w:p w14:paraId="3BC1D0F3">
            <w:pPr>
              <w:spacing w:line="440" w:lineRule="exact"/>
              <w:rPr>
                <w:rFonts w:eastAsia="黑体"/>
                <w:color w:val="auto"/>
                <w:szCs w:val="21"/>
                <w:highlight w:val="none"/>
              </w:rPr>
            </w:pPr>
          </w:p>
        </w:tc>
      </w:tr>
      <w:tr w14:paraId="3463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13" w:type="dxa"/>
          </w:tcPr>
          <w:p w14:paraId="7D3E7AE7">
            <w:pPr>
              <w:spacing w:line="440" w:lineRule="exact"/>
              <w:rPr>
                <w:rFonts w:eastAsia="黑体"/>
                <w:color w:val="auto"/>
                <w:szCs w:val="21"/>
                <w:highlight w:val="none"/>
              </w:rPr>
            </w:pPr>
          </w:p>
        </w:tc>
        <w:tc>
          <w:tcPr>
            <w:tcW w:w="938" w:type="dxa"/>
            <w:gridSpan w:val="2"/>
          </w:tcPr>
          <w:p w14:paraId="60FDF9C9">
            <w:pPr>
              <w:spacing w:line="440" w:lineRule="exact"/>
              <w:rPr>
                <w:rFonts w:eastAsia="黑体"/>
                <w:color w:val="auto"/>
                <w:szCs w:val="21"/>
                <w:highlight w:val="none"/>
              </w:rPr>
            </w:pPr>
          </w:p>
        </w:tc>
        <w:tc>
          <w:tcPr>
            <w:tcW w:w="1687" w:type="dxa"/>
            <w:gridSpan w:val="3"/>
          </w:tcPr>
          <w:p w14:paraId="0A647641">
            <w:pPr>
              <w:spacing w:line="440" w:lineRule="exact"/>
              <w:rPr>
                <w:rFonts w:eastAsia="黑体"/>
                <w:color w:val="auto"/>
                <w:szCs w:val="21"/>
                <w:highlight w:val="none"/>
              </w:rPr>
            </w:pPr>
          </w:p>
        </w:tc>
        <w:tc>
          <w:tcPr>
            <w:tcW w:w="1327" w:type="dxa"/>
            <w:gridSpan w:val="2"/>
          </w:tcPr>
          <w:p w14:paraId="4B19541C">
            <w:pPr>
              <w:spacing w:line="440" w:lineRule="exact"/>
              <w:rPr>
                <w:rFonts w:eastAsia="黑体"/>
                <w:color w:val="auto"/>
                <w:szCs w:val="21"/>
                <w:highlight w:val="none"/>
              </w:rPr>
            </w:pPr>
          </w:p>
        </w:tc>
        <w:tc>
          <w:tcPr>
            <w:tcW w:w="1097" w:type="dxa"/>
          </w:tcPr>
          <w:p w14:paraId="25BC8E5D">
            <w:pPr>
              <w:spacing w:line="440" w:lineRule="exact"/>
              <w:rPr>
                <w:rFonts w:eastAsia="黑体"/>
                <w:color w:val="auto"/>
                <w:szCs w:val="21"/>
                <w:highlight w:val="none"/>
              </w:rPr>
            </w:pPr>
          </w:p>
        </w:tc>
        <w:tc>
          <w:tcPr>
            <w:tcW w:w="2460" w:type="dxa"/>
            <w:gridSpan w:val="2"/>
          </w:tcPr>
          <w:p w14:paraId="4DAE579B">
            <w:pPr>
              <w:spacing w:line="440" w:lineRule="exact"/>
              <w:rPr>
                <w:rFonts w:eastAsia="黑体"/>
                <w:color w:val="auto"/>
                <w:szCs w:val="21"/>
                <w:highlight w:val="none"/>
              </w:rPr>
            </w:pPr>
          </w:p>
        </w:tc>
      </w:tr>
      <w:tr w14:paraId="5FD0B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13" w:type="dxa"/>
          </w:tcPr>
          <w:p w14:paraId="71487F32">
            <w:pPr>
              <w:spacing w:line="440" w:lineRule="exact"/>
              <w:rPr>
                <w:rFonts w:eastAsia="黑体"/>
                <w:color w:val="auto"/>
                <w:szCs w:val="21"/>
                <w:highlight w:val="none"/>
              </w:rPr>
            </w:pPr>
          </w:p>
        </w:tc>
        <w:tc>
          <w:tcPr>
            <w:tcW w:w="938" w:type="dxa"/>
            <w:gridSpan w:val="2"/>
          </w:tcPr>
          <w:p w14:paraId="05449408">
            <w:pPr>
              <w:spacing w:line="440" w:lineRule="exact"/>
              <w:rPr>
                <w:rFonts w:eastAsia="黑体"/>
                <w:color w:val="auto"/>
                <w:szCs w:val="21"/>
                <w:highlight w:val="none"/>
              </w:rPr>
            </w:pPr>
          </w:p>
        </w:tc>
        <w:tc>
          <w:tcPr>
            <w:tcW w:w="1687" w:type="dxa"/>
            <w:gridSpan w:val="3"/>
          </w:tcPr>
          <w:p w14:paraId="32EFBBEB">
            <w:pPr>
              <w:spacing w:line="440" w:lineRule="exact"/>
              <w:rPr>
                <w:rFonts w:eastAsia="黑体"/>
                <w:color w:val="auto"/>
                <w:szCs w:val="21"/>
                <w:highlight w:val="none"/>
              </w:rPr>
            </w:pPr>
          </w:p>
        </w:tc>
        <w:tc>
          <w:tcPr>
            <w:tcW w:w="1327" w:type="dxa"/>
            <w:gridSpan w:val="2"/>
          </w:tcPr>
          <w:p w14:paraId="3208E503">
            <w:pPr>
              <w:spacing w:line="440" w:lineRule="exact"/>
              <w:rPr>
                <w:rFonts w:eastAsia="黑体"/>
                <w:color w:val="auto"/>
                <w:szCs w:val="21"/>
                <w:highlight w:val="none"/>
              </w:rPr>
            </w:pPr>
          </w:p>
        </w:tc>
        <w:tc>
          <w:tcPr>
            <w:tcW w:w="1097" w:type="dxa"/>
          </w:tcPr>
          <w:p w14:paraId="1A46783D">
            <w:pPr>
              <w:spacing w:line="440" w:lineRule="exact"/>
              <w:rPr>
                <w:rFonts w:eastAsia="黑体"/>
                <w:color w:val="auto"/>
                <w:szCs w:val="21"/>
                <w:highlight w:val="none"/>
              </w:rPr>
            </w:pPr>
          </w:p>
        </w:tc>
        <w:tc>
          <w:tcPr>
            <w:tcW w:w="2460" w:type="dxa"/>
            <w:gridSpan w:val="2"/>
          </w:tcPr>
          <w:p w14:paraId="1C7F6EF7">
            <w:pPr>
              <w:spacing w:line="440" w:lineRule="exact"/>
              <w:rPr>
                <w:rFonts w:eastAsia="黑体"/>
                <w:color w:val="auto"/>
                <w:szCs w:val="21"/>
                <w:highlight w:val="none"/>
              </w:rPr>
            </w:pPr>
          </w:p>
        </w:tc>
      </w:tr>
    </w:tbl>
    <w:p w14:paraId="158687CE">
      <w:pPr>
        <w:widowControl/>
        <w:jc w:val="left"/>
        <w:rPr>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w:t>
      </w:r>
      <w:r>
        <w:rPr>
          <w:rFonts w:hint="eastAsia" w:ascii="宋体" w:hAnsi="宋体" w:cs="宋体"/>
          <w:color w:val="auto"/>
          <w:szCs w:val="21"/>
          <w:highlight w:val="none"/>
        </w:rPr>
        <w:t>上述人员需附身份证及表内注明的注册证或执业资格证或上岗证等证明材料原件扫描件。</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lang w:eastAsia="zh-CN"/>
        </w:rPr>
        <w:t>）</w:t>
      </w:r>
      <w:r>
        <w:rPr>
          <w:rFonts w:hint="eastAsia" w:ascii="宋体" w:hAnsi="宋体" w:cs="宋体"/>
          <w:color w:val="auto"/>
          <w:szCs w:val="21"/>
          <w:highlight w:val="none"/>
        </w:rPr>
        <w:t>上述人员必须提供</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人处缴纳社保的社保缴纳证明文件，社保缴纳证明文件应具备社保管理机构印章。社保缴纳时间均为</w:t>
      </w:r>
      <w:r>
        <w:rPr>
          <w:rFonts w:hint="eastAsia" w:ascii="宋体" w:hAnsi="宋体" w:cs="宋体"/>
          <w:color w:val="auto"/>
          <w:szCs w:val="21"/>
          <w:highlight w:val="none"/>
          <w:lang w:val="en-US" w:eastAsia="zh-CN"/>
        </w:rPr>
        <w:t>响应文件递交</w:t>
      </w:r>
      <w:r>
        <w:rPr>
          <w:rFonts w:hint="eastAsia" w:ascii="宋体" w:hAnsi="宋体" w:cs="宋体"/>
          <w:color w:val="auto"/>
          <w:szCs w:val="21"/>
          <w:highlight w:val="none"/>
        </w:rPr>
        <w:t>截止时间前（不含</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当月）半年内连续不少于三个月，社保缴纳证明文件可以是在</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人总公司或其分公司的社保缴纳证明文件，可以是原件或复印件。</w:t>
      </w:r>
      <w:r>
        <w:rPr>
          <w:color w:val="auto"/>
          <w:szCs w:val="21"/>
          <w:highlight w:val="none"/>
        </w:rPr>
        <w:br w:type="page"/>
      </w:r>
    </w:p>
    <w:p w14:paraId="6514B92F">
      <w:pPr>
        <w:pStyle w:val="3"/>
        <w:jc w:val="center"/>
        <w:rPr>
          <w:rFonts w:ascii="黑体"/>
          <w:color w:val="auto"/>
          <w:highlight w:val="none"/>
        </w:rPr>
      </w:pPr>
      <w:bookmarkStart w:id="199" w:name="_Toc486425436"/>
      <w:bookmarkStart w:id="200" w:name="_Toc475483727"/>
      <w:bookmarkStart w:id="201" w:name="_Toc75852780"/>
      <w:r>
        <w:rPr>
          <w:rFonts w:hint="eastAsia" w:ascii="黑体"/>
          <w:color w:val="auto"/>
          <w:highlight w:val="none"/>
        </w:rPr>
        <w:t>八、</w:t>
      </w:r>
      <w:r>
        <w:rPr>
          <w:color w:val="auto"/>
          <w:highlight w:val="none"/>
        </w:rPr>
        <w:fldChar w:fldCharType="begin"/>
      </w:r>
      <w:r>
        <w:rPr>
          <w:color w:val="auto"/>
          <w:highlight w:val="none"/>
        </w:rPr>
        <w:instrText xml:space="preserve"> HYPERLINK \l "_Toc338661813" </w:instrText>
      </w:r>
      <w:r>
        <w:rPr>
          <w:color w:val="auto"/>
          <w:highlight w:val="none"/>
        </w:rPr>
        <w:fldChar w:fldCharType="separate"/>
      </w:r>
      <w:r>
        <w:rPr>
          <w:rFonts w:hint="eastAsia" w:ascii="黑体"/>
          <w:b w:val="0"/>
          <w:color w:val="auto"/>
          <w:highlight w:val="none"/>
        </w:rPr>
        <w:t>实质性条款偏离表</w:t>
      </w:r>
      <w:bookmarkEnd w:id="199"/>
      <w:bookmarkEnd w:id="200"/>
      <w:bookmarkEnd w:id="201"/>
      <w:r>
        <w:rPr>
          <w:rFonts w:hint="eastAsia" w:ascii="黑体"/>
          <w:b w:val="0"/>
          <w:color w:val="auto"/>
          <w:highlight w:val="none"/>
        </w:rPr>
        <w:fldChar w:fldCharType="end"/>
      </w:r>
    </w:p>
    <w:p w14:paraId="671127A0">
      <w:pPr>
        <w:rPr>
          <w:color w:val="auto"/>
          <w:highlight w:val="none"/>
        </w:rPr>
      </w:pPr>
      <w:r>
        <w:rPr>
          <w:rFonts w:hint="eastAsia"/>
          <w:color w:val="auto"/>
          <w:highlight w:val="none"/>
        </w:rPr>
        <w:t>项目名称：</w:t>
      </w:r>
      <w:r>
        <w:rPr>
          <w:rFonts w:hint="eastAsia"/>
          <w:color w:val="auto"/>
          <w:highlight w:val="none"/>
          <w:u w:val="single"/>
        </w:rPr>
        <w:t xml:space="preserve">                </w:t>
      </w:r>
      <w:r>
        <w:rPr>
          <w:rFonts w:hint="eastAsia"/>
          <w:color w:val="auto"/>
          <w:highlight w:val="none"/>
        </w:rPr>
        <w:t xml:space="preserve">  项目编号：</w:t>
      </w:r>
      <w:r>
        <w:rPr>
          <w:rFonts w:hint="eastAsia"/>
          <w:color w:val="auto"/>
          <w:highlight w:val="none"/>
          <w:u w:val="single"/>
        </w:rPr>
        <w:t xml:space="preserve">               </w:t>
      </w:r>
    </w:p>
    <w:tbl>
      <w:tblPr>
        <w:tblStyle w:val="37"/>
        <w:tblW w:w="0" w:type="auto"/>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1701"/>
        <w:gridCol w:w="2126"/>
        <w:gridCol w:w="2694"/>
        <w:gridCol w:w="1134"/>
      </w:tblGrid>
      <w:tr w14:paraId="2C8B2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vAlign w:val="center"/>
          </w:tcPr>
          <w:p w14:paraId="182A0004">
            <w:pPr>
              <w:widowControl/>
              <w:snapToGrid w:val="0"/>
              <w:spacing w:before="156" w:beforeLines="50" w:line="360" w:lineRule="auto"/>
              <w:jc w:val="center"/>
              <w:rPr>
                <w:rFonts w:ascii="宋体" w:hAnsi="宋体"/>
                <w:color w:val="auto"/>
                <w:kern w:val="0"/>
                <w:szCs w:val="21"/>
                <w:highlight w:val="none"/>
              </w:rPr>
            </w:pPr>
            <w:r>
              <w:rPr>
                <w:rFonts w:hint="eastAsia" w:ascii="宋体" w:hAnsi="宋体"/>
                <w:color w:val="auto"/>
                <w:kern w:val="0"/>
                <w:szCs w:val="21"/>
                <w:highlight w:val="none"/>
              </w:rPr>
              <w:t>序号</w:t>
            </w:r>
          </w:p>
        </w:tc>
        <w:tc>
          <w:tcPr>
            <w:tcW w:w="1701" w:type="dxa"/>
            <w:vAlign w:val="center"/>
          </w:tcPr>
          <w:p w14:paraId="1E4F5998">
            <w:pPr>
              <w:widowControl/>
              <w:snapToGrid w:val="0"/>
              <w:spacing w:before="156" w:beforeLines="50" w:line="360" w:lineRule="auto"/>
              <w:jc w:val="center"/>
              <w:rPr>
                <w:rFonts w:ascii="宋体" w:hAnsi="宋体"/>
                <w:color w:val="auto"/>
                <w:kern w:val="0"/>
                <w:szCs w:val="21"/>
                <w:highlight w:val="none"/>
              </w:rPr>
            </w:pPr>
            <w:r>
              <w:rPr>
                <w:rFonts w:hint="eastAsia" w:ascii="宋体" w:hAnsi="宋体"/>
                <w:color w:val="auto"/>
                <w:kern w:val="0"/>
                <w:szCs w:val="21"/>
                <w:highlight w:val="none"/>
              </w:rPr>
              <w:t>竞争性谈判文件条目号</w:t>
            </w:r>
          </w:p>
        </w:tc>
        <w:tc>
          <w:tcPr>
            <w:tcW w:w="2126" w:type="dxa"/>
            <w:vAlign w:val="center"/>
          </w:tcPr>
          <w:p w14:paraId="652CE246">
            <w:pPr>
              <w:widowControl/>
              <w:snapToGrid w:val="0"/>
              <w:spacing w:before="156" w:beforeLines="50" w:line="360" w:lineRule="auto"/>
              <w:jc w:val="center"/>
              <w:rPr>
                <w:rFonts w:ascii="宋体" w:hAnsi="宋体"/>
                <w:color w:val="auto"/>
                <w:kern w:val="0"/>
                <w:szCs w:val="21"/>
                <w:highlight w:val="none"/>
              </w:rPr>
            </w:pPr>
            <w:r>
              <w:rPr>
                <w:rFonts w:hint="eastAsia" w:ascii="宋体" w:hAnsi="宋体"/>
                <w:color w:val="auto"/>
                <w:kern w:val="0"/>
                <w:szCs w:val="21"/>
                <w:highlight w:val="none"/>
              </w:rPr>
              <w:t>竞争性谈判文件</w:t>
            </w:r>
            <w:r>
              <w:rPr>
                <w:rFonts w:hint="eastAsia" w:ascii="宋体" w:hAnsi="宋体" w:cs="宋体"/>
                <w:color w:val="auto"/>
                <w:szCs w:val="21"/>
                <w:highlight w:val="none"/>
              </w:rPr>
              <w:t>“</w:t>
            </w:r>
            <w:r>
              <w:rPr>
                <w:rFonts w:eastAsia="黑体"/>
                <w:color w:val="auto"/>
                <w:sz w:val="32"/>
                <w:szCs w:val="32"/>
                <w:highlight w:val="none"/>
              </w:rPr>
              <w:sym w:font="Wingdings" w:char="00AB"/>
            </w:r>
            <w:r>
              <w:rPr>
                <w:rFonts w:hint="eastAsia" w:ascii="宋体" w:hAnsi="宋体" w:cs="宋体"/>
                <w:color w:val="auto"/>
                <w:szCs w:val="21"/>
                <w:highlight w:val="none"/>
              </w:rPr>
              <w:t>”</w:t>
            </w:r>
            <w:r>
              <w:rPr>
                <w:rFonts w:hint="eastAsia" w:ascii="宋体" w:hAnsi="宋体"/>
                <w:color w:val="auto"/>
                <w:kern w:val="0"/>
                <w:szCs w:val="21"/>
                <w:highlight w:val="none"/>
              </w:rPr>
              <w:t>条款</w:t>
            </w:r>
          </w:p>
        </w:tc>
        <w:tc>
          <w:tcPr>
            <w:tcW w:w="2694" w:type="dxa"/>
            <w:vAlign w:val="center"/>
          </w:tcPr>
          <w:p w14:paraId="05F19144">
            <w:pPr>
              <w:widowControl/>
              <w:snapToGrid w:val="0"/>
              <w:spacing w:before="156" w:beforeLines="50"/>
              <w:jc w:val="center"/>
              <w:rPr>
                <w:rFonts w:ascii="宋体" w:hAnsi="宋体"/>
                <w:color w:val="auto"/>
                <w:kern w:val="0"/>
                <w:szCs w:val="21"/>
                <w:highlight w:val="none"/>
              </w:rPr>
            </w:pPr>
            <w:r>
              <w:rPr>
                <w:rFonts w:hint="eastAsia" w:ascii="宋体" w:hAnsi="宋体"/>
                <w:color w:val="auto"/>
                <w:kern w:val="0"/>
                <w:szCs w:val="21"/>
                <w:highlight w:val="none"/>
              </w:rPr>
              <w:t>竞争性谈判响应文件偏离情况</w:t>
            </w:r>
          </w:p>
          <w:p w14:paraId="1F5E9E85">
            <w:pPr>
              <w:widowControl/>
              <w:snapToGrid w:val="0"/>
              <w:spacing w:before="156" w:beforeLines="50" w:line="360" w:lineRule="auto"/>
              <w:jc w:val="center"/>
              <w:rPr>
                <w:rFonts w:ascii="宋体" w:hAnsi="宋体"/>
                <w:color w:val="auto"/>
                <w:kern w:val="0"/>
                <w:szCs w:val="21"/>
                <w:highlight w:val="none"/>
              </w:rPr>
            </w:pPr>
            <w:r>
              <w:rPr>
                <w:rFonts w:hint="eastAsia" w:ascii="宋体" w:hAnsi="宋体"/>
                <w:color w:val="auto"/>
                <w:kern w:val="0"/>
                <w:szCs w:val="21"/>
                <w:highlight w:val="none"/>
              </w:rPr>
              <w:t>（正偏离/负偏离/无偏离）</w:t>
            </w:r>
          </w:p>
        </w:tc>
        <w:tc>
          <w:tcPr>
            <w:tcW w:w="1134" w:type="dxa"/>
            <w:vAlign w:val="center"/>
          </w:tcPr>
          <w:p w14:paraId="0BF40C5E">
            <w:pPr>
              <w:widowControl/>
              <w:snapToGrid w:val="0"/>
              <w:spacing w:before="156" w:beforeLines="50"/>
              <w:jc w:val="center"/>
              <w:rPr>
                <w:rFonts w:ascii="宋体" w:hAnsi="宋体"/>
                <w:color w:val="auto"/>
                <w:kern w:val="0"/>
                <w:szCs w:val="21"/>
                <w:highlight w:val="none"/>
              </w:rPr>
            </w:pPr>
            <w:r>
              <w:rPr>
                <w:rFonts w:hint="eastAsia" w:ascii="宋体" w:hAnsi="宋体"/>
                <w:color w:val="auto"/>
                <w:kern w:val="0"/>
                <w:szCs w:val="21"/>
                <w:highlight w:val="none"/>
              </w:rPr>
              <w:t>说明</w:t>
            </w:r>
          </w:p>
        </w:tc>
      </w:tr>
      <w:tr w14:paraId="602B6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7" w:hRule="atLeast"/>
        </w:trPr>
        <w:tc>
          <w:tcPr>
            <w:tcW w:w="851" w:type="dxa"/>
            <w:vAlign w:val="center"/>
          </w:tcPr>
          <w:p w14:paraId="706BC597">
            <w:pPr>
              <w:widowControl/>
              <w:snapToGrid w:val="0"/>
              <w:spacing w:before="156" w:beforeLines="50" w:line="360" w:lineRule="auto"/>
              <w:jc w:val="center"/>
              <w:rPr>
                <w:rFonts w:ascii="宋体" w:hAnsi="宋体"/>
                <w:color w:val="auto"/>
                <w:kern w:val="0"/>
                <w:szCs w:val="21"/>
                <w:highlight w:val="none"/>
              </w:rPr>
            </w:pPr>
          </w:p>
        </w:tc>
        <w:tc>
          <w:tcPr>
            <w:tcW w:w="1701" w:type="dxa"/>
            <w:vAlign w:val="center"/>
          </w:tcPr>
          <w:p w14:paraId="718816EE">
            <w:pPr>
              <w:widowControl/>
              <w:snapToGrid w:val="0"/>
              <w:spacing w:before="156" w:beforeLines="50" w:line="360" w:lineRule="auto"/>
              <w:jc w:val="center"/>
              <w:rPr>
                <w:rFonts w:ascii="宋体" w:hAnsi="宋体"/>
                <w:color w:val="auto"/>
                <w:kern w:val="0"/>
                <w:szCs w:val="21"/>
                <w:highlight w:val="none"/>
              </w:rPr>
            </w:pPr>
          </w:p>
        </w:tc>
        <w:tc>
          <w:tcPr>
            <w:tcW w:w="2126" w:type="dxa"/>
            <w:vAlign w:val="center"/>
          </w:tcPr>
          <w:p w14:paraId="0CE4AA04">
            <w:pPr>
              <w:widowControl/>
              <w:snapToGrid w:val="0"/>
              <w:spacing w:before="156" w:beforeLines="50" w:line="360" w:lineRule="auto"/>
              <w:jc w:val="center"/>
              <w:rPr>
                <w:rFonts w:ascii="宋体" w:hAnsi="宋体"/>
                <w:color w:val="auto"/>
                <w:kern w:val="0"/>
                <w:szCs w:val="21"/>
                <w:highlight w:val="none"/>
              </w:rPr>
            </w:pPr>
          </w:p>
        </w:tc>
        <w:tc>
          <w:tcPr>
            <w:tcW w:w="2694" w:type="dxa"/>
            <w:vAlign w:val="center"/>
          </w:tcPr>
          <w:p w14:paraId="3B5B112D">
            <w:pPr>
              <w:widowControl/>
              <w:snapToGrid w:val="0"/>
              <w:spacing w:before="156" w:beforeLines="50"/>
              <w:jc w:val="center"/>
              <w:rPr>
                <w:rFonts w:ascii="宋体" w:hAnsi="宋体"/>
                <w:color w:val="auto"/>
                <w:kern w:val="0"/>
                <w:szCs w:val="21"/>
                <w:highlight w:val="none"/>
              </w:rPr>
            </w:pPr>
          </w:p>
        </w:tc>
        <w:tc>
          <w:tcPr>
            <w:tcW w:w="1134" w:type="dxa"/>
            <w:vAlign w:val="center"/>
          </w:tcPr>
          <w:p w14:paraId="2FAECE41">
            <w:pPr>
              <w:widowControl/>
              <w:snapToGrid w:val="0"/>
              <w:spacing w:before="156" w:beforeLines="50"/>
              <w:jc w:val="center"/>
              <w:rPr>
                <w:rFonts w:ascii="宋体" w:hAnsi="宋体"/>
                <w:color w:val="auto"/>
                <w:kern w:val="0"/>
                <w:szCs w:val="21"/>
                <w:highlight w:val="none"/>
              </w:rPr>
            </w:pPr>
          </w:p>
        </w:tc>
      </w:tr>
      <w:tr w14:paraId="77D53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7" w:hRule="atLeast"/>
        </w:trPr>
        <w:tc>
          <w:tcPr>
            <w:tcW w:w="851" w:type="dxa"/>
            <w:vAlign w:val="center"/>
          </w:tcPr>
          <w:p w14:paraId="7BB9DC54">
            <w:pPr>
              <w:widowControl/>
              <w:snapToGrid w:val="0"/>
              <w:spacing w:before="156" w:beforeLines="50" w:line="360" w:lineRule="auto"/>
              <w:jc w:val="center"/>
              <w:rPr>
                <w:rFonts w:ascii="宋体" w:hAnsi="宋体"/>
                <w:color w:val="auto"/>
                <w:kern w:val="0"/>
                <w:szCs w:val="21"/>
                <w:highlight w:val="none"/>
              </w:rPr>
            </w:pPr>
          </w:p>
        </w:tc>
        <w:tc>
          <w:tcPr>
            <w:tcW w:w="1701" w:type="dxa"/>
            <w:vAlign w:val="center"/>
          </w:tcPr>
          <w:p w14:paraId="24467E13">
            <w:pPr>
              <w:widowControl/>
              <w:snapToGrid w:val="0"/>
              <w:spacing w:before="156" w:beforeLines="50" w:line="360" w:lineRule="auto"/>
              <w:jc w:val="center"/>
              <w:rPr>
                <w:rFonts w:ascii="宋体" w:hAnsi="宋体"/>
                <w:color w:val="auto"/>
                <w:kern w:val="0"/>
                <w:szCs w:val="21"/>
                <w:highlight w:val="none"/>
              </w:rPr>
            </w:pPr>
          </w:p>
        </w:tc>
        <w:tc>
          <w:tcPr>
            <w:tcW w:w="2126" w:type="dxa"/>
            <w:vAlign w:val="center"/>
          </w:tcPr>
          <w:p w14:paraId="3F5F669C">
            <w:pPr>
              <w:widowControl/>
              <w:snapToGrid w:val="0"/>
              <w:spacing w:before="156" w:beforeLines="50" w:line="360" w:lineRule="auto"/>
              <w:jc w:val="center"/>
              <w:rPr>
                <w:rFonts w:ascii="宋体" w:hAnsi="宋体"/>
                <w:color w:val="auto"/>
                <w:kern w:val="0"/>
                <w:szCs w:val="21"/>
                <w:highlight w:val="none"/>
              </w:rPr>
            </w:pPr>
          </w:p>
        </w:tc>
        <w:tc>
          <w:tcPr>
            <w:tcW w:w="2694" w:type="dxa"/>
            <w:vAlign w:val="center"/>
          </w:tcPr>
          <w:p w14:paraId="49F041FE">
            <w:pPr>
              <w:widowControl/>
              <w:snapToGrid w:val="0"/>
              <w:spacing w:before="156" w:beforeLines="50"/>
              <w:jc w:val="center"/>
              <w:rPr>
                <w:rFonts w:ascii="宋体" w:hAnsi="宋体"/>
                <w:color w:val="auto"/>
                <w:kern w:val="0"/>
                <w:szCs w:val="21"/>
                <w:highlight w:val="none"/>
              </w:rPr>
            </w:pPr>
          </w:p>
        </w:tc>
        <w:tc>
          <w:tcPr>
            <w:tcW w:w="1134" w:type="dxa"/>
            <w:vAlign w:val="center"/>
          </w:tcPr>
          <w:p w14:paraId="21208684">
            <w:pPr>
              <w:widowControl/>
              <w:snapToGrid w:val="0"/>
              <w:spacing w:before="156" w:beforeLines="50"/>
              <w:jc w:val="center"/>
              <w:rPr>
                <w:rFonts w:ascii="宋体" w:hAnsi="宋体"/>
                <w:color w:val="auto"/>
                <w:kern w:val="0"/>
                <w:szCs w:val="21"/>
                <w:highlight w:val="none"/>
              </w:rPr>
            </w:pPr>
          </w:p>
        </w:tc>
      </w:tr>
      <w:tr w14:paraId="7CF0A5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7" w:hRule="atLeast"/>
        </w:trPr>
        <w:tc>
          <w:tcPr>
            <w:tcW w:w="851" w:type="dxa"/>
            <w:vAlign w:val="center"/>
          </w:tcPr>
          <w:p w14:paraId="498EBC85">
            <w:pPr>
              <w:widowControl/>
              <w:snapToGrid w:val="0"/>
              <w:spacing w:before="156" w:beforeLines="50" w:line="360" w:lineRule="auto"/>
              <w:jc w:val="center"/>
              <w:rPr>
                <w:rFonts w:ascii="宋体" w:hAnsi="宋体"/>
                <w:color w:val="auto"/>
                <w:kern w:val="0"/>
                <w:szCs w:val="21"/>
                <w:highlight w:val="none"/>
              </w:rPr>
            </w:pPr>
          </w:p>
        </w:tc>
        <w:tc>
          <w:tcPr>
            <w:tcW w:w="1701" w:type="dxa"/>
            <w:vAlign w:val="center"/>
          </w:tcPr>
          <w:p w14:paraId="03E305A0">
            <w:pPr>
              <w:widowControl/>
              <w:snapToGrid w:val="0"/>
              <w:spacing w:before="156" w:beforeLines="50" w:line="360" w:lineRule="auto"/>
              <w:jc w:val="center"/>
              <w:rPr>
                <w:rFonts w:ascii="宋体" w:hAnsi="宋体"/>
                <w:color w:val="auto"/>
                <w:kern w:val="0"/>
                <w:szCs w:val="21"/>
                <w:highlight w:val="none"/>
              </w:rPr>
            </w:pPr>
          </w:p>
        </w:tc>
        <w:tc>
          <w:tcPr>
            <w:tcW w:w="2126" w:type="dxa"/>
            <w:vAlign w:val="center"/>
          </w:tcPr>
          <w:p w14:paraId="375B6D4B">
            <w:pPr>
              <w:widowControl/>
              <w:snapToGrid w:val="0"/>
              <w:spacing w:before="156" w:beforeLines="50" w:line="360" w:lineRule="auto"/>
              <w:jc w:val="center"/>
              <w:rPr>
                <w:rFonts w:ascii="宋体" w:hAnsi="宋体"/>
                <w:color w:val="auto"/>
                <w:kern w:val="0"/>
                <w:szCs w:val="21"/>
                <w:highlight w:val="none"/>
              </w:rPr>
            </w:pPr>
          </w:p>
        </w:tc>
        <w:tc>
          <w:tcPr>
            <w:tcW w:w="2694" w:type="dxa"/>
            <w:vAlign w:val="center"/>
          </w:tcPr>
          <w:p w14:paraId="497CA97E">
            <w:pPr>
              <w:widowControl/>
              <w:snapToGrid w:val="0"/>
              <w:spacing w:before="156" w:beforeLines="50"/>
              <w:jc w:val="center"/>
              <w:rPr>
                <w:rFonts w:ascii="宋体" w:hAnsi="宋体"/>
                <w:color w:val="auto"/>
                <w:kern w:val="0"/>
                <w:szCs w:val="21"/>
                <w:highlight w:val="none"/>
              </w:rPr>
            </w:pPr>
          </w:p>
        </w:tc>
        <w:tc>
          <w:tcPr>
            <w:tcW w:w="1134" w:type="dxa"/>
            <w:vAlign w:val="center"/>
          </w:tcPr>
          <w:p w14:paraId="4E7F190B">
            <w:pPr>
              <w:widowControl/>
              <w:snapToGrid w:val="0"/>
              <w:spacing w:before="156" w:beforeLines="50"/>
              <w:jc w:val="center"/>
              <w:rPr>
                <w:rFonts w:ascii="宋体" w:hAnsi="宋体"/>
                <w:color w:val="auto"/>
                <w:kern w:val="0"/>
                <w:szCs w:val="21"/>
                <w:highlight w:val="none"/>
              </w:rPr>
            </w:pPr>
          </w:p>
        </w:tc>
      </w:tr>
    </w:tbl>
    <w:p w14:paraId="37144A30">
      <w:pPr>
        <w:spacing w:line="440" w:lineRule="exact"/>
        <w:ind w:firstLine="420" w:firstLineChars="200"/>
        <w:jc w:val="left"/>
        <w:rPr>
          <w:rFonts w:ascii="宋体" w:hAnsi="宋体"/>
          <w:color w:val="auto"/>
          <w:szCs w:val="21"/>
          <w:highlight w:val="none"/>
        </w:rPr>
      </w:pPr>
      <w:r>
        <w:rPr>
          <w:rFonts w:hint="eastAsia" w:ascii="宋体" w:hAnsi="宋体"/>
          <w:color w:val="auto"/>
          <w:szCs w:val="21"/>
          <w:highlight w:val="none"/>
        </w:rPr>
        <w:t>注：1.响应人应当逐条对照竞争性谈判通知书</w:t>
      </w:r>
      <w:r>
        <w:rPr>
          <w:rFonts w:hint="eastAsia" w:ascii="宋体" w:hAnsi="宋体" w:cs="宋体"/>
          <w:color w:val="auto"/>
          <w:szCs w:val="21"/>
          <w:highlight w:val="none"/>
        </w:rPr>
        <w:t>“</w:t>
      </w:r>
      <w:r>
        <w:rPr>
          <w:rFonts w:eastAsia="黑体"/>
          <w:color w:val="auto"/>
          <w:sz w:val="32"/>
          <w:szCs w:val="32"/>
          <w:highlight w:val="none"/>
        </w:rPr>
        <w:sym w:font="Wingdings" w:char="00AB"/>
      </w:r>
      <w:r>
        <w:rPr>
          <w:rFonts w:hint="eastAsia" w:ascii="宋体" w:hAnsi="宋体" w:cs="宋体"/>
          <w:color w:val="auto"/>
          <w:szCs w:val="21"/>
          <w:highlight w:val="none"/>
        </w:rPr>
        <w:t>”</w:t>
      </w:r>
      <w:r>
        <w:rPr>
          <w:rFonts w:hint="eastAsia" w:ascii="宋体" w:hAnsi="宋体"/>
          <w:color w:val="auto"/>
          <w:kern w:val="0"/>
          <w:szCs w:val="21"/>
          <w:highlight w:val="none"/>
        </w:rPr>
        <w:t>条款内容</w:t>
      </w:r>
      <w:r>
        <w:rPr>
          <w:rFonts w:hint="eastAsia" w:ascii="宋体" w:hAnsi="宋体"/>
          <w:color w:val="auto"/>
          <w:szCs w:val="21"/>
          <w:highlight w:val="none"/>
        </w:rPr>
        <w:t>，就竞争性谈判响应文件对实质性条款存在的偏差与例外逐条做出说明；</w:t>
      </w:r>
    </w:p>
    <w:p w14:paraId="206EE230">
      <w:pPr>
        <w:spacing w:line="44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2.如竞争性谈判响应文件对合同条款无任何偏差，响应人仅需在本偏离表中填写“无偏离”即可。</w:t>
      </w:r>
    </w:p>
    <w:p w14:paraId="58E8219B">
      <w:pPr>
        <w:spacing w:after="120"/>
        <w:rPr>
          <w:rFonts w:ascii="宋体" w:hAnsi="宋体"/>
          <w:color w:val="auto"/>
          <w:szCs w:val="21"/>
          <w:highlight w:val="none"/>
        </w:rPr>
      </w:pPr>
    </w:p>
    <w:p w14:paraId="5C5E0CCD">
      <w:pPr>
        <w:spacing w:line="360" w:lineRule="auto"/>
        <w:ind w:firstLine="3675" w:firstLineChars="1750"/>
        <w:rPr>
          <w:color w:val="auto"/>
          <w:szCs w:val="21"/>
          <w:highlight w:val="none"/>
        </w:rPr>
      </w:pPr>
      <w:r>
        <w:rPr>
          <w:rFonts w:hint="eastAsia"/>
          <w:color w:val="auto"/>
          <w:szCs w:val="21"/>
          <w:highlight w:val="none"/>
        </w:rPr>
        <w:t>响应</w:t>
      </w:r>
      <w:r>
        <w:rPr>
          <w:color w:val="auto"/>
          <w:szCs w:val="21"/>
          <w:highlight w:val="none"/>
        </w:rPr>
        <w:t>人：</w:t>
      </w:r>
      <w:r>
        <w:rPr>
          <w:color w:val="auto"/>
          <w:szCs w:val="21"/>
          <w:highlight w:val="none"/>
          <w:u w:val="single"/>
        </w:rPr>
        <w:t xml:space="preserve">                      </w:t>
      </w:r>
      <w:r>
        <w:rPr>
          <w:color w:val="auto"/>
          <w:szCs w:val="21"/>
          <w:highlight w:val="none"/>
        </w:rPr>
        <w:t>（盖单位公章）</w:t>
      </w:r>
    </w:p>
    <w:p w14:paraId="1F1DF7FB">
      <w:pPr>
        <w:spacing w:line="360" w:lineRule="auto"/>
        <w:ind w:firstLine="3675" w:firstLineChars="1750"/>
        <w:rPr>
          <w:color w:val="auto"/>
          <w:szCs w:val="21"/>
          <w:highlight w:val="none"/>
        </w:rPr>
      </w:pPr>
      <w:r>
        <w:rPr>
          <w:color w:val="auto"/>
          <w:szCs w:val="21"/>
          <w:highlight w:val="none"/>
        </w:rPr>
        <w:t>法定代表人或其委托代理人：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（签字）</w:t>
      </w:r>
    </w:p>
    <w:p w14:paraId="5BBF140D">
      <w:pPr>
        <w:spacing w:line="480" w:lineRule="auto"/>
        <w:rPr>
          <w:rFonts w:ascii="黑体" w:hAnsi="宋体"/>
          <w:color w:val="auto"/>
          <w:highlight w:val="none"/>
        </w:rPr>
      </w:pPr>
      <w:r>
        <w:rPr>
          <w:rFonts w:hint="eastAsia"/>
          <w:color w:val="auto"/>
          <w:szCs w:val="21"/>
          <w:highlight w:val="none"/>
        </w:rPr>
        <w:t xml:space="preserve">                                     </w:t>
      </w:r>
      <w:r>
        <w:rPr>
          <w:rFonts w:hint="eastAsia"/>
          <w:color w:val="auto"/>
          <w:szCs w:val="21"/>
          <w:highlight w:val="none"/>
          <w:u w:val="single"/>
        </w:rPr>
        <w:t xml:space="preserve">        </w:t>
      </w:r>
      <w:r>
        <w:rPr>
          <w:color w:val="auto"/>
          <w:szCs w:val="21"/>
          <w:highlight w:val="none"/>
        </w:rPr>
        <w:t>年</w:t>
      </w:r>
      <w:r>
        <w:rPr>
          <w:rFonts w:hint="eastAsia"/>
          <w:color w:val="auto"/>
          <w:szCs w:val="21"/>
          <w:highlight w:val="none"/>
          <w:u w:val="single"/>
        </w:rPr>
        <w:t xml:space="preserve">        </w:t>
      </w:r>
      <w:r>
        <w:rPr>
          <w:color w:val="auto"/>
          <w:szCs w:val="21"/>
          <w:highlight w:val="none"/>
        </w:rPr>
        <w:t>月</w:t>
      </w:r>
      <w:r>
        <w:rPr>
          <w:rFonts w:hint="eastAsia"/>
          <w:color w:val="auto"/>
          <w:szCs w:val="21"/>
          <w:highlight w:val="none"/>
          <w:u w:val="single"/>
        </w:rPr>
        <w:t xml:space="preserve">      </w:t>
      </w:r>
      <w:r>
        <w:rPr>
          <w:rFonts w:hint="eastAsia"/>
          <w:color w:val="auto"/>
          <w:szCs w:val="21"/>
          <w:highlight w:val="none"/>
        </w:rPr>
        <w:t>日</w:t>
      </w:r>
    </w:p>
    <w:p w14:paraId="4C711595">
      <w:pPr>
        <w:widowControl/>
        <w:jc w:val="left"/>
        <w:rPr>
          <w:color w:val="auto"/>
          <w:szCs w:val="21"/>
          <w:highlight w:val="none"/>
        </w:rPr>
      </w:pPr>
      <w:r>
        <w:rPr>
          <w:color w:val="auto"/>
          <w:szCs w:val="21"/>
          <w:highlight w:val="none"/>
        </w:rPr>
        <w:br w:type="page"/>
      </w:r>
    </w:p>
    <w:p w14:paraId="2955CD52">
      <w:pPr>
        <w:pStyle w:val="3"/>
        <w:jc w:val="center"/>
        <w:rPr>
          <w:rFonts w:ascii="黑体"/>
          <w:color w:val="auto"/>
          <w:highlight w:val="none"/>
        </w:rPr>
      </w:pPr>
      <w:bookmarkStart w:id="202" w:name="_Toc75852781"/>
      <w:r>
        <w:rPr>
          <w:rFonts w:hint="eastAsia" w:ascii="黑体"/>
          <w:color w:val="auto"/>
          <w:highlight w:val="none"/>
        </w:rPr>
        <w:t>九、</w:t>
      </w:r>
      <w:r>
        <w:rPr>
          <w:color w:val="auto"/>
          <w:highlight w:val="none"/>
        </w:rPr>
        <w:fldChar w:fldCharType="begin"/>
      </w:r>
      <w:r>
        <w:rPr>
          <w:color w:val="auto"/>
          <w:highlight w:val="none"/>
        </w:rPr>
        <w:instrText xml:space="preserve"> HYPERLINK \l "_Toc338661813" </w:instrText>
      </w:r>
      <w:r>
        <w:rPr>
          <w:color w:val="auto"/>
          <w:highlight w:val="none"/>
        </w:rPr>
        <w:fldChar w:fldCharType="separate"/>
      </w:r>
      <w:r>
        <w:rPr>
          <w:rFonts w:hint="eastAsia" w:ascii="黑体"/>
          <w:b w:val="0"/>
          <w:color w:val="auto"/>
          <w:highlight w:val="none"/>
        </w:rPr>
        <w:t>技术条款偏离表</w:t>
      </w:r>
      <w:bookmarkEnd w:id="202"/>
      <w:r>
        <w:rPr>
          <w:rFonts w:hint="eastAsia" w:ascii="黑体"/>
          <w:b w:val="0"/>
          <w:color w:val="auto"/>
          <w:highlight w:val="none"/>
        </w:rPr>
        <w:fldChar w:fldCharType="end"/>
      </w:r>
    </w:p>
    <w:p w14:paraId="5BB2949C">
      <w:pPr>
        <w:rPr>
          <w:color w:val="auto"/>
          <w:highlight w:val="none"/>
        </w:rPr>
      </w:pPr>
      <w:r>
        <w:rPr>
          <w:rFonts w:hint="eastAsia"/>
          <w:color w:val="auto"/>
          <w:highlight w:val="none"/>
        </w:rPr>
        <w:t>项目名称：</w:t>
      </w:r>
      <w:r>
        <w:rPr>
          <w:rFonts w:hint="eastAsia"/>
          <w:color w:val="auto"/>
          <w:highlight w:val="none"/>
          <w:u w:val="single"/>
        </w:rPr>
        <w:t xml:space="preserve">                </w:t>
      </w:r>
      <w:r>
        <w:rPr>
          <w:rFonts w:hint="eastAsia"/>
          <w:color w:val="auto"/>
          <w:highlight w:val="none"/>
        </w:rPr>
        <w:t xml:space="preserve">  项目编号：</w:t>
      </w:r>
      <w:r>
        <w:rPr>
          <w:rFonts w:hint="eastAsia"/>
          <w:color w:val="auto"/>
          <w:highlight w:val="none"/>
          <w:u w:val="single"/>
        </w:rPr>
        <w:t xml:space="preserve">               </w:t>
      </w:r>
      <w:r>
        <w:rPr>
          <w:rFonts w:hint="eastAsia"/>
          <w:color w:val="auto"/>
          <w:highlight w:val="none"/>
        </w:rPr>
        <w:t xml:space="preserve"> </w:t>
      </w:r>
    </w:p>
    <w:tbl>
      <w:tblPr>
        <w:tblStyle w:val="37"/>
        <w:tblW w:w="0" w:type="auto"/>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1"/>
        <w:gridCol w:w="1701"/>
        <w:gridCol w:w="2126"/>
        <w:gridCol w:w="2694"/>
        <w:gridCol w:w="1134"/>
      </w:tblGrid>
      <w:tr w14:paraId="21ADF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1" w:type="dxa"/>
            <w:vAlign w:val="center"/>
          </w:tcPr>
          <w:p w14:paraId="6CFC0BFF">
            <w:pPr>
              <w:widowControl/>
              <w:snapToGrid w:val="0"/>
              <w:spacing w:before="156" w:beforeLines="50" w:line="360" w:lineRule="auto"/>
              <w:jc w:val="center"/>
              <w:rPr>
                <w:rFonts w:ascii="宋体" w:hAnsi="宋体"/>
                <w:color w:val="auto"/>
                <w:kern w:val="0"/>
                <w:szCs w:val="21"/>
                <w:highlight w:val="none"/>
              </w:rPr>
            </w:pPr>
            <w:r>
              <w:rPr>
                <w:rFonts w:hint="eastAsia" w:ascii="宋体" w:hAnsi="宋体"/>
                <w:color w:val="auto"/>
                <w:kern w:val="0"/>
                <w:szCs w:val="21"/>
                <w:highlight w:val="none"/>
              </w:rPr>
              <w:t>序号</w:t>
            </w:r>
          </w:p>
        </w:tc>
        <w:tc>
          <w:tcPr>
            <w:tcW w:w="1701" w:type="dxa"/>
            <w:vAlign w:val="center"/>
          </w:tcPr>
          <w:p w14:paraId="1C6521FC">
            <w:pPr>
              <w:widowControl/>
              <w:snapToGrid w:val="0"/>
              <w:spacing w:before="156" w:beforeLines="50" w:line="360" w:lineRule="auto"/>
              <w:jc w:val="center"/>
              <w:rPr>
                <w:rFonts w:ascii="宋体" w:hAnsi="宋体"/>
                <w:color w:val="auto"/>
                <w:kern w:val="0"/>
                <w:szCs w:val="21"/>
                <w:highlight w:val="none"/>
              </w:rPr>
            </w:pPr>
            <w:r>
              <w:rPr>
                <w:rFonts w:hint="eastAsia" w:ascii="宋体" w:hAnsi="宋体"/>
                <w:color w:val="auto"/>
                <w:kern w:val="0"/>
                <w:szCs w:val="21"/>
                <w:highlight w:val="none"/>
              </w:rPr>
              <w:t>竞争性谈判文件条目号</w:t>
            </w:r>
          </w:p>
        </w:tc>
        <w:tc>
          <w:tcPr>
            <w:tcW w:w="2126" w:type="dxa"/>
            <w:vAlign w:val="center"/>
          </w:tcPr>
          <w:p w14:paraId="6ED58D32">
            <w:pPr>
              <w:widowControl/>
              <w:snapToGrid w:val="0"/>
              <w:spacing w:before="156" w:beforeLines="50" w:line="360" w:lineRule="auto"/>
              <w:jc w:val="center"/>
              <w:rPr>
                <w:rFonts w:ascii="宋体" w:hAnsi="宋体"/>
                <w:color w:val="auto"/>
                <w:kern w:val="0"/>
                <w:szCs w:val="21"/>
                <w:highlight w:val="none"/>
              </w:rPr>
            </w:pPr>
            <w:r>
              <w:rPr>
                <w:rFonts w:hint="eastAsia" w:ascii="宋体" w:hAnsi="宋体"/>
                <w:color w:val="auto"/>
                <w:kern w:val="0"/>
                <w:szCs w:val="21"/>
                <w:highlight w:val="none"/>
              </w:rPr>
              <w:t>竞争性谈判文件《用户需求书/技术规范书》的技术条款</w:t>
            </w:r>
          </w:p>
        </w:tc>
        <w:tc>
          <w:tcPr>
            <w:tcW w:w="2694" w:type="dxa"/>
            <w:vAlign w:val="center"/>
          </w:tcPr>
          <w:p w14:paraId="1196B067">
            <w:pPr>
              <w:widowControl/>
              <w:snapToGrid w:val="0"/>
              <w:spacing w:before="156" w:beforeLines="50"/>
              <w:jc w:val="center"/>
              <w:rPr>
                <w:rFonts w:ascii="宋体" w:hAnsi="宋体"/>
                <w:color w:val="auto"/>
                <w:kern w:val="0"/>
                <w:szCs w:val="21"/>
                <w:highlight w:val="none"/>
              </w:rPr>
            </w:pPr>
            <w:r>
              <w:rPr>
                <w:rFonts w:hint="eastAsia" w:ascii="宋体" w:hAnsi="宋体"/>
                <w:color w:val="auto"/>
                <w:kern w:val="0"/>
                <w:szCs w:val="21"/>
                <w:highlight w:val="none"/>
              </w:rPr>
              <w:t>竞争性谈判响应文件偏离情况</w:t>
            </w:r>
          </w:p>
          <w:p w14:paraId="5CFA0EFF">
            <w:pPr>
              <w:widowControl/>
              <w:snapToGrid w:val="0"/>
              <w:spacing w:before="156" w:beforeLines="50" w:line="360" w:lineRule="auto"/>
              <w:jc w:val="center"/>
              <w:rPr>
                <w:rFonts w:ascii="宋体" w:hAnsi="宋体"/>
                <w:color w:val="auto"/>
                <w:kern w:val="0"/>
                <w:szCs w:val="21"/>
                <w:highlight w:val="none"/>
              </w:rPr>
            </w:pPr>
            <w:r>
              <w:rPr>
                <w:rFonts w:hint="eastAsia" w:ascii="宋体" w:hAnsi="宋体"/>
                <w:color w:val="auto"/>
                <w:kern w:val="0"/>
                <w:szCs w:val="21"/>
                <w:highlight w:val="none"/>
              </w:rPr>
              <w:t>（正偏离/负偏离/无偏离）</w:t>
            </w:r>
          </w:p>
        </w:tc>
        <w:tc>
          <w:tcPr>
            <w:tcW w:w="1134" w:type="dxa"/>
            <w:vAlign w:val="center"/>
          </w:tcPr>
          <w:p w14:paraId="001E3398">
            <w:pPr>
              <w:widowControl/>
              <w:snapToGrid w:val="0"/>
              <w:spacing w:before="156" w:beforeLines="50"/>
              <w:jc w:val="center"/>
              <w:rPr>
                <w:rFonts w:ascii="宋体" w:hAnsi="宋体"/>
                <w:color w:val="auto"/>
                <w:kern w:val="0"/>
                <w:szCs w:val="21"/>
                <w:highlight w:val="none"/>
              </w:rPr>
            </w:pPr>
            <w:r>
              <w:rPr>
                <w:rFonts w:hint="eastAsia" w:ascii="宋体" w:hAnsi="宋体"/>
                <w:color w:val="auto"/>
                <w:kern w:val="0"/>
                <w:szCs w:val="21"/>
                <w:highlight w:val="none"/>
              </w:rPr>
              <w:t>说明</w:t>
            </w:r>
          </w:p>
        </w:tc>
      </w:tr>
      <w:tr w14:paraId="39A1B7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7" w:hRule="atLeast"/>
        </w:trPr>
        <w:tc>
          <w:tcPr>
            <w:tcW w:w="851" w:type="dxa"/>
            <w:vAlign w:val="center"/>
          </w:tcPr>
          <w:p w14:paraId="29113788">
            <w:pPr>
              <w:widowControl/>
              <w:snapToGrid w:val="0"/>
              <w:spacing w:before="156" w:beforeLines="50" w:line="360" w:lineRule="auto"/>
              <w:jc w:val="center"/>
              <w:rPr>
                <w:rFonts w:ascii="宋体" w:hAnsi="宋体"/>
                <w:color w:val="auto"/>
                <w:kern w:val="0"/>
                <w:szCs w:val="21"/>
                <w:highlight w:val="none"/>
              </w:rPr>
            </w:pPr>
          </w:p>
        </w:tc>
        <w:tc>
          <w:tcPr>
            <w:tcW w:w="1701" w:type="dxa"/>
            <w:vAlign w:val="center"/>
          </w:tcPr>
          <w:p w14:paraId="148C2DDB">
            <w:pPr>
              <w:widowControl/>
              <w:snapToGrid w:val="0"/>
              <w:spacing w:before="156" w:beforeLines="50" w:line="360" w:lineRule="auto"/>
              <w:jc w:val="center"/>
              <w:rPr>
                <w:rFonts w:ascii="宋体" w:hAnsi="宋体"/>
                <w:color w:val="auto"/>
                <w:kern w:val="0"/>
                <w:szCs w:val="21"/>
                <w:highlight w:val="none"/>
              </w:rPr>
            </w:pPr>
          </w:p>
        </w:tc>
        <w:tc>
          <w:tcPr>
            <w:tcW w:w="2126" w:type="dxa"/>
            <w:vAlign w:val="center"/>
          </w:tcPr>
          <w:p w14:paraId="60C7EF0B">
            <w:pPr>
              <w:widowControl/>
              <w:snapToGrid w:val="0"/>
              <w:spacing w:before="156" w:beforeLines="50" w:line="360" w:lineRule="auto"/>
              <w:jc w:val="center"/>
              <w:rPr>
                <w:rFonts w:ascii="宋体" w:hAnsi="宋体"/>
                <w:color w:val="auto"/>
                <w:kern w:val="0"/>
                <w:szCs w:val="21"/>
                <w:highlight w:val="none"/>
              </w:rPr>
            </w:pPr>
          </w:p>
        </w:tc>
        <w:tc>
          <w:tcPr>
            <w:tcW w:w="2694" w:type="dxa"/>
            <w:vAlign w:val="center"/>
          </w:tcPr>
          <w:p w14:paraId="712A5395">
            <w:pPr>
              <w:widowControl/>
              <w:snapToGrid w:val="0"/>
              <w:spacing w:before="156" w:beforeLines="50"/>
              <w:jc w:val="center"/>
              <w:rPr>
                <w:rFonts w:ascii="宋体" w:hAnsi="宋体"/>
                <w:color w:val="auto"/>
                <w:kern w:val="0"/>
                <w:szCs w:val="21"/>
                <w:highlight w:val="none"/>
              </w:rPr>
            </w:pPr>
          </w:p>
        </w:tc>
        <w:tc>
          <w:tcPr>
            <w:tcW w:w="1134" w:type="dxa"/>
            <w:vAlign w:val="center"/>
          </w:tcPr>
          <w:p w14:paraId="7FD56C1E">
            <w:pPr>
              <w:widowControl/>
              <w:snapToGrid w:val="0"/>
              <w:spacing w:before="156" w:beforeLines="50"/>
              <w:jc w:val="center"/>
              <w:rPr>
                <w:rFonts w:ascii="宋体" w:hAnsi="宋体"/>
                <w:color w:val="auto"/>
                <w:kern w:val="0"/>
                <w:szCs w:val="21"/>
                <w:highlight w:val="none"/>
              </w:rPr>
            </w:pPr>
          </w:p>
        </w:tc>
      </w:tr>
      <w:tr w14:paraId="41FAA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7" w:hRule="atLeast"/>
        </w:trPr>
        <w:tc>
          <w:tcPr>
            <w:tcW w:w="851" w:type="dxa"/>
            <w:vAlign w:val="center"/>
          </w:tcPr>
          <w:p w14:paraId="0C152BE3">
            <w:pPr>
              <w:widowControl/>
              <w:snapToGrid w:val="0"/>
              <w:spacing w:before="156" w:beforeLines="50" w:line="360" w:lineRule="auto"/>
              <w:jc w:val="center"/>
              <w:rPr>
                <w:rFonts w:ascii="宋体" w:hAnsi="宋体"/>
                <w:color w:val="auto"/>
                <w:kern w:val="0"/>
                <w:szCs w:val="21"/>
                <w:highlight w:val="none"/>
              </w:rPr>
            </w:pPr>
          </w:p>
        </w:tc>
        <w:tc>
          <w:tcPr>
            <w:tcW w:w="1701" w:type="dxa"/>
            <w:vAlign w:val="center"/>
          </w:tcPr>
          <w:p w14:paraId="234152F9">
            <w:pPr>
              <w:widowControl/>
              <w:snapToGrid w:val="0"/>
              <w:spacing w:before="156" w:beforeLines="50" w:line="360" w:lineRule="auto"/>
              <w:jc w:val="center"/>
              <w:rPr>
                <w:rFonts w:ascii="宋体" w:hAnsi="宋体"/>
                <w:color w:val="auto"/>
                <w:kern w:val="0"/>
                <w:szCs w:val="21"/>
                <w:highlight w:val="none"/>
              </w:rPr>
            </w:pPr>
          </w:p>
        </w:tc>
        <w:tc>
          <w:tcPr>
            <w:tcW w:w="2126" w:type="dxa"/>
            <w:vAlign w:val="center"/>
          </w:tcPr>
          <w:p w14:paraId="1C18D414">
            <w:pPr>
              <w:widowControl/>
              <w:snapToGrid w:val="0"/>
              <w:spacing w:before="156" w:beforeLines="50" w:line="360" w:lineRule="auto"/>
              <w:jc w:val="center"/>
              <w:rPr>
                <w:rFonts w:ascii="宋体" w:hAnsi="宋体"/>
                <w:color w:val="auto"/>
                <w:kern w:val="0"/>
                <w:szCs w:val="21"/>
                <w:highlight w:val="none"/>
              </w:rPr>
            </w:pPr>
          </w:p>
        </w:tc>
        <w:tc>
          <w:tcPr>
            <w:tcW w:w="2694" w:type="dxa"/>
            <w:vAlign w:val="center"/>
          </w:tcPr>
          <w:p w14:paraId="7F8CD0E3">
            <w:pPr>
              <w:widowControl/>
              <w:snapToGrid w:val="0"/>
              <w:spacing w:before="156" w:beforeLines="50"/>
              <w:jc w:val="center"/>
              <w:rPr>
                <w:rFonts w:ascii="宋体" w:hAnsi="宋体"/>
                <w:color w:val="auto"/>
                <w:kern w:val="0"/>
                <w:szCs w:val="21"/>
                <w:highlight w:val="none"/>
              </w:rPr>
            </w:pPr>
          </w:p>
        </w:tc>
        <w:tc>
          <w:tcPr>
            <w:tcW w:w="1134" w:type="dxa"/>
            <w:vAlign w:val="center"/>
          </w:tcPr>
          <w:p w14:paraId="58369B8F">
            <w:pPr>
              <w:widowControl/>
              <w:snapToGrid w:val="0"/>
              <w:spacing w:before="156" w:beforeLines="50"/>
              <w:jc w:val="center"/>
              <w:rPr>
                <w:rFonts w:ascii="宋体" w:hAnsi="宋体"/>
                <w:color w:val="auto"/>
                <w:kern w:val="0"/>
                <w:szCs w:val="21"/>
                <w:highlight w:val="none"/>
              </w:rPr>
            </w:pPr>
          </w:p>
        </w:tc>
      </w:tr>
      <w:tr w14:paraId="1B84E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7" w:hRule="atLeast"/>
        </w:trPr>
        <w:tc>
          <w:tcPr>
            <w:tcW w:w="851" w:type="dxa"/>
            <w:vAlign w:val="center"/>
          </w:tcPr>
          <w:p w14:paraId="485773F2">
            <w:pPr>
              <w:widowControl/>
              <w:snapToGrid w:val="0"/>
              <w:spacing w:before="156" w:beforeLines="50" w:line="360" w:lineRule="auto"/>
              <w:jc w:val="center"/>
              <w:rPr>
                <w:rFonts w:ascii="宋体" w:hAnsi="宋体"/>
                <w:color w:val="auto"/>
                <w:kern w:val="0"/>
                <w:szCs w:val="21"/>
                <w:highlight w:val="none"/>
              </w:rPr>
            </w:pPr>
          </w:p>
        </w:tc>
        <w:tc>
          <w:tcPr>
            <w:tcW w:w="1701" w:type="dxa"/>
            <w:vAlign w:val="center"/>
          </w:tcPr>
          <w:p w14:paraId="5E07F77C">
            <w:pPr>
              <w:widowControl/>
              <w:snapToGrid w:val="0"/>
              <w:spacing w:before="156" w:beforeLines="50" w:line="360" w:lineRule="auto"/>
              <w:jc w:val="center"/>
              <w:rPr>
                <w:rFonts w:ascii="宋体" w:hAnsi="宋体"/>
                <w:color w:val="auto"/>
                <w:kern w:val="0"/>
                <w:szCs w:val="21"/>
                <w:highlight w:val="none"/>
              </w:rPr>
            </w:pPr>
          </w:p>
        </w:tc>
        <w:tc>
          <w:tcPr>
            <w:tcW w:w="2126" w:type="dxa"/>
            <w:vAlign w:val="center"/>
          </w:tcPr>
          <w:p w14:paraId="72AE3173">
            <w:pPr>
              <w:widowControl/>
              <w:snapToGrid w:val="0"/>
              <w:spacing w:before="156" w:beforeLines="50" w:line="360" w:lineRule="auto"/>
              <w:jc w:val="center"/>
              <w:rPr>
                <w:rFonts w:ascii="宋体" w:hAnsi="宋体"/>
                <w:color w:val="auto"/>
                <w:kern w:val="0"/>
                <w:szCs w:val="21"/>
                <w:highlight w:val="none"/>
              </w:rPr>
            </w:pPr>
          </w:p>
        </w:tc>
        <w:tc>
          <w:tcPr>
            <w:tcW w:w="2694" w:type="dxa"/>
            <w:vAlign w:val="center"/>
          </w:tcPr>
          <w:p w14:paraId="1FAC0E14">
            <w:pPr>
              <w:widowControl/>
              <w:snapToGrid w:val="0"/>
              <w:spacing w:before="156" w:beforeLines="50"/>
              <w:jc w:val="center"/>
              <w:rPr>
                <w:rFonts w:ascii="宋体" w:hAnsi="宋体"/>
                <w:color w:val="auto"/>
                <w:kern w:val="0"/>
                <w:szCs w:val="21"/>
                <w:highlight w:val="none"/>
              </w:rPr>
            </w:pPr>
          </w:p>
        </w:tc>
        <w:tc>
          <w:tcPr>
            <w:tcW w:w="1134" w:type="dxa"/>
            <w:vAlign w:val="center"/>
          </w:tcPr>
          <w:p w14:paraId="26A4CE23">
            <w:pPr>
              <w:widowControl/>
              <w:snapToGrid w:val="0"/>
              <w:spacing w:before="156" w:beforeLines="50"/>
              <w:jc w:val="center"/>
              <w:rPr>
                <w:rFonts w:ascii="宋体" w:hAnsi="宋体"/>
                <w:color w:val="auto"/>
                <w:kern w:val="0"/>
                <w:szCs w:val="21"/>
                <w:highlight w:val="none"/>
              </w:rPr>
            </w:pPr>
          </w:p>
        </w:tc>
      </w:tr>
    </w:tbl>
    <w:p w14:paraId="54FA382E">
      <w:pPr>
        <w:spacing w:line="440" w:lineRule="exact"/>
        <w:ind w:firstLine="420" w:firstLineChars="200"/>
        <w:jc w:val="left"/>
        <w:rPr>
          <w:rFonts w:ascii="宋体" w:hAnsi="宋体"/>
          <w:color w:val="auto"/>
          <w:szCs w:val="21"/>
          <w:highlight w:val="none"/>
        </w:rPr>
      </w:pPr>
      <w:r>
        <w:rPr>
          <w:rFonts w:hint="eastAsia" w:ascii="宋体" w:hAnsi="宋体"/>
          <w:color w:val="auto"/>
          <w:szCs w:val="21"/>
          <w:highlight w:val="none"/>
        </w:rPr>
        <w:t>注：1.响应人应当逐条对照</w:t>
      </w:r>
      <w:r>
        <w:rPr>
          <w:rFonts w:hint="eastAsia" w:ascii="宋体" w:hAnsi="宋体"/>
          <w:color w:val="auto"/>
          <w:kern w:val="0"/>
          <w:szCs w:val="21"/>
          <w:highlight w:val="none"/>
        </w:rPr>
        <w:t>竞争性谈判文件《用户需求书/技术规范书》的技术条款</w:t>
      </w:r>
      <w:r>
        <w:rPr>
          <w:rFonts w:hint="eastAsia" w:ascii="宋体" w:hAnsi="宋体"/>
          <w:color w:val="auto"/>
          <w:szCs w:val="21"/>
          <w:highlight w:val="none"/>
        </w:rPr>
        <w:t>，就竞争性谈判响应文件对技术条款存在的偏差与例外逐条做出说明；</w:t>
      </w:r>
    </w:p>
    <w:p w14:paraId="1E4A25EA">
      <w:pPr>
        <w:spacing w:line="44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2.如竞争性谈判响应文件对技术条款无任何偏差，响应人仅需在本偏离表中填写“无偏离”即可。</w:t>
      </w:r>
    </w:p>
    <w:p w14:paraId="1D9D3663">
      <w:pPr>
        <w:spacing w:after="120"/>
        <w:rPr>
          <w:rFonts w:ascii="宋体" w:hAnsi="宋体"/>
          <w:color w:val="auto"/>
          <w:szCs w:val="21"/>
          <w:highlight w:val="none"/>
        </w:rPr>
      </w:pPr>
    </w:p>
    <w:p w14:paraId="333C262B">
      <w:pPr>
        <w:spacing w:line="360" w:lineRule="auto"/>
        <w:ind w:firstLine="3675" w:firstLineChars="1750"/>
        <w:rPr>
          <w:color w:val="auto"/>
          <w:szCs w:val="21"/>
          <w:highlight w:val="none"/>
        </w:rPr>
      </w:pPr>
      <w:r>
        <w:rPr>
          <w:rFonts w:hint="eastAsia"/>
          <w:color w:val="auto"/>
          <w:szCs w:val="21"/>
          <w:highlight w:val="none"/>
        </w:rPr>
        <w:t>响应</w:t>
      </w:r>
      <w:r>
        <w:rPr>
          <w:color w:val="auto"/>
          <w:szCs w:val="21"/>
          <w:highlight w:val="none"/>
        </w:rPr>
        <w:t>人：</w:t>
      </w:r>
      <w:r>
        <w:rPr>
          <w:color w:val="auto"/>
          <w:szCs w:val="21"/>
          <w:highlight w:val="none"/>
          <w:u w:val="single"/>
        </w:rPr>
        <w:t xml:space="preserve">                      </w:t>
      </w:r>
      <w:r>
        <w:rPr>
          <w:color w:val="auto"/>
          <w:szCs w:val="21"/>
          <w:highlight w:val="none"/>
        </w:rPr>
        <w:t>（盖单位公章）</w:t>
      </w:r>
    </w:p>
    <w:p w14:paraId="25910DEC">
      <w:pPr>
        <w:spacing w:line="360" w:lineRule="auto"/>
        <w:ind w:firstLine="3675" w:firstLineChars="1750"/>
        <w:rPr>
          <w:color w:val="auto"/>
          <w:szCs w:val="21"/>
          <w:highlight w:val="none"/>
        </w:rPr>
      </w:pPr>
      <w:r>
        <w:rPr>
          <w:color w:val="auto"/>
          <w:szCs w:val="21"/>
          <w:highlight w:val="none"/>
        </w:rPr>
        <w:t>法定代表人或其委托代理人：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（签字）</w:t>
      </w:r>
    </w:p>
    <w:p w14:paraId="48CFE974">
      <w:pPr>
        <w:spacing w:line="480" w:lineRule="auto"/>
        <w:rPr>
          <w:rFonts w:ascii="黑体" w:hAnsi="宋体"/>
          <w:color w:val="auto"/>
          <w:highlight w:val="none"/>
        </w:rPr>
      </w:pPr>
      <w:r>
        <w:rPr>
          <w:rFonts w:hint="eastAsia"/>
          <w:color w:val="auto"/>
          <w:szCs w:val="21"/>
          <w:highlight w:val="none"/>
        </w:rPr>
        <w:t xml:space="preserve">                                     </w:t>
      </w:r>
      <w:r>
        <w:rPr>
          <w:rFonts w:hint="eastAsia"/>
          <w:color w:val="auto"/>
          <w:szCs w:val="21"/>
          <w:highlight w:val="none"/>
          <w:u w:val="single"/>
        </w:rPr>
        <w:t xml:space="preserve">        </w:t>
      </w:r>
      <w:r>
        <w:rPr>
          <w:color w:val="auto"/>
          <w:szCs w:val="21"/>
          <w:highlight w:val="none"/>
        </w:rPr>
        <w:t>年</w:t>
      </w:r>
      <w:r>
        <w:rPr>
          <w:rFonts w:hint="eastAsia"/>
          <w:color w:val="auto"/>
          <w:szCs w:val="21"/>
          <w:highlight w:val="none"/>
          <w:u w:val="single"/>
        </w:rPr>
        <w:t xml:space="preserve">        </w:t>
      </w:r>
      <w:r>
        <w:rPr>
          <w:color w:val="auto"/>
          <w:szCs w:val="21"/>
          <w:highlight w:val="none"/>
        </w:rPr>
        <w:t>月</w:t>
      </w:r>
      <w:r>
        <w:rPr>
          <w:rFonts w:hint="eastAsia"/>
          <w:color w:val="auto"/>
          <w:szCs w:val="21"/>
          <w:highlight w:val="none"/>
          <w:u w:val="single"/>
        </w:rPr>
        <w:t xml:space="preserve">      </w:t>
      </w:r>
      <w:r>
        <w:rPr>
          <w:rFonts w:hint="eastAsia"/>
          <w:color w:val="auto"/>
          <w:szCs w:val="21"/>
          <w:highlight w:val="none"/>
        </w:rPr>
        <w:t>日</w:t>
      </w:r>
    </w:p>
    <w:p w14:paraId="6B3BF55C">
      <w:pPr>
        <w:pStyle w:val="3"/>
        <w:spacing w:before="0"/>
        <w:jc w:val="center"/>
        <w:rPr>
          <w:color w:val="auto"/>
          <w:highlight w:val="none"/>
        </w:rPr>
        <w:sectPr>
          <w:pgSz w:w="11906" w:h="16838"/>
          <w:pgMar w:top="1418" w:right="1800" w:bottom="1440" w:left="1800" w:header="851" w:footer="992" w:gutter="0"/>
          <w:cols w:space="720" w:num="1"/>
          <w:docGrid w:type="lines" w:linePitch="312" w:charSpace="0"/>
        </w:sectPr>
      </w:pPr>
    </w:p>
    <w:p w14:paraId="7640ABAD">
      <w:pPr>
        <w:pStyle w:val="3"/>
        <w:jc w:val="center"/>
        <w:rPr>
          <w:color w:val="auto"/>
          <w:highlight w:val="none"/>
        </w:rPr>
      </w:pPr>
      <w:bookmarkStart w:id="203" w:name="_Toc338669161"/>
      <w:bookmarkStart w:id="204" w:name="_Toc179632827"/>
      <w:bookmarkStart w:id="205" w:name="_Toc246997115"/>
      <w:bookmarkStart w:id="206" w:name="_Toc152042596"/>
      <w:bookmarkStart w:id="207" w:name="_Toc247085890"/>
      <w:bookmarkStart w:id="208" w:name="_Toc75852782"/>
      <w:bookmarkStart w:id="209" w:name="_Toc246996372"/>
      <w:bookmarkStart w:id="210" w:name="_Toc152045807"/>
      <w:bookmarkStart w:id="211" w:name="_Toc486425440"/>
      <w:bookmarkStart w:id="212" w:name="_Toc144974875"/>
      <w:r>
        <w:rPr>
          <w:rFonts w:hint="eastAsia"/>
          <w:color w:val="auto"/>
          <w:highlight w:val="none"/>
        </w:rPr>
        <w:t>十</w:t>
      </w:r>
      <w:r>
        <w:rPr>
          <w:color w:val="auto"/>
          <w:highlight w:val="none"/>
        </w:rPr>
        <w:t>、资格审查资料</w:t>
      </w:r>
      <w:bookmarkEnd w:id="203"/>
      <w:bookmarkEnd w:id="204"/>
      <w:bookmarkEnd w:id="205"/>
      <w:bookmarkEnd w:id="206"/>
      <w:bookmarkEnd w:id="207"/>
      <w:bookmarkEnd w:id="208"/>
      <w:bookmarkEnd w:id="209"/>
      <w:bookmarkEnd w:id="210"/>
      <w:bookmarkEnd w:id="211"/>
      <w:bookmarkEnd w:id="212"/>
    </w:p>
    <w:p w14:paraId="504A0B2C">
      <w:pPr>
        <w:widowControl/>
        <w:jc w:val="left"/>
        <w:rPr>
          <w:rFonts w:hint="default"/>
          <w:color w:val="auto"/>
          <w:sz w:val="24"/>
          <w:szCs w:val="24"/>
          <w:highlight w:val="none"/>
          <w:lang w:val="en-US" w:eastAsia="zh-CN"/>
        </w:rPr>
      </w:pPr>
      <w:r>
        <w:rPr>
          <w:rFonts w:hint="eastAsia"/>
          <w:color w:val="auto"/>
          <w:sz w:val="24"/>
          <w:szCs w:val="24"/>
          <w:highlight w:val="none"/>
          <w:lang w:val="en-US" w:eastAsia="zh-CN"/>
        </w:rPr>
        <w:t>如下只作为参考，格式自拟：</w:t>
      </w:r>
    </w:p>
    <w:p w14:paraId="61A77084">
      <w:pPr>
        <w:widowControl/>
        <w:jc w:val="left"/>
        <w:rPr>
          <w:rFonts w:hint="eastAsia"/>
          <w:color w:val="auto"/>
          <w:sz w:val="24"/>
          <w:szCs w:val="24"/>
          <w:highlight w:val="none"/>
          <w:lang w:val="en-US" w:eastAsia="zh-CN"/>
        </w:rPr>
      </w:pPr>
      <w:r>
        <w:rPr>
          <w:rFonts w:hint="eastAsia"/>
          <w:color w:val="auto"/>
          <w:sz w:val="24"/>
          <w:szCs w:val="24"/>
          <w:highlight w:val="none"/>
          <w:lang w:val="en-US" w:eastAsia="zh-CN"/>
        </w:rPr>
        <w:t>1、营业执照</w:t>
      </w:r>
    </w:p>
    <w:p w14:paraId="5A623074">
      <w:pPr>
        <w:widowControl/>
        <w:jc w:val="left"/>
        <w:rPr>
          <w:rFonts w:hint="eastAsia"/>
          <w:color w:val="auto"/>
          <w:sz w:val="24"/>
          <w:szCs w:val="24"/>
          <w:highlight w:val="none"/>
          <w:lang w:val="en-US" w:eastAsia="zh-CN"/>
        </w:rPr>
      </w:pPr>
      <w:r>
        <w:rPr>
          <w:rFonts w:hint="eastAsia"/>
          <w:color w:val="auto"/>
          <w:sz w:val="24"/>
          <w:szCs w:val="24"/>
          <w:highlight w:val="none"/>
          <w:lang w:val="en-US" w:eastAsia="zh-CN"/>
        </w:rPr>
        <w:t>2、资质要求</w:t>
      </w:r>
    </w:p>
    <w:p w14:paraId="0996E495">
      <w:pPr>
        <w:numPr>
          <w:ilvl w:val="0"/>
          <w:numId w:val="0"/>
        </w:numPr>
        <w:spacing w:line="400" w:lineRule="exact"/>
        <w:ind w:left="426" w:leftChars="0"/>
        <w:rPr>
          <w:rFonts w:ascii="宋体"/>
          <w:color w:val="auto"/>
          <w:szCs w:val="21"/>
          <w:highlight w:val="none"/>
        </w:rPr>
      </w:pPr>
      <w:r>
        <w:rPr>
          <w:rFonts w:hint="eastAsia" w:ascii="宋体" w:hAnsi="宋体"/>
          <w:color w:val="auto"/>
          <w:szCs w:val="21"/>
          <w:highlight w:val="none"/>
        </w:rPr>
        <w:t>响应人须具备</w:t>
      </w:r>
      <w:r>
        <w:rPr>
          <w:rFonts w:ascii="宋体" w:hAnsi="宋体"/>
          <w:color w:val="auto"/>
          <w:szCs w:val="21"/>
          <w:highlight w:val="none"/>
          <w:u w:val="single"/>
        </w:rPr>
        <w:t xml:space="preserve"> 住房和城乡建设主管部门 </w:t>
      </w:r>
      <w:r>
        <w:rPr>
          <w:rFonts w:hint="eastAsia" w:ascii="宋体" w:hAnsi="宋体"/>
          <w:color w:val="auto"/>
          <w:szCs w:val="21"/>
          <w:highlight w:val="none"/>
        </w:rPr>
        <w:t>颁发的</w:t>
      </w:r>
      <w:r>
        <w:rPr>
          <w:rFonts w:ascii="宋体" w:hAnsi="宋体"/>
          <w:color w:val="auto"/>
          <w:szCs w:val="21"/>
          <w:highlight w:val="none"/>
          <w:u w:val="single"/>
        </w:rPr>
        <w:t xml:space="preserve"> </w:t>
      </w:r>
      <w:r>
        <w:rPr>
          <w:rFonts w:hint="eastAsia" w:ascii="宋体" w:hAnsi="宋体" w:cs="Times New Roman"/>
          <w:color w:val="auto"/>
          <w:szCs w:val="21"/>
          <w:highlight w:val="none"/>
          <w:u w:val="single"/>
        </w:rPr>
        <w:t>特种工程专业承包（结构补强）（不分等级）</w:t>
      </w:r>
      <w:r>
        <w:rPr>
          <w:rFonts w:ascii="宋体" w:hAnsi="宋体"/>
          <w:color w:val="auto"/>
          <w:szCs w:val="21"/>
          <w:highlight w:val="none"/>
          <w:u w:val="single"/>
        </w:rPr>
        <w:t xml:space="preserve"> </w:t>
      </w:r>
      <w:r>
        <w:rPr>
          <w:rFonts w:hint="eastAsia" w:ascii="宋体" w:hAnsi="宋体"/>
          <w:color w:val="auto"/>
          <w:szCs w:val="21"/>
          <w:highlight w:val="none"/>
        </w:rPr>
        <w:t>资质且在有效期内。【提供资质证书复印件（加盖公章）】</w:t>
      </w:r>
    </w:p>
    <w:p w14:paraId="22ADBEBE">
      <w:pPr>
        <w:widowControl/>
        <w:numPr>
          <w:ilvl w:val="0"/>
          <w:numId w:val="5"/>
        </w:numPr>
        <w:jc w:val="left"/>
        <w:rPr>
          <w:rFonts w:hint="eastAsia"/>
          <w:color w:val="auto"/>
          <w:sz w:val="24"/>
          <w:szCs w:val="24"/>
          <w:highlight w:val="none"/>
          <w:lang w:val="en-US" w:eastAsia="zh-CN"/>
        </w:rPr>
      </w:pPr>
      <w:r>
        <w:rPr>
          <w:rFonts w:hint="eastAsia"/>
          <w:color w:val="auto"/>
          <w:sz w:val="24"/>
          <w:szCs w:val="24"/>
          <w:highlight w:val="none"/>
          <w:lang w:val="en-US" w:eastAsia="zh-CN"/>
        </w:rPr>
        <w:t>业绩要求</w:t>
      </w:r>
    </w:p>
    <w:p w14:paraId="512691CB">
      <w:pPr>
        <w:numPr>
          <w:ilvl w:val="0"/>
          <w:numId w:val="0"/>
        </w:numPr>
        <w:spacing w:line="400" w:lineRule="exact"/>
        <w:ind w:left="426" w:leftChars="0"/>
        <w:rPr>
          <w:rFonts w:ascii="宋体"/>
          <w:color w:val="auto"/>
          <w:szCs w:val="21"/>
          <w:highlight w:val="none"/>
        </w:rPr>
      </w:pPr>
      <w:r>
        <w:rPr>
          <w:rFonts w:hint="eastAsia"/>
          <w:color w:val="auto"/>
          <w:szCs w:val="21"/>
          <w:highlight w:val="none"/>
        </w:rPr>
        <w:t>具备</w:t>
      </w:r>
      <w:r>
        <w:rPr>
          <w:color w:val="auto"/>
          <w:szCs w:val="21"/>
          <w:highlight w:val="none"/>
          <w:u w:val="single"/>
        </w:rPr>
        <w:t xml:space="preserve"> </w:t>
      </w:r>
      <w:r>
        <w:rPr>
          <w:rFonts w:hint="eastAsia"/>
          <w:color w:val="auto"/>
          <w:szCs w:val="21"/>
          <w:highlight w:val="none"/>
          <w:u w:val="single"/>
        </w:rPr>
        <w:t>结构加固</w:t>
      </w:r>
      <w:r>
        <w:rPr>
          <w:color w:val="auto"/>
          <w:szCs w:val="21"/>
          <w:highlight w:val="none"/>
          <w:u w:val="single"/>
        </w:rPr>
        <w:t xml:space="preserve">  </w:t>
      </w:r>
      <w:r>
        <w:rPr>
          <w:rFonts w:hint="eastAsia"/>
          <w:color w:val="auto"/>
          <w:szCs w:val="21"/>
          <w:highlight w:val="none"/>
        </w:rPr>
        <w:t>项目经验，要求</w:t>
      </w:r>
      <w:r>
        <w:rPr>
          <w:color w:val="auto"/>
          <w:szCs w:val="21"/>
          <w:highlight w:val="none"/>
          <w:u w:val="single"/>
        </w:rPr>
        <w:t xml:space="preserve"> </w:t>
      </w:r>
      <w:r>
        <w:rPr>
          <w:rFonts w:hint="eastAsia"/>
          <w:color w:val="auto"/>
          <w:szCs w:val="21"/>
          <w:highlight w:val="none"/>
          <w:u w:val="single"/>
          <w:lang w:val="en-US" w:eastAsia="zh-CN"/>
        </w:rPr>
        <w:t>2020</w:t>
      </w:r>
      <w:r>
        <w:rPr>
          <w:color w:val="auto"/>
          <w:szCs w:val="21"/>
          <w:highlight w:val="none"/>
          <w:u w:val="single"/>
        </w:rPr>
        <w:t xml:space="preserve"> </w:t>
      </w:r>
      <w:r>
        <w:rPr>
          <w:rFonts w:hint="eastAsia"/>
          <w:color w:val="auto"/>
          <w:szCs w:val="21"/>
          <w:highlight w:val="none"/>
        </w:rPr>
        <w:t>年</w:t>
      </w:r>
      <w:r>
        <w:rPr>
          <w:color w:val="auto"/>
          <w:szCs w:val="21"/>
          <w:highlight w:val="none"/>
          <w:u w:val="single"/>
        </w:rPr>
        <w:t xml:space="preserve"> </w:t>
      </w:r>
      <w:r>
        <w:rPr>
          <w:rFonts w:hint="eastAsia"/>
          <w:color w:val="auto"/>
          <w:szCs w:val="21"/>
          <w:highlight w:val="none"/>
          <w:u w:val="single"/>
          <w:lang w:val="en-US" w:eastAsia="zh-CN"/>
        </w:rPr>
        <w:t>1</w:t>
      </w:r>
      <w:r>
        <w:rPr>
          <w:color w:val="auto"/>
          <w:szCs w:val="21"/>
          <w:highlight w:val="none"/>
          <w:u w:val="single"/>
        </w:rPr>
        <w:t xml:space="preserve">  </w:t>
      </w:r>
      <w:r>
        <w:rPr>
          <w:rFonts w:hint="eastAsia"/>
          <w:color w:val="auto"/>
          <w:szCs w:val="21"/>
          <w:highlight w:val="none"/>
        </w:rPr>
        <w:t>月</w:t>
      </w:r>
      <w:r>
        <w:rPr>
          <w:color w:val="auto"/>
          <w:szCs w:val="21"/>
          <w:highlight w:val="none"/>
          <w:u w:val="single"/>
        </w:rPr>
        <w:t xml:space="preserve"> </w:t>
      </w:r>
      <w:r>
        <w:rPr>
          <w:rFonts w:hint="eastAsia"/>
          <w:color w:val="auto"/>
          <w:szCs w:val="21"/>
          <w:highlight w:val="none"/>
          <w:u w:val="single"/>
          <w:lang w:val="en-US" w:eastAsia="zh-CN"/>
        </w:rPr>
        <w:t>1</w:t>
      </w:r>
      <w:r>
        <w:rPr>
          <w:color w:val="auto"/>
          <w:szCs w:val="21"/>
          <w:highlight w:val="none"/>
          <w:u w:val="single"/>
        </w:rPr>
        <w:t xml:space="preserve"> </w:t>
      </w:r>
      <w:r>
        <w:rPr>
          <w:rFonts w:hint="eastAsia"/>
          <w:color w:val="auto"/>
          <w:szCs w:val="21"/>
          <w:highlight w:val="none"/>
        </w:rPr>
        <w:t>日起至</w:t>
      </w:r>
      <w:r>
        <w:rPr>
          <w:rFonts w:hint="eastAsia"/>
          <w:color w:val="auto"/>
          <w:szCs w:val="21"/>
          <w:highlight w:val="none"/>
          <w:u w:val="single"/>
          <w:lang w:val="en-US" w:eastAsia="zh-CN"/>
        </w:rPr>
        <w:t>今</w:t>
      </w:r>
      <w:r>
        <w:rPr>
          <w:rFonts w:hint="eastAsia"/>
          <w:color w:val="auto"/>
          <w:szCs w:val="21"/>
          <w:highlight w:val="none"/>
        </w:rPr>
        <w:t>，完成至少</w:t>
      </w:r>
      <w:r>
        <w:rPr>
          <w:color w:val="auto"/>
          <w:szCs w:val="21"/>
          <w:highlight w:val="none"/>
        </w:rPr>
        <w:t>1</w:t>
      </w:r>
      <w:r>
        <w:rPr>
          <w:rFonts w:hint="eastAsia"/>
          <w:color w:val="auto"/>
          <w:szCs w:val="21"/>
          <w:highlight w:val="none"/>
        </w:rPr>
        <w:t>个</w:t>
      </w:r>
      <w:r>
        <w:rPr>
          <w:color w:val="auto"/>
          <w:szCs w:val="21"/>
          <w:highlight w:val="none"/>
          <w:u w:val="single"/>
        </w:rPr>
        <w:t xml:space="preserve">  </w:t>
      </w:r>
      <w:r>
        <w:rPr>
          <w:rFonts w:hint="eastAsia"/>
          <w:color w:val="auto"/>
          <w:szCs w:val="21"/>
          <w:highlight w:val="none"/>
          <w:u w:val="single"/>
        </w:rPr>
        <w:t>结构加固</w:t>
      </w:r>
      <w:r>
        <w:rPr>
          <w:color w:val="auto"/>
          <w:szCs w:val="21"/>
          <w:highlight w:val="none"/>
          <w:u w:val="single"/>
        </w:rPr>
        <w:t xml:space="preserve">  </w:t>
      </w:r>
      <w:r>
        <w:rPr>
          <w:rFonts w:hint="eastAsia"/>
          <w:color w:val="auto"/>
          <w:szCs w:val="21"/>
          <w:highlight w:val="none"/>
        </w:rPr>
        <w:t>业绩</w:t>
      </w:r>
      <w:r>
        <w:rPr>
          <w:rFonts w:hint="eastAsia"/>
          <w:color w:val="auto"/>
          <w:szCs w:val="21"/>
          <w:highlight w:val="none"/>
          <w:lang w:eastAsia="zh-CN"/>
        </w:rPr>
        <w:t>，</w:t>
      </w:r>
      <w:r>
        <w:rPr>
          <w:rFonts w:hint="eastAsia"/>
          <w:color w:val="auto"/>
          <w:szCs w:val="21"/>
          <w:highlight w:val="none"/>
          <w:lang w:val="en-US" w:eastAsia="zh-CN"/>
        </w:rPr>
        <w:t>且</w:t>
      </w:r>
      <w:r>
        <w:rPr>
          <w:rFonts w:hint="eastAsia" w:ascii="宋体" w:hAnsi="宋体" w:eastAsia="宋体" w:cs="宋体"/>
          <w:color w:val="auto"/>
          <w:sz w:val="21"/>
          <w:szCs w:val="21"/>
          <w:highlight w:val="none"/>
        </w:rPr>
        <w:t>合同金额≥</w:t>
      </w:r>
      <w:r>
        <w:rPr>
          <w:rFonts w:hint="eastAsia" w:ascii="宋体" w:hAnsi="宋体" w:cs="宋体"/>
          <w:color w:val="auto"/>
          <w:sz w:val="21"/>
          <w:szCs w:val="21"/>
          <w:highlight w:val="none"/>
          <w:u w:val="single"/>
          <w:lang w:val="en-US" w:eastAsia="zh-CN"/>
        </w:rPr>
        <w:t>90万元</w:t>
      </w:r>
      <w:r>
        <w:rPr>
          <w:rFonts w:hint="eastAsia" w:ascii="宋体" w:hAnsi="宋体" w:eastAsia="宋体" w:cs="宋体"/>
          <w:color w:val="auto"/>
          <w:sz w:val="21"/>
          <w:szCs w:val="21"/>
          <w:highlight w:val="none"/>
        </w:rPr>
        <w:t>人民币</w:t>
      </w:r>
      <w:r>
        <w:rPr>
          <w:rFonts w:hint="eastAsia" w:ascii="宋体" w:hAnsi="宋体" w:eastAsia="宋体" w:cs="宋体"/>
          <w:color w:val="auto"/>
          <w:sz w:val="21"/>
          <w:szCs w:val="21"/>
          <w:highlight w:val="none"/>
          <w:lang w:eastAsia="zh-CN"/>
        </w:rPr>
        <w:t>。</w:t>
      </w:r>
      <w:r>
        <w:rPr>
          <w:rFonts w:hint="eastAsia" w:ascii="宋体" w:hAnsi="宋体"/>
          <w:color w:val="auto"/>
          <w:szCs w:val="21"/>
          <w:highlight w:val="none"/>
        </w:rPr>
        <w:t>【按</w:t>
      </w:r>
      <w:r>
        <w:rPr>
          <w:rFonts w:hint="eastAsia" w:ascii="宋体" w:hAnsi="宋体" w:cs="宋体"/>
          <w:color w:val="auto"/>
          <w:szCs w:val="21"/>
          <w:highlight w:val="none"/>
          <w:lang w:val="en-US" w:eastAsia="zh-CN"/>
        </w:rPr>
        <w:t>竣工验收</w:t>
      </w:r>
      <w:r>
        <w:rPr>
          <w:rFonts w:hint="eastAsia" w:ascii="宋体" w:hAnsi="宋体"/>
          <w:color w:val="auto"/>
          <w:szCs w:val="21"/>
          <w:highlight w:val="none"/>
        </w:rPr>
        <w:t>时间为准，须提供</w:t>
      </w:r>
      <w:r>
        <w:rPr>
          <w:rFonts w:hint="eastAsia" w:ascii="宋体" w:hAnsi="宋体" w:cs="宋体"/>
          <w:color w:val="auto"/>
          <w:szCs w:val="21"/>
          <w:highlight w:val="none"/>
        </w:rPr>
        <w:t>提供业绩证明材料</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包括但不限于合同关键页、</w:t>
      </w:r>
      <w:r>
        <w:rPr>
          <w:rFonts w:hint="eastAsia" w:ascii="宋体" w:hAnsi="宋体" w:eastAsia="宋体" w:cs="宋体"/>
          <w:color w:val="auto"/>
          <w:sz w:val="21"/>
          <w:szCs w:val="21"/>
          <w:highlight w:val="none"/>
          <w:shd w:val="clear" w:color="auto" w:fill="FFFFFF"/>
        </w:rPr>
        <w:t>竣工验收报告、合同履行期间任一期发生的发票</w:t>
      </w:r>
      <w:r>
        <w:rPr>
          <w:rFonts w:hint="eastAsia" w:ascii="宋体" w:hAnsi="宋体" w:cs="宋体"/>
          <w:color w:val="auto"/>
          <w:szCs w:val="21"/>
          <w:highlight w:val="none"/>
          <w:lang w:eastAsia="zh-CN"/>
        </w:rPr>
        <w:t>）</w:t>
      </w:r>
      <w:r>
        <w:rPr>
          <w:rFonts w:hint="eastAsia" w:ascii="宋体" w:hAnsi="宋体"/>
          <w:color w:val="auto"/>
          <w:szCs w:val="21"/>
          <w:highlight w:val="none"/>
        </w:rPr>
        <w:t>等证明材料】</w:t>
      </w:r>
    </w:p>
    <w:p w14:paraId="01DFE473">
      <w:pPr>
        <w:widowControl/>
        <w:jc w:val="left"/>
        <w:rPr>
          <w:rFonts w:hint="eastAsia"/>
          <w:color w:val="auto"/>
          <w:sz w:val="24"/>
          <w:szCs w:val="24"/>
          <w:highlight w:val="none"/>
          <w:lang w:val="en-US" w:eastAsia="zh-CN"/>
        </w:rPr>
      </w:pPr>
      <w:r>
        <w:rPr>
          <w:rFonts w:hint="eastAsia"/>
          <w:color w:val="auto"/>
          <w:sz w:val="24"/>
          <w:szCs w:val="24"/>
          <w:highlight w:val="none"/>
          <w:lang w:val="en-US" w:eastAsia="zh-CN"/>
        </w:rPr>
        <w:t>4、人员要求</w:t>
      </w:r>
    </w:p>
    <w:p w14:paraId="62D561A3">
      <w:pPr>
        <w:spacing w:line="480" w:lineRule="exact"/>
        <w:ind w:firstLine="49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★项目班子人员组成表</w:t>
      </w:r>
    </w:p>
    <w:p w14:paraId="47F6283C">
      <w:pPr>
        <w:rPr>
          <w:rFonts w:ascii="宋体" w:hAnsi="宋体" w:cs="宋体"/>
          <w:color w:val="auto"/>
          <w:szCs w:val="21"/>
          <w:highlight w:val="none"/>
        </w:rPr>
      </w:pPr>
    </w:p>
    <w:tbl>
      <w:tblPr>
        <w:tblStyle w:val="3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52"/>
        <w:gridCol w:w="1075"/>
        <w:gridCol w:w="4453"/>
      </w:tblGrid>
      <w:tr w14:paraId="62657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5F370FE">
            <w:pPr>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2552" w:type="dxa"/>
            <w:vAlign w:val="center"/>
          </w:tcPr>
          <w:p w14:paraId="29C25C42">
            <w:pPr>
              <w:snapToGrid w:val="0"/>
              <w:jc w:val="center"/>
              <w:rPr>
                <w:rFonts w:ascii="宋体" w:hAnsi="宋体" w:cs="宋体"/>
                <w:b/>
                <w:color w:val="auto"/>
                <w:szCs w:val="21"/>
                <w:highlight w:val="none"/>
              </w:rPr>
            </w:pPr>
            <w:r>
              <w:rPr>
                <w:rFonts w:hint="eastAsia" w:ascii="宋体" w:hAnsi="宋体" w:cs="宋体"/>
                <w:b/>
                <w:color w:val="auto"/>
                <w:highlight w:val="none"/>
              </w:rPr>
              <w:t>项目班子岗位及人员要求</w:t>
            </w:r>
          </w:p>
        </w:tc>
        <w:tc>
          <w:tcPr>
            <w:tcW w:w="1075" w:type="dxa"/>
            <w:vAlign w:val="center"/>
          </w:tcPr>
          <w:p w14:paraId="09D0CD57">
            <w:pPr>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4453" w:type="dxa"/>
            <w:vAlign w:val="center"/>
          </w:tcPr>
          <w:p w14:paraId="5421E2D9">
            <w:pPr>
              <w:jc w:val="center"/>
              <w:rPr>
                <w:rFonts w:ascii="宋体" w:hAnsi="宋体" w:cs="宋体"/>
                <w:b/>
                <w:color w:val="auto"/>
                <w:szCs w:val="21"/>
                <w:highlight w:val="none"/>
                <w:lang w:val="zh-CN"/>
              </w:rPr>
            </w:pPr>
            <w:r>
              <w:rPr>
                <w:rFonts w:hint="eastAsia" w:ascii="宋体" w:hAnsi="宋体" w:cs="宋体"/>
                <w:b/>
                <w:color w:val="auto"/>
                <w:szCs w:val="21"/>
                <w:highlight w:val="none"/>
                <w:lang w:val="zh-CN"/>
              </w:rPr>
              <w:t>注册证/执业资格证/上岗证</w:t>
            </w:r>
          </w:p>
          <w:p w14:paraId="1C65B048">
            <w:pPr>
              <w:jc w:val="center"/>
              <w:rPr>
                <w:rFonts w:ascii="宋体" w:hAnsi="宋体" w:cs="宋体"/>
                <w:b/>
                <w:color w:val="auto"/>
                <w:szCs w:val="21"/>
                <w:highlight w:val="none"/>
                <w:lang w:val="zh-CN"/>
              </w:rPr>
            </w:pPr>
            <w:r>
              <w:rPr>
                <w:rFonts w:hint="eastAsia" w:ascii="宋体" w:hAnsi="宋体" w:cs="宋体"/>
                <w:b/>
                <w:color w:val="auto"/>
                <w:szCs w:val="21"/>
                <w:highlight w:val="none"/>
                <w:lang w:val="zh-CN"/>
              </w:rPr>
              <w:t>要求</w:t>
            </w:r>
          </w:p>
        </w:tc>
      </w:tr>
      <w:tr w14:paraId="2241D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67EA6E85">
            <w:pPr>
              <w:spacing w:line="240" w:lineRule="auto"/>
              <w:jc w:val="center"/>
              <w:rPr>
                <w:rFonts w:ascii="宋体" w:hAnsi="宋体" w:cs="宋体"/>
                <w:color w:val="auto"/>
                <w:szCs w:val="21"/>
                <w:highlight w:val="none"/>
              </w:rPr>
            </w:pPr>
            <w:r>
              <w:rPr>
                <w:rFonts w:ascii="宋体" w:hAnsi="宋体" w:cs="宋体"/>
                <w:b/>
                <w:color w:val="auto"/>
                <w:szCs w:val="21"/>
                <w:highlight w:val="none"/>
              </w:rPr>
              <w:t>1</w:t>
            </w:r>
          </w:p>
        </w:tc>
        <w:tc>
          <w:tcPr>
            <w:tcW w:w="2552" w:type="dxa"/>
            <w:vAlign w:val="center"/>
          </w:tcPr>
          <w:p w14:paraId="52AF1E8F">
            <w:pPr>
              <w:spacing w:line="24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项目负责人</w:t>
            </w:r>
          </w:p>
        </w:tc>
        <w:tc>
          <w:tcPr>
            <w:tcW w:w="1075" w:type="dxa"/>
            <w:vAlign w:val="center"/>
          </w:tcPr>
          <w:p w14:paraId="18B5D9B7">
            <w:pPr>
              <w:spacing w:line="24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4453" w:type="dxa"/>
            <w:vAlign w:val="center"/>
          </w:tcPr>
          <w:p w14:paraId="30B6859F">
            <w:pPr>
              <w:spacing w:line="240" w:lineRule="auto"/>
              <w:jc w:val="center"/>
              <w:rPr>
                <w:rFonts w:ascii="宋体" w:hAnsi="宋体" w:cs="宋体"/>
                <w:color w:val="auto"/>
                <w:szCs w:val="21"/>
                <w:highlight w:val="none"/>
              </w:rPr>
            </w:pPr>
            <w:r>
              <w:rPr>
                <w:rFonts w:hint="eastAsia" w:ascii="宋体" w:hAnsi="宋体" w:cs="宋体"/>
                <w:color w:val="auto"/>
                <w:szCs w:val="21"/>
                <w:highlight w:val="none"/>
              </w:rPr>
              <w:t xml:space="preserve"> 详见</w:t>
            </w:r>
            <w:r>
              <w:rPr>
                <w:rFonts w:hint="eastAsia" w:ascii="宋体" w:hAnsi="宋体" w:cs="宋体"/>
                <w:color w:val="auto"/>
                <w:szCs w:val="21"/>
                <w:highlight w:val="none"/>
                <w:lang w:val="en-US" w:eastAsia="zh-CN"/>
              </w:rPr>
              <w:t>谈判</w:t>
            </w:r>
            <w:r>
              <w:rPr>
                <w:rFonts w:hint="eastAsia" w:ascii="宋体" w:hAnsi="宋体" w:cs="宋体"/>
                <w:color w:val="auto"/>
                <w:szCs w:val="21"/>
                <w:highlight w:val="none"/>
              </w:rPr>
              <w:t xml:space="preserve">公告  </w:t>
            </w:r>
          </w:p>
        </w:tc>
      </w:tr>
      <w:tr w14:paraId="6A98D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3B04813C">
            <w:pPr>
              <w:spacing w:line="240" w:lineRule="auto"/>
              <w:jc w:val="center"/>
              <w:rPr>
                <w:rFonts w:hint="eastAsia" w:ascii="宋体" w:hAnsi="宋体" w:eastAsia="宋体" w:cs="宋体"/>
                <w:color w:val="auto"/>
                <w:szCs w:val="21"/>
                <w:highlight w:val="none"/>
                <w:lang w:eastAsia="zh-CN"/>
              </w:rPr>
            </w:pPr>
            <w:r>
              <w:rPr>
                <w:rFonts w:hint="eastAsia" w:ascii="宋体" w:hAnsi="宋体" w:cs="宋体"/>
                <w:b/>
                <w:color w:val="auto"/>
                <w:szCs w:val="21"/>
                <w:highlight w:val="none"/>
                <w:lang w:val="en-US" w:eastAsia="zh-CN"/>
              </w:rPr>
              <w:t>2</w:t>
            </w:r>
          </w:p>
        </w:tc>
        <w:tc>
          <w:tcPr>
            <w:tcW w:w="2552" w:type="dxa"/>
            <w:vAlign w:val="center"/>
          </w:tcPr>
          <w:p w14:paraId="61F8EF30">
            <w:pPr>
              <w:spacing w:line="240" w:lineRule="auto"/>
              <w:jc w:val="center"/>
              <w:rPr>
                <w:rFonts w:ascii="宋体" w:hAnsi="宋体" w:cs="宋体"/>
                <w:color w:val="auto"/>
                <w:szCs w:val="21"/>
                <w:highlight w:val="none"/>
              </w:rPr>
            </w:pPr>
            <w:r>
              <w:rPr>
                <w:rFonts w:hint="eastAsia" w:ascii="宋体" w:hAnsi="宋体" w:cs="宋体"/>
                <w:color w:val="auto"/>
                <w:szCs w:val="21"/>
                <w:highlight w:val="none"/>
              </w:rPr>
              <w:t>安全员</w:t>
            </w:r>
          </w:p>
        </w:tc>
        <w:tc>
          <w:tcPr>
            <w:tcW w:w="1075" w:type="dxa"/>
            <w:vAlign w:val="center"/>
          </w:tcPr>
          <w:p w14:paraId="3F0089DD">
            <w:pPr>
              <w:spacing w:line="24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w:t>
            </w:r>
          </w:p>
        </w:tc>
        <w:tc>
          <w:tcPr>
            <w:tcW w:w="4453" w:type="dxa"/>
            <w:vAlign w:val="center"/>
          </w:tcPr>
          <w:p w14:paraId="53BC9706">
            <w:pPr>
              <w:spacing w:line="240" w:lineRule="auto"/>
              <w:jc w:val="center"/>
              <w:rPr>
                <w:rFonts w:ascii="宋体" w:hAnsi="宋体" w:cs="宋体"/>
                <w:color w:val="auto"/>
                <w:szCs w:val="21"/>
                <w:highlight w:val="none"/>
              </w:rPr>
            </w:pPr>
            <w:r>
              <w:rPr>
                <w:rFonts w:hint="eastAsia" w:ascii="宋体" w:hAnsi="宋体" w:cs="宋体"/>
                <w:color w:val="auto"/>
                <w:szCs w:val="21"/>
                <w:highlight w:val="none"/>
              </w:rPr>
              <w:t>具备安全员上岗证或建设行政主管部门颁发的</w:t>
            </w:r>
            <w:r>
              <w:rPr>
                <w:rFonts w:ascii="宋体" w:hAnsi="宋体" w:cs="宋体"/>
                <w:color w:val="auto"/>
                <w:szCs w:val="21"/>
                <w:highlight w:val="none"/>
              </w:rPr>
              <w:t>安全生产考核合格证书（建安 C 类证）或注册安全工程师证书。</w:t>
            </w:r>
          </w:p>
        </w:tc>
      </w:tr>
      <w:tr w14:paraId="520CF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6C8A83E9">
            <w:pPr>
              <w:spacing w:line="240" w:lineRule="auto"/>
              <w:jc w:val="center"/>
              <w:rPr>
                <w:rFonts w:hint="eastAsia" w:ascii="宋体" w:hAnsi="宋体" w:eastAsia="宋体" w:cs="宋体"/>
                <w:color w:val="auto"/>
                <w:szCs w:val="21"/>
                <w:highlight w:val="none"/>
                <w:lang w:eastAsia="zh-CN"/>
              </w:rPr>
            </w:pPr>
            <w:r>
              <w:rPr>
                <w:rFonts w:hint="eastAsia" w:ascii="宋体" w:hAnsi="宋体" w:cs="宋体"/>
                <w:b/>
                <w:color w:val="auto"/>
                <w:szCs w:val="21"/>
                <w:highlight w:val="none"/>
                <w:lang w:val="en-US" w:eastAsia="zh-CN"/>
              </w:rPr>
              <w:t>3</w:t>
            </w:r>
          </w:p>
        </w:tc>
        <w:tc>
          <w:tcPr>
            <w:tcW w:w="2552" w:type="dxa"/>
            <w:vAlign w:val="center"/>
          </w:tcPr>
          <w:p w14:paraId="3FD40E9A">
            <w:pPr>
              <w:spacing w:line="240" w:lineRule="auto"/>
              <w:jc w:val="center"/>
              <w:rPr>
                <w:rFonts w:hint="eastAsia" w:ascii="宋体" w:hAnsi="宋体" w:eastAsia="宋体" w:cs="宋体"/>
                <w:color w:val="auto"/>
                <w:szCs w:val="21"/>
                <w:highlight w:val="none"/>
                <w:lang w:val="en-US" w:eastAsia="zh-CN"/>
              </w:rPr>
            </w:pPr>
            <w:r>
              <w:rPr>
                <w:rFonts w:hint="eastAsia" w:ascii="宋体" w:hAnsi="宋体" w:cs="宋体"/>
                <w:color w:val="auto"/>
                <w:kern w:val="0"/>
                <w:szCs w:val="21"/>
                <w:highlight w:val="none"/>
                <w:lang w:val="zh-CN"/>
              </w:rPr>
              <w:t>施工员</w:t>
            </w:r>
          </w:p>
        </w:tc>
        <w:tc>
          <w:tcPr>
            <w:tcW w:w="1075" w:type="dxa"/>
            <w:vAlign w:val="center"/>
          </w:tcPr>
          <w:p w14:paraId="4CBFAD63">
            <w:pPr>
              <w:spacing w:line="24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w:t>
            </w:r>
          </w:p>
        </w:tc>
        <w:tc>
          <w:tcPr>
            <w:tcW w:w="4453" w:type="dxa"/>
            <w:vAlign w:val="center"/>
          </w:tcPr>
          <w:p w14:paraId="5FAED4E0">
            <w:pPr>
              <w:spacing w:line="24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kern w:val="0"/>
                <w:szCs w:val="21"/>
                <w:highlight w:val="none"/>
              </w:rPr>
              <w:t>具备</w:t>
            </w:r>
            <w:r>
              <w:rPr>
                <w:rFonts w:hint="eastAsia" w:ascii="宋体" w:hAnsi="宋体" w:cs="宋体"/>
                <w:color w:val="auto"/>
                <w:kern w:val="0"/>
                <w:szCs w:val="21"/>
                <w:highlight w:val="none"/>
                <w:lang w:val="zh-CN"/>
              </w:rPr>
              <w:t>施工员上岗证</w:t>
            </w:r>
          </w:p>
        </w:tc>
      </w:tr>
      <w:tr w14:paraId="41F04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7" w:type="dxa"/>
            <w:vAlign w:val="center"/>
          </w:tcPr>
          <w:p w14:paraId="6D04C92F">
            <w:pPr>
              <w:spacing w:line="240" w:lineRule="auto"/>
              <w:jc w:val="center"/>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lang w:val="en-US" w:eastAsia="zh-CN"/>
              </w:rPr>
              <w:t>4</w:t>
            </w:r>
          </w:p>
        </w:tc>
        <w:tc>
          <w:tcPr>
            <w:tcW w:w="2552" w:type="dxa"/>
            <w:vAlign w:val="center"/>
          </w:tcPr>
          <w:p w14:paraId="7C0568B1">
            <w:pPr>
              <w:spacing w:line="24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资料员</w:t>
            </w:r>
          </w:p>
        </w:tc>
        <w:tc>
          <w:tcPr>
            <w:tcW w:w="1075" w:type="dxa"/>
            <w:vAlign w:val="center"/>
          </w:tcPr>
          <w:p w14:paraId="56382EC4">
            <w:pPr>
              <w:spacing w:line="240" w:lineRule="auto"/>
              <w:jc w:val="center"/>
              <w:rPr>
                <w:rFonts w:ascii="宋体" w:hAnsi="宋体" w:cs="宋体"/>
                <w:color w:val="auto"/>
                <w:szCs w:val="21"/>
                <w:highlight w:val="none"/>
              </w:rPr>
            </w:pPr>
            <w:r>
              <w:rPr>
                <w:rFonts w:hint="eastAsia" w:ascii="宋体" w:hAnsi="宋体" w:cs="宋体"/>
                <w:color w:val="auto"/>
                <w:szCs w:val="21"/>
                <w:highlight w:val="none"/>
              </w:rPr>
              <w:t>1</w:t>
            </w:r>
          </w:p>
        </w:tc>
        <w:tc>
          <w:tcPr>
            <w:tcW w:w="4453" w:type="dxa"/>
            <w:vAlign w:val="center"/>
          </w:tcPr>
          <w:p w14:paraId="3CBBF3E9">
            <w:pPr>
              <w:spacing w:line="240" w:lineRule="auto"/>
              <w:jc w:val="center"/>
              <w:rPr>
                <w:rFonts w:ascii="宋体" w:hAnsi="宋体" w:cs="宋体"/>
                <w:color w:val="auto"/>
                <w:szCs w:val="21"/>
                <w:highlight w:val="none"/>
              </w:rPr>
            </w:pPr>
            <w:r>
              <w:rPr>
                <w:rFonts w:hint="eastAsia" w:ascii="宋体" w:hAnsi="宋体" w:cs="宋体"/>
                <w:color w:val="auto"/>
                <w:szCs w:val="21"/>
                <w:highlight w:val="none"/>
              </w:rPr>
              <w:t>具备资料员上岗证</w:t>
            </w:r>
          </w:p>
        </w:tc>
      </w:tr>
    </w:tbl>
    <w:p w14:paraId="34D2E777">
      <w:pPr>
        <w:tabs>
          <w:tab w:val="left" w:pos="6480"/>
        </w:tabs>
        <w:spacing w:line="24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备注1</w:t>
      </w:r>
      <w:r>
        <w:rPr>
          <w:rFonts w:hint="eastAsia" w:ascii="宋体" w:hAnsi="宋体" w:cs="宋体"/>
          <w:color w:val="auto"/>
          <w:szCs w:val="21"/>
          <w:highlight w:val="none"/>
          <w:lang w:eastAsia="zh-CN"/>
        </w:rPr>
        <w:t>）</w:t>
      </w:r>
      <w:r>
        <w:rPr>
          <w:rFonts w:hint="eastAsia" w:ascii="宋体" w:hAnsi="宋体" w:cs="宋体"/>
          <w:color w:val="auto"/>
          <w:szCs w:val="21"/>
          <w:highlight w:val="none"/>
        </w:rPr>
        <w:t>上述人员需附身份证及表内注明的注册证或执业资格证或上岗证等证明材料原件扫描件。</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lang w:eastAsia="zh-CN"/>
        </w:rPr>
        <w:t>）</w:t>
      </w:r>
      <w:r>
        <w:rPr>
          <w:rFonts w:hint="eastAsia" w:ascii="宋体" w:hAnsi="宋体" w:cs="宋体"/>
          <w:color w:val="auto"/>
          <w:szCs w:val="21"/>
          <w:highlight w:val="none"/>
        </w:rPr>
        <w:t>上述人员必须提供</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 xml:space="preserve">人处缴纳社保的社保缴纳证明文件，社保缴纳证明文件应具备社保管理机构印章。社保缴纳时间均为 </w:t>
      </w:r>
      <w:r>
        <w:rPr>
          <w:rFonts w:hint="eastAsia" w:ascii="宋体" w:hAnsi="宋体" w:cs="宋体"/>
          <w:color w:val="auto"/>
          <w:szCs w:val="21"/>
          <w:highlight w:val="none"/>
          <w:lang w:val="en-US" w:eastAsia="zh-CN"/>
        </w:rPr>
        <w:t>响应文件递交</w:t>
      </w:r>
      <w:r>
        <w:rPr>
          <w:rFonts w:hint="eastAsia" w:ascii="宋体" w:hAnsi="宋体" w:cs="宋体"/>
          <w:color w:val="auto"/>
          <w:szCs w:val="21"/>
          <w:highlight w:val="none"/>
        </w:rPr>
        <w:t>截止时间前（不含</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当月）半年内连续不少于三个月，社保缴纳证明文件可以是在</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人总公司或其分公司的社保缴纳证明文件，可以是原件或复印件。</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w:t>
      </w:r>
      <w:r>
        <w:rPr>
          <w:rFonts w:hint="eastAsia" w:ascii="宋体" w:hAnsi="宋体" w:cs="宋体"/>
          <w:color w:val="auto"/>
          <w:szCs w:val="21"/>
          <w:highlight w:val="none"/>
        </w:rPr>
        <w:t>其他事项：上述《项目班子人员组成表》的人员配置（不可兼任）为本</w:t>
      </w:r>
      <w:r>
        <w:rPr>
          <w:rFonts w:hint="eastAsia" w:ascii="宋体" w:hAnsi="宋体" w:cs="宋体"/>
          <w:color w:val="auto"/>
          <w:szCs w:val="21"/>
          <w:highlight w:val="none"/>
          <w:lang w:val="en-US" w:eastAsia="zh-CN"/>
        </w:rPr>
        <w:t>采购</w:t>
      </w:r>
      <w:r>
        <w:rPr>
          <w:rFonts w:hint="eastAsia" w:ascii="宋体" w:hAnsi="宋体" w:cs="宋体"/>
          <w:color w:val="auto"/>
          <w:szCs w:val="21"/>
          <w:highlight w:val="none"/>
        </w:rPr>
        <w:t>项目</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阶段的基本要求。</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人中标后，中标人须按上表要求派驻项目班子人员外，尚需满足办理工程施工许可等相关报建、报批和备案手续等要求，中标人须无条件接受。同时，发包人可要求中标人根据工程进度计划时间调整加派项目管理班子人员 。</w:t>
      </w:r>
    </w:p>
    <w:p w14:paraId="5087934B">
      <w:pPr>
        <w:widowControl/>
        <w:jc w:val="left"/>
        <w:rPr>
          <w:rFonts w:hint="default"/>
          <w:color w:val="auto"/>
          <w:sz w:val="24"/>
          <w:szCs w:val="24"/>
          <w:highlight w:val="none"/>
          <w:lang w:val="en-US" w:eastAsia="zh-CN"/>
        </w:rPr>
      </w:pPr>
    </w:p>
    <w:p w14:paraId="2A07035C">
      <w:pPr>
        <w:widowControl/>
        <w:jc w:val="left"/>
        <w:rPr>
          <w:color w:val="auto"/>
          <w:szCs w:val="21"/>
          <w:highlight w:val="none"/>
        </w:rPr>
      </w:pPr>
      <w:r>
        <w:rPr>
          <w:rFonts w:hint="eastAsia"/>
          <w:color w:val="auto"/>
          <w:sz w:val="24"/>
          <w:szCs w:val="24"/>
          <w:highlight w:val="none"/>
          <w:lang w:val="en-US" w:eastAsia="zh-CN"/>
        </w:rPr>
        <w:t>5、......</w:t>
      </w:r>
      <w:r>
        <w:rPr>
          <w:color w:val="auto"/>
          <w:szCs w:val="21"/>
          <w:highlight w:val="none"/>
        </w:rPr>
        <w:br w:type="page"/>
      </w:r>
    </w:p>
    <w:p w14:paraId="6A18AF78">
      <w:pPr>
        <w:pStyle w:val="3"/>
        <w:jc w:val="center"/>
        <w:rPr>
          <w:color w:val="auto"/>
          <w:highlight w:val="none"/>
        </w:rPr>
      </w:pPr>
      <w:bookmarkStart w:id="213" w:name="_Toc75852783"/>
      <w:r>
        <w:rPr>
          <w:rFonts w:hint="eastAsia"/>
          <w:color w:val="auto"/>
          <w:highlight w:val="none"/>
        </w:rPr>
        <w:t>十一</w:t>
      </w:r>
      <w:r>
        <w:rPr>
          <w:color w:val="auto"/>
          <w:highlight w:val="none"/>
        </w:rPr>
        <w:t>、</w:t>
      </w:r>
      <w:r>
        <w:rPr>
          <w:rFonts w:hint="eastAsia"/>
          <w:color w:val="auto"/>
          <w:highlight w:val="none"/>
        </w:rPr>
        <w:t>其他需要补充的</w:t>
      </w:r>
      <w:r>
        <w:rPr>
          <w:color w:val="auto"/>
          <w:highlight w:val="none"/>
        </w:rPr>
        <w:t>资料</w:t>
      </w:r>
      <w:bookmarkEnd w:id="213"/>
    </w:p>
    <w:p w14:paraId="501080A2">
      <w:pPr>
        <w:widowControl/>
        <w:jc w:val="center"/>
        <w:rPr>
          <w:rFonts w:hint="default" w:eastAsia="宋体"/>
          <w:color w:val="auto"/>
          <w:szCs w:val="21"/>
          <w:highlight w:val="none"/>
          <w:lang w:val="en-US" w:eastAsia="zh-CN"/>
        </w:rPr>
      </w:pPr>
      <w:r>
        <w:rPr>
          <w:rFonts w:hint="eastAsia"/>
          <w:color w:val="auto"/>
          <w:szCs w:val="21"/>
          <w:highlight w:val="none"/>
          <w:lang w:val="en-US" w:eastAsia="zh-CN"/>
        </w:rPr>
        <w:t>格式自拟</w:t>
      </w:r>
    </w:p>
    <w:p w14:paraId="4C41AB7A">
      <w:pPr>
        <w:rPr>
          <w:rFonts w:hint="eastAsia"/>
          <w:color w:val="auto"/>
          <w:highlight w:val="none"/>
        </w:rPr>
      </w:pPr>
      <w:bookmarkStart w:id="214" w:name="_Toc75852784"/>
      <w:bookmarkStart w:id="215" w:name="_Toc486425443"/>
      <w:r>
        <w:rPr>
          <w:rFonts w:hint="eastAsia"/>
          <w:color w:val="auto"/>
          <w:highlight w:val="none"/>
        </w:rPr>
        <w:br w:type="page"/>
      </w:r>
    </w:p>
    <w:p w14:paraId="2423B23A">
      <w:pPr>
        <w:pStyle w:val="3"/>
        <w:jc w:val="left"/>
        <w:rPr>
          <w:color w:val="auto"/>
          <w:highlight w:val="none"/>
        </w:rPr>
      </w:pPr>
      <w:r>
        <w:rPr>
          <w:rFonts w:hint="eastAsia"/>
          <w:color w:val="auto"/>
          <w:highlight w:val="none"/>
        </w:rPr>
        <w:t>第二部分</w:t>
      </w:r>
      <w:r>
        <w:rPr>
          <w:color w:val="auto"/>
          <w:highlight w:val="none"/>
        </w:rPr>
        <w:t xml:space="preserve">  </w:t>
      </w:r>
      <w:r>
        <w:rPr>
          <w:rFonts w:hint="eastAsia"/>
          <w:color w:val="auto"/>
          <w:highlight w:val="none"/>
        </w:rPr>
        <w:t>经济部分</w:t>
      </w:r>
      <w:bookmarkEnd w:id="214"/>
      <w:bookmarkEnd w:id="215"/>
    </w:p>
    <w:p w14:paraId="087919B7">
      <w:pPr>
        <w:pStyle w:val="3"/>
        <w:spacing w:line="240" w:lineRule="auto"/>
        <w:rPr>
          <w:rFonts w:ascii="黑体" w:hAnsi="Times New Roman"/>
          <w:b w:val="0"/>
          <w:bCs w:val="0"/>
          <w:color w:val="auto"/>
          <w:sz w:val="28"/>
          <w:szCs w:val="28"/>
          <w:highlight w:val="none"/>
        </w:rPr>
      </w:pPr>
      <w:bookmarkStart w:id="216" w:name="_Toc486425444"/>
      <w:bookmarkStart w:id="217" w:name="_Toc338669163"/>
      <w:bookmarkStart w:id="218" w:name="_Toc75852785"/>
      <w:r>
        <w:rPr>
          <w:rFonts w:hint="eastAsia" w:ascii="黑体" w:hAnsi="Times New Roman"/>
          <w:b w:val="0"/>
          <w:bCs w:val="0"/>
          <w:color w:val="auto"/>
          <w:sz w:val="28"/>
          <w:szCs w:val="28"/>
          <w:highlight w:val="none"/>
        </w:rPr>
        <w:t>一、报价一览表</w:t>
      </w:r>
      <w:bookmarkEnd w:id="216"/>
      <w:bookmarkEnd w:id="217"/>
      <w:bookmarkEnd w:id="218"/>
    </w:p>
    <w:tbl>
      <w:tblPr>
        <w:tblStyle w:val="37"/>
        <w:tblW w:w="51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0"/>
        <w:gridCol w:w="5229"/>
      </w:tblGrid>
      <w:tr w14:paraId="22818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9" w:hRule="atLeast"/>
        </w:trPr>
        <w:tc>
          <w:tcPr>
            <w:tcW w:w="2015" w:type="pct"/>
            <w:tcBorders>
              <w:bottom w:val="single" w:color="auto" w:sz="4" w:space="0"/>
            </w:tcBorders>
            <w:vAlign w:val="center"/>
          </w:tcPr>
          <w:p w14:paraId="622419BE">
            <w:pPr>
              <w:jc w:val="center"/>
              <w:rPr>
                <w:bCs/>
                <w:color w:val="auto"/>
                <w:sz w:val="21"/>
                <w:szCs w:val="21"/>
                <w:highlight w:val="none"/>
              </w:rPr>
            </w:pPr>
            <w:r>
              <w:rPr>
                <w:rFonts w:hint="eastAsia"/>
                <w:bCs/>
                <w:color w:val="auto"/>
                <w:sz w:val="21"/>
                <w:szCs w:val="21"/>
                <w:highlight w:val="none"/>
              </w:rPr>
              <w:t>项目</w:t>
            </w:r>
          </w:p>
        </w:tc>
        <w:tc>
          <w:tcPr>
            <w:tcW w:w="2984" w:type="pct"/>
            <w:tcBorders>
              <w:bottom w:val="single" w:color="auto" w:sz="4" w:space="0"/>
            </w:tcBorders>
            <w:vAlign w:val="center"/>
          </w:tcPr>
          <w:p w14:paraId="53085AA6">
            <w:pPr>
              <w:jc w:val="center"/>
              <w:rPr>
                <w:bCs/>
                <w:color w:val="auto"/>
                <w:sz w:val="21"/>
                <w:szCs w:val="21"/>
                <w:highlight w:val="none"/>
              </w:rPr>
            </w:pPr>
            <w:r>
              <w:rPr>
                <w:rFonts w:hint="eastAsia"/>
                <w:bCs/>
                <w:color w:val="auto"/>
                <w:sz w:val="21"/>
                <w:szCs w:val="21"/>
                <w:highlight w:val="none"/>
                <w:lang w:val="en-US" w:eastAsia="zh-CN"/>
              </w:rPr>
              <w:t>总价（含税）</w:t>
            </w:r>
          </w:p>
        </w:tc>
      </w:tr>
      <w:tr w14:paraId="3444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3" w:hRule="atLeast"/>
        </w:trPr>
        <w:tc>
          <w:tcPr>
            <w:tcW w:w="2015" w:type="pct"/>
            <w:tcBorders>
              <w:bottom w:val="single" w:color="auto" w:sz="2" w:space="0"/>
            </w:tcBorders>
            <w:vAlign w:val="center"/>
          </w:tcPr>
          <w:p w14:paraId="726D81B7">
            <w:pPr>
              <w:pStyle w:val="108"/>
              <w:widowControl w:val="0"/>
              <w:pBdr>
                <w:bottom w:val="none" w:color="auto" w:sz="0" w:space="0"/>
                <w:right w:val="none" w:color="auto" w:sz="0" w:space="0"/>
              </w:pBdr>
              <w:spacing w:before="0" w:beforeAutospacing="0" w:after="0" w:afterAutospacing="0" w:line="360" w:lineRule="auto"/>
              <w:rPr>
                <w:rFonts w:hint="eastAsia" w:ascii="Times New Roman" w:hAnsi="Times New Roman" w:eastAsia="宋体"/>
                <w:bCs/>
                <w:color w:val="auto"/>
                <w:highlight w:val="none"/>
                <w:lang w:eastAsia="zh-CN"/>
              </w:rPr>
            </w:pPr>
            <w:r>
              <w:rPr>
                <w:rFonts w:hint="eastAsia" w:ascii="Times New Roman" w:hAnsi="Times New Roman" w:eastAsia="宋体"/>
                <w:bCs/>
                <w:color w:val="auto"/>
                <w:highlight w:val="none"/>
                <w:lang w:eastAsia="zh-CN"/>
              </w:rPr>
              <w:t>东城街道堑头社区居民委员会堑头路13号危旧房改造工程</w:t>
            </w:r>
          </w:p>
        </w:tc>
        <w:tc>
          <w:tcPr>
            <w:tcW w:w="2984" w:type="pct"/>
            <w:tcBorders>
              <w:bottom w:val="single" w:color="auto" w:sz="2" w:space="0"/>
            </w:tcBorders>
            <w:vAlign w:val="center"/>
          </w:tcPr>
          <w:p w14:paraId="354339EA">
            <w:pPr>
              <w:spacing w:line="480" w:lineRule="auto"/>
              <w:rPr>
                <w:rFonts w:hint="eastAsia" w:eastAsia="宋体"/>
                <w:bCs/>
                <w:color w:val="auto"/>
                <w:sz w:val="21"/>
                <w:szCs w:val="21"/>
                <w:highlight w:val="none"/>
                <w:lang w:eastAsia="zh-CN"/>
              </w:rPr>
            </w:pPr>
            <w:r>
              <w:rPr>
                <w:rFonts w:hint="eastAsia" w:hAnsi="宋体"/>
                <w:color w:val="auto"/>
                <w:sz w:val="21"/>
                <w:szCs w:val="21"/>
                <w:highlight w:val="none"/>
              </w:rPr>
              <w:t>大写人民币</w:t>
            </w:r>
            <w:r>
              <w:rPr>
                <w:rFonts w:hint="eastAsia" w:hAnsi="宋体"/>
                <w:color w:val="auto"/>
                <w:sz w:val="21"/>
                <w:szCs w:val="21"/>
                <w:highlight w:val="none"/>
                <w:u w:val="single"/>
              </w:rPr>
              <w:t xml:space="preserve"> </w:t>
            </w:r>
            <w:r>
              <w:rPr>
                <w:rFonts w:hAnsi="宋体"/>
                <w:color w:val="auto"/>
                <w:sz w:val="21"/>
                <w:szCs w:val="21"/>
                <w:highlight w:val="none"/>
                <w:u w:val="single"/>
              </w:rPr>
              <w:t xml:space="preserve">     </w:t>
            </w:r>
            <w:r>
              <w:rPr>
                <w:rFonts w:hAnsi="宋体"/>
                <w:color w:val="auto"/>
                <w:sz w:val="21"/>
                <w:szCs w:val="21"/>
                <w:highlight w:val="none"/>
              </w:rPr>
              <w:t>（</w:t>
            </w:r>
            <w:r>
              <w:rPr>
                <w:rFonts w:hint="eastAsia" w:hAnsi="宋体"/>
                <w:color w:val="auto"/>
                <w:sz w:val="21"/>
                <w:szCs w:val="21"/>
                <w:highlight w:val="none"/>
              </w:rPr>
              <w:t>小写：</w:t>
            </w:r>
            <w:r>
              <w:rPr>
                <w:rFonts w:hint="eastAsia" w:hAnsi="宋体"/>
                <w:color w:val="auto"/>
                <w:sz w:val="21"/>
                <w:szCs w:val="21"/>
                <w:highlight w:val="none"/>
                <w:u w:val="single"/>
              </w:rPr>
              <w:t>¥</w:t>
            </w:r>
            <w:r>
              <w:rPr>
                <w:rFonts w:hAnsi="宋体"/>
                <w:color w:val="auto"/>
                <w:sz w:val="21"/>
                <w:szCs w:val="21"/>
                <w:highlight w:val="none"/>
                <w:u w:val="single"/>
              </w:rPr>
              <w:t xml:space="preserve">     </w:t>
            </w:r>
            <w:r>
              <w:rPr>
                <w:rFonts w:hint="eastAsia" w:hAnsi="宋体"/>
                <w:color w:val="auto"/>
                <w:sz w:val="21"/>
                <w:szCs w:val="21"/>
                <w:highlight w:val="none"/>
                <w:u w:val="single"/>
              </w:rPr>
              <w:t>元</w:t>
            </w:r>
            <w:r>
              <w:rPr>
                <w:rFonts w:hint="eastAsia" w:hAnsi="宋体"/>
                <w:color w:val="auto"/>
                <w:sz w:val="21"/>
                <w:szCs w:val="21"/>
                <w:highlight w:val="none"/>
              </w:rPr>
              <w:t>），其中增值税税率</w:t>
            </w:r>
            <w:r>
              <w:rPr>
                <w:rFonts w:hAnsi="宋体"/>
                <w:color w:val="auto"/>
                <w:sz w:val="21"/>
                <w:szCs w:val="21"/>
                <w:highlight w:val="none"/>
                <w:u w:val="single"/>
              </w:rPr>
              <w:t xml:space="preserve">   </w:t>
            </w:r>
            <w:r>
              <w:rPr>
                <w:rFonts w:hint="eastAsia" w:hAnsi="宋体"/>
                <w:color w:val="auto"/>
                <w:sz w:val="21"/>
                <w:szCs w:val="21"/>
                <w:highlight w:val="none"/>
                <w:u w:val="single"/>
              </w:rPr>
              <w:t xml:space="preserve"> %</w:t>
            </w:r>
            <w:r>
              <w:rPr>
                <w:rFonts w:hint="eastAsia" w:hAnsi="宋体"/>
                <w:color w:val="auto"/>
                <w:sz w:val="21"/>
                <w:szCs w:val="21"/>
                <w:highlight w:val="none"/>
              </w:rPr>
              <w:t>。</w:t>
            </w:r>
            <w:r>
              <w:rPr>
                <w:rFonts w:hint="eastAsia" w:hAnsi="宋体"/>
                <w:color w:val="auto"/>
                <w:sz w:val="21"/>
                <w:szCs w:val="21"/>
                <w:highlight w:val="none"/>
                <w:lang w:eastAsia="zh-CN"/>
              </w:rPr>
              <w:t>（</w:t>
            </w:r>
            <w:r>
              <w:rPr>
                <w:rFonts w:hint="eastAsia" w:hAnsi="宋体"/>
                <w:color w:val="auto"/>
                <w:sz w:val="21"/>
                <w:szCs w:val="21"/>
                <w:highlight w:val="none"/>
                <w:lang w:val="en-US" w:eastAsia="zh-CN"/>
              </w:rPr>
              <w:t>含</w:t>
            </w:r>
            <w:r>
              <w:rPr>
                <w:rFonts w:hint="eastAsia" w:ascii="宋体" w:hAnsi="宋体" w:eastAsia="宋体" w:cs="宋体"/>
                <w:snapToGrid/>
                <w:color w:val="auto"/>
                <w:kern w:val="2"/>
                <w:highlight w:val="none"/>
                <w:lang w:eastAsia="zh-CN"/>
              </w:rPr>
              <w:t>安全生产措施单列费</w:t>
            </w:r>
            <w:r>
              <w:rPr>
                <w:rFonts w:hint="eastAsia" w:hAnsi="宋体"/>
                <w:color w:val="auto"/>
                <w:sz w:val="21"/>
                <w:szCs w:val="21"/>
                <w:highlight w:val="none"/>
                <w:lang w:eastAsia="zh-CN"/>
              </w:rPr>
              <w:t>）</w:t>
            </w:r>
          </w:p>
        </w:tc>
      </w:tr>
    </w:tbl>
    <w:p w14:paraId="0FD57E13">
      <w:pPr>
        <w:spacing w:line="360" w:lineRule="auto"/>
        <w:rPr>
          <w:color w:val="auto"/>
          <w:sz w:val="21"/>
          <w:szCs w:val="21"/>
          <w:highlight w:val="none"/>
        </w:rPr>
      </w:pPr>
    </w:p>
    <w:p w14:paraId="5C806487">
      <w:pPr>
        <w:spacing w:line="360" w:lineRule="auto"/>
        <w:rPr>
          <w:color w:val="auto"/>
          <w:sz w:val="21"/>
          <w:szCs w:val="21"/>
          <w:highlight w:val="none"/>
        </w:rPr>
      </w:pPr>
      <w:r>
        <w:rPr>
          <w:rFonts w:hint="eastAsia"/>
          <w:color w:val="auto"/>
          <w:sz w:val="21"/>
          <w:szCs w:val="21"/>
          <w:highlight w:val="none"/>
        </w:rPr>
        <w:t>注：1.按要求填写所有信息，不得随意更改本表格式。</w:t>
      </w:r>
    </w:p>
    <w:p w14:paraId="605E991D">
      <w:pPr>
        <w:spacing w:line="360" w:lineRule="auto"/>
        <w:ind w:firstLine="420" w:firstLineChars="200"/>
        <w:outlineLvl w:val="9"/>
        <w:rPr>
          <w:color w:val="auto"/>
          <w:sz w:val="21"/>
          <w:szCs w:val="21"/>
          <w:highlight w:val="none"/>
        </w:rPr>
      </w:pPr>
      <w:r>
        <w:rPr>
          <w:rFonts w:hint="eastAsia"/>
          <w:color w:val="auto"/>
          <w:sz w:val="21"/>
          <w:szCs w:val="21"/>
          <w:highlight w:val="none"/>
        </w:rPr>
        <w:t>2.所有价格均应以人民币报价，金额单位为元。</w:t>
      </w:r>
    </w:p>
    <w:p w14:paraId="19702FAB">
      <w:pPr>
        <w:spacing w:line="360" w:lineRule="auto"/>
        <w:ind w:firstLine="420" w:firstLineChars="200"/>
        <w:rPr>
          <w:color w:val="auto"/>
          <w:sz w:val="21"/>
          <w:szCs w:val="21"/>
          <w:highlight w:val="none"/>
        </w:rPr>
      </w:pPr>
      <w:r>
        <w:rPr>
          <w:rFonts w:hint="eastAsia"/>
          <w:color w:val="auto"/>
          <w:sz w:val="21"/>
          <w:szCs w:val="21"/>
          <w:highlight w:val="none"/>
        </w:rPr>
        <w:t>3</w:t>
      </w:r>
      <w:r>
        <w:rPr>
          <w:color w:val="auto"/>
          <w:sz w:val="21"/>
          <w:szCs w:val="21"/>
          <w:highlight w:val="none"/>
        </w:rPr>
        <w:t>.</w:t>
      </w:r>
      <w:r>
        <w:rPr>
          <w:rFonts w:hint="eastAsia"/>
          <w:color w:val="auto"/>
          <w:sz w:val="21"/>
          <w:szCs w:val="21"/>
          <w:highlight w:val="none"/>
        </w:rPr>
        <w:t>首次报价不可超过预算金额</w:t>
      </w:r>
      <w:r>
        <w:rPr>
          <w:rFonts w:hint="eastAsia" w:hAnsi="宋体"/>
          <w:color w:val="auto"/>
          <w:sz w:val="21"/>
          <w:szCs w:val="21"/>
          <w:highlight w:val="none"/>
        </w:rPr>
        <w:t>。</w:t>
      </w:r>
    </w:p>
    <w:p w14:paraId="7B3EF9CA">
      <w:pPr>
        <w:spacing w:line="360" w:lineRule="exact"/>
        <w:ind w:firstLine="420" w:firstLineChars="200"/>
        <w:rPr>
          <w:color w:val="auto"/>
          <w:sz w:val="21"/>
          <w:szCs w:val="21"/>
          <w:highlight w:val="none"/>
        </w:rPr>
      </w:pPr>
    </w:p>
    <w:p w14:paraId="3B906D21">
      <w:pPr>
        <w:rPr>
          <w:rFonts w:hAnsi="宋体"/>
          <w:color w:val="auto"/>
          <w:sz w:val="21"/>
          <w:szCs w:val="21"/>
          <w:highlight w:val="none"/>
        </w:rPr>
      </w:pPr>
    </w:p>
    <w:p w14:paraId="74510720">
      <w:pPr>
        <w:overflowPunct w:val="0"/>
        <w:spacing w:line="360" w:lineRule="auto"/>
        <w:rPr>
          <w:rFonts w:hAnsi="宋体"/>
          <w:color w:val="auto"/>
          <w:sz w:val="21"/>
          <w:szCs w:val="21"/>
          <w:highlight w:val="none"/>
        </w:rPr>
      </w:pPr>
      <w:r>
        <w:rPr>
          <w:rFonts w:hint="eastAsia" w:hAnsi="宋体"/>
          <w:color w:val="auto"/>
          <w:sz w:val="21"/>
          <w:szCs w:val="21"/>
          <w:highlight w:val="none"/>
        </w:rPr>
        <w:t>供应商名称（加盖公章）：</w:t>
      </w:r>
    </w:p>
    <w:p w14:paraId="317290AF">
      <w:pPr>
        <w:overflowPunct w:val="0"/>
        <w:spacing w:line="360" w:lineRule="auto"/>
        <w:rPr>
          <w:rFonts w:hAnsi="宋体"/>
          <w:color w:val="auto"/>
          <w:sz w:val="21"/>
          <w:szCs w:val="21"/>
          <w:highlight w:val="none"/>
        </w:rPr>
      </w:pPr>
      <w:r>
        <w:rPr>
          <w:rFonts w:hint="eastAsia" w:hAnsi="宋体"/>
          <w:color w:val="auto"/>
          <w:sz w:val="21"/>
          <w:szCs w:val="21"/>
          <w:highlight w:val="none"/>
        </w:rPr>
        <w:t>供应商法定代表人或受委托人（签名或盖私章）：</w:t>
      </w:r>
    </w:p>
    <w:p w14:paraId="7A6BAAE9">
      <w:pPr>
        <w:overflowPunct w:val="0"/>
        <w:spacing w:line="360" w:lineRule="auto"/>
        <w:rPr>
          <w:rFonts w:hAnsi="宋体"/>
          <w:color w:val="auto"/>
          <w:sz w:val="21"/>
          <w:szCs w:val="21"/>
          <w:highlight w:val="none"/>
        </w:rPr>
      </w:pPr>
      <w:r>
        <w:rPr>
          <w:rFonts w:hint="eastAsia" w:hAnsi="宋体"/>
          <w:color w:val="auto"/>
          <w:sz w:val="21"/>
          <w:szCs w:val="21"/>
          <w:highlight w:val="none"/>
        </w:rPr>
        <w:t xml:space="preserve">日期：年月日 </w:t>
      </w:r>
    </w:p>
    <w:p w14:paraId="364E2C61">
      <w:pPr>
        <w:ind w:firstLine="359" w:firstLineChars="171"/>
        <w:rPr>
          <w:rFonts w:hAnsi="宋体"/>
          <w:color w:val="auto"/>
          <w:sz w:val="21"/>
          <w:szCs w:val="21"/>
          <w:highlight w:val="none"/>
        </w:rPr>
      </w:pPr>
    </w:p>
    <w:p w14:paraId="549C26DE">
      <w:pPr>
        <w:spacing w:line="360" w:lineRule="auto"/>
        <w:ind w:left="391" w:hanging="390" w:hangingChars="186"/>
        <w:rPr>
          <w:rFonts w:hAnsi="宋体"/>
          <w:color w:val="auto"/>
          <w:sz w:val="21"/>
          <w:szCs w:val="21"/>
          <w:highlight w:val="none"/>
        </w:rPr>
      </w:pPr>
      <w:r>
        <w:rPr>
          <w:rFonts w:hint="eastAsia" w:hAnsi="宋体"/>
          <w:color w:val="auto"/>
          <w:sz w:val="21"/>
          <w:szCs w:val="21"/>
          <w:highlight w:val="none"/>
        </w:rPr>
        <w:t xml:space="preserve">    注：</w:t>
      </w:r>
    </w:p>
    <w:p w14:paraId="49EB9711">
      <w:pPr>
        <w:spacing w:line="360" w:lineRule="auto"/>
        <w:ind w:firstLine="420" w:firstLineChars="200"/>
        <w:rPr>
          <w:rFonts w:hAnsi="宋体"/>
          <w:color w:val="auto"/>
          <w:sz w:val="21"/>
          <w:szCs w:val="21"/>
          <w:highlight w:val="none"/>
        </w:rPr>
      </w:pPr>
      <w:r>
        <w:rPr>
          <w:rFonts w:hint="eastAsia" w:hAnsi="宋体"/>
          <w:color w:val="auto"/>
          <w:sz w:val="21"/>
          <w:szCs w:val="21"/>
          <w:highlight w:val="none"/>
        </w:rPr>
        <w:t>1、响应总价栏须</w:t>
      </w:r>
      <w:r>
        <w:rPr>
          <w:rFonts w:hAnsi="宋体"/>
          <w:color w:val="auto"/>
          <w:sz w:val="21"/>
          <w:szCs w:val="21"/>
          <w:highlight w:val="none"/>
        </w:rPr>
        <w:t>用</w:t>
      </w:r>
      <w:r>
        <w:rPr>
          <w:rFonts w:hint="eastAsia" w:hAnsi="宋体"/>
          <w:color w:val="auto"/>
          <w:sz w:val="21"/>
          <w:szCs w:val="21"/>
          <w:highlight w:val="none"/>
        </w:rPr>
        <w:t>大写金额和小写金额两种方式</w:t>
      </w:r>
      <w:r>
        <w:rPr>
          <w:rFonts w:hAnsi="宋体"/>
          <w:color w:val="auto"/>
          <w:sz w:val="21"/>
          <w:szCs w:val="21"/>
          <w:highlight w:val="none"/>
        </w:rPr>
        <w:t>表示的总价</w:t>
      </w:r>
      <w:r>
        <w:rPr>
          <w:rFonts w:hint="eastAsia" w:hAnsi="宋体"/>
          <w:color w:val="auto"/>
          <w:sz w:val="21"/>
          <w:szCs w:val="21"/>
          <w:highlight w:val="none"/>
        </w:rPr>
        <w:t>，报价保留小数点后两位。总价大小写不一致，以大写为准。总价必须准确唯一且应包含采购文件要求的所有费用。</w:t>
      </w:r>
    </w:p>
    <w:p w14:paraId="77FD2678">
      <w:pPr>
        <w:spacing w:line="360" w:lineRule="auto"/>
        <w:ind w:firstLine="420" w:firstLineChars="200"/>
        <w:rPr>
          <w:rFonts w:hAnsi="宋体"/>
          <w:color w:val="auto"/>
          <w:sz w:val="21"/>
          <w:szCs w:val="21"/>
          <w:highlight w:val="none"/>
        </w:rPr>
      </w:pPr>
      <w:r>
        <w:rPr>
          <w:rFonts w:hint="eastAsia" w:hAnsi="宋体"/>
          <w:color w:val="auto"/>
          <w:sz w:val="21"/>
          <w:szCs w:val="21"/>
          <w:highlight w:val="none"/>
        </w:rPr>
        <w:t>2、温馨提示：未按采购文件要求报价、填写报价一览表是导致供应商废标的常见问题，请供应商仔细填写，认真核对。</w:t>
      </w:r>
    </w:p>
    <w:p w14:paraId="61A6DB7A">
      <w:pPr>
        <w:rPr>
          <w:color w:val="auto"/>
          <w:highlight w:val="none"/>
        </w:rPr>
      </w:pPr>
      <w:r>
        <w:rPr>
          <w:color w:val="auto"/>
          <w:highlight w:val="none"/>
        </w:rPr>
        <w:br w:type="page"/>
      </w:r>
    </w:p>
    <w:p w14:paraId="564C2589">
      <w:pPr>
        <w:pStyle w:val="3"/>
        <w:spacing w:line="240" w:lineRule="auto"/>
        <w:rPr>
          <w:rFonts w:ascii="黑体" w:hAnsi="Times New Roman"/>
          <w:b w:val="0"/>
          <w:bCs w:val="0"/>
          <w:color w:val="auto"/>
          <w:sz w:val="28"/>
          <w:szCs w:val="28"/>
          <w:highlight w:val="none"/>
        </w:rPr>
      </w:pPr>
      <w:bookmarkStart w:id="219" w:name="_Toc486425445"/>
      <w:bookmarkStart w:id="220" w:name="_Toc75852786"/>
      <w:bookmarkStart w:id="221" w:name="_Toc338669164"/>
      <w:r>
        <w:rPr>
          <w:rFonts w:hint="eastAsia" w:ascii="黑体" w:hAnsi="Times New Roman"/>
          <w:b w:val="0"/>
          <w:bCs w:val="0"/>
          <w:color w:val="auto"/>
          <w:sz w:val="28"/>
          <w:szCs w:val="28"/>
          <w:highlight w:val="none"/>
        </w:rPr>
        <w:t>二、分项报价表</w:t>
      </w:r>
      <w:bookmarkEnd w:id="219"/>
      <w:bookmarkEnd w:id="220"/>
      <w:bookmarkEnd w:id="221"/>
    </w:p>
    <w:p w14:paraId="29688AB8">
      <w:pPr>
        <w:spacing w:line="360" w:lineRule="auto"/>
        <w:ind w:firstLine="420" w:firstLineChars="200"/>
        <w:rPr>
          <w:rFonts w:hAnsi="宋体"/>
          <w:color w:val="auto"/>
          <w:sz w:val="21"/>
          <w:szCs w:val="21"/>
          <w:highlight w:val="none"/>
        </w:rPr>
      </w:pPr>
      <w:r>
        <w:rPr>
          <w:rFonts w:hint="eastAsia" w:hAnsi="宋体"/>
          <w:color w:val="auto"/>
          <w:sz w:val="21"/>
          <w:szCs w:val="21"/>
          <w:highlight w:val="none"/>
        </w:rPr>
        <w:t>说明：</w:t>
      </w:r>
    </w:p>
    <w:p w14:paraId="3AC27FA3">
      <w:pPr>
        <w:numPr>
          <w:ilvl w:val="0"/>
          <w:numId w:val="0"/>
        </w:numPr>
        <w:spacing w:line="360" w:lineRule="auto"/>
        <w:ind w:firstLine="420" w:firstLineChars="200"/>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bidi="ar-SA"/>
        </w:rPr>
        <w:t>1、</w:t>
      </w:r>
      <w:r>
        <w:rPr>
          <w:rFonts w:hint="eastAsia" w:ascii="宋体" w:hAnsi="宋体" w:cs="宋体"/>
          <w:b w:val="0"/>
          <w:bCs w:val="0"/>
          <w:color w:val="auto"/>
          <w:sz w:val="21"/>
          <w:szCs w:val="21"/>
          <w:highlight w:val="none"/>
          <w:lang w:val="en-US" w:eastAsia="zh-CN" w:bidi="ar-SA"/>
        </w:rPr>
        <w:t>分项报价可</w:t>
      </w:r>
      <w:r>
        <w:rPr>
          <w:rFonts w:hint="eastAsia" w:ascii="宋体" w:hAnsi="宋体" w:eastAsia="宋体" w:cs="宋体"/>
          <w:b w:val="0"/>
          <w:bCs w:val="0"/>
          <w:color w:val="auto"/>
          <w:spacing w:val="6"/>
          <w:sz w:val="21"/>
          <w:szCs w:val="21"/>
          <w:highlight w:val="none"/>
        </w:rPr>
        <w:t>使用</w:t>
      </w:r>
      <w:r>
        <w:rPr>
          <w:rFonts w:hint="eastAsia" w:ascii="宋体" w:hAnsi="宋体" w:cs="宋体"/>
          <w:b w:val="0"/>
          <w:bCs w:val="0"/>
          <w:color w:val="auto"/>
          <w:spacing w:val="6"/>
          <w:sz w:val="21"/>
          <w:szCs w:val="21"/>
          <w:highlight w:val="none"/>
          <w:lang w:val="en-US" w:eastAsia="zh-CN"/>
        </w:rPr>
        <w:t>竞争性谈判公告</w:t>
      </w:r>
      <w:r>
        <w:rPr>
          <w:rFonts w:hint="eastAsia" w:ascii="宋体" w:hAnsi="宋体" w:eastAsia="宋体" w:cs="宋体"/>
          <w:b w:val="0"/>
          <w:bCs w:val="0"/>
          <w:color w:val="auto"/>
          <w:spacing w:val="6"/>
          <w:sz w:val="21"/>
          <w:szCs w:val="21"/>
          <w:highlight w:val="none"/>
        </w:rPr>
        <w:t>发出的</w:t>
      </w:r>
      <w:r>
        <w:rPr>
          <w:rFonts w:hint="eastAsia" w:ascii="宋体" w:hAnsi="宋体" w:cs="宋体"/>
          <w:b w:val="0"/>
          <w:bCs w:val="0"/>
          <w:color w:val="auto"/>
          <w:spacing w:val="6"/>
          <w:sz w:val="21"/>
          <w:szCs w:val="21"/>
          <w:highlight w:val="none"/>
          <w:lang w:val="en-US" w:eastAsia="zh-CN"/>
        </w:rPr>
        <w:t>附件《</w:t>
      </w:r>
      <w:r>
        <w:rPr>
          <w:rFonts w:hint="eastAsia" w:ascii="宋体" w:hAnsi="宋体" w:eastAsia="宋体" w:cs="宋体"/>
          <w:b w:val="0"/>
          <w:bCs w:val="0"/>
          <w:color w:val="auto"/>
          <w:sz w:val="21"/>
          <w:szCs w:val="21"/>
          <w:highlight w:val="none"/>
        </w:rPr>
        <w:t>工程量清单</w:t>
      </w:r>
      <w:r>
        <w:rPr>
          <w:rFonts w:hint="eastAsia" w:ascii="宋体" w:hAnsi="宋体" w:cs="宋体"/>
          <w:b w:val="0"/>
          <w:bCs w:val="0"/>
          <w:color w:val="auto"/>
          <w:sz w:val="21"/>
          <w:szCs w:val="21"/>
          <w:highlight w:val="none"/>
          <w:lang w:val="en-US" w:eastAsia="zh-CN"/>
        </w:rPr>
        <w:t>报价</w:t>
      </w:r>
      <w:r>
        <w:rPr>
          <w:rFonts w:hint="eastAsia" w:ascii="宋体" w:hAnsi="宋体" w:cs="宋体"/>
          <w:b w:val="0"/>
          <w:bCs w:val="0"/>
          <w:color w:val="auto"/>
          <w:spacing w:val="6"/>
          <w:sz w:val="21"/>
          <w:szCs w:val="21"/>
          <w:highlight w:val="none"/>
          <w:lang w:val="en-US" w:eastAsia="zh-CN"/>
        </w:rPr>
        <w:t>》</w:t>
      </w:r>
      <w:r>
        <w:rPr>
          <w:rFonts w:hint="eastAsia" w:ascii="宋体" w:hAnsi="宋体" w:eastAsia="宋体" w:cs="宋体"/>
          <w:b w:val="0"/>
          <w:bCs w:val="0"/>
          <w:color w:val="auto"/>
          <w:sz w:val="21"/>
          <w:szCs w:val="21"/>
          <w:highlight w:val="none"/>
        </w:rPr>
        <w:t>（</w:t>
      </w:r>
      <w:r>
        <w:rPr>
          <w:rFonts w:hint="eastAsia" w:ascii="宋体" w:hAnsi="宋体" w:cs="宋体"/>
          <w:b w:val="0"/>
          <w:bCs w:val="0"/>
          <w:color w:val="auto"/>
          <w:sz w:val="21"/>
          <w:szCs w:val="21"/>
          <w:highlight w:val="none"/>
          <w:lang w:val="en-US" w:eastAsia="zh-CN"/>
        </w:rPr>
        <w:t>可手写</w:t>
      </w:r>
      <w:r>
        <w:rPr>
          <w:rFonts w:hint="eastAsia" w:ascii="宋体" w:hAnsi="宋体" w:eastAsia="宋体" w:cs="宋体"/>
          <w:b w:val="0"/>
          <w:bCs w:val="0"/>
          <w:color w:val="auto"/>
          <w:sz w:val="21"/>
          <w:szCs w:val="21"/>
          <w:highlight w:val="none"/>
        </w:rPr>
        <w:t>）。</w:t>
      </w:r>
    </w:p>
    <w:p w14:paraId="4CF2F98E">
      <w:pPr>
        <w:numPr>
          <w:ilvl w:val="0"/>
          <w:numId w:val="0"/>
        </w:numPr>
        <w:spacing w:line="360" w:lineRule="auto"/>
        <w:ind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bidi="ar-SA"/>
        </w:rPr>
        <w:t>2、</w:t>
      </w:r>
      <w:r>
        <w:rPr>
          <w:rFonts w:hint="eastAsia" w:ascii="宋体" w:hAnsi="宋体" w:eastAsia="宋体" w:cs="宋体"/>
          <w:b w:val="0"/>
          <w:bCs/>
          <w:color w:val="auto"/>
          <w:sz w:val="21"/>
          <w:szCs w:val="21"/>
          <w:highlight w:val="none"/>
        </w:rPr>
        <w:t>总价金额与清单算术总额不一致的，以总价金额为准。</w:t>
      </w:r>
    </w:p>
    <w:p w14:paraId="7678ADD5">
      <w:pPr>
        <w:numPr>
          <w:ilvl w:val="0"/>
          <w:numId w:val="0"/>
        </w:numPr>
        <w:spacing w:line="360" w:lineRule="auto"/>
        <w:ind w:firstLine="420" w:firstLineChars="200"/>
        <w:rPr>
          <w:rFonts w:hAnsi="宋体"/>
          <w:color w:val="auto"/>
          <w:sz w:val="21"/>
          <w:szCs w:val="21"/>
          <w:highlight w:val="none"/>
        </w:rPr>
      </w:pPr>
      <w:r>
        <w:rPr>
          <w:rFonts w:hint="eastAsia" w:ascii="宋体" w:hAnsi="宋体" w:cs="宋体"/>
          <w:b w:val="0"/>
          <w:bCs/>
          <w:color w:val="auto"/>
          <w:sz w:val="21"/>
          <w:szCs w:val="21"/>
          <w:highlight w:val="none"/>
          <w:lang w:val="en-US" w:eastAsia="zh-CN" w:bidi="ar-SA"/>
        </w:rPr>
        <w:t>3</w:t>
      </w:r>
      <w:r>
        <w:rPr>
          <w:rFonts w:hint="eastAsia" w:ascii="宋体" w:hAnsi="宋体" w:eastAsia="宋体" w:cs="宋体"/>
          <w:b w:val="0"/>
          <w:bCs/>
          <w:color w:val="auto"/>
          <w:sz w:val="21"/>
          <w:szCs w:val="21"/>
          <w:highlight w:val="none"/>
          <w:lang w:val="en-US" w:eastAsia="zh-CN" w:bidi="ar-SA"/>
        </w:rPr>
        <w:t>、</w:t>
      </w:r>
      <w:r>
        <w:rPr>
          <w:rFonts w:hint="eastAsia" w:ascii="宋体" w:hAnsi="宋体" w:eastAsia="宋体" w:cs="宋体"/>
          <w:b w:val="0"/>
          <w:bCs/>
          <w:i w:val="0"/>
          <w:iCs w:val="0"/>
          <w:caps w:val="0"/>
          <w:color w:val="auto"/>
          <w:spacing w:val="0"/>
          <w:sz w:val="21"/>
          <w:szCs w:val="21"/>
          <w:highlight w:val="none"/>
          <w:shd w:val="clear" w:fill="FFFFFF"/>
          <w:lang w:val="en-US" w:eastAsia="zh-CN"/>
        </w:rPr>
        <w:t>总价</w:t>
      </w:r>
      <w:r>
        <w:rPr>
          <w:rFonts w:hint="eastAsia" w:ascii="宋体" w:hAnsi="宋体" w:eastAsia="宋体" w:cs="宋体"/>
          <w:b w:val="0"/>
          <w:bCs/>
          <w:i w:val="0"/>
          <w:iCs w:val="0"/>
          <w:caps w:val="0"/>
          <w:color w:val="auto"/>
          <w:spacing w:val="0"/>
          <w:sz w:val="21"/>
          <w:szCs w:val="21"/>
          <w:highlight w:val="none"/>
          <w:shd w:val="clear" w:fill="FFFFFF"/>
        </w:rPr>
        <w:t>包干所有费用，包括为履行合同责任和义务、全面完成工程所发生的措施项目</w:t>
      </w:r>
      <w:r>
        <w:rPr>
          <w:rFonts w:hint="eastAsia" w:ascii="宋体" w:hAnsi="宋体" w:eastAsia="宋体" w:cs="宋体"/>
          <w:i w:val="0"/>
          <w:iCs w:val="0"/>
          <w:caps w:val="0"/>
          <w:color w:val="auto"/>
          <w:spacing w:val="0"/>
          <w:sz w:val="21"/>
          <w:szCs w:val="21"/>
          <w:highlight w:val="none"/>
          <w:shd w:val="clear" w:fill="FFFFFF"/>
        </w:rPr>
        <w:t>费用</w:t>
      </w:r>
      <w:r>
        <w:rPr>
          <w:rFonts w:hint="eastAsia" w:ascii="宋体" w:hAnsi="宋体" w:eastAsia="宋体" w:cs="宋体"/>
          <w:color w:val="auto"/>
          <w:sz w:val="21"/>
          <w:szCs w:val="21"/>
          <w:highlight w:val="none"/>
        </w:rPr>
        <w:t>。</w:t>
      </w:r>
    </w:p>
    <w:p w14:paraId="5320DCF9">
      <w:pPr>
        <w:rPr>
          <w:color w:val="auto"/>
          <w:highlight w:val="none"/>
        </w:rPr>
      </w:pPr>
      <w:r>
        <w:rPr>
          <w:color w:val="auto"/>
          <w:highlight w:val="none"/>
        </w:rPr>
        <w:br w:type="page"/>
      </w:r>
    </w:p>
    <w:p w14:paraId="2ECA2DAD">
      <w:pPr>
        <w:pStyle w:val="3"/>
        <w:jc w:val="left"/>
        <w:rPr>
          <w:color w:val="auto"/>
          <w:highlight w:val="none"/>
        </w:rPr>
      </w:pPr>
      <w:bookmarkStart w:id="222" w:name="_Toc75852787"/>
      <w:r>
        <w:rPr>
          <w:rFonts w:hint="eastAsia"/>
          <w:color w:val="auto"/>
          <w:highlight w:val="none"/>
        </w:rPr>
        <w:t>第三部分</w:t>
      </w:r>
      <w:r>
        <w:rPr>
          <w:color w:val="auto"/>
          <w:highlight w:val="none"/>
        </w:rPr>
        <w:t xml:space="preserve">  </w:t>
      </w:r>
      <w:r>
        <w:rPr>
          <w:rFonts w:hint="eastAsia"/>
          <w:color w:val="auto"/>
          <w:highlight w:val="none"/>
        </w:rPr>
        <w:t>唱标信封（单独密封）</w:t>
      </w:r>
      <w:bookmarkEnd w:id="222"/>
    </w:p>
    <w:p w14:paraId="1D470AEF">
      <w:pPr>
        <w:spacing w:line="360" w:lineRule="auto"/>
        <w:ind w:left="796" w:leftChars="178" w:hanging="422" w:hangingChars="201"/>
        <w:rPr>
          <w:rFonts w:hAnsi="宋体"/>
          <w:color w:val="auto"/>
          <w:szCs w:val="21"/>
          <w:highlight w:val="none"/>
        </w:rPr>
      </w:pPr>
    </w:p>
    <w:p w14:paraId="497B386F">
      <w:pPr>
        <w:spacing w:line="360" w:lineRule="auto"/>
        <w:ind w:left="796" w:leftChars="178" w:hanging="422" w:hangingChars="201"/>
        <w:rPr>
          <w:rFonts w:hAnsi="宋体"/>
          <w:color w:val="auto"/>
          <w:szCs w:val="21"/>
          <w:highlight w:val="none"/>
        </w:rPr>
      </w:pPr>
      <w:r>
        <w:rPr>
          <w:rFonts w:hint="eastAsia" w:hAnsi="宋体"/>
          <w:color w:val="auto"/>
          <w:szCs w:val="21"/>
          <w:highlight w:val="none"/>
        </w:rPr>
        <w:t>唱标信封内装：</w:t>
      </w:r>
    </w:p>
    <w:p w14:paraId="1730CA5A">
      <w:pPr>
        <w:numPr>
          <w:ilvl w:val="0"/>
          <w:numId w:val="6"/>
        </w:numPr>
        <w:autoSpaceDE w:val="0"/>
        <w:autoSpaceDN w:val="0"/>
        <w:adjustRightInd w:val="0"/>
        <w:spacing w:line="360" w:lineRule="auto"/>
        <w:ind w:firstLineChars="200"/>
        <w:jc w:val="left"/>
        <w:rPr>
          <w:rFonts w:hAnsi="宋体"/>
          <w:color w:val="auto"/>
          <w:szCs w:val="21"/>
          <w:highlight w:val="none"/>
        </w:rPr>
      </w:pPr>
      <w:r>
        <w:rPr>
          <w:rFonts w:hint="eastAsia" w:hAnsi="宋体"/>
          <w:color w:val="auto"/>
          <w:szCs w:val="21"/>
          <w:highlight w:val="none"/>
        </w:rPr>
        <w:t>竞争性谈判响应函复印件加盖公章；</w:t>
      </w:r>
    </w:p>
    <w:p w14:paraId="45CF91DF">
      <w:pPr>
        <w:numPr>
          <w:ilvl w:val="0"/>
          <w:numId w:val="6"/>
        </w:numPr>
        <w:autoSpaceDE w:val="0"/>
        <w:autoSpaceDN w:val="0"/>
        <w:adjustRightInd w:val="0"/>
        <w:spacing w:line="360" w:lineRule="auto"/>
        <w:ind w:firstLineChars="200"/>
        <w:jc w:val="left"/>
        <w:rPr>
          <w:rFonts w:hAnsi="宋体"/>
          <w:color w:val="auto"/>
          <w:szCs w:val="21"/>
          <w:highlight w:val="none"/>
        </w:rPr>
      </w:pPr>
      <w:r>
        <w:rPr>
          <w:rFonts w:hint="eastAsia" w:hAnsi="宋体"/>
          <w:color w:val="auto"/>
          <w:szCs w:val="21"/>
          <w:highlight w:val="none"/>
        </w:rPr>
        <w:t>法定代表人证明书复印件加盖公章；</w:t>
      </w:r>
    </w:p>
    <w:p w14:paraId="471BF42C">
      <w:pPr>
        <w:numPr>
          <w:ilvl w:val="0"/>
          <w:numId w:val="6"/>
        </w:numPr>
        <w:autoSpaceDE w:val="0"/>
        <w:autoSpaceDN w:val="0"/>
        <w:adjustRightInd w:val="0"/>
        <w:spacing w:line="360" w:lineRule="auto"/>
        <w:ind w:firstLineChars="200"/>
        <w:jc w:val="left"/>
        <w:rPr>
          <w:rFonts w:hAnsi="宋体"/>
          <w:color w:val="auto"/>
          <w:szCs w:val="21"/>
          <w:highlight w:val="none"/>
        </w:rPr>
      </w:pPr>
      <w:r>
        <w:rPr>
          <w:rFonts w:hint="eastAsia" w:hAnsi="宋体"/>
          <w:color w:val="auto"/>
          <w:szCs w:val="21"/>
          <w:highlight w:val="none"/>
        </w:rPr>
        <w:t>法定代表人授权委托书复印件加盖公章（法定代表人投标的除外）；</w:t>
      </w:r>
    </w:p>
    <w:p w14:paraId="167325DC">
      <w:pPr>
        <w:numPr>
          <w:ilvl w:val="0"/>
          <w:numId w:val="6"/>
        </w:numPr>
        <w:autoSpaceDE w:val="0"/>
        <w:autoSpaceDN w:val="0"/>
        <w:adjustRightInd w:val="0"/>
        <w:spacing w:line="360" w:lineRule="auto"/>
        <w:ind w:firstLineChars="200"/>
        <w:jc w:val="left"/>
        <w:rPr>
          <w:rFonts w:hAnsi="宋体"/>
          <w:color w:val="auto"/>
          <w:szCs w:val="21"/>
          <w:highlight w:val="none"/>
        </w:rPr>
      </w:pPr>
      <w:r>
        <w:rPr>
          <w:rFonts w:hint="eastAsia" w:hAnsi="宋体"/>
          <w:color w:val="auto"/>
          <w:szCs w:val="21"/>
          <w:highlight w:val="none"/>
        </w:rPr>
        <w:t>报价一览表复印件加盖公章；</w:t>
      </w:r>
    </w:p>
    <w:p w14:paraId="5A8035A6">
      <w:pPr>
        <w:numPr>
          <w:ilvl w:val="0"/>
          <w:numId w:val="6"/>
        </w:numPr>
        <w:autoSpaceDE w:val="0"/>
        <w:autoSpaceDN w:val="0"/>
        <w:adjustRightInd w:val="0"/>
        <w:spacing w:line="360" w:lineRule="auto"/>
        <w:ind w:firstLineChars="200"/>
        <w:jc w:val="left"/>
        <w:rPr>
          <w:rFonts w:hAnsi="宋体"/>
          <w:color w:val="auto"/>
          <w:szCs w:val="21"/>
          <w:highlight w:val="none"/>
        </w:rPr>
      </w:pPr>
      <w:r>
        <w:rPr>
          <w:rFonts w:hint="eastAsia" w:hAnsi="宋体"/>
          <w:color w:val="auto"/>
          <w:szCs w:val="21"/>
          <w:highlight w:val="none"/>
        </w:rPr>
        <w:t>谈判保证金银行汇款凭证复印件加盖公章；</w:t>
      </w:r>
    </w:p>
    <w:p w14:paraId="0396FB26">
      <w:pPr>
        <w:numPr>
          <w:ilvl w:val="0"/>
          <w:numId w:val="6"/>
        </w:numPr>
        <w:autoSpaceDE w:val="0"/>
        <w:autoSpaceDN w:val="0"/>
        <w:adjustRightInd w:val="0"/>
        <w:spacing w:line="360" w:lineRule="auto"/>
        <w:ind w:firstLineChars="200"/>
        <w:jc w:val="left"/>
        <w:rPr>
          <w:rFonts w:hAnsi="宋体"/>
          <w:color w:val="auto"/>
          <w:szCs w:val="21"/>
          <w:highlight w:val="none"/>
        </w:rPr>
      </w:pPr>
      <w:r>
        <w:rPr>
          <w:rFonts w:hint="eastAsia" w:hAnsi="宋体"/>
          <w:color w:val="auto"/>
          <w:szCs w:val="21"/>
          <w:highlight w:val="none"/>
        </w:rPr>
        <w:t>响应文件电子文件（U盘）；</w:t>
      </w:r>
    </w:p>
    <w:p w14:paraId="522D8C1D">
      <w:pPr>
        <w:tabs>
          <w:tab w:val="left" w:pos="720"/>
        </w:tabs>
        <w:spacing w:line="440" w:lineRule="exact"/>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华文隶书">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C4810">
    <w:pPr>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3175" r="635" b="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7CEDB65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28</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5X5J0AAAAAMBAAAPAAAAAAAAAAEAIAAAACIAAABkcnMv&#10;ZG93bnJldi54bWxQSwECFAAUAAAACACHTuJAj5xr/QsCAAACBAAADgAAAAAAAAABACAAAAAfAQAA&#10;ZHJzL2Uyb0RvYy54bWxQSwUGAAAAAAYABgBZAQAAnAUAAAAA&#10;">
              <v:fill on="f" focussize="0,0"/>
              <v:stroke on="f"/>
              <v:imagedata o:title=""/>
              <o:lock v:ext="edit" aspectratio="f"/>
              <v:textbox inset="0mm,0mm,0mm,0mm" style="mso-fit-shape-to-text:t;">
                <w:txbxContent>
                  <w:p w14:paraId="7CEDB65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28</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75C48"/>
    <w:multiLevelType w:val="multilevel"/>
    <w:tmpl w:val="00975C48"/>
    <w:lvl w:ilvl="0" w:tentative="0">
      <w:start w:val="1"/>
      <w:numFmt w:val="decimal"/>
      <w:lvlText w:val="（%1）"/>
      <w:lvlJc w:val="left"/>
      <w:pPr>
        <w:ind w:left="156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9E0DA6F"/>
    <w:multiLevelType w:val="singleLevel"/>
    <w:tmpl w:val="09E0DA6F"/>
    <w:lvl w:ilvl="0" w:tentative="0">
      <w:start w:val="3"/>
      <w:numFmt w:val="decimal"/>
      <w:suff w:val="nothing"/>
      <w:lvlText w:val="%1、"/>
      <w:lvlJc w:val="left"/>
    </w:lvl>
  </w:abstractNum>
  <w:abstractNum w:abstractNumId="2">
    <w:nsid w:val="27D67977"/>
    <w:multiLevelType w:val="multilevel"/>
    <w:tmpl w:val="27D67977"/>
    <w:lvl w:ilvl="0" w:tentative="0">
      <w:start w:val="1"/>
      <w:numFmt w:val="decimal"/>
      <w:lvlText w:val="%1"/>
      <w:lvlJc w:val="left"/>
      <w:pPr>
        <w:ind w:left="425" w:hanging="425"/>
      </w:pPr>
    </w:lvl>
    <w:lvl w:ilvl="1" w:tentative="0">
      <w:start w:val="1"/>
      <w:numFmt w:val="decimal"/>
      <w:lvlText w:val="%1.%2"/>
      <w:lvlJc w:val="left"/>
      <w:pPr>
        <w:ind w:left="992" w:hanging="567"/>
      </w:pPr>
      <w:rPr>
        <w:b w:val="0"/>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
    <w:nsid w:val="34E02070"/>
    <w:multiLevelType w:val="multilevel"/>
    <w:tmpl w:val="34E02070"/>
    <w:lvl w:ilvl="0" w:tentative="0">
      <w:start w:val="1"/>
      <w:numFmt w:val="decimal"/>
      <w:lvlText w:val="%1"/>
      <w:lvlJc w:val="left"/>
      <w:pPr>
        <w:ind w:left="425" w:hanging="425"/>
      </w:pPr>
      <w:rPr>
        <w:rFonts w:hint="eastAsia"/>
      </w:rPr>
    </w:lvl>
    <w:lvl w:ilvl="1" w:tentative="0">
      <w:start w:val="1"/>
      <w:numFmt w:val="decimal"/>
      <w:lvlText w:val="2.%2"/>
      <w:lvlJc w:val="left"/>
      <w:pPr>
        <w:ind w:left="992" w:hanging="567"/>
      </w:pPr>
      <w:rPr>
        <w:rFonts w:hint="eastAsia"/>
        <w:b w:val="0"/>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
    <w:nsid w:val="4AC775F4"/>
    <w:multiLevelType w:val="multilevel"/>
    <w:tmpl w:val="4AC775F4"/>
    <w:lvl w:ilvl="0" w:tentative="0">
      <w:start w:val="1"/>
      <w:numFmt w:val="decimal"/>
      <w:lvlText w:val="%1."/>
      <w:lvlJc w:val="left"/>
      <w:pPr>
        <w:ind w:left="425" w:hanging="425"/>
      </w:pPr>
      <w:rPr>
        <w:rFonts w:hint="eastAsia" w:ascii="宋体" w:hAnsi="宋体" w:eastAsia="宋体"/>
        <w:b/>
        <w:sz w:val="28"/>
      </w:rPr>
    </w:lvl>
    <w:lvl w:ilvl="1" w:tentative="0">
      <w:start w:val="1"/>
      <w:numFmt w:val="decimal"/>
      <w:pStyle w:val="35"/>
      <w:lvlText w:val="%1.%2"/>
      <w:lvlJc w:val="left"/>
      <w:pPr>
        <w:ind w:left="850" w:hanging="425"/>
      </w:pPr>
      <w:rPr>
        <w:rFonts w:hint="eastAsia" w:eastAsia="宋体"/>
        <w:b/>
        <w:i w:val="0"/>
        <w:sz w:val="24"/>
      </w:rPr>
    </w:lvl>
    <w:lvl w:ilvl="2" w:tentative="0">
      <w:start w:val="1"/>
      <w:numFmt w:val="decimal"/>
      <w:pStyle w:val="71"/>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5">
    <w:nsid w:val="59C5D728"/>
    <w:multiLevelType w:val="singleLevel"/>
    <w:tmpl w:val="59C5D728"/>
    <w:lvl w:ilvl="0" w:tentative="0">
      <w:start w:val="1"/>
      <w:numFmt w:val="chineseCounting"/>
      <w:suff w:val="nothing"/>
      <w:lvlText w:val="%1、"/>
      <w:lvlJc w:val="left"/>
      <w:pPr>
        <w:ind w:left="0" w:firstLine="420"/>
      </w:pPr>
      <w:rPr>
        <w:rFonts w:hint="eastAsia"/>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043"/>
    <w:rsid w:val="0000377B"/>
    <w:rsid w:val="000068EA"/>
    <w:rsid w:val="00007223"/>
    <w:rsid w:val="0001068F"/>
    <w:rsid w:val="000125F4"/>
    <w:rsid w:val="000259BD"/>
    <w:rsid w:val="0003046F"/>
    <w:rsid w:val="00031930"/>
    <w:rsid w:val="000353AC"/>
    <w:rsid w:val="00046275"/>
    <w:rsid w:val="00053FF2"/>
    <w:rsid w:val="00055DA3"/>
    <w:rsid w:val="000634B4"/>
    <w:rsid w:val="0007006A"/>
    <w:rsid w:val="00070D24"/>
    <w:rsid w:val="000761F7"/>
    <w:rsid w:val="00076DFA"/>
    <w:rsid w:val="00081F9C"/>
    <w:rsid w:val="000862DF"/>
    <w:rsid w:val="000873D4"/>
    <w:rsid w:val="0008744A"/>
    <w:rsid w:val="00091BA0"/>
    <w:rsid w:val="00092304"/>
    <w:rsid w:val="000A0E22"/>
    <w:rsid w:val="000A24D5"/>
    <w:rsid w:val="000B0915"/>
    <w:rsid w:val="000B6DE6"/>
    <w:rsid w:val="000C2D7F"/>
    <w:rsid w:val="000C6828"/>
    <w:rsid w:val="000D3326"/>
    <w:rsid w:val="000D39C4"/>
    <w:rsid w:val="000D6A60"/>
    <w:rsid w:val="000E1DA4"/>
    <w:rsid w:val="000E5805"/>
    <w:rsid w:val="000F26EE"/>
    <w:rsid w:val="000F3DBB"/>
    <w:rsid w:val="000F58BD"/>
    <w:rsid w:val="000F676E"/>
    <w:rsid w:val="001033E2"/>
    <w:rsid w:val="0011115C"/>
    <w:rsid w:val="001114E2"/>
    <w:rsid w:val="00113948"/>
    <w:rsid w:val="00124BCF"/>
    <w:rsid w:val="0012586F"/>
    <w:rsid w:val="00125AE4"/>
    <w:rsid w:val="001308F0"/>
    <w:rsid w:val="00131A68"/>
    <w:rsid w:val="0013254C"/>
    <w:rsid w:val="00132BFB"/>
    <w:rsid w:val="0013421C"/>
    <w:rsid w:val="00134782"/>
    <w:rsid w:val="0013663E"/>
    <w:rsid w:val="00142BF2"/>
    <w:rsid w:val="001545C3"/>
    <w:rsid w:val="00162486"/>
    <w:rsid w:val="0016555D"/>
    <w:rsid w:val="00166828"/>
    <w:rsid w:val="001762A3"/>
    <w:rsid w:val="001776DB"/>
    <w:rsid w:val="00177990"/>
    <w:rsid w:val="001926AA"/>
    <w:rsid w:val="0019600D"/>
    <w:rsid w:val="001A39AD"/>
    <w:rsid w:val="001A557C"/>
    <w:rsid w:val="001B5293"/>
    <w:rsid w:val="001B6936"/>
    <w:rsid w:val="001C0E77"/>
    <w:rsid w:val="001C48B4"/>
    <w:rsid w:val="001C7FA0"/>
    <w:rsid w:val="001D001E"/>
    <w:rsid w:val="001D1A8A"/>
    <w:rsid w:val="001D2177"/>
    <w:rsid w:val="001D645C"/>
    <w:rsid w:val="001E0E84"/>
    <w:rsid w:val="001E1964"/>
    <w:rsid w:val="001F03F7"/>
    <w:rsid w:val="001F2656"/>
    <w:rsid w:val="0020205A"/>
    <w:rsid w:val="00202BDA"/>
    <w:rsid w:val="00212556"/>
    <w:rsid w:val="00213735"/>
    <w:rsid w:val="00215D42"/>
    <w:rsid w:val="00215DB5"/>
    <w:rsid w:val="002229F4"/>
    <w:rsid w:val="00224DA6"/>
    <w:rsid w:val="00225ABF"/>
    <w:rsid w:val="00231ECF"/>
    <w:rsid w:val="00232F26"/>
    <w:rsid w:val="00240E9B"/>
    <w:rsid w:val="00240FAF"/>
    <w:rsid w:val="002427F7"/>
    <w:rsid w:val="00245AF1"/>
    <w:rsid w:val="00255A54"/>
    <w:rsid w:val="00255D59"/>
    <w:rsid w:val="00265B00"/>
    <w:rsid w:val="0027062F"/>
    <w:rsid w:val="00280080"/>
    <w:rsid w:val="002804AE"/>
    <w:rsid w:val="00282462"/>
    <w:rsid w:val="002826F6"/>
    <w:rsid w:val="00292FF2"/>
    <w:rsid w:val="0029376F"/>
    <w:rsid w:val="00293F68"/>
    <w:rsid w:val="002A5B78"/>
    <w:rsid w:val="002B0670"/>
    <w:rsid w:val="002B7587"/>
    <w:rsid w:val="002B7661"/>
    <w:rsid w:val="002D16FE"/>
    <w:rsid w:val="002D20B1"/>
    <w:rsid w:val="002D5A77"/>
    <w:rsid w:val="002E2895"/>
    <w:rsid w:val="002E3D00"/>
    <w:rsid w:val="002E6DCC"/>
    <w:rsid w:val="002F747B"/>
    <w:rsid w:val="00305DAF"/>
    <w:rsid w:val="00306C8C"/>
    <w:rsid w:val="0031043B"/>
    <w:rsid w:val="0031158A"/>
    <w:rsid w:val="00311A4C"/>
    <w:rsid w:val="00314113"/>
    <w:rsid w:val="003214FF"/>
    <w:rsid w:val="00322BC5"/>
    <w:rsid w:val="00333529"/>
    <w:rsid w:val="003335D4"/>
    <w:rsid w:val="00340328"/>
    <w:rsid w:val="003430A1"/>
    <w:rsid w:val="003443FA"/>
    <w:rsid w:val="003545F9"/>
    <w:rsid w:val="00355AC7"/>
    <w:rsid w:val="00356C08"/>
    <w:rsid w:val="00357096"/>
    <w:rsid w:val="00366E3A"/>
    <w:rsid w:val="003744F6"/>
    <w:rsid w:val="003755B6"/>
    <w:rsid w:val="00376018"/>
    <w:rsid w:val="003765FB"/>
    <w:rsid w:val="00383607"/>
    <w:rsid w:val="00387551"/>
    <w:rsid w:val="00397A3F"/>
    <w:rsid w:val="003A3ADE"/>
    <w:rsid w:val="003B1CCA"/>
    <w:rsid w:val="003B3753"/>
    <w:rsid w:val="003B5578"/>
    <w:rsid w:val="003B7024"/>
    <w:rsid w:val="003C0972"/>
    <w:rsid w:val="003C37CB"/>
    <w:rsid w:val="003C4252"/>
    <w:rsid w:val="003D0D02"/>
    <w:rsid w:val="003D0DF5"/>
    <w:rsid w:val="003D454A"/>
    <w:rsid w:val="003D4D5D"/>
    <w:rsid w:val="003D5EF7"/>
    <w:rsid w:val="003D66FF"/>
    <w:rsid w:val="003F2F66"/>
    <w:rsid w:val="003F403A"/>
    <w:rsid w:val="003F67B8"/>
    <w:rsid w:val="00405A7D"/>
    <w:rsid w:val="00406DFA"/>
    <w:rsid w:val="004140FD"/>
    <w:rsid w:val="00427F1A"/>
    <w:rsid w:val="00431CEF"/>
    <w:rsid w:val="00434DDB"/>
    <w:rsid w:val="00442F1B"/>
    <w:rsid w:val="00444F94"/>
    <w:rsid w:val="00446077"/>
    <w:rsid w:val="00451B69"/>
    <w:rsid w:val="00457795"/>
    <w:rsid w:val="00460378"/>
    <w:rsid w:val="0047136F"/>
    <w:rsid w:val="00482072"/>
    <w:rsid w:val="00482F38"/>
    <w:rsid w:val="00486F55"/>
    <w:rsid w:val="0049123C"/>
    <w:rsid w:val="00491356"/>
    <w:rsid w:val="00495A94"/>
    <w:rsid w:val="004A0F02"/>
    <w:rsid w:val="004A7525"/>
    <w:rsid w:val="004B0D39"/>
    <w:rsid w:val="004B47DB"/>
    <w:rsid w:val="004B5A8D"/>
    <w:rsid w:val="004C1BF6"/>
    <w:rsid w:val="004C5563"/>
    <w:rsid w:val="004C6E94"/>
    <w:rsid w:val="004D2F89"/>
    <w:rsid w:val="004E2784"/>
    <w:rsid w:val="004E5496"/>
    <w:rsid w:val="004F415F"/>
    <w:rsid w:val="004F6631"/>
    <w:rsid w:val="0050571F"/>
    <w:rsid w:val="00506215"/>
    <w:rsid w:val="005167A3"/>
    <w:rsid w:val="00532FF9"/>
    <w:rsid w:val="00534C42"/>
    <w:rsid w:val="00540577"/>
    <w:rsid w:val="00541639"/>
    <w:rsid w:val="00544269"/>
    <w:rsid w:val="00555575"/>
    <w:rsid w:val="00555695"/>
    <w:rsid w:val="005560D4"/>
    <w:rsid w:val="0056130C"/>
    <w:rsid w:val="0057741D"/>
    <w:rsid w:val="005776B5"/>
    <w:rsid w:val="0058248C"/>
    <w:rsid w:val="00582770"/>
    <w:rsid w:val="00583051"/>
    <w:rsid w:val="00584F60"/>
    <w:rsid w:val="0058539D"/>
    <w:rsid w:val="005A1F08"/>
    <w:rsid w:val="005A1FAE"/>
    <w:rsid w:val="005A4D41"/>
    <w:rsid w:val="005B42F2"/>
    <w:rsid w:val="005C3C1E"/>
    <w:rsid w:val="005C5AD3"/>
    <w:rsid w:val="005C7525"/>
    <w:rsid w:val="005D0764"/>
    <w:rsid w:val="005D4A4C"/>
    <w:rsid w:val="005D69CE"/>
    <w:rsid w:val="005E26F7"/>
    <w:rsid w:val="005E6827"/>
    <w:rsid w:val="005E70B5"/>
    <w:rsid w:val="005F097F"/>
    <w:rsid w:val="005F1F3E"/>
    <w:rsid w:val="005F2C3A"/>
    <w:rsid w:val="005F6F53"/>
    <w:rsid w:val="006003E1"/>
    <w:rsid w:val="006024CC"/>
    <w:rsid w:val="00610F61"/>
    <w:rsid w:val="00621733"/>
    <w:rsid w:val="00623406"/>
    <w:rsid w:val="00625F81"/>
    <w:rsid w:val="00626AD4"/>
    <w:rsid w:val="00630513"/>
    <w:rsid w:val="00634795"/>
    <w:rsid w:val="00635D8E"/>
    <w:rsid w:val="0064035A"/>
    <w:rsid w:val="00643DDF"/>
    <w:rsid w:val="00647396"/>
    <w:rsid w:val="006570BF"/>
    <w:rsid w:val="00664CF3"/>
    <w:rsid w:val="00666038"/>
    <w:rsid w:val="006727C5"/>
    <w:rsid w:val="006764D4"/>
    <w:rsid w:val="00684322"/>
    <w:rsid w:val="00686A71"/>
    <w:rsid w:val="006A112C"/>
    <w:rsid w:val="006A4E92"/>
    <w:rsid w:val="006A7450"/>
    <w:rsid w:val="006B2C49"/>
    <w:rsid w:val="006C05C4"/>
    <w:rsid w:val="006E577D"/>
    <w:rsid w:val="006F1984"/>
    <w:rsid w:val="006F549E"/>
    <w:rsid w:val="006F7A59"/>
    <w:rsid w:val="0070116A"/>
    <w:rsid w:val="007136D4"/>
    <w:rsid w:val="007175E8"/>
    <w:rsid w:val="00717EAC"/>
    <w:rsid w:val="007305E3"/>
    <w:rsid w:val="00735940"/>
    <w:rsid w:val="00736461"/>
    <w:rsid w:val="00736732"/>
    <w:rsid w:val="00736A4E"/>
    <w:rsid w:val="00737B8B"/>
    <w:rsid w:val="00740A87"/>
    <w:rsid w:val="00741664"/>
    <w:rsid w:val="00745D20"/>
    <w:rsid w:val="00747901"/>
    <w:rsid w:val="00747D17"/>
    <w:rsid w:val="0075231A"/>
    <w:rsid w:val="007620C0"/>
    <w:rsid w:val="00764814"/>
    <w:rsid w:val="00764B37"/>
    <w:rsid w:val="0076780F"/>
    <w:rsid w:val="00770E9C"/>
    <w:rsid w:val="00773F55"/>
    <w:rsid w:val="00780AF3"/>
    <w:rsid w:val="007846D2"/>
    <w:rsid w:val="00784C56"/>
    <w:rsid w:val="0079202B"/>
    <w:rsid w:val="00795BE7"/>
    <w:rsid w:val="00796644"/>
    <w:rsid w:val="007A3406"/>
    <w:rsid w:val="007A62AC"/>
    <w:rsid w:val="007B4F47"/>
    <w:rsid w:val="007B789E"/>
    <w:rsid w:val="007E3A74"/>
    <w:rsid w:val="007E7D13"/>
    <w:rsid w:val="007F7043"/>
    <w:rsid w:val="00800ACF"/>
    <w:rsid w:val="00803110"/>
    <w:rsid w:val="00805C25"/>
    <w:rsid w:val="008072D2"/>
    <w:rsid w:val="00815713"/>
    <w:rsid w:val="0082425B"/>
    <w:rsid w:val="008254A1"/>
    <w:rsid w:val="00825D9A"/>
    <w:rsid w:val="00841DD6"/>
    <w:rsid w:val="008448EA"/>
    <w:rsid w:val="008460C6"/>
    <w:rsid w:val="008508E2"/>
    <w:rsid w:val="008509E3"/>
    <w:rsid w:val="008516E4"/>
    <w:rsid w:val="00857310"/>
    <w:rsid w:val="0085749E"/>
    <w:rsid w:val="008650DD"/>
    <w:rsid w:val="00866D8B"/>
    <w:rsid w:val="00871D8E"/>
    <w:rsid w:val="00872E85"/>
    <w:rsid w:val="008811E5"/>
    <w:rsid w:val="00884570"/>
    <w:rsid w:val="00884C4E"/>
    <w:rsid w:val="00890E4C"/>
    <w:rsid w:val="00891870"/>
    <w:rsid w:val="00891B82"/>
    <w:rsid w:val="0089351B"/>
    <w:rsid w:val="00894FE8"/>
    <w:rsid w:val="008A1DC8"/>
    <w:rsid w:val="008A515A"/>
    <w:rsid w:val="008C09B2"/>
    <w:rsid w:val="008D3E81"/>
    <w:rsid w:val="008D456D"/>
    <w:rsid w:val="008E1744"/>
    <w:rsid w:val="008E513F"/>
    <w:rsid w:val="008E6348"/>
    <w:rsid w:val="008E7C12"/>
    <w:rsid w:val="008F46A2"/>
    <w:rsid w:val="008F4EAA"/>
    <w:rsid w:val="00900B7E"/>
    <w:rsid w:val="009010CD"/>
    <w:rsid w:val="009013B8"/>
    <w:rsid w:val="0090210A"/>
    <w:rsid w:val="00903EF0"/>
    <w:rsid w:val="00905F80"/>
    <w:rsid w:val="00911EA5"/>
    <w:rsid w:val="00912253"/>
    <w:rsid w:val="009140DC"/>
    <w:rsid w:val="00915242"/>
    <w:rsid w:val="00917987"/>
    <w:rsid w:val="0092159B"/>
    <w:rsid w:val="00922A56"/>
    <w:rsid w:val="009236E4"/>
    <w:rsid w:val="00937839"/>
    <w:rsid w:val="009413B9"/>
    <w:rsid w:val="0094174C"/>
    <w:rsid w:val="0094283C"/>
    <w:rsid w:val="00950340"/>
    <w:rsid w:val="00951A6D"/>
    <w:rsid w:val="00953892"/>
    <w:rsid w:val="009541FE"/>
    <w:rsid w:val="0095654C"/>
    <w:rsid w:val="00956A2E"/>
    <w:rsid w:val="009711D7"/>
    <w:rsid w:val="00991598"/>
    <w:rsid w:val="00993A23"/>
    <w:rsid w:val="00994838"/>
    <w:rsid w:val="00996189"/>
    <w:rsid w:val="00996C4C"/>
    <w:rsid w:val="009B2E9E"/>
    <w:rsid w:val="009B4340"/>
    <w:rsid w:val="009C05FF"/>
    <w:rsid w:val="009C3EB6"/>
    <w:rsid w:val="009C4AE1"/>
    <w:rsid w:val="009E3766"/>
    <w:rsid w:val="009E709C"/>
    <w:rsid w:val="009F1648"/>
    <w:rsid w:val="009F2569"/>
    <w:rsid w:val="009F4DC3"/>
    <w:rsid w:val="009F6FF9"/>
    <w:rsid w:val="00A11BF7"/>
    <w:rsid w:val="00A1231D"/>
    <w:rsid w:val="00A146E4"/>
    <w:rsid w:val="00A1566E"/>
    <w:rsid w:val="00A15B9D"/>
    <w:rsid w:val="00A214B6"/>
    <w:rsid w:val="00A222B3"/>
    <w:rsid w:val="00A265D1"/>
    <w:rsid w:val="00A34B42"/>
    <w:rsid w:val="00A37D33"/>
    <w:rsid w:val="00A43985"/>
    <w:rsid w:val="00A52C6C"/>
    <w:rsid w:val="00A53322"/>
    <w:rsid w:val="00A5556A"/>
    <w:rsid w:val="00A55FEF"/>
    <w:rsid w:val="00A57987"/>
    <w:rsid w:val="00A654DA"/>
    <w:rsid w:val="00A66F77"/>
    <w:rsid w:val="00A70328"/>
    <w:rsid w:val="00A727A6"/>
    <w:rsid w:val="00A741F6"/>
    <w:rsid w:val="00A74520"/>
    <w:rsid w:val="00A76DE0"/>
    <w:rsid w:val="00A8311B"/>
    <w:rsid w:val="00A84477"/>
    <w:rsid w:val="00A869D1"/>
    <w:rsid w:val="00A92E8F"/>
    <w:rsid w:val="00A936C7"/>
    <w:rsid w:val="00AA3428"/>
    <w:rsid w:val="00AA4712"/>
    <w:rsid w:val="00AA520E"/>
    <w:rsid w:val="00AB5E0B"/>
    <w:rsid w:val="00AB7928"/>
    <w:rsid w:val="00AC7749"/>
    <w:rsid w:val="00AD45E5"/>
    <w:rsid w:val="00AD7143"/>
    <w:rsid w:val="00AD7D67"/>
    <w:rsid w:val="00AE29D5"/>
    <w:rsid w:val="00AE3232"/>
    <w:rsid w:val="00AE54E5"/>
    <w:rsid w:val="00AE7910"/>
    <w:rsid w:val="00AF0BB8"/>
    <w:rsid w:val="00AF2A00"/>
    <w:rsid w:val="00AF66E1"/>
    <w:rsid w:val="00AF69C8"/>
    <w:rsid w:val="00B0021D"/>
    <w:rsid w:val="00B01B9F"/>
    <w:rsid w:val="00B06020"/>
    <w:rsid w:val="00B060CE"/>
    <w:rsid w:val="00B06FE3"/>
    <w:rsid w:val="00B133D8"/>
    <w:rsid w:val="00B156A3"/>
    <w:rsid w:val="00B2005E"/>
    <w:rsid w:val="00B257D5"/>
    <w:rsid w:val="00B3037E"/>
    <w:rsid w:val="00B31BD7"/>
    <w:rsid w:val="00B4499D"/>
    <w:rsid w:val="00B47580"/>
    <w:rsid w:val="00B514EF"/>
    <w:rsid w:val="00B51DD2"/>
    <w:rsid w:val="00B53F77"/>
    <w:rsid w:val="00B63273"/>
    <w:rsid w:val="00B63536"/>
    <w:rsid w:val="00B65A3C"/>
    <w:rsid w:val="00B7132D"/>
    <w:rsid w:val="00B72AF9"/>
    <w:rsid w:val="00B74806"/>
    <w:rsid w:val="00B74D7C"/>
    <w:rsid w:val="00B91568"/>
    <w:rsid w:val="00B92B13"/>
    <w:rsid w:val="00B93A94"/>
    <w:rsid w:val="00B95A7E"/>
    <w:rsid w:val="00B96E2E"/>
    <w:rsid w:val="00B97786"/>
    <w:rsid w:val="00BA3BF9"/>
    <w:rsid w:val="00BB259C"/>
    <w:rsid w:val="00BB5EE2"/>
    <w:rsid w:val="00BC1C43"/>
    <w:rsid w:val="00BC3B6D"/>
    <w:rsid w:val="00BC6BA5"/>
    <w:rsid w:val="00BD0DF7"/>
    <w:rsid w:val="00BE4981"/>
    <w:rsid w:val="00BE6CF3"/>
    <w:rsid w:val="00BF4BE7"/>
    <w:rsid w:val="00BF6561"/>
    <w:rsid w:val="00C11BBF"/>
    <w:rsid w:val="00C14061"/>
    <w:rsid w:val="00C15BDE"/>
    <w:rsid w:val="00C20849"/>
    <w:rsid w:val="00C2296D"/>
    <w:rsid w:val="00C2412D"/>
    <w:rsid w:val="00C31F97"/>
    <w:rsid w:val="00C37A0B"/>
    <w:rsid w:val="00C4079B"/>
    <w:rsid w:val="00C45CDA"/>
    <w:rsid w:val="00C53DD1"/>
    <w:rsid w:val="00C60320"/>
    <w:rsid w:val="00C60B60"/>
    <w:rsid w:val="00C63C93"/>
    <w:rsid w:val="00C737AB"/>
    <w:rsid w:val="00C73F66"/>
    <w:rsid w:val="00C82D23"/>
    <w:rsid w:val="00C84F04"/>
    <w:rsid w:val="00C957FB"/>
    <w:rsid w:val="00CA0C51"/>
    <w:rsid w:val="00CA2879"/>
    <w:rsid w:val="00CA369C"/>
    <w:rsid w:val="00CA37E9"/>
    <w:rsid w:val="00CA4C4C"/>
    <w:rsid w:val="00CA5EA8"/>
    <w:rsid w:val="00CD0E53"/>
    <w:rsid w:val="00CE49DF"/>
    <w:rsid w:val="00CE51FE"/>
    <w:rsid w:val="00CE7495"/>
    <w:rsid w:val="00CF3208"/>
    <w:rsid w:val="00CF33AC"/>
    <w:rsid w:val="00D039B8"/>
    <w:rsid w:val="00D11DBF"/>
    <w:rsid w:val="00D147E9"/>
    <w:rsid w:val="00D201DE"/>
    <w:rsid w:val="00D2068F"/>
    <w:rsid w:val="00D216D8"/>
    <w:rsid w:val="00D247C1"/>
    <w:rsid w:val="00D3113E"/>
    <w:rsid w:val="00D40845"/>
    <w:rsid w:val="00D40908"/>
    <w:rsid w:val="00D44F77"/>
    <w:rsid w:val="00D5126E"/>
    <w:rsid w:val="00D51484"/>
    <w:rsid w:val="00D6258C"/>
    <w:rsid w:val="00D72D9B"/>
    <w:rsid w:val="00D74398"/>
    <w:rsid w:val="00D826C0"/>
    <w:rsid w:val="00D82DC6"/>
    <w:rsid w:val="00D8569F"/>
    <w:rsid w:val="00D862EA"/>
    <w:rsid w:val="00D9477D"/>
    <w:rsid w:val="00DA5B1C"/>
    <w:rsid w:val="00DA7D30"/>
    <w:rsid w:val="00DC59CE"/>
    <w:rsid w:val="00DC78E3"/>
    <w:rsid w:val="00DE3880"/>
    <w:rsid w:val="00DE4D4E"/>
    <w:rsid w:val="00DF06CE"/>
    <w:rsid w:val="00DF2682"/>
    <w:rsid w:val="00DF3139"/>
    <w:rsid w:val="00E055A0"/>
    <w:rsid w:val="00E103C0"/>
    <w:rsid w:val="00E1156E"/>
    <w:rsid w:val="00E136F0"/>
    <w:rsid w:val="00E153B9"/>
    <w:rsid w:val="00E23C83"/>
    <w:rsid w:val="00E2539D"/>
    <w:rsid w:val="00E337FB"/>
    <w:rsid w:val="00E4320B"/>
    <w:rsid w:val="00E52717"/>
    <w:rsid w:val="00E53126"/>
    <w:rsid w:val="00E56BF4"/>
    <w:rsid w:val="00E60793"/>
    <w:rsid w:val="00E6698C"/>
    <w:rsid w:val="00E671BD"/>
    <w:rsid w:val="00E702AF"/>
    <w:rsid w:val="00E70DC3"/>
    <w:rsid w:val="00E73BBB"/>
    <w:rsid w:val="00E858AB"/>
    <w:rsid w:val="00E87588"/>
    <w:rsid w:val="00E96052"/>
    <w:rsid w:val="00E96860"/>
    <w:rsid w:val="00EA19AE"/>
    <w:rsid w:val="00EA6544"/>
    <w:rsid w:val="00EC0ED5"/>
    <w:rsid w:val="00EC2F62"/>
    <w:rsid w:val="00EC5272"/>
    <w:rsid w:val="00EC5951"/>
    <w:rsid w:val="00ED2991"/>
    <w:rsid w:val="00ED38F5"/>
    <w:rsid w:val="00EE0F06"/>
    <w:rsid w:val="00EE3290"/>
    <w:rsid w:val="00EE59F7"/>
    <w:rsid w:val="00EF0C83"/>
    <w:rsid w:val="00EF5422"/>
    <w:rsid w:val="00F00F7C"/>
    <w:rsid w:val="00F0179A"/>
    <w:rsid w:val="00F02CB6"/>
    <w:rsid w:val="00F1564E"/>
    <w:rsid w:val="00F15834"/>
    <w:rsid w:val="00F26D8F"/>
    <w:rsid w:val="00F440F9"/>
    <w:rsid w:val="00F47249"/>
    <w:rsid w:val="00F71592"/>
    <w:rsid w:val="00F72D42"/>
    <w:rsid w:val="00F74617"/>
    <w:rsid w:val="00F74F76"/>
    <w:rsid w:val="00F93E03"/>
    <w:rsid w:val="00F94D38"/>
    <w:rsid w:val="00FA7F8A"/>
    <w:rsid w:val="00FB42DC"/>
    <w:rsid w:val="00FC1DBC"/>
    <w:rsid w:val="00FC749C"/>
    <w:rsid w:val="00FD3D2D"/>
    <w:rsid w:val="00FD6889"/>
    <w:rsid w:val="00FE609D"/>
    <w:rsid w:val="00FE6793"/>
    <w:rsid w:val="00FF0B7A"/>
    <w:rsid w:val="00FF2A32"/>
    <w:rsid w:val="00FF73E5"/>
    <w:rsid w:val="02151090"/>
    <w:rsid w:val="02576C93"/>
    <w:rsid w:val="03F6666D"/>
    <w:rsid w:val="04240EED"/>
    <w:rsid w:val="046E6790"/>
    <w:rsid w:val="04D31B10"/>
    <w:rsid w:val="04E24AD7"/>
    <w:rsid w:val="06FF6413"/>
    <w:rsid w:val="07767530"/>
    <w:rsid w:val="07853B29"/>
    <w:rsid w:val="079C38A9"/>
    <w:rsid w:val="095E7BDD"/>
    <w:rsid w:val="0A2B3554"/>
    <w:rsid w:val="0A695556"/>
    <w:rsid w:val="0C1173BE"/>
    <w:rsid w:val="0C80458D"/>
    <w:rsid w:val="0C935517"/>
    <w:rsid w:val="0D077A72"/>
    <w:rsid w:val="0D1F511A"/>
    <w:rsid w:val="0D323734"/>
    <w:rsid w:val="0D5F1A08"/>
    <w:rsid w:val="0D7119BA"/>
    <w:rsid w:val="0D8C35F6"/>
    <w:rsid w:val="0DB263E7"/>
    <w:rsid w:val="0DDF1A07"/>
    <w:rsid w:val="0DED6FC6"/>
    <w:rsid w:val="0E4F4240"/>
    <w:rsid w:val="0FB143F9"/>
    <w:rsid w:val="100618E2"/>
    <w:rsid w:val="10BF3451"/>
    <w:rsid w:val="10FC6CBC"/>
    <w:rsid w:val="11266BAA"/>
    <w:rsid w:val="11600520"/>
    <w:rsid w:val="12135D6D"/>
    <w:rsid w:val="12492C39"/>
    <w:rsid w:val="12594B3E"/>
    <w:rsid w:val="138A175B"/>
    <w:rsid w:val="144562B9"/>
    <w:rsid w:val="15434355"/>
    <w:rsid w:val="16E86867"/>
    <w:rsid w:val="173619DD"/>
    <w:rsid w:val="17FA1E46"/>
    <w:rsid w:val="19913482"/>
    <w:rsid w:val="1A2335A7"/>
    <w:rsid w:val="1C045A4E"/>
    <w:rsid w:val="1D7C17A7"/>
    <w:rsid w:val="1F0D0D46"/>
    <w:rsid w:val="1F27633C"/>
    <w:rsid w:val="1F2F4131"/>
    <w:rsid w:val="1F6258ED"/>
    <w:rsid w:val="1F96434B"/>
    <w:rsid w:val="1FD36EC2"/>
    <w:rsid w:val="205962A4"/>
    <w:rsid w:val="20B87732"/>
    <w:rsid w:val="211910D7"/>
    <w:rsid w:val="21397D30"/>
    <w:rsid w:val="218E547E"/>
    <w:rsid w:val="227F4634"/>
    <w:rsid w:val="22BC6BCC"/>
    <w:rsid w:val="23365E84"/>
    <w:rsid w:val="238755E6"/>
    <w:rsid w:val="248D79B9"/>
    <w:rsid w:val="25AB6009"/>
    <w:rsid w:val="25CC175F"/>
    <w:rsid w:val="268362C1"/>
    <w:rsid w:val="26881B2A"/>
    <w:rsid w:val="268D2727"/>
    <w:rsid w:val="26AA5F44"/>
    <w:rsid w:val="270F26A5"/>
    <w:rsid w:val="27286E69"/>
    <w:rsid w:val="286051A5"/>
    <w:rsid w:val="28B82114"/>
    <w:rsid w:val="29AC5B2F"/>
    <w:rsid w:val="29EA62A5"/>
    <w:rsid w:val="2A46359E"/>
    <w:rsid w:val="2AED59C7"/>
    <w:rsid w:val="2AF27EBA"/>
    <w:rsid w:val="2B8E5CD9"/>
    <w:rsid w:val="2BED77E9"/>
    <w:rsid w:val="2C727668"/>
    <w:rsid w:val="2E0221C2"/>
    <w:rsid w:val="2E357BC1"/>
    <w:rsid w:val="2E8A3797"/>
    <w:rsid w:val="2EB97CA5"/>
    <w:rsid w:val="2F6C6370"/>
    <w:rsid w:val="313A4753"/>
    <w:rsid w:val="319401C7"/>
    <w:rsid w:val="321E1594"/>
    <w:rsid w:val="33747C08"/>
    <w:rsid w:val="33F97BC3"/>
    <w:rsid w:val="3530432C"/>
    <w:rsid w:val="36274FBF"/>
    <w:rsid w:val="369E05A2"/>
    <w:rsid w:val="36A332B0"/>
    <w:rsid w:val="37101790"/>
    <w:rsid w:val="377B7F1F"/>
    <w:rsid w:val="37FC5ED4"/>
    <w:rsid w:val="3872263A"/>
    <w:rsid w:val="39B747A8"/>
    <w:rsid w:val="3C2659F5"/>
    <w:rsid w:val="3C8C50C3"/>
    <w:rsid w:val="3D2102E9"/>
    <w:rsid w:val="3DAC4548"/>
    <w:rsid w:val="3E6A003B"/>
    <w:rsid w:val="3E734A16"/>
    <w:rsid w:val="3F2B3FAE"/>
    <w:rsid w:val="3FEE6B32"/>
    <w:rsid w:val="402A4D1A"/>
    <w:rsid w:val="41255B3E"/>
    <w:rsid w:val="416B7ECA"/>
    <w:rsid w:val="41C459DB"/>
    <w:rsid w:val="42945242"/>
    <w:rsid w:val="4455417A"/>
    <w:rsid w:val="44903864"/>
    <w:rsid w:val="449E2B1F"/>
    <w:rsid w:val="4629258A"/>
    <w:rsid w:val="46BA2CC1"/>
    <w:rsid w:val="46C1206D"/>
    <w:rsid w:val="47EE7DCF"/>
    <w:rsid w:val="494D5A3B"/>
    <w:rsid w:val="4A4933ED"/>
    <w:rsid w:val="4A56680F"/>
    <w:rsid w:val="4A965D14"/>
    <w:rsid w:val="4C3337D0"/>
    <w:rsid w:val="4CA83AB8"/>
    <w:rsid w:val="4CCA0659"/>
    <w:rsid w:val="4CE51C62"/>
    <w:rsid w:val="4D2D4B7D"/>
    <w:rsid w:val="4DE47C25"/>
    <w:rsid w:val="4F766114"/>
    <w:rsid w:val="50C23D07"/>
    <w:rsid w:val="51142088"/>
    <w:rsid w:val="5161529C"/>
    <w:rsid w:val="51EB1FF7"/>
    <w:rsid w:val="53E42270"/>
    <w:rsid w:val="566A562E"/>
    <w:rsid w:val="569168B2"/>
    <w:rsid w:val="56AB311A"/>
    <w:rsid w:val="56C226C2"/>
    <w:rsid w:val="59CE001F"/>
    <w:rsid w:val="5A6A6573"/>
    <w:rsid w:val="5AC71F19"/>
    <w:rsid w:val="5B7404E6"/>
    <w:rsid w:val="5BAD3B4B"/>
    <w:rsid w:val="5BEC5677"/>
    <w:rsid w:val="5D396F01"/>
    <w:rsid w:val="5D556226"/>
    <w:rsid w:val="5E343D6A"/>
    <w:rsid w:val="5F3F6522"/>
    <w:rsid w:val="5FC57188"/>
    <w:rsid w:val="60E47381"/>
    <w:rsid w:val="61027D1B"/>
    <w:rsid w:val="621A06F9"/>
    <w:rsid w:val="63313AC9"/>
    <w:rsid w:val="63377DE5"/>
    <w:rsid w:val="635E5755"/>
    <w:rsid w:val="63914F54"/>
    <w:rsid w:val="63C9083E"/>
    <w:rsid w:val="64EF68E5"/>
    <w:rsid w:val="65263254"/>
    <w:rsid w:val="655050B9"/>
    <w:rsid w:val="657828A6"/>
    <w:rsid w:val="65D5373C"/>
    <w:rsid w:val="66307A14"/>
    <w:rsid w:val="66724B53"/>
    <w:rsid w:val="66E22AC4"/>
    <w:rsid w:val="68E26C44"/>
    <w:rsid w:val="690231D6"/>
    <w:rsid w:val="69236E89"/>
    <w:rsid w:val="6AC624DF"/>
    <w:rsid w:val="6B1B34FC"/>
    <w:rsid w:val="6BAA566B"/>
    <w:rsid w:val="6BBB4811"/>
    <w:rsid w:val="6D5C2620"/>
    <w:rsid w:val="71C81C7C"/>
    <w:rsid w:val="7210734F"/>
    <w:rsid w:val="74EF63FA"/>
    <w:rsid w:val="75197346"/>
    <w:rsid w:val="758111EB"/>
    <w:rsid w:val="75824474"/>
    <w:rsid w:val="7588280D"/>
    <w:rsid w:val="773B18EE"/>
    <w:rsid w:val="7B0024F8"/>
    <w:rsid w:val="7B345227"/>
    <w:rsid w:val="7C334F08"/>
    <w:rsid w:val="7C5E5077"/>
    <w:rsid w:val="7C88206E"/>
    <w:rsid w:val="7D5F2762"/>
    <w:rsid w:val="7DA45501"/>
    <w:rsid w:val="7E952DDD"/>
    <w:rsid w:val="7EA146AC"/>
    <w:rsid w:val="7FE72592"/>
    <w:rsid w:val="7FF81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nhideWhenUsed="0" w:uiPriority="35"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qFormat="1" w:uiPriority="0" w:semiHidden="0"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49"/>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0"/>
    <w:qFormat/>
    <w:uiPriority w:val="0"/>
    <w:pPr>
      <w:keepNext/>
      <w:keepLines/>
      <w:spacing w:before="260" w:after="260" w:line="416" w:lineRule="auto"/>
      <w:outlineLvl w:val="2"/>
    </w:pPr>
    <w:rPr>
      <w:b/>
      <w:bCs/>
      <w:sz w:val="32"/>
      <w:szCs w:val="32"/>
    </w:rPr>
  </w:style>
  <w:style w:type="paragraph" w:styleId="5">
    <w:name w:val="heading 4"/>
    <w:basedOn w:val="1"/>
    <w:next w:val="1"/>
    <w:link w:val="51"/>
    <w:qFormat/>
    <w:uiPriority w:val="0"/>
    <w:pPr>
      <w:keepNext/>
      <w:keepLines/>
      <w:spacing w:before="280" w:after="290" w:line="376" w:lineRule="auto"/>
      <w:outlineLvl w:val="3"/>
    </w:pPr>
    <w:rPr>
      <w:rFonts w:ascii="Cambria" w:hAnsi="Cambria" w:cs="黑体"/>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paragraph" w:styleId="7">
    <w:name w:val="heading 6"/>
    <w:basedOn w:val="1"/>
    <w:next w:val="1"/>
    <w:link w:val="84"/>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85"/>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6"/>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87"/>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Calibri" w:hAnsi="Calibri"/>
      <w:szCs w:val="22"/>
    </w:rPr>
  </w:style>
  <w:style w:type="paragraph" w:styleId="12">
    <w:name w:val="Normal Indent"/>
    <w:basedOn w:val="1"/>
    <w:unhideWhenUsed/>
    <w:qFormat/>
    <w:uiPriority w:val="0"/>
    <w:pPr>
      <w:ind w:firstLine="420" w:firstLineChars="200"/>
    </w:pPr>
  </w:style>
  <w:style w:type="paragraph" w:styleId="13">
    <w:name w:val="caption"/>
    <w:basedOn w:val="1"/>
    <w:next w:val="1"/>
    <w:qFormat/>
    <w:uiPriority w:val="35"/>
    <w:rPr>
      <w:rFonts w:ascii="Cambria" w:hAnsi="Cambria" w:eastAsia="黑体"/>
      <w:sz w:val="20"/>
      <w:szCs w:val="20"/>
    </w:rPr>
  </w:style>
  <w:style w:type="paragraph" w:styleId="14">
    <w:name w:val="Document Map"/>
    <w:basedOn w:val="1"/>
    <w:link w:val="78"/>
    <w:unhideWhenUsed/>
    <w:qFormat/>
    <w:uiPriority w:val="99"/>
    <w:rPr>
      <w:rFonts w:ascii="宋体" w:hAnsiTheme="minorHAnsi" w:eastAsiaTheme="minorEastAsia" w:cstheme="minorBidi"/>
      <w:sz w:val="18"/>
      <w:szCs w:val="18"/>
    </w:rPr>
  </w:style>
  <w:style w:type="paragraph" w:styleId="15">
    <w:name w:val="annotation text"/>
    <w:basedOn w:val="1"/>
    <w:link w:val="62"/>
    <w:unhideWhenUsed/>
    <w:qFormat/>
    <w:uiPriority w:val="0"/>
    <w:pPr>
      <w:jc w:val="left"/>
    </w:pPr>
  </w:style>
  <w:style w:type="paragraph" w:styleId="16">
    <w:name w:val="Body Text 3"/>
    <w:basedOn w:val="1"/>
    <w:link w:val="58"/>
    <w:unhideWhenUsed/>
    <w:qFormat/>
    <w:uiPriority w:val="0"/>
    <w:rPr>
      <w:rFonts w:ascii="宋体" w:hAnsiTheme="minorHAnsi" w:eastAsiaTheme="minorEastAsia" w:cstheme="minorBidi"/>
      <w:sz w:val="24"/>
      <w:szCs w:val="22"/>
    </w:rPr>
  </w:style>
  <w:style w:type="paragraph" w:styleId="17">
    <w:name w:val="Body Text"/>
    <w:basedOn w:val="1"/>
    <w:link w:val="68"/>
    <w:unhideWhenUsed/>
    <w:qFormat/>
    <w:uiPriority w:val="0"/>
    <w:rPr>
      <w:sz w:val="28"/>
      <w:szCs w:val="20"/>
    </w:rPr>
  </w:style>
  <w:style w:type="paragraph" w:styleId="18">
    <w:name w:val="Body Text Indent"/>
    <w:basedOn w:val="1"/>
    <w:link w:val="65"/>
    <w:unhideWhenUsed/>
    <w:qFormat/>
    <w:uiPriority w:val="0"/>
    <w:pPr>
      <w:ind w:firstLine="489" w:firstLineChars="178"/>
    </w:pPr>
    <w:rPr>
      <w:sz w:val="28"/>
      <w:szCs w:val="28"/>
    </w:r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ind w:left="840" w:leftChars="400"/>
    </w:pPr>
  </w:style>
  <w:style w:type="paragraph" w:styleId="21">
    <w:name w:val="Plain Text"/>
    <w:basedOn w:val="1"/>
    <w:link w:val="60"/>
    <w:unhideWhenUsed/>
    <w:qFormat/>
    <w:uiPriority w:val="0"/>
    <w:rPr>
      <w:rFonts w:ascii="Courier New" w:hAnsi="Courier New" w:eastAsiaTheme="minorEastAsia" w:cstheme="minorBidi"/>
      <w:szCs w:val="22"/>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77"/>
    <w:unhideWhenUsed/>
    <w:qFormat/>
    <w:uiPriority w:val="99"/>
    <w:pPr>
      <w:ind w:left="100" w:leftChars="2500"/>
    </w:pPr>
    <w:rPr>
      <w:rFonts w:asciiTheme="minorHAnsi" w:hAnsiTheme="minorHAnsi" w:eastAsiaTheme="minorEastAsia" w:cstheme="minorBidi"/>
    </w:rPr>
  </w:style>
  <w:style w:type="paragraph" w:styleId="24">
    <w:name w:val="Balloon Text"/>
    <w:basedOn w:val="1"/>
    <w:link w:val="61"/>
    <w:unhideWhenUsed/>
    <w:qFormat/>
    <w:uiPriority w:val="99"/>
    <w:rPr>
      <w:rFonts w:asciiTheme="minorHAnsi" w:hAnsiTheme="minorHAnsi" w:eastAsiaTheme="minorEastAsia" w:cstheme="minorBidi"/>
      <w:sz w:val="18"/>
      <w:szCs w:val="18"/>
    </w:rPr>
  </w:style>
  <w:style w:type="paragraph" w:styleId="25">
    <w:name w:val="footer"/>
    <w:basedOn w:val="1"/>
    <w:link w:val="47"/>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26">
    <w:name w:val="header"/>
    <w:basedOn w:val="1"/>
    <w:link w:val="46"/>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7">
    <w:name w:val="toc 1"/>
    <w:basedOn w:val="1"/>
    <w:next w:val="1"/>
    <w:unhideWhenUsed/>
    <w:qFormat/>
    <w:uiPriority w:val="39"/>
    <w:pPr>
      <w:spacing w:before="120" w:after="120"/>
      <w:jc w:val="left"/>
    </w:pPr>
    <w:rPr>
      <w:b/>
      <w:bCs/>
      <w:caps/>
      <w:sz w:val="20"/>
      <w:szCs w:val="20"/>
    </w:rPr>
  </w:style>
  <w:style w:type="paragraph" w:styleId="28">
    <w:name w:val="toc 4"/>
    <w:basedOn w:val="1"/>
    <w:next w:val="1"/>
    <w:unhideWhenUsed/>
    <w:qFormat/>
    <w:uiPriority w:val="39"/>
    <w:pPr>
      <w:ind w:left="1260" w:leftChars="600"/>
    </w:pPr>
    <w:rPr>
      <w:rFonts w:ascii="Calibri" w:hAnsi="Calibri"/>
      <w:szCs w:val="22"/>
    </w:rPr>
  </w:style>
  <w:style w:type="paragraph" w:styleId="29">
    <w:name w:val="footnote text"/>
    <w:basedOn w:val="1"/>
    <w:link w:val="104"/>
    <w:qFormat/>
    <w:uiPriority w:val="0"/>
    <w:rPr>
      <w:sz w:val="20"/>
      <w:szCs w:val="20"/>
    </w:rPr>
  </w:style>
  <w:style w:type="paragraph" w:styleId="30">
    <w:name w:val="toc 6"/>
    <w:basedOn w:val="1"/>
    <w:next w:val="1"/>
    <w:unhideWhenUsed/>
    <w:qFormat/>
    <w:uiPriority w:val="39"/>
    <w:pPr>
      <w:ind w:left="2100" w:leftChars="1000"/>
    </w:pPr>
    <w:rPr>
      <w:rFonts w:ascii="Calibri" w:hAnsi="Calibri"/>
      <w:szCs w:val="22"/>
    </w:rPr>
  </w:style>
  <w:style w:type="paragraph" w:styleId="31">
    <w:name w:val="Body Text Indent 3"/>
    <w:basedOn w:val="1"/>
    <w:link w:val="96"/>
    <w:qFormat/>
    <w:uiPriority w:val="0"/>
    <w:pPr>
      <w:spacing w:after="120"/>
      <w:ind w:left="420" w:leftChars="200"/>
    </w:pPr>
    <w:rPr>
      <w:sz w:val="16"/>
      <w:szCs w:val="16"/>
    </w:rPr>
  </w:style>
  <w:style w:type="paragraph" w:styleId="32">
    <w:name w:val="table of figures"/>
    <w:basedOn w:val="1"/>
    <w:next w:val="1"/>
    <w:qFormat/>
    <w:uiPriority w:val="0"/>
    <w:pPr>
      <w:ind w:left="200" w:leftChars="200" w:hanging="200" w:hangingChars="200"/>
    </w:pPr>
  </w:style>
  <w:style w:type="paragraph" w:styleId="33">
    <w:name w:val="toc 2"/>
    <w:basedOn w:val="1"/>
    <w:next w:val="1"/>
    <w:unhideWhenUsed/>
    <w:qFormat/>
    <w:uiPriority w:val="39"/>
    <w:pPr>
      <w:ind w:left="210"/>
      <w:jc w:val="left"/>
    </w:pPr>
    <w:rPr>
      <w:smallCaps/>
      <w:sz w:val="20"/>
      <w:szCs w:val="20"/>
    </w:rPr>
  </w:style>
  <w:style w:type="paragraph" w:styleId="34">
    <w:name w:val="toc 9"/>
    <w:basedOn w:val="1"/>
    <w:next w:val="1"/>
    <w:unhideWhenUsed/>
    <w:qFormat/>
    <w:uiPriority w:val="39"/>
    <w:pPr>
      <w:ind w:left="3360" w:leftChars="1600"/>
    </w:pPr>
    <w:rPr>
      <w:rFonts w:ascii="Calibri" w:hAnsi="Calibri"/>
      <w:szCs w:val="22"/>
    </w:rPr>
  </w:style>
  <w:style w:type="paragraph" w:styleId="35">
    <w:name w:val="Title"/>
    <w:basedOn w:val="1"/>
    <w:next w:val="1"/>
    <w:link w:val="81"/>
    <w:qFormat/>
    <w:uiPriority w:val="0"/>
    <w:pPr>
      <w:numPr>
        <w:ilvl w:val="1"/>
        <w:numId w:val="1"/>
      </w:numPr>
      <w:spacing w:before="240" w:after="60"/>
      <w:jc w:val="center"/>
      <w:outlineLvl w:val="0"/>
    </w:pPr>
    <w:rPr>
      <w:rFonts w:ascii="Cambria" w:hAnsi="Cambria"/>
      <w:b/>
      <w:bCs/>
      <w:sz w:val="32"/>
      <w:szCs w:val="32"/>
    </w:rPr>
  </w:style>
  <w:style w:type="paragraph" w:styleId="36">
    <w:name w:val="annotation subject"/>
    <w:basedOn w:val="15"/>
    <w:next w:val="15"/>
    <w:link w:val="59"/>
    <w:unhideWhenUsed/>
    <w:qFormat/>
    <w:uiPriority w:val="99"/>
    <w:rPr>
      <w:rFonts w:asciiTheme="minorHAnsi" w:hAnsiTheme="minorHAnsi" w:eastAsiaTheme="minorEastAsia" w:cstheme="minorBidi"/>
      <w:b/>
      <w:bCs/>
    </w:rPr>
  </w:style>
  <w:style w:type="table" w:styleId="38">
    <w:name w:val="Table Grid"/>
    <w:basedOn w:val="37"/>
    <w:unhideWhenUsed/>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22"/>
    <w:rPr>
      <w:b/>
      <w:bCs/>
    </w:rPr>
  </w:style>
  <w:style w:type="character" w:styleId="41">
    <w:name w:val="page number"/>
    <w:unhideWhenUsed/>
    <w:qFormat/>
    <w:uiPriority w:val="0"/>
  </w:style>
  <w:style w:type="character" w:styleId="42">
    <w:name w:val="FollowedHyperlink"/>
    <w:unhideWhenUsed/>
    <w:qFormat/>
    <w:uiPriority w:val="0"/>
    <w:rPr>
      <w:color w:val="800080"/>
      <w:u w:val="single"/>
    </w:rPr>
  </w:style>
  <w:style w:type="character" w:styleId="43">
    <w:name w:val="Hyperlink"/>
    <w:unhideWhenUsed/>
    <w:qFormat/>
    <w:uiPriority w:val="99"/>
    <w:rPr>
      <w:color w:val="0000FF"/>
      <w:u w:val="single"/>
    </w:rPr>
  </w:style>
  <w:style w:type="character" w:styleId="44">
    <w:name w:val="annotation reference"/>
    <w:unhideWhenUsed/>
    <w:qFormat/>
    <w:uiPriority w:val="0"/>
    <w:rPr>
      <w:sz w:val="21"/>
      <w:szCs w:val="21"/>
    </w:rPr>
  </w:style>
  <w:style w:type="character" w:styleId="45">
    <w:name w:val="footnote reference"/>
    <w:qFormat/>
    <w:uiPriority w:val="0"/>
    <w:rPr>
      <w:vertAlign w:val="superscript"/>
    </w:rPr>
  </w:style>
  <w:style w:type="character" w:customStyle="1" w:styleId="46">
    <w:name w:val="页眉 Char"/>
    <w:basedOn w:val="39"/>
    <w:link w:val="26"/>
    <w:qFormat/>
    <w:uiPriority w:val="0"/>
    <w:rPr>
      <w:sz w:val="18"/>
      <w:szCs w:val="18"/>
    </w:rPr>
  </w:style>
  <w:style w:type="character" w:customStyle="1" w:styleId="47">
    <w:name w:val="页脚 Char"/>
    <w:basedOn w:val="39"/>
    <w:link w:val="25"/>
    <w:qFormat/>
    <w:uiPriority w:val="99"/>
    <w:rPr>
      <w:sz w:val="18"/>
      <w:szCs w:val="18"/>
    </w:rPr>
  </w:style>
  <w:style w:type="character" w:customStyle="1" w:styleId="48">
    <w:name w:val="标题 1 Char"/>
    <w:basedOn w:val="39"/>
    <w:link w:val="2"/>
    <w:qFormat/>
    <w:uiPriority w:val="0"/>
    <w:rPr>
      <w:rFonts w:ascii="Times New Roman" w:hAnsi="Times New Roman" w:eastAsia="宋体" w:cs="Times New Roman"/>
      <w:b/>
      <w:bCs/>
      <w:kern w:val="44"/>
      <w:sz w:val="44"/>
      <w:szCs w:val="44"/>
    </w:rPr>
  </w:style>
  <w:style w:type="character" w:customStyle="1" w:styleId="49">
    <w:name w:val="标题 2 Char"/>
    <w:basedOn w:val="39"/>
    <w:link w:val="3"/>
    <w:qFormat/>
    <w:uiPriority w:val="9"/>
    <w:rPr>
      <w:rFonts w:ascii="Arial" w:hAnsi="Arial" w:eastAsia="黑体" w:cs="Times New Roman"/>
      <w:b/>
      <w:bCs/>
      <w:sz w:val="32"/>
      <w:szCs w:val="32"/>
    </w:rPr>
  </w:style>
  <w:style w:type="character" w:customStyle="1" w:styleId="50">
    <w:name w:val="标题 3 Char"/>
    <w:basedOn w:val="39"/>
    <w:link w:val="4"/>
    <w:qFormat/>
    <w:uiPriority w:val="0"/>
    <w:rPr>
      <w:rFonts w:ascii="Times New Roman" w:hAnsi="Times New Roman" w:eastAsia="宋体" w:cs="Times New Roman"/>
      <w:b/>
      <w:bCs/>
      <w:sz w:val="32"/>
      <w:szCs w:val="32"/>
    </w:rPr>
  </w:style>
  <w:style w:type="character" w:customStyle="1" w:styleId="51">
    <w:name w:val="标题 4 Char"/>
    <w:basedOn w:val="39"/>
    <w:link w:val="5"/>
    <w:qFormat/>
    <w:uiPriority w:val="0"/>
    <w:rPr>
      <w:rFonts w:ascii="Cambria" w:hAnsi="Cambria" w:eastAsia="宋体" w:cs="黑体"/>
      <w:b/>
      <w:bCs/>
      <w:sz w:val="28"/>
      <w:szCs w:val="28"/>
    </w:rPr>
  </w:style>
  <w:style w:type="character" w:customStyle="1" w:styleId="52">
    <w:name w:val="标题 6 Char"/>
    <w:basedOn w:val="39"/>
    <w:semiHidden/>
    <w:qFormat/>
    <w:uiPriority w:val="9"/>
    <w:rPr>
      <w:rFonts w:asciiTheme="majorHAnsi" w:hAnsiTheme="majorHAnsi" w:eastAsiaTheme="majorEastAsia" w:cstheme="majorBidi"/>
      <w:b/>
      <w:bCs/>
      <w:sz w:val="24"/>
      <w:szCs w:val="24"/>
    </w:rPr>
  </w:style>
  <w:style w:type="character" w:customStyle="1" w:styleId="53">
    <w:name w:val="标题 7 Char"/>
    <w:basedOn w:val="39"/>
    <w:semiHidden/>
    <w:qFormat/>
    <w:uiPriority w:val="9"/>
    <w:rPr>
      <w:rFonts w:ascii="Times New Roman" w:hAnsi="Times New Roman" w:eastAsia="宋体" w:cs="Times New Roman"/>
      <w:b/>
      <w:bCs/>
      <w:sz w:val="24"/>
      <w:szCs w:val="24"/>
    </w:rPr>
  </w:style>
  <w:style w:type="character" w:customStyle="1" w:styleId="54">
    <w:name w:val="标题 8 Char"/>
    <w:basedOn w:val="39"/>
    <w:semiHidden/>
    <w:qFormat/>
    <w:uiPriority w:val="9"/>
    <w:rPr>
      <w:rFonts w:asciiTheme="majorHAnsi" w:hAnsiTheme="majorHAnsi" w:eastAsiaTheme="majorEastAsia" w:cstheme="majorBidi"/>
      <w:sz w:val="24"/>
      <w:szCs w:val="24"/>
    </w:rPr>
  </w:style>
  <w:style w:type="character" w:customStyle="1" w:styleId="55">
    <w:name w:val="标题 9 Char"/>
    <w:basedOn w:val="39"/>
    <w:semiHidden/>
    <w:qFormat/>
    <w:uiPriority w:val="9"/>
    <w:rPr>
      <w:rFonts w:asciiTheme="majorHAnsi" w:hAnsiTheme="majorHAnsi" w:eastAsiaTheme="majorEastAsia" w:cstheme="majorBidi"/>
      <w:szCs w:val="21"/>
    </w:rPr>
  </w:style>
  <w:style w:type="character" w:customStyle="1" w:styleId="56">
    <w:name w:val="批注文字 Char1"/>
    <w:qFormat/>
    <w:uiPriority w:val="99"/>
    <w:rPr>
      <w:kern w:val="2"/>
      <w:sz w:val="21"/>
    </w:rPr>
  </w:style>
  <w:style w:type="character" w:customStyle="1" w:styleId="57">
    <w:name w:val="批注文字 Char"/>
    <w:qFormat/>
    <w:uiPriority w:val="0"/>
    <w:rPr>
      <w:rFonts w:ascii="Times New Roman" w:hAnsi="Times New Roman"/>
      <w:kern w:val="2"/>
      <w:sz w:val="21"/>
    </w:rPr>
  </w:style>
  <w:style w:type="character" w:customStyle="1" w:styleId="58">
    <w:name w:val="正文文本 3 Char"/>
    <w:link w:val="16"/>
    <w:qFormat/>
    <w:uiPriority w:val="0"/>
    <w:rPr>
      <w:rFonts w:ascii="宋体"/>
      <w:sz w:val="24"/>
    </w:rPr>
  </w:style>
  <w:style w:type="character" w:customStyle="1" w:styleId="59">
    <w:name w:val="批注主题 Char"/>
    <w:link w:val="36"/>
    <w:qFormat/>
    <w:uiPriority w:val="99"/>
    <w:rPr>
      <w:b/>
      <w:bCs/>
      <w:szCs w:val="24"/>
    </w:rPr>
  </w:style>
  <w:style w:type="character" w:customStyle="1" w:styleId="60">
    <w:name w:val="纯文本 Char"/>
    <w:link w:val="21"/>
    <w:qFormat/>
    <w:uiPriority w:val="0"/>
    <w:rPr>
      <w:rFonts w:ascii="Courier New" w:hAnsi="Courier New"/>
    </w:rPr>
  </w:style>
  <w:style w:type="character" w:customStyle="1" w:styleId="61">
    <w:name w:val="批注框文本 Char"/>
    <w:link w:val="24"/>
    <w:qFormat/>
    <w:uiPriority w:val="99"/>
    <w:rPr>
      <w:sz w:val="18"/>
      <w:szCs w:val="18"/>
    </w:rPr>
  </w:style>
  <w:style w:type="character" w:customStyle="1" w:styleId="62">
    <w:name w:val="批注文字 Char2"/>
    <w:basedOn w:val="39"/>
    <w:link w:val="15"/>
    <w:semiHidden/>
    <w:qFormat/>
    <w:uiPriority w:val="99"/>
    <w:rPr>
      <w:rFonts w:ascii="Times New Roman" w:hAnsi="Times New Roman" w:eastAsia="宋体" w:cs="Times New Roman"/>
      <w:szCs w:val="24"/>
    </w:rPr>
  </w:style>
  <w:style w:type="character" w:customStyle="1" w:styleId="63">
    <w:name w:val="批注主题 Char1"/>
    <w:basedOn w:val="62"/>
    <w:semiHidden/>
    <w:qFormat/>
    <w:uiPriority w:val="99"/>
    <w:rPr>
      <w:rFonts w:ascii="Times New Roman" w:hAnsi="Times New Roman" w:eastAsia="宋体" w:cs="Times New Roman"/>
      <w:b/>
      <w:bCs/>
      <w:szCs w:val="24"/>
    </w:rPr>
  </w:style>
  <w:style w:type="character" w:customStyle="1" w:styleId="64">
    <w:name w:val="纯文本 Char1"/>
    <w:basedOn w:val="39"/>
    <w:semiHidden/>
    <w:qFormat/>
    <w:uiPriority w:val="99"/>
    <w:rPr>
      <w:rFonts w:ascii="宋体" w:hAnsi="Courier New" w:eastAsia="宋体" w:cs="Courier New"/>
      <w:szCs w:val="21"/>
    </w:rPr>
  </w:style>
  <w:style w:type="character" w:customStyle="1" w:styleId="65">
    <w:name w:val="正文文本缩进 Char"/>
    <w:basedOn w:val="39"/>
    <w:link w:val="18"/>
    <w:qFormat/>
    <w:uiPriority w:val="0"/>
    <w:rPr>
      <w:rFonts w:ascii="Times New Roman" w:hAnsi="Times New Roman" w:eastAsia="宋体" w:cs="Times New Roman"/>
      <w:sz w:val="28"/>
      <w:szCs w:val="28"/>
    </w:rPr>
  </w:style>
  <w:style w:type="character" w:customStyle="1" w:styleId="66">
    <w:name w:val="正文文本 3 Char1"/>
    <w:basedOn w:val="39"/>
    <w:semiHidden/>
    <w:qFormat/>
    <w:uiPriority w:val="99"/>
    <w:rPr>
      <w:rFonts w:ascii="Times New Roman" w:hAnsi="Times New Roman" w:eastAsia="宋体" w:cs="Times New Roman"/>
      <w:sz w:val="16"/>
      <w:szCs w:val="16"/>
    </w:rPr>
  </w:style>
  <w:style w:type="character" w:customStyle="1" w:styleId="67">
    <w:name w:val="批注框文本 Char1"/>
    <w:basedOn w:val="39"/>
    <w:semiHidden/>
    <w:qFormat/>
    <w:uiPriority w:val="99"/>
    <w:rPr>
      <w:rFonts w:ascii="Times New Roman" w:hAnsi="Times New Roman" w:eastAsia="宋体" w:cs="Times New Roman"/>
      <w:sz w:val="18"/>
      <w:szCs w:val="18"/>
    </w:rPr>
  </w:style>
  <w:style w:type="character" w:customStyle="1" w:styleId="68">
    <w:name w:val="正文文本 Char"/>
    <w:basedOn w:val="39"/>
    <w:link w:val="17"/>
    <w:qFormat/>
    <w:uiPriority w:val="0"/>
    <w:rPr>
      <w:rFonts w:ascii="Times New Roman" w:hAnsi="Times New Roman" w:eastAsia="宋体" w:cs="Times New Roman"/>
      <w:sz w:val="28"/>
      <w:szCs w:val="20"/>
    </w:rPr>
  </w:style>
  <w:style w:type="paragraph" w:customStyle="1" w:styleId="69">
    <w:name w:val="列出段落1"/>
    <w:basedOn w:val="1"/>
    <w:qFormat/>
    <w:uiPriority w:val="34"/>
    <w:pPr>
      <w:ind w:firstLine="420" w:firstLineChars="200"/>
    </w:p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节"/>
    <w:basedOn w:val="3"/>
    <w:qFormat/>
    <w:uiPriority w:val="0"/>
    <w:pPr>
      <w:numPr>
        <w:ilvl w:val="2"/>
        <w:numId w:val="1"/>
      </w:numPr>
      <w:tabs>
        <w:tab w:val="left" w:pos="360"/>
        <w:tab w:val="left" w:pos="576"/>
      </w:tabs>
      <w:spacing w:line="240" w:lineRule="auto"/>
      <w:ind w:left="840" w:hanging="420"/>
    </w:pPr>
    <w:rPr>
      <w:rFonts w:ascii="黑体"/>
      <w:b w:val="0"/>
      <w:sz w:val="28"/>
      <w:szCs w:val="28"/>
    </w:rPr>
  </w:style>
  <w:style w:type="paragraph" w:customStyle="1" w:styleId="72">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3">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7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75">
    <w:name w:val="样式1"/>
    <w:basedOn w:val="1"/>
    <w:qFormat/>
    <w:uiPriority w:val="0"/>
    <w:rPr>
      <w:szCs w:val="21"/>
      <w:lang w:val="zh-CN"/>
    </w:rPr>
  </w:style>
  <w:style w:type="paragraph" w:customStyle="1" w:styleId="76">
    <w:name w:val="Revision"/>
    <w:unhideWhenUsed/>
    <w:qFormat/>
    <w:uiPriority w:val="99"/>
    <w:rPr>
      <w:rFonts w:ascii="Times New Roman" w:hAnsi="Times New Roman" w:eastAsia="宋体" w:cs="Times New Roman"/>
      <w:kern w:val="2"/>
      <w:sz w:val="21"/>
      <w:szCs w:val="24"/>
      <w:lang w:val="en-US" w:eastAsia="zh-CN" w:bidi="ar-SA"/>
    </w:rPr>
  </w:style>
  <w:style w:type="character" w:customStyle="1" w:styleId="77">
    <w:name w:val="日期 Char"/>
    <w:link w:val="23"/>
    <w:qFormat/>
    <w:uiPriority w:val="99"/>
    <w:rPr>
      <w:szCs w:val="24"/>
    </w:rPr>
  </w:style>
  <w:style w:type="character" w:customStyle="1" w:styleId="78">
    <w:name w:val="文档结构图 Char"/>
    <w:link w:val="14"/>
    <w:qFormat/>
    <w:uiPriority w:val="99"/>
    <w:rPr>
      <w:rFonts w:ascii="宋体"/>
      <w:sz w:val="18"/>
      <w:szCs w:val="18"/>
    </w:rPr>
  </w:style>
  <w:style w:type="character" w:customStyle="1" w:styleId="79">
    <w:name w:val="日期 Char1"/>
    <w:basedOn w:val="39"/>
    <w:semiHidden/>
    <w:qFormat/>
    <w:uiPriority w:val="99"/>
    <w:rPr>
      <w:rFonts w:ascii="Times New Roman" w:hAnsi="Times New Roman" w:eastAsia="宋体" w:cs="Times New Roman"/>
      <w:szCs w:val="24"/>
    </w:rPr>
  </w:style>
  <w:style w:type="character" w:customStyle="1" w:styleId="80">
    <w:name w:val="文档结构图 Char1"/>
    <w:basedOn w:val="39"/>
    <w:semiHidden/>
    <w:qFormat/>
    <w:uiPriority w:val="99"/>
    <w:rPr>
      <w:rFonts w:ascii="宋体" w:hAnsi="Times New Roman" w:eastAsia="宋体" w:cs="Times New Roman"/>
      <w:sz w:val="18"/>
      <w:szCs w:val="18"/>
    </w:rPr>
  </w:style>
  <w:style w:type="character" w:customStyle="1" w:styleId="81">
    <w:name w:val="标题 Char"/>
    <w:basedOn w:val="39"/>
    <w:link w:val="35"/>
    <w:qFormat/>
    <w:uiPriority w:val="0"/>
    <w:rPr>
      <w:rFonts w:ascii="Cambria" w:hAnsi="Cambria" w:eastAsia="宋体" w:cs="Times New Roman"/>
      <w:b/>
      <w:bCs/>
      <w:sz w:val="32"/>
      <w:szCs w:val="32"/>
    </w:rPr>
  </w:style>
  <w:style w:type="character" w:customStyle="1" w:styleId="82">
    <w:name w:val="editmail"/>
    <w:qFormat/>
    <w:uiPriority w:val="0"/>
  </w:style>
  <w:style w:type="character" w:customStyle="1" w:styleId="83">
    <w:name w:val="页脚 字符"/>
    <w:qFormat/>
    <w:uiPriority w:val="99"/>
  </w:style>
  <w:style w:type="character" w:customStyle="1" w:styleId="84">
    <w:name w:val="标题 6 Char1"/>
    <w:link w:val="7"/>
    <w:qFormat/>
    <w:uiPriority w:val="0"/>
    <w:rPr>
      <w:rFonts w:ascii="Arial" w:hAnsi="Arial" w:eastAsia="黑体" w:cs="Times New Roman"/>
      <w:b/>
      <w:bCs/>
      <w:kern w:val="0"/>
      <w:sz w:val="24"/>
      <w:szCs w:val="24"/>
    </w:rPr>
  </w:style>
  <w:style w:type="character" w:customStyle="1" w:styleId="85">
    <w:name w:val="标题 7 Char1"/>
    <w:link w:val="8"/>
    <w:qFormat/>
    <w:uiPriority w:val="0"/>
    <w:rPr>
      <w:rFonts w:ascii="Times New Roman" w:hAnsi="Times New Roman" w:eastAsia="宋体" w:cs="Times New Roman"/>
      <w:b/>
      <w:bCs/>
      <w:kern w:val="0"/>
      <w:sz w:val="24"/>
      <w:szCs w:val="24"/>
    </w:rPr>
  </w:style>
  <w:style w:type="character" w:customStyle="1" w:styleId="86">
    <w:name w:val="标题 8 Char1"/>
    <w:link w:val="9"/>
    <w:qFormat/>
    <w:uiPriority w:val="0"/>
    <w:rPr>
      <w:rFonts w:ascii="Arial" w:hAnsi="Arial" w:eastAsia="黑体" w:cs="Times New Roman"/>
      <w:kern w:val="0"/>
      <w:sz w:val="24"/>
      <w:szCs w:val="24"/>
    </w:rPr>
  </w:style>
  <w:style w:type="character" w:customStyle="1" w:styleId="87">
    <w:name w:val="标题 9 Char1"/>
    <w:link w:val="10"/>
    <w:qFormat/>
    <w:uiPriority w:val="0"/>
    <w:rPr>
      <w:rFonts w:ascii="Arial" w:hAnsi="Arial" w:eastAsia="黑体" w:cs="Times New Roman"/>
      <w:kern w:val="0"/>
      <w:szCs w:val="21"/>
    </w:rPr>
  </w:style>
  <w:style w:type="character" w:customStyle="1" w:styleId="88">
    <w:name w:val="Char Char8"/>
    <w:qFormat/>
    <w:uiPriority w:val="0"/>
    <w:rPr>
      <w:rFonts w:ascii="Arial" w:hAnsi="Arial" w:eastAsia="黑体"/>
      <w:b/>
      <w:bCs/>
      <w:kern w:val="2"/>
      <w:sz w:val="32"/>
      <w:szCs w:val="32"/>
      <w:lang w:val="en-US" w:eastAsia="zh-CN" w:bidi="ar-SA"/>
    </w:rPr>
  </w:style>
  <w:style w:type="character" w:customStyle="1" w:styleId="89">
    <w:name w:val="Char Char"/>
    <w:qFormat/>
    <w:uiPriority w:val="0"/>
    <w:rPr>
      <w:rFonts w:ascii="Arial" w:hAnsi="Arial" w:eastAsia="黑体"/>
      <w:b/>
      <w:bCs/>
      <w:kern w:val="2"/>
      <w:sz w:val="32"/>
      <w:szCs w:val="32"/>
      <w:lang w:val="en-US" w:eastAsia="zh-CN" w:bidi="ar-SA"/>
    </w:rPr>
  </w:style>
  <w:style w:type="character" w:customStyle="1" w:styleId="90">
    <w:name w:val="font161"/>
    <w:qFormat/>
    <w:uiPriority w:val="0"/>
    <w:rPr>
      <w:b/>
      <w:bCs/>
      <w:sz w:val="32"/>
      <w:szCs w:val="32"/>
    </w:rPr>
  </w:style>
  <w:style w:type="character" w:customStyle="1" w:styleId="91">
    <w:name w:val="Char Char2"/>
    <w:qFormat/>
    <w:uiPriority w:val="0"/>
    <w:rPr>
      <w:rFonts w:eastAsia="宋体"/>
      <w:kern w:val="2"/>
      <w:sz w:val="21"/>
      <w:szCs w:val="24"/>
      <w:lang w:val="en-US" w:eastAsia="zh-CN" w:bidi="ar-SA"/>
    </w:rPr>
  </w:style>
  <w:style w:type="character" w:customStyle="1" w:styleId="92">
    <w:name w:val="Char Char7"/>
    <w:qFormat/>
    <w:uiPriority w:val="0"/>
    <w:rPr>
      <w:rFonts w:ascii="Arial" w:hAnsi="Arial" w:eastAsia="黑体"/>
      <w:b/>
      <w:bCs/>
      <w:kern w:val="2"/>
      <w:sz w:val="32"/>
      <w:szCs w:val="32"/>
      <w:lang w:val="en-US" w:eastAsia="zh-CN" w:bidi="ar-SA"/>
    </w:rPr>
  </w:style>
  <w:style w:type="paragraph" w:customStyle="1" w:styleId="93">
    <w:name w:val="样式4"/>
    <w:basedOn w:val="4"/>
    <w:qFormat/>
    <w:uiPriority w:val="0"/>
    <w:pPr>
      <w:spacing w:line="415" w:lineRule="auto"/>
    </w:pPr>
    <w:rPr>
      <w:rFonts w:eastAsia="Arial"/>
      <w:lang w:val="zh-CN" w:eastAsia="zh-CN"/>
    </w:rPr>
  </w:style>
  <w:style w:type="paragraph" w:customStyle="1" w:styleId="94">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character" w:customStyle="1" w:styleId="95">
    <w:name w:val="正文文本缩进 3 Char"/>
    <w:basedOn w:val="39"/>
    <w:semiHidden/>
    <w:qFormat/>
    <w:uiPriority w:val="99"/>
    <w:rPr>
      <w:rFonts w:ascii="Times New Roman" w:hAnsi="Times New Roman" w:eastAsia="宋体" w:cs="Times New Roman"/>
      <w:sz w:val="16"/>
      <w:szCs w:val="16"/>
    </w:rPr>
  </w:style>
  <w:style w:type="character" w:customStyle="1" w:styleId="96">
    <w:name w:val="正文文本缩进 3 Char1"/>
    <w:link w:val="31"/>
    <w:qFormat/>
    <w:uiPriority w:val="0"/>
    <w:rPr>
      <w:rFonts w:ascii="Times New Roman" w:hAnsi="Times New Roman" w:eastAsia="宋体" w:cs="Times New Roman"/>
      <w:sz w:val="16"/>
      <w:szCs w:val="16"/>
    </w:rPr>
  </w:style>
  <w:style w:type="paragraph" w:customStyle="1" w:styleId="97">
    <w:name w:val="1"/>
    <w:basedOn w:val="1"/>
    <w:next w:val="1"/>
    <w:qFormat/>
    <w:uiPriority w:val="0"/>
  </w:style>
  <w:style w:type="paragraph" w:customStyle="1" w:styleId="98">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99">
    <w:name w:val="样式2"/>
    <w:basedOn w:val="4"/>
    <w:qFormat/>
    <w:uiPriority w:val="0"/>
    <w:pPr>
      <w:spacing w:line="415" w:lineRule="auto"/>
    </w:pPr>
    <w:rPr>
      <w:lang w:val="zh-CN" w:eastAsia="zh-CN"/>
    </w:rPr>
  </w:style>
  <w:style w:type="paragraph" w:customStyle="1" w:styleId="100">
    <w:name w:val="表格"/>
    <w:basedOn w:val="1"/>
    <w:qFormat/>
    <w:uiPriority w:val="0"/>
    <w:pPr>
      <w:jc w:val="center"/>
      <w:textAlignment w:val="center"/>
    </w:pPr>
    <w:rPr>
      <w:rFonts w:ascii="华文细黑" w:hAnsi="华文细黑"/>
      <w:kern w:val="0"/>
      <w:szCs w:val="20"/>
    </w:rPr>
  </w:style>
  <w:style w:type="paragraph" w:customStyle="1" w:styleId="101">
    <w:name w:val="样式3"/>
    <w:basedOn w:val="4"/>
    <w:qFormat/>
    <w:uiPriority w:val="0"/>
    <w:pPr>
      <w:spacing w:line="415" w:lineRule="auto"/>
    </w:pPr>
    <w:rPr>
      <w:rFonts w:eastAsia="Arial"/>
      <w:lang w:val="zh-CN" w:eastAsia="zh-CN"/>
    </w:rPr>
  </w:style>
  <w:style w:type="paragraph" w:customStyle="1" w:styleId="102">
    <w:name w:val="Char"/>
    <w:basedOn w:val="1"/>
    <w:qFormat/>
    <w:uiPriority w:val="0"/>
    <w:pPr>
      <w:tabs>
        <w:tab w:val="left" w:pos="360"/>
      </w:tabs>
    </w:pPr>
    <w:rPr>
      <w:sz w:val="24"/>
    </w:rPr>
  </w:style>
  <w:style w:type="character" w:customStyle="1" w:styleId="103">
    <w:name w:val="脚注文本 Char"/>
    <w:basedOn w:val="39"/>
    <w:semiHidden/>
    <w:qFormat/>
    <w:uiPriority w:val="99"/>
    <w:rPr>
      <w:rFonts w:ascii="Times New Roman" w:hAnsi="Times New Roman" w:eastAsia="宋体" w:cs="Times New Roman"/>
      <w:sz w:val="18"/>
      <w:szCs w:val="18"/>
    </w:rPr>
  </w:style>
  <w:style w:type="character" w:customStyle="1" w:styleId="104">
    <w:name w:val="脚注文本 Char1"/>
    <w:link w:val="29"/>
    <w:qFormat/>
    <w:uiPriority w:val="0"/>
    <w:rPr>
      <w:rFonts w:ascii="Times New Roman" w:hAnsi="Times New Roman" w:eastAsia="宋体" w:cs="Times New Roman"/>
      <w:sz w:val="20"/>
      <w:szCs w:val="20"/>
    </w:rPr>
  </w:style>
  <w:style w:type="paragraph" w:customStyle="1" w:styleId="105">
    <w:name w:val="表格文字"/>
    <w:basedOn w:val="1"/>
    <w:qFormat/>
    <w:uiPriority w:val="0"/>
    <w:pPr>
      <w:adjustRightInd w:val="0"/>
      <w:spacing w:line="420" w:lineRule="atLeast"/>
      <w:jc w:val="left"/>
      <w:textAlignment w:val="baseline"/>
    </w:pPr>
    <w:rPr>
      <w:kern w:val="0"/>
      <w:szCs w:val="20"/>
    </w:rPr>
  </w:style>
  <w:style w:type="paragraph" w:styleId="106">
    <w:name w:val="List Paragraph"/>
    <w:basedOn w:val="1"/>
    <w:qFormat/>
    <w:uiPriority w:val="34"/>
    <w:pPr>
      <w:ind w:firstLine="420" w:firstLineChars="200"/>
    </w:pPr>
  </w:style>
  <w:style w:type="paragraph" w:customStyle="1" w:styleId="107">
    <w:name w:val="2 Char Char Char Char Char Char Char Char Char Char Char Char Char"/>
    <w:basedOn w:val="14"/>
    <w:autoRedefine/>
    <w:qFormat/>
    <w:uiPriority w:val="0"/>
    <w:pPr>
      <w:shd w:val="clear" w:color="auto" w:fill="000080"/>
    </w:pPr>
    <w:rPr>
      <w:rFonts w:ascii="Tahoma" w:hAnsi="Tahoma"/>
      <w:sz w:val="24"/>
      <w:szCs w:val="24"/>
    </w:rPr>
  </w:style>
  <w:style w:type="paragraph" w:customStyle="1" w:styleId="108">
    <w:name w:val="xl25"/>
    <w:basedOn w:val="1"/>
    <w:qFormat/>
    <w:uiPriority w:val="0"/>
    <w:pPr>
      <w:widowControl/>
      <w:pBdr>
        <w:bottom w:val="single" w:color="auto" w:sz="4" w:space="0"/>
        <w:right w:val="single" w:color="auto" w:sz="4" w:space="0"/>
      </w:pBdr>
      <w:autoSpaceDE/>
      <w:autoSpaceDN/>
      <w:adjustRightInd/>
      <w:spacing w:before="100" w:beforeAutospacing="1" w:after="100" w:afterAutospacing="1"/>
      <w:jc w:val="center"/>
    </w:pPr>
    <w:rPr>
      <w:rFonts w:hAnsi="宋体"/>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A8895E-22F2-45A8-A364-F0A442BCEC5C}">
  <ds:schemaRefs/>
</ds:datastoreItem>
</file>

<file path=docProps/app.xml><?xml version="1.0" encoding="utf-8"?>
<Properties xmlns="http://schemas.openxmlformats.org/officeDocument/2006/extended-properties" xmlns:vt="http://schemas.openxmlformats.org/officeDocument/2006/docPropsVTypes">
  <Template>Normal.dotm</Template>
  <Pages>46</Pages>
  <Words>21784</Words>
  <Characters>23242</Characters>
  <Lines>169</Lines>
  <Paragraphs>47</Paragraphs>
  <TotalTime>1</TotalTime>
  <ScaleCrop>false</ScaleCrop>
  <LinksUpToDate>false</LinksUpToDate>
  <CharactersWithSpaces>24919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2021-06-06T09:26:00Z</dcterms:created>
  <dc:creator>45347</dc:creator>
  <cp:lastModifiedBy>administrator</cp:lastModifiedBy>
  <dcterms:modified xsi:type="dcterms:W3CDTF">2025-12-08T01:02:15Z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eyJoZGlkIjoiZTVlNzg1NzcwNTgwOWVjNGMzMWEwMTliMTMzNGVhNDgiLCJ1c2VySWQiOiIxMzUzMTc0MDAzIn0=</vt:lpwstr>
  </property>
  <property fmtid="{D5CDD505-2E9C-101B-9397-08002B2CF9AE}" pid="3" name="KSOProductBuildVer">
    <vt:lpwstr>2052-12.1.0.23542</vt:lpwstr>
  </property>
  <property fmtid="{D5CDD505-2E9C-101B-9397-08002B2CF9AE}" pid="4" name="ICV">
    <vt:lpwstr>6C15B9EBD38E488CA28509A5A5C07F8F_12</vt:lpwstr>
  </property>
</Properties>
</file>