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BDF74">
      <w:pPr>
        <w:spacing w:line="360" w:lineRule="auto"/>
        <w:jc w:val="center"/>
        <w:rPr>
          <w:rFonts w:hint="eastAsia" w:ascii="黑体" w:hAnsi="黑体" w:eastAsia="黑体" w:cs="黑体"/>
          <w:b/>
          <w:bCs/>
          <w:sz w:val="32"/>
          <w:szCs w:val="32"/>
        </w:rPr>
      </w:pPr>
      <w:r>
        <w:rPr>
          <w:rFonts w:hint="eastAsia" w:ascii="黑体" w:hAnsi="黑体" w:eastAsia="黑体" w:cs="黑体"/>
          <w:b/>
          <w:bCs/>
          <w:sz w:val="32"/>
          <w:szCs w:val="32"/>
        </w:rPr>
        <w:t>运输标准容器采购需求说明书</w:t>
      </w:r>
    </w:p>
    <w:p w14:paraId="7962C1F1">
      <w:pPr>
        <w:spacing w:line="360" w:lineRule="auto"/>
        <w:rPr>
          <w:rFonts w:hint="eastAsia" w:ascii="宋体" w:hAnsi="宋体" w:eastAsia="宋体"/>
          <w:b/>
          <w:bCs/>
          <w:szCs w:val="21"/>
        </w:rPr>
      </w:pPr>
      <w:r>
        <w:rPr>
          <w:rFonts w:hint="eastAsia" w:ascii="宋体" w:hAnsi="宋体" w:eastAsia="宋体"/>
          <w:b/>
          <w:bCs/>
          <w:szCs w:val="21"/>
        </w:rPr>
        <w:t>一、项目背景</w:t>
      </w:r>
    </w:p>
    <w:p w14:paraId="7BC81565">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广州医药物流有限公司计划引入一批新型运输容器以满足运输装载需求，本次通过公开调研寻求一批符合要求的潜在合格服务商及了解其运输容器产品，后续将根据调研结果与参与调研的单位展开进一步的沟通洽谈。</w:t>
      </w:r>
      <w:bookmarkStart w:id="0" w:name="_GoBack"/>
      <w:bookmarkEnd w:id="0"/>
    </w:p>
    <w:p w14:paraId="07E55135">
      <w:pPr>
        <w:spacing w:line="360" w:lineRule="auto"/>
        <w:rPr>
          <w:rFonts w:hint="eastAsia" w:ascii="宋体" w:hAnsi="宋体" w:eastAsia="宋体"/>
          <w:b/>
          <w:bCs/>
          <w:szCs w:val="21"/>
        </w:rPr>
      </w:pPr>
      <w:r>
        <w:rPr>
          <w:rFonts w:hint="eastAsia" w:ascii="宋体" w:hAnsi="宋体" w:eastAsia="宋体"/>
          <w:b/>
          <w:bCs/>
          <w:szCs w:val="21"/>
        </w:rPr>
        <w:t>二、项目情况</w:t>
      </w:r>
    </w:p>
    <w:p w14:paraId="31EDA7E6">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b/>
          <w:bCs/>
          <w:szCs w:val="21"/>
        </w:rPr>
        <w:t>1、容器要求</w:t>
      </w:r>
    </w:p>
    <w:p w14:paraId="33CD21BF">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采购方车型及车厢内径尺寸如下表：</w:t>
      </w:r>
    </w:p>
    <w:tbl>
      <w:tblPr>
        <w:tblStyle w:val="16"/>
        <w:tblW w:w="4999" w:type="pct"/>
        <w:tblInd w:w="0" w:type="dxa"/>
        <w:tblLayout w:type="autofit"/>
        <w:tblCellMar>
          <w:top w:w="0" w:type="dxa"/>
          <w:left w:w="108" w:type="dxa"/>
          <w:bottom w:w="0" w:type="dxa"/>
          <w:right w:w="108" w:type="dxa"/>
        </w:tblCellMar>
      </w:tblPr>
      <w:tblGrid>
        <w:gridCol w:w="4256"/>
        <w:gridCol w:w="4264"/>
      </w:tblGrid>
      <w:tr w14:paraId="10A4BDA0">
        <w:trPr>
          <w:trHeight w:val="90" w:hRule="atLeast"/>
        </w:trPr>
        <w:tc>
          <w:tcPr>
            <w:tcW w:w="2497" w:type="pct"/>
            <w:tcBorders>
              <w:top w:val="single" w:color="auto" w:sz="4" w:space="0"/>
              <w:left w:val="single" w:color="auto" w:sz="4" w:space="0"/>
              <w:bottom w:val="single" w:color="auto" w:sz="4" w:space="0"/>
              <w:right w:val="single" w:color="auto" w:sz="4" w:space="0"/>
            </w:tcBorders>
            <w:vAlign w:val="center"/>
          </w:tcPr>
          <w:p w14:paraId="664E5624">
            <w:pPr>
              <w:widowControl/>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车辆类型</w:t>
            </w:r>
          </w:p>
        </w:tc>
        <w:tc>
          <w:tcPr>
            <w:tcW w:w="2502" w:type="pct"/>
            <w:tcBorders>
              <w:top w:val="single" w:color="auto" w:sz="4" w:space="0"/>
              <w:left w:val="nil"/>
              <w:bottom w:val="single" w:color="auto" w:sz="4" w:space="0"/>
              <w:right w:val="single" w:color="auto" w:sz="4" w:space="0"/>
            </w:tcBorders>
            <w:vAlign w:val="center"/>
          </w:tcPr>
          <w:p w14:paraId="16E71453">
            <w:pPr>
              <w:widowControl/>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车厢内径尺寸（长*宽*高）（米）</w:t>
            </w:r>
          </w:p>
        </w:tc>
      </w:tr>
      <w:tr w14:paraId="484B64B2">
        <w:tblPrEx>
          <w:tblCellMar>
            <w:top w:w="0" w:type="dxa"/>
            <w:left w:w="108" w:type="dxa"/>
            <w:bottom w:w="0" w:type="dxa"/>
            <w:right w:w="108" w:type="dxa"/>
          </w:tblCellMar>
        </w:tblPrEx>
        <w:trPr>
          <w:trHeight w:val="277" w:hRule="atLeast"/>
        </w:trPr>
        <w:tc>
          <w:tcPr>
            <w:tcW w:w="2497" w:type="pct"/>
            <w:tcBorders>
              <w:top w:val="nil"/>
              <w:left w:val="single" w:color="auto" w:sz="4" w:space="0"/>
              <w:bottom w:val="single" w:color="auto" w:sz="4" w:space="0"/>
              <w:right w:val="single" w:color="auto" w:sz="4" w:space="0"/>
            </w:tcBorders>
            <w:noWrap/>
            <w:vAlign w:val="center"/>
          </w:tcPr>
          <w:p w14:paraId="454BBC21">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厢式货车-4.3M</w:t>
            </w:r>
          </w:p>
        </w:tc>
        <w:tc>
          <w:tcPr>
            <w:tcW w:w="2502" w:type="pct"/>
            <w:tcBorders>
              <w:top w:val="nil"/>
              <w:left w:val="nil"/>
              <w:bottom w:val="single" w:color="auto" w:sz="4" w:space="0"/>
              <w:right w:val="single" w:color="auto" w:sz="4" w:space="0"/>
            </w:tcBorders>
            <w:noWrap/>
            <w:vAlign w:val="center"/>
          </w:tcPr>
          <w:p w14:paraId="3E7E3C4D">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4.15*2.25*2</w:t>
            </w:r>
          </w:p>
        </w:tc>
      </w:tr>
      <w:tr w14:paraId="63CEDCCF">
        <w:tblPrEx>
          <w:tblCellMar>
            <w:top w:w="0" w:type="dxa"/>
            <w:left w:w="108" w:type="dxa"/>
            <w:bottom w:w="0" w:type="dxa"/>
            <w:right w:w="108" w:type="dxa"/>
          </w:tblCellMar>
        </w:tblPrEx>
        <w:trPr>
          <w:trHeight w:val="277" w:hRule="atLeast"/>
        </w:trPr>
        <w:tc>
          <w:tcPr>
            <w:tcW w:w="2497" w:type="pct"/>
            <w:tcBorders>
              <w:top w:val="nil"/>
              <w:left w:val="single" w:color="auto" w:sz="4" w:space="0"/>
              <w:bottom w:val="single" w:color="auto" w:sz="4" w:space="0"/>
              <w:right w:val="single" w:color="auto" w:sz="4" w:space="0"/>
            </w:tcBorders>
            <w:noWrap/>
            <w:vAlign w:val="center"/>
          </w:tcPr>
          <w:p w14:paraId="73EDFF26">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厢式货车-7.6M</w:t>
            </w:r>
          </w:p>
        </w:tc>
        <w:tc>
          <w:tcPr>
            <w:tcW w:w="2502" w:type="pct"/>
            <w:tcBorders>
              <w:top w:val="nil"/>
              <w:left w:val="nil"/>
              <w:bottom w:val="single" w:color="auto" w:sz="4" w:space="0"/>
              <w:right w:val="single" w:color="auto" w:sz="4" w:space="0"/>
            </w:tcBorders>
            <w:noWrap/>
            <w:vAlign w:val="center"/>
          </w:tcPr>
          <w:p w14:paraId="27FDAF5B">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7.4*2.25*2.2</w:t>
            </w:r>
          </w:p>
        </w:tc>
      </w:tr>
      <w:tr w14:paraId="6551CFFF">
        <w:tblPrEx>
          <w:tblCellMar>
            <w:top w:w="0" w:type="dxa"/>
            <w:left w:w="108" w:type="dxa"/>
            <w:bottom w:w="0" w:type="dxa"/>
            <w:right w:w="108" w:type="dxa"/>
          </w:tblCellMar>
        </w:tblPrEx>
        <w:trPr>
          <w:trHeight w:val="277" w:hRule="atLeast"/>
        </w:trPr>
        <w:tc>
          <w:tcPr>
            <w:tcW w:w="2497" w:type="pct"/>
            <w:tcBorders>
              <w:top w:val="nil"/>
              <w:left w:val="single" w:color="auto" w:sz="4" w:space="0"/>
              <w:bottom w:val="single" w:color="auto" w:sz="4" w:space="0"/>
              <w:right w:val="single" w:color="auto" w:sz="4" w:space="0"/>
            </w:tcBorders>
            <w:noWrap/>
            <w:vAlign w:val="center"/>
          </w:tcPr>
          <w:p w14:paraId="787A84C9">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厢式货车-9.6M</w:t>
            </w:r>
          </w:p>
        </w:tc>
        <w:tc>
          <w:tcPr>
            <w:tcW w:w="2502" w:type="pct"/>
            <w:tcBorders>
              <w:top w:val="nil"/>
              <w:left w:val="nil"/>
              <w:bottom w:val="single" w:color="auto" w:sz="4" w:space="0"/>
              <w:right w:val="single" w:color="auto" w:sz="4" w:space="0"/>
            </w:tcBorders>
            <w:noWrap/>
            <w:vAlign w:val="center"/>
          </w:tcPr>
          <w:p w14:paraId="5788F9EB">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9.4*2.35*2.4</w:t>
            </w:r>
          </w:p>
        </w:tc>
      </w:tr>
      <w:tr w14:paraId="36537213">
        <w:tblPrEx>
          <w:tblCellMar>
            <w:top w:w="0" w:type="dxa"/>
            <w:left w:w="108" w:type="dxa"/>
            <w:bottom w:w="0" w:type="dxa"/>
            <w:right w:w="108" w:type="dxa"/>
          </w:tblCellMar>
        </w:tblPrEx>
        <w:trPr>
          <w:trHeight w:val="286" w:hRule="atLeast"/>
        </w:trPr>
        <w:tc>
          <w:tcPr>
            <w:tcW w:w="2497" w:type="pct"/>
            <w:tcBorders>
              <w:top w:val="nil"/>
              <w:left w:val="single" w:color="auto" w:sz="4" w:space="0"/>
              <w:bottom w:val="single" w:color="auto" w:sz="4" w:space="0"/>
              <w:right w:val="single" w:color="auto" w:sz="4" w:space="0"/>
            </w:tcBorders>
            <w:noWrap/>
            <w:vAlign w:val="center"/>
          </w:tcPr>
          <w:p w14:paraId="2567EEAB">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厢式货车-12.5M</w:t>
            </w:r>
          </w:p>
        </w:tc>
        <w:tc>
          <w:tcPr>
            <w:tcW w:w="2502" w:type="pct"/>
            <w:tcBorders>
              <w:top w:val="nil"/>
              <w:left w:val="nil"/>
              <w:bottom w:val="single" w:color="auto" w:sz="4" w:space="0"/>
              <w:right w:val="single" w:color="auto" w:sz="4" w:space="0"/>
            </w:tcBorders>
            <w:noWrap/>
            <w:vAlign w:val="center"/>
          </w:tcPr>
          <w:p w14:paraId="711EBBEA">
            <w:pPr>
              <w:widowControl/>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12*2.35*2.4</w:t>
            </w:r>
          </w:p>
        </w:tc>
      </w:tr>
    </w:tbl>
    <w:p w14:paraId="4DB6BCFA">
      <w:pPr>
        <w:spacing w:line="360" w:lineRule="auto"/>
        <w:ind w:firstLine="420"/>
        <w:rPr>
          <w:rFonts w:hint="eastAsia" w:ascii="宋体" w:hAnsi="宋体" w:eastAsia="宋体"/>
          <w:szCs w:val="21"/>
        </w:rPr>
      </w:pPr>
      <w:r>
        <w:rPr>
          <w:rFonts w:hint="eastAsia" w:ascii="宋体" w:hAnsi="宋体" w:eastAsia="宋体"/>
          <w:szCs w:val="21"/>
        </w:rPr>
        <w:t>运输容器需对车辆容积的平均利用率不低于80%，计算口径：车型满载运输容器数*单个运输容器外体积/车厢容积≥80%。</w:t>
      </w:r>
    </w:p>
    <w:p w14:paraId="41EF8735">
      <w:pPr>
        <w:spacing w:line="360" w:lineRule="auto"/>
        <w:ind w:firstLine="420"/>
        <w:rPr>
          <w:rFonts w:hint="eastAsia" w:ascii="宋体" w:hAnsi="宋体" w:eastAsia="宋体"/>
          <w:szCs w:val="21"/>
        </w:rPr>
      </w:pPr>
      <w:r>
        <w:rPr>
          <w:rFonts w:hint="eastAsia" w:ascii="宋体" w:hAnsi="宋体" w:eastAsia="宋体"/>
          <w:szCs w:val="21"/>
        </w:rPr>
        <w:t>运输容器类型：包括但不限于围板箱、笼车、多层托盘，其他可满足甲方需求的运输容器种类均可。</w:t>
      </w:r>
    </w:p>
    <w:p w14:paraId="5F1E77AA">
      <w:pPr>
        <w:spacing w:line="360" w:lineRule="auto"/>
        <w:ind w:firstLine="420"/>
        <w:rPr>
          <w:rFonts w:hint="eastAsia" w:ascii="宋体" w:hAnsi="宋体" w:eastAsia="宋体"/>
          <w:szCs w:val="21"/>
        </w:rPr>
      </w:pPr>
      <w:r>
        <w:rPr>
          <w:rFonts w:hint="eastAsia" w:ascii="宋体" w:hAnsi="宋体" w:eastAsia="宋体"/>
          <w:szCs w:val="21"/>
        </w:rPr>
        <w:t>运输容器参考外尺寸：建议参考长1.2米、宽1米、堆叠后高1.9米（仅供参考，如有更优尺寸亦可，但需满足其余技术要求）。</w:t>
      </w:r>
    </w:p>
    <w:p w14:paraId="583A6F65">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承重：甲方平均单件货重约8-10KG，单件体积约0.04m³，容器需具备对应的承重能力。</w:t>
      </w:r>
    </w:p>
    <w:p w14:paraId="1495A7CA">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货物防护：具备一定货物防护能力，可减少各类原因导致的货物损坏（包括但不限于货物跌落、货物压损、货物间磨损、货物与车辆内厢碰撞）。</w:t>
      </w:r>
    </w:p>
    <w:p w14:paraId="59AE1F99">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存放要求：托盘类、围板箱类要求可叠放，笼车类要求可折叠，尽可能的防磨损防晒防锈防倒塌。</w:t>
      </w:r>
    </w:p>
    <w:p w14:paraId="10C7C3DD">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使用要求：可单人操作最佳，货物堆放尽可能便于操作、堆高，带有标示区域更优。</w:t>
      </w:r>
    </w:p>
    <w:p w14:paraId="3AC1D861">
      <w:pPr>
        <w:spacing w:line="360" w:lineRule="auto"/>
        <w:rPr>
          <w:rFonts w:hint="eastAsia" w:ascii="宋体" w:hAnsi="宋体" w:eastAsia="宋体"/>
          <w:szCs w:val="21"/>
        </w:rPr>
      </w:pPr>
      <w:r>
        <w:rPr>
          <w:rFonts w:hint="eastAsia" w:ascii="宋体" w:hAnsi="宋体" w:eastAsia="宋体"/>
          <w:szCs w:val="21"/>
        </w:rPr>
        <w:t xml:space="preserve">    其余功能需求应不低于国家、行业的相关标准。</w:t>
      </w:r>
    </w:p>
    <w:p w14:paraId="66E8C077">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b/>
          <w:bCs/>
          <w:szCs w:val="21"/>
        </w:rPr>
        <w:t>3、容器需求量</w:t>
      </w:r>
    </w:p>
    <w:p w14:paraId="2D41E037">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 xml:space="preserve">   预计总需求量约2000个运输容器（按容积1.2*1*1.9米预估）</w:t>
      </w:r>
    </w:p>
    <w:p w14:paraId="5260EBFB">
      <w:pPr>
        <w:spacing w:line="360" w:lineRule="auto"/>
        <w:rPr>
          <w:rFonts w:hint="eastAsia" w:ascii="宋体" w:hAnsi="宋体" w:eastAsia="宋体"/>
          <w:b/>
          <w:bCs/>
          <w:szCs w:val="21"/>
        </w:rPr>
      </w:pPr>
      <w:r>
        <w:rPr>
          <w:rFonts w:hint="eastAsia" w:ascii="宋体" w:hAnsi="宋体" w:eastAsia="宋体"/>
          <w:b/>
          <w:bCs/>
          <w:szCs w:val="21"/>
        </w:rPr>
        <w:t>三、调研资料要求</w:t>
      </w:r>
    </w:p>
    <w:p w14:paraId="7DBFEDA5">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运输容器介绍及图示：容器简介、图示尺寸（需说明内外部尺寸）</w:t>
      </w:r>
    </w:p>
    <w:p w14:paraId="11BE64F3">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操作说明书：容器使用步骤、注意事项、案例等</w:t>
      </w:r>
    </w:p>
    <w:p w14:paraId="3FFC19D3">
      <w:pPr>
        <w:spacing w:line="360" w:lineRule="auto"/>
        <w:rPr>
          <w:rFonts w:hint="eastAsia" w:ascii="宋体" w:hAnsi="宋体" w:eastAsia="宋体"/>
          <w:szCs w:val="21"/>
        </w:rPr>
      </w:pPr>
      <w:r>
        <w:rPr>
          <w:rFonts w:ascii="宋体" w:hAnsi="宋体" w:eastAsia="宋体"/>
          <w:szCs w:val="21"/>
        </w:rPr>
        <w:tab/>
      </w:r>
      <w:r>
        <w:rPr>
          <w:rFonts w:hint="eastAsia" w:ascii="宋体" w:hAnsi="宋体" w:eastAsia="宋体"/>
          <w:szCs w:val="21"/>
        </w:rPr>
        <w:t>报价：以单个单位的运输保容器进行报价，并说明报价包含的服务内容（元/单位）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508"/>
    <w:rsid w:val="00150899"/>
    <w:rsid w:val="003D5E92"/>
    <w:rsid w:val="004B0532"/>
    <w:rsid w:val="00570508"/>
    <w:rsid w:val="005F45B6"/>
    <w:rsid w:val="00704AA9"/>
    <w:rsid w:val="00872239"/>
    <w:rsid w:val="008C1AC2"/>
    <w:rsid w:val="00973F9F"/>
    <w:rsid w:val="00A062FA"/>
    <w:rsid w:val="00A21666"/>
    <w:rsid w:val="00A67515"/>
    <w:rsid w:val="00A70667"/>
    <w:rsid w:val="00A9510A"/>
    <w:rsid w:val="00AB3799"/>
    <w:rsid w:val="00BE5112"/>
    <w:rsid w:val="00C15569"/>
    <w:rsid w:val="00CA508A"/>
    <w:rsid w:val="00E4111D"/>
    <w:rsid w:val="00EB380F"/>
    <w:rsid w:val="00EE7DF9"/>
    <w:rsid w:val="10E66550"/>
    <w:rsid w:val="11001706"/>
    <w:rsid w:val="13BF1404"/>
    <w:rsid w:val="1AE57AF6"/>
    <w:rsid w:val="1C9C7069"/>
    <w:rsid w:val="1D04432C"/>
    <w:rsid w:val="1E796654"/>
    <w:rsid w:val="22DF73CD"/>
    <w:rsid w:val="288712FC"/>
    <w:rsid w:val="28DF2187"/>
    <w:rsid w:val="2C852280"/>
    <w:rsid w:val="319C694B"/>
    <w:rsid w:val="36CD4F32"/>
    <w:rsid w:val="3B265C0C"/>
    <w:rsid w:val="3DEB10C4"/>
    <w:rsid w:val="42F61347"/>
    <w:rsid w:val="433775C0"/>
    <w:rsid w:val="450A285A"/>
    <w:rsid w:val="4ADD7DE7"/>
    <w:rsid w:val="4BCA036B"/>
    <w:rsid w:val="54EF499E"/>
    <w:rsid w:val="59E456CA"/>
    <w:rsid w:val="5B870D89"/>
    <w:rsid w:val="5BEB615A"/>
    <w:rsid w:val="67B52731"/>
    <w:rsid w:val="68E403FA"/>
    <w:rsid w:val="6A322B81"/>
    <w:rsid w:val="6A7379C8"/>
    <w:rsid w:val="6D9D7236"/>
    <w:rsid w:val="6DCF760B"/>
    <w:rsid w:val="71DC40A5"/>
    <w:rsid w:val="73C81AAC"/>
    <w:rsid w:val="741F125A"/>
    <w:rsid w:val="750C1BB8"/>
    <w:rsid w:val="79A85D71"/>
    <w:rsid w:val="79C769DC"/>
    <w:rsid w:val="7F5D4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qFormat/>
    <w:uiPriority w:val="9"/>
    <w:rPr>
      <w:rFonts w:cstheme="majorBidi"/>
      <w:color w:val="2F5597" w:themeColor="accent1" w:themeShade="BF"/>
      <w:sz w:val="24"/>
      <w:szCs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明显参考1"/>
    <w:basedOn w:val="17"/>
    <w:qFormat/>
    <w:uiPriority w:val="32"/>
    <w:rPr>
      <w:b/>
      <w:bCs/>
      <w:smallCaps/>
      <w:color w:val="2F5597" w:themeColor="accent1" w:themeShade="BF"/>
      <w:spacing w:val="5"/>
    </w:rPr>
  </w:style>
  <w:style w:type="character" w:customStyle="1" w:styleId="36">
    <w:name w:val="页眉 字符"/>
    <w:basedOn w:val="17"/>
    <w:link w:val="13"/>
    <w:uiPriority w:val="99"/>
    <w:rPr>
      <w:sz w:val="18"/>
      <w:szCs w:val="18"/>
    </w:rPr>
  </w:style>
  <w:style w:type="character" w:customStyle="1" w:styleId="37">
    <w:name w:val="页脚 字符"/>
    <w:basedOn w:val="17"/>
    <w:link w:val="12"/>
    <w:qFormat/>
    <w:uiPriority w:val="99"/>
    <w:rPr>
      <w:sz w:val="18"/>
      <w:szCs w:val="18"/>
    </w:rPr>
  </w:style>
  <w:style w:type="paragraph" w:customStyle="1" w:styleId="38">
    <w:name w:val="Revision"/>
    <w:hidden/>
    <w:unhideWhenUsed/>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663</Words>
  <Characters>751</Characters>
  <Lines>5</Lines>
  <Paragraphs>1</Paragraphs>
  <TotalTime>2</TotalTime>
  <ScaleCrop>false</ScaleCrop>
  <LinksUpToDate>false</LinksUpToDate>
  <CharactersWithSpaces>770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2026-03-09T02:19:00Z</dcterms:created>
  <dc:creator>李昊贤</dc:creator>
  <cp:lastModifiedBy>GC</cp:lastModifiedBy>
  <dcterms:modified xsi:type="dcterms:W3CDTF">2026-03-11T06:15:36Z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eyJoZGlkIjoiOTczZjUzNjRmZWJlY2Q1OTViM2IyODU2MDgxNDkyMTQiLCJ1c2VySWQiOiIyMjk3NjA5In0=</vt:lpwstr>
  </property>
  <property fmtid="{D5CDD505-2E9C-101B-9397-08002B2CF9AE}" pid="3" name="KSOProductBuildVer">
    <vt:lpwstr>2052-12.1.0.25222</vt:lpwstr>
  </property>
  <property fmtid="{D5CDD505-2E9C-101B-9397-08002B2CF9AE}" pid="4" name="ICV">
    <vt:lpwstr>CDA966BD745949FD980BCC04CBE0FC6B_12</vt:lpwstr>
  </property>
</Properties>
</file>