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E4280">
      <w:pPr>
        <w:bidi w:val="0"/>
        <w:jc w:val="center"/>
        <w:rPr>
          <w:rFonts w:hint="eastAsia" w:ascii="宋体" w:hAnsi="宋体" w:eastAsia="宋体" w:cs="宋体"/>
          <w:b/>
          <w:bCs/>
          <w:sz w:val="32"/>
          <w:szCs w:val="32"/>
          <w:lang w:val="en-US" w:eastAsia="zh-CN"/>
        </w:rPr>
      </w:pPr>
      <w:bookmarkStart w:id="0" w:name="_GoBack"/>
      <w:r>
        <w:rPr>
          <w:rFonts w:hint="eastAsia" w:ascii="宋体" w:hAnsi="宋体" w:eastAsia="宋体" w:cs="宋体"/>
          <w:b/>
          <w:bCs/>
          <w:sz w:val="32"/>
          <w:szCs w:val="32"/>
        </w:rPr>
        <w:t>南方医科大学中西医结合医院</w:t>
      </w:r>
      <w:r>
        <w:rPr>
          <w:rFonts w:hint="eastAsia" w:ascii="宋体" w:hAnsi="宋体" w:eastAsia="宋体" w:cs="宋体"/>
          <w:b/>
          <w:bCs/>
          <w:sz w:val="32"/>
          <w:szCs w:val="32"/>
          <w:lang w:val="en-US" w:eastAsia="zh-CN"/>
        </w:rPr>
        <w:t>工会委员会</w:t>
      </w:r>
    </w:p>
    <w:p w14:paraId="6E650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0"/>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rPr>
        <w:t>202</w:t>
      </w:r>
      <w:r>
        <w:rPr>
          <w:rFonts w:hint="eastAsia" w:ascii="宋体" w:hAnsi="宋体" w:eastAsia="宋体" w:cs="宋体"/>
          <w:b/>
          <w:bCs/>
          <w:i w:val="0"/>
          <w:iCs w:val="0"/>
          <w:caps w:val="0"/>
          <w:color w:val="000000"/>
          <w:spacing w:val="0"/>
          <w:sz w:val="32"/>
          <w:szCs w:val="32"/>
          <w:lang w:val="en-US" w:eastAsia="zh-CN"/>
        </w:rPr>
        <w:t>7</w:t>
      </w:r>
      <w:r>
        <w:rPr>
          <w:rFonts w:hint="eastAsia" w:ascii="宋体" w:hAnsi="宋体" w:eastAsia="宋体" w:cs="宋体"/>
          <w:b/>
          <w:bCs/>
          <w:i w:val="0"/>
          <w:iCs w:val="0"/>
          <w:caps w:val="0"/>
          <w:color w:val="000000"/>
          <w:spacing w:val="0"/>
          <w:sz w:val="32"/>
          <w:szCs w:val="32"/>
        </w:rPr>
        <w:t>年员工生日蛋糕券配送服务项目用户需求书</w:t>
      </w:r>
      <w:bookmarkEnd w:id="0"/>
    </w:p>
    <w:p w14:paraId="7E5110D5">
      <w:pPr>
        <w:bidi w:val="0"/>
        <w:jc w:val="left"/>
        <w:rPr>
          <w:rFonts w:hint="eastAsia" w:ascii="仿宋" w:hAnsi="仿宋" w:eastAsia="仿宋" w:cs="仿宋"/>
          <w:sz w:val="32"/>
          <w:szCs w:val="32"/>
        </w:rPr>
      </w:pPr>
    </w:p>
    <w:p w14:paraId="29C1DAC1">
      <w:pPr>
        <w:bidi w:val="0"/>
        <w:ind w:firstLine="602"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、项目名称</w:t>
      </w:r>
    </w:p>
    <w:p w14:paraId="4F548EF8">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南方医科大学中西医结合医院工会委员会2027年生日蛋糕券配送服务项目</w:t>
      </w:r>
    </w:p>
    <w:p w14:paraId="2D7A35EE">
      <w:pPr>
        <w:bidi w:val="0"/>
        <w:ind w:firstLine="602"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、项目概况</w:t>
      </w:r>
    </w:p>
    <w:p w14:paraId="7C56D9A3">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本项目预估服务人数约1455人，项目总预算为人民币 582000.00 元（大写：伍拾捌万贰仟元整），总预算为项目最高限价。实际服务人数以及人员名单均以医院工会实际提供的数据为准。 </w:t>
      </w:r>
    </w:p>
    <w:p w14:paraId="6ACFA852">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本项目拟选取1家成交供应商，服务内容包含生日蛋糕券服务、生日贺卡定制、H5 电子使用说明制作、蛋糕券配送服务以及全年12场</w:t>
      </w:r>
      <w:r>
        <w:rPr>
          <w:rFonts w:hint="eastAsia" w:ascii="仿宋" w:hAnsi="仿宋" w:eastAsia="仿宋" w:cs="仿宋"/>
          <w:color w:val="auto"/>
          <w:kern w:val="2"/>
          <w:sz w:val="32"/>
          <w:szCs w:val="32"/>
          <w:highlight w:val="none"/>
          <w:lang w:val="en-US" w:eastAsia="zh-CN" w:bidi="ar-SA"/>
        </w:rPr>
        <w:t>工会活动（生日会活动或者户外拓展活动）</w:t>
      </w:r>
      <w:r>
        <w:rPr>
          <w:rFonts w:hint="eastAsia" w:ascii="仿宋" w:hAnsi="仿宋" w:eastAsia="仿宋" w:cs="仿宋"/>
          <w:sz w:val="32"/>
          <w:szCs w:val="32"/>
          <w:highlight w:val="none"/>
          <w:lang w:val="en-US" w:eastAsia="zh-CN"/>
        </w:rPr>
        <w:t xml:space="preserve">服务。全部服务所产生的所有费用统一包含在总预算之内，采购人不再另行支付其他任何费用，项目全年实际结算总金额不得超过本项目总预算582000.00 元，超出部分采购人不予支付。 蛋糕券单人标准为单张蛋糕券面值不低于人民币400元，每张蛋糕券结算价为人民币400元。 </w:t>
      </w:r>
    </w:p>
    <w:p w14:paraId="3533924E">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注：本需求书中标注★的条款为实质性响应条款，供应商必须全部满足，不满足将视为响应无效。</w:t>
      </w:r>
    </w:p>
    <w:p w14:paraId="0C558AAD">
      <w:pPr>
        <w:pageBreakBefore w:val="0"/>
        <w:kinsoku/>
        <w:wordWrap/>
        <w:overflowPunct/>
        <w:topLinePunct w:val="0"/>
        <w:bidi w:val="0"/>
        <w:adjustRightInd/>
        <w:spacing w:beforeAutospacing="0" w:afterAutospacing="0" w:line="360" w:lineRule="auto"/>
        <w:ind w:firstLine="602" w:firstLineChars="200"/>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三</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供应商的资格要求</w:t>
      </w:r>
    </w:p>
    <w:p w14:paraId="25D422AC">
      <w:pPr>
        <w:pageBreakBefore w:val="0"/>
        <w:kinsoku/>
        <w:wordWrap/>
        <w:overflowPunct/>
        <w:topLinePunct w:val="0"/>
        <w:bidi w:val="0"/>
        <w:adjustRightInd/>
        <w:spacing w:beforeAutospacing="0" w:afterAutospacing="0" w:line="360" w:lineRule="auto"/>
        <w:ind w:firstLine="602"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1.响应供应商应具备以下规定的条件，提供下列材料：</w:t>
      </w:r>
    </w:p>
    <w:p w14:paraId="2938B8B1">
      <w:pPr>
        <w:pageBreakBefore w:val="0"/>
        <w:widowControl/>
        <w:shd w:val="clear"/>
        <w:kinsoku/>
        <w:wordWrap/>
        <w:overflowPunct/>
        <w:topLinePunct w:val="0"/>
        <w:bidi w:val="0"/>
        <w:adjustRightInd/>
        <w:spacing w:beforeAutospacing="0" w:afterAutospacing="0" w:line="240" w:lineRule="auto"/>
        <w:ind w:firstLine="602" w:firstLineChars="200"/>
        <w:jc w:val="left"/>
        <w:textAlignment w:val="auto"/>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1）具有独立承担民事责任的能力：提供在中华人民共和国境内注册的法人或其他组织的营业执照或事业单位法人证书或社会团体法人登记证书复印件，如供应商为自然人的提供自然人身份证明复印件；如国家另有规定的，则从其规定。（如供应商为分支机构，须取得具有法人资格的总公司（总所）出具给分支机构的授权书，并提供总公司（总所）和分支机构的营业执照（执业许可证）扫描件；已由总公司（总所）授权的，总公司（总所）取得的相关资质证书对分支机构有效，法律法规或者行业另有规定的除外）</w:t>
      </w:r>
    </w:p>
    <w:p w14:paraId="6DE2CAD9">
      <w:pPr>
        <w:pageBreakBefore w:val="0"/>
        <w:widowControl/>
        <w:shd w:val="clear"/>
        <w:kinsoku/>
        <w:wordWrap/>
        <w:overflowPunct/>
        <w:topLinePunct w:val="0"/>
        <w:bidi w:val="0"/>
        <w:adjustRightInd/>
        <w:spacing w:beforeAutospacing="0" w:afterAutospacing="0" w:line="240" w:lineRule="auto"/>
        <w:ind w:firstLine="602" w:firstLineChars="200"/>
        <w:jc w:val="left"/>
        <w:textAlignment w:val="auto"/>
        <w:rPr>
          <w:rFonts w:hint="eastAsia" w:ascii="仿宋" w:hAnsi="仿宋" w:eastAsia="仿宋" w:cs="仿宋"/>
          <w:sz w:val="32"/>
          <w:szCs w:val="32"/>
          <w:highlight w:val="none"/>
        </w:rPr>
      </w:pPr>
      <w:r>
        <w:rPr>
          <w:rFonts w:hint="eastAsia" w:ascii="仿宋" w:hAnsi="仿宋" w:eastAsia="仿宋" w:cs="仿宋"/>
          <w:kern w:val="2"/>
          <w:sz w:val="32"/>
          <w:szCs w:val="32"/>
          <w:highlight w:val="none"/>
        </w:rPr>
        <w:t>2）具有良好的商业信誉和健全的财务会计制度：提供《供应商资格声明函》</w:t>
      </w:r>
      <w:r>
        <w:rPr>
          <w:rFonts w:hint="eastAsia" w:ascii="仿宋" w:hAnsi="仿宋" w:eastAsia="仿宋" w:cs="仿宋"/>
          <w:sz w:val="32"/>
          <w:szCs w:val="32"/>
          <w:highlight w:val="none"/>
        </w:rPr>
        <w:t>。</w:t>
      </w:r>
    </w:p>
    <w:p w14:paraId="133E5FD5">
      <w:pPr>
        <w:pageBreakBefore w:val="0"/>
        <w:widowControl/>
        <w:shd w:val="clear"/>
        <w:kinsoku/>
        <w:wordWrap/>
        <w:overflowPunct/>
        <w:topLinePunct w:val="0"/>
        <w:bidi w:val="0"/>
        <w:adjustRightInd/>
        <w:spacing w:beforeAutospacing="0" w:afterAutospacing="0" w:line="240" w:lineRule="auto"/>
        <w:ind w:firstLine="602" w:firstLineChars="200"/>
        <w:jc w:val="left"/>
        <w:textAlignment w:val="auto"/>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3）有依法缴纳税收和社会保障资金的良好记录：提供《供应商资格声明函》</w:t>
      </w:r>
      <w:r>
        <w:rPr>
          <w:rFonts w:hint="eastAsia" w:ascii="仿宋" w:hAnsi="仿宋" w:eastAsia="仿宋" w:cs="仿宋"/>
          <w:sz w:val="32"/>
          <w:szCs w:val="32"/>
          <w:highlight w:val="none"/>
        </w:rPr>
        <w:t>。</w:t>
      </w:r>
    </w:p>
    <w:p w14:paraId="556F47B6">
      <w:pPr>
        <w:pageBreakBefore w:val="0"/>
        <w:widowControl/>
        <w:shd w:val="clear"/>
        <w:kinsoku/>
        <w:wordWrap/>
        <w:overflowPunct/>
        <w:topLinePunct w:val="0"/>
        <w:bidi w:val="0"/>
        <w:adjustRightInd/>
        <w:spacing w:beforeAutospacing="0" w:afterAutospacing="0" w:line="240" w:lineRule="auto"/>
        <w:ind w:firstLine="602" w:firstLineChars="200"/>
        <w:jc w:val="left"/>
        <w:textAlignment w:val="auto"/>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4）具有履行合同所必需的设备和专业技术能力：提供《供应商资格声明函》。</w:t>
      </w:r>
    </w:p>
    <w:p w14:paraId="328A2443">
      <w:pPr>
        <w:pageBreakBefore w:val="0"/>
        <w:widowControl/>
        <w:shd w:val="clear"/>
        <w:kinsoku/>
        <w:wordWrap/>
        <w:overflowPunct/>
        <w:topLinePunct w:val="0"/>
        <w:bidi w:val="0"/>
        <w:adjustRightInd/>
        <w:spacing w:beforeAutospacing="0" w:afterAutospacing="0" w:line="240" w:lineRule="auto"/>
        <w:ind w:firstLine="602" w:firstLineChars="200"/>
        <w:jc w:val="left"/>
        <w:textAlignment w:val="auto"/>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5）参加采购活动前三年内，在经营活动中没有重大违法记录：提供《供应商资格声明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D219E6A">
      <w:pPr>
        <w:pageBreakBefore w:val="0"/>
        <w:kinsoku/>
        <w:wordWrap/>
        <w:overflowPunct/>
        <w:topLinePunct w:val="0"/>
        <w:bidi w:val="0"/>
        <w:adjustRightInd/>
        <w:spacing w:beforeAutospacing="0" w:afterAutospacing="0" w:line="360" w:lineRule="auto"/>
        <w:ind w:firstLine="602" w:firstLineChars="200"/>
        <w:rPr>
          <w:rFonts w:hint="eastAsia" w:ascii="仿宋" w:hAnsi="仿宋" w:eastAsia="仿宋" w:cs="仿宋"/>
          <w:b/>
          <w:color w:val="auto"/>
          <w:sz w:val="32"/>
          <w:szCs w:val="32"/>
          <w:highlight w:val="none"/>
          <w:u w:val="single"/>
        </w:rPr>
      </w:pPr>
      <w:r>
        <w:rPr>
          <w:rFonts w:hint="eastAsia" w:ascii="仿宋" w:hAnsi="仿宋" w:eastAsia="仿宋" w:cs="仿宋"/>
          <w:b/>
          <w:color w:val="auto"/>
          <w:sz w:val="32"/>
          <w:szCs w:val="32"/>
          <w:highlight w:val="none"/>
        </w:rPr>
        <w:t>2.落实采购政策需满足的资格要求：</w:t>
      </w:r>
    </w:p>
    <w:p w14:paraId="40603078">
      <w:pPr>
        <w:pageBreakBefore w:val="0"/>
        <w:kinsoku/>
        <w:wordWrap/>
        <w:overflowPunct/>
        <w:topLinePunct w:val="0"/>
        <w:bidi w:val="0"/>
        <w:adjustRightInd/>
        <w:spacing w:beforeAutospacing="0" w:afterAutospacing="0" w:line="360" w:lineRule="auto"/>
        <w:ind w:firstLine="602"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无。</w:t>
      </w:r>
    </w:p>
    <w:p w14:paraId="30394021">
      <w:pPr>
        <w:pageBreakBefore w:val="0"/>
        <w:kinsoku/>
        <w:wordWrap/>
        <w:overflowPunct/>
        <w:topLinePunct w:val="0"/>
        <w:bidi w:val="0"/>
        <w:adjustRightInd/>
        <w:spacing w:beforeAutospacing="0" w:afterAutospacing="0" w:line="360" w:lineRule="auto"/>
        <w:ind w:firstLine="602" w:firstLineChars="200"/>
        <w:rPr>
          <w:rFonts w:hint="eastAsia" w:ascii="仿宋" w:hAnsi="仿宋" w:eastAsia="仿宋" w:cs="仿宋"/>
          <w:b/>
          <w:i/>
          <w:iCs/>
          <w:color w:val="auto"/>
          <w:sz w:val="32"/>
          <w:szCs w:val="32"/>
          <w:highlight w:val="none"/>
          <w:u w:val="single"/>
        </w:rPr>
      </w:pPr>
      <w:r>
        <w:rPr>
          <w:rFonts w:hint="eastAsia" w:ascii="仿宋" w:hAnsi="仿宋" w:eastAsia="仿宋" w:cs="仿宋"/>
          <w:b/>
          <w:color w:val="auto"/>
          <w:sz w:val="32"/>
          <w:szCs w:val="32"/>
          <w:highlight w:val="none"/>
        </w:rPr>
        <w:t>3.本项目的特定资格要求：</w:t>
      </w:r>
    </w:p>
    <w:p w14:paraId="7CAF30BF">
      <w:pPr>
        <w:pageBreakBefore w:val="0"/>
        <w:widowControl/>
        <w:shd w:val="clear" w:color="auto" w:fill="FFFFFF"/>
        <w:kinsoku/>
        <w:wordWrap/>
        <w:overflowPunct/>
        <w:topLinePunct w:val="0"/>
        <w:bidi w:val="0"/>
        <w:adjustRightInd/>
        <w:spacing w:beforeAutospacing="0" w:afterAutospacing="0" w:line="360" w:lineRule="auto"/>
        <w:ind w:firstLine="602" w:firstLineChars="200"/>
        <w:textAlignment w:val="baseline"/>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（1）信用记录：供应商未被列入“信用中国”网站</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www.creditchina.gov.cn</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“失信被执行人”或“重大税收违法失信主体”或“政府采购严重违法失信行为记录名单”；不处于中国政府采购网</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www.ccgp.gov.cn</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“政府采购严重违法失信行为信息记录”中的禁止参加政府采购活动期间。（以采购代理机构于响应截止时间当天在“信用中国”网站（www.creditchina.gov.cn）及中国政府采购网（http://www.ccgp.gov.cn</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查询结果为准，如相关失信记录已失效，供应商需提供相关证明资料）。</w:t>
      </w:r>
    </w:p>
    <w:p w14:paraId="26C69CD9">
      <w:pPr>
        <w:pageBreakBefore w:val="0"/>
        <w:widowControl/>
        <w:shd w:val="clear" w:color="auto" w:fill="FFFFFF"/>
        <w:kinsoku/>
        <w:wordWrap/>
        <w:overflowPunct/>
        <w:topLinePunct w:val="0"/>
        <w:bidi w:val="0"/>
        <w:adjustRightInd/>
        <w:spacing w:beforeAutospacing="0" w:afterAutospacing="0" w:line="360" w:lineRule="auto"/>
        <w:ind w:firstLine="602" w:firstLineChars="200"/>
        <w:textAlignment w:val="baseline"/>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2）供应商必须符合法律、行政法规规定的其他条件：单位负责人为同一人或者存在直接控股、管理关系的不同供应商，不得同时参加本采购项目（采购包）响应。为本项目提供整体设计、规范编制或者项目管理、监理、检测等服务的供应商，不得再参与本项目响应。</w:t>
      </w:r>
      <w:r>
        <w:rPr>
          <w:rFonts w:hint="eastAsia" w:ascii="仿宋" w:hAnsi="仿宋" w:eastAsia="仿宋" w:cs="仿宋"/>
          <w:color w:val="auto"/>
          <w:sz w:val="32"/>
          <w:szCs w:val="32"/>
          <w:highlight w:val="none"/>
        </w:rPr>
        <w:t>（提供《供应商资格声明函》）</w:t>
      </w:r>
      <w:r>
        <w:rPr>
          <w:rFonts w:hint="eastAsia" w:ascii="仿宋" w:hAnsi="仿宋" w:eastAsia="仿宋" w:cs="仿宋"/>
          <w:color w:val="auto"/>
          <w:kern w:val="0"/>
          <w:sz w:val="32"/>
          <w:szCs w:val="32"/>
          <w:highlight w:val="none"/>
        </w:rPr>
        <w:t>。</w:t>
      </w:r>
    </w:p>
    <w:p w14:paraId="23AB6CCF">
      <w:pPr>
        <w:pageBreakBefore w:val="0"/>
        <w:kinsoku/>
        <w:wordWrap/>
        <w:overflowPunct/>
        <w:topLinePunct w:val="0"/>
        <w:bidi w:val="0"/>
        <w:adjustRightInd/>
        <w:spacing w:beforeAutospacing="0" w:afterAutospacing="0" w:line="360" w:lineRule="auto"/>
        <w:ind w:firstLine="602"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（3）供应商已按磋商公告及磋商文件的规定获取了磋商文件。（提供《供应商资格声明函》）</w:t>
      </w:r>
    </w:p>
    <w:p w14:paraId="1025F467">
      <w:pPr>
        <w:bidi w:val="0"/>
        <w:ind w:firstLine="602" w:firstLineChars="200"/>
        <w:jc w:val="left"/>
        <w:rPr>
          <w:rFonts w:hint="eastAsia" w:ascii="仿宋" w:hAnsi="仿宋" w:eastAsia="仿宋" w:cs="仿宋"/>
          <w:b/>
          <w:bCs/>
          <w:sz w:val="32"/>
          <w:szCs w:val="32"/>
          <w:highlight w:val="none"/>
          <w:lang w:eastAsia="zh-CN"/>
        </w:rPr>
      </w:pPr>
      <w:r>
        <w:rPr>
          <w:rFonts w:hint="eastAsia" w:ascii="仿宋" w:hAnsi="仿宋" w:eastAsia="仿宋" w:cs="仿宋"/>
          <w:color w:val="auto"/>
          <w:sz w:val="32"/>
          <w:szCs w:val="32"/>
          <w:highlight w:val="none"/>
        </w:rPr>
        <w:t>（4）本项目不接受联合体响应</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highlight w:val="none"/>
          <w:lang w:val="en-US" w:eastAsia="zh-CN"/>
        </w:rPr>
        <w:t>不允许分包、转包给其他单位或个人。</w:t>
      </w:r>
    </w:p>
    <w:p w14:paraId="6CBF6DFD">
      <w:pPr>
        <w:bidi w:val="0"/>
        <w:ind w:firstLine="602"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四、</w:t>
      </w:r>
      <w:r>
        <w:rPr>
          <w:rFonts w:hint="eastAsia" w:ascii="仿宋" w:hAnsi="仿宋" w:eastAsia="仿宋" w:cs="仿宋"/>
          <w:b/>
          <w:bCs/>
          <w:sz w:val="32"/>
          <w:szCs w:val="32"/>
          <w:highlight w:val="none"/>
        </w:rPr>
        <w:t>技术要求</w:t>
      </w:r>
    </w:p>
    <w:p w14:paraId="656BB610">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1.供应商应当充分知悉，本次服务人数约1455人，具体人数以医院提供的实际人员数据为准。</w:t>
      </w:r>
    </w:p>
    <w:p w14:paraId="2BA58AA6">
      <w:pPr>
        <w:keepNext w:val="0"/>
        <w:keepLines w:val="0"/>
        <w:pageBreakBefore w:val="0"/>
        <w:widowControl/>
        <w:kinsoku w:val="0"/>
        <w:wordWrap/>
        <w:overflowPunct/>
        <w:topLinePunct w:val="0"/>
        <w:autoSpaceDE w:val="0"/>
        <w:autoSpaceDN w:val="0"/>
        <w:bidi w:val="0"/>
        <w:adjustRightInd w:val="0"/>
        <w:snapToGrid w:val="0"/>
        <w:spacing w:line="500" w:lineRule="exact"/>
        <w:ind w:firstLine="602" w:firstLineChars="200"/>
        <w:textAlignment w:val="baseline"/>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供应商提供的所有食品质量必须达到国家食品卫生及相关国家标准，确保产品质量稳定、绿色安全。食品从加工、包装、运输、贮存到销售全流程符合国家规范；供应商须向采购人提供产品出厂合格证等质量证明文件；兑换食品品类丰富、质量合规；除食品外，其他货物</w:t>
      </w:r>
      <w:r>
        <w:rPr>
          <w:rFonts w:hint="eastAsia" w:ascii="仿宋" w:hAnsi="仿宋" w:eastAsia="仿宋" w:cs="仿宋"/>
          <w:sz w:val="32"/>
          <w:szCs w:val="32"/>
          <w:highlight w:val="none"/>
        </w:rPr>
        <w:t xml:space="preserve">到货剩余保质期不少于 6 个月。 </w:t>
      </w:r>
    </w:p>
    <w:p w14:paraId="0C4FC3B5">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蛋糕券需同时支持线上领取、线下实体门店核销使用。门店使用范围必须达两家或以上且广深佛或广佛通用，且至少在广州市区有两家以上实体门店，可正常参与商家各类优惠活动及特价服务。蛋糕券需包含但不限于面包新语、美心西饼、幸福西饼、利口福、八喜、榴芒一刻、诺心、元祖食品、麦子仓库、广州酒家、哈根达斯、Hey yo喜乳酪、DQ、PAPERSTONE BAKERY等市面主流品牌。蛋糕券可正常使用于商家各类优惠活动及特价产品，不得将特价、促销商品排除使用。供应商投标时须提交完整可核验门店清单，清单包含门店地址、联系电话、营业状态；合同期内门店关闭、撤店，供应商须提供等价替代门店，保障职工正常兑付。</w:t>
      </w:r>
    </w:p>
    <w:p w14:paraId="36AF0E9D">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★4.线上商城的产品展示零售标价应不得高于京东、天猫超市、华润万家、永辉超市等同类公开渠道同类产品零售价格及折扣价；蛋糕券以人民币元作为计价单位，实行 1:1 等额领取兑换使用；严禁转换为点数、积分、虚拟币等方式变相降低实际购买力；券支持拆分消费、余额留存直至消费完毕；券不可套现、不找现金，消费超出券余额部分由职工自行补足差额（响应时提供承诺函，格式自拟）。</w:t>
      </w:r>
    </w:p>
    <w:p w14:paraId="1A3A6082">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★5.供应商根据合同约定提供对应面值生日蛋糕券，单张券面值不得低于400元。蛋糕券可拆分使用，余额用完为止；蛋糕券有效期不少于2年，有效期区间为2027年1月1日</w:t>
      </w:r>
      <w:r>
        <w:rPr>
          <w:rFonts w:hint="eastAsia" w:ascii="仿宋" w:hAnsi="仿宋" w:eastAsia="仿宋" w:cs="仿宋"/>
          <w:sz w:val="32"/>
          <w:szCs w:val="32"/>
          <w:highlight w:val="none"/>
          <w:lang w:val="en-US" w:eastAsia="zh-CN"/>
        </w:rPr>
        <w:noBreakHyphen/>
      </w:r>
      <w:r>
        <w:rPr>
          <w:rFonts w:hint="eastAsia" w:ascii="仿宋" w:hAnsi="仿宋" w:eastAsia="仿宋" w:cs="仿宋"/>
          <w:sz w:val="32"/>
          <w:szCs w:val="32"/>
          <w:highlight w:val="none"/>
          <w:lang w:val="en-US" w:eastAsia="zh-CN"/>
        </w:rPr>
        <w:t>2028年12月31日；券到期后仍存有未消费余额，供应商须提供不少于3个月的免费激活及延期服务，不得收取工本费、手续费，不允许余额直接作废。</w:t>
      </w:r>
    </w:p>
    <w:p w14:paraId="518350F4">
      <w:pPr>
        <w:numPr>
          <w:ilvl w:val="0"/>
          <w:numId w:val="0"/>
        </w:num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6.贺卡设计相关要求</w:t>
      </w:r>
    </w:p>
    <w:p w14:paraId="57559D9D">
      <w:pPr>
        <w:numPr>
          <w:ilvl w:val="0"/>
          <w:numId w:val="0"/>
        </w:num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①材质方面，贺卡纸张克重不低于 250g，手感平整，印刷图案清晰、色彩还原良好，无模糊、重影、漏印，配套信封；</w:t>
      </w:r>
    </w:p>
    <w:p w14:paraId="17384A94">
      <w:pPr>
        <w:numPr>
          <w:ilvl w:val="0"/>
          <w:numId w:val="0"/>
        </w:num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②个性化定制，可根据医院要求，在贺卡上添加祝福语、LOGO 等个性化元素，定制灵活，履约期内支持内容微调；</w:t>
      </w:r>
    </w:p>
    <w:p w14:paraId="22200292">
      <w:pPr>
        <w:numPr>
          <w:ilvl w:val="0"/>
          <w:numId w:val="0"/>
        </w:num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③须设计电子H5蛋糕券使用说明，包含领券方式、使用规则、门店查询、客服联系方式，交付采购人用于内部员工推送。</w:t>
      </w:r>
    </w:p>
    <w:p w14:paraId="2197CE0F">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kern w:val="2"/>
          <w:sz w:val="32"/>
          <w:szCs w:val="32"/>
          <w:highlight w:val="none"/>
          <w:lang w:val="en-US" w:eastAsia="zh-CN" w:bidi="ar-SA"/>
        </w:rPr>
        <w:t>7.</w:t>
      </w:r>
      <w:r>
        <w:rPr>
          <w:rFonts w:hint="eastAsia" w:ascii="仿宋" w:hAnsi="仿宋" w:eastAsia="仿宋" w:cs="仿宋"/>
          <w:sz w:val="32"/>
          <w:szCs w:val="32"/>
          <w:highlight w:val="none"/>
          <w:lang w:val="en-US" w:eastAsia="zh-CN"/>
        </w:rPr>
        <w:t>供应商须及时处理蛋糕券发放和使用过程中的各类问题，处置完成后及时向采购人反馈。设立本项目专属对接人，工作日响应时间不超过2小时，一般投诉24小时闭环处置，食品安全类紧急投诉4小时内响应处置。</w:t>
      </w:r>
    </w:p>
    <w:p w14:paraId="305F587A">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8.本项目配送方式及地点要求</w:t>
      </w:r>
    </w:p>
    <w:p w14:paraId="6989B931">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①按员工自选登记地点快递配送（供应商可结合自身条件选择合适配送方式，配送费用应包含在供应商的成本中（即不得额外收取运费且运费不得在卡券面值中扣取），采购人或采购人员工不另外支付费用。供应商须编制详细配送方案，配送方案详尽程度、配送便利性纳入评审得分）。  </w:t>
      </w:r>
    </w:p>
    <w:p w14:paraId="7641ED8D">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②员工可在供应商各实体门店（加盟店）提货；</w:t>
      </w:r>
    </w:p>
    <w:p w14:paraId="4F327B58">
      <w:pPr>
        <w:pStyle w:val="31"/>
        <w:numPr>
          <w:ilvl w:val="0"/>
          <w:numId w:val="0"/>
        </w:numPr>
        <w:spacing w:line="360" w:lineRule="auto"/>
        <w:ind w:leftChars="0" w:firstLine="602"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★9.供应商报价包含全年承办12场</w:t>
      </w:r>
      <w:r>
        <w:rPr>
          <w:rFonts w:hint="eastAsia" w:ascii="仿宋" w:hAnsi="仿宋" w:eastAsia="仿宋" w:cs="仿宋"/>
          <w:color w:val="auto"/>
          <w:kern w:val="2"/>
          <w:sz w:val="32"/>
          <w:szCs w:val="32"/>
          <w:highlight w:val="none"/>
          <w:lang w:val="en-US" w:eastAsia="zh-CN" w:bidi="ar-SA"/>
        </w:rPr>
        <w:t>工会活动（生日会活动或者户外拓展活动）</w:t>
      </w:r>
      <w:r>
        <w:rPr>
          <w:rFonts w:hint="eastAsia" w:ascii="仿宋" w:hAnsi="仿宋" w:eastAsia="仿宋" w:cs="仿宋"/>
          <w:sz w:val="32"/>
          <w:szCs w:val="32"/>
          <w:highlight w:val="none"/>
          <w:lang w:val="en-US" w:eastAsia="zh-CN"/>
        </w:rPr>
        <w:t>服务，</w:t>
      </w:r>
      <w:r>
        <w:rPr>
          <w:rFonts w:hint="eastAsia" w:ascii="仿宋" w:hAnsi="仿宋" w:eastAsia="仿宋" w:cs="仿宋"/>
          <w:color w:val="auto"/>
          <w:kern w:val="2"/>
          <w:sz w:val="32"/>
          <w:szCs w:val="32"/>
          <w:highlight w:val="none"/>
          <w:lang w:val="en-US" w:eastAsia="zh-CN" w:bidi="ar-SA"/>
        </w:rPr>
        <w:t>费用</w:t>
      </w:r>
      <w:r>
        <w:rPr>
          <w:rFonts w:hint="eastAsia" w:ascii="仿宋" w:hAnsi="仿宋" w:eastAsia="仿宋" w:cs="仿宋"/>
          <w:sz w:val="32"/>
          <w:szCs w:val="32"/>
          <w:highlight w:val="none"/>
          <w:lang w:val="en-US" w:eastAsia="zh-CN"/>
        </w:rPr>
        <w:t>标准不低于50元/人（响应时提供承诺函，格式自拟）。</w:t>
      </w:r>
    </w:p>
    <w:p w14:paraId="0A5FFB79">
      <w:pPr>
        <w:pStyle w:val="31"/>
        <w:numPr>
          <w:ilvl w:val="0"/>
          <w:numId w:val="0"/>
        </w:numPr>
        <w:spacing w:line="360" w:lineRule="auto"/>
        <w:ind w:leftChars="0" w:firstLine="602"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sz w:val="32"/>
          <w:szCs w:val="32"/>
          <w:highlight w:val="none"/>
          <w:lang w:val="en-US" w:eastAsia="zh-CN"/>
        </w:rPr>
        <w:t>①</w:t>
      </w:r>
      <w:r>
        <w:rPr>
          <w:rFonts w:hint="eastAsia" w:ascii="仿宋" w:hAnsi="仿宋" w:eastAsia="仿宋" w:cs="仿宋"/>
          <w:color w:val="auto"/>
          <w:kern w:val="2"/>
          <w:sz w:val="32"/>
          <w:szCs w:val="32"/>
          <w:highlight w:val="none"/>
          <w:lang w:val="en-US" w:eastAsia="zh-CN" w:bidi="ar-SA"/>
        </w:rPr>
        <w:t>生日会的活动由院方策划，活动所需的物资由院方提供书面需求，供应商必须按照院方需求采购，完成活动</w:t>
      </w:r>
      <w:r>
        <w:rPr>
          <w:rFonts w:hint="eastAsia" w:ascii="仿宋" w:hAnsi="仿宋" w:eastAsia="仿宋" w:cs="仿宋"/>
          <w:sz w:val="32"/>
          <w:szCs w:val="32"/>
          <w:highlight w:val="none"/>
          <w:lang w:val="en-US" w:eastAsia="zh-CN"/>
        </w:rPr>
        <w:t>策划、氛围布置、茶歇甜品饮品、活动道具、现场执行、活动结束清场清运等全部工作，</w:t>
      </w:r>
      <w:r>
        <w:rPr>
          <w:rFonts w:hint="eastAsia" w:ascii="仿宋" w:hAnsi="仿宋" w:eastAsia="仿宋" w:cs="仿宋"/>
          <w:color w:val="auto"/>
          <w:kern w:val="2"/>
          <w:sz w:val="32"/>
          <w:szCs w:val="32"/>
          <w:highlight w:val="none"/>
          <w:lang w:val="en-US" w:eastAsia="zh-CN" w:bidi="ar-SA"/>
        </w:rPr>
        <w:t>价格参考京东、线下超市。宣传物料的价格参考我院宣传物料在服务的公司提供的价格。</w:t>
      </w:r>
    </w:p>
    <w:p w14:paraId="00A098A7">
      <w:pPr>
        <w:pStyle w:val="31"/>
        <w:numPr>
          <w:ilvl w:val="0"/>
          <w:numId w:val="0"/>
        </w:numPr>
        <w:spacing w:line="360" w:lineRule="auto"/>
        <w:ind w:leftChars="0" w:firstLine="602"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sz w:val="32"/>
          <w:szCs w:val="32"/>
          <w:highlight w:val="none"/>
          <w:lang w:val="en-US" w:eastAsia="zh-CN"/>
        </w:rPr>
        <w:t>②</w:t>
      </w:r>
      <w:r>
        <w:rPr>
          <w:rFonts w:hint="eastAsia" w:ascii="仿宋" w:hAnsi="仿宋" w:eastAsia="仿宋" w:cs="仿宋"/>
          <w:color w:val="auto"/>
          <w:kern w:val="2"/>
          <w:sz w:val="32"/>
          <w:szCs w:val="32"/>
          <w:highlight w:val="none"/>
          <w:lang w:val="en-US" w:eastAsia="zh-CN" w:bidi="ar-SA"/>
        </w:rPr>
        <w:t>户外拓展活动由医院提需求，供应商可自行寻找策划公司或自己承办。</w:t>
      </w:r>
    </w:p>
    <w:p w14:paraId="5028EA2F">
      <w:pPr>
        <w:pStyle w:val="31"/>
        <w:numPr>
          <w:ilvl w:val="0"/>
          <w:numId w:val="0"/>
        </w:numPr>
        <w:spacing w:line="360" w:lineRule="auto"/>
        <w:ind w:leftChars="0" w:firstLine="602" w:firstLineChars="200"/>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sz w:val="32"/>
          <w:szCs w:val="32"/>
          <w:highlight w:val="none"/>
          <w:lang w:val="en-US" w:eastAsia="zh-CN"/>
        </w:rPr>
        <w:t>10.</w:t>
      </w:r>
      <w:r>
        <w:rPr>
          <w:rFonts w:hint="eastAsia" w:ascii="仿宋" w:hAnsi="仿宋" w:eastAsia="仿宋" w:cs="仿宋"/>
          <w:i w:val="0"/>
          <w:iCs w:val="0"/>
          <w:caps w:val="0"/>
          <w:color w:val="000000"/>
          <w:spacing w:val="0"/>
          <w:sz w:val="32"/>
          <w:szCs w:val="32"/>
          <w:highlight w:val="none"/>
        </w:rPr>
        <w:t>增值券及增值服务要求</w:t>
      </w:r>
    </w:p>
    <w:p w14:paraId="75B0243E">
      <w:pPr>
        <w:pStyle w:val="31"/>
        <w:numPr>
          <w:ilvl w:val="0"/>
          <w:numId w:val="0"/>
        </w:numPr>
        <w:spacing w:line="360" w:lineRule="auto"/>
        <w:ind w:leftChars="0" w:firstLine="602" w:firstLineChars="200"/>
        <w:rPr>
          <w:rFonts w:hint="eastAsia" w:ascii="仿宋" w:hAnsi="仿宋" w:eastAsia="仿宋" w:cs="仿宋"/>
          <w:i w:val="0"/>
          <w:iCs w:val="0"/>
          <w:caps w:val="0"/>
          <w:color w:val="000000"/>
          <w:spacing w:val="0"/>
          <w:sz w:val="32"/>
          <w:szCs w:val="32"/>
          <w:highlight w:val="none"/>
          <w:lang w:eastAsia="zh-CN"/>
        </w:rPr>
      </w:pPr>
      <w:r>
        <w:rPr>
          <w:rFonts w:hint="eastAsia" w:ascii="仿宋" w:hAnsi="仿宋" w:eastAsia="仿宋" w:cs="仿宋"/>
          <w:sz w:val="32"/>
          <w:szCs w:val="32"/>
          <w:highlight w:val="none"/>
          <w:lang w:val="en-US" w:eastAsia="zh-CN"/>
        </w:rPr>
        <w:t>①</w:t>
      </w:r>
      <w:r>
        <w:rPr>
          <w:rFonts w:hint="eastAsia" w:ascii="仿宋" w:hAnsi="仿宋" w:eastAsia="仿宋" w:cs="仿宋"/>
          <w:i w:val="0"/>
          <w:iCs w:val="0"/>
          <w:caps w:val="0"/>
          <w:color w:val="000000"/>
          <w:spacing w:val="0"/>
          <w:sz w:val="32"/>
          <w:szCs w:val="32"/>
          <w:highlight w:val="none"/>
        </w:rPr>
        <w:t>增值券为项目附赠权益，随400元生日蛋糕券同步发放至每位员工，不单独计价、不折现、不找零，不可兑换现金，不得冲抵生日蛋糕券400 元面值</w:t>
      </w:r>
      <w:r>
        <w:rPr>
          <w:rFonts w:hint="eastAsia" w:ascii="仿宋" w:hAnsi="仿宋" w:eastAsia="仿宋" w:cs="仿宋"/>
          <w:i w:val="0"/>
          <w:iCs w:val="0"/>
          <w:caps w:val="0"/>
          <w:color w:val="000000"/>
          <w:spacing w:val="0"/>
          <w:sz w:val="32"/>
          <w:szCs w:val="32"/>
          <w:highlight w:val="none"/>
          <w:lang w:eastAsia="zh-CN"/>
        </w:rPr>
        <w:t>。</w:t>
      </w:r>
    </w:p>
    <w:p w14:paraId="1B75EDCC">
      <w:pPr>
        <w:pStyle w:val="31"/>
        <w:numPr>
          <w:ilvl w:val="0"/>
          <w:numId w:val="0"/>
        </w:numPr>
        <w:spacing w:line="360" w:lineRule="auto"/>
        <w:ind w:leftChars="0" w:firstLine="602" w:firstLineChars="200"/>
        <w:rPr>
          <w:rFonts w:hint="eastAsia" w:ascii="仿宋" w:hAnsi="仿宋" w:eastAsia="仿宋" w:cs="仿宋"/>
          <w:i w:val="0"/>
          <w:iCs w:val="0"/>
          <w:caps w:val="0"/>
          <w:color w:val="000000"/>
          <w:spacing w:val="0"/>
          <w:sz w:val="32"/>
          <w:szCs w:val="32"/>
          <w:highlight w:val="none"/>
          <w:lang w:val="en-US" w:eastAsia="zh-CN"/>
        </w:rPr>
      </w:pPr>
      <w:r>
        <w:rPr>
          <w:rFonts w:hint="eastAsia" w:ascii="仿宋" w:hAnsi="仿宋" w:eastAsia="仿宋" w:cs="仿宋"/>
          <w:sz w:val="32"/>
          <w:szCs w:val="32"/>
          <w:highlight w:val="none"/>
          <w:lang w:val="en-US" w:eastAsia="zh-CN"/>
        </w:rPr>
        <w:t>②</w:t>
      </w:r>
      <w:r>
        <w:rPr>
          <w:rFonts w:hint="eastAsia" w:ascii="仿宋" w:hAnsi="仿宋" w:eastAsia="仿宋" w:cs="仿宋"/>
          <w:i w:val="0"/>
          <w:iCs w:val="0"/>
          <w:caps w:val="0"/>
          <w:color w:val="000000"/>
          <w:spacing w:val="0"/>
          <w:sz w:val="32"/>
          <w:szCs w:val="32"/>
          <w:highlight w:val="none"/>
        </w:rPr>
        <w:t>增值券对应的产品服务质量标准，应当与生日蛋糕券兑换产品执行同等食品安全标准；增值券可兑换产品不得设置隐形消费门槛，不得出现有价无货、长期缺货等情况，若产品下架，供应商应当提供同</w:t>
      </w:r>
      <w:r>
        <w:rPr>
          <w:rFonts w:hint="eastAsia" w:ascii="仿宋" w:hAnsi="仿宋" w:eastAsia="仿宋" w:cs="仿宋"/>
          <w:i w:val="0"/>
          <w:iCs w:val="0"/>
          <w:caps w:val="0"/>
          <w:color w:val="000000"/>
          <w:spacing w:val="0"/>
          <w:sz w:val="32"/>
          <w:szCs w:val="32"/>
          <w:highlight w:val="none"/>
          <w:lang w:val="en-US" w:eastAsia="zh-CN"/>
        </w:rPr>
        <w:t>规格、同</w:t>
      </w:r>
      <w:r>
        <w:rPr>
          <w:rFonts w:hint="eastAsia" w:ascii="仿宋" w:hAnsi="仿宋" w:eastAsia="仿宋" w:cs="仿宋"/>
          <w:i w:val="0"/>
          <w:iCs w:val="0"/>
          <w:caps w:val="0"/>
          <w:color w:val="000000"/>
          <w:spacing w:val="0"/>
          <w:sz w:val="32"/>
          <w:szCs w:val="32"/>
          <w:highlight w:val="none"/>
        </w:rPr>
        <w:t>等价值</w:t>
      </w:r>
      <w:r>
        <w:rPr>
          <w:rFonts w:hint="eastAsia" w:ascii="仿宋" w:hAnsi="仿宋" w:eastAsia="仿宋" w:cs="仿宋"/>
          <w:i w:val="0"/>
          <w:iCs w:val="0"/>
          <w:caps w:val="0"/>
          <w:color w:val="000000"/>
          <w:spacing w:val="0"/>
          <w:sz w:val="32"/>
          <w:szCs w:val="32"/>
          <w:highlight w:val="none"/>
          <w:lang w:eastAsia="zh-CN"/>
        </w:rPr>
        <w:t>的</w:t>
      </w:r>
      <w:r>
        <w:rPr>
          <w:rFonts w:hint="eastAsia" w:ascii="仿宋" w:hAnsi="仿宋" w:eastAsia="仿宋" w:cs="仿宋"/>
          <w:i w:val="0"/>
          <w:iCs w:val="0"/>
          <w:caps w:val="0"/>
          <w:color w:val="000000"/>
          <w:spacing w:val="0"/>
          <w:sz w:val="32"/>
          <w:szCs w:val="32"/>
          <w:highlight w:val="none"/>
        </w:rPr>
        <w:t>替代产品供员工选择。</w:t>
      </w:r>
    </w:p>
    <w:p w14:paraId="1D4795BF">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i w:val="0"/>
          <w:iCs w:val="0"/>
          <w:caps w:val="0"/>
          <w:color w:val="000000"/>
          <w:spacing w:val="0"/>
          <w:sz w:val="32"/>
          <w:szCs w:val="32"/>
          <w:highlight w:val="none"/>
          <w:lang w:val="en-US" w:eastAsia="zh-CN"/>
        </w:rPr>
        <w:t>11.</w:t>
      </w:r>
      <w:r>
        <w:rPr>
          <w:rFonts w:hint="eastAsia" w:ascii="仿宋" w:hAnsi="仿宋" w:eastAsia="仿宋" w:cs="仿宋"/>
          <w:sz w:val="32"/>
          <w:szCs w:val="32"/>
          <w:highlight w:val="none"/>
          <w:lang w:val="en-US" w:eastAsia="zh-CN"/>
        </w:rPr>
        <w:t>供应商需指定专人对接采购人全年活动需求，收到采购人物资、活动需求清单后，3个工作日内完成报价。</w:t>
      </w:r>
    </w:p>
    <w:p w14:paraId="1ADA77E4">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12.保密要求</w:t>
      </w:r>
    </w:p>
    <w:p w14:paraId="5CBC6DA8">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供应商对医院提供的员工名单、生日信息、活动参与人员信息严格保密；合同终止后应当销毁全部人员相关信息资料，严禁外泄，否则承担相应法律责任。</w:t>
      </w:r>
    </w:p>
    <w:p w14:paraId="2B7A1669">
      <w:pPr>
        <w:bidi w:val="0"/>
        <w:ind w:firstLine="602"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四</w:t>
      </w:r>
      <w:r>
        <w:rPr>
          <w:rFonts w:hint="eastAsia" w:ascii="仿宋" w:hAnsi="仿宋" w:eastAsia="仿宋" w:cs="仿宋"/>
          <w:b/>
          <w:bCs/>
          <w:sz w:val="32"/>
          <w:szCs w:val="32"/>
          <w:highlight w:val="none"/>
        </w:rPr>
        <w:t>、商务要求</w:t>
      </w:r>
    </w:p>
    <w:p w14:paraId="1F778EF0">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★1.服务期限：签订合同后，供应商每个季度根据采购人的要求，提供对应数量的生日蛋糕券，并按采购人通知完成12场活动承办。</w:t>
      </w:r>
    </w:p>
    <w:p w14:paraId="7D2B7C63">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★2.交货地点：生日蛋糕券交货分为两种方式，可选择统一交货至南方医科大学中西医结合医院，也可以按员工自选登记地址快递配送。</w:t>
      </w:r>
    </w:p>
    <w:p w14:paraId="008D0C2F">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★3.报价要求：</w:t>
      </w:r>
    </w:p>
    <w:p w14:paraId="28438E6D">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①供应商报出每张生日蛋糕券面值，报价面值不得低于人民币400 元，否则报价无效。</w:t>
      </w:r>
    </w:p>
    <w:p w14:paraId="52730C1B">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②每张生日蛋糕券结算价为人民币 400 元。</w:t>
      </w:r>
    </w:p>
    <w:p w14:paraId="424EAC9B">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③供应商应对本项目全部服务内容完整报价，不允许只对部分内容报价。</w:t>
      </w:r>
    </w:p>
    <w:p w14:paraId="0307DF77">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④报价需包含蛋糕券购置、贺卡设计制作服务、H5 制作服务、配送服务、材料、系统运维、12 场活动全部服务、售后、不可预见的一切费用。中标后履约过程中任何遗漏产生额外费用，均由供应商自行承担，采购人不再支付任何其他费用（响应时提供承诺函，格式自拟）。</w:t>
      </w:r>
    </w:p>
    <w:p w14:paraId="352547D1">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★4.结算要求：</w:t>
      </w:r>
    </w:p>
    <w:p w14:paraId="6075F98C">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①款项结算货币为人民币，结算方式为银行转账或电汇，不接受个人账户、现金结算。</w:t>
      </w:r>
    </w:p>
    <w:p w14:paraId="062B69E1">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②供应商须向采购人提供增值税发票或普通发票，发票内容为烘焙食品 * 生日蛋糕，或者蛋糕。</w:t>
      </w:r>
    </w:p>
    <w:p w14:paraId="33531CF1">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③会员按季度结算，非会员按年度结算；单人蛋糕券最高结算金额不超过400元。</w:t>
      </w:r>
    </w:p>
    <w:p w14:paraId="328B0C5C">
      <w:pPr>
        <w:keepNext w:val="0"/>
        <w:keepLines w:val="0"/>
        <w:suppressLineNumbers w:val="0"/>
        <w:spacing w:before="0" w:beforeAutospacing="0" w:after="0" w:afterAutospacing="0" w:line="240" w:lineRule="auto"/>
        <w:ind w:left="0" w:right="0" w:firstLine="602"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★5.付款方式：</w:t>
      </w:r>
    </w:p>
    <w:p w14:paraId="56AB825D">
      <w:pPr>
        <w:keepNext w:val="0"/>
        <w:keepLines w:val="0"/>
        <w:suppressLineNumbers w:val="0"/>
        <w:spacing w:before="0" w:beforeAutospacing="0" w:after="0" w:afterAutospacing="0" w:line="240" w:lineRule="auto"/>
        <w:ind w:left="0" w:right="0" w:firstLine="602" w:firstLineChars="200"/>
        <w:rPr>
          <w:rFonts w:hint="eastAsia" w:ascii="仿宋" w:hAnsi="仿宋" w:eastAsia="仿宋" w:cs="仿宋"/>
          <w:color w:val="auto"/>
          <w:highlight w:val="none"/>
          <w:lang w:val="en-US" w:eastAsia="zh-CN"/>
        </w:rPr>
      </w:pPr>
      <w:r>
        <w:rPr>
          <w:rFonts w:hint="eastAsia" w:ascii="仿宋" w:hAnsi="仿宋" w:eastAsia="仿宋" w:cs="仿宋"/>
          <w:sz w:val="32"/>
          <w:szCs w:val="32"/>
          <w:highlight w:val="none"/>
          <w:lang w:val="en-US" w:eastAsia="zh-CN"/>
        </w:rPr>
        <w:t>①</w:t>
      </w:r>
      <w:r>
        <w:rPr>
          <w:rFonts w:hint="eastAsia" w:ascii="仿宋" w:hAnsi="仿宋" w:eastAsia="仿宋" w:cs="仿宋"/>
          <w:color w:val="auto"/>
          <w:sz w:val="32"/>
          <w:szCs w:val="32"/>
          <w:highlight w:val="none"/>
          <w:lang w:val="en-US" w:eastAsia="zh-CN"/>
        </w:rPr>
        <w:t>采购人在每次收到供应商发票后的30个工作日内向供应商支付经审核确认的货款。</w:t>
      </w:r>
    </w:p>
    <w:p w14:paraId="20CCBDBC">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②</w:t>
      </w:r>
      <w:r>
        <w:rPr>
          <w:rFonts w:hint="eastAsia" w:ascii="仿宋" w:hAnsi="仿宋" w:eastAsia="仿宋" w:cs="仿宋"/>
          <w:color w:val="auto"/>
          <w:sz w:val="32"/>
          <w:szCs w:val="32"/>
          <w:highlight w:val="none"/>
          <w:lang w:val="en-US" w:eastAsia="zh-CN"/>
        </w:rPr>
        <w:t>采购人实际人数数量与预估数量不符时，按采购人实际购买生日蛋糕券的数量、合同约定的结算金额结算；如确实因人数数量出现增减，按最终实际所需券数量结清。</w:t>
      </w:r>
    </w:p>
    <w:p w14:paraId="5104181F">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③会员按季度及实际情况结算，非会员按年度及实际情况结算。</w:t>
      </w:r>
    </w:p>
    <w:p w14:paraId="7C182F8D">
      <w:pPr>
        <w:bidi w:val="0"/>
        <w:ind w:firstLine="602" w:firstLineChars="200"/>
        <w:jc w:val="left"/>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④按照合同约定账户进行转账支付款项。</w:t>
      </w:r>
    </w:p>
    <w:p w14:paraId="44B96467">
      <w:pPr>
        <w:numPr>
          <w:ilvl w:val="0"/>
          <w:numId w:val="0"/>
        </w:num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7.验收要求：</w:t>
      </w:r>
    </w:p>
    <w:p w14:paraId="03219194">
      <w:pPr>
        <w:numPr>
          <w:ilvl w:val="0"/>
          <w:numId w:val="0"/>
        </w:num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①货物验收时未发现质量问题，配送后发现质量问题，由成交供应商承担全部责任及产生的相关费用。</w:t>
      </w:r>
    </w:p>
    <w:p w14:paraId="456C3EC8">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②未尽事宜，按磋商文件合同文本约定。</w:t>
      </w:r>
    </w:p>
    <w:p w14:paraId="0AFE35DC">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8.履约保证金：本项目不收取履约保证金。</w:t>
      </w:r>
    </w:p>
    <w:p w14:paraId="176CD0F6">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9.其他要求：</w:t>
      </w:r>
    </w:p>
    <w:p w14:paraId="1D720178">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①因运送、货不对板、货物质量问题等非职工原因产生更换需求，供应商须在 48 小时内完成更换。</w:t>
      </w:r>
    </w:p>
    <w:p w14:paraId="30B3B5AD">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②因货物质量发生争议，采购人可委托专业检验机构或质量技术监督部门开展鉴定，检验鉴定费用由成交供应商承担。</w:t>
      </w:r>
    </w:p>
    <w:p w14:paraId="3A4256A8">
      <w:pPr>
        <w:keepNext w:val="0"/>
        <w:keepLines w:val="0"/>
        <w:pageBreakBefore w:val="0"/>
        <w:widowControl/>
        <w:kinsoku w:val="0"/>
        <w:wordWrap/>
        <w:overflowPunct/>
        <w:topLinePunct w:val="0"/>
        <w:autoSpaceDE w:val="0"/>
        <w:autoSpaceDN w:val="0"/>
        <w:bidi w:val="0"/>
        <w:adjustRightInd w:val="0"/>
        <w:snapToGrid w:val="0"/>
        <w:spacing w:line="500" w:lineRule="exact"/>
        <w:ind w:firstLine="602" w:firstLineChars="200"/>
        <w:textAlignment w:val="baseline"/>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③除食品外，其他货物</w:t>
      </w:r>
      <w:r>
        <w:rPr>
          <w:rFonts w:hint="eastAsia" w:ascii="仿宋" w:hAnsi="仿宋" w:eastAsia="仿宋" w:cs="仿宋"/>
          <w:sz w:val="32"/>
          <w:szCs w:val="32"/>
          <w:highlight w:val="none"/>
        </w:rPr>
        <w:t>到货剩余保质期不少于 6 个月</w:t>
      </w:r>
      <w:r>
        <w:rPr>
          <w:rFonts w:hint="eastAsia" w:ascii="仿宋" w:hAnsi="仿宋" w:eastAsia="仿宋" w:cs="仿宋"/>
          <w:sz w:val="32"/>
          <w:szCs w:val="32"/>
          <w:highlight w:val="none"/>
          <w:lang w:val="en-US" w:eastAsia="zh-CN"/>
        </w:rPr>
        <w:t>，供应商须提供质量合格证。</w:t>
      </w:r>
    </w:p>
    <w:p w14:paraId="43A0B358">
      <w:pPr>
        <w:bidi w:val="0"/>
        <w:ind w:firstLine="602"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④若采购涉及小家电产品，售后由供应商提供一站式对接服务，无需员工自行对接厂家。</w:t>
      </w:r>
    </w:p>
    <w:p w14:paraId="09EDDC0B">
      <w:pPr>
        <w:bidi w:val="0"/>
        <w:ind w:firstLine="602" w:firstLineChars="200"/>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五</w:t>
      </w:r>
      <w:r>
        <w:rPr>
          <w:rFonts w:hint="eastAsia" w:ascii="仿宋" w:hAnsi="仿宋" w:eastAsia="仿宋" w:cs="仿宋"/>
          <w:b/>
          <w:bCs/>
          <w:sz w:val="32"/>
          <w:szCs w:val="32"/>
          <w:highlight w:val="none"/>
        </w:rPr>
        <w:t>、违约条款</w:t>
      </w:r>
    </w:p>
    <w:p w14:paraId="472206DE">
      <w:pPr>
        <w:keepNext w:val="0"/>
        <w:keepLines w:val="0"/>
        <w:widowControl/>
        <w:suppressLineNumbers w:val="0"/>
        <w:ind w:firstLine="602" w:firstLineChars="200"/>
        <w:jc w:val="left"/>
        <w:rPr>
          <w:highlight w:val="none"/>
        </w:rPr>
      </w:pPr>
      <w:r>
        <w:rPr>
          <w:rFonts w:hint="eastAsia" w:ascii="仿宋" w:hAnsi="仿宋" w:eastAsia="仿宋" w:cs="仿宋"/>
          <w:sz w:val="32"/>
          <w:szCs w:val="32"/>
          <w:highlight w:val="none"/>
          <w:lang w:val="en-US" w:eastAsia="zh-CN"/>
        </w:rPr>
        <w:t>1.供应商</w:t>
      </w:r>
      <w:r>
        <w:rPr>
          <w:rFonts w:hint="eastAsia" w:ascii="仿宋" w:hAnsi="仿宋" w:eastAsia="仿宋" w:cs="仿宋"/>
          <w:sz w:val="32"/>
          <w:szCs w:val="32"/>
          <w:highlight w:val="none"/>
        </w:rPr>
        <w:t>应在</w:t>
      </w:r>
      <w:r>
        <w:rPr>
          <w:rFonts w:hint="eastAsia" w:ascii="仿宋" w:hAnsi="仿宋" w:eastAsia="仿宋" w:cs="仿宋"/>
          <w:sz w:val="32"/>
          <w:szCs w:val="32"/>
          <w:highlight w:val="none"/>
          <w:lang w:val="en-US" w:eastAsia="zh-CN"/>
        </w:rPr>
        <w:t>采购人</w:t>
      </w:r>
      <w:r>
        <w:rPr>
          <w:rFonts w:hint="eastAsia" w:ascii="仿宋" w:hAnsi="仿宋" w:eastAsia="仿宋" w:cs="仿宋"/>
          <w:sz w:val="32"/>
          <w:szCs w:val="32"/>
          <w:highlight w:val="none"/>
        </w:rPr>
        <w:t>规定时间内完成供货，每拖延一天且无合理书面解释，</w:t>
      </w:r>
      <w:r>
        <w:rPr>
          <w:rFonts w:hint="eastAsia" w:ascii="仿宋" w:hAnsi="仿宋" w:eastAsia="仿宋" w:cs="仿宋"/>
          <w:b w:val="0"/>
          <w:bCs w:val="0"/>
          <w:kern w:val="0"/>
          <w:sz w:val="32"/>
          <w:szCs w:val="32"/>
          <w:highlight w:val="none"/>
          <w:lang w:val="en-US" w:eastAsia="zh-CN" w:bidi="ar"/>
        </w:rPr>
        <w:t>按</w:t>
      </w:r>
      <w:r>
        <w:rPr>
          <w:rStyle w:val="25"/>
          <w:rFonts w:hint="eastAsia" w:ascii="仿宋" w:hAnsi="仿宋" w:eastAsia="仿宋" w:cs="仿宋"/>
          <w:b w:val="0"/>
          <w:bCs w:val="0"/>
          <w:kern w:val="0"/>
          <w:sz w:val="32"/>
          <w:szCs w:val="32"/>
          <w:highlight w:val="none"/>
          <w:lang w:val="en-US" w:eastAsia="zh-CN" w:bidi="ar"/>
        </w:rPr>
        <w:t>该批次应交付货物对应金额的 0.05%（万分之五）</w:t>
      </w:r>
      <w:r>
        <w:rPr>
          <w:rFonts w:hint="eastAsia" w:ascii="仿宋" w:hAnsi="仿宋" w:eastAsia="仿宋" w:cs="仿宋"/>
          <w:b w:val="0"/>
          <w:bCs w:val="0"/>
          <w:kern w:val="0"/>
          <w:sz w:val="32"/>
          <w:szCs w:val="32"/>
          <w:highlight w:val="none"/>
          <w:lang w:val="en-US" w:eastAsia="zh-CN" w:bidi="ar"/>
        </w:rPr>
        <w:t>向采购人支付违约金；本项违约金累计最高不超过本项目合同总金额的 5%。逾期超过 15 个日历天，采购人有权单方解除对应合同，供应商须退还该批次已收取的全部款项，并支付合同总金额 5% 的违约金。</w:t>
      </w:r>
    </w:p>
    <w:p w14:paraId="15D0FCF5">
      <w:pPr>
        <w:keepNext w:val="0"/>
        <w:keepLines w:val="0"/>
        <w:pageBreakBefore w:val="0"/>
        <w:overflowPunct/>
        <w:topLinePunct w:val="0"/>
        <w:autoSpaceDE w:val="0"/>
        <w:autoSpaceDN w:val="0"/>
        <w:bidi w:val="0"/>
        <w:adjustRightInd w:val="0"/>
        <w:snapToGrid w:val="0"/>
        <w:spacing w:line="560" w:lineRule="exact"/>
        <w:ind w:firstLine="602"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2.供应商</w:t>
      </w:r>
      <w:r>
        <w:rPr>
          <w:rFonts w:hint="eastAsia" w:ascii="仿宋" w:hAnsi="仿宋" w:eastAsia="仿宋" w:cs="仿宋"/>
          <w:sz w:val="32"/>
          <w:szCs w:val="32"/>
          <w:highlight w:val="none"/>
        </w:rPr>
        <w:t>货品质量等不符合相关规定的，</w:t>
      </w:r>
      <w:r>
        <w:rPr>
          <w:rFonts w:hint="eastAsia" w:ascii="仿宋" w:hAnsi="仿宋" w:eastAsia="仿宋" w:cs="仿宋"/>
          <w:sz w:val="32"/>
          <w:szCs w:val="32"/>
          <w:highlight w:val="none"/>
          <w:lang w:val="en-US" w:eastAsia="zh-CN"/>
        </w:rPr>
        <w:t>采购人</w:t>
      </w:r>
      <w:r>
        <w:rPr>
          <w:rFonts w:hint="eastAsia" w:ascii="仿宋" w:hAnsi="仿宋" w:eastAsia="仿宋" w:cs="仿宋"/>
          <w:sz w:val="32"/>
          <w:szCs w:val="32"/>
          <w:highlight w:val="none"/>
        </w:rPr>
        <w:t>有权拒绝验收和付款，</w:t>
      </w:r>
      <w:r>
        <w:rPr>
          <w:rFonts w:hint="eastAsia" w:ascii="仿宋" w:hAnsi="仿宋" w:eastAsia="仿宋" w:cs="仿宋"/>
          <w:sz w:val="32"/>
          <w:szCs w:val="32"/>
          <w:highlight w:val="none"/>
          <w:lang w:val="en-US" w:eastAsia="zh-CN"/>
        </w:rPr>
        <w:t>同时供应商</w:t>
      </w:r>
      <w:r>
        <w:rPr>
          <w:rFonts w:hint="eastAsia" w:ascii="仿宋" w:hAnsi="仿宋" w:eastAsia="仿宋" w:cs="仿宋"/>
          <w:sz w:val="32"/>
          <w:szCs w:val="32"/>
          <w:highlight w:val="none"/>
        </w:rPr>
        <w:t>向</w:t>
      </w:r>
      <w:r>
        <w:rPr>
          <w:rFonts w:hint="eastAsia" w:ascii="仿宋" w:hAnsi="仿宋" w:eastAsia="仿宋" w:cs="仿宋"/>
          <w:sz w:val="32"/>
          <w:szCs w:val="32"/>
          <w:highlight w:val="none"/>
          <w:lang w:val="en-US" w:eastAsia="zh-CN"/>
        </w:rPr>
        <w:t>采购人</w:t>
      </w:r>
      <w:r>
        <w:rPr>
          <w:rFonts w:hint="eastAsia" w:ascii="仿宋" w:hAnsi="仿宋" w:eastAsia="仿宋" w:cs="仿宋"/>
          <w:sz w:val="32"/>
          <w:szCs w:val="32"/>
          <w:highlight w:val="none"/>
        </w:rPr>
        <w:t>支付合同金额的</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%违约金。</w:t>
      </w:r>
    </w:p>
    <w:p w14:paraId="5112BF6B">
      <w:pPr>
        <w:bidi w:val="0"/>
        <w:ind w:left="580" w:leftChars="304" w:firstLine="0" w:firstLineChars="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3.供应商</w:t>
      </w:r>
      <w:r>
        <w:rPr>
          <w:rFonts w:hint="eastAsia" w:ascii="仿宋" w:hAnsi="仿宋" w:eastAsia="仿宋" w:cs="仿宋"/>
          <w:sz w:val="32"/>
          <w:szCs w:val="32"/>
          <w:highlight w:val="none"/>
        </w:rPr>
        <w:t>未能完成项目，则向</w:t>
      </w:r>
      <w:r>
        <w:rPr>
          <w:rFonts w:hint="eastAsia" w:ascii="仿宋" w:hAnsi="仿宋" w:eastAsia="仿宋" w:cs="仿宋"/>
          <w:sz w:val="32"/>
          <w:szCs w:val="32"/>
          <w:highlight w:val="none"/>
          <w:lang w:val="en-US" w:eastAsia="zh-CN"/>
        </w:rPr>
        <w:t>采购人</w:t>
      </w:r>
      <w:r>
        <w:rPr>
          <w:rFonts w:hint="eastAsia" w:ascii="仿宋" w:hAnsi="仿宋" w:eastAsia="仿宋" w:cs="仿宋"/>
          <w:sz w:val="32"/>
          <w:szCs w:val="32"/>
          <w:highlight w:val="none"/>
        </w:rPr>
        <w:t>支付合同金额的</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%违约金</w:t>
      </w:r>
      <w:r>
        <w:rPr>
          <w:rFonts w:hint="eastAsia" w:ascii="仿宋" w:hAnsi="仿宋" w:eastAsia="仿宋" w:cs="仿宋"/>
          <w:sz w:val="32"/>
          <w:szCs w:val="32"/>
          <w:highlight w:val="none"/>
          <w:lang w:val="en-US" w:eastAsia="zh-CN"/>
        </w:rPr>
        <w:t>。</w:t>
      </w:r>
    </w:p>
    <w:p w14:paraId="19C9ECAE">
      <w:pPr>
        <w:pStyle w:val="8"/>
        <w:ind w:firstLine="602"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若</w:t>
      </w:r>
      <w:r>
        <w:rPr>
          <w:rFonts w:hint="eastAsia" w:ascii="仿宋" w:hAnsi="仿宋" w:eastAsia="仿宋" w:cs="仿宋"/>
          <w:sz w:val="32"/>
          <w:szCs w:val="32"/>
          <w:highlight w:val="none"/>
          <w:lang w:val="en-US" w:eastAsia="zh-CN"/>
        </w:rPr>
        <w:t>供应商提供的</w:t>
      </w:r>
      <w:r>
        <w:rPr>
          <w:rFonts w:hint="eastAsia" w:ascii="仿宋" w:hAnsi="仿宋" w:eastAsia="仿宋" w:cs="仿宋"/>
          <w:sz w:val="32"/>
          <w:szCs w:val="32"/>
          <w:highlight w:val="none"/>
        </w:rPr>
        <w:t>蛋糕券职工可消费权益额度低于</w:t>
      </w:r>
      <w:r>
        <w:rPr>
          <w:rFonts w:hint="eastAsia" w:ascii="仿宋" w:hAnsi="仿宋" w:eastAsia="仿宋" w:cs="仿宋"/>
          <w:sz w:val="32"/>
          <w:szCs w:val="32"/>
          <w:highlight w:val="none"/>
          <w:lang w:val="en-US" w:eastAsia="zh-CN"/>
        </w:rPr>
        <w:t>供应商的</w:t>
      </w:r>
      <w:r>
        <w:rPr>
          <w:rFonts w:hint="eastAsia" w:ascii="仿宋" w:hAnsi="仿宋" w:eastAsia="仿宋" w:cs="仿宋"/>
          <w:sz w:val="32"/>
          <w:szCs w:val="32"/>
          <w:highlight w:val="none"/>
        </w:rPr>
        <w:t>承诺标准，采购人有权</w:t>
      </w:r>
      <w:r>
        <w:rPr>
          <w:rFonts w:hint="eastAsia" w:ascii="仿宋" w:hAnsi="仿宋" w:eastAsia="仿宋" w:cs="仿宋"/>
          <w:sz w:val="32"/>
          <w:szCs w:val="32"/>
          <w:highlight w:val="none"/>
          <w:lang w:val="en-US" w:eastAsia="zh-CN"/>
        </w:rPr>
        <w:t>拒绝支</w:t>
      </w:r>
      <w:r>
        <w:rPr>
          <w:rFonts w:hint="eastAsia" w:ascii="仿宋" w:hAnsi="仿宋" w:eastAsia="仿宋" w:cs="仿宋"/>
          <w:sz w:val="32"/>
          <w:szCs w:val="32"/>
          <w:highlight w:val="none"/>
        </w:rPr>
        <w:t>付该批次对应款项，</w:t>
      </w:r>
      <w:r>
        <w:rPr>
          <w:rFonts w:hint="eastAsia" w:ascii="仿宋" w:hAnsi="仿宋" w:eastAsia="仿宋" w:cs="仿宋"/>
          <w:sz w:val="32"/>
          <w:szCs w:val="32"/>
          <w:highlight w:val="none"/>
          <w:lang w:val="en-US" w:eastAsia="zh-CN"/>
        </w:rPr>
        <w:t>书面通知</w:t>
      </w:r>
      <w:r>
        <w:rPr>
          <w:rFonts w:hint="eastAsia" w:ascii="仿宋" w:hAnsi="仿宋" w:eastAsia="仿宋" w:cs="仿宋"/>
          <w:sz w:val="32"/>
          <w:szCs w:val="32"/>
          <w:highlight w:val="none"/>
        </w:rPr>
        <w:t>供应商</w:t>
      </w:r>
      <w:r>
        <w:rPr>
          <w:rFonts w:hint="eastAsia" w:ascii="仿宋" w:hAnsi="仿宋" w:eastAsia="仿宋" w:cs="仿宋"/>
          <w:sz w:val="32"/>
          <w:szCs w:val="32"/>
          <w:highlight w:val="none"/>
          <w:lang w:val="en-US" w:eastAsia="zh-CN"/>
        </w:rPr>
        <w:t>重新提供符标准的蛋糕券</w:t>
      </w:r>
      <w:r>
        <w:rPr>
          <w:rFonts w:hint="eastAsia" w:ascii="仿宋" w:hAnsi="仿宋" w:eastAsia="仿宋" w:cs="仿宋"/>
          <w:sz w:val="32"/>
          <w:szCs w:val="32"/>
          <w:highlight w:val="none"/>
        </w:rPr>
        <w:t>；同时按该批次涉及总金额</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支付</w:t>
      </w:r>
      <w:r>
        <w:rPr>
          <w:rFonts w:hint="eastAsia" w:ascii="仿宋" w:hAnsi="仿宋" w:eastAsia="仿宋" w:cs="仿宋"/>
          <w:sz w:val="32"/>
          <w:szCs w:val="32"/>
          <w:highlight w:val="none"/>
        </w:rPr>
        <w:t>违约金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 xml:space="preserve"> </w:t>
      </w:r>
    </w:p>
    <w:p w14:paraId="237F7455">
      <w:pPr>
        <w:bidi w:val="0"/>
        <w:ind w:firstLine="602"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5.工会活动单场实际人均标准低于50元/人或未按期完成活动执行，多次整改不达标的，采购人有权终止合同。</w:t>
      </w:r>
    </w:p>
    <w:p w14:paraId="50E8A853">
      <w:pPr>
        <w:bidi w:val="0"/>
        <w:ind w:firstLine="382" w:firstLineChars="200"/>
        <w:jc w:val="left"/>
        <w:rPr>
          <w:rFonts w:hint="eastAsia"/>
        </w:rPr>
      </w:pPr>
    </w:p>
    <w:sectPr>
      <w:headerReference r:id="rId3" w:type="default"/>
      <w:footerReference r:id="rId5" w:type="default"/>
      <w:headerReference r:id="rId4" w:type="even"/>
      <w:footerReference r:id="rId6" w:type="even"/>
      <w:pgSz w:w="11906" w:h="16838"/>
      <w:pgMar w:top="1418" w:right="1134" w:bottom="1134" w:left="1418" w:header="851" w:footer="992" w:gutter="0"/>
      <w:pgNumType w:start="0"/>
      <w:cols w:space="720" w:num="1"/>
      <w:titlePg/>
      <w:docGrid w:type="linesAndChars" w:linePitch="291"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29CDA">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059C8CD4">
    <w:pPr>
      <w:pStyle w:val="16"/>
      <w:jc w:val="right"/>
      <w:rPr>
        <w:rFonts w:hint="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9F4F">
    <w:pPr>
      <w:pStyle w:val="16"/>
      <w:framePr w:wrap="around" w:vAnchor="text" w:hAnchor="margin" w:xAlign="center" w:y="1"/>
      <w:rPr>
        <w:rStyle w:val="26"/>
      </w:rPr>
    </w:pPr>
    <w:r>
      <w:fldChar w:fldCharType="begin"/>
    </w:r>
    <w:r>
      <w:rPr>
        <w:rStyle w:val="26"/>
      </w:rPr>
      <w:instrText xml:space="preserve">PAGE  </w:instrText>
    </w:r>
    <w:r>
      <w:fldChar w:fldCharType="end"/>
    </w:r>
  </w:p>
  <w:p w14:paraId="5A289863">
    <w:pPr>
      <w:pStyle w:val="1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00FD1">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F78B0">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1300C"/>
    <w:multiLevelType w:val="singleLevel"/>
    <w:tmpl w:val="5911300C"/>
    <w:lvl w:ilvl="0" w:tentative="0">
      <w:start w:val="1"/>
      <w:numFmt w:val="upperLetter"/>
      <w:pStyle w:val="5"/>
      <w:lvlText w:val="%1."/>
      <w:lvlJc w:val="left"/>
      <w:pPr>
        <w:tabs>
          <w:tab w:val="left" w:pos="425"/>
        </w:tabs>
        <w:ind w:left="425" w:hanging="425"/>
      </w:pPr>
    </w:lvl>
  </w:abstractNum>
  <w:abstractNum w:abstractNumId="1">
    <w:nsid w:val="66B27DCD"/>
    <w:multiLevelType w:val="singleLevel"/>
    <w:tmpl w:val="66B27DCD"/>
    <w:lvl w:ilvl="0" w:tentative="0">
      <w:start w:val="1"/>
      <w:numFmt w:val="upperLetter"/>
      <w:pStyle w:val="7"/>
      <w:lvlText w:val="%1."/>
      <w:lvlJc w:val="left"/>
      <w:pPr>
        <w:tabs>
          <w:tab w:val="left" w:pos="405"/>
        </w:tabs>
        <w:ind w:left="405" w:hanging="3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91"/>
  <w:drawingGridVerticalSpacing w:val="29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MmJkOTdmNmI2OWE0NzlhZmVkZTkzMzRjNjI4MzkifQ=="/>
  </w:docVars>
  <w:rsids>
    <w:rsidRoot w:val="004C3D73"/>
    <w:rsid w:val="000045E2"/>
    <w:rsid w:val="00004B57"/>
    <w:rsid w:val="00010B03"/>
    <w:rsid w:val="00016826"/>
    <w:rsid w:val="000210E2"/>
    <w:rsid w:val="00022C08"/>
    <w:rsid w:val="000262A6"/>
    <w:rsid w:val="000268A4"/>
    <w:rsid w:val="00026E2A"/>
    <w:rsid w:val="00027D4D"/>
    <w:rsid w:val="00032D57"/>
    <w:rsid w:val="00034FEB"/>
    <w:rsid w:val="0003512C"/>
    <w:rsid w:val="00035F9D"/>
    <w:rsid w:val="00036927"/>
    <w:rsid w:val="00037DAD"/>
    <w:rsid w:val="00040C6F"/>
    <w:rsid w:val="0004126F"/>
    <w:rsid w:val="00041617"/>
    <w:rsid w:val="00042CCD"/>
    <w:rsid w:val="0004613C"/>
    <w:rsid w:val="00047873"/>
    <w:rsid w:val="0005136E"/>
    <w:rsid w:val="000540C8"/>
    <w:rsid w:val="00054FB2"/>
    <w:rsid w:val="00064889"/>
    <w:rsid w:val="00066DEF"/>
    <w:rsid w:val="00074CDE"/>
    <w:rsid w:val="000848A0"/>
    <w:rsid w:val="000860E1"/>
    <w:rsid w:val="00086BF5"/>
    <w:rsid w:val="00090D56"/>
    <w:rsid w:val="00094541"/>
    <w:rsid w:val="000A2A93"/>
    <w:rsid w:val="000A2E2D"/>
    <w:rsid w:val="000A3DDA"/>
    <w:rsid w:val="000A45C2"/>
    <w:rsid w:val="000B4E0E"/>
    <w:rsid w:val="000B5D2A"/>
    <w:rsid w:val="000C2A50"/>
    <w:rsid w:val="000C3BA9"/>
    <w:rsid w:val="000C3D3B"/>
    <w:rsid w:val="000C6D2C"/>
    <w:rsid w:val="000D03C1"/>
    <w:rsid w:val="000D0B98"/>
    <w:rsid w:val="000D1030"/>
    <w:rsid w:val="000D3CA5"/>
    <w:rsid w:val="000E00A9"/>
    <w:rsid w:val="000E3F71"/>
    <w:rsid w:val="000E5E61"/>
    <w:rsid w:val="000F02C7"/>
    <w:rsid w:val="001001BC"/>
    <w:rsid w:val="001003C8"/>
    <w:rsid w:val="001021B9"/>
    <w:rsid w:val="001026D4"/>
    <w:rsid w:val="0010328B"/>
    <w:rsid w:val="00106E50"/>
    <w:rsid w:val="00106ECF"/>
    <w:rsid w:val="00110D1E"/>
    <w:rsid w:val="00110F1B"/>
    <w:rsid w:val="001114C8"/>
    <w:rsid w:val="0011307E"/>
    <w:rsid w:val="00123D11"/>
    <w:rsid w:val="00130DA6"/>
    <w:rsid w:val="00131E5F"/>
    <w:rsid w:val="00140BC8"/>
    <w:rsid w:val="001428E8"/>
    <w:rsid w:val="00144879"/>
    <w:rsid w:val="00145617"/>
    <w:rsid w:val="00145D29"/>
    <w:rsid w:val="0014773F"/>
    <w:rsid w:val="00157A2B"/>
    <w:rsid w:val="00174E89"/>
    <w:rsid w:val="0017671C"/>
    <w:rsid w:val="001847AF"/>
    <w:rsid w:val="00185B8F"/>
    <w:rsid w:val="00186384"/>
    <w:rsid w:val="00186577"/>
    <w:rsid w:val="00186D12"/>
    <w:rsid w:val="001915BC"/>
    <w:rsid w:val="00191EA4"/>
    <w:rsid w:val="00192FCA"/>
    <w:rsid w:val="001A3FBB"/>
    <w:rsid w:val="001A5AC1"/>
    <w:rsid w:val="001A7236"/>
    <w:rsid w:val="001B64A4"/>
    <w:rsid w:val="001B79CB"/>
    <w:rsid w:val="001C05B2"/>
    <w:rsid w:val="001C49DB"/>
    <w:rsid w:val="001C5F7F"/>
    <w:rsid w:val="001D47AA"/>
    <w:rsid w:val="001D5703"/>
    <w:rsid w:val="001D6962"/>
    <w:rsid w:val="001D7198"/>
    <w:rsid w:val="001E14E5"/>
    <w:rsid w:val="001E2A00"/>
    <w:rsid w:val="001F6695"/>
    <w:rsid w:val="00200EA7"/>
    <w:rsid w:val="002048DF"/>
    <w:rsid w:val="00204E56"/>
    <w:rsid w:val="002119A3"/>
    <w:rsid w:val="002164E0"/>
    <w:rsid w:val="002174EB"/>
    <w:rsid w:val="002242B3"/>
    <w:rsid w:val="00224C6A"/>
    <w:rsid w:val="00225DF5"/>
    <w:rsid w:val="002307F9"/>
    <w:rsid w:val="002327B9"/>
    <w:rsid w:val="0023631D"/>
    <w:rsid w:val="002418AD"/>
    <w:rsid w:val="0024604B"/>
    <w:rsid w:val="002502FC"/>
    <w:rsid w:val="00250A75"/>
    <w:rsid w:val="00251DA9"/>
    <w:rsid w:val="002529EB"/>
    <w:rsid w:val="002578FD"/>
    <w:rsid w:val="00264A37"/>
    <w:rsid w:val="00267F84"/>
    <w:rsid w:val="002723E2"/>
    <w:rsid w:val="00272A4E"/>
    <w:rsid w:val="00275F77"/>
    <w:rsid w:val="00281C8F"/>
    <w:rsid w:val="00284073"/>
    <w:rsid w:val="00284E6D"/>
    <w:rsid w:val="002854A9"/>
    <w:rsid w:val="0028678B"/>
    <w:rsid w:val="00286C0B"/>
    <w:rsid w:val="0029135C"/>
    <w:rsid w:val="00291C7C"/>
    <w:rsid w:val="00293A16"/>
    <w:rsid w:val="002947CB"/>
    <w:rsid w:val="002A08D6"/>
    <w:rsid w:val="002A0EC0"/>
    <w:rsid w:val="002A1749"/>
    <w:rsid w:val="002A1B06"/>
    <w:rsid w:val="002A24B3"/>
    <w:rsid w:val="002A3926"/>
    <w:rsid w:val="002A6DC4"/>
    <w:rsid w:val="002B2679"/>
    <w:rsid w:val="002B7A00"/>
    <w:rsid w:val="002C1B30"/>
    <w:rsid w:val="002C408F"/>
    <w:rsid w:val="002C5E06"/>
    <w:rsid w:val="002C6FC3"/>
    <w:rsid w:val="002D35B7"/>
    <w:rsid w:val="002D3894"/>
    <w:rsid w:val="002D63B6"/>
    <w:rsid w:val="002D736C"/>
    <w:rsid w:val="002D7412"/>
    <w:rsid w:val="002D7AAE"/>
    <w:rsid w:val="002F20AE"/>
    <w:rsid w:val="002F4880"/>
    <w:rsid w:val="002F5362"/>
    <w:rsid w:val="002F6668"/>
    <w:rsid w:val="00300D97"/>
    <w:rsid w:val="003053BC"/>
    <w:rsid w:val="00306586"/>
    <w:rsid w:val="0030799A"/>
    <w:rsid w:val="003112D9"/>
    <w:rsid w:val="00311DFC"/>
    <w:rsid w:val="0031274D"/>
    <w:rsid w:val="00312CA9"/>
    <w:rsid w:val="00316650"/>
    <w:rsid w:val="00316B14"/>
    <w:rsid w:val="003200B6"/>
    <w:rsid w:val="00322270"/>
    <w:rsid w:val="003239A7"/>
    <w:rsid w:val="003265BD"/>
    <w:rsid w:val="003270A0"/>
    <w:rsid w:val="00330696"/>
    <w:rsid w:val="00336F50"/>
    <w:rsid w:val="00337A5C"/>
    <w:rsid w:val="003420A8"/>
    <w:rsid w:val="003458BF"/>
    <w:rsid w:val="00346C94"/>
    <w:rsid w:val="00347227"/>
    <w:rsid w:val="00350336"/>
    <w:rsid w:val="00351471"/>
    <w:rsid w:val="00354146"/>
    <w:rsid w:val="00364018"/>
    <w:rsid w:val="003743FF"/>
    <w:rsid w:val="0037632E"/>
    <w:rsid w:val="0037633D"/>
    <w:rsid w:val="003778A0"/>
    <w:rsid w:val="003779CD"/>
    <w:rsid w:val="00381472"/>
    <w:rsid w:val="00382465"/>
    <w:rsid w:val="00383169"/>
    <w:rsid w:val="00387CB9"/>
    <w:rsid w:val="00387EF9"/>
    <w:rsid w:val="00391EF9"/>
    <w:rsid w:val="00392DA9"/>
    <w:rsid w:val="00394CEF"/>
    <w:rsid w:val="00397C85"/>
    <w:rsid w:val="003A335F"/>
    <w:rsid w:val="003A534C"/>
    <w:rsid w:val="003B450F"/>
    <w:rsid w:val="003B49F1"/>
    <w:rsid w:val="003B4CBC"/>
    <w:rsid w:val="003C01A5"/>
    <w:rsid w:val="003C064C"/>
    <w:rsid w:val="003C0B1D"/>
    <w:rsid w:val="003C5DDB"/>
    <w:rsid w:val="003C66ED"/>
    <w:rsid w:val="003C7C0A"/>
    <w:rsid w:val="003D2E13"/>
    <w:rsid w:val="003E0C58"/>
    <w:rsid w:val="003E1B33"/>
    <w:rsid w:val="003E431D"/>
    <w:rsid w:val="003E4E69"/>
    <w:rsid w:val="003F0B03"/>
    <w:rsid w:val="003F3B4B"/>
    <w:rsid w:val="003F64C2"/>
    <w:rsid w:val="00400593"/>
    <w:rsid w:val="004008A7"/>
    <w:rsid w:val="00400E8B"/>
    <w:rsid w:val="00407AD2"/>
    <w:rsid w:val="004140BB"/>
    <w:rsid w:val="00414B89"/>
    <w:rsid w:val="004154E5"/>
    <w:rsid w:val="00416040"/>
    <w:rsid w:val="00421590"/>
    <w:rsid w:val="00422586"/>
    <w:rsid w:val="00422CDB"/>
    <w:rsid w:val="00425406"/>
    <w:rsid w:val="00426167"/>
    <w:rsid w:val="004265CA"/>
    <w:rsid w:val="00427D92"/>
    <w:rsid w:val="00435082"/>
    <w:rsid w:val="004351EA"/>
    <w:rsid w:val="0043651A"/>
    <w:rsid w:val="004446E8"/>
    <w:rsid w:val="00445816"/>
    <w:rsid w:val="00445F86"/>
    <w:rsid w:val="00450F92"/>
    <w:rsid w:val="00451879"/>
    <w:rsid w:val="00453B9D"/>
    <w:rsid w:val="00457643"/>
    <w:rsid w:val="00460902"/>
    <w:rsid w:val="0046520F"/>
    <w:rsid w:val="00471260"/>
    <w:rsid w:val="004728F1"/>
    <w:rsid w:val="00472A5B"/>
    <w:rsid w:val="00473968"/>
    <w:rsid w:val="00481E07"/>
    <w:rsid w:val="00484751"/>
    <w:rsid w:val="00484A19"/>
    <w:rsid w:val="00493015"/>
    <w:rsid w:val="00493DA1"/>
    <w:rsid w:val="00494D82"/>
    <w:rsid w:val="0049762E"/>
    <w:rsid w:val="004A0222"/>
    <w:rsid w:val="004A7CB7"/>
    <w:rsid w:val="004B0EA2"/>
    <w:rsid w:val="004B21FA"/>
    <w:rsid w:val="004B35B7"/>
    <w:rsid w:val="004B4DAF"/>
    <w:rsid w:val="004C1B37"/>
    <w:rsid w:val="004C3D73"/>
    <w:rsid w:val="004C672E"/>
    <w:rsid w:val="004D5B89"/>
    <w:rsid w:val="004E3067"/>
    <w:rsid w:val="004F0FC7"/>
    <w:rsid w:val="004F3894"/>
    <w:rsid w:val="004F48A1"/>
    <w:rsid w:val="004F6517"/>
    <w:rsid w:val="004F696E"/>
    <w:rsid w:val="0050004D"/>
    <w:rsid w:val="00504223"/>
    <w:rsid w:val="00512126"/>
    <w:rsid w:val="005130F4"/>
    <w:rsid w:val="00523298"/>
    <w:rsid w:val="005243DC"/>
    <w:rsid w:val="0052678C"/>
    <w:rsid w:val="0053265B"/>
    <w:rsid w:val="00532F88"/>
    <w:rsid w:val="00533A94"/>
    <w:rsid w:val="00533E10"/>
    <w:rsid w:val="00535268"/>
    <w:rsid w:val="00537080"/>
    <w:rsid w:val="00543FFC"/>
    <w:rsid w:val="00564FF7"/>
    <w:rsid w:val="00565AF4"/>
    <w:rsid w:val="00566032"/>
    <w:rsid w:val="00570AA9"/>
    <w:rsid w:val="00571CB2"/>
    <w:rsid w:val="00576C2F"/>
    <w:rsid w:val="00576DB8"/>
    <w:rsid w:val="00582228"/>
    <w:rsid w:val="00583060"/>
    <w:rsid w:val="005837A2"/>
    <w:rsid w:val="00583B54"/>
    <w:rsid w:val="00583C07"/>
    <w:rsid w:val="00584341"/>
    <w:rsid w:val="005852FF"/>
    <w:rsid w:val="005874A9"/>
    <w:rsid w:val="005949B8"/>
    <w:rsid w:val="005955D0"/>
    <w:rsid w:val="005A194C"/>
    <w:rsid w:val="005A2D77"/>
    <w:rsid w:val="005A400A"/>
    <w:rsid w:val="005A4161"/>
    <w:rsid w:val="005A52DD"/>
    <w:rsid w:val="005A67F1"/>
    <w:rsid w:val="005B2F0F"/>
    <w:rsid w:val="005B3316"/>
    <w:rsid w:val="005B6C52"/>
    <w:rsid w:val="005D2B62"/>
    <w:rsid w:val="005D4F44"/>
    <w:rsid w:val="005D7604"/>
    <w:rsid w:val="005E1466"/>
    <w:rsid w:val="005E2350"/>
    <w:rsid w:val="005F071C"/>
    <w:rsid w:val="005F3037"/>
    <w:rsid w:val="006036A9"/>
    <w:rsid w:val="00604A7B"/>
    <w:rsid w:val="006063C3"/>
    <w:rsid w:val="0061196B"/>
    <w:rsid w:val="0061447F"/>
    <w:rsid w:val="00614703"/>
    <w:rsid w:val="006149DA"/>
    <w:rsid w:val="00617175"/>
    <w:rsid w:val="006225F4"/>
    <w:rsid w:val="0062610B"/>
    <w:rsid w:val="00631031"/>
    <w:rsid w:val="00632FB8"/>
    <w:rsid w:val="00640DEA"/>
    <w:rsid w:val="00642139"/>
    <w:rsid w:val="006427CB"/>
    <w:rsid w:val="00642A8E"/>
    <w:rsid w:val="0064390A"/>
    <w:rsid w:val="00643B5F"/>
    <w:rsid w:val="00646830"/>
    <w:rsid w:val="006522C1"/>
    <w:rsid w:val="006533D2"/>
    <w:rsid w:val="0066015F"/>
    <w:rsid w:val="00665817"/>
    <w:rsid w:val="00666E52"/>
    <w:rsid w:val="0067185A"/>
    <w:rsid w:val="00671C06"/>
    <w:rsid w:val="0067258D"/>
    <w:rsid w:val="006747BA"/>
    <w:rsid w:val="006751EB"/>
    <w:rsid w:val="00677E3A"/>
    <w:rsid w:val="00682EBF"/>
    <w:rsid w:val="0068331E"/>
    <w:rsid w:val="006849B4"/>
    <w:rsid w:val="006853E4"/>
    <w:rsid w:val="006874A1"/>
    <w:rsid w:val="006915CD"/>
    <w:rsid w:val="00692C8E"/>
    <w:rsid w:val="006A2778"/>
    <w:rsid w:val="006A3142"/>
    <w:rsid w:val="006A7C59"/>
    <w:rsid w:val="006B668B"/>
    <w:rsid w:val="006C4F51"/>
    <w:rsid w:val="006C6CA5"/>
    <w:rsid w:val="006C768B"/>
    <w:rsid w:val="006C7BB3"/>
    <w:rsid w:val="006D217B"/>
    <w:rsid w:val="006D5C1D"/>
    <w:rsid w:val="006F25D3"/>
    <w:rsid w:val="006F5757"/>
    <w:rsid w:val="006F7F83"/>
    <w:rsid w:val="007023A0"/>
    <w:rsid w:val="0070248D"/>
    <w:rsid w:val="00703D83"/>
    <w:rsid w:val="00704A09"/>
    <w:rsid w:val="0070532C"/>
    <w:rsid w:val="0070584F"/>
    <w:rsid w:val="00706169"/>
    <w:rsid w:val="00706AAB"/>
    <w:rsid w:val="00712956"/>
    <w:rsid w:val="00713665"/>
    <w:rsid w:val="00721777"/>
    <w:rsid w:val="00721AA5"/>
    <w:rsid w:val="007260C7"/>
    <w:rsid w:val="00735145"/>
    <w:rsid w:val="00737805"/>
    <w:rsid w:val="00737A9F"/>
    <w:rsid w:val="007412AE"/>
    <w:rsid w:val="0074402A"/>
    <w:rsid w:val="0074417B"/>
    <w:rsid w:val="0074741F"/>
    <w:rsid w:val="00750179"/>
    <w:rsid w:val="00750FC9"/>
    <w:rsid w:val="007536E4"/>
    <w:rsid w:val="00755AF7"/>
    <w:rsid w:val="007569E5"/>
    <w:rsid w:val="00757926"/>
    <w:rsid w:val="007579AB"/>
    <w:rsid w:val="00761488"/>
    <w:rsid w:val="007614F9"/>
    <w:rsid w:val="0076606C"/>
    <w:rsid w:val="00766F26"/>
    <w:rsid w:val="0077031E"/>
    <w:rsid w:val="00771A45"/>
    <w:rsid w:val="00772122"/>
    <w:rsid w:val="007830A2"/>
    <w:rsid w:val="007850EE"/>
    <w:rsid w:val="007857A2"/>
    <w:rsid w:val="0078695E"/>
    <w:rsid w:val="00786FF8"/>
    <w:rsid w:val="00790B9E"/>
    <w:rsid w:val="00794A63"/>
    <w:rsid w:val="00794E95"/>
    <w:rsid w:val="00796014"/>
    <w:rsid w:val="0079744D"/>
    <w:rsid w:val="00797F4E"/>
    <w:rsid w:val="007A0115"/>
    <w:rsid w:val="007A165B"/>
    <w:rsid w:val="007A22D8"/>
    <w:rsid w:val="007A34D2"/>
    <w:rsid w:val="007A41F6"/>
    <w:rsid w:val="007A5C19"/>
    <w:rsid w:val="007A7723"/>
    <w:rsid w:val="007B447D"/>
    <w:rsid w:val="007B5355"/>
    <w:rsid w:val="007C2AD5"/>
    <w:rsid w:val="007C4A1B"/>
    <w:rsid w:val="007D039C"/>
    <w:rsid w:val="007D1AAA"/>
    <w:rsid w:val="007D28D6"/>
    <w:rsid w:val="007D59DE"/>
    <w:rsid w:val="007E0BD6"/>
    <w:rsid w:val="007E17B5"/>
    <w:rsid w:val="007E2805"/>
    <w:rsid w:val="007E36B2"/>
    <w:rsid w:val="007E4E98"/>
    <w:rsid w:val="007E681B"/>
    <w:rsid w:val="007E7F1A"/>
    <w:rsid w:val="007F158F"/>
    <w:rsid w:val="007F1C75"/>
    <w:rsid w:val="007F61AE"/>
    <w:rsid w:val="008000EB"/>
    <w:rsid w:val="008017E7"/>
    <w:rsid w:val="00801B51"/>
    <w:rsid w:val="008026B3"/>
    <w:rsid w:val="00812515"/>
    <w:rsid w:val="00812947"/>
    <w:rsid w:val="0081361A"/>
    <w:rsid w:val="008149E2"/>
    <w:rsid w:val="0081731D"/>
    <w:rsid w:val="008203AC"/>
    <w:rsid w:val="00823BE6"/>
    <w:rsid w:val="00825A27"/>
    <w:rsid w:val="00837591"/>
    <w:rsid w:val="00840B66"/>
    <w:rsid w:val="00843CDB"/>
    <w:rsid w:val="00850F81"/>
    <w:rsid w:val="0085624C"/>
    <w:rsid w:val="00857EB0"/>
    <w:rsid w:val="00861867"/>
    <w:rsid w:val="00865101"/>
    <w:rsid w:val="00865516"/>
    <w:rsid w:val="00866384"/>
    <w:rsid w:val="0087257D"/>
    <w:rsid w:val="00886B3C"/>
    <w:rsid w:val="00891CEA"/>
    <w:rsid w:val="00894DEF"/>
    <w:rsid w:val="008A088E"/>
    <w:rsid w:val="008A1EC2"/>
    <w:rsid w:val="008A318D"/>
    <w:rsid w:val="008A6A8E"/>
    <w:rsid w:val="008A716F"/>
    <w:rsid w:val="008B036C"/>
    <w:rsid w:val="008B749F"/>
    <w:rsid w:val="008C0D7A"/>
    <w:rsid w:val="008C5DD0"/>
    <w:rsid w:val="008D4228"/>
    <w:rsid w:val="008D68F9"/>
    <w:rsid w:val="008E10D0"/>
    <w:rsid w:val="008E1A8D"/>
    <w:rsid w:val="008E2BE0"/>
    <w:rsid w:val="00901527"/>
    <w:rsid w:val="00907714"/>
    <w:rsid w:val="00907907"/>
    <w:rsid w:val="00910032"/>
    <w:rsid w:val="00910A9F"/>
    <w:rsid w:val="0091105A"/>
    <w:rsid w:val="00916CCE"/>
    <w:rsid w:val="00920D05"/>
    <w:rsid w:val="009237FC"/>
    <w:rsid w:val="00931817"/>
    <w:rsid w:val="00932456"/>
    <w:rsid w:val="00943B0B"/>
    <w:rsid w:val="0094605A"/>
    <w:rsid w:val="009468F2"/>
    <w:rsid w:val="0094785C"/>
    <w:rsid w:val="00947CC3"/>
    <w:rsid w:val="009528C6"/>
    <w:rsid w:val="009540BC"/>
    <w:rsid w:val="0095495A"/>
    <w:rsid w:val="00955313"/>
    <w:rsid w:val="00957C82"/>
    <w:rsid w:val="009646AA"/>
    <w:rsid w:val="009647A0"/>
    <w:rsid w:val="00965444"/>
    <w:rsid w:val="00965DB2"/>
    <w:rsid w:val="00966037"/>
    <w:rsid w:val="00966227"/>
    <w:rsid w:val="009670F5"/>
    <w:rsid w:val="00970245"/>
    <w:rsid w:val="00971346"/>
    <w:rsid w:val="009729F0"/>
    <w:rsid w:val="00972F41"/>
    <w:rsid w:val="0097326B"/>
    <w:rsid w:val="00973803"/>
    <w:rsid w:val="009801CC"/>
    <w:rsid w:val="009811BD"/>
    <w:rsid w:val="0098380A"/>
    <w:rsid w:val="00983F1A"/>
    <w:rsid w:val="00987A8D"/>
    <w:rsid w:val="00990D88"/>
    <w:rsid w:val="0099264C"/>
    <w:rsid w:val="00993A2A"/>
    <w:rsid w:val="00994417"/>
    <w:rsid w:val="00995DED"/>
    <w:rsid w:val="0099618B"/>
    <w:rsid w:val="009A15C3"/>
    <w:rsid w:val="009A1BB0"/>
    <w:rsid w:val="009A2C77"/>
    <w:rsid w:val="009B26B2"/>
    <w:rsid w:val="009B3111"/>
    <w:rsid w:val="009C3D4A"/>
    <w:rsid w:val="009C4632"/>
    <w:rsid w:val="009C55D8"/>
    <w:rsid w:val="009C6D56"/>
    <w:rsid w:val="009C7097"/>
    <w:rsid w:val="009D52D9"/>
    <w:rsid w:val="009E060D"/>
    <w:rsid w:val="009F5181"/>
    <w:rsid w:val="009F7CA1"/>
    <w:rsid w:val="00A00F68"/>
    <w:rsid w:val="00A04A1A"/>
    <w:rsid w:val="00A04F8D"/>
    <w:rsid w:val="00A124B3"/>
    <w:rsid w:val="00A12D43"/>
    <w:rsid w:val="00A17883"/>
    <w:rsid w:val="00A20C5E"/>
    <w:rsid w:val="00A20D6F"/>
    <w:rsid w:val="00A3090B"/>
    <w:rsid w:val="00A3214E"/>
    <w:rsid w:val="00A32215"/>
    <w:rsid w:val="00A3281E"/>
    <w:rsid w:val="00A349F3"/>
    <w:rsid w:val="00A40EED"/>
    <w:rsid w:val="00A411FD"/>
    <w:rsid w:val="00A46608"/>
    <w:rsid w:val="00A50D3E"/>
    <w:rsid w:val="00A61789"/>
    <w:rsid w:val="00A62BF5"/>
    <w:rsid w:val="00A640C6"/>
    <w:rsid w:val="00A65CFA"/>
    <w:rsid w:val="00A715C9"/>
    <w:rsid w:val="00A7498E"/>
    <w:rsid w:val="00A74DF4"/>
    <w:rsid w:val="00A7675E"/>
    <w:rsid w:val="00A77D09"/>
    <w:rsid w:val="00A80204"/>
    <w:rsid w:val="00A83A13"/>
    <w:rsid w:val="00A853EF"/>
    <w:rsid w:val="00A86177"/>
    <w:rsid w:val="00A867EB"/>
    <w:rsid w:val="00A95685"/>
    <w:rsid w:val="00A97E69"/>
    <w:rsid w:val="00AA2168"/>
    <w:rsid w:val="00AA34E2"/>
    <w:rsid w:val="00AC14E5"/>
    <w:rsid w:val="00AC415E"/>
    <w:rsid w:val="00AC5607"/>
    <w:rsid w:val="00AC5D7F"/>
    <w:rsid w:val="00AC6AFB"/>
    <w:rsid w:val="00AD4B91"/>
    <w:rsid w:val="00AE0065"/>
    <w:rsid w:val="00AE3AC6"/>
    <w:rsid w:val="00B00FD6"/>
    <w:rsid w:val="00B01992"/>
    <w:rsid w:val="00B02C96"/>
    <w:rsid w:val="00B06489"/>
    <w:rsid w:val="00B07CB7"/>
    <w:rsid w:val="00B13E0A"/>
    <w:rsid w:val="00B14352"/>
    <w:rsid w:val="00B205DE"/>
    <w:rsid w:val="00B22B6E"/>
    <w:rsid w:val="00B23180"/>
    <w:rsid w:val="00B248E5"/>
    <w:rsid w:val="00B25168"/>
    <w:rsid w:val="00B2609D"/>
    <w:rsid w:val="00B27215"/>
    <w:rsid w:val="00B27386"/>
    <w:rsid w:val="00B31C15"/>
    <w:rsid w:val="00B329A7"/>
    <w:rsid w:val="00B32B50"/>
    <w:rsid w:val="00B35C18"/>
    <w:rsid w:val="00B40903"/>
    <w:rsid w:val="00B461C8"/>
    <w:rsid w:val="00B46916"/>
    <w:rsid w:val="00B47009"/>
    <w:rsid w:val="00B47BFE"/>
    <w:rsid w:val="00B5306E"/>
    <w:rsid w:val="00B61438"/>
    <w:rsid w:val="00B61469"/>
    <w:rsid w:val="00B627CE"/>
    <w:rsid w:val="00B64509"/>
    <w:rsid w:val="00B66332"/>
    <w:rsid w:val="00B666CC"/>
    <w:rsid w:val="00B677EC"/>
    <w:rsid w:val="00B72B40"/>
    <w:rsid w:val="00B74E81"/>
    <w:rsid w:val="00B77DE8"/>
    <w:rsid w:val="00B8081D"/>
    <w:rsid w:val="00B85488"/>
    <w:rsid w:val="00B9074B"/>
    <w:rsid w:val="00B90F05"/>
    <w:rsid w:val="00B9532A"/>
    <w:rsid w:val="00B95DC5"/>
    <w:rsid w:val="00B9675E"/>
    <w:rsid w:val="00BA0055"/>
    <w:rsid w:val="00BA30F8"/>
    <w:rsid w:val="00BA5008"/>
    <w:rsid w:val="00BA5469"/>
    <w:rsid w:val="00BB5B40"/>
    <w:rsid w:val="00BB6BE6"/>
    <w:rsid w:val="00BC03DF"/>
    <w:rsid w:val="00BC09AC"/>
    <w:rsid w:val="00BC5AFD"/>
    <w:rsid w:val="00BC6C73"/>
    <w:rsid w:val="00BD5134"/>
    <w:rsid w:val="00BE267B"/>
    <w:rsid w:val="00BE3D52"/>
    <w:rsid w:val="00BF4743"/>
    <w:rsid w:val="00C032D8"/>
    <w:rsid w:val="00C0342E"/>
    <w:rsid w:val="00C0449B"/>
    <w:rsid w:val="00C06D9A"/>
    <w:rsid w:val="00C129C9"/>
    <w:rsid w:val="00C129E2"/>
    <w:rsid w:val="00C14FDB"/>
    <w:rsid w:val="00C20BB5"/>
    <w:rsid w:val="00C254EE"/>
    <w:rsid w:val="00C3098B"/>
    <w:rsid w:val="00C3118C"/>
    <w:rsid w:val="00C31A73"/>
    <w:rsid w:val="00C32AF1"/>
    <w:rsid w:val="00C35439"/>
    <w:rsid w:val="00C36098"/>
    <w:rsid w:val="00C40158"/>
    <w:rsid w:val="00C4027C"/>
    <w:rsid w:val="00C407A3"/>
    <w:rsid w:val="00C41A35"/>
    <w:rsid w:val="00C42BAD"/>
    <w:rsid w:val="00C461E6"/>
    <w:rsid w:val="00C47B29"/>
    <w:rsid w:val="00C525A9"/>
    <w:rsid w:val="00C607AB"/>
    <w:rsid w:val="00C6162F"/>
    <w:rsid w:val="00C650F7"/>
    <w:rsid w:val="00C66883"/>
    <w:rsid w:val="00C66FC7"/>
    <w:rsid w:val="00C73BD2"/>
    <w:rsid w:val="00C75CB3"/>
    <w:rsid w:val="00C818A3"/>
    <w:rsid w:val="00C83F49"/>
    <w:rsid w:val="00C9423E"/>
    <w:rsid w:val="00C950CD"/>
    <w:rsid w:val="00C95F8A"/>
    <w:rsid w:val="00CA414C"/>
    <w:rsid w:val="00CA4722"/>
    <w:rsid w:val="00CB292A"/>
    <w:rsid w:val="00CB3CAE"/>
    <w:rsid w:val="00CB58FC"/>
    <w:rsid w:val="00CC0C48"/>
    <w:rsid w:val="00CC6A92"/>
    <w:rsid w:val="00CC6CC8"/>
    <w:rsid w:val="00CC6D1E"/>
    <w:rsid w:val="00CD0094"/>
    <w:rsid w:val="00CD24B8"/>
    <w:rsid w:val="00CD4E12"/>
    <w:rsid w:val="00CD60EF"/>
    <w:rsid w:val="00CE4886"/>
    <w:rsid w:val="00CE5018"/>
    <w:rsid w:val="00CE530D"/>
    <w:rsid w:val="00CE742D"/>
    <w:rsid w:val="00CF469C"/>
    <w:rsid w:val="00D151A1"/>
    <w:rsid w:val="00D159A3"/>
    <w:rsid w:val="00D1651B"/>
    <w:rsid w:val="00D2012D"/>
    <w:rsid w:val="00D20D9C"/>
    <w:rsid w:val="00D21749"/>
    <w:rsid w:val="00D239D3"/>
    <w:rsid w:val="00D266BC"/>
    <w:rsid w:val="00D26840"/>
    <w:rsid w:val="00D31DCC"/>
    <w:rsid w:val="00D35256"/>
    <w:rsid w:val="00D40DD9"/>
    <w:rsid w:val="00D44645"/>
    <w:rsid w:val="00D45B00"/>
    <w:rsid w:val="00D50712"/>
    <w:rsid w:val="00D51F37"/>
    <w:rsid w:val="00D60E5E"/>
    <w:rsid w:val="00D65007"/>
    <w:rsid w:val="00D70AD6"/>
    <w:rsid w:val="00D7525B"/>
    <w:rsid w:val="00D87D33"/>
    <w:rsid w:val="00D963A6"/>
    <w:rsid w:val="00DA6667"/>
    <w:rsid w:val="00DA6956"/>
    <w:rsid w:val="00DB0FA7"/>
    <w:rsid w:val="00DB1717"/>
    <w:rsid w:val="00DB23A8"/>
    <w:rsid w:val="00DB5531"/>
    <w:rsid w:val="00DB7711"/>
    <w:rsid w:val="00DC04C3"/>
    <w:rsid w:val="00DC1090"/>
    <w:rsid w:val="00DC12C9"/>
    <w:rsid w:val="00DC2D69"/>
    <w:rsid w:val="00DC7518"/>
    <w:rsid w:val="00DE18D7"/>
    <w:rsid w:val="00DF1406"/>
    <w:rsid w:val="00DF16C7"/>
    <w:rsid w:val="00DF2752"/>
    <w:rsid w:val="00DF4920"/>
    <w:rsid w:val="00E00513"/>
    <w:rsid w:val="00E0148E"/>
    <w:rsid w:val="00E0252F"/>
    <w:rsid w:val="00E02F36"/>
    <w:rsid w:val="00E15939"/>
    <w:rsid w:val="00E23283"/>
    <w:rsid w:val="00E2435B"/>
    <w:rsid w:val="00E24A42"/>
    <w:rsid w:val="00E27DDC"/>
    <w:rsid w:val="00E35160"/>
    <w:rsid w:val="00E42690"/>
    <w:rsid w:val="00E4563C"/>
    <w:rsid w:val="00E46BAF"/>
    <w:rsid w:val="00E505EE"/>
    <w:rsid w:val="00E52A3E"/>
    <w:rsid w:val="00E52D68"/>
    <w:rsid w:val="00E574D6"/>
    <w:rsid w:val="00E61344"/>
    <w:rsid w:val="00E762F6"/>
    <w:rsid w:val="00E85585"/>
    <w:rsid w:val="00E91C95"/>
    <w:rsid w:val="00E9308E"/>
    <w:rsid w:val="00E93CCB"/>
    <w:rsid w:val="00E93D49"/>
    <w:rsid w:val="00EA4160"/>
    <w:rsid w:val="00EA6AFA"/>
    <w:rsid w:val="00EA6FF2"/>
    <w:rsid w:val="00EA710B"/>
    <w:rsid w:val="00EB037F"/>
    <w:rsid w:val="00EB056F"/>
    <w:rsid w:val="00EB107C"/>
    <w:rsid w:val="00EC01DB"/>
    <w:rsid w:val="00EC16B4"/>
    <w:rsid w:val="00ED6BFA"/>
    <w:rsid w:val="00ED700A"/>
    <w:rsid w:val="00ED7DA6"/>
    <w:rsid w:val="00EE0DF1"/>
    <w:rsid w:val="00EE276E"/>
    <w:rsid w:val="00EE3DAA"/>
    <w:rsid w:val="00EE441E"/>
    <w:rsid w:val="00EF2F02"/>
    <w:rsid w:val="00EF61BF"/>
    <w:rsid w:val="00F01174"/>
    <w:rsid w:val="00F0130E"/>
    <w:rsid w:val="00F051FC"/>
    <w:rsid w:val="00F05DBA"/>
    <w:rsid w:val="00F12643"/>
    <w:rsid w:val="00F15B6D"/>
    <w:rsid w:val="00F16B18"/>
    <w:rsid w:val="00F3282F"/>
    <w:rsid w:val="00F339BA"/>
    <w:rsid w:val="00F37C2C"/>
    <w:rsid w:val="00F45262"/>
    <w:rsid w:val="00F543AF"/>
    <w:rsid w:val="00F664C6"/>
    <w:rsid w:val="00F671BA"/>
    <w:rsid w:val="00F709B8"/>
    <w:rsid w:val="00F73B71"/>
    <w:rsid w:val="00F73BDA"/>
    <w:rsid w:val="00F81BCD"/>
    <w:rsid w:val="00F84382"/>
    <w:rsid w:val="00F91AA6"/>
    <w:rsid w:val="00F94734"/>
    <w:rsid w:val="00F960A4"/>
    <w:rsid w:val="00F966B2"/>
    <w:rsid w:val="00F9684F"/>
    <w:rsid w:val="00FA5F10"/>
    <w:rsid w:val="00FA74FE"/>
    <w:rsid w:val="00FB04E1"/>
    <w:rsid w:val="00FB1DAF"/>
    <w:rsid w:val="00FB2001"/>
    <w:rsid w:val="00FB392B"/>
    <w:rsid w:val="00FB5FFD"/>
    <w:rsid w:val="00FB7407"/>
    <w:rsid w:val="00FC0CF9"/>
    <w:rsid w:val="00FC23C1"/>
    <w:rsid w:val="00FC6048"/>
    <w:rsid w:val="00FD278A"/>
    <w:rsid w:val="00FD345A"/>
    <w:rsid w:val="00FD69FF"/>
    <w:rsid w:val="00FE0BA3"/>
    <w:rsid w:val="00FE27A0"/>
    <w:rsid w:val="00FE2BAC"/>
    <w:rsid w:val="00FE5942"/>
    <w:rsid w:val="00FE64E5"/>
    <w:rsid w:val="00FF2727"/>
    <w:rsid w:val="00FF53E7"/>
    <w:rsid w:val="02F51D2F"/>
    <w:rsid w:val="061E7D49"/>
    <w:rsid w:val="0ECF6568"/>
    <w:rsid w:val="0ED24760"/>
    <w:rsid w:val="0F082BCC"/>
    <w:rsid w:val="13883F6A"/>
    <w:rsid w:val="1C4D6A41"/>
    <w:rsid w:val="1CF75344"/>
    <w:rsid w:val="215D5C38"/>
    <w:rsid w:val="28AD21FB"/>
    <w:rsid w:val="2DFD3E73"/>
    <w:rsid w:val="364041CF"/>
    <w:rsid w:val="3BD65733"/>
    <w:rsid w:val="3C8E4BE5"/>
    <w:rsid w:val="3D3269C4"/>
    <w:rsid w:val="3DCB41B5"/>
    <w:rsid w:val="3DDB6A25"/>
    <w:rsid w:val="46974581"/>
    <w:rsid w:val="470460EE"/>
    <w:rsid w:val="580B4386"/>
    <w:rsid w:val="5B756E82"/>
    <w:rsid w:val="5BF42C40"/>
    <w:rsid w:val="5D2F3F0F"/>
    <w:rsid w:val="64EC5506"/>
    <w:rsid w:val="666D73E7"/>
    <w:rsid w:val="66F56962"/>
    <w:rsid w:val="67BC24AB"/>
    <w:rsid w:val="713D3063"/>
    <w:rsid w:val="7D841E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520" w:lineRule="exact"/>
      <w:outlineLvl w:val="0"/>
    </w:pPr>
    <w:rPr>
      <w:w w:val="66"/>
      <w:sz w:val="32"/>
    </w:rPr>
  </w:style>
  <w:style w:type="paragraph" w:styleId="3">
    <w:name w:val="heading 2"/>
    <w:basedOn w:val="1"/>
    <w:next w:val="1"/>
    <w:qFormat/>
    <w:uiPriority w:val="0"/>
    <w:pPr>
      <w:keepNext/>
      <w:adjustRightInd w:val="0"/>
      <w:snapToGrid w:val="0"/>
      <w:spacing w:line="440" w:lineRule="exact"/>
      <w:jc w:val="center"/>
      <w:outlineLvl w:val="1"/>
    </w:pPr>
    <w:rPr>
      <w:rFonts w:eastAsia="仿宋_GB2312"/>
      <w:sz w:val="32"/>
      <w:szCs w:val="32"/>
    </w:rPr>
  </w:style>
  <w:style w:type="paragraph" w:styleId="4">
    <w:name w:val="heading 3"/>
    <w:basedOn w:val="1"/>
    <w:next w:val="1"/>
    <w:qFormat/>
    <w:uiPriority w:val="0"/>
    <w:pPr>
      <w:keepNext/>
      <w:outlineLvl w:val="2"/>
    </w:pPr>
    <w:rPr>
      <w:sz w:val="30"/>
    </w:rPr>
  </w:style>
  <w:style w:type="paragraph" w:styleId="5">
    <w:name w:val="heading 5"/>
    <w:basedOn w:val="1"/>
    <w:next w:val="6"/>
    <w:qFormat/>
    <w:uiPriority w:val="0"/>
    <w:pPr>
      <w:keepNext/>
      <w:numPr>
        <w:ilvl w:val="0"/>
        <w:numId w:val="1"/>
      </w:numPr>
      <w:outlineLvl w:val="4"/>
    </w:pPr>
    <w:rPr>
      <w:rFonts w:ascii="宋体"/>
      <w:sz w:val="28"/>
      <w:szCs w:val="20"/>
    </w:rPr>
  </w:style>
  <w:style w:type="paragraph" w:styleId="7">
    <w:name w:val="heading 7"/>
    <w:basedOn w:val="1"/>
    <w:next w:val="6"/>
    <w:qFormat/>
    <w:uiPriority w:val="0"/>
    <w:pPr>
      <w:keepNext/>
      <w:numPr>
        <w:ilvl w:val="0"/>
        <w:numId w:val="2"/>
      </w:numPr>
      <w:outlineLvl w:val="6"/>
    </w:pPr>
    <w:rPr>
      <w:rFonts w:eastAsia="楷体_GB2312"/>
      <w:b/>
      <w:sz w:val="32"/>
      <w:szCs w:val="20"/>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rPr>
      <w:rFonts w:ascii="仿宋_GB2312" w:eastAsia="仿宋_GB2312"/>
      <w:sz w:val="28"/>
    </w:rPr>
  </w:style>
  <w:style w:type="paragraph" w:styleId="10">
    <w:name w:val="Body Text"/>
    <w:basedOn w:val="1"/>
    <w:qFormat/>
    <w:uiPriority w:val="0"/>
    <w:pPr>
      <w:adjustRightInd w:val="0"/>
      <w:snapToGrid w:val="0"/>
      <w:spacing w:line="440" w:lineRule="exact"/>
      <w:ind w:right="466" w:rightChars="244"/>
      <w:jc w:val="center"/>
    </w:pPr>
    <w:rPr>
      <w:rFonts w:ascii="仿宋_GB2312" w:eastAsia="仿宋_GB2312"/>
      <w:sz w:val="24"/>
      <w:szCs w:val="32"/>
    </w:rPr>
  </w:style>
  <w:style w:type="paragraph" w:styleId="11">
    <w:name w:val="Body Text Indent"/>
    <w:basedOn w:val="1"/>
    <w:qFormat/>
    <w:uiPriority w:val="0"/>
    <w:pPr>
      <w:ind w:firstLine="602" w:firstLineChars="200"/>
      <w:outlineLvl w:val="0"/>
    </w:pPr>
    <w:rPr>
      <w:rFonts w:ascii="仿宋_GB2312" w:eastAsia="仿宋_GB2312"/>
      <w:sz w:val="32"/>
    </w:rPr>
  </w:style>
  <w:style w:type="paragraph" w:styleId="12">
    <w:name w:val="Plain Text"/>
    <w:basedOn w:val="1"/>
    <w:link w:val="27"/>
    <w:qFormat/>
    <w:uiPriority w:val="0"/>
    <w:rPr>
      <w:rFonts w:ascii="宋体" w:hAnsi="Courier New"/>
      <w:szCs w:val="20"/>
    </w:rPr>
  </w:style>
  <w:style w:type="paragraph" w:styleId="13">
    <w:name w:val="Date"/>
    <w:basedOn w:val="1"/>
    <w:next w:val="1"/>
    <w:qFormat/>
    <w:uiPriority w:val="0"/>
    <w:pPr>
      <w:ind w:left="100" w:leftChars="2500"/>
    </w:pPr>
    <w:rPr>
      <w:rFonts w:ascii="仿宋_GB2312" w:eastAsia="仿宋_GB2312"/>
      <w:sz w:val="28"/>
    </w:rPr>
  </w:style>
  <w:style w:type="paragraph" w:styleId="14">
    <w:name w:val="Body Text Indent 2"/>
    <w:basedOn w:val="1"/>
    <w:qFormat/>
    <w:uiPriority w:val="0"/>
    <w:pPr>
      <w:spacing w:line="580" w:lineRule="exact"/>
      <w:ind w:firstLine="615"/>
      <w:jc w:val="left"/>
    </w:pPr>
    <w:rPr>
      <w:rFonts w:eastAsia="仿宋_GB2312"/>
      <w:sz w:val="30"/>
      <w:szCs w:val="20"/>
    </w:rPr>
  </w:style>
  <w:style w:type="paragraph" w:styleId="15">
    <w:name w:val="Balloon Text"/>
    <w:basedOn w:val="1"/>
    <w:link w:val="30"/>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Indent 3"/>
    <w:basedOn w:val="1"/>
    <w:qFormat/>
    <w:uiPriority w:val="0"/>
    <w:pPr>
      <w:spacing w:line="580" w:lineRule="exact"/>
      <w:ind w:firstLine="615"/>
    </w:pPr>
    <w:rPr>
      <w:rFonts w:eastAsia="仿宋_GB2312"/>
      <w:sz w:val="30"/>
      <w:szCs w:val="20"/>
    </w:rPr>
  </w:style>
  <w:style w:type="paragraph" w:styleId="19">
    <w:name w:val="Body Text 2"/>
    <w:basedOn w:val="1"/>
    <w:qFormat/>
    <w:uiPriority w:val="0"/>
    <w:pPr>
      <w:tabs>
        <w:tab w:val="left" w:pos="0"/>
        <w:tab w:val="left" w:pos="770"/>
        <w:tab w:val="left" w:pos="924"/>
        <w:tab w:val="left" w:pos="1078"/>
      </w:tabs>
      <w:spacing w:line="580" w:lineRule="exact"/>
      <w:jc w:val="left"/>
    </w:pPr>
    <w:rPr>
      <w:rFonts w:ascii="楷体_GB2312" w:eastAsia="楷体_GB2312"/>
      <w:sz w:val="30"/>
      <w:szCs w:val="20"/>
    </w:rPr>
  </w:style>
  <w:style w:type="paragraph" w:styleId="20">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1">
    <w:name w:val="index 1"/>
    <w:basedOn w:val="1"/>
    <w:next w:val="1"/>
    <w:qFormat/>
    <w:uiPriority w:val="0"/>
  </w:style>
  <w:style w:type="table" w:styleId="23">
    <w:name w:val="Table Grid"/>
    <w:basedOn w:val="2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customStyle="1" w:styleId="27">
    <w:name w:val="纯文本 Char"/>
    <w:basedOn w:val="24"/>
    <w:link w:val="12"/>
    <w:qFormat/>
    <w:uiPriority w:val="0"/>
    <w:rPr>
      <w:rFonts w:ascii="宋体" w:hAnsi="Courier New"/>
      <w:kern w:val="2"/>
      <w:sz w:val="21"/>
    </w:rPr>
  </w:style>
  <w:style w:type="paragraph" w:customStyle="1" w:styleId="28">
    <w:name w:val="Char"/>
    <w:basedOn w:val="1"/>
    <w:qFormat/>
    <w:uiPriority w:val="0"/>
    <w:rPr>
      <w:szCs w:val="20"/>
    </w:rPr>
  </w:style>
  <w:style w:type="character" w:customStyle="1" w:styleId="29">
    <w:name w:val="HTML 预设格式 Char"/>
    <w:basedOn w:val="24"/>
    <w:link w:val="20"/>
    <w:qFormat/>
    <w:uiPriority w:val="99"/>
    <w:rPr>
      <w:rFonts w:ascii="宋体" w:hAnsi="宋体" w:cs="宋体"/>
      <w:sz w:val="24"/>
      <w:szCs w:val="24"/>
    </w:rPr>
  </w:style>
  <w:style w:type="character" w:customStyle="1" w:styleId="30">
    <w:name w:val="批注框文本 Char"/>
    <w:basedOn w:val="24"/>
    <w:link w:val="15"/>
    <w:qFormat/>
    <w:uiPriority w:val="0"/>
    <w:rPr>
      <w:kern w:val="2"/>
      <w:sz w:val="18"/>
      <w:szCs w:val="18"/>
    </w:rPr>
  </w:style>
  <w:style w:type="paragraph" w:customStyle="1" w:styleId="31">
    <w:name w:val="列出段落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采购中心</Company>
  <Pages>8</Pages>
  <Words>4323</Words>
  <Characters>4539</Characters>
  <Lines>73</Lines>
  <Paragraphs>20</Paragraphs>
  <TotalTime>18</TotalTime>
  <ScaleCrop>false</ScaleCrop>
  <LinksUpToDate>false</LinksUpToDate>
  <CharactersWithSpaces>4576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2018-06-25T09:57:00Z</dcterms:created>
  <dc:creator>采购招投标</dc:creator>
  <cp:lastModifiedBy>GC</cp:lastModifiedBy>
  <cp:lastPrinted>2024-10-12T02:42:00Z</cp:lastPrinted>
  <dcterms:modified xsi:type="dcterms:W3CDTF">2026-09-11T09:37:12Z</dcterms:modified>
  <dc:title>商洛市行政事业单位政府采购</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7D4B41C2B8984922AB71377F96B83F46_13</vt:lpwstr>
  </property>
  <property fmtid="{D5CDD505-2E9C-101B-9397-08002B2CF9AE}" pid="4" name="KSOTemplateDocerSaveRecord">
    <vt:lpwstr>eyJoZGlkIjoiOTEyNGU0NmY3Yzk4ZDUzZTFlMTllMGM2OGZiNDEzMTciLCJ1c2VySWQiOiIxMTA0MDYxMDMwIn0=</vt:lpwstr>
  </property>
</Properties>
</file>