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40"/>
          <w:highlight w:val="none"/>
        </w:rPr>
      </w:pPr>
    </w:p>
    <w:p>
      <w:pPr>
        <w:jc w:val="center"/>
        <w:rPr>
          <w:rFonts w:hint="eastAsia"/>
          <w:b/>
          <w:sz w:val="40"/>
          <w:highlight w:val="none"/>
        </w:rPr>
      </w:pPr>
      <w:r>
        <w:rPr>
          <w:rFonts w:hint="eastAsia"/>
          <w:b/>
          <w:sz w:val="40"/>
          <w:highlight w:val="none"/>
        </w:rPr>
        <w:t>万江街道龙湾片区智慧城市建设项目二期</w:t>
      </w:r>
    </w:p>
    <w:p>
      <w:pPr>
        <w:jc w:val="center"/>
        <w:rPr>
          <w:b/>
          <w:sz w:val="40"/>
          <w:highlight w:val="none"/>
        </w:rPr>
      </w:pPr>
      <w:r>
        <w:rPr>
          <w:b/>
          <w:sz w:val="40"/>
          <w:highlight w:val="none"/>
        </w:rPr>
        <w:t>政府采购需求表</w:t>
      </w:r>
      <w:bookmarkStart w:id="1" w:name="_GoBack"/>
      <w:bookmarkEnd w:id="1"/>
    </w:p>
    <w:p>
      <w:pPr>
        <w:pStyle w:val="3"/>
        <w:rPr>
          <w:highlight w:val="none"/>
        </w:rPr>
      </w:pPr>
      <w:r>
        <w:rPr>
          <w:rFonts w:hint="eastAsia"/>
          <w:highlight w:val="none"/>
        </w:rPr>
        <w:t>主要商务要求：</w:t>
      </w:r>
    </w:p>
    <w:tbl>
      <w:tblPr>
        <w:tblStyle w:val="25"/>
        <w:tblW w:w="9996" w:type="dxa"/>
        <w:jc w:val="center"/>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Layout w:type="fixed"/>
        <w:tblCellMar>
          <w:top w:w="0" w:type="dxa"/>
          <w:left w:w="57" w:type="dxa"/>
          <w:bottom w:w="0" w:type="dxa"/>
          <w:right w:w="57" w:type="dxa"/>
        </w:tblCellMar>
      </w:tblPr>
      <w:tblGrid>
        <w:gridCol w:w="1911"/>
        <w:gridCol w:w="8085"/>
      </w:tblGrid>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ind w:firstLine="0" w:firstLineChars="0"/>
              <w:jc w:val="center"/>
              <w:rPr>
                <w:b/>
                <w:bCs/>
                <w:color w:val="212121"/>
                <w:spacing w:val="10"/>
                <w:sz w:val="21"/>
                <w:szCs w:val="21"/>
                <w:highlight w:val="none"/>
              </w:rPr>
            </w:pPr>
            <w:r>
              <w:rPr>
                <w:rFonts w:hint="eastAsia"/>
                <w:b/>
                <w:bCs/>
                <w:color w:val="212121"/>
                <w:spacing w:val="10"/>
                <w:sz w:val="21"/>
                <w:szCs w:val="21"/>
                <w:highlight w:val="none"/>
              </w:rPr>
              <w:t>标的提供的时间（必填）</w:t>
            </w:r>
          </w:p>
        </w:tc>
        <w:tc>
          <w:tcPr>
            <w:tcW w:w="8085" w:type="dxa"/>
            <w:vAlign w:val="center"/>
          </w:tcPr>
          <w:p>
            <w:pPr>
              <w:ind w:firstLine="440"/>
              <w:rPr>
                <w:color w:val="212121"/>
                <w:spacing w:val="10"/>
                <w:sz w:val="21"/>
                <w:szCs w:val="21"/>
                <w:highlight w:val="none"/>
              </w:rPr>
            </w:pPr>
            <w:r>
              <w:rPr>
                <w:rFonts w:hint="eastAsia"/>
                <w:color w:val="212121"/>
                <w:spacing w:val="10"/>
                <w:sz w:val="21"/>
                <w:szCs w:val="21"/>
                <w:highlight w:val="none"/>
              </w:rPr>
              <w:t>合同签订后150个日历日内完成项目实施及验收。</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ind w:firstLine="0" w:firstLineChars="0"/>
              <w:jc w:val="center"/>
              <w:rPr>
                <w:b/>
                <w:bCs/>
                <w:color w:val="212121"/>
                <w:spacing w:val="10"/>
                <w:sz w:val="21"/>
                <w:szCs w:val="21"/>
                <w:highlight w:val="none"/>
              </w:rPr>
            </w:pPr>
            <w:r>
              <w:rPr>
                <w:rFonts w:hint="eastAsia"/>
                <w:b/>
                <w:bCs/>
                <w:color w:val="212121"/>
                <w:spacing w:val="10"/>
                <w:sz w:val="21"/>
                <w:szCs w:val="21"/>
                <w:highlight w:val="none"/>
              </w:rPr>
              <w:t>标的提供的地点（必填）</w:t>
            </w:r>
          </w:p>
        </w:tc>
        <w:tc>
          <w:tcPr>
            <w:tcW w:w="8085" w:type="dxa"/>
            <w:vAlign w:val="center"/>
          </w:tcPr>
          <w:p>
            <w:pPr>
              <w:ind w:firstLine="440"/>
              <w:rPr>
                <w:color w:val="212121"/>
                <w:spacing w:val="10"/>
                <w:sz w:val="21"/>
                <w:szCs w:val="21"/>
                <w:highlight w:val="none"/>
              </w:rPr>
            </w:pPr>
            <w:r>
              <w:rPr>
                <w:rFonts w:hint="eastAsia"/>
                <w:color w:val="212121"/>
                <w:spacing w:val="10"/>
                <w:sz w:val="21"/>
                <w:szCs w:val="21"/>
                <w:highlight w:val="none"/>
              </w:rPr>
              <w:t>万江辖区</w:t>
            </w:r>
            <w:r>
              <w:rPr>
                <w:rFonts w:hint="eastAsia"/>
                <w:color w:val="212121"/>
                <w:spacing w:val="10"/>
                <w:sz w:val="21"/>
                <w:szCs w:val="21"/>
                <w:highlight w:val="none"/>
                <w:lang w:val="en-US" w:eastAsia="zh-CN"/>
              </w:rPr>
              <w:t>龙湾片区周边道路，包括但不限于东江大道、坝新路、港口大道、万道路等重点路段及区域</w:t>
            </w:r>
            <w:r>
              <w:rPr>
                <w:rFonts w:hint="eastAsia"/>
                <w:color w:val="212121"/>
                <w:spacing w:val="10"/>
                <w:sz w:val="21"/>
                <w:szCs w:val="21"/>
                <w:highlight w:val="none"/>
              </w:rPr>
              <w:t>。</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ind w:firstLine="0" w:firstLineChars="0"/>
              <w:jc w:val="center"/>
              <w:rPr>
                <w:b/>
                <w:bCs/>
                <w:color w:val="212121"/>
                <w:spacing w:val="10"/>
                <w:sz w:val="21"/>
                <w:szCs w:val="21"/>
                <w:highlight w:val="none"/>
              </w:rPr>
            </w:pPr>
            <w:r>
              <w:rPr>
                <w:rFonts w:hint="eastAsia"/>
                <w:b/>
                <w:bCs/>
                <w:color w:val="212121"/>
                <w:spacing w:val="10"/>
                <w:sz w:val="21"/>
                <w:szCs w:val="21"/>
                <w:highlight w:val="none"/>
              </w:rPr>
              <w:t>投标有效期</w:t>
            </w:r>
          </w:p>
        </w:tc>
        <w:tc>
          <w:tcPr>
            <w:tcW w:w="8085" w:type="dxa"/>
            <w:vAlign w:val="center"/>
          </w:tcPr>
          <w:p>
            <w:pPr>
              <w:ind w:firstLine="440"/>
              <w:rPr>
                <w:color w:val="212121"/>
                <w:spacing w:val="10"/>
                <w:sz w:val="21"/>
                <w:szCs w:val="21"/>
                <w:highlight w:val="none"/>
              </w:rPr>
            </w:pPr>
            <w:r>
              <w:rPr>
                <w:rFonts w:hint="eastAsia"/>
                <w:color w:val="212121"/>
                <w:spacing w:val="10"/>
                <w:sz w:val="21"/>
                <w:szCs w:val="21"/>
                <w:highlight w:val="none"/>
              </w:rPr>
              <w:t>从提交投标文件的截止之日起90日历天。</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933" w:hRule="atLeast"/>
          <w:jc w:val="center"/>
        </w:trPr>
        <w:tc>
          <w:tcPr>
            <w:tcW w:w="1911" w:type="dxa"/>
            <w:shd w:val="clear" w:color="auto" w:fill="ECEFF2"/>
            <w:vAlign w:val="center"/>
          </w:tcPr>
          <w:p>
            <w:pPr>
              <w:ind w:firstLine="0" w:firstLineChars="0"/>
              <w:jc w:val="center"/>
              <w:rPr>
                <w:b/>
                <w:bCs/>
                <w:color w:val="212121"/>
                <w:spacing w:val="10"/>
                <w:sz w:val="21"/>
                <w:szCs w:val="21"/>
                <w:highlight w:val="none"/>
              </w:rPr>
            </w:pPr>
            <w:r>
              <w:rPr>
                <w:rFonts w:hint="eastAsia"/>
                <w:b/>
                <w:bCs/>
                <w:color w:val="212121"/>
                <w:spacing w:val="10"/>
                <w:sz w:val="21"/>
                <w:szCs w:val="21"/>
                <w:highlight w:val="none"/>
              </w:rPr>
              <w:t>采购资金支付（必填）</w:t>
            </w:r>
          </w:p>
        </w:tc>
        <w:tc>
          <w:tcPr>
            <w:tcW w:w="8085" w:type="dxa"/>
            <w:vAlign w:val="center"/>
          </w:tcPr>
          <w:p>
            <w:pPr>
              <w:ind w:firstLine="440"/>
              <w:rPr>
                <w:rFonts w:hint="default" w:eastAsia="仿宋"/>
                <w:color w:val="212121"/>
                <w:spacing w:val="10"/>
                <w:sz w:val="21"/>
                <w:szCs w:val="21"/>
                <w:highlight w:val="none"/>
                <w:lang w:val="en-US" w:eastAsia="zh-CN"/>
              </w:rPr>
            </w:pPr>
            <w:r>
              <w:rPr>
                <w:rFonts w:hint="eastAsia"/>
                <w:color w:val="212121"/>
                <w:spacing w:val="10"/>
                <w:sz w:val="21"/>
                <w:szCs w:val="21"/>
                <w:highlight w:val="none"/>
              </w:rPr>
              <w:t>第1期为(预付款)：支付比例30%，签订合同后，在14个工作日内向中标人支付项目建设费用的30%。</w:t>
            </w:r>
          </w:p>
          <w:p>
            <w:pPr>
              <w:ind w:firstLine="440"/>
              <w:rPr>
                <w:color w:val="212121"/>
                <w:spacing w:val="10"/>
                <w:sz w:val="21"/>
                <w:szCs w:val="21"/>
                <w:highlight w:val="none"/>
              </w:rPr>
            </w:pPr>
            <w:r>
              <w:rPr>
                <w:rFonts w:hint="eastAsia"/>
                <w:color w:val="212121"/>
                <w:spacing w:val="10"/>
                <w:sz w:val="21"/>
                <w:szCs w:val="21"/>
                <w:highlight w:val="none"/>
              </w:rPr>
              <w:t>第2期为(进度款)：支付比例</w:t>
            </w:r>
            <w:r>
              <w:rPr>
                <w:rFonts w:hint="eastAsia"/>
                <w:color w:val="212121"/>
                <w:spacing w:val="10"/>
                <w:sz w:val="21"/>
                <w:szCs w:val="21"/>
                <w:highlight w:val="lightGray"/>
                <w:lang w:val="en-US" w:eastAsia="zh-CN"/>
              </w:rPr>
              <w:t>3</w:t>
            </w:r>
            <w:r>
              <w:rPr>
                <w:rFonts w:hint="eastAsia"/>
                <w:color w:val="212121"/>
                <w:spacing w:val="10"/>
                <w:sz w:val="21"/>
                <w:szCs w:val="21"/>
                <w:highlight w:val="lightGray"/>
              </w:rPr>
              <w:t>5</w:t>
            </w:r>
            <w:r>
              <w:rPr>
                <w:rFonts w:hint="eastAsia"/>
                <w:color w:val="212121"/>
                <w:spacing w:val="10"/>
                <w:sz w:val="21"/>
                <w:szCs w:val="21"/>
                <w:highlight w:val="none"/>
              </w:rPr>
              <w:t>%，</w:t>
            </w:r>
            <w:r>
              <w:rPr>
                <w:rFonts w:hint="eastAsia"/>
                <w:color w:val="212121"/>
                <w:w w:val="105"/>
                <w:sz w:val="21"/>
                <w:szCs w:val="21"/>
                <w:highlight w:val="none"/>
              </w:rPr>
              <w:t>前端主设备到场后</w:t>
            </w:r>
            <w:r>
              <w:rPr>
                <w:rFonts w:hint="eastAsia"/>
                <w:color w:val="212121"/>
                <w:spacing w:val="10"/>
                <w:sz w:val="21"/>
                <w:szCs w:val="21"/>
                <w:highlight w:val="none"/>
              </w:rPr>
              <w:t>，在14个工作日内向中标人支付至项目建设费用的</w:t>
            </w:r>
            <w:r>
              <w:rPr>
                <w:rFonts w:hint="eastAsia"/>
                <w:color w:val="212121"/>
                <w:spacing w:val="10"/>
                <w:sz w:val="21"/>
                <w:szCs w:val="21"/>
                <w:highlight w:val="none"/>
                <w:lang w:val="en-US" w:eastAsia="zh-CN"/>
              </w:rPr>
              <w:t>6</w:t>
            </w:r>
            <w:r>
              <w:rPr>
                <w:rFonts w:hint="eastAsia"/>
                <w:color w:val="212121"/>
                <w:spacing w:val="10"/>
                <w:sz w:val="21"/>
                <w:szCs w:val="21"/>
                <w:highlight w:val="none"/>
              </w:rPr>
              <w:t>5%。</w:t>
            </w:r>
          </w:p>
          <w:p>
            <w:pPr>
              <w:ind w:firstLine="440"/>
              <w:rPr>
                <w:highlight w:val="none"/>
              </w:rPr>
            </w:pPr>
            <w:r>
              <w:rPr>
                <w:rFonts w:hint="eastAsia"/>
                <w:color w:val="212121"/>
                <w:spacing w:val="10"/>
                <w:sz w:val="21"/>
                <w:szCs w:val="21"/>
                <w:highlight w:val="none"/>
              </w:rPr>
              <w:t>第3期为(验收款)：支付比例</w:t>
            </w:r>
            <w:r>
              <w:rPr>
                <w:rFonts w:hint="eastAsia"/>
                <w:color w:val="212121"/>
                <w:spacing w:val="10"/>
                <w:sz w:val="21"/>
                <w:szCs w:val="21"/>
                <w:highlight w:val="lightGray"/>
                <w:lang w:val="en-US" w:eastAsia="zh-CN"/>
              </w:rPr>
              <w:t>3</w:t>
            </w:r>
            <w:r>
              <w:rPr>
                <w:rFonts w:hint="eastAsia"/>
                <w:color w:val="212121"/>
                <w:spacing w:val="10"/>
                <w:sz w:val="21"/>
                <w:szCs w:val="21"/>
                <w:highlight w:val="lightGray"/>
              </w:rPr>
              <w:t>5</w:t>
            </w:r>
            <w:r>
              <w:rPr>
                <w:rFonts w:hint="eastAsia"/>
                <w:color w:val="212121"/>
                <w:spacing w:val="10"/>
                <w:sz w:val="21"/>
                <w:szCs w:val="21"/>
                <w:highlight w:val="none"/>
              </w:rPr>
              <w:t>%，</w:t>
            </w:r>
            <w:r>
              <w:rPr>
                <w:rFonts w:hint="eastAsia"/>
                <w:color w:val="212121"/>
                <w:w w:val="105"/>
                <w:sz w:val="21"/>
                <w:szCs w:val="21"/>
                <w:highlight w:val="none"/>
              </w:rPr>
              <w:t>设备安装调试完毕，经采购人验收合格后，</w:t>
            </w:r>
            <w:r>
              <w:rPr>
                <w:rFonts w:hint="eastAsia"/>
                <w:color w:val="212121"/>
                <w:spacing w:val="10"/>
                <w:sz w:val="21"/>
                <w:szCs w:val="21"/>
                <w:highlight w:val="none"/>
              </w:rPr>
              <w:t>在14个工作日内向中标人支付至项目建设费用的100%。</w:t>
            </w:r>
          </w:p>
          <w:p>
            <w:pPr>
              <w:pStyle w:val="2"/>
              <w:ind w:left="0" w:leftChars="0" w:firstLine="460" w:firstLineChars="200"/>
              <w:rPr>
                <w:rFonts w:hint="eastAsia" w:cs="仿宋"/>
                <w:color w:val="212121"/>
                <w:spacing w:val="10"/>
                <w:sz w:val="21"/>
                <w:szCs w:val="21"/>
                <w:highlight w:val="none"/>
                <w:lang w:val="en-US" w:eastAsia="zh-CN" w:bidi="ar-SA"/>
              </w:rPr>
            </w:pPr>
            <w:r>
              <w:rPr>
                <w:rFonts w:hint="eastAsia" w:ascii="仿宋" w:hAnsi="仿宋" w:eastAsia="仿宋" w:cs="仿宋"/>
                <w:color w:val="212121"/>
                <w:spacing w:val="10"/>
                <w:sz w:val="21"/>
                <w:szCs w:val="21"/>
                <w:highlight w:val="none"/>
                <w:lang w:val="en-US" w:eastAsia="zh-CN" w:bidi="ar-SA"/>
              </w:rPr>
              <w:t>备注：</w:t>
            </w:r>
            <w:r>
              <w:rPr>
                <w:rFonts w:hint="eastAsia" w:cs="仿宋"/>
                <w:color w:val="212121"/>
                <w:spacing w:val="10"/>
                <w:sz w:val="21"/>
                <w:szCs w:val="21"/>
                <w:highlight w:val="none"/>
                <w:lang w:val="en-US" w:eastAsia="zh-CN" w:bidi="ar-SA"/>
              </w:rPr>
              <w:t>1、中标人须提供包括但不限于合同、发票、设备到货相关材料（到货单、检验单、报审表等）、验收报告、竣工报告等。</w:t>
            </w:r>
          </w:p>
          <w:p>
            <w:pPr>
              <w:rPr>
                <w:rFonts w:hint="default"/>
                <w:highlight w:val="none"/>
                <w:lang w:val="en-US" w:eastAsia="zh-CN"/>
              </w:rPr>
            </w:pPr>
            <w:r>
              <w:rPr>
                <w:rFonts w:hint="eastAsia" w:cs="仿宋"/>
                <w:color w:val="212121"/>
                <w:spacing w:val="10"/>
                <w:sz w:val="21"/>
                <w:szCs w:val="21"/>
                <w:highlight w:val="none"/>
                <w:lang w:val="en-US" w:eastAsia="zh-CN" w:bidi="ar-SA"/>
              </w:rPr>
              <w:t>2、本项目的经费是由财政拨款，前款规定的付款时间为采购人向财政支付部门提出办理财政支付申请手续的时间（不含政府财政支付部门审核的时间），采购人在规定时间内提出支付申请手续即视为不违约，采购人有义务跟进支付情况直至款项实际到账，拨款未能及时到位，中标人不得以此为由而不履行合同规定的义务。因财政支付手续或中标人原因导致不能按时付款或付款迟延的，采购人不以违约论。如果中标人怠于或者拒绝提供资料或者办理手续的，则因此产生的付款迟延责任全部由中标人承担。</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989" w:hRule="atLeast"/>
          <w:jc w:val="center"/>
        </w:trPr>
        <w:tc>
          <w:tcPr>
            <w:tcW w:w="1911" w:type="dxa"/>
            <w:shd w:val="clear" w:color="auto" w:fill="ECEFF2"/>
            <w:vAlign w:val="center"/>
          </w:tcPr>
          <w:p>
            <w:pPr>
              <w:ind w:firstLine="0" w:firstLineChars="0"/>
              <w:jc w:val="center"/>
              <w:rPr>
                <w:b/>
                <w:bCs/>
                <w:color w:val="212121"/>
                <w:spacing w:val="10"/>
                <w:sz w:val="21"/>
                <w:szCs w:val="21"/>
                <w:highlight w:val="none"/>
              </w:rPr>
            </w:pPr>
            <w:r>
              <w:rPr>
                <w:rFonts w:hint="eastAsia"/>
                <w:b/>
                <w:bCs/>
                <w:color w:val="212121"/>
                <w:spacing w:val="10"/>
                <w:sz w:val="21"/>
                <w:szCs w:val="21"/>
                <w:highlight w:val="none"/>
              </w:rPr>
              <w:t>验收要求（必填）</w:t>
            </w:r>
          </w:p>
        </w:tc>
        <w:tc>
          <w:tcPr>
            <w:tcW w:w="8085" w:type="dxa"/>
            <w:vAlign w:val="center"/>
          </w:tcPr>
          <w:p>
            <w:pPr>
              <w:ind w:firstLine="440"/>
              <w:rPr>
                <w:color w:val="212121"/>
                <w:spacing w:val="10"/>
                <w:sz w:val="21"/>
                <w:szCs w:val="21"/>
                <w:highlight w:val="none"/>
              </w:rPr>
            </w:pPr>
            <w:r>
              <w:rPr>
                <w:rFonts w:hint="eastAsia"/>
                <w:color w:val="212121"/>
                <w:spacing w:val="10"/>
                <w:sz w:val="21"/>
                <w:szCs w:val="21"/>
                <w:highlight w:val="none"/>
              </w:rPr>
              <w:t>1期：详见技术标准与要求货物验收及项目验收要求。</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ind w:firstLine="0" w:firstLineChars="0"/>
              <w:jc w:val="center"/>
              <w:rPr>
                <w:b/>
                <w:bCs/>
                <w:color w:val="212121"/>
                <w:spacing w:val="10"/>
                <w:sz w:val="21"/>
                <w:szCs w:val="21"/>
                <w:highlight w:val="none"/>
              </w:rPr>
            </w:pPr>
            <w:r>
              <w:rPr>
                <w:rFonts w:hint="eastAsia"/>
                <w:b/>
                <w:bCs/>
                <w:color w:val="212121"/>
                <w:spacing w:val="10"/>
                <w:sz w:val="21"/>
                <w:szCs w:val="21"/>
                <w:highlight w:val="none"/>
              </w:rPr>
              <w:t>联合体投标（必填）</w:t>
            </w:r>
          </w:p>
        </w:tc>
        <w:tc>
          <w:tcPr>
            <w:tcW w:w="8085" w:type="dxa"/>
            <w:vAlign w:val="center"/>
          </w:tcPr>
          <w:p>
            <w:pPr>
              <w:ind w:firstLine="440"/>
              <w:rPr>
                <w:color w:val="212121"/>
                <w:spacing w:val="10"/>
                <w:sz w:val="21"/>
                <w:szCs w:val="21"/>
                <w:highlight w:val="none"/>
              </w:rPr>
            </w:pPr>
            <w:r>
              <w:rPr>
                <w:rFonts w:hint="eastAsia"/>
                <w:color w:val="212121"/>
                <w:spacing w:val="10"/>
                <w:sz w:val="21"/>
                <w:szCs w:val="21"/>
                <w:highlight w:val="none"/>
              </w:rPr>
              <w:t>☑是/□否</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ind w:firstLine="0" w:firstLineChars="0"/>
              <w:jc w:val="center"/>
              <w:rPr>
                <w:b/>
                <w:bCs/>
                <w:color w:val="212121"/>
                <w:spacing w:val="10"/>
                <w:sz w:val="21"/>
                <w:szCs w:val="21"/>
                <w:highlight w:val="none"/>
              </w:rPr>
            </w:pPr>
            <w:r>
              <w:rPr>
                <w:rFonts w:hint="eastAsia"/>
                <w:b/>
                <w:bCs/>
                <w:color w:val="212121"/>
                <w:spacing w:val="10"/>
                <w:sz w:val="21"/>
                <w:szCs w:val="21"/>
                <w:highlight w:val="none"/>
              </w:rPr>
              <w:t>合同履行期限（必填）</w:t>
            </w:r>
          </w:p>
        </w:tc>
        <w:tc>
          <w:tcPr>
            <w:tcW w:w="8085" w:type="dxa"/>
            <w:vAlign w:val="center"/>
          </w:tcPr>
          <w:p>
            <w:pPr>
              <w:ind w:firstLine="440"/>
              <w:rPr>
                <w:color w:val="212121"/>
                <w:spacing w:val="10"/>
                <w:sz w:val="21"/>
                <w:szCs w:val="21"/>
                <w:highlight w:val="none"/>
              </w:rPr>
            </w:pPr>
            <w:r>
              <w:rPr>
                <w:rFonts w:hint="eastAsia"/>
                <w:color w:val="212121"/>
                <w:spacing w:val="10"/>
                <w:sz w:val="21"/>
                <w:szCs w:val="21"/>
                <w:highlight w:val="none"/>
              </w:rPr>
              <w:t>自验收合格之日起3年。</w:t>
            </w:r>
          </w:p>
        </w:tc>
      </w:tr>
      <w:tr>
        <w:tblPrEx>
          <w:tblBorders>
            <w:top w:val="single" w:color="D1D1D1" w:sz="6" w:space="0"/>
            <w:left w:val="single" w:color="D1D1D1" w:sz="6" w:space="0"/>
            <w:bottom w:val="single" w:color="D1D1D1" w:sz="6" w:space="0"/>
            <w:right w:val="single" w:color="D1D1D1" w:sz="6" w:space="0"/>
            <w:insideH w:val="single" w:color="D1D1D1" w:sz="6" w:space="0"/>
            <w:insideV w:val="single" w:color="D1D1D1" w:sz="6" w:space="0"/>
          </w:tblBorders>
          <w:tblCellMar>
            <w:top w:w="0" w:type="dxa"/>
            <w:left w:w="57" w:type="dxa"/>
            <w:bottom w:w="0" w:type="dxa"/>
            <w:right w:w="57" w:type="dxa"/>
          </w:tblCellMar>
        </w:tblPrEx>
        <w:trPr>
          <w:trHeight w:val="484" w:hRule="atLeast"/>
          <w:jc w:val="center"/>
        </w:trPr>
        <w:tc>
          <w:tcPr>
            <w:tcW w:w="1911" w:type="dxa"/>
            <w:shd w:val="clear" w:color="auto" w:fill="ECEFF2"/>
            <w:vAlign w:val="center"/>
          </w:tcPr>
          <w:p>
            <w:pPr>
              <w:ind w:firstLine="0" w:firstLineChars="0"/>
              <w:jc w:val="center"/>
              <w:rPr>
                <w:b/>
                <w:bCs/>
                <w:color w:val="212121"/>
                <w:spacing w:val="10"/>
                <w:sz w:val="21"/>
                <w:szCs w:val="21"/>
                <w:highlight w:val="none"/>
              </w:rPr>
            </w:pPr>
            <w:r>
              <w:rPr>
                <w:rFonts w:hint="eastAsia"/>
                <w:b/>
                <w:bCs/>
                <w:color w:val="212121"/>
                <w:spacing w:val="10"/>
                <w:sz w:val="21"/>
                <w:szCs w:val="21"/>
                <w:highlight w:val="none"/>
              </w:rPr>
              <w:t>其他</w:t>
            </w:r>
          </w:p>
        </w:tc>
        <w:tc>
          <w:tcPr>
            <w:tcW w:w="8085" w:type="dxa"/>
            <w:vAlign w:val="center"/>
          </w:tcPr>
          <w:p>
            <w:pPr>
              <w:spacing w:line="240" w:lineRule="auto"/>
              <w:ind w:firstLine="440"/>
              <w:rPr>
                <w:color w:val="212121"/>
                <w:spacing w:val="10"/>
                <w:sz w:val="21"/>
                <w:szCs w:val="21"/>
                <w:highlight w:val="none"/>
              </w:rPr>
            </w:pPr>
            <w:r>
              <w:rPr>
                <w:rFonts w:hint="eastAsia"/>
                <w:color w:val="212121"/>
                <w:spacing w:val="10"/>
                <w:sz w:val="21"/>
                <w:szCs w:val="21"/>
                <w:highlight w:val="none"/>
              </w:rPr>
              <w:t>①质保期：</w:t>
            </w:r>
            <w:r>
              <w:rPr>
                <w:rFonts w:hint="eastAsia"/>
                <w:color w:val="212121"/>
                <w:spacing w:val="10"/>
                <w:sz w:val="21"/>
                <w:szCs w:val="21"/>
                <w:highlight w:val="none"/>
                <w:lang w:val="en-US" w:eastAsia="zh-CN"/>
              </w:rPr>
              <w:t>中标人自</w:t>
            </w:r>
            <w:r>
              <w:rPr>
                <w:rFonts w:hint="eastAsia"/>
                <w:sz w:val="21"/>
                <w:szCs w:val="21"/>
                <w:highlight w:val="none"/>
              </w:rPr>
              <w:t>项目</w:t>
            </w:r>
            <w:r>
              <w:rPr>
                <w:sz w:val="21"/>
                <w:szCs w:val="21"/>
                <w:highlight w:val="none"/>
              </w:rPr>
              <w:t>通过最终验收合格之日</w:t>
            </w:r>
            <w:r>
              <w:rPr>
                <w:rFonts w:hint="eastAsia"/>
                <w:sz w:val="21"/>
                <w:szCs w:val="21"/>
                <w:highlight w:val="none"/>
              </w:rPr>
              <w:t>起提供</w:t>
            </w:r>
            <w:r>
              <w:rPr>
                <w:rFonts w:hint="eastAsia"/>
                <w:sz w:val="21"/>
                <w:szCs w:val="21"/>
                <w:highlight w:val="none"/>
                <w:lang w:val="en-US" w:eastAsia="zh-CN"/>
              </w:rPr>
              <w:t>三年</w:t>
            </w:r>
            <w:r>
              <w:rPr>
                <w:rFonts w:hint="eastAsia"/>
                <w:sz w:val="21"/>
                <w:szCs w:val="21"/>
                <w:highlight w:val="none"/>
              </w:rPr>
              <w:t>整体项目质保</w:t>
            </w:r>
            <w:r>
              <w:rPr>
                <w:rFonts w:hint="eastAsia"/>
                <w:sz w:val="21"/>
                <w:szCs w:val="21"/>
                <w:highlight w:val="none"/>
                <w:lang w:val="en-US" w:eastAsia="zh-CN"/>
              </w:rPr>
              <w:t>服务</w:t>
            </w:r>
            <w:r>
              <w:rPr>
                <w:rFonts w:hint="eastAsia"/>
                <w:sz w:val="21"/>
                <w:szCs w:val="21"/>
                <w:highlight w:val="none"/>
              </w:rPr>
              <w:t>（即36个月），在质保期内，中标人须保障本项目范围内设备、系统的正常运行，系统运行指标须达到当年东莞市公安局关于视图治理基础指标的相关标准。若在质保期内发生的质量问题，由中标人负责免费解决，包退包换（因采购人使用不当或其他人为因素造成的故障除外）。</w:t>
            </w:r>
          </w:p>
          <w:p>
            <w:pPr>
              <w:spacing w:line="240" w:lineRule="auto"/>
              <w:ind w:firstLine="440"/>
              <w:rPr>
                <w:color w:val="212121"/>
                <w:spacing w:val="10"/>
                <w:sz w:val="21"/>
                <w:szCs w:val="21"/>
                <w:highlight w:val="none"/>
              </w:rPr>
            </w:pPr>
            <w:r>
              <w:rPr>
                <w:rFonts w:hint="eastAsia"/>
                <w:color w:val="212121"/>
                <w:spacing w:val="10"/>
                <w:sz w:val="21"/>
                <w:szCs w:val="21"/>
                <w:highlight w:val="none"/>
              </w:rPr>
              <w:t>②</w:t>
            </w:r>
            <w:r>
              <w:rPr>
                <w:rFonts w:hint="eastAsia"/>
                <w:sz w:val="21"/>
                <w:szCs w:val="21"/>
                <w:highlight w:val="none"/>
              </w:rPr>
              <w:t>本采购包</w:t>
            </w:r>
            <w:r>
              <w:rPr>
                <w:rFonts w:hint="eastAsia"/>
                <w:color w:val="212121"/>
                <w:spacing w:val="10"/>
                <w:sz w:val="21"/>
                <w:szCs w:val="21"/>
                <w:highlight w:val="none"/>
              </w:rPr>
              <w:t>采购总预算为人民币</w:t>
            </w:r>
            <w:r>
              <w:rPr>
                <w:rFonts w:hint="eastAsia"/>
                <w:color w:val="212121"/>
                <w:spacing w:val="10"/>
                <w:sz w:val="21"/>
                <w:szCs w:val="21"/>
                <w:highlight w:val="lightGray"/>
                <w:lang w:val="en-US" w:eastAsia="zh-CN"/>
              </w:rPr>
              <w:t>18126117.33</w:t>
            </w:r>
            <w:r>
              <w:rPr>
                <w:rFonts w:hint="eastAsia"/>
                <w:color w:val="212121"/>
                <w:spacing w:val="10"/>
                <w:sz w:val="21"/>
                <w:szCs w:val="21"/>
                <w:highlight w:val="none"/>
              </w:rPr>
              <w:t>元，</w:t>
            </w:r>
            <w:r>
              <w:rPr>
                <w:sz w:val="21"/>
                <w:szCs w:val="21"/>
                <w:highlight w:val="none"/>
              </w:rPr>
              <w:t>项目报价应包含完成本次采购所有货物和服务内容的费用，包含设备及材料的供应（包括设备材料的技术文件）、勘探现场、装卸、运输、保管、拆卸、清运、安装调试、验收和维修保养、各种税务费及合同实施过程中的不可预见费用等全部费用（含招标文件所要求的必要的辅助材料费用）和售后服务费等，且不得以任何理由或手段增加项目的费用。</w:t>
            </w:r>
            <w:r>
              <w:rPr>
                <w:rFonts w:hint="eastAsia"/>
                <w:sz w:val="21"/>
                <w:szCs w:val="21"/>
                <w:highlight w:val="none"/>
              </w:rPr>
              <w:t>投标人在填写分项明细报价时，报价不得超出相应单项的最高预算价，所有单项的报价累计不得超过项目总预算价，否则将被视为非实质性响应而予以投标无效处理。</w:t>
            </w:r>
          </w:p>
          <w:p>
            <w:pPr>
              <w:pStyle w:val="2"/>
              <w:spacing w:line="240" w:lineRule="auto"/>
              <w:ind w:left="0" w:leftChars="0" w:firstLine="440"/>
              <w:rPr>
                <w:color w:val="212121"/>
                <w:spacing w:val="10"/>
                <w:sz w:val="21"/>
                <w:szCs w:val="21"/>
                <w:highlight w:val="none"/>
              </w:rPr>
            </w:pPr>
            <w:r>
              <w:rPr>
                <w:color w:val="212121"/>
                <w:spacing w:val="10"/>
                <w:sz w:val="21"/>
                <w:szCs w:val="21"/>
                <w:highlight w:val="none"/>
              </w:rPr>
              <w:t>③</w:t>
            </w:r>
            <w:r>
              <w:rPr>
                <w:rFonts w:hint="eastAsia"/>
                <w:color w:val="212121"/>
                <w:spacing w:val="10"/>
                <w:sz w:val="21"/>
                <w:szCs w:val="21"/>
                <w:highlight w:val="none"/>
              </w:rPr>
              <w:t>本采购包不得转包或分包。</w:t>
            </w:r>
          </w:p>
          <w:p>
            <w:pPr>
              <w:spacing w:line="240" w:lineRule="auto"/>
              <w:ind w:firstLine="420"/>
              <w:rPr>
                <w:highlight w:val="none"/>
              </w:rPr>
            </w:pPr>
            <w:r>
              <w:rPr>
                <w:rFonts w:hint="eastAsia"/>
                <w:sz w:val="21"/>
                <w:szCs w:val="21"/>
                <w:highlight w:val="lightGray"/>
              </w:rPr>
              <w:t>④</w:t>
            </w:r>
            <w:r>
              <w:rPr>
                <w:rFonts w:hint="eastAsia"/>
                <w:sz w:val="21"/>
                <w:szCs w:val="21"/>
                <w:highlight w:val="lightGray"/>
                <w:lang w:eastAsia="zh-CN"/>
              </w:rPr>
              <w:t>鼓励积极</w:t>
            </w:r>
            <w:r>
              <w:rPr>
                <w:rFonts w:hint="eastAsia"/>
                <w:sz w:val="21"/>
                <w:szCs w:val="21"/>
                <w:highlight w:val="lightGray"/>
              </w:rPr>
              <w:t>参与广东省百县千镇万村高质量发展政府公益项目：</w:t>
            </w:r>
            <w:r>
              <w:rPr>
                <w:rFonts w:hint="eastAsia"/>
                <w:sz w:val="21"/>
                <w:szCs w:val="21"/>
                <w:highlight w:val="lightGray"/>
                <w:lang w:eastAsia="zh-CN"/>
              </w:rPr>
              <w:t>建议</w:t>
            </w:r>
            <w:r>
              <w:rPr>
                <w:rFonts w:hint="eastAsia"/>
                <w:sz w:val="21"/>
                <w:szCs w:val="21"/>
                <w:highlight w:val="lightGray"/>
              </w:rPr>
              <w:t>中标人以</w:t>
            </w:r>
            <w:r>
              <w:rPr>
                <w:rFonts w:hint="eastAsia"/>
                <w:sz w:val="21"/>
                <w:szCs w:val="21"/>
                <w:highlight w:val="lightGray"/>
                <w:lang w:eastAsia="zh-CN"/>
              </w:rPr>
              <w:t>不低于</w:t>
            </w:r>
            <w:r>
              <w:rPr>
                <w:rFonts w:hint="eastAsia"/>
                <w:sz w:val="21"/>
                <w:szCs w:val="21"/>
                <w:highlight w:val="lightGray"/>
              </w:rPr>
              <w:t>中标金额的5%</w:t>
            </w:r>
            <w:r>
              <w:rPr>
                <w:rFonts w:hint="eastAsia"/>
                <w:sz w:val="21"/>
                <w:szCs w:val="21"/>
                <w:highlight w:val="lightGray"/>
                <w:lang w:eastAsia="zh-CN"/>
              </w:rPr>
              <w:t>专门用</w:t>
            </w:r>
            <w:r>
              <w:rPr>
                <w:rFonts w:hint="eastAsia"/>
                <w:sz w:val="21"/>
                <w:szCs w:val="21"/>
                <w:highlight w:val="lightGray"/>
              </w:rPr>
              <w:t>于广东省百县千镇万村高质量发展政府公益项目，支持公益助力项目建设。</w:t>
            </w:r>
          </w:p>
        </w:tc>
      </w:tr>
    </w:tbl>
    <w:p>
      <w:pPr>
        <w:ind w:firstLine="440"/>
        <w:rPr>
          <w:color w:val="212121"/>
          <w:spacing w:val="10"/>
          <w:sz w:val="21"/>
          <w:szCs w:val="21"/>
          <w:highlight w:val="none"/>
        </w:rPr>
      </w:pPr>
    </w:p>
    <w:p>
      <w:pPr>
        <w:ind w:firstLine="440"/>
        <w:rPr>
          <w:color w:val="212121"/>
          <w:spacing w:val="10"/>
          <w:sz w:val="21"/>
          <w:szCs w:val="21"/>
          <w:highlight w:val="none"/>
        </w:rPr>
      </w:pPr>
      <w:r>
        <w:rPr>
          <w:rFonts w:hint="eastAsia"/>
          <w:color w:val="212121"/>
          <w:spacing w:val="10"/>
          <w:sz w:val="21"/>
          <w:szCs w:val="21"/>
          <w:highlight w:val="none"/>
        </w:rPr>
        <w:br w:type="page"/>
      </w:r>
    </w:p>
    <w:p>
      <w:pPr>
        <w:pStyle w:val="3"/>
        <w:rPr>
          <w:highlight w:val="none"/>
        </w:rPr>
      </w:pPr>
      <w:r>
        <w:rPr>
          <w:rFonts w:hint="eastAsia"/>
          <w:highlight w:val="none"/>
        </w:rPr>
        <w:t>标的需求清单及技术（参数）要求</w:t>
      </w:r>
    </w:p>
    <w:p>
      <w:pPr>
        <w:pStyle w:val="4"/>
        <w:numPr>
          <w:ilvl w:val="1"/>
          <w:numId w:val="2"/>
        </w:numPr>
        <w:rPr>
          <w:highlight w:val="none"/>
        </w:rPr>
      </w:pPr>
      <w:r>
        <w:rPr>
          <w:rFonts w:hint="eastAsia"/>
          <w:highlight w:val="none"/>
        </w:rPr>
        <w:t>项目背景</w:t>
      </w:r>
    </w:p>
    <w:p>
      <w:pPr>
        <w:ind w:firstLine="480"/>
        <w:rPr>
          <w:highlight w:val="none"/>
        </w:rPr>
      </w:pPr>
      <w:r>
        <w:rPr>
          <w:highlight w:val="none"/>
        </w:rPr>
        <w:t>为</w:t>
      </w:r>
      <w:r>
        <w:rPr>
          <w:rFonts w:hint="eastAsia"/>
          <w:highlight w:val="none"/>
        </w:rPr>
        <w:t>落实“百千万工程”部署，擦亮万江城市名片，提升龙湾片区人居环境品质，街道于2025年投资建设了万江街道龙湾片区智慧城市建设项目，该项目有效完善片区基础设施体系，改善居民出行条件与区域交通，提升社会治理效能。</w:t>
      </w:r>
    </w:p>
    <w:p>
      <w:pPr>
        <w:pStyle w:val="2"/>
        <w:ind w:left="0" w:leftChars="0" w:firstLine="480"/>
        <w:rPr>
          <w:highlight w:val="none"/>
        </w:rPr>
      </w:pPr>
      <w:r>
        <w:rPr>
          <w:rFonts w:hint="eastAsia"/>
          <w:highlight w:val="none"/>
        </w:rPr>
        <w:t>为深化建设成果，对接“品质交通攻坚行动”，破解片区社会面管控智慧化程度、交通服务供给不足等问题，推动基础设施建设与基层治理现代化融合，万江街道在龙湾片区智慧城市建设项目的基础上，提出“万江街道龙湾片区智慧城市建设项目二期”建设。本次项目建设，万江街道将在筑牢城市安全防线的同时，完善智慧城市感知层的基础布局，将可作为后续深化数据治理、拓展智慧应用提供实践经验。</w:t>
      </w:r>
    </w:p>
    <w:p>
      <w:pPr>
        <w:pStyle w:val="4"/>
        <w:numPr>
          <w:ilvl w:val="1"/>
          <w:numId w:val="2"/>
        </w:numPr>
        <w:rPr>
          <w:highlight w:val="none"/>
        </w:rPr>
      </w:pPr>
      <w:r>
        <w:rPr>
          <w:rFonts w:hint="eastAsia"/>
          <w:highlight w:val="none"/>
        </w:rPr>
        <w:t>建设依据</w:t>
      </w:r>
    </w:p>
    <w:p>
      <w:pPr>
        <w:pStyle w:val="5"/>
        <w:numPr>
          <w:ilvl w:val="2"/>
          <w:numId w:val="2"/>
        </w:numPr>
        <w:rPr>
          <w:highlight w:val="none"/>
        </w:rPr>
      </w:pPr>
      <w:r>
        <w:rPr>
          <w:highlight w:val="none"/>
        </w:rPr>
        <w:t>法律法规及政策文件</w:t>
      </w:r>
    </w:p>
    <w:p>
      <w:pPr>
        <w:ind w:firstLine="480"/>
        <w:rPr>
          <w:highlight w:val="none"/>
        </w:rPr>
      </w:pPr>
      <w:r>
        <w:rPr>
          <w:highlight w:val="none"/>
        </w:rPr>
        <w:t>《中华人民共和国网络安全法》（主席令12届第53号）</w:t>
      </w:r>
    </w:p>
    <w:p>
      <w:pPr>
        <w:ind w:firstLine="480"/>
        <w:rPr>
          <w:highlight w:val="none"/>
        </w:rPr>
      </w:pPr>
      <w:r>
        <w:rPr>
          <w:highlight w:val="none"/>
        </w:rPr>
        <w:t>《中华人民共和国数据安全法》</w:t>
      </w:r>
    </w:p>
    <w:p>
      <w:pPr>
        <w:ind w:firstLine="480"/>
        <w:rPr>
          <w:highlight w:val="none"/>
        </w:rPr>
      </w:pPr>
      <w:r>
        <w:rPr>
          <w:highlight w:val="none"/>
        </w:rPr>
        <w:t>《中华人民共和国个人信息保护法》</w:t>
      </w:r>
    </w:p>
    <w:p>
      <w:pPr>
        <w:ind w:firstLine="480"/>
        <w:rPr>
          <w:highlight w:val="none"/>
        </w:rPr>
      </w:pPr>
      <w:r>
        <w:rPr>
          <w:highlight w:val="none"/>
        </w:rPr>
        <w:t>《关键信息基础设施安全保护条例》</w:t>
      </w:r>
    </w:p>
    <w:p>
      <w:pPr>
        <w:ind w:firstLine="480"/>
        <w:rPr>
          <w:highlight w:val="none"/>
        </w:rPr>
      </w:pPr>
      <w:r>
        <w:rPr>
          <w:highlight w:val="none"/>
        </w:rPr>
        <w:t>《中华人民共和国计算机信息系统安全保护条例》（国务院147号令）</w:t>
      </w:r>
    </w:p>
    <w:p>
      <w:pPr>
        <w:ind w:firstLine="480"/>
        <w:rPr>
          <w:highlight w:val="none"/>
        </w:rPr>
      </w:pPr>
      <w:r>
        <w:rPr>
          <w:highlight w:val="none"/>
        </w:rPr>
        <w:t>《中共中央关于新时代公安工作的意见》</w:t>
      </w:r>
    </w:p>
    <w:p>
      <w:pPr>
        <w:ind w:firstLine="480"/>
        <w:rPr>
          <w:highlight w:val="none"/>
        </w:rPr>
      </w:pPr>
      <w:r>
        <w:rPr>
          <w:highlight w:val="none"/>
        </w:rPr>
        <w:t>《新一代人工智能发展规划》（国发〔2017〕35号）</w:t>
      </w:r>
    </w:p>
    <w:p>
      <w:pPr>
        <w:ind w:firstLine="480"/>
        <w:rPr>
          <w:highlight w:val="none"/>
        </w:rPr>
      </w:pPr>
      <w:r>
        <w:rPr>
          <w:highlight w:val="none"/>
        </w:rPr>
        <w:t>《信息安全等级保护商用密码管理办法》</w:t>
      </w:r>
    </w:p>
    <w:p>
      <w:pPr>
        <w:ind w:firstLine="480"/>
        <w:rPr>
          <w:highlight w:val="none"/>
        </w:rPr>
      </w:pPr>
      <w:r>
        <w:rPr>
          <w:highlight w:val="none"/>
        </w:rPr>
        <w:t>《人像识别技术应用安全管理规定（试行）》（网信办）</w:t>
      </w:r>
    </w:p>
    <w:p>
      <w:pPr>
        <w:ind w:firstLine="480"/>
        <w:rPr>
          <w:highlight w:val="none"/>
        </w:rPr>
      </w:pPr>
      <w:r>
        <w:rPr>
          <w:highlight w:val="none"/>
        </w:rPr>
        <w:t>《政务信息资源共享管理暂行办法》（国发〔2016〕51号）</w:t>
      </w:r>
    </w:p>
    <w:p>
      <w:pPr>
        <w:ind w:firstLine="480"/>
        <w:rPr>
          <w:highlight w:val="none"/>
        </w:rPr>
      </w:pPr>
      <w:r>
        <w:rPr>
          <w:highlight w:val="none"/>
        </w:rPr>
        <w:t>《公安信息通信网边界接入平台安全规范》</w:t>
      </w:r>
    </w:p>
    <w:p>
      <w:pPr>
        <w:ind w:firstLine="480"/>
        <w:rPr>
          <w:highlight w:val="none"/>
        </w:rPr>
      </w:pPr>
      <w:r>
        <w:rPr>
          <w:highlight w:val="none"/>
        </w:rPr>
        <w:t>《公安信息网安全管理规定（试行）》（公通字〔2017〕8号）</w:t>
      </w:r>
    </w:p>
    <w:p>
      <w:pPr>
        <w:ind w:firstLine="480"/>
        <w:rPr>
          <w:highlight w:val="none"/>
        </w:rPr>
      </w:pPr>
      <w:r>
        <w:rPr>
          <w:highlight w:val="none"/>
        </w:rPr>
        <w:t>《公安视频图像智能化建设应用指南》</w:t>
      </w:r>
    </w:p>
    <w:p>
      <w:pPr>
        <w:ind w:firstLine="480"/>
        <w:rPr>
          <w:highlight w:val="none"/>
        </w:rPr>
      </w:pPr>
      <w:r>
        <w:rPr>
          <w:highlight w:val="none"/>
        </w:rPr>
        <w:t>《中华人民共和国国民经济和社会发展第十四个五年规划和2035年远景目标纲要》</w:t>
      </w:r>
    </w:p>
    <w:p>
      <w:pPr>
        <w:ind w:firstLine="480"/>
        <w:rPr>
          <w:highlight w:val="none"/>
        </w:rPr>
      </w:pPr>
      <w:r>
        <w:rPr>
          <w:highlight w:val="none"/>
        </w:rPr>
        <w:t>《广东公安信息化建设“十四五”规划》</w:t>
      </w:r>
    </w:p>
    <w:p>
      <w:pPr>
        <w:ind w:firstLine="480"/>
        <w:rPr>
          <w:highlight w:val="none"/>
        </w:rPr>
      </w:pPr>
      <w:r>
        <w:rPr>
          <w:highlight w:val="none"/>
        </w:rPr>
        <w:t>《广东公安视频图像智能化建设应用指南》</w:t>
      </w:r>
    </w:p>
    <w:p>
      <w:pPr>
        <w:ind w:firstLine="480"/>
        <w:rPr>
          <w:highlight w:val="none"/>
        </w:rPr>
      </w:pPr>
      <w:r>
        <w:rPr>
          <w:highlight w:val="none"/>
        </w:rPr>
        <w:t>《2023年度全省公安科信部门运维管理考核指标及测评方法》</w:t>
      </w:r>
    </w:p>
    <w:p>
      <w:pPr>
        <w:ind w:firstLine="480"/>
        <w:rPr>
          <w:highlight w:val="none"/>
        </w:rPr>
      </w:pPr>
      <w:r>
        <w:rPr>
          <w:highlight w:val="none"/>
        </w:rPr>
        <w:t>《东莞市数字政府改革建设“十四五”规划》</w:t>
      </w:r>
    </w:p>
    <w:p>
      <w:pPr>
        <w:ind w:firstLine="480"/>
        <w:rPr>
          <w:highlight w:val="none"/>
        </w:rPr>
      </w:pPr>
      <w:r>
        <w:rPr>
          <w:highlight w:val="none"/>
        </w:rPr>
        <w:t>《东莞市公路防控体系建设智能化升级工作方案的通知》</w:t>
      </w:r>
    </w:p>
    <w:p>
      <w:pPr>
        <w:pStyle w:val="5"/>
        <w:numPr>
          <w:ilvl w:val="2"/>
          <w:numId w:val="2"/>
        </w:numPr>
        <w:rPr>
          <w:highlight w:val="none"/>
        </w:rPr>
      </w:pPr>
      <w:r>
        <w:rPr>
          <w:highlight w:val="none"/>
        </w:rPr>
        <w:t>标准规范</w:t>
      </w:r>
    </w:p>
    <w:p>
      <w:pPr>
        <w:ind w:firstLine="480"/>
        <w:rPr>
          <w:highlight w:val="none"/>
        </w:rPr>
      </w:pPr>
      <w:r>
        <w:rPr>
          <w:highlight w:val="none"/>
        </w:rPr>
        <w:t>《公共安全视频监控数字视音频编解码技术要求》（GB/T25724-2017）</w:t>
      </w:r>
    </w:p>
    <w:p>
      <w:pPr>
        <w:ind w:firstLine="480"/>
        <w:rPr>
          <w:highlight w:val="none"/>
        </w:rPr>
      </w:pPr>
      <w:r>
        <w:rPr>
          <w:highlight w:val="none"/>
        </w:rPr>
        <w:t>《公共安全视频监控联网系统信息传输、交换、控制技术要求》（GB/T28181-2022）</w:t>
      </w:r>
    </w:p>
    <w:p>
      <w:pPr>
        <w:ind w:firstLine="480"/>
        <w:rPr>
          <w:highlight w:val="none"/>
        </w:rPr>
      </w:pPr>
      <w:r>
        <w:rPr>
          <w:highlight w:val="none"/>
        </w:rPr>
        <w:t>《公共安全视频监控联网信息安全技术要求》（GB35114-2017）</w:t>
      </w:r>
    </w:p>
    <w:p>
      <w:pPr>
        <w:ind w:firstLine="480"/>
        <w:rPr>
          <w:highlight w:val="none"/>
        </w:rPr>
      </w:pPr>
      <w:r>
        <w:rPr>
          <w:highlight w:val="none"/>
        </w:rPr>
        <w:t>《安全防范工程技术标准》（GB50348-2018）</w:t>
      </w:r>
    </w:p>
    <w:p>
      <w:pPr>
        <w:ind w:firstLine="480"/>
        <w:rPr>
          <w:highlight w:val="none"/>
        </w:rPr>
      </w:pPr>
      <w:r>
        <w:rPr>
          <w:highlight w:val="none"/>
        </w:rPr>
        <w:t>《安全防范视频监控人像识别系统技术要求》（GB/T31488-2015）</w:t>
      </w:r>
    </w:p>
    <w:p>
      <w:pPr>
        <w:ind w:firstLine="480"/>
        <w:rPr>
          <w:highlight w:val="none"/>
        </w:rPr>
      </w:pPr>
      <w:r>
        <w:rPr>
          <w:highlight w:val="none"/>
        </w:rPr>
        <w:t>《网络安全等级保护测试评估技术指南》（GB/T36627-2018）</w:t>
      </w:r>
    </w:p>
    <w:p>
      <w:pPr>
        <w:ind w:firstLine="480"/>
        <w:rPr>
          <w:highlight w:val="none"/>
        </w:rPr>
      </w:pPr>
      <w:r>
        <w:rPr>
          <w:highlight w:val="none"/>
        </w:rPr>
        <w:t>《信息安全技术信息系统安全运维管理指南》（GB/T36626-2018）</w:t>
      </w:r>
    </w:p>
    <w:p>
      <w:pPr>
        <w:ind w:firstLine="480"/>
        <w:rPr>
          <w:highlight w:val="none"/>
        </w:rPr>
      </w:pPr>
      <w:r>
        <w:rPr>
          <w:highlight w:val="none"/>
        </w:rPr>
        <w:t>《信息安全技术信息系统密码应用基本要求》（GB/T39786-2021）</w:t>
      </w:r>
    </w:p>
    <w:p>
      <w:pPr>
        <w:ind w:firstLine="480"/>
        <w:rPr>
          <w:highlight w:val="none"/>
        </w:rPr>
      </w:pPr>
      <w:r>
        <w:rPr>
          <w:highlight w:val="none"/>
        </w:rPr>
        <w:t>《计算机信息系统安全等级保护划分准则》（GB/T17859-1999）</w:t>
      </w:r>
    </w:p>
    <w:p>
      <w:pPr>
        <w:ind w:firstLine="480"/>
        <w:rPr>
          <w:highlight w:val="none"/>
        </w:rPr>
      </w:pPr>
      <w:r>
        <w:rPr>
          <w:highlight w:val="none"/>
        </w:rPr>
        <w:t>《信息安全技术网络安全等级保护基本要求》（GB/T22239-2019）</w:t>
      </w:r>
    </w:p>
    <w:p>
      <w:pPr>
        <w:ind w:firstLine="480"/>
        <w:rPr>
          <w:highlight w:val="none"/>
        </w:rPr>
      </w:pPr>
      <w:r>
        <w:rPr>
          <w:highlight w:val="none"/>
        </w:rPr>
        <w:t>《信息安全技术信息系统安全等级保护定级指南》（GB/T22240-2020）</w:t>
      </w:r>
    </w:p>
    <w:p>
      <w:pPr>
        <w:ind w:firstLine="480"/>
        <w:rPr>
          <w:highlight w:val="none"/>
        </w:rPr>
      </w:pPr>
      <w:r>
        <w:rPr>
          <w:highlight w:val="none"/>
        </w:rPr>
        <w:t>《信息安全技术网络安全等级保护安全设计技术要求》（GB/T25070-2019）</w:t>
      </w:r>
    </w:p>
    <w:p>
      <w:pPr>
        <w:ind w:firstLine="480"/>
        <w:rPr>
          <w:highlight w:val="none"/>
        </w:rPr>
      </w:pPr>
      <w:r>
        <w:rPr>
          <w:highlight w:val="none"/>
        </w:rPr>
        <w:t>《信息安全技术步态识别数据安全要求》（GB/T41773-2022）</w:t>
      </w:r>
    </w:p>
    <w:p>
      <w:pPr>
        <w:ind w:firstLine="480"/>
        <w:rPr>
          <w:highlight w:val="none"/>
        </w:rPr>
      </w:pPr>
      <w:r>
        <w:rPr>
          <w:highlight w:val="none"/>
        </w:rPr>
        <w:t>《安全防范高清视频监控系统技术要求》（GA/T1211-2014）</w:t>
      </w:r>
    </w:p>
    <w:p>
      <w:pPr>
        <w:ind w:firstLine="480"/>
        <w:rPr>
          <w:highlight w:val="none"/>
        </w:rPr>
      </w:pPr>
      <w:r>
        <w:rPr>
          <w:highlight w:val="none"/>
        </w:rPr>
        <w:t>《城市监控报警联网系统技术标准第9部分：卡口信息识别、比对、监测系统技术要求》（GA/T669.9-2008）</w:t>
      </w:r>
    </w:p>
    <w:p>
      <w:pPr>
        <w:ind w:firstLine="480"/>
        <w:rPr>
          <w:highlight w:val="none"/>
        </w:rPr>
      </w:pPr>
      <w:r>
        <w:rPr>
          <w:highlight w:val="none"/>
        </w:rPr>
        <w:t>《视频画面中目标尺寸测量方法》（GA/T1024-2013）</w:t>
      </w:r>
    </w:p>
    <w:p>
      <w:pPr>
        <w:ind w:firstLine="480"/>
        <w:rPr>
          <w:highlight w:val="none"/>
        </w:rPr>
      </w:pPr>
      <w:r>
        <w:rPr>
          <w:highlight w:val="none"/>
        </w:rPr>
        <w:t>《公安视频图像分析系统》（GA/T1399-2017）</w:t>
      </w:r>
    </w:p>
    <w:p>
      <w:pPr>
        <w:ind w:firstLine="480"/>
        <w:rPr>
          <w:highlight w:val="none"/>
        </w:rPr>
      </w:pPr>
      <w:r>
        <w:rPr>
          <w:highlight w:val="none"/>
        </w:rPr>
        <w:t>《公安视频图像信息应用系统》（GA/T1400-2017）</w:t>
      </w:r>
    </w:p>
    <w:p>
      <w:pPr>
        <w:ind w:firstLine="480"/>
        <w:rPr>
          <w:highlight w:val="none"/>
        </w:rPr>
      </w:pPr>
      <w:r>
        <w:rPr>
          <w:highlight w:val="none"/>
        </w:rPr>
        <w:t>《安防人像识别应用视频人像图像提取技术要求》（GA/T1334-2016）</w:t>
      </w:r>
    </w:p>
    <w:p>
      <w:pPr>
        <w:ind w:firstLine="480"/>
        <w:rPr>
          <w:highlight w:val="none"/>
        </w:rPr>
      </w:pPr>
      <w:r>
        <w:rPr>
          <w:highlight w:val="none"/>
        </w:rPr>
        <w:t>《视频中人像检验技术规范》（GA/T1023-2013）</w:t>
      </w:r>
    </w:p>
    <w:p>
      <w:pPr>
        <w:ind w:firstLine="480"/>
        <w:rPr>
          <w:highlight w:val="none"/>
        </w:rPr>
      </w:pPr>
      <w:r>
        <w:rPr>
          <w:highlight w:val="none"/>
        </w:rPr>
        <w:t>《机动车号牌图像自动识别技术规范》（GA/T833-2016）</w:t>
      </w:r>
    </w:p>
    <w:p>
      <w:pPr>
        <w:ind w:firstLine="480"/>
        <w:rPr>
          <w:highlight w:val="none"/>
        </w:rPr>
      </w:pPr>
      <w:r>
        <w:rPr>
          <w:highlight w:val="none"/>
        </w:rPr>
        <w:t>《视频中车辆图像检验技术规范》（GA/T1019-2013）</w:t>
      </w:r>
    </w:p>
    <w:p>
      <w:pPr>
        <w:ind w:firstLine="480"/>
        <w:rPr>
          <w:highlight w:val="none"/>
        </w:rPr>
      </w:pPr>
      <w:r>
        <w:rPr>
          <w:highlight w:val="none"/>
        </w:rPr>
        <w:t>《新一代公安信息网网络架构技术要求》（GA/DSJ400-2019）</w:t>
      </w:r>
    </w:p>
    <w:p>
      <w:pPr>
        <w:ind w:firstLine="480"/>
        <w:rPr>
          <w:highlight w:val="none"/>
        </w:rPr>
      </w:pPr>
      <w:r>
        <w:rPr>
          <w:highlight w:val="none"/>
        </w:rPr>
        <w:t>《公安大数据安全总体技术框架》（GA/DSJ-300-2019）</w:t>
      </w:r>
    </w:p>
    <w:p>
      <w:pPr>
        <w:ind w:firstLine="480"/>
        <w:rPr>
          <w:highlight w:val="none"/>
        </w:rPr>
      </w:pPr>
      <w:r>
        <w:rPr>
          <w:highlight w:val="none"/>
        </w:rPr>
        <w:t>《公安视频图像信息系统安全技术要求》（GA/T1788-2021）</w:t>
      </w:r>
    </w:p>
    <w:p>
      <w:pPr>
        <w:ind w:firstLine="480"/>
        <w:rPr>
          <w:highlight w:val="none"/>
        </w:rPr>
      </w:pPr>
      <w:r>
        <w:rPr>
          <w:highlight w:val="none"/>
        </w:rPr>
        <w:t>《广东公安人像聚类档案级联共享技术要求》</w:t>
      </w:r>
    </w:p>
    <w:p>
      <w:pPr>
        <w:ind w:firstLine="480"/>
        <w:rPr>
          <w:highlight w:val="none"/>
        </w:rPr>
      </w:pPr>
      <w:r>
        <w:rPr>
          <w:highlight w:val="none"/>
        </w:rPr>
        <w:t>《广东公安视频云视图库省市级联技术指南》</w:t>
      </w:r>
    </w:p>
    <w:p>
      <w:pPr>
        <w:ind w:firstLine="480"/>
        <w:rPr>
          <w:highlight w:val="none"/>
        </w:rPr>
      </w:pPr>
      <w:r>
        <w:rPr>
          <w:highlight w:val="none"/>
        </w:rPr>
        <w:t>《广东公安视频图像采集设备“一机一档”基础信息采集建档工作指引》</w:t>
      </w:r>
    </w:p>
    <w:p>
      <w:pPr>
        <w:ind w:firstLine="480"/>
        <w:rPr>
          <w:highlight w:val="none"/>
        </w:rPr>
      </w:pPr>
      <w:r>
        <w:rPr>
          <w:highlight w:val="none"/>
        </w:rPr>
        <w:t>《广东公安车辆卡口“一卡一档”基础信息采集建档工作指引》</w:t>
      </w:r>
    </w:p>
    <w:p>
      <w:pPr>
        <w:pStyle w:val="4"/>
        <w:numPr>
          <w:ilvl w:val="1"/>
          <w:numId w:val="2"/>
        </w:numPr>
        <w:rPr>
          <w:highlight w:val="none"/>
        </w:rPr>
      </w:pPr>
      <w:r>
        <w:rPr>
          <w:rFonts w:hint="eastAsia"/>
          <w:highlight w:val="none"/>
        </w:rPr>
        <w:t>项目建设目标</w:t>
      </w:r>
    </w:p>
    <w:p>
      <w:pPr>
        <w:ind w:firstLine="480"/>
        <w:rPr>
          <w:highlight w:val="none"/>
        </w:rPr>
      </w:pPr>
      <w:r>
        <w:rPr>
          <w:rFonts w:hint="eastAsia"/>
          <w:highlight w:val="none"/>
        </w:rPr>
        <w:t>契合万江街道智慧城市发展战略，本项目着力构建智慧城市支撑底座，在充分结合现有成果上进一步延伸监控覆盖面，针对万江街道内道路交叉路口、案件高发区域、重点防控区等区域进行高清监控的补点扩面建设，并在辖区内重要道路、路口枢纽等交通管控要点新建一批电子警察。通过新一代信息技术，统筹规划、分步实施，构建完善符合万江街道实战需求的高清立体防控治安体系和交通智能管理体系，充分发挥视频图像资源在社会维稳、治安防控、应急处突、服务群众等方面的重要作用，推动交通管理向数字化、智能化转型，提高万江街道社会治安的安防水平和交通精细化管理能力，提高街道居民的幸福感与获得感。</w:t>
      </w:r>
    </w:p>
    <w:p>
      <w:pPr>
        <w:pStyle w:val="4"/>
        <w:numPr>
          <w:ilvl w:val="1"/>
          <w:numId w:val="2"/>
        </w:numPr>
        <w:rPr>
          <w:highlight w:val="none"/>
        </w:rPr>
      </w:pPr>
      <w:r>
        <w:rPr>
          <w:rFonts w:hint="eastAsia"/>
          <w:highlight w:val="none"/>
        </w:rPr>
        <w:t>项目建设内容</w:t>
      </w:r>
    </w:p>
    <w:p>
      <w:pPr>
        <w:ind w:firstLine="480"/>
        <w:rPr>
          <w:highlight w:val="none"/>
        </w:rPr>
      </w:pPr>
      <w:r>
        <w:rPr>
          <w:rFonts w:hint="eastAsia"/>
          <w:highlight w:val="none"/>
        </w:rPr>
        <w:t>建设13</w:t>
      </w:r>
      <w:r>
        <w:rPr>
          <w:rFonts w:hint="eastAsia"/>
          <w:highlight w:val="none"/>
          <w:lang w:val="en-US" w:eastAsia="zh-CN"/>
        </w:rPr>
        <w:t>6</w:t>
      </w:r>
      <w:r>
        <w:rPr>
          <w:rFonts w:hint="eastAsia"/>
          <w:highlight w:val="none"/>
        </w:rPr>
        <w:t>套电子警察、无人机</w:t>
      </w:r>
      <w:r>
        <w:rPr>
          <w:rFonts w:hint="eastAsia"/>
          <w:highlight w:val="none"/>
          <w:lang w:val="en-US" w:eastAsia="zh-CN"/>
        </w:rPr>
        <w:t>设备</w:t>
      </w:r>
      <w:r>
        <w:rPr>
          <w:rFonts w:hint="eastAsia"/>
          <w:highlight w:val="none"/>
        </w:rPr>
        <w:t>（配备3套无人机、机巢</w:t>
      </w:r>
      <w:r>
        <w:rPr>
          <w:rFonts w:hint="eastAsia"/>
          <w:highlight w:val="none"/>
          <w:lang w:val="en-US" w:eastAsia="zh-CN"/>
        </w:rPr>
        <w:t>及配套设施等</w:t>
      </w:r>
      <w:r>
        <w:rPr>
          <w:rFonts w:hint="eastAsia"/>
          <w:highlight w:val="none"/>
        </w:rPr>
        <w:t>）、完善满足执法需求的前端配套、标线标识等，</w:t>
      </w:r>
      <w:r>
        <w:rPr>
          <w:rFonts w:hint="eastAsia"/>
          <w:highlight w:val="none"/>
          <w:lang w:val="en-US" w:eastAsia="zh-CN"/>
        </w:rPr>
        <w:t>225</w:t>
      </w:r>
      <w:r>
        <w:rPr>
          <w:rFonts w:hint="eastAsia"/>
          <w:highlight w:val="none"/>
        </w:rPr>
        <w:t>路公共安全视频及后端设备；新建123个点位租赁数据传输链路；新建存储阵列2套66块10TB硬盘其配套设备。</w:t>
      </w:r>
    </w:p>
    <w:p>
      <w:pPr>
        <w:pStyle w:val="5"/>
        <w:rPr>
          <w:highlight w:val="none"/>
        </w:rPr>
      </w:pPr>
      <w:r>
        <w:rPr>
          <w:rFonts w:hint="eastAsia"/>
          <w:highlight w:val="none"/>
        </w:rPr>
        <w:t>前端高清点位表</w:t>
      </w:r>
    </w:p>
    <w:tbl>
      <w:tblPr>
        <w:tblStyle w:val="18"/>
        <w:tblW w:w="4927" w:type="pct"/>
        <w:tblInd w:w="0" w:type="dxa"/>
        <w:tblLayout w:type="autofit"/>
        <w:tblCellMar>
          <w:top w:w="0" w:type="dxa"/>
          <w:left w:w="108" w:type="dxa"/>
          <w:bottom w:w="0" w:type="dxa"/>
          <w:right w:w="108" w:type="dxa"/>
        </w:tblCellMar>
      </w:tblPr>
      <w:tblGrid>
        <w:gridCol w:w="1648"/>
        <w:gridCol w:w="7834"/>
      </w:tblGrid>
      <w:tr>
        <w:tblPrEx>
          <w:tblCellMar>
            <w:top w:w="0" w:type="dxa"/>
            <w:left w:w="108" w:type="dxa"/>
            <w:bottom w:w="0" w:type="dxa"/>
            <w:right w:w="108" w:type="dxa"/>
          </w:tblCellMar>
        </w:tblPrEx>
        <w:trPr>
          <w:trHeight w:val="285" w:hRule="atLeast"/>
        </w:trPr>
        <w:tc>
          <w:tcPr>
            <w:tcW w:w="869" w:type="pct"/>
            <w:tcBorders>
              <w:top w:val="single" w:color="auto" w:sz="4" w:space="0"/>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b/>
                <w:bCs/>
                <w:color w:val="000000"/>
                <w:sz w:val="20"/>
                <w:szCs w:val="20"/>
                <w:highlight w:val="none"/>
              </w:rPr>
            </w:pPr>
            <w:r>
              <w:rPr>
                <w:rFonts w:ascii="宋体" w:hAnsi="宋体" w:eastAsia="宋体" w:cs="宋体"/>
                <w:b/>
                <w:bCs/>
                <w:color w:val="000000"/>
                <w:sz w:val="20"/>
                <w:szCs w:val="20"/>
                <w:highlight w:val="none"/>
              </w:rPr>
              <w:t>序号</w:t>
            </w:r>
          </w:p>
        </w:tc>
        <w:tc>
          <w:tcPr>
            <w:tcW w:w="4130" w:type="pct"/>
            <w:tcBorders>
              <w:top w:val="single" w:color="auto" w:sz="4" w:space="0"/>
              <w:left w:val="nil"/>
              <w:bottom w:val="single" w:color="auto" w:sz="4" w:space="0"/>
              <w:right w:val="single" w:color="auto" w:sz="4" w:space="0"/>
            </w:tcBorders>
            <w:vAlign w:val="center"/>
          </w:tcPr>
          <w:p>
            <w:pPr>
              <w:widowControl/>
              <w:autoSpaceDE/>
              <w:autoSpaceDN/>
              <w:spacing w:line="240" w:lineRule="auto"/>
              <w:ind w:firstLine="0" w:firstLineChars="0"/>
              <w:jc w:val="center"/>
              <w:rPr>
                <w:rFonts w:ascii="宋体" w:hAnsi="宋体" w:eastAsia="宋体" w:cs="宋体"/>
                <w:b/>
                <w:bCs/>
                <w:color w:val="000000"/>
                <w:sz w:val="20"/>
                <w:szCs w:val="20"/>
                <w:highlight w:val="none"/>
              </w:rPr>
            </w:pPr>
            <w:r>
              <w:rPr>
                <w:rFonts w:ascii="宋体" w:hAnsi="宋体" w:eastAsia="宋体" w:cs="宋体"/>
                <w:b/>
                <w:bCs/>
                <w:color w:val="000000"/>
                <w:sz w:val="20"/>
                <w:szCs w:val="20"/>
                <w:highlight w:val="none"/>
              </w:rPr>
              <w:t>点位位置</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泰新路1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共联商业街——共联综合市场1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共联商业街——共联综合市场2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共联商业街——篮球场</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塘城东路——塘城东路塘城路路口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河堤南路——莲丰花园路口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新和致富路——新和致富路新华路路口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新华路——新华路新下路路口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大新路——永胜综合大楼</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江景路——阳光体育休闲公园</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江景路——阳光体育休闲公园厕所</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金曲路——中安大厦1-2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华南摩尔公交站1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华南摩尔公交站2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万道路——共联路口公交站1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万道路——共联路口公交站2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坝新路——爱迪花园公交站1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坝新路——坝新路天际路路口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坝新路——胜利公交站1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坝新路——胜利公交站2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金鳌路1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金鳌路2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万江汽车总站后门</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万江共联商业街</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万江泰新路共联金龙路口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万江滨江西路与莲子坊商业街路口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万江鸿福西路港口大道路口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万江共联万道路共联方向上桥位</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东莞万江下亭江滨路与金联路交汇</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华南摩尔电影楼</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华南摩尔小米汽车楼</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华南摩尔人行出入口1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华南摩尔人行出入口2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奥特莱斯正门</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奥特莱斯扒龙船1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奥特莱斯扒龙船2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人民医院站A出入口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人民医院站B出入口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39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人民医院站C出入口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人民医院站D出入口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曲海站B出入口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曲海站C出入口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曲海站E出入口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坝头站A出入口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坝头站B出入口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坝头站C1出入口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坝头站C2出入口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翠怡</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49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万道路中国邮政</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万江胜利南路中国邮政</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东江大道信鸿御江东岸路口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新城大道汾溪路交汇口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汾溪河畔公园路口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环城路与滘联路路口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新城一路与新城东路路口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eastAsia"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流涌尾</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环城路汾溪桥立交</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赵屋南路与和谐路交叉口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59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hint="default" w:ascii="宋体" w:hAnsi="宋体" w:eastAsia="宋体" w:cs="宋体"/>
                <w:color w:val="000000"/>
                <w:sz w:val="20"/>
                <w:szCs w:val="20"/>
                <w:highlight w:val="none"/>
                <w:lang w:val="en-US" w:eastAsia="zh-CN"/>
              </w:rPr>
            </w:pPr>
            <w:r>
              <w:rPr>
                <w:rFonts w:hint="eastAsia" w:ascii="宋体" w:hAnsi="宋体" w:eastAsia="宋体" w:cs="宋体"/>
                <w:color w:val="000000"/>
                <w:sz w:val="20"/>
                <w:szCs w:val="20"/>
                <w:highlight w:val="none"/>
                <w:lang w:val="en-US" w:eastAsia="zh-CN"/>
              </w:rPr>
              <w:t>万道路江滨花园行人过街路口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东江大道滨江体育公园易涝点1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东江大道滨江体育公园易涝点2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鸿福西上东国际路段易涝点1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水围坊易涝点1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市人民医院工程和轨道交通施工工程处积水点1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市人民医院工程和轨道交通施工工程处积水点2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万高路红绿灯积水点1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万高路红绿灯积水点2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麦德龙门前积水点1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69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奥臣大厦积水点1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奥臣大厦积水点2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简沙洲商业路积水点1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简沙洲商业路积水点2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新谷涌辖区积水点1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新谷涌辖区积水点2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江滨桥底易涝点1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江滨桥底易涝点2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小享葵树一街拐角处</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帮凹村公交站路口（螺涌村）</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79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添盛物流园港口大道</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坝新路胜利公交站</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渝江路中段</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新城中路中段</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鸿福桥底路段（东江之星）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新华路新和警务室</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泰新路立交桥1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泰新路立交桥2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曲海大桥1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曲海大桥2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89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麦德龙万道路高架桥1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麦德龙万道路高架桥2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麦德龙万道路高架桥3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共联社区人行天桥1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共联社区人行天桥2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共联社区人行天桥3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银龙路人行天桥1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银龙路人行天桥2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银龙路人行天桥3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万道路跨桥1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99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万道路跨桥2</w:t>
            </w:r>
          </w:p>
        </w:tc>
      </w:tr>
      <w:tr>
        <w:tblPrEx>
          <w:tblCellMar>
            <w:top w:w="0" w:type="dxa"/>
            <w:left w:w="108" w:type="dxa"/>
            <w:bottom w:w="0" w:type="dxa"/>
            <w:right w:w="108" w:type="dxa"/>
          </w:tblCellMar>
        </w:tblPrEx>
        <w:trPr>
          <w:trHeight w:val="480"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华南摩人行天桥1</w:t>
            </w:r>
          </w:p>
        </w:tc>
      </w:tr>
      <w:tr>
        <w:tblPrEx>
          <w:tblCellMar>
            <w:top w:w="0" w:type="dxa"/>
            <w:left w:w="108" w:type="dxa"/>
            <w:bottom w:w="0" w:type="dxa"/>
            <w:right w:w="108" w:type="dxa"/>
          </w:tblCellMar>
        </w:tblPrEx>
        <w:trPr>
          <w:trHeight w:val="480"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华南摩人行天桥2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华南摩人行天桥3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简沙洲人行天桥1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简沙洲人行天桥2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简沙洲人行天桥3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港口大道立交桥1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港口大道立交桥2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官桥滘环城路往翰林学校人行天桥1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109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官桥滘环城路往翰林学校人行天桥2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官桥滘环城路往翰林学校人行天桥3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谷涌桥坝新路往环城路人行天桥1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谷涌桥坝新路往环城路人行天桥2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谷涌桥坝新路往环城路人行天桥3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官桥滘坝新路跨环城路立交桥1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115</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官桥滘坝新路跨环城路立交桥2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116</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东莞水道特大桥1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117</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东莞水道特大桥2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118</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东莞水道特大桥3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119</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新和社区华名苑停车场港口大道路段1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120</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新和社区华名苑停车场港口大道路段2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121</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新和社区华名苑停车场港口大道路段3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122</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港口大道人行天桥1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123</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港口大道人行天桥2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124</w:t>
            </w:r>
          </w:p>
        </w:tc>
        <w:tc>
          <w:tcPr>
            <w:tcW w:w="4130" w:type="pct"/>
            <w:tcBorders>
              <w:top w:val="nil"/>
              <w:left w:val="nil"/>
              <w:bottom w:val="single" w:color="auto" w:sz="4" w:space="0"/>
              <w:right w:val="single" w:color="auto" w:sz="4" w:space="0"/>
            </w:tcBorders>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港口大道人行天桥3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港口大道添盛产业园段（入万江）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坝翔路富通自在城段（入万江）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坝翔路富通自在城段（出万江）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鸿福西路东莞市南城阳光第二小学段（入万江）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129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鸿福西路东莞市南城阳光第二小学段（出万江）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高科路东莞南城新科磁电制品有限公司段（入万江）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高科路东莞南城新科磁电制品有限公司段（出万江）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和谐路东莞铭润饮用水有限公司段（入万江）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和谐路东莞铭润饮用水有限公司段（出万江）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万道路东莞市启达激光科技有限公司段（入万江）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万道路东莞市启达激光科技有限公司段（出万江）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沿江南路畅利机械段（入万江）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沿江南路畅利机械段（出万江）</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下亭江滨路</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139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下亭江滨路1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下亭江滨路2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泰新路违规掉头</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塘城东路3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和谐路1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和谐路2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环城路桥底水蛇涌段</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牌楼基别克辅道</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塘城二路1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人民医院立体停车场段</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149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创业工业路1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创业工业路3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创业工业路5</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洲头围坣路1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坝新路3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坝新路</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坝新路</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159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鸿福西路1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鸿福西路2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东江大道1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东江大道3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曲海海宁一路</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曲海海宁一路2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海纳路1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海纳路2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海纳路5</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海纳路6</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169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金联路1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金联路3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金联路4</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金联路5</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金鳌洲商业街1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泰新路豪侠窖村村口路段</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江景路</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金曲路1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179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金曲路22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阳光商业街——阳光海岸</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阳光商业街1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塘溪路——天健阅江苑北</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泰新路——万丰电梯公寓</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泰新路——万江湾公寓</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塘城东路——龙湾广场</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坝江路——金地外滩8号</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坝江路——万江融德金地幼儿园</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坝江路与坝新路——万科中天·世纪水岸云境</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189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金涌路1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金涌路2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大新路——鸿运休闲广场东南</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大新路——江湾时光酒店</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迎宾一路1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迎宾一路2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江景路——库卡网球</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江景路——莞草芳晴</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金曲路1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金曲路2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199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车站南路——阳光海岸1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车站南路——阳光海岸2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万道路4</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银龙路5</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车站南路3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车站南路4</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车站南路5</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车站南路6</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万道路7</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金新路2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209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金鳌洲商业街4</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曲海桥南城往万江上桥位路口1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曲海桥南城往万江上桥位路口2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塘城二路2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塘溪路——天健阅江苑</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塘城东路1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人民医院正门1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人民医院正门2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219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220</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万道路5</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221</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坝新路5</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222</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223</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金鳌路1</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224</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金鳌路2</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225</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金鳌路3</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226</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港口大道与新城街路口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227</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万高路与莞穗路路口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228</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汾溪路与莞穗路路口</w:t>
            </w:r>
          </w:p>
        </w:tc>
      </w:tr>
      <w:tr>
        <w:tblPrEx>
          <w:tblCellMar>
            <w:top w:w="0" w:type="dxa"/>
            <w:left w:w="108" w:type="dxa"/>
            <w:bottom w:w="0" w:type="dxa"/>
            <w:right w:w="108" w:type="dxa"/>
          </w:tblCellMar>
        </w:tblPrEx>
        <w:trPr>
          <w:trHeight w:val="285" w:hRule="atLeast"/>
        </w:trPr>
        <w:tc>
          <w:tcPr>
            <w:tcW w:w="869" w:type="pct"/>
            <w:tcBorders>
              <w:top w:val="nil"/>
              <w:left w:val="single" w:color="auto" w:sz="4" w:space="0"/>
              <w:bottom w:val="single" w:color="auto" w:sz="4" w:space="0"/>
              <w:right w:val="single" w:color="auto" w:sz="4" w:space="0"/>
            </w:tcBorders>
            <w:noWrap/>
            <w:vAlign w:val="center"/>
          </w:tcPr>
          <w:p>
            <w:pPr>
              <w:widowControl/>
              <w:autoSpaceDE/>
              <w:autoSpaceDN/>
              <w:spacing w:line="240" w:lineRule="auto"/>
              <w:ind w:firstLine="0" w:firstLineChars="0"/>
              <w:jc w:val="center"/>
              <w:rPr>
                <w:rFonts w:ascii="宋体" w:hAnsi="宋体" w:eastAsia="宋体" w:cs="宋体"/>
                <w:color w:val="000000"/>
                <w:sz w:val="20"/>
                <w:szCs w:val="20"/>
                <w:highlight w:val="none"/>
              </w:rPr>
            </w:pPr>
            <w:r>
              <w:rPr>
                <w:rFonts w:ascii="宋体" w:hAnsi="宋体" w:eastAsia="宋体" w:cs="宋体"/>
                <w:color w:val="000000"/>
                <w:sz w:val="20"/>
                <w:szCs w:val="20"/>
                <w:highlight w:val="none"/>
              </w:rPr>
              <w:t>229</w:t>
            </w:r>
          </w:p>
        </w:tc>
        <w:tc>
          <w:tcPr>
            <w:tcW w:w="4130" w:type="pct"/>
            <w:tcBorders>
              <w:top w:val="nil"/>
              <w:left w:val="nil"/>
              <w:bottom w:val="single" w:color="auto" w:sz="4" w:space="0"/>
              <w:right w:val="single" w:color="auto" w:sz="4" w:space="0"/>
            </w:tcBorders>
            <w:noWrap/>
            <w:vAlign w:val="center"/>
          </w:tcPr>
          <w:p>
            <w:pPr>
              <w:widowControl/>
              <w:autoSpaceDE/>
              <w:autoSpaceDN/>
              <w:spacing w:line="240" w:lineRule="auto"/>
              <w:ind w:firstLine="0" w:firstLineChars="0"/>
              <w:rPr>
                <w:rFonts w:ascii="宋体" w:hAnsi="宋体" w:eastAsia="宋体" w:cs="宋体"/>
                <w:color w:val="000000"/>
                <w:sz w:val="20"/>
                <w:szCs w:val="20"/>
                <w:highlight w:val="none"/>
              </w:rPr>
            </w:pPr>
            <w:r>
              <w:rPr>
                <w:rFonts w:ascii="宋体" w:hAnsi="宋体" w:eastAsia="宋体" w:cs="宋体"/>
                <w:color w:val="000000"/>
                <w:sz w:val="20"/>
                <w:szCs w:val="20"/>
                <w:highlight w:val="none"/>
              </w:rPr>
              <w:t>港口大道与胜利南路路口</w:t>
            </w:r>
          </w:p>
        </w:tc>
      </w:tr>
    </w:tbl>
    <w:p>
      <w:pPr>
        <w:ind w:firstLine="0" w:firstLineChars="0"/>
        <w:rPr>
          <w:highlight w:val="none"/>
        </w:rPr>
      </w:pPr>
      <w:r>
        <w:rPr>
          <w:rFonts w:hint="eastAsia"/>
          <w:highlight w:val="none"/>
        </w:rPr>
        <w:t>注：本点位表仅作为招标参考使用，具体安装以最终深化设计及现场情况决定，中标人需无条件配合。</w:t>
      </w:r>
    </w:p>
    <w:p>
      <w:pPr>
        <w:pStyle w:val="5"/>
        <w:rPr>
          <w:highlight w:val="none"/>
        </w:rPr>
      </w:pPr>
      <w:r>
        <w:rPr>
          <w:rFonts w:hint="eastAsia"/>
          <w:highlight w:val="none"/>
        </w:rPr>
        <w:t>建设清单</w:t>
      </w:r>
    </w:p>
    <w:tbl>
      <w:tblPr>
        <w:tblStyle w:val="18"/>
        <w:tblW w:w="21600" w:type="dxa"/>
        <w:tblInd w:w="96" w:type="dxa"/>
        <w:tblLayout w:type="fixed"/>
        <w:tblCellMar>
          <w:top w:w="0" w:type="dxa"/>
          <w:left w:w="108" w:type="dxa"/>
          <w:bottom w:w="0" w:type="dxa"/>
          <w:right w:w="108" w:type="dxa"/>
        </w:tblCellMar>
      </w:tblPr>
      <w:tblGrid>
        <w:gridCol w:w="734"/>
        <w:gridCol w:w="1089"/>
        <w:gridCol w:w="6060"/>
        <w:gridCol w:w="852"/>
        <w:gridCol w:w="791"/>
        <w:gridCol w:w="9526"/>
        <w:gridCol w:w="9526"/>
        <w:gridCol w:w="9526"/>
        <w:gridCol w:w="9526"/>
      </w:tblGrid>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textAlignment w:val="center"/>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lang w:bidi="ar"/>
              </w:rPr>
              <w:t>序号</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名称</w:t>
            </w:r>
          </w:p>
        </w:tc>
        <w:tc>
          <w:tcPr>
            <w:tcW w:w="6060" w:type="dxa"/>
            <w:tcBorders>
              <w:top w:val="single" w:color="000000" w:sz="4" w:space="0"/>
              <w:left w:val="single" w:color="000000" w:sz="4" w:space="0"/>
              <w:bottom w:val="single" w:color="000000" w:sz="4" w:space="0"/>
              <w:right w:val="single" w:color="000000" w:sz="4" w:space="0"/>
            </w:tcBorders>
          </w:tcPr>
          <w:p>
            <w:pPr>
              <w:widowControl/>
              <w:ind w:firstLine="0" w:firstLineChars="0"/>
              <w:textAlignment w:val="top"/>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配置说明</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数量</w:t>
            </w:r>
          </w:p>
        </w:tc>
        <w:tc>
          <w:tcPr>
            <w:tcW w:w="791"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textAlignment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单位</w:t>
            </w:r>
          </w:p>
        </w:tc>
      </w:tr>
      <w:tr>
        <w:tblPrEx>
          <w:tblCellMar>
            <w:top w:w="0" w:type="dxa"/>
            <w:left w:w="108" w:type="dxa"/>
            <w:bottom w:w="0" w:type="dxa"/>
            <w:right w:w="108" w:type="dxa"/>
          </w:tblCellMar>
        </w:tblPrEx>
        <w:trPr>
          <w:gridAfter w:val="4"/>
          <w:wAfter w:w="21600" w:type="dxa"/>
          <w:trHeight w:val="270" w:hRule="atLeast"/>
        </w:trPr>
        <w:tc>
          <w:tcPr>
            <w:tcW w:w="9526" w:type="dxa"/>
            <w:gridSpan w:val="5"/>
            <w:tcBorders>
              <w:top w:val="single" w:color="000000" w:sz="4" w:space="0"/>
              <w:left w:val="single" w:color="000000" w:sz="4" w:space="0"/>
              <w:bottom w:val="single" w:color="000000" w:sz="4" w:space="0"/>
              <w:right w:val="single" w:color="000000" w:sz="4" w:space="0"/>
            </w:tcBorders>
            <w:noWrap/>
            <w:vAlign w:val="center"/>
          </w:tcPr>
          <w:p>
            <w:pPr>
              <w:ind w:firstLine="0" w:firstLineChars="0"/>
              <w:rPr>
                <w:rFonts w:hint="eastAsia" w:ascii="宋体" w:hAnsi="宋体" w:eastAsia="宋体" w:cs="宋体"/>
                <w:color w:val="000000"/>
                <w:sz w:val="21"/>
                <w:szCs w:val="21"/>
                <w:highlight w:val="none"/>
              </w:rPr>
            </w:pPr>
            <w:r>
              <w:rPr>
                <w:rFonts w:hint="eastAsia" w:ascii="宋体" w:hAnsi="宋体" w:eastAsia="宋体" w:cs="宋体"/>
                <w:b/>
                <w:bCs/>
                <w:color w:val="000000"/>
                <w:sz w:val="22"/>
                <w:szCs w:val="22"/>
                <w:highlight w:val="none"/>
                <w:lang w:bidi="ar"/>
              </w:rPr>
              <w:t>一、前端设备</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生态电警一体化抓拍单元</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Style w:val="38"/>
                <w:rFonts w:hint="default" w:ascii="仿宋" w:hAnsi="仿宋" w:eastAsia="仿宋" w:cs="仿宋"/>
                <w:sz w:val="21"/>
                <w:szCs w:val="21"/>
                <w:highlight w:val="none"/>
                <w:lang w:bidi="ar"/>
              </w:rPr>
              <w:t>1.分辨率不小于4096</w:t>
            </w:r>
            <w:r>
              <w:rPr>
                <w:rStyle w:val="38"/>
                <w:rFonts w:hint="default" w:cs="仿宋"/>
                <w:sz w:val="21"/>
                <w:szCs w:val="21"/>
                <w:highlight w:val="none"/>
                <w:lang w:bidi="ar"/>
              </w:rPr>
              <w:t>*</w:t>
            </w:r>
            <w:r>
              <w:rPr>
                <w:rStyle w:val="38"/>
                <w:rFonts w:hint="default" w:ascii="仿宋" w:hAnsi="仿宋" w:eastAsia="仿宋" w:cs="仿宋"/>
                <w:sz w:val="21"/>
                <w:szCs w:val="21"/>
                <w:highlight w:val="none"/>
                <w:lang w:bidi="ar"/>
              </w:rPr>
              <w:t>2160；</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2.传感器靶面不小于1</w:t>
            </w:r>
            <w:r>
              <w:rPr>
                <w:rStyle w:val="38"/>
                <w:rFonts w:hint="default" w:cs="仿宋"/>
                <w:sz w:val="21"/>
                <w:szCs w:val="21"/>
                <w:highlight w:val="none"/>
                <w:lang w:bidi="ar"/>
              </w:rPr>
              <w:t>英寸</w:t>
            </w:r>
            <w:r>
              <w:rPr>
                <w:rStyle w:val="38"/>
                <w:rFonts w:hint="default" w:ascii="仿宋" w:hAnsi="仿宋" w:eastAsia="仿宋" w:cs="仿宋"/>
                <w:sz w:val="21"/>
                <w:szCs w:val="21"/>
                <w:highlight w:val="none"/>
                <w:lang w:bidi="ar"/>
              </w:rPr>
              <w:t>；</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3.镜头支持电动变焦功能，可通过Web界面调节12mm/16mm/20mm/25mm及其它焦距；</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4.支持红绿灯信号视频检验功能，具备车辆闯红灯捕获功能，捕获率≥99%，准确率≥99%，支持连续闯红灯事件检测，并自动上传报警信息；</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5.支持按照时间段和车道配置压线、违法变道、不按导向行驶、机占非、不按规定车道行驶、占用公交车道、逆行、违法掉头、压停止线、左转不礼让直行、右转不礼让横向直行、右转不礼让直行行人、禁货车通行等违法行车，平均捕获率≥99%，平均准确率≥99%；</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6.支持按车道和车辆行进方向统计道路交通流量(包括行人、非机动车、机动车类型)、车道平均速度、车头时距、车头间距、车道时间占有率、车道空间占有率、车辆类型、排队长度、交通状态等指标，车流量准确率≥99%；</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7.支持对电动自行车闯红灯、逆行、载人、未戴头盔行为进行检测并抓拍；</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8.支持设置抓拍的车道数量，最多3车道，支持自动绘制车道线，并可设置每车道的名称和界线；</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9.支持AI车牌增强功能，开启后可防止车牌过曝，支持蓝牌、黄牌、白牌、黑牌、绿牌、黄绿双拼牌；</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10.支持红绿灯状态故障检测并在实况界面上报告警信息；</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11.具有不少于以下接口：2个10M/100M/1000M的RJ45自适应网络接口、4个RS485接口，1个USB接口、1个TF卡接口、1个复位按键；</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12.支持AC50~300V范围内正常工作；</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13.防护等级不低于IP67；</w:t>
            </w:r>
            <w:r>
              <w:rPr>
                <w:rStyle w:val="38"/>
                <w:rFonts w:hint="default" w:ascii="仿宋" w:hAnsi="仿宋" w:eastAsia="仿宋" w:cs="仿宋"/>
                <w:sz w:val="21"/>
                <w:szCs w:val="21"/>
                <w:highlight w:val="none"/>
                <w:lang w:bidi="ar"/>
              </w:rPr>
              <w:br w:type="textWrapping"/>
            </w:r>
            <w:r>
              <w:rPr>
                <w:rStyle w:val="39"/>
                <w:rFonts w:hint="default" w:ascii="仿宋" w:hAnsi="仿宋" w:eastAsia="仿宋" w:cs="仿宋"/>
                <w:sz w:val="21"/>
                <w:szCs w:val="21"/>
                <w:highlight w:val="none"/>
                <w:lang w:bidi="ar"/>
              </w:rPr>
              <w:t>14.设备搭载国产化操作系统。</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生态反向卡口一体化抓拍单元</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Style w:val="38"/>
                <w:rFonts w:hint="default" w:ascii="仿宋" w:hAnsi="仿宋" w:eastAsia="仿宋" w:cs="仿宋"/>
                <w:sz w:val="21"/>
                <w:szCs w:val="21"/>
                <w:highlight w:val="none"/>
                <w:lang w:bidi="ar"/>
              </w:rPr>
              <w:t>1.传感器分辨率≥4096</w:t>
            </w:r>
            <w:r>
              <w:rPr>
                <w:rStyle w:val="38"/>
                <w:rFonts w:hint="default" w:cs="仿宋"/>
                <w:sz w:val="21"/>
                <w:szCs w:val="21"/>
                <w:highlight w:val="none"/>
                <w:lang w:bidi="ar"/>
              </w:rPr>
              <w:t>*</w:t>
            </w:r>
            <w:r>
              <w:rPr>
                <w:rStyle w:val="38"/>
                <w:rFonts w:hint="default" w:ascii="仿宋" w:hAnsi="仿宋" w:eastAsia="仿宋" w:cs="仿宋"/>
                <w:sz w:val="21"/>
                <w:szCs w:val="21"/>
                <w:highlight w:val="none"/>
                <w:lang w:bidi="ar"/>
              </w:rPr>
              <w:t>2160，传感器靶面≥1.1英寸；</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2.内置≥2个CPU、GPU、NPU—体化芯片；</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3.支持视场角≥80°视野范围内车辆特征识别，包括车牌、车身颜色、车型等；</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4.支持压线、违法变道、欠速、不按导向行驶、机占非、非占机、倒车、尾号限行、不按规定车道行驶、占用公交车道、逆行、黄网格违停、违法掉头、压停止线等违法行车，平均捕获率≥99%，准确率≥99%；</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5.支持前排人脸检测和主驾驶员、副驾驶员的性别属性识别功能，能够区分主副驾，驾驶员人脸抠图率≥99%，副驾驶人脸抠图率≥99%；可对抠取的人脸图片叠加位置/图片大小、亮度进行调节设置；</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6.支持AI车牌增强功能，开启后可防止车牌过曝，支持蓝牌、黄牌、白牌、黑牌、绿牌、黄绿双拼牌；支持AI车窗增强功能，开启后可去除白天车窗反光和彩条纹；</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7.设备内置镜头模组支架装置，可以移除鬼影；</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8.设备护罩支持侧面翻盖开合，且釆用双卡扣快装设计，便于维护</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9.遮阳罩前段凸起可防止低温雨雪天气导致视窗正前方挂冰</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10.设备遮阳罩具备前后伸缩功能，前后伸缩范围不小于10cm</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11.设备支持补光灯简易接口设计，可通过2个RJ45接口控制外置补光灯，支持调节补光灯亮度</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12.具有不少于以下接口：2个10M/100M/1000M的RJ45自适应网络接口</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13.防护等级不低于：IP67、IK10；</w:t>
            </w:r>
            <w:r>
              <w:rPr>
                <w:rStyle w:val="38"/>
                <w:rFonts w:hint="default" w:ascii="仿宋" w:hAnsi="仿宋" w:eastAsia="仿宋" w:cs="仿宋"/>
                <w:sz w:val="21"/>
                <w:szCs w:val="21"/>
                <w:highlight w:val="none"/>
                <w:lang w:bidi="ar"/>
              </w:rPr>
              <w:br w:type="textWrapping"/>
            </w:r>
            <w:r>
              <w:rPr>
                <w:rStyle w:val="39"/>
                <w:rFonts w:hint="default" w:ascii="仿宋" w:hAnsi="仿宋" w:eastAsia="仿宋" w:cs="仿宋"/>
                <w:sz w:val="21"/>
                <w:szCs w:val="21"/>
                <w:highlight w:val="none"/>
                <w:lang w:bidi="ar"/>
              </w:rPr>
              <w:t>14.设备搭载国产化操作系统。</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高清镜头</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焦距：12-25mm</w:t>
            </w:r>
            <w:r>
              <w:rPr>
                <w:rFonts w:hint="eastAsia"/>
                <w:color w:val="000000"/>
                <w:sz w:val="21"/>
                <w:szCs w:val="21"/>
                <w:highlight w:val="none"/>
                <w:lang w:bidi="ar"/>
              </w:rPr>
              <w:br w:type="textWrapping"/>
            </w:r>
            <w:r>
              <w:rPr>
                <w:rFonts w:hint="eastAsia"/>
                <w:color w:val="000000"/>
                <w:sz w:val="21"/>
                <w:szCs w:val="21"/>
                <w:highlight w:val="none"/>
                <w:lang w:bidi="ar"/>
              </w:rPr>
              <w:t>最大光圈：F1.6</w:t>
            </w:r>
            <w:r>
              <w:rPr>
                <w:rFonts w:hint="eastAsia"/>
                <w:color w:val="000000"/>
                <w:sz w:val="21"/>
                <w:szCs w:val="21"/>
                <w:highlight w:val="none"/>
                <w:lang w:bidi="ar"/>
              </w:rPr>
              <w:br w:type="textWrapping"/>
            </w:r>
            <w:r>
              <w:rPr>
                <w:rFonts w:hint="eastAsia"/>
                <w:color w:val="000000"/>
                <w:sz w:val="21"/>
                <w:szCs w:val="21"/>
                <w:highlight w:val="none"/>
                <w:lang w:bidi="ar"/>
              </w:rPr>
              <w:t>镜头光圈类型：精准光圈(P-Iris)</w:t>
            </w:r>
            <w:r>
              <w:rPr>
                <w:rFonts w:hint="eastAsia"/>
                <w:color w:val="000000"/>
                <w:sz w:val="21"/>
                <w:szCs w:val="21"/>
                <w:highlight w:val="none"/>
                <w:lang w:bidi="ar"/>
              </w:rPr>
              <w:br w:type="textWrapping"/>
            </w:r>
            <w:r>
              <w:rPr>
                <w:rFonts w:hint="eastAsia"/>
                <w:color w:val="000000"/>
                <w:sz w:val="21"/>
                <w:szCs w:val="21"/>
                <w:highlight w:val="none"/>
                <w:lang w:bidi="ar"/>
              </w:rPr>
              <w:t>镜头视角：W：60.4°</w:t>
            </w:r>
            <w:r>
              <w:rPr>
                <w:rStyle w:val="38"/>
                <w:rFonts w:hint="default" w:cs="仿宋"/>
                <w:sz w:val="21"/>
                <w:szCs w:val="21"/>
                <w:highlight w:val="none"/>
                <w:lang w:bidi="ar"/>
              </w:rPr>
              <w:t>*</w:t>
            </w:r>
            <w:r>
              <w:rPr>
                <w:rFonts w:hint="eastAsia"/>
                <w:color w:val="000000"/>
                <w:sz w:val="21"/>
                <w:szCs w:val="21"/>
                <w:highlight w:val="none"/>
                <w:lang w:bidi="ar"/>
              </w:rPr>
              <w:t>33.6°T：28.7°</w:t>
            </w:r>
            <w:r>
              <w:rPr>
                <w:rStyle w:val="38"/>
                <w:rFonts w:hint="default" w:cs="仿宋"/>
                <w:sz w:val="21"/>
                <w:szCs w:val="21"/>
                <w:highlight w:val="none"/>
                <w:lang w:bidi="ar"/>
              </w:rPr>
              <w:t>*</w:t>
            </w:r>
            <w:r>
              <w:rPr>
                <w:rFonts w:hint="eastAsia"/>
                <w:color w:val="000000"/>
                <w:sz w:val="21"/>
                <w:szCs w:val="21"/>
                <w:highlight w:val="none"/>
                <w:lang w:bidi="ar"/>
              </w:rPr>
              <w:t>16.4°</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高清镜头</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镜头规格：≥50mm/1.1"|F1.2|</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sz w:val="21"/>
                <w:szCs w:val="21"/>
                <w:highlight w:val="none"/>
              </w:rPr>
              <w:t>△</w:t>
            </w:r>
            <w:r>
              <w:rPr>
                <w:rFonts w:hint="eastAsia"/>
                <w:color w:val="000000"/>
                <w:sz w:val="21"/>
                <w:szCs w:val="21"/>
                <w:highlight w:val="none"/>
                <w:lang w:bidi="ar"/>
              </w:rPr>
              <w:t>移动违法取证抓拍球机（核心产品）</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3"/>
              </w:numPr>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传感器分辨率≥2560*1440，传感器靶面≥1/1.8英寸，不低于32倍光学变倍，焦距范围不低于6mm~192mm；</w:t>
            </w:r>
            <w:r>
              <w:rPr>
                <w:rFonts w:hint="eastAsia"/>
                <w:color w:val="000000"/>
                <w:sz w:val="21"/>
                <w:szCs w:val="21"/>
                <w:highlight w:val="none"/>
                <w:lang w:bidi="ar"/>
              </w:rPr>
              <w:br w:type="textWrapping"/>
            </w:r>
            <w:r>
              <w:rPr>
                <w:rFonts w:hint="eastAsia"/>
                <w:color w:val="000000"/>
                <w:sz w:val="21"/>
                <w:szCs w:val="21"/>
                <w:highlight w:val="none"/>
                <w:lang w:bidi="ar"/>
              </w:rPr>
              <w:t>2.内置≥1个CPU、GPU、NPU—体化芯片；</w:t>
            </w:r>
            <w:r>
              <w:rPr>
                <w:rFonts w:hint="eastAsia"/>
                <w:color w:val="000000"/>
                <w:sz w:val="21"/>
                <w:szCs w:val="21"/>
                <w:highlight w:val="none"/>
                <w:lang w:bidi="ar"/>
              </w:rPr>
              <w:br w:type="textWrapping"/>
            </w:r>
            <w:r>
              <w:rPr>
                <w:rFonts w:hint="eastAsia"/>
                <w:color w:val="000000"/>
                <w:sz w:val="21"/>
                <w:szCs w:val="21"/>
                <w:highlight w:val="none"/>
                <w:lang w:bidi="ar"/>
              </w:rPr>
              <w:t>3.内置红外和白光补光灯，红外补光距离≥200m</w:t>
            </w:r>
            <w:r>
              <w:rPr>
                <w:rFonts w:hint="eastAsia"/>
                <w:color w:val="000000"/>
                <w:sz w:val="21"/>
                <w:szCs w:val="21"/>
                <w:highlight w:val="none"/>
                <w:lang w:bidi="ar"/>
              </w:rPr>
              <w:br w:type="textWrapping"/>
            </w:r>
            <w:r>
              <w:rPr>
                <w:rFonts w:hint="eastAsia"/>
                <w:color w:val="000000"/>
                <w:sz w:val="21"/>
                <w:szCs w:val="21"/>
                <w:highlight w:val="none"/>
                <w:lang w:bidi="ar"/>
              </w:rPr>
              <w:t>4.支持4种多算法切换运行：人脸抓拍模式、车辆抓拍模式、行为分析模式、混合并行抓拍模式;</w:t>
            </w:r>
            <w:r>
              <w:rPr>
                <w:rFonts w:hint="eastAsia"/>
                <w:color w:val="000000"/>
                <w:sz w:val="21"/>
                <w:szCs w:val="21"/>
                <w:highlight w:val="none"/>
                <w:lang w:bidi="ar"/>
              </w:rPr>
              <w:br w:type="textWrapping"/>
            </w:r>
            <w:r>
              <w:rPr>
                <w:rFonts w:hint="eastAsia"/>
                <w:color w:val="000000"/>
                <w:sz w:val="21"/>
                <w:szCs w:val="21"/>
                <w:highlight w:val="none"/>
                <w:lang w:bidi="ar"/>
              </w:rPr>
              <w:t>5.支持违法停车行为检测功能，停车时间可自定义，捕获率≥99%，准确率≥99%；</w:t>
            </w:r>
            <w:r>
              <w:rPr>
                <w:rFonts w:hint="eastAsia"/>
                <w:color w:val="000000"/>
                <w:sz w:val="21"/>
                <w:szCs w:val="21"/>
                <w:highlight w:val="none"/>
                <w:lang w:bidi="ar"/>
              </w:rPr>
              <w:br w:type="textWrapping"/>
            </w:r>
            <w:r>
              <w:rPr>
                <w:rFonts w:hint="eastAsia"/>
                <w:color w:val="000000"/>
                <w:sz w:val="21"/>
                <w:szCs w:val="21"/>
                <w:highlight w:val="none"/>
                <w:lang w:bidi="ar"/>
              </w:rPr>
              <w:t>6.具有license管理功能，可根据license启用不同的智能算法；</w:t>
            </w:r>
            <w:r>
              <w:rPr>
                <w:rFonts w:hint="eastAsia"/>
                <w:color w:val="000000"/>
                <w:sz w:val="21"/>
                <w:szCs w:val="21"/>
                <w:highlight w:val="none"/>
                <w:lang w:bidi="ar"/>
              </w:rPr>
              <w:br w:type="textWrapping"/>
            </w:r>
            <w:r>
              <w:rPr>
                <w:rFonts w:hint="eastAsia"/>
                <w:color w:val="000000"/>
                <w:sz w:val="21"/>
                <w:szCs w:val="21"/>
                <w:highlight w:val="none"/>
                <w:lang w:bidi="ar"/>
              </w:rPr>
              <w:t>7.设备内置陀螺仪，支持陀螺仪防抖算法，降低图像抖动；</w:t>
            </w:r>
            <w:r>
              <w:rPr>
                <w:rFonts w:hint="eastAsia"/>
                <w:color w:val="000000"/>
                <w:sz w:val="21"/>
                <w:szCs w:val="21"/>
                <w:highlight w:val="none"/>
                <w:lang w:bidi="ar"/>
              </w:rPr>
              <w:br w:type="textWrapping"/>
            </w:r>
            <w:r>
              <w:rPr>
                <w:rFonts w:hint="eastAsia"/>
                <w:color w:val="000000"/>
                <w:sz w:val="21"/>
                <w:szCs w:val="21"/>
                <w:highlight w:val="none"/>
                <w:lang w:bidi="ar"/>
              </w:rPr>
              <w:t>8.支持生态算法（业界标准rpm包格式+签名组成的tar包）的安装、启用、停用、卸载管理，并支持算法包安装时的完整性校验；</w:t>
            </w:r>
            <w:r>
              <w:rPr>
                <w:rFonts w:hint="eastAsia"/>
                <w:color w:val="000000"/>
                <w:sz w:val="21"/>
                <w:szCs w:val="21"/>
                <w:highlight w:val="none"/>
                <w:lang w:bidi="ar"/>
              </w:rPr>
              <w:br w:type="textWrapping"/>
            </w:r>
            <w:r>
              <w:rPr>
                <w:rFonts w:hint="eastAsia"/>
                <w:color w:val="000000"/>
                <w:sz w:val="21"/>
                <w:szCs w:val="21"/>
                <w:highlight w:val="none"/>
                <w:lang w:bidi="ar"/>
              </w:rPr>
              <w:t>9.防护等级不低于：IP66、IK10；</w:t>
            </w:r>
            <w:r>
              <w:rPr>
                <w:rFonts w:hint="eastAsia"/>
                <w:color w:val="000000"/>
                <w:sz w:val="21"/>
                <w:szCs w:val="21"/>
                <w:highlight w:val="none"/>
                <w:lang w:bidi="ar"/>
              </w:rPr>
              <w:br w:type="textWrapping"/>
            </w:r>
            <w:r>
              <w:rPr>
                <w:rFonts w:hint="eastAsia"/>
                <w:color w:val="000000"/>
                <w:sz w:val="21"/>
                <w:szCs w:val="21"/>
                <w:highlight w:val="none"/>
                <w:lang w:bidi="ar"/>
              </w:rPr>
              <w:t>10.电源功耗：最大功耗＜18W。</w:t>
            </w:r>
          </w:p>
          <w:p>
            <w:pPr>
              <w:pStyle w:val="2"/>
              <w:widowControl/>
              <w:ind w:left="0" w:leftChars="0" w:firstLine="0" w:firstLineChars="0"/>
              <w:rPr>
                <w:rFonts w:hint="eastAsia"/>
                <w:sz w:val="21"/>
                <w:szCs w:val="21"/>
                <w:highlight w:val="none"/>
              </w:rPr>
            </w:pPr>
            <w:r>
              <w:rPr>
                <w:rFonts w:hint="eastAsia"/>
                <w:sz w:val="21"/>
                <w:szCs w:val="21"/>
                <w:highlight w:val="none"/>
              </w:rPr>
              <w:t>11.支持不少于500个预置位，支持不少于16条巡航路径，支持不少于7条以上的模式路径设置。调用预置位时，样机在达到目标预置位前，监视画面可停留在原始位置。</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77</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生态光学补光灯</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光源颗数：12</w:t>
            </w:r>
            <w:r>
              <w:rPr>
                <w:rStyle w:val="38"/>
                <w:rFonts w:hint="default" w:cs="仿宋"/>
                <w:sz w:val="21"/>
                <w:szCs w:val="21"/>
                <w:highlight w:val="none"/>
                <w:lang w:bidi="ar"/>
              </w:rPr>
              <w:t>*</w:t>
            </w:r>
            <w:r>
              <w:rPr>
                <w:rFonts w:hint="eastAsia"/>
                <w:color w:val="000000"/>
                <w:sz w:val="21"/>
                <w:szCs w:val="21"/>
                <w:highlight w:val="none"/>
                <w:lang w:bidi="ar"/>
              </w:rPr>
              <w:t>PCSLED</w:t>
            </w:r>
            <w:r>
              <w:rPr>
                <w:rFonts w:hint="eastAsia"/>
                <w:color w:val="000000"/>
                <w:sz w:val="21"/>
                <w:szCs w:val="21"/>
                <w:highlight w:val="none"/>
                <w:lang w:bidi="ar"/>
              </w:rPr>
              <w:br w:type="textWrapping"/>
            </w:r>
            <w:r>
              <w:rPr>
                <w:rFonts w:hint="eastAsia"/>
                <w:color w:val="000000"/>
                <w:sz w:val="21"/>
                <w:szCs w:val="21"/>
                <w:highlight w:val="none"/>
                <w:lang w:bidi="ar"/>
              </w:rPr>
              <w:t>输入电压：AC100~240V</w:t>
            </w:r>
            <w:r>
              <w:rPr>
                <w:rFonts w:hint="eastAsia"/>
                <w:color w:val="000000"/>
                <w:sz w:val="21"/>
                <w:szCs w:val="21"/>
                <w:highlight w:val="none"/>
                <w:lang w:bidi="ar"/>
              </w:rPr>
              <w:br w:type="textWrapping"/>
            </w:r>
            <w:r>
              <w:rPr>
                <w:rFonts w:hint="eastAsia"/>
                <w:color w:val="000000"/>
                <w:sz w:val="21"/>
                <w:szCs w:val="21"/>
                <w:highlight w:val="none"/>
                <w:lang w:bidi="ar"/>
              </w:rPr>
              <w:t>额定功率：35W</w:t>
            </w:r>
            <w:r>
              <w:rPr>
                <w:rFonts w:hint="eastAsia"/>
                <w:color w:val="000000"/>
                <w:sz w:val="21"/>
                <w:szCs w:val="21"/>
                <w:highlight w:val="none"/>
                <w:lang w:bidi="ar"/>
              </w:rPr>
              <w:br w:type="textWrapping"/>
            </w:r>
            <w:r>
              <w:rPr>
                <w:rFonts w:hint="eastAsia"/>
                <w:color w:val="000000"/>
                <w:sz w:val="21"/>
                <w:szCs w:val="21"/>
                <w:highlight w:val="none"/>
                <w:lang w:bidi="ar"/>
              </w:rPr>
              <w:t>系统光效：100lm/W</w:t>
            </w:r>
            <w:r>
              <w:rPr>
                <w:rFonts w:hint="eastAsia"/>
                <w:color w:val="000000"/>
                <w:sz w:val="21"/>
                <w:szCs w:val="21"/>
                <w:highlight w:val="none"/>
                <w:lang w:bidi="ar"/>
              </w:rPr>
              <w:br w:type="textWrapping"/>
            </w:r>
            <w:r>
              <w:rPr>
                <w:rFonts w:hint="eastAsia"/>
                <w:color w:val="000000"/>
                <w:sz w:val="21"/>
                <w:szCs w:val="21"/>
                <w:highlight w:val="none"/>
                <w:lang w:bidi="ar"/>
              </w:rPr>
              <w:t>光通量：3600lm</w:t>
            </w:r>
            <w:r>
              <w:rPr>
                <w:rFonts w:hint="eastAsia"/>
                <w:color w:val="000000"/>
                <w:sz w:val="21"/>
                <w:szCs w:val="21"/>
                <w:highlight w:val="none"/>
                <w:lang w:bidi="ar"/>
              </w:rPr>
              <w:br w:type="textWrapping"/>
            </w:r>
            <w:r>
              <w:rPr>
                <w:rFonts w:hint="eastAsia"/>
                <w:color w:val="000000"/>
                <w:sz w:val="21"/>
                <w:szCs w:val="21"/>
                <w:highlight w:val="none"/>
                <w:lang w:bidi="ar"/>
              </w:rPr>
              <w:t>色温：3000K</w:t>
            </w:r>
            <w:r>
              <w:rPr>
                <w:rFonts w:hint="eastAsia"/>
                <w:color w:val="000000"/>
                <w:sz w:val="21"/>
                <w:szCs w:val="21"/>
                <w:highlight w:val="none"/>
                <w:lang w:bidi="ar"/>
              </w:rPr>
              <w:br w:type="textWrapping"/>
            </w:r>
            <w:r>
              <w:rPr>
                <w:rFonts w:hint="eastAsia"/>
                <w:color w:val="000000"/>
                <w:sz w:val="21"/>
                <w:szCs w:val="21"/>
                <w:highlight w:val="none"/>
                <w:lang w:bidi="ar"/>
              </w:rPr>
              <w:t>显色指数：Ra≥70</w:t>
            </w:r>
            <w:r>
              <w:rPr>
                <w:rFonts w:hint="eastAsia"/>
                <w:color w:val="000000"/>
                <w:sz w:val="21"/>
                <w:szCs w:val="21"/>
                <w:highlight w:val="none"/>
                <w:lang w:bidi="ar"/>
              </w:rPr>
              <w:br w:type="textWrapping"/>
            </w:r>
            <w:r>
              <w:rPr>
                <w:rFonts w:hint="eastAsia"/>
                <w:color w:val="000000"/>
                <w:sz w:val="21"/>
                <w:szCs w:val="21"/>
                <w:highlight w:val="none"/>
                <w:lang w:bidi="ar"/>
              </w:rPr>
              <w:t>调光方式：RS485</w:t>
            </w:r>
            <w:r>
              <w:rPr>
                <w:rFonts w:hint="eastAsia"/>
                <w:color w:val="000000"/>
                <w:sz w:val="21"/>
                <w:szCs w:val="21"/>
                <w:highlight w:val="none"/>
                <w:lang w:bidi="ar"/>
              </w:rPr>
              <w:br w:type="textWrapping"/>
            </w:r>
            <w:r>
              <w:rPr>
                <w:rFonts w:hint="eastAsia"/>
                <w:color w:val="000000"/>
                <w:sz w:val="21"/>
                <w:szCs w:val="21"/>
                <w:highlight w:val="none"/>
                <w:lang w:bidi="ar"/>
              </w:rPr>
              <w:t>工作环境温度：-40℃~+55℃</w:t>
            </w:r>
            <w:r>
              <w:rPr>
                <w:rFonts w:hint="eastAsia"/>
                <w:color w:val="000000"/>
                <w:sz w:val="21"/>
                <w:szCs w:val="21"/>
                <w:highlight w:val="none"/>
                <w:lang w:bidi="ar"/>
              </w:rPr>
              <w:br w:type="textWrapping"/>
            </w:r>
            <w:r>
              <w:rPr>
                <w:rFonts w:hint="eastAsia"/>
                <w:color w:val="000000"/>
                <w:sz w:val="21"/>
                <w:szCs w:val="21"/>
                <w:highlight w:val="none"/>
                <w:lang w:bidi="ar"/>
              </w:rPr>
              <w:t>工作环境湿度：10~95%RH</w:t>
            </w:r>
            <w:r>
              <w:rPr>
                <w:rFonts w:hint="eastAsia"/>
                <w:color w:val="000000"/>
                <w:sz w:val="21"/>
                <w:szCs w:val="21"/>
                <w:highlight w:val="none"/>
                <w:lang w:bidi="ar"/>
              </w:rPr>
              <w:br w:type="textWrapping"/>
            </w:r>
            <w:r>
              <w:rPr>
                <w:rFonts w:hint="eastAsia"/>
                <w:color w:val="000000"/>
                <w:sz w:val="21"/>
                <w:szCs w:val="21"/>
                <w:highlight w:val="none"/>
                <w:lang w:bidi="ar"/>
              </w:rPr>
              <w:t>外壳颜色：银灰色</w:t>
            </w:r>
            <w:r>
              <w:rPr>
                <w:rFonts w:hint="eastAsia"/>
                <w:color w:val="000000"/>
                <w:sz w:val="21"/>
                <w:szCs w:val="21"/>
                <w:highlight w:val="none"/>
                <w:lang w:bidi="ar"/>
              </w:rPr>
              <w:br w:type="textWrapping"/>
            </w:r>
            <w:r>
              <w:rPr>
                <w:rFonts w:hint="eastAsia"/>
                <w:color w:val="000000"/>
                <w:sz w:val="21"/>
                <w:szCs w:val="21"/>
                <w:highlight w:val="none"/>
                <w:lang w:bidi="ar"/>
              </w:rPr>
              <w:t>主体材料：铝合金框架+陶瓷散热体</w:t>
            </w:r>
            <w:r>
              <w:rPr>
                <w:rFonts w:hint="eastAsia"/>
                <w:color w:val="000000"/>
                <w:sz w:val="21"/>
                <w:szCs w:val="21"/>
                <w:highlight w:val="none"/>
                <w:lang w:bidi="ar"/>
              </w:rPr>
              <w:br w:type="textWrapping"/>
            </w:r>
            <w:r>
              <w:rPr>
                <w:rFonts w:hint="eastAsia"/>
                <w:color w:val="000000"/>
                <w:sz w:val="21"/>
                <w:szCs w:val="21"/>
                <w:highlight w:val="none"/>
                <w:lang w:bidi="ar"/>
              </w:rPr>
              <w:t>防护等级：IP66</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142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生态频闪补光灯</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光源类型：16颗优质大功率LED发光角度10°覆盖范围：单车道环境补光灯最佳补光范围16米～25米触发方式：4V~6V电平量触发基准轴的峰值光照度≤300lx，平均光照度≤50lx持续点亮，基准轴的光照度≤50lx色温≤4000K设备光辐射安全性能符合GB/T37958-2019规定的1类危险要求触发信号：频率15~250HZ，占空比1%~39%，响应时间小于20US工作温度：温度-30℃~70℃电源：220VAC±10%工作湿度：湿度5%~95%@40℃，无凝结功耗：35WMAX防护等级：IP66须符合GA/T1202-2022《交通技术监控成像补光装置通用技术条件》</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8</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多合1生态智能补光灯</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光照度：可见光基准轴上光照度：补光区域内光斑应均匀、无暗区、无明显抖动；补光区域边缘的光照度应大于或等于基准轴上光照度的50%；在基准轴上、下7.5°范围外，光照度应小于或等于5lx。红外补光基准轴上光照度：距离红外型补光装置20m处，基准轴上辐照度应大于或等于3000uW/cm；补光区域内的辐照度应大于或等于基准轴上辐照度的50%。</w:t>
            </w:r>
            <w:r>
              <w:rPr>
                <w:rFonts w:hint="eastAsia"/>
                <w:color w:val="000000"/>
                <w:sz w:val="21"/>
                <w:szCs w:val="21"/>
                <w:highlight w:val="none"/>
                <w:lang w:bidi="ar"/>
              </w:rPr>
              <w:br w:type="textWrapping"/>
            </w:r>
            <w:r>
              <w:rPr>
                <w:rFonts w:hint="eastAsia"/>
                <w:color w:val="000000"/>
                <w:sz w:val="21"/>
                <w:szCs w:val="21"/>
                <w:highlight w:val="none"/>
                <w:lang w:bidi="ar"/>
              </w:rPr>
              <w:t>光源类型：可见光或红外，可见光光型不少于24颗LED</w:t>
            </w:r>
            <w:r>
              <w:rPr>
                <w:rFonts w:hint="eastAsia"/>
                <w:color w:val="000000"/>
                <w:sz w:val="21"/>
                <w:szCs w:val="21"/>
                <w:highlight w:val="none"/>
                <w:lang w:bidi="ar"/>
              </w:rPr>
              <w:br w:type="textWrapping"/>
            </w:r>
            <w:r>
              <w:rPr>
                <w:rFonts w:hint="eastAsia"/>
                <w:color w:val="000000"/>
                <w:sz w:val="21"/>
                <w:szCs w:val="21"/>
                <w:highlight w:val="none"/>
                <w:lang w:bidi="ar"/>
              </w:rPr>
              <w:t>满足《GA/T1202-2022交通技术监控成像补光装置通用技术条件》</w:t>
            </w:r>
            <w:r>
              <w:rPr>
                <w:rFonts w:hint="eastAsia"/>
                <w:color w:val="000000"/>
                <w:sz w:val="21"/>
                <w:szCs w:val="21"/>
                <w:highlight w:val="none"/>
                <w:lang w:bidi="ar"/>
              </w:rPr>
              <w:br w:type="textWrapping"/>
            </w:r>
            <w:r>
              <w:rPr>
                <w:rFonts w:hint="eastAsia"/>
                <w:color w:val="000000"/>
                <w:sz w:val="21"/>
                <w:szCs w:val="21"/>
                <w:highlight w:val="none"/>
                <w:lang w:bidi="ar"/>
              </w:rPr>
              <w:t>补光方式：频闪型、脉冲型和持续点亮型</w:t>
            </w:r>
            <w:r>
              <w:rPr>
                <w:rFonts w:hint="eastAsia"/>
                <w:color w:val="000000"/>
                <w:sz w:val="21"/>
                <w:szCs w:val="21"/>
                <w:highlight w:val="none"/>
                <w:lang w:bidi="ar"/>
              </w:rPr>
              <w:br w:type="textWrapping"/>
            </w:r>
            <w:r>
              <w:rPr>
                <w:rFonts w:hint="eastAsia"/>
                <w:color w:val="000000"/>
                <w:sz w:val="21"/>
                <w:szCs w:val="21"/>
                <w:highlight w:val="none"/>
                <w:lang w:bidi="ar"/>
              </w:rPr>
              <w:t>色温：气体爆闪色温应小于7000K,LED光源色温应处于2800K~5500K范围内，红外型补光装置光源的波段应在680nm~2500nm范围内。</w:t>
            </w:r>
            <w:r>
              <w:rPr>
                <w:rFonts w:hint="eastAsia"/>
                <w:color w:val="000000"/>
                <w:sz w:val="21"/>
                <w:szCs w:val="21"/>
                <w:highlight w:val="none"/>
                <w:lang w:bidi="ar"/>
              </w:rPr>
              <w:br w:type="textWrapping"/>
            </w:r>
            <w:r>
              <w:rPr>
                <w:rFonts w:hint="eastAsia"/>
                <w:color w:val="000000"/>
                <w:sz w:val="21"/>
                <w:szCs w:val="21"/>
                <w:highlight w:val="none"/>
                <w:lang w:bidi="ar"/>
              </w:rPr>
              <w:t>峰值闪光持续时间：≤1/3ms</w:t>
            </w:r>
            <w:r>
              <w:rPr>
                <w:rFonts w:hint="eastAsia"/>
                <w:color w:val="000000"/>
                <w:sz w:val="21"/>
                <w:szCs w:val="21"/>
                <w:highlight w:val="none"/>
                <w:lang w:bidi="ar"/>
              </w:rPr>
              <w:br w:type="textWrapping"/>
            </w:r>
            <w:r>
              <w:rPr>
                <w:rFonts w:hint="eastAsia"/>
                <w:color w:val="000000"/>
                <w:sz w:val="21"/>
                <w:szCs w:val="21"/>
                <w:highlight w:val="none"/>
                <w:lang w:bidi="ar"/>
              </w:rPr>
              <w:t>回电时间：≤60ms</w:t>
            </w:r>
            <w:r>
              <w:rPr>
                <w:rFonts w:hint="eastAsia"/>
                <w:color w:val="000000"/>
                <w:sz w:val="21"/>
                <w:szCs w:val="21"/>
                <w:highlight w:val="none"/>
                <w:lang w:bidi="ar"/>
              </w:rPr>
              <w:br w:type="textWrapping"/>
            </w:r>
            <w:r>
              <w:rPr>
                <w:rFonts w:hint="eastAsia"/>
                <w:color w:val="000000"/>
                <w:sz w:val="21"/>
                <w:szCs w:val="21"/>
                <w:highlight w:val="none"/>
                <w:lang w:bidi="ar"/>
              </w:rPr>
              <w:t>最佳补光距离：应处于15～30米范围</w:t>
            </w:r>
            <w:r>
              <w:rPr>
                <w:rFonts w:hint="eastAsia"/>
                <w:color w:val="000000"/>
                <w:sz w:val="21"/>
                <w:szCs w:val="21"/>
                <w:highlight w:val="none"/>
                <w:lang w:bidi="ar"/>
              </w:rPr>
              <w:br w:type="textWrapping"/>
            </w:r>
            <w:r>
              <w:rPr>
                <w:rFonts w:hint="eastAsia"/>
                <w:color w:val="000000"/>
                <w:sz w:val="21"/>
                <w:szCs w:val="21"/>
                <w:highlight w:val="none"/>
                <w:lang w:bidi="ar"/>
              </w:rPr>
              <w:t>工作寿命：≥1000万次</w:t>
            </w:r>
            <w:r>
              <w:rPr>
                <w:rFonts w:hint="eastAsia"/>
                <w:color w:val="000000"/>
                <w:sz w:val="21"/>
                <w:szCs w:val="21"/>
                <w:highlight w:val="none"/>
                <w:lang w:bidi="ar"/>
              </w:rPr>
              <w:br w:type="textWrapping"/>
            </w:r>
            <w:r>
              <w:rPr>
                <w:rFonts w:hint="eastAsia"/>
                <w:color w:val="000000"/>
                <w:sz w:val="21"/>
                <w:szCs w:val="21"/>
                <w:highlight w:val="none"/>
                <w:lang w:bidi="ar"/>
              </w:rPr>
              <w:t>RS485串口功能：支持RS485参数调节和软件升级功能</w:t>
            </w:r>
            <w:r>
              <w:rPr>
                <w:rFonts w:hint="eastAsia"/>
                <w:color w:val="000000"/>
                <w:sz w:val="21"/>
                <w:szCs w:val="21"/>
                <w:highlight w:val="none"/>
                <w:lang w:bidi="ar"/>
              </w:rPr>
              <w:br w:type="textWrapping"/>
            </w:r>
            <w:r>
              <w:rPr>
                <w:rFonts w:hint="eastAsia"/>
                <w:color w:val="000000"/>
                <w:sz w:val="21"/>
                <w:szCs w:val="21"/>
                <w:highlight w:val="none"/>
                <w:lang w:bidi="ar"/>
              </w:rPr>
              <w:t>误触发保护功能：支持误触发保护功能</w:t>
            </w:r>
            <w:r>
              <w:rPr>
                <w:rFonts w:hint="eastAsia"/>
                <w:color w:val="000000"/>
                <w:sz w:val="21"/>
                <w:szCs w:val="21"/>
                <w:highlight w:val="none"/>
                <w:lang w:bidi="ar"/>
              </w:rPr>
              <w:br w:type="textWrapping"/>
            </w:r>
            <w:r>
              <w:rPr>
                <w:rFonts w:hint="eastAsia"/>
                <w:color w:val="000000"/>
                <w:sz w:val="21"/>
                <w:szCs w:val="21"/>
                <w:highlight w:val="none"/>
                <w:lang w:bidi="ar"/>
              </w:rPr>
              <w:t>闪光计次功能：支持闪光计次功能</w:t>
            </w:r>
            <w:r>
              <w:rPr>
                <w:rFonts w:hint="eastAsia"/>
                <w:color w:val="000000"/>
                <w:sz w:val="21"/>
                <w:szCs w:val="21"/>
                <w:highlight w:val="none"/>
                <w:lang w:bidi="ar"/>
              </w:rPr>
              <w:br w:type="textWrapping"/>
            </w:r>
            <w:r>
              <w:rPr>
                <w:rFonts w:hint="eastAsia"/>
                <w:color w:val="000000"/>
                <w:sz w:val="21"/>
                <w:szCs w:val="21"/>
                <w:highlight w:val="none"/>
                <w:lang w:bidi="ar"/>
              </w:rPr>
              <w:t>防护等级：不低于IP65</w:t>
            </w:r>
            <w:r>
              <w:rPr>
                <w:rFonts w:hint="eastAsia"/>
                <w:color w:val="000000"/>
                <w:sz w:val="21"/>
                <w:szCs w:val="21"/>
                <w:highlight w:val="none"/>
                <w:lang w:bidi="ar"/>
              </w:rPr>
              <w:br w:type="textWrapping"/>
            </w:r>
            <w:r>
              <w:rPr>
                <w:rFonts w:hint="eastAsia"/>
                <w:color w:val="000000"/>
                <w:sz w:val="21"/>
                <w:szCs w:val="21"/>
                <w:highlight w:val="none"/>
                <w:lang w:bidi="ar"/>
              </w:rPr>
              <w:t>工作环境温度：-40℃～70℃</w:t>
            </w:r>
            <w:r>
              <w:rPr>
                <w:rFonts w:hint="eastAsia"/>
                <w:color w:val="000000"/>
                <w:sz w:val="21"/>
                <w:szCs w:val="21"/>
                <w:highlight w:val="none"/>
                <w:lang w:bidi="ar"/>
              </w:rPr>
              <w:br w:type="textWrapping"/>
            </w:r>
            <w:r>
              <w:rPr>
                <w:rFonts w:hint="eastAsia"/>
                <w:color w:val="000000"/>
                <w:sz w:val="21"/>
                <w:szCs w:val="21"/>
                <w:highlight w:val="none"/>
                <w:lang w:bidi="ar"/>
              </w:rPr>
              <w:t>工作电压：AC220V±20%、50HZ</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48</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9</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智慧管控终端</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4"/>
              </w:numPr>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存储容量：1块4TB存储硬盘，单机存储容量最大支持24TB；</w:t>
            </w:r>
            <w:r>
              <w:rPr>
                <w:rFonts w:hint="eastAsia"/>
                <w:color w:val="000000"/>
                <w:sz w:val="21"/>
                <w:szCs w:val="21"/>
                <w:highlight w:val="none"/>
                <w:lang w:bidi="ar"/>
              </w:rPr>
              <w:br w:type="textWrapping"/>
            </w:r>
            <w:r>
              <w:rPr>
                <w:rFonts w:hint="eastAsia"/>
                <w:color w:val="000000"/>
                <w:sz w:val="21"/>
                <w:szCs w:val="21"/>
                <w:highlight w:val="none"/>
                <w:lang w:bidi="ar"/>
              </w:rPr>
              <w:t>2.通道路：最大支持4路；</w:t>
            </w:r>
            <w:r>
              <w:rPr>
                <w:rFonts w:hint="eastAsia"/>
                <w:color w:val="000000"/>
                <w:sz w:val="21"/>
                <w:szCs w:val="21"/>
                <w:highlight w:val="none"/>
                <w:lang w:bidi="ar"/>
              </w:rPr>
              <w:br w:type="textWrapping"/>
            </w:r>
            <w:r>
              <w:rPr>
                <w:rFonts w:hint="eastAsia"/>
                <w:color w:val="000000"/>
                <w:sz w:val="21"/>
                <w:szCs w:val="21"/>
                <w:highlight w:val="none"/>
                <w:lang w:bidi="ar"/>
              </w:rPr>
              <w:t>3.接入视频格式：H.264、H.265；</w:t>
            </w:r>
            <w:r>
              <w:rPr>
                <w:rFonts w:hint="eastAsia"/>
                <w:color w:val="000000"/>
                <w:sz w:val="21"/>
                <w:szCs w:val="21"/>
                <w:highlight w:val="none"/>
                <w:lang w:bidi="ar"/>
              </w:rPr>
              <w:br w:type="textWrapping"/>
            </w:r>
            <w:r>
              <w:rPr>
                <w:rFonts w:hint="eastAsia"/>
                <w:color w:val="000000"/>
                <w:sz w:val="21"/>
                <w:szCs w:val="21"/>
                <w:highlight w:val="none"/>
                <w:lang w:bidi="ar"/>
              </w:rPr>
              <w:t>4.接入图片格式：JPEG；</w:t>
            </w:r>
            <w:r>
              <w:rPr>
                <w:rFonts w:hint="eastAsia"/>
                <w:color w:val="000000"/>
                <w:sz w:val="21"/>
                <w:szCs w:val="21"/>
                <w:highlight w:val="none"/>
                <w:lang w:bidi="ar"/>
              </w:rPr>
              <w:br w:type="textWrapping"/>
            </w:r>
            <w:r>
              <w:rPr>
                <w:rFonts w:hint="eastAsia"/>
                <w:color w:val="000000"/>
                <w:sz w:val="21"/>
                <w:szCs w:val="21"/>
                <w:highlight w:val="none"/>
                <w:lang w:bidi="ar"/>
              </w:rPr>
              <w:t>5.SATA接口：4个内部SATA，支持1/2/3/4/6TB，一个外置eSATA；</w:t>
            </w:r>
            <w:r>
              <w:rPr>
                <w:rFonts w:hint="eastAsia"/>
                <w:color w:val="000000"/>
                <w:sz w:val="21"/>
                <w:szCs w:val="21"/>
                <w:highlight w:val="none"/>
                <w:lang w:bidi="ar"/>
              </w:rPr>
              <w:br w:type="textWrapping"/>
            </w:r>
            <w:r>
              <w:rPr>
                <w:rFonts w:hint="eastAsia"/>
                <w:color w:val="000000"/>
                <w:sz w:val="21"/>
                <w:szCs w:val="21"/>
                <w:highlight w:val="none"/>
                <w:lang w:bidi="ar"/>
              </w:rPr>
              <w:t>6.视频输入：支持4路1080P/30fpsH264/H265解码；</w:t>
            </w:r>
            <w:r>
              <w:rPr>
                <w:rFonts w:hint="eastAsia"/>
                <w:color w:val="000000"/>
                <w:sz w:val="21"/>
                <w:szCs w:val="21"/>
                <w:highlight w:val="none"/>
                <w:lang w:bidi="ar"/>
              </w:rPr>
              <w:br w:type="textWrapping"/>
            </w:r>
            <w:r>
              <w:rPr>
                <w:rFonts w:hint="eastAsia"/>
                <w:color w:val="000000"/>
                <w:sz w:val="21"/>
                <w:szCs w:val="21"/>
                <w:highlight w:val="none"/>
                <w:lang w:bidi="ar"/>
              </w:rPr>
              <w:t>7.视频输出：1路CVBS，1路VGA，1路HDMI；</w:t>
            </w:r>
            <w:r>
              <w:rPr>
                <w:rFonts w:hint="eastAsia"/>
                <w:color w:val="000000"/>
                <w:sz w:val="21"/>
                <w:szCs w:val="21"/>
                <w:highlight w:val="none"/>
                <w:lang w:bidi="ar"/>
              </w:rPr>
              <w:br w:type="textWrapping"/>
            </w:r>
            <w:r>
              <w:rPr>
                <w:rFonts w:hint="eastAsia"/>
                <w:color w:val="000000"/>
                <w:sz w:val="21"/>
                <w:szCs w:val="21"/>
                <w:highlight w:val="none"/>
                <w:lang w:bidi="ar"/>
              </w:rPr>
              <w:t>8.网络接口：4个百兆网口；</w:t>
            </w:r>
            <w:r>
              <w:rPr>
                <w:rFonts w:hint="eastAsia"/>
                <w:color w:val="000000"/>
                <w:sz w:val="21"/>
                <w:szCs w:val="21"/>
                <w:highlight w:val="none"/>
                <w:lang w:bidi="ar"/>
              </w:rPr>
              <w:br w:type="textWrapping"/>
            </w:r>
            <w:r>
              <w:rPr>
                <w:rFonts w:hint="eastAsia"/>
                <w:color w:val="000000"/>
                <w:sz w:val="21"/>
                <w:szCs w:val="21"/>
                <w:highlight w:val="none"/>
                <w:lang w:bidi="ar"/>
              </w:rPr>
              <w:t>9.NTP校时：支持NTP网络校时；</w:t>
            </w:r>
            <w:r>
              <w:rPr>
                <w:rFonts w:hint="eastAsia"/>
                <w:color w:val="000000"/>
                <w:sz w:val="21"/>
                <w:szCs w:val="21"/>
                <w:highlight w:val="none"/>
                <w:lang w:bidi="ar"/>
              </w:rPr>
              <w:br w:type="textWrapping"/>
            </w:r>
            <w:r>
              <w:rPr>
                <w:rFonts w:hint="eastAsia"/>
                <w:color w:val="000000"/>
                <w:sz w:val="21"/>
                <w:szCs w:val="21"/>
                <w:highlight w:val="none"/>
                <w:lang w:bidi="ar"/>
              </w:rPr>
              <w:t>10.交互控制：支持web界面远程控制，本机界面操作；</w:t>
            </w:r>
            <w:r>
              <w:rPr>
                <w:rFonts w:hint="eastAsia"/>
                <w:color w:val="000000"/>
                <w:sz w:val="21"/>
                <w:szCs w:val="21"/>
                <w:highlight w:val="none"/>
                <w:lang w:bidi="ar"/>
              </w:rPr>
              <w:br w:type="textWrapping"/>
            </w:r>
            <w:r>
              <w:rPr>
                <w:rFonts w:hint="eastAsia"/>
                <w:color w:val="000000"/>
                <w:sz w:val="21"/>
                <w:szCs w:val="21"/>
                <w:highlight w:val="none"/>
                <w:lang w:bidi="ar"/>
              </w:rPr>
              <w:t>11.支持协议：ONVIF、GB28181、TCP/IP、UDP、RTSP、HTTP、GA/T1400；</w:t>
            </w:r>
            <w:r>
              <w:rPr>
                <w:rFonts w:hint="eastAsia"/>
                <w:color w:val="000000"/>
                <w:sz w:val="21"/>
                <w:szCs w:val="21"/>
                <w:highlight w:val="none"/>
                <w:lang w:bidi="ar"/>
              </w:rPr>
              <w:br w:type="textWrapping"/>
            </w:r>
            <w:r>
              <w:rPr>
                <w:rFonts w:hint="eastAsia"/>
                <w:color w:val="000000"/>
                <w:sz w:val="21"/>
                <w:szCs w:val="21"/>
                <w:highlight w:val="none"/>
                <w:lang w:bidi="ar"/>
              </w:rPr>
              <w:t>12.算法识别：支持车牌、车标、车型、车身颜色等；</w:t>
            </w:r>
            <w:r>
              <w:rPr>
                <w:rFonts w:hint="eastAsia"/>
                <w:color w:val="000000"/>
                <w:sz w:val="21"/>
                <w:szCs w:val="21"/>
                <w:highlight w:val="none"/>
                <w:lang w:bidi="ar"/>
              </w:rPr>
              <w:br w:type="textWrapping"/>
            </w:r>
            <w:r>
              <w:rPr>
                <w:rFonts w:hint="eastAsia"/>
                <w:color w:val="000000"/>
                <w:sz w:val="21"/>
                <w:szCs w:val="21"/>
                <w:highlight w:val="none"/>
                <w:lang w:bidi="ar"/>
              </w:rPr>
              <w:t>13.防水等级：IP41；</w:t>
            </w:r>
            <w:r>
              <w:rPr>
                <w:rFonts w:hint="eastAsia"/>
                <w:color w:val="000000"/>
                <w:sz w:val="21"/>
                <w:szCs w:val="21"/>
                <w:highlight w:val="none"/>
                <w:lang w:bidi="ar"/>
              </w:rPr>
              <w:br w:type="textWrapping"/>
            </w:r>
            <w:r>
              <w:rPr>
                <w:rFonts w:hint="eastAsia"/>
                <w:color w:val="000000"/>
                <w:sz w:val="21"/>
                <w:szCs w:val="21"/>
                <w:highlight w:val="none"/>
                <w:lang w:bidi="ar"/>
              </w:rPr>
              <w:t>14.散热：满足硬件功耗散热；</w:t>
            </w:r>
            <w:r>
              <w:rPr>
                <w:rFonts w:hint="eastAsia"/>
                <w:color w:val="000000"/>
                <w:sz w:val="21"/>
                <w:szCs w:val="21"/>
                <w:highlight w:val="none"/>
                <w:lang w:bidi="ar"/>
              </w:rPr>
              <w:br w:type="textWrapping"/>
            </w:r>
            <w:r>
              <w:rPr>
                <w:rFonts w:hint="eastAsia"/>
                <w:color w:val="000000"/>
                <w:sz w:val="21"/>
                <w:szCs w:val="21"/>
                <w:highlight w:val="none"/>
                <w:lang w:bidi="ar"/>
              </w:rPr>
              <w:t>15.电压：DC12V±10%；</w:t>
            </w:r>
            <w:r>
              <w:rPr>
                <w:rFonts w:hint="eastAsia"/>
                <w:color w:val="000000"/>
                <w:sz w:val="21"/>
                <w:szCs w:val="21"/>
                <w:highlight w:val="none"/>
                <w:lang w:bidi="ar"/>
              </w:rPr>
              <w:br w:type="textWrapping"/>
            </w:r>
            <w:r>
              <w:rPr>
                <w:rFonts w:hint="eastAsia"/>
                <w:color w:val="000000"/>
                <w:sz w:val="21"/>
                <w:szCs w:val="21"/>
                <w:highlight w:val="none"/>
                <w:lang w:bidi="ar"/>
              </w:rPr>
              <w:t>16.温度：-40℃~70℃。</w:t>
            </w:r>
          </w:p>
          <w:p>
            <w:pPr>
              <w:widowControl/>
              <w:ind w:firstLine="0" w:firstLineChars="0"/>
              <w:rPr>
                <w:rFonts w:hint="eastAsia"/>
                <w:sz w:val="21"/>
                <w:szCs w:val="21"/>
                <w:highlight w:val="none"/>
              </w:rPr>
            </w:pPr>
            <w:r>
              <w:rPr>
                <w:rFonts w:hint="eastAsia"/>
                <w:sz w:val="21"/>
                <w:szCs w:val="21"/>
                <w:highlight w:val="none"/>
              </w:rPr>
              <w:t>17.支持包括但不限于按照抓拍时间查询和存储时间查询两种或以上方式查询图片；</w:t>
            </w:r>
          </w:p>
          <w:p>
            <w:pPr>
              <w:pStyle w:val="2"/>
              <w:widowControl/>
              <w:ind w:left="0" w:leftChars="0" w:firstLine="0" w:firstLineChars="0"/>
              <w:rPr>
                <w:rFonts w:hint="eastAsia"/>
                <w:sz w:val="21"/>
                <w:szCs w:val="21"/>
                <w:highlight w:val="none"/>
              </w:rPr>
            </w:pPr>
            <w:r>
              <w:rPr>
                <w:rFonts w:hint="eastAsia"/>
                <w:color w:val="0000FF"/>
                <w:sz w:val="21"/>
                <w:szCs w:val="21"/>
                <w:highlight w:val="none"/>
              </w:rPr>
              <w:t>18.支持关联合成卡口重用，当抓拍到车辆在卡口有多种违法行为时，可以将多种违法图进行合成</w:t>
            </w:r>
            <w:r>
              <w:rPr>
                <w:rFonts w:hint="eastAsia"/>
                <w:sz w:val="21"/>
                <w:szCs w:val="21"/>
                <w:highlight w:val="none"/>
              </w:rPr>
              <w:t>。</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10</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智慧管控终端</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1.存储容量：1块4TB存储硬盘，单机存储容量最大支持24TB；</w:t>
            </w:r>
            <w:r>
              <w:rPr>
                <w:rFonts w:hint="eastAsia"/>
                <w:color w:val="000000"/>
                <w:sz w:val="21"/>
                <w:szCs w:val="21"/>
                <w:highlight w:val="none"/>
                <w:lang w:bidi="ar"/>
              </w:rPr>
              <w:br w:type="textWrapping"/>
            </w:r>
            <w:r>
              <w:rPr>
                <w:rFonts w:hint="eastAsia"/>
                <w:color w:val="000000"/>
                <w:sz w:val="21"/>
                <w:szCs w:val="21"/>
                <w:highlight w:val="none"/>
                <w:lang w:bidi="ar"/>
              </w:rPr>
              <w:t>2.通道路：最大支持16路；</w:t>
            </w:r>
            <w:r>
              <w:rPr>
                <w:rFonts w:hint="eastAsia"/>
                <w:color w:val="000000"/>
                <w:sz w:val="21"/>
                <w:szCs w:val="21"/>
                <w:highlight w:val="none"/>
                <w:lang w:bidi="ar"/>
              </w:rPr>
              <w:br w:type="textWrapping"/>
            </w:r>
            <w:r>
              <w:rPr>
                <w:rFonts w:hint="eastAsia"/>
                <w:color w:val="000000"/>
                <w:sz w:val="21"/>
                <w:szCs w:val="21"/>
                <w:highlight w:val="none"/>
                <w:lang w:bidi="ar"/>
              </w:rPr>
              <w:t>3.接入视频格式：H.264、H.265；</w:t>
            </w:r>
            <w:r>
              <w:rPr>
                <w:rFonts w:hint="eastAsia"/>
                <w:color w:val="000000"/>
                <w:sz w:val="21"/>
                <w:szCs w:val="21"/>
                <w:highlight w:val="none"/>
                <w:lang w:bidi="ar"/>
              </w:rPr>
              <w:br w:type="textWrapping"/>
            </w:r>
            <w:r>
              <w:rPr>
                <w:rFonts w:hint="eastAsia"/>
                <w:color w:val="000000"/>
                <w:sz w:val="21"/>
                <w:szCs w:val="21"/>
                <w:highlight w:val="none"/>
                <w:lang w:bidi="ar"/>
              </w:rPr>
              <w:t>4.接入图片格式：JPEG；</w:t>
            </w:r>
            <w:r>
              <w:rPr>
                <w:rFonts w:hint="eastAsia"/>
                <w:color w:val="000000"/>
                <w:sz w:val="21"/>
                <w:szCs w:val="21"/>
                <w:highlight w:val="none"/>
                <w:lang w:bidi="ar"/>
              </w:rPr>
              <w:br w:type="textWrapping"/>
            </w:r>
            <w:r>
              <w:rPr>
                <w:rFonts w:hint="eastAsia"/>
                <w:color w:val="000000"/>
                <w:sz w:val="21"/>
                <w:szCs w:val="21"/>
                <w:highlight w:val="none"/>
                <w:lang w:bidi="ar"/>
              </w:rPr>
              <w:t>5.SATA接口：4个内部SATA，支持1/2/3/4/6TB，一个外置eSATA；</w:t>
            </w:r>
            <w:r>
              <w:rPr>
                <w:rFonts w:hint="eastAsia"/>
                <w:color w:val="000000"/>
                <w:sz w:val="21"/>
                <w:szCs w:val="21"/>
                <w:highlight w:val="none"/>
                <w:lang w:bidi="ar"/>
              </w:rPr>
              <w:br w:type="textWrapping"/>
            </w:r>
            <w:r>
              <w:rPr>
                <w:rFonts w:hint="eastAsia"/>
                <w:color w:val="000000"/>
                <w:sz w:val="21"/>
                <w:szCs w:val="21"/>
                <w:highlight w:val="none"/>
                <w:lang w:bidi="ar"/>
              </w:rPr>
              <w:t>6.视频输入：支持16路1080P/30fpsH264/H265解码；</w:t>
            </w:r>
            <w:r>
              <w:rPr>
                <w:rFonts w:hint="eastAsia"/>
                <w:color w:val="000000"/>
                <w:sz w:val="21"/>
                <w:szCs w:val="21"/>
                <w:highlight w:val="none"/>
                <w:lang w:bidi="ar"/>
              </w:rPr>
              <w:br w:type="textWrapping"/>
            </w:r>
            <w:r>
              <w:rPr>
                <w:rFonts w:hint="eastAsia"/>
                <w:color w:val="000000"/>
                <w:sz w:val="21"/>
                <w:szCs w:val="21"/>
                <w:highlight w:val="none"/>
                <w:lang w:bidi="ar"/>
              </w:rPr>
              <w:t>7.视频输出：1路CVBS，1路VGA，1路HDMI；</w:t>
            </w:r>
            <w:r>
              <w:rPr>
                <w:rFonts w:hint="eastAsia"/>
                <w:color w:val="000000"/>
                <w:sz w:val="21"/>
                <w:szCs w:val="21"/>
                <w:highlight w:val="none"/>
                <w:lang w:bidi="ar"/>
              </w:rPr>
              <w:br w:type="textWrapping"/>
            </w:r>
            <w:r>
              <w:rPr>
                <w:rFonts w:hint="eastAsia"/>
                <w:color w:val="000000"/>
                <w:sz w:val="21"/>
                <w:szCs w:val="21"/>
                <w:highlight w:val="none"/>
                <w:lang w:bidi="ar"/>
              </w:rPr>
              <w:t>8.网络接口：16个百兆网口；</w:t>
            </w:r>
            <w:r>
              <w:rPr>
                <w:rFonts w:hint="eastAsia"/>
                <w:color w:val="000000"/>
                <w:sz w:val="21"/>
                <w:szCs w:val="21"/>
                <w:highlight w:val="none"/>
                <w:lang w:bidi="ar"/>
              </w:rPr>
              <w:br w:type="textWrapping"/>
            </w:r>
            <w:r>
              <w:rPr>
                <w:rFonts w:hint="eastAsia"/>
                <w:color w:val="000000"/>
                <w:sz w:val="21"/>
                <w:szCs w:val="21"/>
                <w:highlight w:val="none"/>
                <w:lang w:bidi="ar"/>
              </w:rPr>
              <w:t>9.NTP校时：支持NTP网络校时；</w:t>
            </w:r>
            <w:r>
              <w:rPr>
                <w:rFonts w:hint="eastAsia"/>
                <w:color w:val="000000"/>
                <w:sz w:val="21"/>
                <w:szCs w:val="21"/>
                <w:highlight w:val="none"/>
                <w:lang w:bidi="ar"/>
              </w:rPr>
              <w:br w:type="textWrapping"/>
            </w:r>
            <w:r>
              <w:rPr>
                <w:rFonts w:hint="eastAsia"/>
                <w:color w:val="000000"/>
                <w:sz w:val="21"/>
                <w:szCs w:val="21"/>
                <w:highlight w:val="none"/>
                <w:lang w:bidi="ar"/>
              </w:rPr>
              <w:t>10.交互控制：支持web界面远程控制，本机界面操作；</w:t>
            </w:r>
            <w:r>
              <w:rPr>
                <w:rFonts w:hint="eastAsia"/>
                <w:color w:val="000000"/>
                <w:sz w:val="21"/>
                <w:szCs w:val="21"/>
                <w:highlight w:val="none"/>
                <w:lang w:bidi="ar"/>
              </w:rPr>
              <w:br w:type="textWrapping"/>
            </w:r>
            <w:r>
              <w:rPr>
                <w:rFonts w:hint="eastAsia"/>
                <w:color w:val="000000"/>
                <w:sz w:val="21"/>
                <w:szCs w:val="21"/>
                <w:highlight w:val="none"/>
                <w:lang w:bidi="ar"/>
              </w:rPr>
              <w:t>11.支持协议：ONVIF、GB28181、TCP/IP、UDP、RTSP、HTTP、GA/T1400；</w:t>
            </w:r>
            <w:r>
              <w:rPr>
                <w:rFonts w:hint="eastAsia"/>
                <w:color w:val="000000"/>
                <w:sz w:val="21"/>
                <w:szCs w:val="21"/>
                <w:highlight w:val="none"/>
                <w:lang w:bidi="ar"/>
              </w:rPr>
              <w:br w:type="textWrapping"/>
            </w:r>
            <w:r>
              <w:rPr>
                <w:rFonts w:hint="eastAsia"/>
                <w:color w:val="000000"/>
                <w:sz w:val="21"/>
                <w:szCs w:val="21"/>
                <w:highlight w:val="none"/>
                <w:lang w:bidi="ar"/>
              </w:rPr>
              <w:t>12.算法识别：支持车牌、车标、车型、车身颜色等；</w:t>
            </w:r>
            <w:r>
              <w:rPr>
                <w:rFonts w:hint="eastAsia"/>
                <w:color w:val="000000"/>
                <w:sz w:val="21"/>
                <w:szCs w:val="21"/>
                <w:highlight w:val="none"/>
                <w:lang w:bidi="ar"/>
              </w:rPr>
              <w:br w:type="textWrapping"/>
            </w:r>
            <w:r>
              <w:rPr>
                <w:rFonts w:hint="eastAsia"/>
                <w:color w:val="000000"/>
                <w:sz w:val="21"/>
                <w:szCs w:val="21"/>
                <w:highlight w:val="none"/>
                <w:lang w:bidi="ar"/>
              </w:rPr>
              <w:t>13.防水等级：IP41；</w:t>
            </w:r>
            <w:r>
              <w:rPr>
                <w:rFonts w:hint="eastAsia"/>
                <w:color w:val="000000"/>
                <w:sz w:val="21"/>
                <w:szCs w:val="21"/>
                <w:highlight w:val="none"/>
                <w:lang w:bidi="ar"/>
              </w:rPr>
              <w:br w:type="textWrapping"/>
            </w:r>
            <w:r>
              <w:rPr>
                <w:rFonts w:hint="eastAsia"/>
                <w:color w:val="000000"/>
                <w:sz w:val="21"/>
                <w:szCs w:val="21"/>
                <w:highlight w:val="none"/>
                <w:lang w:bidi="ar"/>
              </w:rPr>
              <w:t>14.散热：满足硬件功耗散热；</w:t>
            </w:r>
            <w:r>
              <w:rPr>
                <w:rFonts w:hint="eastAsia"/>
                <w:color w:val="000000"/>
                <w:sz w:val="21"/>
                <w:szCs w:val="21"/>
                <w:highlight w:val="none"/>
                <w:lang w:bidi="ar"/>
              </w:rPr>
              <w:br w:type="textWrapping"/>
            </w:r>
            <w:r>
              <w:rPr>
                <w:rFonts w:hint="eastAsia"/>
                <w:color w:val="000000"/>
                <w:sz w:val="21"/>
                <w:szCs w:val="21"/>
                <w:highlight w:val="none"/>
                <w:lang w:bidi="ar"/>
              </w:rPr>
              <w:t>15.电压：DC12V±10%；</w:t>
            </w:r>
            <w:r>
              <w:rPr>
                <w:rFonts w:hint="eastAsia"/>
                <w:color w:val="000000"/>
                <w:sz w:val="21"/>
                <w:szCs w:val="21"/>
                <w:highlight w:val="none"/>
                <w:lang w:bidi="ar"/>
              </w:rPr>
              <w:br w:type="textWrapping"/>
            </w:r>
            <w:r>
              <w:rPr>
                <w:rFonts w:hint="eastAsia"/>
                <w:color w:val="000000"/>
                <w:sz w:val="21"/>
                <w:szCs w:val="21"/>
                <w:highlight w:val="none"/>
                <w:lang w:bidi="ar"/>
              </w:rPr>
              <w:t>16.温度：-40℃~70℃。</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智能车辆感知一体机</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1.组成：由主控单元、射频天线单元、视频感知单元、射频控制与处理单元、视频控制与处理单元等组成；</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2.气候环境适应性：工作温度-40℃~+75℃、相对湿度20％~93％(40℃)；</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3.设备状态管理：具备运行状态监控、参数配置、程序升级、日志记录等功能；</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4.电源：85VAC~264VAC，频率:50±2Hz；</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5.防护等级:IP65等级。</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6.工作频段：920MHz～925MHz，定频、跳频可配置；</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7.空中接口协议：符合GB/T29768-2013规定要求；</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8.通信接口：主控单元具备通信接口，通信接口符合GB/T35786-2017中的5.1.6的要求；</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9.射频接口：射频接口连接器符合GB/T11313.16的要求；</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10.射频输出功率可调(+15至30dBm)；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11.射频静态读距离：≥25m；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12.接收灵敏度：≤-65dBm；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13.身份信息识读：能同时识读机动车的车辆身份标识符以及电动自行车的车辆身份标识符和号牌号码；</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14.射频触发：识别设备通过射频识别读到车辆身份标识符时，能触发抓拍车辆图像；</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15.多目标识读：能准确识读同一时段内的至少10辆电动自行车的车辆身份标识符；</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16.采用1英寸900万像素高帧率彩色全局曝光CMOS高清智能摄像机，最大分辨率可达4096*2160，帧率25帧；</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17.输出图片格式：JPEG；</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18.支持非机动车车牌识别和违法行为抓拍，主要包括非占机、闯红灯、逆行、载人、未戴头盔、加装伞棚、闯禁行等违法行为的智能识别；</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19.电动自行车轨迹跟踪：支持在其视频识别范围内对电动自行车通行轨迹进行跟踪的同时识读身份信息；</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20.支持对涂改号牌、遮挡号牌、假牌违法等数据过滤；</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21.脱机工作：在网络通信中断情况下，能采用循环覆盖的方式存储信息，通信恢复后能将识别设备中存储的信息及时上传；22.内含公安部授权安全模块，采用SM7加密技术实现双向认证和加、解密功能；</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23.符合GB35114-2017的要求。</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智能高清摄像机</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rPr>
                <w:rFonts w:hint="eastAsia"/>
                <w:sz w:val="21"/>
                <w:szCs w:val="21"/>
                <w:highlight w:val="none"/>
              </w:rPr>
            </w:pPr>
            <w:r>
              <w:rPr>
                <w:rFonts w:hint="eastAsia"/>
                <w:sz w:val="21"/>
                <w:szCs w:val="21"/>
                <w:highlight w:val="none"/>
              </w:rPr>
              <w:t>1.分辨率≥3840*2160；传感器靶面≥1/1.8英寸，镜头焦距≥2.8-12mm；</w:t>
            </w:r>
          </w:p>
          <w:p>
            <w:pPr>
              <w:widowControl/>
              <w:spacing w:line="240" w:lineRule="auto"/>
              <w:ind w:firstLine="0" w:firstLineChars="0"/>
              <w:rPr>
                <w:rFonts w:hint="eastAsia"/>
                <w:sz w:val="21"/>
                <w:szCs w:val="21"/>
                <w:highlight w:val="none"/>
              </w:rPr>
            </w:pPr>
            <w:r>
              <w:rPr>
                <w:rFonts w:hint="eastAsia"/>
                <w:sz w:val="21"/>
                <w:szCs w:val="21"/>
                <w:highlight w:val="none"/>
              </w:rPr>
              <w:t>2.内置≥1个CPU、GPU、NPU—体化芯片；</w:t>
            </w:r>
          </w:p>
          <w:p>
            <w:pPr>
              <w:widowControl/>
              <w:spacing w:line="240" w:lineRule="auto"/>
              <w:ind w:firstLine="0" w:firstLineChars="0"/>
              <w:rPr>
                <w:rFonts w:hint="eastAsia"/>
                <w:sz w:val="21"/>
                <w:szCs w:val="21"/>
                <w:highlight w:val="none"/>
              </w:rPr>
            </w:pPr>
            <w:r>
              <w:rPr>
                <w:rFonts w:hint="eastAsia"/>
                <w:sz w:val="21"/>
                <w:szCs w:val="21"/>
                <w:highlight w:val="none"/>
              </w:rPr>
              <w:t>3.内置红外和柔光补光，红外补光距离≥50米，柔光≥30米；</w:t>
            </w:r>
          </w:p>
          <w:p>
            <w:pPr>
              <w:widowControl/>
              <w:spacing w:line="240" w:lineRule="auto"/>
              <w:ind w:firstLine="0" w:firstLineChars="0"/>
              <w:rPr>
                <w:rFonts w:hint="eastAsia"/>
                <w:sz w:val="21"/>
                <w:szCs w:val="21"/>
                <w:highlight w:val="none"/>
              </w:rPr>
            </w:pPr>
            <w:r>
              <w:rPr>
                <w:rFonts w:hint="eastAsia"/>
                <w:sz w:val="21"/>
                <w:szCs w:val="21"/>
                <w:highlight w:val="none"/>
              </w:rPr>
              <w:t>4.支持下面5种多算法切换运行：1）目标智能2）车辆智能3）行为分析智能4）态势分析智能5）普通事件分析</w:t>
            </w:r>
          </w:p>
          <w:p>
            <w:pPr>
              <w:widowControl/>
              <w:spacing w:line="240" w:lineRule="auto"/>
              <w:ind w:firstLine="0" w:firstLineChars="0"/>
              <w:rPr>
                <w:rFonts w:hint="eastAsia"/>
                <w:sz w:val="21"/>
                <w:szCs w:val="21"/>
                <w:highlight w:val="none"/>
              </w:rPr>
            </w:pPr>
            <w:r>
              <w:rPr>
                <w:rFonts w:hint="eastAsia"/>
                <w:sz w:val="21"/>
                <w:szCs w:val="21"/>
                <w:highlight w:val="none"/>
              </w:rPr>
              <w:t>5.支持多角度人脸检测功能，支持检出水平转动角不超过±90°，俯仰角不超过±60°，倾斜角不超过±45°姿态角度的人脸抓拍；支持对运动人脸进行检测、跟踪、抓拍、评分、筛选，输出最优的人脸抓拍图，最佳人脸抓拍模式支持单张或多张目标快照输出，人脸抓拍率≥99%，支持对最佳人脸抓拍图片筛选去重，重复率≤1%；</w:t>
            </w:r>
          </w:p>
          <w:p>
            <w:pPr>
              <w:widowControl/>
              <w:spacing w:line="240" w:lineRule="auto"/>
              <w:ind w:firstLine="0" w:firstLineChars="0"/>
              <w:rPr>
                <w:rFonts w:hint="eastAsia"/>
                <w:sz w:val="21"/>
                <w:szCs w:val="21"/>
                <w:highlight w:val="none"/>
              </w:rPr>
            </w:pPr>
            <w:r>
              <w:rPr>
                <w:rFonts w:hint="eastAsia"/>
                <w:sz w:val="21"/>
                <w:szCs w:val="21"/>
                <w:highlight w:val="none"/>
              </w:rPr>
              <w:t>6.支持对经过监控画面中的行人进行（自上而下，自下而上）的人流量统计，支持双向通行的人数统计，准确率≥99%，支持报表统计，支持日报表、周报表、月报表、年报表；</w:t>
            </w:r>
          </w:p>
          <w:p>
            <w:pPr>
              <w:widowControl/>
              <w:spacing w:line="240" w:lineRule="auto"/>
              <w:ind w:firstLine="0" w:firstLineChars="0"/>
              <w:rPr>
                <w:rFonts w:hint="eastAsia"/>
                <w:sz w:val="21"/>
                <w:szCs w:val="21"/>
                <w:highlight w:val="none"/>
              </w:rPr>
            </w:pPr>
            <w:r>
              <w:rPr>
                <w:rFonts w:hint="eastAsia"/>
                <w:sz w:val="21"/>
                <w:szCs w:val="21"/>
                <w:highlight w:val="none"/>
              </w:rPr>
              <w:t>7.具有智能分析功能（如：人员聚集、过线统计、区域入侵检测、越线检测、视频遮挡、场景变更、虚焦检测、徘徊检测、遗留检测、物品移走检测、移动侦测、区域进入/离开、停车侦测）支持将智能分析结果传递至客户端。平均捕获率≥99%，平均准确率≥99%；</w:t>
            </w:r>
          </w:p>
          <w:p>
            <w:pPr>
              <w:widowControl/>
              <w:spacing w:line="240" w:lineRule="auto"/>
              <w:ind w:firstLine="0" w:firstLineChars="0"/>
              <w:rPr>
                <w:rFonts w:hint="eastAsia"/>
                <w:sz w:val="21"/>
                <w:szCs w:val="21"/>
                <w:highlight w:val="none"/>
              </w:rPr>
            </w:pPr>
            <w:r>
              <w:rPr>
                <w:rFonts w:hint="eastAsia"/>
                <w:sz w:val="21"/>
                <w:szCs w:val="21"/>
                <w:highlight w:val="none"/>
              </w:rPr>
              <w:t>8.支持机动车、非机动车、行人等目标检测功能，其中非机动车抓拍可对自行车、电瓶车、三轮车进行抓拍，支持摩托车抓拍功能。支持对非机动车的骑行人进行属性识别，机动车和非机动车及行人捕获率不低于99%</w:t>
            </w:r>
          </w:p>
          <w:p>
            <w:pPr>
              <w:widowControl/>
              <w:spacing w:line="240" w:lineRule="auto"/>
              <w:ind w:firstLine="0" w:firstLineChars="0"/>
              <w:rPr>
                <w:rFonts w:hint="eastAsia"/>
                <w:sz w:val="21"/>
                <w:szCs w:val="21"/>
                <w:highlight w:val="none"/>
              </w:rPr>
            </w:pPr>
            <w:r>
              <w:rPr>
                <w:rFonts w:hint="eastAsia"/>
                <w:sz w:val="21"/>
                <w:szCs w:val="21"/>
                <w:highlight w:val="none"/>
              </w:rPr>
              <w:t>9.具有不少于如下接口：1个RJ45为10M/100M/1000M自适应网络接口、1路音频输入、1路音频输出、2路告警输入、1路告警输出、内置双路MIC、内置扬声器；</w:t>
            </w:r>
          </w:p>
          <w:p>
            <w:pPr>
              <w:widowControl/>
              <w:spacing w:line="240" w:lineRule="auto"/>
              <w:ind w:firstLine="0" w:firstLineChars="0"/>
              <w:rPr>
                <w:rFonts w:hint="eastAsia"/>
                <w:sz w:val="21"/>
                <w:szCs w:val="21"/>
                <w:highlight w:val="none"/>
              </w:rPr>
            </w:pPr>
            <w:r>
              <w:rPr>
                <w:rFonts w:hint="eastAsia"/>
                <w:sz w:val="21"/>
                <w:szCs w:val="21"/>
                <w:highlight w:val="none"/>
              </w:rPr>
              <w:t>10.应能在DC12V±30%范围内正常工作，支持POE供电；防护等级：IP67；</w:t>
            </w:r>
          </w:p>
          <w:p>
            <w:pPr>
              <w:widowControl/>
              <w:spacing w:line="240" w:lineRule="auto"/>
              <w:ind w:firstLine="0" w:firstLineChars="0"/>
              <w:rPr>
                <w:rFonts w:hint="eastAsia"/>
                <w:sz w:val="21"/>
                <w:szCs w:val="21"/>
                <w:highlight w:val="none"/>
              </w:rPr>
            </w:pPr>
            <w:r>
              <w:rPr>
                <w:rFonts w:hint="eastAsia"/>
                <w:sz w:val="21"/>
                <w:szCs w:val="21"/>
                <w:highlight w:val="none"/>
              </w:rPr>
              <w:t>11.设备搭载国产化操作系统。</w:t>
            </w:r>
          </w:p>
          <w:p>
            <w:pPr>
              <w:widowControl/>
              <w:spacing w:line="240" w:lineRule="auto"/>
              <w:ind w:firstLine="0" w:firstLineChars="0"/>
              <w:textAlignment w:val="center"/>
              <w:rPr>
                <w:rFonts w:hint="eastAsia"/>
                <w:color w:val="000000"/>
                <w:sz w:val="21"/>
                <w:szCs w:val="21"/>
                <w:highlight w:val="none"/>
              </w:rPr>
            </w:pPr>
            <w:r>
              <w:rPr>
                <w:rFonts w:hint="eastAsia"/>
                <w:sz w:val="21"/>
                <w:szCs w:val="21"/>
                <w:highlight w:val="none"/>
              </w:rPr>
              <w:t>12、支持自动识别背光、运动速度、雾（雨）天、正常等场景，并能在&lt;1S的时间内快速自适应调整响应的图像参数。</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88</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双舱感知人像抓拍摄像机</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Style w:val="38"/>
                <w:rFonts w:hint="default" w:ascii="仿宋" w:hAnsi="仿宋" w:eastAsia="仿宋" w:cs="仿宋"/>
                <w:sz w:val="21"/>
                <w:szCs w:val="21"/>
                <w:highlight w:val="none"/>
                <w:lang w:bidi="ar"/>
              </w:rPr>
              <w:t>1.内置1个CPU、GPU、NPU—体化芯片；</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2.传感器靶面均≥1/1.8"</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3.内置传感器全景、细节两路分辨率均≥2688</w:t>
            </w:r>
            <w:r>
              <w:rPr>
                <w:rStyle w:val="38"/>
                <w:rFonts w:hint="default" w:cs="仿宋"/>
                <w:sz w:val="21"/>
                <w:szCs w:val="21"/>
                <w:highlight w:val="none"/>
                <w:lang w:bidi="ar"/>
              </w:rPr>
              <w:t>*</w:t>
            </w:r>
            <w:r>
              <w:rPr>
                <w:rStyle w:val="38"/>
                <w:rFonts w:hint="default" w:ascii="仿宋" w:hAnsi="仿宋" w:eastAsia="仿宋" w:cs="仿宋"/>
                <w:sz w:val="21"/>
                <w:szCs w:val="21"/>
                <w:highlight w:val="none"/>
                <w:lang w:bidi="ar"/>
              </w:rPr>
              <w:t>1520；</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4.全景路镜头焦距：4mm，细节路镜头8mm-32mm；</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5.具有语音对讲功能，具有音频自动增益，回声消除，去混响，啸叫抑制，降噪，二次降噪，抗削波设置选项；</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6.在同一个视频画面中，最多可同时检测200个运动人体目标，可检测、跟踪、抓拍≥120个运动人体目标，支持人体检测、跟踪、抓拍，支持正面、背面双向抓拍，抓拍率≥99%，支持最佳人体（通过像素点最多、遮挡比例最小等条件判断）全貌抓拍筛选去重，重复率≤1%</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7.在同一个视频画面中，最多可同时检测200个运动人脸目标，可检测、跟踪、抓拍≥120个运动人脸目标，支持对运动人脸进行检测、跟踪、抓拍、评分、筛选，输出最优的人脸抓图，最佳人脸抓拍模式支持单张或多张目标快照输出，人脸抓拍率≥99%支持对人脸最佳抓拍图片（通过像素点最多、遮挡比例最小等条件判断）筛选去重，重复率≤1%</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8.支持多角度人脸检测功能，支持检出水平转动角不超过±90°，俯仰角不超过±60°，倾斜角不超过±45°姿态角度的人脸抓拍</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9.支持机动车、非机动车、行人等目标检测功能，其中非机动车抓拍可对自行车、电瓶车、三轮车进行抓拍，支持摩托车抓拍功能。可最多检测出100个同时出现在视频图像中的机动车、非机动车及行人等目标</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10.支持以下非机动车类型识别功能：</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w:t>
            </w:r>
            <w:r>
              <w:rPr>
                <w:sz w:val="21"/>
                <w:szCs w:val="21"/>
                <w:highlight w:val="none"/>
              </w:rPr>
              <w:t>共享单车类型，包括</w:t>
            </w:r>
            <w:r>
              <w:rPr>
                <w:rFonts w:hint="eastAsia"/>
                <w:sz w:val="21"/>
                <w:szCs w:val="21"/>
                <w:highlight w:val="none"/>
              </w:rPr>
              <w:t>市面上常见商家的共享单车</w:t>
            </w:r>
            <w:r>
              <w:rPr>
                <w:sz w:val="21"/>
                <w:szCs w:val="21"/>
                <w:highlight w:val="none"/>
              </w:rPr>
              <w:t>；</w:t>
            </w:r>
            <w:r>
              <w:rPr>
                <w:sz w:val="21"/>
                <w:szCs w:val="21"/>
                <w:highlight w:val="none"/>
              </w:rPr>
              <w:br w:type="textWrapping"/>
            </w:r>
            <w:r>
              <w:rPr>
                <w:sz w:val="21"/>
                <w:szCs w:val="21"/>
                <w:highlight w:val="none"/>
              </w:rPr>
              <w:t>2、外卖车类型，包括</w:t>
            </w:r>
            <w:r>
              <w:rPr>
                <w:rFonts w:hint="eastAsia"/>
                <w:sz w:val="21"/>
                <w:szCs w:val="21"/>
                <w:highlight w:val="none"/>
              </w:rPr>
              <w:t>但不限于美团、饿了么、京东到家，以及普通电动自行车等</w:t>
            </w:r>
            <w:r>
              <w:rPr>
                <w:sz w:val="21"/>
                <w:szCs w:val="21"/>
                <w:highlight w:val="none"/>
              </w:rPr>
              <w:t>；</w:t>
            </w:r>
            <w:r>
              <w:rPr>
                <w:sz w:val="21"/>
                <w:szCs w:val="21"/>
                <w:highlight w:val="none"/>
              </w:rPr>
              <w:br w:type="textWrapping"/>
            </w:r>
            <w:r>
              <w:rPr>
                <w:sz w:val="21"/>
                <w:szCs w:val="21"/>
                <w:highlight w:val="none"/>
              </w:rPr>
              <w:t>3、快递车类型，</w:t>
            </w:r>
            <w:r>
              <w:rPr>
                <w:rFonts w:hint="eastAsia"/>
                <w:sz w:val="21"/>
                <w:szCs w:val="21"/>
                <w:highlight w:val="none"/>
              </w:rPr>
              <w:t>包括但不限于京东、申通、顺丰、邮政、圆通、韵达、中通，以及普通三轮车</w:t>
            </w:r>
            <w:r>
              <w:rPr>
                <w:sz w:val="21"/>
                <w:szCs w:val="21"/>
                <w:highlight w:val="none"/>
              </w:rPr>
              <w:t>等</w:t>
            </w:r>
            <w:r>
              <w:rPr>
                <w:rStyle w:val="38"/>
                <w:rFonts w:hint="default" w:ascii="仿宋" w:hAnsi="仿宋" w:eastAsia="仿宋" w:cs="仿宋"/>
                <w:sz w:val="21"/>
                <w:szCs w:val="21"/>
                <w:highlight w:val="none"/>
                <w:lang w:bidi="ar"/>
              </w:rPr>
              <w:t>。</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11.环境温度为25°时，在正常工作条件、异常工作条件和单一故障条件下，设备可触及的外表面和零部件的接触温度应符合GB16796-2022中表6规定的要求</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12.全景、细节两路视频通道均具有图像防抖设置选项</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13.全景、细节两路视频通道均支持智能识别人脸位置，并进行曝光</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14开启全结构化功能后，支持人脸抓拍图和车辆抓拍图曝光时间和增益单独可控，在保证人脸抓拍效果的同时，保证车牌不过曝；</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15.具备有1个RJ45自适应网络接口、1路音频输入接口、1路音频输出接口、2路报警输入、1路报警输出、1路RS485接口、1个MicroSD卡槽、1个复位键、内置双路MIC、内置扬声器；</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16.供电方式：DC12V、POE；</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17.防护等级：IP67、IK10；</w:t>
            </w:r>
            <w:r>
              <w:rPr>
                <w:rStyle w:val="38"/>
                <w:rFonts w:hint="default" w:ascii="仿宋" w:hAnsi="仿宋" w:eastAsia="仿宋" w:cs="仿宋"/>
                <w:sz w:val="21"/>
                <w:szCs w:val="21"/>
                <w:highlight w:val="none"/>
                <w:lang w:bidi="ar"/>
              </w:rPr>
              <w:br w:type="textWrapping"/>
            </w:r>
            <w:r>
              <w:rPr>
                <w:rStyle w:val="39"/>
                <w:rFonts w:hint="default" w:ascii="仿宋" w:hAnsi="仿宋" w:eastAsia="仿宋" w:cs="仿宋"/>
                <w:sz w:val="21"/>
                <w:szCs w:val="21"/>
                <w:highlight w:val="none"/>
                <w:lang w:bidi="ar"/>
              </w:rPr>
              <w:t>18.设备搭载国产化操作系统。</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全方位视觉感知球机</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Style w:val="38"/>
                <w:rFonts w:hint="default" w:ascii="仿宋" w:hAnsi="仿宋" w:eastAsia="仿宋" w:cs="仿宋"/>
                <w:sz w:val="21"/>
                <w:szCs w:val="21"/>
                <w:highlight w:val="none"/>
                <w:lang w:bidi="ar"/>
              </w:rPr>
              <w:t>1.内置两个传感器，分辨率均≥2560</w:t>
            </w:r>
            <w:r>
              <w:rPr>
                <w:rStyle w:val="38"/>
                <w:rFonts w:hint="default" w:cs="仿宋"/>
                <w:sz w:val="21"/>
                <w:szCs w:val="21"/>
                <w:highlight w:val="none"/>
                <w:lang w:bidi="ar"/>
              </w:rPr>
              <w:t>*</w:t>
            </w:r>
            <w:r>
              <w:rPr>
                <w:rStyle w:val="38"/>
                <w:rFonts w:hint="default" w:ascii="仿宋" w:hAnsi="仿宋" w:eastAsia="仿宋" w:cs="仿宋"/>
                <w:sz w:val="21"/>
                <w:szCs w:val="21"/>
                <w:highlight w:val="none"/>
                <w:lang w:bidi="ar"/>
              </w:rPr>
              <w:t>1440，两个传感器靶面均≥1/1.8</w:t>
            </w:r>
            <w:r>
              <w:rPr>
                <w:rStyle w:val="38"/>
                <w:rFonts w:hint="default" w:cs="仿宋"/>
                <w:sz w:val="21"/>
                <w:szCs w:val="21"/>
                <w:highlight w:val="none"/>
                <w:lang w:bidi="ar"/>
              </w:rPr>
              <w:t>英寸</w:t>
            </w:r>
            <w:r>
              <w:rPr>
                <w:rStyle w:val="38"/>
                <w:rFonts w:hint="default" w:ascii="仿宋" w:hAnsi="仿宋" w:eastAsia="仿宋" w:cs="仿宋"/>
                <w:sz w:val="21"/>
                <w:szCs w:val="21"/>
                <w:highlight w:val="none"/>
                <w:lang w:bidi="ar"/>
              </w:rPr>
              <w:t>，不小于5mmF1.0全景镜头，不小于208mm焦距、F1.8~F3.8细节镜头，不低于40倍光学变焦，16倍数字变焦镜头；</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2.内置双核GPU芯片；</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3.支持区域入侵、越界入侵、徘徊、物品移除、物品遗留、人员聚集、停车、快速移动，并联动报警。对人或车辆进入警戒区域后，设备可发出白光警示、声音警示，并启动智能跟踪功能；</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4.采用开放架构，支持快速集成智能算法或应用APP，智能算法或APP可以独立升级；支持智能算法模块动态加载，加载过程中，视频业务不中断；</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5.内置非接触式自清洁装置，干燥天气无水源也可正常工作，可有效除尘，除水，实现视窗自清洁，免维护，保证图像保持清晰。支持定时启停和手动控制；</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6.具有1个RJ4510M/100M自适应网络接口、4路报警输入、2路报警输出、1路音频输入、1路音频输出、1个MicroSD卡槽、1个复位键；</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7.供电方式：AC24V；</w:t>
            </w:r>
            <w:r>
              <w:rPr>
                <w:rStyle w:val="38"/>
                <w:rFonts w:hint="default" w:ascii="仿宋" w:hAnsi="仿宋" w:eastAsia="仿宋" w:cs="仿宋"/>
                <w:sz w:val="21"/>
                <w:szCs w:val="21"/>
                <w:highlight w:val="none"/>
                <w:lang w:bidi="ar"/>
              </w:rPr>
              <w:br w:type="textWrapping"/>
            </w:r>
            <w:r>
              <w:rPr>
                <w:rStyle w:val="38"/>
                <w:rFonts w:hint="default" w:ascii="仿宋" w:hAnsi="仿宋" w:eastAsia="仿宋" w:cs="仿宋"/>
                <w:sz w:val="21"/>
                <w:szCs w:val="21"/>
                <w:highlight w:val="none"/>
                <w:lang w:bidi="ar"/>
              </w:rPr>
              <w:t>8.防护等级不低于：IP67，IK10</w:t>
            </w:r>
            <w:r>
              <w:rPr>
                <w:rStyle w:val="38"/>
                <w:rFonts w:hint="default" w:cs="仿宋"/>
                <w:sz w:val="21"/>
                <w:szCs w:val="21"/>
                <w:highlight w:val="none"/>
                <w:lang w:bidi="ar"/>
              </w:rPr>
              <w:t>。</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68</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1600万180°AR全景摄像机</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图像传感器：全景：不低于1/1.8英寸200万像素CMOS，球机：不低于1/1.8英寸400万像素CMOS</w:t>
            </w:r>
            <w:r>
              <w:rPr>
                <w:rFonts w:hint="eastAsia"/>
                <w:color w:val="000000"/>
                <w:sz w:val="21"/>
                <w:szCs w:val="21"/>
                <w:highlight w:val="none"/>
                <w:lang w:bidi="ar"/>
              </w:rPr>
              <w:br w:type="textWrapping"/>
            </w:r>
            <w:r>
              <w:rPr>
                <w:rFonts w:hint="eastAsia"/>
                <w:color w:val="000000"/>
                <w:sz w:val="21"/>
                <w:szCs w:val="21"/>
                <w:highlight w:val="none"/>
                <w:lang w:bidi="ar"/>
              </w:rPr>
              <w:t>像素：全景：不低于16MP、球机：不低于4MP</w:t>
            </w:r>
            <w:r>
              <w:rPr>
                <w:rFonts w:hint="eastAsia"/>
                <w:color w:val="000000"/>
                <w:sz w:val="21"/>
                <w:szCs w:val="21"/>
                <w:highlight w:val="none"/>
                <w:lang w:bidi="ar"/>
              </w:rPr>
              <w:br w:type="textWrapping"/>
            </w:r>
            <w:r>
              <w:rPr>
                <w:rFonts w:hint="eastAsia"/>
                <w:color w:val="000000"/>
                <w:sz w:val="21"/>
                <w:szCs w:val="21"/>
                <w:highlight w:val="none"/>
                <w:lang w:bidi="ar"/>
              </w:rPr>
              <w:t>最大分辨率：8192(H)*1800(V)</w:t>
            </w:r>
            <w:r>
              <w:rPr>
                <w:rFonts w:hint="eastAsia"/>
                <w:color w:val="000000"/>
                <w:sz w:val="21"/>
                <w:szCs w:val="21"/>
                <w:highlight w:val="none"/>
                <w:lang w:bidi="ar"/>
              </w:rPr>
              <w:br w:type="textWrapping"/>
            </w:r>
            <w:r>
              <w:rPr>
                <w:rFonts w:hint="eastAsia"/>
                <w:color w:val="000000"/>
                <w:sz w:val="21"/>
                <w:szCs w:val="21"/>
                <w:highlight w:val="none"/>
                <w:lang w:bidi="ar"/>
              </w:rPr>
              <w:t>ROM：全景：不少于8GB、球机：不少于8GB</w:t>
            </w:r>
            <w:r>
              <w:rPr>
                <w:rFonts w:hint="eastAsia"/>
                <w:color w:val="000000"/>
                <w:sz w:val="21"/>
                <w:szCs w:val="21"/>
                <w:highlight w:val="none"/>
                <w:lang w:bidi="ar"/>
              </w:rPr>
              <w:br w:type="textWrapping"/>
            </w:r>
            <w:r>
              <w:rPr>
                <w:rFonts w:hint="eastAsia"/>
                <w:color w:val="000000"/>
                <w:sz w:val="21"/>
                <w:szCs w:val="21"/>
                <w:highlight w:val="none"/>
                <w:lang w:bidi="ar"/>
              </w:rPr>
              <w:t>内存：全景：不少于4GB、球机：不少于2GB</w:t>
            </w:r>
            <w:r>
              <w:rPr>
                <w:rFonts w:hint="eastAsia"/>
                <w:color w:val="000000"/>
                <w:sz w:val="21"/>
                <w:szCs w:val="21"/>
                <w:highlight w:val="none"/>
                <w:lang w:bidi="ar"/>
              </w:rPr>
              <w:br w:type="textWrapping"/>
            </w:r>
            <w:r>
              <w:rPr>
                <w:rFonts w:hint="eastAsia"/>
                <w:color w:val="000000"/>
                <w:sz w:val="21"/>
                <w:szCs w:val="21"/>
                <w:highlight w:val="none"/>
                <w:lang w:bidi="ar"/>
              </w:rPr>
              <w:t>扫描方式：逐行扫描</w:t>
            </w:r>
            <w:r>
              <w:rPr>
                <w:rFonts w:hint="eastAsia"/>
                <w:color w:val="000000"/>
                <w:sz w:val="21"/>
                <w:szCs w:val="21"/>
                <w:highlight w:val="none"/>
                <w:lang w:bidi="ar"/>
              </w:rPr>
              <w:br w:type="textWrapping"/>
            </w:r>
            <w:r>
              <w:rPr>
                <w:rFonts w:hint="eastAsia"/>
                <w:color w:val="000000"/>
                <w:sz w:val="21"/>
                <w:szCs w:val="21"/>
                <w:highlight w:val="none"/>
                <w:lang w:bidi="ar"/>
              </w:rPr>
              <w:t>电子快门：自动/手动1/3秒–1/100,000秒</w:t>
            </w:r>
            <w:r>
              <w:rPr>
                <w:rFonts w:hint="eastAsia"/>
                <w:color w:val="000000"/>
                <w:sz w:val="21"/>
                <w:szCs w:val="21"/>
                <w:highlight w:val="none"/>
                <w:lang w:bidi="ar"/>
              </w:rPr>
              <w:br w:type="textWrapping"/>
            </w:r>
            <w:r>
              <w:rPr>
                <w:rFonts w:hint="eastAsia"/>
                <w:color w:val="000000"/>
                <w:sz w:val="21"/>
                <w:szCs w:val="21"/>
                <w:highlight w:val="none"/>
                <w:lang w:bidi="ar"/>
              </w:rPr>
              <w:t>最低照度：全景：0.0005lux@F1.0（彩色模式）0.0002lux@F1.0（黑白模式），球机：0.001lux@F1.4（彩色模式），0.0005lux（黑白模式）;0lux（补光灯开启）</w:t>
            </w:r>
            <w:r>
              <w:rPr>
                <w:rFonts w:hint="eastAsia"/>
                <w:color w:val="000000"/>
                <w:sz w:val="21"/>
                <w:szCs w:val="21"/>
                <w:highlight w:val="none"/>
                <w:lang w:bidi="ar"/>
              </w:rPr>
              <w:br w:type="textWrapping"/>
            </w:r>
            <w:r>
              <w:rPr>
                <w:rFonts w:hint="eastAsia"/>
                <w:color w:val="000000"/>
                <w:sz w:val="21"/>
                <w:szCs w:val="21"/>
                <w:highlight w:val="none"/>
                <w:lang w:bidi="ar"/>
              </w:rPr>
              <w:t>信噪比：&gt;56dB</w:t>
            </w:r>
            <w:r>
              <w:rPr>
                <w:rFonts w:hint="eastAsia"/>
                <w:color w:val="000000"/>
                <w:sz w:val="21"/>
                <w:szCs w:val="21"/>
                <w:highlight w:val="none"/>
                <w:lang w:bidi="ar"/>
              </w:rPr>
              <w:br w:type="textWrapping"/>
            </w:r>
            <w:r>
              <w:rPr>
                <w:rFonts w:hint="eastAsia"/>
                <w:color w:val="000000"/>
                <w:sz w:val="21"/>
                <w:szCs w:val="21"/>
                <w:highlight w:val="none"/>
                <w:lang w:bidi="ar"/>
              </w:rPr>
              <w:t>最大补光距离：全景：不涉及，球机：≥400m</w:t>
            </w:r>
            <w:r>
              <w:rPr>
                <w:rFonts w:hint="eastAsia"/>
                <w:color w:val="000000"/>
                <w:sz w:val="21"/>
                <w:szCs w:val="21"/>
                <w:highlight w:val="none"/>
                <w:lang w:bidi="ar"/>
              </w:rPr>
              <w:br w:type="textWrapping"/>
            </w:r>
            <w:r>
              <w:rPr>
                <w:rFonts w:hint="eastAsia"/>
                <w:color w:val="000000"/>
                <w:sz w:val="21"/>
                <w:szCs w:val="21"/>
                <w:highlight w:val="none"/>
                <w:lang w:bidi="ar"/>
              </w:rPr>
              <w:t>补光灯：7（红外LED）</w:t>
            </w:r>
            <w:r>
              <w:rPr>
                <w:rFonts w:hint="eastAsia"/>
                <w:color w:val="000000"/>
                <w:sz w:val="21"/>
                <w:szCs w:val="21"/>
                <w:highlight w:val="none"/>
                <w:lang w:bidi="ar"/>
              </w:rPr>
              <w:br w:type="textWrapping"/>
            </w:r>
            <w:r>
              <w:rPr>
                <w:rFonts w:hint="eastAsia"/>
                <w:color w:val="000000"/>
                <w:sz w:val="21"/>
                <w:szCs w:val="21"/>
                <w:highlight w:val="none"/>
                <w:lang w:bidi="ar"/>
              </w:rPr>
              <w:t>镜头类型：全景：定焦，球机：变焦</w:t>
            </w:r>
            <w:r>
              <w:rPr>
                <w:rFonts w:hint="eastAsia"/>
                <w:color w:val="000000"/>
                <w:sz w:val="21"/>
                <w:szCs w:val="21"/>
                <w:highlight w:val="none"/>
                <w:lang w:bidi="ar"/>
              </w:rPr>
              <w:br w:type="textWrapping"/>
            </w:r>
            <w:r>
              <w:rPr>
                <w:rFonts w:hint="eastAsia"/>
                <w:color w:val="000000"/>
                <w:sz w:val="21"/>
                <w:szCs w:val="21"/>
                <w:highlight w:val="none"/>
                <w:lang w:bidi="ar"/>
              </w:rPr>
              <w:t>焦距：全景：2.8mm，球机：5.5mm-220mm</w:t>
            </w:r>
            <w:r>
              <w:rPr>
                <w:rFonts w:hint="eastAsia"/>
                <w:color w:val="000000"/>
                <w:sz w:val="21"/>
                <w:szCs w:val="21"/>
                <w:highlight w:val="none"/>
                <w:lang w:bidi="ar"/>
              </w:rPr>
              <w:br w:type="textWrapping"/>
            </w:r>
            <w:r>
              <w:rPr>
                <w:rFonts w:hint="eastAsia"/>
                <w:color w:val="000000"/>
                <w:sz w:val="21"/>
                <w:szCs w:val="21"/>
                <w:highlight w:val="none"/>
                <w:lang w:bidi="ar"/>
              </w:rPr>
              <w:t>最大光圈：全景：F1.0，球机：F1.4</w:t>
            </w:r>
            <w:r>
              <w:rPr>
                <w:rFonts w:hint="eastAsia"/>
                <w:color w:val="000000"/>
                <w:sz w:val="21"/>
                <w:szCs w:val="21"/>
                <w:highlight w:val="none"/>
                <w:lang w:bidi="ar"/>
              </w:rPr>
              <w:br w:type="textWrapping"/>
            </w:r>
            <w:r>
              <w:rPr>
                <w:rFonts w:hint="eastAsia"/>
                <w:color w:val="000000"/>
                <w:sz w:val="21"/>
                <w:szCs w:val="21"/>
                <w:highlight w:val="none"/>
                <w:lang w:bidi="ar"/>
              </w:rPr>
              <w:t>视场角：全景：H:360°;V:111°，球机：H:2.2°–61.8°;V:1.3°–36.3°;D:2.4°–69.2°</w:t>
            </w:r>
            <w:r>
              <w:rPr>
                <w:rFonts w:hint="eastAsia"/>
                <w:color w:val="000000"/>
                <w:sz w:val="21"/>
                <w:szCs w:val="21"/>
                <w:highlight w:val="none"/>
                <w:lang w:bidi="ar"/>
              </w:rPr>
              <w:br w:type="textWrapping"/>
            </w:r>
            <w:r>
              <w:rPr>
                <w:rFonts w:hint="eastAsia"/>
                <w:color w:val="000000"/>
                <w:sz w:val="21"/>
                <w:szCs w:val="21"/>
                <w:highlight w:val="none"/>
                <w:lang w:bidi="ar"/>
              </w:rPr>
              <w:t>光圈控制：全景：固定，球机：自动</w:t>
            </w:r>
            <w:r>
              <w:rPr>
                <w:rFonts w:hint="eastAsia"/>
                <w:color w:val="000000"/>
                <w:sz w:val="21"/>
                <w:szCs w:val="21"/>
                <w:highlight w:val="none"/>
                <w:lang w:bidi="ar"/>
              </w:rPr>
              <w:br w:type="textWrapping"/>
            </w:r>
            <w:r>
              <w:rPr>
                <w:rFonts w:hint="eastAsia"/>
                <w:color w:val="000000"/>
                <w:sz w:val="21"/>
                <w:szCs w:val="21"/>
                <w:highlight w:val="none"/>
                <w:lang w:bidi="ar"/>
              </w:rPr>
              <w:t>光圈控制方式：全景：无，球机：P-iris</w:t>
            </w:r>
            <w:r>
              <w:rPr>
                <w:rFonts w:hint="eastAsia"/>
                <w:color w:val="000000"/>
                <w:sz w:val="21"/>
                <w:szCs w:val="21"/>
                <w:highlight w:val="none"/>
                <w:lang w:bidi="ar"/>
              </w:rPr>
              <w:br w:type="textWrapping"/>
            </w:r>
            <w:r>
              <w:rPr>
                <w:rFonts w:hint="eastAsia"/>
                <w:color w:val="000000"/>
                <w:sz w:val="21"/>
                <w:szCs w:val="21"/>
                <w:highlight w:val="none"/>
                <w:lang w:bidi="ar"/>
              </w:rPr>
              <w:t>近摄距：全景：1.4m，球机：0.5m–2m</w:t>
            </w:r>
            <w:r>
              <w:rPr>
                <w:rFonts w:hint="eastAsia"/>
                <w:color w:val="000000"/>
                <w:sz w:val="21"/>
                <w:szCs w:val="21"/>
                <w:highlight w:val="none"/>
                <w:lang w:bidi="ar"/>
              </w:rPr>
              <w:br w:type="textWrapping"/>
            </w:r>
            <w:r>
              <w:rPr>
                <w:rFonts w:hint="eastAsia"/>
                <w:color w:val="000000"/>
                <w:sz w:val="21"/>
                <w:szCs w:val="21"/>
                <w:highlight w:val="none"/>
                <w:lang w:bidi="ar"/>
              </w:rPr>
              <w:t>Dori距离：全景镜头：57.9米（检测）、23.2米（观察）、11.6米（识别）、5.8米（识别）；球机镜头：3030米（检测）、1204米（观察）、606米（识别）、303米（识别）</w:t>
            </w:r>
            <w:r>
              <w:rPr>
                <w:rFonts w:hint="eastAsia"/>
                <w:color w:val="000000"/>
                <w:sz w:val="21"/>
                <w:szCs w:val="21"/>
                <w:highlight w:val="none"/>
                <w:lang w:bidi="ar"/>
              </w:rPr>
              <w:br w:type="textWrapping"/>
            </w:r>
            <w:r>
              <w:rPr>
                <w:rFonts w:hint="eastAsia"/>
                <w:color w:val="000000"/>
                <w:sz w:val="21"/>
                <w:szCs w:val="21"/>
                <w:highlight w:val="none"/>
                <w:lang w:bidi="ar"/>
              </w:rPr>
              <w:t>定位精度：垂直：0.05°，水平：0.05°</w:t>
            </w:r>
            <w:r>
              <w:rPr>
                <w:rFonts w:hint="eastAsia"/>
                <w:color w:val="000000"/>
                <w:sz w:val="21"/>
                <w:szCs w:val="21"/>
                <w:highlight w:val="none"/>
                <w:lang w:bidi="ar"/>
              </w:rPr>
              <w:br w:type="textWrapping"/>
            </w:r>
            <w:r>
              <w:rPr>
                <w:rFonts w:hint="eastAsia"/>
                <w:color w:val="000000"/>
                <w:sz w:val="21"/>
                <w:szCs w:val="21"/>
                <w:highlight w:val="none"/>
                <w:lang w:bidi="ar"/>
              </w:rPr>
              <w:t>RS-485：1个（波特率范围：1200bps–115200bps）</w:t>
            </w:r>
            <w:r>
              <w:rPr>
                <w:rFonts w:hint="eastAsia"/>
                <w:color w:val="000000"/>
                <w:sz w:val="21"/>
                <w:szCs w:val="21"/>
                <w:highlight w:val="none"/>
                <w:lang w:bidi="ar"/>
              </w:rPr>
              <w:br w:type="textWrapping"/>
            </w:r>
            <w:r>
              <w:rPr>
                <w:rFonts w:hint="eastAsia"/>
                <w:color w:val="000000"/>
                <w:sz w:val="21"/>
                <w:szCs w:val="21"/>
                <w:highlight w:val="none"/>
                <w:lang w:bidi="ar"/>
              </w:rPr>
              <w:t>音频输入：不少于2通道（接线端子）</w:t>
            </w:r>
            <w:r>
              <w:rPr>
                <w:rFonts w:hint="eastAsia"/>
                <w:color w:val="000000"/>
                <w:sz w:val="21"/>
                <w:szCs w:val="21"/>
                <w:highlight w:val="none"/>
                <w:lang w:bidi="ar"/>
              </w:rPr>
              <w:br w:type="textWrapping"/>
            </w:r>
            <w:r>
              <w:rPr>
                <w:rFonts w:hint="eastAsia"/>
                <w:color w:val="000000"/>
                <w:sz w:val="21"/>
                <w:szCs w:val="21"/>
                <w:highlight w:val="none"/>
                <w:lang w:bidi="ar"/>
              </w:rPr>
              <w:t>音频输出：不少于2通道（接线端子）</w:t>
            </w:r>
            <w:r>
              <w:rPr>
                <w:rFonts w:hint="eastAsia"/>
                <w:color w:val="000000"/>
                <w:sz w:val="21"/>
                <w:szCs w:val="21"/>
                <w:highlight w:val="none"/>
                <w:lang w:bidi="ar"/>
              </w:rPr>
              <w:br w:type="textWrapping"/>
            </w:r>
            <w:r>
              <w:rPr>
                <w:rFonts w:hint="eastAsia"/>
                <w:color w:val="000000"/>
                <w:sz w:val="21"/>
                <w:szCs w:val="21"/>
                <w:highlight w:val="none"/>
                <w:lang w:bidi="ar"/>
              </w:rPr>
              <w:t>告警输入：不少于7个通道输入：5mA3V–5VDC</w:t>
            </w:r>
            <w:r>
              <w:rPr>
                <w:rFonts w:hint="eastAsia"/>
                <w:color w:val="000000"/>
                <w:sz w:val="21"/>
                <w:szCs w:val="21"/>
                <w:highlight w:val="none"/>
                <w:lang w:bidi="ar"/>
              </w:rPr>
              <w:br w:type="textWrapping"/>
            </w:r>
            <w:r>
              <w:rPr>
                <w:rFonts w:hint="eastAsia"/>
                <w:color w:val="000000"/>
                <w:sz w:val="21"/>
                <w:szCs w:val="21"/>
                <w:highlight w:val="none"/>
                <w:lang w:bidi="ar"/>
              </w:rPr>
              <w:t>告警输出：不少于3个通道输出：1000mA30VDC/500mA50VAC</w:t>
            </w:r>
            <w:r>
              <w:rPr>
                <w:rFonts w:hint="eastAsia"/>
                <w:color w:val="000000"/>
                <w:sz w:val="21"/>
                <w:szCs w:val="21"/>
                <w:highlight w:val="none"/>
                <w:lang w:bidi="ar"/>
              </w:rPr>
              <w:br w:type="textWrapping"/>
            </w:r>
            <w:r>
              <w:rPr>
                <w:rFonts w:hint="eastAsia"/>
                <w:color w:val="000000"/>
                <w:sz w:val="21"/>
                <w:szCs w:val="21"/>
                <w:highlight w:val="none"/>
                <w:lang w:bidi="ar"/>
              </w:rPr>
              <w:t>模拟输出：不少于1通道（CVBS输出：BNC）</w:t>
            </w:r>
            <w:r>
              <w:rPr>
                <w:rFonts w:hint="eastAsia"/>
                <w:color w:val="000000"/>
                <w:sz w:val="21"/>
                <w:szCs w:val="21"/>
                <w:highlight w:val="none"/>
                <w:lang w:bidi="ar"/>
              </w:rPr>
              <w:br w:type="textWrapping"/>
            </w:r>
            <w:r>
              <w:rPr>
                <w:rFonts w:hint="eastAsia"/>
                <w:color w:val="000000"/>
                <w:sz w:val="21"/>
                <w:szCs w:val="21"/>
                <w:highlight w:val="none"/>
                <w:lang w:bidi="ar"/>
              </w:rPr>
              <w:t>工作电压：DC36V（±50%）；</w:t>
            </w:r>
            <w:r>
              <w:rPr>
                <w:rFonts w:hint="eastAsia"/>
                <w:color w:val="000000"/>
                <w:sz w:val="21"/>
                <w:szCs w:val="21"/>
                <w:highlight w:val="none"/>
                <w:lang w:bidi="ar"/>
              </w:rPr>
              <w:br w:type="textWrapping"/>
            </w:r>
            <w:r>
              <w:rPr>
                <w:rFonts w:hint="eastAsia"/>
                <w:color w:val="000000"/>
                <w:sz w:val="21"/>
                <w:szCs w:val="21"/>
                <w:highlight w:val="none"/>
                <w:lang w:bidi="ar"/>
              </w:rPr>
              <w:t>电源：DC36V</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9526"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rPr>
                <w:rFonts w:hint="eastAsia"/>
                <w:color w:val="000000"/>
                <w:sz w:val="21"/>
                <w:szCs w:val="21"/>
                <w:highlight w:val="none"/>
              </w:rPr>
            </w:pPr>
            <w:r>
              <w:rPr>
                <w:rFonts w:hint="eastAsia"/>
                <w:b/>
                <w:bCs/>
                <w:color w:val="000000"/>
                <w:sz w:val="21"/>
                <w:szCs w:val="21"/>
                <w:highlight w:val="none"/>
                <w:lang w:bidi="ar"/>
              </w:rPr>
              <w:t>二、配套设施设备</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壁装横臂</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0.5米-3米，具体根据现场来定，主横臂Φ80mm</w:t>
            </w:r>
            <w:r>
              <w:rPr>
                <w:rStyle w:val="38"/>
                <w:rFonts w:hint="default" w:cs="仿宋"/>
                <w:sz w:val="21"/>
                <w:szCs w:val="21"/>
                <w:highlight w:val="none"/>
                <w:lang w:bidi="ar"/>
              </w:rPr>
              <w:t>*</w:t>
            </w:r>
            <w:r>
              <w:rPr>
                <w:rFonts w:hint="eastAsia"/>
                <w:color w:val="000000"/>
                <w:sz w:val="21"/>
                <w:szCs w:val="21"/>
                <w:highlight w:val="none"/>
                <w:lang w:bidi="ar"/>
              </w:rPr>
              <w:t>Φ80mm</w:t>
            </w:r>
            <w:r>
              <w:rPr>
                <w:rStyle w:val="38"/>
                <w:rFonts w:hint="default" w:cs="仿宋"/>
                <w:sz w:val="21"/>
                <w:szCs w:val="21"/>
                <w:highlight w:val="none"/>
                <w:lang w:bidi="ar"/>
              </w:rPr>
              <w:t>*</w:t>
            </w:r>
            <w:r>
              <w:rPr>
                <w:rFonts w:hint="eastAsia"/>
                <w:color w:val="000000"/>
                <w:sz w:val="21"/>
                <w:szCs w:val="21"/>
                <w:highlight w:val="none"/>
                <w:lang w:bidi="ar"/>
              </w:rPr>
              <w:t>3mm</w:t>
            </w:r>
            <w:r>
              <w:rPr>
                <w:rStyle w:val="38"/>
                <w:rFonts w:hint="default" w:cs="仿宋"/>
                <w:sz w:val="21"/>
                <w:szCs w:val="21"/>
                <w:highlight w:val="none"/>
                <w:lang w:bidi="ar"/>
              </w:rPr>
              <w:t>*</w:t>
            </w:r>
            <w:r>
              <w:rPr>
                <w:rFonts w:hint="eastAsia"/>
                <w:color w:val="000000"/>
                <w:sz w:val="21"/>
                <w:szCs w:val="21"/>
                <w:highlight w:val="none"/>
                <w:lang w:bidi="ar"/>
              </w:rPr>
              <w:t>XXXXmm（具体长度以现场具体测量而定），连接法兰，150mm</w:t>
            </w:r>
            <w:r>
              <w:rPr>
                <w:rStyle w:val="38"/>
                <w:rFonts w:hint="default" w:cs="仿宋"/>
                <w:sz w:val="21"/>
                <w:szCs w:val="21"/>
                <w:highlight w:val="none"/>
                <w:lang w:bidi="ar"/>
              </w:rPr>
              <w:t>*</w:t>
            </w:r>
            <w:r>
              <w:rPr>
                <w:rFonts w:hint="eastAsia"/>
                <w:color w:val="000000"/>
                <w:sz w:val="21"/>
                <w:szCs w:val="21"/>
                <w:highlight w:val="none"/>
                <w:lang w:bidi="ar"/>
              </w:rPr>
              <w:t>150mm</w:t>
            </w:r>
            <w:r>
              <w:rPr>
                <w:rStyle w:val="38"/>
                <w:rFonts w:hint="default" w:cs="仿宋"/>
                <w:sz w:val="21"/>
                <w:szCs w:val="21"/>
                <w:highlight w:val="none"/>
                <w:lang w:bidi="ar"/>
              </w:rPr>
              <w:t>*</w:t>
            </w:r>
            <w:r>
              <w:rPr>
                <w:rFonts w:hint="eastAsia"/>
                <w:color w:val="000000"/>
                <w:sz w:val="21"/>
                <w:szCs w:val="21"/>
                <w:highlight w:val="none"/>
                <w:lang w:bidi="ar"/>
              </w:rPr>
              <w:t>10mm，全套热浸镀锌表面加喷白色烤漆。</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123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标线</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标线</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24958.5</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m²</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补光设备绝缘导线</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numPr>
                <w:ilvl w:val="0"/>
                <w:numId w:val="5"/>
              </w:numPr>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名称:绝缘导线；</w:t>
            </w:r>
          </w:p>
          <w:p>
            <w:pPr>
              <w:widowControl/>
              <w:numPr>
                <w:ilvl w:val="0"/>
                <w:numId w:val="5"/>
              </w:numPr>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2.型号:RVVP2</w:t>
            </w:r>
            <w:r>
              <w:rPr>
                <w:rStyle w:val="38"/>
                <w:rFonts w:hint="default" w:cs="仿宋"/>
                <w:sz w:val="21"/>
                <w:szCs w:val="21"/>
                <w:highlight w:val="none"/>
                <w:lang w:bidi="ar"/>
              </w:rPr>
              <w:t>*</w:t>
            </w:r>
            <w:r>
              <w:rPr>
                <w:rFonts w:hint="eastAsia"/>
                <w:color w:val="000000"/>
                <w:sz w:val="21"/>
                <w:szCs w:val="21"/>
                <w:highlight w:val="none"/>
                <w:lang w:bidi="ar"/>
              </w:rPr>
              <w:t>1.0mm²；</w:t>
            </w:r>
          </w:p>
          <w:p>
            <w:pPr>
              <w:widowControl/>
              <w:numPr>
                <w:ilvl w:val="0"/>
                <w:numId w:val="5"/>
              </w:numPr>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3.从监控设备到设备箱。</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3090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米</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穿线手井</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1.名称:接线工作井</w:t>
            </w:r>
            <w:r>
              <w:rPr>
                <w:rFonts w:hint="eastAsia"/>
                <w:color w:val="000000"/>
                <w:sz w:val="21"/>
                <w:szCs w:val="21"/>
                <w:highlight w:val="none"/>
                <w:lang w:bidi="ar"/>
              </w:rPr>
              <w:br w:type="textWrapping"/>
            </w:r>
            <w:r>
              <w:rPr>
                <w:rFonts w:hint="eastAsia"/>
                <w:color w:val="000000"/>
                <w:sz w:val="21"/>
                <w:szCs w:val="21"/>
                <w:highlight w:val="none"/>
                <w:lang w:bidi="ar"/>
              </w:rPr>
              <w:t>2.砌筑材料品种、规格、强度等级:井深采用M7.5砌筑，标准砖240mm</w:t>
            </w:r>
            <w:r>
              <w:rPr>
                <w:rStyle w:val="38"/>
                <w:rFonts w:hint="default" w:cs="仿宋"/>
                <w:sz w:val="21"/>
                <w:szCs w:val="21"/>
                <w:highlight w:val="none"/>
                <w:lang w:bidi="ar"/>
              </w:rPr>
              <w:t>*</w:t>
            </w:r>
            <w:r>
              <w:rPr>
                <w:rFonts w:hint="eastAsia"/>
                <w:color w:val="000000"/>
                <w:sz w:val="21"/>
                <w:szCs w:val="21"/>
                <w:highlight w:val="none"/>
                <w:lang w:bidi="ar"/>
              </w:rPr>
              <w:t>115mm</w:t>
            </w:r>
            <w:r>
              <w:rPr>
                <w:rStyle w:val="38"/>
                <w:rFonts w:hint="default" w:cs="仿宋"/>
                <w:sz w:val="21"/>
                <w:szCs w:val="21"/>
                <w:highlight w:val="none"/>
                <w:lang w:bidi="ar"/>
              </w:rPr>
              <w:t>*</w:t>
            </w:r>
            <w:r>
              <w:rPr>
                <w:rFonts w:hint="eastAsia"/>
                <w:color w:val="000000"/>
                <w:sz w:val="21"/>
                <w:szCs w:val="21"/>
                <w:highlight w:val="none"/>
                <w:lang w:bidi="ar"/>
              </w:rPr>
              <w:t>53mm、240mm厚</w:t>
            </w:r>
            <w:r>
              <w:rPr>
                <w:rFonts w:hint="eastAsia"/>
                <w:color w:val="000000"/>
                <w:sz w:val="21"/>
                <w:szCs w:val="21"/>
                <w:highlight w:val="none"/>
                <w:lang w:bidi="ar"/>
              </w:rPr>
              <w:br w:type="textWrapping"/>
            </w:r>
            <w:r>
              <w:rPr>
                <w:rFonts w:hint="eastAsia"/>
                <w:color w:val="000000"/>
                <w:sz w:val="21"/>
                <w:szCs w:val="21"/>
                <w:highlight w:val="none"/>
                <w:lang w:bidi="ar"/>
              </w:rPr>
              <w:t>3.勾缝、抹面要求:井内1:2.5水泥砂浆抹灰</w:t>
            </w:r>
            <w:r>
              <w:rPr>
                <w:rFonts w:hint="eastAsia"/>
                <w:color w:val="000000"/>
                <w:sz w:val="21"/>
                <w:szCs w:val="21"/>
                <w:highlight w:val="none"/>
                <w:lang w:bidi="ar"/>
              </w:rPr>
              <w:br w:type="textWrapping"/>
            </w:r>
            <w:r>
              <w:rPr>
                <w:rFonts w:hint="eastAsia"/>
                <w:color w:val="000000"/>
                <w:sz w:val="21"/>
                <w:szCs w:val="21"/>
                <w:highlight w:val="none"/>
                <w:lang w:bidi="ar"/>
              </w:rPr>
              <w:t>4.井盖、井圈材质及规格:C25钢筋混凝土500mm</w:t>
            </w:r>
            <w:r>
              <w:rPr>
                <w:rStyle w:val="38"/>
                <w:rFonts w:hint="default" w:cs="仿宋"/>
                <w:sz w:val="21"/>
                <w:szCs w:val="21"/>
                <w:highlight w:val="none"/>
                <w:lang w:bidi="ar"/>
              </w:rPr>
              <w:t>*</w:t>
            </w:r>
            <w:r>
              <w:rPr>
                <w:rFonts w:hint="eastAsia"/>
                <w:color w:val="000000"/>
                <w:sz w:val="21"/>
                <w:szCs w:val="21"/>
                <w:highlight w:val="none"/>
                <w:lang w:bidi="ar"/>
              </w:rPr>
              <w:t>500mm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112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电表</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16A</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电表箱</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防水耐高温电表箱160mm</w:t>
            </w:r>
            <w:r>
              <w:rPr>
                <w:rStyle w:val="38"/>
                <w:rFonts w:hint="default" w:cs="仿宋"/>
                <w:sz w:val="21"/>
                <w:szCs w:val="21"/>
                <w:highlight w:val="none"/>
                <w:lang w:bidi="ar"/>
              </w:rPr>
              <w:t>*</w:t>
            </w:r>
            <w:r>
              <w:rPr>
                <w:rFonts w:hint="eastAsia"/>
                <w:color w:val="000000"/>
                <w:sz w:val="21"/>
                <w:szCs w:val="21"/>
                <w:highlight w:val="none"/>
                <w:lang w:bidi="ar"/>
              </w:rPr>
              <w:t>330mm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电警管理平台软件授权</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1、实现前端违法取证抓拍设备的接入管理；</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2、实现前端违法取证抓拍数据自动写入；</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3、支持违法取证抓拍数据的查询；</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4、实现违法取证抓拍数据自动推送。</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w:t>
            </w:r>
            <w:r>
              <w:rPr>
                <w:rFonts w:hint="eastAsia"/>
                <w:sz w:val="21"/>
                <w:szCs w:val="21"/>
                <w:highlight w:val="none"/>
              </w:rPr>
              <w:t>运维平台接入授权</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77</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8</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电气配管</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numPr>
                <w:ilvl w:val="0"/>
                <w:numId w:val="6"/>
              </w:numPr>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名称:刚性难燃管PVC32；</w:t>
            </w:r>
          </w:p>
          <w:p>
            <w:pPr>
              <w:widowControl/>
              <w:numPr>
                <w:ilvl w:val="0"/>
                <w:numId w:val="6"/>
              </w:numPr>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2.配置形式:埋地。</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20300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米</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9</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杆件雷电防护地网</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四根Ф50毫米的钢管或50mm*50mm*5mm</w:t>
            </w:r>
            <w:r>
              <w:rPr>
                <w:rStyle w:val="38"/>
                <w:rFonts w:hint="default" w:cs="仿宋"/>
                <w:sz w:val="21"/>
                <w:szCs w:val="21"/>
                <w:highlight w:val="none"/>
                <w:lang w:bidi="ar"/>
              </w:rPr>
              <w:t>*</w:t>
            </w:r>
            <w:r>
              <w:rPr>
                <w:rFonts w:hint="eastAsia"/>
                <w:color w:val="000000"/>
                <w:sz w:val="21"/>
                <w:szCs w:val="21"/>
                <w:highlight w:val="none"/>
                <w:lang w:bidi="ar"/>
              </w:rPr>
              <w:t>2000mm的角钢长2米打地、铜地线排，接地线等，根据现场定制焊接接地含接地极(板)制作、安装角钢接地极。</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112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10</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感知设备绝缘导线</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numPr>
                <w:ilvl w:val="0"/>
                <w:numId w:val="7"/>
              </w:numPr>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名称:绝缘导线；</w:t>
            </w:r>
          </w:p>
          <w:p>
            <w:pPr>
              <w:widowControl/>
              <w:numPr>
                <w:ilvl w:val="0"/>
                <w:numId w:val="7"/>
              </w:numPr>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2.型号:RVV3</w:t>
            </w:r>
            <w:r>
              <w:rPr>
                <w:rStyle w:val="38"/>
                <w:rFonts w:hint="default" w:cs="仿宋"/>
                <w:sz w:val="21"/>
                <w:szCs w:val="21"/>
                <w:highlight w:val="none"/>
                <w:lang w:bidi="ar"/>
              </w:rPr>
              <w:t>*</w:t>
            </w:r>
            <w:r>
              <w:rPr>
                <w:rFonts w:hint="eastAsia"/>
                <w:color w:val="000000"/>
                <w:sz w:val="21"/>
                <w:szCs w:val="21"/>
                <w:highlight w:val="none"/>
                <w:lang w:bidi="ar"/>
              </w:rPr>
              <w:t>1.5mm²；</w:t>
            </w:r>
          </w:p>
          <w:p>
            <w:pPr>
              <w:widowControl/>
              <w:numPr>
                <w:ilvl w:val="0"/>
                <w:numId w:val="7"/>
              </w:numPr>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3.从监控设备到设备箱。</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9265</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米</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高能锂电模块</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标称电压：12.8V电池：12.8V56Ah充电电流：5A放电电流：5A放电截止电压：10V充电输入电压：14.6V排放温度：-40°C~60°C充电温度：0°C~50°C尺寸（长</w:t>
            </w:r>
            <w:r>
              <w:rPr>
                <w:rStyle w:val="38"/>
                <w:rFonts w:hint="default" w:cs="仿宋"/>
                <w:sz w:val="21"/>
                <w:szCs w:val="21"/>
                <w:highlight w:val="none"/>
                <w:lang w:bidi="ar"/>
              </w:rPr>
              <w:t>*</w:t>
            </w:r>
            <w:r>
              <w:rPr>
                <w:rFonts w:hint="eastAsia"/>
                <w:color w:val="000000"/>
                <w:sz w:val="21"/>
                <w:szCs w:val="21"/>
                <w:highlight w:val="none"/>
                <w:lang w:bidi="ar"/>
              </w:rPr>
              <w:t>宽</w:t>
            </w:r>
            <w:r>
              <w:rPr>
                <w:rStyle w:val="38"/>
                <w:rFonts w:hint="default" w:cs="仿宋"/>
                <w:sz w:val="21"/>
                <w:szCs w:val="21"/>
                <w:highlight w:val="none"/>
                <w:lang w:bidi="ar"/>
              </w:rPr>
              <w:t>*</w:t>
            </w:r>
            <w:r>
              <w:rPr>
                <w:rFonts w:hint="eastAsia"/>
                <w:color w:val="000000"/>
                <w:sz w:val="21"/>
                <w:szCs w:val="21"/>
                <w:highlight w:val="none"/>
                <w:lang w:bidi="ar"/>
              </w:rPr>
              <w:t>高）：（395</w:t>
            </w:r>
            <w:r>
              <w:rPr>
                <w:rStyle w:val="38"/>
                <w:rFonts w:hint="default" w:cs="仿宋"/>
                <w:sz w:val="21"/>
                <w:szCs w:val="21"/>
                <w:highlight w:val="none"/>
                <w:lang w:bidi="ar"/>
              </w:rPr>
              <w:t>*</w:t>
            </w:r>
            <w:r>
              <w:rPr>
                <w:rFonts w:hint="eastAsia"/>
                <w:color w:val="000000"/>
                <w:sz w:val="21"/>
                <w:szCs w:val="21"/>
                <w:highlight w:val="none"/>
                <w:lang w:bidi="ar"/>
              </w:rPr>
              <w:t>235.5</w:t>
            </w:r>
            <w:r>
              <w:rPr>
                <w:rStyle w:val="38"/>
                <w:rFonts w:hint="default" w:cs="仿宋"/>
                <w:sz w:val="21"/>
                <w:szCs w:val="21"/>
                <w:highlight w:val="none"/>
                <w:lang w:bidi="ar"/>
              </w:rPr>
              <w:t>*</w:t>
            </w:r>
            <w:r>
              <w:rPr>
                <w:rFonts w:hint="eastAsia"/>
                <w:color w:val="000000"/>
                <w:sz w:val="21"/>
                <w:szCs w:val="21"/>
                <w:highlight w:val="none"/>
                <w:lang w:bidi="ar"/>
              </w:rPr>
              <w:t>100）±2mm通讯接口：RS485防护等级：IP65</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高清视频监控2米支撑杆</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2米杆:八角监控杆高2米，各监控点立杆上设立监控区域明显标志牌,主立杆Φ100mm*150mm*4mm*2000mm，主横臂Φ76mm</w:t>
            </w:r>
            <w:r>
              <w:rPr>
                <w:rStyle w:val="38"/>
                <w:rFonts w:hint="default" w:cs="仿宋"/>
                <w:sz w:val="21"/>
                <w:szCs w:val="21"/>
                <w:highlight w:val="none"/>
                <w:lang w:bidi="ar"/>
              </w:rPr>
              <w:t>*</w:t>
            </w:r>
            <w:r>
              <w:rPr>
                <w:rFonts w:hint="eastAsia"/>
                <w:color w:val="000000"/>
                <w:sz w:val="21"/>
                <w:szCs w:val="21"/>
                <w:highlight w:val="none"/>
                <w:lang w:bidi="ar"/>
              </w:rPr>
              <w:t>3mm*1500mm（具体长度以现场具体测量而定），底座法兰Φ300mm</w:t>
            </w:r>
            <w:r>
              <w:rPr>
                <w:rStyle w:val="38"/>
                <w:rFonts w:hint="default" w:cs="仿宋"/>
                <w:sz w:val="21"/>
                <w:szCs w:val="21"/>
                <w:highlight w:val="none"/>
                <w:lang w:bidi="ar"/>
              </w:rPr>
              <w:t>*</w:t>
            </w:r>
            <w:r>
              <w:rPr>
                <w:rFonts w:hint="eastAsia"/>
                <w:color w:val="000000"/>
                <w:sz w:val="21"/>
                <w:szCs w:val="21"/>
                <w:highlight w:val="none"/>
                <w:lang w:bidi="ar"/>
              </w:rPr>
              <w:t>12mm，连接法兰150mm</w:t>
            </w:r>
            <w:r>
              <w:rPr>
                <w:rStyle w:val="38"/>
                <w:rFonts w:hint="default" w:cs="仿宋"/>
                <w:sz w:val="21"/>
                <w:szCs w:val="21"/>
                <w:highlight w:val="none"/>
                <w:lang w:bidi="ar"/>
              </w:rPr>
              <w:t>*</w:t>
            </w:r>
            <w:r>
              <w:rPr>
                <w:rFonts w:hint="eastAsia"/>
                <w:color w:val="000000"/>
                <w:sz w:val="21"/>
                <w:szCs w:val="21"/>
                <w:highlight w:val="none"/>
                <w:lang w:bidi="ar"/>
              </w:rPr>
              <w:t>150mm</w:t>
            </w:r>
            <w:r>
              <w:rPr>
                <w:rStyle w:val="38"/>
                <w:rFonts w:hint="default" w:cs="仿宋"/>
                <w:sz w:val="21"/>
                <w:szCs w:val="21"/>
                <w:highlight w:val="none"/>
                <w:lang w:bidi="ar"/>
              </w:rPr>
              <w:t>*</w:t>
            </w:r>
            <w:r>
              <w:rPr>
                <w:rFonts w:hint="eastAsia"/>
                <w:color w:val="000000"/>
                <w:sz w:val="21"/>
                <w:szCs w:val="21"/>
                <w:highlight w:val="none"/>
                <w:lang w:bidi="ar"/>
              </w:rPr>
              <w:t>10mm，全套热浸镀锌表面加喷白色烤漆（连接法兰后面两个抱箍）</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高清视频监控3.5米支撑杆</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1.杆为八角杆，对角口径；</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2.立杆：Φ120mm*180mm*4mm*3500mm；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3.横杆：Φ76mm</w:t>
            </w:r>
            <w:r>
              <w:rPr>
                <w:rStyle w:val="38"/>
                <w:rFonts w:hint="default" w:cs="仿宋"/>
                <w:sz w:val="21"/>
                <w:szCs w:val="21"/>
                <w:highlight w:val="none"/>
                <w:lang w:bidi="ar"/>
              </w:rPr>
              <w:t>*</w:t>
            </w:r>
            <w:r>
              <w:rPr>
                <w:rFonts w:hint="eastAsia"/>
                <w:color w:val="000000"/>
                <w:sz w:val="21"/>
                <w:szCs w:val="21"/>
                <w:highlight w:val="none"/>
                <w:lang w:bidi="ar"/>
              </w:rPr>
              <w:t>3mm*2000mm（具体长度以现场具体测量而定）；</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4.底法兰为：Φ300</w:t>
            </w:r>
            <w:r>
              <w:rPr>
                <w:rStyle w:val="38"/>
                <w:rFonts w:hint="default" w:cs="仿宋"/>
                <w:sz w:val="21"/>
                <w:szCs w:val="21"/>
                <w:highlight w:val="none"/>
                <w:lang w:bidi="ar"/>
              </w:rPr>
              <w:t>*</w:t>
            </w:r>
            <w:r>
              <w:rPr>
                <w:rFonts w:hint="eastAsia"/>
                <w:color w:val="000000"/>
                <w:sz w:val="21"/>
                <w:szCs w:val="21"/>
                <w:highlight w:val="none"/>
                <w:lang w:bidi="ar"/>
              </w:rPr>
              <w:t>12mm；</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5.连接法兰：180mm</w:t>
            </w:r>
            <w:r>
              <w:rPr>
                <w:rStyle w:val="38"/>
                <w:rFonts w:hint="default" w:cs="仿宋"/>
                <w:sz w:val="21"/>
                <w:szCs w:val="21"/>
                <w:highlight w:val="none"/>
                <w:lang w:bidi="ar"/>
              </w:rPr>
              <w:t>*</w:t>
            </w:r>
            <w:r>
              <w:rPr>
                <w:rFonts w:hint="eastAsia"/>
                <w:color w:val="000000"/>
                <w:sz w:val="21"/>
                <w:szCs w:val="21"/>
                <w:highlight w:val="none"/>
                <w:lang w:bidi="ar"/>
              </w:rPr>
              <w:t>180mm</w:t>
            </w:r>
            <w:r>
              <w:rPr>
                <w:rStyle w:val="38"/>
                <w:rFonts w:hint="default" w:cs="仿宋"/>
                <w:sz w:val="21"/>
                <w:szCs w:val="21"/>
                <w:highlight w:val="none"/>
                <w:lang w:bidi="ar"/>
              </w:rPr>
              <w:t>*</w:t>
            </w:r>
            <w:r>
              <w:rPr>
                <w:rFonts w:hint="eastAsia"/>
                <w:color w:val="000000"/>
                <w:sz w:val="21"/>
                <w:szCs w:val="21"/>
                <w:highlight w:val="none"/>
                <w:lang w:bidi="ar"/>
              </w:rPr>
              <w:t>10mm整杆热镀锌双螺母，加厚垫片，含抱箍。</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高清视频监控3.5米支撑杆地脚笼</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numPr>
                <w:ilvl w:val="0"/>
                <w:numId w:val="8"/>
              </w:numPr>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名称：预埋铁地脚笼；</w:t>
            </w:r>
          </w:p>
          <w:p>
            <w:pPr>
              <w:widowControl/>
              <w:numPr>
                <w:ilvl w:val="0"/>
                <w:numId w:val="8"/>
              </w:numPr>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2.规格：地笼：4-M18-H700定位板4.0，（含两层定位板），含螺母垫片。</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9</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高清视频监控3.5米支撑杆基础</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1.填方来源、运距:人工装卸及运走开挖出土石方运距10KM；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2.立杆基础，开挖规格长1.0</w:t>
            </w:r>
            <w:r>
              <w:rPr>
                <w:rStyle w:val="38"/>
                <w:rFonts w:hint="default" w:cs="仿宋"/>
                <w:sz w:val="21"/>
                <w:szCs w:val="21"/>
                <w:highlight w:val="none"/>
                <w:lang w:bidi="ar"/>
              </w:rPr>
              <w:t>*</w:t>
            </w:r>
            <w:r>
              <w:rPr>
                <w:rFonts w:hint="eastAsia"/>
                <w:color w:val="000000"/>
                <w:sz w:val="21"/>
                <w:szCs w:val="21"/>
                <w:highlight w:val="none"/>
                <w:lang w:bidi="ar"/>
              </w:rPr>
              <w:t>宽1.0</w:t>
            </w:r>
            <w:r>
              <w:rPr>
                <w:rStyle w:val="38"/>
                <w:rFonts w:hint="default" w:cs="仿宋"/>
                <w:sz w:val="21"/>
                <w:szCs w:val="21"/>
                <w:highlight w:val="none"/>
                <w:lang w:bidi="ar"/>
              </w:rPr>
              <w:t>*</w:t>
            </w:r>
            <w:r>
              <w:rPr>
                <w:rFonts w:hint="eastAsia"/>
                <w:color w:val="000000"/>
                <w:sz w:val="21"/>
                <w:szCs w:val="21"/>
                <w:highlight w:val="none"/>
                <w:lang w:bidi="ar"/>
              </w:rPr>
              <w:t>深1.0米，立杆基础的使用C25砼浇注制作及养护；</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3.基础笼安装，PE32管2条引出；</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4.立杆完成后恢复路面。</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9</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16</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高清视频监控6米支撑杆</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1.名称:L型6米杆；</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2.规格:杆为八角杆，对角口径；</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3.立杆:Φ150mm*230mm*5mm*6000mm；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4.横杆:100mm*150mm*4mm*5000mm（具体长度以现场具体测量而定）；</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5.底法兰为:Ø420mm*16mm；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6.连接法兰:350mm*350mm*16mm整杆热镀锌双螺母，加厚垫片，含抱箍；</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7.油漆品种:热镀锌，环氧富锌底漆两遍，银色调和漆两遍。</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高清视频监控6米支撑杆地脚笼</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1.名称：预埋铁地脚笼；</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2.规格：地笼：8-M24-H1300定位板4.0，（含两层定位板），含螺母垫片。</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18</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高清视频监控6米支撑杆基础</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1.填方来源、运距:人工装卸及运走开挖出土石方运距10KM；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2.立杆基础，开挖规格长1.2*宽1.2*深1.5米，立杆基础的使用C25砼浇注制作及养护；</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3.基础笼安装，PE32管2条引出；</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4.立杆完成后恢复路面。</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19</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电警6.5米*10-12米支撑杆</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1.名称:L型12米杆；</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2.规格:杆为八角杆，对角口径；</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3.立杆:6mm*310mm*350mm*6500mm；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4.横杆:6mm</w:t>
            </w:r>
            <w:r>
              <w:rPr>
                <w:rStyle w:val="38"/>
                <w:rFonts w:hint="default" w:cs="仿宋"/>
                <w:sz w:val="21"/>
                <w:szCs w:val="21"/>
                <w:highlight w:val="none"/>
                <w:lang w:bidi="ar"/>
              </w:rPr>
              <w:t>*</w:t>
            </w:r>
            <w:r>
              <w:rPr>
                <w:rFonts w:hint="eastAsia"/>
                <w:color w:val="000000"/>
                <w:sz w:val="21"/>
                <w:szCs w:val="21"/>
                <w:highlight w:val="none"/>
                <w:lang w:bidi="ar"/>
              </w:rPr>
              <w:t>120mm*270mm*10000/12000mm；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5.底法兰为:φ600mm*20mm；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6.连接法兰:450mm</w:t>
            </w:r>
            <w:r>
              <w:rPr>
                <w:rStyle w:val="38"/>
                <w:rFonts w:hint="default" w:cs="仿宋"/>
                <w:sz w:val="21"/>
                <w:szCs w:val="21"/>
                <w:highlight w:val="none"/>
                <w:lang w:bidi="ar"/>
              </w:rPr>
              <w:t>*</w:t>
            </w:r>
            <w:r>
              <w:rPr>
                <w:rFonts w:hint="eastAsia"/>
                <w:color w:val="000000"/>
                <w:sz w:val="21"/>
                <w:szCs w:val="21"/>
                <w:highlight w:val="none"/>
                <w:lang w:bidi="ar"/>
              </w:rPr>
              <w:t>450mm</w:t>
            </w:r>
            <w:r>
              <w:rPr>
                <w:rStyle w:val="38"/>
                <w:rFonts w:hint="default" w:cs="仿宋"/>
                <w:sz w:val="21"/>
                <w:szCs w:val="21"/>
                <w:highlight w:val="none"/>
                <w:lang w:bidi="ar"/>
              </w:rPr>
              <w:t>*</w:t>
            </w:r>
            <w:r>
              <w:rPr>
                <w:rFonts w:hint="eastAsia"/>
                <w:color w:val="000000"/>
                <w:sz w:val="21"/>
                <w:szCs w:val="21"/>
                <w:highlight w:val="none"/>
                <w:lang w:bidi="ar"/>
              </w:rPr>
              <w:t>18mm整杆热镀锌双螺母，加厚垫片，含抱箍；</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7.油漆品种:热镀锌，环氧富锌底漆两遍，银色调和漆两遍。</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8</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20</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电警6.5米*10-12米支撑杆地脚笼</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1.名称：预埋铁地脚笼；</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2.规格：地笼：8-M28-H1500定位板4.0，（含两层定位板），含螺母垫片。</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8</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电警6.5米*10-12米支撑杆基础</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numPr>
                <w:ilvl w:val="0"/>
                <w:numId w:val="9"/>
              </w:numPr>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填方来源、运距:人工装卸及运走开挖出土石方运距10KM；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2.立杆基础，开挖规格长1.5*宽1.5*深1.8米，立杆基础的使用C25砼浇注制作及养护；</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3.基础笼安装，PE32管2条引出；4.立杆完成后恢复路面。</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8</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电警6.5米*14-16-18米支撑杆</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1.杆为八角杆，对角口径；</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2.立杆：10mm*360mm*420mm*6500mm；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3.横杆：5mm+8*120mm*320mm*14000mm，(分两节：末段7000+前段7000）/16000mm，(分两节：末段8000+前段8000）/18000mm，(分两节：末段9000+前段9000）；</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4.底法兰为：φ750mm*22mm；</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5.连接法兰：500mm*500mm*20mm整杆热镀锌双螺母，加厚垫片，含抱箍。</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电警6.5米*14-16-18米支撑杆地脚笼</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1.名称：预埋铁地脚笼；</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2.规格：地笼：8-M30-H1800定位板6.0，（含两层定位板），含螺母垫片。</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电警6.5米*14-16-18米支撑杆基础</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1.名称：L型14-16-18米杆基础；</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2.混凝土基础，2000mm*2000mm*2200mm；立杆基础的使用C25砼浇注制作及养护；</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3.基础坑人工开挖及回填土人工夯实；</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4.人工装卸及运走开挖出土石方运距10KM；</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5.热镀锌圆钢φ16接地带。</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电警6.5米*6米支撑杆</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1.名称:L型6.5米杆；</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2.规格:杆为八角杆，对角口径；</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3.立杆:5mm*200mm*260mm*6500mm；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4.横杆:4mm100mm*270mm*6000mm（具体长度以现场具体测量而定）；</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5.底法兰为:φ460mm*16mm；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6.连接法兰:380mm*380mm*16mm整杆热镀锌双螺母，加厚垫片，含抱箍；</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7.油漆品种:热镀锌，环氧富锌底漆两遍，银色调和漆两遍。</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26</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电警6.5米*6米支撑杆地脚笼</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1.名称：预埋铁地脚笼；</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2.规格：地笼：8-M24-H1300定位板4.0，（含两层定位板），含螺母垫片。</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电警6.5米*6米支撑杆基础</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numPr>
                <w:ilvl w:val="0"/>
                <w:numId w:val="10"/>
              </w:numPr>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填方来源、运距:人工装卸及运走开挖出土石方运距10KM；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2.立杆基础，开挖规格长1.2*宽1.2*深1.5米，立杆基础的使用C25砼浇注制作及养护；</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3.基础笼安装，PE32管2条引出；</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4.立杆完成后恢复路面。</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28</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光纤</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8芯光纤</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4600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米</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29</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互联通信模块</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采用高性能全频段蜂窝无线模块，高性能专用路由芯片，采用铸造铝外壳设计，防水等级达到IP65，专用于户外环境宽电压输入支持DC9-50V，宽温设计支持-40+70摄氏度，低温环境自动加热</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77</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30</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集中式终端控制器</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1.支持对电动自行车电子车牌射频数据、视频的过车过程、违法过程的图像、录像、数据、统计分析结果、日志数据进行实时处理、预览和存储，并可通过网络传输至中心服务器；</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2.安全授权：设备支持操作权限管理、数据权限分级管理；</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3.前后感知设备联动功能：支持正反射频、视频感知设备联动，实现车辆正面照和车辆反面照的智能融合匹配，并实现web页面预览正反面面图、车牌图、全景图、特写图；</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4.断点续传功能：设备断网期间数据、图片、视频等数据在网络恢复后自动续至目标服务器。</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交通违法抓拍警示牌</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1.材质、规格尺寸:1810mm*1460mm，3.0mm厚铝板；</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2.板面反光膜等级:菱形EGP超工程级；</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3.板面反光膜等级:二级反光膜；</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255</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接地线</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1.名称:铜芯电线；</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2.BV25mm2；</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3.立杆避雷针及设备箱到基础笼。</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1240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米</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接线端子</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1KV绝缘穿刺线夹；主线50-150，支线6-50。</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197</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禁停牌</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1.名称:标志牌</w:t>
            </w:r>
            <w:r>
              <w:rPr>
                <w:rFonts w:hint="eastAsia"/>
                <w:color w:val="000000"/>
                <w:sz w:val="21"/>
                <w:szCs w:val="21"/>
                <w:highlight w:val="none"/>
                <w:lang w:bidi="ar"/>
              </w:rPr>
              <w:br w:type="textWrapping"/>
            </w:r>
            <w:r>
              <w:rPr>
                <w:rFonts w:hint="eastAsia"/>
                <w:color w:val="000000"/>
                <w:sz w:val="21"/>
                <w:szCs w:val="21"/>
                <w:highlight w:val="none"/>
                <w:lang w:bidi="ar"/>
              </w:rPr>
              <w:t>2.规格:标志牌φ800mm+800*800mm铝板，牌面贴工程级反光膜。</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绝缘导线RVV3*4</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1.名称:绝缘导线；</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2.型号:RVV3*4；</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3.从电表箱拉到落地箱。</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20200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米</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36</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六类非屏蔽双绞线</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1.名称:双绞线缆CAT6；</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2.从监控设备到设备箱。</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2430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米</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配电自动重合闸开关</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安装在电表箱内：工作电压范围AC85V～285V@50Hz；额定电流16A；剩余动作电流30mAv剩余不动作电流15mA；漏电保护动作时间≤50msv自动重合闸三次重合闸时间依次为30秒/30分钟/1小时；过压保护电压270V±10V（默认值，过压点可重新设定）；欠压保护电压100V±10V（默认值，欠压点可重新设定）；过流保护电流6A@3S（出厂默认值，过流点可重新设定）；强过流/短路保护50A，保护时间≤50mS；防雷功能对后级用电设备提供Ⅲ级防雷保护。</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197</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38</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球机适配支架</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定制支架</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68</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39</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市政引入敷设开挖</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1.名称:市政引入敷设开挖；</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2.备注:布供电电源线至市政供电部门位置，开挖深度符合市政部门要求，路面开挖埋管及恢复，宽度30CM，深度50CM，敷设管道及回填；</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3.运距:人工装卸及运走开挖出土石方运距10KM。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20300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米</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40</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数据通信卡</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提供流量卡，每套含3年流量资费</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77</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水晶头</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1.名称:六类水晶头</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1866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太阳能光伏板（含一体化支架）</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峰值输出功率：100W峰值输出电压：18.4V峰值输出电流：5.75A开路电压：21.4V短路电流：6.08A电池片发电效率：20%~22%电池片类型：单晶电池片</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万向支架</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枪机/筒机支架(室外-柱装-载重20kg-含抱箍)，万向节(室外-载重20kg)。</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375</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引上布管</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1.名称:刚性难燃管PVC20；</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2.配置形式:明配。</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2200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米</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智能射频识别天线</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1.工作频率：920～925MHz；</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2.驻波比：小于等于1.2；</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3.极化方式：线极化；</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4.增益：12dbi。</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46</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智能一体化汇聚控制机涂鸦美化</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1、根据万江街道城市美貌，美化智能一体化汇聚控制机。</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智能综合落地柜</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路口防水机柜1.2米高，含配电安装板及导轨，含漏电保护器、主电源防雷器、莫属插座、风扇，符合IP65防护等级。</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48</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智能综合落地柜基础</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1.规格：500mm*600mm*500mm</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2.基础、垫层:材料品种、厚度:碎石垫层，C25混凝土基础、防雷接地</w:t>
            </w:r>
          </w:p>
          <w:p>
            <w:pPr>
              <w:widowControl/>
              <w:spacing w:line="240" w:lineRule="auto"/>
              <w:ind w:firstLine="0" w:firstLineChars="0"/>
              <w:textAlignment w:val="center"/>
              <w:rPr>
                <w:rFonts w:hint="eastAsia"/>
                <w:color w:val="000000"/>
                <w:sz w:val="21"/>
                <w:szCs w:val="21"/>
                <w:highlight w:val="none"/>
                <w:lang w:bidi="ar"/>
              </w:rPr>
            </w:pPr>
            <w:r>
              <w:rPr>
                <w:rFonts w:hint="eastAsia"/>
                <w:color w:val="000000"/>
                <w:sz w:val="21"/>
                <w:szCs w:val="21"/>
                <w:highlight w:val="none"/>
                <w:lang w:bidi="ar"/>
              </w:rPr>
              <w:t>3.其他:土方，高出地面部分的大理石、混凝土、绿化带、沥青等。</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4.运距:人工装卸及运走开挖出土石方运距10KM。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49</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智能综合一体柜</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rPr>
                <w:rStyle w:val="33"/>
                <w:rFonts w:hint="eastAsia"/>
                <w:szCs w:val="21"/>
                <w:highlight w:val="none"/>
              </w:rPr>
            </w:pPr>
            <w:r>
              <w:rPr>
                <w:rStyle w:val="33"/>
                <w:rFonts w:hint="eastAsia"/>
                <w:szCs w:val="21"/>
                <w:highlight w:val="none"/>
              </w:rPr>
              <w:t>1.模块化设计，安装维护简单便捷</w:t>
            </w:r>
          </w:p>
          <w:p>
            <w:pPr>
              <w:widowControl/>
              <w:ind w:firstLine="0" w:firstLineChars="0"/>
              <w:rPr>
                <w:rStyle w:val="33"/>
                <w:rFonts w:hint="eastAsia"/>
                <w:szCs w:val="21"/>
                <w:highlight w:val="none"/>
              </w:rPr>
            </w:pPr>
            <w:r>
              <w:rPr>
                <w:rStyle w:val="33"/>
                <w:rFonts w:hint="eastAsia"/>
                <w:szCs w:val="21"/>
                <w:highlight w:val="none"/>
              </w:rPr>
              <w:t>2.支持设备远程重启</w:t>
            </w:r>
          </w:p>
          <w:p>
            <w:pPr>
              <w:widowControl/>
              <w:ind w:firstLine="0" w:firstLineChars="0"/>
              <w:rPr>
                <w:rStyle w:val="33"/>
                <w:rFonts w:hint="eastAsia"/>
                <w:szCs w:val="21"/>
                <w:highlight w:val="none"/>
              </w:rPr>
            </w:pPr>
            <w:r>
              <w:rPr>
                <w:rStyle w:val="33"/>
                <w:rFonts w:hint="eastAsia"/>
                <w:szCs w:val="21"/>
                <w:highlight w:val="none"/>
              </w:rPr>
              <w:t>3.支持用电检测与统计</w:t>
            </w:r>
          </w:p>
          <w:p>
            <w:pPr>
              <w:widowControl/>
              <w:ind w:firstLine="0" w:firstLineChars="0"/>
              <w:rPr>
                <w:rStyle w:val="33"/>
                <w:rFonts w:hint="eastAsia"/>
                <w:szCs w:val="21"/>
                <w:highlight w:val="none"/>
              </w:rPr>
            </w:pPr>
            <w:r>
              <w:rPr>
                <w:rStyle w:val="33"/>
                <w:rFonts w:hint="eastAsia"/>
                <w:szCs w:val="21"/>
                <w:highlight w:val="none"/>
              </w:rPr>
              <w:t>4.支持市电掉电告警、设备离线告警</w:t>
            </w:r>
          </w:p>
          <w:p>
            <w:pPr>
              <w:widowControl/>
              <w:ind w:firstLine="0" w:firstLineChars="0"/>
              <w:rPr>
                <w:rStyle w:val="33"/>
                <w:rFonts w:hint="eastAsia"/>
                <w:szCs w:val="21"/>
                <w:highlight w:val="none"/>
              </w:rPr>
            </w:pPr>
            <w:r>
              <w:rPr>
                <w:rStyle w:val="33"/>
                <w:rFonts w:hint="eastAsia"/>
                <w:szCs w:val="21"/>
                <w:highlight w:val="none"/>
              </w:rPr>
              <w:t>5.不少于16路常亮灯、频闪灯、环保卡口灯接入与管理，支持补光灯白天灯亮告警、夜晚灯熄告警</w:t>
            </w:r>
            <w:r>
              <w:rPr>
                <w:rFonts w:hint="eastAsia"/>
                <w:sz w:val="21"/>
                <w:szCs w:val="21"/>
                <w:highlight w:val="none"/>
              </w:rPr>
              <w:t>；</w:t>
            </w:r>
          </w:p>
          <w:p>
            <w:pPr>
              <w:widowControl/>
              <w:ind w:firstLine="0" w:firstLineChars="0"/>
              <w:rPr>
                <w:rStyle w:val="33"/>
                <w:rFonts w:hint="eastAsia"/>
                <w:szCs w:val="21"/>
                <w:highlight w:val="none"/>
              </w:rPr>
            </w:pPr>
            <w:r>
              <w:rPr>
                <w:rStyle w:val="33"/>
                <w:rFonts w:hint="eastAsia"/>
                <w:szCs w:val="21"/>
                <w:highlight w:val="none"/>
              </w:rPr>
              <w:t>6.支持开箱告警、震动告警、倾斜告警、水浸告警</w:t>
            </w:r>
          </w:p>
          <w:p>
            <w:pPr>
              <w:widowControl/>
              <w:ind w:firstLine="0" w:firstLineChars="0"/>
              <w:rPr>
                <w:rStyle w:val="33"/>
                <w:rFonts w:hint="eastAsia"/>
                <w:szCs w:val="21"/>
                <w:highlight w:val="none"/>
              </w:rPr>
            </w:pPr>
            <w:r>
              <w:rPr>
                <w:rStyle w:val="33"/>
                <w:rFonts w:hint="eastAsia"/>
                <w:szCs w:val="21"/>
                <w:highlight w:val="none"/>
              </w:rPr>
              <w:t>7.预留充足外设空间，满足用户对功能扩展的需求</w:t>
            </w:r>
          </w:p>
          <w:p>
            <w:pPr>
              <w:widowControl/>
              <w:ind w:firstLine="0" w:firstLineChars="0"/>
              <w:rPr>
                <w:rStyle w:val="33"/>
                <w:rFonts w:hint="eastAsia"/>
                <w:szCs w:val="21"/>
                <w:highlight w:val="none"/>
              </w:rPr>
            </w:pPr>
            <w:r>
              <w:rPr>
                <w:rStyle w:val="33"/>
                <w:rFonts w:hint="eastAsia"/>
                <w:szCs w:val="21"/>
                <w:highlight w:val="none"/>
              </w:rPr>
              <w:t>8.支持开箱亮灯、风扇自动启停、加热器自动启停</w:t>
            </w:r>
          </w:p>
          <w:p>
            <w:pPr>
              <w:widowControl/>
              <w:ind w:firstLine="0" w:firstLineChars="0"/>
              <w:rPr>
                <w:rStyle w:val="33"/>
                <w:rFonts w:hint="eastAsia"/>
                <w:szCs w:val="21"/>
                <w:highlight w:val="none"/>
              </w:rPr>
            </w:pPr>
            <w:r>
              <w:rPr>
                <w:rStyle w:val="33"/>
                <w:rFonts w:hint="eastAsia"/>
                <w:szCs w:val="21"/>
                <w:highlight w:val="none"/>
              </w:rPr>
              <w:t>9.支持输出端口自定义，支持配置不同控制策略，支持功率学习</w:t>
            </w:r>
          </w:p>
          <w:p>
            <w:pPr>
              <w:widowControl/>
              <w:spacing w:line="240" w:lineRule="auto"/>
              <w:ind w:firstLine="0" w:firstLineChars="0"/>
              <w:textAlignment w:val="center"/>
              <w:rPr>
                <w:rFonts w:hint="eastAsia"/>
                <w:color w:val="000000"/>
                <w:sz w:val="21"/>
                <w:szCs w:val="21"/>
                <w:highlight w:val="none"/>
              </w:rPr>
            </w:pPr>
            <w:r>
              <w:rPr>
                <w:rStyle w:val="33"/>
                <w:rFonts w:hint="eastAsia"/>
                <w:szCs w:val="21"/>
                <w:highlight w:val="none"/>
              </w:rPr>
              <w:t>10.可配置智能补光灯的工作模式（至少包括：光敏控制、手动控制、频爆模式、三合一、四合一模式）</w:t>
            </w:r>
            <w:r>
              <w:rPr>
                <w:rFonts w:hint="eastAsia"/>
                <w:sz w:val="21"/>
                <w:szCs w:val="21"/>
                <w:highlight w:val="none"/>
              </w:rPr>
              <w:t>。</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183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50</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工业级网管交换机</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工业级2光8电，传输速度1000M，传输距离40km,独立式，使用在前端</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193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9526"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rPr>
                <w:rFonts w:hint="eastAsia"/>
                <w:color w:val="000000"/>
                <w:sz w:val="21"/>
                <w:szCs w:val="21"/>
                <w:highlight w:val="none"/>
              </w:rPr>
            </w:pPr>
            <w:r>
              <w:rPr>
                <w:rFonts w:hint="eastAsia"/>
                <w:b/>
                <w:bCs/>
                <w:color w:val="000000"/>
                <w:sz w:val="21"/>
                <w:szCs w:val="21"/>
                <w:highlight w:val="none"/>
                <w:lang w:bidi="ar"/>
              </w:rPr>
              <w:t>三、铁骑驿站部分</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东莞铁骑驿站牌</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不锈钢烤漆100cm*35cm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防暴装备</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装备柜高1600MM*长1200MM*深400MM，含头盔、盾牌、背心、手套、橡胶棍、钢叉</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防撞柱</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高75cm,114mm直径黑黄直杆防撞柱</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220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防撞柱基础</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挖基础深0.2m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220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办公椅</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办公椅</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便民应急物资</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防暑、外伤、常用药品、便民工具箱、雨伞、雨衣</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铁骑驿站管理规定</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夹画板+户外背胶53cmx79cm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8</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停车位画线</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ABS板+喷漆1.3m</w:t>
            </w:r>
            <w:r>
              <w:rPr>
                <w:rFonts w:hint="eastAsia"/>
                <w:color w:val="000000"/>
                <w:sz w:val="21"/>
                <w:szCs w:val="21"/>
                <w:highlight w:val="none"/>
                <w:lang w:val="en-US" w:eastAsia="zh-CN" w:bidi="ar"/>
              </w:rPr>
              <w:t>*</w:t>
            </w:r>
            <w:r>
              <w:rPr>
                <w:rFonts w:hint="eastAsia"/>
                <w:color w:val="000000"/>
                <w:sz w:val="21"/>
                <w:szCs w:val="21"/>
                <w:highlight w:val="none"/>
                <w:lang w:bidi="ar"/>
              </w:rPr>
              <w:t>2.4m</w:t>
            </w:r>
            <w:r>
              <w:rPr>
                <w:rFonts w:hint="eastAsia"/>
                <w:color w:val="000000"/>
                <w:sz w:val="21"/>
                <w:szCs w:val="21"/>
                <w:highlight w:val="none"/>
                <w:lang w:val="en-US" w:eastAsia="zh-CN" w:bidi="ar"/>
              </w:rPr>
              <w:t>*</w:t>
            </w:r>
            <w:r>
              <w:rPr>
                <w:rFonts w:hint="eastAsia"/>
                <w:color w:val="000000"/>
                <w:sz w:val="21"/>
                <w:szCs w:val="21"/>
                <w:highlight w:val="none"/>
                <w:lang w:bidi="ar"/>
              </w:rPr>
              <w:t>6个</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9</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智能门禁</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人脸/刷卡双模式门禁、出入记录留存</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10</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数字对讲机</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PDT数字对讲机</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干粉灭火器</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4KG手提干粉灭火器</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管务工作站</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6000x6000x3200mm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水电设施</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供电、独立电表、插座、灯具</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网络硬盘录像机</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1.5U机架式5盘位嵌入式网络硬盘录像机，整机采用短机箱设计，搭载高性能电源</w:t>
            </w:r>
            <w:r>
              <w:rPr>
                <w:rFonts w:hint="eastAsia"/>
                <w:color w:val="000000"/>
                <w:sz w:val="21"/>
                <w:szCs w:val="21"/>
                <w:highlight w:val="none"/>
                <w:lang w:bidi="ar"/>
              </w:rPr>
              <w:br w:type="textWrapping"/>
            </w:r>
            <w:r>
              <w:rPr>
                <w:rFonts w:hint="eastAsia"/>
                <w:color w:val="000000"/>
                <w:sz w:val="21"/>
                <w:szCs w:val="21"/>
                <w:highlight w:val="none"/>
                <w:lang w:bidi="ar"/>
              </w:rPr>
              <w:t>【硬件规格】</w:t>
            </w:r>
            <w:r>
              <w:rPr>
                <w:rFonts w:hint="eastAsia"/>
                <w:color w:val="000000"/>
                <w:sz w:val="21"/>
                <w:szCs w:val="21"/>
                <w:highlight w:val="none"/>
                <w:lang w:bidi="ar"/>
              </w:rPr>
              <w:br w:type="textWrapping"/>
            </w:r>
            <w:r>
              <w:rPr>
                <w:rFonts w:hint="eastAsia"/>
                <w:color w:val="000000"/>
                <w:sz w:val="21"/>
                <w:szCs w:val="21"/>
                <w:highlight w:val="none"/>
                <w:lang w:bidi="ar"/>
              </w:rPr>
              <w:t>存储接口：5个SATA接口，可满配20TB硬盘</w:t>
            </w:r>
            <w:r>
              <w:rPr>
                <w:rFonts w:hint="eastAsia"/>
                <w:color w:val="000000"/>
                <w:sz w:val="21"/>
                <w:szCs w:val="21"/>
                <w:highlight w:val="none"/>
                <w:lang w:bidi="ar"/>
              </w:rPr>
              <w:br w:type="textWrapping"/>
            </w:r>
            <w:r>
              <w:rPr>
                <w:rFonts w:hint="eastAsia"/>
                <w:color w:val="000000"/>
                <w:sz w:val="21"/>
                <w:szCs w:val="21"/>
                <w:highlight w:val="none"/>
                <w:lang w:bidi="ar"/>
              </w:rPr>
              <w:t>视频接口：2*HDMI，1*VGA</w:t>
            </w:r>
            <w:r>
              <w:rPr>
                <w:rFonts w:hint="eastAsia"/>
                <w:color w:val="000000"/>
                <w:sz w:val="21"/>
                <w:szCs w:val="21"/>
                <w:highlight w:val="none"/>
                <w:lang w:bidi="ar"/>
              </w:rPr>
              <w:br w:type="textWrapping"/>
            </w:r>
            <w:r>
              <w:rPr>
                <w:rFonts w:hint="eastAsia"/>
                <w:color w:val="000000"/>
                <w:sz w:val="21"/>
                <w:szCs w:val="21"/>
                <w:highlight w:val="none"/>
                <w:lang w:bidi="ar"/>
              </w:rPr>
              <w:t>网络接口：2*RJ4510/100/1000Mbps自适应以太网口</w:t>
            </w:r>
            <w:r>
              <w:rPr>
                <w:rFonts w:hint="eastAsia"/>
                <w:color w:val="000000"/>
                <w:sz w:val="21"/>
                <w:szCs w:val="21"/>
                <w:highlight w:val="none"/>
                <w:lang w:bidi="ar"/>
              </w:rPr>
              <w:br w:type="textWrapping"/>
            </w:r>
            <w:r>
              <w:rPr>
                <w:rFonts w:hint="eastAsia"/>
                <w:color w:val="000000"/>
                <w:sz w:val="21"/>
                <w:szCs w:val="21"/>
                <w:highlight w:val="none"/>
                <w:lang w:bidi="ar"/>
              </w:rPr>
              <w:t>报警接口：16路报警输入，9路报警输出（其中第9路支持CTRL12V）</w:t>
            </w:r>
            <w:r>
              <w:rPr>
                <w:rFonts w:hint="eastAsia"/>
                <w:color w:val="000000"/>
                <w:sz w:val="21"/>
                <w:szCs w:val="21"/>
                <w:highlight w:val="none"/>
                <w:lang w:bidi="ar"/>
              </w:rPr>
              <w:br w:type="textWrapping"/>
            </w:r>
            <w:r>
              <w:rPr>
                <w:rFonts w:hint="eastAsia"/>
                <w:color w:val="000000"/>
                <w:sz w:val="21"/>
                <w:szCs w:val="21"/>
                <w:highlight w:val="none"/>
                <w:lang w:bidi="ar"/>
              </w:rPr>
              <w:t>串行接口：1路RS-232接口，2路半双工RS-485接口</w:t>
            </w:r>
            <w:r>
              <w:rPr>
                <w:rFonts w:hint="eastAsia"/>
                <w:color w:val="000000"/>
                <w:sz w:val="21"/>
                <w:szCs w:val="21"/>
                <w:highlight w:val="none"/>
                <w:lang w:bidi="ar"/>
              </w:rPr>
              <w:br w:type="textWrapping"/>
            </w:r>
            <w:r>
              <w:rPr>
                <w:rFonts w:hint="eastAsia"/>
                <w:color w:val="000000"/>
                <w:sz w:val="21"/>
                <w:szCs w:val="21"/>
                <w:highlight w:val="none"/>
                <w:lang w:bidi="ar"/>
              </w:rPr>
              <w:t>USB接口：2*USB2.0，1*USB3.0</w:t>
            </w:r>
            <w:r>
              <w:rPr>
                <w:rFonts w:hint="eastAsia"/>
                <w:color w:val="000000"/>
                <w:sz w:val="21"/>
                <w:szCs w:val="21"/>
                <w:highlight w:val="none"/>
                <w:lang w:bidi="ar"/>
              </w:rPr>
              <w:br w:type="textWrapping"/>
            </w:r>
            <w:r>
              <w:rPr>
                <w:rFonts w:hint="eastAsia"/>
                <w:color w:val="000000"/>
                <w:sz w:val="21"/>
                <w:szCs w:val="21"/>
                <w:highlight w:val="none"/>
                <w:lang w:bidi="ar"/>
              </w:rPr>
              <w:t>扩展接口：1*eSATA</w:t>
            </w:r>
            <w:r>
              <w:rPr>
                <w:rFonts w:hint="eastAsia"/>
                <w:color w:val="000000"/>
                <w:sz w:val="21"/>
                <w:szCs w:val="21"/>
                <w:highlight w:val="none"/>
                <w:lang w:bidi="ar"/>
              </w:rPr>
              <w:br w:type="textWrapping"/>
            </w:r>
            <w:r>
              <w:rPr>
                <w:rFonts w:hint="eastAsia"/>
                <w:color w:val="000000"/>
                <w:sz w:val="21"/>
                <w:szCs w:val="21"/>
                <w:highlight w:val="none"/>
                <w:lang w:bidi="ar"/>
              </w:rPr>
              <w:t>硬盘4T*2</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路面硬化</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水泥路面硬化</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16</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空调</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1.5匹空调</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灭火器箱</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36x20x55cm灭火器箱</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18</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监控</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不低于400万摄像头</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19</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接警台</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尺寸:2200W*600D*1050H</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20</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指挥台</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尺寸2000W*1000D*750H</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膜结构停车棚</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8.5mX2.6m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9526"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rPr>
                <w:rFonts w:hint="eastAsia"/>
                <w:color w:val="000000"/>
                <w:sz w:val="21"/>
                <w:szCs w:val="21"/>
                <w:highlight w:val="none"/>
              </w:rPr>
            </w:pPr>
            <w:r>
              <w:rPr>
                <w:rFonts w:hint="eastAsia"/>
                <w:b/>
                <w:bCs/>
                <w:color w:val="000000"/>
                <w:sz w:val="21"/>
                <w:szCs w:val="21"/>
                <w:highlight w:val="none"/>
                <w:lang w:bidi="ar"/>
              </w:rPr>
              <w:t>四、无人机部分</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安装费</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机场安装</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行业无人机（不含电池）</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ind w:firstLine="0" w:firstLineChars="0"/>
              <w:rPr>
                <w:rFonts w:hint="eastAsia"/>
                <w:sz w:val="21"/>
                <w:szCs w:val="21"/>
                <w:highlight w:val="none"/>
              </w:rPr>
            </w:pPr>
            <w:r>
              <w:rPr>
                <w:rFonts w:hint="eastAsia"/>
                <w:sz w:val="21"/>
                <w:szCs w:val="21"/>
                <w:highlight w:val="none"/>
              </w:rPr>
              <w:t>1.广角相机：不小于1/1.3英寸CMOS、4800万有效像素、f/1.7、等效焦距24mm</w:t>
            </w:r>
          </w:p>
          <w:p>
            <w:pPr>
              <w:spacing w:line="240" w:lineRule="auto"/>
              <w:ind w:firstLine="0" w:firstLineChars="0"/>
              <w:rPr>
                <w:rFonts w:hint="eastAsia"/>
                <w:sz w:val="21"/>
                <w:szCs w:val="21"/>
                <w:highlight w:val="none"/>
              </w:rPr>
            </w:pPr>
            <w:r>
              <w:rPr>
                <w:rFonts w:hint="eastAsia"/>
                <w:sz w:val="21"/>
                <w:szCs w:val="21"/>
                <w:highlight w:val="none"/>
              </w:rPr>
              <w:t>2.中长焦相机：不小于1/1.3英寸CMOS、4800万有效像素、f/2.8、等效焦距70mm</w:t>
            </w:r>
          </w:p>
          <w:p>
            <w:pPr>
              <w:spacing w:line="240" w:lineRule="auto"/>
              <w:ind w:firstLine="0" w:firstLineChars="0"/>
              <w:rPr>
                <w:rFonts w:hint="eastAsia"/>
                <w:sz w:val="21"/>
                <w:szCs w:val="21"/>
                <w:highlight w:val="none"/>
              </w:rPr>
            </w:pPr>
            <w:r>
              <w:rPr>
                <w:rFonts w:hint="eastAsia"/>
                <w:sz w:val="21"/>
                <w:szCs w:val="21"/>
                <w:highlight w:val="none"/>
              </w:rPr>
              <w:t>3.长焦相机：不小于1/1.5英寸CMOS、4800万有效像素、f/2.8、等效焦距168mm</w:t>
            </w:r>
          </w:p>
          <w:p>
            <w:pPr>
              <w:spacing w:line="240" w:lineRule="auto"/>
              <w:ind w:firstLine="0" w:firstLineChars="0"/>
              <w:rPr>
                <w:rFonts w:hint="eastAsia"/>
                <w:sz w:val="21"/>
                <w:szCs w:val="21"/>
                <w:highlight w:val="none"/>
              </w:rPr>
            </w:pPr>
            <w:r>
              <w:rPr>
                <w:rFonts w:hint="eastAsia"/>
                <w:sz w:val="21"/>
                <w:szCs w:val="21"/>
                <w:highlight w:val="none"/>
              </w:rPr>
              <w:t>4.激光测距模块</w:t>
            </w:r>
          </w:p>
          <w:p>
            <w:pPr>
              <w:spacing w:line="240" w:lineRule="auto"/>
              <w:ind w:firstLine="0" w:firstLineChars="0"/>
              <w:rPr>
                <w:rFonts w:hint="eastAsia"/>
                <w:sz w:val="21"/>
                <w:szCs w:val="21"/>
                <w:highlight w:val="none"/>
              </w:rPr>
            </w:pPr>
            <w:r>
              <w:rPr>
                <w:rFonts w:hint="eastAsia"/>
                <w:sz w:val="21"/>
                <w:szCs w:val="21"/>
                <w:highlight w:val="none"/>
              </w:rPr>
              <w:t>正入射量程：±1800米（1HZ）</w:t>
            </w:r>
          </w:p>
          <w:p>
            <w:pPr>
              <w:spacing w:line="240" w:lineRule="auto"/>
              <w:ind w:firstLine="0" w:firstLineChars="0"/>
              <w:rPr>
                <w:rFonts w:hint="eastAsia"/>
                <w:sz w:val="21"/>
                <w:szCs w:val="21"/>
                <w:highlight w:val="none"/>
              </w:rPr>
            </w:pPr>
            <w:r>
              <w:rPr>
                <w:rFonts w:hint="eastAsia"/>
                <w:sz w:val="21"/>
                <w:szCs w:val="21"/>
                <w:highlight w:val="none"/>
              </w:rPr>
              <w:t>斜入射量程（1：5斜距）：±600米（1HZ）</w:t>
            </w:r>
          </w:p>
          <w:p>
            <w:pPr>
              <w:spacing w:line="240" w:lineRule="auto"/>
              <w:ind w:firstLine="0" w:firstLineChars="0"/>
              <w:rPr>
                <w:rFonts w:hint="eastAsia"/>
                <w:sz w:val="21"/>
                <w:szCs w:val="21"/>
                <w:highlight w:val="none"/>
              </w:rPr>
            </w:pPr>
            <w:r>
              <w:rPr>
                <w:rFonts w:hint="eastAsia"/>
                <w:sz w:val="21"/>
                <w:szCs w:val="21"/>
                <w:highlight w:val="none"/>
              </w:rPr>
              <w:t>盲区：±1米</w:t>
            </w:r>
          </w:p>
          <w:p>
            <w:pPr>
              <w:spacing w:line="240" w:lineRule="auto"/>
              <w:ind w:firstLine="0" w:firstLineChars="0"/>
              <w:rPr>
                <w:rFonts w:hint="eastAsia"/>
                <w:sz w:val="21"/>
                <w:szCs w:val="21"/>
                <w:highlight w:val="none"/>
              </w:rPr>
            </w:pPr>
            <w:r>
              <w:rPr>
                <w:rFonts w:hint="eastAsia"/>
                <w:sz w:val="21"/>
                <w:szCs w:val="21"/>
                <w:highlight w:val="none"/>
              </w:rPr>
              <w:t>测距精度（米）：±（0.2+0.0015xD）</w:t>
            </w:r>
          </w:p>
          <w:p>
            <w:pPr>
              <w:spacing w:line="240" w:lineRule="auto"/>
              <w:ind w:firstLine="0" w:firstLineChars="0"/>
              <w:rPr>
                <w:rFonts w:hint="eastAsia"/>
                <w:sz w:val="21"/>
                <w:szCs w:val="21"/>
                <w:highlight w:val="none"/>
              </w:rPr>
            </w:pPr>
            <w:r>
              <w:rPr>
                <w:rFonts w:hint="eastAsia"/>
                <w:sz w:val="21"/>
                <w:szCs w:val="21"/>
                <w:highlight w:val="none"/>
              </w:rPr>
              <w:t>5.近红外补光灯：6°视场角，100米照亮距离，热成像相机，分辨率640*512，f/1.0，等效焦距53mm</w:t>
            </w:r>
            <w:r>
              <w:rPr>
                <w:rFonts w:hint="eastAsia"/>
                <w:sz w:val="21"/>
                <w:szCs w:val="21"/>
                <w:highlight w:val="none"/>
              </w:rPr>
              <w:br w:type="textWrapping"/>
            </w:r>
            <w:r>
              <w:rPr>
                <w:rFonts w:hint="eastAsia"/>
                <w:sz w:val="21"/>
                <w:szCs w:val="21"/>
                <w:highlight w:val="none"/>
              </w:rPr>
              <w:t>非制冷氧化钒</w:t>
            </w:r>
            <w:r>
              <w:rPr>
                <w:rFonts w:hint="eastAsia"/>
                <w:sz w:val="21"/>
                <w:szCs w:val="21"/>
                <w:highlight w:val="none"/>
              </w:rPr>
              <w:br w:type="textWrapping"/>
            </w:r>
            <w:r>
              <w:rPr>
                <w:rFonts w:hint="eastAsia"/>
                <w:sz w:val="21"/>
                <w:szCs w:val="21"/>
                <w:highlight w:val="none"/>
              </w:rPr>
              <w:t>支持超分模式</w:t>
            </w:r>
          </w:p>
          <w:p>
            <w:pPr>
              <w:spacing w:line="240" w:lineRule="auto"/>
              <w:ind w:firstLine="0" w:firstLineChars="0"/>
              <w:rPr>
                <w:rFonts w:hint="eastAsia"/>
                <w:sz w:val="21"/>
                <w:szCs w:val="21"/>
                <w:highlight w:val="none"/>
              </w:rPr>
            </w:pPr>
            <w:r>
              <w:rPr>
                <w:rFonts w:hint="eastAsia"/>
                <w:sz w:val="21"/>
                <w:szCs w:val="21"/>
                <w:highlight w:val="none"/>
              </w:rPr>
              <w:t>6.飞行性能</w:t>
            </w:r>
            <w:r>
              <w:rPr>
                <w:sz w:val="21"/>
                <w:szCs w:val="21"/>
                <w:highlight w:val="none"/>
              </w:rPr>
              <w:t>：</w:t>
            </w:r>
          </w:p>
          <w:p>
            <w:pPr>
              <w:spacing w:line="240" w:lineRule="auto"/>
              <w:ind w:firstLine="0" w:firstLineChars="0"/>
              <w:rPr>
                <w:rFonts w:hint="eastAsia"/>
                <w:sz w:val="21"/>
                <w:szCs w:val="21"/>
                <w:highlight w:val="none"/>
              </w:rPr>
            </w:pPr>
            <w:r>
              <w:rPr>
                <w:rFonts w:hint="eastAsia"/>
                <w:sz w:val="21"/>
                <w:szCs w:val="21"/>
                <w:highlight w:val="none"/>
              </w:rPr>
              <w:t>（1）</w:t>
            </w:r>
            <w:r>
              <w:rPr>
                <w:sz w:val="21"/>
                <w:szCs w:val="21"/>
                <w:highlight w:val="none"/>
              </w:rPr>
              <w:t>悬停精度：视觉定位正常工作时垂直±0.1m，水平±0.3m；GNSS正常工作时垂直±0.5m，水平±0.5m；RTK正常工作时垂直±0.1m，水平±0.1m。</w:t>
            </w:r>
          </w:p>
          <w:p>
            <w:pPr>
              <w:spacing w:line="240" w:lineRule="auto"/>
              <w:ind w:firstLine="0" w:firstLineChars="0"/>
              <w:rPr>
                <w:rFonts w:hint="eastAsia"/>
                <w:sz w:val="21"/>
                <w:szCs w:val="21"/>
                <w:highlight w:val="none"/>
              </w:rPr>
            </w:pPr>
            <w:r>
              <w:rPr>
                <w:rFonts w:hint="eastAsia"/>
                <w:sz w:val="21"/>
                <w:szCs w:val="21"/>
                <w:highlight w:val="none"/>
              </w:rPr>
              <w:t>（2）</w:t>
            </w:r>
            <w:r>
              <w:rPr>
                <w:sz w:val="21"/>
                <w:szCs w:val="21"/>
                <w:highlight w:val="none"/>
              </w:rPr>
              <w:t>旋转角速度：200°/秒。</w:t>
            </w:r>
          </w:p>
          <w:p>
            <w:pPr>
              <w:spacing w:line="240" w:lineRule="auto"/>
              <w:ind w:firstLine="0" w:firstLineChars="0"/>
              <w:rPr>
                <w:rFonts w:hint="eastAsia"/>
                <w:sz w:val="21"/>
                <w:szCs w:val="21"/>
                <w:highlight w:val="none"/>
              </w:rPr>
            </w:pPr>
            <w:r>
              <w:rPr>
                <w:rFonts w:hint="eastAsia"/>
                <w:sz w:val="21"/>
                <w:szCs w:val="21"/>
                <w:highlight w:val="none"/>
              </w:rPr>
              <w:t>（3）</w:t>
            </w:r>
            <w:r>
              <w:rPr>
                <w:sz w:val="21"/>
                <w:szCs w:val="21"/>
                <w:highlight w:val="none"/>
              </w:rPr>
              <w:t>升降速度：最大上升速度6m/s（普通挡），10m/s（运动挡）；最大下降速度6m/s（普通挡），8m/s（运动挡）。</w:t>
            </w:r>
          </w:p>
          <w:p>
            <w:pPr>
              <w:spacing w:line="240" w:lineRule="auto"/>
              <w:ind w:firstLine="0" w:firstLineChars="0"/>
              <w:rPr>
                <w:rFonts w:hint="eastAsia"/>
                <w:sz w:val="21"/>
                <w:szCs w:val="21"/>
                <w:highlight w:val="none"/>
              </w:rPr>
            </w:pPr>
            <w:r>
              <w:rPr>
                <w:rFonts w:hint="eastAsia"/>
                <w:sz w:val="21"/>
                <w:szCs w:val="21"/>
                <w:highlight w:val="none"/>
              </w:rPr>
              <w:t>（4）</w:t>
            </w:r>
            <w:r>
              <w:rPr>
                <w:sz w:val="21"/>
                <w:szCs w:val="21"/>
                <w:highlight w:val="none"/>
              </w:rPr>
              <w:t>飞行速度：普通挡，开启避障时前飞15m/s，后飞12m/s，侧飞10m/s；运动挡时前飞21m/s，后飞19m/s，侧飞15m/s。</w:t>
            </w:r>
          </w:p>
          <w:p>
            <w:pPr>
              <w:spacing w:line="240" w:lineRule="auto"/>
              <w:ind w:firstLine="0" w:firstLineChars="0"/>
              <w:rPr>
                <w:rFonts w:hint="eastAsia"/>
                <w:sz w:val="21"/>
                <w:szCs w:val="21"/>
                <w:highlight w:val="none"/>
              </w:rPr>
            </w:pPr>
            <w:r>
              <w:rPr>
                <w:rFonts w:hint="eastAsia"/>
                <w:sz w:val="21"/>
                <w:szCs w:val="21"/>
                <w:highlight w:val="none"/>
              </w:rPr>
              <w:t>（5）</w:t>
            </w:r>
            <w:r>
              <w:rPr>
                <w:sz w:val="21"/>
                <w:szCs w:val="21"/>
                <w:highlight w:val="none"/>
              </w:rPr>
              <w:t>飞行高度：6500m。</w:t>
            </w:r>
          </w:p>
          <w:p>
            <w:pPr>
              <w:spacing w:line="240" w:lineRule="auto"/>
              <w:ind w:firstLine="0" w:firstLineChars="0"/>
              <w:rPr>
                <w:rFonts w:hint="eastAsia"/>
                <w:sz w:val="21"/>
                <w:szCs w:val="21"/>
                <w:highlight w:val="none"/>
              </w:rPr>
            </w:pPr>
            <w:r>
              <w:rPr>
                <w:rFonts w:hint="eastAsia"/>
                <w:sz w:val="21"/>
                <w:szCs w:val="21"/>
                <w:highlight w:val="none"/>
              </w:rPr>
              <w:t>7.</w:t>
            </w:r>
            <w:r>
              <w:rPr>
                <w:sz w:val="21"/>
                <w:szCs w:val="21"/>
                <w:highlight w:val="none"/>
              </w:rPr>
              <w:t>其他特性：标配静音抗结冰桨叶，热成像相机与近红外补光灯的结合。</w:t>
            </w:r>
          </w:p>
          <w:p>
            <w:pPr>
              <w:spacing w:line="240" w:lineRule="auto"/>
              <w:ind w:firstLine="0" w:firstLineChars="0"/>
              <w:rPr>
                <w:rFonts w:hint="eastAsia"/>
                <w:sz w:val="21"/>
                <w:szCs w:val="21"/>
                <w:highlight w:val="none"/>
              </w:rPr>
            </w:pPr>
            <w:r>
              <w:rPr>
                <w:rFonts w:hint="eastAsia"/>
                <w:sz w:val="21"/>
                <w:szCs w:val="21"/>
                <w:highlight w:val="none"/>
              </w:rPr>
              <w:t>8.</w:t>
            </w:r>
            <w:r>
              <w:rPr>
                <w:sz w:val="21"/>
                <w:szCs w:val="21"/>
                <w:highlight w:val="none"/>
              </w:rPr>
              <w:t>防护等级：IP56。</w:t>
            </w:r>
          </w:p>
          <w:p>
            <w:pPr>
              <w:spacing w:line="240" w:lineRule="auto"/>
              <w:ind w:firstLine="0" w:firstLineChars="0"/>
              <w:rPr>
                <w:rFonts w:hint="eastAsia"/>
                <w:sz w:val="21"/>
                <w:szCs w:val="21"/>
                <w:highlight w:val="none"/>
              </w:rPr>
            </w:pPr>
            <w:r>
              <w:rPr>
                <w:rFonts w:hint="eastAsia"/>
                <w:sz w:val="21"/>
                <w:szCs w:val="21"/>
                <w:highlight w:val="none"/>
              </w:rPr>
              <w:t>9.</w:t>
            </w:r>
            <w:r>
              <w:rPr>
                <w:sz w:val="21"/>
                <w:szCs w:val="21"/>
                <w:highlight w:val="none"/>
              </w:rPr>
              <w:t>图传系统：</w:t>
            </w:r>
          </w:p>
          <w:p>
            <w:pPr>
              <w:spacing w:line="240" w:lineRule="auto"/>
              <w:ind w:firstLine="0" w:firstLineChars="0"/>
              <w:rPr>
                <w:rFonts w:hint="eastAsia"/>
                <w:sz w:val="21"/>
                <w:szCs w:val="21"/>
                <w:highlight w:val="none"/>
              </w:rPr>
            </w:pPr>
            <w:r>
              <w:rPr>
                <w:rFonts w:hint="eastAsia"/>
                <w:sz w:val="21"/>
                <w:szCs w:val="21"/>
                <w:highlight w:val="none"/>
              </w:rPr>
              <w:t>（1）</w:t>
            </w:r>
            <w:r>
              <w:rPr>
                <w:sz w:val="21"/>
                <w:szCs w:val="21"/>
                <w:highlight w:val="none"/>
              </w:rPr>
              <w:t>工作频段：2.400GHz-2.4835GHz；5.150GHz-5.250GHz（CE：5.170GHz至5.250GHz）；5.725GHz-5.850GHz。</w:t>
            </w:r>
          </w:p>
          <w:p>
            <w:pPr>
              <w:spacing w:line="240" w:lineRule="auto"/>
              <w:ind w:firstLine="0" w:firstLineChars="0"/>
              <w:rPr>
                <w:rFonts w:hint="eastAsia"/>
                <w:sz w:val="21"/>
                <w:szCs w:val="21"/>
                <w:highlight w:val="none"/>
              </w:rPr>
            </w:pPr>
            <w:r>
              <w:rPr>
                <w:rFonts w:hint="eastAsia"/>
                <w:sz w:val="21"/>
                <w:szCs w:val="21"/>
                <w:highlight w:val="none"/>
              </w:rPr>
              <w:t>（2）</w:t>
            </w:r>
            <w:r>
              <w:rPr>
                <w:sz w:val="21"/>
                <w:szCs w:val="21"/>
                <w:highlight w:val="none"/>
              </w:rPr>
              <w:t>实时图传质量：720p/30fps，1080p/30fps；540p/30fps，720p/30fps，1080p/30fps。</w:t>
            </w:r>
          </w:p>
          <w:p>
            <w:pPr>
              <w:spacing w:line="240" w:lineRule="auto"/>
              <w:ind w:firstLine="0" w:firstLineChars="0"/>
              <w:rPr>
                <w:rFonts w:hint="eastAsia"/>
                <w:color w:val="000000"/>
                <w:sz w:val="21"/>
                <w:szCs w:val="21"/>
                <w:highlight w:val="none"/>
              </w:rPr>
            </w:pPr>
            <w:r>
              <w:rPr>
                <w:rFonts w:hint="eastAsia"/>
                <w:sz w:val="21"/>
                <w:szCs w:val="21"/>
                <w:highlight w:val="none"/>
              </w:rPr>
              <w:t>（3）</w:t>
            </w:r>
            <w:r>
              <w:rPr>
                <w:sz w:val="21"/>
                <w:szCs w:val="21"/>
                <w:highlight w:val="none"/>
              </w:rPr>
              <w:t>最大信号有效距离：无干扰、无遮挡时，FCC标准下为25公里；有干扰、无遮挡时，根据干扰强度不同，有效距离在1.5公里至25公里之间变化。</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无人机及机场保养费</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每年5次上门保养，包括基础检测、升级校准、深度清洁、易损件更换等。</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4</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探照灯</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重量：99克（含支架），91克（不含支架）</w:t>
            </w:r>
            <w:r>
              <w:rPr>
                <w:rFonts w:hint="eastAsia"/>
                <w:color w:val="000000"/>
                <w:sz w:val="21"/>
                <w:szCs w:val="21"/>
                <w:highlight w:val="none"/>
                <w:lang w:bidi="ar"/>
              </w:rPr>
              <w:br w:type="textWrapping"/>
            </w:r>
            <w:r>
              <w:rPr>
                <w:rFonts w:hint="eastAsia"/>
                <w:color w:val="000000"/>
                <w:sz w:val="21"/>
                <w:szCs w:val="21"/>
                <w:highlight w:val="none"/>
                <w:lang w:bidi="ar"/>
              </w:rPr>
              <w:t>尺寸：长95毫米，宽164毫米，高30毫米（含支架），长79毫米，宽164毫米，高28毫米（不含支架）</w:t>
            </w:r>
            <w:r>
              <w:rPr>
                <w:rFonts w:hint="eastAsia"/>
                <w:color w:val="000000"/>
                <w:sz w:val="21"/>
                <w:szCs w:val="21"/>
                <w:highlight w:val="none"/>
                <w:lang w:bidi="ar"/>
              </w:rPr>
              <w:br w:type="textWrapping"/>
            </w:r>
            <w:r>
              <w:rPr>
                <w:rFonts w:hint="eastAsia"/>
                <w:color w:val="000000"/>
                <w:sz w:val="21"/>
                <w:szCs w:val="21"/>
                <w:highlight w:val="none"/>
                <w:lang w:bidi="ar"/>
              </w:rPr>
              <w:t>最大功率：32瓦</w:t>
            </w:r>
            <w:r>
              <w:rPr>
                <w:rFonts w:hint="eastAsia"/>
                <w:color w:val="000000"/>
                <w:sz w:val="21"/>
                <w:szCs w:val="21"/>
                <w:highlight w:val="none"/>
                <w:lang w:bidi="ar"/>
              </w:rPr>
              <w:br w:type="textWrapping"/>
            </w:r>
            <w:r>
              <w:rPr>
                <w:rFonts w:hint="eastAsia"/>
                <w:color w:val="000000"/>
                <w:sz w:val="21"/>
                <w:szCs w:val="21"/>
                <w:highlight w:val="none"/>
                <w:lang w:bidi="ar"/>
              </w:rPr>
              <w:t>照度：4.3±0.2lux@100米，17±0.2lux@50米</w:t>
            </w:r>
            <w:r>
              <w:rPr>
                <w:rFonts w:hint="eastAsia"/>
                <w:color w:val="000000"/>
                <w:sz w:val="21"/>
                <w:szCs w:val="21"/>
                <w:highlight w:val="none"/>
                <w:lang w:bidi="ar"/>
              </w:rPr>
              <w:br w:type="textWrapping"/>
            </w:r>
            <w:r>
              <w:rPr>
                <w:rFonts w:hint="eastAsia"/>
                <w:color w:val="000000"/>
                <w:sz w:val="21"/>
                <w:szCs w:val="21"/>
                <w:highlight w:val="none"/>
                <w:lang w:bidi="ar"/>
              </w:rPr>
              <w:t>有效照明角度：23°（10%相对照度）</w:t>
            </w:r>
            <w:r>
              <w:rPr>
                <w:rFonts w:hint="eastAsia"/>
                <w:color w:val="000000"/>
                <w:sz w:val="21"/>
                <w:szCs w:val="21"/>
                <w:highlight w:val="none"/>
                <w:lang w:bidi="ar"/>
              </w:rPr>
              <w:br w:type="textWrapping"/>
            </w:r>
            <w:r>
              <w:rPr>
                <w:rFonts w:hint="eastAsia"/>
                <w:color w:val="000000"/>
                <w:sz w:val="21"/>
                <w:szCs w:val="21"/>
                <w:highlight w:val="none"/>
                <w:lang w:bidi="ar"/>
              </w:rPr>
              <w:t>有效照明面积：1300平方米@100米（10%相对照度，普通模式），2200平方米@100米（10%相对照度，广视野模式）</w:t>
            </w:r>
            <w:r>
              <w:rPr>
                <w:rFonts w:hint="eastAsia"/>
                <w:color w:val="000000"/>
                <w:sz w:val="21"/>
                <w:szCs w:val="21"/>
                <w:highlight w:val="none"/>
                <w:lang w:bidi="ar"/>
              </w:rPr>
              <w:br w:type="textWrapping"/>
            </w:r>
            <w:r>
              <w:rPr>
                <w:rFonts w:hint="eastAsia"/>
                <w:color w:val="000000"/>
                <w:sz w:val="21"/>
                <w:szCs w:val="21"/>
                <w:highlight w:val="none"/>
                <w:lang w:bidi="ar"/>
              </w:rPr>
              <w:t>工作方式：常亮、爆闪</w:t>
            </w:r>
            <w:r>
              <w:rPr>
                <w:rFonts w:hint="eastAsia"/>
                <w:color w:val="000000"/>
                <w:sz w:val="21"/>
                <w:szCs w:val="21"/>
                <w:highlight w:val="none"/>
                <w:lang w:bidi="ar"/>
              </w:rPr>
              <w:br w:type="textWrapping"/>
            </w:r>
            <w:r>
              <w:rPr>
                <w:rFonts w:hint="eastAsia"/>
                <w:color w:val="000000"/>
                <w:sz w:val="21"/>
                <w:szCs w:val="21"/>
                <w:highlight w:val="none"/>
                <w:lang w:bidi="ar"/>
              </w:rPr>
              <w:t>云台结构设计范围：俯仰：-140°至50°</w:t>
            </w:r>
            <w:r>
              <w:rPr>
                <w:rFonts w:hint="eastAsia"/>
                <w:color w:val="000000"/>
                <w:sz w:val="21"/>
                <w:szCs w:val="21"/>
                <w:highlight w:val="none"/>
                <w:lang w:bidi="ar"/>
              </w:rPr>
              <w:br w:type="textWrapping"/>
            </w:r>
            <w:r>
              <w:rPr>
                <w:rFonts w:hint="eastAsia"/>
                <w:color w:val="000000"/>
                <w:sz w:val="21"/>
                <w:szCs w:val="21"/>
                <w:highlight w:val="none"/>
                <w:lang w:bidi="ar"/>
              </w:rPr>
              <w:t>云台可控转动范围：俯仰：-90°至35°</w:t>
            </w:r>
            <w:r>
              <w:rPr>
                <w:rFonts w:hint="eastAsia"/>
                <w:color w:val="000000"/>
                <w:sz w:val="21"/>
                <w:szCs w:val="21"/>
                <w:highlight w:val="none"/>
                <w:lang w:bidi="ar"/>
              </w:rPr>
              <w:br w:type="textWrapping"/>
            </w:r>
            <w:r>
              <w:rPr>
                <w:rFonts w:hint="eastAsia"/>
                <w:color w:val="000000"/>
                <w:sz w:val="21"/>
                <w:szCs w:val="21"/>
                <w:highlight w:val="none"/>
                <w:lang w:bidi="ar"/>
              </w:rPr>
              <w:t>云台最大控制转速（俯仰）：120°/s</w:t>
            </w:r>
            <w:r>
              <w:rPr>
                <w:rFonts w:hint="eastAsia"/>
                <w:color w:val="000000"/>
                <w:sz w:val="21"/>
                <w:szCs w:val="21"/>
                <w:highlight w:val="none"/>
                <w:lang w:bidi="ar"/>
              </w:rPr>
              <w:br w:type="textWrapping"/>
            </w:r>
            <w:r>
              <w:rPr>
                <w:rFonts w:hint="eastAsia"/>
                <w:color w:val="000000"/>
                <w:sz w:val="21"/>
                <w:szCs w:val="21"/>
                <w:highlight w:val="none"/>
                <w:lang w:bidi="ar"/>
              </w:rPr>
              <w:t>云台对齐精度：±0.1°</w:t>
            </w:r>
            <w:r>
              <w:rPr>
                <w:rFonts w:hint="eastAsia"/>
                <w:color w:val="000000"/>
                <w:sz w:val="21"/>
                <w:szCs w:val="21"/>
                <w:highlight w:val="none"/>
                <w:lang w:bidi="ar"/>
              </w:rPr>
              <w:br w:type="textWrapping"/>
            </w:r>
            <w:r>
              <w:rPr>
                <w:rFonts w:hint="eastAsia"/>
                <w:color w:val="000000"/>
                <w:sz w:val="21"/>
                <w:szCs w:val="21"/>
                <w:highlight w:val="none"/>
                <w:lang w:bidi="ar"/>
              </w:rPr>
              <w:t>工作环境温度：-20℃至50℃</w:t>
            </w:r>
            <w:r>
              <w:rPr>
                <w:rFonts w:hint="eastAsia"/>
                <w:color w:val="000000"/>
                <w:sz w:val="21"/>
                <w:szCs w:val="21"/>
                <w:highlight w:val="none"/>
                <w:lang w:bidi="ar"/>
              </w:rPr>
              <w:br w:type="textWrapping"/>
            </w:r>
            <w:r>
              <w:rPr>
                <w:rFonts w:hint="eastAsia"/>
                <w:color w:val="000000"/>
                <w:sz w:val="21"/>
                <w:szCs w:val="21"/>
                <w:highlight w:val="none"/>
                <w:lang w:bidi="ar"/>
              </w:rPr>
              <w:t>防护等级：不低于IP55</w:t>
            </w:r>
            <w:r>
              <w:rPr>
                <w:rFonts w:hint="eastAsia"/>
                <w:color w:val="000000"/>
                <w:sz w:val="21"/>
                <w:szCs w:val="21"/>
                <w:highlight w:val="none"/>
                <w:lang w:bidi="ar"/>
              </w:rPr>
              <w:br w:type="textWrapping"/>
            </w:r>
            <w:r>
              <w:rPr>
                <w:rFonts w:hint="eastAsia"/>
                <w:color w:val="000000"/>
                <w:sz w:val="21"/>
                <w:szCs w:val="21"/>
                <w:highlight w:val="none"/>
                <w:lang w:bidi="ar"/>
              </w:rPr>
              <w:t>安装方式：快拆手拧螺丝</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240W桌面充电器</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输入：100伏至240伏（交流电），50/60Hz，3安</w:t>
            </w:r>
            <w:r>
              <w:rPr>
                <w:rFonts w:hint="eastAsia"/>
                <w:color w:val="000000"/>
                <w:sz w:val="21"/>
                <w:szCs w:val="21"/>
                <w:highlight w:val="none"/>
                <w:lang w:bidi="ar"/>
              </w:rPr>
              <w:br w:type="textWrapping"/>
            </w:r>
            <w:r>
              <w:rPr>
                <w:rFonts w:hint="eastAsia"/>
                <w:color w:val="000000"/>
                <w:sz w:val="21"/>
                <w:szCs w:val="21"/>
                <w:highlight w:val="none"/>
                <w:lang w:bidi="ar"/>
              </w:rPr>
              <w:t>输出功率：240瓦</w:t>
            </w:r>
            <w:r>
              <w:rPr>
                <w:rFonts w:hint="eastAsia"/>
                <w:color w:val="000000"/>
                <w:sz w:val="21"/>
                <w:szCs w:val="21"/>
                <w:highlight w:val="none"/>
                <w:lang w:bidi="ar"/>
              </w:rPr>
              <w:br w:type="textWrapping"/>
            </w:r>
            <w:r>
              <w:rPr>
                <w:rFonts w:hint="eastAsia"/>
                <w:color w:val="000000"/>
                <w:sz w:val="21"/>
                <w:szCs w:val="21"/>
                <w:highlight w:val="none"/>
                <w:lang w:bidi="ar"/>
              </w:rPr>
              <w:t>输出总共：最大输出功率240瓦；USB-C接口：最大输出功率65瓦</w:t>
            </w:r>
            <w:r>
              <w:rPr>
                <w:rFonts w:hint="eastAsia"/>
                <w:color w:val="000000"/>
                <w:sz w:val="21"/>
                <w:szCs w:val="21"/>
                <w:highlight w:val="none"/>
                <w:lang w:bidi="ar"/>
              </w:rPr>
              <w:br w:type="textWrapping"/>
            </w:r>
            <w:r>
              <w:rPr>
                <w:rFonts w:hint="eastAsia"/>
                <w:color w:val="000000"/>
                <w:sz w:val="21"/>
                <w:szCs w:val="21"/>
                <w:highlight w:val="none"/>
                <w:lang w:bidi="ar"/>
              </w:rPr>
              <w:t>两个接口同时充电时，USB-C接口最大输出功率为45瓦。</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6</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电池</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每年电池更换费用</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充电管家</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输入：SDC：16.8伏至25.5伏，12.1安</w:t>
            </w:r>
            <w:r>
              <w:rPr>
                <w:rFonts w:hint="eastAsia"/>
                <w:color w:val="000000"/>
                <w:sz w:val="21"/>
                <w:szCs w:val="21"/>
                <w:highlight w:val="none"/>
                <w:lang w:bidi="ar"/>
              </w:rPr>
              <w:br w:type="textWrapping"/>
            </w:r>
            <w:r>
              <w:rPr>
                <w:rFonts w:hint="eastAsia"/>
                <w:color w:val="000000"/>
                <w:sz w:val="21"/>
                <w:szCs w:val="21"/>
                <w:highlight w:val="none"/>
                <w:lang w:bidi="ar"/>
              </w:rPr>
              <w:t>额定功率：240瓦</w:t>
            </w:r>
            <w:r>
              <w:rPr>
                <w:rFonts w:hint="eastAsia"/>
                <w:color w:val="000000"/>
                <w:sz w:val="21"/>
                <w:szCs w:val="21"/>
                <w:highlight w:val="none"/>
                <w:lang w:bidi="ar"/>
              </w:rPr>
              <w:br w:type="textWrapping"/>
            </w:r>
            <w:r>
              <w:rPr>
                <w:rFonts w:hint="eastAsia"/>
                <w:color w:val="000000"/>
                <w:sz w:val="21"/>
                <w:szCs w:val="21"/>
                <w:highlight w:val="none"/>
                <w:lang w:bidi="ar"/>
              </w:rPr>
              <w:t>充电方式：3块电池轮充，支持标准模式（100%SOC）与待命模式（90%SOC）</w:t>
            </w:r>
            <w:r>
              <w:rPr>
                <w:rFonts w:hint="eastAsia"/>
                <w:color w:val="000000"/>
                <w:sz w:val="21"/>
                <w:szCs w:val="21"/>
                <w:highlight w:val="none"/>
                <w:lang w:bidi="ar"/>
              </w:rPr>
              <w:br w:type="textWrapping"/>
            </w:r>
            <w:r>
              <w:rPr>
                <w:rFonts w:hint="eastAsia"/>
                <w:color w:val="000000"/>
                <w:sz w:val="21"/>
                <w:szCs w:val="21"/>
                <w:highlight w:val="none"/>
                <w:lang w:bidi="ar"/>
              </w:rPr>
              <w:t>充电温度范围：5℃至40℃</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8</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4G模块</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增强图传：在原有图传的基础上，与4G网络共同协作，如原有图传信号受遮挡或干扰，用户仍可借助4G网络操控无人机，降低断开连接的几率。</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9</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飞机保险</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每年保费；</w:t>
            </w:r>
            <w:r>
              <w:rPr>
                <w:rFonts w:hint="eastAsia"/>
                <w:color w:val="000000"/>
                <w:sz w:val="21"/>
                <w:szCs w:val="21"/>
                <w:highlight w:val="none"/>
                <w:lang w:bidi="ar"/>
              </w:rPr>
              <w:br w:type="textWrapping"/>
            </w:r>
            <w:r>
              <w:rPr>
                <w:rFonts w:hint="eastAsia"/>
                <w:color w:val="000000"/>
                <w:sz w:val="21"/>
                <w:szCs w:val="21"/>
                <w:highlight w:val="none"/>
                <w:lang w:bidi="ar"/>
              </w:rPr>
              <w:t>额度内免费维修、进水可保、双向免邮、专属顾问、电池换新&amp;赠20万三者险（仅无人机）</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bidi="ar"/>
              </w:rPr>
              <w:t>1</w:t>
            </w:r>
            <w:r>
              <w:rPr>
                <w:rFonts w:hint="eastAsia"/>
                <w:color w:val="000000"/>
                <w:sz w:val="21"/>
                <w:szCs w:val="21"/>
                <w:highlight w:val="none"/>
                <w:lang w:val="en-US" w:eastAsia="zh-CN" w:bidi="ar"/>
              </w:rPr>
              <w:t>0</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通信服务费</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每年4G流量卡、短信包、专线</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bidi="ar"/>
              </w:rPr>
              <w:t>1</w:t>
            </w:r>
            <w:r>
              <w:rPr>
                <w:rFonts w:hint="eastAsia"/>
                <w:color w:val="000000"/>
                <w:sz w:val="21"/>
                <w:szCs w:val="21"/>
                <w:highlight w:val="none"/>
                <w:lang w:val="en-US" w:eastAsia="zh-CN" w:bidi="ar"/>
              </w:rPr>
              <w:t>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机场</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spacing w:line="240" w:lineRule="auto"/>
              <w:ind w:firstLine="0" w:firstLineChars="0"/>
              <w:rPr>
                <w:rFonts w:hint="eastAsia"/>
                <w:sz w:val="21"/>
                <w:szCs w:val="21"/>
                <w:highlight w:val="none"/>
              </w:rPr>
            </w:pPr>
            <w:r>
              <w:rPr>
                <w:rFonts w:hint="eastAsia"/>
                <w:sz w:val="21"/>
                <w:szCs w:val="21"/>
                <w:highlight w:val="none"/>
              </w:rPr>
              <w:t>1.输入电压：100伏至240伏（交流电），50/60Hz</w:t>
            </w:r>
          </w:p>
          <w:p>
            <w:pPr>
              <w:spacing w:line="240" w:lineRule="auto"/>
              <w:ind w:firstLine="0" w:firstLineChars="0"/>
              <w:rPr>
                <w:rFonts w:hint="eastAsia"/>
                <w:sz w:val="21"/>
                <w:szCs w:val="21"/>
                <w:highlight w:val="none"/>
              </w:rPr>
            </w:pPr>
            <w:r>
              <w:rPr>
                <w:rFonts w:hint="eastAsia"/>
                <w:sz w:val="21"/>
                <w:szCs w:val="21"/>
                <w:highlight w:val="none"/>
              </w:rPr>
              <w:t>2.输入功率：最大800瓦</w:t>
            </w:r>
          </w:p>
          <w:p>
            <w:pPr>
              <w:spacing w:line="240" w:lineRule="auto"/>
              <w:ind w:firstLine="0" w:firstLineChars="0"/>
              <w:rPr>
                <w:rFonts w:hint="eastAsia"/>
                <w:sz w:val="21"/>
                <w:szCs w:val="21"/>
                <w:highlight w:val="none"/>
              </w:rPr>
            </w:pPr>
            <w:r>
              <w:rPr>
                <w:rFonts w:hint="eastAsia"/>
                <w:sz w:val="21"/>
                <w:szCs w:val="21"/>
                <w:highlight w:val="none"/>
              </w:rPr>
              <w:t>3.工作环境温度：-30°C至50°C</w:t>
            </w:r>
          </w:p>
          <w:p>
            <w:pPr>
              <w:spacing w:line="240" w:lineRule="auto"/>
              <w:ind w:firstLine="0" w:firstLineChars="0"/>
              <w:rPr>
                <w:rFonts w:hint="eastAsia"/>
                <w:sz w:val="21"/>
                <w:szCs w:val="21"/>
                <w:highlight w:val="none"/>
              </w:rPr>
            </w:pPr>
            <w:r>
              <w:rPr>
                <w:rFonts w:hint="eastAsia"/>
                <w:sz w:val="21"/>
                <w:szCs w:val="21"/>
                <w:highlight w:val="none"/>
              </w:rPr>
              <w:t>4.防护等级：IP56</w:t>
            </w:r>
          </w:p>
          <w:p>
            <w:pPr>
              <w:spacing w:line="240" w:lineRule="auto"/>
              <w:ind w:firstLine="0" w:firstLineChars="0"/>
              <w:rPr>
                <w:rFonts w:hint="eastAsia"/>
                <w:sz w:val="21"/>
                <w:szCs w:val="21"/>
                <w:highlight w:val="none"/>
              </w:rPr>
            </w:pPr>
            <w:r>
              <w:rPr>
                <w:rFonts w:hint="eastAsia"/>
                <w:sz w:val="21"/>
                <w:szCs w:val="21"/>
                <w:highlight w:val="none"/>
              </w:rPr>
              <w:t>5.可收纳无人机数量：1台</w:t>
            </w:r>
          </w:p>
          <w:p>
            <w:pPr>
              <w:spacing w:line="240" w:lineRule="auto"/>
              <w:ind w:firstLine="0" w:firstLineChars="0"/>
              <w:rPr>
                <w:rFonts w:hint="eastAsia"/>
                <w:sz w:val="21"/>
                <w:szCs w:val="21"/>
                <w:highlight w:val="none"/>
              </w:rPr>
            </w:pPr>
            <w:r>
              <w:rPr>
                <w:rFonts w:hint="eastAsia"/>
                <w:sz w:val="21"/>
                <w:szCs w:val="21"/>
                <w:highlight w:val="none"/>
              </w:rPr>
              <w:t>6.最大允许降落风速：12米/秒</w:t>
            </w:r>
          </w:p>
          <w:p>
            <w:pPr>
              <w:spacing w:line="240" w:lineRule="auto"/>
              <w:ind w:firstLine="0" w:firstLineChars="0"/>
              <w:rPr>
                <w:rFonts w:hint="eastAsia"/>
                <w:sz w:val="21"/>
                <w:szCs w:val="21"/>
                <w:highlight w:val="none"/>
              </w:rPr>
            </w:pPr>
            <w:r>
              <w:rPr>
                <w:rFonts w:hint="eastAsia"/>
                <w:sz w:val="21"/>
                <w:szCs w:val="21"/>
                <w:highlight w:val="none"/>
              </w:rPr>
              <w:t>7.最大运行海拔高度：4500米</w:t>
            </w:r>
          </w:p>
          <w:p>
            <w:pPr>
              <w:spacing w:line="240" w:lineRule="auto"/>
              <w:ind w:firstLine="0" w:firstLineChars="0"/>
              <w:rPr>
                <w:rFonts w:hint="eastAsia"/>
                <w:sz w:val="21"/>
                <w:szCs w:val="21"/>
                <w:highlight w:val="none"/>
              </w:rPr>
            </w:pPr>
            <w:r>
              <w:rPr>
                <w:rFonts w:hint="eastAsia"/>
                <w:sz w:val="21"/>
                <w:szCs w:val="21"/>
                <w:highlight w:val="none"/>
              </w:rPr>
              <w:t>8.RTK基站卫星接收频率</w:t>
            </w:r>
          </w:p>
          <w:p>
            <w:pPr>
              <w:spacing w:line="240" w:lineRule="auto"/>
              <w:ind w:firstLine="0" w:firstLineChars="0"/>
              <w:rPr>
                <w:rFonts w:hint="eastAsia"/>
                <w:sz w:val="21"/>
                <w:szCs w:val="21"/>
                <w:highlight w:val="none"/>
              </w:rPr>
            </w:pPr>
            <w:r>
              <w:rPr>
                <w:rFonts w:hint="eastAsia"/>
                <w:sz w:val="21"/>
                <w:szCs w:val="21"/>
                <w:highlight w:val="none"/>
              </w:rPr>
              <w:t>9.同时接收：</w:t>
            </w:r>
            <w:r>
              <w:rPr>
                <w:rFonts w:hint="eastAsia"/>
                <w:sz w:val="21"/>
                <w:szCs w:val="21"/>
                <w:highlight w:val="none"/>
              </w:rPr>
              <w:br w:type="textWrapping"/>
            </w:r>
            <w:r>
              <w:rPr>
                <w:rFonts w:hint="eastAsia"/>
                <w:sz w:val="21"/>
                <w:szCs w:val="21"/>
                <w:highlight w:val="none"/>
              </w:rPr>
              <w:t>GPS：L1C/A、L2、L5</w:t>
            </w:r>
            <w:r>
              <w:rPr>
                <w:rFonts w:hint="eastAsia"/>
                <w:sz w:val="21"/>
                <w:szCs w:val="21"/>
                <w:highlight w:val="none"/>
              </w:rPr>
              <w:br w:type="textWrapping"/>
            </w:r>
            <w:r>
              <w:rPr>
                <w:rFonts w:hint="eastAsia"/>
                <w:sz w:val="21"/>
                <w:szCs w:val="21"/>
                <w:highlight w:val="none"/>
              </w:rPr>
              <w:t>BeiDou：B1l、B2l、B3l、B2a、B2b、B1C</w:t>
            </w:r>
            <w:r>
              <w:rPr>
                <w:rFonts w:hint="eastAsia"/>
                <w:sz w:val="21"/>
                <w:szCs w:val="21"/>
                <w:highlight w:val="none"/>
              </w:rPr>
              <w:br w:type="textWrapping"/>
            </w:r>
            <w:r>
              <w:rPr>
                <w:rFonts w:hint="eastAsia"/>
                <w:sz w:val="21"/>
                <w:szCs w:val="21"/>
                <w:highlight w:val="none"/>
              </w:rPr>
              <w:t>GLONASS：F1、F2</w:t>
            </w:r>
            <w:r>
              <w:rPr>
                <w:rFonts w:hint="eastAsia"/>
                <w:sz w:val="21"/>
                <w:szCs w:val="21"/>
                <w:highlight w:val="none"/>
              </w:rPr>
              <w:br w:type="textWrapping"/>
            </w:r>
            <w:r>
              <w:rPr>
                <w:rFonts w:hint="eastAsia"/>
                <w:sz w:val="21"/>
                <w:szCs w:val="21"/>
                <w:highlight w:val="none"/>
              </w:rPr>
              <w:t>Galileo：E1、E5a、E5b、E6</w:t>
            </w:r>
            <w:r>
              <w:rPr>
                <w:rFonts w:hint="eastAsia"/>
                <w:sz w:val="21"/>
                <w:szCs w:val="21"/>
                <w:highlight w:val="none"/>
              </w:rPr>
              <w:br w:type="textWrapping"/>
            </w:r>
            <w:r>
              <w:rPr>
                <w:rFonts w:hint="eastAsia"/>
                <w:sz w:val="21"/>
                <w:szCs w:val="21"/>
                <w:highlight w:val="none"/>
              </w:rPr>
              <w:t>QZSS：L1、L2、L5</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10.充电性能：</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（1）输出电压：直流35伏</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（2）充电时间：</w:t>
            </w:r>
            <w:r>
              <w:rPr>
                <w:rFonts w:hint="eastAsia"/>
                <w:color w:val="000000"/>
                <w:sz w:val="21"/>
                <w:szCs w:val="21"/>
                <w:highlight w:val="none"/>
                <w:lang w:bidi="ar"/>
              </w:rPr>
              <w:t>±</w:t>
            </w:r>
            <w:r>
              <w:rPr>
                <w:rFonts w:hint="eastAsia"/>
                <w:color w:val="000000"/>
                <w:sz w:val="21"/>
                <w:szCs w:val="21"/>
                <w:highlight w:val="none"/>
              </w:rPr>
              <w:t>27分钟</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11.图传</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（1）工作频段：</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2.400GHz至2.4835GHz</w:t>
            </w:r>
            <w:r>
              <w:rPr>
                <w:rFonts w:hint="eastAsia"/>
                <w:color w:val="000000"/>
                <w:sz w:val="21"/>
                <w:szCs w:val="21"/>
                <w:highlight w:val="none"/>
              </w:rPr>
              <w:br w:type="textWrapping"/>
            </w:r>
            <w:r>
              <w:rPr>
                <w:rFonts w:hint="eastAsia"/>
                <w:color w:val="000000"/>
                <w:sz w:val="21"/>
                <w:szCs w:val="21"/>
                <w:highlight w:val="none"/>
              </w:rPr>
              <w:t>5.150GHz至5.250GHz（CE:5.170GHz至5.250GHz）</w:t>
            </w:r>
            <w:r>
              <w:rPr>
                <w:rFonts w:hint="eastAsia"/>
                <w:color w:val="000000"/>
                <w:sz w:val="21"/>
                <w:szCs w:val="21"/>
                <w:highlight w:val="none"/>
              </w:rPr>
              <w:br w:type="textWrapping"/>
            </w:r>
            <w:r>
              <w:rPr>
                <w:rFonts w:hint="eastAsia"/>
                <w:color w:val="000000"/>
                <w:sz w:val="21"/>
                <w:szCs w:val="21"/>
                <w:highlight w:val="none"/>
              </w:rPr>
              <w:t>5.725GHz至5.850GHz</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（2）天线：内置九天线，二发四收，支持智能切换</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（3）发射功率（EIRP）：</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2.4GHz：&lt;33dBm（FCC）；&lt;20dBm（CE/SRRC/MIC）</w:t>
            </w:r>
            <w:r>
              <w:rPr>
                <w:rFonts w:hint="eastAsia"/>
                <w:color w:val="000000"/>
                <w:sz w:val="21"/>
                <w:szCs w:val="21"/>
                <w:highlight w:val="none"/>
              </w:rPr>
              <w:br w:type="textWrapping"/>
            </w:r>
            <w:r>
              <w:rPr>
                <w:rFonts w:hint="eastAsia"/>
                <w:color w:val="000000"/>
                <w:sz w:val="21"/>
                <w:szCs w:val="21"/>
                <w:highlight w:val="none"/>
              </w:rPr>
              <w:t>5.2GHz（CE:5.170GHz至5.250GHz）：&lt;23dBm（FCC/CE）</w:t>
            </w:r>
            <w:r>
              <w:rPr>
                <w:rFonts w:hint="eastAsia"/>
                <w:color w:val="000000"/>
                <w:sz w:val="21"/>
                <w:szCs w:val="21"/>
                <w:highlight w:val="none"/>
              </w:rPr>
              <w:br w:type="textWrapping"/>
            </w:r>
            <w:r>
              <w:rPr>
                <w:rFonts w:hint="eastAsia"/>
                <w:color w:val="000000"/>
                <w:sz w:val="21"/>
                <w:szCs w:val="21"/>
                <w:highlight w:val="none"/>
              </w:rPr>
              <w:t>5.8GHz：&lt;33dBm（FCC）；&lt;14dBm（CE）；&lt;30dBm（SRRC）</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12.空调系统</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（1）工作电压：直流48伏</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（2）空调类型：压缩机空调</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13.备用电池</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（1）电池容量：12安时</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（2）输出电压：12伏</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（3）电池类型：铅酸蓄电池</w:t>
            </w:r>
          </w:p>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rPr>
              <w:t>（4）续航时间：大于4小时</w:t>
            </w:r>
          </w:p>
          <w:p>
            <w:pPr>
              <w:pStyle w:val="2"/>
              <w:spacing w:line="240" w:lineRule="auto"/>
              <w:ind w:left="0" w:leftChars="0" w:firstLine="0" w:firstLineChars="0"/>
              <w:rPr>
                <w:rFonts w:hint="eastAsia"/>
                <w:color w:val="000000"/>
                <w:sz w:val="21"/>
                <w:szCs w:val="21"/>
                <w:highlight w:val="none"/>
              </w:rPr>
            </w:pPr>
            <w:r>
              <w:rPr>
                <w:rFonts w:hint="eastAsia"/>
                <w:color w:val="000000"/>
                <w:sz w:val="21"/>
                <w:szCs w:val="21"/>
                <w:highlight w:val="none"/>
              </w:rPr>
              <w:t>14.</w:t>
            </w:r>
            <w:r>
              <w:rPr>
                <w:color w:val="000000"/>
                <w:sz w:val="21"/>
                <w:szCs w:val="21"/>
                <w:highlight w:val="none"/>
              </w:rPr>
              <w:t>网络接入</w:t>
            </w:r>
          </w:p>
          <w:p>
            <w:pPr>
              <w:pStyle w:val="2"/>
              <w:spacing w:line="240" w:lineRule="auto"/>
              <w:ind w:left="0" w:leftChars="0" w:firstLine="0" w:firstLineChars="0"/>
              <w:rPr>
                <w:rFonts w:hint="eastAsia"/>
                <w:color w:val="000000"/>
                <w:sz w:val="21"/>
                <w:szCs w:val="21"/>
                <w:highlight w:val="none"/>
              </w:rPr>
            </w:pPr>
            <w:r>
              <w:rPr>
                <w:rFonts w:hint="eastAsia"/>
                <w:color w:val="000000"/>
                <w:sz w:val="21"/>
                <w:szCs w:val="21"/>
                <w:highlight w:val="none"/>
              </w:rPr>
              <w:t>（1）</w:t>
            </w:r>
            <w:r>
              <w:rPr>
                <w:color w:val="000000"/>
                <w:sz w:val="21"/>
                <w:szCs w:val="21"/>
                <w:highlight w:val="none"/>
              </w:rPr>
              <w:t>以太网接入</w:t>
            </w:r>
            <w:r>
              <w:rPr>
                <w:rFonts w:hint="eastAsia"/>
                <w:color w:val="000000"/>
                <w:sz w:val="21"/>
                <w:szCs w:val="21"/>
                <w:highlight w:val="none"/>
              </w:rPr>
              <w:t>：</w:t>
            </w:r>
            <w:r>
              <w:rPr>
                <w:color w:val="000000"/>
                <w:sz w:val="21"/>
                <w:szCs w:val="21"/>
                <w:highlight w:val="none"/>
              </w:rPr>
              <w:t>10/100/1000Mbps自适应以太网口</w:t>
            </w:r>
          </w:p>
          <w:p>
            <w:pPr>
              <w:pStyle w:val="2"/>
              <w:spacing w:line="240" w:lineRule="auto"/>
              <w:ind w:left="0" w:leftChars="0" w:firstLine="0" w:firstLineChars="0"/>
              <w:rPr>
                <w:rFonts w:hint="eastAsia"/>
                <w:color w:val="000000"/>
                <w:sz w:val="21"/>
                <w:szCs w:val="21"/>
                <w:highlight w:val="none"/>
              </w:rPr>
            </w:pPr>
            <w:r>
              <w:rPr>
                <w:rFonts w:hint="eastAsia"/>
                <w:color w:val="000000"/>
                <w:sz w:val="21"/>
                <w:szCs w:val="21"/>
                <w:highlight w:val="none"/>
              </w:rPr>
              <w:t>（2）</w:t>
            </w:r>
            <w:r>
              <w:rPr>
                <w:color w:val="000000"/>
                <w:sz w:val="21"/>
                <w:szCs w:val="21"/>
                <w:highlight w:val="none"/>
              </w:rPr>
              <w:t>4G接入</w:t>
            </w:r>
            <w:r>
              <w:rPr>
                <w:rFonts w:hint="eastAsia"/>
                <w:color w:val="000000"/>
                <w:sz w:val="21"/>
                <w:szCs w:val="21"/>
                <w:highlight w:val="none"/>
              </w:rPr>
              <w:t>：</w:t>
            </w:r>
            <w:r>
              <w:rPr>
                <w:color w:val="000000"/>
                <w:sz w:val="21"/>
                <w:szCs w:val="21"/>
                <w:highlight w:val="none"/>
              </w:rPr>
              <w:t>需配合增强图传模块</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15.传感器：支持风速传感器、雨量传感器、环境温度传感器、水浸传感器、舱内温度传感器、舱内湿度传感器</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16.舱盖可直播相机</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（1）分辨率：1920*1080</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（2）视角范围（FOV）：151°</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（3）补光灯：白光补光</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17.舱内可直播相机：</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（1）分辨率：1920*1080</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（2）视角范围（FOV）：151°</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（3）补光灯：白光补光</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18.防雷</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（1）交流电接口：20千安防护（额定值），满足EN61643-11的Type2和IEC61643-1的ClassⅡ保护等级</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（2）以太网接口：10千安防护（总通流值），满足EN/IEC61643-21的CategoryC保护等级</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19.扩展能力</w:t>
            </w:r>
          </w:p>
          <w:p>
            <w:pPr>
              <w:spacing w:line="240" w:lineRule="auto"/>
              <w:ind w:firstLine="0" w:firstLineChars="0"/>
              <w:rPr>
                <w:rFonts w:hint="eastAsia"/>
                <w:color w:val="000000"/>
                <w:sz w:val="21"/>
                <w:szCs w:val="21"/>
                <w:highlight w:val="none"/>
              </w:rPr>
            </w:pPr>
            <w:r>
              <w:rPr>
                <w:rFonts w:hint="eastAsia"/>
                <w:color w:val="000000"/>
                <w:sz w:val="21"/>
                <w:szCs w:val="21"/>
                <w:highlight w:val="none"/>
              </w:rPr>
              <w:t>边缘计算：支持外接交换机进行数据通信</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个</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bidi="ar"/>
              </w:rPr>
              <w:t>1</w:t>
            </w:r>
            <w:r>
              <w:rPr>
                <w:rFonts w:hint="eastAsia"/>
                <w:color w:val="000000"/>
                <w:sz w:val="21"/>
                <w:szCs w:val="21"/>
                <w:highlight w:val="none"/>
                <w:lang w:val="en-US" w:eastAsia="zh-CN" w:bidi="ar"/>
              </w:rPr>
              <w:t>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机场保险</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每年保费；</w:t>
            </w:r>
            <w:r>
              <w:rPr>
                <w:rFonts w:hint="eastAsia"/>
                <w:color w:val="000000"/>
                <w:sz w:val="21"/>
                <w:szCs w:val="21"/>
                <w:highlight w:val="none"/>
                <w:lang w:bidi="ar"/>
              </w:rPr>
              <w:br w:type="textWrapping"/>
            </w:r>
            <w:r>
              <w:rPr>
                <w:rFonts w:hint="eastAsia"/>
                <w:color w:val="000000"/>
                <w:sz w:val="21"/>
                <w:szCs w:val="21"/>
                <w:highlight w:val="none"/>
                <w:lang w:bidi="ar"/>
              </w:rPr>
              <w:t>额度内免费维修、进水可保、双向免邮、专属顾问</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项</w:t>
            </w:r>
          </w:p>
        </w:tc>
      </w:tr>
      <w:tr>
        <w:tblPrEx>
          <w:tblCellMar>
            <w:top w:w="0" w:type="dxa"/>
            <w:left w:w="108" w:type="dxa"/>
            <w:bottom w:w="0" w:type="dxa"/>
            <w:right w:w="108" w:type="dxa"/>
          </w:tblCellMar>
        </w:tblPrEx>
        <w:trPr>
          <w:gridAfter w:val="4"/>
          <w:wAfter w:w="21600" w:type="dxa"/>
          <w:trHeight w:val="270" w:hRule="atLeast"/>
        </w:trPr>
        <w:tc>
          <w:tcPr>
            <w:tcW w:w="9526"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b/>
                <w:bCs/>
                <w:color w:val="000000"/>
                <w:sz w:val="21"/>
                <w:szCs w:val="21"/>
                <w:highlight w:val="none"/>
                <w:lang w:bidi="ar"/>
              </w:rPr>
              <w:t>五、后端设备部分</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视频图像存储服务器</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1、配置至少两颗32核处理器，主频应不低于2.6GHz，三级缓存最高32MB；</w:t>
            </w:r>
            <w:r>
              <w:rPr>
                <w:rFonts w:hint="eastAsia"/>
                <w:color w:val="000000"/>
                <w:sz w:val="21"/>
                <w:szCs w:val="21"/>
                <w:highlight w:val="none"/>
                <w:lang w:bidi="ar"/>
              </w:rPr>
              <w:br w:type="textWrapping"/>
            </w:r>
            <w:r>
              <w:rPr>
                <w:rFonts w:hint="eastAsia"/>
                <w:color w:val="000000"/>
                <w:sz w:val="21"/>
                <w:szCs w:val="21"/>
                <w:highlight w:val="none"/>
                <w:lang w:bidi="ar"/>
              </w:rPr>
              <w:t>2、内存配置不低于64GB，采用DDR4、3200MHz及以上规格，支持内存扩展；</w:t>
            </w:r>
            <w:r>
              <w:rPr>
                <w:rFonts w:hint="eastAsia"/>
                <w:color w:val="000000"/>
                <w:sz w:val="21"/>
                <w:szCs w:val="21"/>
                <w:highlight w:val="none"/>
                <w:lang w:bidi="ar"/>
              </w:rPr>
              <w:br w:type="textWrapping"/>
            </w:r>
            <w:r>
              <w:rPr>
                <w:rFonts w:hint="eastAsia"/>
                <w:color w:val="000000"/>
                <w:sz w:val="21"/>
                <w:szCs w:val="21"/>
                <w:highlight w:val="none"/>
                <w:lang w:bidi="ar"/>
              </w:rPr>
              <w:t>3、最大业务磁盘数量不少于36，支持8TB/10TB/16TB/18TBSATA企业盘；</w:t>
            </w:r>
            <w:r>
              <w:rPr>
                <w:rFonts w:hint="eastAsia"/>
                <w:color w:val="000000"/>
                <w:sz w:val="21"/>
                <w:szCs w:val="21"/>
                <w:highlight w:val="none"/>
                <w:lang w:bidi="ar"/>
              </w:rPr>
              <w:br w:type="textWrapping"/>
            </w:r>
            <w:r>
              <w:rPr>
                <w:rFonts w:hint="eastAsia"/>
                <w:color w:val="000000"/>
                <w:sz w:val="21"/>
                <w:szCs w:val="21"/>
                <w:highlight w:val="none"/>
                <w:lang w:bidi="ar"/>
              </w:rPr>
              <w:t>4、为满足业务的高可靠性及高可用，该存储系统需满足分布式全对称架构，单台服务器支持用户管理、设备管理、设备接入、外域平台对接、视频/图片存储转发，不需要另外部署对应业务的独立服务器，也不需要另外增加硬件配置（CPU、内存），所有节点均可提供业务；</w:t>
            </w:r>
            <w:r>
              <w:rPr>
                <w:rFonts w:hint="eastAsia"/>
                <w:color w:val="000000"/>
                <w:sz w:val="21"/>
                <w:szCs w:val="21"/>
                <w:highlight w:val="none"/>
                <w:lang w:bidi="ar"/>
              </w:rPr>
              <w:br w:type="textWrapping"/>
            </w:r>
            <w:r>
              <w:rPr>
                <w:rFonts w:hint="eastAsia"/>
                <w:color w:val="000000"/>
                <w:sz w:val="21"/>
                <w:szCs w:val="21"/>
                <w:highlight w:val="none"/>
                <w:lang w:bidi="ar"/>
              </w:rPr>
              <w:t>5、为满足国产化要求，设备需采用国产操作系统；采用国产数据库；</w:t>
            </w:r>
            <w:r>
              <w:rPr>
                <w:rFonts w:hint="eastAsia"/>
                <w:color w:val="000000"/>
                <w:sz w:val="21"/>
                <w:szCs w:val="21"/>
                <w:highlight w:val="none"/>
                <w:lang w:bidi="ar"/>
              </w:rPr>
              <w:br w:type="textWrapping"/>
            </w:r>
            <w:r>
              <w:rPr>
                <w:rFonts w:hint="eastAsia"/>
                <w:color w:val="000000"/>
                <w:sz w:val="21"/>
                <w:szCs w:val="21"/>
                <w:highlight w:val="none"/>
                <w:lang w:bidi="ar"/>
              </w:rPr>
              <w:t>6、单台可支持摄像机视频接入路数不小于5400路；可同时支持视频存储不小于1200路，视频转发不小于600路，录像下载不小于600路；单台可并发支持视频存储带宽不小于2400Mbps，视频转发带宽不小于1200Mbps，录像下载不小于1200Mbps；</w:t>
            </w:r>
            <w:r>
              <w:rPr>
                <w:rFonts w:hint="eastAsia"/>
                <w:color w:val="000000"/>
                <w:sz w:val="21"/>
                <w:szCs w:val="21"/>
                <w:highlight w:val="none"/>
                <w:lang w:bidi="ar"/>
              </w:rPr>
              <w:br w:type="textWrapping"/>
            </w:r>
            <w:r>
              <w:rPr>
                <w:rFonts w:hint="eastAsia"/>
                <w:color w:val="000000"/>
                <w:sz w:val="21"/>
                <w:szCs w:val="21"/>
                <w:highlight w:val="none"/>
                <w:lang w:bidi="ar"/>
              </w:rPr>
              <w:t>7、服务状态异常情况下守护进程在30s可拉起服务；系统掉电恢复后，系统自动重启，业务自动恢复，不需要人工干预；支持管理服务数据备份故障恢复（数据保险箱功能），每天备份1次，支持最近2天的有效数据备份；支持历史数据自动清理的能力，数据清理不影响业务运行。</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级联视频通道数</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highlight w:val="none"/>
              </w:rPr>
            </w:pPr>
            <w:r>
              <w:rPr>
                <w:rFonts w:hint="eastAsia"/>
                <w:color w:val="000000"/>
                <w:sz w:val="21"/>
                <w:szCs w:val="21"/>
                <w:highlight w:val="none"/>
                <w:lang w:bidi="ar"/>
              </w:rPr>
              <w:t>级联视频通道数</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3000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路</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汇聚交换机</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1.名称:前端汇聚交换机</w:t>
            </w:r>
            <w:r>
              <w:rPr>
                <w:rFonts w:hint="eastAsia"/>
                <w:color w:val="000000"/>
                <w:sz w:val="21"/>
                <w:szCs w:val="21"/>
                <w:highlight w:val="none"/>
                <w:lang w:bidi="ar"/>
              </w:rPr>
              <w:br w:type="textWrapping"/>
            </w:r>
            <w:r>
              <w:rPr>
                <w:rFonts w:hint="eastAsia"/>
                <w:color w:val="000000"/>
                <w:sz w:val="21"/>
                <w:szCs w:val="21"/>
                <w:highlight w:val="none"/>
                <w:lang w:bidi="ar"/>
              </w:rPr>
              <w:t>2.规格:(24个10/100/1000BASE-T以太网端口,4个万兆SFP+,交流供电)</w:t>
            </w:r>
            <w:r>
              <w:rPr>
                <w:rFonts w:hint="eastAsia"/>
                <w:color w:val="000000"/>
                <w:sz w:val="21"/>
                <w:szCs w:val="21"/>
                <w:highlight w:val="none"/>
                <w:lang w:bidi="ar"/>
              </w:rPr>
              <w:br w:type="textWrapping"/>
            </w:r>
            <w:r>
              <w:rPr>
                <w:rFonts w:hint="eastAsia"/>
                <w:color w:val="000000"/>
                <w:sz w:val="21"/>
                <w:szCs w:val="21"/>
                <w:highlight w:val="none"/>
                <w:lang w:bidi="ar"/>
              </w:rPr>
              <w:t>交换容量336Gbps/3.36Tbps，包转发率108/126Mpps</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textAlignment w:val="center"/>
              <w:rPr>
                <w:rFonts w:hint="eastAsia" w:ascii="仿宋" w:hAnsi="仿宋" w:eastAsia="仿宋" w:cs="仿宋"/>
                <w:color w:val="000000"/>
                <w:sz w:val="21"/>
                <w:szCs w:val="21"/>
                <w:highlight w:val="none"/>
                <w:lang w:val="en-US" w:eastAsia="zh-CN" w:bidi="ar-SA"/>
              </w:rPr>
            </w:pPr>
            <w:r>
              <w:rPr>
                <w:rFonts w:hint="eastAsia"/>
                <w:color w:val="000000"/>
                <w:sz w:val="21"/>
                <w:szCs w:val="21"/>
                <w:highlight w:val="none"/>
                <w:lang w:bidi="ar"/>
              </w:rPr>
              <w:t>4</w:t>
            </w:r>
          </w:p>
        </w:tc>
        <w:tc>
          <w:tcPr>
            <w:tcW w:w="10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textAlignment w:val="center"/>
              <w:rPr>
                <w:rFonts w:hint="eastAsia" w:ascii="仿宋" w:hAnsi="仿宋" w:eastAsia="仿宋" w:cs="仿宋"/>
                <w:color w:val="000000"/>
                <w:sz w:val="21"/>
                <w:szCs w:val="21"/>
                <w:highlight w:val="none"/>
                <w:lang w:val="en-US" w:eastAsia="zh-CN" w:bidi="ar-SA"/>
              </w:rPr>
            </w:pPr>
            <w:r>
              <w:rPr>
                <w:rFonts w:hint="eastAsia"/>
                <w:color w:val="000000"/>
                <w:sz w:val="21"/>
                <w:szCs w:val="21"/>
                <w:highlight w:val="none"/>
                <w:lang w:bidi="ar"/>
              </w:rPr>
              <w:t>精密空调</w:t>
            </w:r>
          </w:p>
        </w:tc>
        <w:tc>
          <w:tcPr>
            <w:tcW w:w="60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textAlignment w:val="center"/>
              <w:rPr>
                <w:rFonts w:hint="eastAsia" w:ascii="仿宋" w:hAnsi="仿宋" w:eastAsia="仿宋" w:cs="仿宋"/>
                <w:color w:val="000000"/>
                <w:sz w:val="21"/>
                <w:szCs w:val="21"/>
                <w:highlight w:val="none"/>
                <w:lang w:val="en-US" w:eastAsia="zh-CN" w:bidi="ar-SA"/>
              </w:rPr>
            </w:pPr>
            <w:r>
              <w:rPr>
                <w:rFonts w:hint="eastAsia"/>
                <w:color w:val="000000"/>
                <w:sz w:val="21"/>
                <w:szCs w:val="21"/>
                <w:highlight w:val="none"/>
                <w:lang w:bidi="ar"/>
              </w:rPr>
              <w:t>1）在机组回风工况37℃/24%RH下：制冷量40KW前送风风冷恒温恒湿常温型深1.2米；</w:t>
            </w:r>
            <w:r>
              <w:rPr>
                <w:rFonts w:hint="eastAsia"/>
                <w:color w:val="000000"/>
                <w:sz w:val="21"/>
                <w:szCs w:val="21"/>
                <w:highlight w:val="none"/>
                <w:lang w:bidi="ar"/>
              </w:rPr>
              <w:br w:type="textWrapping"/>
            </w:r>
            <w:r>
              <w:rPr>
                <w:rFonts w:hint="eastAsia"/>
                <w:color w:val="000000"/>
                <w:sz w:val="21"/>
                <w:szCs w:val="21"/>
                <w:highlight w:val="none"/>
                <w:lang w:bidi="ar"/>
              </w:rPr>
              <w:t>2)4.3英寸800*480点阵真彩色超大触摸屏</w:t>
            </w:r>
            <w:r>
              <w:rPr>
                <w:rFonts w:hint="eastAsia"/>
                <w:color w:val="000000"/>
                <w:sz w:val="21"/>
                <w:szCs w:val="21"/>
                <w:highlight w:val="none"/>
                <w:lang w:bidi="ar"/>
              </w:rPr>
              <w:br w:type="textWrapping"/>
            </w:r>
            <w:r>
              <w:rPr>
                <w:rFonts w:hint="eastAsia"/>
                <w:color w:val="000000"/>
                <w:sz w:val="21"/>
                <w:szCs w:val="21"/>
                <w:highlight w:val="none"/>
                <w:lang w:bidi="ar"/>
              </w:rPr>
              <w:t>3）循环风量为8000m³；</w:t>
            </w:r>
            <w:r>
              <w:rPr>
                <w:rFonts w:hint="eastAsia"/>
                <w:color w:val="000000"/>
                <w:sz w:val="21"/>
                <w:szCs w:val="21"/>
                <w:highlight w:val="none"/>
                <w:lang w:bidi="ar"/>
              </w:rPr>
              <w:br w:type="textWrapping"/>
            </w:r>
            <w:r>
              <w:rPr>
                <w:rFonts w:hint="eastAsia"/>
                <w:color w:val="000000"/>
                <w:sz w:val="21"/>
                <w:szCs w:val="21"/>
                <w:highlight w:val="none"/>
                <w:lang w:bidi="ar"/>
              </w:rPr>
              <w:t>4）加热能力为6KW；</w:t>
            </w:r>
            <w:r>
              <w:rPr>
                <w:rFonts w:hint="eastAsia"/>
                <w:color w:val="000000"/>
                <w:sz w:val="21"/>
                <w:szCs w:val="21"/>
                <w:highlight w:val="none"/>
                <w:lang w:bidi="ar"/>
              </w:rPr>
              <w:br w:type="textWrapping"/>
            </w:r>
            <w:r>
              <w:rPr>
                <w:rFonts w:hint="eastAsia"/>
                <w:color w:val="000000"/>
                <w:sz w:val="21"/>
                <w:szCs w:val="21"/>
                <w:highlight w:val="none"/>
                <w:lang w:bidi="ar"/>
              </w:rPr>
              <w:t>5）加湿能力为3KG/H；</w:t>
            </w:r>
            <w:r>
              <w:rPr>
                <w:rFonts w:hint="eastAsia"/>
                <w:color w:val="000000"/>
                <w:sz w:val="21"/>
                <w:szCs w:val="21"/>
                <w:highlight w:val="none"/>
                <w:lang w:bidi="ar"/>
              </w:rPr>
              <w:br w:type="textWrapping"/>
            </w:r>
            <w:r>
              <w:rPr>
                <w:rFonts w:hint="eastAsia"/>
                <w:color w:val="000000"/>
                <w:sz w:val="21"/>
                <w:szCs w:val="21"/>
                <w:highlight w:val="none"/>
                <w:lang w:bidi="ar"/>
              </w:rPr>
              <w:t>6）含配件，支架</w:t>
            </w:r>
            <w:r>
              <w:rPr>
                <w:rFonts w:hint="eastAsia"/>
                <w:color w:val="000000"/>
                <w:sz w:val="21"/>
                <w:szCs w:val="21"/>
                <w:highlight w:val="none"/>
                <w:lang w:bidi="ar"/>
              </w:rPr>
              <w:br w:type="textWrapping"/>
            </w:r>
            <w:r>
              <w:rPr>
                <w:rFonts w:hint="eastAsia"/>
                <w:color w:val="000000"/>
                <w:sz w:val="21"/>
                <w:szCs w:val="21"/>
                <w:highlight w:val="none"/>
                <w:lang w:bidi="ar"/>
              </w:rPr>
              <w:t>7）20米空调铜管及保温</w:t>
            </w:r>
            <w:r>
              <w:rPr>
                <w:rFonts w:hint="eastAsia"/>
                <w:color w:val="000000"/>
                <w:sz w:val="21"/>
                <w:szCs w:val="21"/>
                <w:highlight w:val="none"/>
                <w:lang w:bidi="ar"/>
              </w:rPr>
              <w:br w:type="textWrapping"/>
            </w:r>
            <w:r>
              <w:rPr>
                <w:rFonts w:hint="eastAsia"/>
                <w:color w:val="000000"/>
                <w:sz w:val="21"/>
                <w:szCs w:val="21"/>
                <w:highlight w:val="none"/>
                <w:lang w:bidi="ar"/>
              </w:rPr>
              <w:t>8）20米排水管及保温</w:t>
            </w:r>
            <w:r>
              <w:rPr>
                <w:rFonts w:hint="eastAsia"/>
                <w:color w:val="000000"/>
                <w:sz w:val="21"/>
                <w:szCs w:val="21"/>
                <w:highlight w:val="none"/>
                <w:lang w:bidi="ar"/>
              </w:rPr>
              <w:br w:type="textWrapping"/>
            </w:r>
            <w:r>
              <w:rPr>
                <w:rFonts w:hint="eastAsia"/>
                <w:color w:val="000000"/>
                <w:sz w:val="21"/>
                <w:szCs w:val="21"/>
                <w:highlight w:val="none"/>
                <w:lang w:bidi="ar"/>
              </w:rPr>
              <w:t>9）按搬运及安装</w:t>
            </w:r>
          </w:p>
        </w:tc>
        <w:tc>
          <w:tcPr>
            <w:tcW w:w="8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textAlignment w:val="center"/>
              <w:rPr>
                <w:rFonts w:hint="eastAsia" w:ascii="仿宋" w:hAnsi="仿宋" w:eastAsia="仿宋" w:cs="仿宋"/>
                <w:color w:val="000000"/>
                <w:sz w:val="21"/>
                <w:szCs w:val="21"/>
                <w:highlight w:val="none"/>
                <w:lang w:val="en-US" w:eastAsia="zh-CN" w:bidi="ar-SA"/>
              </w:rPr>
            </w:pPr>
            <w:r>
              <w:rPr>
                <w:rFonts w:hint="eastAsia"/>
                <w:color w:val="000000"/>
                <w:sz w:val="21"/>
                <w:szCs w:val="21"/>
                <w:highlight w:val="none"/>
                <w:lang w:bidi="ar"/>
              </w:rPr>
              <w:t>1</w:t>
            </w:r>
          </w:p>
        </w:tc>
        <w:tc>
          <w:tcPr>
            <w:tcW w:w="7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textAlignment w:val="center"/>
              <w:rPr>
                <w:rFonts w:hint="eastAsia" w:ascii="仿宋" w:hAnsi="仿宋" w:eastAsia="仿宋" w:cs="仿宋"/>
                <w:color w:val="000000"/>
                <w:sz w:val="21"/>
                <w:szCs w:val="21"/>
                <w:highlight w:val="none"/>
                <w:lang w:val="en-US" w:eastAsia="zh-CN" w:bidi="ar-SA"/>
              </w:rPr>
            </w:pPr>
            <w:r>
              <w:rPr>
                <w:rFonts w:hint="eastAsia"/>
                <w:color w:val="000000"/>
                <w:sz w:val="21"/>
                <w:szCs w:val="21"/>
                <w:highlight w:val="none"/>
                <w:lang w:bidi="ar"/>
              </w:rPr>
              <w:t>台</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企业级高性能硬盘</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10TB7.2KRPMSATA硬盘单元(3.5英寸)</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66</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片</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6</w:t>
            </w:r>
          </w:p>
        </w:tc>
        <w:tc>
          <w:tcPr>
            <w:tcW w:w="1089" w:type="dxa"/>
            <w:tcBorders>
              <w:top w:val="single" w:color="000000" w:sz="4" w:space="0"/>
              <w:left w:val="single" w:color="000000" w:sz="4" w:space="0"/>
              <w:bottom w:val="single" w:color="000000" w:sz="4" w:space="0"/>
              <w:right w:val="single" w:color="000000" w:sz="4" w:space="0"/>
            </w:tcBorders>
          </w:tcPr>
          <w:p>
            <w:pPr>
              <w:widowControl/>
              <w:spacing w:line="240" w:lineRule="auto"/>
              <w:ind w:firstLine="0" w:firstLineChars="0"/>
              <w:textAlignment w:val="top"/>
              <w:rPr>
                <w:rFonts w:hint="eastAsia"/>
                <w:color w:val="000000"/>
                <w:sz w:val="21"/>
                <w:szCs w:val="21"/>
                <w:highlight w:val="none"/>
              </w:rPr>
            </w:pPr>
            <w:r>
              <w:rPr>
                <w:rFonts w:hint="eastAsia"/>
                <w:color w:val="000000"/>
                <w:sz w:val="21"/>
                <w:szCs w:val="21"/>
                <w:highlight w:val="none"/>
                <w:lang w:bidi="ar"/>
              </w:rPr>
              <w:t>万兆光模块</w:t>
            </w:r>
          </w:p>
        </w:tc>
        <w:tc>
          <w:tcPr>
            <w:tcW w:w="606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多模模块:波长850nm</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4</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块</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7</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本级监控通道数</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本级监控通道数</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500</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路</w:t>
            </w:r>
          </w:p>
        </w:tc>
      </w:tr>
      <w:tr>
        <w:tblPrEx>
          <w:tblCellMar>
            <w:top w:w="0" w:type="dxa"/>
            <w:left w:w="108" w:type="dxa"/>
            <w:bottom w:w="0" w:type="dxa"/>
            <w:right w:w="108" w:type="dxa"/>
          </w:tblCellMar>
        </w:tblPrEx>
        <w:trPr>
          <w:gridAfter w:val="4"/>
          <w:wAfter w:w="21600" w:type="dxa"/>
          <w:trHeight w:val="270" w:hRule="atLeast"/>
        </w:trPr>
        <w:tc>
          <w:tcPr>
            <w:tcW w:w="9526"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b/>
                <w:bCs/>
                <w:color w:val="000000"/>
                <w:sz w:val="21"/>
                <w:szCs w:val="21"/>
                <w:highlight w:val="none"/>
                <w:lang w:bidi="ar"/>
              </w:rPr>
            </w:pPr>
            <w:r>
              <w:rPr>
                <w:rFonts w:hint="eastAsia"/>
                <w:b/>
                <w:bCs/>
                <w:color w:val="000000"/>
                <w:sz w:val="21"/>
                <w:szCs w:val="21"/>
                <w:highlight w:val="none"/>
                <w:lang w:bidi="ar"/>
              </w:rPr>
              <w:t>六、光纤传输线路</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数据传输链路</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3年光纤传输线路费用。</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123</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条</w:t>
            </w:r>
          </w:p>
        </w:tc>
      </w:tr>
      <w:tr>
        <w:tblPrEx>
          <w:tblCellMar>
            <w:top w:w="0" w:type="dxa"/>
            <w:left w:w="108" w:type="dxa"/>
            <w:bottom w:w="0" w:type="dxa"/>
            <w:right w:w="108" w:type="dxa"/>
          </w:tblCellMar>
        </w:tblPrEx>
        <w:trPr>
          <w:gridAfter w:val="4"/>
          <w:wAfter w:w="21600" w:type="dxa"/>
          <w:trHeight w:val="270" w:hRule="atLeast"/>
        </w:trPr>
        <w:tc>
          <w:tcPr>
            <w:tcW w:w="9526"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b/>
                <w:bCs/>
                <w:color w:val="000000"/>
                <w:sz w:val="21"/>
                <w:szCs w:val="21"/>
                <w:highlight w:val="none"/>
                <w:lang w:bidi="ar"/>
              </w:rPr>
              <w:t>七、电费</w:t>
            </w: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3年运营电费</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每月按协定交供电相关单位用电费用。</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152</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点</w:t>
            </w:r>
          </w:p>
        </w:tc>
      </w:tr>
      <w:tr>
        <w:tblPrEx>
          <w:tblCellMar>
            <w:top w:w="0" w:type="dxa"/>
            <w:left w:w="108" w:type="dxa"/>
            <w:bottom w:w="0" w:type="dxa"/>
            <w:right w:w="108" w:type="dxa"/>
          </w:tblCellMar>
        </w:tblPrEx>
        <w:trPr>
          <w:trHeight w:val="270" w:hRule="atLeast"/>
        </w:trPr>
        <w:tc>
          <w:tcPr>
            <w:tcW w:w="9526"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rPr>
                <w:rFonts w:hint="eastAsia"/>
                <w:color w:val="000000"/>
                <w:sz w:val="21"/>
                <w:szCs w:val="21"/>
                <w:highlight w:val="none"/>
              </w:rPr>
            </w:pPr>
            <w:r>
              <w:rPr>
                <w:rFonts w:hint="eastAsia"/>
                <w:b/>
                <w:bCs/>
                <w:color w:val="000000"/>
                <w:sz w:val="21"/>
                <w:szCs w:val="21"/>
                <w:highlight w:val="none"/>
                <w:lang w:bidi="ar"/>
              </w:rPr>
              <w:t>八、驻点人员</w:t>
            </w:r>
          </w:p>
        </w:tc>
        <w:tc>
          <w:tcPr>
            <w:tcW w:w="952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b/>
                <w:bCs/>
                <w:color w:val="000000"/>
                <w:sz w:val="21"/>
                <w:szCs w:val="21"/>
                <w:highlight w:val="none"/>
                <w:lang w:bidi="ar"/>
              </w:rPr>
            </w:pPr>
          </w:p>
        </w:tc>
        <w:tc>
          <w:tcPr>
            <w:tcW w:w="952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b/>
                <w:bCs/>
                <w:color w:val="000000"/>
                <w:sz w:val="21"/>
                <w:szCs w:val="21"/>
                <w:highlight w:val="none"/>
                <w:lang w:bidi="ar"/>
              </w:rPr>
            </w:pPr>
          </w:p>
        </w:tc>
        <w:tc>
          <w:tcPr>
            <w:tcW w:w="952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b/>
                <w:bCs/>
                <w:color w:val="000000"/>
                <w:sz w:val="21"/>
                <w:szCs w:val="21"/>
                <w:highlight w:val="none"/>
                <w:lang w:bidi="ar"/>
              </w:rPr>
            </w:pPr>
          </w:p>
        </w:tc>
        <w:tc>
          <w:tcPr>
            <w:tcW w:w="952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b/>
                <w:bCs/>
                <w:color w:val="000000"/>
                <w:sz w:val="21"/>
                <w:szCs w:val="21"/>
                <w:highlight w:val="none"/>
                <w:lang w:bidi="ar"/>
              </w:rPr>
            </w:pPr>
          </w:p>
        </w:tc>
      </w:tr>
      <w:tr>
        <w:tblPrEx>
          <w:tblCellMar>
            <w:top w:w="0" w:type="dxa"/>
            <w:left w:w="108" w:type="dxa"/>
            <w:bottom w:w="0" w:type="dxa"/>
            <w:right w:w="108" w:type="dxa"/>
          </w:tblCellMar>
        </w:tblPrEx>
        <w:trPr>
          <w:gridAfter w:val="4"/>
          <w:wAfter w:w="21600" w:type="dxa"/>
          <w:trHeight w:val="270" w:hRule="atLeast"/>
        </w:trPr>
        <w:tc>
          <w:tcPr>
            <w:tcW w:w="734"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1</w:t>
            </w:r>
          </w:p>
        </w:tc>
        <w:tc>
          <w:tcPr>
            <w:tcW w:w="108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textAlignment w:val="center"/>
              <w:rPr>
                <w:rFonts w:hint="eastAsia"/>
                <w:color w:val="000000"/>
                <w:sz w:val="21"/>
                <w:szCs w:val="21"/>
                <w:highlight w:val="none"/>
              </w:rPr>
            </w:pPr>
            <w:r>
              <w:rPr>
                <w:rFonts w:hint="eastAsia"/>
                <w:sz w:val="21"/>
                <w:szCs w:val="21"/>
                <w:highlight w:val="none"/>
              </w:rPr>
              <w:t>驻点技术员维护服务</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sz w:val="21"/>
                <w:szCs w:val="21"/>
                <w:highlight w:val="none"/>
              </w:rPr>
              <w:t>提供3名驻点技术员维护服务费用</w:t>
            </w:r>
          </w:p>
        </w:tc>
        <w:tc>
          <w:tcPr>
            <w:tcW w:w="852"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eastAsia="仿宋"/>
                <w:color w:val="000000"/>
                <w:sz w:val="21"/>
                <w:szCs w:val="21"/>
                <w:highlight w:val="none"/>
                <w:lang w:eastAsia="zh-CN"/>
              </w:rPr>
            </w:pPr>
            <w:r>
              <w:rPr>
                <w:rFonts w:hint="eastAsia"/>
                <w:color w:val="000000"/>
                <w:sz w:val="21"/>
                <w:szCs w:val="21"/>
                <w:highlight w:val="none"/>
                <w:lang w:val="en-US" w:eastAsia="zh-CN" w:bidi="ar"/>
              </w:rPr>
              <w:t>1</w:t>
            </w:r>
          </w:p>
        </w:tc>
        <w:tc>
          <w:tcPr>
            <w:tcW w:w="79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auto"/>
              <w:ind w:firstLine="0" w:firstLineChars="0"/>
              <w:textAlignment w:val="center"/>
              <w:rPr>
                <w:rFonts w:hint="eastAsia"/>
                <w:color w:val="000000"/>
                <w:sz w:val="21"/>
                <w:szCs w:val="21"/>
                <w:highlight w:val="none"/>
              </w:rPr>
            </w:pPr>
            <w:r>
              <w:rPr>
                <w:rFonts w:hint="eastAsia"/>
                <w:color w:val="000000"/>
                <w:sz w:val="21"/>
                <w:szCs w:val="21"/>
                <w:highlight w:val="none"/>
                <w:lang w:bidi="ar"/>
              </w:rPr>
              <w:t>年</w:t>
            </w:r>
          </w:p>
        </w:tc>
      </w:tr>
    </w:tbl>
    <w:p>
      <w:pPr>
        <w:ind w:firstLine="480"/>
        <w:rPr>
          <w:highlight w:val="none"/>
        </w:rPr>
      </w:pPr>
    </w:p>
    <w:p>
      <w:pPr>
        <w:pStyle w:val="4"/>
        <w:numPr>
          <w:ilvl w:val="1"/>
          <w:numId w:val="2"/>
        </w:numPr>
        <w:rPr>
          <w:highlight w:val="none"/>
        </w:rPr>
      </w:pPr>
      <w:r>
        <w:rPr>
          <w:rFonts w:hint="eastAsia"/>
          <w:highlight w:val="none"/>
        </w:rPr>
        <w:t>项目建设要求</w:t>
      </w:r>
    </w:p>
    <w:p>
      <w:pPr>
        <w:pStyle w:val="5"/>
        <w:numPr>
          <w:ilvl w:val="2"/>
          <w:numId w:val="2"/>
        </w:numPr>
        <w:rPr>
          <w:highlight w:val="none"/>
        </w:rPr>
      </w:pPr>
      <w:r>
        <w:rPr>
          <w:rFonts w:hint="eastAsia"/>
          <w:highlight w:val="none"/>
        </w:rPr>
        <w:t>立杆要求</w:t>
      </w:r>
    </w:p>
    <w:p>
      <w:pPr>
        <w:ind w:firstLine="480"/>
        <w:rPr>
          <w:highlight w:val="none"/>
        </w:rPr>
      </w:pPr>
      <w:r>
        <w:rPr>
          <w:rFonts w:hint="eastAsia"/>
          <w:highlight w:val="none"/>
        </w:rPr>
        <w:t>电子警察/高清监控监测点根据现场实际情况，可采用立杆安装及吊杆安装的方式。电警/高清监控立杆设计需要考虑整体杆件的设计、立杆材质、杆型、焊接工艺、表面处理以及杆体颜色等。</w:t>
      </w:r>
    </w:p>
    <w:p>
      <w:pPr>
        <w:ind w:firstLine="480"/>
        <w:rPr>
          <w:highlight w:val="none"/>
        </w:rPr>
      </w:pPr>
      <w:r>
        <w:rPr>
          <w:rFonts w:hint="eastAsia"/>
          <w:highlight w:val="none"/>
        </w:rPr>
        <w:t>主杆型分为四方型杆和八棱锥型杆。同一条道路路口安装同一类型杆体。应充分考虑通车要求，采用6.5m高的杆。L杆距停车线距离为25米，立杆、横臂杆建议采用八角锥形（或圆形）镀锌钢管、整体镀锌。立杆应有较高强度，抗台风、防摄像机抖动、防攀爬、防腐。制作要美观，其顶部应做防水帽。横杆长度应结合道路通行车道数量选用横杆长度，选用需符合以下要求：</w:t>
      </w:r>
    </w:p>
    <w:p>
      <w:pPr>
        <w:ind w:firstLine="480"/>
        <w:rPr>
          <w:highlight w:val="none"/>
        </w:rPr>
      </w:pPr>
      <w:r>
        <w:rPr>
          <w:rFonts w:hint="eastAsia"/>
          <w:highlight w:val="none"/>
        </w:rPr>
        <w:t>采用立杆固定时，杆底端固定法兰盘，预留拉线孔，立杆基础应是硬质，同时根据道路现场安装点的地质的实际情况，调整相应的尺寸。</w:t>
      </w:r>
    </w:p>
    <w:p>
      <w:pPr>
        <w:pStyle w:val="5"/>
        <w:numPr>
          <w:ilvl w:val="2"/>
          <w:numId w:val="2"/>
        </w:numPr>
        <w:rPr>
          <w:highlight w:val="none"/>
        </w:rPr>
      </w:pPr>
      <w:r>
        <w:rPr>
          <w:rFonts w:hint="eastAsia"/>
          <w:highlight w:val="none"/>
        </w:rPr>
        <w:t>抱杆设备箱建设要求</w:t>
      </w:r>
    </w:p>
    <w:p>
      <w:pPr>
        <w:ind w:firstLine="480"/>
        <w:rPr>
          <w:highlight w:val="none"/>
        </w:rPr>
      </w:pPr>
      <w:r>
        <w:rPr>
          <w:rFonts w:hint="eastAsia"/>
          <w:highlight w:val="none"/>
        </w:rPr>
        <w:t>挂杆机箱采用一体化智能机箱，所有的前端网络、供电、防雷设备集成在机箱内，方便维护管理。</w:t>
      </w:r>
    </w:p>
    <w:p>
      <w:pPr>
        <w:ind w:firstLine="480"/>
        <w:rPr>
          <w:highlight w:val="none"/>
        </w:rPr>
      </w:pPr>
      <w:r>
        <w:rPr>
          <w:rFonts w:hint="eastAsia"/>
          <w:highlight w:val="none"/>
        </w:rPr>
        <w:t>监控点前端采用方形机箱，采取底部进线设计，设计为离地2000mm-3000mm高度抱杆安装。箱体防护等级为IP54，防雨防尘，加高加厚底座，加强防腐能力，室外安装，内部用隔板分成上下两层空间，上部主要安放主控制器，下部安装辅助控制器和其它配电及辅助设备。</w:t>
      </w:r>
    </w:p>
    <w:p>
      <w:pPr>
        <w:ind w:firstLine="480"/>
        <w:rPr>
          <w:highlight w:val="none"/>
        </w:rPr>
      </w:pPr>
      <w:r>
        <w:rPr>
          <w:rFonts w:hint="eastAsia"/>
          <w:highlight w:val="none"/>
        </w:rPr>
        <w:t>为了保证设备的安全，机箱大门采用专用锁，密封性能卓越，具有很强的防橇性能。</w:t>
      </w:r>
    </w:p>
    <w:p>
      <w:pPr>
        <w:ind w:firstLine="480"/>
        <w:rPr>
          <w:highlight w:val="none"/>
        </w:rPr>
      </w:pPr>
      <w:r>
        <w:rPr>
          <w:rFonts w:hint="eastAsia"/>
          <w:highlight w:val="none"/>
        </w:rPr>
        <w:t>在监控机箱中设计电源保护装置，即过流过压保护装置，里面放置光电交换机、防雷模块、接线端子、维修开关和插座。</w:t>
      </w:r>
    </w:p>
    <w:p>
      <w:pPr>
        <w:ind w:firstLine="480"/>
        <w:rPr>
          <w:highlight w:val="none"/>
        </w:rPr>
      </w:pPr>
      <w:r>
        <w:rPr>
          <w:rFonts w:hint="eastAsia"/>
          <w:highlight w:val="none"/>
        </w:rPr>
        <w:t>智能设备箱接入220V电源，引电端经加装自动重合闸开关，设备机箱采用具备漏电断开功能的空气开关做主电源开关，从市电端布线到设备箱，保证市电引入部分电源线路的漏电及防雷接地防护。</w:t>
      </w:r>
    </w:p>
    <w:p>
      <w:pPr>
        <w:pStyle w:val="5"/>
        <w:numPr>
          <w:ilvl w:val="2"/>
          <w:numId w:val="2"/>
        </w:numPr>
        <w:rPr>
          <w:highlight w:val="none"/>
        </w:rPr>
      </w:pPr>
      <w:r>
        <w:rPr>
          <w:rFonts w:hint="eastAsia"/>
          <w:highlight w:val="none"/>
        </w:rPr>
        <w:t>前端防雷建设要求</w:t>
      </w:r>
    </w:p>
    <w:p>
      <w:pPr>
        <w:ind w:firstLine="480"/>
        <w:rPr>
          <w:highlight w:val="none"/>
        </w:rPr>
      </w:pPr>
      <w:r>
        <w:rPr>
          <w:rFonts w:hint="eastAsia"/>
          <w:highlight w:val="none"/>
        </w:rPr>
        <w:t>前端设备安装于室外，易遭到雷电打击；前端设备的电源一般在现场就近取用，易受雷电波影响产生高压和浪涌电流；如果没有必要的防雷、避雷措施，前端设备的运行将得不到保障，有可能导致抓拍摄像机短期内大量损坏，使系统濒于崩溃。为了前端设备能可靠、长久地运行，电警杆和前端机箱都设计接地，本项目中点位前端防雷，严格按照国家的有关标准和规范进行设计。</w:t>
      </w:r>
    </w:p>
    <w:p>
      <w:pPr>
        <w:ind w:firstLine="480"/>
        <w:rPr>
          <w:highlight w:val="none"/>
        </w:rPr>
      </w:pPr>
      <w:r>
        <w:rPr>
          <w:rFonts w:hint="eastAsia"/>
          <w:highlight w:val="none"/>
        </w:rPr>
        <w:t>本项目前端防雷包括防雷接地和防雷器二个部分。</w:t>
      </w:r>
    </w:p>
    <w:p>
      <w:pPr>
        <w:ind w:firstLine="480"/>
        <w:rPr>
          <w:highlight w:val="none"/>
        </w:rPr>
      </w:pPr>
      <w:bookmarkStart w:id="0" w:name="OLE_LINK1"/>
      <w:r>
        <w:rPr>
          <w:rFonts w:hint="eastAsia"/>
          <w:highlight w:val="none"/>
        </w:rPr>
        <w:t>防雷接地电阻≤10Ω</w:t>
      </w:r>
      <w:bookmarkEnd w:id="0"/>
      <w:r>
        <w:rPr>
          <w:rFonts w:hint="eastAsia"/>
          <w:highlight w:val="none"/>
        </w:rPr>
        <w:t>，垂直接地体采用4根L50×W50×2000mm热镀锌角钢，水平接地体采用4</w:t>
      </w:r>
      <w:r>
        <w:rPr>
          <w:rFonts w:hint="eastAsia"/>
          <w:highlight w:val="none"/>
          <w:lang w:val="en-US" w:eastAsia="zh-CN"/>
        </w:rPr>
        <w:t>mm</w:t>
      </w:r>
      <w:r>
        <w:rPr>
          <w:rFonts w:hint="eastAsia"/>
          <w:highlight w:val="none"/>
        </w:rPr>
        <w:t>×40mm热镀锌扁钢。</w:t>
      </w:r>
    </w:p>
    <w:p>
      <w:pPr>
        <w:ind w:firstLine="480"/>
        <w:rPr>
          <w:highlight w:val="none"/>
        </w:rPr>
      </w:pPr>
      <w:r>
        <w:rPr>
          <w:rFonts w:hint="eastAsia"/>
          <w:highlight w:val="none"/>
        </w:rPr>
        <w:t>前端防雷的线路包括电源线、视频电缆。对于线路浪涌提供完善的滤波和保护，防止浪涌电压老化设备。</w:t>
      </w:r>
    </w:p>
    <w:p>
      <w:pPr>
        <w:ind w:firstLine="480"/>
        <w:rPr>
          <w:highlight w:val="none"/>
        </w:rPr>
      </w:pPr>
      <w:r>
        <w:rPr>
          <w:rFonts w:hint="eastAsia"/>
          <w:highlight w:val="none"/>
        </w:rPr>
        <w:t>针对网络线遭受的感应雷击进行保护，常见的现象是摄像机、网络设备损坏。采用网络防雷器进行保护。</w:t>
      </w:r>
    </w:p>
    <w:p>
      <w:pPr>
        <w:pStyle w:val="5"/>
        <w:numPr>
          <w:ilvl w:val="2"/>
          <w:numId w:val="2"/>
        </w:numPr>
        <w:rPr>
          <w:highlight w:val="none"/>
        </w:rPr>
      </w:pPr>
      <w:r>
        <w:rPr>
          <w:rFonts w:hint="eastAsia"/>
          <w:highlight w:val="none"/>
        </w:rPr>
        <w:t>前端供电建设要求</w:t>
      </w:r>
    </w:p>
    <w:p>
      <w:pPr>
        <w:ind w:firstLine="480"/>
        <w:rPr>
          <w:highlight w:val="none"/>
        </w:rPr>
      </w:pPr>
      <w:r>
        <w:rPr>
          <w:rFonts w:hint="eastAsia"/>
          <w:highlight w:val="none"/>
        </w:rPr>
        <w:t>配套供电是整个系统稳定运行的保障。供电系统的设计从全局着手，综合考虑电力负荷，负载能力，电力传输距离，设备电气特性。并结合前端现场以及后端监控中心的实际环境来进行设计。</w:t>
      </w:r>
    </w:p>
    <w:p>
      <w:pPr>
        <w:ind w:firstLine="480"/>
        <w:rPr>
          <w:highlight w:val="none"/>
        </w:rPr>
      </w:pPr>
      <w:r>
        <w:rPr>
          <w:rFonts w:hint="eastAsia"/>
          <w:highlight w:val="none"/>
        </w:rPr>
        <w:t>实用性：要求结合本系统的现场环境特点以及系统中各级设备的电气性能，做到实用、适用。</w:t>
      </w:r>
    </w:p>
    <w:p>
      <w:pPr>
        <w:ind w:firstLine="480"/>
        <w:rPr>
          <w:highlight w:val="none"/>
        </w:rPr>
      </w:pPr>
      <w:r>
        <w:rPr>
          <w:rFonts w:hint="eastAsia"/>
          <w:highlight w:val="none"/>
        </w:rPr>
        <w:t>稳定性：要求供电系统具有高稳定性和高可靠性，以确保监控系统的各个功能模块和设备能够高效稳定的运行。</w:t>
      </w:r>
    </w:p>
    <w:p>
      <w:pPr>
        <w:ind w:firstLine="480"/>
        <w:rPr>
          <w:highlight w:val="none"/>
        </w:rPr>
      </w:pPr>
      <w:r>
        <w:rPr>
          <w:rFonts w:hint="eastAsia"/>
          <w:highlight w:val="none"/>
        </w:rPr>
        <w:t>安全性：要求供电系统的各个环节，均具备绝缘保护措施，前端设备箱设置“有电危险”警示标识。</w:t>
      </w:r>
    </w:p>
    <w:p>
      <w:pPr>
        <w:ind w:firstLine="480"/>
        <w:rPr>
          <w:highlight w:val="none"/>
        </w:rPr>
      </w:pPr>
      <w:r>
        <w:rPr>
          <w:rFonts w:hint="eastAsia"/>
          <w:highlight w:val="none"/>
        </w:rPr>
        <w:t>经济性：设计出合理的电力供应网络，尽可能的节约供电线路的投入成本。</w:t>
      </w:r>
    </w:p>
    <w:p>
      <w:pPr>
        <w:ind w:firstLine="480"/>
        <w:rPr>
          <w:highlight w:val="none"/>
        </w:rPr>
      </w:pPr>
      <w:r>
        <w:rPr>
          <w:rFonts w:hint="eastAsia"/>
          <w:highlight w:val="none"/>
        </w:rPr>
        <w:t>可维护性：所有电力线路的敷设、电源设备的端接点及电源的分配，均要考虑到维护方便，易于检修。确保供电系统出现故障时，维护人员能在最短的时间内检测到问题并及时修复。</w:t>
      </w:r>
    </w:p>
    <w:p>
      <w:pPr>
        <w:pStyle w:val="5"/>
        <w:numPr>
          <w:ilvl w:val="2"/>
          <w:numId w:val="2"/>
        </w:numPr>
        <w:rPr>
          <w:highlight w:val="none"/>
        </w:rPr>
      </w:pPr>
      <w:r>
        <w:rPr>
          <w:rFonts w:hint="eastAsia"/>
          <w:highlight w:val="none"/>
        </w:rPr>
        <w:t>货物要求</w:t>
      </w:r>
    </w:p>
    <w:p>
      <w:pPr>
        <w:ind w:firstLine="480"/>
        <w:rPr>
          <w:highlight w:val="none"/>
        </w:rPr>
      </w:pPr>
      <w:r>
        <w:rPr>
          <w:rFonts w:hint="eastAsia"/>
          <w:highlight w:val="none"/>
        </w:rPr>
        <w:t>1、货物总体要求</w:t>
      </w:r>
    </w:p>
    <w:p>
      <w:pPr>
        <w:ind w:firstLine="480"/>
        <w:rPr>
          <w:highlight w:val="none"/>
        </w:rPr>
      </w:pPr>
      <w:r>
        <w:rPr>
          <w:rFonts w:hint="eastAsia"/>
          <w:highlight w:val="none"/>
        </w:rPr>
        <w:t>（1）货物为原制造商制造的全新产品，无污染、无侵权行为、表面无划损、无任何缺陷隐患，在中国境内可常规安全合法使用。货物必须具备出厂合格证等资料。</w:t>
      </w:r>
    </w:p>
    <w:p>
      <w:pPr>
        <w:ind w:firstLine="480"/>
        <w:rPr>
          <w:highlight w:val="none"/>
        </w:rPr>
      </w:pPr>
      <w:r>
        <w:rPr>
          <w:rFonts w:hint="eastAsia"/>
          <w:highlight w:val="none"/>
        </w:rPr>
        <w:t>（2）货物的质量、规格及技术特征须符合招标文件的相关要求，符合中华人民共和国国家安全质量标准、环保标准或行业标准。</w:t>
      </w:r>
    </w:p>
    <w:p>
      <w:pPr>
        <w:ind w:firstLine="480"/>
        <w:rPr>
          <w:highlight w:val="none"/>
        </w:rPr>
      </w:pPr>
      <w:r>
        <w:rPr>
          <w:rFonts w:hint="eastAsia"/>
          <w:highlight w:val="none"/>
        </w:rPr>
        <w:t>（3）中标人负责将货物材料运到现场过程中的全部运输费用，包括装卸车、货物现场的搬运等。</w:t>
      </w:r>
    </w:p>
    <w:p>
      <w:pPr>
        <w:ind w:firstLine="480"/>
        <w:rPr>
          <w:highlight w:val="none"/>
        </w:rPr>
      </w:pPr>
      <w:r>
        <w:rPr>
          <w:rFonts w:hint="eastAsia"/>
          <w:highlight w:val="none"/>
        </w:rPr>
        <w:t>（4）货物包装均应有良好的防湿、防锈、防潮、防雨、防腐及防碰撞的措施。凡由于包装不良造成的损失和由此产生的费用均由中标人承担。</w:t>
      </w:r>
    </w:p>
    <w:p>
      <w:pPr>
        <w:ind w:firstLine="480"/>
        <w:rPr>
          <w:highlight w:val="none"/>
        </w:rPr>
      </w:pPr>
      <w:r>
        <w:rPr>
          <w:rFonts w:hint="eastAsia"/>
          <w:highlight w:val="none"/>
        </w:rPr>
        <w:t>（5）中标人负责货物在最终验收合格前的保管、保险和负责其派出的现场服务人员的人身意外保险。</w:t>
      </w:r>
    </w:p>
    <w:p>
      <w:pPr>
        <w:ind w:firstLine="480"/>
        <w:rPr>
          <w:highlight w:val="none"/>
        </w:rPr>
      </w:pPr>
      <w:r>
        <w:rPr>
          <w:rFonts w:hint="eastAsia"/>
          <w:highlight w:val="none"/>
        </w:rPr>
        <w:t>2、货物验收要求</w:t>
      </w:r>
    </w:p>
    <w:p>
      <w:pPr>
        <w:ind w:firstLine="480"/>
        <w:rPr>
          <w:highlight w:val="none"/>
        </w:rPr>
      </w:pPr>
      <w:r>
        <w:rPr>
          <w:rFonts w:hint="eastAsia"/>
          <w:highlight w:val="none"/>
        </w:rPr>
        <w:t>（1）中标人供货时必须提供完整的供货清单，清单需列明本批次货物的名称、品牌、规格型号、数量、生产商、出厂日期等信息，由采购人和中标人双方现场清点验收确认。</w:t>
      </w:r>
    </w:p>
    <w:p>
      <w:pPr>
        <w:ind w:firstLine="480"/>
        <w:rPr>
          <w:highlight w:val="none"/>
        </w:rPr>
      </w:pPr>
      <w:r>
        <w:rPr>
          <w:rFonts w:hint="eastAsia"/>
          <w:highlight w:val="none"/>
        </w:rPr>
        <w:t>（2）采购人将根据货物清单进行开箱验收，检查货物的出厂资料是否完整、货物外包装有无损坏、货物是否有损坏、腐蚀或掉漆等现象、检查零配件等是否齐全、货物相应技术参数是否符合招标文件要求和投标文件的响应，若中标人交付的货物不符合招标文件、投标文件或双方所签订合同的规定，采购人有权拒收，中标人应在3个工作日内按要求完成换货工作。</w:t>
      </w:r>
    </w:p>
    <w:p>
      <w:pPr>
        <w:ind w:firstLine="480"/>
        <w:rPr>
          <w:highlight w:val="none"/>
        </w:rPr>
      </w:pPr>
      <w:r>
        <w:rPr>
          <w:rFonts w:hint="eastAsia"/>
          <w:highlight w:val="none"/>
        </w:rPr>
        <w:t>（3）因货物质量问题发生争议时，由本地质量技术监督部门鉴定，货物符合质量技术标准的，鉴定费由采购人承担，否则由中标人承担。</w:t>
      </w:r>
    </w:p>
    <w:p>
      <w:pPr>
        <w:pStyle w:val="5"/>
        <w:numPr>
          <w:ilvl w:val="2"/>
          <w:numId w:val="2"/>
        </w:numPr>
        <w:rPr>
          <w:highlight w:val="none"/>
        </w:rPr>
      </w:pPr>
      <w:r>
        <w:rPr>
          <w:rFonts w:hint="eastAsia"/>
          <w:highlight w:val="none"/>
        </w:rPr>
        <w:t>安装调试要求</w:t>
      </w:r>
    </w:p>
    <w:p>
      <w:pPr>
        <w:ind w:firstLine="420"/>
        <w:rPr>
          <w:color w:val="0000FF"/>
          <w:highlight w:val="none"/>
        </w:rPr>
      </w:pPr>
      <w:r>
        <w:rPr>
          <w:rFonts w:hint="eastAsia"/>
          <w:color w:val="0000FF"/>
          <w:sz w:val="21"/>
          <w:szCs w:val="21"/>
          <w:highlight w:val="none"/>
        </w:rPr>
        <w:t>★</w:t>
      </w:r>
      <w:r>
        <w:rPr>
          <w:rFonts w:hint="eastAsia"/>
          <w:color w:val="0000FF"/>
          <w:highlight w:val="none"/>
        </w:rPr>
        <w:t>1、合同签订后150个日历日内完成项目实施及验收。</w:t>
      </w:r>
      <w:r>
        <w:rPr>
          <w:color w:val="0000FF"/>
          <w:highlight w:val="none"/>
        </w:rPr>
        <w:t>（投标人须提供承诺函承诺，格式自拟。）</w:t>
      </w:r>
    </w:p>
    <w:p>
      <w:pPr>
        <w:ind w:firstLine="480"/>
        <w:rPr>
          <w:highlight w:val="none"/>
        </w:rPr>
      </w:pPr>
      <w:r>
        <w:rPr>
          <w:rFonts w:hint="eastAsia"/>
          <w:highlight w:val="none"/>
        </w:rPr>
        <w:t>2、中标人应负责本项目范围内的设备及材料的供应（包括设备材料的技术文件）、勘探现场、装卸、运输、保管、拆卸、清运、安装调试、验收和维修保养等工作；项目通过最终验收前，项目范围内所有设备（包括但不限于已安装的前端设备、杆体、后端设备以及仓库中未安装的设备）应有中标人进行妥善保管，如因损坏、遗失等造成的损失由中标人承担。</w:t>
      </w:r>
    </w:p>
    <w:p>
      <w:pPr>
        <w:ind w:firstLine="480"/>
        <w:rPr>
          <w:highlight w:val="none"/>
        </w:rPr>
      </w:pPr>
      <w:r>
        <w:rPr>
          <w:rFonts w:hint="eastAsia"/>
          <w:highlight w:val="none"/>
        </w:rPr>
        <w:t>3、中标人在安装时，必须按安装图纸及相关规范要求实施，因未按规范要求实施造成人员、财产的损失均由中标人负责，采购人可视情况追究其法律责任。在安装过程中必须采取足够的安全措施，确保施工的安全，并自行负责相关安全责任。</w:t>
      </w:r>
    </w:p>
    <w:p>
      <w:pPr>
        <w:ind w:firstLine="480"/>
        <w:rPr>
          <w:highlight w:val="none"/>
        </w:rPr>
      </w:pPr>
      <w:r>
        <w:rPr>
          <w:rFonts w:hint="eastAsia"/>
          <w:highlight w:val="none"/>
        </w:rPr>
        <w:t>4、4、中标人须将设备、材料等放置在指定的位置并妥善保管，如发生遗失、损坏等，由中标人自行承担；项目实施过程中，当天安装的材料、工具、垃圾等应及时清理，严禁抛掷和阻塞通道，清理过程中所产生的费用由中标人自行承担。</w:t>
      </w:r>
    </w:p>
    <w:p>
      <w:pPr>
        <w:ind w:firstLine="480"/>
        <w:rPr>
          <w:highlight w:val="none"/>
        </w:rPr>
      </w:pPr>
      <w:r>
        <w:rPr>
          <w:rFonts w:hint="eastAsia"/>
          <w:highlight w:val="none"/>
        </w:rPr>
        <w:t>5、中标人在安装过程中，如需对场地作局部破损，必须在供货安装实施前取得采购人的书面同意，并承诺负责恢复原状，采购人不另行支付任何费用。</w:t>
      </w:r>
    </w:p>
    <w:p>
      <w:pPr>
        <w:ind w:firstLine="480"/>
        <w:rPr>
          <w:highlight w:val="none"/>
        </w:rPr>
      </w:pPr>
      <w:r>
        <w:rPr>
          <w:rFonts w:hint="eastAsia"/>
          <w:highlight w:val="none"/>
        </w:rPr>
        <w:t>6、建档工作</w:t>
      </w:r>
    </w:p>
    <w:p>
      <w:pPr>
        <w:ind w:firstLine="480"/>
        <w:rPr>
          <w:highlight w:val="none"/>
        </w:rPr>
      </w:pPr>
      <w:r>
        <w:rPr>
          <w:rFonts w:hint="eastAsia"/>
          <w:highlight w:val="none"/>
        </w:rPr>
        <w:t>中标人需无条件配合采购人按照GB/T28181-2022附录D统一编码规则进行编码和《广东公安视频图像采集设备“一机一档”基础信息采集建档工作指引》要求及时在“一机一档”系统中录入设备基础信息。</w:t>
      </w:r>
    </w:p>
    <w:p>
      <w:pPr>
        <w:pStyle w:val="2"/>
        <w:ind w:left="0" w:leftChars="0" w:firstLine="480"/>
        <w:rPr>
          <w:highlight w:val="none"/>
        </w:rPr>
      </w:pPr>
      <w:r>
        <w:rPr>
          <w:rFonts w:hint="eastAsia"/>
          <w:highlight w:val="none"/>
        </w:rPr>
        <w:t>★7、中标人所安装的电子警察设备（包括但不限于违停、逆行抓拍等各类违法取证设备）必须严格满足省、市公安机关执法上线标准，同步配齐评估报告及配套标志、标线、标牌。若设备达不到执法启用条件，中标人须在收到问题通知之日起3个工作日内完成整改，并重新报请上级公安机关复核，直至</w:t>
      </w:r>
      <w:r>
        <w:rPr>
          <w:rFonts w:hint="eastAsia"/>
          <w:color w:val="FF0000"/>
          <w:highlight w:val="none"/>
        </w:rPr>
        <w:t>通过审批</w:t>
      </w:r>
      <w:r>
        <w:rPr>
          <w:rFonts w:hint="eastAsia"/>
          <w:highlight w:val="none"/>
        </w:rPr>
        <w:t>、正式启用开展执法工作。整改全过程产生的一切费用，均由中标人自行承担。</w:t>
      </w:r>
      <w:r>
        <w:rPr>
          <w:highlight w:val="none"/>
        </w:rPr>
        <w:t>（投标人须提供承诺函承诺，格式自拟。）</w:t>
      </w:r>
    </w:p>
    <w:p>
      <w:pPr>
        <w:pStyle w:val="5"/>
        <w:numPr>
          <w:ilvl w:val="2"/>
          <w:numId w:val="2"/>
        </w:numPr>
        <w:rPr>
          <w:highlight w:val="none"/>
        </w:rPr>
      </w:pPr>
      <w:r>
        <w:rPr>
          <w:rFonts w:hint="eastAsia"/>
          <w:highlight w:val="none"/>
        </w:rPr>
        <w:t>项目验收要求</w:t>
      </w:r>
    </w:p>
    <w:p>
      <w:pPr>
        <w:ind w:firstLine="480"/>
        <w:rPr>
          <w:highlight w:val="none"/>
        </w:rPr>
      </w:pPr>
      <w:r>
        <w:rPr>
          <w:rFonts w:hint="eastAsia"/>
          <w:highlight w:val="none"/>
        </w:rPr>
        <w:t>1、交付验收标准依次序对照适用标准为:①符合中华人民共和国国家安全质量标准、环保标准或行业标准；②符合招标文件和响应承诺中采购人认可的合理最佳配置、参数及各项要求；③货物来源国官方标准。</w:t>
      </w:r>
    </w:p>
    <w:p>
      <w:pPr>
        <w:ind w:firstLine="480"/>
        <w:rPr>
          <w:highlight w:val="none"/>
        </w:rPr>
      </w:pPr>
      <w:r>
        <w:rPr>
          <w:rFonts w:hint="eastAsia"/>
          <w:highlight w:val="none"/>
        </w:rPr>
        <w:t>2、货物为原厂商未启封全新包装，具出厂合格证，序列号、包装箱号与出厂批号一致，并可追索查阅。所有随设备的附件必须齐全。</w:t>
      </w:r>
    </w:p>
    <w:p>
      <w:pPr>
        <w:ind w:firstLine="480"/>
        <w:rPr>
          <w:highlight w:val="none"/>
        </w:rPr>
      </w:pPr>
      <w:r>
        <w:rPr>
          <w:rFonts w:hint="eastAsia"/>
          <w:highlight w:val="none"/>
        </w:rPr>
        <w:t>3、中标人应将关键主机设备的用户手册、保修手册、有关单证资料及配备件、随机工具等交付给采购人，使用操作及安全须知等重要资料应附有中文说明。</w:t>
      </w:r>
    </w:p>
    <w:p>
      <w:pPr>
        <w:ind w:firstLine="480"/>
        <w:rPr>
          <w:highlight w:val="none"/>
        </w:rPr>
      </w:pPr>
      <w:r>
        <w:rPr>
          <w:highlight w:val="none"/>
        </w:rPr>
        <w:t>4、</w:t>
      </w:r>
      <w:r>
        <w:rPr>
          <w:rFonts w:hint="eastAsia"/>
          <w:highlight w:val="none"/>
        </w:rPr>
        <w:t>中标人需确保本项目建设的高清视频类设备正常在线、电子警察类设备正式投入执法后，按照市公安局关于信息化项目管理的相关工作要求，对项目的初验、试运行（试运行时间不少于30天）、第三方测评、验收前符合性自查等各阶段文档进行整理，汇总成项目验收材料交由采购人，由采购人通过系统报市局科信办进行审核。市局审核通过后，由采购人</w:t>
      </w:r>
      <w:r>
        <w:rPr>
          <w:highlight w:val="none"/>
        </w:rPr>
        <w:t>按国家有关规定、规范邀请</w:t>
      </w:r>
      <w:r>
        <w:rPr>
          <w:rFonts w:hint="eastAsia"/>
          <w:highlight w:val="none"/>
        </w:rPr>
        <w:t>上级公安机关、</w:t>
      </w:r>
      <w:r>
        <w:rPr>
          <w:highlight w:val="none"/>
        </w:rPr>
        <w:t>相关的</w:t>
      </w:r>
      <w:r>
        <w:rPr>
          <w:rFonts w:hint="eastAsia"/>
          <w:highlight w:val="none"/>
        </w:rPr>
        <w:t>专家</w:t>
      </w:r>
      <w:r>
        <w:rPr>
          <w:highlight w:val="none"/>
        </w:rPr>
        <w:t>或机构</w:t>
      </w:r>
      <w:r>
        <w:rPr>
          <w:rFonts w:hint="eastAsia"/>
          <w:highlight w:val="none"/>
        </w:rPr>
        <w:t>等共同组成验收小组开展线下</w:t>
      </w:r>
      <w:r>
        <w:rPr>
          <w:highlight w:val="none"/>
        </w:rPr>
        <w:t>验收</w:t>
      </w:r>
      <w:r>
        <w:rPr>
          <w:rFonts w:hint="eastAsia"/>
          <w:highlight w:val="none"/>
        </w:rPr>
        <w:t>，验收通过后签署终验报告</w:t>
      </w:r>
      <w:r>
        <w:rPr>
          <w:highlight w:val="none"/>
        </w:rPr>
        <w:t>。因货物质量问题发生争议时，由本地质量技术监督部门鉴定</w:t>
      </w:r>
      <w:r>
        <w:rPr>
          <w:rFonts w:hint="eastAsia"/>
          <w:highlight w:val="none"/>
        </w:rPr>
        <w:t>，由此产生的专家费、</w:t>
      </w:r>
      <w:r>
        <w:rPr>
          <w:highlight w:val="none"/>
        </w:rPr>
        <w:t>鉴定费由</w:t>
      </w:r>
      <w:r>
        <w:rPr>
          <w:rFonts w:hint="eastAsia"/>
          <w:highlight w:val="none"/>
        </w:rPr>
        <w:t>中标人</w:t>
      </w:r>
      <w:r>
        <w:rPr>
          <w:highlight w:val="none"/>
        </w:rPr>
        <w:t>承担。</w:t>
      </w:r>
    </w:p>
    <w:p>
      <w:pPr>
        <w:ind w:firstLine="480"/>
        <w:rPr>
          <w:highlight w:val="none"/>
        </w:rPr>
      </w:pPr>
      <w:r>
        <w:rPr>
          <w:rFonts w:hint="eastAsia"/>
          <w:highlight w:val="none"/>
        </w:rPr>
        <w:t>5、验收时发现所交付的货物有短缺、次品、损坏或其它不符合本项目规定之情形的，中标人无条件负责退、换货、重新安装、调试直至完成验收并交付，由此产生的有关费用由中标人承担，交货期不予顺延。如果合同货物运输和安装调试过程中因事故造成货物短缺、损坏，中标人应及时安排换货，以保证合同货物成功完整交付，换货的相关费用由中标人承担，交货期不予顺延。</w:t>
      </w:r>
    </w:p>
    <w:p>
      <w:pPr>
        <w:pStyle w:val="4"/>
        <w:numPr>
          <w:ilvl w:val="1"/>
          <w:numId w:val="2"/>
        </w:numPr>
        <w:rPr>
          <w:highlight w:val="none"/>
        </w:rPr>
      </w:pPr>
      <w:r>
        <w:rPr>
          <w:rFonts w:hint="eastAsia"/>
          <w:highlight w:val="none"/>
        </w:rPr>
        <w:t>售后服务</w:t>
      </w:r>
    </w:p>
    <w:p>
      <w:pPr>
        <w:ind w:firstLine="480"/>
        <w:rPr>
          <w:highlight w:val="none"/>
        </w:rPr>
      </w:pPr>
      <w:r>
        <w:rPr>
          <w:rFonts w:hint="eastAsia"/>
          <w:highlight w:val="none"/>
        </w:rPr>
        <w:t>1、质保期：项目自</w:t>
      </w:r>
      <w:r>
        <w:rPr>
          <w:highlight w:val="none"/>
        </w:rPr>
        <w:t>通过最终验收合格之日</w:t>
      </w:r>
      <w:r>
        <w:rPr>
          <w:rFonts w:hint="eastAsia"/>
          <w:highlight w:val="none"/>
        </w:rPr>
        <w:t>起提供整体项目免费质保三年（即36个月），在质保期内，中标人须保障本项目范围内设备、系统的正常运行，相关指标需达到当年东莞市公安局视频图像数据质量指标要求。若在质保期内发生的质量问题，由中标人负责免费解决，包退包换（因采购人使用不当或其他人为因素造成的故障除外）。</w:t>
      </w:r>
    </w:p>
    <w:p>
      <w:pPr>
        <w:ind w:firstLine="480"/>
        <w:rPr>
          <w:highlight w:val="none"/>
        </w:rPr>
      </w:pPr>
      <w:r>
        <w:rPr>
          <w:rFonts w:hint="eastAsia"/>
          <w:highlight w:val="none"/>
        </w:rPr>
        <w:t>2、运维要求</w:t>
      </w:r>
    </w:p>
    <w:p>
      <w:pPr>
        <w:ind w:firstLine="480"/>
        <w:rPr>
          <w:highlight w:val="none"/>
        </w:rPr>
      </w:pPr>
      <w:r>
        <w:rPr>
          <w:rFonts w:hint="eastAsia"/>
          <w:highlight w:val="none"/>
        </w:rPr>
        <w:t>（1）一机一档、一卡一档要求说明</w:t>
      </w:r>
    </w:p>
    <w:p>
      <w:pPr>
        <w:ind w:firstLine="480"/>
        <w:rPr>
          <w:highlight w:val="none"/>
        </w:rPr>
      </w:pPr>
      <w:r>
        <w:rPr>
          <w:rFonts w:hint="eastAsia"/>
          <w:highlight w:val="none"/>
        </w:rPr>
        <w:t>中标人需无条件配合采购人按照GB/T28181-2022附录D统一编码规则进行编码和《广东公安视频图像采集设备“一机一档”基础信息采集建档工作指引》、《广东公安车辆卡口“一卡一档”基础信息采集建档工作指引》的要求及时在“一卡一档”“一机一档”系统中建立完善前端智能感知设备基础信息。</w:t>
      </w:r>
    </w:p>
    <w:p>
      <w:pPr>
        <w:ind w:firstLine="480"/>
        <w:rPr>
          <w:highlight w:val="none"/>
        </w:rPr>
      </w:pPr>
      <w:r>
        <w:rPr>
          <w:rFonts w:hint="eastAsia"/>
          <w:highlight w:val="none"/>
        </w:rPr>
        <w:t>（2）视图数据整理治理考核</w:t>
      </w:r>
    </w:p>
    <w:p>
      <w:pPr>
        <w:ind w:firstLine="480"/>
        <w:rPr>
          <w:highlight w:val="none"/>
        </w:rPr>
      </w:pPr>
      <w:r>
        <w:rPr>
          <w:rFonts w:hint="eastAsia"/>
          <w:highlight w:val="none"/>
        </w:rPr>
        <w:t>本项目的运维目标需与东莞市公安局最新运维考核指标匹配，并根据最新要求实时更新，确保满足监测工具考核平台的考核要求。如下：</w:t>
      </w:r>
    </w:p>
    <w:tbl>
      <w:tblPr>
        <w:tblStyle w:val="19"/>
        <w:tblW w:w="9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1309"/>
        <w:gridCol w:w="6777"/>
        <w:gridCol w:w="1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0" w:type="dxa"/>
            <w:gridSpan w:val="4"/>
            <w:vAlign w:val="center"/>
          </w:tcPr>
          <w:p>
            <w:pPr>
              <w:pStyle w:val="27"/>
              <w:rPr>
                <w:szCs w:val="21"/>
                <w:highlight w:val="none"/>
              </w:rPr>
            </w:pPr>
            <w:r>
              <w:rPr>
                <w:rFonts w:hint="eastAsia"/>
                <w:szCs w:val="21"/>
                <w:highlight w:val="none"/>
              </w:rPr>
              <w:t>考核标准表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序号</w:t>
            </w:r>
          </w:p>
        </w:tc>
        <w:tc>
          <w:tcPr>
            <w:tcW w:w="1309" w:type="dxa"/>
            <w:vAlign w:val="center"/>
          </w:tcPr>
          <w:p>
            <w:pPr>
              <w:pStyle w:val="27"/>
              <w:spacing w:line="240" w:lineRule="auto"/>
              <w:rPr>
                <w:szCs w:val="21"/>
                <w:highlight w:val="none"/>
              </w:rPr>
            </w:pPr>
            <w:r>
              <w:rPr>
                <w:rFonts w:hint="eastAsia"/>
                <w:szCs w:val="21"/>
                <w:highlight w:val="none"/>
              </w:rPr>
              <w:br w:type="page"/>
            </w:r>
            <w:r>
              <w:rPr>
                <w:rFonts w:hint="eastAsia"/>
                <w:szCs w:val="21"/>
                <w:highlight w:val="none"/>
              </w:rPr>
              <w:br w:type="page"/>
            </w:r>
            <w:r>
              <w:rPr>
                <w:rFonts w:hint="eastAsia"/>
                <w:szCs w:val="21"/>
                <w:highlight w:val="none"/>
              </w:rPr>
              <w:t>考核项</w:t>
            </w:r>
          </w:p>
        </w:tc>
        <w:tc>
          <w:tcPr>
            <w:tcW w:w="6777" w:type="dxa"/>
            <w:vAlign w:val="center"/>
          </w:tcPr>
          <w:p>
            <w:pPr>
              <w:pStyle w:val="27"/>
              <w:spacing w:line="240" w:lineRule="auto"/>
              <w:rPr>
                <w:szCs w:val="21"/>
                <w:highlight w:val="none"/>
              </w:rPr>
            </w:pPr>
            <w:r>
              <w:rPr>
                <w:rFonts w:hint="eastAsia"/>
                <w:szCs w:val="21"/>
                <w:highlight w:val="none"/>
              </w:rPr>
              <w:t>考核说明</w:t>
            </w:r>
          </w:p>
        </w:tc>
        <w:tc>
          <w:tcPr>
            <w:tcW w:w="1378" w:type="dxa"/>
            <w:vAlign w:val="center"/>
          </w:tcPr>
          <w:p>
            <w:pPr>
              <w:pStyle w:val="27"/>
              <w:spacing w:line="240" w:lineRule="auto"/>
              <w:rPr>
                <w:szCs w:val="21"/>
                <w:highlight w:val="none"/>
              </w:rPr>
            </w:pPr>
            <w:r>
              <w:rPr>
                <w:rFonts w:hint="eastAsia"/>
                <w:szCs w:val="21"/>
                <w:highlight w:val="none"/>
              </w:rPr>
              <w:t>达标率要求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1</w:t>
            </w:r>
          </w:p>
        </w:tc>
        <w:tc>
          <w:tcPr>
            <w:tcW w:w="1309" w:type="dxa"/>
            <w:vAlign w:val="center"/>
          </w:tcPr>
          <w:p>
            <w:pPr>
              <w:pStyle w:val="27"/>
              <w:spacing w:line="240" w:lineRule="auto"/>
              <w:rPr>
                <w:szCs w:val="21"/>
                <w:highlight w:val="none"/>
              </w:rPr>
            </w:pPr>
            <w:r>
              <w:rPr>
                <w:rFonts w:hint="eastAsia"/>
                <w:szCs w:val="21"/>
                <w:highlight w:val="none"/>
              </w:rPr>
              <w:t>建档合格率（抽查）</w:t>
            </w:r>
          </w:p>
        </w:tc>
        <w:tc>
          <w:tcPr>
            <w:tcW w:w="6777" w:type="dxa"/>
            <w:vAlign w:val="center"/>
          </w:tcPr>
          <w:p>
            <w:pPr>
              <w:pStyle w:val="27"/>
              <w:spacing w:line="240" w:lineRule="auto"/>
              <w:ind w:firstLine="420" w:firstLineChars="200"/>
              <w:jc w:val="left"/>
              <w:rPr>
                <w:szCs w:val="21"/>
                <w:highlight w:val="none"/>
              </w:rPr>
            </w:pPr>
            <w:r>
              <w:rPr>
                <w:rFonts w:hint="eastAsia"/>
                <w:szCs w:val="21"/>
                <w:highlight w:val="none"/>
              </w:rPr>
              <w:t>每月抽查各公安分局一类点视频监控、</w:t>
            </w:r>
            <w:r>
              <w:rPr>
                <w:rFonts w:hint="eastAsia"/>
                <w:highlight w:val="none"/>
              </w:rPr>
              <w:t>人像</w:t>
            </w:r>
            <w:r>
              <w:rPr>
                <w:rFonts w:hint="eastAsia"/>
                <w:szCs w:val="21"/>
                <w:highlight w:val="none"/>
              </w:rPr>
              <w:t>卡口、车辆卡口一机一档录入的设备编码、设备名称、行政区划、安装地址、周边标志地点/道路名称、点位类型、功能类型、所属部门/警种、设备IP与MAC地址、安装地实景图片访问链接、设备状态等关键基础信息是否完整、合规、准确。填报抽查准确的数量。</w:t>
            </w:r>
          </w:p>
        </w:tc>
        <w:tc>
          <w:tcPr>
            <w:tcW w:w="1378" w:type="dxa"/>
            <w:vAlign w:val="center"/>
          </w:tcPr>
          <w:p>
            <w:pPr>
              <w:pStyle w:val="27"/>
              <w:spacing w:line="240" w:lineRule="auto"/>
              <w:rPr>
                <w:szCs w:val="21"/>
                <w:highlight w:val="none"/>
              </w:rPr>
            </w:pPr>
            <w:r>
              <w:rPr>
                <w:rFonts w:hint="eastAsia"/>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2</w:t>
            </w:r>
          </w:p>
        </w:tc>
        <w:tc>
          <w:tcPr>
            <w:tcW w:w="1309" w:type="dxa"/>
            <w:vAlign w:val="center"/>
          </w:tcPr>
          <w:p>
            <w:pPr>
              <w:pStyle w:val="27"/>
              <w:spacing w:line="240" w:lineRule="auto"/>
              <w:rPr>
                <w:szCs w:val="21"/>
                <w:highlight w:val="none"/>
              </w:rPr>
            </w:pPr>
            <w:r>
              <w:rPr>
                <w:rFonts w:hint="eastAsia"/>
                <w:szCs w:val="21"/>
                <w:highlight w:val="none"/>
              </w:rPr>
              <w:t>经纬度抽查（抽查）</w:t>
            </w:r>
          </w:p>
        </w:tc>
        <w:tc>
          <w:tcPr>
            <w:tcW w:w="6777" w:type="dxa"/>
            <w:vAlign w:val="center"/>
          </w:tcPr>
          <w:p>
            <w:pPr>
              <w:pStyle w:val="27"/>
              <w:spacing w:line="240" w:lineRule="auto"/>
              <w:ind w:firstLine="420" w:firstLineChars="200"/>
              <w:jc w:val="left"/>
              <w:rPr>
                <w:szCs w:val="21"/>
                <w:highlight w:val="none"/>
              </w:rPr>
            </w:pPr>
            <w:r>
              <w:rPr>
                <w:rFonts w:hint="eastAsia"/>
                <w:szCs w:val="21"/>
                <w:highlight w:val="none"/>
              </w:rPr>
              <w:t>随机抽选特定数量的监控设备、人车卡口，根据设备名称、安装地址、经纬度等档案信息，从一机一档和一杆一档系统，人工核验设备、卡口或立杆的经纬度标注情况，经抽查设备、卡口和立杆经纬度无偏离的，判定为经纬度标注准确。填报抽查准确的数量。</w:t>
            </w:r>
          </w:p>
        </w:tc>
        <w:tc>
          <w:tcPr>
            <w:tcW w:w="1378" w:type="dxa"/>
            <w:vAlign w:val="center"/>
          </w:tcPr>
          <w:p>
            <w:pPr>
              <w:pStyle w:val="27"/>
              <w:spacing w:line="240" w:lineRule="auto"/>
              <w:rPr>
                <w:szCs w:val="21"/>
                <w:highlight w:val="none"/>
              </w:rPr>
            </w:pPr>
            <w:r>
              <w:rPr>
                <w:rFonts w:hint="eastAsia"/>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3</w:t>
            </w:r>
          </w:p>
        </w:tc>
        <w:tc>
          <w:tcPr>
            <w:tcW w:w="1309" w:type="dxa"/>
            <w:vAlign w:val="center"/>
          </w:tcPr>
          <w:p>
            <w:pPr>
              <w:pStyle w:val="27"/>
              <w:spacing w:line="240" w:lineRule="auto"/>
              <w:rPr>
                <w:szCs w:val="21"/>
                <w:highlight w:val="none"/>
              </w:rPr>
            </w:pPr>
            <w:r>
              <w:rPr>
                <w:rFonts w:hint="eastAsia"/>
                <w:szCs w:val="21"/>
                <w:highlight w:val="none"/>
              </w:rPr>
              <w:t>联网率（系统）</w:t>
            </w:r>
          </w:p>
        </w:tc>
        <w:tc>
          <w:tcPr>
            <w:tcW w:w="6777" w:type="dxa"/>
            <w:vAlign w:val="center"/>
          </w:tcPr>
          <w:p>
            <w:pPr>
              <w:pStyle w:val="27"/>
              <w:spacing w:line="240" w:lineRule="auto"/>
              <w:ind w:firstLine="420" w:firstLineChars="200"/>
              <w:jc w:val="left"/>
              <w:rPr>
                <w:szCs w:val="21"/>
                <w:highlight w:val="none"/>
              </w:rPr>
            </w:pPr>
            <w:r>
              <w:rPr>
                <w:rFonts w:hint="eastAsia"/>
                <w:szCs w:val="21"/>
                <w:highlight w:val="none"/>
              </w:rPr>
              <w:t>定期从</w:t>
            </w:r>
            <w:r>
              <w:rPr>
                <w:rFonts w:hint="eastAsia"/>
                <w:highlight w:val="none"/>
              </w:rPr>
              <w:t>人像</w:t>
            </w:r>
            <w:r>
              <w:rPr>
                <w:rFonts w:hint="eastAsia"/>
                <w:szCs w:val="21"/>
                <w:highlight w:val="none"/>
              </w:rPr>
              <w:t>平台抽取已联网设备清单，已建档绑杆、档案设备状态为正常且已推送市</w:t>
            </w:r>
            <w:r>
              <w:rPr>
                <w:rFonts w:hint="eastAsia"/>
                <w:highlight w:val="none"/>
              </w:rPr>
              <w:t>人像</w:t>
            </w:r>
            <w:r>
              <w:rPr>
                <w:rFonts w:hint="eastAsia"/>
                <w:szCs w:val="21"/>
                <w:highlight w:val="none"/>
              </w:rPr>
              <w:t>平台的设备视为已联网。对比2021年</w:t>
            </w:r>
            <w:r>
              <w:rPr>
                <w:rFonts w:hint="eastAsia"/>
                <w:highlight w:val="none"/>
              </w:rPr>
              <w:t>人像</w:t>
            </w:r>
            <w:r>
              <w:rPr>
                <w:rFonts w:hint="eastAsia"/>
                <w:szCs w:val="21"/>
                <w:highlight w:val="none"/>
              </w:rPr>
              <w:t>卡口建设任务，检测各公安分局</w:t>
            </w:r>
            <w:r>
              <w:rPr>
                <w:rFonts w:hint="eastAsia"/>
                <w:highlight w:val="none"/>
              </w:rPr>
              <w:t>人像</w:t>
            </w:r>
            <w:r>
              <w:rPr>
                <w:rFonts w:hint="eastAsia"/>
                <w:szCs w:val="21"/>
                <w:highlight w:val="none"/>
              </w:rPr>
              <w:t>卡口联网率是否达标。卡口联网率=已联网数/建档总数（包括状态为“正常”、“故障”、“停用”设备）。</w:t>
            </w:r>
          </w:p>
        </w:tc>
        <w:tc>
          <w:tcPr>
            <w:tcW w:w="1378" w:type="dxa"/>
            <w:vAlign w:val="center"/>
          </w:tcPr>
          <w:p>
            <w:pPr>
              <w:pStyle w:val="27"/>
              <w:spacing w:line="240" w:lineRule="auto"/>
              <w:rPr>
                <w:szCs w:val="21"/>
                <w:highlight w:val="none"/>
              </w:rPr>
            </w:pPr>
            <w:r>
              <w:rPr>
                <w:rFonts w:hint="eastAsia"/>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4</w:t>
            </w:r>
          </w:p>
        </w:tc>
        <w:tc>
          <w:tcPr>
            <w:tcW w:w="1309" w:type="dxa"/>
            <w:vAlign w:val="center"/>
          </w:tcPr>
          <w:p>
            <w:pPr>
              <w:pStyle w:val="27"/>
              <w:spacing w:line="240" w:lineRule="auto"/>
              <w:rPr>
                <w:szCs w:val="21"/>
                <w:highlight w:val="none"/>
              </w:rPr>
            </w:pPr>
            <w:r>
              <w:rPr>
                <w:rFonts w:hint="eastAsia"/>
                <w:szCs w:val="21"/>
                <w:highlight w:val="none"/>
              </w:rPr>
              <w:t>在线率（系统）</w:t>
            </w:r>
          </w:p>
        </w:tc>
        <w:tc>
          <w:tcPr>
            <w:tcW w:w="6777" w:type="dxa"/>
            <w:vAlign w:val="center"/>
          </w:tcPr>
          <w:p>
            <w:pPr>
              <w:pStyle w:val="27"/>
              <w:spacing w:line="240" w:lineRule="auto"/>
              <w:ind w:firstLine="420" w:firstLineChars="200"/>
              <w:jc w:val="left"/>
              <w:rPr>
                <w:szCs w:val="21"/>
                <w:highlight w:val="none"/>
              </w:rPr>
            </w:pPr>
            <w:r>
              <w:rPr>
                <w:rFonts w:hint="eastAsia"/>
                <w:szCs w:val="21"/>
                <w:highlight w:val="none"/>
              </w:rPr>
              <w:t>从东莞市公安局</w:t>
            </w:r>
            <w:r>
              <w:rPr>
                <w:rFonts w:hint="eastAsia"/>
                <w:highlight w:val="none"/>
              </w:rPr>
              <w:t>人像</w:t>
            </w:r>
            <w:r>
              <w:rPr>
                <w:rFonts w:hint="eastAsia"/>
                <w:szCs w:val="21"/>
                <w:highlight w:val="none"/>
              </w:rPr>
              <w:t>平台抽取所有联网的</w:t>
            </w:r>
            <w:r>
              <w:rPr>
                <w:rFonts w:hint="eastAsia"/>
                <w:highlight w:val="none"/>
              </w:rPr>
              <w:t>人像</w:t>
            </w:r>
            <w:r>
              <w:rPr>
                <w:rFonts w:hint="eastAsia"/>
                <w:szCs w:val="21"/>
                <w:highlight w:val="none"/>
              </w:rPr>
              <w:t>卡口进行检测，</w:t>
            </w:r>
            <w:r>
              <w:rPr>
                <w:rFonts w:hint="eastAsia"/>
                <w:highlight w:val="none"/>
              </w:rPr>
              <w:t>人像</w:t>
            </w:r>
            <w:r>
              <w:rPr>
                <w:rFonts w:hint="eastAsia"/>
                <w:szCs w:val="21"/>
                <w:highlight w:val="none"/>
              </w:rPr>
              <w:t>卡口24小时内至少抓拍1张</w:t>
            </w:r>
            <w:r>
              <w:rPr>
                <w:rFonts w:hint="eastAsia"/>
                <w:highlight w:val="none"/>
              </w:rPr>
              <w:t>人像</w:t>
            </w:r>
            <w:r>
              <w:rPr>
                <w:rFonts w:hint="eastAsia"/>
                <w:szCs w:val="21"/>
                <w:highlight w:val="none"/>
              </w:rPr>
              <w:t>图片上传至</w:t>
            </w:r>
            <w:r>
              <w:rPr>
                <w:rFonts w:hint="eastAsia"/>
                <w:highlight w:val="none"/>
              </w:rPr>
              <w:t>人像</w:t>
            </w:r>
            <w:r>
              <w:rPr>
                <w:rFonts w:hint="eastAsia"/>
                <w:szCs w:val="21"/>
                <w:highlight w:val="none"/>
              </w:rPr>
              <w:t>库，则判定为在线，否则判定为离线。卡口在线率=联网</w:t>
            </w:r>
            <w:r>
              <w:rPr>
                <w:rFonts w:hint="eastAsia"/>
                <w:highlight w:val="none"/>
              </w:rPr>
              <w:t>人像</w:t>
            </w:r>
            <w:r>
              <w:rPr>
                <w:rFonts w:hint="eastAsia"/>
                <w:szCs w:val="21"/>
                <w:highlight w:val="none"/>
              </w:rPr>
              <w:t>卡口在线数/联网清单卡口总数。</w:t>
            </w:r>
          </w:p>
        </w:tc>
        <w:tc>
          <w:tcPr>
            <w:tcW w:w="1378" w:type="dxa"/>
            <w:vAlign w:val="center"/>
          </w:tcPr>
          <w:p>
            <w:pPr>
              <w:pStyle w:val="27"/>
              <w:spacing w:line="240" w:lineRule="auto"/>
              <w:rPr>
                <w:szCs w:val="21"/>
                <w:highlight w:val="none"/>
              </w:rPr>
            </w:pPr>
            <w:r>
              <w:rPr>
                <w:rFonts w:hint="eastAsia"/>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5</w:t>
            </w:r>
          </w:p>
        </w:tc>
        <w:tc>
          <w:tcPr>
            <w:tcW w:w="1309" w:type="dxa"/>
            <w:vAlign w:val="center"/>
          </w:tcPr>
          <w:p>
            <w:pPr>
              <w:pStyle w:val="27"/>
              <w:spacing w:line="240" w:lineRule="auto"/>
              <w:rPr>
                <w:szCs w:val="21"/>
                <w:highlight w:val="none"/>
              </w:rPr>
            </w:pPr>
            <w:r>
              <w:rPr>
                <w:rFonts w:hint="eastAsia"/>
                <w:szCs w:val="21"/>
                <w:highlight w:val="none"/>
              </w:rPr>
              <w:t>数据及时率（系统）</w:t>
            </w:r>
          </w:p>
        </w:tc>
        <w:tc>
          <w:tcPr>
            <w:tcW w:w="6777" w:type="dxa"/>
            <w:vAlign w:val="center"/>
          </w:tcPr>
          <w:p>
            <w:pPr>
              <w:pStyle w:val="27"/>
              <w:numPr>
                <w:ilvl w:val="0"/>
                <w:numId w:val="11"/>
              </w:numPr>
              <w:spacing w:line="240" w:lineRule="auto"/>
              <w:ind w:firstLine="420" w:firstLineChars="200"/>
              <w:jc w:val="left"/>
              <w:rPr>
                <w:szCs w:val="21"/>
                <w:highlight w:val="none"/>
              </w:rPr>
            </w:pPr>
            <w:r>
              <w:rPr>
                <w:rFonts w:hint="eastAsia"/>
                <w:highlight w:val="none"/>
              </w:rPr>
              <w:t>人像</w:t>
            </w:r>
            <w:r>
              <w:rPr>
                <w:rFonts w:hint="eastAsia"/>
                <w:szCs w:val="21"/>
                <w:highlight w:val="none"/>
              </w:rPr>
              <w:t>采集：对</w:t>
            </w:r>
            <w:r>
              <w:rPr>
                <w:rFonts w:hint="eastAsia"/>
                <w:highlight w:val="none"/>
              </w:rPr>
              <w:t>人像</w:t>
            </w:r>
            <w:r>
              <w:rPr>
                <w:rFonts w:hint="eastAsia"/>
                <w:szCs w:val="21"/>
                <w:highlight w:val="none"/>
              </w:rPr>
              <w:t>卡口上传的所有抓拍数据进行检测，若数据的抓拍时间小于小图公安网入库接收时间且时间30秒以内的，则判定为上传及时，否则判定为上传超时（含因时钟未校准，导致时间差为负数的）。通过抓拍数据的抽查情况推算</w:t>
            </w:r>
            <w:r>
              <w:rPr>
                <w:rFonts w:hint="eastAsia"/>
                <w:highlight w:val="none"/>
              </w:rPr>
              <w:t>人像</w:t>
            </w:r>
            <w:r>
              <w:rPr>
                <w:rFonts w:hint="eastAsia"/>
                <w:szCs w:val="21"/>
                <w:highlight w:val="none"/>
              </w:rPr>
              <w:t>卡口数据上传及时性情况，若</w:t>
            </w:r>
            <w:r>
              <w:rPr>
                <w:rFonts w:hint="eastAsia"/>
                <w:highlight w:val="none"/>
              </w:rPr>
              <w:t>人像</w:t>
            </w:r>
            <w:r>
              <w:rPr>
                <w:rFonts w:hint="eastAsia"/>
                <w:szCs w:val="21"/>
                <w:highlight w:val="none"/>
              </w:rPr>
              <w:t>卡口上传的数据中有超过90%（不含等于）的数据是及时的，则判定</w:t>
            </w:r>
            <w:r>
              <w:rPr>
                <w:rFonts w:hint="eastAsia"/>
                <w:highlight w:val="none"/>
              </w:rPr>
              <w:t>人像</w:t>
            </w:r>
            <w:r>
              <w:rPr>
                <w:rFonts w:hint="eastAsia"/>
                <w:szCs w:val="21"/>
                <w:highlight w:val="none"/>
              </w:rPr>
              <w:t>卡口上传及时。数据上传及时率=上传及时的</w:t>
            </w:r>
            <w:r>
              <w:rPr>
                <w:rFonts w:hint="eastAsia"/>
                <w:highlight w:val="none"/>
              </w:rPr>
              <w:t>人像</w:t>
            </w:r>
            <w:r>
              <w:rPr>
                <w:rFonts w:hint="eastAsia"/>
                <w:szCs w:val="21"/>
                <w:highlight w:val="none"/>
              </w:rPr>
              <w:t>卡口数量/所有在线</w:t>
            </w:r>
            <w:r>
              <w:rPr>
                <w:rFonts w:hint="eastAsia"/>
                <w:highlight w:val="none"/>
              </w:rPr>
              <w:t>人像</w:t>
            </w:r>
            <w:r>
              <w:rPr>
                <w:rFonts w:hint="eastAsia"/>
                <w:szCs w:val="21"/>
                <w:highlight w:val="none"/>
              </w:rPr>
              <w:t>卡口数量。</w:t>
            </w:r>
          </w:p>
          <w:p>
            <w:pPr>
              <w:pStyle w:val="27"/>
              <w:numPr>
                <w:ilvl w:val="0"/>
                <w:numId w:val="11"/>
              </w:numPr>
              <w:spacing w:line="240" w:lineRule="auto"/>
              <w:ind w:firstLine="420" w:firstLineChars="200"/>
              <w:jc w:val="left"/>
              <w:rPr>
                <w:szCs w:val="21"/>
                <w:highlight w:val="none"/>
              </w:rPr>
            </w:pPr>
            <w:r>
              <w:rPr>
                <w:rFonts w:hint="eastAsia"/>
                <w:szCs w:val="21"/>
                <w:highlight w:val="none"/>
              </w:rPr>
              <w:t>车辆卡口：数据上传及时率=上传及时的车辆卡口数/在线的车辆卡口数</w:t>
            </w:r>
          </w:p>
        </w:tc>
        <w:tc>
          <w:tcPr>
            <w:tcW w:w="1378" w:type="dxa"/>
            <w:vAlign w:val="center"/>
          </w:tcPr>
          <w:p>
            <w:pPr>
              <w:pStyle w:val="27"/>
              <w:spacing w:line="240" w:lineRule="auto"/>
              <w:rPr>
                <w:szCs w:val="21"/>
                <w:highlight w:val="none"/>
              </w:rPr>
            </w:pPr>
            <w:r>
              <w:rPr>
                <w:rFonts w:hint="eastAsia"/>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6</w:t>
            </w:r>
          </w:p>
        </w:tc>
        <w:tc>
          <w:tcPr>
            <w:tcW w:w="1309" w:type="dxa"/>
            <w:vAlign w:val="center"/>
          </w:tcPr>
          <w:p>
            <w:pPr>
              <w:pStyle w:val="27"/>
              <w:spacing w:line="240" w:lineRule="auto"/>
              <w:rPr>
                <w:szCs w:val="21"/>
                <w:highlight w:val="none"/>
              </w:rPr>
            </w:pPr>
            <w:r>
              <w:rPr>
                <w:rFonts w:hint="eastAsia"/>
                <w:szCs w:val="21"/>
                <w:highlight w:val="none"/>
              </w:rPr>
              <w:t>识别率准确率（抽查）</w:t>
            </w:r>
          </w:p>
        </w:tc>
        <w:tc>
          <w:tcPr>
            <w:tcW w:w="6777" w:type="dxa"/>
            <w:vAlign w:val="center"/>
          </w:tcPr>
          <w:p>
            <w:pPr>
              <w:pStyle w:val="27"/>
              <w:numPr>
                <w:ilvl w:val="0"/>
                <w:numId w:val="12"/>
              </w:numPr>
              <w:spacing w:line="240" w:lineRule="auto"/>
              <w:ind w:firstLine="420" w:firstLineChars="200"/>
              <w:jc w:val="left"/>
              <w:rPr>
                <w:szCs w:val="21"/>
                <w:highlight w:val="none"/>
              </w:rPr>
            </w:pPr>
            <w:r>
              <w:rPr>
                <w:rFonts w:hint="eastAsia"/>
                <w:highlight w:val="none"/>
              </w:rPr>
              <w:t>人像</w:t>
            </w:r>
            <w:r>
              <w:rPr>
                <w:rFonts w:hint="eastAsia"/>
                <w:szCs w:val="21"/>
                <w:highlight w:val="none"/>
              </w:rPr>
              <w:t>采集：在视综平台对前端抓拍的小图随机抽取一定数量进行检测，检查标准为判断抓拍小图是否为清晰的</w:t>
            </w:r>
            <w:r>
              <w:rPr>
                <w:rFonts w:hint="eastAsia"/>
                <w:highlight w:val="none"/>
              </w:rPr>
              <w:t>人像</w:t>
            </w:r>
            <w:r>
              <w:rPr>
                <w:rFonts w:hint="eastAsia"/>
                <w:szCs w:val="21"/>
                <w:highlight w:val="none"/>
              </w:rPr>
              <w:t>。抓拍小图</w:t>
            </w:r>
            <w:r>
              <w:rPr>
                <w:rFonts w:hint="eastAsia"/>
                <w:highlight w:val="none"/>
              </w:rPr>
              <w:t>人像</w:t>
            </w:r>
            <w:r>
              <w:rPr>
                <w:rFonts w:hint="eastAsia"/>
                <w:szCs w:val="21"/>
                <w:highlight w:val="none"/>
              </w:rPr>
              <w:t>可清晰辨认五官（包括带口罩、帽子、墨镜等）的判定为合格，地面、轮胎、动物、后脑勺等非</w:t>
            </w:r>
            <w:r>
              <w:rPr>
                <w:rFonts w:hint="eastAsia"/>
                <w:highlight w:val="none"/>
              </w:rPr>
              <w:t>人像</w:t>
            </w:r>
            <w:r>
              <w:rPr>
                <w:rFonts w:hint="eastAsia"/>
                <w:szCs w:val="21"/>
                <w:highlight w:val="none"/>
              </w:rPr>
              <w:t>和图片模糊或像素过低、曝光过度或光线过暗等无法辨认</w:t>
            </w:r>
            <w:r>
              <w:rPr>
                <w:rFonts w:hint="eastAsia"/>
                <w:highlight w:val="none"/>
              </w:rPr>
              <w:t>人像</w:t>
            </w:r>
            <w:r>
              <w:rPr>
                <w:rFonts w:hint="eastAsia"/>
                <w:szCs w:val="21"/>
                <w:highlight w:val="none"/>
              </w:rPr>
              <w:t>五官的判定为不及格，半张脸、海报广告</w:t>
            </w:r>
            <w:r>
              <w:rPr>
                <w:rFonts w:hint="eastAsia"/>
                <w:highlight w:val="none"/>
              </w:rPr>
              <w:t>人像</w:t>
            </w:r>
            <w:r>
              <w:rPr>
                <w:rFonts w:hint="eastAsia"/>
                <w:szCs w:val="21"/>
                <w:highlight w:val="none"/>
              </w:rPr>
              <w:t>等判定为基本合格。识别准确率=（识别合格总数+识别基本合格总数×0.6）/抽查总数（需抽查白天和晚上时段）</w:t>
            </w:r>
          </w:p>
          <w:p>
            <w:pPr>
              <w:pStyle w:val="27"/>
              <w:numPr>
                <w:ilvl w:val="0"/>
                <w:numId w:val="12"/>
              </w:numPr>
              <w:spacing w:line="240" w:lineRule="auto"/>
              <w:ind w:firstLine="420" w:firstLineChars="200"/>
              <w:jc w:val="left"/>
              <w:rPr>
                <w:szCs w:val="21"/>
                <w:highlight w:val="none"/>
              </w:rPr>
            </w:pPr>
            <w:r>
              <w:rPr>
                <w:rFonts w:hint="eastAsia"/>
                <w:szCs w:val="21"/>
                <w:highlight w:val="none"/>
              </w:rPr>
              <w:t>车牌识别：车辆识别准确率=车辆识别准确率的卡口数量/在线的车辆卡口数</w:t>
            </w:r>
          </w:p>
        </w:tc>
        <w:tc>
          <w:tcPr>
            <w:tcW w:w="1378" w:type="dxa"/>
            <w:vAlign w:val="center"/>
          </w:tcPr>
          <w:p>
            <w:pPr>
              <w:pStyle w:val="27"/>
              <w:spacing w:line="240" w:lineRule="auto"/>
              <w:rPr>
                <w:szCs w:val="21"/>
                <w:highlight w:val="none"/>
              </w:rPr>
            </w:pPr>
            <w:r>
              <w:rPr>
                <w:rFonts w:hint="eastAsia"/>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7</w:t>
            </w:r>
          </w:p>
        </w:tc>
        <w:tc>
          <w:tcPr>
            <w:tcW w:w="1309" w:type="dxa"/>
            <w:vAlign w:val="center"/>
          </w:tcPr>
          <w:p>
            <w:pPr>
              <w:pStyle w:val="27"/>
              <w:spacing w:line="240" w:lineRule="auto"/>
              <w:rPr>
                <w:szCs w:val="21"/>
                <w:highlight w:val="none"/>
              </w:rPr>
            </w:pPr>
            <w:r>
              <w:rPr>
                <w:rFonts w:hint="eastAsia"/>
                <w:szCs w:val="21"/>
                <w:highlight w:val="none"/>
              </w:rPr>
              <w:t>视频实时可用率</w:t>
            </w:r>
          </w:p>
        </w:tc>
        <w:tc>
          <w:tcPr>
            <w:tcW w:w="6777" w:type="dxa"/>
            <w:vAlign w:val="center"/>
          </w:tcPr>
          <w:p>
            <w:pPr>
              <w:pStyle w:val="27"/>
              <w:spacing w:line="240" w:lineRule="auto"/>
              <w:ind w:firstLine="420" w:firstLineChars="200"/>
              <w:jc w:val="left"/>
              <w:rPr>
                <w:szCs w:val="21"/>
                <w:highlight w:val="none"/>
              </w:rPr>
            </w:pPr>
            <w:r>
              <w:rPr>
                <w:rFonts w:hint="eastAsia"/>
                <w:szCs w:val="21"/>
                <w:highlight w:val="none"/>
              </w:rPr>
              <w:t>1.下级在8s内发流</w:t>
            </w:r>
          </w:p>
          <w:p>
            <w:pPr>
              <w:pStyle w:val="27"/>
              <w:spacing w:line="240" w:lineRule="auto"/>
              <w:ind w:firstLine="420" w:firstLineChars="200"/>
              <w:jc w:val="left"/>
              <w:rPr>
                <w:szCs w:val="21"/>
                <w:highlight w:val="none"/>
              </w:rPr>
            </w:pPr>
            <w:r>
              <w:rPr>
                <w:rFonts w:hint="eastAsia"/>
                <w:szCs w:val="21"/>
                <w:highlight w:val="none"/>
              </w:rPr>
              <w:t>2.上级收到的码流符合国标规范并且可以正常解码。</w:t>
            </w:r>
          </w:p>
          <w:p>
            <w:pPr>
              <w:pStyle w:val="27"/>
              <w:spacing w:line="240" w:lineRule="auto"/>
              <w:ind w:firstLine="420" w:firstLineChars="200"/>
              <w:jc w:val="left"/>
              <w:rPr>
                <w:szCs w:val="21"/>
                <w:highlight w:val="none"/>
              </w:rPr>
            </w:pPr>
            <w:r>
              <w:rPr>
                <w:rFonts w:hint="eastAsia"/>
                <w:szCs w:val="21"/>
                <w:highlight w:val="none"/>
              </w:rPr>
              <w:t>3.上级收到的流正常解码后帧数大于20帧。</w:t>
            </w:r>
          </w:p>
        </w:tc>
        <w:tc>
          <w:tcPr>
            <w:tcW w:w="1378" w:type="dxa"/>
            <w:vAlign w:val="center"/>
          </w:tcPr>
          <w:p>
            <w:pPr>
              <w:pStyle w:val="27"/>
              <w:spacing w:line="240" w:lineRule="auto"/>
              <w:rPr>
                <w:szCs w:val="21"/>
                <w:highlight w:val="none"/>
              </w:rPr>
            </w:pPr>
            <w:r>
              <w:rPr>
                <w:rFonts w:hint="eastAsia"/>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8</w:t>
            </w:r>
          </w:p>
        </w:tc>
        <w:tc>
          <w:tcPr>
            <w:tcW w:w="1309" w:type="dxa"/>
            <w:vAlign w:val="center"/>
          </w:tcPr>
          <w:p>
            <w:pPr>
              <w:pStyle w:val="27"/>
              <w:spacing w:line="240" w:lineRule="auto"/>
              <w:rPr>
                <w:szCs w:val="21"/>
                <w:highlight w:val="none"/>
              </w:rPr>
            </w:pPr>
            <w:r>
              <w:rPr>
                <w:rFonts w:hint="eastAsia"/>
                <w:szCs w:val="21"/>
                <w:highlight w:val="none"/>
              </w:rPr>
              <w:t>视频录像</w:t>
            </w:r>
          </w:p>
        </w:tc>
        <w:tc>
          <w:tcPr>
            <w:tcW w:w="6777" w:type="dxa"/>
            <w:vAlign w:val="center"/>
          </w:tcPr>
          <w:p>
            <w:pPr>
              <w:pStyle w:val="27"/>
              <w:spacing w:line="240" w:lineRule="auto"/>
              <w:ind w:firstLine="420" w:firstLineChars="200"/>
              <w:jc w:val="left"/>
              <w:rPr>
                <w:szCs w:val="21"/>
                <w:highlight w:val="none"/>
              </w:rPr>
            </w:pPr>
            <w:r>
              <w:rPr>
                <w:rFonts w:hint="eastAsia"/>
                <w:szCs w:val="21"/>
                <w:highlight w:val="none"/>
              </w:rPr>
              <w:t>1.在指定时间内可以查询到录像片段。</w:t>
            </w:r>
          </w:p>
          <w:p>
            <w:pPr>
              <w:pStyle w:val="27"/>
              <w:spacing w:line="240" w:lineRule="auto"/>
              <w:ind w:firstLine="420" w:firstLineChars="200"/>
              <w:jc w:val="left"/>
              <w:rPr>
                <w:szCs w:val="21"/>
                <w:highlight w:val="none"/>
              </w:rPr>
            </w:pPr>
            <w:r>
              <w:rPr>
                <w:rFonts w:hint="eastAsia"/>
                <w:szCs w:val="21"/>
                <w:highlight w:val="none"/>
              </w:rPr>
              <w:t>2.下级在15s内发流。</w:t>
            </w:r>
          </w:p>
          <w:p>
            <w:pPr>
              <w:pStyle w:val="27"/>
              <w:spacing w:line="240" w:lineRule="auto"/>
              <w:ind w:firstLine="420" w:firstLineChars="200"/>
              <w:jc w:val="left"/>
              <w:rPr>
                <w:szCs w:val="21"/>
                <w:highlight w:val="none"/>
              </w:rPr>
            </w:pPr>
            <w:r>
              <w:rPr>
                <w:rFonts w:hint="eastAsia"/>
                <w:szCs w:val="21"/>
                <w:highlight w:val="none"/>
              </w:rPr>
              <w:t>3.上级收到的码流符合国标规范，并且可以正常解码。</w:t>
            </w:r>
          </w:p>
          <w:p>
            <w:pPr>
              <w:pStyle w:val="27"/>
              <w:spacing w:line="240" w:lineRule="auto"/>
              <w:ind w:firstLine="420" w:firstLineChars="200"/>
              <w:jc w:val="left"/>
              <w:rPr>
                <w:szCs w:val="21"/>
                <w:highlight w:val="none"/>
              </w:rPr>
            </w:pPr>
            <w:r>
              <w:rPr>
                <w:rFonts w:hint="eastAsia"/>
                <w:szCs w:val="21"/>
                <w:highlight w:val="none"/>
              </w:rPr>
              <w:t>4.上级收到的流正常解码后帧数大于20帧。</w:t>
            </w:r>
          </w:p>
        </w:tc>
        <w:tc>
          <w:tcPr>
            <w:tcW w:w="1378" w:type="dxa"/>
            <w:vAlign w:val="center"/>
          </w:tcPr>
          <w:p>
            <w:pPr>
              <w:pStyle w:val="27"/>
              <w:spacing w:line="240" w:lineRule="auto"/>
              <w:rPr>
                <w:szCs w:val="21"/>
                <w:highlight w:val="none"/>
              </w:rPr>
            </w:pPr>
            <w:r>
              <w:rPr>
                <w:rFonts w:hint="eastAsia"/>
                <w:szCs w:val="21"/>
                <w:highlight w:val="none"/>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16" w:type="dxa"/>
            <w:vAlign w:val="center"/>
          </w:tcPr>
          <w:p>
            <w:pPr>
              <w:pStyle w:val="27"/>
              <w:spacing w:line="240" w:lineRule="auto"/>
              <w:rPr>
                <w:szCs w:val="21"/>
                <w:highlight w:val="none"/>
              </w:rPr>
            </w:pPr>
            <w:r>
              <w:rPr>
                <w:rFonts w:hint="eastAsia"/>
                <w:szCs w:val="21"/>
                <w:highlight w:val="none"/>
              </w:rPr>
              <w:t>9</w:t>
            </w:r>
          </w:p>
        </w:tc>
        <w:tc>
          <w:tcPr>
            <w:tcW w:w="1309" w:type="dxa"/>
            <w:vAlign w:val="center"/>
          </w:tcPr>
          <w:p>
            <w:pPr>
              <w:pStyle w:val="27"/>
              <w:spacing w:line="240" w:lineRule="auto"/>
              <w:rPr>
                <w:szCs w:val="21"/>
                <w:highlight w:val="none"/>
              </w:rPr>
            </w:pPr>
            <w:r>
              <w:rPr>
                <w:rFonts w:hint="eastAsia"/>
                <w:szCs w:val="21"/>
                <w:highlight w:val="none"/>
              </w:rPr>
              <w:t>数据唯一率</w:t>
            </w:r>
          </w:p>
        </w:tc>
        <w:tc>
          <w:tcPr>
            <w:tcW w:w="6777" w:type="dxa"/>
            <w:vAlign w:val="center"/>
          </w:tcPr>
          <w:p>
            <w:pPr>
              <w:pStyle w:val="27"/>
              <w:spacing w:line="240" w:lineRule="auto"/>
              <w:ind w:firstLine="420" w:firstLineChars="200"/>
              <w:jc w:val="left"/>
              <w:rPr>
                <w:szCs w:val="21"/>
                <w:highlight w:val="none"/>
              </w:rPr>
            </w:pPr>
            <w:r>
              <w:rPr>
                <w:rFonts w:hint="eastAsia"/>
                <w:szCs w:val="21"/>
                <w:highlight w:val="none"/>
              </w:rPr>
              <w:t>检测视图库各公安分局所有车辆卡口上传的抓拍数据是否唯一：对车辆卡口上传的抓拍数据进行全量检测。如果某两条(或以上)抓拍数据的重点业务属性数据项(不含设备属性字段)完全一致，则判定该两条数据为不唯一数据。</w:t>
            </w:r>
          </w:p>
        </w:tc>
        <w:tc>
          <w:tcPr>
            <w:tcW w:w="1378" w:type="dxa"/>
            <w:vAlign w:val="center"/>
          </w:tcPr>
          <w:p>
            <w:pPr>
              <w:pStyle w:val="27"/>
              <w:spacing w:line="240" w:lineRule="auto"/>
              <w:rPr>
                <w:szCs w:val="21"/>
                <w:highlight w:val="none"/>
              </w:rPr>
            </w:pPr>
            <w:r>
              <w:rPr>
                <w:rFonts w:hint="eastAsia"/>
                <w:szCs w:val="21"/>
                <w:highlight w:val="none"/>
              </w:rPr>
              <w:t>≥98%</w:t>
            </w:r>
          </w:p>
        </w:tc>
      </w:tr>
    </w:tbl>
    <w:p>
      <w:pPr>
        <w:ind w:firstLine="480"/>
        <w:rPr>
          <w:highlight w:val="none"/>
        </w:rPr>
      </w:pPr>
      <w:r>
        <w:rPr>
          <w:rFonts w:hint="eastAsia"/>
          <w:highlight w:val="none"/>
        </w:rPr>
        <w:t>备注：具体考核指标，以当年东莞市公安局下发的考核要求为准。</w:t>
      </w:r>
    </w:p>
    <w:p>
      <w:pPr>
        <w:ind w:firstLine="480"/>
        <w:rPr>
          <w:highlight w:val="none"/>
        </w:rPr>
      </w:pPr>
      <w:r>
        <w:rPr>
          <w:rFonts w:hint="eastAsia"/>
          <w:highlight w:val="none"/>
        </w:rPr>
        <w:t>3、</w:t>
      </w:r>
      <w:r>
        <w:rPr>
          <w:highlight w:val="none"/>
        </w:rPr>
        <w:t>在</w:t>
      </w:r>
      <w:r>
        <w:rPr>
          <w:rFonts w:hint="eastAsia"/>
          <w:highlight w:val="none"/>
        </w:rPr>
        <w:t>质保期内，中标人负责整个项目的运维，中标人需提供7*24小时</w:t>
      </w:r>
      <w:r>
        <w:rPr>
          <w:highlight w:val="none"/>
        </w:rPr>
        <w:t>售后</w:t>
      </w:r>
      <w:r>
        <w:rPr>
          <w:rFonts w:hint="eastAsia"/>
          <w:highlight w:val="none"/>
        </w:rPr>
        <w:t>服务热线</w:t>
      </w:r>
      <w:r>
        <w:rPr>
          <w:highlight w:val="none"/>
        </w:rPr>
        <w:t>电话，中标人接到采购人的</w:t>
      </w:r>
      <w:r>
        <w:rPr>
          <w:rFonts w:hint="eastAsia"/>
          <w:highlight w:val="none"/>
        </w:rPr>
        <w:t>故</w:t>
      </w:r>
      <w:r>
        <w:rPr>
          <w:highlight w:val="none"/>
        </w:rPr>
        <w:t>（报）</w:t>
      </w:r>
      <w:r>
        <w:rPr>
          <w:rFonts w:hint="eastAsia"/>
          <w:highlight w:val="none"/>
        </w:rPr>
        <w:t>障通知</w:t>
      </w:r>
      <w:r>
        <w:rPr>
          <w:highlight w:val="none"/>
        </w:rPr>
        <w:t>后，须按以下分类等级，在对应时限内完成修复：</w:t>
      </w:r>
    </w:p>
    <w:p>
      <w:pPr>
        <w:ind w:firstLine="480"/>
        <w:rPr>
          <w:highlight w:val="none"/>
        </w:rPr>
      </w:pPr>
      <w:r>
        <w:rPr>
          <w:highlight w:val="none"/>
        </w:rPr>
        <w:t>第一级：常规故障。中标人采用更换零配件的方式维修后可保证现场设备正常运行的，须保证</w:t>
      </w:r>
      <w:r>
        <w:rPr>
          <w:rFonts w:hint="eastAsia"/>
          <w:highlight w:val="none"/>
        </w:rPr>
        <w:t>在接到故</w:t>
      </w:r>
      <w:r>
        <w:rPr>
          <w:highlight w:val="none"/>
        </w:rPr>
        <w:t>（报）</w:t>
      </w:r>
      <w:r>
        <w:rPr>
          <w:rFonts w:hint="eastAsia"/>
          <w:highlight w:val="none"/>
        </w:rPr>
        <w:t>障通知后30分钟内响应，2小时内赶到现场处理故障，</w:t>
      </w:r>
      <w:r>
        <w:rPr>
          <w:highlight w:val="none"/>
        </w:rPr>
        <w:t>4小时内</w:t>
      </w:r>
      <w:r>
        <w:rPr>
          <w:rFonts w:hint="eastAsia"/>
          <w:highlight w:val="none"/>
        </w:rPr>
        <w:t>恢复正常</w:t>
      </w:r>
      <w:r>
        <w:rPr>
          <w:highlight w:val="none"/>
        </w:rPr>
        <w:t>；如属夜间故障则需在次日中午12点前排除故障</w:t>
      </w:r>
      <w:r>
        <w:rPr>
          <w:rFonts w:hint="eastAsia"/>
          <w:highlight w:val="none"/>
        </w:rPr>
        <w:t>，如硬件无法在24小时内修复完毕的，需提供不低于故障设备规格型号档次的备用设备给采购人使用</w:t>
      </w:r>
      <w:r>
        <w:rPr>
          <w:highlight w:val="none"/>
        </w:rPr>
        <w:t>；</w:t>
      </w:r>
      <w:r>
        <w:rPr>
          <w:rFonts w:hint="eastAsia"/>
          <w:highlight w:val="none"/>
        </w:rPr>
        <w:t>如中标人在规定时间内无法解决故障问题</w:t>
      </w:r>
      <w:r>
        <w:rPr>
          <w:highlight w:val="none"/>
        </w:rPr>
        <w:t>且</w:t>
      </w:r>
      <w:r>
        <w:rPr>
          <w:rFonts w:hint="eastAsia"/>
          <w:highlight w:val="none"/>
        </w:rPr>
        <w:t>无正当理由的，采购人可邀请第三方专业公司进行维修，所需费用由中标人承担。</w:t>
      </w:r>
    </w:p>
    <w:p>
      <w:pPr>
        <w:ind w:firstLine="480"/>
        <w:rPr>
          <w:highlight w:val="none"/>
        </w:rPr>
      </w:pPr>
      <w:r>
        <w:rPr>
          <w:highlight w:val="none"/>
        </w:rPr>
        <w:t>第二级：线路、取电等涉及线路</w:t>
      </w:r>
      <w:r>
        <w:rPr>
          <w:rFonts w:hint="eastAsia"/>
          <w:highlight w:val="none"/>
        </w:rPr>
        <w:t>的</w:t>
      </w:r>
      <w:r>
        <w:rPr>
          <w:highlight w:val="none"/>
        </w:rPr>
        <w:t>故障。经中标人与报障人员确认故障信息后，需在48小时内完成修复；因视频点位围蔽施工、道路改造等原因导致无法修复的，中标人需提供故障原因、无法修复原因及至少三张现场图片，并汇总上报采购人；同时，中标人须及时关注受围蔽施工、道路改造的视频点位施工的进展情况，并与相关施工单位的负责人保持联系，协调施工单位尽快修复故障</w:t>
      </w:r>
      <w:r>
        <w:rPr>
          <w:rFonts w:hint="eastAsia"/>
          <w:highlight w:val="none"/>
        </w:rPr>
        <w:t>。</w:t>
      </w:r>
    </w:p>
    <w:p>
      <w:pPr>
        <w:ind w:firstLine="480"/>
        <w:rPr>
          <w:highlight w:val="none"/>
        </w:rPr>
      </w:pPr>
      <w:r>
        <w:rPr>
          <w:highlight w:val="none"/>
        </w:rPr>
        <w:t>第三级：基础、地下管道施工等需要报批修复的故障。经中标人与报障人员确认，具备恢复条件并取得审批许可后，需在7天内修复故障，如果修复涉及必须消耗的时间（如倒基础必须等水泥干后才能下一步施工等情况），可根据实际情况适当延长修复时间，但中标人必须提供恢复进度报告等书面说明情况；同时需提供故障原因、无法修复原因及现场图片至少三张。</w:t>
      </w:r>
    </w:p>
    <w:p>
      <w:pPr>
        <w:ind w:firstLine="480"/>
        <w:rPr>
          <w:highlight w:val="none"/>
        </w:rPr>
      </w:pPr>
      <w:r>
        <w:rPr>
          <w:rFonts w:hint="eastAsia"/>
          <w:highlight w:val="none"/>
        </w:rPr>
        <w:t>第四级：遇紧急安全情况（交通事故损坏、设备掉落等造成现场存在其他安全隐患的情况），施工单位接电话通知后，必须按上述时间要求到达现场处置，3小时内消除安全隐患，可以根据具体情况延长修复时间，但</w:t>
      </w:r>
      <w:r>
        <w:rPr>
          <w:rFonts w:hint="eastAsia"/>
          <w:highlight w:val="none"/>
          <w:lang w:val="en-US" w:eastAsia="zh-CN"/>
        </w:rPr>
        <w:t>中标人</w:t>
      </w:r>
      <w:r>
        <w:rPr>
          <w:rFonts w:hint="eastAsia"/>
          <w:highlight w:val="none"/>
        </w:rPr>
        <w:t>必须提供施工的进度报告说明情况。</w:t>
      </w:r>
    </w:p>
    <w:p>
      <w:pPr>
        <w:ind w:firstLine="480"/>
        <w:rPr>
          <w:highlight w:val="none"/>
        </w:rPr>
      </w:pPr>
      <w:r>
        <w:rPr>
          <w:rFonts w:hint="eastAsia"/>
          <w:highlight w:val="none"/>
        </w:rPr>
        <w:t>4、中标人须为采购人每年至少</w:t>
      </w:r>
      <w:r>
        <w:rPr>
          <w:highlight w:val="none"/>
        </w:rPr>
        <w:t>提供</w:t>
      </w:r>
      <w:r>
        <w:rPr>
          <w:rFonts w:hint="eastAsia"/>
          <w:highlight w:val="none"/>
        </w:rPr>
        <w:t>2次</w:t>
      </w:r>
      <w:r>
        <w:rPr>
          <w:highlight w:val="none"/>
        </w:rPr>
        <w:t>操作及维护的</w:t>
      </w:r>
      <w:r>
        <w:rPr>
          <w:rFonts w:hint="eastAsia"/>
          <w:highlight w:val="none"/>
        </w:rPr>
        <w:t>培训</w:t>
      </w:r>
      <w:r>
        <w:rPr>
          <w:highlight w:val="none"/>
        </w:rPr>
        <w:t>服务</w:t>
      </w:r>
      <w:r>
        <w:rPr>
          <w:rFonts w:hint="eastAsia"/>
          <w:highlight w:val="none"/>
        </w:rPr>
        <w:t>，具体培训时间、人员名单、培训方式等根据实际情况由双方协商</w:t>
      </w:r>
      <w:r>
        <w:rPr>
          <w:highlight w:val="none"/>
        </w:rPr>
        <w:t>。</w:t>
      </w:r>
      <w:r>
        <w:rPr>
          <w:rFonts w:hint="eastAsia"/>
          <w:highlight w:val="none"/>
        </w:rPr>
        <w:t>培训主要内容为设备的基本结构、性能、主要部件的构造及原理，日常使用操作、保养与管理，常见故障的排除，紧急情况的处理等。</w:t>
      </w:r>
    </w:p>
    <w:p>
      <w:pPr>
        <w:ind w:firstLine="480"/>
        <w:rPr>
          <w:highlight w:val="none"/>
        </w:rPr>
      </w:pPr>
      <w:r>
        <w:rPr>
          <w:rFonts w:hint="eastAsia"/>
          <w:highlight w:val="none"/>
        </w:rPr>
        <w:t>5、</w:t>
      </w:r>
      <w:r>
        <w:rPr>
          <w:highlight w:val="none"/>
        </w:rPr>
        <w:t>若</w:t>
      </w:r>
      <w:r>
        <w:rPr>
          <w:rFonts w:hint="eastAsia"/>
          <w:highlight w:val="none"/>
        </w:rPr>
        <w:t>同一设备在一个月内发生3次以上的同类故障，中标人须更换新的设备及无法利旧的配套设施。</w:t>
      </w:r>
    </w:p>
    <w:p>
      <w:pPr>
        <w:ind w:firstLine="480"/>
        <w:rPr>
          <w:highlight w:val="none"/>
        </w:rPr>
      </w:pPr>
      <w:r>
        <w:rPr>
          <w:rFonts w:hint="eastAsia"/>
          <w:highlight w:val="none"/>
        </w:rPr>
        <w:t>6、监控点位的电源被停用</w:t>
      </w:r>
      <w:r>
        <w:rPr>
          <w:highlight w:val="none"/>
        </w:rPr>
        <w:t>、切断或位置变更</w:t>
      </w:r>
      <w:r>
        <w:rPr>
          <w:rFonts w:hint="eastAsia"/>
          <w:highlight w:val="none"/>
        </w:rPr>
        <w:t>的，中标人须在</w:t>
      </w:r>
      <w:r>
        <w:rPr>
          <w:highlight w:val="none"/>
        </w:rPr>
        <w:t>7天内</w:t>
      </w:r>
      <w:r>
        <w:rPr>
          <w:rFonts w:hint="eastAsia"/>
          <w:highlight w:val="none"/>
        </w:rPr>
        <w:t>恢复通电，过程中产生的费用由中标人负责。</w:t>
      </w:r>
    </w:p>
    <w:p>
      <w:pPr>
        <w:ind w:firstLine="480"/>
        <w:rPr>
          <w:highlight w:val="none"/>
        </w:rPr>
      </w:pPr>
      <w:r>
        <w:rPr>
          <w:rFonts w:hint="eastAsia"/>
          <w:highlight w:val="none"/>
        </w:rPr>
        <w:t>7、</w:t>
      </w:r>
      <w:r>
        <w:rPr>
          <w:highlight w:val="none"/>
        </w:rPr>
        <w:t>在</w:t>
      </w:r>
      <w:r>
        <w:rPr>
          <w:rFonts w:hint="eastAsia"/>
          <w:highlight w:val="none"/>
        </w:rPr>
        <w:t>质保期</w:t>
      </w:r>
      <w:r>
        <w:rPr>
          <w:highlight w:val="none"/>
        </w:rPr>
        <w:t>内</w:t>
      </w:r>
      <w:r>
        <w:rPr>
          <w:rFonts w:hint="eastAsia"/>
          <w:highlight w:val="none"/>
        </w:rPr>
        <w:t>，中标人须每</w:t>
      </w:r>
      <w:r>
        <w:rPr>
          <w:highlight w:val="none"/>
        </w:rPr>
        <w:t>季度</w:t>
      </w:r>
      <w:r>
        <w:rPr>
          <w:rFonts w:hint="eastAsia"/>
          <w:highlight w:val="none"/>
        </w:rPr>
        <w:t>至少对所有设备进行一次巡检，并出具书面巡检报告。巡检范围包括查看基础设施（基础、立杆、机箱等）、设备有无遭到损坏（被车磕、撞、碰、绊等）和人为破坏（被撬、砸、拆、偷）及</w:t>
      </w:r>
      <w:r>
        <w:rPr>
          <w:highlight w:val="none"/>
        </w:rPr>
        <w:t>检查</w:t>
      </w:r>
      <w:r>
        <w:rPr>
          <w:rFonts w:hint="eastAsia"/>
          <w:highlight w:val="none"/>
        </w:rPr>
        <w:t>是否完整、整洁</w:t>
      </w:r>
      <w:r>
        <w:rPr>
          <w:highlight w:val="none"/>
        </w:rPr>
        <w:t>等情况</w:t>
      </w:r>
      <w:r>
        <w:rPr>
          <w:rFonts w:hint="eastAsia"/>
          <w:highlight w:val="none"/>
        </w:rPr>
        <w:t>，做好巡检记录。具体内容：</w:t>
      </w:r>
    </w:p>
    <w:p>
      <w:pPr>
        <w:ind w:firstLine="480"/>
        <w:rPr>
          <w:highlight w:val="none"/>
        </w:rPr>
      </w:pPr>
      <w:r>
        <w:rPr>
          <w:rFonts w:hint="eastAsia"/>
          <w:highlight w:val="none"/>
        </w:rPr>
        <w:t>（1）监控杆安装牢固、垂直，坚固件无松动，垂直安装的倾斜不得超过杆体长度1%。监控杆、信号箱清洁干净，无污染、无生锈变形，机械强度满足要求；</w:t>
      </w:r>
    </w:p>
    <w:p>
      <w:pPr>
        <w:ind w:firstLine="480"/>
        <w:rPr>
          <w:highlight w:val="none"/>
        </w:rPr>
      </w:pPr>
      <w:r>
        <w:rPr>
          <w:rFonts w:hint="eastAsia"/>
          <w:highlight w:val="none"/>
        </w:rPr>
        <w:t>（2）对被盗窃、线路断线、老化、绝缘不符合要求的电缆，中标人应免费予以更换；</w:t>
      </w:r>
    </w:p>
    <w:p>
      <w:pPr>
        <w:ind w:firstLine="480"/>
        <w:rPr>
          <w:highlight w:val="none"/>
        </w:rPr>
      </w:pPr>
      <w:r>
        <w:rPr>
          <w:rFonts w:hint="eastAsia"/>
          <w:highlight w:val="none"/>
        </w:rPr>
        <w:t>（3）监控画面有树林或其他障碍物遮挡视线时，应马上组织人员进行修剪，对涉及万江街道其他职能部门（如城建等部门）职责范围内的，需上报采购人，由采购人协调相关部门后进行清理。</w:t>
      </w:r>
    </w:p>
    <w:p>
      <w:pPr>
        <w:ind w:firstLine="480"/>
        <w:rPr>
          <w:highlight w:val="none"/>
        </w:rPr>
      </w:pPr>
      <w:r>
        <w:rPr>
          <w:rFonts w:hint="eastAsia"/>
          <w:highlight w:val="none"/>
        </w:rPr>
        <w:t>8、</w:t>
      </w:r>
      <w:r>
        <w:rPr>
          <w:highlight w:val="none"/>
        </w:rPr>
        <w:t>在</w:t>
      </w:r>
      <w:r>
        <w:rPr>
          <w:rFonts w:hint="eastAsia"/>
          <w:highlight w:val="none"/>
        </w:rPr>
        <w:t>质保期内</w:t>
      </w:r>
      <w:r>
        <w:rPr>
          <w:highlight w:val="none"/>
        </w:rPr>
        <w:t>，</w:t>
      </w:r>
      <w:r>
        <w:rPr>
          <w:rFonts w:hint="eastAsia"/>
          <w:highlight w:val="none"/>
        </w:rPr>
        <w:t>如因第三方原因导致前端设备设施损坏的，由中标人负责先行修复并向第三方追偿，维修所产生的费用由中标人与第三方协调处理，采购人负责配合协调；</w:t>
      </w:r>
    </w:p>
    <w:p>
      <w:pPr>
        <w:ind w:firstLine="480"/>
        <w:rPr>
          <w:highlight w:val="none"/>
        </w:rPr>
      </w:pPr>
      <w:r>
        <w:rPr>
          <w:rFonts w:hint="eastAsia"/>
          <w:highlight w:val="none"/>
        </w:rPr>
        <w:t>9、</w:t>
      </w:r>
      <w:r>
        <w:rPr>
          <w:highlight w:val="none"/>
        </w:rPr>
        <w:t>中标人需负责</w:t>
      </w:r>
      <w:r>
        <w:rPr>
          <w:rFonts w:hint="eastAsia"/>
          <w:highlight w:val="none"/>
        </w:rPr>
        <w:t>对构成系统的所有建筑设施、硬件、网络、供电设备、防雷设施、第三方软件、应用软件等的维护、维修、更换故障设备和产品升级；</w:t>
      </w:r>
    </w:p>
    <w:p>
      <w:pPr>
        <w:ind w:firstLine="480"/>
        <w:rPr>
          <w:highlight w:val="none"/>
        </w:rPr>
      </w:pPr>
      <w:r>
        <w:rPr>
          <w:rFonts w:hint="eastAsia"/>
          <w:highlight w:val="none"/>
        </w:rPr>
        <w:t>10、</w:t>
      </w:r>
      <w:r>
        <w:rPr>
          <w:highlight w:val="none"/>
        </w:rPr>
        <w:t>在</w:t>
      </w:r>
      <w:r>
        <w:rPr>
          <w:rFonts w:hint="eastAsia"/>
          <w:highlight w:val="none"/>
        </w:rPr>
        <w:t>质保期内，中标人负责对所承包系统范围内的设备及所有配件进行维护保养，保证每个设备及其配件完好无损、正常运行。中标人以</w:t>
      </w:r>
      <w:r>
        <w:rPr>
          <w:highlight w:val="none"/>
        </w:rPr>
        <w:t>季度</w:t>
      </w:r>
      <w:r>
        <w:rPr>
          <w:rFonts w:hint="eastAsia"/>
          <w:highlight w:val="none"/>
        </w:rPr>
        <w:t>为一个保养周期，对机箱里电气设备进行清尘、清洁和检查；对前端监控设备采取擦拭防护罩、清理前视玻璃的灰尘等工序。及时发现故障、隐患并及时处理，把故障消灭在萌芽状态，避免扩大故障范围；对发现的问题及时处理，以保证系统持续、稳定、安全地运行。服务期间，采购人不再支付费用。</w:t>
      </w:r>
    </w:p>
    <w:p>
      <w:pPr>
        <w:ind w:firstLine="480"/>
        <w:rPr>
          <w:highlight w:val="none"/>
        </w:rPr>
      </w:pPr>
      <w:r>
        <w:rPr>
          <w:rFonts w:hint="eastAsia"/>
          <w:highlight w:val="none"/>
        </w:rPr>
        <w:t>11、中标人须主动配合采购人对监控设施进行抽查。对抽查中发现的问题马上进行返工并追究维护责任人的责任</w:t>
      </w:r>
      <w:r>
        <w:rPr>
          <w:highlight w:val="none"/>
        </w:rPr>
        <w:t>，同时中标人须按故障等级的要求进行修复。</w:t>
      </w:r>
    </w:p>
    <w:p>
      <w:pPr>
        <w:ind w:firstLine="480"/>
        <w:rPr>
          <w:highlight w:val="none"/>
        </w:rPr>
      </w:pPr>
      <w:r>
        <w:rPr>
          <w:rFonts w:hint="eastAsia"/>
          <w:highlight w:val="none"/>
        </w:rPr>
        <w:t>12、性能测试：以三个月为一周期，对各类电器设备进行检测、并做好参数记录。在每年的3月份雷雨季节来临前，检查所有监控点的避雷是否正常，检查各接地线是否正常。以保证避免在雷雨季节避雷器被击而造成设备损坏。依据接地电阻测试要求，对接地电阻六个月为一个测试周期。</w:t>
      </w:r>
    </w:p>
    <w:p>
      <w:pPr>
        <w:ind w:firstLine="480"/>
        <w:rPr>
          <w:highlight w:val="none"/>
        </w:rPr>
      </w:pPr>
      <w:r>
        <w:rPr>
          <w:rFonts w:hint="eastAsia"/>
          <w:highlight w:val="none"/>
        </w:rPr>
        <w:t>13、</w:t>
      </w:r>
      <w:r>
        <w:rPr>
          <w:highlight w:val="none"/>
        </w:rPr>
        <w:t>质保期内，采购人如发现中标人未按本项目售后服务的要求，对修复故障、系统范围内的设备及所有配件进行维护保养与检测，或不配合采购人对设备设施及其运行状态进行抽查的，采购人发现第一次对中标人进行书面警告；从第二次开始，采购人有权邀请第三方专业公司开展相关工作，所需费用由中标人承担。</w:t>
      </w:r>
    </w:p>
    <w:p>
      <w:pPr>
        <w:ind w:firstLine="480"/>
        <w:rPr>
          <w:highlight w:val="none"/>
        </w:rPr>
      </w:pPr>
      <w:r>
        <w:rPr>
          <w:rFonts w:hint="eastAsia"/>
          <w:highlight w:val="none"/>
        </w:rPr>
        <w:t>14、</w:t>
      </w:r>
      <w:r>
        <w:rPr>
          <w:highlight w:val="none"/>
        </w:rPr>
        <w:t>在合同最终结算前，采购人对完成设备清点，如发生设备缺失或者损坏未修复的，中标人需按设备价值赔偿。</w:t>
      </w:r>
    </w:p>
    <w:p>
      <w:pPr>
        <w:ind w:firstLine="420"/>
        <w:rPr>
          <w:color w:val="0000FF"/>
          <w:highlight w:val="none"/>
        </w:rPr>
      </w:pPr>
      <w:r>
        <w:rPr>
          <w:rFonts w:hint="eastAsia"/>
          <w:color w:val="0000FF"/>
          <w:sz w:val="21"/>
          <w:szCs w:val="21"/>
          <w:highlight w:val="none"/>
        </w:rPr>
        <w:t>★</w:t>
      </w:r>
      <w:r>
        <w:rPr>
          <w:rFonts w:hint="eastAsia"/>
          <w:color w:val="0000FF"/>
          <w:highlight w:val="none"/>
        </w:rPr>
        <w:t>15、</w:t>
      </w:r>
      <w:r>
        <w:rPr>
          <w:color w:val="0000FF"/>
          <w:highlight w:val="none"/>
        </w:rPr>
        <w:t>质保期内，如中标人不能达到</w:t>
      </w:r>
      <w:r>
        <w:rPr>
          <w:rStyle w:val="24"/>
          <w:rFonts w:hint="eastAsia"/>
          <w:strike w:val="0"/>
          <w:highlight w:val="none"/>
          <w:lang w:val="en-US" w:eastAsia="zh-CN"/>
        </w:rPr>
        <w:t>当年上级公安机关</w:t>
      </w:r>
      <w:r>
        <w:rPr>
          <w:rFonts w:hint="eastAsia"/>
          <w:color w:val="0000FF"/>
          <w:highlight w:val="none"/>
        </w:rPr>
        <w:t>“视图数据整理治理考核”的标准</w:t>
      </w:r>
      <w:r>
        <w:rPr>
          <w:color w:val="0000FF"/>
          <w:highlight w:val="none"/>
        </w:rPr>
        <w:t>，致使采购人在上级部门的考核中排名靠后，且中标人经过整改仍无法达到标准的，采购人有权邀请第三方公司开展相关工作，产生的费用由中标人负责解决。（投标人须提供承诺函承诺，格式自拟。）</w:t>
      </w:r>
    </w:p>
    <w:p>
      <w:pPr>
        <w:ind w:firstLine="480"/>
        <w:rPr>
          <w:highlight w:val="none"/>
        </w:rPr>
      </w:pPr>
      <w:r>
        <w:rPr>
          <w:rFonts w:hint="eastAsia"/>
          <w:highlight w:val="none"/>
        </w:rPr>
        <w:t>16、</w:t>
      </w:r>
      <w:r>
        <w:rPr>
          <w:highlight w:val="none"/>
        </w:rPr>
        <w:t>违约责任</w:t>
      </w:r>
    </w:p>
    <w:p>
      <w:pPr>
        <w:ind w:firstLine="480"/>
        <w:rPr>
          <w:highlight w:val="none"/>
        </w:rPr>
      </w:pPr>
      <w:r>
        <w:rPr>
          <w:rFonts w:hint="eastAsia"/>
          <w:highlight w:val="none"/>
        </w:rPr>
        <w:t>（1）</w:t>
      </w:r>
      <w:r>
        <w:rPr>
          <w:highlight w:val="none"/>
        </w:rPr>
        <w:t>视频信号推送至</w:t>
      </w:r>
      <w:r>
        <w:rPr>
          <w:rFonts w:hint="eastAsia"/>
          <w:highlight w:val="none"/>
        </w:rPr>
        <w:t>东莞市公安局</w:t>
      </w:r>
      <w:r>
        <w:rPr>
          <w:highlight w:val="none"/>
        </w:rPr>
        <w:t>两网双平台后，</w:t>
      </w:r>
      <w:r>
        <w:rPr>
          <w:rFonts w:hint="eastAsia"/>
          <w:highlight w:val="none"/>
        </w:rPr>
        <w:t>中标人</w:t>
      </w:r>
      <w:r>
        <w:rPr>
          <w:highlight w:val="none"/>
        </w:rPr>
        <w:t>未能在</w:t>
      </w:r>
      <w:r>
        <w:rPr>
          <w:rFonts w:hint="eastAsia"/>
          <w:highlight w:val="none"/>
        </w:rPr>
        <w:t>所规定时间</w:t>
      </w:r>
      <w:r>
        <w:rPr>
          <w:highlight w:val="none"/>
        </w:rPr>
        <w:t>内履行故障修复要求的，每新增一次违约需扣减人民币1000元，同时每延迟修复一日需扣减人民币200元，违约金的扣减在本次合同</w:t>
      </w:r>
      <w:r>
        <w:rPr>
          <w:rFonts w:hint="eastAsia"/>
          <w:highlight w:val="none"/>
        </w:rPr>
        <w:t>最终结算</w:t>
      </w:r>
      <w:r>
        <w:rPr>
          <w:highlight w:val="none"/>
        </w:rPr>
        <w:t>时执行。合同最终结算前必须完成设备清点，如发生设备缺失或损坏未修复的，</w:t>
      </w:r>
      <w:r>
        <w:rPr>
          <w:rFonts w:hint="eastAsia"/>
          <w:highlight w:val="none"/>
        </w:rPr>
        <w:t>中标人</w:t>
      </w:r>
      <w:r>
        <w:rPr>
          <w:highlight w:val="none"/>
        </w:rPr>
        <w:t>需按设备价值赔偿。</w:t>
      </w:r>
    </w:p>
    <w:p>
      <w:pPr>
        <w:ind w:firstLine="480"/>
        <w:rPr>
          <w:highlight w:val="none"/>
        </w:rPr>
      </w:pPr>
      <w:r>
        <w:rPr>
          <w:rFonts w:hint="eastAsia"/>
          <w:highlight w:val="none"/>
        </w:rPr>
        <w:t>（2）针对本项目设备，中标人未能按6.2条“运维要求”的标准做好建档工作，导致采购人被通报的，每通报一路罚款人民币1000元，以每月东莞市公安局下发的关于信息化建设及运维管理工作情况通报为准，违约金的</w:t>
      </w:r>
      <w:r>
        <w:rPr>
          <w:highlight w:val="none"/>
        </w:rPr>
        <w:t>扣减在本次合同</w:t>
      </w:r>
      <w:r>
        <w:rPr>
          <w:rFonts w:hint="eastAsia"/>
          <w:highlight w:val="none"/>
        </w:rPr>
        <w:t>最终结算</w:t>
      </w:r>
      <w:r>
        <w:rPr>
          <w:highlight w:val="none"/>
        </w:rPr>
        <w:t>时执行</w:t>
      </w:r>
      <w:r>
        <w:rPr>
          <w:rFonts w:hint="eastAsia"/>
          <w:highlight w:val="none"/>
        </w:rPr>
        <w:t>。</w:t>
      </w:r>
    </w:p>
    <w:p>
      <w:pPr>
        <w:ind w:firstLine="480"/>
        <w:rPr>
          <w:highlight w:val="none"/>
        </w:rPr>
      </w:pPr>
      <w:r>
        <w:rPr>
          <w:rFonts w:hint="eastAsia"/>
          <w:highlight w:val="none"/>
        </w:rPr>
        <w:t>（3）中标人未遵守公安网络安全规定，发生安全事件的（包括但不限于违规外联、两网互通等），发生一起罚款人民币10000元，违约金的</w:t>
      </w:r>
      <w:r>
        <w:rPr>
          <w:highlight w:val="none"/>
        </w:rPr>
        <w:t>扣减在本次合同</w:t>
      </w:r>
      <w:r>
        <w:rPr>
          <w:rFonts w:hint="eastAsia"/>
          <w:highlight w:val="none"/>
        </w:rPr>
        <w:t>最终结算</w:t>
      </w:r>
      <w:r>
        <w:rPr>
          <w:highlight w:val="none"/>
        </w:rPr>
        <w:t>时执行</w:t>
      </w:r>
      <w:r>
        <w:rPr>
          <w:rFonts w:hint="eastAsia"/>
          <w:highlight w:val="none"/>
        </w:rPr>
        <w:t>；情节严重，构成犯罪的，移送相关职能部门处理。</w:t>
      </w:r>
    </w:p>
    <w:p>
      <w:pPr>
        <w:ind w:firstLine="480"/>
        <w:rPr>
          <w:highlight w:val="none"/>
        </w:rPr>
      </w:pPr>
      <w:r>
        <w:rPr>
          <w:rFonts w:hint="eastAsia"/>
          <w:highlight w:val="none"/>
        </w:rPr>
        <w:t>（4）中标人未按规定开展维护工作的，包括但不限于按要求开展巡检、对设备进行保养维护、更换损坏设备、巡检发现问题未采取补救措施等，采购人每发现一起罚扣人民币2000元，违约金的</w:t>
      </w:r>
      <w:r>
        <w:rPr>
          <w:highlight w:val="none"/>
        </w:rPr>
        <w:t>扣减在本次合同</w:t>
      </w:r>
      <w:r>
        <w:rPr>
          <w:rFonts w:hint="eastAsia"/>
          <w:highlight w:val="none"/>
        </w:rPr>
        <w:t>最终结算</w:t>
      </w:r>
      <w:r>
        <w:rPr>
          <w:highlight w:val="none"/>
        </w:rPr>
        <w:t>时执行</w:t>
      </w:r>
      <w:r>
        <w:rPr>
          <w:rFonts w:hint="eastAsia"/>
          <w:highlight w:val="none"/>
        </w:rPr>
        <w:t>。</w:t>
      </w:r>
    </w:p>
    <w:p>
      <w:pPr>
        <w:ind w:firstLine="480"/>
        <w:rPr>
          <w:highlight w:val="none"/>
        </w:rPr>
      </w:pPr>
      <w:r>
        <w:rPr>
          <w:rFonts w:hint="eastAsia"/>
          <w:highlight w:val="none"/>
        </w:rPr>
        <w:t>（5）中标人因维护工作开展不到位，导致采购人被上级部门通报/投诉的，每一次罚扣人民币2000元，违约金的</w:t>
      </w:r>
      <w:r>
        <w:rPr>
          <w:highlight w:val="none"/>
        </w:rPr>
        <w:t>扣减在本次合同</w:t>
      </w:r>
      <w:r>
        <w:rPr>
          <w:rFonts w:hint="eastAsia"/>
          <w:highlight w:val="none"/>
        </w:rPr>
        <w:t>最终结算</w:t>
      </w:r>
      <w:r>
        <w:rPr>
          <w:highlight w:val="none"/>
        </w:rPr>
        <w:t>时执行</w:t>
      </w:r>
      <w:r>
        <w:rPr>
          <w:rFonts w:hint="eastAsia"/>
          <w:highlight w:val="none"/>
        </w:rPr>
        <w:t>。</w:t>
      </w:r>
    </w:p>
    <w:p>
      <w:pPr>
        <w:pStyle w:val="4"/>
        <w:numPr>
          <w:ilvl w:val="1"/>
          <w:numId w:val="2"/>
        </w:numPr>
        <w:rPr>
          <w:highlight w:val="none"/>
        </w:rPr>
      </w:pPr>
      <w:r>
        <w:rPr>
          <w:rFonts w:hint="eastAsia"/>
          <w:highlight w:val="none"/>
        </w:rPr>
        <w:t>保密安全要求</w:t>
      </w:r>
    </w:p>
    <w:p>
      <w:pPr>
        <w:ind w:firstLine="480"/>
        <w:rPr>
          <w:highlight w:val="none"/>
        </w:rPr>
      </w:pPr>
      <w:r>
        <w:rPr>
          <w:rFonts w:hint="eastAsia"/>
          <w:highlight w:val="none"/>
        </w:rPr>
        <w:t>中标人应具备完善的保密管理方案，包括但不限于下列要求：</w:t>
      </w:r>
    </w:p>
    <w:p>
      <w:pPr>
        <w:ind w:firstLine="480"/>
        <w:rPr>
          <w:highlight w:val="none"/>
        </w:rPr>
      </w:pPr>
      <w:r>
        <w:rPr>
          <w:rFonts w:hint="eastAsia"/>
          <w:highlight w:val="none"/>
        </w:rPr>
        <w:t>1、中标人须与采购人签署保密协议书，保证不向外泄露项目的所有资料及用作其他用途。中标人负责约束其所属员工。如维护服务人员发生泄密事件，一切后果由中标人承担。同时，采购人有权单方面取消合同。</w:t>
      </w:r>
    </w:p>
    <w:p>
      <w:pPr>
        <w:ind w:firstLine="480"/>
        <w:rPr>
          <w:highlight w:val="none"/>
        </w:rPr>
      </w:pPr>
      <w:r>
        <w:rPr>
          <w:rFonts w:hint="eastAsia"/>
          <w:highlight w:val="none"/>
        </w:rPr>
        <w:t>2、维护服务人员应严格遵守有关法规和政府内部规章制度，不得擅自翻阅、复制、传播所接触的用户资料或数据。</w:t>
      </w:r>
    </w:p>
    <w:p>
      <w:pPr>
        <w:ind w:firstLine="480"/>
        <w:rPr>
          <w:highlight w:val="none"/>
        </w:rPr>
      </w:pPr>
      <w:r>
        <w:rPr>
          <w:rFonts w:hint="eastAsia"/>
          <w:highlight w:val="none"/>
        </w:rPr>
        <w:t>3、若需要更换设备，原设备需要先进行数据清洗，删除敏感数据后交由采购人处理。</w:t>
      </w:r>
    </w:p>
    <w:p>
      <w:pPr>
        <w:ind w:firstLine="480"/>
        <w:rPr>
          <w:highlight w:val="none"/>
        </w:rPr>
      </w:pPr>
      <w:r>
        <w:rPr>
          <w:rFonts w:hint="eastAsia"/>
          <w:highlight w:val="none"/>
        </w:rPr>
        <w:t>4、中标人需要建立完善的项目安全保密管理制度，明确安全岗位责任，项目实施过程中，中标人需要严格遵守保密制度，加强对工作人员的管理，工作人员不得无故查看及讨论工作内容，不得以任何方式复制、下载、留存、持有、使用和向外人泄露采购人的任何档案信息，如发生遗失、复制、泄露等安全事故，全部由中标人负责。</w:t>
      </w:r>
    </w:p>
    <w:p>
      <w:pPr>
        <w:ind w:firstLine="480"/>
        <w:rPr>
          <w:highlight w:val="none"/>
        </w:rPr>
      </w:pPr>
      <w:r>
        <w:rPr>
          <w:rFonts w:hint="eastAsia"/>
          <w:highlight w:val="none"/>
        </w:rPr>
        <w:t>5、项目完成中标人撤离时，除留给采购人的备份数据外，服务器、工作站和其他设备上的信息需要在采购人工作人员现场监督下销毁。</w:t>
      </w:r>
    </w:p>
    <w:p>
      <w:pPr>
        <w:ind w:firstLine="480"/>
        <w:rPr>
          <w:highlight w:val="none"/>
        </w:rPr>
      </w:pPr>
      <w:r>
        <w:rPr>
          <w:rFonts w:hint="eastAsia"/>
          <w:highlight w:val="none"/>
        </w:rPr>
        <w:t>6、当发生非正常的重大事项时，需及时向采购人汇报，未能及时汇报或隐瞒的将给予严肃处理。</w:t>
      </w:r>
    </w:p>
    <w:p>
      <w:pPr>
        <w:ind w:firstLine="480"/>
        <w:rPr>
          <w:highlight w:val="none"/>
        </w:rPr>
      </w:pPr>
      <w:r>
        <w:rPr>
          <w:rFonts w:hint="eastAsia"/>
          <w:highlight w:val="none"/>
        </w:rPr>
        <w:t>7、中标人不得利用工作之便，进行任何非法或非本项目范围内的活动，特别是发布非法信息、留下系统后门等，离开服务场地需要先告知采购人。</w:t>
      </w:r>
    </w:p>
    <w:p>
      <w:pPr>
        <w:pStyle w:val="4"/>
        <w:numPr>
          <w:ilvl w:val="1"/>
          <w:numId w:val="2"/>
        </w:numPr>
        <w:rPr>
          <w:highlight w:val="none"/>
        </w:rPr>
      </w:pPr>
      <w:r>
        <w:rPr>
          <w:highlight w:val="none"/>
        </w:rPr>
        <w:t>项目人员要求</w:t>
      </w:r>
    </w:p>
    <w:p>
      <w:pPr>
        <w:pStyle w:val="5"/>
        <w:numPr>
          <w:ilvl w:val="2"/>
          <w:numId w:val="2"/>
        </w:numPr>
        <w:rPr>
          <w:highlight w:val="none"/>
        </w:rPr>
      </w:pPr>
      <w:r>
        <w:rPr>
          <w:highlight w:val="none"/>
        </w:rPr>
        <w:t>数量和岗位要求</w:t>
      </w:r>
    </w:p>
    <w:p>
      <w:pPr>
        <w:ind w:firstLine="480"/>
        <w:rPr>
          <w:highlight w:val="none"/>
        </w:rPr>
      </w:pPr>
      <w:r>
        <w:rPr>
          <w:rFonts w:hint="eastAsia"/>
          <w:highlight w:val="none"/>
        </w:rPr>
        <w:t>1、需投入项目经理1人；</w:t>
      </w:r>
    </w:p>
    <w:p>
      <w:pPr>
        <w:ind w:firstLine="480"/>
        <w:rPr>
          <w:highlight w:val="none"/>
        </w:rPr>
      </w:pPr>
      <w:r>
        <w:rPr>
          <w:rFonts w:hint="eastAsia"/>
          <w:highlight w:val="none"/>
        </w:rPr>
        <w:t>2、</w:t>
      </w:r>
      <w:r>
        <w:rPr>
          <w:highlight w:val="none"/>
        </w:rPr>
        <w:t>需投入技术负责人1人</w:t>
      </w:r>
      <w:r>
        <w:rPr>
          <w:rFonts w:hint="eastAsia"/>
          <w:highlight w:val="none"/>
        </w:rPr>
        <w:t>；</w:t>
      </w:r>
    </w:p>
    <w:p>
      <w:pPr>
        <w:ind w:firstLine="480"/>
        <w:rPr>
          <w:highlight w:val="none"/>
        </w:rPr>
      </w:pPr>
      <w:r>
        <w:rPr>
          <w:rFonts w:hint="eastAsia"/>
          <w:highlight w:val="none"/>
        </w:rPr>
        <w:t>3、自验收合格之日起中标人需要提供3名驻点技术员3年驻场服务。</w:t>
      </w:r>
    </w:p>
    <w:p>
      <w:pPr>
        <w:ind w:firstLine="480"/>
        <w:rPr>
          <w:highlight w:val="none"/>
        </w:rPr>
      </w:pPr>
      <w:r>
        <w:rPr>
          <w:highlight w:val="none"/>
        </w:rPr>
        <w:t>注：</w:t>
      </w:r>
    </w:p>
    <w:p>
      <w:pPr>
        <w:ind w:firstLine="480"/>
        <w:rPr>
          <w:highlight w:val="none"/>
        </w:rPr>
      </w:pPr>
      <w:r>
        <w:rPr>
          <w:highlight w:val="none"/>
        </w:rPr>
        <w:t>（1）上述人员不能相互兼任</w:t>
      </w:r>
      <w:r>
        <w:rPr>
          <w:rFonts w:hint="eastAsia"/>
          <w:highlight w:val="none"/>
        </w:rPr>
        <w:t>。</w:t>
      </w:r>
    </w:p>
    <w:p>
      <w:pPr>
        <w:ind w:firstLine="480"/>
        <w:rPr>
          <w:highlight w:val="none"/>
        </w:rPr>
      </w:pPr>
      <w:r>
        <w:rPr>
          <w:highlight w:val="none"/>
        </w:rPr>
        <w:t>（2）项目投入人员必须是中标人的正式员工，人员上岗前须进行保密培训和签订保密协议，做好保密工作，在任何情况下未取得采购人的同意不得泄露本项目及采购人的任何资料信息，否则采购人将依据相关法律追究中标人相应的法律和经济责任。</w:t>
      </w:r>
    </w:p>
    <w:p>
      <w:pPr>
        <w:ind w:firstLine="480"/>
        <w:rPr>
          <w:highlight w:val="none"/>
        </w:rPr>
      </w:pPr>
      <w:r>
        <w:rPr>
          <w:highlight w:val="none"/>
        </w:rPr>
        <w:t>（3）如遇到重大安保活动时，中标人需根据采购人的实际工作要求，指派</w:t>
      </w:r>
      <w:r>
        <w:rPr>
          <w:rFonts w:hint="eastAsia"/>
          <w:highlight w:val="none"/>
        </w:rPr>
        <w:t>项目人员</w:t>
      </w:r>
      <w:r>
        <w:rPr>
          <w:highlight w:val="none"/>
        </w:rPr>
        <w:t>到场（或后台）提供技术支撑，所需费用均由中标人负责。</w:t>
      </w:r>
    </w:p>
    <w:p>
      <w:pPr>
        <w:ind w:firstLine="480"/>
        <w:rPr>
          <w:highlight w:val="none"/>
        </w:rPr>
      </w:pPr>
      <w:r>
        <w:rPr>
          <w:highlight w:val="none"/>
        </w:rPr>
        <w:t>（4）将网络安全事故（一机两用、两网互通等）的责任和处罚纳入对项目人员的管理规定。对造成网络安全事件的人员或企业第一次处以5000.00元罚款，第二次处以20000.00元罚款，中标人应在收到罚款通知后10个工作日内向采购人缴纳罚款</w:t>
      </w:r>
      <w:r>
        <w:rPr>
          <w:rFonts w:hint="eastAsia"/>
          <w:highlight w:val="none"/>
        </w:rPr>
        <w:t>，</w:t>
      </w:r>
      <w:r>
        <w:rPr>
          <w:highlight w:val="none"/>
        </w:rPr>
        <w:t>对服务人员满两次或企业满三次后，采购人有权终止合同。</w:t>
      </w:r>
    </w:p>
    <w:p>
      <w:pPr>
        <w:pStyle w:val="5"/>
        <w:numPr>
          <w:ilvl w:val="2"/>
          <w:numId w:val="2"/>
        </w:numPr>
        <w:rPr>
          <w:highlight w:val="none"/>
        </w:rPr>
      </w:pPr>
      <w:r>
        <w:rPr>
          <w:highlight w:val="none"/>
        </w:rPr>
        <w:t>驻点技术员</w:t>
      </w:r>
    </w:p>
    <w:p>
      <w:pPr>
        <w:ind w:firstLine="480"/>
        <w:rPr>
          <w:highlight w:val="none"/>
        </w:rPr>
      </w:pPr>
      <w:r>
        <w:rPr>
          <w:highlight w:val="none"/>
        </w:rPr>
        <w:t>1、驻点技术人员需具有大专或以上学历以及良好的沟通表达能力，上岗前须通过采购人的面试和审核。</w:t>
      </w:r>
    </w:p>
    <w:p>
      <w:pPr>
        <w:ind w:firstLine="480"/>
        <w:rPr>
          <w:highlight w:val="none"/>
        </w:rPr>
      </w:pPr>
      <w:r>
        <w:rPr>
          <w:highlight w:val="none"/>
        </w:rPr>
        <w:t>2、主要工作内容：</w:t>
      </w:r>
    </w:p>
    <w:p>
      <w:pPr>
        <w:ind w:firstLine="480"/>
        <w:rPr>
          <w:highlight w:val="none"/>
        </w:rPr>
      </w:pPr>
      <w:r>
        <w:rPr>
          <w:highlight w:val="none"/>
        </w:rPr>
        <w:t>（1）驻点技术人员日常在采购人指定的地点办公，遵循采购人正常的办公时间在岗在位，开展驻场服务保障工作，在特殊防护（疫）期间需服从采购人的工作安排；</w:t>
      </w:r>
    </w:p>
    <w:p>
      <w:pPr>
        <w:ind w:firstLine="480"/>
        <w:rPr>
          <w:highlight w:val="none"/>
        </w:rPr>
      </w:pPr>
      <w:r>
        <w:rPr>
          <w:highlight w:val="none"/>
        </w:rPr>
        <w:t>（2）驻点技术人员负责项目的监控点前端设备、传输链路，中心设备的巡查，及时发现并解决问题；如无法现场解决，须联系专业维修人员到场协助处理；</w:t>
      </w:r>
    </w:p>
    <w:p>
      <w:pPr>
        <w:ind w:firstLine="480"/>
        <w:rPr>
          <w:highlight w:val="none"/>
        </w:rPr>
      </w:pPr>
      <w:r>
        <w:rPr>
          <w:highlight w:val="none"/>
        </w:rPr>
        <w:t>（3）根据实际工作要求和任务，配合做好各类应急通信保障工作；</w:t>
      </w:r>
    </w:p>
    <w:p>
      <w:pPr>
        <w:ind w:firstLine="480"/>
        <w:rPr>
          <w:highlight w:val="none"/>
        </w:rPr>
      </w:pPr>
      <w:r>
        <w:rPr>
          <w:highlight w:val="none"/>
        </w:rPr>
        <w:t>（4）做好中心设备范围内各设备的基础运维数据的建档工作，同时做好定期运维记录和基础台账。</w:t>
      </w:r>
    </w:p>
    <w:p>
      <w:pPr>
        <w:ind w:firstLine="480"/>
        <w:rPr>
          <w:highlight w:val="none"/>
        </w:rPr>
      </w:pPr>
      <w:r>
        <w:rPr>
          <w:highlight w:val="none"/>
        </w:rPr>
        <w:t>3、管理、调配要求：</w:t>
      </w:r>
    </w:p>
    <w:p>
      <w:pPr>
        <w:ind w:firstLine="480"/>
        <w:rPr>
          <w:highlight w:val="none"/>
        </w:rPr>
      </w:pPr>
      <w:r>
        <w:rPr>
          <w:highlight w:val="none"/>
        </w:rPr>
        <w:t>（1）驻点技术人员的工作和管理由采购人安排，安全管理和薪酬福利待遇由中标人负责。</w:t>
      </w:r>
    </w:p>
    <w:p>
      <w:pPr>
        <w:ind w:firstLine="480"/>
        <w:rPr>
          <w:highlight w:val="none"/>
        </w:rPr>
      </w:pPr>
      <w:r>
        <w:rPr>
          <w:highlight w:val="none"/>
        </w:rPr>
        <w:t>（2）采购人对驻点技术人员具有更换权和工作调度权，中标人应积极配合；中标人调动或更换驻点技术人员的，须经采购人书面同意后方可调换；驻点技术人员如离职的，须提前5个工作日向采购人提出书面申请，同时中标人应积极开展招聘、调配等工作，保证两周内配齐缺失的人员，否则超时一天罚款人民币200元。项目范围内，如采购人因驻点技术员的缺失而造成的损失，均由中标人负责；同时，采购人可聘请第三方技术人员对项目开展驻点维护工作，所产生的费用由中标人承担。</w:t>
      </w:r>
    </w:p>
    <w:p>
      <w:pPr>
        <w:pStyle w:val="5"/>
        <w:numPr>
          <w:ilvl w:val="2"/>
          <w:numId w:val="2"/>
        </w:numPr>
        <w:rPr>
          <w:highlight w:val="none"/>
        </w:rPr>
      </w:pPr>
      <w:r>
        <w:rPr>
          <w:highlight w:val="none"/>
        </w:rPr>
        <w:t>项目经理</w:t>
      </w:r>
    </w:p>
    <w:p>
      <w:pPr>
        <w:ind w:firstLine="480"/>
        <w:rPr>
          <w:highlight w:val="none"/>
        </w:rPr>
      </w:pPr>
      <w:r>
        <w:rPr>
          <w:highlight w:val="none"/>
        </w:rPr>
        <w:t>1、项目经理：具备大专或以上学历，计算机、网络、</w:t>
      </w:r>
      <w:r>
        <w:rPr>
          <w:rFonts w:hint="eastAsia"/>
          <w:highlight w:val="none"/>
        </w:rPr>
        <w:t>通信</w:t>
      </w:r>
      <w:r>
        <w:rPr>
          <w:highlight w:val="none"/>
        </w:rPr>
        <w:t>等相关方面专业。</w:t>
      </w:r>
    </w:p>
    <w:p>
      <w:pPr>
        <w:ind w:firstLine="480"/>
        <w:rPr>
          <w:highlight w:val="none"/>
        </w:rPr>
      </w:pPr>
      <w:r>
        <w:rPr>
          <w:highlight w:val="none"/>
        </w:rPr>
        <w:t>2、项目管理人员（含固定、后备的管理人员）：具备大专或以上学历，计算机、网络、通信等相关方面专业；同时具有良好的沟通表达能力。</w:t>
      </w:r>
    </w:p>
    <w:p>
      <w:pPr>
        <w:ind w:firstLine="480"/>
        <w:rPr>
          <w:highlight w:val="none"/>
        </w:rPr>
      </w:pPr>
      <w:r>
        <w:rPr>
          <w:highlight w:val="none"/>
        </w:rPr>
        <w:t>3、工作内容：</w:t>
      </w:r>
    </w:p>
    <w:p>
      <w:pPr>
        <w:ind w:firstLine="480"/>
        <w:rPr>
          <w:highlight w:val="none"/>
        </w:rPr>
      </w:pPr>
      <w:r>
        <w:rPr>
          <w:highlight w:val="none"/>
        </w:rPr>
        <w:t>（1）工作地点、时间由中标人自行安排，开展项目相关工作；</w:t>
      </w:r>
    </w:p>
    <w:p>
      <w:pPr>
        <w:ind w:firstLine="480"/>
        <w:rPr>
          <w:highlight w:val="none"/>
        </w:rPr>
      </w:pPr>
      <w:r>
        <w:rPr>
          <w:highlight w:val="none"/>
        </w:rPr>
        <w:t>（2）工作内容：根据项目实施进度表及方案，安排人员按实际情况开展工作，同时负责现场配合监理等人员，开展相关工作；统筹整理、汇总系统各阶段的运行数据、运维记录等，并形成文档；负责智能化项目报验、资料汇总移交；项目开展过程中，协调社区、各职能部门，同时根据项目实施需要，如需破路安装、敷设管道线路等，对接相关职能部门，提供对应材料，做好报建工作，保障项目建设进度。</w:t>
      </w:r>
    </w:p>
    <w:p>
      <w:pPr>
        <w:ind w:firstLine="480"/>
        <w:rPr>
          <w:highlight w:val="none"/>
        </w:rPr>
      </w:pPr>
      <w:r>
        <w:rPr>
          <w:highlight w:val="none"/>
        </w:rPr>
        <w:t>4、管理、调配要求：</w:t>
      </w:r>
    </w:p>
    <w:p>
      <w:pPr>
        <w:ind w:firstLine="480"/>
        <w:rPr>
          <w:highlight w:val="none"/>
        </w:rPr>
      </w:pPr>
      <w:r>
        <w:rPr>
          <w:highlight w:val="none"/>
        </w:rPr>
        <w:t>（1）项目管理人员的工作和管理由采购人安排，安全管理和薪酬福利待遇由中标人负责；</w:t>
      </w:r>
    </w:p>
    <w:p>
      <w:pPr>
        <w:ind w:firstLine="480"/>
        <w:rPr>
          <w:highlight w:val="none"/>
        </w:rPr>
      </w:pPr>
      <w:r>
        <w:rPr>
          <w:highlight w:val="none"/>
        </w:rPr>
        <w:t>（2）采购人对项目管理人员具有更换权和工作调度权，中标人应积极配合；中标人调动或更换管理人员的，须经采购人书面同意后方可调换；常驻项目管理人员如出现休假、调动、离职等情况，后备管理人员须无缝接替常驻管理人员的工作。</w:t>
      </w:r>
    </w:p>
    <w:p>
      <w:pPr>
        <w:pStyle w:val="5"/>
        <w:numPr>
          <w:ilvl w:val="2"/>
          <w:numId w:val="2"/>
        </w:numPr>
        <w:rPr>
          <w:highlight w:val="none"/>
        </w:rPr>
      </w:pPr>
      <w:r>
        <w:rPr>
          <w:highlight w:val="none"/>
        </w:rPr>
        <w:t>技术负责人</w:t>
      </w:r>
    </w:p>
    <w:p>
      <w:pPr>
        <w:ind w:firstLine="480"/>
        <w:rPr>
          <w:highlight w:val="none"/>
        </w:rPr>
      </w:pPr>
      <w:r>
        <w:rPr>
          <w:highlight w:val="none"/>
        </w:rPr>
        <w:t>1、资质要求：具备大专或以上学历，计算机、网络、通信等相关方面专业；较强的组织、协调及沟通能力，有良好的职业素养及合作意识，责任心强。</w:t>
      </w:r>
    </w:p>
    <w:p>
      <w:pPr>
        <w:ind w:firstLine="480"/>
        <w:rPr>
          <w:highlight w:val="none"/>
        </w:rPr>
      </w:pPr>
      <w:r>
        <w:rPr>
          <w:highlight w:val="none"/>
        </w:rPr>
        <w:t>2、工作内容</w:t>
      </w:r>
    </w:p>
    <w:p>
      <w:pPr>
        <w:ind w:firstLine="480"/>
        <w:rPr>
          <w:highlight w:val="none"/>
        </w:rPr>
      </w:pPr>
      <w:r>
        <w:rPr>
          <w:highlight w:val="none"/>
        </w:rPr>
        <w:t>（1）工作地点、工作时间由中标人自行安排，开展项目相关工作；</w:t>
      </w:r>
    </w:p>
    <w:p>
      <w:pPr>
        <w:ind w:firstLine="480"/>
        <w:rPr>
          <w:highlight w:val="none"/>
        </w:rPr>
      </w:pPr>
      <w:r>
        <w:rPr>
          <w:highlight w:val="none"/>
        </w:rPr>
        <w:t>（2）主要负责项目的技术问题，包括但不限于排查解决本项目各级线路、中心设备的故障，修复或替换设备的安装与调试，中心机房软件系统故障的排除，技术文档的撰写等。</w:t>
      </w:r>
    </w:p>
    <w:p>
      <w:pPr>
        <w:ind w:firstLine="480"/>
        <w:rPr>
          <w:highlight w:val="none"/>
        </w:rPr>
      </w:pPr>
      <w:r>
        <w:rPr>
          <w:highlight w:val="none"/>
        </w:rPr>
        <w:t>3.管理、调配要求</w:t>
      </w:r>
    </w:p>
    <w:p>
      <w:pPr>
        <w:ind w:firstLine="480"/>
        <w:rPr>
          <w:highlight w:val="none"/>
        </w:rPr>
      </w:pPr>
      <w:r>
        <w:rPr>
          <w:highlight w:val="none"/>
        </w:rPr>
        <w:t>（1）技术负责人的工作和管理由采购人安排，安全管理和薪酬福利待遇由中标人负责；对于采购人提出的技术支撑需求，如可远程操作的，技术负责人须在一小时内响应处理；如无法远程处理或远程操作处理的，须在三小时内到达现场处理。</w:t>
      </w:r>
    </w:p>
    <w:p>
      <w:pPr>
        <w:ind w:firstLine="480"/>
        <w:rPr>
          <w:highlight w:val="none"/>
        </w:rPr>
      </w:pPr>
      <w:r>
        <w:rPr>
          <w:highlight w:val="none"/>
        </w:rPr>
        <w:t>（2）采购人对技术负责人具有更换权和工作调度权，中标人应积极配合；中标人若调动或更换技术负责人的，须经采购人同意后方可调换；技术负责人如出现休假、调动、离职等情况，中标人须安排人员无缝对接工作。</w:t>
      </w:r>
    </w:p>
    <w:p>
      <w:pPr>
        <w:ind w:firstLine="480"/>
        <w:rPr>
          <w:highlight w:val="none"/>
        </w:rPr>
      </w:pPr>
    </w:p>
    <w:p>
      <w:pPr>
        <w:ind w:firstLine="0" w:firstLineChars="0"/>
        <w:outlineLvl w:val="1"/>
        <w:rPr>
          <w:b/>
          <w:bCs/>
          <w:highlight w:val="none"/>
        </w:rPr>
      </w:pPr>
      <w:r>
        <w:rPr>
          <w:rFonts w:hint="eastAsia"/>
          <w:b/>
          <w:bCs/>
          <w:highlight w:val="none"/>
        </w:rPr>
        <w:t>技术标准与要求（采购包2：万江街道龙湾片区智慧城市建设项目二期）</w:t>
      </w:r>
    </w:p>
    <w:tbl>
      <w:tblPr>
        <w:tblStyle w:val="18"/>
        <w:tblW w:w="10374" w:type="dxa"/>
        <w:jc w:val="center"/>
        <w:tblLayout w:type="fixed"/>
        <w:tblCellMar>
          <w:top w:w="0" w:type="dxa"/>
          <w:left w:w="108" w:type="dxa"/>
          <w:bottom w:w="0" w:type="dxa"/>
          <w:right w:w="108" w:type="dxa"/>
        </w:tblCellMar>
      </w:tblPr>
      <w:tblGrid>
        <w:gridCol w:w="627"/>
        <w:gridCol w:w="936"/>
        <w:gridCol w:w="1319"/>
        <w:gridCol w:w="1582"/>
        <w:gridCol w:w="574"/>
        <w:gridCol w:w="728"/>
        <w:gridCol w:w="1284"/>
        <w:gridCol w:w="1404"/>
        <w:gridCol w:w="960"/>
        <w:gridCol w:w="960"/>
      </w:tblGrid>
      <w:tr>
        <w:tblPrEx>
          <w:tblCellMar>
            <w:top w:w="0" w:type="dxa"/>
            <w:left w:w="108" w:type="dxa"/>
            <w:bottom w:w="0" w:type="dxa"/>
            <w:right w:w="108" w:type="dxa"/>
          </w:tblCellMar>
        </w:tblPrEx>
        <w:trPr>
          <w:trHeight w:val="576"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序号</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核心产品要求（“△”）</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品目名称</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标的名称</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单位</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数量</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分项预算单价（元）</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分项预算总价（元）</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所属</w:t>
            </w:r>
          </w:p>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行业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技术</w:t>
            </w:r>
          </w:p>
          <w:p>
            <w:pPr>
              <w:keepNext w:val="0"/>
              <w:keepLines w:val="0"/>
              <w:pageBreakBefore w:val="0"/>
              <w:widowControl/>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要求</w:t>
            </w:r>
          </w:p>
        </w:tc>
      </w:tr>
      <w:tr>
        <w:tblPrEx>
          <w:tblCellMar>
            <w:top w:w="0" w:type="dxa"/>
            <w:left w:w="108" w:type="dxa"/>
            <w:bottom w:w="0" w:type="dxa"/>
            <w:right w:w="108" w:type="dxa"/>
          </w:tblCellMar>
        </w:tblPrEx>
        <w:trPr>
          <w:trHeight w:val="862"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视频监控设备</w:t>
            </w: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生态电警一体化抓拍单元</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10454.16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10454.16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生态反向卡口一体化抓拍单元</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11574.25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393524.5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高清镜头</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1194.76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1194.76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高清镜头</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1344.11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45699.74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bidi="ar"/>
              </w:rPr>
              <w:t>移动违法取证抓拍球机（核心产品）</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77</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20908.32</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1609940.64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详见“附表二”</w:t>
            </w: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生态光学补光灯</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142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1381.44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196164.48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生态频闪补光灯</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2016.16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28226.24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多合1生态智能补光灯</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48</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2538.87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121865.76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智慧管控终端</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7093.9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99314.6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详见“附表二”</w:t>
            </w: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智慧管控终端</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8960.71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17921.42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智能车辆感知一体机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21655.05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129930.3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智能高清摄像机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88</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3360.27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295703.76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详见“附表二”</w:t>
            </w: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双舱感知人像抓拍摄像机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6720.53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362908.62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全方位视觉感知球机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default" w:ascii="仿宋" w:hAnsi="仿宋" w:eastAsia="仿宋" w:cs="仿宋"/>
                <w:sz w:val="24"/>
                <w:szCs w:val="24"/>
                <w:highlight w:val="none"/>
                <w:lang w:val="en-US"/>
              </w:rPr>
            </w:pPr>
            <w:r>
              <w:rPr>
                <w:rFonts w:hint="eastAsia" w:cs="仿宋"/>
                <w:i w:val="0"/>
                <w:iCs w:val="0"/>
                <w:color w:val="000000"/>
                <w:kern w:val="0"/>
                <w:sz w:val="24"/>
                <w:szCs w:val="24"/>
                <w:highlight w:val="none"/>
                <w:u w:val="none"/>
                <w:lang w:val="en-US" w:eastAsia="zh-CN" w:bidi="ar"/>
              </w:rPr>
              <w:t>68</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9931.45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675338.6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1600万180°AR全景摄像机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34722.75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69445.5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壁装横臂</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418.91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51525.93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标线</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m</w:t>
            </w:r>
            <w:r>
              <w:rPr>
                <w:rFonts w:hint="eastAsia" w:ascii="仿宋" w:hAnsi="仿宋" w:eastAsia="仿宋" w:cs="仿宋"/>
                <w:sz w:val="24"/>
                <w:szCs w:val="24"/>
                <w:highlight w:val="none"/>
                <w:vertAlign w:val="superscript"/>
                <w:lang w:val="en-US" w:eastAsia="zh-CN"/>
              </w:rPr>
              <w:t>2</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24958.5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38.83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969138.555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补光设备绝缘导线</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米</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3090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3.36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10382.4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穿线手井</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701.92</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78615.04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电表</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77.66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11804.32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电表箱</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77.66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11804.32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电警管理平台软件授权</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77</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10080.8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776221.6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电气配管</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米</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20300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9.71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197113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杆件雷电防护地网</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597.38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66906.56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感知设备绝缘导线</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米</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9265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5.08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47066.2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高能锂电模块</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2986.9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459982.6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高清视频监控2米支撑杆</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1418.78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2837.56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高清视频监控3.5米支撑杆</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2155.05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15085.35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高清视频监控3.5米支撑杆地脚笼</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9</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295.7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2661.3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高清视频监控3.5米支撑杆基础</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9</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1299.3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11693.7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高清视频监控6米支撑杆</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3942.71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291760.54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高清视频监控6米支撑杆地脚笼</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394.27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29175.98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高清视频监控6米支撑杆基础</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2806.49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207680.26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电警6.5米*10-12米支撑杆</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8363.33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66906.64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电警6.5米*10-12米支撑杆地脚笼</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394.27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3154.16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电警6.5米*10-12米支撑杆基础</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4629.7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37037.6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电警6.5米*14-16-18米支撑杆</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16017.27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32034.54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电警6.5米*14-16-18米支撑杆地脚笼</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1067.82</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2135.64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电警6.5米*14-16-18米支撑杆基础</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10080.8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20161.6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电警6.5米*6米支撑杆</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4599.83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27598.98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电警6.5米*6米支撑杆地脚笼</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394.27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2365.62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电警6.5米*6米支撑杆基础</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2837.56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17025.36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光纤</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米</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4600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8.96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41216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互联通信模块</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77</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2240.18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172493.86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集中式终端控制器</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8960.71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53764.26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交通违法抓拍警示牌</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255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1232.1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314185.5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接地线</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米</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1240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23.9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29636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接线端子</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197</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58.99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11621.03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禁停牌</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373.36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57497.44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绝缘导线RVV3*4</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米</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20200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8.21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165842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六类非屏蔽双绞线</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米</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2430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4.11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9987.3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配电自动重合闸开关</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197</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214.31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42219.07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球机适配支架</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104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221.78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23065.12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市政引入敷设开挖</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米</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20300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134.41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2728523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数据通信卡</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77</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3548.44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273229.88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水晶头</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1866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0.75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1399.5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太阳能光伏板（含一体化支架）</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5973.81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919966.74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万向支架</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375</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73.93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27723.75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引上布管</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米</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2200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15.68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34496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智能射频识别天线</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1493.45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17921.4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智能一体化汇聚控制机涂鸦美化</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1568.12</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20385.56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智能综合落地柜</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4331.01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56303.13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智能综合落地柜基础</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634.72</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8251.36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智能综合一体柜</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183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2762.89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505608.87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详见“附表二”</w:t>
            </w: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工业级网管交换机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193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1120.09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216177.37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东莞铁骑驿站牌</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448.04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1344.12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防暴装备</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1780.94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5342.82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防撞柱</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220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287.49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63247.8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防撞柱基础</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220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287.49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63247.8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办公椅</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224.02</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1344.12</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便民应急物资</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896.07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2688.21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铁骑驿站管理规定</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134.41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403.23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停车位画线</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1344.11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4032.33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智能门禁</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1478.52</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4435.56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数字对讲机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4480.35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26882.1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干粉灭火器</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89.61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537.66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管务工作站</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209083.23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627249.69</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水电设施</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16427.97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49283.91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网络硬盘录像机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6869.88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20609.64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路面硬化</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22401.77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67205.31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空调</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4106.99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12320.97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灭火器箱</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89.61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268.83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监控</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746.73</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4480.38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接警台</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1866.81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5600.43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指挥台</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1493.45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4480.35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膜结构停车棚</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17174.69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51524.07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安装费</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10454.16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31362.48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无人机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29196.98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87590.94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无人机及机场保养费</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11200.89</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33602.67</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探照灯</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1492.7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4478.1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240W桌面充电器</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671.31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2013.93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电池</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1492.7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17912.4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充电管家</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409.95</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1229.85</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4G模块</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521.96</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1565.88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飞机保险</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2688.21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8064.63</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通信服务费</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73298.61</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73298.61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机场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个</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58916.67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176750.01</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机场保险</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4405.68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13217.04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99</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视频图像存储服务器</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123583.12</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247166.24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100</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级联视频通道数</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路</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3000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52.27</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156810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101</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汇聚交换机</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4405.68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8811.36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102</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精密空调</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台</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82139.84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82139.84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103</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企业级高性能硬盘</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片</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66</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4405.68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290774.88</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104</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万兆光模块</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块</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195.64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782.56</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105</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本级监控通道数</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路</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500</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59.74</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29870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106</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3年数据传输链路</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条</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123</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15228</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1873044</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107</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3年运营电费</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点</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rPr>
            </w:pPr>
            <w:r>
              <w:rPr>
                <w:rFonts w:hint="eastAsia" w:ascii="仿宋" w:hAnsi="仿宋" w:eastAsia="仿宋" w:cs="仿宋"/>
                <w:i w:val="0"/>
                <w:iCs w:val="0"/>
                <w:color w:val="000000"/>
                <w:kern w:val="0"/>
                <w:sz w:val="24"/>
                <w:szCs w:val="24"/>
                <w:highlight w:val="none"/>
                <w:u w:val="none"/>
                <w:lang w:val="en-US" w:eastAsia="zh-CN" w:bidi="ar"/>
              </w:rPr>
              <w:t>152</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2340</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rPr>
            </w:pPr>
            <w:r>
              <w:rPr>
                <w:rFonts w:hint="eastAsia" w:ascii="仿宋" w:hAnsi="仿宋" w:eastAsia="仿宋" w:cs="仿宋"/>
                <w:i w:val="0"/>
                <w:iCs w:val="0"/>
                <w:color w:val="000000"/>
                <w:kern w:val="0"/>
                <w:sz w:val="24"/>
                <w:szCs w:val="24"/>
                <w:highlight w:val="none"/>
                <w:u w:val="none"/>
                <w:lang w:val="en-US" w:eastAsia="zh-CN" w:bidi="ar"/>
              </w:rPr>
              <w:t>355680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r>
        <w:tblPrEx>
          <w:tblCellMar>
            <w:top w:w="0" w:type="dxa"/>
            <w:left w:w="108" w:type="dxa"/>
            <w:bottom w:w="0" w:type="dxa"/>
            <w:right w:w="108" w:type="dxa"/>
          </w:tblCellMar>
        </w:tblPrEx>
        <w:trPr>
          <w:trHeight w:val="864" w:hRule="atLeast"/>
          <w:jc w:val="center"/>
        </w:trPr>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108</w:t>
            </w:r>
          </w:p>
        </w:tc>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3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c>
          <w:tcPr>
            <w:tcW w:w="15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3名驻点人员运维费</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年</w:t>
            </w:r>
          </w:p>
        </w:tc>
        <w:tc>
          <w:tcPr>
            <w:tcW w:w="7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eastAsia="zh-CN"/>
              </w:rPr>
            </w:pPr>
            <w:r>
              <w:rPr>
                <w:rFonts w:hint="eastAsia" w:ascii="仿宋" w:hAnsi="仿宋" w:eastAsia="仿宋" w:cs="仿宋"/>
                <w:i w:val="0"/>
                <w:iCs w:val="0"/>
                <w:color w:val="000000"/>
                <w:kern w:val="0"/>
                <w:sz w:val="24"/>
                <w:szCs w:val="24"/>
                <w:highlight w:val="none"/>
                <w:u w:val="none"/>
                <w:lang w:val="en-US" w:eastAsia="zh-CN" w:bidi="ar"/>
              </w:rPr>
              <w:t>1</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right"/>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374400</w:t>
            </w:r>
          </w:p>
        </w:tc>
        <w:tc>
          <w:tcPr>
            <w:tcW w:w="14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0" w:firstLineChars="0"/>
              <w:jc w:val="center"/>
              <w:textAlignment w:val="center"/>
              <w:rPr>
                <w:rFonts w:hint="eastAsia" w:ascii="仿宋" w:hAnsi="仿宋" w:eastAsia="仿宋" w:cs="仿宋"/>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374400</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工业</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val="0"/>
              <w:autoSpaceDN w:val="0"/>
              <w:bidi w:val="0"/>
              <w:adjustRightInd/>
              <w:snapToGrid/>
              <w:spacing w:line="240" w:lineRule="auto"/>
              <w:ind w:firstLine="0" w:firstLineChars="0"/>
              <w:jc w:val="center"/>
              <w:rPr>
                <w:rFonts w:hint="eastAsia" w:ascii="仿宋" w:hAnsi="仿宋" w:eastAsia="仿宋" w:cs="仿宋"/>
                <w:sz w:val="24"/>
                <w:szCs w:val="24"/>
                <w:highlight w:val="none"/>
              </w:rPr>
            </w:pPr>
          </w:p>
        </w:tc>
      </w:tr>
    </w:tbl>
    <w:p>
      <w:pPr>
        <w:ind w:firstLine="440"/>
        <w:rPr>
          <w:color w:val="212121"/>
          <w:spacing w:val="10"/>
          <w:sz w:val="21"/>
          <w:szCs w:val="21"/>
          <w:highlight w:val="none"/>
        </w:rPr>
      </w:pPr>
    </w:p>
    <w:p>
      <w:pPr>
        <w:ind w:firstLine="480"/>
        <w:outlineLvl w:val="2"/>
        <w:rPr>
          <w:highlight w:val="none"/>
        </w:rPr>
      </w:pPr>
      <w:r>
        <w:rPr>
          <w:rFonts w:hint="eastAsia"/>
          <w:highlight w:val="none"/>
        </w:rPr>
        <w:t>附表二：万江街道龙湾片区智慧城市建设项目二期</w:t>
      </w:r>
    </w:p>
    <w:tbl>
      <w:tblPr>
        <w:tblStyle w:val="18"/>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13"/>
        <w:gridCol w:w="750"/>
        <w:gridCol w:w="878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3" w:type="dxa"/>
            <w:vAlign w:val="center"/>
          </w:tcPr>
          <w:p>
            <w:pPr>
              <w:pStyle w:val="27"/>
              <w:rPr>
                <w:highlight w:val="none"/>
              </w:rPr>
            </w:pPr>
            <w:r>
              <w:rPr>
                <w:rFonts w:hint="eastAsia"/>
                <w:highlight w:val="none"/>
              </w:rPr>
              <w:t>参数性质</w:t>
            </w:r>
          </w:p>
        </w:tc>
        <w:tc>
          <w:tcPr>
            <w:tcW w:w="750" w:type="dxa"/>
            <w:tcBorders>
              <w:bottom w:val="single" w:color="auto" w:sz="4" w:space="0"/>
            </w:tcBorders>
            <w:vAlign w:val="center"/>
          </w:tcPr>
          <w:p>
            <w:pPr>
              <w:pStyle w:val="27"/>
              <w:rPr>
                <w:highlight w:val="none"/>
              </w:rPr>
            </w:pPr>
            <w:r>
              <w:rPr>
                <w:rFonts w:hint="eastAsia"/>
                <w:highlight w:val="none"/>
              </w:rPr>
              <w:t>序号</w:t>
            </w:r>
          </w:p>
        </w:tc>
        <w:tc>
          <w:tcPr>
            <w:tcW w:w="8782" w:type="dxa"/>
            <w:tcBorders>
              <w:bottom w:val="single" w:color="auto" w:sz="4" w:space="0"/>
            </w:tcBorders>
            <w:vAlign w:val="center"/>
          </w:tcPr>
          <w:p>
            <w:pPr>
              <w:pStyle w:val="27"/>
              <w:rPr>
                <w:highlight w:val="none"/>
              </w:rPr>
            </w:pPr>
            <w:r>
              <w:rPr>
                <w:rFonts w:hint="eastAsia"/>
                <w:highlight w:val="none"/>
              </w:rPr>
              <w:t>具体技术(参数)要求</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3" w:type="dxa"/>
            <w:tcBorders>
              <w:right w:val="single" w:color="auto" w:sz="4" w:space="0"/>
            </w:tcBorders>
            <w:vAlign w:val="center"/>
          </w:tcPr>
          <w:p>
            <w:pPr>
              <w:pStyle w:val="27"/>
              <w:rPr>
                <w:highlight w:val="none"/>
              </w:rPr>
            </w:pPr>
          </w:p>
        </w:tc>
        <w:tc>
          <w:tcPr>
            <w:tcW w:w="750" w:type="dxa"/>
            <w:tcBorders>
              <w:top w:val="single" w:color="auto" w:sz="4" w:space="0"/>
              <w:left w:val="single" w:color="auto" w:sz="4" w:space="0"/>
              <w:bottom w:val="single" w:color="auto" w:sz="4" w:space="0"/>
            </w:tcBorders>
            <w:vAlign w:val="center"/>
          </w:tcPr>
          <w:p>
            <w:pPr>
              <w:pStyle w:val="27"/>
              <w:rPr>
                <w:highlight w:val="none"/>
              </w:rPr>
            </w:pPr>
            <w:r>
              <w:rPr>
                <w:rFonts w:hint="eastAsia"/>
                <w:highlight w:val="none"/>
              </w:rPr>
              <w:t>1</w:t>
            </w:r>
          </w:p>
        </w:tc>
        <w:tc>
          <w:tcPr>
            <w:tcW w:w="8782" w:type="dxa"/>
            <w:tcBorders>
              <w:top w:val="single" w:color="auto" w:sz="4" w:space="0"/>
              <w:bottom w:val="single" w:color="auto" w:sz="4" w:space="0"/>
              <w:right w:val="single" w:color="auto" w:sz="4" w:space="0"/>
            </w:tcBorders>
          </w:tcPr>
          <w:tbl>
            <w:tblPr>
              <w:tblStyle w:val="19"/>
              <w:tblW w:w="8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110"/>
              <w:gridCol w:w="6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707" w:type="dxa"/>
                  <w:shd w:val="clear" w:color="auto" w:fill="auto"/>
                  <w:vAlign w:val="center"/>
                </w:tcPr>
                <w:p>
                  <w:pPr>
                    <w:pStyle w:val="27"/>
                    <w:wordWrap w:val="0"/>
                    <w:rPr>
                      <w:highlight w:val="none"/>
                    </w:rPr>
                  </w:pPr>
                  <w:r>
                    <w:rPr>
                      <w:rFonts w:hint="eastAsia"/>
                      <w:highlight w:val="none"/>
                    </w:rPr>
                    <w:t>1</w:t>
                  </w:r>
                </w:p>
              </w:tc>
              <w:tc>
                <w:tcPr>
                  <w:tcW w:w="1110" w:type="dxa"/>
                  <w:shd w:val="clear" w:color="auto" w:fill="auto"/>
                  <w:vAlign w:val="center"/>
                </w:tcPr>
                <w:p>
                  <w:pPr>
                    <w:pStyle w:val="27"/>
                    <w:wordWrap w:val="0"/>
                    <w:rPr>
                      <w:highlight w:val="none"/>
                    </w:rPr>
                  </w:pPr>
                  <w:r>
                    <w:rPr>
                      <w:rFonts w:hint="eastAsia"/>
                      <w:highlight w:val="none"/>
                    </w:rPr>
                    <w:t>智能高清摄像机</w:t>
                  </w:r>
                </w:p>
              </w:tc>
              <w:tc>
                <w:tcPr>
                  <w:tcW w:w="6749" w:type="dxa"/>
                  <w:shd w:val="clear" w:color="auto" w:fill="auto"/>
                  <w:vAlign w:val="center"/>
                </w:tcPr>
                <w:p>
                  <w:pPr>
                    <w:widowControl/>
                    <w:wordWrap w:val="0"/>
                    <w:spacing w:line="240" w:lineRule="auto"/>
                    <w:ind w:firstLine="400"/>
                    <w:rPr>
                      <w:rFonts w:cs="宋体"/>
                      <w:sz w:val="20"/>
                      <w:szCs w:val="20"/>
                      <w:highlight w:val="none"/>
                    </w:rPr>
                  </w:pPr>
                  <w:r>
                    <w:rPr>
                      <w:rFonts w:hint="eastAsia" w:cs="宋体"/>
                      <w:sz w:val="20"/>
                      <w:szCs w:val="20"/>
                      <w:highlight w:val="none"/>
                    </w:rPr>
                    <w:t>1.分辨率≥3840×2160；传感器靶面≥1/1.8"，镜头焦距≥2.8-12mm；</w:t>
                  </w:r>
                </w:p>
                <w:p>
                  <w:pPr>
                    <w:widowControl/>
                    <w:wordWrap w:val="0"/>
                    <w:spacing w:line="240" w:lineRule="auto"/>
                    <w:ind w:firstLine="400"/>
                    <w:rPr>
                      <w:rFonts w:cs="宋体"/>
                      <w:sz w:val="20"/>
                      <w:szCs w:val="20"/>
                      <w:highlight w:val="none"/>
                    </w:rPr>
                  </w:pPr>
                  <w:r>
                    <w:rPr>
                      <w:rFonts w:hint="eastAsia" w:cs="宋体"/>
                      <w:sz w:val="20"/>
                      <w:szCs w:val="20"/>
                      <w:highlight w:val="none"/>
                    </w:rPr>
                    <w:t>2.内置≥1个CPU、GPU、NPU—体化芯片；</w:t>
                  </w:r>
                </w:p>
                <w:p>
                  <w:pPr>
                    <w:widowControl/>
                    <w:wordWrap w:val="0"/>
                    <w:spacing w:line="240" w:lineRule="auto"/>
                    <w:ind w:firstLine="400"/>
                    <w:rPr>
                      <w:rFonts w:cs="宋体"/>
                      <w:sz w:val="20"/>
                      <w:szCs w:val="20"/>
                      <w:highlight w:val="none"/>
                    </w:rPr>
                  </w:pPr>
                  <w:r>
                    <w:rPr>
                      <w:rFonts w:hint="eastAsia" w:cs="宋体"/>
                      <w:sz w:val="20"/>
                      <w:szCs w:val="20"/>
                      <w:highlight w:val="none"/>
                    </w:rPr>
                    <w:t>3.内置红外和柔光补光，红外补光距离≥50米，柔光≥30米；</w:t>
                  </w:r>
                </w:p>
                <w:p>
                  <w:pPr>
                    <w:widowControl/>
                    <w:wordWrap w:val="0"/>
                    <w:spacing w:line="240" w:lineRule="auto"/>
                    <w:ind w:firstLine="400"/>
                    <w:rPr>
                      <w:rFonts w:cs="宋体"/>
                      <w:sz w:val="20"/>
                      <w:szCs w:val="20"/>
                      <w:highlight w:val="none"/>
                    </w:rPr>
                  </w:pPr>
                  <w:r>
                    <w:rPr>
                      <w:rFonts w:hint="eastAsia" w:cs="宋体"/>
                      <w:sz w:val="20"/>
                      <w:szCs w:val="20"/>
                      <w:highlight w:val="none"/>
                    </w:rPr>
                    <w:t>4.支持下面5种多算法切换运行：</w:t>
                  </w:r>
                </w:p>
                <w:p>
                  <w:pPr>
                    <w:widowControl/>
                    <w:wordWrap w:val="0"/>
                    <w:spacing w:line="240" w:lineRule="auto"/>
                    <w:ind w:firstLine="400"/>
                    <w:rPr>
                      <w:rFonts w:cs="宋体"/>
                      <w:sz w:val="20"/>
                      <w:szCs w:val="20"/>
                      <w:highlight w:val="none"/>
                    </w:rPr>
                  </w:pPr>
                  <w:r>
                    <w:rPr>
                      <w:rFonts w:hint="eastAsia" w:cs="宋体"/>
                      <w:sz w:val="20"/>
                      <w:szCs w:val="20"/>
                      <w:highlight w:val="none"/>
                    </w:rPr>
                    <w:t>1）目标智能2）车辆智能3）行为分析智能4）态势分析智能5）普通事件分析</w:t>
                  </w:r>
                </w:p>
                <w:p>
                  <w:pPr>
                    <w:widowControl/>
                    <w:wordWrap w:val="0"/>
                    <w:spacing w:line="240" w:lineRule="auto"/>
                    <w:ind w:firstLine="400"/>
                    <w:rPr>
                      <w:rFonts w:cs="宋体"/>
                      <w:sz w:val="20"/>
                      <w:szCs w:val="20"/>
                      <w:highlight w:val="none"/>
                    </w:rPr>
                  </w:pPr>
                  <w:r>
                    <w:rPr>
                      <w:rFonts w:hint="eastAsia" w:cs="宋体"/>
                      <w:sz w:val="20"/>
                      <w:szCs w:val="20"/>
                      <w:highlight w:val="none"/>
                    </w:rPr>
                    <w:t>5.支持多角度人脸检测功能，支持检出水平转动角不超过±90°，俯仰角不超过±60°，倾斜角不超过±45°姿态角度的人脸抓拍；支持对运动人脸进行检测、跟踪、抓拍、评分、筛选，输出最优的人脸抓拍图，最佳人脸抓拍模式支持单张或多张目标快照输出，人脸抓拍率≥99%，支持对最佳人脸抓拍图片筛选去重，重复率≤1%；</w:t>
                  </w:r>
                </w:p>
                <w:p>
                  <w:pPr>
                    <w:widowControl/>
                    <w:wordWrap w:val="0"/>
                    <w:spacing w:line="240" w:lineRule="auto"/>
                    <w:ind w:firstLine="400"/>
                    <w:rPr>
                      <w:rFonts w:cs="宋体"/>
                      <w:sz w:val="20"/>
                      <w:szCs w:val="20"/>
                      <w:highlight w:val="none"/>
                    </w:rPr>
                  </w:pPr>
                  <w:r>
                    <w:rPr>
                      <w:rFonts w:hint="eastAsia" w:cs="宋体"/>
                      <w:sz w:val="20"/>
                      <w:szCs w:val="20"/>
                      <w:highlight w:val="none"/>
                    </w:rPr>
                    <w:t>6.支持对经过监控画面中的行人进行（自上而下，自下而上）的人流量统计，支持双向通行的人数统计，准确率≥99%，支持报表统计，支持日报表、周报表、月报表、年报表；</w:t>
                  </w:r>
                </w:p>
                <w:p>
                  <w:pPr>
                    <w:widowControl/>
                    <w:wordWrap w:val="0"/>
                    <w:spacing w:line="240" w:lineRule="auto"/>
                    <w:ind w:firstLine="400"/>
                    <w:rPr>
                      <w:rFonts w:cs="宋体"/>
                      <w:sz w:val="20"/>
                      <w:szCs w:val="20"/>
                      <w:highlight w:val="none"/>
                    </w:rPr>
                  </w:pPr>
                  <w:r>
                    <w:rPr>
                      <w:rFonts w:hint="eastAsia" w:cs="宋体"/>
                      <w:color w:val="0000FF"/>
                      <w:sz w:val="20"/>
                      <w:szCs w:val="20"/>
                      <w:highlight w:val="none"/>
                    </w:rPr>
                    <w:t>▲</w:t>
                  </w:r>
                  <w:r>
                    <w:rPr>
                      <w:rFonts w:hint="eastAsia" w:cs="宋体"/>
                      <w:sz w:val="20"/>
                      <w:szCs w:val="20"/>
                      <w:highlight w:val="none"/>
                    </w:rPr>
                    <w:t>7.具有智能分析功能（如：人员聚集、过线统计、区域入侵检测、越线检测、视频遮挡、场景变更、虚焦检测、徘徊检测、遗留检测、物品移走检测、移动侦测、区域进入/离开、停车侦测）支持将智能分析结果传递至客户端。平均捕获率≥99%，平均准确率≥99%；（须提供CNAS或</w:t>
                  </w:r>
                  <w:r>
                    <w:rPr>
                      <w:rFonts w:cs="宋体"/>
                      <w:sz w:val="20"/>
                      <w:szCs w:val="20"/>
                      <w:highlight w:val="none"/>
                    </w:rPr>
                    <w:t>CMA</w:t>
                  </w:r>
                  <w:r>
                    <w:rPr>
                      <w:rFonts w:hint="eastAsia" w:cs="宋体"/>
                      <w:sz w:val="20"/>
                      <w:szCs w:val="20"/>
                      <w:highlight w:val="none"/>
                    </w:rPr>
                    <w:t>有效认证的检测机构出具的检测（验）报告等复印件并加盖投标人公章。）</w:t>
                  </w:r>
                </w:p>
                <w:p>
                  <w:pPr>
                    <w:widowControl/>
                    <w:wordWrap w:val="0"/>
                    <w:spacing w:line="240" w:lineRule="auto"/>
                    <w:ind w:firstLine="400"/>
                    <w:rPr>
                      <w:rFonts w:cs="宋体"/>
                      <w:sz w:val="20"/>
                      <w:szCs w:val="20"/>
                      <w:highlight w:val="none"/>
                    </w:rPr>
                  </w:pPr>
                  <w:r>
                    <w:rPr>
                      <w:rFonts w:hint="eastAsia" w:cs="宋体"/>
                      <w:sz w:val="20"/>
                      <w:szCs w:val="20"/>
                      <w:highlight w:val="none"/>
                    </w:rPr>
                    <w:t>8.支持机动车、非机动车、行人等目标检测功能，其中非机动车抓拍可对自行车、电瓶车、三轮车进行抓拍，支持摩托车抓拍功能。支持对非机动车的骑行人进行属性识别，机动车和非机动车及行人捕获率不低于99%</w:t>
                  </w:r>
                </w:p>
                <w:p>
                  <w:pPr>
                    <w:widowControl/>
                    <w:wordWrap w:val="0"/>
                    <w:spacing w:line="240" w:lineRule="auto"/>
                    <w:ind w:firstLine="400"/>
                    <w:rPr>
                      <w:rFonts w:cs="宋体"/>
                      <w:sz w:val="20"/>
                      <w:szCs w:val="20"/>
                      <w:highlight w:val="none"/>
                    </w:rPr>
                  </w:pPr>
                  <w:r>
                    <w:rPr>
                      <w:rFonts w:hint="eastAsia" w:cs="宋体"/>
                      <w:sz w:val="20"/>
                      <w:szCs w:val="20"/>
                      <w:highlight w:val="none"/>
                    </w:rPr>
                    <w:t>9.具有不少于如下接口：1个RJ45为10M/100M/1000M自适应网络接口、1路音频输入、1路音频输出、2路告警输入、1路告警输出、内置双路MIC、内置扬声器；</w:t>
                  </w:r>
                </w:p>
                <w:p>
                  <w:pPr>
                    <w:widowControl/>
                    <w:wordWrap w:val="0"/>
                    <w:spacing w:line="240" w:lineRule="auto"/>
                    <w:ind w:firstLine="400"/>
                    <w:rPr>
                      <w:rFonts w:cs="宋体"/>
                      <w:sz w:val="20"/>
                      <w:szCs w:val="20"/>
                      <w:highlight w:val="none"/>
                    </w:rPr>
                  </w:pPr>
                  <w:r>
                    <w:rPr>
                      <w:rFonts w:hint="eastAsia" w:cs="宋体"/>
                      <w:sz w:val="20"/>
                      <w:szCs w:val="20"/>
                      <w:highlight w:val="none"/>
                    </w:rPr>
                    <w:t>10.应能在DC12V±30%范围内正常工作，支持POE供电；防护等级：IP67；</w:t>
                  </w:r>
                </w:p>
                <w:p>
                  <w:pPr>
                    <w:widowControl/>
                    <w:wordWrap w:val="0"/>
                    <w:spacing w:line="240" w:lineRule="auto"/>
                    <w:ind w:firstLine="400"/>
                    <w:rPr>
                      <w:rFonts w:cs="宋体"/>
                      <w:sz w:val="20"/>
                      <w:szCs w:val="20"/>
                      <w:highlight w:val="none"/>
                    </w:rPr>
                  </w:pPr>
                  <w:r>
                    <w:rPr>
                      <w:rFonts w:hint="eastAsia" w:cs="宋体"/>
                      <w:sz w:val="20"/>
                      <w:szCs w:val="20"/>
                      <w:highlight w:val="none"/>
                    </w:rPr>
                    <w:t>11.设备搭载国产化操作系统。</w:t>
                  </w:r>
                </w:p>
                <w:p>
                  <w:pPr>
                    <w:widowControl/>
                    <w:spacing w:line="240" w:lineRule="auto"/>
                    <w:ind w:firstLine="400"/>
                    <w:rPr>
                      <w:highlight w:val="none"/>
                    </w:rPr>
                  </w:pPr>
                  <w:r>
                    <w:rPr>
                      <w:rFonts w:hint="eastAsia" w:cs="宋体"/>
                      <w:color w:val="0000FF"/>
                      <w:sz w:val="20"/>
                      <w:szCs w:val="20"/>
                      <w:highlight w:val="none"/>
                    </w:rPr>
                    <w:t>▲</w:t>
                  </w:r>
                  <w:r>
                    <w:rPr>
                      <w:rFonts w:hint="eastAsia" w:cs="宋体"/>
                      <w:sz w:val="20"/>
                      <w:szCs w:val="20"/>
                      <w:highlight w:val="none"/>
                    </w:rPr>
                    <w:t>12、支持自动识别背光、运动速度、雾（雨）天、正常等场景，并能在&lt;1S的时间内快速自适应调整响应的图像参数。（须提供CNAS或</w:t>
                  </w:r>
                  <w:r>
                    <w:rPr>
                      <w:rFonts w:cs="宋体"/>
                      <w:sz w:val="20"/>
                      <w:szCs w:val="20"/>
                      <w:highlight w:val="none"/>
                    </w:rPr>
                    <w:t>CMA</w:t>
                  </w:r>
                  <w:r>
                    <w:rPr>
                      <w:rFonts w:hint="eastAsia" w:cs="宋体"/>
                      <w:sz w:val="20"/>
                      <w:szCs w:val="20"/>
                      <w:highlight w:val="none"/>
                    </w:rPr>
                    <w:t>有效认证的检测机构出具的检测（验）报告等复印件并加盖投标人公章。）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shd w:val="clear" w:color="auto" w:fill="auto"/>
                  <w:vAlign w:val="center"/>
                </w:tcPr>
                <w:p>
                  <w:pPr>
                    <w:pStyle w:val="27"/>
                    <w:wordWrap w:val="0"/>
                    <w:rPr>
                      <w:highlight w:val="none"/>
                    </w:rPr>
                  </w:pPr>
                  <w:r>
                    <w:rPr>
                      <w:rFonts w:hint="eastAsia"/>
                      <w:highlight w:val="none"/>
                    </w:rPr>
                    <w:t>2</w:t>
                  </w:r>
                </w:p>
              </w:tc>
              <w:tc>
                <w:tcPr>
                  <w:tcW w:w="1110" w:type="dxa"/>
                  <w:shd w:val="clear" w:color="auto" w:fill="auto"/>
                  <w:vAlign w:val="center"/>
                </w:tcPr>
                <w:p>
                  <w:pPr>
                    <w:pStyle w:val="27"/>
                    <w:wordWrap w:val="0"/>
                    <w:rPr>
                      <w:highlight w:val="none"/>
                    </w:rPr>
                  </w:pPr>
                  <w:r>
                    <w:rPr>
                      <w:rFonts w:hint="eastAsia"/>
                      <w:highlight w:val="none"/>
                    </w:rPr>
                    <w:t>智能综合一体柜</w:t>
                  </w:r>
                </w:p>
              </w:tc>
              <w:tc>
                <w:tcPr>
                  <w:tcW w:w="6749" w:type="dxa"/>
                  <w:shd w:val="clear" w:color="000000" w:fill="FFFFFF"/>
                  <w:vAlign w:val="center"/>
                </w:tcPr>
                <w:p>
                  <w:pPr>
                    <w:widowControl/>
                    <w:wordWrap w:val="0"/>
                    <w:spacing w:line="240" w:lineRule="auto"/>
                    <w:ind w:firstLine="420"/>
                    <w:rPr>
                      <w:rStyle w:val="33"/>
                      <w:highlight w:val="none"/>
                    </w:rPr>
                  </w:pPr>
                  <w:r>
                    <w:rPr>
                      <w:rStyle w:val="33"/>
                      <w:rFonts w:hint="eastAsia"/>
                      <w:highlight w:val="none"/>
                    </w:rPr>
                    <w:t>1.模块化设计，安装维护简单便捷</w:t>
                  </w:r>
                </w:p>
                <w:p>
                  <w:pPr>
                    <w:widowControl/>
                    <w:wordWrap w:val="0"/>
                    <w:spacing w:line="240" w:lineRule="auto"/>
                    <w:ind w:firstLine="420"/>
                    <w:rPr>
                      <w:rStyle w:val="33"/>
                      <w:highlight w:val="none"/>
                    </w:rPr>
                  </w:pPr>
                  <w:r>
                    <w:rPr>
                      <w:rStyle w:val="33"/>
                      <w:rFonts w:hint="eastAsia"/>
                      <w:highlight w:val="none"/>
                    </w:rPr>
                    <w:t>2.支持设备远程重启</w:t>
                  </w:r>
                </w:p>
                <w:p>
                  <w:pPr>
                    <w:widowControl/>
                    <w:wordWrap w:val="0"/>
                    <w:spacing w:line="240" w:lineRule="auto"/>
                    <w:ind w:firstLine="420"/>
                    <w:rPr>
                      <w:rStyle w:val="33"/>
                      <w:highlight w:val="none"/>
                    </w:rPr>
                  </w:pPr>
                  <w:r>
                    <w:rPr>
                      <w:rStyle w:val="33"/>
                      <w:rFonts w:hint="eastAsia"/>
                      <w:highlight w:val="none"/>
                    </w:rPr>
                    <w:t>3.支持用电检测与统计</w:t>
                  </w:r>
                </w:p>
                <w:p>
                  <w:pPr>
                    <w:widowControl/>
                    <w:wordWrap w:val="0"/>
                    <w:spacing w:line="240" w:lineRule="auto"/>
                    <w:ind w:firstLine="420"/>
                    <w:rPr>
                      <w:rStyle w:val="33"/>
                      <w:highlight w:val="none"/>
                    </w:rPr>
                  </w:pPr>
                  <w:r>
                    <w:rPr>
                      <w:rStyle w:val="33"/>
                      <w:rFonts w:hint="eastAsia"/>
                      <w:highlight w:val="none"/>
                    </w:rPr>
                    <w:t>4.支持市电掉电告警、设备离线告警</w:t>
                  </w:r>
                </w:p>
                <w:p>
                  <w:pPr>
                    <w:widowControl/>
                    <w:wordWrap w:val="0"/>
                    <w:spacing w:line="240" w:lineRule="auto"/>
                    <w:ind w:firstLine="400"/>
                    <w:rPr>
                      <w:rStyle w:val="33"/>
                      <w:highlight w:val="none"/>
                    </w:rPr>
                  </w:pPr>
                  <w:r>
                    <w:rPr>
                      <w:rFonts w:hint="eastAsia" w:cs="宋体"/>
                      <w:color w:val="0000FF"/>
                      <w:sz w:val="20"/>
                      <w:szCs w:val="20"/>
                      <w:highlight w:val="none"/>
                    </w:rPr>
                    <w:t>▲</w:t>
                  </w:r>
                  <w:r>
                    <w:rPr>
                      <w:rStyle w:val="33"/>
                      <w:rFonts w:hint="eastAsia"/>
                      <w:highlight w:val="none"/>
                    </w:rPr>
                    <w:t>5.不少于16路常亮灯、频闪灯、环保卡口灯接入与管理，支持补光灯白天灯亮告警、夜晚灯熄告警</w:t>
                  </w:r>
                  <w:r>
                    <w:rPr>
                      <w:rFonts w:hint="eastAsia" w:cs="宋体"/>
                      <w:sz w:val="20"/>
                      <w:szCs w:val="20"/>
                      <w:highlight w:val="none"/>
                    </w:rPr>
                    <w:t>（须提供CNAS或</w:t>
                  </w:r>
                  <w:r>
                    <w:rPr>
                      <w:rFonts w:cs="宋体"/>
                      <w:sz w:val="20"/>
                      <w:szCs w:val="20"/>
                      <w:highlight w:val="none"/>
                    </w:rPr>
                    <w:t>CMA</w:t>
                  </w:r>
                  <w:r>
                    <w:rPr>
                      <w:rFonts w:hint="eastAsia" w:cs="宋体"/>
                      <w:sz w:val="20"/>
                      <w:szCs w:val="20"/>
                      <w:highlight w:val="none"/>
                    </w:rPr>
                    <w:t>有效认证的检测机构出具的检测（验）报告等复印件并加盖投标人公章。）；</w:t>
                  </w:r>
                </w:p>
                <w:p>
                  <w:pPr>
                    <w:widowControl/>
                    <w:wordWrap w:val="0"/>
                    <w:spacing w:line="240" w:lineRule="auto"/>
                    <w:ind w:firstLine="420"/>
                    <w:rPr>
                      <w:rStyle w:val="33"/>
                      <w:highlight w:val="none"/>
                    </w:rPr>
                  </w:pPr>
                  <w:r>
                    <w:rPr>
                      <w:rStyle w:val="33"/>
                      <w:rFonts w:hint="eastAsia"/>
                      <w:highlight w:val="none"/>
                    </w:rPr>
                    <w:t>6.支持开箱告警、震动告警、倾斜告警、水浸告警</w:t>
                  </w:r>
                </w:p>
                <w:p>
                  <w:pPr>
                    <w:widowControl/>
                    <w:wordWrap w:val="0"/>
                    <w:spacing w:line="240" w:lineRule="auto"/>
                    <w:ind w:firstLine="420"/>
                    <w:rPr>
                      <w:rStyle w:val="33"/>
                      <w:highlight w:val="none"/>
                    </w:rPr>
                  </w:pPr>
                  <w:r>
                    <w:rPr>
                      <w:rStyle w:val="33"/>
                      <w:rFonts w:hint="eastAsia"/>
                      <w:highlight w:val="none"/>
                    </w:rPr>
                    <w:t>7.预留充足外设空间，满足用户对功能扩展的需求</w:t>
                  </w:r>
                </w:p>
                <w:p>
                  <w:pPr>
                    <w:widowControl/>
                    <w:wordWrap w:val="0"/>
                    <w:spacing w:line="240" w:lineRule="auto"/>
                    <w:ind w:firstLine="420"/>
                    <w:rPr>
                      <w:rStyle w:val="33"/>
                      <w:highlight w:val="none"/>
                    </w:rPr>
                  </w:pPr>
                  <w:r>
                    <w:rPr>
                      <w:rStyle w:val="33"/>
                      <w:rFonts w:hint="eastAsia"/>
                      <w:highlight w:val="none"/>
                    </w:rPr>
                    <w:t>8.支持开箱亮灯、风扇自动启停、加热器自动启停</w:t>
                  </w:r>
                </w:p>
                <w:p>
                  <w:pPr>
                    <w:widowControl/>
                    <w:wordWrap w:val="0"/>
                    <w:spacing w:line="240" w:lineRule="auto"/>
                    <w:ind w:firstLine="420"/>
                    <w:rPr>
                      <w:rStyle w:val="33"/>
                      <w:highlight w:val="none"/>
                    </w:rPr>
                  </w:pPr>
                  <w:r>
                    <w:rPr>
                      <w:rStyle w:val="33"/>
                      <w:rFonts w:hint="eastAsia"/>
                      <w:highlight w:val="none"/>
                    </w:rPr>
                    <w:t>9.支持输出端口自定义，支持配置不同控制策略，支持功率学习</w:t>
                  </w:r>
                </w:p>
                <w:p>
                  <w:pPr>
                    <w:pStyle w:val="2"/>
                    <w:widowControl/>
                    <w:spacing w:line="240" w:lineRule="auto"/>
                    <w:ind w:left="0" w:leftChars="0" w:firstLine="400"/>
                    <w:rPr>
                      <w:highlight w:val="none"/>
                    </w:rPr>
                  </w:pPr>
                  <w:r>
                    <w:rPr>
                      <w:rFonts w:hint="eastAsia" w:cs="宋体"/>
                      <w:color w:val="0000FF"/>
                      <w:sz w:val="20"/>
                      <w:szCs w:val="20"/>
                      <w:highlight w:val="none"/>
                    </w:rPr>
                    <w:t>▲</w:t>
                  </w:r>
                  <w:r>
                    <w:rPr>
                      <w:rStyle w:val="33"/>
                      <w:rFonts w:hint="eastAsia"/>
                      <w:highlight w:val="none"/>
                    </w:rPr>
                    <w:t>10.可配置智能补光灯的工作模式（至少包括：光敏控制、手动控制、频爆模式、三合一、四合一模式）</w:t>
                  </w:r>
                  <w:r>
                    <w:rPr>
                      <w:rFonts w:hint="eastAsia" w:cs="宋体"/>
                      <w:sz w:val="20"/>
                      <w:szCs w:val="20"/>
                      <w:highlight w:val="none"/>
                    </w:rPr>
                    <w:t>（须提供CNAS或</w:t>
                  </w:r>
                  <w:r>
                    <w:rPr>
                      <w:rFonts w:cs="宋体"/>
                      <w:sz w:val="20"/>
                      <w:szCs w:val="20"/>
                      <w:highlight w:val="none"/>
                    </w:rPr>
                    <w:t>CMA</w:t>
                  </w:r>
                  <w:r>
                    <w:rPr>
                      <w:rFonts w:hint="eastAsia" w:cs="宋体"/>
                      <w:sz w:val="20"/>
                      <w:szCs w:val="20"/>
                      <w:highlight w:val="none"/>
                    </w:rPr>
                    <w:t>有效认证的检测机构出具的检测（验）报告等复印件并加盖投标人公章。）。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shd w:val="clear" w:color="auto" w:fill="auto"/>
                  <w:vAlign w:val="center"/>
                </w:tcPr>
                <w:p>
                  <w:pPr>
                    <w:pStyle w:val="27"/>
                    <w:wordWrap w:val="0"/>
                    <w:rPr>
                      <w:highlight w:val="none"/>
                    </w:rPr>
                  </w:pPr>
                  <w:r>
                    <w:rPr>
                      <w:rFonts w:hint="eastAsia"/>
                      <w:highlight w:val="none"/>
                    </w:rPr>
                    <w:t>3</w:t>
                  </w:r>
                </w:p>
              </w:tc>
              <w:tc>
                <w:tcPr>
                  <w:tcW w:w="1110" w:type="dxa"/>
                  <w:shd w:val="clear" w:color="auto" w:fill="auto"/>
                  <w:vAlign w:val="center"/>
                </w:tcPr>
                <w:p>
                  <w:pPr>
                    <w:pStyle w:val="27"/>
                    <w:wordWrap w:val="0"/>
                    <w:rPr>
                      <w:highlight w:val="none"/>
                    </w:rPr>
                  </w:pPr>
                  <w:r>
                    <w:rPr>
                      <w:rFonts w:hint="eastAsia"/>
                      <w:highlight w:val="none"/>
                    </w:rPr>
                    <w:t>智慧管控终端</w:t>
                  </w:r>
                </w:p>
              </w:tc>
              <w:tc>
                <w:tcPr>
                  <w:tcW w:w="6749" w:type="dxa"/>
                  <w:shd w:val="clear" w:color="auto" w:fill="auto"/>
                  <w:vAlign w:val="center"/>
                </w:tcPr>
                <w:p>
                  <w:pPr>
                    <w:widowControl/>
                    <w:wordWrap w:val="0"/>
                    <w:spacing w:line="240" w:lineRule="auto"/>
                    <w:ind w:left="398" w:leftChars="166" w:firstLine="0" w:firstLineChars="0"/>
                    <w:rPr>
                      <w:rFonts w:cs="宋体"/>
                      <w:sz w:val="20"/>
                      <w:szCs w:val="20"/>
                      <w:highlight w:val="none"/>
                    </w:rPr>
                  </w:pPr>
                  <w:r>
                    <w:rPr>
                      <w:rFonts w:hint="eastAsia" w:cs="宋体"/>
                      <w:sz w:val="20"/>
                      <w:szCs w:val="20"/>
                      <w:highlight w:val="none"/>
                    </w:rPr>
                    <w:t>1.存储容量：1块4TB存储硬盘，单机存储容量最大支持24TB；</w:t>
                  </w:r>
                  <w:r>
                    <w:rPr>
                      <w:rFonts w:hint="eastAsia" w:cs="宋体"/>
                      <w:sz w:val="20"/>
                      <w:szCs w:val="20"/>
                      <w:highlight w:val="none"/>
                    </w:rPr>
                    <w:br w:type="textWrapping"/>
                  </w:r>
                  <w:r>
                    <w:rPr>
                      <w:rFonts w:hint="eastAsia" w:cs="宋体"/>
                      <w:sz w:val="20"/>
                      <w:szCs w:val="20"/>
                      <w:highlight w:val="none"/>
                    </w:rPr>
                    <w:t>2.通道路：最大支持4路；</w:t>
                  </w:r>
                  <w:r>
                    <w:rPr>
                      <w:rFonts w:hint="eastAsia" w:cs="宋体"/>
                      <w:sz w:val="20"/>
                      <w:szCs w:val="20"/>
                      <w:highlight w:val="none"/>
                    </w:rPr>
                    <w:br w:type="textWrapping"/>
                  </w:r>
                  <w:r>
                    <w:rPr>
                      <w:rFonts w:hint="eastAsia" w:cs="宋体"/>
                      <w:sz w:val="20"/>
                      <w:szCs w:val="20"/>
                      <w:highlight w:val="none"/>
                    </w:rPr>
                    <w:t>3.接入视频格式：H.264、H.265；</w:t>
                  </w:r>
                  <w:r>
                    <w:rPr>
                      <w:rFonts w:hint="eastAsia" w:cs="宋体"/>
                      <w:sz w:val="20"/>
                      <w:szCs w:val="20"/>
                      <w:highlight w:val="none"/>
                    </w:rPr>
                    <w:br w:type="textWrapping"/>
                  </w:r>
                  <w:r>
                    <w:rPr>
                      <w:rFonts w:hint="eastAsia" w:cs="宋体"/>
                      <w:sz w:val="20"/>
                      <w:szCs w:val="20"/>
                      <w:highlight w:val="none"/>
                    </w:rPr>
                    <w:t>4.接入图片格式：JPEG；</w:t>
                  </w:r>
                  <w:r>
                    <w:rPr>
                      <w:rFonts w:hint="eastAsia" w:cs="宋体"/>
                      <w:sz w:val="20"/>
                      <w:szCs w:val="20"/>
                      <w:highlight w:val="none"/>
                    </w:rPr>
                    <w:br w:type="textWrapping"/>
                  </w:r>
                  <w:r>
                    <w:rPr>
                      <w:rFonts w:hint="eastAsia" w:cs="宋体"/>
                      <w:sz w:val="20"/>
                      <w:szCs w:val="20"/>
                      <w:highlight w:val="none"/>
                    </w:rPr>
                    <w:t>5.SATA接口：4个内部SATA，支持1/2/3/4/6TB，一个外置eSATA；</w:t>
                  </w:r>
                  <w:r>
                    <w:rPr>
                      <w:rFonts w:hint="eastAsia" w:cs="宋体"/>
                      <w:sz w:val="20"/>
                      <w:szCs w:val="20"/>
                      <w:highlight w:val="none"/>
                    </w:rPr>
                    <w:br w:type="textWrapping"/>
                  </w:r>
                  <w:r>
                    <w:rPr>
                      <w:rFonts w:hint="eastAsia" w:cs="宋体"/>
                      <w:sz w:val="20"/>
                      <w:szCs w:val="20"/>
                      <w:highlight w:val="none"/>
                    </w:rPr>
                    <w:t>6.视频输入：支持4路1080P/30fpsH264/H265解码；</w:t>
                  </w:r>
                  <w:r>
                    <w:rPr>
                      <w:rFonts w:hint="eastAsia" w:cs="宋体"/>
                      <w:sz w:val="20"/>
                      <w:szCs w:val="20"/>
                      <w:highlight w:val="none"/>
                    </w:rPr>
                    <w:br w:type="textWrapping"/>
                  </w:r>
                  <w:r>
                    <w:rPr>
                      <w:rFonts w:hint="eastAsia" w:cs="宋体"/>
                      <w:sz w:val="20"/>
                      <w:szCs w:val="20"/>
                      <w:highlight w:val="none"/>
                    </w:rPr>
                    <w:t>7.视频输出：1路CVBS，1路VGA，1路HDMI；</w:t>
                  </w:r>
                  <w:r>
                    <w:rPr>
                      <w:rFonts w:hint="eastAsia" w:cs="宋体"/>
                      <w:sz w:val="20"/>
                      <w:szCs w:val="20"/>
                      <w:highlight w:val="none"/>
                    </w:rPr>
                    <w:br w:type="textWrapping"/>
                  </w:r>
                  <w:r>
                    <w:rPr>
                      <w:rFonts w:hint="eastAsia" w:cs="宋体"/>
                      <w:sz w:val="20"/>
                      <w:szCs w:val="20"/>
                      <w:highlight w:val="none"/>
                    </w:rPr>
                    <w:t>8.网络接口：4个百兆网口；</w:t>
                  </w:r>
                  <w:r>
                    <w:rPr>
                      <w:rFonts w:hint="eastAsia" w:cs="宋体"/>
                      <w:sz w:val="20"/>
                      <w:szCs w:val="20"/>
                      <w:highlight w:val="none"/>
                    </w:rPr>
                    <w:br w:type="textWrapping"/>
                  </w:r>
                  <w:r>
                    <w:rPr>
                      <w:rFonts w:hint="eastAsia" w:cs="宋体"/>
                      <w:sz w:val="20"/>
                      <w:szCs w:val="20"/>
                      <w:highlight w:val="none"/>
                    </w:rPr>
                    <w:t>9.NTP校时：支持NTP网络校时；</w:t>
                  </w:r>
                  <w:r>
                    <w:rPr>
                      <w:rFonts w:hint="eastAsia" w:cs="宋体"/>
                      <w:sz w:val="20"/>
                      <w:szCs w:val="20"/>
                      <w:highlight w:val="none"/>
                    </w:rPr>
                    <w:br w:type="textWrapping"/>
                  </w:r>
                  <w:r>
                    <w:rPr>
                      <w:rFonts w:hint="eastAsia" w:cs="宋体"/>
                      <w:sz w:val="20"/>
                      <w:szCs w:val="20"/>
                      <w:highlight w:val="none"/>
                    </w:rPr>
                    <w:t>10.交互控制：支持web界面远程控制，本机界面操作；</w:t>
                  </w:r>
                  <w:r>
                    <w:rPr>
                      <w:rFonts w:hint="eastAsia" w:cs="宋体"/>
                      <w:sz w:val="20"/>
                      <w:szCs w:val="20"/>
                      <w:highlight w:val="none"/>
                    </w:rPr>
                    <w:br w:type="textWrapping"/>
                  </w:r>
                  <w:r>
                    <w:rPr>
                      <w:rFonts w:hint="eastAsia" w:cs="宋体"/>
                      <w:sz w:val="20"/>
                      <w:szCs w:val="20"/>
                      <w:highlight w:val="none"/>
                    </w:rPr>
                    <w:t>11.支持协议：ONVIF、GB28181、TCP/IP、UDP、RTSP、HTTP、GA/T1400；</w:t>
                  </w:r>
                  <w:r>
                    <w:rPr>
                      <w:rFonts w:hint="eastAsia" w:cs="宋体"/>
                      <w:sz w:val="20"/>
                      <w:szCs w:val="20"/>
                      <w:highlight w:val="none"/>
                    </w:rPr>
                    <w:br w:type="textWrapping"/>
                  </w:r>
                  <w:r>
                    <w:rPr>
                      <w:rFonts w:hint="eastAsia" w:cs="宋体"/>
                      <w:sz w:val="20"/>
                      <w:szCs w:val="20"/>
                      <w:highlight w:val="none"/>
                    </w:rPr>
                    <w:t>12.算法识别：支持车牌、车标、车型、车身颜色等；</w:t>
                  </w:r>
                  <w:r>
                    <w:rPr>
                      <w:rFonts w:hint="eastAsia" w:cs="宋体"/>
                      <w:sz w:val="20"/>
                      <w:szCs w:val="20"/>
                      <w:highlight w:val="none"/>
                    </w:rPr>
                    <w:br w:type="textWrapping"/>
                  </w:r>
                  <w:r>
                    <w:rPr>
                      <w:rFonts w:hint="eastAsia" w:cs="宋体"/>
                      <w:sz w:val="20"/>
                      <w:szCs w:val="20"/>
                      <w:highlight w:val="none"/>
                    </w:rPr>
                    <w:t>13.防水等级：IP41；</w:t>
                  </w:r>
                  <w:r>
                    <w:rPr>
                      <w:rFonts w:hint="eastAsia" w:cs="宋体"/>
                      <w:sz w:val="20"/>
                      <w:szCs w:val="20"/>
                      <w:highlight w:val="none"/>
                    </w:rPr>
                    <w:br w:type="textWrapping"/>
                  </w:r>
                  <w:r>
                    <w:rPr>
                      <w:rFonts w:hint="eastAsia" w:cs="宋体"/>
                      <w:sz w:val="20"/>
                      <w:szCs w:val="20"/>
                      <w:highlight w:val="none"/>
                    </w:rPr>
                    <w:t>14.散热：满足硬件功耗散热；</w:t>
                  </w:r>
                  <w:r>
                    <w:rPr>
                      <w:rFonts w:hint="eastAsia" w:cs="宋体"/>
                      <w:sz w:val="20"/>
                      <w:szCs w:val="20"/>
                      <w:highlight w:val="none"/>
                    </w:rPr>
                    <w:br w:type="textWrapping"/>
                  </w:r>
                  <w:r>
                    <w:rPr>
                      <w:rFonts w:hint="eastAsia" w:cs="宋体"/>
                      <w:sz w:val="20"/>
                      <w:szCs w:val="20"/>
                      <w:highlight w:val="none"/>
                    </w:rPr>
                    <w:t>15.电压：DC12V±10%；</w:t>
                  </w:r>
                  <w:r>
                    <w:rPr>
                      <w:rFonts w:hint="eastAsia" w:cs="宋体"/>
                      <w:sz w:val="20"/>
                      <w:szCs w:val="20"/>
                      <w:highlight w:val="none"/>
                    </w:rPr>
                    <w:br w:type="textWrapping"/>
                  </w:r>
                  <w:r>
                    <w:rPr>
                      <w:rFonts w:hint="eastAsia" w:cs="宋体"/>
                      <w:sz w:val="20"/>
                      <w:szCs w:val="20"/>
                      <w:highlight w:val="none"/>
                    </w:rPr>
                    <w:t>16.温度：-40℃~70℃。</w:t>
                  </w:r>
                </w:p>
                <w:p>
                  <w:pPr>
                    <w:widowControl/>
                    <w:wordWrap w:val="0"/>
                    <w:spacing w:line="240" w:lineRule="auto"/>
                    <w:ind w:firstLine="400"/>
                    <w:rPr>
                      <w:rFonts w:cs="宋体"/>
                      <w:sz w:val="20"/>
                      <w:szCs w:val="20"/>
                      <w:highlight w:val="none"/>
                    </w:rPr>
                  </w:pPr>
                  <w:r>
                    <w:rPr>
                      <w:rFonts w:hint="eastAsia" w:cs="宋体"/>
                      <w:color w:val="0000FF"/>
                      <w:sz w:val="20"/>
                      <w:szCs w:val="20"/>
                      <w:highlight w:val="none"/>
                    </w:rPr>
                    <w:t>▲</w:t>
                  </w:r>
                  <w:r>
                    <w:rPr>
                      <w:rFonts w:hint="eastAsia" w:cs="宋体"/>
                      <w:sz w:val="20"/>
                      <w:szCs w:val="20"/>
                      <w:highlight w:val="none"/>
                    </w:rPr>
                    <w:t>17.支持包括但不限于按照抓拍时间查询和存储时间查询两种或以上方式查询图片（须提供CNAS或</w:t>
                  </w:r>
                  <w:r>
                    <w:rPr>
                      <w:rFonts w:cs="宋体"/>
                      <w:sz w:val="20"/>
                      <w:szCs w:val="20"/>
                      <w:highlight w:val="none"/>
                    </w:rPr>
                    <w:t>CMA</w:t>
                  </w:r>
                  <w:r>
                    <w:rPr>
                      <w:rFonts w:hint="eastAsia" w:cs="宋体"/>
                      <w:sz w:val="20"/>
                      <w:szCs w:val="20"/>
                      <w:highlight w:val="none"/>
                    </w:rPr>
                    <w:t>有效认证的检测机构出具的检测（验）报告等复印件并加盖投标人公章。）；</w:t>
                  </w:r>
                </w:p>
                <w:p>
                  <w:pPr>
                    <w:widowControl/>
                    <w:wordWrap w:val="0"/>
                    <w:spacing w:line="240" w:lineRule="auto"/>
                    <w:ind w:firstLine="400"/>
                    <w:rPr>
                      <w:rFonts w:cs="宋体"/>
                      <w:sz w:val="20"/>
                      <w:szCs w:val="20"/>
                      <w:highlight w:val="none"/>
                    </w:rPr>
                  </w:pPr>
                  <w:r>
                    <w:rPr>
                      <w:rFonts w:hint="eastAsia" w:cs="宋体"/>
                      <w:color w:val="0000FF"/>
                      <w:sz w:val="20"/>
                      <w:szCs w:val="20"/>
                      <w:highlight w:val="none"/>
                    </w:rPr>
                    <w:t>▲18.支持关联合成卡口重用，当抓拍到车辆在卡口有多种违法行为时，可以将多种违法图进行合成</w:t>
                  </w:r>
                  <w:r>
                    <w:rPr>
                      <w:rFonts w:hint="eastAsia" w:cs="宋体"/>
                      <w:sz w:val="20"/>
                      <w:szCs w:val="20"/>
                      <w:highlight w:val="none"/>
                    </w:rPr>
                    <w:t>（须提供CNAS或</w:t>
                  </w:r>
                  <w:r>
                    <w:rPr>
                      <w:rFonts w:cs="宋体"/>
                      <w:sz w:val="20"/>
                      <w:szCs w:val="20"/>
                      <w:highlight w:val="none"/>
                    </w:rPr>
                    <w:t>CMA</w:t>
                  </w:r>
                  <w:r>
                    <w:rPr>
                      <w:rFonts w:hint="eastAsia" w:cs="宋体"/>
                      <w:sz w:val="20"/>
                      <w:szCs w:val="20"/>
                      <w:highlight w:val="none"/>
                    </w:rPr>
                    <w:t>有效认证的检测机构出具的检测（验）报告等复印件并加盖投标人公章。）。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shd w:val="clear" w:color="auto" w:fill="auto"/>
                  <w:vAlign w:val="center"/>
                </w:tcPr>
                <w:p>
                  <w:pPr>
                    <w:pStyle w:val="27"/>
                    <w:wordWrap w:val="0"/>
                    <w:rPr>
                      <w:highlight w:val="none"/>
                    </w:rPr>
                  </w:pPr>
                  <w:r>
                    <w:rPr>
                      <w:rFonts w:hint="eastAsia"/>
                      <w:highlight w:val="none"/>
                    </w:rPr>
                    <w:t>4</w:t>
                  </w:r>
                </w:p>
              </w:tc>
              <w:tc>
                <w:tcPr>
                  <w:tcW w:w="1110" w:type="dxa"/>
                  <w:shd w:val="clear" w:color="auto" w:fill="auto"/>
                  <w:vAlign w:val="center"/>
                </w:tcPr>
                <w:p>
                  <w:pPr>
                    <w:pStyle w:val="27"/>
                    <w:wordWrap w:val="0"/>
                    <w:rPr>
                      <w:highlight w:val="none"/>
                    </w:rPr>
                  </w:pPr>
                  <w:r>
                    <w:rPr>
                      <w:rFonts w:hint="eastAsia"/>
                      <w:highlight w:val="none"/>
                    </w:rPr>
                    <w:t>移动违法取证抓拍球机</w:t>
                  </w:r>
                </w:p>
              </w:tc>
              <w:tc>
                <w:tcPr>
                  <w:tcW w:w="6749" w:type="dxa"/>
                  <w:shd w:val="clear" w:color="000000" w:fill="FFFFFF"/>
                  <w:vAlign w:val="center"/>
                </w:tcPr>
                <w:p>
                  <w:pPr>
                    <w:widowControl/>
                    <w:wordWrap w:val="0"/>
                    <w:spacing w:line="240" w:lineRule="auto"/>
                    <w:ind w:firstLine="400"/>
                    <w:rPr>
                      <w:rFonts w:cs="宋体"/>
                      <w:sz w:val="20"/>
                      <w:szCs w:val="20"/>
                      <w:highlight w:val="none"/>
                    </w:rPr>
                  </w:pPr>
                  <w:r>
                    <w:rPr>
                      <w:rFonts w:hint="eastAsia" w:cs="宋体"/>
                      <w:sz w:val="20"/>
                      <w:szCs w:val="20"/>
                      <w:highlight w:val="none"/>
                    </w:rPr>
                    <w:t>1.传感器分辨率≥2560×1440，传感器靶面≥1/1.8"，不低于32倍光学变倍，焦距范围不低于6mm~192mm；</w:t>
                  </w:r>
                </w:p>
                <w:p>
                  <w:pPr>
                    <w:widowControl/>
                    <w:wordWrap w:val="0"/>
                    <w:spacing w:line="240" w:lineRule="auto"/>
                    <w:ind w:firstLine="400"/>
                    <w:rPr>
                      <w:rFonts w:cs="宋体"/>
                      <w:sz w:val="20"/>
                      <w:szCs w:val="20"/>
                      <w:highlight w:val="none"/>
                    </w:rPr>
                  </w:pPr>
                  <w:r>
                    <w:rPr>
                      <w:rFonts w:hint="eastAsia" w:cs="宋体"/>
                      <w:sz w:val="20"/>
                      <w:szCs w:val="20"/>
                      <w:highlight w:val="none"/>
                    </w:rPr>
                    <w:t>2.内置≥1个CPU、GPU、NPU—体化芯片；</w:t>
                  </w:r>
                </w:p>
                <w:p>
                  <w:pPr>
                    <w:widowControl/>
                    <w:wordWrap w:val="0"/>
                    <w:spacing w:line="240" w:lineRule="auto"/>
                    <w:ind w:firstLine="400"/>
                    <w:rPr>
                      <w:rFonts w:cs="宋体"/>
                      <w:sz w:val="20"/>
                      <w:szCs w:val="20"/>
                      <w:highlight w:val="none"/>
                    </w:rPr>
                  </w:pPr>
                  <w:r>
                    <w:rPr>
                      <w:rFonts w:hint="eastAsia" w:cs="宋体"/>
                      <w:sz w:val="20"/>
                      <w:szCs w:val="20"/>
                      <w:highlight w:val="none"/>
                    </w:rPr>
                    <w:t>3.内置红外和白光补光灯，红外补光距离≥200m</w:t>
                  </w:r>
                </w:p>
                <w:p>
                  <w:pPr>
                    <w:widowControl/>
                    <w:wordWrap w:val="0"/>
                    <w:spacing w:line="240" w:lineRule="auto"/>
                    <w:ind w:firstLine="400"/>
                    <w:rPr>
                      <w:rFonts w:cs="宋体"/>
                      <w:sz w:val="20"/>
                      <w:szCs w:val="20"/>
                      <w:highlight w:val="none"/>
                    </w:rPr>
                  </w:pPr>
                  <w:r>
                    <w:rPr>
                      <w:rFonts w:hint="eastAsia" w:cs="宋体"/>
                      <w:sz w:val="20"/>
                      <w:szCs w:val="20"/>
                      <w:highlight w:val="none"/>
                    </w:rPr>
                    <w:t>4.支持4种多算法切换运行：人脸抓拍模式、车辆抓拍模式、行为分析模式、混合并行抓拍模式;</w:t>
                  </w:r>
                </w:p>
                <w:p>
                  <w:pPr>
                    <w:widowControl/>
                    <w:wordWrap w:val="0"/>
                    <w:spacing w:line="240" w:lineRule="auto"/>
                    <w:ind w:firstLine="400"/>
                    <w:rPr>
                      <w:rFonts w:cs="宋体"/>
                      <w:sz w:val="20"/>
                      <w:szCs w:val="20"/>
                      <w:highlight w:val="none"/>
                    </w:rPr>
                  </w:pPr>
                  <w:r>
                    <w:rPr>
                      <w:rFonts w:hint="eastAsia" w:cs="宋体"/>
                      <w:sz w:val="20"/>
                      <w:szCs w:val="20"/>
                      <w:highlight w:val="none"/>
                    </w:rPr>
                    <w:t>5.支持违法停车行为检测功能，停车时间可自定义，捕获率≥99%，准确率≥99%；</w:t>
                  </w:r>
                </w:p>
                <w:p>
                  <w:pPr>
                    <w:widowControl/>
                    <w:wordWrap w:val="0"/>
                    <w:spacing w:line="240" w:lineRule="auto"/>
                    <w:ind w:firstLine="400"/>
                    <w:rPr>
                      <w:rFonts w:cs="宋体"/>
                      <w:sz w:val="20"/>
                      <w:szCs w:val="20"/>
                      <w:highlight w:val="none"/>
                    </w:rPr>
                  </w:pPr>
                  <w:r>
                    <w:rPr>
                      <w:rFonts w:hint="eastAsia" w:cs="宋体"/>
                      <w:sz w:val="20"/>
                      <w:szCs w:val="20"/>
                      <w:highlight w:val="none"/>
                    </w:rPr>
                    <w:t>6.具有license管理功能，可根据license启用不同的智能算法；</w:t>
                  </w:r>
                </w:p>
                <w:p>
                  <w:pPr>
                    <w:widowControl/>
                    <w:wordWrap w:val="0"/>
                    <w:spacing w:line="240" w:lineRule="auto"/>
                    <w:ind w:firstLine="400"/>
                    <w:rPr>
                      <w:rFonts w:cs="宋体"/>
                      <w:sz w:val="20"/>
                      <w:szCs w:val="20"/>
                      <w:highlight w:val="none"/>
                    </w:rPr>
                  </w:pPr>
                  <w:r>
                    <w:rPr>
                      <w:rFonts w:hint="eastAsia" w:cs="宋体"/>
                      <w:sz w:val="20"/>
                      <w:szCs w:val="20"/>
                      <w:highlight w:val="none"/>
                    </w:rPr>
                    <w:t>7.设备内置陀螺仪，支持陀螺仪防抖算法，降低图像抖动；</w:t>
                  </w:r>
                </w:p>
                <w:p>
                  <w:pPr>
                    <w:widowControl/>
                    <w:wordWrap w:val="0"/>
                    <w:spacing w:line="240" w:lineRule="auto"/>
                    <w:ind w:firstLine="400"/>
                    <w:rPr>
                      <w:rFonts w:cs="宋体"/>
                      <w:color w:val="0000FF"/>
                      <w:sz w:val="20"/>
                      <w:szCs w:val="20"/>
                      <w:highlight w:val="none"/>
                    </w:rPr>
                  </w:pPr>
                  <w:r>
                    <w:rPr>
                      <w:rFonts w:hint="eastAsia" w:cs="宋体"/>
                      <w:color w:val="0000FF"/>
                      <w:sz w:val="20"/>
                      <w:szCs w:val="20"/>
                      <w:highlight w:val="none"/>
                    </w:rPr>
                    <w:t>▲8.支持生态算法（业界标准rpm包格式+签名组成的tar包）的安装、启用、停用、卸载管理，并支持算法包安装时的完整性校验；</w:t>
                  </w:r>
                  <w:r>
                    <w:rPr>
                      <w:rStyle w:val="33"/>
                      <w:rFonts w:hint="eastAsia"/>
                      <w:color w:val="0000FF"/>
                      <w:highlight w:val="none"/>
                    </w:rPr>
                    <w:t>（</w:t>
                  </w:r>
                  <w:r>
                    <w:rPr>
                      <w:rStyle w:val="33"/>
                      <w:color w:val="0000FF"/>
                      <w:highlight w:val="none"/>
                    </w:rPr>
                    <w:t>须提供CNAS或CMA有效认证的检测机构出具的检测（验）报告等复印件并加盖投标人公章</w:t>
                  </w:r>
                  <w:r>
                    <w:rPr>
                      <w:rStyle w:val="33"/>
                      <w:rFonts w:hint="eastAsia"/>
                      <w:color w:val="0000FF"/>
                      <w:highlight w:val="none"/>
                    </w:rPr>
                    <w:t>。）</w:t>
                  </w:r>
                </w:p>
                <w:p>
                  <w:pPr>
                    <w:widowControl/>
                    <w:wordWrap w:val="0"/>
                    <w:spacing w:line="240" w:lineRule="auto"/>
                    <w:ind w:firstLine="400"/>
                    <w:rPr>
                      <w:rFonts w:cs="宋体"/>
                      <w:sz w:val="20"/>
                      <w:szCs w:val="20"/>
                      <w:highlight w:val="none"/>
                    </w:rPr>
                  </w:pPr>
                  <w:r>
                    <w:rPr>
                      <w:rFonts w:hint="eastAsia" w:cs="宋体"/>
                      <w:sz w:val="20"/>
                      <w:szCs w:val="20"/>
                      <w:highlight w:val="none"/>
                    </w:rPr>
                    <w:t>9.防护等级不低于：IP66、IK10；</w:t>
                  </w:r>
                </w:p>
                <w:p>
                  <w:pPr>
                    <w:widowControl/>
                    <w:wordWrap w:val="0"/>
                    <w:spacing w:line="240" w:lineRule="auto"/>
                    <w:ind w:firstLine="400"/>
                    <w:rPr>
                      <w:rFonts w:cs="宋体"/>
                      <w:sz w:val="20"/>
                      <w:szCs w:val="20"/>
                      <w:highlight w:val="none"/>
                    </w:rPr>
                  </w:pPr>
                  <w:r>
                    <w:rPr>
                      <w:rFonts w:hint="eastAsia" w:cs="宋体"/>
                      <w:sz w:val="20"/>
                      <w:szCs w:val="20"/>
                      <w:highlight w:val="none"/>
                    </w:rPr>
                    <w:t>10.电源功耗：最大功耗＜18W；</w:t>
                  </w:r>
                </w:p>
                <w:p>
                  <w:pPr>
                    <w:widowControl/>
                    <w:wordWrap w:val="0"/>
                    <w:spacing w:line="240" w:lineRule="auto"/>
                    <w:ind w:firstLine="400"/>
                    <w:rPr>
                      <w:rFonts w:cs="宋体"/>
                      <w:sz w:val="20"/>
                      <w:szCs w:val="20"/>
                      <w:highlight w:val="none"/>
                    </w:rPr>
                  </w:pPr>
                  <w:r>
                    <w:rPr>
                      <w:rFonts w:hint="eastAsia" w:cs="宋体"/>
                      <w:color w:val="0000FF"/>
                      <w:sz w:val="20"/>
                      <w:szCs w:val="20"/>
                      <w:highlight w:val="none"/>
                    </w:rPr>
                    <w:t>▲</w:t>
                  </w:r>
                  <w:r>
                    <w:rPr>
                      <w:rFonts w:hint="eastAsia" w:cs="宋体"/>
                      <w:sz w:val="20"/>
                      <w:szCs w:val="20"/>
                      <w:highlight w:val="none"/>
                    </w:rPr>
                    <w:t>11.支持不少于500个预置位，支持不少于16条巡航路径，支持不少于7条以上的模式路径设置。调用预置位时，样机在达到目标预置位前，监视画面可停留在原始位置</w:t>
                  </w:r>
                  <w:r>
                    <w:rPr>
                      <w:rStyle w:val="33"/>
                      <w:rFonts w:hint="eastAsia"/>
                      <w:color w:val="0000FF"/>
                      <w:highlight w:val="none"/>
                    </w:rPr>
                    <w:t>（</w:t>
                  </w:r>
                  <w:r>
                    <w:rPr>
                      <w:rStyle w:val="33"/>
                      <w:color w:val="0000FF"/>
                      <w:highlight w:val="none"/>
                    </w:rPr>
                    <w:t>须提供CNAS或CMA有效认证的检测机构出具的检测（验）报告等复印件并加盖投标人公章</w:t>
                  </w:r>
                  <w:r>
                    <w:rPr>
                      <w:rStyle w:val="33"/>
                      <w:rFonts w:hint="eastAsia"/>
                      <w:color w:val="0000FF"/>
                      <w:highlight w:val="none"/>
                    </w:rPr>
                    <w:t>。）</w:t>
                  </w:r>
                  <w:r>
                    <w:rPr>
                      <w:rFonts w:hint="eastAsia" w:cs="宋体"/>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7" w:type="dxa"/>
                  <w:shd w:val="clear" w:color="auto" w:fill="auto"/>
                  <w:vAlign w:val="center"/>
                </w:tcPr>
                <w:p>
                  <w:pPr>
                    <w:pStyle w:val="27"/>
                    <w:wordWrap w:val="0"/>
                    <w:rPr>
                      <w:highlight w:val="none"/>
                    </w:rPr>
                  </w:pPr>
                </w:p>
              </w:tc>
              <w:tc>
                <w:tcPr>
                  <w:tcW w:w="1110" w:type="dxa"/>
                  <w:shd w:val="clear" w:color="auto" w:fill="auto"/>
                  <w:vAlign w:val="center"/>
                </w:tcPr>
                <w:p>
                  <w:pPr>
                    <w:pStyle w:val="27"/>
                    <w:wordWrap w:val="0"/>
                    <w:rPr>
                      <w:highlight w:val="none"/>
                    </w:rPr>
                  </w:pPr>
                </w:p>
              </w:tc>
              <w:tc>
                <w:tcPr>
                  <w:tcW w:w="6749" w:type="dxa"/>
                  <w:shd w:val="clear" w:color="000000" w:fill="FFFFFF"/>
                  <w:vAlign w:val="center"/>
                </w:tcPr>
                <w:p>
                  <w:pPr>
                    <w:widowControl/>
                    <w:wordWrap w:val="0"/>
                    <w:ind w:firstLine="400"/>
                    <w:rPr>
                      <w:rFonts w:cs="宋体"/>
                      <w:sz w:val="20"/>
                      <w:szCs w:val="20"/>
                      <w:highlight w:val="none"/>
                    </w:rPr>
                  </w:pPr>
                </w:p>
              </w:tc>
            </w:tr>
          </w:tbl>
          <w:p>
            <w:pPr>
              <w:pStyle w:val="27"/>
              <w:rPr>
                <w:highlight w:val="none"/>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3" w:type="dxa"/>
            <w:vAlign w:val="center"/>
          </w:tcPr>
          <w:p>
            <w:pPr>
              <w:pStyle w:val="27"/>
              <w:rPr>
                <w:highlight w:val="none"/>
              </w:rPr>
            </w:pPr>
            <w:r>
              <w:rPr>
                <w:rFonts w:hint="eastAsia"/>
                <w:highlight w:val="none"/>
              </w:rPr>
              <w:t>说明</w:t>
            </w:r>
          </w:p>
        </w:tc>
        <w:tc>
          <w:tcPr>
            <w:tcW w:w="9532" w:type="dxa"/>
            <w:gridSpan w:val="2"/>
            <w:tcBorders>
              <w:top w:val="single" w:color="auto" w:sz="4" w:space="0"/>
            </w:tcBorders>
          </w:tcPr>
          <w:p>
            <w:pPr>
              <w:pStyle w:val="27"/>
              <w:ind w:firstLine="420" w:firstLineChars="200"/>
              <w:jc w:val="left"/>
              <w:rPr>
                <w:highlight w:val="none"/>
              </w:rPr>
            </w:pPr>
            <w:r>
              <w:rPr>
                <w:rFonts w:hint="eastAsia"/>
                <w:highlight w:val="none"/>
              </w:rPr>
              <w:t>打“★”号条款为实质性条款，若有任何一条负偏离或不满足则导致投标无效。</w:t>
            </w:r>
          </w:p>
          <w:p>
            <w:pPr>
              <w:pStyle w:val="27"/>
              <w:ind w:firstLine="420" w:firstLineChars="200"/>
              <w:jc w:val="left"/>
              <w:rPr>
                <w:highlight w:val="none"/>
              </w:rPr>
            </w:pPr>
            <w:r>
              <w:rPr>
                <w:rFonts w:hint="eastAsia"/>
                <w:highlight w:val="none"/>
              </w:rPr>
              <w:t>打“▲”号条款为重要技术参数，若有部分“▲”条款未响应或不满足，将导致其响应性评审加重扣分，但不作为无效投标条款。</w:t>
            </w:r>
          </w:p>
        </w:tc>
      </w:tr>
    </w:tbl>
    <w:p>
      <w:pPr>
        <w:spacing w:before="100" w:after="100"/>
        <w:ind w:left="0" w:leftChars="0" w:firstLine="0" w:firstLineChars="0"/>
        <w:rPr>
          <w:b/>
          <w:bCs/>
          <w:color w:val="212121"/>
          <w:w w:val="105"/>
          <w:szCs w:val="16"/>
          <w:highlight w:val="none"/>
        </w:rPr>
      </w:pPr>
    </w:p>
    <w:sectPr>
      <w:headerReference r:id="rId7" w:type="first"/>
      <w:footerReference r:id="rId10" w:type="first"/>
      <w:headerReference r:id="rId5" w:type="default"/>
      <w:footerReference r:id="rId8" w:type="default"/>
      <w:headerReference r:id="rId6" w:type="even"/>
      <w:footerReference r:id="rId9" w:type="even"/>
      <w:pgSz w:w="11900" w:h="16840"/>
      <w:pgMar w:top="1247" w:right="1247" w:bottom="1247" w:left="1247" w:header="0" w:footer="28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康简标题宋">
    <w:altName w:val="微软雅黑"/>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ind w:firstLine="400"/>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391D6E"/>
    <w:multiLevelType w:val="singleLevel"/>
    <w:tmpl w:val="9F391D6E"/>
    <w:lvl w:ilvl="0" w:tentative="0">
      <w:start w:val="1"/>
      <w:numFmt w:val="decimal"/>
      <w:lvlText w:val="%1."/>
      <w:lvlJc w:val="left"/>
      <w:pPr>
        <w:tabs>
          <w:tab w:val="left" w:pos="312"/>
        </w:tabs>
      </w:pPr>
    </w:lvl>
  </w:abstractNum>
  <w:abstractNum w:abstractNumId="1">
    <w:nsid w:val="B49B70C1"/>
    <w:multiLevelType w:val="singleLevel"/>
    <w:tmpl w:val="B49B70C1"/>
    <w:lvl w:ilvl="0" w:tentative="0">
      <w:start w:val="1"/>
      <w:numFmt w:val="decimal"/>
      <w:lvlText w:val="%1."/>
      <w:lvlJc w:val="left"/>
      <w:pPr>
        <w:tabs>
          <w:tab w:val="left" w:pos="312"/>
        </w:tabs>
      </w:pPr>
    </w:lvl>
  </w:abstractNum>
  <w:abstractNum w:abstractNumId="2">
    <w:nsid w:val="BA7E8B70"/>
    <w:multiLevelType w:val="singleLevel"/>
    <w:tmpl w:val="BA7E8B70"/>
    <w:lvl w:ilvl="0" w:tentative="0">
      <w:start w:val="1"/>
      <w:numFmt w:val="decimal"/>
      <w:lvlText w:val="%1."/>
      <w:lvlJc w:val="left"/>
      <w:pPr>
        <w:tabs>
          <w:tab w:val="left" w:pos="312"/>
        </w:tabs>
      </w:pPr>
    </w:lvl>
  </w:abstractNum>
  <w:abstractNum w:abstractNumId="3">
    <w:nsid w:val="BB34D635"/>
    <w:multiLevelType w:val="singleLevel"/>
    <w:tmpl w:val="BB34D635"/>
    <w:lvl w:ilvl="0" w:tentative="0">
      <w:start w:val="1"/>
      <w:numFmt w:val="decimal"/>
      <w:suff w:val="nothing"/>
      <w:lvlText w:val="%1、"/>
      <w:lvlJc w:val="left"/>
    </w:lvl>
  </w:abstractNum>
  <w:abstractNum w:abstractNumId="4">
    <w:nsid w:val="D5304F13"/>
    <w:multiLevelType w:val="multilevel"/>
    <w:tmpl w:val="D5304F13"/>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abstractNum w:abstractNumId="5">
    <w:nsid w:val="D9530CA0"/>
    <w:multiLevelType w:val="singleLevel"/>
    <w:tmpl w:val="D9530CA0"/>
    <w:lvl w:ilvl="0" w:tentative="0">
      <w:start w:val="1"/>
      <w:numFmt w:val="decimal"/>
      <w:lvlText w:val="%1."/>
      <w:lvlJc w:val="left"/>
      <w:pPr>
        <w:tabs>
          <w:tab w:val="left" w:pos="312"/>
        </w:tabs>
      </w:pPr>
    </w:lvl>
  </w:abstractNum>
  <w:abstractNum w:abstractNumId="6">
    <w:nsid w:val="E3763DC7"/>
    <w:multiLevelType w:val="singleLevel"/>
    <w:tmpl w:val="E3763DC7"/>
    <w:lvl w:ilvl="0" w:tentative="0">
      <w:start w:val="1"/>
      <w:numFmt w:val="decimal"/>
      <w:suff w:val="space"/>
      <w:lvlText w:val="%1."/>
      <w:lvlJc w:val="left"/>
    </w:lvl>
  </w:abstractNum>
  <w:abstractNum w:abstractNumId="7">
    <w:nsid w:val="F32CF062"/>
    <w:multiLevelType w:val="singleLevel"/>
    <w:tmpl w:val="F32CF062"/>
    <w:lvl w:ilvl="0" w:tentative="0">
      <w:start w:val="1"/>
      <w:numFmt w:val="decimal"/>
      <w:lvlText w:val="%1."/>
      <w:lvlJc w:val="left"/>
      <w:pPr>
        <w:tabs>
          <w:tab w:val="left" w:pos="312"/>
        </w:tabs>
      </w:pPr>
    </w:lvl>
  </w:abstractNum>
  <w:abstractNum w:abstractNumId="8">
    <w:nsid w:val="36F70E6B"/>
    <w:multiLevelType w:val="singleLevel"/>
    <w:tmpl w:val="36F70E6B"/>
    <w:lvl w:ilvl="0" w:tentative="0">
      <w:start w:val="1"/>
      <w:numFmt w:val="decimal"/>
      <w:lvlText w:val="%1."/>
      <w:lvlJc w:val="left"/>
      <w:pPr>
        <w:tabs>
          <w:tab w:val="left" w:pos="312"/>
        </w:tabs>
      </w:pPr>
    </w:lvl>
  </w:abstractNum>
  <w:abstractNum w:abstractNumId="9">
    <w:nsid w:val="6AA3A1E3"/>
    <w:multiLevelType w:val="singleLevel"/>
    <w:tmpl w:val="6AA3A1E3"/>
    <w:lvl w:ilvl="0" w:tentative="0">
      <w:start w:val="1"/>
      <w:numFmt w:val="decimal"/>
      <w:suff w:val="nothing"/>
      <w:lvlText w:val="%1、"/>
      <w:lvlJc w:val="left"/>
    </w:lvl>
  </w:abstractNum>
  <w:abstractNum w:abstractNumId="10">
    <w:nsid w:val="7AD35511"/>
    <w:multiLevelType w:val="singleLevel"/>
    <w:tmpl w:val="7AD35511"/>
    <w:lvl w:ilvl="0" w:tentative="0">
      <w:start w:val="1"/>
      <w:numFmt w:val="decimal"/>
      <w:lvlText w:val="%1."/>
      <w:lvlJc w:val="left"/>
      <w:pPr>
        <w:tabs>
          <w:tab w:val="left" w:pos="312"/>
        </w:tabs>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6"/>
  </w:num>
  <w:num w:numId="5">
    <w:abstractNumId w:val="2"/>
  </w:num>
  <w:num w:numId="6">
    <w:abstractNumId w:val="5"/>
  </w:num>
  <w:num w:numId="7">
    <w:abstractNumId w:val="10"/>
  </w:num>
  <w:num w:numId="8">
    <w:abstractNumId w:val="0"/>
  </w:num>
  <w:num w:numId="9">
    <w:abstractNumId w:val="1"/>
  </w:num>
  <w:num w:numId="10">
    <w:abstractNumId w:val="7"/>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iNDYxYTcyN2IxOTQ2MWRjZmQ0NjE2MDZlODcxMjgifQ=="/>
  </w:docVars>
  <w:rsids>
    <w:rsidRoot w:val="00172A27"/>
    <w:rsid w:val="00025C94"/>
    <w:rsid w:val="000473C9"/>
    <w:rsid w:val="0006352C"/>
    <w:rsid w:val="00070BEB"/>
    <w:rsid w:val="00090D52"/>
    <w:rsid w:val="000A1C56"/>
    <w:rsid w:val="000A2788"/>
    <w:rsid w:val="000B0EAF"/>
    <w:rsid w:val="000B1510"/>
    <w:rsid w:val="000B161A"/>
    <w:rsid w:val="000B35BD"/>
    <w:rsid w:val="000E0A42"/>
    <w:rsid w:val="000E3326"/>
    <w:rsid w:val="000F34C2"/>
    <w:rsid w:val="00111215"/>
    <w:rsid w:val="00116446"/>
    <w:rsid w:val="001246C4"/>
    <w:rsid w:val="001248E9"/>
    <w:rsid w:val="00131549"/>
    <w:rsid w:val="00132AFA"/>
    <w:rsid w:val="00133878"/>
    <w:rsid w:val="00143901"/>
    <w:rsid w:val="00156990"/>
    <w:rsid w:val="00167AEF"/>
    <w:rsid w:val="00172A27"/>
    <w:rsid w:val="00184E96"/>
    <w:rsid w:val="00185D41"/>
    <w:rsid w:val="001868DA"/>
    <w:rsid w:val="001915DD"/>
    <w:rsid w:val="00197F83"/>
    <w:rsid w:val="001A3E64"/>
    <w:rsid w:val="001B6535"/>
    <w:rsid w:val="001B7044"/>
    <w:rsid w:val="001C2731"/>
    <w:rsid w:val="001D0001"/>
    <w:rsid w:val="001E60D9"/>
    <w:rsid w:val="00222AFD"/>
    <w:rsid w:val="00231AC5"/>
    <w:rsid w:val="00232625"/>
    <w:rsid w:val="0023352B"/>
    <w:rsid w:val="00241A59"/>
    <w:rsid w:val="00246356"/>
    <w:rsid w:val="00256671"/>
    <w:rsid w:val="002577BC"/>
    <w:rsid w:val="002614C2"/>
    <w:rsid w:val="002938FA"/>
    <w:rsid w:val="00295274"/>
    <w:rsid w:val="002A3EBA"/>
    <w:rsid w:val="002C14D9"/>
    <w:rsid w:val="002C450B"/>
    <w:rsid w:val="002D3C4A"/>
    <w:rsid w:val="002D7FB8"/>
    <w:rsid w:val="002E181E"/>
    <w:rsid w:val="00304108"/>
    <w:rsid w:val="00304373"/>
    <w:rsid w:val="003155CE"/>
    <w:rsid w:val="003176C1"/>
    <w:rsid w:val="0033079B"/>
    <w:rsid w:val="00333CF6"/>
    <w:rsid w:val="003369CB"/>
    <w:rsid w:val="00346A3C"/>
    <w:rsid w:val="003542A3"/>
    <w:rsid w:val="0036320B"/>
    <w:rsid w:val="00363E85"/>
    <w:rsid w:val="00376F7A"/>
    <w:rsid w:val="00386F22"/>
    <w:rsid w:val="003B2F94"/>
    <w:rsid w:val="003B734B"/>
    <w:rsid w:val="003C19F5"/>
    <w:rsid w:val="003C4975"/>
    <w:rsid w:val="003C6331"/>
    <w:rsid w:val="003D13CF"/>
    <w:rsid w:val="003D44BA"/>
    <w:rsid w:val="003E2115"/>
    <w:rsid w:val="003E2499"/>
    <w:rsid w:val="003F10FA"/>
    <w:rsid w:val="003F3204"/>
    <w:rsid w:val="004022B1"/>
    <w:rsid w:val="00415A0E"/>
    <w:rsid w:val="004201C0"/>
    <w:rsid w:val="00422519"/>
    <w:rsid w:val="004239D5"/>
    <w:rsid w:val="00423A01"/>
    <w:rsid w:val="00433CCB"/>
    <w:rsid w:val="00456BD4"/>
    <w:rsid w:val="004658F6"/>
    <w:rsid w:val="004852AA"/>
    <w:rsid w:val="004946EF"/>
    <w:rsid w:val="00495429"/>
    <w:rsid w:val="004A3344"/>
    <w:rsid w:val="004A402D"/>
    <w:rsid w:val="004A694B"/>
    <w:rsid w:val="004B4B6E"/>
    <w:rsid w:val="004C4F15"/>
    <w:rsid w:val="004F5D32"/>
    <w:rsid w:val="00506724"/>
    <w:rsid w:val="00510154"/>
    <w:rsid w:val="00511E20"/>
    <w:rsid w:val="00531DD3"/>
    <w:rsid w:val="00532C4E"/>
    <w:rsid w:val="005340E3"/>
    <w:rsid w:val="0055176D"/>
    <w:rsid w:val="00552527"/>
    <w:rsid w:val="00573A5A"/>
    <w:rsid w:val="00580B32"/>
    <w:rsid w:val="00583D72"/>
    <w:rsid w:val="00591F8C"/>
    <w:rsid w:val="00596F03"/>
    <w:rsid w:val="005A7F2E"/>
    <w:rsid w:val="005E39D6"/>
    <w:rsid w:val="005E623F"/>
    <w:rsid w:val="005F2F7A"/>
    <w:rsid w:val="005F5D46"/>
    <w:rsid w:val="00604E38"/>
    <w:rsid w:val="00606502"/>
    <w:rsid w:val="00610604"/>
    <w:rsid w:val="00621C7E"/>
    <w:rsid w:val="00634867"/>
    <w:rsid w:val="00635064"/>
    <w:rsid w:val="00645042"/>
    <w:rsid w:val="00646385"/>
    <w:rsid w:val="00651130"/>
    <w:rsid w:val="00651FFC"/>
    <w:rsid w:val="00656E5E"/>
    <w:rsid w:val="00657581"/>
    <w:rsid w:val="00667CFF"/>
    <w:rsid w:val="00671FFC"/>
    <w:rsid w:val="00683771"/>
    <w:rsid w:val="0068756B"/>
    <w:rsid w:val="006A434F"/>
    <w:rsid w:val="006B6889"/>
    <w:rsid w:val="006D64BA"/>
    <w:rsid w:val="006E0EB4"/>
    <w:rsid w:val="00706FD0"/>
    <w:rsid w:val="00707D8E"/>
    <w:rsid w:val="00721303"/>
    <w:rsid w:val="00722BDA"/>
    <w:rsid w:val="007349B1"/>
    <w:rsid w:val="00735103"/>
    <w:rsid w:val="007462E1"/>
    <w:rsid w:val="007474F5"/>
    <w:rsid w:val="00754180"/>
    <w:rsid w:val="007658CB"/>
    <w:rsid w:val="007710C0"/>
    <w:rsid w:val="00772238"/>
    <w:rsid w:val="007731F2"/>
    <w:rsid w:val="007904D8"/>
    <w:rsid w:val="007A1CE8"/>
    <w:rsid w:val="007B0D05"/>
    <w:rsid w:val="007B71CD"/>
    <w:rsid w:val="007C1C43"/>
    <w:rsid w:val="007D6D0B"/>
    <w:rsid w:val="007E4055"/>
    <w:rsid w:val="007F3024"/>
    <w:rsid w:val="00831987"/>
    <w:rsid w:val="0083540A"/>
    <w:rsid w:val="00851740"/>
    <w:rsid w:val="00864E6A"/>
    <w:rsid w:val="008657A8"/>
    <w:rsid w:val="00865E8C"/>
    <w:rsid w:val="008772A2"/>
    <w:rsid w:val="008854E2"/>
    <w:rsid w:val="00886A6B"/>
    <w:rsid w:val="008A145F"/>
    <w:rsid w:val="008C3643"/>
    <w:rsid w:val="008C7643"/>
    <w:rsid w:val="008F18B4"/>
    <w:rsid w:val="00906FFD"/>
    <w:rsid w:val="00916DBD"/>
    <w:rsid w:val="00916E84"/>
    <w:rsid w:val="009170D1"/>
    <w:rsid w:val="00920043"/>
    <w:rsid w:val="00924C7B"/>
    <w:rsid w:val="00961C0F"/>
    <w:rsid w:val="0096206E"/>
    <w:rsid w:val="009629D6"/>
    <w:rsid w:val="0096629B"/>
    <w:rsid w:val="00981AB2"/>
    <w:rsid w:val="009845C3"/>
    <w:rsid w:val="00991F28"/>
    <w:rsid w:val="009A7166"/>
    <w:rsid w:val="009B33C1"/>
    <w:rsid w:val="009B616E"/>
    <w:rsid w:val="009C1654"/>
    <w:rsid w:val="009D7BED"/>
    <w:rsid w:val="009E610F"/>
    <w:rsid w:val="00A06D3C"/>
    <w:rsid w:val="00A07DD9"/>
    <w:rsid w:val="00A177A5"/>
    <w:rsid w:val="00A21DD8"/>
    <w:rsid w:val="00A264B1"/>
    <w:rsid w:val="00A26C3E"/>
    <w:rsid w:val="00A50949"/>
    <w:rsid w:val="00A82FB1"/>
    <w:rsid w:val="00A9464C"/>
    <w:rsid w:val="00AA79FD"/>
    <w:rsid w:val="00AB692A"/>
    <w:rsid w:val="00AC380D"/>
    <w:rsid w:val="00AD1B9F"/>
    <w:rsid w:val="00AE79EB"/>
    <w:rsid w:val="00AF1731"/>
    <w:rsid w:val="00B02767"/>
    <w:rsid w:val="00B045D4"/>
    <w:rsid w:val="00B05EEF"/>
    <w:rsid w:val="00B2341D"/>
    <w:rsid w:val="00B328F8"/>
    <w:rsid w:val="00B43F6C"/>
    <w:rsid w:val="00B46B11"/>
    <w:rsid w:val="00B50003"/>
    <w:rsid w:val="00B555FB"/>
    <w:rsid w:val="00B55864"/>
    <w:rsid w:val="00B723AE"/>
    <w:rsid w:val="00B7698F"/>
    <w:rsid w:val="00B975CF"/>
    <w:rsid w:val="00BA257A"/>
    <w:rsid w:val="00BA2589"/>
    <w:rsid w:val="00BA333E"/>
    <w:rsid w:val="00BA632C"/>
    <w:rsid w:val="00BA6694"/>
    <w:rsid w:val="00BC0663"/>
    <w:rsid w:val="00BC4DA7"/>
    <w:rsid w:val="00BC5586"/>
    <w:rsid w:val="00BC66D7"/>
    <w:rsid w:val="00BF3A0B"/>
    <w:rsid w:val="00BF7FA2"/>
    <w:rsid w:val="00C012C2"/>
    <w:rsid w:val="00C04FA3"/>
    <w:rsid w:val="00C06D23"/>
    <w:rsid w:val="00C21DCE"/>
    <w:rsid w:val="00C21FE6"/>
    <w:rsid w:val="00C36B54"/>
    <w:rsid w:val="00C453F0"/>
    <w:rsid w:val="00C61D4A"/>
    <w:rsid w:val="00C667E7"/>
    <w:rsid w:val="00C8716A"/>
    <w:rsid w:val="00C87413"/>
    <w:rsid w:val="00C90E0A"/>
    <w:rsid w:val="00C961F9"/>
    <w:rsid w:val="00CA5F59"/>
    <w:rsid w:val="00CB0475"/>
    <w:rsid w:val="00CB5BD2"/>
    <w:rsid w:val="00CC00BD"/>
    <w:rsid w:val="00CD4429"/>
    <w:rsid w:val="00CF48FB"/>
    <w:rsid w:val="00CF70E2"/>
    <w:rsid w:val="00D14B07"/>
    <w:rsid w:val="00D23091"/>
    <w:rsid w:val="00D236DE"/>
    <w:rsid w:val="00D2475B"/>
    <w:rsid w:val="00D2555C"/>
    <w:rsid w:val="00D30E44"/>
    <w:rsid w:val="00D410AA"/>
    <w:rsid w:val="00D7674D"/>
    <w:rsid w:val="00D80532"/>
    <w:rsid w:val="00D8776A"/>
    <w:rsid w:val="00D95488"/>
    <w:rsid w:val="00D97AC1"/>
    <w:rsid w:val="00DA3C10"/>
    <w:rsid w:val="00DD4B75"/>
    <w:rsid w:val="00DD64D9"/>
    <w:rsid w:val="00DE4CD4"/>
    <w:rsid w:val="00DF13ED"/>
    <w:rsid w:val="00E057D6"/>
    <w:rsid w:val="00E20FC9"/>
    <w:rsid w:val="00E52278"/>
    <w:rsid w:val="00E622F4"/>
    <w:rsid w:val="00E7071C"/>
    <w:rsid w:val="00E76F60"/>
    <w:rsid w:val="00E82172"/>
    <w:rsid w:val="00EC3C17"/>
    <w:rsid w:val="00EC7B7C"/>
    <w:rsid w:val="00EE2F57"/>
    <w:rsid w:val="00EE384E"/>
    <w:rsid w:val="00EF1F54"/>
    <w:rsid w:val="00EF25A3"/>
    <w:rsid w:val="00F077A8"/>
    <w:rsid w:val="00F10EF0"/>
    <w:rsid w:val="00F11943"/>
    <w:rsid w:val="00F235B5"/>
    <w:rsid w:val="00F318CC"/>
    <w:rsid w:val="00F41580"/>
    <w:rsid w:val="00F507F3"/>
    <w:rsid w:val="00F53DFB"/>
    <w:rsid w:val="00F674EE"/>
    <w:rsid w:val="00F73F0D"/>
    <w:rsid w:val="00F8340D"/>
    <w:rsid w:val="00FB5A2F"/>
    <w:rsid w:val="00FC37EA"/>
    <w:rsid w:val="00FD124D"/>
    <w:rsid w:val="00FE7427"/>
    <w:rsid w:val="00FF348F"/>
    <w:rsid w:val="00FF5961"/>
    <w:rsid w:val="00FF7ACB"/>
    <w:rsid w:val="011473B7"/>
    <w:rsid w:val="013730A5"/>
    <w:rsid w:val="01426588"/>
    <w:rsid w:val="01780AF3"/>
    <w:rsid w:val="017B62D9"/>
    <w:rsid w:val="02691984"/>
    <w:rsid w:val="02857A70"/>
    <w:rsid w:val="028C11CF"/>
    <w:rsid w:val="02BB66A5"/>
    <w:rsid w:val="036C18B8"/>
    <w:rsid w:val="04212517"/>
    <w:rsid w:val="047563BF"/>
    <w:rsid w:val="06CB676A"/>
    <w:rsid w:val="06E95783"/>
    <w:rsid w:val="07480CA8"/>
    <w:rsid w:val="07B43535"/>
    <w:rsid w:val="08722C49"/>
    <w:rsid w:val="08D07FA8"/>
    <w:rsid w:val="092535C5"/>
    <w:rsid w:val="09385C0D"/>
    <w:rsid w:val="0A006374"/>
    <w:rsid w:val="0A3D2603"/>
    <w:rsid w:val="0AF67B2D"/>
    <w:rsid w:val="0B263A51"/>
    <w:rsid w:val="0CA21102"/>
    <w:rsid w:val="0CE8716F"/>
    <w:rsid w:val="0D4F065E"/>
    <w:rsid w:val="0D851080"/>
    <w:rsid w:val="0DBE6E39"/>
    <w:rsid w:val="0EC20452"/>
    <w:rsid w:val="0ED67E45"/>
    <w:rsid w:val="0F9F7315"/>
    <w:rsid w:val="0FDB04CA"/>
    <w:rsid w:val="0FDC50A1"/>
    <w:rsid w:val="10802373"/>
    <w:rsid w:val="129247B3"/>
    <w:rsid w:val="13EB3A5C"/>
    <w:rsid w:val="153C2A6A"/>
    <w:rsid w:val="16DC2686"/>
    <w:rsid w:val="1717139B"/>
    <w:rsid w:val="176F01B1"/>
    <w:rsid w:val="17746A37"/>
    <w:rsid w:val="17DB2AFD"/>
    <w:rsid w:val="188057C7"/>
    <w:rsid w:val="195E6FCA"/>
    <w:rsid w:val="19693EF9"/>
    <w:rsid w:val="1A15645A"/>
    <w:rsid w:val="1C1E3330"/>
    <w:rsid w:val="1C926061"/>
    <w:rsid w:val="1D9C2340"/>
    <w:rsid w:val="1DD72298"/>
    <w:rsid w:val="1E35300A"/>
    <w:rsid w:val="1E773F2B"/>
    <w:rsid w:val="1E907864"/>
    <w:rsid w:val="1F264DB2"/>
    <w:rsid w:val="204D1B46"/>
    <w:rsid w:val="21777075"/>
    <w:rsid w:val="22BF536D"/>
    <w:rsid w:val="23B86CB1"/>
    <w:rsid w:val="23F74A7F"/>
    <w:rsid w:val="25E96AE8"/>
    <w:rsid w:val="26720558"/>
    <w:rsid w:val="2687713D"/>
    <w:rsid w:val="26EF3957"/>
    <w:rsid w:val="27551D1E"/>
    <w:rsid w:val="27B744E7"/>
    <w:rsid w:val="29B85865"/>
    <w:rsid w:val="2A9D66B1"/>
    <w:rsid w:val="2B3C200B"/>
    <w:rsid w:val="2B4B2F8E"/>
    <w:rsid w:val="2CBA4A07"/>
    <w:rsid w:val="2DA877CA"/>
    <w:rsid w:val="2E2038A6"/>
    <w:rsid w:val="2E6521BA"/>
    <w:rsid w:val="2E761A0E"/>
    <w:rsid w:val="2E8F3105"/>
    <w:rsid w:val="2F57535D"/>
    <w:rsid w:val="2F650C5A"/>
    <w:rsid w:val="2FDE024A"/>
    <w:rsid w:val="2FE94856"/>
    <w:rsid w:val="30763610"/>
    <w:rsid w:val="30C17BE1"/>
    <w:rsid w:val="316E1C3F"/>
    <w:rsid w:val="3190453E"/>
    <w:rsid w:val="323C6407"/>
    <w:rsid w:val="33486463"/>
    <w:rsid w:val="339B2E55"/>
    <w:rsid w:val="33B93E87"/>
    <w:rsid w:val="33C06BE8"/>
    <w:rsid w:val="34A86620"/>
    <w:rsid w:val="34BD3731"/>
    <w:rsid w:val="35241E1C"/>
    <w:rsid w:val="356E166E"/>
    <w:rsid w:val="35905C06"/>
    <w:rsid w:val="36217058"/>
    <w:rsid w:val="36E508D2"/>
    <w:rsid w:val="37021484"/>
    <w:rsid w:val="37123938"/>
    <w:rsid w:val="379612FD"/>
    <w:rsid w:val="37C618BF"/>
    <w:rsid w:val="37E61D9D"/>
    <w:rsid w:val="383F471F"/>
    <w:rsid w:val="391C004B"/>
    <w:rsid w:val="395F37F3"/>
    <w:rsid w:val="39CE38A0"/>
    <w:rsid w:val="3B276281"/>
    <w:rsid w:val="3B58758B"/>
    <w:rsid w:val="3C0552B9"/>
    <w:rsid w:val="3C5F6F0B"/>
    <w:rsid w:val="41397505"/>
    <w:rsid w:val="41407BC6"/>
    <w:rsid w:val="41924FA5"/>
    <w:rsid w:val="41B5268E"/>
    <w:rsid w:val="428441A1"/>
    <w:rsid w:val="42D002C9"/>
    <w:rsid w:val="42DA4128"/>
    <w:rsid w:val="42E46B1A"/>
    <w:rsid w:val="42E7324D"/>
    <w:rsid w:val="44056B1D"/>
    <w:rsid w:val="45D567F7"/>
    <w:rsid w:val="4750349E"/>
    <w:rsid w:val="48500230"/>
    <w:rsid w:val="487A7C3D"/>
    <w:rsid w:val="48852078"/>
    <w:rsid w:val="48C264D0"/>
    <w:rsid w:val="491237A9"/>
    <w:rsid w:val="49B85EB3"/>
    <w:rsid w:val="49BD689C"/>
    <w:rsid w:val="49F36350"/>
    <w:rsid w:val="4A834233"/>
    <w:rsid w:val="4AAE3F88"/>
    <w:rsid w:val="4ACC78BF"/>
    <w:rsid w:val="4BA821A3"/>
    <w:rsid w:val="4C0C6C3A"/>
    <w:rsid w:val="4C5F4D73"/>
    <w:rsid w:val="4C645A1C"/>
    <w:rsid w:val="4D81774F"/>
    <w:rsid w:val="4E844A26"/>
    <w:rsid w:val="4F096C7F"/>
    <w:rsid w:val="4F6576E7"/>
    <w:rsid w:val="50165B57"/>
    <w:rsid w:val="510207A4"/>
    <w:rsid w:val="518F1542"/>
    <w:rsid w:val="51A81A66"/>
    <w:rsid w:val="52AE7D89"/>
    <w:rsid w:val="537F00FC"/>
    <w:rsid w:val="56256AC7"/>
    <w:rsid w:val="56EF512A"/>
    <w:rsid w:val="573A0D78"/>
    <w:rsid w:val="573C40E7"/>
    <w:rsid w:val="57E722A5"/>
    <w:rsid w:val="57E73000"/>
    <w:rsid w:val="594308C9"/>
    <w:rsid w:val="59A61C20"/>
    <w:rsid w:val="5A4842D0"/>
    <w:rsid w:val="5AF16C7A"/>
    <w:rsid w:val="5B6F9CB2"/>
    <w:rsid w:val="5BB92529"/>
    <w:rsid w:val="5BE338FF"/>
    <w:rsid w:val="5D022AAA"/>
    <w:rsid w:val="5D526412"/>
    <w:rsid w:val="5D9037DF"/>
    <w:rsid w:val="5F585793"/>
    <w:rsid w:val="5FCD75EA"/>
    <w:rsid w:val="604A7E95"/>
    <w:rsid w:val="607657A8"/>
    <w:rsid w:val="6169634D"/>
    <w:rsid w:val="623C36B0"/>
    <w:rsid w:val="627E4BA4"/>
    <w:rsid w:val="62960B4F"/>
    <w:rsid w:val="62D761F5"/>
    <w:rsid w:val="62DB3E42"/>
    <w:rsid w:val="636A0AAB"/>
    <w:rsid w:val="6408454D"/>
    <w:rsid w:val="649576B5"/>
    <w:rsid w:val="64D061F2"/>
    <w:rsid w:val="657C227E"/>
    <w:rsid w:val="659C46CE"/>
    <w:rsid w:val="65BA167F"/>
    <w:rsid w:val="65C96A54"/>
    <w:rsid w:val="65CF7598"/>
    <w:rsid w:val="67E847A9"/>
    <w:rsid w:val="681A0C49"/>
    <w:rsid w:val="683A1F7D"/>
    <w:rsid w:val="69164798"/>
    <w:rsid w:val="6922138F"/>
    <w:rsid w:val="6B134D86"/>
    <w:rsid w:val="6B331108"/>
    <w:rsid w:val="6C256AA0"/>
    <w:rsid w:val="6CC91389"/>
    <w:rsid w:val="6CEA399D"/>
    <w:rsid w:val="6E382027"/>
    <w:rsid w:val="6E5F25BC"/>
    <w:rsid w:val="6EB49815"/>
    <w:rsid w:val="6F5A052D"/>
    <w:rsid w:val="6FEE4FB2"/>
    <w:rsid w:val="6FF70194"/>
    <w:rsid w:val="70AF0210"/>
    <w:rsid w:val="71314AE6"/>
    <w:rsid w:val="71BC0BD5"/>
    <w:rsid w:val="72873907"/>
    <w:rsid w:val="72B323C5"/>
    <w:rsid w:val="72CC27BE"/>
    <w:rsid w:val="72F76CC4"/>
    <w:rsid w:val="73C03941"/>
    <w:rsid w:val="7496138D"/>
    <w:rsid w:val="74A30F48"/>
    <w:rsid w:val="751B3FAB"/>
    <w:rsid w:val="75E83166"/>
    <w:rsid w:val="761F2C66"/>
    <w:rsid w:val="762876AB"/>
    <w:rsid w:val="76AD7DBE"/>
    <w:rsid w:val="771B4BAD"/>
    <w:rsid w:val="77216F4A"/>
    <w:rsid w:val="778A4754"/>
    <w:rsid w:val="782E416C"/>
    <w:rsid w:val="787B0173"/>
    <w:rsid w:val="78CF226D"/>
    <w:rsid w:val="79076ADC"/>
    <w:rsid w:val="79282095"/>
    <w:rsid w:val="7A1B2C98"/>
    <w:rsid w:val="7A245748"/>
    <w:rsid w:val="7A575FAA"/>
    <w:rsid w:val="7B132ADF"/>
    <w:rsid w:val="7B864B6D"/>
    <w:rsid w:val="7C176106"/>
    <w:rsid w:val="7CC6249B"/>
    <w:rsid w:val="7CFB1883"/>
    <w:rsid w:val="7D283955"/>
    <w:rsid w:val="7D63794B"/>
    <w:rsid w:val="7E5B0DC0"/>
    <w:rsid w:val="7ECC14B4"/>
    <w:rsid w:val="7F475C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line="360" w:lineRule="auto"/>
      <w:ind w:firstLine="803" w:firstLineChars="200"/>
    </w:pPr>
    <w:rPr>
      <w:rFonts w:ascii="仿宋" w:hAnsi="仿宋" w:eastAsia="仿宋" w:cs="仿宋"/>
      <w:sz w:val="24"/>
      <w:szCs w:val="24"/>
      <w:lang w:val="en-US" w:eastAsia="zh-CN" w:bidi="ar-SA"/>
    </w:rPr>
  </w:style>
  <w:style w:type="paragraph" w:styleId="3">
    <w:name w:val="heading 1"/>
    <w:basedOn w:val="1"/>
    <w:next w:val="1"/>
    <w:qFormat/>
    <w:uiPriority w:val="0"/>
    <w:pPr>
      <w:keepNext/>
      <w:keepLines/>
      <w:numPr>
        <w:ilvl w:val="0"/>
        <w:numId w:val="1"/>
      </w:numPr>
      <w:spacing w:before="200" w:after="200"/>
      <w:ind w:firstLineChars="0"/>
      <w:outlineLvl w:val="0"/>
    </w:pPr>
    <w:rPr>
      <w:rFonts w:ascii="宋体" w:hAnsi="宋体" w:eastAsia="宋体"/>
      <w:b/>
      <w:bCs/>
      <w:kern w:val="44"/>
      <w:sz w:val="30"/>
      <w:szCs w:val="44"/>
    </w:rPr>
  </w:style>
  <w:style w:type="paragraph" w:styleId="4">
    <w:name w:val="heading 2"/>
    <w:basedOn w:val="1"/>
    <w:next w:val="1"/>
    <w:link w:val="29"/>
    <w:unhideWhenUsed/>
    <w:qFormat/>
    <w:uiPriority w:val="0"/>
    <w:pPr>
      <w:keepNext/>
      <w:keepLines/>
      <w:numPr>
        <w:ilvl w:val="1"/>
        <w:numId w:val="1"/>
      </w:numPr>
      <w:spacing w:before="200" w:after="200"/>
      <w:ind w:firstLineChars="0"/>
      <w:outlineLvl w:val="1"/>
    </w:pPr>
    <w:rPr>
      <w:rFonts w:asciiTheme="majorHAnsi" w:hAnsiTheme="majorHAnsi" w:cstheme="majorBidi"/>
      <w:b/>
      <w:bCs/>
      <w:sz w:val="28"/>
      <w:szCs w:val="32"/>
    </w:rPr>
  </w:style>
  <w:style w:type="paragraph" w:styleId="5">
    <w:name w:val="heading 3"/>
    <w:basedOn w:val="1"/>
    <w:next w:val="1"/>
    <w:link w:val="30"/>
    <w:unhideWhenUsed/>
    <w:qFormat/>
    <w:uiPriority w:val="0"/>
    <w:pPr>
      <w:keepNext/>
      <w:keepLines/>
      <w:numPr>
        <w:ilvl w:val="2"/>
        <w:numId w:val="1"/>
      </w:numPr>
      <w:spacing w:before="160" w:after="160"/>
      <w:ind w:firstLine="0" w:firstLineChars="0"/>
      <w:outlineLvl w:val="2"/>
    </w:pPr>
    <w:rPr>
      <w:rFonts w:ascii="宋体" w:hAnsi="宋体"/>
      <w:b/>
      <w:bCs/>
      <w:sz w:val="28"/>
      <w:szCs w:val="32"/>
    </w:rPr>
  </w:style>
  <w:style w:type="paragraph" w:styleId="6">
    <w:name w:val="heading 4"/>
    <w:basedOn w:val="1"/>
    <w:next w:val="1"/>
    <w:unhideWhenUsed/>
    <w:qFormat/>
    <w:uiPriority w:val="9"/>
    <w:pPr>
      <w:keepNext/>
      <w:keepLines/>
      <w:numPr>
        <w:ilvl w:val="3"/>
        <w:numId w:val="1"/>
      </w:numPr>
      <w:spacing w:before="100" w:after="100"/>
      <w:ind w:firstLine="0"/>
      <w:outlineLvl w:val="3"/>
    </w:pPr>
    <w:rPr>
      <w:b/>
      <w:sz w:val="28"/>
      <w:szCs w:val="30"/>
    </w:rPr>
  </w:style>
  <w:style w:type="paragraph" w:styleId="7">
    <w:name w:val="heading 5"/>
    <w:basedOn w:val="1"/>
    <w:next w:val="1"/>
    <w:semiHidden/>
    <w:unhideWhenUsed/>
    <w:qFormat/>
    <w:uiPriority w:val="9"/>
    <w:pPr>
      <w:keepNext/>
      <w:keepLines/>
      <w:numPr>
        <w:ilvl w:val="4"/>
        <w:numId w:val="1"/>
      </w:numPr>
      <w:spacing w:before="280" w:after="290" w:line="372" w:lineRule="auto"/>
      <w:outlineLvl w:val="4"/>
    </w:pPr>
    <w:rPr>
      <w:b/>
      <w:sz w:val="28"/>
    </w:rPr>
  </w:style>
  <w:style w:type="paragraph" w:styleId="8">
    <w:name w:val="heading 6"/>
    <w:basedOn w:val="1"/>
    <w:next w:val="1"/>
    <w:semiHidden/>
    <w:unhideWhenUsed/>
    <w:qFormat/>
    <w:uiPriority w:val="9"/>
    <w:pPr>
      <w:keepNext/>
      <w:keepLines/>
      <w:numPr>
        <w:ilvl w:val="5"/>
        <w:numId w:val="1"/>
      </w:numPr>
      <w:spacing w:before="240" w:after="64" w:line="317" w:lineRule="auto"/>
      <w:outlineLvl w:val="5"/>
    </w:pPr>
    <w:rPr>
      <w:rFonts w:ascii="Arial" w:hAnsi="Arial" w:eastAsia="黑体"/>
      <w:b/>
    </w:rPr>
  </w:style>
  <w:style w:type="paragraph" w:styleId="9">
    <w:name w:val="heading 7"/>
    <w:basedOn w:val="1"/>
    <w:next w:val="1"/>
    <w:semiHidden/>
    <w:unhideWhenUsed/>
    <w:qFormat/>
    <w:uiPriority w:val="9"/>
    <w:pPr>
      <w:keepNext/>
      <w:keepLines/>
      <w:numPr>
        <w:ilvl w:val="6"/>
        <w:numId w:val="1"/>
      </w:numPr>
      <w:spacing w:before="240" w:after="64" w:line="317" w:lineRule="auto"/>
      <w:outlineLvl w:val="6"/>
    </w:pPr>
    <w:rPr>
      <w:b/>
    </w:rPr>
  </w:style>
  <w:style w:type="paragraph" w:styleId="10">
    <w:name w:val="heading 8"/>
    <w:basedOn w:val="1"/>
    <w:next w:val="1"/>
    <w:semiHidden/>
    <w:unhideWhenUsed/>
    <w:qFormat/>
    <w:uiPriority w:val="9"/>
    <w:pPr>
      <w:keepNext/>
      <w:keepLines/>
      <w:numPr>
        <w:ilvl w:val="7"/>
        <w:numId w:val="1"/>
      </w:numPr>
      <w:spacing w:before="240" w:after="64" w:line="317" w:lineRule="auto"/>
      <w:outlineLvl w:val="7"/>
    </w:pPr>
    <w:rPr>
      <w:rFonts w:ascii="Arial" w:hAnsi="Arial" w:eastAsia="黑体"/>
    </w:rPr>
  </w:style>
  <w:style w:type="paragraph" w:styleId="11">
    <w:name w:val="heading 9"/>
    <w:basedOn w:val="1"/>
    <w:next w:val="1"/>
    <w:semiHidden/>
    <w:unhideWhenUsed/>
    <w:qFormat/>
    <w:uiPriority w:val="9"/>
    <w:pPr>
      <w:keepNext/>
      <w:keepLines/>
      <w:numPr>
        <w:ilvl w:val="8"/>
        <w:numId w:val="1"/>
      </w:numPr>
      <w:spacing w:before="240" w:after="64" w:line="317" w:lineRule="auto"/>
      <w:outlineLvl w:val="8"/>
    </w:pPr>
    <w:rPr>
      <w:rFonts w:ascii="Arial" w:hAnsi="Arial" w:eastAsia="黑体"/>
      <w:sz w:val="21"/>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12">
    <w:name w:val="annotation text"/>
    <w:basedOn w:val="1"/>
    <w:link w:val="41"/>
    <w:qFormat/>
    <w:uiPriority w:val="0"/>
  </w:style>
  <w:style w:type="paragraph" w:styleId="13">
    <w:name w:val="footer"/>
    <w:basedOn w:val="1"/>
    <w:link w:val="40"/>
    <w:qFormat/>
    <w:uiPriority w:val="0"/>
    <w:pPr>
      <w:tabs>
        <w:tab w:val="center" w:pos="4153"/>
        <w:tab w:val="right" w:pos="8306"/>
      </w:tabs>
      <w:snapToGrid w:val="0"/>
      <w:spacing w:line="240" w:lineRule="auto"/>
    </w:pPr>
    <w:rPr>
      <w:sz w:val="18"/>
      <w:szCs w:val="18"/>
    </w:rPr>
  </w:style>
  <w:style w:type="paragraph" w:styleId="14">
    <w:name w:val="header"/>
    <w:basedOn w:val="1"/>
    <w:link w:val="26"/>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Normal (Web)"/>
    <w:basedOn w:val="1"/>
    <w:semiHidden/>
    <w:unhideWhenUsed/>
    <w:qFormat/>
    <w:uiPriority w:val="99"/>
    <w:pPr>
      <w:spacing w:beforeAutospacing="1" w:afterAutospacing="1"/>
    </w:pPr>
    <w:rPr>
      <w:rFonts w:cs="Times New Roman"/>
    </w:rPr>
  </w:style>
  <w:style w:type="paragraph" w:styleId="16">
    <w:name w:val="Title"/>
    <w:basedOn w:val="1"/>
    <w:qFormat/>
    <w:uiPriority w:val="1"/>
    <w:pPr>
      <w:spacing w:before="2"/>
      <w:ind w:left="20"/>
    </w:pPr>
  </w:style>
  <w:style w:type="paragraph" w:styleId="17">
    <w:name w:val="annotation subject"/>
    <w:basedOn w:val="12"/>
    <w:next w:val="12"/>
    <w:link w:val="42"/>
    <w:qFormat/>
    <w:uiPriority w:val="0"/>
    <w:rPr>
      <w:b/>
      <w:bCs/>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page number"/>
    <w:basedOn w:val="20"/>
    <w:qFormat/>
    <w:uiPriority w:val="0"/>
  </w:style>
  <w:style w:type="character" w:styleId="23">
    <w:name w:val="Hyperlink"/>
    <w:basedOn w:val="20"/>
    <w:semiHidden/>
    <w:unhideWhenUsed/>
    <w:qFormat/>
    <w:uiPriority w:val="99"/>
    <w:rPr>
      <w:color w:val="0000FF"/>
      <w:u w:val="single"/>
    </w:rPr>
  </w:style>
  <w:style w:type="character" w:styleId="24">
    <w:name w:val="annotation reference"/>
    <w:basedOn w:val="20"/>
    <w:qFormat/>
    <w:uiPriority w:val="0"/>
    <w:rPr>
      <w:sz w:val="21"/>
      <w:szCs w:val="21"/>
    </w:rPr>
  </w:style>
  <w:style w:type="table" w:customStyle="1" w:styleId="25">
    <w:name w:val="Table Normal"/>
    <w:semiHidden/>
    <w:unhideWhenUsed/>
    <w:qFormat/>
    <w:uiPriority w:val="2"/>
    <w:tblPr>
      <w:tblCellMar>
        <w:top w:w="0" w:type="dxa"/>
        <w:left w:w="0" w:type="dxa"/>
        <w:bottom w:w="0" w:type="dxa"/>
        <w:right w:w="0" w:type="dxa"/>
      </w:tblCellMar>
    </w:tblPr>
  </w:style>
  <w:style w:type="character" w:customStyle="1" w:styleId="26">
    <w:name w:val="页眉 字符"/>
    <w:basedOn w:val="20"/>
    <w:link w:val="14"/>
    <w:qFormat/>
    <w:uiPriority w:val="99"/>
    <w:rPr>
      <w:rFonts w:ascii="宋体" w:hAnsi="宋体" w:eastAsia="宋体" w:cs="宋体"/>
      <w:sz w:val="18"/>
      <w:szCs w:val="18"/>
      <w:lang w:eastAsia="zh-CN"/>
    </w:rPr>
  </w:style>
  <w:style w:type="paragraph" w:customStyle="1" w:styleId="27">
    <w:name w:val="无缩进 居中  格式"/>
    <w:basedOn w:val="1"/>
    <w:link w:val="33"/>
    <w:qFormat/>
    <w:uiPriority w:val="0"/>
    <w:pPr>
      <w:ind w:firstLine="0" w:firstLineChars="0"/>
      <w:jc w:val="center"/>
    </w:pPr>
    <w:rPr>
      <w:sz w:val="21"/>
    </w:rPr>
  </w:style>
  <w:style w:type="paragraph" w:customStyle="1" w:styleId="28">
    <w:name w:val="null3"/>
    <w:hidden/>
    <w:qFormat/>
    <w:uiPriority w:val="0"/>
    <w:rPr>
      <w:rFonts w:hint="eastAsia" w:asciiTheme="minorHAnsi" w:hAnsiTheme="minorHAnsi" w:eastAsiaTheme="minorEastAsia" w:cstheme="minorBidi"/>
      <w:lang w:val="en-US" w:eastAsia="zh-CN" w:bidi="ar-SA"/>
    </w:rPr>
  </w:style>
  <w:style w:type="character" w:customStyle="1" w:styleId="29">
    <w:name w:val="标题 2 字符"/>
    <w:basedOn w:val="20"/>
    <w:link w:val="4"/>
    <w:qFormat/>
    <w:uiPriority w:val="9"/>
    <w:rPr>
      <w:rFonts w:eastAsia="仿宋" w:asciiTheme="majorHAnsi" w:hAnsiTheme="majorHAnsi" w:cstheme="majorBidi"/>
      <w:b/>
      <w:bCs/>
      <w:sz w:val="28"/>
      <w:szCs w:val="32"/>
    </w:rPr>
  </w:style>
  <w:style w:type="character" w:customStyle="1" w:styleId="30">
    <w:name w:val="标题 3 字符"/>
    <w:link w:val="5"/>
    <w:qFormat/>
    <w:uiPriority w:val="0"/>
    <w:rPr>
      <w:rFonts w:ascii="宋体" w:hAnsi="宋体" w:eastAsia="仿宋"/>
      <w:b/>
      <w:bCs/>
      <w:sz w:val="28"/>
      <w:szCs w:val="32"/>
    </w:rPr>
  </w:style>
  <w:style w:type="paragraph" w:customStyle="1" w:styleId="31">
    <w:name w:val="表格、图片文字"/>
    <w:basedOn w:val="1"/>
    <w:link w:val="32"/>
    <w:qFormat/>
    <w:uiPriority w:val="0"/>
    <w:pPr>
      <w:spacing w:line="240" w:lineRule="auto"/>
      <w:ind w:firstLine="0" w:firstLineChars="0"/>
      <w:jc w:val="center"/>
    </w:pPr>
    <w:rPr>
      <w:sz w:val="21"/>
      <w:szCs w:val="21"/>
    </w:rPr>
  </w:style>
  <w:style w:type="character" w:customStyle="1" w:styleId="32">
    <w:name w:val="表格、图片文字 Char"/>
    <w:link w:val="31"/>
    <w:qFormat/>
    <w:uiPriority w:val="0"/>
    <w:rPr>
      <w:rFonts w:ascii="仿宋" w:hAnsi="仿宋" w:eastAsia="仿宋" w:cs="仿宋"/>
      <w:sz w:val="21"/>
      <w:szCs w:val="21"/>
    </w:rPr>
  </w:style>
  <w:style w:type="character" w:customStyle="1" w:styleId="33">
    <w:name w:val="无缩进 居中  格式 Char"/>
    <w:link w:val="27"/>
    <w:qFormat/>
    <w:uiPriority w:val="0"/>
    <w:rPr>
      <w:sz w:val="21"/>
    </w:rPr>
  </w:style>
  <w:style w:type="character" w:customStyle="1" w:styleId="34">
    <w:name w:val="font41"/>
    <w:basedOn w:val="20"/>
    <w:qFormat/>
    <w:uiPriority w:val="0"/>
    <w:rPr>
      <w:rFonts w:hint="eastAsia" w:ascii="宋体" w:hAnsi="宋体" w:eastAsia="宋体" w:cs="宋体"/>
      <w:color w:val="000000"/>
      <w:sz w:val="22"/>
      <w:szCs w:val="22"/>
      <w:u w:val="none"/>
    </w:rPr>
  </w:style>
  <w:style w:type="character" w:customStyle="1" w:styleId="35">
    <w:name w:val="font61"/>
    <w:basedOn w:val="20"/>
    <w:qFormat/>
    <w:uiPriority w:val="0"/>
    <w:rPr>
      <w:rFonts w:hint="eastAsia" w:ascii="宋体" w:hAnsi="宋体" w:eastAsia="宋体" w:cs="宋体"/>
      <w:b/>
      <w:bCs/>
      <w:color w:val="000000"/>
      <w:sz w:val="22"/>
      <w:szCs w:val="22"/>
      <w:u w:val="none"/>
    </w:rPr>
  </w:style>
  <w:style w:type="character" w:customStyle="1" w:styleId="36">
    <w:name w:val="font31"/>
    <w:basedOn w:val="20"/>
    <w:qFormat/>
    <w:uiPriority w:val="0"/>
    <w:rPr>
      <w:rFonts w:hint="eastAsia" w:ascii="宋体" w:hAnsi="宋体" w:eastAsia="宋体" w:cs="宋体"/>
      <w:color w:val="000000"/>
      <w:sz w:val="21"/>
      <w:szCs w:val="21"/>
      <w:u w:val="none"/>
    </w:rPr>
  </w:style>
  <w:style w:type="character" w:customStyle="1" w:styleId="37">
    <w:name w:val="font71"/>
    <w:basedOn w:val="20"/>
    <w:qFormat/>
    <w:uiPriority w:val="0"/>
    <w:rPr>
      <w:rFonts w:ascii="Calibri" w:hAnsi="Calibri" w:cs="Calibri"/>
      <w:color w:val="000000"/>
      <w:sz w:val="21"/>
      <w:szCs w:val="21"/>
      <w:u w:val="none"/>
    </w:rPr>
  </w:style>
  <w:style w:type="character" w:customStyle="1" w:styleId="38">
    <w:name w:val="font11"/>
    <w:basedOn w:val="20"/>
    <w:qFormat/>
    <w:uiPriority w:val="0"/>
    <w:rPr>
      <w:rFonts w:hint="eastAsia" w:ascii="宋体" w:hAnsi="宋体" w:eastAsia="宋体" w:cs="宋体"/>
      <w:color w:val="000000"/>
      <w:sz w:val="22"/>
      <w:szCs w:val="22"/>
      <w:u w:val="none"/>
    </w:rPr>
  </w:style>
  <w:style w:type="character" w:customStyle="1" w:styleId="39">
    <w:name w:val="font21"/>
    <w:basedOn w:val="20"/>
    <w:qFormat/>
    <w:uiPriority w:val="0"/>
    <w:rPr>
      <w:rFonts w:hint="eastAsia" w:ascii="宋体" w:hAnsi="宋体" w:eastAsia="宋体" w:cs="宋体"/>
      <w:b/>
      <w:bCs/>
      <w:color w:val="000000"/>
      <w:sz w:val="22"/>
      <w:szCs w:val="22"/>
      <w:u w:val="none"/>
    </w:rPr>
  </w:style>
  <w:style w:type="character" w:customStyle="1" w:styleId="40">
    <w:name w:val="页脚 字符"/>
    <w:basedOn w:val="20"/>
    <w:link w:val="13"/>
    <w:qFormat/>
    <w:uiPriority w:val="0"/>
    <w:rPr>
      <w:rFonts w:ascii="仿宋" w:hAnsi="仿宋" w:eastAsia="仿宋" w:cs="仿宋"/>
      <w:sz w:val="18"/>
      <w:szCs w:val="18"/>
    </w:rPr>
  </w:style>
  <w:style w:type="character" w:customStyle="1" w:styleId="41">
    <w:name w:val="批注文字 字符"/>
    <w:basedOn w:val="20"/>
    <w:link w:val="12"/>
    <w:qFormat/>
    <w:uiPriority w:val="0"/>
    <w:rPr>
      <w:rFonts w:ascii="仿宋" w:hAnsi="仿宋" w:eastAsia="仿宋" w:cs="仿宋"/>
      <w:sz w:val="24"/>
      <w:szCs w:val="24"/>
    </w:rPr>
  </w:style>
  <w:style w:type="character" w:customStyle="1" w:styleId="42">
    <w:name w:val="批注主题 字符"/>
    <w:basedOn w:val="41"/>
    <w:link w:val="17"/>
    <w:qFormat/>
    <w:uiPriority w:val="0"/>
    <w:rPr>
      <w:rFonts w:ascii="仿宋" w:hAnsi="仿宋" w:eastAsia="仿宋" w:cs="仿宋"/>
      <w:b/>
      <w:bCs/>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6EE47-9272-483F-A7EA-2B23865F9E34}">
  <ds:schemaRefs/>
</ds:datastoreItem>
</file>

<file path=docProps/app.xml><?xml version="1.0" encoding="utf-8"?>
<Properties xmlns="http://schemas.openxmlformats.org/officeDocument/2006/extended-properties" xmlns:vt="http://schemas.openxmlformats.org/officeDocument/2006/docPropsVTypes">
  <Template>Normal.dotm</Template>
  <Pages>67</Pages>
  <Words>47173</Words>
  <Characters>54383</Characters>
  <Lines>397</Lines>
  <Paragraphs>112</Paragraphs>
  <TotalTime>0</TotalTime>
  <ScaleCrop>false</ScaleCrop>
  <LinksUpToDate>false</LinksUpToDate>
  <CharactersWithSpaces>54383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2023-02-10T18:55:00Z</dcterms:created>
  <dc:creator>Administrator</dc:creator>
  <cp:lastModifiedBy>公诚-稣琴</cp:lastModifiedBy>
  <dcterms:modified xsi:type="dcterms:W3CDTF">2026-08-21T07:29:14Z</dcterms:modified>
  <dc:title>iSignature HTML5签章</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2021-08-09T00:00:00Z</vt:filetime>
  </property>
  <property fmtid="{D5CDD505-2E9C-101B-9397-08002B2CF9AE}" pid="3" name="Creator">
    <vt:lpwstr>wkhtmltopdf 0.12.5</vt:lpwstr>
  </property>
  <property fmtid="{D5CDD505-2E9C-101B-9397-08002B2CF9AE}" pid="4" name="LastSaved">
    <vt:filetime>2021-08-09T00:00:00Z</vt:filetime>
  </property>
  <property fmtid="{D5CDD505-2E9C-101B-9397-08002B2CF9AE}" pid="5" name="KSOProductBuildVer">
    <vt:lpwstr>2052-11.1.0.14309</vt:lpwstr>
  </property>
  <property fmtid="{D5CDD505-2E9C-101B-9397-08002B2CF9AE}" pid="6" name="KSOTemplateDocerSaveRecord">
    <vt:lpwstr>eyJoZGlkIjoiYTA5YzVlYjdhNTEzYjU5MGQ4OTg4MDQ5NTM5YjMzZGQiLCJ1c2VySWQiOiIxMzQ1Njk1MDkzIn0=</vt:lpwstr>
  </property>
  <property fmtid="{D5CDD505-2E9C-101B-9397-08002B2CF9AE}" pid="7" name="ICV">
    <vt:lpwstr>74D87F470D5C4631924EC2FA072C6272_13</vt:lpwstr>
  </property>
</Properties>
</file>