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812DC">
      <w:pPr>
        <w:autoSpaceDE w:val="0"/>
        <w:autoSpaceDN w:val="0"/>
        <w:adjustRightInd w:val="0"/>
        <w:spacing w:line="276" w:lineRule="auto"/>
        <w:ind w:left="357" w:leftChars="170" w:right="-23" w:rightChars="-11"/>
        <w:jc w:val="center"/>
        <w:rPr>
          <w:rFonts w:hint="eastAsia" w:ascii="宋体" w:hAnsi="宋体" w:eastAsia="宋体" w:cs="宋体"/>
          <w:b/>
          <w:bCs/>
          <w:color w:val="auto"/>
          <w:kern w:val="0"/>
          <w:sz w:val="52"/>
          <w:szCs w:val="52"/>
          <w:highlight w:val="none"/>
          <w:lang w:val="zh-CN"/>
        </w:rPr>
      </w:pPr>
    </w:p>
    <w:p w14:paraId="15103352">
      <w:pPr>
        <w:outlineLvl w:val="9"/>
        <w:rPr>
          <w:rFonts w:hint="eastAsia" w:ascii="宋体" w:hAnsi="宋体" w:eastAsia="宋体" w:cs="宋体"/>
          <w:color w:val="auto"/>
          <w:highlight w:val="none"/>
          <w:lang w:val="zh-CN"/>
        </w:rPr>
      </w:pPr>
    </w:p>
    <w:p w14:paraId="47A4AE9A">
      <w:pPr>
        <w:autoSpaceDE w:val="0"/>
        <w:autoSpaceDN w:val="0"/>
        <w:adjustRightInd w:val="0"/>
        <w:spacing w:line="276" w:lineRule="auto"/>
        <w:ind w:left="357" w:leftChars="170" w:right="-23" w:rightChars="-11"/>
        <w:jc w:val="center"/>
        <w:rPr>
          <w:rFonts w:hint="eastAsia" w:ascii="宋体" w:hAnsi="宋体" w:eastAsia="宋体" w:cs="宋体"/>
          <w:b/>
          <w:bCs/>
          <w:color w:val="auto"/>
          <w:kern w:val="0"/>
          <w:sz w:val="60"/>
          <w:szCs w:val="60"/>
          <w:highlight w:val="none"/>
          <w:lang w:val="zh-CN"/>
        </w:rPr>
      </w:pPr>
      <w:r>
        <w:rPr>
          <w:rFonts w:hint="eastAsia" w:ascii="宋体" w:hAnsi="宋体" w:eastAsia="宋体" w:cs="宋体"/>
          <w:b/>
          <w:bCs/>
          <w:color w:val="auto"/>
          <w:kern w:val="0"/>
          <w:sz w:val="60"/>
          <w:szCs w:val="60"/>
          <w:highlight w:val="none"/>
          <w:lang w:val="zh-CN"/>
        </w:rPr>
        <w:t>东莞市污泥集中处理处置项目过渡期废盐处置服务采购项目</w:t>
      </w:r>
    </w:p>
    <w:p w14:paraId="41F5DA2A">
      <w:pPr>
        <w:autoSpaceDE w:val="0"/>
        <w:autoSpaceDN w:val="0"/>
        <w:adjustRightInd w:val="0"/>
        <w:spacing w:line="276" w:lineRule="auto"/>
        <w:ind w:left="357" w:leftChars="170" w:right="-23" w:rightChars="-11"/>
        <w:jc w:val="center"/>
        <w:rPr>
          <w:rFonts w:hint="eastAsia" w:ascii="宋体" w:hAnsi="宋体" w:eastAsia="宋体" w:cs="宋体"/>
          <w:b/>
          <w:bCs/>
          <w:color w:val="auto"/>
          <w:kern w:val="0"/>
          <w:sz w:val="44"/>
          <w:szCs w:val="44"/>
          <w:highlight w:val="none"/>
          <w:lang w:val="zh-CN"/>
        </w:rPr>
      </w:pPr>
    </w:p>
    <w:p w14:paraId="0E60060D">
      <w:pPr>
        <w:autoSpaceDE w:val="0"/>
        <w:autoSpaceDN w:val="0"/>
        <w:adjustRightInd w:val="0"/>
        <w:ind w:right="-23" w:rightChars="-11"/>
        <w:jc w:val="left"/>
        <w:rPr>
          <w:rFonts w:hint="eastAsia" w:ascii="宋体" w:hAnsi="宋体" w:eastAsia="宋体" w:cs="宋体"/>
          <w:b/>
          <w:bCs/>
          <w:color w:val="auto"/>
          <w:sz w:val="44"/>
          <w:szCs w:val="44"/>
          <w:highlight w:val="none"/>
          <w:lang w:val="zh-CN"/>
        </w:rPr>
      </w:pPr>
    </w:p>
    <w:p w14:paraId="4D1DE667">
      <w:pPr>
        <w:autoSpaceDE w:val="0"/>
        <w:autoSpaceDN w:val="0"/>
        <w:adjustRightInd w:val="0"/>
        <w:ind w:right="-23" w:rightChars="-11"/>
        <w:jc w:val="center"/>
        <w:rPr>
          <w:rFonts w:hint="eastAsia" w:ascii="宋体" w:hAnsi="宋体" w:eastAsia="宋体" w:cs="宋体"/>
          <w:b/>
          <w:bCs/>
          <w:color w:val="auto"/>
          <w:sz w:val="72"/>
          <w:szCs w:val="72"/>
          <w:highlight w:val="none"/>
          <w:lang w:val="zh-CN"/>
        </w:rPr>
      </w:pPr>
    </w:p>
    <w:p w14:paraId="619522BD">
      <w:pPr>
        <w:autoSpaceDE w:val="0"/>
        <w:autoSpaceDN w:val="0"/>
        <w:adjustRightInd w:val="0"/>
        <w:ind w:right="-23" w:rightChars="-11"/>
        <w:jc w:val="center"/>
        <w:rPr>
          <w:rFonts w:hint="eastAsia" w:ascii="宋体" w:hAnsi="宋体" w:eastAsia="宋体" w:cs="宋体"/>
          <w:b/>
          <w:bCs/>
          <w:color w:val="auto"/>
          <w:sz w:val="72"/>
          <w:szCs w:val="72"/>
          <w:highlight w:val="none"/>
          <w:lang w:val="zh-CN"/>
        </w:rPr>
      </w:pPr>
      <w:r>
        <w:rPr>
          <w:rFonts w:hint="eastAsia" w:ascii="宋体" w:hAnsi="宋体" w:eastAsia="宋体" w:cs="宋体"/>
          <w:b/>
          <w:bCs/>
          <w:color w:val="auto"/>
          <w:sz w:val="72"/>
          <w:szCs w:val="72"/>
          <w:highlight w:val="none"/>
          <w:lang w:val="en-US" w:eastAsia="zh-CN"/>
        </w:rPr>
        <w:t>询 比</w:t>
      </w:r>
      <w:r>
        <w:rPr>
          <w:rFonts w:hint="eastAsia" w:ascii="宋体" w:hAnsi="宋体" w:eastAsia="宋体" w:cs="宋体"/>
          <w:b/>
          <w:bCs/>
          <w:color w:val="auto"/>
          <w:sz w:val="72"/>
          <w:szCs w:val="72"/>
          <w:highlight w:val="none"/>
        </w:rPr>
        <w:t xml:space="preserve"> </w:t>
      </w:r>
      <w:r>
        <w:rPr>
          <w:rFonts w:hint="eastAsia" w:ascii="宋体" w:hAnsi="宋体" w:eastAsia="宋体" w:cs="宋体"/>
          <w:b/>
          <w:bCs/>
          <w:color w:val="auto"/>
          <w:sz w:val="72"/>
          <w:szCs w:val="72"/>
          <w:highlight w:val="none"/>
          <w:lang w:val="zh-CN"/>
        </w:rPr>
        <w:t>文</w:t>
      </w:r>
      <w:r>
        <w:rPr>
          <w:rFonts w:hint="eastAsia" w:ascii="宋体" w:hAnsi="宋体" w:eastAsia="宋体" w:cs="宋体"/>
          <w:b/>
          <w:bCs/>
          <w:color w:val="auto"/>
          <w:sz w:val="72"/>
          <w:szCs w:val="72"/>
          <w:highlight w:val="none"/>
        </w:rPr>
        <w:t xml:space="preserve"> </w:t>
      </w:r>
      <w:r>
        <w:rPr>
          <w:rFonts w:hint="eastAsia" w:ascii="宋体" w:hAnsi="宋体" w:eastAsia="宋体" w:cs="宋体"/>
          <w:b/>
          <w:bCs/>
          <w:color w:val="auto"/>
          <w:sz w:val="72"/>
          <w:szCs w:val="72"/>
          <w:highlight w:val="none"/>
          <w:lang w:val="zh-CN"/>
        </w:rPr>
        <w:t>件</w:t>
      </w:r>
    </w:p>
    <w:p w14:paraId="1BEA2717">
      <w:pPr>
        <w:autoSpaceDE w:val="0"/>
        <w:autoSpaceDN w:val="0"/>
        <w:adjustRightInd w:val="0"/>
        <w:ind w:right="-23" w:rightChars="-11"/>
        <w:jc w:val="center"/>
        <w:rPr>
          <w:rFonts w:hint="eastAsia" w:ascii="宋体" w:hAnsi="宋体" w:eastAsia="宋体" w:cs="宋体"/>
          <w:b/>
          <w:bCs/>
          <w:color w:val="auto"/>
          <w:sz w:val="32"/>
          <w:szCs w:val="32"/>
          <w:highlight w:val="none"/>
          <w:lang w:val="zh-CN"/>
        </w:rPr>
      </w:pPr>
    </w:p>
    <w:p w14:paraId="2C627A44">
      <w:pPr>
        <w:autoSpaceDE w:val="0"/>
        <w:autoSpaceDN w:val="0"/>
        <w:adjustRightInd w:val="0"/>
        <w:ind w:right="-23" w:rightChars="-11"/>
        <w:jc w:val="center"/>
        <w:rPr>
          <w:rFonts w:hint="eastAsia" w:ascii="宋体" w:hAnsi="宋体" w:eastAsia="宋体" w:cs="宋体"/>
          <w:b/>
          <w:bCs/>
          <w:color w:val="auto"/>
          <w:sz w:val="44"/>
          <w:szCs w:val="44"/>
          <w:highlight w:val="none"/>
          <w:lang w:val="zh-CN"/>
        </w:rPr>
      </w:pPr>
    </w:p>
    <w:p w14:paraId="08A392AF">
      <w:pPr>
        <w:autoSpaceDE w:val="0"/>
        <w:autoSpaceDN w:val="0"/>
        <w:adjustRightInd w:val="0"/>
        <w:ind w:right="-23" w:rightChars="-11"/>
        <w:jc w:val="left"/>
        <w:rPr>
          <w:rFonts w:hint="eastAsia" w:ascii="宋体" w:hAnsi="宋体" w:eastAsia="宋体" w:cs="宋体"/>
          <w:b/>
          <w:bCs/>
          <w:color w:val="auto"/>
          <w:sz w:val="32"/>
          <w:szCs w:val="32"/>
          <w:highlight w:val="none"/>
          <w:u w:val="single"/>
          <w:lang w:val="zh-CN"/>
        </w:rPr>
      </w:pPr>
    </w:p>
    <w:p w14:paraId="46AACB4F">
      <w:pPr>
        <w:tabs>
          <w:tab w:val="left" w:pos="9240"/>
        </w:tabs>
        <w:autoSpaceDE w:val="0"/>
        <w:autoSpaceDN w:val="0"/>
        <w:adjustRightInd w:val="0"/>
        <w:spacing w:line="700" w:lineRule="exact"/>
        <w:ind w:right="-23" w:rightChars="-11"/>
        <w:jc w:val="left"/>
        <w:rPr>
          <w:rFonts w:hint="eastAsia" w:ascii="宋体" w:hAnsi="宋体" w:eastAsia="宋体" w:cs="宋体"/>
          <w:b/>
          <w:bCs/>
          <w:color w:val="auto"/>
          <w:sz w:val="32"/>
          <w:szCs w:val="32"/>
          <w:highlight w:val="none"/>
          <w:lang w:val="zh-CN"/>
        </w:rPr>
      </w:pPr>
    </w:p>
    <w:p w14:paraId="14DD0744">
      <w:pPr>
        <w:autoSpaceDE w:val="0"/>
        <w:autoSpaceDN w:val="0"/>
        <w:adjustRightInd w:val="0"/>
        <w:spacing w:line="480" w:lineRule="auto"/>
        <w:ind w:left="1842" w:leftChars="877" w:firstLine="19" w:firstLineChars="6"/>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采 购</w:t>
      </w:r>
      <w:r>
        <w:rPr>
          <w:rFonts w:hint="eastAsia" w:ascii="宋体" w:hAnsi="宋体" w:eastAsia="宋体" w:cs="宋体"/>
          <w:b/>
          <w:bCs/>
          <w:color w:val="auto"/>
          <w:sz w:val="32"/>
          <w:szCs w:val="32"/>
          <w:highlight w:val="none"/>
        </w:rPr>
        <w:t xml:space="preserve"> </w:t>
      </w:r>
      <w:r>
        <w:rPr>
          <w:rFonts w:hint="eastAsia" w:ascii="宋体" w:hAnsi="宋体" w:eastAsia="宋体" w:cs="宋体"/>
          <w:b/>
          <w:bCs/>
          <w:color w:val="auto"/>
          <w:sz w:val="32"/>
          <w:szCs w:val="32"/>
          <w:highlight w:val="none"/>
          <w:lang w:val="zh-CN"/>
        </w:rPr>
        <w:t>编</w:t>
      </w:r>
      <w:r>
        <w:rPr>
          <w:rFonts w:hint="eastAsia" w:ascii="宋体" w:hAnsi="宋体" w:eastAsia="宋体" w:cs="宋体"/>
          <w:b/>
          <w:bCs/>
          <w:color w:val="auto"/>
          <w:sz w:val="32"/>
          <w:szCs w:val="32"/>
          <w:highlight w:val="none"/>
        </w:rPr>
        <w:t xml:space="preserve"> </w:t>
      </w:r>
      <w:r>
        <w:rPr>
          <w:rFonts w:hint="eastAsia" w:ascii="宋体" w:hAnsi="宋体" w:eastAsia="宋体" w:cs="宋体"/>
          <w:b/>
          <w:bCs/>
          <w:color w:val="auto"/>
          <w:sz w:val="32"/>
          <w:szCs w:val="32"/>
          <w:highlight w:val="none"/>
          <w:lang w:val="zh-CN"/>
        </w:rPr>
        <w:t>号：03-05-04A-2026-D-F-E24868</w:t>
      </w:r>
    </w:p>
    <w:p w14:paraId="5EF90CD0">
      <w:pPr>
        <w:autoSpaceDE w:val="0"/>
        <w:autoSpaceDN w:val="0"/>
        <w:adjustRightInd w:val="0"/>
        <w:spacing w:line="480" w:lineRule="auto"/>
        <w:ind w:left="1842" w:leftChars="877" w:firstLine="19" w:firstLineChars="6"/>
        <w:jc w:val="lef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en-US" w:eastAsia="zh-CN"/>
        </w:rPr>
        <w:t>采 购</w:t>
      </w:r>
      <w:r>
        <w:rPr>
          <w:rFonts w:hint="eastAsia" w:ascii="宋体" w:hAnsi="宋体" w:eastAsia="宋体" w:cs="宋体"/>
          <w:b/>
          <w:bCs/>
          <w:color w:val="auto"/>
          <w:sz w:val="32"/>
          <w:szCs w:val="32"/>
          <w:highlight w:val="none"/>
        </w:rPr>
        <w:t xml:space="preserve"> </w:t>
      </w:r>
      <w:r>
        <w:rPr>
          <w:rFonts w:hint="eastAsia" w:ascii="宋体" w:hAnsi="宋体" w:eastAsia="宋体" w:cs="宋体"/>
          <w:b/>
          <w:bCs/>
          <w:color w:val="auto"/>
          <w:sz w:val="32"/>
          <w:szCs w:val="32"/>
          <w:highlight w:val="none"/>
          <w:lang w:val="zh-CN"/>
        </w:rPr>
        <w:t>人：</w:t>
      </w:r>
      <w:r>
        <w:rPr>
          <w:rFonts w:hint="eastAsia" w:ascii="宋体" w:hAnsi="宋体" w:eastAsia="宋体" w:cs="宋体"/>
          <w:b/>
          <w:bCs/>
          <w:color w:val="auto"/>
          <w:sz w:val="32"/>
          <w:szCs w:val="32"/>
          <w:highlight w:val="none"/>
          <w:u w:val="single"/>
          <w:lang w:val="zh-CN"/>
        </w:rPr>
        <w:t>东莞市尚源环能科技有限公司</w:t>
      </w:r>
    </w:p>
    <w:p w14:paraId="0BA769A2">
      <w:pPr>
        <w:autoSpaceDE w:val="0"/>
        <w:autoSpaceDN w:val="0"/>
        <w:adjustRightInd w:val="0"/>
        <w:spacing w:line="480" w:lineRule="auto"/>
        <w:ind w:left="1842" w:leftChars="877" w:firstLine="19" w:firstLineChars="6"/>
        <w:jc w:val="left"/>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en-US" w:eastAsia="zh-CN"/>
        </w:rPr>
        <w:t>采购</w:t>
      </w:r>
      <w:r>
        <w:rPr>
          <w:rFonts w:hint="eastAsia" w:ascii="宋体" w:hAnsi="宋体" w:eastAsia="宋体" w:cs="宋体"/>
          <w:b/>
          <w:bCs/>
          <w:color w:val="auto"/>
          <w:sz w:val="32"/>
          <w:szCs w:val="32"/>
          <w:highlight w:val="none"/>
          <w:lang w:val="zh-CN"/>
        </w:rPr>
        <w:t>代理机构：</w:t>
      </w:r>
      <w:r>
        <w:rPr>
          <w:rFonts w:hint="eastAsia" w:ascii="宋体" w:hAnsi="宋体" w:eastAsia="宋体" w:cs="宋体"/>
          <w:b/>
          <w:bCs/>
          <w:color w:val="auto"/>
          <w:sz w:val="32"/>
          <w:szCs w:val="32"/>
          <w:highlight w:val="none"/>
          <w:u w:val="single"/>
          <w:lang w:val="zh-CN"/>
        </w:rPr>
        <w:t>公诚管理咨询有限公司</w:t>
      </w:r>
    </w:p>
    <w:p w14:paraId="5A6105AC">
      <w:pPr>
        <w:autoSpaceDE w:val="0"/>
        <w:autoSpaceDN w:val="0"/>
        <w:adjustRightInd w:val="0"/>
        <w:ind w:right="-23" w:rightChars="-11"/>
        <w:jc w:val="left"/>
        <w:rPr>
          <w:rFonts w:hint="eastAsia" w:ascii="宋体" w:hAnsi="宋体" w:eastAsia="宋体" w:cs="宋体"/>
          <w:b/>
          <w:bCs/>
          <w:color w:val="auto"/>
          <w:kern w:val="0"/>
          <w:sz w:val="32"/>
          <w:szCs w:val="32"/>
          <w:highlight w:val="none"/>
          <w:lang w:val="zh-CN"/>
        </w:rPr>
      </w:pPr>
    </w:p>
    <w:p w14:paraId="4A548E29">
      <w:pPr>
        <w:autoSpaceDE w:val="0"/>
        <w:autoSpaceDN w:val="0"/>
        <w:adjustRightInd w:val="0"/>
        <w:spacing w:line="360" w:lineRule="auto"/>
        <w:ind w:left="357" w:leftChars="170" w:right="-23" w:rightChars="-11" w:firstLine="321" w:firstLineChars="100"/>
        <w:jc w:val="center"/>
        <w:rPr>
          <w:rFonts w:hint="eastAsia" w:ascii="宋体" w:hAnsi="宋体" w:eastAsia="宋体" w:cs="宋体"/>
          <w:b/>
          <w:bCs/>
          <w:color w:val="auto"/>
          <w:kern w:val="0"/>
          <w:sz w:val="52"/>
          <w:szCs w:val="52"/>
          <w:highlight w:val="none"/>
        </w:rPr>
      </w:pPr>
      <w:r>
        <w:rPr>
          <w:rFonts w:hint="eastAsia" w:ascii="宋体" w:hAnsi="宋体" w:eastAsia="宋体" w:cs="宋体"/>
          <w:b/>
          <w:bCs/>
          <w:color w:val="auto"/>
          <w:sz w:val="32"/>
          <w:szCs w:val="32"/>
          <w:highlight w:val="none"/>
          <w:lang w:val="en-US" w:eastAsia="zh-CN"/>
        </w:rPr>
        <w:t>2026</w:t>
      </w:r>
      <w:r>
        <w:rPr>
          <w:rFonts w:hint="eastAsia" w:ascii="宋体" w:hAnsi="宋体" w:eastAsia="宋体" w:cs="宋体"/>
          <w:b/>
          <w:bCs/>
          <w:color w:val="auto"/>
          <w:sz w:val="32"/>
          <w:szCs w:val="32"/>
          <w:highlight w:val="none"/>
          <w:lang w:val="zh-CN"/>
        </w:rPr>
        <w:t>年</w:t>
      </w:r>
      <w:r>
        <w:rPr>
          <w:rFonts w:hint="eastAsia" w:ascii="宋体" w:hAnsi="宋体" w:eastAsia="宋体" w:cs="宋体"/>
          <w:b/>
          <w:bCs/>
          <w:color w:val="auto"/>
          <w:sz w:val="32"/>
          <w:szCs w:val="32"/>
          <w:highlight w:val="none"/>
          <w:lang w:val="en-US" w:eastAsia="zh-CN"/>
        </w:rPr>
        <w:t>10</w:t>
      </w:r>
      <w:r>
        <w:rPr>
          <w:rFonts w:hint="eastAsia" w:ascii="宋体" w:hAnsi="宋体" w:eastAsia="宋体" w:cs="宋体"/>
          <w:b/>
          <w:bCs/>
          <w:color w:val="auto"/>
          <w:sz w:val="32"/>
          <w:szCs w:val="32"/>
          <w:highlight w:val="none"/>
          <w:lang w:val="zh-CN"/>
        </w:rPr>
        <w:t>月</w:t>
      </w:r>
      <w:r>
        <w:rPr>
          <w:rFonts w:hint="eastAsia" w:ascii="宋体" w:hAnsi="宋体" w:eastAsia="宋体" w:cs="宋体"/>
          <w:b/>
          <w:bCs/>
          <w:color w:val="auto"/>
          <w:sz w:val="32"/>
          <w:szCs w:val="32"/>
          <w:highlight w:val="none"/>
          <w:lang w:val="en-US" w:eastAsia="zh-CN"/>
        </w:rPr>
        <w:t>20</w:t>
      </w:r>
      <w:r>
        <w:rPr>
          <w:rFonts w:hint="eastAsia" w:ascii="宋体" w:hAnsi="宋体" w:eastAsia="宋体" w:cs="宋体"/>
          <w:b/>
          <w:bCs/>
          <w:color w:val="auto"/>
          <w:sz w:val="32"/>
          <w:szCs w:val="32"/>
          <w:highlight w:val="none"/>
          <w:lang w:val="zh-CN"/>
        </w:rPr>
        <w:t>日</w:t>
      </w:r>
    </w:p>
    <w:sdt>
      <w:sdtPr>
        <w:rPr>
          <w:rFonts w:ascii="宋体" w:hAnsi="宋体" w:eastAsia="宋体" w:cstheme="minorBidi"/>
          <w:color w:val="auto"/>
          <w:kern w:val="2"/>
          <w:sz w:val="21"/>
          <w:szCs w:val="22"/>
          <w:highlight w:val="none"/>
          <w:lang w:val="en-US" w:eastAsia="zh-CN" w:bidi="ar-SA"/>
        </w:rPr>
        <w:id w:val="147473215"/>
        <w15:color w:val="DBDBDB"/>
        <w:docPartObj>
          <w:docPartGallery w:val="Table of Contents"/>
          <w:docPartUnique/>
        </w:docPartObj>
      </w:sdtPr>
      <w:sdtEndPr>
        <w:rPr>
          <w:rFonts w:ascii="宋体" w:hAnsi="宋体" w:eastAsia="宋体" w:cstheme="minorBidi"/>
          <w:color w:val="auto"/>
          <w:kern w:val="2"/>
          <w:sz w:val="21"/>
          <w:szCs w:val="22"/>
          <w:highlight w:val="none"/>
          <w:lang w:val="en-US" w:eastAsia="zh-CN" w:bidi="ar-SA"/>
        </w:rPr>
      </w:sdtEndPr>
      <w:sdtContent>
        <w:p w14:paraId="20C2E294">
          <w:pPr>
            <w:keepNext w:val="0"/>
            <w:keepLines w:val="0"/>
            <w:pageBreakBefore/>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color w:val="auto"/>
              <w:highlight w:val="none"/>
            </w:rPr>
          </w:pPr>
          <w:bookmarkStart w:id="0" w:name="_Toc4869"/>
          <w:bookmarkStart w:id="1" w:name="_Toc142508310"/>
          <w:bookmarkStart w:id="2" w:name="_Toc17326"/>
          <w:bookmarkStart w:id="3" w:name="_Toc450662846"/>
          <w:bookmarkStart w:id="4" w:name="_Toc486167660"/>
          <w:bookmarkStart w:id="5" w:name="_Toc2723_WPSOffice_Level1"/>
          <w:r>
            <w:rPr>
              <w:rFonts w:ascii="宋体" w:hAnsi="宋体" w:eastAsia="宋体"/>
              <w:b/>
              <w:bCs/>
              <w:color w:val="auto"/>
              <w:sz w:val="21"/>
              <w:highlight w:val="none"/>
            </w:rPr>
            <w:t>目</w:t>
          </w:r>
          <w:r>
            <w:rPr>
              <w:rFonts w:hint="eastAsia" w:ascii="宋体" w:hAnsi="宋体" w:eastAsia="宋体"/>
              <w:b/>
              <w:bCs/>
              <w:color w:val="auto"/>
              <w:sz w:val="21"/>
              <w:highlight w:val="none"/>
              <w:lang w:val="en-US" w:eastAsia="zh-CN"/>
            </w:rPr>
            <w:t xml:space="preserve"> </w:t>
          </w:r>
          <w:r>
            <w:rPr>
              <w:rFonts w:ascii="宋体" w:hAnsi="宋体" w:eastAsia="宋体"/>
              <w:b/>
              <w:bCs/>
              <w:color w:val="auto"/>
              <w:sz w:val="21"/>
              <w:highlight w:val="none"/>
            </w:rPr>
            <w:t>录</w:t>
          </w:r>
        </w:p>
        <w:p w14:paraId="2C7072E4">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b/>
              <w:bCs/>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rFonts w:hint="eastAsia" w:ascii="国标宋体" w:hAnsi="国标宋体" w:eastAsia="国标宋体" w:cs="国标宋体"/>
              <w:b/>
              <w:bCs/>
              <w:color w:val="auto"/>
              <w:highlight w:val="none"/>
            </w:rPr>
            <w:fldChar w:fldCharType="begin"/>
          </w:r>
          <w:r>
            <w:rPr>
              <w:rFonts w:hint="eastAsia" w:ascii="国标宋体" w:hAnsi="国标宋体" w:eastAsia="国标宋体" w:cs="国标宋体"/>
              <w:b/>
              <w:bCs/>
              <w:highlight w:val="none"/>
            </w:rPr>
            <w:instrText xml:space="preserve"> HYPERLINK \l _Toc1582609543 </w:instrText>
          </w:r>
          <w:r>
            <w:rPr>
              <w:rFonts w:hint="eastAsia" w:ascii="国标宋体" w:hAnsi="国标宋体" w:eastAsia="国标宋体" w:cs="国标宋体"/>
              <w:b/>
              <w:bCs/>
              <w:highlight w:val="none"/>
            </w:rPr>
            <w:fldChar w:fldCharType="separate"/>
          </w:r>
          <w:r>
            <w:rPr>
              <w:rFonts w:hint="eastAsia" w:ascii="国标宋体" w:hAnsi="国标宋体" w:eastAsia="国标宋体" w:cs="国标宋体"/>
              <w:b/>
              <w:bCs/>
              <w:kern w:val="44"/>
              <w:szCs w:val="32"/>
              <w:highlight w:val="none"/>
              <w:lang w:val="zh-CN"/>
            </w:rPr>
            <w:t>第一篇 询比公告</w:t>
          </w:r>
          <w:r>
            <w:rPr>
              <w:rFonts w:hint="eastAsia" w:ascii="国标宋体" w:hAnsi="国标宋体" w:eastAsia="国标宋体" w:cs="国标宋体"/>
              <w:b/>
              <w:bCs/>
            </w:rPr>
            <w:tab/>
          </w:r>
          <w:r>
            <w:rPr>
              <w:rFonts w:hint="eastAsia" w:ascii="国标宋体" w:hAnsi="国标宋体" w:eastAsia="国标宋体" w:cs="国标宋体"/>
              <w:b/>
              <w:bCs/>
            </w:rPr>
            <w:fldChar w:fldCharType="begin"/>
          </w:r>
          <w:r>
            <w:rPr>
              <w:rFonts w:hint="eastAsia" w:ascii="国标宋体" w:hAnsi="国标宋体" w:eastAsia="国标宋体" w:cs="国标宋体"/>
              <w:b/>
              <w:bCs/>
            </w:rPr>
            <w:instrText xml:space="preserve"> PAGEREF _Toc1582609543 \h </w:instrText>
          </w:r>
          <w:r>
            <w:rPr>
              <w:rFonts w:hint="eastAsia" w:ascii="国标宋体" w:hAnsi="国标宋体" w:eastAsia="国标宋体" w:cs="国标宋体"/>
              <w:b/>
              <w:bCs/>
            </w:rPr>
            <w:fldChar w:fldCharType="separate"/>
          </w:r>
          <w:r>
            <w:rPr>
              <w:rFonts w:hint="eastAsia" w:ascii="国标宋体" w:hAnsi="国标宋体" w:eastAsia="国标宋体" w:cs="国标宋体"/>
              <w:b/>
              <w:bCs/>
            </w:rPr>
            <w:t>4</w:t>
          </w:r>
          <w:r>
            <w:rPr>
              <w:rFonts w:hint="eastAsia" w:ascii="国标宋体" w:hAnsi="国标宋体" w:eastAsia="国标宋体" w:cs="国标宋体"/>
              <w:b/>
              <w:bCs/>
            </w:rPr>
            <w:fldChar w:fldCharType="end"/>
          </w:r>
          <w:r>
            <w:rPr>
              <w:rFonts w:hint="eastAsia" w:ascii="国标宋体" w:hAnsi="国标宋体" w:eastAsia="国标宋体" w:cs="国标宋体"/>
              <w:b/>
              <w:bCs/>
              <w:color w:val="auto"/>
              <w:highlight w:val="none"/>
            </w:rPr>
            <w:fldChar w:fldCharType="end"/>
          </w:r>
        </w:p>
        <w:p w14:paraId="24B1EF21">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b/>
              <w:bCs/>
              <w:color w:val="auto"/>
              <w:highlight w:val="none"/>
            </w:rPr>
            <w:fldChar w:fldCharType="begin"/>
          </w:r>
          <w:r>
            <w:rPr>
              <w:rFonts w:hint="eastAsia" w:ascii="国标宋体" w:hAnsi="国标宋体" w:eastAsia="国标宋体" w:cs="国标宋体"/>
              <w:b/>
              <w:bCs/>
              <w:highlight w:val="none"/>
            </w:rPr>
            <w:instrText xml:space="preserve"> HYPERLINK \l _Toc793894046 </w:instrText>
          </w:r>
          <w:r>
            <w:rPr>
              <w:rFonts w:hint="eastAsia" w:ascii="国标宋体" w:hAnsi="国标宋体" w:eastAsia="国标宋体" w:cs="国标宋体"/>
              <w:b/>
              <w:bCs/>
              <w:highlight w:val="none"/>
            </w:rPr>
            <w:fldChar w:fldCharType="separate"/>
          </w:r>
          <w:r>
            <w:rPr>
              <w:rFonts w:hint="eastAsia" w:ascii="国标宋体" w:hAnsi="国标宋体" w:eastAsia="国标宋体" w:cs="国标宋体"/>
              <w:b/>
              <w:bCs/>
              <w:kern w:val="44"/>
              <w:szCs w:val="32"/>
              <w:highlight w:val="none"/>
              <w:lang w:val="zh-CN"/>
            </w:rPr>
            <w:t>第二篇</w:t>
          </w:r>
          <w:r>
            <w:rPr>
              <w:rFonts w:hint="eastAsia" w:ascii="国标宋体" w:hAnsi="国标宋体" w:eastAsia="国标宋体" w:cs="国标宋体"/>
              <w:b/>
              <w:bCs/>
              <w:kern w:val="44"/>
              <w:szCs w:val="32"/>
              <w:highlight w:val="none"/>
            </w:rPr>
            <w:t xml:space="preserve"> </w:t>
          </w:r>
          <w:r>
            <w:rPr>
              <w:rFonts w:hint="eastAsia" w:ascii="国标宋体" w:hAnsi="国标宋体" w:eastAsia="国标宋体" w:cs="国标宋体"/>
              <w:b/>
              <w:bCs/>
              <w:kern w:val="44"/>
              <w:szCs w:val="32"/>
              <w:highlight w:val="none"/>
              <w:lang w:val="zh-CN"/>
            </w:rPr>
            <w:t>供应商须知</w:t>
          </w:r>
          <w:r>
            <w:rPr>
              <w:rFonts w:hint="eastAsia" w:ascii="国标宋体" w:hAnsi="国标宋体" w:eastAsia="国标宋体" w:cs="国标宋体"/>
              <w:b/>
              <w:bCs/>
            </w:rPr>
            <w:tab/>
          </w:r>
          <w:r>
            <w:rPr>
              <w:rFonts w:hint="eastAsia" w:ascii="国标宋体" w:hAnsi="国标宋体" w:eastAsia="国标宋体" w:cs="国标宋体"/>
              <w:b/>
              <w:bCs/>
            </w:rPr>
            <w:fldChar w:fldCharType="begin"/>
          </w:r>
          <w:r>
            <w:rPr>
              <w:rFonts w:hint="eastAsia" w:ascii="国标宋体" w:hAnsi="国标宋体" w:eastAsia="国标宋体" w:cs="国标宋体"/>
              <w:b/>
              <w:bCs/>
            </w:rPr>
            <w:instrText xml:space="preserve"> PAGEREF _Toc793894046 \h </w:instrText>
          </w:r>
          <w:r>
            <w:rPr>
              <w:rFonts w:hint="eastAsia" w:ascii="国标宋体" w:hAnsi="国标宋体" w:eastAsia="国标宋体" w:cs="国标宋体"/>
              <w:b/>
              <w:bCs/>
            </w:rPr>
            <w:fldChar w:fldCharType="separate"/>
          </w:r>
          <w:r>
            <w:rPr>
              <w:rFonts w:hint="eastAsia" w:ascii="国标宋体" w:hAnsi="国标宋体" w:eastAsia="国标宋体" w:cs="国标宋体"/>
              <w:b/>
              <w:bCs/>
            </w:rPr>
            <w:t>6</w:t>
          </w:r>
          <w:r>
            <w:rPr>
              <w:rFonts w:hint="eastAsia" w:ascii="国标宋体" w:hAnsi="国标宋体" w:eastAsia="国标宋体" w:cs="国标宋体"/>
              <w:b/>
              <w:bCs/>
            </w:rPr>
            <w:fldChar w:fldCharType="end"/>
          </w:r>
          <w:r>
            <w:rPr>
              <w:rFonts w:hint="eastAsia" w:ascii="国标宋体" w:hAnsi="国标宋体" w:eastAsia="国标宋体" w:cs="国标宋体"/>
              <w:b/>
              <w:bCs/>
              <w:color w:val="auto"/>
              <w:highlight w:val="none"/>
            </w:rPr>
            <w:fldChar w:fldCharType="end"/>
          </w:r>
        </w:p>
        <w:p w14:paraId="459A1C2C">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_Toc285731009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bCs/>
              <w:kern w:val="44"/>
              <w:szCs w:val="21"/>
              <w:highlight w:val="none"/>
              <w:lang w:val="zh-CN"/>
            </w:rPr>
            <w:t>一、总则</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_Toc285731009 \h </w:instrText>
          </w:r>
          <w:r>
            <w:rPr>
              <w:rFonts w:hint="eastAsia" w:ascii="国标宋体" w:hAnsi="国标宋体" w:eastAsia="国标宋体" w:cs="国标宋体"/>
            </w:rPr>
            <w:fldChar w:fldCharType="separate"/>
          </w:r>
          <w:r>
            <w:rPr>
              <w:rFonts w:hint="eastAsia" w:ascii="国标宋体" w:hAnsi="国标宋体" w:eastAsia="国标宋体" w:cs="国标宋体"/>
            </w:rPr>
            <w:t>6</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6E62F0EE">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_Toc2061042824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1 资金来源：企业自筹资金。</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_Toc2061042824 \h </w:instrText>
          </w:r>
          <w:r>
            <w:rPr>
              <w:rFonts w:hint="eastAsia" w:ascii="国标宋体" w:hAnsi="国标宋体" w:eastAsia="国标宋体" w:cs="国标宋体"/>
            </w:rPr>
            <w:fldChar w:fldCharType="separate"/>
          </w:r>
          <w:r>
            <w:rPr>
              <w:rFonts w:hint="eastAsia" w:ascii="国标宋体" w:hAnsi="国标宋体" w:eastAsia="国标宋体" w:cs="国标宋体"/>
            </w:rPr>
            <w:t>6</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661CCD27">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_Toc198422590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 合格的供应商</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_Toc198422590 \h </w:instrText>
          </w:r>
          <w:r>
            <w:rPr>
              <w:rFonts w:hint="eastAsia" w:ascii="国标宋体" w:hAnsi="国标宋体" w:eastAsia="国标宋体" w:cs="国标宋体"/>
            </w:rPr>
            <w:fldChar w:fldCharType="separate"/>
          </w:r>
          <w:r>
            <w:rPr>
              <w:rFonts w:hint="eastAsia" w:ascii="国标宋体" w:hAnsi="国标宋体" w:eastAsia="国标宋体" w:cs="国标宋体"/>
            </w:rPr>
            <w:t>6</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1A422E6B">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_Toc157546407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3 合格的</w:t>
          </w:r>
          <w:r>
            <w:rPr>
              <w:rFonts w:hint="eastAsia" w:ascii="国标宋体" w:hAnsi="国标宋体" w:eastAsia="国标宋体" w:cs="国标宋体"/>
              <w:szCs w:val="21"/>
              <w:highlight w:val="none"/>
              <w:lang w:val="en-US" w:eastAsia="zh-CN"/>
            </w:rPr>
            <w:t>服务</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_Toc157546407 \h </w:instrText>
          </w:r>
          <w:r>
            <w:rPr>
              <w:rFonts w:hint="eastAsia" w:ascii="国标宋体" w:hAnsi="国标宋体" w:eastAsia="国标宋体" w:cs="国标宋体"/>
            </w:rPr>
            <w:fldChar w:fldCharType="separate"/>
          </w:r>
          <w:r>
            <w:rPr>
              <w:rFonts w:hint="eastAsia" w:ascii="国标宋体" w:hAnsi="国标宋体" w:eastAsia="国标宋体" w:cs="国标宋体"/>
            </w:rPr>
            <w:t>6</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4DCA17D9">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_Toc1036621313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4 其它说明</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_Toc1036621313 \h </w:instrText>
          </w:r>
          <w:r>
            <w:rPr>
              <w:rFonts w:hint="eastAsia" w:ascii="国标宋体" w:hAnsi="国标宋体" w:eastAsia="国标宋体" w:cs="国标宋体"/>
            </w:rPr>
            <w:fldChar w:fldCharType="separate"/>
          </w:r>
          <w:r>
            <w:rPr>
              <w:rFonts w:hint="eastAsia" w:ascii="国标宋体" w:hAnsi="国标宋体" w:eastAsia="国标宋体" w:cs="国标宋体"/>
            </w:rPr>
            <w:t>7</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4FB4EF3E">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_Toc1828699765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bCs/>
              <w:kern w:val="44"/>
              <w:szCs w:val="21"/>
              <w:highlight w:val="none"/>
              <w:lang w:val="zh-CN"/>
            </w:rPr>
            <w:t>二、询比文件</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_Toc1828699765 \h </w:instrText>
          </w:r>
          <w:r>
            <w:rPr>
              <w:rFonts w:hint="eastAsia" w:ascii="国标宋体" w:hAnsi="国标宋体" w:eastAsia="国标宋体" w:cs="国标宋体"/>
            </w:rPr>
            <w:fldChar w:fldCharType="separate"/>
          </w:r>
          <w:r>
            <w:rPr>
              <w:rFonts w:hint="eastAsia" w:ascii="国标宋体" w:hAnsi="国标宋体" w:eastAsia="国标宋体" w:cs="国标宋体"/>
            </w:rPr>
            <w:t>7</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49BA9B37">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_Toc898592553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5 询比文件的构成</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_Toc898592553 \h </w:instrText>
          </w:r>
          <w:r>
            <w:rPr>
              <w:rFonts w:hint="eastAsia" w:ascii="国标宋体" w:hAnsi="国标宋体" w:eastAsia="国标宋体" w:cs="国标宋体"/>
            </w:rPr>
            <w:fldChar w:fldCharType="separate"/>
          </w:r>
          <w:r>
            <w:rPr>
              <w:rFonts w:hint="eastAsia" w:ascii="国标宋体" w:hAnsi="国标宋体" w:eastAsia="国标宋体" w:cs="国标宋体"/>
            </w:rPr>
            <w:t>7</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344FABC7">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_Toc2071321112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6 询比文件的异议</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_Toc2071321112 \h </w:instrText>
          </w:r>
          <w:r>
            <w:rPr>
              <w:rFonts w:hint="eastAsia" w:ascii="国标宋体" w:hAnsi="国标宋体" w:eastAsia="国标宋体" w:cs="国标宋体"/>
            </w:rPr>
            <w:fldChar w:fldCharType="separate"/>
          </w:r>
          <w:r>
            <w:rPr>
              <w:rFonts w:hint="eastAsia" w:ascii="国标宋体" w:hAnsi="国标宋体" w:eastAsia="国标宋体" w:cs="国标宋体"/>
            </w:rPr>
            <w:t>8</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31D700AF">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_Toc991805917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7 询比文件的澄清及修改</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_Toc991805917 \h </w:instrText>
          </w:r>
          <w:r>
            <w:rPr>
              <w:rFonts w:hint="eastAsia" w:ascii="国标宋体" w:hAnsi="国标宋体" w:eastAsia="国标宋体" w:cs="国标宋体"/>
            </w:rPr>
            <w:fldChar w:fldCharType="separate"/>
          </w:r>
          <w:r>
            <w:rPr>
              <w:rFonts w:hint="eastAsia" w:ascii="国标宋体" w:hAnsi="国标宋体" w:eastAsia="国标宋体" w:cs="国标宋体"/>
            </w:rPr>
            <w:t>8</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05C50161">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_Toc2005240008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bCs/>
              <w:kern w:val="44"/>
              <w:szCs w:val="21"/>
              <w:highlight w:val="none"/>
              <w:lang w:val="zh-CN"/>
            </w:rPr>
            <w:t>三、响应文件的编制</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_Toc2005240008 \h </w:instrText>
          </w:r>
          <w:r>
            <w:rPr>
              <w:rFonts w:hint="eastAsia" w:ascii="国标宋体" w:hAnsi="国标宋体" w:eastAsia="国标宋体" w:cs="国标宋体"/>
            </w:rPr>
            <w:fldChar w:fldCharType="separate"/>
          </w:r>
          <w:r>
            <w:rPr>
              <w:rFonts w:hint="eastAsia" w:ascii="国标宋体" w:hAnsi="国标宋体" w:eastAsia="国标宋体" w:cs="国标宋体"/>
            </w:rPr>
            <w:t>9</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09E64784">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_Toc388142211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 xml:space="preserve">8 </w:t>
          </w:r>
          <w:r>
            <w:rPr>
              <w:rFonts w:hint="eastAsia" w:ascii="国标宋体" w:hAnsi="国标宋体" w:eastAsia="国标宋体" w:cs="国标宋体"/>
              <w:szCs w:val="21"/>
              <w:highlight w:val="none"/>
              <w:lang w:val="en-US" w:eastAsia="zh-CN"/>
            </w:rPr>
            <w:t>响应</w:t>
          </w:r>
          <w:r>
            <w:rPr>
              <w:rFonts w:hint="eastAsia" w:ascii="国标宋体" w:hAnsi="国标宋体" w:eastAsia="国标宋体" w:cs="国标宋体"/>
              <w:szCs w:val="21"/>
              <w:highlight w:val="none"/>
              <w:lang w:val="zh-CN"/>
            </w:rPr>
            <w:t>使用的文字及度量衡单位</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_Toc388142211 \h </w:instrText>
          </w:r>
          <w:r>
            <w:rPr>
              <w:rFonts w:hint="eastAsia" w:ascii="国标宋体" w:hAnsi="国标宋体" w:eastAsia="国标宋体" w:cs="国标宋体"/>
            </w:rPr>
            <w:fldChar w:fldCharType="separate"/>
          </w:r>
          <w:r>
            <w:rPr>
              <w:rFonts w:hint="eastAsia" w:ascii="国标宋体" w:hAnsi="国标宋体" w:eastAsia="国标宋体" w:cs="国标宋体"/>
            </w:rPr>
            <w:t>9</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4AF87D80">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_Toc1067846941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9</w:t>
          </w:r>
          <w:r>
            <w:rPr>
              <w:rFonts w:hint="eastAsia" w:ascii="国标宋体" w:hAnsi="国标宋体" w:eastAsia="国标宋体" w:cs="国标宋体"/>
              <w:szCs w:val="24"/>
              <w:highlight w:val="none"/>
              <w:lang w:val="zh-CN"/>
            </w:rPr>
            <w:t xml:space="preserve"> </w:t>
          </w:r>
          <w:r>
            <w:rPr>
              <w:rFonts w:hint="eastAsia" w:ascii="国标宋体" w:hAnsi="国标宋体" w:eastAsia="国标宋体" w:cs="国标宋体"/>
              <w:szCs w:val="21"/>
              <w:highlight w:val="none"/>
              <w:lang w:val="zh-CN"/>
            </w:rPr>
            <w:t>响应文件的组成</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_Toc1067846941 \h </w:instrText>
          </w:r>
          <w:r>
            <w:rPr>
              <w:rFonts w:hint="eastAsia" w:ascii="国标宋体" w:hAnsi="国标宋体" w:eastAsia="国标宋体" w:cs="国标宋体"/>
            </w:rPr>
            <w:fldChar w:fldCharType="separate"/>
          </w:r>
          <w:r>
            <w:rPr>
              <w:rFonts w:hint="eastAsia" w:ascii="国标宋体" w:hAnsi="国标宋体" w:eastAsia="国标宋体" w:cs="国标宋体"/>
            </w:rPr>
            <w:t>9</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49626728">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_Toc297132033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 xml:space="preserve">10 </w:t>
          </w:r>
          <w:r>
            <w:rPr>
              <w:rFonts w:hint="eastAsia" w:ascii="国标宋体" w:hAnsi="国标宋体" w:eastAsia="国标宋体" w:cs="国标宋体"/>
              <w:szCs w:val="21"/>
              <w:highlight w:val="none"/>
              <w:lang w:val="en-US" w:eastAsia="zh-CN"/>
            </w:rPr>
            <w:t>响应</w:t>
          </w:r>
          <w:r>
            <w:rPr>
              <w:rFonts w:hint="eastAsia" w:ascii="国标宋体" w:hAnsi="国标宋体" w:eastAsia="国标宋体" w:cs="国标宋体"/>
              <w:szCs w:val="21"/>
              <w:highlight w:val="none"/>
              <w:lang w:val="zh-CN"/>
            </w:rPr>
            <w:t>函</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_Toc297132033 \h </w:instrText>
          </w:r>
          <w:r>
            <w:rPr>
              <w:rFonts w:hint="eastAsia" w:ascii="国标宋体" w:hAnsi="国标宋体" w:eastAsia="国标宋体" w:cs="国标宋体"/>
            </w:rPr>
            <w:fldChar w:fldCharType="separate"/>
          </w:r>
          <w:r>
            <w:rPr>
              <w:rFonts w:hint="eastAsia" w:ascii="国标宋体" w:hAnsi="国标宋体" w:eastAsia="国标宋体" w:cs="国标宋体"/>
            </w:rPr>
            <w:t>10</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223CD91F">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_Toc541338696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 xml:space="preserve">11 </w:t>
          </w:r>
          <w:r>
            <w:rPr>
              <w:rFonts w:hint="eastAsia" w:ascii="国标宋体" w:hAnsi="国标宋体" w:eastAsia="国标宋体" w:cs="国标宋体"/>
              <w:szCs w:val="21"/>
              <w:highlight w:val="none"/>
              <w:lang w:val="en-US" w:eastAsia="zh-CN"/>
            </w:rPr>
            <w:t>响应</w:t>
          </w:r>
          <w:r>
            <w:rPr>
              <w:rFonts w:hint="eastAsia" w:ascii="国标宋体" w:hAnsi="国标宋体" w:eastAsia="国标宋体" w:cs="国标宋体"/>
              <w:szCs w:val="21"/>
              <w:highlight w:val="none"/>
              <w:lang w:val="zh-CN"/>
            </w:rPr>
            <w:t>报价</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_Toc541338696 \h </w:instrText>
          </w:r>
          <w:r>
            <w:rPr>
              <w:rFonts w:hint="eastAsia" w:ascii="国标宋体" w:hAnsi="国标宋体" w:eastAsia="国标宋体" w:cs="国标宋体"/>
            </w:rPr>
            <w:fldChar w:fldCharType="separate"/>
          </w:r>
          <w:r>
            <w:rPr>
              <w:rFonts w:hint="eastAsia" w:ascii="国标宋体" w:hAnsi="国标宋体" w:eastAsia="国标宋体" w:cs="国标宋体"/>
            </w:rPr>
            <w:t>10</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08CFA985">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_Toc765415560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 xml:space="preserve">12 </w:t>
          </w:r>
          <w:r>
            <w:rPr>
              <w:rFonts w:hint="eastAsia" w:ascii="国标宋体" w:hAnsi="国标宋体" w:eastAsia="国标宋体" w:cs="国标宋体"/>
              <w:szCs w:val="21"/>
              <w:highlight w:val="none"/>
              <w:lang w:val="en-US" w:eastAsia="zh-CN"/>
            </w:rPr>
            <w:t>响应</w:t>
          </w:r>
          <w:r>
            <w:rPr>
              <w:rFonts w:hint="eastAsia" w:ascii="国标宋体" w:hAnsi="国标宋体" w:eastAsia="国标宋体" w:cs="国标宋体"/>
              <w:szCs w:val="21"/>
              <w:highlight w:val="none"/>
              <w:lang w:val="zh-CN"/>
            </w:rPr>
            <w:t>报价货币</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_Toc765415560 \h </w:instrText>
          </w:r>
          <w:r>
            <w:rPr>
              <w:rFonts w:hint="eastAsia" w:ascii="国标宋体" w:hAnsi="国标宋体" w:eastAsia="国标宋体" w:cs="国标宋体"/>
            </w:rPr>
            <w:fldChar w:fldCharType="separate"/>
          </w:r>
          <w:r>
            <w:rPr>
              <w:rFonts w:hint="eastAsia" w:ascii="国标宋体" w:hAnsi="国标宋体" w:eastAsia="国标宋体" w:cs="国标宋体"/>
            </w:rPr>
            <w:t>11</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40C05273">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_Toc627429447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13 证明供应商的合格性和资格的声明文件</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_Toc627429447 \h </w:instrText>
          </w:r>
          <w:r>
            <w:rPr>
              <w:rFonts w:hint="eastAsia" w:ascii="国标宋体" w:hAnsi="国标宋体" w:eastAsia="国标宋体" w:cs="国标宋体"/>
            </w:rPr>
            <w:fldChar w:fldCharType="separate"/>
          </w:r>
          <w:r>
            <w:rPr>
              <w:rFonts w:hint="eastAsia" w:ascii="国标宋体" w:hAnsi="国标宋体" w:eastAsia="国标宋体" w:cs="国标宋体"/>
            </w:rPr>
            <w:t>11</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0AA15490">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_Toc732300639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14 证明服务的合格性并符合询比文件规定的声明文件</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_Toc732300639 \h </w:instrText>
          </w:r>
          <w:r>
            <w:rPr>
              <w:rFonts w:hint="eastAsia" w:ascii="国标宋体" w:hAnsi="国标宋体" w:eastAsia="国标宋体" w:cs="国标宋体"/>
            </w:rPr>
            <w:fldChar w:fldCharType="separate"/>
          </w:r>
          <w:r>
            <w:rPr>
              <w:rFonts w:hint="eastAsia" w:ascii="国标宋体" w:hAnsi="国标宋体" w:eastAsia="国标宋体" w:cs="国标宋体"/>
            </w:rPr>
            <w:t>12</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0AC35512">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_Toc744956650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 xml:space="preserve">15 </w:t>
          </w:r>
          <w:r>
            <w:rPr>
              <w:rFonts w:hint="eastAsia" w:ascii="国标宋体" w:hAnsi="国标宋体" w:eastAsia="国标宋体" w:cs="国标宋体"/>
              <w:szCs w:val="21"/>
              <w:highlight w:val="none"/>
              <w:lang w:val="en-US" w:eastAsia="zh-CN"/>
            </w:rPr>
            <w:t>响应</w:t>
          </w:r>
          <w:r>
            <w:rPr>
              <w:rFonts w:hint="eastAsia" w:ascii="国标宋体" w:hAnsi="国标宋体" w:eastAsia="国标宋体" w:cs="国标宋体"/>
              <w:szCs w:val="21"/>
              <w:highlight w:val="none"/>
              <w:lang w:val="zh-CN"/>
            </w:rPr>
            <w:t>保证金</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_Toc744956650 \h </w:instrText>
          </w:r>
          <w:r>
            <w:rPr>
              <w:rFonts w:hint="eastAsia" w:ascii="国标宋体" w:hAnsi="国标宋体" w:eastAsia="国标宋体" w:cs="国标宋体"/>
            </w:rPr>
            <w:fldChar w:fldCharType="separate"/>
          </w:r>
          <w:r>
            <w:rPr>
              <w:rFonts w:hint="eastAsia" w:ascii="国标宋体" w:hAnsi="国标宋体" w:eastAsia="国标宋体" w:cs="国标宋体"/>
            </w:rPr>
            <w:t>12</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3F23EB3D">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_Toc445509307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 xml:space="preserve">16 </w:t>
          </w:r>
          <w:r>
            <w:rPr>
              <w:rFonts w:hint="eastAsia" w:ascii="国标宋体" w:hAnsi="国标宋体" w:eastAsia="国标宋体" w:cs="国标宋体"/>
              <w:szCs w:val="21"/>
              <w:highlight w:val="none"/>
              <w:lang w:val="en-US" w:eastAsia="zh-CN"/>
            </w:rPr>
            <w:t>响应</w:t>
          </w:r>
          <w:r>
            <w:rPr>
              <w:rFonts w:hint="eastAsia" w:ascii="国标宋体" w:hAnsi="国标宋体" w:eastAsia="国标宋体" w:cs="国标宋体"/>
              <w:szCs w:val="21"/>
              <w:highlight w:val="none"/>
              <w:lang w:val="zh-CN"/>
            </w:rPr>
            <w:t>有效期</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_Toc445509307 \h </w:instrText>
          </w:r>
          <w:r>
            <w:rPr>
              <w:rFonts w:hint="eastAsia" w:ascii="国标宋体" w:hAnsi="国标宋体" w:eastAsia="国标宋体" w:cs="国标宋体"/>
            </w:rPr>
            <w:fldChar w:fldCharType="separate"/>
          </w:r>
          <w:r>
            <w:rPr>
              <w:rFonts w:hint="eastAsia" w:ascii="国标宋体" w:hAnsi="国标宋体" w:eastAsia="国标宋体" w:cs="国标宋体"/>
            </w:rPr>
            <w:t>13</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05DFDC00">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_Toc305411579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17 响应文件的式样和签署</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_Toc305411579 \h </w:instrText>
          </w:r>
          <w:r>
            <w:rPr>
              <w:rFonts w:hint="eastAsia" w:ascii="国标宋体" w:hAnsi="国标宋体" w:eastAsia="国标宋体" w:cs="国标宋体"/>
            </w:rPr>
            <w:fldChar w:fldCharType="separate"/>
          </w:r>
          <w:r>
            <w:rPr>
              <w:rFonts w:hint="eastAsia" w:ascii="国标宋体" w:hAnsi="国标宋体" w:eastAsia="国标宋体" w:cs="国标宋体"/>
            </w:rPr>
            <w:t>13</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7BE41878">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_Toc1816550390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bCs/>
              <w:kern w:val="44"/>
              <w:szCs w:val="21"/>
              <w:highlight w:val="none"/>
              <w:lang w:val="zh-CN"/>
            </w:rPr>
            <w:t>四、响应文件的递交</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_Toc1816550390 \h </w:instrText>
          </w:r>
          <w:r>
            <w:rPr>
              <w:rFonts w:hint="eastAsia" w:ascii="国标宋体" w:hAnsi="国标宋体" w:eastAsia="国标宋体" w:cs="国标宋体"/>
            </w:rPr>
            <w:fldChar w:fldCharType="separate"/>
          </w:r>
          <w:r>
            <w:rPr>
              <w:rFonts w:hint="eastAsia" w:ascii="国标宋体" w:hAnsi="国标宋体" w:eastAsia="国标宋体" w:cs="国标宋体"/>
            </w:rPr>
            <w:t>13</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382747A4">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_Toc564635853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18 响应文件的密封和标记</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_Toc564635853 \h </w:instrText>
          </w:r>
          <w:r>
            <w:rPr>
              <w:rFonts w:hint="eastAsia" w:ascii="国标宋体" w:hAnsi="国标宋体" w:eastAsia="国标宋体" w:cs="国标宋体"/>
            </w:rPr>
            <w:fldChar w:fldCharType="separate"/>
          </w:r>
          <w:r>
            <w:rPr>
              <w:rFonts w:hint="eastAsia" w:ascii="国标宋体" w:hAnsi="国标宋体" w:eastAsia="国标宋体" w:cs="国标宋体"/>
            </w:rPr>
            <w:t>13</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17945849">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_Toc695523934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19 递交响应文件的截止日期</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_Toc695523934 \h </w:instrText>
          </w:r>
          <w:r>
            <w:rPr>
              <w:rFonts w:hint="eastAsia" w:ascii="国标宋体" w:hAnsi="国标宋体" w:eastAsia="国标宋体" w:cs="国标宋体"/>
            </w:rPr>
            <w:fldChar w:fldCharType="separate"/>
          </w:r>
          <w:r>
            <w:rPr>
              <w:rFonts w:hint="eastAsia" w:ascii="国标宋体" w:hAnsi="国标宋体" w:eastAsia="国标宋体" w:cs="国标宋体"/>
            </w:rPr>
            <w:t>14</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076A0874">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_Toc1267917161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20 迟交的响应文件</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_Toc1267917161 \h </w:instrText>
          </w:r>
          <w:r>
            <w:rPr>
              <w:rFonts w:hint="eastAsia" w:ascii="国标宋体" w:hAnsi="国标宋体" w:eastAsia="国标宋体" w:cs="国标宋体"/>
            </w:rPr>
            <w:fldChar w:fldCharType="separate"/>
          </w:r>
          <w:r>
            <w:rPr>
              <w:rFonts w:hint="eastAsia" w:ascii="国标宋体" w:hAnsi="国标宋体" w:eastAsia="国标宋体" w:cs="国标宋体"/>
            </w:rPr>
            <w:t>14</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1384475F">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_Toc169277513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21 响应文件的修改和撤回</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_Toc169277513 \h </w:instrText>
          </w:r>
          <w:r>
            <w:rPr>
              <w:rFonts w:hint="eastAsia" w:ascii="国标宋体" w:hAnsi="国标宋体" w:eastAsia="国标宋体" w:cs="国标宋体"/>
            </w:rPr>
            <w:fldChar w:fldCharType="separate"/>
          </w:r>
          <w:r>
            <w:rPr>
              <w:rFonts w:hint="eastAsia" w:ascii="国标宋体" w:hAnsi="国标宋体" w:eastAsia="国标宋体" w:cs="国标宋体"/>
            </w:rPr>
            <w:t>14</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688F2365">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_Toc406847452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bCs/>
              <w:kern w:val="44"/>
              <w:szCs w:val="21"/>
              <w:highlight w:val="none"/>
              <w:lang w:val="zh-CN"/>
            </w:rPr>
            <w:t>五、开启与评审</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_Toc406847452 \h </w:instrText>
          </w:r>
          <w:r>
            <w:rPr>
              <w:rFonts w:hint="eastAsia" w:ascii="国标宋体" w:hAnsi="国标宋体" w:eastAsia="国标宋体" w:cs="国标宋体"/>
            </w:rPr>
            <w:fldChar w:fldCharType="separate"/>
          </w:r>
          <w:r>
            <w:rPr>
              <w:rFonts w:hint="eastAsia" w:ascii="国标宋体" w:hAnsi="国标宋体" w:eastAsia="国标宋体" w:cs="国标宋体"/>
            </w:rPr>
            <w:t>14</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2D72A572">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_Toc923395576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22 开启</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_Toc923395576 \h </w:instrText>
          </w:r>
          <w:r>
            <w:rPr>
              <w:rFonts w:hint="eastAsia" w:ascii="国标宋体" w:hAnsi="国标宋体" w:eastAsia="国标宋体" w:cs="国标宋体"/>
            </w:rPr>
            <w:fldChar w:fldCharType="separate"/>
          </w:r>
          <w:r>
            <w:rPr>
              <w:rFonts w:hint="eastAsia" w:ascii="国标宋体" w:hAnsi="国标宋体" w:eastAsia="国标宋体" w:cs="国标宋体"/>
            </w:rPr>
            <w:t>14</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1BF11F31">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_Toc195128046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 xml:space="preserve">23 </w:t>
          </w:r>
          <w:r>
            <w:rPr>
              <w:rFonts w:hint="eastAsia" w:ascii="国标宋体" w:hAnsi="国标宋体" w:eastAsia="国标宋体" w:cs="国标宋体"/>
              <w:kern w:val="0"/>
              <w:szCs w:val="24"/>
              <w:highlight w:val="none"/>
              <w:lang w:eastAsia="zh-CN"/>
            </w:rPr>
            <w:t>评审</w:t>
          </w:r>
          <w:r>
            <w:rPr>
              <w:rFonts w:hint="eastAsia" w:ascii="国标宋体" w:hAnsi="国标宋体" w:eastAsia="国标宋体" w:cs="国标宋体"/>
              <w:kern w:val="0"/>
              <w:szCs w:val="24"/>
              <w:highlight w:val="none"/>
            </w:rPr>
            <w:t>过程的保密性</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_Toc195128046 \h </w:instrText>
          </w:r>
          <w:r>
            <w:rPr>
              <w:rFonts w:hint="eastAsia" w:ascii="国标宋体" w:hAnsi="国标宋体" w:eastAsia="国标宋体" w:cs="国标宋体"/>
            </w:rPr>
            <w:fldChar w:fldCharType="separate"/>
          </w:r>
          <w:r>
            <w:rPr>
              <w:rFonts w:hint="eastAsia" w:ascii="国标宋体" w:hAnsi="国标宋体" w:eastAsia="国标宋体" w:cs="国标宋体"/>
            </w:rPr>
            <w:t>15</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12196F9C">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_Toc183950469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24 评审委员会</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_Toc183950469 \h </w:instrText>
          </w:r>
          <w:r>
            <w:rPr>
              <w:rFonts w:hint="eastAsia" w:ascii="国标宋体" w:hAnsi="国标宋体" w:eastAsia="国标宋体" w:cs="国标宋体"/>
            </w:rPr>
            <w:fldChar w:fldCharType="separate"/>
          </w:r>
          <w:r>
            <w:rPr>
              <w:rFonts w:hint="eastAsia" w:ascii="国标宋体" w:hAnsi="国标宋体" w:eastAsia="国标宋体" w:cs="国标宋体"/>
            </w:rPr>
            <w:t>15</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3E51C8AC">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_Toc358521471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25 响应文件的初审</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_Toc358521471 \h </w:instrText>
          </w:r>
          <w:r>
            <w:rPr>
              <w:rFonts w:hint="eastAsia" w:ascii="国标宋体" w:hAnsi="国标宋体" w:eastAsia="国标宋体" w:cs="国标宋体"/>
            </w:rPr>
            <w:fldChar w:fldCharType="separate"/>
          </w:r>
          <w:r>
            <w:rPr>
              <w:rFonts w:hint="eastAsia" w:ascii="国标宋体" w:hAnsi="国标宋体" w:eastAsia="国标宋体" w:cs="国标宋体"/>
            </w:rPr>
            <w:t>15</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20057D91">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_Toc989022092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26 响应文件的澄清</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_Toc989022092 \h </w:instrText>
          </w:r>
          <w:r>
            <w:rPr>
              <w:rFonts w:hint="eastAsia" w:ascii="国标宋体" w:hAnsi="国标宋体" w:eastAsia="国标宋体" w:cs="国标宋体"/>
            </w:rPr>
            <w:fldChar w:fldCharType="separate"/>
          </w:r>
          <w:r>
            <w:rPr>
              <w:rFonts w:hint="eastAsia" w:ascii="国标宋体" w:hAnsi="国标宋体" w:eastAsia="国标宋体" w:cs="国标宋体"/>
            </w:rPr>
            <w:t>15</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40162A64">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_Toc469681478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27 对响应文件的比较和评价</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_Toc469681478 \h </w:instrText>
          </w:r>
          <w:r>
            <w:rPr>
              <w:rFonts w:hint="eastAsia" w:ascii="国标宋体" w:hAnsi="国标宋体" w:eastAsia="国标宋体" w:cs="国标宋体"/>
            </w:rPr>
            <w:fldChar w:fldCharType="separate"/>
          </w:r>
          <w:r>
            <w:rPr>
              <w:rFonts w:hint="eastAsia" w:ascii="国标宋体" w:hAnsi="国标宋体" w:eastAsia="国标宋体" w:cs="国标宋体"/>
            </w:rPr>
            <w:t>15</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75B476BA">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_Toc272080647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28 评审原则及方法</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_Toc272080647 \h </w:instrText>
          </w:r>
          <w:r>
            <w:rPr>
              <w:rFonts w:hint="eastAsia" w:ascii="国标宋体" w:hAnsi="国标宋体" w:eastAsia="国标宋体" w:cs="国标宋体"/>
            </w:rPr>
            <w:fldChar w:fldCharType="separate"/>
          </w:r>
          <w:r>
            <w:rPr>
              <w:rFonts w:hint="eastAsia" w:ascii="国标宋体" w:hAnsi="国标宋体" w:eastAsia="国标宋体" w:cs="国标宋体"/>
            </w:rPr>
            <w:t>16</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26E1449D">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_Toc1187444683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2</w:t>
          </w:r>
          <w:r>
            <w:rPr>
              <w:rFonts w:hint="eastAsia" w:ascii="国标宋体" w:hAnsi="国标宋体" w:eastAsia="国标宋体" w:cs="国标宋体"/>
              <w:szCs w:val="21"/>
              <w:highlight w:val="none"/>
            </w:rPr>
            <w:t xml:space="preserve">9 </w:t>
          </w:r>
          <w:r>
            <w:rPr>
              <w:rFonts w:hint="eastAsia" w:ascii="国标宋体" w:hAnsi="国标宋体" w:eastAsia="国标宋体" w:cs="国标宋体"/>
              <w:szCs w:val="21"/>
              <w:highlight w:val="none"/>
              <w:lang w:val="zh-CN"/>
            </w:rPr>
            <w:t>评审结果公示及异议、投诉</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_Toc1187444683 \h </w:instrText>
          </w:r>
          <w:r>
            <w:rPr>
              <w:rFonts w:hint="eastAsia" w:ascii="国标宋体" w:hAnsi="国标宋体" w:eastAsia="国标宋体" w:cs="国标宋体"/>
            </w:rPr>
            <w:fldChar w:fldCharType="separate"/>
          </w:r>
          <w:r>
            <w:rPr>
              <w:rFonts w:hint="eastAsia" w:ascii="国标宋体" w:hAnsi="国标宋体" w:eastAsia="国标宋体" w:cs="国标宋体"/>
            </w:rPr>
            <w:t>16</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19184765">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_Toc627227885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30</w:t>
          </w:r>
          <w:r>
            <w:rPr>
              <w:rFonts w:hint="eastAsia" w:ascii="国标宋体" w:hAnsi="国标宋体" w:eastAsia="国标宋体" w:cs="国标宋体"/>
              <w:szCs w:val="21"/>
              <w:highlight w:val="none"/>
              <w:lang w:val="zh-CN"/>
            </w:rPr>
            <w:t xml:space="preserve"> 真实性审查</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_Toc627227885 \h </w:instrText>
          </w:r>
          <w:r>
            <w:rPr>
              <w:rFonts w:hint="eastAsia" w:ascii="国标宋体" w:hAnsi="国标宋体" w:eastAsia="国标宋体" w:cs="国标宋体"/>
            </w:rPr>
            <w:fldChar w:fldCharType="separate"/>
          </w:r>
          <w:r>
            <w:rPr>
              <w:rFonts w:hint="eastAsia" w:ascii="国标宋体" w:hAnsi="国标宋体" w:eastAsia="国标宋体" w:cs="国标宋体"/>
            </w:rPr>
            <w:t>17</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05EA8687">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_Toc1308701960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31</w:t>
          </w:r>
          <w:r>
            <w:rPr>
              <w:rFonts w:hint="eastAsia" w:ascii="国标宋体" w:hAnsi="国标宋体" w:eastAsia="国标宋体" w:cs="国标宋体"/>
              <w:szCs w:val="21"/>
              <w:highlight w:val="none"/>
              <w:lang w:val="zh-CN"/>
            </w:rPr>
            <w:t xml:space="preserve"> 评审委员会和采购人接受或拒绝任何</w:t>
          </w:r>
          <w:r>
            <w:rPr>
              <w:rFonts w:hint="eastAsia" w:ascii="国标宋体" w:hAnsi="国标宋体" w:eastAsia="国标宋体" w:cs="国标宋体"/>
              <w:szCs w:val="21"/>
              <w:highlight w:val="none"/>
              <w:lang w:val="en-US" w:eastAsia="zh-CN"/>
            </w:rPr>
            <w:t>响应</w:t>
          </w:r>
          <w:r>
            <w:rPr>
              <w:rFonts w:hint="eastAsia" w:ascii="国标宋体" w:hAnsi="国标宋体" w:eastAsia="国标宋体" w:cs="国标宋体"/>
              <w:szCs w:val="21"/>
              <w:highlight w:val="none"/>
              <w:lang w:val="zh-CN"/>
            </w:rPr>
            <w:t>或所有</w:t>
          </w:r>
          <w:r>
            <w:rPr>
              <w:rFonts w:hint="eastAsia" w:ascii="国标宋体" w:hAnsi="国标宋体" w:eastAsia="国标宋体" w:cs="国标宋体"/>
              <w:szCs w:val="21"/>
              <w:highlight w:val="none"/>
              <w:lang w:val="en-US" w:eastAsia="zh-CN"/>
            </w:rPr>
            <w:t>响应</w:t>
          </w:r>
          <w:r>
            <w:rPr>
              <w:rFonts w:hint="eastAsia" w:ascii="国标宋体" w:hAnsi="国标宋体" w:eastAsia="国标宋体" w:cs="国标宋体"/>
              <w:szCs w:val="21"/>
              <w:highlight w:val="none"/>
              <w:lang w:val="zh-CN"/>
            </w:rPr>
            <w:t>的权利</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_Toc1308701960 \h </w:instrText>
          </w:r>
          <w:r>
            <w:rPr>
              <w:rFonts w:hint="eastAsia" w:ascii="国标宋体" w:hAnsi="国标宋体" w:eastAsia="国标宋体" w:cs="国标宋体"/>
            </w:rPr>
            <w:fldChar w:fldCharType="separate"/>
          </w:r>
          <w:r>
            <w:rPr>
              <w:rFonts w:hint="eastAsia" w:ascii="国标宋体" w:hAnsi="国标宋体" w:eastAsia="国标宋体" w:cs="国标宋体"/>
            </w:rPr>
            <w:t>18</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76716CD5">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_Toc868660800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bCs/>
              <w:kern w:val="44"/>
              <w:szCs w:val="21"/>
              <w:highlight w:val="none"/>
              <w:lang w:val="zh-CN"/>
            </w:rPr>
            <w:t>六、授予合同</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_Toc868660800 \h </w:instrText>
          </w:r>
          <w:r>
            <w:rPr>
              <w:rFonts w:hint="eastAsia" w:ascii="国标宋体" w:hAnsi="国标宋体" w:eastAsia="国标宋体" w:cs="国标宋体"/>
            </w:rPr>
            <w:fldChar w:fldCharType="separate"/>
          </w:r>
          <w:r>
            <w:rPr>
              <w:rFonts w:hint="eastAsia" w:ascii="国标宋体" w:hAnsi="国标宋体" w:eastAsia="国标宋体" w:cs="国标宋体"/>
            </w:rPr>
            <w:t>18</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72192028">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_Toc1525820439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32</w:t>
          </w:r>
          <w:r>
            <w:rPr>
              <w:rFonts w:hint="eastAsia" w:ascii="国标宋体" w:hAnsi="国标宋体" w:eastAsia="国标宋体" w:cs="国标宋体"/>
              <w:szCs w:val="21"/>
              <w:highlight w:val="none"/>
              <w:lang w:val="zh-CN"/>
            </w:rPr>
            <w:t xml:space="preserve"> 授予合同的准则</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_Toc1525820439 \h </w:instrText>
          </w:r>
          <w:r>
            <w:rPr>
              <w:rFonts w:hint="eastAsia" w:ascii="国标宋体" w:hAnsi="国标宋体" w:eastAsia="国标宋体" w:cs="国标宋体"/>
            </w:rPr>
            <w:fldChar w:fldCharType="separate"/>
          </w:r>
          <w:r>
            <w:rPr>
              <w:rFonts w:hint="eastAsia" w:ascii="国标宋体" w:hAnsi="国标宋体" w:eastAsia="国标宋体" w:cs="国标宋体"/>
            </w:rPr>
            <w:t>18</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411FB486">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_Toc1232539425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lang w:val="zh-CN"/>
            </w:rPr>
            <w:t>33 成交通知</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_Toc1232539425 \h </w:instrText>
          </w:r>
          <w:r>
            <w:rPr>
              <w:rFonts w:hint="eastAsia" w:ascii="国标宋体" w:hAnsi="国标宋体" w:eastAsia="国标宋体" w:cs="国标宋体"/>
            </w:rPr>
            <w:fldChar w:fldCharType="separate"/>
          </w:r>
          <w:r>
            <w:rPr>
              <w:rFonts w:hint="eastAsia" w:ascii="国标宋体" w:hAnsi="国标宋体" w:eastAsia="国标宋体" w:cs="国标宋体"/>
            </w:rPr>
            <w:t>18</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642C8B17">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_Toc1860466717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34</w:t>
          </w:r>
          <w:r>
            <w:rPr>
              <w:rFonts w:hint="eastAsia" w:ascii="国标宋体" w:hAnsi="国标宋体" w:eastAsia="国标宋体" w:cs="国标宋体"/>
              <w:szCs w:val="21"/>
              <w:highlight w:val="none"/>
              <w:lang w:val="zh-CN"/>
            </w:rPr>
            <w:t xml:space="preserve"> 签署合同</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_Toc1860466717 \h </w:instrText>
          </w:r>
          <w:r>
            <w:rPr>
              <w:rFonts w:hint="eastAsia" w:ascii="国标宋体" w:hAnsi="国标宋体" w:eastAsia="国标宋体" w:cs="国标宋体"/>
            </w:rPr>
            <w:fldChar w:fldCharType="separate"/>
          </w:r>
          <w:r>
            <w:rPr>
              <w:rFonts w:hint="eastAsia" w:ascii="国标宋体" w:hAnsi="国标宋体" w:eastAsia="国标宋体" w:cs="国标宋体"/>
            </w:rPr>
            <w:t>18</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4B6A3998">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_Toc1383576799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 xml:space="preserve">35 </w:t>
          </w:r>
          <w:r>
            <w:rPr>
              <w:rFonts w:hint="eastAsia" w:ascii="国标宋体" w:hAnsi="国标宋体" w:eastAsia="国标宋体" w:cs="国标宋体"/>
              <w:szCs w:val="21"/>
              <w:highlight w:val="none"/>
              <w:lang w:val="zh-CN"/>
            </w:rPr>
            <w:t>履约担保</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_Toc1383576799 \h </w:instrText>
          </w:r>
          <w:r>
            <w:rPr>
              <w:rFonts w:hint="eastAsia" w:ascii="国标宋体" w:hAnsi="国标宋体" w:eastAsia="国标宋体" w:cs="国标宋体"/>
            </w:rPr>
            <w:fldChar w:fldCharType="separate"/>
          </w:r>
          <w:r>
            <w:rPr>
              <w:rFonts w:hint="eastAsia" w:ascii="国标宋体" w:hAnsi="国标宋体" w:eastAsia="国标宋体" w:cs="国标宋体"/>
            </w:rPr>
            <w:t>19</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7BF32804">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_Toc1620681636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36</w:t>
          </w:r>
          <w:r>
            <w:rPr>
              <w:rFonts w:hint="eastAsia" w:ascii="国标宋体" w:hAnsi="国标宋体" w:eastAsia="国标宋体" w:cs="国标宋体"/>
              <w:szCs w:val="21"/>
              <w:highlight w:val="none"/>
              <w:lang w:val="zh-CN"/>
            </w:rPr>
            <w:t xml:space="preserve"> 在合同履行中变更采购范围的权利</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_Toc1620681636 \h </w:instrText>
          </w:r>
          <w:r>
            <w:rPr>
              <w:rFonts w:hint="eastAsia" w:ascii="国标宋体" w:hAnsi="国标宋体" w:eastAsia="国标宋体" w:cs="国标宋体"/>
            </w:rPr>
            <w:fldChar w:fldCharType="separate"/>
          </w:r>
          <w:r>
            <w:rPr>
              <w:rFonts w:hint="eastAsia" w:ascii="国标宋体" w:hAnsi="国标宋体" w:eastAsia="国标宋体" w:cs="国标宋体"/>
            </w:rPr>
            <w:t>21</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2C67A94B">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_Toc780830010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37</w:t>
          </w:r>
          <w:r>
            <w:rPr>
              <w:rFonts w:hint="eastAsia" w:ascii="国标宋体" w:hAnsi="国标宋体" w:eastAsia="国标宋体" w:cs="国标宋体"/>
              <w:szCs w:val="21"/>
              <w:highlight w:val="none"/>
              <w:lang w:val="zh-CN"/>
            </w:rPr>
            <w:t xml:space="preserve"> </w:t>
          </w:r>
          <w:r>
            <w:rPr>
              <w:rFonts w:hint="eastAsia" w:ascii="国标宋体" w:hAnsi="国标宋体" w:eastAsia="国标宋体" w:cs="国标宋体"/>
              <w:szCs w:val="21"/>
              <w:highlight w:val="none"/>
              <w:lang w:val="en-US" w:eastAsia="zh-CN"/>
            </w:rPr>
            <w:t>成交</w:t>
          </w:r>
          <w:r>
            <w:rPr>
              <w:rFonts w:hint="eastAsia" w:ascii="国标宋体" w:hAnsi="国标宋体" w:eastAsia="国标宋体" w:cs="国标宋体"/>
              <w:szCs w:val="21"/>
              <w:highlight w:val="none"/>
              <w:lang w:val="zh-CN"/>
            </w:rPr>
            <w:t>服务费</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_Toc780830010 \h </w:instrText>
          </w:r>
          <w:r>
            <w:rPr>
              <w:rFonts w:hint="eastAsia" w:ascii="国标宋体" w:hAnsi="国标宋体" w:eastAsia="国标宋体" w:cs="国标宋体"/>
            </w:rPr>
            <w:fldChar w:fldCharType="separate"/>
          </w:r>
          <w:r>
            <w:rPr>
              <w:rFonts w:hint="eastAsia" w:ascii="国标宋体" w:hAnsi="国标宋体" w:eastAsia="国标宋体" w:cs="国标宋体"/>
            </w:rPr>
            <w:t>21</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3225ED95">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_Toc1680708833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38</w:t>
          </w:r>
          <w:r>
            <w:rPr>
              <w:rFonts w:hint="eastAsia" w:ascii="国标宋体" w:hAnsi="国标宋体" w:eastAsia="国标宋体" w:cs="国标宋体"/>
              <w:szCs w:val="21"/>
              <w:highlight w:val="none"/>
              <w:lang w:val="zh-CN"/>
            </w:rPr>
            <w:t xml:space="preserve"> 发票</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_Toc1680708833 \h </w:instrText>
          </w:r>
          <w:r>
            <w:rPr>
              <w:rFonts w:hint="eastAsia" w:ascii="国标宋体" w:hAnsi="国标宋体" w:eastAsia="国标宋体" w:cs="国标宋体"/>
            </w:rPr>
            <w:fldChar w:fldCharType="separate"/>
          </w:r>
          <w:r>
            <w:rPr>
              <w:rFonts w:hint="eastAsia" w:ascii="国标宋体" w:hAnsi="国标宋体" w:eastAsia="国标宋体" w:cs="国标宋体"/>
            </w:rPr>
            <w:t>22</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360797C2">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_Toc14536684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39 相关补充约定</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_Toc14536684 \h </w:instrText>
          </w:r>
          <w:r>
            <w:rPr>
              <w:rFonts w:hint="eastAsia" w:ascii="国标宋体" w:hAnsi="国标宋体" w:eastAsia="国标宋体" w:cs="国标宋体"/>
            </w:rPr>
            <w:fldChar w:fldCharType="separate"/>
          </w:r>
          <w:r>
            <w:rPr>
              <w:rFonts w:hint="eastAsia" w:ascii="国标宋体" w:hAnsi="国标宋体" w:eastAsia="国标宋体" w:cs="国标宋体"/>
            </w:rPr>
            <w:t>22</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5525E32E">
          <w:pPr>
            <w:pStyle w:val="20"/>
            <w:keepNext w:val="0"/>
            <w:keepLines w:val="0"/>
            <w:pageBreakBefore w:val="0"/>
            <w:widowControl w:val="0"/>
            <w:tabs>
              <w:tab w:val="right" w:leader="dot" w:pos="10080"/>
              <w:tab w:val="clear" w:pos="10144"/>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rPr>
          </w:pPr>
          <w:r>
            <w:rPr>
              <w:rFonts w:hint="eastAsia" w:ascii="国标宋体" w:hAnsi="国标宋体" w:eastAsia="国标宋体" w:cs="国标宋体"/>
              <w:color w:val="auto"/>
              <w:highlight w:val="none"/>
            </w:rPr>
            <w:fldChar w:fldCharType="begin"/>
          </w:r>
          <w:r>
            <w:rPr>
              <w:rFonts w:hint="eastAsia" w:ascii="国标宋体" w:hAnsi="国标宋体" w:eastAsia="国标宋体" w:cs="国标宋体"/>
              <w:highlight w:val="none"/>
            </w:rPr>
            <w:instrText xml:space="preserve"> HYPERLINK \l _Toc1546245570 </w:instrText>
          </w:r>
          <w:r>
            <w:rPr>
              <w:rFonts w:hint="eastAsia" w:ascii="国标宋体" w:hAnsi="国标宋体" w:eastAsia="国标宋体" w:cs="国标宋体"/>
              <w:highlight w:val="none"/>
            </w:rPr>
            <w:fldChar w:fldCharType="separate"/>
          </w:r>
          <w:r>
            <w:rPr>
              <w:rFonts w:hint="eastAsia" w:ascii="国标宋体" w:hAnsi="国标宋体" w:eastAsia="国标宋体" w:cs="国标宋体"/>
              <w:szCs w:val="21"/>
              <w:highlight w:val="none"/>
            </w:rPr>
            <w:t>40 本次</w:t>
          </w:r>
          <w:r>
            <w:rPr>
              <w:rFonts w:hint="eastAsia" w:ascii="国标宋体" w:hAnsi="国标宋体" w:eastAsia="国标宋体" w:cs="国标宋体"/>
              <w:szCs w:val="21"/>
              <w:highlight w:val="none"/>
              <w:lang w:val="en-US" w:eastAsia="zh-CN"/>
            </w:rPr>
            <w:t>询比</w:t>
          </w:r>
          <w:r>
            <w:rPr>
              <w:rFonts w:hint="eastAsia" w:ascii="国标宋体" w:hAnsi="国标宋体" w:eastAsia="国标宋体" w:cs="国标宋体"/>
              <w:szCs w:val="21"/>
              <w:highlight w:val="none"/>
            </w:rPr>
            <w:t>活动的最终解释权归</w:t>
          </w:r>
          <w:r>
            <w:rPr>
              <w:rFonts w:hint="eastAsia" w:ascii="国标宋体" w:hAnsi="国标宋体" w:eastAsia="国标宋体" w:cs="国标宋体"/>
              <w:szCs w:val="21"/>
              <w:highlight w:val="none"/>
              <w:lang w:eastAsia="zh-CN"/>
            </w:rPr>
            <w:t>采购代理机构</w:t>
          </w:r>
          <w:r>
            <w:rPr>
              <w:rFonts w:hint="eastAsia" w:ascii="国标宋体" w:hAnsi="国标宋体" w:eastAsia="国标宋体" w:cs="国标宋体"/>
              <w:szCs w:val="21"/>
              <w:highlight w:val="none"/>
            </w:rPr>
            <w:t>及</w:t>
          </w:r>
          <w:r>
            <w:rPr>
              <w:rFonts w:hint="eastAsia" w:ascii="国标宋体" w:hAnsi="国标宋体" w:eastAsia="国标宋体" w:cs="国标宋体"/>
              <w:szCs w:val="21"/>
              <w:highlight w:val="none"/>
              <w:lang w:eastAsia="zh-CN"/>
            </w:rPr>
            <w:t>采购人</w:t>
          </w:r>
          <w:r>
            <w:rPr>
              <w:rFonts w:hint="eastAsia" w:ascii="国标宋体" w:hAnsi="国标宋体" w:eastAsia="国标宋体" w:cs="国标宋体"/>
              <w:szCs w:val="21"/>
              <w:highlight w:val="none"/>
            </w:rPr>
            <w:t>所有。</w:t>
          </w:r>
          <w:r>
            <w:rPr>
              <w:rFonts w:hint="eastAsia" w:ascii="国标宋体" w:hAnsi="国标宋体" w:eastAsia="国标宋体" w:cs="国标宋体"/>
            </w:rPr>
            <w:tab/>
          </w:r>
          <w:r>
            <w:rPr>
              <w:rFonts w:hint="eastAsia" w:ascii="国标宋体" w:hAnsi="国标宋体" w:eastAsia="国标宋体" w:cs="国标宋体"/>
            </w:rPr>
            <w:fldChar w:fldCharType="begin"/>
          </w:r>
          <w:r>
            <w:rPr>
              <w:rFonts w:hint="eastAsia" w:ascii="国标宋体" w:hAnsi="国标宋体" w:eastAsia="国标宋体" w:cs="国标宋体"/>
            </w:rPr>
            <w:instrText xml:space="preserve"> PAGEREF _Toc1546245570 \h </w:instrText>
          </w:r>
          <w:r>
            <w:rPr>
              <w:rFonts w:hint="eastAsia" w:ascii="国标宋体" w:hAnsi="国标宋体" w:eastAsia="国标宋体" w:cs="国标宋体"/>
            </w:rPr>
            <w:fldChar w:fldCharType="separate"/>
          </w:r>
          <w:r>
            <w:rPr>
              <w:rFonts w:hint="eastAsia" w:ascii="国标宋体" w:hAnsi="国标宋体" w:eastAsia="国标宋体" w:cs="国标宋体"/>
            </w:rPr>
            <w:t>22</w:t>
          </w:r>
          <w:r>
            <w:rPr>
              <w:rFonts w:hint="eastAsia" w:ascii="国标宋体" w:hAnsi="国标宋体" w:eastAsia="国标宋体" w:cs="国标宋体"/>
            </w:rPr>
            <w:fldChar w:fldCharType="end"/>
          </w:r>
          <w:r>
            <w:rPr>
              <w:rFonts w:hint="eastAsia" w:ascii="国标宋体" w:hAnsi="国标宋体" w:eastAsia="国标宋体" w:cs="国标宋体"/>
              <w:color w:val="auto"/>
              <w:highlight w:val="none"/>
            </w:rPr>
            <w:fldChar w:fldCharType="end"/>
          </w:r>
        </w:p>
        <w:p w14:paraId="3E0CB979">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b/>
              <w:bCs/>
            </w:rPr>
          </w:pPr>
          <w:r>
            <w:rPr>
              <w:rFonts w:hint="eastAsia" w:ascii="国标宋体" w:hAnsi="国标宋体" w:eastAsia="国标宋体" w:cs="国标宋体"/>
              <w:b/>
              <w:bCs/>
              <w:color w:val="auto"/>
              <w:highlight w:val="none"/>
            </w:rPr>
            <w:fldChar w:fldCharType="begin"/>
          </w:r>
          <w:r>
            <w:rPr>
              <w:rFonts w:hint="eastAsia" w:ascii="国标宋体" w:hAnsi="国标宋体" w:eastAsia="国标宋体" w:cs="国标宋体"/>
              <w:b/>
              <w:bCs/>
              <w:highlight w:val="none"/>
            </w:rPr>
            <w:instrText xml:space="preserve"> HYPERLINK \l _Toc160654632 </w:instrText>
          </w:r>
          <w:r>
            <w:rPr>
              <w:rFonts w:hint="eastAsia" w:ascii="国标宋体" w:hAnsi="国标宋体" w:eastAsia="国标宋体" w:cs="国标宋体"/>
              <w:b/>
              <w:bCs/>
              <w:highlight w:val="none"/>
            </w:rPr>
            <w:fldChar w:fldCharType="separate"/>
          </w:r>
          <w:r>
            <w:rPr>
              <w:rFonts w:hint="eastAsia" w:ascii="国标宋体" w:hAnsi="国标宋体" w:eastAsia="国标宋体" w:cs="国标宋体"/>
              <w:b/>
              <w:bCs/>
              <w:kern w:val="44"/>
              <w:szCs w:val="32"/>
              <w:highlight w:val="none"/>
              <w:lang w:val="zh-CN"/>
            </w:rPr>
            <w:t>第三篇 用户需求书</w:t>
          </w:r>
          <w:r>
            <w:rPr>
              <w:rFonts w:hint="eastAsia" w:ascii="国标宋体" w:hAnsi="国标宋体" w:eastAsia="国标宋体" w:cs="国标宋体"/>
              <w:b/>
              <w:bCs/>
            </w:rPr>
            <w:tab/>
          </w:r>
          <w:r>
            <w:rPr>
              <w:rFonts w:hint="eastAsia" w:ascii="国标宋体" w:hAnsi="国标宋体" w:eastAsia="国标宋体" w:cs="国标宋体"/>
              <w:b/>
              <w:bCs/>
            </w:rPr>
            <w:fldChar w:fldCharType="begin"/>
          </w:r>
          <w:r>
            <w:rPr>
              <w:rFonts w:hint="eastAsia" w:ascii="国标宋体" w:hAnsi="国标宋体" w:eastAsia="国标宋体" w:cs="国标宋体"/>
              <w:b/>
              <w:bCs/>
            </w:rPr>
            <w:instrText xml:space="preserve"> PAGEREF _Toc160654632 \h </w:instrText>
          </w:r>
          <w:r>
            <w:rPr>
              <w:rFonts w:hint="eastAsia" w:ascii="国标宋体" w:hAnsi="国标宋体" w:eastAsia="国标宋体" w:cs="国标宋体"/>
              <w:b/>
              <w:bCs/>
            </w:rPr>
            <w:fldChar w:fldCharType="separate"/>
          </w:r>
          <w:r>
            <w:rPr>
              <w:rFonts w:hint="eastAsia" w:ascii="国标宋体" w:hAnsi="国标宋体" w:eastAsia="国标宋体" w:cs="国标宋体"/>
              <w:b/>
              <w:bCs/>
            </w:rPr>
            <w:t>23</w:t>
          </w:r>
          <w:r>
            <w:rPr>
              <w:rFonts w:hint="eastAsia" w:ascii="国标宋体" w:hAnsi="国标宋体" w:eastAsia="国标宋体" w:cs="国标宋体"/>
              <w:b/>
              <w:bCs/>
            </w:rPr>
            <w:fldChar w:fldCharType="end"/>
          </w:r>
          <w:r>
            <w:rPr>
              <w:rFonts w:hint="eastAsia" w:ascii="国标宋体" w:hAnsi="国标宋体" w:eastAsia="国标宋体" w:cs="国标宋体"/>
              <w:b/>
              <w:bCs/>
              <w:color w:val="auto"/>
              <w:highlight w:val="none"/>
            </w:rPr>
            <w:fldChar w:fldCharType="end"/>
          </w:r>
        </w:p>
        <w:p w14:paraId="157F8862">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b/>
              <w:bCs/>
            </w:rPr>
          </w:pPr>
          <w:r>
            <w:rPr>
              <w:rFonts w:hint="eastAsia" w:ascii="国标宋体" w:hAnsi="国标宋体" w:eastAsia="国标宋体" w:cs="国标宋体"/>
              <w:b/>
              <w:bCs/>
              <w:color w:val="auto"/>
              <w:highlight w:val="none"/>
            </w:rPr>
            <w:fldChar w:fldCharType="begin"/>
          </w:r>
          <w:r>
            <w:rPr>
              <w:rFonts w:hint="eastAsia" w:ascii="国标宋体" w:hAnsi="国标宋体" w:eastAsia="国标宋体" w:cs="国标宋体"/>
              <w:b/>
              <w:bCs/>
              <w:highlight w:val="none"/>
            </w:rPr>
            <w:instrText xml:space="preserve"> HYPERLINK \l _Toc746837324 </w:instrText>
          </w:r>
          <w:r>
            <w:rPr>
              <w:rFonts w:hint="eastAsia" w:ascii="国标宋体" w:hAnsi="国标宋体" w:eastAsia="国标宋体" w:cs="国标宋体"/>
              <w:b/>
              <w:bCs/>
              <w:highlight w:val="none"/>
            </w:rPr>
            <w:fldChar w:fldCharType="separate"/>
          </w:r>
          <w:r>
            <w:rPr>
              <w:rFonts w:hint="eastAsia" w:ascii="国标宋体" w:hAnsi="国标宋体" w:eastAsia="国标宋体" w:cs="国标宋体"/>
              <w:b/>
              <w:bCs/>
              <w:kern w:val="44"/>
              <w:szCs w:val="32"/>
              <w:highlight w:val="none"/>
              <w:lang w:val="zh-CN"/>
            </w:rPr>
            <w:t>第四篇 合同条款格式</w:t>
          </w:r>
          <w:r>
            <w:rPr>
              <w:rFonts w:hint="eastAsia" w:ascii="国标宋体" w:hAnsi="国标宋体" w:eastAsia="国标宋体" w:cs="国标宋体"/>
              <w:b/>
              <w:bCs/>
            </w:rPr>
            <w:tab/>
          </w:r>
          <w:r>
            <w:rPr>
              <w:rFonts w:hint="eastAsia" w:ascii="国标宋体" w:hAnsi="国标宋体" w:eastAsia="国标宋体" w:cs="国标宋体"/>
              <w:b/>
              <w:bCs/>
            </w:rPr>
            <w:fldChar w:fldCharType="begin"/>
          </w:r>
          <w:r>
            <w:rPr>
              <w:rFonts w:hint="eastAsia" w:ascii="国标宋体" w:hAnsi="国标宋体" w:eastAsia="国标宋体" w:cs="国标宋体"/>
              <w:b/>
              <w:bCs/>
            </w:rPr>
            <w:instrText xml:space="preserve"> PAGEREF _Toc746837324 \h </w:instrText>
          </w:r>
          <w:r>
            <w:rPr>
              <w:rFonts w:hint="eastAsia" w:ascii="国标宋体" w:hAnsi="国标宋体" w:eastAsia="国标宋体" w:cs="国标宋体"/>
              <w:b/>
              <w:bCs/>
            </w:rPr>
            <w:fldChar w:fldCharType="separate"/>
          </w:r>
          <w:r>
            <w:rPr>
              <w:rFonts w:hint="eastAsia" w:ascii="国标宋体" w:hAnsi="国标宋体" w:eastAsia="国标宋体" w:cs="国标宋体"/>
              <w:b/>
              <w:bCs/>
            </w:rPr>
            <w:t>29</w:t>
          </w:r>
          <w:r>
            <w:rPr>
              <w:rFonts w:hint="eastAsia" w:ascii="国标宋体" w:hAnsi="国标宋体" w:eastAsia="国标宋体" w:cs="国标宋体"/>
              <w:b/>
              <w:bCs/>
            </w:rPr>
            <w:fldChar w:fldCharType="end"/>
          </w:r>
          <w:r>
            <w:rPr>
              <w:rFonts w:hint="eastAsia" w:ascii="国标宋体" w:hAnsi="国标宋体" w:eastAsia="国标宋体" w:cs="国标宋体"/>
              <w:b/>
              <w:bCs/>
              <w:color w:val="auto"/>
              <w:highlight w:val="none"/>
            </w:rPr>
            <w:fldChar w:fldCharType="end"/>
          </w:r>
        </w:p>
        <w:p w14:paraId="0E47AF1B">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b/>
              <w:bCs/>
            </w:rPr>
          </w:pPr>
          <w:r>
            <w:rPr>
              <w:rFonts w:hint="eastAsia" w:ascii="国标宋体" w:hAnsi="国标宋体" w:eastAsia="国标宋体" w:cs="国标宋体"/>
              <w:b/>
              <w:bCs/>
              <w:color w:val="auto"/>
              <w:highlight w:val="none"/>
            </w:rPr>
            <w:fldChar w:fldCharType="begin"/>
          </w:r>
          <w:r>
            <w:rPr>
              <w:rFonts w:hint="eastAsia" w:ascii="国标宋体" w:hAnsi="国标宋体" w:eastAsia="国标宋体" w:cs="国标宋体"/>
              <w:b/>
              <w:bCs/>
              <w:highlight w:val="none"/>
            </w:rPr>
            <w:instrText xml:space="preserve"> HYPERLINK \l _Toc191087110 </w:instrText>
          </w:r>
          <w:r>
            <w:rPr>
              <w:rFonts w:hint="eastAsia" w:ascii="国标宋体" w:hAnsi="国标宋体" w:eastAsia="国标宋体" w:cs="国标宋体"/>
              <w:b/>
              <w:bCs/>
              <w:highlight w:val="none"/>
            </w:rPr>
            <w:fldChar w:fldCharType="separate"/>
          </w:r>
          <w:r>
            <w:rPr>
              <w:rFonts w:hint="eastAsia" w:ascii="国标宋体" w:hAnsi="国标宋体" w:eastAsia="国标宋体" w:cs="国标宋体"/>
              <w:b/>
              <w:bCs/>
              <w:kern w:val="44"/>
              <w:szCs w:val="32"/>
              <w:highlight w:val="none"/>
              <w:lang w:val="zh-CN"/>
            </w:rPr>
            <w:t>第五篇 相关保函格式</w:t>
          </w:r>
          <w:r>
            <w:rPr>
              <w:rFonts w:hint="eastAsia" w:ascii="国标宋体" w:hAnsi="国标宋体" w:eastAsia="国标宋体" w:cs="国标宋体"/>
              <w:b/>
              <w:bCs/>
            </w:rPr>
            <w:tab/>
          </w:r>
          <w:r>
            <w:rPr>
              <w:rFonts w:hint="eastAsia" w:ascii="国标宋体" w:hAnsi="国标宋体" w:eastAsia="国标宋体" w:cs="国标宋体"/>
              <w:b/>
              <w:bCs/>
            </w:rPr>
            <w:fldChar w:fldCharType="begin"/>
          </w:r>
          <w:r>
            <w:rPr>
              <w:rFonts w:hint="eastAsia" w:ascii="国标宋体" w:hAnsi="国标宋体" w:eastAsia="国标宋体" w:cs="国标宋体"/>
              <w:b/>
              <w:bCs/>
            </w:rPr>
            <w:instrText xml:space="preserve"> PAGEREF _Toc191087110 \h </w:instrText>
          </w:r>
          <w:r>
            <w:rPr>
              <w:rFonts w:hint="eastAsia" w:ascii="国标宋体" w:hAnsi="国标宋体" w:eastAsia="国标宋体" w:cs="国标宋体"/>
              <w:b/>
              <w:bCs/>
            </w:rPr>
            <w:fldChar w:fldCharType="separate"/>
          </w:r>
          <w:r>
            <w:rPr>
              <w:rFonts w:hint="eastAsia" w:ascii="国标宋体" w:hAnsi="国标宋体" w:eastAsia="国标宋体" w:cs="国标宋体"/>
              <w:b/>
              <w:bCs/>
            </w:rPr>
            <w:t>47</w:t>
          </w:r>
          <w:r>
            <w:rPr>
              <w:rFonts w:hint="eastAsia" w:ascii="国标宋体" w:hAnsi="国标宋体" w:eastAsia="国标宋体" w:cs="国标宋体"/>
              <w:b/>
              <w:bCs/>
            </w:rPr>
            <w:fldChar w:fldCharType="end"/>
          </w:r>
          <w:r>
            <w:rPr>
              <w:rFonts w:hint="eastAsia" w:ascii="国标宋体" w:hAnsi="国标宋体" w:eastAsia="国标宋体" w:cs="国标宋体"/>
              <w:b/>
              <w:bCs/>
              <w:color w:val="auto"/>
              <w:highlight w:val="none"/>
            </w:rPr>
            <w:fldChar w:fldCharType="end"/>
          </w:r>
        </w:p>
        <w:p w14:paraId="1CD79CE3">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rPr>
              <w:rFonts w:hint="eastAsia" w:ascii="国标宋体" w:hAnsi="国标宋体" w:eastAsia="国标宋体" w:cs="国标宋体"/>
              <w:b/>
              <w:bCs/>
            </w:rPr>
          </w:pPr>
          <w:r>
            <w:rPr>
              <w:rFonts w:hint="eastAsia" w:ascii="国标宋体" w:hAnsi="国标宋体" w:eastAsia="国标宋体" w:cs="国标宋体"/>
              <w:b/>
              <w:bCs/>
              <w:color w:val="auto"/>
              <w:highlight w:val="none"/>
            </w:rPr>
            <w:fldChar w:fldCharType="begin"/>
          </w:r>
          <w:r>
            <w:rPr>
              <w:rFonts w:hint="eastAsia" w:ascii="国标宋体" w:hAnsi="国标宋体" w:eastAsia="国标宋体" w:cs="国标宋体"/>
              <w:b/>
              <w:bCs/>
              <w:highlight w:val="none"/>
            </w:rPr>
            <w:instrText xml:space="preserve"> HYPERLINK \l _Toc215135875 </w:instrText>
          </w:r>
          <w:r>
            <w:rPr>
              <w:rFonts w:hint="eastAsia" w:ascii="国标宋体" w:hAnsi="国标宋体" w:eastAsia="国标宋体" w:cs="国标宋体"/>
              <w:b/>
              <w:bCs/>
              <w:highlight w:val="none"/>
            </w:rPr>
            <w:fldChar w:fldCharType="separate"/>
          </w:r>
          <w:r>
            <w:rPr>
              <w:rFonts w:hint="eastAsia" w:ascii="国标宋体" w:hAnsi="国标宋体" w:eastAsia="国标宋体" w:cs="国标宋体"/>
              <w:b/>
              <w:bCs/>
              <w:kern w:val="44"/>
              <w:szCs w:val="32"/>
              <w:highlight w:val="none"/>
              <w:lang w:val="zh-CN"/>
            </w:rPr>
            <w:t>第</w:t>
          </w:r>
          <w:r>
            <w:rPr>
              <w:rFonts w:hint="eastAsia" w:ascii="国标宋体" w:hAnsi="国标宋体" w:eastAsia="国标宋体" w:cs="国标宋体"/>
              <w:b/>
              <w:bCs/>
              <w:kern w:val="44"/>
              <w:szCs w:val="32"/>
              <w:highlight w:val="none"/>
              <w:lang w:val="en-US" w:eastAsia="zh-CN"/>
            </w:rPr>
            <w:t>六</w:t>
          </w:r>
          <w:r>
            <w:rPr>
              <w:rFonts w:hint="eastAsia" w:ascii="国标宋体" w:hAnsi="国标宋体" w:eastAsia="国标宋体" w:cs="国标宋体"/>
              <w:b/>
              <w:bCs/>
              <w:kern w:val="44"/>
              <w:szCs w:val="32"/>
              <w:highlight w:val="none"/>
              <w:lang w:val="zh-CN"/>
            </w:rPr>
            <w:t>篇 响应文件格式</w:t>
          </w:r>
          <w:r>
            <w:rPr>
              <w:rFonts w:hint="eastAsia" w:ascii="国标宋体" w:hAnsi="国标宋体" w:eastAsia="国标宋体" w:cs="国标宋体"/>
              <w:b/>
              <w:bCs/>
            </w:rPr>
            <w:tab/>
          </w:r>
          <w:r>
            <w:rPr>
              <w:rFonts w:hint="eastAsia" w:ascii="国标宋体" w:hAnsi="国标宋体" w:eastAsia="国标宋体" w:cs="国标宋体"/>
              <w:b/>
              <w:bCs/>
            </w:rPr>
            <w:fldChar w:fldCharType="begin"/>
          </w:r>
          <w:r>
            <w:rPr>
              <w:rFonts w:hint="eastAsia" w:ascii="国标宋体" w:hAnsi="国标宋体" w:eastAsia="国标宋体" w:cs="国标宋体"/>
              <w:b/>
              <w:bCs/>
            </w:rPr>
            <w:instrText xml:space="preserve"> PAGEREF _Toc215135875 \h </w:instrText>
          </w:r>
          <w:r>
            <w:rPr>
              <w:rFonts w:hint="eastAsia" w:ascii="国标宋体" w:hAnsi="国标宋体" w:eastAsia="国标宋体" w:cs="国标宋体"/>
              <w:b/>
              <w:bCs/>
            </w:rPr>
            <w:fldChar w:fldCharType="separate"/>
          </w:r>
          <w:r>
            <w:rPr>
              <w:rFonts w:hint="eastAsia" w:ascii="国标宋体" w:hAnsi="国标宋体" w:eastAsia="国标宋体" w:cs="国标宋体"/>
              <w:b/>
              <w:bCs/>
            </w:rPr>
            <w:t>51</w:t>
          </w:r>
          <w:r>
            <w:rPr>
              <w:rFonts w:hint="eastAsia" w:ascii="国标宋体" w:hAnsi="国标宋体" w:eastAsia="国标宋体" w:cs="国标宋体"/>
              <w:b/>
              <w:bCs/>
            </w:rPr>
            <w:fldChar w:fldCharType="end"/>
          </w:r>
          <w:r>
            <w:rPr>
              <w:rFonts w:hint="eastAsia" w:ascii="国标宋体" w:hAnsi="国标宋体" w:eastAsia="国标宋体" w:cs="国标宋体"/>
              <w:b/>
              <w:bCs/>
              <w:color w:val="auto"/>
              <w:highlight w:val="none"/>
            </w:rPr>
            <w:fldChar w:fldCharType="end"/>
          </w:r>
        </w:p>
        <w:p w14:paraId="7DB3A5F3">
          <w:pPr>
            <w:pStyle w:val="27"/>
            <w:keepNext w:val="0"/>
            <w:keepLines w:val="0"/>
            <w:pageBreakBefore w:val="0"/>
            <w:widowControl w:val="0"/>
            <w:tabs>
              <w:tab w:val="right" w:leader="dot" w:pos="10080"/>
            </w:tabs>
            <w:kinsoku/>
            <w:wordWrap/>
            <w:overflowPunct/>
            <w:topLinePunct w:val="0"/>
            <w:autoSpaceDE/>
            <w:autoSpaceDN/>
            <w:bidi w:val="0"/>
            <w:adjustRightInd/>
            <w:snapToGrid/>
            <w:spacing w:line="360" w:lineRule="auto"/>
            <w:textAlignment w:val="auto"/>
          </w:pPr>
          <w:r>
            <w:rPr>
              <w:rFonts w:hint="eastAsia" w:ascii="国标宋体" w:hAnsi="国标宋体" w:eastAsia="国标宋体" w:cs="国标宋体"/>
              <w:b/>
              <w:bCs/>
              <w:color w:val="auto"/>
              <w:highlight w:val="none"/>
            </w:rPr>
            <w:fldChar w:fldCharType="begin"/>
          </w:r>
          <w:r>
            <w:rPr>
              <w:rFonts w:hint="eastAsia" w:ascii="国标宋体" w:hAnsi="国标宋体" w:eastAsia="国标宋体" w:cs="国标宋体"/>
              <w:b/>
              <w:bCs/>
              <w:highlight w:val="none"/>
            </w:rPr>
            <w:instrText xml:space="preserve"> HYPERLINK \l _Toc479593042 </w:instrText>
          </w:r>
          <w:r>
            <w:rPr>
              <w:rFonts w:hint="eastAsia" w:ascii="国标宋体" w:hAnsi="国标宋体" w:eastAsia="国标宋体" w:cs="国标宋体"/>
              <w:b/>
              <w:bCs/>
              <w:highlight w:val="none"/>
            </w:rPr>
            <w:fldChar w:fldCharType="separate"/>
          </w:r>
          <w:r>
            <w:rPr>
              <w:rFonts w:hint="eastAsia" w:ascii="国标宋体" w:hAnsi="国标宋体" w:eastAsia="国标宋体" w:cs="国标宋体"/>
              <w:b/>
              <w:bCs/>
              <w:kern w:val="44"/>
              <w:szCs w:val="32"/>
              <w:highlight w:val="none"/>
              <w:lang w:val="zh-CN"/>
            </w:rPr>
            <w:t>附件一：评审工作大纲</w:t>
          </w:r>
          <w:r>
            <w:rPr>
              <w:rFonts w:hint="eastAsia" w:ascii="国标宋体" w:hAnsi="国标宋体" w:eastAsia="国标宋体" w:cs="国标宋体"/>
              <w:b/>
              <w:bCs/>
            </w:rPr>
            <w:tab/>
          </w:r>
          <w:r>
            <w:rPr>
              <w:rFonts w:hint="eastAsia" w:ascii="国标宋体" w:hAnsi="国标宋体" w:eastAsia="国标宋体" w:cs="国标宋体"/>
              <w:b/>
              <w:bCs/>
            </w:rPr>
            <w:fldChar w:fldCharType="begin"/>
          </w:r>
          <w:r>
            <w:rPr>
              <w:rFonts w:hint="eastAsia" w:ascii="国标宋体" w:hAnsi="国标宋体" w:eastAsia="国标宋体" w:cs="国标宋体"/>
              <w:b/>
              <w:bCs/>
            </w:rPr>
            <w:instrText xml:space="preserve"> PAGEREF _Toc479593042 \h </w:instrText>
          </w:r>
          <w:r>
            <w:rPr>
              <w:rFonts w:hint="eastAsia" w:ascii="国标宋体" w:hAnsi="国标宋体" w:eastAsia="国标宋体" w:cs="国标宋体"/>
              <w:b/>
              <w:bCs/>
            </w:rPr>
            <w:fldChar w:fldCharType="separate"/>
          </w:r>
          <w:r>
            <w:rPr>
              <w:rFonts w:hint="eastAsia" w:ascii="国标宋体" w:hAnsi="国标宋体" w:eastAsia="国标宋体" w:cs="国标宋体"/>
              <w:b/>
              <w:bCs/>
            </w:rPr>
            <w:t>84</w:t>
          </w:r>
          <w:r>
            <w:rPr>
              <w:rFonts w:hint="eastAsia" w:ascii="国标宋体" w:hAnsi="国标宋体" w:eastAsia="国标宋体" w:cs="国标宋体"/>
              <w:b/>
              <w:bCs/>
            </w:rPr>
            <w:fldChar w:fldCharType="end"/>
          </w:r>
          <w:r>
            <w:rPr>
              <w:rFonts w:hint="eastAsia" w:ascii="国标宋体" w:hAnsi="国标宋体" w:eastAsia="国标宋体" w:cs="国标宋体"/>
              <w:b/>
              <w:bCs/>
              <w:color w:val="auto"/>
              <w:highlight w:val="none"/>
            </w:rPr>
            <w:fldChar w:fldCharType="end"/>
          </w:r>
        </w:p>
        <w:p w14:paraId="62387753">
          <w:pPr>
            <w:rPr>
              <w:color w:val="auto"/>
              <w:highlight w:val="none"/>
            </w:rPr>
          </w:pPr>
          <w:r>
            <w:rPr>
              <w:color w:val="auto"/>
              <w:highlight w:val="none"/>
            </w:rPr>
            <w:fldChar w:fldCharType="end"/>
          </w:r>
        </w:p>
      </w:sdtContent>
    </w:sdt>
    <w:p w14:paraId="4D10CF70">
      <w:pPr>
        <w:rPr>
          <w:color w:val="auto"/>
          <w:highlight w:val="none"/>
        </w:rPr>
      </w:pPr>
    </w:p>
    <w:p w14:paraId="056288C5">
      <w:pPr>
        <w:keepNext/>
        <w:keepLines/>
        <w:pageBreakBefore/>
        <w:tabs>
          <w:tab w:val="left" w:pos="1080"/>
        </w:tabs>
        <w:autoSpaceDE w:val="0"/>
        <w:autoSpaceDN w:val="0"/>
        <w:adjustRightInd w:val="0"/>
        <w:spacing w:line="360" w:lineRule="auto"/>
        <w:ind w:left="357" w:leftChars="-100" w:hanging="567"/>
        <w:jc w:val="center"/>
        <w:outlineLvl w:val="0"/>
        <w:rPr>
          <w:rFonts w:hint="eastAsia" w:ascii="宋体" w:hAnsi="宋体" w:eastAsia="宋体" w:cs="宋体"/>
          <w:b/>
          <w:bCs/>
          <w:color w:val="auto"/>
          <w:kern w:val="44"/>
          <w:sz w:val="44"/>
          <w:szCs w:val="44"/>
          <w:highlight w:val="none"/>
          <w:lang w:val="zh-CN"/>
        </w:rPr>
      </w:pPr>
      <w:bookmarkStart w:id="6" w:name="_Toc1582609543"/>
      <w:r>
        <w:rPr>
          <w:rFonts w:hint="eastAsia" w:ascii="宋体" w:hAnsi="宋体" w:eastAsia="宋体" w:cs="宋体"/>
          <w:b/>
          <w:bCs/>
          <w:color w:val="auto"/>
          <w:kern w:val="44"/>
          <w:sz w:val="32"/>
          <w:szCs w:val="32"/>
          <w:highlight w:val="none"/>
          <w:lang w:val="zh-CN"/>
        </w:rPr>
        <w:t xml:space="preserve">第一篇 </w:t>
      </w:r>
      <w:bookmarkEnd w:id="0"/>
      <w:bookmarkEnd w:id="1"/>
      <w:bookmarkEnd w:id="2"/>
      <w:bookmarkEnd w:id="3"/>
      <w:bookmarkEnd w:id="4"/>
      <w:bookmarkEnd w:id="5"/>
      <w:r>
        <w:rPr>
          <w:rFonts w:hint="eastAsia" w:ascii="宋体" w:hAnsi="宋体" w:eastAsia="宋体" w:cs="宋体"/>
          <w:b/>
          <w:bCs/>
          <w:color w:val="auto"/>
          <w:kern w:val="44"/>
          <w:sz w:val="32"/>
          <w:szCs w:val="32"/>
          <w:highlight w:val="none"/>
          <w:lang w:val="zh-CN"/>
        </w:rPr>
        <w:t>询比公告</w:t>
      </w:r>
      <w:bookmarkEnd w:id="6"/>
    </w:p>
    <w:p w14:paraId="4ECAFCB2">
      <w:pPr>
        <w:autoSpaceDE w:val="0"/>
        <w:autoSpaceDN w:val="0"/>
        <w:adjustRightInd w:val="0"/>
        <w:snapToGrid w:val="0"/>
        <w:spacing w:line="360" w:lineRule="auto"/>
        <w:ind w:right="-34"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kern w:val="0"/>
          <w:szCs w:val="21"/>
          <w:highlight w:val="none"/>
          <w:lang w:eastAsia="zh-CN"/>
        </w:rPr>
        <w:t>公诚管理咨询有限公司</w:t>
      </w:r>
      <w:r>
        <w:rPr>
          <w:rFonts w:hint="eastAsia" w:ascii="宋体" w:hAnsi="宋体" w:eastAsia="宋体" w:cs="宋体"/>
          <w:color w:val="auto"/>
          <w:szCs w:val="21"/>
          <w:highlight w:val="none"/>
          <w:lang w:val="zh-CN"/>
        </w:rPr>
        <w:t>（以下简称“采购代理机构”）受</w:t>
      </w:r>
      <w:r>
        <w:rPr>
          <w:rFonts w:hint="eastAsia" w:ascii="宋体" w:hAnsi="宋体" w:eastAsia="宋体" w:cs="宋体"/>
          <w:color w:val="auto"/>
          <w:kern w:val="0"/>
          <w:szCs w:val="21"/>
          <w:highlight w:val="none"/>
          <w:lang w:eastAsia="zh-CN"/>
        </w:rPr>
        <w:t>东莞市尚源环能科技有限公司</w:t>
      </w:r>
      <w:r>
        <w:rPr>
          <w:rFonts w:hint="eastAsia" w:ascii="宋体" w:hAnsi="宋体" w:eastAsia="宋体" w:cs="宋体"/>
          <w:color w:val="auto"/>
          <w:szCs w:val="21"/>
          <w:highlight w:val="none"/>
          <w:lang w:val="zh-CN"/>
        </w:rPr>
        <w:t>（以下简称“采购人”）的委托，对</w:t>
      </w:r>
      <w:bookmarkStart w:id="7" w:name="_Hlk41903390"/>
      <w:r>
        <w:rPr>
          <w:rFonts w:hint="eastAsia" w:ascii="宋体" w:hAnsi="宋体" w:eastAsia="宋体" w:cs="宋体"/>
          <w:color w:val="auto"/>
          <w:szCs w:val="21"/>
          <w:highlight w:val="none"/>
          <w:lang w:val="zh-CN"/>
        </w:rPr>
        <w:t>东莞市污泥集中处理处置项目过渡期废盐处置服务采购项目(采购编号：03-05-04A-2026-D-F-E24868)</w:t>
      </w:r>
      <w:bookmarkEnd w:id="7"/>
      <w:r>
        <w:rPr>
          <w:rFonts w:hint="eastAsia" w:ascii="宋体" w:hAnsi="宋体" w:eastAsia="宋体" w:cs="宋体"/>
          <w:color w:val="auto"/>
          <w:szCs w:val="21"/>
          <w:highlight w:val="none"/>
          <w:lang w:val="zh-CN"/>
        </w:rPr>
        <w:t>进行国内公开</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lang w:val="zh-CN"/>
        </w:rPr>
        <w:t>，</w:t>
      </w:r>
      <w:r>
        <w:rPr>
          <w:rFonts w:hint="eastAsia" w:ascii="宋体" w:hAnsi="宋体" w:eastAsia="宋体" w:cs="宋体"/>
          <w:bCs/>
          <w:color w:val="auto"/>
          <w:kern w:val="0"/>
          <w:szCs w:val="21"/>
          <w:highlight w:val="none"/>
        </w:rPr>
        <w:t>详情请参见本</w:t>
      </w:r>
      <w:r>
        <w:rPr>
          <w:rFonts w:hint="eastAsia" w:ascii="宋体" w:hAnsi="宋体" w:eastAsia="宋体" w:cs="宋体"/>
          <w:bCs/>
          <w:color w:val="auto"/>
          <w:kern w:val="0"/>
          <w:szCs w:val="21"/>
          <w:highlight w:val="none"/>
          <w:lang w:eastAsia="zh-CN"/>
        </w:rPr>
        <w:t>询比文件</w:t>
      </w:r>
      <w:r>
        <w:rPr>
          <w:rFonts w:hint="eastAsia" w:ascii="宋体" w:hAnsi="宋体" w:eastAsia="宋体" w:cs="宋体"/>
          <w:bCs/>
          <w:color w:val="auto"/>
          <w:kern w:val="0"/>
          <w:szCs w:val="21"/>
          <w:highlight w:val="none"/>
        </w:rPr>
        <w:t>。</w:t>
      </w:r>
      <w:r>
        <w:rPr>
          <w:rFonts w:hint="eastAsia" w:ascii="宋体" w:hAnsi="宋体" w:eastAsia="宋体" w:cs="宋体"/>
          <w:color w:val="auto"/>
          <w:kern w:val="0"/>
          <w:szCs w:val="21"/>
          <w:highlight w:val="none"/>
        </w:rPr>
        <w:t>欢迎符合条件的合格</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参加，</w:t>
      </w:r>
      <w:r>
        <w:rPr>
          <w:rFonts w:hint="eastAsia" w:ascii="宋体" w:hAnsi="宋体" w:eastAsia="宋体" w:cs="宋体"/>
          <w:bCs/>
          <w:color w:val="auto"/>
          <w:kern w:val="0"/>
          <w:szCs w:val="21"/>
          <w:highlight w:val="none"/>
        </w:rPr>
        <w:t>有关事项如下：</w:t>
      </w:r>
    </w:p>
    <w:p w14:paraId="4AEF6AE2">
      <w:pPr>
        <w:autoSpaceDE w:val="0"/>
        <w:autoSpaceDN w:val="0"/>
        <w:adjustRightInd w:val="0"/>
        <w:spacing w:line="360" w:lineRule="auto"/>
        <w:ind w:right="-29" w:rightChars="-14" w:firstLine="420" w:firstLineChars="200"/>
        <w:rPr>
          <w:rFonts w:hint="eastAsia" w:ascii="宋体" w:hAnsi="宋体" w:eastAsia="宋体" w:cs="宋体"/>
          <w:color w:val="auto"/>
          <w:szCs w:val="21"/>
          <w:highlight w:val="none"/>
          <w:lang w:val="zh-CN"/>
        </w:rPr>
      </w:pPr>
    </w:p>
    <w:p w14:paraId="439EA764">
      <w:pPr>
        <w:numPr>
          <w:ilvl w:val="0"/>
          <w:numId w:val="1"/>
        </w:numPr>
        <w:autoSpaceDE w:val="0"/>
        <w:autoSpaceDN w:val="0"/>
        <w:adjustRightInd w:val="0"/>
        <w:snapToGrid w:val="0"/>
        <w:spacing w:line="360" w:lineRule="auto"/>
        <w:ind w:right="-34"/>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val="zh-CN"/>
        </w:rPr>
        <w:t>范围：</w:t>
      </w:r>
      <w:r>
        <w:rPr>
          <w:rFonts w:hint="eastAsia" w:ascii="宋体" w:hAnsi="宋体" w:eastAsia="宋体" w:cs="宋体"/>
          <w:color w:val="auto"/>
          <w:szCs w:val="21"/>
          <w:highlight w:val="none"/>
          <w:u w:val="single"/>
          <w:lang w:val="en-US" w:eastAsia="zh-CN"/>
        </w:rPr>
        <w:t>拟采购废盐运输处置服务，由一家供应商负责将废盐从采购人指定贮存点运输至供应商处置场所，依法依规完成废盐处置</w:t>
      </w:r>
      <w:r>
        <w:rPr>
          <w:rFonts w:hint="eastAsia" w:ascii="宋体" w:hAnsi="宋体" w:eastAsia="宋体" w:cs="宋体"/>
          <w:color w:val="auto"/>
          <w:szCs w:val="21"/>
          <w:highlight w:val="none"/>
          <w:u w:val="single"/>
        </w:rPr>
        <w:t>，承担运输、处置全流程责任</w:t>
      </w:r>
      <w:r>
        <w:rPr>
          <w:rFonts w:hint="eastAsia" w:ascii="宋体" w:hAnsi="宋体" w:eastAsia="宋体" w:cs="宋体"/>
          <w:color w:val="auto"/>
          <w:szCs w:val="21"/>
          <w:highlight w:val="none"/>
          <w:lang w:val="zh-CN"/>
        </w:rPr>
        <w:t>（具体内容详见：第三篇用户需求书）。</w:t>
      </w:r>
    </w:p>
    <w:p w14:paraId="67360859">
      <w:pPr>
        <w:autoSpaceDE w:val="0"/>
        <w:autoSpaceDN w:val="0"/>
        <w:adjustRightInd w:val="0"/>
        <w:spacing w:line="360" w:lineRule="auto"/>
        <w:ind w:right="-29" w:rightChars="-14"/>
        <w:rPr>
          <w:rFonts w:hint="eastAsia" w:ascii="宋体" w:hAnsi="宋体" w:eastAsia="宋体" w:cs="宋体"/>
          <w:color w:val="auto"/>
          <w:szCs w:val="21"/>
          <w:highlight w:val="none"/>
          <w:lang w:val="zh-CN"/>
        </w:rPr>
      </w:pPr>
    </w:p>
    <w:p w14:paraId="269F79CB">
      <w:pPr>
        <w:numPr>
          <w:ilvl w:val="0"/>
          <w:numId w:val="1"/>
        </w:numPr>
        <w:autoSpaceDE w:val="0"/>
        <w:autoSpaceDN w:val="0"/>
        <w:adjustRightInd w:val="0"/>
        <w:snapToGrid w:val="0"/>
        <w:spacing w:line="360" w:lineRule="auto"/>
        <w:ind w:right="-34"/>
        <w:jc w:val="left"/>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合格供应商资格要求：</w:t>
      </w:r>
    </w:p>
    <w:p w14:paraId="1A280397">
      <w:pPr>
        <w:pStyle w:val="157"/>
        <w:spacing w:line="360" w:lineRule="auto"/>
        <w:ind w:right="-29" w:rightChars="-14" w:firstLine="0" w:firstLineChars="0"/>
        <w:jc w:val="both"/>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2.1 在中华人民共和国境内登记注册、合法存续、正常经营且具有独立承担民事责任能力的法人或其他组织；</w:t>
      </w:r>
    </w:p>
    <w:p w14:paraId="2877E6AE">
      <w:pPr>
        <w:pStyle w:val="157"/>
        <w:spacing w:line="360" w:lineRule="auto"/>
        <w:ind w:right="-29" w:rightChars="-14" w:firstLine="0" w:firstLineChars="0"/>
        <w:jc w:val="both"/>
        <w:rPr>
          <w:rFonts w:hint="eastAsia" w:ascii="宋体" w:hAnsi="宋体" w:eastAsia="宋体" w:cs="宋体"/>
          <w:b/>
          <w:color w:val="auto"/>
          <w:sz w:val="21"/>
          <w:szCs w:val="21"/>
          <w:highlight w:val="none"/>
          <w:lang w:val="en-US" w:eastAsia="zh-CN"/>
        </w:rPr>
      </w:pPr>
      <w:bookmarkStart w:id="8" w:name="_Toc25819"/>
      <w:r>
        <w:rPr>
          <w:rFonts w:hint="eastAsia" w:ascii="宋体" w:hAnsi="宋体" w:eastAsia="宋体" w:cs="宋体"/>
          <w:b/>
          <w:color w:val="auto"/>
          <w:sz w:val="21"/>
          <w:szCs w:val="21"/>
          <w:highlight w:val="none"/>
          <w:lang w:val="zh-CN" w:eastAsia="zh-CN"/>
        </w:rPr>
        <w:t>2</w:t>
      </w: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lang w:val="zh-CN" w:eastAsia="zh-CN"/>
        </w:rPr>
        <w:t xml:space="preserve"> </w:t>
      </w:r>
      <w:r>
        <w:rPr>
          <w:rFonts w:hint="eastAsia" w:ascii="宋体" w:hAnsi="宋体" w:eastAsia="宋体" w:cs="宋体"/>
          <w:b/>
          <w:color w:val="auto"/>
          <w:sz w:val="21"/>
          <w:szCs w:val="21"/>
          <w:highlight w:val="none"/>
          <w:lang w:val="zh-CN"/>
        </w:rPr>
        <w:t>供应商须具有包含</w:t>
      </w:r>
      <w:r>
        <w:rPr>
          <w:rFonts w:hint="eastAsia" w:hAnsi="宋体" w:eastAsia="宋体" w:cs="宋体"/>
          <w:b/>
          <w:color w:val="auto"/>
          <w:sz w:val="21"/>
          <w:szCs w:val="21"/>
          <w:highlight w:val="none"/>
          <w:lang w:val="en-US" w:eastAsia="zh-CN"/>
        </w:rPr>
        <w:t>危险废物</w:t>
      </w:r>
      <w:r>
        <w:rPr>
          <w:rFonts w:hint="eastAsia" w:ascii="宋体" w:hAnsi="宋体" w:eastAsia="宋体" w:cs="宋体"/>
          <w:b/>
          <w:color w:val="auto"/>
          <w:sz w:val="21"/>
          <w:szCs w:val="21"/>
          <w:highlight w:val="none"/>
          <w:lang w:val="zh-CN"/>
        </w:rPr>
        <w:t>代码772-006-49类目的有效</w:t>
      </w:r>
      <w:r>
        <w:rPr>
          <w:rFonts w:hint="eastAsia" w:ascii="宋体" w:hAnsi="宋体" w:eastAsia="宋体" w:cs="宋体"/>
          <w:b/>
          <w:color w:val="auto"/>
          <w:sz w:val="21"/>
          <w:szCs w:val="21"/>
          <w:highlight w:val="none"/>
          <w:lang w:val="en-US" w:eastAsia="zh-CN"/>
        </w:rPr>
        <w:t>期内的</w:t>
      </w:r>
      <w:r>
        <w:rPr>
          <w:rFonts w:hint="eastAsia" w:ascii="宋体" w:hAnsi="宋体" w:eastAsia="宋体" w:cs="宋体"/>
          <w:b/>
          <w:color w:val="auto"/>
          <w:sz w:val="21"/>
          <w:szCs w:val="21"/>
          <w:highlight w:val="none"/>
          <w:lang w:val="zh-CN"/>
        </w:rPr>
        <w:t>《危险废物经营许可证》；</w:t>
      </w:r>
    </w:p>
    <w:p w14:paraId="0F0476D4">
      <w:pPr>
        <w:pStyle w:val="157"/>
        <w:spacing w:line="360" w:lineRule="auto"/>
        <w:ind w:right="-29" w:rightChars="-14" w:firstLine="0" w:firstLineChars="0"/>
        <w:jc w:val="both"/>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en-US" w:eastAsia="zh-CN"/>
        </w:rPr>
        <w:t xml:space="preserve">2.3 </w:t>
      </w:r>
      <w:r>
        <w:rPr>
          <w:rFonts w:hint="eastAsia" w:ascii="宋体" w:hAnsi="宋体" w:eastAsia="宋体" w:cs="宋体"/>
          <w:b/>
          <w:color w:val="auto"/>
          <w:sz w:val="21"/>
          <w:szCs w:val="21"/>
          <w:highlight w:val="none"/>
          <w:lang w:val="zh-CN"/>
        </w:rPr>
        <w:t>本项目不接受联合体</w:t>
      </w:r>
      <w:r>
        <w:rPr>
          <w:rFonts w:hint="eastAsia" w:ascii="宋体" w:hAnsi="宋体" w:eastAsia="宋体" w:cs="宋体"/>
          <w:b/>
          <w:color w:val="auto"/>
          <w:sz w:val="21"/>
          <w:szCs w:val="21"/>
          <w:highlight w:val="none"/>
          <w:lang w:val="en-US" w:eastAsia="zh-CN"/>
        </w:rPr>
        <w:t>响应</w:t>
      </w:r>
      <w:r>
        <w:rPr>
          <w:rFonts w:hint="eastAsia" w:ascii="宋体" w:hAnsi="宋体" w:eastAsia="宋体" w:cs="宋体"/>
          <w:b/>
          <w:color w:val="auto"/>
          <w:sz w:val="21"/>
          <w:szCs w:val="21"/>
          <w:highlight w:val="none"/>
          <w:lang w:val="zh-CN"/>
        </w:rPr>
        <w:t>。</w:t>
      </w:r>
      <w:bookmarkEnd w:id="8"/>
    </w:p>
    <w:p w14:paraId="6C7E82F5">
      <w:pPr>
        <w:autoSpaceDE w:val="0"/>
        <w:autoSpaceDN w:val="0"/>
        <w:adjustRightInd w:val="0"/>
        <w:spacing w:line="360" w:lineRule="auto"/>
        <w:ind w:right="-29" w:rightChars="-14" w:firstLine="420" w:firstLineChars="200"/>
        <w:rPr>
          <w:rFonts w:hint="eastAsia" w:ascii="宋体" w:hAnsi="宋体" w:eastAsia="宋体" w:cs="宋体"/>
          <w:color w:val="auto"/>
          <w:szCs w:val="21"/>
          <w:highlight w:val="none"/>
          <w:lang w:val="zh-CN"/>
        </w:rPr>
      </w:pPr>
    </w:p>
    <w:p w14:paraId="4A999731">
      <w:pPr>
        <w:numPr>
          <w:ilvl w:val="0"/>
          <w:numId w:val="1"/>
        </w:numPr>
        <w:autoSpaceDE w:val="0"/>
        <w:autoSpaceDN w:val="0"/>
        <w:adjustRightInd w:val="0"/>
        <w:snapToGrid w:val="0"/>
        <w:spacing w:line="360" w:lineRule="auto"/>
        <w:ind w:right="-34"/>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获取询比文件的方式：本项目采用“不记名网上下载”的方式发布询比文件，有意向的供应商可于本项目</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截止时间前，在本项目</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val="zh-CN"/>
        </w:rPr>
        <w:t>信息发布媒介</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zh-CN"/>
        </w:rPr>
        <w:t>详见本询比公告第7点（除中国招标投标公共服务平台外）</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zh-CN"/>
        </w:rPr>
        <w:t>下载询比文件。</w:t>
      </w:r>
    </w:p>
    <w:p w14:paraId="59266FD0">
      <w:pPr>
        <w:autoSpaceDE w:val="0"/>
        <w:autoSpaceDN w:val="0"/>
        <w:adjustRightInd w:val="0"/>
        <w:spacing w:line="360" w:lineRule="auto"/>
        <w:ind w:left="630" w:leftChars="100" w:right="-29" w:rightChars="-14" w:hanging="420" w:hangingChars="200"/>
        <w:rPr>
          <w:rFonts w:hint="eastAsia" w:ascii="宋体" w:hAnsi="宋体" w:eastAsia="宋体" w:cs="宋体"/>
          <w:color w:val="auto"/>
          <w:szCs w:val="21"/>
          <w:highlight w:val="none"/>
          <w:lang w:val="zh-CN"/>
        </w:rPr>
      </w:pPr>
    </w:p>
    <w:p w14:paraId="74026C96">
      <w:pPr>
        <w:numPr>
          <w:ilvl w:val="0"/>
          <w:numId w:val="1"/>
        </w:numPr>
        <w:autoSpaceDE w:val="0"/>
        <w:autoSpaceDN w:val="0"/>
        <w:adjustRightInd w:val="0"/>
        <w:snapToGrid w:val="0"/>
        <w:spacing w:line="360" w:lineRule="auto"/>
        <w:ind w:right="-34"/>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代理机构在递交响应文件截止时间当天通过“信用中国”网站（www.creditchina.gov.cn）查询供应商（含其不具有独立法人资格的分支机构）信用记录。采购代理机构对供应商信用记录进行甄别，对列入失信被执行人、重大税收违法失信主体、</w:t>
      </w:r>
      <w:r>
        <w:rPr>
          <w:rFonts w:hint="eastAsia" w:ascii="宋体" w:hAnsi="宋体" w:eastAsia="宋体" w:cs="宋体"/>
          <w:color w:val="auto"/>
          <w:szCs w:val="21"/>
          <w:highlight w:val="none"/>
          <w:lang w:val="en-US" w:eastAsia="zh-CN"/>
        </w:rPr>
        <w:t>政府采购</w:t>
      </w:r>
      <w:r>
        <w:rPr>
          <w:rFonts w:hint="eastAsia" w:ascii="宋体" w:hAnsi="宋体" w:eastAsia="宋体" w:cs="宋体"/>
          <w:color w:val="auto"/>
          <w:szCs w:val="21"/>
          <w:highlight w:val="none"/>
          <w:lang w:val="zh-CN"/>
        </w:rPr>
        <w:t>严重违法失信行为记录名单的供应商，做好相关记录（处罚期限届满的除外）。</w:t>
      </w:r>
    </w:p>
    <w:p w14:paraId="08957325">
      <w:pPr>
        <w:autoSpaceDE w:val="0"/>
        <w:autoSpaceDN w:val="0"/>
        <w:adjustRightInd w:val="0"/>
        <w:spacing w:line="360" w:lineRule="auto"/>
        <w:ind w:right="-29" w:rightChars="-14" w:firstLine="420"/>
        <w:rPr>
          <w:rFonts w:hint="eastAsia" w:ascii="宋体" w:hAnsi="宋体" w:eastAsia="宋体" w:cs="宋体"/>
          <w:color w:val="auto"/>
          <w:szCs w:val="21"/>
          <w:highlight w:val="none"/>
          <w:lang w:val="zh-CN"/>
        </w:rPr>
      </w:pPr>
    </w:p>
    <w:p w14:paraId="68D9B75C">
      <w:pPr>
        <w:numPr>
          <w:ilvl w:val="0"/>
          <w:numId w:val="1"/>
        </w:numPr>
        <w:autoSpaceDE w:val="0"/>
        <w:autoSpaceDN w:val="0"/>
        <w:adjustRightInd w:val="0"/>
        <w:snapToGrid w:val="0"/>
        <w:spacing w:line="360" w:lineRule="auto"/>
        <w:ind w:right="-34"/>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、开启时间及地点：</w:t>
      </w:r>
    </w:p>
    <w:p w14:paraId="3B44265D">
      <w:pPr>
        <w:autoSpaceDE w:val="0"/>
        <w:autoSpaceDN w:val="0"/>
        <w:adjustRightInd w:val="0"/>
        <w:spacing w:line="360" w:lineRule="auto"/>
        <w:ind w:right="-29" w:rightChars="-14"/>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5.1 响应文件递交时间：</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u w:val="single"/>
          <w:lang w:val="en-US" w:eastAsia="zh-CN"/>
        </w:rPr>
        <w:t>2026</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bCs/>
          <w:color w:val="auto"/>
          <w:kern w:val="0"/>
          <w:szCs w:val="21"/>
          <w:highlight w:val="none"/>
        </w:rPr>
        <w:t>年</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u w:val="single"/>
          <w:lang w:val="en-US" w:eastAsia="zh-CN"/>
        </w:rPr>
        <w:t xml:space="preserve">10 </w:t>
      </w:r>
      <w:r>
        <w:rPr>
          <w:rFonts w:hint="eastAsia" w:ascii="宋体" w:hAnsi="宋体" w:eastAsia="宋体" w:cs="宋体"/>
          <w:bCs/>
          <w:color w:val="auto"/>
          <w:kern w:val="0"/>
          <w:szCs w:val="21"/>
          <w:highlight w:val="none"/>
        </w:rPr>
        <w:t>月</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u w:val="single"/>
          <w:lang w:val="en-US" w:eastAsia="zh-CN"/>
        </w:rPr>
        <w:t>29</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bCs/>
          <w:color w:val="auto"/>
          <w:kern w:val="0"/>
          <w:szCs w:val="21"/>
          <w:highlight w:val="none"/>
        </w:rPr>
        <w:t>日</w:t>
      </w:r>
      <w:r>
        <w:rPr>
          <w:rFonts w:hint="eastAsia" w:ascii="宋体" w:hAnsi="宋体" w:eastAsia="宋体" w:cs="宋体"/>
          <w:color w:val="auto"/>
          <w:szCs w:val="21"/>
          <w:highlight w:val="none"/>
          <w:u w:val="single"/>
          <w:lang w:val="en-US" w:eastAsia="zh-CN"/>
        </w:rPr>
        <w:t>13</w:t>
      </w:r>
      <w:r>
        <w:rPr>
          <w:rFonts w:hint="eastAsia" w:ascii="宋体" w:hAnsi="宋体" w:eastAsia="宋体" w:cs="宋体"/>
          <w:bCs/>
          <w:color w:val="auto"/>
          <w:kern w:val="0"/>
          <w:szCs w:val="21"/>
          <w:highlight w:val="none"/>
          <w:u w:val="single"/>
        </w:rPr>
        <w:t>:</w:t>
      </w:r>
      <w:r>
        <w:rPr>
          <w:rFonts w:hint="eastAsia" w:ascii="宋体" w:hAnsi="宋体" w:eastAsia="宋体" w:cs="宋体"/>
          <w:color w:val="auto"/>
          <w:szCs w:val="21"/>
          <w:highlight w:val="none"/>
          <w:u w:val="single"/>
          <w:lang w:val="en-US" w:eastAsia="zh-CN"/>
        </w:rPr>
        <w:t>30</w:t>
      </w:r>
      <w:r>
        <w:rPr>
          <w:rFonts w:hint="eastAsia" w:ascii="宋体" w:hAnsi="宋体" w:eastAsia="宋体" w:cs="宋体"/>
          <w:bCs/>
          <w:color w:val="auto"/>
          <w:kern w:val="0"/>
          <w:szCs w:val="21"/>
          <w:highlight w:val="none"/>
        </w:rPr>
        <w:t>～</w:t>
      </w:r>
      <w:r>
        <w:rPr>
          <w:rFonts w:hint="eastAsia" w:ascii="宋体" w:hAnsi="宋体" w:eastAsia="宋体" w:cs="宋体"/>
          <w:color w:val="auto"/>
          <w:szCs w:val="21"/>
          <w:highlight w:val="none"/>
          <w:u w:val="single"/>
          <w:lang w:val="en-US" w:eastAsia="zh-CN"/>
        </w:rPr>
        <w:t>14</w:t>
      </w:r>
      <w:r>
        <w:rPr>
          <w:rFonts w:hint="eastAsia" w:ascii="宋体" w:hAnsi="宋体" w:eastAsia="宋体" w:cs="宋体"/>
          <w:bCs/>
          <w:color w:val="auto"/>
          <w:kern w:val="0"/>
          <w:szCs w:val="21"/>
          <w:highlight w:val="none"/>
          <w:u w:val="single"/>
        </w:rPr>
        <w:t>:</w:t>
      </w:r>
      <w:r>
        <w:rPr>
          <w:rFonts w:hint="eastAsia" w:ascii="宋体" w:hAnsi="宋体" w:eastAsia="宋体" w:cs="宋体"/>
          <w:bCs/>
          <w:color w:val="auto"/>
          <w:kern w:val="0"/>
          <w:szCs w:val="21"/>
          <w:highlight w:val="none"/>
          <w:u w:val="single"/>
          <w:lang w:val="en-US" w:eastAsia="zh-CN"/>
        </w:rPr>
        <w:t>00</w:t>
      </w:r>
      <w:r>
        <w:rPr>
          <w:rFonts w:hint="eastAsia" w:ascii="宋体" w:hAnsi="宋体" w:eastAsia="宋体" w:cs="宋体"/>
          <w:bCs/>
          <w:color w:val="auto"/>
          <w:kern w:val="0"/>
          <w:szCs w:val="21"/>
          <w:highlight w:val="none"/>
        </w:rPr>
        <w:t>；</w:t>
      </w:r>
    </w:p>
    <w:p w14:paraId="2ADA3A91">
      <w:pPr>
        <w:autoSpaceDE w:val="0"/>
        <w:autoSpaceDN w:val="0"/>
        <w:adjustRightInd w:val="0"/>
        <w:spacing w:line="360" w:lineRule="auto"/>
        <w:ind w:right="-29" w:rightChars="-14"/>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5.2 </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截止及开启时间：</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u w:val="single"/>
          <w:lang w:val="en-US" w:eastAsia="zh-CN"/>
        </w:rPr>
        <w:t xml:space="preserve">2026 </w:t>
      </w:r>
      <w:r>
        <w:rPr>
          <w:rFonts w:hint="eastAsia" w:ascii="宋体" w:hAnsi="宋体" w:eastAsia="宋体" w:cs="宋体"/>
          <w:bCs/>
          <w:color w:val="auto"/>
          <w:kern w:val="0"/>
          <w:szCs w:val="21"/>
          <w:highlight w:val="none"/>
        </w:rPr>
        <w:t>年</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u w:val="single"/>
          <w:lang w:val="en-US" w:eastAsia="zh-CN"/>
        </w:rPr>
        <w:t>10</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bCs/>
          <w:color w:val="auto"/>
          <w:kern w:val="0"/>
          <w:szCs w:val="21"/>
          <w:highlight w:val="none"/>
        </w:rPr>
        <w:t>月</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u w:val="single"/>
          <w:lang w:val="en-US" w:eastAsia="zh-CN"/>
        </w:rPr>
        <w:t>29</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bCs/>
          <w:color w:val="auto"/>
          <w:kern w:val="0"/>
          <w:szCs w:val="21"/>
          <w:highlight w:val="none"/>
        </w:rPr>
        <w:t>日</w:t>
      </w:r>
      <w:r>
        <w:rPr>
          <w:rFonts w:hint="eastAsia" w:ascii="宋体" w:hAnsi="宋体" w:eastAsia="宋体" w:cs="宋体"/>
          <w:color w:val="auto"/>
          <w:szCs w:val="21"/>
          <w:highlight w:val="none"/>
          <w:u w:val="single"/>
          <w:lang w:val="en-US" w:eastAsia="zh-CN"/>
        </w:rPr>
        <w:t>14</w:t>
      </w:r>
      <w:r>
        <w:rPr>
          <w:rFonts w:hint="eastAsia" w:ascii="宋体" w:hAnsi="宋体" w:eastAsia="宋体" w:cs="宋体"/>
          <w:bCs/>
          <w:color w:val="auto"/>
          <w:kern w:val="0"/>
          <w:szCs w:val="21"/>
          <w:highlight w:val="none"/>
          <w:u w:val="single"/>
        </w:rPr>
        <w:t>:</w:t>
      </w:r>
      <w:r>
        <w:rPr>
          <w:rFonts w:hint="eastAsia" w:ascii="宋体" w:hAnsi="宋体" w:eastAsia="宋体" w:cs="宋体"/>
          <w:color w:val="auto"/>
          <w:szCs w:val="21"/>
          <w:highlight w:val="none"/>
          <w:u w:val="single"/>
          <w:lang w:val="en-US" w:eastAsia="zh-CN"/>
        </w:rPr>
        <w:t>00</w:t>
      </w:r>
      <w:r>
        <w:rPr>
          <w:rFonts w:hint="eastAsia" w:ascii="宋体" w:hAnsi="宋体" w:eastAsia="宋体" w:cs="宋体"/>
          <w:bCs/>
          <w:color w:val="auto"/>
          <w:kern w:val="0"/>
          <w:szCs w:val="21"/>
          <w:highlight w:val="none"/>
        </w:rPr>
        <w:t>；</w:t>
      </w:r>
    </w:p>
    <w:p w14:paraId="42558AA3">
      <w:pPr>
        <w:autoSpaceDE w:val="0"/>
        <w:autoSpaceDN w:val="0"/>
        <w:adjustRightInd w:val="0"/>
        <w:spacing w:line="360" w:lineRule="auto"/>
        <w:ind w:right="-29" w:rightChars="-14"/>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val="zh-CN"/>
        </w:rPr>
        <w:t xml:space="preserve">5.3 </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及开启地点：</w:t>
      </w:r>
      <w:r>
        <w:rPr>
          <w:rFonts w:hint="eastAsia" w:ascii="宋体" w:hAnsi="宋体" w:eastAsia="宋体" w:cs="宋体"/>
          <w:color w:val="auto"/>
          <w:kern w:val="0"/>
          <w:szCs w:val="21"/>
          <w:highlight w:val="none"/>
          <w:u w:val="single"/>
        </w:rPr>
        <w:t xml:space="preserve"> </w:t>
      </w:r>
      <w:r>
        <w:rPr>
          <w:rFonts w:hint="eastAsia" w:ascii="宋体" w:hAnsi="宋体" w:eastAsia="宋体" w:cs="Times New Roman"/>
          <w:color w:val="auto"/>
          <w:szCs w:val="21"/>
          <w:highlight w:val="none"/>
          <w:u w:val="single"/>
          <w:lang w:val="en-US" w:eastAsia="zh-CN"/>
        </w:rPr>
        <w:t>东莞市东城街道东城中路163号新基地互联网产业园A座6楼618第2开标室</w:t>
      </w:r>
      <w:r>
        <w:rPr>
          <w:rFonts w:hint="eastAsia" w:ascii="宋体" w:hAnsi="宋体" w:eastAsia="宋体" w:cs="宋体"/>
          <w:color w:val="auto"/>
          <w:kern w:val="0"/>
          <w:szCs w:val="21"/>
          <w:highlight w:val="none"/>
          <w:u w:val="none"/>
        </w:rPr>
        <w:t>。</w:t>
      </w:r>
    </w:p>
    <w:p w14:paraId="0ADD3041">
      <w:pPr>
        <w:autoSpaceDE w:val="0"/>
        <w:autoSpaceDN w:val="0"/>
        <w:adjustRightInd w:val="0"/>
        <w:spacing w:line="360" w:lineRule="auto"/>
        <w:ind w:right="-29" w:rightChars="-14" w:firstLine="210" w:firstLineChars="100"/>
        <w:rPr>
          <w:rFonts w:hint="eastAsia" w:ascii="宋体" w:hAnsi="宋体" w:eastAsia="宋体" w:cs="宋体"/>
          <w:color w:val="auto"/>
          <w:kern w:val="0"/>
          <w:szCs w:val="21"/>
          <w:highlight w:val="none"/>
        </w:rPr>
      </w:pPr>
    </w:p>
    <w:p w14:paraId="052302ED">
      <w:pPr>
        <w:numPr>
          <w:ilvl w:val="0"/>
          <w:numId w:val="1"/>
        </w:numPr>
        <w:autoSpaceDE w:val="0"/>
        <w:autoSpaceDN w:val="0"/>
        <w:adjustRightInd w:val="0"/>
        <w:snapToGrid w:val="0"/>
        <w:spacing w:line="360" w:lineRule="auto"/>
        <w:ind w:right="-34"/>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eastAsia="zh-CN"/>
        </w:rPr>
        <w:t>采购代理机构</w:t>
      </w:r>
      <w:r>
        <w:rPr>
          <w:rFonts w:hint="eastAsia" w:ascii="宋体" w:hAnsi="宋体" w:eastAsia="宋体" w:cs="宋体"/>
          <w:color w:val="auto"/>
          <w:szCs w:val="21"/>
          <w:highlight w:val="none"/>
        </w:rPr>
        <w:t>只接受在递交</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截止日当天由</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法定代表人或其授权代表于递交</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截止时间前亲自递交的</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lang w:val="zh-CN"/>
        </w:rPr>
        <w:t>。电报、传真形式的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概不接受。</w:t>
      </w:r>
    </w:p>
    <w:p w14:paraId="2912971B">
      <w:pPr>
        <w:autoSpaceDE w:val="0"/>
        <w:autoSpaceDN w:val="0"/>
        <w:adjustRightInd w:val="0"/>
        <w:spacing w:line="360" w:lineRule="auto"/>
        <w:ind w:left="210" w:leftChars="100" w:right="-29" w:rightChars="-14"/>
        <w:rPr>
          <w:rFonts w:hint="eastAsia" w:ascii="宋体" w:hAnsi="宋体" w:eastAsia="宋体" w:cs="宋体"/>
          <w:color w:val="auto"/>
          <w:szCs w:val="21"/>
          <w:highlight w:val="none"/>
          <w:lang w:val="zh-CN"/>
        </w:rPr>
      </w:pPr>
    </w:p>
    <w:p w14:paraId="0175C52C">
      <w:pPr>
        <w:keepNext w:val="0"/>
        <w:keepLines w:val="0"/>
        <w:pageBreakBefore w:val="0"/>
        <w:widowControl w:val="0"/>
        <w:numPr>
          <w:ilvl w:val="0"/>
          <w:numId w:val="1"/>
        </w:numPr>
        <w:kinsoku/>
        <w:wordWrap w:val="0"/>
        <w:overflowPunct/>
        <w:topLinePunct w:val="0"/>
        <w:autoSpaceDE w:val="0"/>
        <w:autoSpaceDN w:val="0"/>
        <w:bidi w:val="0"/>
        <w:adjustRightInd w:val="0"/>
        <w:snapToGrid w:val="0"/>
        <w:spacing w:line="360" w:lineRule="auto"/>
        <w:ind w:left="363" w:right="-34" w:hanging="363"/>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本项目相关公告在以下媒介发布：中国招标投标公共服务平台（www.cebpubservice.com）、东莞市水务环境投资控股集团有限公司网</w:t>
      </w:r>
      <w:r>
        <w:rPr>
          <w:rFonts w:hint="eastAsia" w:ascii="宋体" w:hAnsi="宋体" w:eastAsia="宋体" w:cs="宋体"/>
          <w:bCs/>
          <w:color w:val="auto"/>
          <w:szCs w:val="21"/>
          <w:highlight w:val="none"/>
          <w:lang w:val="en-US" w:eastAsia="zh-CN"/>
        </w:rPr>
        <w:t>站</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eastAsia="zh-CN"/>
        </w:rPr>
        <w:t>www.dgweg.cn</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eastAsia="zh-CN"/>
        </w:rPr>
        <w:t>采购代理机构</w:t>
      </w:r>
      <w:r>
        <w:rPr>
          <w:rFonts w:hint="eastAsia" w:ascii="宋体" w:hAnsi="宋体" w:eastAsia="宋体" w:cs="宋体"/>
          <w:bCs/>
          <w:color w:val="auto"/>
          <w:szCs w:val="21"/>
          <w:highlight w:val="none"/>
        </w:rPr>
        <w:t>网站（</w:t>
      </w:r>
      <w:r>
        <w:rPr>
          <w:rFonts w:hint="eastAsia" w:ascii="宋体" w:hAnsi="宋体" w:eastAsia="宋体" w:cs="宋体"/>
          <w:bCs/>
          <w:color w:val="auto"/>
          <w:szCs w:val="21"/>
          <w:highlight w:val="none"/>
          <w:lang w:val="zh-CN"/>
        </w:rPr>
        <w:t>http://www.chengezhao.com</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lang w:val="zh-CN"/>
        </w:rPr>
        <w:t>。</w:t>
      </w:r>
    </w:p>
    <w:p w14:paraId="61CB8FCC">
      <w:pPr>
        <w:numPr>
          <w:ilvl w:val="-1"/>
          <w:numId w:val="0"/>
        </w:numPr>
        <w:autoSpaceDE w:val="0"/>
        <w:autoSpaceDN w:val="0"/>
        <w:adjustRightInd w:val="0"/>
        <w:snapToGrid w:val="0"/>
        <w:spacing w:line="360" w:lineRule="auto"/>
        <w:ind w:left="0" w:right="-34" w:firstLine="0"/>
        <w:jc w:val="left"/>
        <w:rPr>
          <w:rFonts w:hint="eastAsia" w:ascii="宋体" w:hAnsi="宋体" w:eastAsia="宋体" w:cs="宋体"/>
          <w:color w:val="auto"/>
          <w:szCs w:val="21"/>
          <w:highlight w:val="none"/>
        </w:rPr>
      </w:pPr>
    </w:p>
    <w:p w14:paraId="12AC906B">
      <w:pPr>
        <w:numPr>
          <w:ilvl w:val="0"/>
          <w:numId w:val="1"/>
        </w:numPr>
        <w:autoSpaceDE w:val="0"/>
        <w:autoSpaceDN w:val="0"/>
        <w:adjustRightInd w:val="0"/>
        <w:snapToGrid w:val="0"/>
        <w:spacing w:line="360" w:lineRule="auto"/>
        <w:ind w:right="-34"/>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lang w:val="zh-CN"/>
        </w:rPr>
        <w:t>采购人联系方式</w:t>
      </w:r>
    </w:p>
    <w:p w14:paraId="119DD07D">
      <w:pPr>
        <w:widowControl/>
        <w:autoSpaceDE w:val="0"/>
        <w:autoSpaceDN w:val="0"/>
        <w:adjustRightInd w:val="0"/>
        <w:spacing w:line="360" w:lineRule="auto"/>
        <w:ind w:right="-31" w:rightChars="-15" w:firstLine="424" w:firstLineChars="202"/>
        <w:jc w:val="left"/>
        <w:textAlignment w:val="bottom"/>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东莞市尚源环能科技有限公司</w:t>
      </w:r>
    </w:p>
    <w:p w14:paraId="14BE3B93">
      <w:pPr>
        <w:widowControl/>
        <w:autoSpaceDE w:val="0"/>
        <w:autoSpaceDN w:val="0"/>
        <w:adjustRightInd w:val="0"/>
        <w:spacing w:line="360" w:lineRule="auto"/>
        <w:ind w:right="-31" w:rightChars="-15" w:firstLine="424" w:firstLineChars="202"/>
        <w:jc w:val="left"/>
        <w:textAlignment w:val="bottom"/>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  址：</w:t>
      </w:r>
      <w:r>
        <w:rPr>
          <w:rFonts w:hint="eastAsia" w:ascii="宋体" w:hAnsi="宋体" w:eastAsia="宋体" w:cs="宋体"/>
          <w:color w:val="auto"/>
          <w:kern w:val="0"/>
          <w:szCs w:val="21"/>
          <w:highlight w:val="none"/>
          <w:lang w:eastAsia="zh-CN"/>
        </w:rPr>
        <w:t>东</w:t>
      </w:r>
      <w:r>
        <w:rPr>
          <w:rFonts w:hint="eastAsia" w:ascii="宋体" w:hAnsi="宋体" w:eastAsia="宋体" w:cs="宋体"/>
          <w:color w:val="auto"/>
          <w:kern w:val="0"/>
          <w:szCs w:val="21"/>
          <w:highlight w:val="none"/>
        </w:rPr>
        <w:t>莞市南城街道宏北路16号水业大厦</w:t>
      </w:r>
    </w:p>
    <w:p w14:paraId="0D258758">
      <w:pPr>
        <w:widowControl/>
        <w:autoSpaceDE w:val="0"/>
        <w:autoSpaceDN w:val="0"/>
        <w:adjustRightInd w:val="0"/>
        <w:spacing w:line="360" w:lineRule="auto"/>
        <w:ind w:right="-31" w:rightChars="-15" w:firstLine="424" w:firstLineChars="202"/>
        <w:jc w:val="left"/>
        <w:textAlignment w:val="bottom"/>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联系人：</w:t>
      </w:r>
      <w:r>
        <w:rPr>
          <w:rFonts w:hint="eastAsia" w:ascii="宋体" w:hAnsi="宋体" w:eastAsia="宋体" w:cs="宋体"/>
          <w:color w:val="auto"/>
          <w:kern w:val="0"/>
          <w:szCs w:val="21"/>
          <w:highlight w:val="none"/>
          <w:lang w:val="en-US" w:eastAsia="zh-CN"/>
        </w:rPr>
        <w:t>莫佩欣</w:t>
      </w:r>
    </w:p>
    <w:p w14:paraId="6D101F75">
      <w:pPr>
        <w:widowControl/>
        <w:autoSpaceDE w:val="0"/>
        <w:autoSpaceDN w:val="0"/>
        <w:adjustRightInd w:val="0"/>
        <w:spacing w:line="360" w:lineRule="auto"/>
        <w:ind w:right="-31" w:rightChars="-15" w:firstLine="424" w:firstLineChars="202"/>
        <w:jc w:val="left"/>
        <w:textAlignment w:val="bottom"/>
        <w:rPr>
          <w:rFonts w:hint="default" w:ascii="宋体" w:hAnsi="宋体" w:eastAsia="宋体" w:cs="宋体"/>
          <w:color w:val="auto"/>
          <w:kern w:val="0"/>
          <w:szCs w:val="21"/>
          <w:highlight w:val="none"/>
          <w:lang w:val="en-US"/>
        </w:rPr>
      </w:pPr>
      <w:r>
        <w:rPr>
          <w:rFonts w:hint="eastAsia" w:ascii="宋体" w:hAnsi="宋体" w:eastAsia="宋体" w:cs="宋体"/>
          <w:color w:val="auto"/>
          <w:kern w:val="0"/>
          <w:szCs w:val="21"/>
          <w:highlight w:val="none"/>
        </w:rPr>
        <w:t>电  话：0769-</w:t>
      </w:r>
      <w:r>
        <w:rPr>
          <w:rFonts w:hint="eastAsia" w:ascii="宋体" w:hAnsi="宋体" w:eastAsia="宋体" w:cs="宋体"/>
          <w:color w:val="auto"/>
          <w:kern w:val="0"/>
          <w:szCs w:val="21"/>
          <w:highlight w:val="none"/>
          <w:lang w:val="en-US" w:eastAsia="zh-CN"/>
        </w:rPr>
        <w:t>28823246</w:t>
      </w:r>
    </w:p>
    <w:p w14:paraId="10EE69DD">
      <w:pPr>
        <w:autoSpaceDE w:val="0"/>
        <w:autoSpaceDN w:val="0"/>
        <w:adjustRightInd w:val="0"/>
        <w:spacing w:line="360" w:lineRule="auto"/>
        <w:ind w:right="-29" w:rightChars="-14"/>
        <w:rPr>
          <w:rFonts w:hint="eastAsia" w:ascii="宋体" w:hAnsi="宋体" w:eastAsia="宋体" w:cs="宋体"/>
          <w:color w:val="auto"/>
          <w:kern w:val="0"/>
          <w:szCs w:val="21"/>
          <w:highlight w:val="none"/>
        </w:rPr>
      </w:pPr>
    </w:p>
    <w:p w14:paraId="7C2974DD">
      <w:pPr>
        <w:numPr>
          <w:ilvl w:val="0"/>
          <w:numId w:val="1"/>
        </w:numPr>
        <w:autoSpaceDE w:val="0"/>
        <w:autoSpaceDN w:val="0"/>
        <w:adjustRightInd w:val="0"/>
        <w:snapToGrid w:val="0"/>
        <w:spacing w:line="360" w:lineRule="auto"/>
        <w:ind w:right="-34"/>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采购代理机构</w:t>
      </w:r>
      <w:r>
        <w:rPr>
          <w:rFonts w:hint="eastAsia" w:ascii="宋体" w:hAnsi="宋体" w:eastAsia="宋体" w:cs="宋体"/>
          <w:color w:val="auto"/>
          <w:szCs w:val="21"/>
          <w:highlight w:val="none"/>
          <w:lang w:val="en-US" w:eastAsia="zh-CN"/>
        </w:rPr>
        <w:t>及异议受理</w:t>
      </w:r>
      <w:r>
        <w:rPr>
          <w:rFonts w:hint="eastAsia" w:ascii="宋体" w:hAnsi="宋体" w:eastAsia="宋体" w:cs="宋体"/>
          <w:color w:val="auto"/>
          <w:szCs w:val="21"/>
          <w:highlight w:val="none"/>
        </w:rPr>
        <w:t>联系方式</w:t>
      </w:r>
    </w:p>
    <w:p w14:paraId="17F486E0">
      <w:pPr>
        <w:widowControl/>
        <w:autoSpaceDE w:val="0"/>
        <w:autoSpaceDN w:val="0"/>
        <w:adjustRightInd w:val="0"/>
        <w:spacing w:line="360" w:lineRule="auto"/>
        <w:ind w:right="-31" w:rightChars="-15" w:firstLine="424" w:firstLineChars="202"/>
        <w:jc w:val="left"/>
        <w:textAlignment w:val="bottom"/>
        <w:rPr>
          <w:rFonts w:hint="eastAsia" w:ascii="宋体" w:hAnsi="宋体" w:eastAsia="宋体" w:cs="宋体"/>
          <w:color w:val="auto"/>
          <w:kern w:val="0"/>
          <w:szCs w:val="21"/>
          <w:highlight w:val="none"/>
          <w:lang w:eastAsia="zh-CN"/>
        </w:rPr>
      </w:pPr>
      <w:bookmarkStart w:id="9" w:name="_Toc486167661"/>
      <w:bookmarkStart w:id="10" w:name="_Toc450662847"/>
      <w:bookmarkStart w:id="11" w:name="_Toc31764_WPSOffice_Level1"/>
      <w:r>
        <w:rPr>
          <w:rFonts w:hint="eastAsia" w:ascii="宋体" w:hAnsi="宋体" w:eastAsia="宋体" w:cs="宋体"/>
          <w:color w:val="auto"/>
          <w:kern w:val="0"/>
          <w:szCs w:val="21"/>
          <w:highlight w:val="none"/>
          <w:lang w:eastAsia="zh-CN"/>
        </w:rPr>
        <w:t>采购代理机构</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公诚管理咨询有限公司</w:t>
      </w:r>
    </w:p>
    <w:p w14:paraId="21EBBF97">
      <w:pPr>
        <w:widowControl/>
        <w:autoSpaceDE w:val="0"/>
        <w:autoSpaceDN w:val="0"/>
        <w:adjustRightInd w:val="0"/>
        <w:spacing w:line="360" w:lineRule="auto"/>
        <w:ind w:right="-31" w:rightChars="-15" w:firstLine="424" w:firstLineChars="202"/>
        <w:jc w:val="left"/>
        <w:textAlignment w:val="bottom"/>
        <w:rPr>
          <w:rFonts w:hint="default" w:ascii="宋体" w:hAnsi="宋体" w:eastAsia="宋体" w:cs="宋体"/>
          <w:color w:val="auto"/>
          <w:kern w:val="0"/>
          <w:szCs w:val="21"/>
          <w:highlight w:val="none"/>
          <w:lang w:val="en-US"/>
        </w:rPr>
      </w:pPr>
      <w:r>
        <w:rPr>
          <w:rFonts w:hint="eastAsia" w:ascii="宋体" w:hAnsi="宋体" w:eastAsia="宋体" w:cs="宋体"/>
          <w:color w:val="auto"/>
          <w:kern w:val="0"/>
          <w:szCs w:val="21"/>
          <w:highlight w:val="none"/>
        </w:rPr>
        <w:t>地  址：</w:t>
      </w:r>
      <w:r>
        <w:rPr>
          <w:rFonts w:hint="eastAsia" w:ascii="宋体" w:hAnsi="宋体" w:eastAsia="宋体" w:cs="宋体"/>
          <w:color w:val="auto"/>
          <w:kern w:val="0"/>
          <w:szCs w:val="21"/>
          <w:highlight w:val="none"/>
          <w:lang w:val="en-US" w:eastAsia="zh-CN"/>
        </w:rPr>
        <w:t>东莞市东城街道东城中路163号新基地互联网产业园A座6楼618</w:t>
      </w:r>
    </w:p>
    <w:p w14:paraId="6FFC4085">
      <w:pPr>
        <w:widowControl/>
        <w:autoSpaceDE w:val="0"/>
        <w:autoSpaceDN w:val="0"/>
        <w:adjustRightInd w:val="0"/>
        <w:spacing w:line="360" w:lineRule="auto"/>
        <w:ind w:right="-31" w:rightChars="-15" w:firstLine="424" w:firstLineChars="202"/>
        <w:jc w:val="left"/>
        <w:textAlignment w:val="bottom"/>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联系人：</w:t>
      </w:r>
      <w:r>
        <w:rPr>
          <w:rFonts w:hint="eastAsia" w:ascii="宋体" w:hAnsi="宋体" w:eastAsia="宋体" w:cs="宋体"/>
          <w:color w:val="auto"/>
          <w:kern w:val="0"/>
          <w:szCs w:val="21"/>
          <w:highlight w:val="none"/>
          <w:lang w:eastAsia="zh-CN"/>
        </w:rPr>
        <w:t>陈焕银、雷洁</w:t>
      </w:r>
    </w:p>
    <w:p w14:paraId="09D68878">
      <w:pPr>
        <w:widowControl/>
        <w:autoSpaceDE w:val="0"/>
        <w:autoSpaceDN w:val="0"/>
        <w:adjustRightInd w:val="0"/>
        <w:spacing w:line="360" w:lineRule="auto"/>
        <w:ind w:right="-31" w:rightChars="-15" w:firstLine="424" w:firstLineChars="202"/>
        <w:jc w:val="left"/>
        <w:textAlignment w:val="bottom"/>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  话：</w:t>
      </w:r>
      <w:r>
        <w:rPr>
          <w:rFonts w:hint="eastAsia" w:ascii="宋体" w:hAnsi="宋体" w:eastAsia="宋体" w:cs="宋体"/>
          <w:color w:val="auto"/>
          <w:kern w:val="0"/>
          <w:szCs w:val="21"/>
          <w:highlight w:val="none"/>
          <w:lang w:val="en-US" w:eastAsia="zh-CN"/>
        </w:rPr>
        <w:t>0769-22332234</w:t>
      </w:r>
    </w:p>
    <w:p w14:paraId="705CDDD7">
      <w:pPr>
        <w:pageBreakBefore/>
        <w:tabs>
          <w:tab w:val="left" w:pos="1080"/>
        </w:tabs>
        <w:autoSpaceDE w:val="0"/>
        <w:autoSpaceDN w:val="0"/>
        <w:adjustRightInd w:val="0"/>
        <w:spacing w:line="360" w:lineRule="auto"/>
        <w:ind w:left="-167" w:leftChars="-100" w:hanging="43"/>
        <w:jc w:val="center"/>
        <w:outlineLvl w:val="0"/>
        <w:rPr>
          <w:rFonts w:hint="eastAsia" w:ascii="宋体" w:hAnsi="宋体" w:eastAsia="宋体" w:cs="宋体"/>
          <w:b/>
          <w:bCs/>
          <w:color w:val="auto"/>
          <w:kern w:val="44"/>
          <w:sz w:val="32"/>
          <w:szCs w:val="32"/>
          <w:highlight w:val="none"/>
        </w:rPr>
      </w:pPr>
      <w:bookmarkStart w:id="12" w:name="_Toc142508311"/>
      <w:bookmarkStart w:id="13" w:name="_Toc793894046"/>
      <w:bookmarkStart w:id="14" w:name="_Toc18212"/>
      <w:bookmarkStart w:id="15" w:name="_Toc15111"/>
      <w:r>
        <w:rPr>
          <w:rFonts w:hint="eastAsia" w:ascii="宋体" w:hAnsi="宋体" w:eastAsia="宋体" w:cs="宋体"/>
          <w:b/>
          <w:bCs/>
          <w:color w:val="auto"/>
          <w:kern w:val="44"/>
          <w:sz w:val="32"/>
          <w:szCs w:val="32"/>
          <w:highlight w:val="none"/>
          <w:lang w:val="zh-CN"/>
        </w:rPr>
        <w:t>第二篇</w:t>
      </w:r>
      <w:r>
        <w:rPr>
          <w:rFonts w:hint="eastAsia" w:ascii="宋体" w:hAnsi="宋体" w:eastAsia="宋体" w:cs="宋体"/>
          <w:b/>
          <w:bCs/>
          <w:color w:val="auto"/>
          <w:kern w:val="44"/>
          <w:sz w:val="32"/>
          <w:szCs w:val="32"/>
          <w:highlight w:val="none"/>
        </w:rPr>
        <w:t xml:space="preserve"> </w:t>
      </w:r>
      <w:r>
        <w:rPr>
          <w:rFonts w:hint="eastAsia" w:ascii="宋体" w:hAnsi="宋体" w:eastAsia="宋体" w:cs="宋体"/>
          <w:b/>
          <w:bCs/>
          <w:color w:val="auto"/>
          <w:kern w:val="44"/>
          <w:sz w:val="32"/>
          <w:szCs w:val="32"/>
          <w:highlight w:val="none"/>
          <w:lang w:val="zh-CN"/>
        </w:rPr>
        <w:t>供应商须知</w:t>
      </w:r>
      <w:bookmarkEnd w:id="9"/>
      <w:bookmarkEnd w:id="10"/>
      <w:bookmarkEnd w:id="11"/>
      <w:bookmarkEnd w:id="12"/>
      <w:bookmarkEnd w:id="13"/>
      <w:bookmarkEnd w:id="14"/>
      <w:bookmarkEnd w:id="15"/>
    </w:p>
    <w:p w14:paraId="55F76FB7">
      <w:pPr>
        <w:keepNext/>
        <w:keepLines/>
        <w:autoSpaceDE w:val="0"/>
        <w:autoSpaceDN w:val="0"/>
        <w:adjustRightInd w:val="0"/>
        <w:spacing w:line="360" w:lineRule="auto"/>
        <w:jc w:val="left"/>
        <w:outlineLvl w:val="0"/>
        <w:rPr>
          <w:rFonts w:hint="eastAsia" w:ascii="宋体" w:hAnsi="宋体" w:eastAsia="宋体" w:cs="宋体"/>
          <w:b/>
          <w:bCs/>
          <w:color w:val="auto"/>
          <w:kern w:val="44"/>
          <w:szCs w:val="21"/>
          <w:highlight w:val="none"/>
          <w:lang w:val="zh-CN"/>
        </w:rPr>
      </w:pPr>
      <w:bookmarkStart w:id="16" w:name="_Toc486167662"/>
      <w:bookmarkStart w:id="17" w:name="_Toc24479"/>
      <w:bookmarkStart w:id="18" w:name="_Toc9555"/>
      <w:bookmarkStart w:id="19" w:name="_Toc285731009"/>
      <w:bookmarkStart w:id="20" w:name="_Toc142508312"/>
      <w:bookmarkStart w:id="21" w:name="_Toc450662848"/>
      <w:bookmarkStart w:id="22" w:name="_Toc140596871"/>
      <w:bookmarkStart w:id="23" w:name="_Toc15366_WPSOffice_Level2"/>
      <w:r>
        <w:rPr>
          <w:rFonts w:hint="eastAsia" w:ascii="宋体" w:hAnsi="宋体" w:eastAsia="宋体" w:cs="宋体"/>
          <w:b/>
          <w:bCs/>
          <w:color w:val="auto"/>
          <w:kern w:val="44"/>
          <w:szCs w:val="21"/>
          <w:highlight w:val="none"/>
          <w:lang w:val="zh-CN"/>
        </w:rPr>
        <w:t>一、总则</w:t>
      </w:r>
      <w:bookmarkEnd w:id="16"/>
      <w:bookmarkEnd w:id="17"/>
      <w:bookmarkEnd w:id="18"/>
      <w:bookmarkEnd w:id="19"/>
      <w:bookmarkEnd w:id="20"/>
      <w:bookmarkEnd w:id="21"/>
      <w:bookmarkEnd w:id="22"/>
      <w:bookmarkEnd w:id="23"/>
    </w:p>
    <w:p w14:paraId="4DC69363">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24" w:name="_Toc142508313"/>
      <w:bookmarkStart w:id="25" w:name="_Toc486167663"/>
      <w:bookmarkStart w:id="26" w:name="_Toc2061042824"/>
      <w:bookmarkStart w:id="27" w:name="_Toc23333"/>
      <w:bookmarkStart w:id="28" w:name="_Toc9608"/>
      <w:bookmarkStart w:id="29" w:name="_Toc450662849"/>
      <w:bookmarkStart w:id="30" w:name="_Toc21710_WPSOffice_Level3"/>
      <w:r>
        <w:rPr>
          <w:rFonts w:hint="eastAsia" w:ascii="宋体" w:hAnsi="宋体" w:eastAsia="宋体" w:cs="宋体"/>
          <w:color w:val="auto"/>
          <w:szCs w:val="21"/>
          <w:highlight w:val="none"/>
          <w:lang w:val="zh-CN"/>
        </w:rPr>
        <w:t>1 资金来源：企业自筹资金。</w:t>
      </w:r>
      <w:bookmarkEnd w:id="24"/>
      <w:bookmarkEnd w:id="25"/>
      <w:bookmarkEnd w:id="26"/>
      <w:bookmarkEnd w:id="27"/>
      <w:bookmarkEnd w:id="28"/>
      <w:bookmarkEnd w:id="29"/>
      <w:bookmarkEnd w:id="30"/>
    </w:p>
    <w:p w14:paraId="2A0DFCF8">
      <w:pPr>
        <w:autoSpaceDE w:val="0"/>
        <w:autoSpaceDN w:val="0"/>
        <w:adjustRightInd w:val="0"/>
        <w:jc w:val="left"/>
        <w:rPr>
          <w:rFonts w:hint="eastAsia" w:ascii="宋体" w:hAnsi="宋体" w:eastAsia="宋体" w:cs="宋体"/>
          <w:color w:val="auto"/>
          <w:kern w:val="0"/>
          <w:sz w:val="24"/>
          <w:szCs w:val="24"/>
          <w:highlight w:val="none"/>
        </w:rPr>
      </w:pPr>
    </w:p>
    <w:p w14:paraId="6F4875FD">
      <w:pPr>
        <w:tabs>
          <w:tab w:val="left" w:pos="570"/>
        </w:tabs>
        <w:autoSpaceDE w:val="0"/>
        <w:autoSpaceDN w:val="0"/>
        <w:adjustRightInd w:val="0"/>
        <w:spacing w:line="360" w:lineRule="auto"/>
        <w:ind w:left="357" w:leftChars="-100" w:hanging="567"/>
        <w:jc w:val="left"/>
        <w:outlineLvl w:val="2"/>
        <w:rPr>
          <w:rFonts w:hint="eastAsia" w:ascii="宋体" w:hAnsi="宋体" w:eastAsia="宋体" w:cs="宋体"/>
          <w:b/>
          <w:color w:val="auto"/>
          <w:szCs w:val="21"/>
          <w:highlight w:val="none"/>
          <w:lang w:val="zh-CN"/>
        </w:rPr>
      </w:pPr>
      <w:bookmarkStart w:id="31" w:name="_Toc18557"/>
      <w:bookmarkStart w:id="32" w:name="_Toc142508314"/>
      <w:bookmarkStart w:id="33" w:name="_Toc486167664"/>
      <w:bookmarkStart w:id="34" w:name="_Toc450662850"/>
      <w:bookmarkStart w:id="35" w:name="_Toc32244"/>
      <w:bookmarkStart w:id="36" w:name="_Toc80_WPSOffice_Level3"/>
      <w:bookmarkStart w:id="37" w:name="_Toc198422590"/>
      <w:r>
        <w:rPr>
          <w:rFonts w:hint="eastAsia" w:ascii="宋体" w:hAnsi="宋体" w:eastAsia="宋体" w:cs="宋体"/>
          <w:b/>
          <w:color w:val="auto"/>
          <w:szCs w:val="21"/>
          <w:highlight w:val="none"/>
          <w:lang w:val="zh-CN"/>
        </w:rPr>
        <w:t>2 合格的</w:t>
      </w:r>
      <w:bookmarkEnd w:id="31"/>
      <w:bookmarkEnd w:id="32"/>
      <w:bookmarkEnd w:id="33"/>
      <w:bookmarkEnd w:id="34"/>
      <w:bookmarkEnd w:id="35"/>
      <w:bookmarkEnd w:id="36"/>
      <w:r>
        <w:rPr>
          <w:rFonts w:hint="eastAsia" w:ascii="宋体" w:hAnsi="宋体" w:eastAsia="宋体" w:cs="宋体"/>
          <w:b/>
          <w:color w:val="auto"/>
          <w:szCs w:val="21"/>
          <w:highlight w:val="none"/>
          <w:lang w:val="zh-CN"/>
        </w:rPr>
        <w:t>供应商</w:t>
      </w:r>
      <w:bookmarkEnd w:id="37"/>
    </w:p>
    <w:p w14:paraId="51FEF640">
      <w:pPr>
        <w:autoSpaceDE w:val="0"/>
        <w:autoSpaceDN w:val="0"/>
        <w:adjustRightInd w:val="0"/>
        <w:spacing w:line="360" w:lineRule="auto"/>
        <w:ind w:left="317" w:leftChars="-100" w:hanging="527" w:hangingChars="250"/>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2.1  合格的供应商条件见第一篇《询比公告》中第2条的“合格供应商资格要求”及本条以下2.2款至2.</w:t>
      </w:r>
      <w:r>
        <w:rPr>
          <w:rFonts w:hint="eastAsia" w:ascii="宋体" w:hAnsi="宋体" w:eastAsia="宋体" w:cs="宋体"/>
          <w:b/>
          <w:color w:val="auto"/>
          <w:szCs w:val="21"/>
          <w:highlight w:val="none"/>
          <w:lang w:val="en-US" w:eastAsia="zh-CN"/>
        </w:rPr>
        <w:t>5</w:t>
      </w:r>
      <w:r>
        <w:rPr>
          <w:rFonts w:hint="eastAsia" w:ascii="宋体" w:hAnsi="宋体" w:eastAsia="宋体" w:cs="宋体"/>
          <w:b/>
          <w:color w:val="auto"/>
          <w:szCs w:val="21"/>
          <w:highlight w:val="none"/>
          <w:lang w:val="zh-CN"/>
        </w:rPr>
        <w:t>款的通用要求。</w:t>
      </w:r>
    </w:p>
    <w:p w14:paraId="2993FF23">
      <w:pPr>
        <w:autoSpaceDE w:val="0"/>
        <w:autoSpaceDN w:val="0"/>
        <w:adjustRightInd w:val="0"/>
        <w:spacing w:line="360" w:lineRule="auto"/>
        <w:ind w:left="359" w:leftChars="-100" w:hanging="569" w:hangingChars="270"/>
        <w:rPr>
          <w:rFonts w:hint="eastAsia" w:ascii="宋体" w:hAnsi="宋体" w:eastAsia="宋体" w:cs="宋体"/>
          <w:b/>
          <w:color w:val="auto"/>
          <w:kern w:val="0"/>
          <w:szCs w:val="21"/>
          <w:highlight w:val="none"/>
        </w:rPr>
      </w:pPr>
      <w:r>
        <w:rPr>
          <w:rFonts w:hint="eastAsia" w:ascii="宋体" w:hAnsi="宋体" w:eastAsia="宋体" w:cs="宋体"/>
          <w:b/>
          <w:color w:val="auto"/>
          <w:kern w:val="0"/>
          <w:szCs w:val="24"/>
          <w:highlight w:val="none"/>
        </w:rPr>
        <w:t xml:space="preserve">2.2  </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在参加本项目</w:t>
      </w:r>
      <w:r>
        <w:rPr>
          <w:rFonts w:hint="eastAsia" w:ascii="宋体" w:hAnsi="宋体" w:eastAsia="宋体" w:cs="宋体"/>
          <w:b/>
          <w:color w:val="auto"/>
          <w:kern w:val="0"/>
          <w:szCs w:val="21"/>
          <w:highlight w:val="none"/>
          <w:lang w:val="en-US" w:eastAsia="zh-CN"/>
        </w:rPr>
        <w:t>响应</w:t>
      </w:r>
      <w:r>
        <w:rPr>
          <w:rFonts w:hint="eastAsia" w:ascii="宋体" w:hAnsi="宋体" w:eastAsia="宋体" w:cs="宋体"/>
          <w:b/>
          <w:color w:val="auto"/>
          <w:kern w:val="0"/>
          <w:szCs w:val="21"/>
          <w:highlight w:val="none"/>
        </w:rPr>
        <w:t>前的三年内不得在投标活动中存在《中华人民共和国招标投标法》第五十三条（相互串通投标或者与</w:t>
      </w:r>
      <w:r>
        <w:rPr>
          <w:rFonts w:hint="eastAsia" w:ascii="宋体" w:hAnsi="宋体" w:eastAsia="宋体" w:cs="宋体"/>
          <w:b/>
          <w:color w:val="auto"/>
          <w:kern w:val="0"/>
          <w:szCs w:val="21"/>
          <w:highlight w:val="none"/>
          <w:lang w:eastAsia="zh-CN"/>
        </w:rPr>
        <w:t>采购人</w:t>
      </w:r>
      <w:r>
        <w:rPr>
          <w:rFonts w:hint="eastAsia" w:ascii="宋体" w:hAnsi="宋体" w:eastAsia="宋体" w:cs="宋体"/>
          <w:b/>
          <w:color w:val="auto"/>
          <w:kern w:val="0"/>
          <w:szCs w:val="21"/>
          <w:highlight w:val="none"/>
        </w:rPr>
        <w:t>串通投标，以向</w:t>
      </w:r>
      <w:r>
        <w:rPr>
          <w:rFonts w:hint="eastAsia" w:ascii="宋体" w:hAnsi="宋体" w:eastAsia="宋体" w:cs="宋体"/>
          <w:b/>
          <w:color w:val="auto"/>
          <w:kern w:val="0"/>
          <w:szCs w:val="21"/>
          <w:highlight w:val="none"/>
          <w:lang w:val="zh-CN" w:eastAsia="zh-CN"/>
        </w:rPr>
        <w:t>招标人</w:t>
      </w:r>
      <w:r>
        <w:rPr>
          <w:rFonts w:hint="eastAsia" w:ascii="宋体" w:hAnsi="宋体" w:eastAsia="宋体" w:cs="宋体"/>
          <w:b/>
          <w:color w:val="auto"/>
          <w:kern w:val="0"/>
          <w:szCs w:val="21"/>
          <w:highlight w:val="none"/>
        </w:rPr>
        <w:t>或者评标委员会成员行贿的手段谋取中标）、第五十四条（以他人名义投标或者以其他方式弄虚作假，骗取中标）、第六十条（中标人不履行与</w:t>
      </w:r>
      <w:r>
        <w:rPr>
          <w:rFonts w:hint="eastAsia" w:ascii="宋体" w:hAnsi="宋体" w:eastAsia="宋体" w:cs="宋体"/>
          <w:b/>
          <w:color w:val="auto"/>
          <w:kern w:val="0"/>
          <w:szCs w:val="21"/>
          <w:highlight w:val="none"/>
          <w:lang w:val="zh-CN" w:eastAsia="zh-CN"/>
        </w:rPr>
        <w:t>招标人</w:t>
      </w:r>
      <w:r>
        <w:rPr>
          <w:rFonts w:hint="eastAsia" w:ascii="宋体" w:hAnsi="宋体" w:eastAsia="宋体" w:cs="宋体"/>
          <w:b/>
          <w:color w:val="auto"/>
          <w:kern w:val="0"/>
          <w:szCs w:val="21"/>
          <w:highlight w:val="none"/>
        </w:rPr>
        <w:t>订立的合同）、《中华人民共和国招标投标法实施条例》第七十六条（将中标项目转让给他人的，将中标项目肢解后分别转让给他人的，违反招标投标法和本条例规定将中标项目的部分主体、关键性工作分包给他人的，或者分包人再次分包）、第七十七条（捏造事实、伪造材料或者以非法手段取得证明材料进行投诉）规定的违法行为，而受到各级管理部门的处罚。</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存在前述处罚的，在</w:t>
      </w:r>
      <w:r>
        <w:rPr>
          <w:rFonts w:hint="eastAsia" w:ascii="宋体" w:hAnsi="宋体" w:eastAsia="宋体" w:cs="宋体"/>
          <w:b/>
          <w:color w:val="auto"/>
          <w:kern w:val="0"/>
          <w:szCs w:val="21"/>
          <w:highlight w:val="none"/>
          <w:lang w:eastAsia="zh-CN"/>
        </w:rPr>
        <w:t>响应文件</w:t>
      </w:r>
      <w:r>
        <w:rPr>
          <w:rFonts w:hint="eastAsia" w:ascii="宋体" w:hAnsi="宋体" w:eastAsia="宋体" w:cs="宋体"/>
          <w:b/>
          <w:color w:val="auto"/>
          <w:kern w:val="0"/>
          <w:szCs w:val="21"/>
          <w:highlight w:val="none"/>
        </w:rPr>
        <w:t>中必须主动按</w:t>
      </w:r>
      <w:r>
        <w:rPr>
          <w:rFonts w:hint="eastAsia" w:ascii="宋体" w:hAnsi="宋体" w:eastAsia="宋体" w:cs="宋体"/>
          <w:b/>
          <w:color w:val="auto"/>
          <w:kern w:val="0"/>
          <w:szCs w:val="21"/>
          <w:highlight w:val="none"/>
          <w:lang w:eastAsia="zh-CN"/>
        </w:rPr>
        <w:t>询比文件</w:t>
      </w:r>
      <w:r>
        <w:rPr>
          <w:rFonts w:hint="eastAsia" w:ascii="宋体" w:hAnsi="宋体" w:eastAsia="宋体" w:cs="宋体"/>
          <w:b/>
          <w:color w:val="auto"/>
          <w:kern w:val="0"/>
          <w:szCs w:val="21"/>
          <w:highlight w:val="none"/>
        </w:rPr>
        <w:t>的要求填报“最近3年</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牵涉的其他（失信和违法）</w:t>
      </w:r>
      <w:r>
        <w:rPr>
          <w:rFonts w:hint="eastAsia" w:ascii="宋体" w:hAnsi="宋体" w:eastAsia="宋体" w:cs="宋体"/>
          <w:b/>
          <w:color w:val="auto"/>
          <w:kern w:val="0"/>
          <w:szCs w:val="21"/>
          <w:highlight w:val="none"/>
          <w:lang w:val="zh-CN"/>
        </w:rPr>
        <w:t>处罚说明</w:t>
      </w:r>
      <w:r>
        <w:rPr>
          <w:rFonts w:hint="eastAsia" w:ascii="宋体" w:hAnsi="宋体" w:eastAsia="宋体" w:cs="宋体"/>
          <w:b/>
          <w:color w:val="auto"/>
          <w:kern w:val="0"/>
          <w:szCs w:val="21"/>
          <w:highlight w:val="none"/>
        </w:rPr>
        <w:t>”，如果不主动填报而被事后发现的，将取消其</w:t>
      </w:r>
      <w:r>
        <w:rPr>
          <w:rFonts w:hint="eastAsia" w:ascii="宋体" w:hAnsi="宋体" w:eastAsia="宋体" w:cs="宋体"/>
          <w:b/>
          <w:color w:val="auto"/>
          <w:kern w:val="0"/>
          <w:szCs w:val="21"/>
          <w:highlight w:val="none"/>
          <w:lang w:val="en-US" w:eastAsia="zh-CN"/>
        </w:rPr>
        <w:t>成交</w:t>
      </w:r>
      <w:r>
        <w:rPr>
          <w:rFonts w:hint="eastAsia" w:ascii="宋体" w:hAnsi="宋体" w:eastAsia="宋体" w:cs="宋体"/>
          <w:b/>
          <w:color w:val="auto"/>
          <w:kern w:val="0"/>
          <w:szCs w:val="21"/>
          <w:highlight w:val="none"/>
        </w:rPr>
        <w:t>资格，并按有关规定从重处理。</w:t>
      </w:r>
    </w:p>
    <w:p w14:paraId="76EE9E03">
      <w:pPr>
        <w:autoSpaceDE w:val="0"/>
        <w:autoSpaceDN w:val="0"/>
        <w:adjustRightInd w:val="0"/>
        <w:spacing w:line="360" w:lineRule="auto"/>
        <w:ind w:left="317" w:leftChars="-100" w:hanging="527" w:hangingChars="250"/>
        <w:rPr>
          <w:rFonts w:hint="eastAsia" w:ascii="宋体" w:hAnsi="宋体" w:eastAsia="宋体" w:cs="宋体"/>
          <w:b/>
          <w:color w:val="auto"/>
          <w:szCs w:val="21"/>
          <w:highlight w:val="none"/>
          <w:lang w:val="zh-CN"/>
        </w:rPr>
      </w:pPr>
      <w:r>
        <w:rPr>
          <w:rFonts w:hint="eastAsia" w:ascii="宋体" w:hAnsi="宋体" w:eastAsia="宋体" w:cs="宋体"/>
          <w:b/>
          <w:color w:val="auto"/>
          <w:kern w:val="0"/>
          <w:szCs w:val="21"/>
          <w:highlight w:val="none"/>
          <w:lang w:val="zh-CN"/>
        </w:rPr>
        <w:t>2.3  供应商应当具备承担本项目的履约能力，并满足本</w:t>
      </w:r>
      <w:r>
        <w:rPr>
          <w:rFonts w:hint="eastAsia" w:ascii="宋体" w:hAnsi="宋体" w:eastAsia="宋体" w:cs="宋体"/>
          <w:b/>
          <w:color w:val="auto"/>
          <w:kern w:val="0"/>
          <w:szCs w:val="21"/>
          <w:highlight w:val="none"/>
          <w:lang w:val="en-US" w:eastAsia="zh-CN"/>
        </w:rPr>
        <w:t>询比</w:t>
      </w:r>
      <w:r>
        <w:rPr>
          <w:rFonts w:hint="eastAsia" w:ascii="宋体" w:hAnsi="宋体" w:eastAsia="宋体" w:cs="宋体"/>
          <w:b/>
          <w:color w:val="auto"/>
          <w:kern w:val="0"/>
          <w:szCs w:val="21"/>
          <w:highlight w:val="none"/>
          <w:lang w:val="zh-CN"/>
        </w:rPr>
        <w:t>文件规定</w:t>
      </w:r>
      <w:r>
        <w:rPr>
          <w:rFonts w:hint="eastAsia" w:ascii="宋体" w:hAnsi="宋体" w:eastAsia="宋体" w:cs="宋体"/>
          <w:b/>
          <w:color w:val="auto"/>
          <w:kern w:val="0"/>
          <w:szCs w:val="21"/>
          <w:highlight w:val="none"/>
          <w:lang w:val="en-US" w:eastAsia="zh-CN"/>
        </w:rPr>
        <w:t>供应商应当具备的</w:t>
      </w:r>
      <w:r>
        <w:rPr>
          <w:rFonts w:hint="eastAsia" w:ascii="宋体" w:hAnsi="宋体" w:eastAsia="宋体" w:cs="宋体"/>
          <w:b/>
          <w:color w:val="auto"/>
          <w:kern w:val="0"/>
          <w:szCs w:val="21"/>
          <w:highlight w:val="none"/>
          <w:lang w:val="zh-CN"/>
        </w:rPr>
        <w:t>资格条件。</w:t>
      </w:r>
    </w:p>
    <w:p w14:paraId="77FD7AEE">
      <w:pPr>
        <w:autoSpaceDE w:val="0"/>
        <w:autoSpaceDN w:val="0"/>
        <w:adjustRightInd w:val="0"/>
        <w:spacing w:line="360" w:lineRule="auto"/>
        <w:ind w:left="359" w:leftChars="-99" w:hanging="567" w:hangingChars="269"/>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2.4  </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（含其不具有独立法人资格的分支机构）未被列入“信用中国”网站（ www.creditchina.gov.cn）失信被执行人、重大税收违法失信主体、</w:t>
      </w:r>
      <w:r>
        <w:rPr>
          <w:rFonts w:hint="eastAsia" w:ascii="宋体" w:hAnsi="宋体" w:eastAsia="宋体" w:cs="宋体"/>
          <w:b/>
          <w:color w:val="auto"/>
          <w:kern w:val="0"/>
          <w:szCs w:val="21"/>
          <w:highlight w:val="none"/>
          <w:lang w:val="en-US" w:eastAsia="zh-CN"/>
        </w:rPr>
        <w:t>政府采购</w:t>
      </w:r>
      <w:r>
        <w:rPr>
          <w:rFonts w:hint="eastAsia" w:ascii="宋体" w:hAnsi="宋体" w:eastAsia="宋体" w:cs="宋体"/>
          <w:b/>
          <w:color w:val="auto"/>
          <w:kern w:val="0"/>
          <w:szCs w:val="21"/>
          <w:highlight w:val="none"/>
        </w:rPr>
        <w:t>严重违法失信行为记录名单（处罚期限届满的除外）。</w:t>
      </w:r>
    </w:p>
    <w:p w14:paraId="2CA6B7F4">
      <w:pPr>
        <w:autoSpaceDE w:val="0"/>
        <w:autoSpaceDN w:val="0"/>
        <w:adjustRightInd w:val="0"/>
        <w:spacing w:line="360" w:lineRule="auto"/>
        <w:ind w:left="317" w:leftChars="-100" w:hanging="527" w:hangingChars="250"/>
        <w:rPr>
          <w:rFonts w:hint="eastAsia" w:ascii="宋体" w:hAnsi="宋体" w:eastAsia="宋体" w:cs="宋体"/>
          <w:b/>
          <w:color w:val="auto"/>
          <w:kern w:val="0"/>
          <w:szCs w:val="21"/>
          <w:highlight w:val="none"/>
          <w:lang w:val="zh-CN"/>
        </w:rPr>
      </w:pPr>
      <w:r>
        <w:rPr>
          <w:rFonts w:hint="eastAsia" w:ascii="宋体" w:hAnsi="宋体" w:eastAsia="宋体" w:cs="宋体"/>
          <w:b/>
          <w:color w:val="auto"/>
          <w:szCs w:val="21"/>
          <w:highlight w:val="none"/>
          <w:lang w:val="zh-CN"/>
        </w:rPr>
        <w:t xml:space="preserve">2.5  </w:t>
      </w:r>
      <w:r>
        <w:rPr>
          <w:rFonts w:hint="eastAsia" w:ascii="宋体" w:hAnsi="宋体" w:eastAsia="宋体" w:cs="宋体"/>
          <w:b/>
          <w:color w:val="auto"/>
          <w:kern w:val="0"/>
          <w:szCs w:val="21"/>
          <w:highlight w:val="none"/>
        </w:rPr>
        <w:t>与</w:t>
      </w:r>
      <w:r>
        <w:rPr>
          <w:rFonts w:hint="eastAsia" w:ascii="宋体" w:hAnsi="宋体" w:eastAsia="宋体" w:cs="宋体"/>
          <w:b/>
          <w:color w:val="auto"/>
          <w:kern w:val="0"/>
          <w:szCs w:val="21"/>
          <w:highlight w:val="none"/>
          <w:lang w:eastAsia="zh-CN"/>
        </w:rPr>
        <w:t>采购人</w:t>
      </w:r>
      <w:r>
        <w:rPr>
          <w:rFonts w:hint="eastAsia" w:ascii="宋体" w:hAnsi="宋体" w:eastAsia="宋体" w:cs="宋体"/>
          <w:b/>
          <w:color w:val="auto"/>
          <w:kern w:val="0"/>
          <w:szCs w:val="21"/>
          <w:highlight w:val="none"/>
        </w:rPr>
        <w:t>存在利害关系可能影响</w:t>
      </w:r>
      <w:r>
        <w:rPr>
          <w:rFonts w:hint="eastAsia" w:ascii="宋体" w:hAnsi="宋体" w:eastAsia="宋体" w:cs="宋体"/>
          <w:b/>
          <w:color w:val="auto"/>
          <w:kern w:val="0"/>
          <w:szCs w:val="21"/>
          <w:highlight w:val="none"/>
          <w:lang w:val="en-US" w:eastAsia="zh-CN"/>
        </w:rPr>
        <w:t>公开询比</w:t>
      </w:r>
      <w:r>
        <w:rPr>
          <w:rFonts w:hint="eastAsia" w:ascii="宋体" w:hAnsi="宋体" w:eastAsia="宋体" w:cs="宋体"/>
          <w:b/>
          <w:color w:val="auto"/>
          <w:kern w:val="0"/>
          <w:szCs w:val="21"/>
          <w:highlight w:val="none"/>
        </w:rPr>
        <w:t>公正性的法人、其他组织或者个人，不得参加</w:t>
      </w:r>
      <w:r>
        <w:rPr>
          <w:rFonts w:hint="eastAsia" w:ascii="宋体" w:hAnsi="宋体" w:eastAsia="宋体" w:cs="宋体"/>
          <w:b/>
          <w:color w:val="auto"/>
          <w:kern w:val="0"/>
          <w:szCs w:val="21"/>
          <w:highlight w:val="none"/>
          <w:lang w:val="en-US" w:eastAsia="zh-CN"/>
        </w:rPr>
        <w:t>本项目响应</w:t>
      </w:r>
      <w:r>
        <w:rPr>
          <w:rFonts w:hint="eastAsia" w:ascii="宋体" w:hAnsi="宋体" w:eastAsia="宋体" w:cs="宋体"/>
          <w:b/>
          <w:color w:val="auto"/>
          <w:kern w:val="0"/>
          <w:szCs w:val="21"/>
          <w:highlight w:val="none"/>
        </w:rPr>
        <w:t>；</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负责人为同一人或者存在控股、管理关系的不同</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，不得参加同一项目</w:t>
      </w:r>
      <w:r>
        <w:rPr>
          <w:rFonts w:hint="eastAsia" w:ascii="宋体" w:hAnsi="宋体" w:eastAsia="宋体" w:cs="宋体"/>
          <w:b/>
          <w:color w:val="auto"/>
          <w:kern w:val="0"/>
          <w:szCs w:val="21"/>
          <w:highlight w:val="none"/>
          <w:lang w:val="en-US" w:eastAsia="zh-CN"/>
        </w:rPr>
        <w:t>响应</w:t>
      </w:r>
      <w:r>
        <w:rPr>
          <w:rFonts w:hint="eastAsia" w:ascii="宋体" w:hAnsi="宋体" w:eastAsia="宋体" w:cs="宋体"/>
          <w:b/>
          <w:color w:val="auto"/>
          <w:kern w:val="0"/>
          <w:szCs w:val="21"/>
          <w:highlight w:val="none"/>
        </w:rPr>
        <w:t>。上述情况一经发现，相关</w:t>
      </w:r>
      <w:r>
        <w:rPr>
          <w:rFonts w:hint="eastAsia" w:ascii="宋体" w:hAnsi="宋体" w:eastAsia="宋体" w:cs="宋体"/>
          <w:b/>
          <w:color w:val="auto"/>
          <w:kern w:val="0"/>
          <w:szCs w:val="21"/>
          <w:highlight w:val="none"/>
          <w:lang w:val="en-US" w:eastAsia="zh-CN"/>
        </w:rPr>
        <w:t>响应</w:t>
      </w:r>
      <w:r>
        <w:rPr>
          <w:rFonts w:hint="eastAsia" w:ascii="宋体" w:hAnsi="宋体" w:eastAsia="宋体" w:cs="宋体"/>
          <w:b/>
          <w:color w:val="auto"/>
          <w:kern w:val="0"/>
          <w:szCs w:val="21"/>
          <w:highlight w:val="none"/>
        </w:rPr>
        <w:t>均无效</w:t>
      </w:r>
      <w:r>
        <w:rPr>
          <w:rFonts w:hint="eastAsia" w:ascii="宋体" w:hAnsi="宋体" w:eastAsia="宋体" w:cs="宋体"/>
          <w:b/>
          <w:color w:val="auto"/>
          <w:szCs w:val="21"/>
          <w:highlight w:val="none"/>
          <w:lang w:val="zh-CN"/>
        </w:rPr>
        <w:t>。</w:t>
      </w:r>
    </w:p>
    <w:p w14:paraId="0A9722C5">
      <w:pPr>
        <w:tabs>
          <w:tab w:val="left" w:pos="426"/>
        </w:tabs>
        <w:autoSpaceDE w:val="0"/>
        <w:autoSpaceDN w:val="0"/>
        <w:adjustRightInd w:val="0"/>
        <w:spacing w:line="360" w:lineRule="auto"/>
        <w:ind w:left="319" w:leftChars="-100" w:hanging="529" w:hangingChars="252"/>
        <w:rPr>
          <w:rFonts w:hint="eastAsia" w:ascii="宋体" w:hAnsi="宋体" w:eastAsia="宋体" w:cs="宋体"/>
          <w:color w:val="auto"/>
          <w:kern w:val="0"/>
          <w:szCs w:val="24"/>
          <w:highlight w:val="none"/>
        </w:rPr>
      </w:pPr>
    </w:p>
    <w:p w14:paraId="2D6FD5DC">
      <w:pPr>
        <w:tabs>
          <w:tab w:val="left" w:pos="570"/>
        </w:tabs>
        <w:autoSpaceDE w:val="0"/>
        <w:autoSpaceDN w:val="0"/>
        <w:adjustRightInd w:val="0"/>
        <w:spacing w:line="360" w:lineRule="auto"/>
        <w:ind w:left="357" w:leftChars="-100" w:hanging="567"/>
        <w:jc w:val="left"/>
        <w:outlineLvl w:val="2"/>
        <w:rPr>
          <w:rFonts w:hint="eastAsia" w:ascii="宋体" w:hAnsi="宋体" w:eastAsia="宋体" w:cs="宋体"/>
          <w:b/>
          <w:color w:val="auto"/>
          <w:szCs w:val="21"/>
          <w:highlight w:val="none"/>
          <w:lang w:val="en-US" w:eastAsia="zh-CN"/>
        </w:rPr>
      </w:pPr>
      <w:bookmarkStart w:id="38" w:name="_Toc23847_WPSOffice_Level3"/>
      <w:bookmarkStart w:id="39" w:name="_Toc142508315"/>
      <w:bookmarkStart w:id="40" w:name="_Toc19774"/>
      <w:bookmarkStart w:id="41" w:name="_Toc157546407"/>
      <w:bookmarkStart w:id="42" w:name="_Toc11689"/>
      <w:bookmarkStart w:id="43" w:name="_Toc486167665"/>
      <w:bookmarkStart w:id="44" w:name="_Toc450662851"/>
      <w:r>
        <w:rPr>
          <w:rFonts w:hint="eastAsia" w:ascii="宋体" w:hAnsi="宋体" w:eastAsia="宋体" w:cs="宋体"/>
          <w:b/>
          <w:color w:val="auto"/>
          <w:szCs w:val="21"/>
          <w:highlight w:val="none"/>
          <w:lang w:val="zh-CN"/>
        </w:rPr>
        <w:t>3 合格的</w:t>
      </w:r>
      <w:bookmarkEnd w:id="38"/>
      <w:bookmarkEnd w:id="39"/>
      <w:r>
        <w:rPr>
          <w:rFonts w:hint="eastAsia" w:ascii="宋体" w:hAnsi="宋体" w:eastAsia="宋体" w:cs="宋体"/>
          <w:b/>
          <w:color w:val="auto"/>
          <w:szCs w:val="21"/>
          <w:highlight w:val="none"/>
          <w:lang w:val="en-US" w:eastAsia="zh-CN"/>
        </w:rPr>
        <w:t>服务</w:t>
      </w:r>
      <w:bookmarkEnd w:id="40"/>
      <w:bookmarkEnd w:id="41"/>
      <w:bookmarkEnd w:id="42"/>
    </w:p>
    <w:p w14:paraId="17046FFC">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3.1</w:t>
      </w:r>
      <w:r>
        <w:rPr>
          <w:rFonts w:hint="eastAsia" w:ascii="宋体" w:hAnsi="宋体" w:eastAsia="宋体" w:cs="宋体"/>
          <w:color w:val="auto"/>
          <w:szCs w:val="21"/>
          <w:highlight w:val="none"/>
        </w:rPr>
        <w:t xml:space="preserve"> “服务”是指</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规定完成的全部服务内容，其中包括完成服务所需的货物和工程，及须承担的技术支持、培训和其它伴随服务。</w:t>
      </w:r>
    </w:p>
    <w:p w14:paraId="314A07A5">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bookmarkStart w:id="45" w:name="_Toc533708063"/>
      <w:bookmarkStart w:id="46" w:name="_Toc1977663"/>
      <w:r>
        <w:rPr>
          <w:rFonts w:hint="eastAsia" w:ascii="宋体" w:hAnsi="宋体" w:eastAsia="宋体" w:cs="宋体"/>
          <w:color w:val="auto"/>
          <w:szCs w:val="21"/>
          <w:highlight w:val="none"/>
          <w:lang w:val="zh-CN"/>
        </w:rPr>
        <w:t xml:space="preserve">3.2  </w:t>
      </w:r>
      <w:bookmarkEnd w:id="45"/>
      <w:bookmarkEnd w:id="46"/>
      <w:bookmarkStart w:id="47" w:name="_Toc533708065"/>
      <w:bookmarkStart w:id="48" w:name="_Toc1977665"/>
      <w:r>
        <w:rPr>
          <w:rFonts w:hint="eastAsia" w:ascii="宋体" w:hAnsi="宋体" w:eastAsia="宋体" w:cs="宋体"/>
          <w:color w:val="auto"/>
          <w:szCs w:val="21"/>
          <w:highlight w:val="none"/>
          <w:lang w:val="zh-CN"/>
        </w:rPr>
        <w:t>供应商必须保证提供的所有</w:t>
      </w:r>
      <w:r>
        <w:rPr>
          <w:rFonts w:hint="eastAsia" w:ascii="宋体" w:hAnsi="宋体" w:eastAsia="宋体" w:cs="宋体"/>
          <w:color w:val="auto"/>
          <w:szCs w:val="21"/>
          <w:highlight w:val="none"/>
          <w:lang w:val="en-US" w:eastAsia="zh-CN"/>
        </w:rPr>
        <w:t>服务</w:t>
      </w:r>
      <w:r>
        <w:rPr>
          <w:rFonts w:hint="eastAsia" w:ascii="宋体" w:hAnsi="宋体" w:eastAsia="宋体" w:cs="宋体"/>
          <w:color w:val="auto"/>
          <w:szCs w:val="21"/>
          <w:highlight w:val="none"/>
          <w:lang w:val="zh-CN"/>
        </w:rPr>
        <w:t>或</w:t>
      </w:r>
      <w:r>
        <w:rPr>
          <w:rFonts w:hint="eastAsia" w:ascii="宋体" w:hAnsi="宋体" w:eastAsia="宋体" w:cs="宋体"/>
          <w:color w:val="auto"/>
          <w:szCs w:val="21"/>
          <w:highlight w:val="none"/>
          <w:lang w:val="en-US" w:eastAsia="zh-CN"/>
        </w:rPr>
        <w:t>服务</w:t>
      </w:r>
      <w:r>
        <w:rPr>
          <w:rFonts w:hint="eastAsia" w:ascii="宋体" w:hAnsi="宋体" w:eastAsia="宋体" w:cs="宋体"/>
          <w:color w:val="auto"/>
          <w:szCs w:val="21"/>
          <w:highlight w:val="none"/>
          <w:lang w:val="zh-CN"/>
        </w:rPr>
        <w:t>的任何部分均为最新正式版本。</w:t>
      </w:r>
      <w:bookmarkEnd w:id="47"/>
      <w:bookmarkEnd w:id="48"/>
    </w:p>
    <w:p w14:paraId="5B438DDA">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bookmarkStart w:id="49" w:name="_Toc1977666"/>
      <w:bookmarkStart w:id="50" w:name="_Toc533708066"/>
      <w:r>
        <w:rPr>
          <w:rFonts w:hint="eastAsia" w:ascii="宋体" w:hAnsi="宋体" w:eastAsia="宋体" w:cs="宋体"/>
          <w:color w:val="auto"/>
          <w:szCs w:val="21"/>
          <w:highlight w:val="none"/>
          <w:lang w:val="zh-CN"/>
        </w:rPr>
        <w:t>3.</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val="zh-CN"/>
        </w:rPr>
        <w:t xml:space="preserve">  </w:t>
      </w:r>
      <w:bookmarkEnd w:id="49"/>
      <w:bookmarkEnd w:id="50"/>
      <w:bookmarkStart w:id="51" w:name="_Toc533708067"/>
      <w:bookmarkStart w:id="52" w:name="_Toc1977667"/>
      <w:r>
        <w:rPr>
          <w:rFonts w:hint="eastAsia" w:ascii="宋体" w:hAnsi="宋体" w:eastAsia="宋体" w:cs="宋体"/>
          <w:color w:val="auto"/>
          <w:szCs w:val="21"/>
          <w:highlight w:val="none"/>
          <w:lang w:val="zh-CN"/>
        </w:rPr>
        <w:t>供应商</w:t>
      </w:r>
      <w:r>
        <w:rPr>
          <w:rFonts w:hint="eastAsia" w:ascii="宋体" w:hAnsi="宋体" w:eastAsia="宋体" w:cs="宋体"/>
          <w:color w:val="auto"/>
          <w:kern w:val="0"/>
          <w:szCs w:val="21"/>
          <w:highlight w:val="none"/>
        </w:rPr>
        <w:t>应保证</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在中华人民共和国使用</w:t>
      </w:r>
      <w:r>
        <w:rPr>
          <w:rFonts w:hint="eastAsia" w:ascii="宋体" w:hAnsi="宋体" w:eastAsia="宋体" w:cs="宋体"/>
          <w:color w:val="auto"/>
          <w:kern w:val="0"/>
          <w:szCs w:val="21"/>
          <w:highlight w:val="none"/>
          <w:lang w:val="en-US" w:eastAsia="zh-CN"/>
        </w:rPr>
        <w:t>服务</w:t>
      </w:r>
      <w:r>
        <w:rPr>
          <w:rFonts w:hint="eastAsia" w:ascii="宋体" w:hAnsi="宋体" w:eastAsia="宋体" w:cs="宋体"/>
          <w:color w:val="auto"/>
          <w:kern w:val="0"/>
          <w:szCs w:val="21"/>
          <w:highlight w:val="none"/>
        </w:rPr>
        <w:t>或</w:t>
      </w:r>
      <w:r>
        <w:rPr>
          <w:rFonts w:hint="eastAsia" w:ascii="宋体" w:hAnsi="宋体" w:eastAsia="宋体" w:cs="宋体"/>
          <w:color w:val="auto"/>
          <w:kern w:val="0"/>
          <w:szCs w:val="21"/>
          <w:highlight w:val="none"/>
          <w:lang w:val="en-US" w:eastAsia="zh-CN"/>
        </w:rPr>
        <w:t>服务</w:t>
      </w:r>
      <w:r>
        <w:rPr>
          <w:rFonts w:hint="eastAsia" w:ascii="宋体" w:hAnsi="宋体" w:eastAsia="宋体" w:cs="宋体"/>
          <w:color w:val="auto"/>
          <w:kern w:val="0"/>
          <w:szCs w:val="21"/>
          <w:highlight w:val="none"/>
        </w:rPr>
        <w:t>的任何一部分时，</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免受第三方提出侵犯其专利权、商标权或其它知识产权的起诉。如果</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不拥有相应的知识产权，则须在报价中包括合法获取该知识产权的相关费用，并在</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lang w:eastAsia="zh-CN"/>
        </w:rPr>
        <w:t>文件</w:t>
      </w:r>
      <w:r>
        <w:rPr>
          <w:rFonts w:hint="eastAsia" w:ascii="宋体" w:hAnsi="宋体" w:eastAsia="宋体" w:cs="宋体"/>
          <w:color w:val="auto"/>
          <w:kern w:val="0"/>
          <w:szCs w:val="21"/>
          <w:highlight w:val="none"/>
        </w:rPr>
        <w:t>中附有相关证明文件。如有违反，造成</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任何经济损失或其他损失的，由</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承担全部赔偿责任</w:t>
      </w:r>
      <w:r>
        <w:rPr>
          <w:rFonts w:hint="eastAsia" w:ascii="宋体" w:hAnsi="宋体" w:eastAsia="宋体" w:cs="宋体"/>
          <w:color w:val="auto"/>
          <w:szCs w:val="21"/>
          <w:highlight w:val="none"/>
          <w:lang w:val="zh-CN"/>
        </w:rPr>
        <w:t>。</w:t>
      </w:r>
      <w:bookmarkEnd w:id="51"/>
      <w:bookmarkEnd w:id="52"/>
    </w:p>
    <w:p w14:paraId="41884531">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bookmarkStart w:id="53" w:name="_Toc533708068"/>
      <w:bookmarkStart w:id="54" w:name="_Toc1977668"/>
      <w:r>
        <w:rPr>
          <w:rFonts w:hint="eastAsia" w:ascii="宋体" w:hAnsi="宋体" w:eastAsia="宋体" w:cs="宋体"/>
          <w:color w:val="auto"/>
          <w:szCs w:val="21"/>
          <w:highlight w:val="none"/>
          <w:lang w:val="zh-CN"/>
        </w:rPr>
        <w:t>3.</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val="zh-CN"/>
        </w:rPr>
        <w:t xml:space="preserve"> </w:t>
      </w:r>
      <w:bookmarkEnd w:id="53"/>
      <w:bookmarkEnd w:id="54"/>
      <w:r>
        <w:rPr>
          <w:rFonts w:hint="eastAsia" w:ascii="宋体" w:hAnsi="宋体" w:eastAsia="宋体" w:cs="宋体"/>
          <w:color w:val="auto"/>
          <w:szCs w:val="21"/>
          <w:highlight w:val="none"/>
          <w:lang w:val="zh-CN"/>
        </w:rPr>
        <w:t>无论供应商</w:t>
      </w:r>
      <w:r>
        <w:rPr>
          <w:rFonts w:hint="eastAsia" w:ascii="宋体" w:hAnsi="宋体" w:eastAsia="宋体" w:cs="宋体"/>
          <w:color w:val="auto"/>
          <w:kern w:val="0"/>
          <w:szCs w:val="21"/>
          <w:highlight w:val="none"/>
        </w:rPr>
        <w:t>是否在报价表中明示，均视为报价已包含所有应支付的对专利权</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商标权和版权、设计或其他知识产权而需要向其他方支付的版税和使用费等相关费用。如</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未依法向第三方支付应缴版税和使用费等相关费用</w:t>
      </w:r>
      <w:r>
        <w:rPr>
          <w:rFonts w:hint="eastAsia" w:ascii="宋体" w:hAnsi="宋体" w:eastAsia="宋体" w:cs="宋体"/>
          <w:color w:val="auto"/>
          <w:kern w:val="0"/>
          <w:szCs w:val="21"/>
          <w:highlight w:val="none"/>
          <w:lang w:val="en-US" w:eastAsia="zh-CN"/>
        </w:rPr>
        <w:t>的</w:t>
      </w:r>
      <w:r>
        <w:rPr>
          <w:rFonts w:hint="eastAsia" w:ascii="宋体" w:hAnsi="宋体" w:eastAsia="宋体" w:cs="宋体"/>
          <w:color w:val="auto"/>
          <w:kern w:val="0"/>
          <w:szCs w:val="21"/>
          <w:highlight w:val="none"/>
        </w:rPr>
        <w:t>，造成</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任何经济损失的，由</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承担全部赔偿责任</w:t>
      </w:r>
      <w:r>
        <w:rPr>
          <w:rFonts w:hint="eastAsia" w:ascii="宋体" w:hAnsi="宋体" w:eastAsia="宋体" w:cs="宋体"/>
          <w:color w:val="auto"/>
          <w:szCs w:val="21"/>
          <w:highlight w:val="none"/>
          <w:lang w:val="zh-CN"/>
        </w:rPr>
        <w:t>。</w:t>
      </w:r>
    </w:p>
    <w:p w14:paraId="1F73DB37">
      <w:pPr>
        <w:autoSpaceDE w:val="0"/>
        <w:autoSpaceDN w:val="0"/>
        <w:adjustRightInd w:val="0"/>
        <w:spacing w:line="360" w:lineRule="auto"/>
        <w:jc w:val="left"/>
        <w:rPr>
          <w:rFonts w:hint="eastAsia" w:ascii="宋体" w:hAnsi="宋体" w:eastAsia="宋体" w:cs="宋体"/>
          <w:color w:val="auto"/>
          <w:szCs w:val="21"/>
          <w:highlight w:val="none"/>
          <w:lang w:val="zh-CN"/>
        </w:rPr>
      </w:pPr>
    </w:p>
    <w:p w14:paraId="4866D54F">
      <w:pPr>
        <w:tabs>
          <w:tab w:val="left" w:pos="570"/>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55" w:name="_Toc11533"/>
      <w:bookmarkStart w:id="56" w:name="_Toc3404"/>
      <w:bookmarkStart w:id="57" w:name="_Toc142508316"/>
      <w:bookmarkStart w:id="58" w:name="_Toc9658_WPSOffice_Level3"/>
      <w:bookmarkStart w:id="59" w:name="_Toc1036621313"/>
      <w:r>
        <w:rPr>
          <w:rFonts w:hint="eastAsia" w:ascii="宋体" w:hAnsi="宋体" w:eastAsia="宋体" w:cs="宋体"/>
          <w:color w:val="auto"/>
          <w:szCs w:val="21"/>
          <w:highlight w:val="none"/>
          <w:lang w:val="zh-CN"/>
        </w:rPr>
        <w:t>4 其它说明</w:t>
      </w:r>
      <w:bookmarkEnd w:id="55"/>
      <w:bookmarkEnd w:id="56"/>
      <w:bookmarkEnd w:id="57"/>
      <w:bookmarkEnd w:id="58"/>
      <w:bookmarkEnd w:id="59"/>
    </w:p>
    <w:p w14:paraId="6718F560">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bookmarkStart w:id="60" w:name="_Toc1977670"/>
      <w:bookmarkStart w:id="61" w:name="_Toc533708070"/>
      <w:r>
        <w:rPr>
          <w:rFonts w:hint="eastAsia" w:ascii="宋体" w:hAnsi="宋体" w:eastAsia="宋体" w:cs="宋体"/>
          <w:color w:val="auto"/>
          <w:szCs w:val="21"/>
          <w:highlight w:val="none"/>
          <w:lang w:val="zh-CN"/>
        </w:rPr>
        <w:t xml:space="preserve">4.1  </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费用</w:t>
      </w:r>
      <w:bookmarkEnd w:id="60"/>
      <w:bookmarkEnd w:id="61"/>
    </w:p>
    <w:p w14:paraId="7F0FC285">
      <w:pPr>
        <w:autoSpaceDE w:val="0"/>
        <w:autoSpaceDN w:val="0"/>
        <w:adjustRightInd w:val="0"/>
        <w:spacing w:line="360" w:lineRule="auto"/>
        <w:ind w:left="210" w:leftChars="100" w:firstLine="420" w:firstLineChars="200"/>
        <w:rPr>
          <w:rFonts w:hint="eastAsia" w:ascii="宋体" w:hAnsi="宋体" w:eastAsia="宋体" w:cs="宋体"/>
          <w:color w:val="auto"/>
          <w:szCs w:val="21"/>
          <w:highlight w:val="none"/>
          <w:lang w:val="zh-CN"/>
        </w:rPr>
      </w:pPr>
      <w:bookmarkStart w:id="62" w:name="_Toc533708072"/>
      <w:bookmarkStart w:id="63" w:name="_Toc1977672"/>
      <w:r>
        <w:rPr>
          <w:rFonts w:hint="eastAsia" w:ascii="宋体" w:hAnsi="宋体" w:eastAsia="宋体" w:cs="宋体"/>
          <w:color w:val="auto"/>
          <w:szCs w:val="21"/>
          <w:highlight w:val="none"/>
          <w:lang w:val="zh-CN"/>
        </w:rPr>
        <w:t>无论</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lang w:val="zh-CN"/>
        </w:rPr>
        <w:t>过程中的做法和结果如何，供应商须承担所有与编写和递交响应文件有关的费用，采购人和采购代理机构在任何情况下不负担这些费用。</w:t>
      </w:r>
      <w:bookmarkEnd w:id="62"/>
      <w:bookmarkEnd w:id="63"/>
    </w:p>
    <w:p w14:paraId="077515CF">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bookmarkStart w:id="64" w:name="_Toc533708073"/>
      <w:bookmarkStart w:id="65" w:name="_Toc1977673"/>
      <w:r>
        <w:rPr>
          <w:rFonts w:hint="eastAsia" w:ascii="宋体" w:hAnsi="宋体" w:eastAsia="宋体" w:cs="宋体"/>
          <w:color w:val="auto"/>
          <w:szCs w:val="21"/>
          <w:highlight w:val="none"/>
          <w:lang w:val="zh-CN"/>
        </w:rPr>
        <w:t>4.2  踏勘现场</w:t>
      </w:r>
      <w:bookmarkEnd w:id="64"/>
      <w:bookmarkEnd w:id="65"/>
    </w:p>
    <w:p w14:paraId="5F231DB5">
      <w:pPr>
        <w:autoSpaceDE w:val="0"/>
        <w:autoSpaceDN w:val="0"/>
        <w:adjustRightInd w:val="0"/>
        <w:spacing w:line="360" w:lineRule="auto"/>
        <w:ind w:left="300" w:leftChars="-59" w:hanging="424" w:hangingChars="202"/>
        <w:jc w:val="left"/>
        <w:rPr>
          <w:rFonts w:hint="eastAsia" w:ascii="宋体" w:hAnsi="宋体" w:eastAsia="宋体" w:cs="宋体"/>
          <w:color w:val="auto"/>
          <w:kern w:val="0"/>
          <w:szCs w:val="21"/>
          <w:highlight w:val="none"/>
        </w:rPr>
      </w:pPr>
      <w:bookmarkStart w:id="66" w:name="_Toc533708076"/>
      <w:bookmarkStart w:id="67" w:name="_Toc1977676"/>
      <w:r>
        <w:rPr>
          <w:rFonts w:hint="eastAsia" w:ascii="宋体" w:hAnsi="宋体" w:eastAsia="宋体" w:cs="宋体"/>
          <w:color w:val="auto"/>
          <w:kern w:val="0"/>
          <w:szCs w:val="21"/>
          <w:highlight w:val="none"/>
        </w:rPr>
        <w:t>（1）本项目不组织集中踏勘现场和答疑，</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应自行到实地踏勘考察。</w:t>
      </w:r>
    </w:p>
    <w:p w14:paraId="40FD0661">
      <w:pPr>
        <w:autoSpaceDE w:val="0"/>
        <w:autoSpaceDN w:val="0"/>
        <w:adjustRightInd w:val="0"/>
        <w:spacing w:line="360" w:lineRule="auto"/>
        <w:ind w:left="300" w:leftChars="-59" w:hanging="424" w:hangingChars="202"/>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（2）潜在</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应承担踏勘现场自身所发生的费用。</w:t>
      </w:r>
    </w:p>
    <w:p w14:paraId="72AC4979">
      <w:pPr>
        <w:spacing w:line="360" w:lineRule="auto"/>
        <w:ind w:left="300" w:leftChars="-59" w:hanging="424" w:hangingChars="202"/>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（3）采购人和采购代理机构在踏勘现场中介绍的有关现场和相关的周边环境情况，供供应商在编制响应文件时参考，采购人不对供应商据此作出的判断和决策负责。</w:t>
      </w:r>
    </w:p>
    <w:p w14:paraId="7CF27F6B">
      <w:pPr>
        <w:spacing w:line="360" w:lineRule="auto"/>
        <w:ind w:left="300" w:leftChars="-59" w:hanging="424" w:hangingChars="202"/>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（4）潜在供应商可为踏勘需要而进入采购人的项目现场，但潜在供应商不得因此使采购人承担有关的责任和蒙受损失。潜在供应商应承担踏勘现场的责任和风险。</w:t>
      </w:r>
    </w:p>
    <w:p w14:paraId="2A9804AD">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4.3</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纪律与保密事项</w:t>
      </w:r>
      <w:bookmarkEnd w:id="43"/>
      <w:bookmarkEnd w:id="44"/>
      <w:bookmarkEnd w:id="66"/>
      <w:bookmarkEnd w:id="67"/>
    </w:p>
    <w:p w14:paraId="74BFAB17">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（1）获得本</w:t>
      </w: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，不得用作本次</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以外的任何用途。</w:t>
      </w:r>
    </w:p>
    <w:p w14:paraId="21D04C8F">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（2</w:t>
      </w:r>
      <w:r>
        <w:rPr>
          <w:rFonts w:hint="eastAsia" w:ascii="宋体" w:hAnsi="宋体" w:eastAsia="宋体" w:cs="宋体"/>
          <w:color w:val="auto"/>
          <w:kern w:val="0"/>
          <w:szCs w:val="21"/>
          <w:highlight w:val="none"/>
        </w:rPr>
        <w:t>）凡参与</w:t>
      </w:r>
      <w:r>
        <w:rPr>
          <w:rFonts w:hint="eastAsia" w:ascii="宋体" w:hAnsi="宋体" w:eastAsia="宋体" w:cs="宋体"/>
          <w:color w:val="auto"/>
          <w:kern w:val="0"/>
          <w:szCs w:val="21"/>
          <w:highlight w:val="none"/>
          <w:lang w:val="en-US" w:eastAsia="zh-CN"/>
        </w:rPr>
        <w:t>询比</w:t>
      </w:r>
      <w:r>
        <w:rPr>
          <w:rFonts w:hint="eastAsia" w:ascii="宋体" w:hAnsi="宋体" w:eastAsia="宋体" w:cs="宋体"/>
          <w:color w:val="auto"/>
          <w:kern w:val="0"/>
          <w:szCs w:val="21"/>
          <w:highlight w:val="none"/>
        </w:rPr>
        <w:t>工作的有关人员均应自觉接受有关主管部门的监督，不得向他人透露可能影响公平竞争的情况。</w:t>
      </w:r>
    </w:p>
    <w:p w14:paraId="4202CB87">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eastAsia="zh-CN"/>
        </w:rPr>
        <w:t>开启</w:t>
      </w:r>
      <w:r>
        <w:rPr>
          <w:rFonts w:hint="eastAsia" w:ascii="宋体" w:hAnsi="宋体" w:eastAsia="宋体" w:cs="宋体"/>
          <w:color w:val="auto"/>
          <w:kern w:val="0"/>
          <w:szCs w:val="21"/>
          <w:highlight w:val="none"/>
        </w:rPr>
        <w:t>后，直至向</w:t>
      </w:r>
      <w:r>
        <w:rPr>
          <w:rFonts w:hint="eastAsia" w:ascii="宋体" w:hAnsi="宋体" w:eastAsia="宋体" w:cs="宋体"/>
          <w:color w:val="auto"/>
          <w:kern w:val="0"/>
          <w:szCs w:val="21"/>
          <w:highlight w:val="none"/>
          <w:lang w:val="en-US" w:eastAsia="zh-CN"/>
        </w:rPr>
        <w:t>成交人</w:t>
      </w:r>
      <w:r>
        <w:rPr>
          <w:rFonts w:hint="eastAsia" w:ascii="宋体" w:hAnsi="宋体" w:eastAsia="宋体" w:cs="宋体"/>
          <w:color w:val="auto"/>
          <w:kern w:val="0"/>
          <w:szCs w:val="21"/>
          <w:highlight w:val="none"/>
          <w:lang w:eastAsia="zh-CN"/>
        </w:rPr>
        <w:t>授予合同期间</w:t>
      </w:r>
      <w:r>
        <w:rPr>
          <w:rFonts w:hint="eastAsia" w:ascii="宋体" w:hAnsi="宋体" w:eastAsia="宋体" w:cs="宋体"/>
          <w:color w:val="auto"/>
          <w:kern w:val="0"/>
          <w:szCs w:val="21"/>
          <w:highlight w:val="none"/>
        </w:rPr>
        <w:t>，凡与审查、澄清、评价和比较报价的有关资料以及授标意见等，参与</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工作的有关人员均不得向</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及与</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无关的其他人透露。</w:t>
      </w:r>
    </w:p>
    <w:p w14:paraId="7B0187BD">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（4）除</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被要求对</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进行澄清外，从递交</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截止之时起至授予合同期间，</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不得就与其</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有关的事项主动与</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委员会、</w:t>
      </w:r>
      <w:r>
        <w:rPr>
          <w:rFonts w:hint="eastAsia" w:ascii="宋体" w:hAnsi="宋体" w:eastAsia="宋体" w:cs="宋体"/>
          <w:color w:val="auto"/>
          <w:kern w:val="0"/>
          <w:szCs w:val="21"/>
          <w:highlight w:val="none"/>
          <w:lang w:eastAsia="zh-CN"/>
        </w:rPr>
        <w:t>采购代理机构</w:t>
      </w:r>
      <w:r>
        <w:rPr>
          <w:rFonts w:hint="eastAsia" w:ascii="宋体" w:hAnsi="宋体" w:eastAsia="宋体" w:cs="宋体"/>
          <w:color w:val="auto"/>
          <w:kern w:val="0"/>
          <w:szCs w:val="21"/>
          <w:highlight w:val="none"/>
        </w:rPr>
        <w:t>以及</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联系。</w:t>
      </w:r>
    </w:p>
    <w:p w14:paraId="48DFA809">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（5）从</w:t>
      </w:r>
      <w:r>
        <w:rPr>
          <w:rFonts w:hint="eastAsia" w:ascii="宋体" w:hAnsi="宋体" w:eastAsia="宋体" w:cs="宋体"/>
          <w:color w:val="auto"/>
          <w:kern w:val="0"/>
          <w:szCs w:val="21"/>
          <w:highlight w:val="none"/>
          <w:lang w:eastAsia="zh-CN"/>
        </w:rPr>
        <w:t>开启</w:t>
      </w:r>
      <w:r>
        <w:rPr>
          <w:rFonts w:hint="eastAsia" w:ascii="宋体" w:hAnsi="宋体" w:eastAsia="宋体" w:cs="宋体"/>
          <w:color w:val="auto"/>
          <w:kern w:val="0"/>
          <w:szCs w:val="21"/>
          <w:highlight w:val="none"/>
        </w:rPr>
        <w:t>之日起至授予合同期间，在</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的审查、澄清、比较和评价阶段，</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试图对</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委员会和</w:t>
      </w:r>
      <w:r>
        <w:rPr>
          <w:rFonts w:hint="eastAsia" w:ascii="宋体" w:hAnsi="宋体" w:eastAsia="宋体" w:cs="宋体"/>
          <w:color w:val="auto"/>
          <w:kern w:val="0"/>
          <w:szCs w:val="21"/>
          <w:highlight w:val="none"/>
          <w:lang w:eastAsia="zh-CN"/>
        </w:rPr>
        <w:t>采购代理机构</w:t>
      </w:r>
      <w:r>
        <w:rPr>
          <w:rFonts w:hint="eastAsia" w:ascii="宋体" w:hAnsi="宋体" w:eastAsia="宋体" w:cs="宋体"/>
          <w:color w:val="auto"/>
          <w:kern w:val="0"/>
          <w:szCs w:val="21"/>
          <w:highlight w:val="none"/>
        </w:rPr>
        <w:t>施加任何影响或对</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的比较及授予合同的决定产生影响，都可能导致其</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被拒绝。</w:t>
      </w:r>
    </w:p>
    <w:p w14:paraId="2469549E">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不得串通作弊，以不正当的手段妨碍、排挤其他</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，扰乱采购市场，破坏公平竞争原则。</w:t>
      </w:r>
    </w:p>
    <w:p w14:paraId="53D0625F">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rPr>
      </w:pPr>
    </w:p>
    <w:p w14:paraId="221DFFBA">
      <w:pPr>
        <w:keepNext/>
        <w:keepLines/>
        <w:autoSpaceDE w:val="0"/>
        <w:autoSpaceDN w:val="0"/>
        <w:adjustRightInd w:val="0"/>
        <w:spacing w:line="360" w:lineRule="auto"/>
        <w:jc w:val="left"/>
        <w:outlineLvl w:val="0"/>
        <w:rPr>
          <w:rFonts w:hint="eastAsia" w:ascii="宋体" w:hAnsi="宋体" w:eastAsia="宋体" w:cs="宋体"/>
          <w:b/>
          <w:bCs/>
          <w:color w:val="auto"/>
          <w:kern w:val="44"/>
          <w:szCs w:val="21"/>
          <w:highlight w:val="none"/>
          <w:lang w:val="zh-CN"/>
        </w:rPr>
      </w:pPr>
      <w:bookmarkStart w:id="68" w:name="_Toc486167667"/>
      <w:bookmarkStart w:id="69" w:name="_Toc1565"/>
      <w:bookmarkStart w:id="70" w:name="_Toc450662853"/>
      <w:bookmarkStart w:id="71" w:name="_Toc142508317"/>
      <w:bookmarkStart w:id="72" w:name="_Toc140596876"/>
      <w:bookmarkStart w:id="73" w:name="_Toc30507_WPSOffice_Level2"/>
      <w:bookmarkStart w:id="74" w:name="_Toc5395"/>
      <w:bookmarkStart w:id="75" w:name="_Toc1828699765"/>
      <w:r>
        <w:rPr>
          <w:rFonts w:hint="eastAsia" w:ascii="宋体" w:hAnsi="宋体" w:eastAsia="宋体" w:cs="宋体"/>
          <w:b/>
          <w:bCs/>
          <w:color w:val="auto"/>
          <w:kern w:val="44"/>
          <w:szCs w:val="21"/>
          <w:highlight w:val="none"/>
          <w:lang w:val="zh-CN"/>
        </w:rPr>
        <w:t>二、</w:t>
      </w:r>
      <w:bookmarkEnd w:id="68"/>
      <w:bookmarkEnd w:id="69"/>
      <w:bookmarkEnd w:id="70"/>
      <w:bookmarkEnd w:id="71"/>
      <w:bookmarkEnd w:id="72"/>
      <w:bookmarkEnd w:id="73"/>
      <w:bookmarkEnd w:id="74"/>
      <w:r>
        <w:rPr>
          <w:rFonts w:hint="eastAsia" w:ascii="宋体" w:hAnsi="宋体" w:eastAsia="宋体" w:cs="宋体"/>
          <w:b/>
          <w:bCs/>
          <w:color w:val="auto"/>
          <w:kern w:val="44"/>
          <w:szCs w:val="21"/>
          <w:highlight w:val="none"/>
          <w:lang w:val="zh-CN"/>
        </w:rPr>
        <w:t>询比文件</w:t>
      </w:r>
      <w:bookmarkEnd w:id="75"/>
    </w:p>
    <w:p w14:paraId="22E0DA38">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76" w:name="_Toc450662854"/>
      <w:bookmarkStart w:id="77" w:name="_Toc26635_WPSOffice_Level3"/>
      <w:bookmarkStart w:id="78" w:name="_Toc28893"/>
      <w:bookmarkStart w:id="79" w:name="_Toc486167668"/>
      <w:bookmarkStart w:id="80" w:name="_Toc2406"/>
      <w:bookmarkStart w:id="81" w:name="_Toc898592553"/>
      <w:bookmarkStart w:id="82" w:name="_Toc142508318"/>
      <w:r>
        <w:rPr>
          <w:rFonts w:hint="eastAsia" w:ascii="宋体" w:hAnsi="宋体" w:eastAsia="宋体" w:cs="宋体"/>
          <w:color w:val="auto"/>
          <w:szCs w:val="21"/>
          <w:highlight w:val="none"/>
          <w:lang w:val="zh-CN"/>
        </w:rPr>
        <w:t>5 询比文件的构成</w:t>
      </w:r>
      <w:bookmarkEnd w:id="76"/>
      <w:bookmarkEnd w:id="77"/>
      <w:bookmarkEnd w:id="78"/>
      <w:bookmarkEnd w:id="79"/>
      <w:bookmarkEnd w:id="80"/>
      <w:bookmarkEnd w:id="81"/>
      <w:bookmarkEnd w:id="82"/>
    </w:p>
    <w:p w14:paraId="26682F36">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5.1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询比文件包括：</w:t>
      </w:r>
    </w:p>
    <w:p w14:paraId="234FD87F">
      <w:pPr>
        <w:tabs>
          <w:tab w:val="left" w:pos="1890"/>
        </w:tabs>
        <w:autoSpaceDE w:val="0"/>
        <w:autoSpaceDN w:val="0"/>
        <w:adjustRightInd w:val="0"/>
        <w:spacing w:line="360" w:lineRule="auto"/>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第一篇 询比公告</w:t>
      </w:r>
    </w:p>
    <w:p w14:paraId="51233773">
      <w:pPr>
        <w:tabs>
          <w:tab w:val="left" w:pos="1890"/>
        </w:tabs>
        <w:autoSpaceDE w:val="0"/>
        <w:autoSpaceDN w:val="0"/>
        <w:adjustRightInd w:val="0"/>
        <w:spacing w:line="360" w:lineRule="auto"/>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第二篇 供应商须知</w:t>
      </w:r>
    </w:p>
    <w:p w14:paraId="227FF8F7">
      <w:pPr>
        <w:tabs>
          <w:tab w:val="left" w:pos="1890"/>
        </w:tabs>
        <w:autoSpaceDE w:val="0"/>
        <w:autoSpaceDN w:val="0"/>
        <w:adjustRightInd w:val="0"/>
        <w:spacing w:line="360" w:lineRule="auto"/>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第三篇 用户需求书</w:t>
      </w:r>
    </w:p>
    <w:p w14:paraId="51567708">
      <w:pPr>
        <w:tabs>
          <w:tab w:val="left" w:pos="1890"/>
        </w:tabs>
        <w:autoSpaceDE w:val="0"/>
        <w:autoSpaceDN w:val="0"/>
        <w:adjustRightInd w:val="0"/>
        <w:spacing w:line="360" w:lineRule="auto"/>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第四篇 合同条款</w:t>
      </w:r>
    </w:p>
    <w:p w14:paraId="56DE48F3">
      <w:pPr>
        <w:tabs>
          <w:tab w:val="left" w:pos="1890"/>
        </w:tabs>
        <w:autoSpaceDE w:val="0"/>
        <w:autoSpaceDN w:val="0"/>
        <w:adjustRightInd w:val="0"/>
        <w:spacing w:line="360" w:lineRule="auto"/>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lang w:val="zh-CN"/>
        </w:rPr>
        <w:t>篇 响应文件格式</w:t>
      </w:r>
    </w:p>
    <w:p w14:paraId="6A3A7396">
      <w:pPr>
        <w:tabs>
          <w:tab w:val="left" w:pos="1890"/>
        </w:tabs>
        <w:autoSpaceDE w:val="0"/>
        <w:autoSpaceDN w:val="0"/>
        <w:adjustRightInd w:val="0"/>
        <w:spacing w:line="360" w:lineRule="auto"/>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附件一：评审工作大纲</w:t>
      </w:r>
    </w:p>
    <w:p w14:paraId="0528310A">
      <w:pPr>
        <w:autoSpaceDE w:val="0"/>
        <w:autoSpaceDN w:val="0"/>
        <w:adjustRightInd w:val="0"/>
        <w:spacing w:line="360" w:lineRule="auto"/>
        <w:ind w:left="356" w:leftChars="-99" w:hanging="564" w:hangingChars="269"/>
        <w:rPr>
          <w:rFonts w:hint="eastAsia" w:ascii="宋体" w:hAnsi="宋体" w:eastAsia="宋体" w:cs="宋体"/>
          <w:b/>
          <w:bCs/>
          <w:color w:val="auto"/>
          <w:szCs w:val="21"/>
          <w:highlight w:val="none"/>
          <w:u w:val="single"/>
          <w:lang w:val="zh-CN"/>
        </w:rPr>
      </w:pPr>
      <w:r>
        <w:rPr>
          <w:rFonts w:hint="eastAsia" w:ascii="宋体" w:hAnsi="宋体" w:eastAsia="宋体" w:cs="宋体"/>
          <w:bCs/>
          <w:color w:val="auto"/>
          <w:szCs w:val="21"/>
          <w:highlight w:val="none"/>
          <w:lang w:val="zh-CN"/>
        </w:rPr>
        <w:t>5.2</w:t>
      </w:r>
      <w:r>
        <w:rPr>
          <w:rFonts w:hint="eastAsia" w:ascii="宋体" w:hAnsi="宋体" w:eastAsia="宋体" w:cs="宋体"/>
          <w:b/>
          <w:bCs/>
          <w:color w:val="auto"/>
          <w:szCs w:val="21"/>
          <w:highlight w:val="none"/>
          <w:lang w:val="zh-CN"/>
        </w:rPr>
        <w:tab/>
      </w:r>
      <w:r>
        <w:rPr>
          <w:rFonts w:hint="eastAsia" w:ascii="宋体" w:hAnsi="宋体" w:eastAsia="宋体" w:cs="宋体"/>
          <w:b/>
          <w:bCs/>
          <w:color w:val="auto"/>
          <w:szCs w:val="21"/>
          <w:highlight w:val="none"/>
          <w:u w:val="single"/>
          <w:lang w:val="zh-CN"/>
        </w:rPr>
        <w:t>供应商应审阅询比文件中所有须知、格式、条款和规格。供应商未按询比文件要求提供全部资料或提交的响应文件未对询比文件作出实质性响应（★标志的部分为供应商、</w:t>
      </w:r>
      <w:r>
        <w:rPr>
          <w:rFonts w:hint="eastAsia" w:ascii="宋体" w:hAnsi="宋体" w:eastAsia="宋体" w:cs="宋体"/>
          <w:b/>
          <w:bCs/>
          <w:color w:val="auto"/>
          <w:szCs w:val="21"/>
          <w:highlight w:val="none"/>
          <w:u w:val="single"/>
          <w:lang w:val="en-US" w:eastAsia="zh-CN"/>
        </w:rPr>
        <w:t>响应</w:t>
      </w:r>
      <w:r>
        <w:rPr>
          <w:rFonts w:hint="eastAsia" w:ascii="宋体" w:hAnsi="宋体" w:eastAsia="宋体" w:cs="宋体"/>
          <w:b/>
          <w:bCs/>
          <w:color w:val="auto"/>
          <w:szCs w:val="21"/>
          <w:highlight w:val="none"/>
          <w:u w:val="single"/>
          <w:lang w:val="zh-CN"/>
        </w:rPr>
        <w:t>拟供服务必备的条件或重要指示），那么供应商的响应文件将有可能被拒绝接收或评审为无效响应文件</w:t>
      </w:r>
      <w:r>
        <w:rPr>
          <w:rFonts w:hint="eastAsia" w:ascii="宋体" w:hAnsi="宋体" w:eastAsia="宋体" w:cs="宋体"/>
          <w:b/>
          <w:bCs/>
          <w:color w:val="auto"/>
          <w:szCs w:val="21"/>
          <w:highlight w:val="none"/>
          <w:u w:val="none"/>
          <w:lang w:val="zh-CN"/>
        </w:rPr>
        <w:t>。</w:t>
      </w:r>
    </w:p>
    <w:p w14:paraId="29C20C26">
      <w:pPr>
        <w:autoSpaceDE w:val="0"/>
        <w:autoSpaceDN w:val="0"/>
        <w:adjustRightInd w:val="0"/>
        <w:spacing w:line="360" w:lineRule="auto"/>
        <w:ind w:left="356" w:leftChars="-99" w:hanging="564" w:hangingChars="269"/>
        <w:rPr>
          <w:rFonts w:hint="eastAsia" w:ascii="宋体" w:hAnsi="宋体" w:eastAsia="宋体" w:cs="宋体"/>
          <w:b/>
          <w:bCs/>
          <w:color w:val="auto"/>
          <w:szCs w:val="21"/>
          <w:highlight w:val="none"/>
          <w:u w:val="single"/>
        </w:rPr>
      </w:pPr>
      <w:r>
        <w:rPr>
          <w:rFonts w:hint="eastAsia" w:ascii="宋体" w:hAnsi="宋体" w:eastAsia="宋体" w:cs="宋体"/>
          <w:color w:val="auto"/>
          <w:szCs w:val="21"/>
          <w:highlight w:val="none"/>
          <w:lang w:val="zh-CN"/>
        </w:rPr>
        <w:t>5.3  本询比文件使用的词语有如下定义：</w:t>
      </w:r>
    </w:p>
    <w:p w14:paraId="097691B9">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”指</w:t>
      </w:r>
      <w:r>
        <w:rPr>
          <w:rFonts w:hint="eastAsia" w:ascii="宋体" w:hAnsi="宋体" w:eastAsia="宋体" w:cs="宋体"/>
          <w:color w:val="auto"/>
          <w:kern w:val="0"/>
          <w:szCs w:val="21"/>
          <w:highlight w:val="none"/>
          <w:lang w:eastAsia="zh-CN"/>
        </w:rPr>
        <w:t>东莞市尚源环能科技有限公司</w:t>
      </w:r>
      <w:r>
        <w:rPr>
          <w:rFonts w:hint="eastAsia" w:ascii="宋体" w:hAnsi="宋体" w:eastAsia="宋体" w:cs="宋体"/>
          <w:color w:val="auto"/>
          <w:kern w:val="0"/>
          <w:szCs w:val="21"/>
          <w:highlight w:val="none"/>
        </w:rPr>
        <w:t>；</w:t>
      </w:r>
    </w:p>
    <w:p w14:paraId="1319B024">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采购代理机构</w:t>
      </w:r>
      <w:r>
        <w:rPr>
          <w:rFonts w:hint="eastAsia" w:ascii="宋体" w:hAnsi="宋体" w:eastAsia="宋体" w:cs="宋体"/>
          <w:color w:val="auto"/>
          <w:kern w:val="0"/>
          <w:szCs w:val="21"/>
          <w:highlight w:val="none"/>
        </w:rPr>
        <w:t>”指</w:t>
      </w:r>
      <w:r>
        <w:rPr>
          <w:rFonts w:hint="eastAsia" w:ascii="宋体" w:hAnsi="宋体" w:eastAsia="宋体" w:cs="宋体"/>
          <w:color w:val="auto"/>
          <w:kern w:val="0"/>
          <w:szCs w:val="21"/>
          <w:highlight w:val="none"/>
          <w:lang w:eastAsia="zh-CN"/>
        </w:rPr>
        <w:t>公诚管理咨询有限公司</w:t>
      </w:r>
      <w:r>
        <w:rPr>
          <w:rFonts w:hint="eastAsia" w:ascii="宋体" w:hAnsi="宋体" w:eastAsia="宋体" w:cs="宋体"/>
          <w:color w:val="auto"/>
          <w:kern w:val="0"/>
          <w:szCs w:val="21"/>
          <w:highlight w:val="none"/>
        </w:rPr>
        <w:t>；</w:t>
      </w:r>
    </w:p>
    <w:p w14:paraId="1FA1FDE2">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”指参加</w:t>
      </w:r>
      <w:r>
        <w:rPr>
          <w:rFonts w:hint="eastAsia" w:ascii="宋体" w:hAnsi="宋体" w:eastAsia="宋体" w:cs="宋体"/>
          <w:color w:val="auto"/>
          <w:kern w:val="0"/>
          <w:szCs w:val="21"/>
          <w:highlight w:val="none"/>
          <w:lang w:val="zh-CN"/>
        </w:rPr>
        <w:t>东莞市污泥集中处理处置项目过渡期废盐处置服务采购项目</w:t>
      </w:r>
      <w:r>
        <w:rPr>
          <w:rFonts w:hint="eastAsia" w:ascii="宋体" w:hAnsi="宋体" w:eastAsia="宋体" w:cs="宋体"/>
          <w:color w:val="auto"/>
          <w:kern w:val="0"/>
          <w:szCs w:val="21"/>
          <w:highlight w:val="none"/>
        </w:rPr>
        <w:t>所需的</w:t>
      </w:r>
      <w:r>
        <w:rPr>
          <w:rFonts w:hint="eastAsia" w:ascii="宋体" w:hAnsi="宋体" w:eastAsia="宋体" w:cs="宋体"/>
          <w:color w:val="auto"/>
          <w:kern w:val="0"/>
          <w:szCs w:val="21"/>
          <w:highlight w:val="none"/>
          <w:lang w:val="en-US" w:eastAsia="zh-CN"/>
        </w:rPr>
        <w:t>服务</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，并向</w:t>
      </w:r>
      <w:r>
        <w:rPr>
          <w:rFonts w:hint="eastAsia" w:ascii="宋体" w:hAnsi="宋体" w:eastAsia="宋体" w:cs="宋体"/>
          <w:color w:val="auto"/>
          <w:kern w:val="0"/>
          <w:szCs w:val="21"/>
          <w:highlight w:val="none"/>
          <w:lang w:eastAsia="zh-CN"/>
        </w:rPr>
        <w:t>采购代理机构</w:t>
      </w:r>
      <w:r>
        <w:rPr>
          <w:rFonts w:hint="eastAsia" w:ascii="宋体" w:hAnsi="宋体" w:eastAsia="宋体" w:cs="宋体"/>
          <w:color w:val="auto"/>
          <w:kern w:val="0"/>
          <w:szCs w:val="21"/>
          <w:highlight w:val="none"/>
        </w:rPr>
        <w:t>提交</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的当事人；</w:t>
      </w:r>
    </w:p>
    <w:p w14:paraId="4955781E">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评审</w:t>
      </w:r>
      <w:r>
        <w:rPr>
          <w:rFonts w:hint="default" w:ascii="宋体" w:hAnsi="宋体" w:eastAsia="宋体" w:cs="宋体"/>
          <w:color w:val="auto"/>
          <w:kern w:val="0"/>
          <w:szCs w:val="21"/>
          <w:highlight w:val="none"/>
          <w:lang w:val="en-US"/>
        </w:rPr>
        <w:t>委员会</w:t>
      </w:r>
      <w:r>
        <w:rPr>
          <w:rFonts w:hint="eastAsia" w:ascii="宋体" w:hAnsi="宋体" w:eastAsia="宋体" w:cs="宋体"/>
          <w:color w:val="auto"/>
          <w:kern w:val="0"/>
          <w:szCs w:val="21"/>
          <w:highlight w:val="none"/>
        </w:rPr>
        <w:t>”是采购人按照采购文件组建的、专门负责本次采购项目评审工作的临时性机构；</w:t>
      </w:r>
    </w:p>
    <w:p w14:paraId="3336FAE0">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r>
        <w:rPr>
          <w:rFonts w:hint="eastAsia" w:ascii="宋体" w:hAnsi="宋体" w:eastAsia="宋体" w:cs="宋体"/>
          <w:color w:val="auto"/>
          <w:kern w:val="0"/>
          <w:szCs w:val="21"/>
          <w:highlight w:val="none"/>
          <w:lang w:val="en-US" w:eastAsia="zh-CN"/>
        </w:rPr>
        <w:t>成交人</w:t>
      </w:r>
      <w:r>
        <w:rPr>
          <w:rFonts w:hint="eastAsia" w:ascii="宋体" w:hAnsi="宋体" w:eastAsia="宋体" w:cs="宋体"/>
          <w:color w:val="auto"/>
          <w:kern w:val="0"/>
          <w:szCs w:val="21"/>
          <w:highlight w:val="none"/>
        </w:rPr>
        <w:t>”指其</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被</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接受，并与</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lang w:val="en-US" w:eastAsia="zh-CN"/>
        </w:rPr>
        <w:t>或</w:t>
      </w:r>
      <w:r>
        <w:rPr>
          <w:rFonts w:hint="eastAsia" w:ascii="宋体" w:hAnsi="宋体" w:eastAsia="宋体" w:cs="宋体"/>
          <w:color w:val="auto"/>
          <w:kern w:val="0"/>
          <w:szCs w:val="21"/>
          <w:highlight w:val="none"/>
          <w:lang w:val="zh-CN" w:eastAsia="zh-CN"/>
        </w:rPr>
        <w:t>采购人权属子公司</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签订合同的当事人；</w:t>
      </w:r>
    </w:p>
    <w:p w14:paraId="2FE13D03">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（6）“甲方”指在合同条款中指明的购买服务的单位，即</w:t>
      </w:r>
      <w:r>
        <w:rPr>
          <w:rFonts w:hint="eastAsia" w:ascii="宋体" w:hAnsi="宋体" w:eastAsia="宋体" w:cs="宋体"/>
          <w:color w:val="auto"/>
          <w:kern w:val="0"/>
          <w:szCs w:val="21"/>
          <w:highlight w:val="none"/>
          <w:lang w:eastAsia="zh-CN"/>
        </w:rPr>
        <w:t>东莞市尚源环能科技有限公司</w:t>
      </w:r>
      <w:r>
        <w:rPr>
          <w:rFonts w:hint="eastAsia" w:ascii="宋体" w:hAnsi="宋体" w:eastAsia="宋体" w:cs="宋体"/>
          <w:color w:val="auto"/>
          <w:kern w:val="0"/>
          <w:szCs w:val="21"/>
          <w:highlight w:val="none"/>
        </w:rPr>
        <w:t>；</w:t>
      </w:r>
    </w:p>
    <w:p w14:paraId="5764B231">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（7）“乙方”指在合同条款中指明的本合同项下提供服务的公司或实体；</w:t>
      </w:r>
    </w:p>
    <w:p w14:paraId="4367C834">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w:t>
      </w: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”指由</w:t>
      </w:r>
      <w:r>
        <w:rPr>
          <w:rFonts w:hint="eastAsia" w:ascii="宋体" w:hAnsi="宋体" w:eastAsia="宋体" w:cs="宋体"/>
          <w:color w:val="auto"/>
          <w:kern w:val="0"/>
          <w:szCs w:val="21"/>
          <w:highlight w:val="none"/>
          <w:lang w:val="en-US" w:eastAsia="zh-CN"/>
        </w:rPr>
        <w:t>询比公告和询比文件及其补充、变更和澄清等一系列文件</w:t>
      </w:r>
      <w:r>
        <w:rPr>
          <w:rFonts w:hint="eastAsia" w:ascii="宋体" w:hAnsi="宋体" w:eastAsia="宋体" w:cs="宋体"/>
          <w:color w:val="auto"/>
          <w:kern w:val="0"/>
          <w:szCs w:val="21"/>
          <w:highlight w:val="none"/>
        </w:rPr>
        <w:t>；</w:t>
      </w:r>
    </w:p>
    <w:p w14:paraId="318E7FD0">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”指</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根据本</w:t>
      </w: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向</w:t>
      </w:r>
      <w:r>
        <w:rPr>
          <w:rFonts w:hint="eastAsia" w:ascii="宋体" w:hAnsi="宋体" w:eastAsia="宋体" w:cs="宋体"/>
          <w:color w:val="auto"/>
          <w:kern w:val="0"/>
          <w:szCs w:val="21"/>
          <w:highlight w:val="none"/>
          <w:lang w:eastAsia="zh-CN"/>
        </w:rPr>
        <w:t>采购代理机构</w:t>
      </w:r>
      <w:r>
        <w:rPr>
          <w:rFonts w:hint="eastAsia" w:ascii="宋体" w:hAnsi="宋体" w:eastAsia="宋体" w:cs="宋体"/>
          <w:color w:val="auto"/>
          <w:kern w:val="0"/>
          <w:szCs w:val="21"/>
          <w:highlight w:val="none"/>
        </w:rPr>
        <w:t>提交的全部文件；</w:t>
      </w:r>
    </w:p>
    <w:p w14:paraId="6C19D203">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（10）“书面函件”指手写、打字或印刷的函件，包括电传、电报和传真；</w:t>
      </w:r>
    </w:p>
    <w:p w14:paraId="443AAFA7">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（11）“合同”指由本次</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所产生的合同或合约文件；</w:t>
      </w:r>
    </w:p>
    <w:p w14:paraId="272E1DEC">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（12）“日期”指公历日，“时间”指北京时间；</w:t>
      </w:r>
    </w:p>
    <w:p w14:paraId="7F19225C">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（13）本</w:t>
      </w: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中的“境内”特指中华人民共和国海关关境以内，“境外”特指中华人民共和国海关关境以外；</w:t>
      </w:r>
    </w:p>
    <w:p w14:paraId="7EE733FA">
      <w:pPr>
        <w:autoSpaceDE w:val="0"/>
        <w:autoSpaceDN w:val="0"/>
        <w:adjustRightInd w:val="0"/>
        <w:spacing w:line="360" w:lineRule="auto"/>
        <w:ind w:left="441" w:leftChars="-6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（14）不含税价，即为《中华人民共和国增值税法》及其实施条例规定的销售额</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本</w:t>
      </w: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所称的不含税价和</w:t>
      </w:r>
      <w:r>
        <w:rPr>
          <w:rFonts w:hint="eastAsia" w:ascii="宋体" w:hAnsi="宋体" w:eastAsia="宋体" w:cs="宋体"/>
          <w:color w:val="auto"/>
          <w:kern w:val="0"/>
          <w:szCs w:val="21"/>
          <w:highlight w:val="none"/>
          <w:lang w:val="zh-CN"/>
        </w:rPr>
        <w:t>暂定</w:t>
      </w:r>
      <w:r>
        <w:rPr>
          <w:rFonts w:hint="eastAsia" w:ascii="宋体" w:hAnsi="宋体" w:eastAsia="宋体" w:cs="宋体"/>
          <w:color w:val="auto"/>
          <w:kern w:val="0"/>
          <w:szCs w:val="21"/>
          <w:highlight w:val="none"/>
        </w:rPr>
        <w:t>合同价是指不含本采购项目</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的销项税额，包含了</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完成合同义务（含</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代缴代扣、分包及委外服务、施工、采购货物等所产生的价税）的其他全部费用。本采购项目</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的销项税额由</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承担，不计入</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报价。</w:t>
      </w:r>
    </w:p>
    <w:p w14:paraId="3BE87B51">
      <w:pPr>
        <w:autoSpaceDE w:val="0"/>
        <w:autoSpaceDN w:val="0"/>
        <w:adjustRightInd w:val="0"/>
        <w:spacing w:line="360" w:lineRule="auto"/>
        <w:ind w:left="951" w:leftChars="78" w:hanging="787" w:hangingChars="375"/>
        <w:rPr>
          <w:rFonts w:hint="eastAsia" w:ascii="宋体" w:hAnsi="宋体" w:eastAsia="宋体" w:cs="宋体"/>
          <w:color w:val="auto"/>
          <w:szCs w:val="21"/>
          <w:highlight w:val="none"/>
          <w:lang w:val="zh-CN"/>
        </w:rPr>
      </w:pPr>
    </w:p>
    <w:p w14:paraId="344D5869">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83" w:name="_Toc3727"/>
      <w:bookmarkStart w:id="84" w:name="_Toc29125_WPSOffice_Level3"/>
      <w:bookmarkStart w:id="85" w:name="_Toc2071321112"/>
      <w:bookmarkStart w:id="86" w:name="_Toc11346"/>
      <w:bookmarkStart w:id="87" w:name="_Toc450662855"/>
      <w:bookmarkStart w:id="88" w:name="_Toc486167669"/>
      <w:bookmarkStart w:id="89" w:name="_Toc142508319"/>
      <w:r>
        <w:rPr>
          <w:rFonts w:hint="eastAsia" w:ascii="宋体" w:hAnsi="宋体" w:eastAsia="宋体" w:cs="宋体"/>
          <w:color w:val="auto"/>
          <w:szCs w:val="21"/>
          <w:highlight w:val="none"/>
          <w:lang w:val="zh-CN"/>
        </w:rPr>
        <w:t>6 询比文件的异议</w:t>
      </w:r>
      <w:bookmarkEnd w:id="83"/>
      <w:bookmarkEnd w:id="84"/>
      <w:bookmarkEnd w:id="85"/>
      <w:bookmarkEnd w:id="86"/>
      <w:bookmarkEnd w:id="87"/>
      <w:bookmarkEnd w:id="88"/>
      <w:bookmarkEnd w:id="89"/>
    </w:p>
    <w:p w14:paraId="0E5F2A28">
      <w:pPr>
        <w:autoSpaceDE w:val="0"/>
        <w:autoSpaceDN w:val="0"/>
        <w:adjustRightInd w:val="0"/>
        <w:spacing w:line="360" w:lineRule="auto"/>
        <w:ind w:left="288" w:leftChars="137" w:firstLine="420" w:firstLineChars="200"/>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供应商或者其他利害关系人对询比文件有异议的，应当在</w:t>
      </w:r>
      <w:r>
        <w:rPr>
          <w:rFonts w:hint="eastAsia" w:ascii="宋体" w:hAnsi="宋体" w:eastAsia="宋体" w:cs="宋体"/>
          <w:bCs/>
          <w:color w:val="auto"/>
          <w:szCs w:val="21"/>
          <w:highlight w:val="none"/>
          <w:lang w:val="en-US" w:eastAsia="zh-CN"/>
        </w:rPr>
        <w:t>响应</w:t>
      </w:r>
      <w:r>
        <w:rPr>
          <w:rFonts w:hint="eastAsia" w:ascii="宋体" w:hAnsi="宋体" w:eastAsia="宋体" w:cs="宋体"/>
          <w:bCs/>
          <w:color w:val="auto"/>
          <w:szCs w:val="21"/>
          <w:highlight w:val="none"/>
          <w:lang w:val="zh-CN"/>
        </w:rPr>
        <w:t>截止时间</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lang w:val="zh-CN"/>
        </w:rPr>
        <w:t>日前</w:t>
      </w:r>
      <w:r>
        <w:rPr>
          <w:rFonts w:hint="eastAsia" w:ascii="宋体" w:hAnsi="宋体" w:eastAsia="宋体" w:cs="宋体"/>
          <w:color w:val="auto"/>
          <w:szCs w:val="21"/>
          <w:highlight w:val="none"/>
          <w:lang w:val="zh-CN"/>
        </w:rPr>
        <w:t>以书面形式向采购代理机构提出，并将材料原件送达采购代理机构，逾期则视为对询比文件所有内容无异议。</w:t>
      </w:r>
      <w:r>
        <w:rPr>
          <w:rFonts w:hint="eastAsia" w:ascii="宋体" w:hAnsi="宋体" w:eastAsia="宋体" w:cs="宋体"/>
          <w:bCs/>
          <w:color w:val="auto"/>
          <w:szCs w:val="21"/>
          <w:highlight w:val="none"/>
          <w:lang w:val="zh-CN"/>
        </w:rPr>
        <w:t>异议</w:t>
      </w:r>
      <w:r>
        <w:rPr>
          <w:rFonts w:hint="eastAsia" w:ascii="宋体" w:hAnsi="宋体" w:eastAsia="宋体" w:cs="宋体"/>
          <w:color w:val="auto"/>
          <w:szCs w:val="21"/>
          <w:highlight w:val="none"/>
          <w:lang w:val="zh-CN"/>
        </w:rPr>
        <w:t>书面材料必须加盖供应商法人公章，并注明联系人、联系电话、联系地址。</w:t>
      </w:r>
      <w:r>
        <w:rPr>
          <w:rFonts w:hint="eastAsia" w:ascii="宋体" w:hAnsi="宋体" w:eastAsia="宋体" w:cs="宋体"/>
          <w:bCs/>
          <w:color w:val="auto"/>
          <w:szCs w:val="21"/>
          <w:highlight w:val="none"/>
          <w:lang w:val="zh-CN"/>
        </w:rPr>
        <w:t>超出</w:t>
      </w:r>
      <w:r>
        <w:rPr>
          <w:rFonts w:hint="eastAsia" w:ascii="宋体" w:hAnsi="宋体" w:eastAsia="宋体" w:cs="宋体"/>
          <w:color w:val="auto"/>
          <w:szCs w:val="21"/>
          <w:highlight w:val="none"/>
          <w:lang w:val="zh-CN"/>
        </w:rPr>
        <w:t>提交接收异议截止时间而</w:t>
      </w:r>
      <w:r>
        <w:rPr>
          <w:rFonts w:hint="eastAsia" w:ascii="宋体" w:hAnsi="宋体" w:eastAsia="宋体" w:cs="宋体"/>
          <w:bCs/>
          <w:color w:val="auto"/>
          <w:szCs w:val="21"/>
          <w:highlight w:val="none"/>
          <w:lang w:val="zh-CN"/>
        </w:rPr>
        <w:t>提出的任何疑问，采购代理机构可不予答复。</w:t>
      </w:r>
      <w:r>
        <w:rPr>
          <w:rFonts w:hint="eastAsia" w:ascii="宋体" w:hAnsi="宋体" w:eastAsia="宋体" w:cs="宋体"/>
          <w:b/>
          <w:bCs/>
          <w:color w:val="auto"/>
          <w:szCs w:val="21"/>
          <w:highlight w:val="none"/>
          <w:u w:val="single"/>
          <w:lang w:val="zh-CN"/>
        </w:rPr>
        <w:t>供应商必须在响应文件中提供</w:t>
      </w:r>
      <w:r>
        <w:rPr>
          <w:rFonts w:hint="eastAsia" w:ascii="宋体" w:hAnsi="宋体" w:eastAsia="宋体" w:cs="宋体"/>
          <w:b/>
          <w:bCs/>
          <w:color w:val="auto"/>
          <w:szCs w:val="21"/>
          <w:highlight w:val="none"/>
          <w:u w:val="single"/>
          <w:lang w:val="en-US" w:eastAsia="zh-CN"/>
        </w:rPr>
        <w:t>响应</w:t>
      </w:r>
      <w:r>
        <w:rPr>
          <w:rFonts w:hint="eastAsia" w:ascii="宋体" w:hAnsi="宋体" w:eastAsia="宋体" w:cs="宋体"/>
          <w:b/>
          <w:bCs/>
          <w:color w:val="auto"/>
          <w:szCs w:val="21"/>
          <w:highlight w:val="none"/>
          <w:u w:val="single"/>
          <w:lang w:val="zh-CN"/>
        </w:rPr>
        <w:t>承诺书（格式详见第</w:t>
      </w:r>
      <w:r>
        <w:rPr>
          <w:rFonts w:hint="eastAsia" w:ascii="宋体" w:hAnsi="宋体" w:eastAsia="宋体" w:cs="宋体"/>
          <w:b/>
          <w:bCs/>
          <w:color w:val="auto"/>
          <w:szCs w:val="21"/>
          <w:highlight w:val="none"/>
          <w:u w:val="single"/>
          <w:lang w:val="en-US" w:eastAsia="zh-CN"/>
        </w:rPr>
        <w:t>六</w:t>
      </w:r>
      <w:r>
        <w:rPr>
          <w:rFonts w:hint="eastAsia" w:ascii="宋体" w:hAnsi="宋体" w:eastAsia="宋体" w:cs="宋体"/>
          <w:b/>
          <w:bCs/>
          <w:color w:val="auto"/>
          <w:szCs w:val="21"/>
          <w:highlight w:val="none"/>
          <w:u w:val="single"/>
          <w:lang w:val="zh-CN"/>
        </w:rPr>
        <w:t>篇响应文件格式）</w:t>
      </w:r>
      <w:r>
        <w:rPr>
          <w:rFonts w:hint="eastAsia" w:ascii="宋体" w:hAnsi="宋体" w:eastAsia="宋体" w:cs="宋体"/>
          <w:b/>
          <w:bCs/>
          <w:color w:val="auto"/>
          <w:szCs w:val="21"/>
          <w:highlight w:val="none"/>
          <w:lang w:val="zh-CN"/>
        </w:rPr>
        <w:t>。</w:t>
      </w:r>
    </w:p>
    <w:p w14:paraId="26C95AA3">
      <w:pPr>
        <w:autoSpaceDE w:val="0"/>
        <w:autoSpaceDN w:val="0"/>
        <w:adjustRightInd w:val="0"/>
        <w:spacing w:line="360" w:lineRule="auto"/>
        <w:ind w:left="290" w:leftChars="137" w:hanging="2" w:hangingChars="1"/>
        <w:rPr>
          <w:rFonts w:hint="eastAsia" w:ascii="宋体" w:hAnsi="宋体" w:eastAsia="宋体" w:cs="宋体"/>
          <w:b/>
          <w:bCs/>
          <w:color w:val="auto"/>
          <w:szCs w:val="21"/>
          <w:highlight w:val="none"/>
          <w:lang w:val="zh-CN"/>
        </w:rPr>
      </w:pPr>
    </w:p>
    <w:p w14:paraId="32F3F459">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90" w:name="_Toc17145"/>
      <w:bookmarkStart w:id="91" w:name="_Toc486167670"/>
      <w:bookmarkStart w:id="92" w:name="_Toc991805917"/>
      <w:bookmarkStart w:id="93" w:name="_Toc142508320"/>
      <w:bookmarkStart w:id="94" w:name="_Toc29864"/>
      <w:bookmarkStart w:id="95" w:name="_Toc450662856"/>
      <w:bookmarkStart w:id="96" w:name="_Toc23483_WPSOffice_Level3"/>
      <w:r>
        <w:rPr>
          <w:rFonts w:hint="eastAsia" w:ascii="宋体" w:hAnsi="宋体" w:eastAsia="宋体" w:cs="宋体"/>
          <w:color w:val="auto"/>
          <w:szCs w:val="21"/>
          <w:highlight w:val="none"/>
          <w:lang w:val="zh-CN"/>
        </w:rPr>
        <w:t>7 询比文件的澄清及修改</w:t>
      </w:r>
      <w:bookmarkEnd w:id="90"/>
      <w:bookmarkEnd w:id="91"/>
      <w:bookmarkEnd w:id="92"/>
      <w:bookmarkEnd w:id="93"/>
      <w:bookmarkEnd w:id="94"/>
      <w:bookmarkEnd w:id="95"/>
      <w:bookmarkEnd w:id="96"/>
    </w:p>
    <w:p w14:paraId="77020D09">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7.1  采购代理机构对已发出的询比文件进行必要澄清或者修改的，将在询比文件要求提交响应文件截止时间</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val="zh-CN"/>
        </w:rPr>
        <w:t>日前，在</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val="zh-CN"/>
        </w:rPr>
        <w:t>信息发布媒介上发布更正公告，请各供应商密切留意。该澄清或者修改的内容为询比文件的组成部分。</w:t>
      </w:r>
    </w:p>
    <w:p w14:paraId="74AC944A">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项目特定情况下，采购代理机构必须延长</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截止时间和开启时间时，将在询比文件要求提交响应文件的截止时间前，在</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val="zh-CN"/>
        </w:rPr>
        <w:t>信息发布媒介上发布变更公告。</w:t>
      </w:r>
    </w:p>
    <w:p w14:paraId="7D323091">
      <w:pPr>
        <w:keepNext w:val="0"/>
        <w:keepLines w:val="0"/>
        <w:pageBreakBefore w:val="0"/>
        <w:widowControl w:val="0"/>
        <w:kinsoku/>
        <w:wordWrap w:val="0"/>
        <w:overflowPunct/>
        <w:topLinePunct w:val="0"/>
        <w:autoSpaceDE w:val="0"/>
        <w:autoSpaceDN w:val="0"/>
        <w:bidi w:val="0"/>
        <w:adjustRightInd w:val="0"/>
        <w:snapToGrid w:val="0"/>
        <w:spacing w:line="360" w:lineRule="auto"/>
        <w:ind w:left="357" w:leftChars="-100" w:hanging="567"/>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7.3  询比文件的修改、补充通知在中国招标投标公共服务平台</w:t>
      </w:r>
      <w:r>
        <w:rPr>
          <w:rFonts w:hint="eastAsia" w:ascii="宋体" w:hAnsi="宋体" w:eastAsia="宋体" w:cs="宋体"/>
          <w:color w:val="auto"/>
          <w:szCs w:val="21"/>
          <w:highlight w:val="none"/>
        </w:rPr>
        <w:t>（</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"http://www.cebpubservice.com）、广东省招标投标监管"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1"/>
          <w:highlight w:val="none"/>
        </w:rPr>
        <w:t>www.cebpubservice.com）</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zh-CN"/>
        </w:rPr>
        <w:fldChar w:fldCharType="end"/>
      </w:r>
      <w:r>
        <w:rPr>
          <w:rFonts w:hint="eastAsia" w:ascii="宋体" w:hAnsi="宋体" w:eastAsia="宋体" w:cs="宋体"/>
          <w:color w:val="auto"/>
          <w:szCs w:val="21"/>
          <w:highlight w:val="none"/>
          <w:lang w:val="zh-CN"/>
        </w:rPr>
        <w:t>东莞市水务环境投资控股集团有限公司</w:t>
      </w:r>
      <w:r>
        <w:rPr>
          <w:rFonts w:hint="eastAsia" w:ascii="宋体" w:hAnsi="宋体" w:eastAsia="宋体" w:cs="宋体"/>
          <w:color w:val="auto"/>
          <w:szCs w:val="21"/>
          <w:highlight w:val="none"/>
        </w:rPr>
        <w:t>（</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"www.dgswjt.cn）、招标代理公司网站（http://%20%20%20%20%20%20%20%20%20%20%20%20%20%20）"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eastAsia="zh-CN"/>
        </w:rPr>
        <w:t>www.dgweg.cn</w:t>
      </w:r>
      <w:r>
        <w:rPr>
          <w:rStyle w:val="42"/>
          <w:rFonts w:hint="eastAsia" w:ascii="宋体" w:hAnsi="宋体" w:eastAsia="宋体" w:cs="宋体"/>
          <w:color w:val="auto"/>
          <w:sz w:val="21"/>
          <w:szCs w:val="21"/>
          <w:highlight w:val="none"/>
        </w:rPr>
        <w:t>）</w:t>
      </w:r>
      <w:r>
        <w:rPr>
          <w:rStyle w:val="42"/>
          <w:rFonts w:hint="eastAsia" w:ascii="宋体" w:hAnsi="宋体" w:eastAsia="宋体" w:cs="宋体"/>
          <w:color w:val="auto"/>
          <w:sz w:val="21"/>
          <w:szCs w:val="21"/>
          <w:highlight w:val="none"/>
          <w:lang w:val="zh-CN"/>
        </w:rPr>
        <w:t>、</w:t>
      </w:r>
      <w:r>
        <w:rPr>
          <w:rStyle w:val="42"/>
          <w:rFonts w:hint="eastAsia" w:ascii="宋体" w:hAnsi="宋体" w:eastAsia="宋体" w:cs="宋体"/>
          <w:bCs/>
          <w:color w:val="auto"/>
          <w:kern w:val="0"/>
          <w:sz w:val="21"/>
          <w:szCs w:val="21"/>
          <w:highlight w:val="none"/>
          <w:lang w:eastAsia="zh-CN"/>
        </w:rPr>
        <w:t>采购代理机构</w:t>
      </w:r>
      <w:r>
        <w:rPr>
          <w:rStyle w:val="42"/>
          <w:rFonts w:hint="eastAsia" w:ascii="宋体" w:hAnsi="宋体" w:eastAsia="宋体" w:cs="宋体"/>
          <w:bCs/>
          <w:color w:val="auto"/>
          <w:kern w:val="0"/>
          <w:sz w:val="21"/>
          <w:szCs w:val="21"/>
          <w:highlight w:val="none"/>
        </w:rPr>
        <w:t>网站（</w:t>
      </w:r>
      <w:r>
        <w:rPr>
          <w:rStyle w:val="42"/>
          <w:rFonts w:hint="eastAsia" w:ascii="宋体" w:hAnsi="宋体" w:eastAsia="宋体" w:cs="宋体"/>
          <w:bCs/>
          <w:color w:val="auto"/>
          <w:kern w:val="0"/>
          <w:sz w:val="21"/>
          <w:szCs w:val="21"/>
          <w:highlight w:val="none"/>
          <w:lang w:val="zh-CN"/>
        </w:rPr>
        <w:t>http://www.chengezhao.com</w:t>
      </w:r>
      <w:r>
        <w:rPr>
          <w:rStyle w:val="42"/>
          <w:rFonts w:hint="eastAsia" w:ascii="宋体" w:hAnsi="宋体" w:eastAsia="宋体" w:cs="宋体"/>
          <w:bCs/>
          <w:color w:val="auto"/>
          <w:kern w:val="0"/>
          <w:sz w:val="21"/>
          <w:szCs w:val="21"/>
          <w:highlight w:val="none"/>
        </w:rPr>
        <w:t>）</w:t>
      </w:r>
      <w:r>
        <w:rPr>
          <w:rStyle w:val="42"/>
          <w:rFonts w:hint="eastAsia" w:ascii="宋体" w:hAnsi="宋体" w:eastAsia="宋体" w:cs="宋体"/>
          <w:bCs/>
          <w:color w:val="auto"/>
          <w:kern w:val="0"/>
          <w:sz w:val="21"/>
          <w:szCs w:val="21"/>
          <w:highlight w:val="none"/>
        </w:rPr>
        <w:fldChar w:fldCharType="end"/>
      </w:r>
      <w:r>
        <w:rPr>
          <w:rFonts w:hint="eastAsia" w:ascii="宋体" w:hAnsi="宋体" w:eastAsia="宋体" w:cs="宋体"/>
          <w:color w:val="auto"/>
          <w:szCs w:val="21"/>
          <w:highlight w:val="none"/>
          <w:lang w:val="zh-CN"/>
        </w:rPr>
        <w:t>公布，请各供应商密切留意。</w:t>
      </w:r>
    </w:p>
    <w:p w14:paraId="5D8FBE90">
      <w:pPr>
        <w:autoSpaceDE w:val="0"/>
        <w:autoSpaceDN w:val="0"/>
        <w:adjustRightInd w:val="0"/>
        <w:spacing w:line="360" w:lineRule="auto"/>
        <w:ind w:left="357" w:leftChars="-100" w:hanging="567"/>
        <w:rPr>
          <w:rFonts w:hint="eastAsia" w:ascii="宋体" w:hAnsi="宋体" w:eastAsia="宋体" w:cs="宋体"/>
          <w:color w:val="auto"/>
          <w:szCs w:val="21"/>
          <w:highlight w:val="none"/>
        </w:rPr>
      </w:pPr>
    </w:p>
    <w:p w14:paraId="1AF446A7">
      <w:pPr>
        <w:keepNext/>
        <w:keepLines/>
        <w:tabs>
          <w:tab w:val="left" w:pos="509"/>
        </w:tabs>
        <w:autoSpaceDE w:val="0"/>
        <w:autoSpaceDN w:val="0"/>
        <w:adjustRightInd w:val="0"/>
        <w:spacing w:line="360" w:lineRule="auto"/>
        <w:jc w:val="left"/>
        <w:outlineLvl w:val="0"/>
        <w:rPr>
          <w:rFonts w:hint="eastAsia" w:ascii="宋体" w:hAnsi="宋体" w:eastAsia="宋体" w:cs="宋体"/>
          <w:b/>
          <w:bCs/>
          <w:color w:val="auto"/>
          <w:kern w:val="44"/>
          <w:szCs w:val="21"/>
          <w:highlight w:val="none"/>
          <w:lang w:val="zh-CN"/>
        </w:rPr>
      </w:pPr>
      <w:bookmarkStart w:id="97" w:name="_Toc8711"/>
      <w:bookmarkStart w:id="98" w:name="_Toc29659_WPSOffice_Level2"/>
      <w:bookmarkStart w:id="99" w:name="_Toc486167671"/>
      <w:bookmarkStart w:id="100" w:name="_Toc450662857"/>
      <w:bookmarkStart w:id="101" w:name="_Toc142508321"/>
      <w:bookmarkStart w:id="102" w:name="_Toc140596880"/>
      <w:bookmarkStart w:id="103" w:name="_Toc23342"/>
      <w:bookmarkStart w:id="104" w:name="_Toc2005240008"/>
      <w:r>
        <w:rPr>
          <w:rFonts w:hint="eastAsia" w:ascii="宋体" w:hAnsi="宋体" w:eastAsia="宋体" w:cs="宋体"/>
          <w:b/>
          <w:bCs/>
          <w:color w:val="auto"/>
          <w:kern w:val="44"/>
          <w:szCs w:val="21"/>
          <w:highlight w:val="none"/>
          <w:lang w:val="zh-CN"/>
        </w:rPr>
        <w:t>三、响应文件的编制</w:t>
      </w:r>
      <w:bookmarkEnd w:id="97"/>
      <w:bookmarkEnd w:id="98"/>
      <w:bookmarkEnd w:id="99"/>
      <w:bookmarkEnd w:id="100"/>
      <w:bookmarkEnd w:id="101"/>
      <w:bookmarkEnd w:id="102"/>
      <w:bookmarkEnd w:id="103"/>
      <w:bookmarkEnd w:id="104"/>
    </w:p>
    <w:p w14:paraId="5E17793F">
      <w:pPr>
        <w:tabs>
          <w:tab w:val="left" w:pos="675"/>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05" w:name="_Toc388142211"/>
      <w:bookmarkStart w:id="106" w:name="_Toc486167672"/>
      <w:bookmarkStart w:id="107" w:name="_Toc142508322"/>
      <w:bookmarkStart w:id="108" w:name="_Toc6244"/>
      <w:bookmarkStart w:id="109" w:name="_Toc450662858"/>
      <w:bookmarkStart w:id="110" w:name="_Toc10015_WPSOffice_Level3"/>
      <w:bookmarkStart w:id="111" w:name="_Toc31162"/>
      <w:r>
        <w:rPr>
          <w:rFonts w:hint="eastAsia" w:ascii="宋体" w:hAnsi="宋体" w:eastAsia="宋体" w:cs="宋体"/>
          <w:color w:val="auto"/>
          <w:szCs w:val="21"/>
          <w:highlight w:val="none"/>
          <w:lang w:val="zh-CN"/>
        </w:rPr>
        <w:t xml:space="preserve">8 </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使用的文字及度量衡单位</w:t>
      </w:r>
      <w:bookmarkEnd w:id="105"/>
      <w:bookmarkEnd w:id="106"/>
      <w:bookmarkEnd w:id="107"/>
      <w:bookmarkEnd w:id="108"/>
      <w:bookmarkEnd w:id="109"/>
      <w:bookmarkEnd w:id="110"/>
      <w:bookmarkEnd w:id="111"/>
    </w:p>
    <w:p w14:paraId="49986144">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8.1  供应商的响应文件以及供应商与采购代理机构就有关</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的所有往来函电均应使用简体中文。</w:t>
      </w:r>
    </w:p>
    <w:p w14:paraId="5E2E9A2E">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8.2  响应文件使用的度量衡单位采用中华人民共和国法定计量单位。</w:t>
      </w:r>
    </w:p>
    <w:p w14:paraId="07559759">
      <w:pPr>
        <w:autoSpaceDE w:val="0"/>
        <w:autoSpaceDN w:val="0"/>
        <w:adjustRightInd w:val="0"/>
        <w:spacing w:line="360" w:lineRule="auto"/>
        <w:rPr>
          <w:rFonts w:hint="eastAsia" w:ascii="宋体" w:hAnsi="宋体" w:eastAsia="宋体" w:cs="宋体"/>
          <w:color w:val="auto"/>
          <w:szCs w:val="21"/>
          <w:highlight w:val="none"/>
          <w:lang w:val="zh-CN"/>
        </w:rPr>
      </w:pPr>
    </w:p>
    <w:p w14:paraId="2A5959FC">
      <w:pPr>
        <w:tabs>
          <w:tab w:val="left" w:pos="540"/>
        </w:tabs>
        <w:autoSpaceDE w:val="0"/>
        <w:autoSpaceDN w:val="0"/>
        <w:adjustRightInd w:val="0"/>
        <w:spacing w:line="360" w:lineRule="auto"/>
        <w:ind w:left="357" w:leftChars="-100" w:hanging="567"/>
        <w:jc w:val="left"/>
        <w:outlineLvl w:val="2"/>
        <w:rPr>
          <w:rFonts w:hint="eastAsia" w:ascii="宋体" w:hAnsi="宋体" w:eastAsia="宋体" w:cs="宋体"/>
          <w:color w:val="auto"/>
          <w:sz w:val="24"/>
          <w:szCs w:val="24"/>
          <w:highlight w:val="none"/>
          <w:lang w:val="zh-CN"/>
        </w:rPr>
      </w:pPr>
      <w:bookmarkStart w:id="112" w:name="_Toc24916_WPSOffice_Level3"/>
      <w:bookmarkStart w:id="113" w:name="_Toc450662859"/>
      <w:bookmarkStart w:id="114" w:name="_Toc14943"/>
      <w:bookmarkStart w:id="115" w:name="_Toc1067846941"/>
      <w:bookmarkStart w:id="116" w:name="_Toc142508323"/>
      <w:bookmarkStart w:id="117" w:name="_Toc486167673"/>
      <w:bookmarkStart w:id="118" w:name="_Toc7348"/>
      <w:r>
        <w:rPr>
          <w:rFonts w:hint="eastAsia" w:ascii="宋体" w:hAnsi="宋体" w:eastAsia="宋体" w:cs="宋体"/>
          <w:color w:val="auto"/>
          <w:szCs w:val="21"/>
          <w:highlight w:val="none"/>
          <w:lang w:val="zh-CN"/>
        </w:rPr>
        <w:t>9</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Cs w:val="21"/>
          <w:highlight w:val="none"/>
          <w:lang w:val="zh-CN"/>
        </w:rPr>
        <w:t>响应文件的组成</w:t>
      </w:r>
      <w:bookmarkEnd w:id="112"/>
      <w:bookmarkEnd w:id="113"/>
      <w:bookmarkEnd w:id="114"/>
      <w:bookmarkEnd w:id="115"/>
      <w:bookmarkEnd w:id="116"/>
      <w:bookmarkEnd w:id="117"/>
      <w:bookmarkEnd w:id="118"/>
    </w:p>
    <w:p w14:paraId="63CD996C">
      <w:pPr>
        <w:tabs>
          <w:tab w:val="left" w:pos="567"/>
        </w:tabs>
        <w:autoSpaceDE w:val="0"/>
        <w:autoSpaceDN w:val="0"/>
        <w:adjustRightInd w:val="0"/>
        <w:spacing w:line="360" w:lineRule="auto"/>
        <w:ind w:left="106" w:leftChars="-100" w:hanging="316" w:hangingChars="150"/>
        <w:rPr>
          <w:rFonts w:hint="eastAsia" w:ascii="宋体" w:hAnsi="宋体" w:eastAsia="宋体" w:cs="宋体"/>
          <w:b/>
          <w:color w:val="auto"/>
          <w:kern w:val="0"/>
          <w:szCs w:val="21"/>
          <w:highlight w:val="none"/>
          <w:u w:val="single"/>
        </w:rPr>
      </w:pPr>
      <w:r>
        <w:rPr>
          <w:rFonts w:hint="eastAsia" w:ascii="宋体" w:hAnsi="宋体" w:eastAsia="宋体" w:cs="宋体"/>
          <w:b/>
          <w:color w:val="auto"/>
          <w:kern w:val="0"/>
          <w:szCs w:val="24"/>
          <w:highlight w:val="none"/>
        </w:rPr>
        <w:t xml:space="preserve">9.1  </w:t>
      </w:r>
      <w:r>
        <w:rPr>
          <w:rFonts w:hint="eastAsia" w:ascii="宋体" w:hAnsi="宋体" w:eastAsia="宋体" w:cs="宋体"/>
          <w:color w:val="auto"/>
          <w:kern w:val="0"/>
          <w:szCs w:val="24"/>
          <w:highlight w:val="none"/>
          <w:lang w:eastAsia="zh-CN"/>
        </w:rPr>
        <w:t>响应文件</w:t>
      </w:r>
      <w:r>
        <w:rPr>
          <w:rFonts w:hint="eastAsia" w:ascii="宋体" w:hAnsi="宋体" w:eastAsia="宋体" w:cs="宋体"/>
          <w:color w:val="auto"/>
          <w:kern w:val="0"/>
          <w:szCs w:val="24"/>
          <w:highlight w:val="none"/>
        </w:rPr>
        <w:t>的组成：</w:t>
      </w:r>
      <w:r>
        <w:rPr>
          <w:rFonts w:hint="eastAsia" w:ascii="宋体" w:hAnsi="宋体" w:eastAsia="宋体" w:cs="宋体"/>
          <w:b/>
          <w:color w:val="auto"/>
          <w:kern w:val="0"/>
          <w:szCs w:val="21"/>
          <w:highlight w:val="none"/>
          <w:u w:val="single"/>
        </w:rPr>
        <w:t>商务文件、技术文件由</w:t>
      </w:r>
      <w:r>
        <w:rPr>
          <w:rFonts w:hint="eastAsia" w:ascii="宋体" w:hAnsi="宋体" w:eastAsia="宋体" w:cs="宋体"/>
          <w:b/>
          <w:color w:val="auto"/>
          <w:kern w:val="0"/>
          <w:szCs w:val="21"/>
          <w:highlight w:val="none"/>
          <w:u w:val="single"/>
          <w:lang w:eastAsia="zh-CN"/>
        </w:rPr>
        <w:t>供应商</w:t>
      </w:r>
      <w:r>
        <w:rPr>
          <w:rFonts w:hint="eastAsia" w:ascii="宋体" w:hAnsi="宋体" w:eastAsia="宋体" w:cs="宋体"/>
          <w:b/>
          <w:color w:val="auto"/>
          <w:kern w:val="0"/>
          <w:szCs w:val="21"/>
          <w:highlight w:val="none"/>
          <w:u w:val="single"/>
        </w:rPr>
        <w:t>根据各自文件的实际情况决定是否分册装订，</w:t>
      </w:r>
      <w:r>
        <w:rPr>
          <w:rFonts w:hint="eastAsia" w:ascii="宋体" w:hAnsi="宋体" w:eastAsia="宋体" w:cs="宋体"/>
          <w:b/>
          <w:color w:val="auto"/>
          <w:kern w:val="0"/>
          <w:szCs w:val="21"/>
          <w:highlight w:val="none"/>
          <w:u w:val="single"/>
          <w:lang w:eastAsia="zh-CN"/>
        </w:rPr>
        <w:t>询比文件</w:t>
      </w:r>
      <w:r>
        <w:rPr>
          <w:rFonts w:hint="eastAsia" w:ascii="宋体" w:hAnsi="宋体" w:eastAsia="宋体" w:cs="宋体"/>
          <w:b/>
          <w:color w:val="auto"/>
          <w:kern w:val="0"/>
          <w:szCs w:val="21"/>
          <w:highlight w:val="none"/>
          <w:u w:val="single"/>
        </w:rPr>
        <w:t>不做限制</w:t>
      </w:r>
      <w:r>
        <w:rPr>
          <w:rFonts w:hint="eastAsia" w:ascii="宋体" w:hAnsi="宋体" w:eastAsia="宋体" w:cs="宋体"/>
          <w:b/>
          <w:color w:val="auto"/>
          <w:kern w:val="0"/>
          <w:szCs w:val="21"/>
          <w:highlight w:val="none"/>
          <w:u w:val="none"/>
        </w:rPr>
        <w:t>。</w:t>
      </w:r>
    </w:p>
    <w:p w14:paraId="57B01047">
      <w:pPr>
        <w:tabs>
          <w:tab w:val="left" w:pos="567"/>
        </w:tabs>
        <w:autoSpaceDE w:val="0"/>
        <w:autoSpaceDN w:val="0"/>
        <w:adjustRightInd w:val="0"/>
        <w:spacing w:line="360" w:lineRule="auto"/>
        <w:ind w:left="106" w:leftChars="-100" w:hanging="316" w:hangingChars="15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9.1.1 商务文件：</w:t>
      </w:r>
    </w:p>
    <w:p w14:paraId="5E898FDB">
      <w:pPr>
        <w:autoSpaceDE w:val="0"/>
        <w:autoSpaceDN w:val="0"/>
        <w:adjustRightInd w:val="0"/>
        <w:spacing w:line="360" w:lineRule="auto"/>
        <w:ind w:left="420" w:leftChars="200" w:firstLine="0" w:firstLineChars="0"/>
        <w:jc w:val="left"/>
        <w:rPr>
          <w:rFonts w:hint="eastAsia" w:ascii="宋体" w:hAnsi="宋体" w:eastAsia="宋体" w:cs="宋体"/>
          <w:b/>
          <w:bCs/>
          <w:color w:val="auto"/>
          <w:kern w:val="0"/>
          <w:szCs w:val="21"/>
          <w:highlight w:val="none"/>
          <w:lang w:val="zh-CN"/>
        </w:rPr>
      </w:pPr>
      <w:r>
        <w:rPr>
          <w:rFonts w:hint="eastAsia" w:ascii="宋体" w:hAnsi="宋体" w:eastAsia="宋体" w:cs="宋体"/>
          <w:b/>
          <w:bCs/>
          <w:color w:val="auto"/>
          <w:kern w:val="0"/>
          <w:szCs w:val="21"/>
          <w:highlight w:val="none"/>
          <w:lang w:val="zh-CN"/>
        </w:rPr>
        <w:t>目录：</w:t>
      </w:r>
    </w:p>
    <w:p w14:paraId="0FFE683A">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函；</w:t>
      </w:r>
    </w:p>
    <w:p w14:paraId="2C8EE954">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承诺书；</w:t>
      </w:r>
    </w:p>
    <w:p w14:paraId="2079242F">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（3）供货及/或提供服务过程承诺函；</w:t>
      </w:r>
    </w:p>
    <w:p w14:paraId="2735578A">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报价表；</w:t>
      </w:r>
    </w:p>
    <w:p w14:paraId="39B83BE5">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val="zh-CN"/>
        </w:rPr>
        <w:t>）供应商资格证明文件：</w:t>
      </w:r>
    </w:p>
    <w:p w14:paraId="2747FF0E">
      <w:pPr>
        <w:autoSpaceDE w:val="0"/>
        <w:autoSpaceDN w:val="0"/>
        <w:adjustRightInd w:val="0"/>
        <w:spacing w:line="360" w:lineRule="auto"/>
        <w:ind w:left="283" w:hanging="283" w:hangingChars="1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1）多证合一营业执照</w:t>
      </w:r>
      <w:r>
        <w:rPr>
          <w:rFonts w:hint="eastAsia" w:ascii="宋体" w:hAnsi="宋体" w:eastAsia="宋体" w:cs="宋体"/>
          <w:color w:val="auto"/>
          <w:kern w:val="0"/>
          <w:szCs w:val="21"/>
          <w:highlight w:val="none"/>
        </w:rPr>
        <w:t>（或事业单位法人证书）</w:t>
      </w:r>
      <w:r>
        <w:rPr>
          <w:rFonts w:hint="eastAsia" w:ascii="宋体" w:hAnsi="宋体" w:eastAsia="宋体" w:cs="宋体"/>
          <w:color w:val="auto"/>
          <w:szCs w:val="21"/>
          <w:highlight w:val="none"/>
          <w:lang w:val="zh-CN"/>
        </w:rPr>
        <w:t>复印件；</w:t>
      </w:r>
    </w:p>
    <w:p w14:paraId="0EF52AD1">
      <w:pPr>
        <w:autoSpaceDE w:val="0"/>
        <w:autoSpaceDN w:val="0"/>
        <w:adjustRightInd w:val="0"/>
        <w:spacing w:line="360" w:lineRule="auto"/>
        <w:ind w:left="283" w:hanging="283" w:hangingChars="1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zh-CN"/>
        </w:rPr>
        <w:t>）开户许可证复印件（基本存款账户），如供应商企业银行账户开户所在地区已取消企业银行账户许可，供应商应提供基本存款账户开户名称、开户银行、账号、编号等信息及相关备案证明（如有）或其他能证明其为基本存款账户的资料复印件；</w:t>
      </w:r>
    </w:p>
    <w:p w14:paraId="64C10D62">
      <w:pPr>
        <w:autoSpaceDE w:val="0"/>
        <w:autoSpaceDN w:val="0"/>
        <w:adjustRightInd w:val="0"/>
        <w:spacing w:line="360" w:lineRule="auto"/>
        <w:ind w:left="283" w:hanging="283" w:hangingChars="1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zh-CN"/>
        </w:rPr>
        <w:t>）法定代表人身份证明书和法定代表人授权书原件（法定代表人</w:t>
      </w:r>
      <w:r>
        <w:rPr>
          <w:rFonts w:hint="eastAsia" w:ascii="宋体" w:hAnsi="宋体" w:eastAsia="宋体" w:cs="宋体"/>
          <w:color w:val="auto"/>
          <w:szCs w:val="21"/>
          <w:highlight w:val="none"/>
          <w:lang w:val="en-US" w:eastAsia="zh-CN"/>
        </w:rPr>
        <w:t>参与响应</w:t>
      </w:r>
      <w:r>
        <w:rPr>
          <w:rFonts w:hint="eastAsia" w:ascii="宋体" w:hAnsi="宋体" w:eastAsia="宋体" w:cs="宋体"/>
          <w:color w:val="auto"/>
          <w:szCs w:val="21"/>
          <w:highlight w:val="none"/>
          <w:lang w:val="zh-CN"/>
        </w:rPr>
        <w:t>时只提供法定代表人身份证明书，委托</w:t>
      </w:r>
      <w:r>
        <w:rPr>
          <w:rFonts w:hint="eastAsia" w:ascii="宋体" w:hAnsi="宋体" w:eastAsia="宋体" w:cs="宋体"/>
          <w:color w:val="auto"/>
          <w:szCs w:val="21"/>
          <w:highlight w:val="none"/>
        </w:rPr>
        <w:t>他人</w:t>
      </w:r>
      <w:r>
        <w:rPr>
          <w:rFonts w:hint="eastAsia" w:ascii="宋体" w:hAnsi="宋体" w:eastAsia="宋体" w:cs="宋体"/>
          <w:color w:val="auto"/>
          <w:szCs w:val="21"/>
          <w:highlight w:val="none"/>
          <w:lang w:val="en-US" w:eastAsia="zh-CN"/>
        </w:rPr>
        <w:t>为响应代表或签署响应文件时需</w:t>
      </w:r>
      <w:r>
        <w:rPr>
          <w:rFonts w:hint="eastAsia" w:ascii="宋体" w:hAnsi="宋体" w:eastAsia="宋体" w:cs="宋体"/>
          <w:color w:val="auto"/>
          <w:szCs w:val="21"/>
          <w:highlight w:val="none"/>
          <w:lang w:val="zh-CN"/>
        </w:rPr>
        <w:t>同时提供法定代表人授权书）；</w:t>
      </w:r>
    </w:p>
    <w:p w14:paraId="4F8C68CB">
      <w:pPr>
        <w:tabs>
          <w:tab w:val="left" w:pos="1276"/>
        </w:tabs>
        <w:spacing w:line="360" w:lineRule="auto"/>
        <w:ind w:left="283" w:hanging="283" w:hangingChars="135"/>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zh-CN"/>
        </w:rPr>
        <w:t>4</w:t>
      </w:r>
      <w:r>
        <w:rPr>
          <w:rFonts w:hint="eastAsia" w:ascii="宋体" w:hAnsi="宋体" w:eastAsia="宋体" w:cs="宋体"/>
          <w:color w:val="auto"/>
          <w:szCs w:val="21"/>
          <w:highlight w:val="none"/>
        </w:rPr>
        <w:t>）供应商须具有包含</w:t>
      </w:r>
      <w:r>
        <w:rPr>
          <w:rFonts w:hint="eastAsia" w:ascii="宋体" w:hAnsi="宋体" w:eastAsia="宋体" w:cs="宋体"/>
          <w:color w:val="auto"/>
          <w:szCs w:val="21"/>
          <w:highlight w:val="none"/>
          <w:lang w:val="en-US" w:eastAsia="zh-CN"/>
        </w:rPr>
        <w:t>危险废物</w:t>
      </w:r>
      <w:r>
        <w:rPr>
          <w:rFonts w:hint="eastAsia" w:ascii="宋体" w:hAnsi="宋体" w:eastAsia="宋体" w:cs="宋体"/>
          <w:color w:val="auto"/>
          <w:szCs w:val="21"/>
          <w:highlight w:val="none"/>
        </w:rPr>
        <w:t>代码772-006-49类目的有效期内的《危险废物经营许可证》</w:t>
      </w:r>
      <w:r>
        <w:rPr>
          <w:rFonts w:hint="eastAsia" w:ascii="宋体" w:hAnsi="宋体" w:eastAsia="宋体" w:cs="宋体"/>
          <w:color w:val="auto"/>
          <w:szCs w:val="21"/>
          <w:highlight w:val="none"/>
          <w:lang w:eastAsia="zh-CN"/>
        </w:rPr>
        <w:t>；</w:t>
      </w:r>
    </w:p>
    <w:p w14:paraId="287F02CE">
      <w:pPr>
        <w:autoSpaceDE w:val="0"/>
        <w:autoSpaceDN w:val="0"/>
        <w:adjustRightInd w:val="0"/>
        <w:spacing w:line="360" w:lineRule="auto"/>
        <w:ind w:left="913" w:hanging="913" w:hangingChars="4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val="zh-CN"/>
        </w:rPr>
        <w:t>最近3年供应商牵涉的其他（失信和违法）</w:t>
      </w:r>
      <w:r>
        <w:rPr>
          <w:rFonts w:hint="eastAsia" w:ascii="宋体" w:hAnsi="宋体" w:eastAsia="宋体" w:cs="宋体"/>
          <w:color w:val="auto"/>
          <w:kern w:val="0"/>
          <w:szCs w:val="21"/>
          <w:highlight w:val="none"/>
        </w:rPr>
        <w:t>处罚说明</w:t>
      </w:r>
      <w:r>
        <w:rPr>
          <w:rFonts w:hint="eastAsia" w:ascii="宋体" w:hAnsi="宋体" w:eastAsia="宋体" w:cs="宋体"/>
          <w:color w:val="auto"/>
          <w:szCs w:val="21"/>
          <w:highlight w:val="none"/>
          <w:lang w:val="zh-CN"/>
        </w:rPr>
        <w:t>；</w:t>
      </w:r>
    </w:p>
    <w:p w14:paraId="311B276E">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val="zh-CN"/>
        </w:rPr>
        <w:t>）供应商基本情况一览表；</w:t>
      </w:r>
    </w:p>
    <w:p w14:paraId="142882A2">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val="zh-CN"/>
        </w:rPr>
        <w:t>）供应商财务状况表；</w:t>
      </w:r>
    </w:p>
    <w:p w14:paraId="6626568F">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8</w:t>
      </w:r>
      <w:r>
        <w:rPr>
          <w:rFonts w:hint="eastAsia" w:ascii="宋体" w:hAnsi="宋体" w:eastAsia="宋体" w:cs="宋体"/>
          <w:color w:val="auto"/>
          <w:kern w:val="0"/>
          <w:szCs w:val="21"/>
          <w:highlight w:val="none"/>
        </w:rPr>
        <w:t>）合同条款响应程度（合同条款偏离表）；</w:t>
      </w:r>
    </w:p>
    <w:p w14:paraId="77EB94A6">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lang w:val="zh-CN"/>
        </w:rPr>
        <w:t>）业绩表；</w:t>
      </w:r>
    </w:p>
    <w:p w14:paraId="60FAE136">
      <w:pPr>
        <w:tabs>
          <w:tab w:val="left" w:pos="567"/>
        </w:tabs>
        <w:autoSpaceDE w:val="0"/>
        <w:autoSpaceDN w:val="0"/>
        <w:adjustRightInd w:val="0"/>
        <w:spacing w:line="360" w:lineRule="auto"/>
        <w:ind w:left="105" w:leftChars="-100" w:hanging="315" w:hanging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val="zh-CN"/>
        </w:rPr>
        <w:t>）响应保证金汇入情况说明；</w:t>
      </w:r>
    </w:p>
    <w:p w14:paraId="176FA4C7">
      <w:pPr>
        <w:tabs>
          <w:tab w:val="left" w:pos="567"/>
        </w:tabs>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lang w:val="zh-CN"/>
        </w:rPr>
        <w:t>）供应商资格证明文件以外的其他资质证书、知识产权证书及获得的相关获奖、认证证书、社会评价资料证明文件复印件等供应商认为有需要证明其具备为本次</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val="zh-CN"/>
        </w:rPr>
        <w:t>项目提供服务能力的有关其它商务文件（不做强制要求）。</w:t>
      </w:r>
    </w:p>
    <w:p w14:paraId="790364DB">
      <w:pPr>
        <w:autoSpaceDE w:val="0"/>
        <w:autoSpaceDN w:val="0"/>
        <w:adjustRightInd w:val="0"/>
        <w:spacing w:line="360" w:lineRule="auto"/>
        <w:ind w:left="422" w:leftChars="-100" w:hanging="632" w:hangingChars="300"/>
        <w:rPr>
          <w:rFonts w:hint="eastAsia" w:ascii="宋体" w:hAnsi="宋体" w:eastAsia="宋体" w:cs="宋体"/>
          <w:b/>
          <w:color w:val="auto"/>
          <w:kern w:val="0"/>
          <w:szCs w:val="24"/>
          <w:highlight w:val="none"/>
        </w:rPr>
      </w:pPr>
      <w:r>
        <w:rPr>
          <w:rFonts w:hint="eastAsia" w:ascii="宋体" w:hAnsi="宋体" w:eastAsia="宋体" w:cs="宋体"/>
          <w:b/>
          <w:color w:val="auto"/>
          <w:kern w:val="0"/>
          <w:szCs w:val="24"/>
          <w:highlight w:val="none"/>
        </w:rPr>
        <w:t>9.1.2 技术文件：</w:t>
      </w:r>
    </w:p>
    <w:p w14:paraId="5CA586A1">
      <w:pPr>
        <w:autoSpaceDE w:val="0"/>
        <w:autoSpaceDN w:val="0"/>
        <w:adjustRightInd w:val="0"/>
        <w:spacing w:line="360" w:lineRule="auto"/>
        <w:ind w:right="-23" w:rightChars="-11"/>
        <w:jc w:val="left"/>
        <w:rPr>
          <w:rFonts w:hint="eastAsia" w:ascii="宋体" w:hAnsi="宋体" w:eastAsia="宋体" w:cs="宋体"/>
          <w:b/>
          <w:bCs/>
          <w:color w:val="auto"/>
          <w:kern w:val="0"/>
          <w:szCs w:val="21"/>
          <w:highlight w:val="none"/>
          <w:lang w:val="zh-CN"/>
        </w:rPr>
      </w:pPr>
      <w:r>
        <w:rPr>
          <w:rFonts w:hint="eastAsia" w:ascii="宋体" w:hAnsi="宋体" w:eastAsia="宋体" w:cs="宋体"/>
          <w:b/>
          <w:bCs/>
          <w:color w:val="auto"/>
          <w:kern w:val="0"/>
          <w:szCs w:val="21"/>
          <w:highlight w:val="none"/>
          <w:lang w:val="zh-CN"/>
        </w:rPr>
        <w:t xml:space="preserve">    目录：</w:t>
      </w:r>
    </w:p>
    <w:p w14:paraId="36FF3CC9">
      <w:pPr>
        <w:spacing w:line="360" w:lineRule="auto"/>
        <w:ind w:left="105" w:leftChars="-100" w:hanging="315" w:hangingChars="1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（1）用户需求响应程度（即用户需求偏离表格式）；</w:t>
      </w:r>
    </w:p>
    <w:p w14:paraId="4DF8BD21">
      <w:pPr>
        <w:spacing w:line="360" w:lineRule="auto"/>
        <w:ind w:left="315" w:leftChars="-100" w:hanging="525" w:hangingChars="2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zh-CN" w:eastAsia="zh-CN"/>
        </w:rPr>
        <w:t>应急预案和保障措施</w:t>
      </w:r>
      <w:r>
        <w:rPr>
          <w:rFonts w:hint="eastAsia" w:ascii="宋体" w:hAnsi="宋体" w:eastAsia="宋体" w:cs="宋体"/>
          <w:color w:val="auto"/>
          <w:kern w:val="0"/>
          <w:szCs w:val="21"/>
          <w:highlight w:val="none"/>
          <w:lang w:eastAsia="zh-CN"/>
        </w:rPr>
        <w:t>；</w:t>
      </w:r>
    </w:p>
    <w:p w14:paraId="1C0AD855">
      <w:pPr>
        <w:spacing w:line="360" w:lineRule="auto"/>
        <w:ind w:left="105" w:leftChars="-100" w:hanging="315" w:hangingChars="1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认为有必要提供的其它材料（不做强制要求）。</w:t>
      </w:r>
    </w:p>
    <w:p w14:paraId="04D132C9">
      <w:pPr>
        <w:autoSpaceDE w:val="0"/>
        <w:autoSpaceDN w:val="0"/>
        <w:adjustRightInd w:val="0"/>
        <w:spacing w:line="360" w:lineRule="auto"/>
        <w:ind w:left="422" w:leftChars="-100" w:hanging="632" w:hangingChars="300"/>
        <w:rPr>
          <w:rFonts w:hint="eastAsia" w:ascii="宋体" w:hAnsi="宋体" w:eastAsia="宋体" w:cs="宋体"/>
          <w:color w:val="auto"/>
          <w:kern w:val="0"/>
          <w:szCs w:val="21"/>
          <w:highlight w:val="none"/>
          <w:lang w:val="zh-CN"/>
        </w:rPr>
      </w:pPr>
      <w:r>
        <w:rPr>
          <w:rFonts w:hint="eastAsia" w:ascii="宋体" w:hAnsi="宋体" w:eastAsia="宋体" w:cs="宋体"/>
          <w:b/>
          <w:color w:val="auto"/>
          <w:kern w:val="0"/>
          <w:szCs w:val="21"/>
          <w:highlight w:val="none"/>
        </w:rPr>
        <w:t>9.1.</w:t>
      </w:r>
      <w:r>
        <w:rPr>
          <w:rFonts w:hint="eastAsia" w:ascii="宋体" w:hAnsi="宋体" w:eastAsia="宋体" w:cs="宋体"/>
          <w:b/>
          <w:color w:val="auto"/>
          <w:kern w:val="0"/>
          <w:szCs w:val="21"/>
          <w:highlight w:val="none"/>
          <w:lang w:val="en-US" w:eastAsia="zh-CN"/>
        </w:rPr>
        <w:t xml:space="preserve">3 </w:t>
      </w:r>
      <w:r>
        <w:rPr>
          <w:rFonts w:hint="eastAsia" w:ascii="宋体" w:hAnsi="宋体" w:eastAsia="宋体" w:cs="宋体"/>
          <w:b/>
          <w:bCs/>
          <w:color w:val="auto"/>
          <w:kern w:val="0"/>
          <w:szCs w:val="21"/>
          <w:highlight w:val="none"/>
          <w:lang w:val="zh-CN"/>
        </w:rPr>
        <w:t>响应文件电子文件</w:t>
      </w:r>
      <w:r>
        <w:rPr>
          <w:rFonts w:hint="eastAsia" w:ascii="宋体" w:hAnsi="宋体" w:eastAsia="宋体" w:cs="宋体"/>
          <w:color w:val="auto"/>
          <w:kern w:val="0"/>
          <w:szCs w:val="21"/>
          <w:highlight w:val="none"/>
          <w:lang w:val="zh-CN"/>
        </w:rPr>
        <w:t>（详细要求见本篇第17.5款）</w:t>
      </w:r>
    </w:p>
    <w:p w14:paraId="2C88FA4B">
      <w:pPr>
        <w:autoSpaceDE w:val="0"/>
        <w:autoSpaceDN w:val="0"/>
        <w:adjustRightInd w:val="0"/>
        <w:spacing w:line="360" w:lineRule="auto"/>
        <w:ind w:left="35" w:leftChars="-118" w:hanging="283" w:hangingChars="135"/>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（1）签字、盖章后的</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扫描版PDF格式电子文件。</w:t>
      </w:r>
    </w:p>
    <w:p w14:paraId="7E9A035F">
      <w:pPr>
        <w:autoSpaceDE w:val="0"/>
        <w:autoSpaceDN w:val="0"/>
        <w:adjustRightInd w:val="0"/>
        <w:spacing w:line="360" w:lineRule="auto"/>
        <w:ind w:left="422" w:leftChars="-100" w:hanging="632" w:hangingChars="300"/>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9.1.</w:t>
      </w:r>
      <w:r>
        <w:rPr>
          <w:rFonts w:hint="eastAsia" w:ascii="宋体" w:hAnsi="宋体" w:eastAsia="宋体" w:cs="宋体"/>
          <w:b/>
          <w:bCs/>
          <w:color w:val="auto"/>
          <w:szCs w:val="21"/>
          <w:highlight w:val="none"/>
          <w:lang w:val="en-US" w:eastAsia="zh-CN"/>
        </w:rPr>
        <w:t>4</w:t>
      </w:r>
      <w:r>
        <w:rPr>
          <w:rFonts w:hint="eastAsia" w:ascii="宋体" w:hAnsi="宋体" w:eastAsia="宋体" w:cs="宋体"/>
          <w:b/>
          <w:bCs/>
          <w:color w:val="auto"/>
          <w:szCs w:val="21"/>
          <w:highlight w:val="none"/>
          <w:lang w:val="zh-CN"/>
        </w:rPr>
        <w:t xml:space="preserve"> </w:t>
      </w:r>
      <w:r>
        <w:rPr>
          <w:rFonts w:hint="eastAsia" w:ascii="宋体" w:hAnsi="宋体" w:eastAsia="宋体" w:cs="宋体"/>
          <w:b/>
          <w:bCs/>
          <w:color w:val="auto"/>
          <w:szCs w:val="21"/>
          <w:highlight w:val="none"/>
          <w:lang w:val="en-US" w:eastAsia="zh-CN"/>
        </w:rPr>
        <w:t>报价</w:t>
      </w:r>
      <w:r>
        <w:rPr>
          <w:rFonts w:hint="eastAsia" w:ascii="宋体" w:hAnsi="宋体" w:eastAsia="宋体" w:cs="宋体"/>
          <w:b/>
          <w:bCs/>
          <w:color w:val="auto"/>
          <w:szCs w:val="21"/>
          <w:highlight w:val="none"/>
          <w:lang w:val="zh-CN"/>
        </w:rPr>
        <w:t>信封（单独密封）</w:t>
      </w:r>
    </w:p>
    <w:p w14:paraId="0ED20D83">
      <w:pPr>
        <w:spacing w:line="360" w:lineRule="auto"/>
        <w:ind w:left="105" w:leftChars="-100" w:hanging="315" w:hangingChars="15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lang w:val="zh-CN"/>
        </w:rPr>
        <w:t>报价表；</w:t>
      </w:r>
    </w:p>
    <w:p w14:paraId="34F8A2CA">
      <w:pPr>
        <w:spacing w:line="360" w:lineRule="auto"/>
        <w:ind w:left="105" w:leftChars="-100" w:hanging="315" w:hangingChars="15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（2）响应保证金汇入情况说明（一式两份）。</w:t>
      </w:r>
    </w:p>
    <w:p w14:paraId="5BBD0872">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9.2  供应商按照响应文件的组成目录编制响应文件应包括上述内容，但不限于上述内容。询比文件提供了相关格式的，严格按照询比文件的要求编制，响应文件未含格式的，供应商自行编制。响应文件编制中要求的复印件、照片可为该资料扫描件的打印件。</w:t>
      </w:r>
    </w:p>
    <w:p w14:paraId="4234BDD8">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9.3  </w:t>
      </w:r>
      <w:r>
        <w:rPr>
          <w:rFonts w:hint="eastAsia" w:ascii="宋体" w:hAnsi="宋体" w:eastAsia="宋体" w:cs="宋体"/>
          <w:b/>
          <w:color w:val="auto"/>
          <w:szCs w:val="21"/>
          <w:highlight w:val="none"/>
          <w:u w:val="single"/>
          <w:lang w:val="zh-CN"/>
        </w:rPr>
        <w:t>响应文件中相关证件、证书、合同、发票、照片等证明材料中的原始印章、签名、关键内容必须清晰、可辨认，否则视为无效证明材料；响应文件中存在外文资料的，供应商必须同时提供中文译本，且必须保证中文译本的准确，否则采购人不予认可，视为无效材料；供应商须承担因此对应造成</w:t>
      </w:r>
      <w:r>
        <w:rPr>
          <w:rFonts w:hint="eastAsia" w:ascii="宋体" w:hAnsi="宋体" w:eastAsia="宋体" w:cs="宋体"/>
          <w:b/>
          <w:color w:val="auto"/>
          <w:szCs w:val="21"/>
          <w:highlight w:val="none"/>
          <w:u w:val="single"/>
          <w:lang w:val="en-US" w:eastAsia="zh-CN"/>
        </w:rPr>
        <w:t>响应</w:t>
      </w:r>
      <w:r>
        <w:rPr>
          <w:rFonts w:hint="eastAsia" w:ascii="宋体" w:hAnsi="宋体" w:eastAsia="宋体" w:cs="宋体"/>
          <w:b/>
          <w:color w:val="auto"/>
          <w:szCs w:val="21"/>
          <w:highlight w:val="none"/>
          <w:u w:val="single"/>
          <w:lang w:val="zh-CN"/>
        </w:rPr>
        <w:t>无效，或评审时因无效证明材料不得分，或拒绝接受</w:t>
      </w:r>
      <w:r>
        <w:rPr>
          <w:rFonts w:hint="eastAsia" w:ascii="宋体" w:hAnsi="宋体" w:eastAsia="宋体" w:cs="宋体"/>
          <w:b/>
          <w:color w:val="auto"/>
          <w:szCs w:val="21"/>
          <w:highlight w:val="none"/>
          <w:u w:val="single"/>
          <w:lang w:val="en-US" w:eastAsia="zh-CN"/>
        </w:rPr>
        <w:t>响应</w:t>
      </w:r>
      <w:r>
        <w:rPr>
          <w:rFonts w:hint="eastAsia" w:ascii="宋体" w:hAnsi="宋体" w:eastAsia="宋体" w:cs="宋体"/>
          <w:b/>
          <w:color w:val="auto"/>
          <w:szCs w:val="21"/>
          <w:highlight w:val="none"/>
          <w:u w:val="single"/>
          <w:lang w:val="zh-CN"/>
        </w:rPr>
        <w:t>的风险</w:t>
      </w:r>
      <w:r>
        <w:rPr>
          <w:rFonts w:hint="eastAsia" w:ascii="宋体" w:hAnsi="宋体" w:eastAsia="宋体" w:cs="宋体"/>
          <w:color w:val="auto"/>
          <w:szCs w:val="21"/>
          <w:highlight w:val="none"/>
          <w:lang w:val="zh-CN"/>
        </w:rPr>
        <w:t>。</w:t>
      </w:r>
    </w:p>
    <w:p w14:paraId="2E03EB92">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p>
    <w:p w14:paraId="75130D9A">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19" w:name="_Toc450662860"/>
      <w:bookmarkStart w:id="120" w:name="_Toc486167674"/>
      <w:bookmarkStart w:id="121" w:name="_Toc11170"/>
      <w:bookmarkStart w:id="122" w:name="_Toc142508324"/>
      <w:bookmarkStart w:id="123" w:name="_Toc13214"/>
      <w:bookmarkStart w:id="124" w:name="_Toc297132033"/>
      <w:bookmarkStart w:id="125" w:name="_Toc8675_WPSOffice_Level3"/>
      <w:r>
        <w:rPr>
          <w:rFonts w:hint="eastAsia" w:ascii="宋体" w:hAnsi="宋体" w:eastAsia="宋体" w:cs="宋体"/>
          <w:color w:val="auto"/>
          <w:szCs w:val="21"/>
          <w:highlight w:val="none"/>
          <w:lang w:val="zh-CN"/>
        </w:rPr>
        <w:t xml:space="preserve">10 </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函</w:t>
      </w:r>
      <w:bookmarkEnd w:id="119"/>
      <w:bookmarkEnd w:id="120"/>
      <w:bookmarkEnd w:id="121"/>
      <w:bookmarkEnd w:id="122"/>
      <w:bookmarkEnd w:id="123"/>
      <w:bookmarkEnd w:id="124"/>
      <w:bookmarkEnd w:id="125"/>
    </w:p>
    <w:p w14:paraId="1487ED0A">
      <w:pPr>
        <w:autoSpaceDE w:val="0"/>
        <w:autoSpaceDN w:val="0"/>
        <w:adjustRightInd w:val="0"/>
        <w:spacing w:line="360" w:lineRule="auto"/>
        <w:ind w:left="265" w:leftChars="119" w:hanging="1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供应商应完整填写响应文件格式中规定的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函。</w:t>
      </w:r>
    </w:p>
    <w:p w14:paraId="74958694">
      <w:pPr>
        <w:autoSpaceDE w:val="0"/>
        <w:autoSpaceDN w:val="0"/>
        <w:adjustRightInd w:val="0"/>
        <w:spacing w:line="360" w:lineRule="auto"/>
        <w:ind w:left="265" w:leftChars="119" w:hanging="15"/>
        <w:rPr>
          <w:rFonts w:hint="eastAsia" w:ascii="宋体" w:hAnsi="宋体" w:eastAsia="宋体" w:cs="宋体"/>
          <w:color w:val="auto"/>
          <w:szCs w:val="21"/>
          <w:highlight w:val="none"/>
          <w:lang w:val="zh-CN"/>
        </w:rPr>
      </w:pPr>
    </w:p>
    <w:p w14:paraId="6468564B">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26" w:name="_Toc142508325"/>
      <w:bookmarkStart w:id="127" w:name="_Toc15427"/>
      <w:bookmarkStart w:id="128" w:name="_Toc541338696"/>
      <w:bookmarkStart w:id="129" w:name="_Toc486167675"/>
      <w:bookmarkStart w:id="130" w:name="_Toc450662861"/>
      <w:bookmarkStart w:id="131" w:name="_Toc4385_WPSOffice_Level3"/>
      <w:bookmarkStart w:id="132" w:name="_Toc24311"/>
      <w:r>
        <w:rPr>
          <w:rFonts w:hint="eastAsia" w:ascii="宋体" w:hAnsi="宋体" w:eastAsia="宋体" w:cs="宋体"/>
          <w:color w:val="auto"/>
          <w:szCs w:val="21"/>
          <w:highlight w:val="none"/>
          <w:lang w:val="zh-CN"/>
        </w:rPr>
        <w:t xml:space="preserve">11 </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报价</w:t>
      </w:r>
      <w:bookmarkEnd w:id="126"/>
      <w:bookmarkEnd w:id="127"/>
      <w:bookmarkEnd w:id="128"/>
      <w:bookmarkEnd w:id="129"/>
      <w:bookmarkEnd w:id="130"/>
      <w:bookmarkEnd w:id="131"/>
      <w:bookmarkEnd w:id="132"/>
    </w:p>
    <w:p w14:paraId="3B40980F">
      <w:pPr>
        <w:tabs>
          <w:tab w:val="left" w:pos="567"/>
        </w:tabs>
        <w:autoSpaceDE w:val="0"/>
        <w:autoSpaceDN w:val="0"/>
        <w:adjustRightInd w:val="0"/>
        <w:spacing w:line="360" w:lineRule="auto"/>
        <w:ind w:left="357" w:leftChars="-100" w:hanging="567"/>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11.1 本项目只允许有一个报价价格，任何有选择的或</w:t>
      </w:r>
      <w:r>
        <w:rPr>
          <w:rFonts w:hint="eastAsia" w:ascii="宋体" w:hAnsi="宋体" w:eastAsia="宋体" w:cs="宋体"/>
          <w:b/>
          <w:color w:val="auto"/>
          <w:kern w:val="0"/>
          <w:szCs w:val="21"/>
          <w:highlight w:val="none"/>
          <w:lang w:val="zh-CN"/>
        </w:rPr>
        <w:t>不是固定价的</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报价将不予接受，</w:t>
      </w:r>
      <w:r>
        <w:rPr>
          <w:rFonts w:hint="eastAsia" w:ascii="宋体" w:hAnsi="宋体" w:eastAsia="宋体" w:cs="宋体"/>
          <w:b/>
          <w:color w:val="auto"/>
          <w:kern w:val="0"/>
          <w:szCs w:val="21"/>
          <w:highlight w:val="none"/>
          <w:lang w:val="zh-CN"/>
        </w:rPr>
        <w:t>作为非实质性响应而予以拒绝。</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不得以低于企业自身成本的价格</w:t>
      </w:r>
      <w:r>
        <w:rPr>
          <w:rFonts w:hint="eastAsia" w:ascii="宋体" w:hAnsi="宋体" w:eastAsia="宋体" w:cs="宋体"/>
          <w:b/>
          <w:color w:val="auto"/>
          <w:kern w:val="0"/>
          <w:szCs w:val="21"/>
          <w:highlight w:val="none"/>
          <w:lang w:val="en-US" w:eastAsia="zh-CN"/>
        </w:rPr>
        <w:t>响应</w:t>
      </w:r>
      <w:r>
        <w:rPr>
          <w:rFonts w:hint="eastAsia" w:ascii="宋体" w:hAnsi="宋体" w:eastAsia="宋体" w:cs="宋体"/>
          <w:b/>
          <w:color w:val="auto"/>
          <w:szCs w:val="21"/>
          <w:highlight w:val="none"/>
          <w:lang w:val="zh-CN"/>
        </w:rPr>
        <w:t>。</w:t>
      </w:r>
    </w:p>
    <w:p w14:paraId="60C53724">
      <w:pPr>
        <w:tabs>
          <w:tab w:val="left" w:pos="567"/>
        </w:tabs>
        <w:autoSpaceDE w:val="0"/>
        <w:autoSpaceDN w:val="0"/>
        <w:adjustRightInd w:val="0"/>
        <w:spacing w:line="360" w:lineRule="auto"/>
        <w:ind w:firstLine="567"/>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若供应商出现超低报价，有可能影响服务质量和不能诚信履约的，评审委员会将要求该供应商作出书面说明并提供相关证明材料，以确定供应商是否以低于企业成本价报价。若供应商不能合理说明或不能提供相关证明材料的，评审委员会将认定其</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报价低于成本，同时否决其</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w:t>
      </w:r>
    </w:p>
    <w:p w14:paraId="66002C72">
      <w:pPr>
        <w:tabs>
          <w:tab w:val="left" w:pos="567"/>
        </w:tabs>
        <w:autoSpaceDE w:val="0"/>
        <w:autoSpaceDN w:val="0"/>
        <w:adjustRightInd w:val="0"/>
        <w:spacing w:line="360" w:lineRule="auto"/>
        <w:ind w:firstLine="567"/>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对是否低于企业成本价报价的事宜有争议的响应文件，评审委员会成员将以记名方式表决，</w:t>
      </w:r>
      <w:r>
        <w:rPr>
          <w:rFonts w:hint="eastAsia" w:ascii="宋体" w:hAnsi="宋体" w:eastAsia="宋体" w:cs="宋体"/>
          <w:b/>
          <w:color w:val="auto"/>
          <w:szCs w:val="21"/>
          <w:highlight w:val="none"/>
          <w:lang w:val="en-US" w:eastAsia="zh-CN"/>
        </w:rPr>
        <w:t>根据少数服从多数的原则，获多数表决通过</w:t>
      </w:r>
      <w:r>
        <w:rPr>
          <w:rFonts w:hint="eastAsia" w:ascii="宋体" w:hAnsi="宋体" w:eastAsia="宋体" w:cs="宋体"/>
          <w:b/>
          <w:color w:val="auto"/>
          <w:szCs w:val="21"/>
          <w:highlight w:val="none"/>
          <w:lang w:val="zh-CN"/>
        </w:rPr>
        <w:t>的供应商才有资格进入下一阶段的评审，否则将按无效</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处理。</w:t>
      </w:r>
    </w:p>
    <w:p w14:paraId="75B002E7">
      <w:pPr>
        <w:tabs>
          <w:tab w:val="left" w:pos="567"/>
        </w:tabs>
        <w:autoSpaceDE w:val="0"/>
        <w:autoSpaceDN w:val="0"/>
        <w:adjustRightInd w:val="0"/>
        <w:spacing w:line="360" w:lineRule="auto"/>
        <w:ind w:firstLine="567"/>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若出现下列情形之一的，评审委员会应启动异常低价</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审查程序：</w:t>
      </w:r>
    </w:p>
    <w:p w14:paraId="4211840D">
      <w:pPr>
        <w:tabs>
          <w:tab w:val="left" w:pos="567"/>
        </w:tabs>
        <w:autoSpaceDE w:val="0"/>
        <w:autoSpaceDN w:val="0"/>
        <w:adjustRightInd w:val="0"/>
        <w:spacing w:line="360" w:lineRule="auto"/>
        <w:ind w:firstLine="567"/>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（1）</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报价低于合格</w:t>
      </w:r>
      <w:r>
        <w:rPr>
          <w:rFonts w:hint="eastAsia" w:ascii="宋体" w:hAnsi="宋体" w:eastAsia="宋体" w:cs="宋体"/>
          <w:b/>
          <w:color w:val="auto"/>
          <w:szCs w:val="21"/>
          <w:highlight w:val="none"/>
          <w:lang w:val="en-US" w:eastAsia="zh-CN"/>
        </w:rPr>
        <w:t>供应商</w:t>
      </w:r>
      <w:r>
        <w:rPr>
          <w:rFonts w:hint="eastAsia" w:ascii="宋体" w:hAnsi="宋体" w:eastAsia="宋体" w:cs="宋体"/>
          <w:b/>
          <w:color w:val="auto"/>
          <w:szCs w:val="21"/>
          <w:highlight w:val="none"/>
          <w:lang w:val="zh-CN"/>
        </w:rPr>
        <w:t>报价平均值50%的；</w:t>
      </w:r>
    </w:p>
    <w:p w14:paraId="2204CA45">
      <w:pPr>
        <w:tabs>
          <w:tab w:val="left" w:pos="567"/>
        </w:tabs>
        <w:autoSpaceDE w:val="0"/>
        <w:autoSpaceDN w:val="0"/>
        <w:adjustRightInd w:val="0"/>
        <w:spacing w:line="360" w:lineRule="auto"/>
        <w:ind w:firstLine="567"/>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（2）</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报价低于合格且报价次低</w:t>
      </w:r>
      <w:r>
        <w:rPr>
          <w:rFonts w:hint="eastAsia" w:ascii="宋体" w:hAnsi="宋体" w:eastAsia="宋体" w:cs="宋体"/>
          <w:b/>
          <w:color w:val="auto"/>
          <w:szCs w:val="21"/>
          <w:highlight w:val="none"/>
          <w:lang w:val="en-US" w:eastAsia="zh-CN"/>
        </w:rPr>
        <w:t>供应商</w:t>
      </w:r>
      <w:r>
        <w:rPr>
          <w:rFonts w:hint="eastAsia" w:ascii="宋体" w:hAnsi="宋体" w:eastAsia="宋体" w:cs="宋体"/>
          <w:b/>
          <w:color w:val="auto"/>
          <w:szCs w:val="21"/>
          <w:highlight w:val="none"/>
          <w:lang w:val="zh-CN"/>
        </w:rPr>
        <w:t>报价50%的；</w:t>
      </w:r>
    </w:p>
    <w:p w14:paraId="4A030244">
      <w:pPr>
        <w:tabs>
          <w:tab w:val="left" w:pos="567"/>
        </w:tabs>
        <w:autoSpaceDE w:val="0"/>
        <w:autoSpaceDN w:val="0"/>
        <w:adjustRightInd w:val="0"/>
        <w:spacing w:line="360" w:lineRule="auto"/>
        <w:ind w:firstLine="567"/>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（3）</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报价低于采购项目采购限价45%的；</w:t>
      </w:r>
    </w:p>
    <w:p w14:paraId="65E0C080">
      <w:pPr>
        <w:tabs>
          <w:tab w:val="left" w:pos="567"/>
        </w:tabs>
        <w:autoSpaceDE w:val="0"/>
        <w:autoSpaceDN w:val="0"/>
        <w:adjustRightInd w:val="0"/>
        <w:spacing w:line="360" w:lineRule="auto"/>
        <w:ind w:firstLine="567"/>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（4）评审委员会认为</w:t>
      </w:r>
      <w:r>
        <w:rPr>
          <w:rFonts w:hint="eastAsia" w:ascii="宋体" w:hAnsi="宋体" w:eastAsia="宋体" w:cs="宋体"/>
          <w:b/>
          <w:color w:val="auto"/>
          <w:szCs w:val="21"/>
          <w:highlight w:val="none"/>
          <w:lang w:val="en-US" w:eastAsia="zh-CN"/>
        </w:rPr>
        <w:t>供应商</w:t>
      </w:r>
      <w:r>
        <w:rPr>
          <w:rFonts w:hint="eastAsia" w:ascii="宋体" w:hAnsi="宋体" w:eastAsia="宋体" w:cs="宋体"/>
          <w:b/>
          <w:color w:val="auto"/>
          <w:szCs w:val="21"/>
          <w:highlight w:val="none"/>
          <w:lang w:val="zh-CN"/>
        </w:rPr>
        <w:t>报价过低，有可能影响产品质量或者不能诚信履约的。</w:t>
      </w:r>
    </w:p>
    <w:p w14:paraId="7BA81716">
      <w:pPr>
        <w:spacing w:line="360" w:lineRule="auto"/>
        <w:ind w:left="315" w:leftChars="-100" w:hanging="525" w:hangingChars="250"/>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rPr>
        <w:t>11.2</w:t>
      </w:r>
      <w:r>
        <w:rPr>
          <w:rFonts w:hint="eastAsia" w:ascii="宋体" w:hAnsi="宋体" w:eastAsia="宋体" w:cs="宋体"/>
          <w:color w:val="auto"/>
          <w:szCs w:val="21"/>
          <w:highlight w:val="none"/>
          <w:lang w:val="zh-CN"/>
        </w:rPr>
        <w:tab/>
      </w:r>
      <w:r>
        <w:rPr>
          <w:rFonts w:hint="eastAsia" w:ascii="宋体" w:hAnsi="宋体" w:eastAsia="宋体" w:cs="宋体"/>
          <w:b/>
          <w:color w:val="auto"/>
          <w:szCs w:val="21"/>
          <w:highlight w:val="none"/>
          <w:u w:val="single"/>
          <w:lang w:val="zh-CN"/>
        </w:rPr>
        <w:t>本项目</w:t>
      </w:r>
      <w:r>
        <w:rPr>
          <w:rFonts w:hint="eastAsia" w:ascii="宋体" w:hAnsi="宋体" w:eastAsia="宋体" w:cs="宋体"/>
          <w:b/>
          <w:color w:val="auto"/>
          <w:szCs w:val="21"/>
          <w:highlight w:val="none"/>
          <w:u w:val="single"/>
          <w:lang w:val="en-US" w:eastAsia="zh-CN"/>
        </w:rPr>
        <w:t>响应</w:t>
      </w:r>
      <w:r>
        <w:rPr>
          <w:rFonts w:hint="eastAsia" w:ascii="宋体" w:hAnsi="宋体" w:eastAsia="宋体" w:cs="宋体"/>
          <w:b/>
          <w:color w:val="auto"/>
          <w:szCs w:val="21"/>
          <w:highlight w:val="none"/>
          <w:u w:val="single"/>
          <w:lang w:val="zh-CN"/>
        </w:rPr>
        <w:t>报价为不含税价，即为</w:t>
      </w:r>
      <w:r>
        <w:rPr>
          <w:rFonts w:hint="eastAsia" w:ascii="宋体" w:hAnsi="宋体" w:eastAsia="宋体" w:cs="宋体"/>
          <w:b/>
          <w:bCs/>
          <w:color w:val="auto"/>
          <w:kern w:val="0"/>
          <w:szCs w:val="21"/>
          <w:highlight w:val="none"/>
          <w:u w:val="single"/>
        </w:rPr>
        <w:t>《中华人民共和国增值税法》及其实施条例规定的销售额</w:t>
      </w:r>
      <w:r>
        <w:rPr>
          <w:rFonts w:hint="eastAsia" w:ascii="宋体" w:hAnsi="宋体" w:eastAsia="宋体" w:cs="宋体"/>
          <w:color w:val="auto"/>
          <w:szCs w:val="21"/>
          <w:highlight w:val="none"/>
          <w:u w:val="single"/>
          <w:lang w:val="zh-CN"/>
        </w:rPr>
        <w:t>。</w:t>
      </w:r>
      <w:r>
        <w:rPr>
          <w:rFonts w:hint="eastAsia" w:ascii="宋体" w:hAnsi="宋体" w:eastAsia="宋体" w:cs="宋体"/>
          <w:color w:val="auto"/>
          <w:szCs w:val="21"/>
          <w:highlight w:val="none"/>
          <w:lang w:val="zh-CN"/>
        </w:rPr>
        <w:t>本询比文件所称的不含税价和不含税合同价是指不含本采购项目供应商的销项税额，包含了</w:t>
      </w:r>
      <w:r>
        <w:rPr>
          <w:rFonts w:hint="eastAsia" w:ascii="宋体" w:hAnsi="宋体" w:eastAsia="宋体" w:cs="宋体"/>
          <w:color w:val="auto"/>
          <w:szCs w:val="21"/>
          <w:highlight w:val="none"/>
          <w:lang w:val="zh-CN" w:eastAsia="zh-CN"/>
        </w:rPr>
        <w:t>供应商</w:t>
      </w:r>
      <w:r>
        <w:rPr>
          <w:rFonts w:hint="eastAsia" w:ascii="宋体" w:hAnsi="宋体" w:eastAsia="宋体" w:cs="宋体"/>
          <w:color w:val="auto"/>
          <w:szCs w:val="21"/>
          <w:highlight w:val="none"/>
          <w:lang w:val="zh-CN"/>
        </w:rPr>
        <w:t>完成合同义务（含供应商代缴代扣、分包及委外服务、安装、采购货物等所产生的价税）的其他全部费用。本采购项目的销项税额由采购人承担，不计入</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报价。本采购项目</w:t>
      </w:r>
      <w:r>
        <w:rPr>
          <w:rFonts w:hint="eastAsia" w:ascii="宋体" w:hAnsi="宋体" w:eastAsia="宋体" w:cs="宋体"/>
          <w:color w:val="auto"/>
          <w:szCs w:val="21"/>
          <w:highlight w:val="none"/>
          <w:lang w:val="zh-CN" w:eastAsia="zh-CN"/>
        </w:rPr>
        <w:t>响应</w:t>
      </w:r>
      <w:r>
        <w:rPr>
          <w:rFonts w:hint="eastAsia" w:ascii="宋体" w:hAnsi="宋体" w:eastAsia="宋体" w:cs="宋体"/>
          <w:color w:val="auto"/>
          <w:szCs w:val="21"/>
          <w:highlight w:val="none"/>
          <w:lang w:val="zh-CN"/>
        </w:rPr>
        <w:t>报价已含</w:t>
      </w:r>
      <w:r>
        <w:rPr>
          <w:rFonts w:hint="eastAsia" w:ascii="宋体" w:hAnsi="宋体" w:eastAsia="宋体" w:cs="宋体"/>
          <w:color w:val="auto"/>
          <w:szCs w:val="21"/>
          <w:highlight w:val="none"/>
          <w:lang w:val="zh-CN" w:eastAsia="zh-CN"/>
        </w:rPr>
        <w:t>供应商</w:t>
      </w:r>
      <w:r>
        <w:rPr>
          <w:rFonts w:hint="eastAsia" w:ascii="宋体" w:hAnsi="宋体" w:eastAsia="宋体" w:cs="宋体"/>
          <w:color w:val="auto"/>
          <w:szCs w:val="21"/>
          <w:highlight w:val="none"/>
          <w:lang w:val="zh-CN"/>
        </w:rPr>
        <w:t>履行本</w:t>
      </w:r>
      <w:r>
        <w:rPr>
          <w:rFonts w:hint="eastAsia" w:ascii="宋体" w:hAnsi="宋体" w:eastAsia="宋体" w:cs="宋体"/>
          <w:color w:val="auto"/>
          <w:szCs w:val="21"/>
          <w:highlight w:val="none"/>
          <w:lang w:val="zh-CN" w:eastAsia="zh-CN"/>
        </w:rPr>
        <w:t>采购</w:t>
      </w:r>
      <w:r>
        <w:rPr>
          <w:rFonts w:hint="eastAsia" w:ascii="宋体" w:hAnsi="宋体" w:eastAsia="宋体" w:cs="宋体"/>
          <w:color w:val="auto"/>
          <w:szCs w:val="21"/>
          <w:highlight w:val="none"/>
          <w:lang w:val="zh-CN"/>
        </w:rPr>
        <w:t>内容全部义务的一切费用，包括但不限于：</w:t>
      </w:r>
      <w:r>
        <w:rPr>
          <w:rFonts w:hint="eastAsia" w:ascii="宋体" w:hAnsi="宋体" w:eastAsia="宋体" w:cs="宋体"/>
          <w:color w:val="auto"/>
          <w:szCs w:val="21"/>
          <w:highlight w:val="none"/>
          <w:lang w:val="zh-CN" w:eastAsia="zh-CN"/>
        </w:rPr>
        <w:t>危险废物运输费、废物分拣及检测费、处理处置费、技术咨询费、管理费</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zh-CN" w:eastAsia="zh-CN"/>
        </w:rPr>
        <w:t>人员及车辆</w:t>
      </w:r>
      <w:r>
        <w:rPr>
          <w:rFonts w:hint="eastAsia" w:ascii="宋体" w:hAnsi="宋体" w:eastAsia="宋体" w:cs="宋体"/>
          <w:color w:val="auto"/>
          <w:szCs w:val="21"/>
          <w:highlight w:val="none"/>
          <w:lang w:val="zh-CN"/>
        </w:rPr>
        <w:t>保险费</w:t>
      </w:r>
      <w:r>
        <w:rPr>
          <w:rFonts w:hint="eastAsia" w:ascii="宋体" w:hAnsi="宋体" w:eastAsia="宋体" w:cs="宋体"/>
          <w:color w:val="auto"/>
          <w:szCs w:val="21"/>
          <w:highlight w:val="none"/>
          <w:lang w:val="zh-CN" w:eastAsia="zh-CN"/>
        </w:rPr>
        <w:t>、</w:t>
      </w:r>
      <w:r>
        <w:rPr>
          <w:rFonts w:hint="eastAsia" w:ascii="宋体" w:hAnsi="宋体" w:eastAsia="宋体" w:cs="宋体"/>
          <w:color w:val="auto"/>
          <w:szCs w:val="21"/>
          <w:highlight w:val="none"/>
          <w:lang w:val="zh-CN"/>
        </w:rPr>
        <w:t>利润</w:t>
      </w:r>
      <w:r>
        <w:rPr>
          <w:rFonts w:hint="eastAsia" w:ascii="宋体" w:hAnsi="宋体" w:eastAsia="宋体" w:cs="宋体"/>
          <w:color w:val="auto"/>
          <w:szCs w:val="21"/>
          <w:highlight w:val="none"/>
          <w:lang w:val="zh-CN" w:eastAsia="zh-CN"/>
        </w:rPr>
        <w:t>、供应商销项税额以外的税费、成交服务费等供应商完成本合同约定项目内容所需的一切费用，不随法律法规政策、物价人工、服务期限调整而进行调整，未经采购人书面确认，供应商无权增加任何费用</w:t>
      </w:r>
      <w:r>
        <w:rPr>
          <w:rFonts w:hint="eastAsia" w:ascii="宋体" w:hAnsi="宋体" w:eastAsia="宋体" w:cs="宋体"/>
          <w:color w:val="auto"/>
          <w:szCs w:val="21"/>
          <w:highlight w:val="none"/>
          <w:lang w:val="zh-CN"/>
        </w:rPr>
        <w:t>。</w:t>
      </w:r>
    </w:p>
    <w:p w14:paraId="56312781">
      <w:pPr>
        <w:autoSpaceDE w:val="0"/>
        <w:autoSpaceDN w:val="0"/>
        <w:adjustRightInd w:val="0"/>
        <w:spacing w:line="360" w:lineRule="auto"/>
        <w:ind w:left="357" w:leftChars="-100" w:hanging="56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11.3 </w:t>
      </w:r>
      <w:r>
        <w:rPr>
          <w:rFonts w:hint="eastAsia" w:ascii="宋体" w:hAnsi="宋体" w:eastAsia="宋体" w:cs="宋体"/>
          <w:color w:val="auto"/>
          <w:szCs w:val="21"/>
          <w:highlight w:val="none"/>
          <w:lang w:val="zh-CN"/>
        </w:rPr>
        <w:t>供应商根据</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file:///E:\\招标文件\\用户目录\\Documents\\WeChat%20Files\\wxid_d71qzxy6fjr811\\FileStorage\\File\\2021-09\\1、挂网资料、呈批表-抽取专家模板\\挂网资料（东莞市水务集团净水有限公司保安服务定点采购项目）\\挂网资料（东莞市长安锦厦三洲水质净化厂提标工程新增格栅机、闸门等设备采购项目）\\石鼓工作（201807）\\01%20%20项目资料\\Administrator\\AppData\\Roaming\\Microsoft\\Word\\AppData\\审核工作\\审核的文件\\l"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1"/>
          <w:highlight w:val="none"/>
          <w:lang w:val="zh-CN"/>
        </w:rPr>
        <w:t>第11.</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zh-CN"/>
        </w:rPr>
        <w:t>款</w:t>
      </w:r>
      <w:r>
        <w:rPr>
          <w:rFonts w:hint="eastAsia" w:ascii="宋体" w:hAnsi="宋体" w:eastAsia="宋体" w:cs="宋体"/>
          <w:color w:val="auto"/>
          <w:szCs w:val="21"/>
          <w:highlight w:val="none"/>
          <w:lang w:val="zh-CN"/>
        </w:rPr>
        <w:fldChar w:fldCharType="end"/>
      </w:r>
      <w:r>
        <w:rPr>
          <w:rFonts w:hint="eastAsia" w:ascii="宋体" w:hAnsi="宋体" w:eastAsia="宋体" w:cs="宋体"/>
          <w:color w:val="auto"/>
          <w:szCs w:val="21"/>
          <w:highlight w:val="none"/>
          <w:lang w:val="zh-CN"/>
        </w:rPr>
        <w:t>所报的价格分项仅供评审委员会评审时使用；在任何情况下不限制供应商以不同的条件成交的权利。</w:t>
      </w:r>
    </w:p>
    <w:p w14:paraId="7765D17F">
      <w:pPr>
        <w:autoSpaceDE w:val="0"/>
        <w:autoSpaceDN w:val="0"/>
        <w:adjustRightInd w:val="0"/>
        <w:spacing w:line="360" w:lineRule="auto"/>
        <w:ind w:left="268" w:leftChars="-100" w:hanging="478" w:hangingChars="228"/>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11.4 在合同期间，</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报价不随国家政策或法规、标准、市场因素及采购数量的变化而进行调整</w:t>
      </w: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rPr>
        <w:t xml:space="preserve"> </w:t>
      </w:r>
    </w:p>
    <w:p w14:paraId="3E542888">
      <w:pPr>
        <w:autoSpaceDE w:val="0"/>
        <w:autoSpaceDN w:val="0"/>
        <w:adjustRightInd w:val="0"/>
        <w:spacing w:line="360" w:lineRule="auto"/>
        <w:ind w:left="357" w:leftChars="-100" w:hanging="567"/>
        <w:rPr>
          <w:rFonts w:hint="eastAsia" w:ascii="宋体" w:hAnsi="宋体" w:eastAsia="宋体" w:cs="宋体"/>
          <w:b/>
          <w:bCs/>
          <w:color w:val="auto"/>
          <w:szCs w:val="21"/>
          <w:highlight w:val="none"/>
          <w:lang w:val="zh-CN"/>
        </w:rPr>
      </w:pPr>
      <w:r>
        <w:rPr>
          <w:rFonts w:hint="eastAsia" w:ascii="宋体" w:hAnsi="宋体" w:eastAsia="宋体" w:cs="宋体"/>
          <w:color w:val="auto"/>
          <w:szCs w:val="21"/>
          <w:highlight w:val="none"/>
          <w:lang w:val="zh-CN"/>
        </w:rPr>
        <w:t xml:space="preserve">11.5 </w:t>
      </w:r>
      <w:r>
        <w:rPr>
          <w:rFonts w:hint="eastAsia" w:ascii="宋体" w:hAnsi="宋体" w:eastAsia="宋体" w:cs="宋体"/>
          <w:b/>
          <w:bCs/>
          <w:color w:val="auto"/>
          <w:szCs w:val="21"/>
          <w:highlight w:val="none"/>
          <w:lang w:val="zh-CN"/>
        </w:rPr>
        <w:t>合同项下，采购人需要的</w:t>
      </w:r>
      <w:r>
        <w:rPr>
          <w:rFonts w:hint="eastAsia" w:ascii="宋体" w:hAnsi="宋体" w:eastAsia="宋体" w:cs="宋体"/>
          <w:b/>
          <w:bCs/>
          <w:color w:val="auto"/>
          <w:szCs w:val="21"/>
          <w:highlight w:val="none"/>
          <w:lang w:val="en-US" w:eastAsia="zh-CN"/>
        </w:rPr>
        <w:t>相关</w:t>
      </w:r>
      <w:r>
        <w:rPr>
          <w:rFonts w:hint="eastAsia" w:ascii="宋体" w:hAnsi="宋体" w:eastAsia="宋体" w:cs="宋体"/>
          <w:b/>
          <w:bCs/>
          <w:color w:val="auto"/>
          <w:szCs w:val="21"/>
          <w:highlight w:val="none"/>
          <w:lang w:val="zh-CN"/>
        </w:rPr>
        <w:t>服务所需的费用，供应商都应计入</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lang w:val="zh-CN"/>
        </w:rPr>
        <w:t>报价总价。</w:t>
      </w:r>
    </w:p>
    <w:p w14:paraId="4A7AC2C4">
      <w:pPr>
        <w:autoSpaceDE w:val="0"/>
        <w:autoSpaceDN w:val="0"/>
        <w:adjustRightInd w:val="0"/>
        <w:spacing w:line="360" w:lineRule="auto"/>
        <w:ind w:left="357" w:leftChars="-100" w:hanging="567"/>
        <w:rPr>
          <w:rFonts w:hint="eastAsia" w:ascii="宋体" w:hAnsi="宋体" w:eastAsia="宋体" w:cs="宋体"/>
          <w:b/>
          <w:color w:val="auto"/>
          <w:szCs w:val="21"/>
          <w:highlight w:val="none"/>
          <w:lang w:val="zh-CN"/>
        </w:rPr>
      </w:pPr>
      <w:r>
        <w:rPr>
          <w:rFonts w:hint="eastAsia" w:ascii="宋体" w:hAnsi="宋体" w:eastAsia="宋体" w:cs="宋体"/>
          <w:color w:val="auto"/>
          <w:szCs w:val="21"/>
          <w:highlight w:val="none"/>
          <w:lang w:val="zh-CN"/>
        </w:rPr>
        <w:t>11.6</w:t>
      </w:r>
      <w:r>
        <w:rPr>
          <w:rFonts w:hint="eastAsia" w:ascii="宋体" w:hAnsi="宋体" w:eastAsia="宋体" w:cs="宋体"/>
          <w:b/>
          <w:bCs/>
          <w:color w:val="auto"/>
          <w:szCs w:val="21"/>
          <w:highlight w:val="none"/>
          <w:u w:val="none"/>
        </w:rPr>
        <w:t xml:space="preserve"> </w:t>
      </w:r>
      <w:r>
        <w:rPr>
          <w:rFonts w:hint="eastAsia" w:ascii="宋体" w:hAnsi="宋体" w:eastAsia="宋体" w:cs="宋体"/>
          <w:b/>
          <w:color w:val="auto"/>
          <w:szCs w:val="21"/>
          <w:highlight w:val="none"/>
          <w:u w:val="single"/>
          <w:lang w:val="en-US" w:eastAsia="zh-CN"/>
        </w:rPr>
        <w:t>供应商的不含税综合单价响应报价高于本项目不含税采购限价综合单价的</w:t>
      </w:r>
      <w:r>
        <w:rPr>
          <w:rFonts w:hint="eastAsia" w:ascii="宋体" w:hAnsi="宋体" w:eastAsia="宋体" w:cs="宋体"/>
          <w:b/>
          <w:color w:val="auto"/>
          <w:szCs w:val="21"/>
          <w:highlight w:val="none"/>
          <w:u w:val="single"/>
        </w:rPr>
        <w:t>，该</w:t>
      </w:r>
      <w:r>
        <w:rPr>
          <w:rFonts w:hint="eastAsia" w:ascii="宋体" w:hAnsi="宋体" w:eastAsia="宋体" w:cs="宋体"/>
          <w:b/>
          <w:color w:val="auto"/>
          <w:szCs w:val="21"/>
          <w:highlight w:val="none"/>
          <w:u w:val="single"/>
          <w:lang w:val="en-US" w:eastAsia="zh-CN"/>
        </w:rPr>
        <w:t>供应商</w:t>
      </w:r>
      <w:r>
        <w:rPr>
          <w:rFonts w:hint="eastAsia" w:ascii="宋体" w:hAnsi="宋体" w:eastAsia="宋体" w:cs="宋体"/>
          <w:b/>
          <w:color w:val="auto"/>
          <w:szCs w:val="21"/>
          <w:highlight w:val="none"/>
          <w:u w:val="single"/>
        </w:rPr>
        <w:t>的</w:t>
      </w:r>
      <w:r>
        <w:rPr>
          <w:rFonts w:hint="eastAsia" w:ascii="宋体" w:hAnsi="宋体" w:eastAsia="宋体" w:cs="宋体"/>
          <w:b/>
          <w:color w:val="auto"/>
          <w:szCs w:val="21"/>
          <w:highlight w:val="none"/>
          <w:u w:val="single"/>
          <w:lang w:val="en-US" w:eastAsia="zh-CN"/>
        </w:rPr>
        <w:t>响应</w:t>
      </w:r>
      <w:r>
        <w:rPr>
          <w:rFonts w:hint="eastAsia" w:ascii="宋体" w:hAnsi="宋体" w:eastAsia="宋体" w:cs="宋体"/>
          <w:b/>
          <w:color w:val="auto"/>
          <w:szCs w:val="21"/>
          <w:highlight w:val="none"/>
          <w:u w:val="single"/>
        </w:rPr>
        <w:t>文件将被视为无效</w:t>
      </w:r>
      <w:r>
        <w:rPr>
          <w:rFonts w:hint="eastAsia" w:ascii="宋体" w:hAnsi="宋体" w:eastAsia="宋体" w:cs="宋体"/>
          <w:b/>
          <w:color w:val="auto"/>
          <w:szCs w:val="21"/>
          <w:highlight w:val="none"/>
          <w:u w:val="single"/>
          <w:lang w:val="en-US" w:eastAsia="zh-CN"/>
        </w:rPr>
        <w:t>响应</w:t>
      </w:r>
      <w:r>
        <w:rPr>
          <w:rFonts w:hint="eastAsia" w:ascii="宋体" w:hAnsi="宋体" w:eastAsia="宋体" w:cs="宋体"/>
          <w:b/>
          <w:color w:val="auto"/>
          <w:szCs w:val="21"/>
          <w:highlight w:val="none"/>
          <w:u w:val="single"/>
          <w:lang w:eastAsia="zh-CN"/>
        </w:rPr>
        <w:t>。</w:t>
      </w:r>
      <w:r>
        <w:rPr>
          <w:rFonts w:hint="eastAsia" w:ascii="宋体" w:hAnsi="宋体" w:eastAsia="宋体" w:cs="宋体"/>
          <w:b/>
          <w:color w:val="auto"/>
          <w:szCs w:val="21"/>
          <w:highlight w:val="none"/>
          <w:u w:val="single"/>
          <w:lang w:val="en-US" w:eastAsia="zh-CN"/>
        </w:rPr>
        <w:t>本项目</w:t>
      </w:r>
      <w:r>
        <w:rPr>
          <w:rFonts w:hint="eastAsia" w:ascii="宋体" w:hAnsi="宋体" w:eastAsia="宋体" w:cs="宋体"/>
          <w:b/>
          <w:color w:val="auto"/>
          <w:szCs w:val="21"/>
          <w:highlight w:val="none"/>
          <w:u w:val="single"/>
        </w:rPr>
        <w:t>不含税采购限价综合单价为</w:t>
      </w:r>
      <w:r>
        <w:rPr>
          <w:rFonts w:hint="eastAsia" w:ascii="宋体" w:hAnsi="宋体" w:eastAsia="宋体" w:cs="宋体"/>
          <w:b/>
          <w:color w:val="auto"/>
          <w:szCs w:val="21"/>
          <w:highlight w:val="none"/>
          <w:u w:val="single"/>
          <w:lang w:val="en-US" w:eastAsia="zh-CN"/>
        </w:rPr>
        <w:t>2,075.47元/吨（大写人民币每吨贰仟零柒拾伍元肆角柒分）</w:t>
      </w:r>
      <w:r>
        <w:rPr>
          <w:rFonts w:hint="eastAsia" w:ascii="宋体" w:hAnsi="宋体" w:eastAsia="宋体" w:cs="宋体"/>
          <w:b/>
          <w:bCs/>
          <w:color w:val="auto"/>
          <w:szCs w:val="21"/>
          <w:highlight w:val="none"/>
          <w:u w:val="none"/>
          <w:shd w:val="clear"/>
          <w:lang w:val="zh-CN"/>
        </w:rPr>
        <w:t>。</w:t>
      </w:r>
    </w:p>
    <w:p w14:paraId="39B805AF">
      <w:pPr>
        <w:autoSpaceDE w:val="0"/>
        <w:autoSpaceDN w:val="0"/>
        <w:adjustRightInd w:val="0"/>
        <w:spacing w:line="360" w:lineRule="auto"/>
        <w:ind w:left="357" w:leftChars="-100"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 xml:space="preserve">     </w:t>
      </w:r>
    </w:p>
    <w:p w14:paraId="45C90561">
      <w:pPr>
        <w:autoSpaceDE w:val="0"/>
        <w:autoSpaceDN w:val="0"/>
        <w:adjustRightInd w:val="0"/>
        <w:spacing w:line="360" w:lineRule="auto"/>
        <w:ind w:left="357" w:leftChars="-100" w:hanging="567"/>
        <w:jc w:val="left"/>
        <w:outlineLvl w:val="2"/>
        <w:rPr>
          <w:rFonts w:hint="eastAsia" w:ascii="宋体" w:hAnsi="宋体" w:eastAsia="宋体" w:cs="宋体"/>
          <w:b/>
          <w:color w:val="auto"/>
          <w:szCs w:val="21"/>
          <w:highlight w:val="none"/>
          <w:lang w:val="zh-CN"/>
        </w:rPr>
      </w:pPr>
      <w:bookmarkStart w:id="133" w:name="_Toc142508326"/>
      <w:bookmarkStart w:id="134" w:name="_Toc450662862"/>
      <w:bookmarkStart w:id="135" w:name="_Toc30042_WPSOffice_Level3"/>
      <w:bookmarkStart w:id="136" w:name="_Toc486167676"/>
      <w:bookmarkStart w:id="137" w:name="_Toc765415560"/>
      <w:bookmarkStart w:id="138" w:name="_Toc3469"/>
      <w:bookmarkStart w:id="139" w:name="_Toc20312"/>
      <w:r>
        <w:rPr>
          <w:rFonts w:hint="eastAsia" w:ascii="宋体" w:hAnsi="宋体" w:eastAsia="宋体" w:cs="宋体"/>
          <w:b/>
          <w:color w:val="auto"/>
          <w:szCs w:val="21"/>
          <w:highlight w:val="none"/>
          <w:lang w:val="zh-CN"/>
        </w:rPr>
        <w:t xml:space="preserve">12 </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报价货币</w:t>
      </w:r>
      <w:bookmarkEnd w:id="133"/>
      <w:bookmarkEnd w:id="134"/>
      <w:bookmarkEnd w:id="135"/>
      <w:bookmarkEnd w:id="136"/>
      <w:bookmarkEnd w:id="137"/>
      <w:bookmarkEnd w:id="138"/>
      <w:bookmarkEnd w:id="139"/>
    </w:p>
    <w:p w14:paraId="3E1B6329">
      <w:pPr>
        <w:autoSpaceDE w:val="0"/>
        <w:autoSpaceDN w:val="0"/>
        <w:adjustRightInd w:val="0"/>
        <w:spacing w:line="360" w:lineRule="auto"/>
        <w:ind w:left="265" w:leftChars="119" w:hanging="15"/>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报价表上的价格须以人民币报价，以其</w:t>
      </w:r>
      <w:r>
        <w:rPr>
          <w:rFonts w:hint="eastAsia" w:ascii="宋体" w:hAnsi="宋体" w:eastAsia="宋体" w:cs="宋体"/>
          <w:b/>
          <w:color w:val="auto"/>
          <w:szCs w:val="21"/>
          <w:highlight w:val="none"/>
          <w:lang w:val="en-US" w:eastAsia="zh-CN"/>
        </w:rPr>
        <w:t>他</w:t>
      </w:r>
      <w:r>
        <w:rPr>
          <w:rFonts w:hint="eastAsia" w:ascii="宋体" w:hAnsi="宋体" w:eastAsia="宋体" w:cs="宋体"/>
          <w:b/>
          <w:color w:val="auto"/>
          <w:szCs w:val="21"/>
          <w:highlight w:val="none"/>
          <w:lang w:val="zh-CN"/>
        </w:rPr>
        <w:t>货币标价的</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将予以拒绝。</w:t>
      </w:r>
    </w:p>
    <w:p w14:paraId="792BF6CC">
      <w:pPr>
        <w:autoSpaceDE w:val="0"/>
        <w:autoSpaceDN w:val="0"/>
        <w:adjustRightInd w:val="0"/>
        <w:spacing w:line="360" w:lineRule="auto"/>
        <w:ind w:left="265" w:leftChars="119" w:hanging="15"/>
        <w:rPr>
          <w:rFonts w:hint="eastAsia" w:ascii="宋体" w:hAnsi="宋体" w:eastAsia="宋体" w:cs="宋体"/>
          <w:color w:val="auto"/>
          <w:szCs w:val="21"/>
          <w:highlight w:val="none"/>
        </w:rPr>
      </w:pPr>
    </w:p>
    <w:p w14:paraId="137ED4D1">
      <w:pPr>
        <w:tabs>
          <w:tab w:val="left" w:pos="570"/>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40" w:name="_Toc486167677"/>
      <w:bookmarkStart w:id="141" w:name="_Toc9411_WPSOffice_Level3"/>
      <w:bookmarkStart w:id="142" w:name="_Toc627429447"/>
      <w:bookmarkStart w:id="143" w:name="_Toc3961"/>
      <w:bookmarkStart w:id="144" w:name="_Toc450662863"/>
      <w:bookmarkStart w:id="145" w:name="_Toc20031"/>
      <w:bookmarkStart w:id="146" w:name="_Toc142508327"/>
      <w:r>
        <w:rPr>
          <w:rFonts w:hint="eastAsia" w:ascii="宋体" w:hAnsi="宋体" w:eastAsia="宋体" w:cs="宋体"/>
          <w:color w:val="auto"/>
          <w:szCs w:val="21"/>
          <w:highlight w:val="none"/>
          <w:lang w:val="zh-CN"/>
        </w:rPr>
        <w:t>13 证明供应商的合格性和资格的声明文件</w:t>
      </w:r>
      <w:bookmarkEnd w:id="140"/>
      <w:bookmarkEnd w:id="141"/>
      <w:bookmarkEnd w:id="142"/>
      <w:bookmarkEnd w:id="143"/>
      <w:bookmarkEnd w:id="144"/>
      <w:bookmarkEnd w:id="145"/>
      <w:bookmarkEnd w:id="146"/>
    </w:p>
    <w:p w14:paraId="55D3E164">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13.1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根据第2条、第13.2款规定，供应商须提交证明其有资格进行响应和有能力履行合同的文件，作为响应文件的一部分。</w:t>
      </w:r>
    </w:p>
    <w:p w14:paraId="1FC42B66">
      <w:pPr>
        <w:autoSpaceDE w:val="0"/>
        <w:autoSpaceDN w:val="0"/>
        <w:adjustRightInd w:val="0"/>
        <w:spacing w:line="360" w:lineRule="auto"/>
        <w:ind w:left="357" w:leftChars="-100" w:hanging="567"/>
        <w:rPr>
          <w:rFonts w:hint="eastAsia" w:ascii="宋体" w:hAnsi="宋体" w:eastAsia="宋体" w:cs="宋体"/>
          <w:color w:val="auto"/>
          <w:szCs w:val="21"/>
          <w:highlight w:val="none"/>
          <w:vertAlign w:val="superscript"/>
          <w:lang w:val="zh-CN"/>
        </w:rPr>
      </w:pPr>
      <w:r>
        <w:rPr>
          <w:rFonts w:hint="eastAsia" w:ascii="宋体" w:hAnsi="宋体" w:eastAsia="宋体" w:cs="宋体"/>
          <w:color w:val="auto"/>
          <w:szCs w:val="21"/>
          <w:highlight w:val="none"/>
          <w:lang w:val="zh-CN"/>
        </w:rPr>
        <w:t>13.2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供应商提供的履行合同的资格声明文件应符合：</w:t>
      </w:r>
    </w:p>
    <w:p w14:paraId="6A98954C">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（1）供应商应当具备承担本</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lang w:val="zh-CN"/>
        </w:rPr>
        <w:t>项目的履约能力，满足本</w:t>
      </w:r>
      <w:r>
        <w:rPr>
          <w:rFonts w:hint="eastAsia" w:ascii="宋体" w:hAnsi="宋体" w:eastAsia="宋体" w:cs="宋体"/>
          <w:color w:val="auto"/>
          <w:szCs w:val="21"/>
          <w:highlight w:val="none"/>
          <w:lang w:val="zh-CN" w:eastAsia="zh-CN"/>
        </w:rPr>
        <w:t>询比</w:t>
      </w:r>
      <w:r>
        <w:rPr>
          <w:rFonts w:hint="eastAsia" w:ascii="宋体" w:hAnsi="宋体" w:eastAsia="宋体" w:cs="宋体"/>
          <w:color w:val="auto"/>
          <w:szCs w:val="21"/>
          <w:highlight w:val="none"/>
          <w:lang w:val="zh-CN"/>
        </w:rPr>
        <w:t>文件规定的全部资格条件；</w:t>
      </w:r>
    </w:p>
    <w:p w14:paraId="5D9154AA">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（2）供应商具有履行本项目所必须的证明文件；</w:t>
      </w:r>
    </w:p>
    <w:p w14:paraId="17CC0F1C">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（3）供应商证明其相应资格符合或优于询比文件要求的其它文件。</w:t>
      </w:r>
    </w:p>
    <w:p w14:paraId="6E156ED8">
      <w:pPr>
        <w:spacing w:line="360" w:lineRule="auto"/>
        <w:ind w:left="315" w:leftChars="-100" w:hanging="525" w:hangingChars="2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13.3 供应商根据询比文件载明的相关服务要求的实际情况，拟在成交后将成交项目的非主体、非关键性专业工作交由他人完成的，应当在响应文件中载明，并提供他人的资质、能力证明材料。</w:t>
      </w:r>
    </w:p>
    <w:p w14:paraId="061B92EF">
      <w:pPr>
        <w:autoSpaceDE w:val="0"/>
        <w:autoSpaceDN w:val="0"/>
        <w:adjustRightInd w:val="0"/>
        <w:spacing w:line="360" w:lineRule="auto"/>
        <w:ind w:left="560" w:leftChars="128" w:hanging="291" w:hangingChars="139"/>
        <w:rPr>
          <w:rFonts w:hint="eastAsia" w:ascii="宋体" w:hAnsi="宋体" w:eastAsia="宋体" w:cs="宋体"/>
          <w:color w:val="auto"/>
          <w:szCs w:val="21"/>
          <w:highlight w:val="none"/>
        </w:rPr>
      </w:pPr>
    </w:p>
    <w:p w14:paraId="70B51C99">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47" w:name="_Toc450662864"/>
      <w:bookmarkStart w:id="148" w:name="_Toc732300639"/>
      <w:bookmarkStart w:id="149" w:name="_Toc486167678"/>
      <w:bookmarkStart w:id="150" w:name="_Toc142508328"/>
      <w:bookmarkStart w:id="151" w:name="_Toc27771_WPSOffice_Level3"/>
      <w:bookmarkStart w:id="152" w:name="_Toc8615"/>
      <w:bookmarkStart w:id="153" w:name="_Toc29754"/>
      <w:r>
        <w:rPr>
          <w:rFonts w:hint="eastAsia" w:ascii="宋体" w:hAnsi="宋体" w:eastAsia="宋体" w:cs="宋体"/>
          <w:color w:val="auto"/>
          <w:szCs w:val="21"/>
          <w:highlight w:val="none"/>
          <w:lang w:val="zh-CN"/>
        </w:rPr>
        <w:t>14 证明服务的合格性并符合询比文件规定的声明文件</w:t>
      </w:r>
      <w:bookmarkEnd w:id="147"/>
      <w:bookmarkEnd w:id="148"/>
      <w:bookmarkEnd w:id="149"/>
      <w:bookmarkEnd w:id="150"/>
      <w:bookmarkEnd w:id="151"/>
      <w:bookmarkEnd w:id="152"/>
      <w:bookmarkEnd w:id="153"/>
    </w:p>
    <w:p w14:paraId="42FE853D">
      <w:pPr>
        <w:spacing w:line="360" w:lineRule="auto"/>
        <w:ind w:left="315" w:leftChars="-100" w:hanging="525" w:hangingChars="2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14.1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根据</w:t>
      </w:r>
      <w:r>
        <w:rPr>
          <w:rFonts w:hint="eastAsia" w:ascii="宋体" w:hAnsi="宋体" w:eastAsia="宋体" w:cs="宋体"/>
          <w:color w:val="auto"/>
          <w:kern w:val="0"/>
          <w:szCs w:val="21"/>
          <w:highlight w:val="none"/>
        </w:rPr>
        <w:t>第9</w:t>
      </w:r>
      <w:r>
        <w:rPr>
          <w:rFonts w:hint="eastAsia" w:ascii="宋体" w:hAnsi="宋体" w:eastAsia="宋体" w:cs="宋体"/>
          <w:color w:val="auto"/>
          <w:szCs w:val="21"/>
          <w:highlight w:val="none"/>
          <w:lang w:val="zh-CN"/>
        </w:rPr>
        <w:t>条规定，供应商须提交证明其拟供</w:t>
      </w:r>
      <w:r>
        <w:rPr>
          <w:rFonts w:hint="eastAsia" w:ascii="宋体" w:hAnsi="宋体" w:eastAsia="宋体" w:cs="宋体"/>
          <w:color w:val="auto"/>
          <w:szCs w:val="21"/>
          <w:highlight w:val="none"/>
          <w:lang w:val="en-US" w:eastAsia="zh-CN"/>
        </w:rPr>
        <w:t>服务</w:t>
      </w:r>
      <w:r>
        <w:rPr>
          <w:rFonts w:hint="eastAsia" w:ascii="宋体" w:hAnsi="宋体" w:eastAsia="宋体" w:cs="宋体"/>
          <w:color w:val="auto"/>
          <w:szCs w:val="21"/>
          <w:highlight w:val="none"/>
          <w:lang w:val="zh-CN"/>
        </w:rPr>
        <w:t>的合格性并符合询比文件规定的声明文件，作为响应文件的一部分。</w:t>
      </w:r>
    </w:p>
    <w:p w14:paraId="524F6294">
      <w:pPr>
        <w:spacing w:line="360" w:lineRule="auto"/>
        <w:ind w:left="315" w:leftChars="-100" w:hanging="525" w:hangingChars="2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14.2  证明</w:t>
      </w:r>
      <w:r>
        <w:rPr>
          <w:rFonts w:hint="eastAsia" w:ascii="宋体" w:hAnsi="宋体" w:eastAsia="宋体" w:cs="宋体"/>
          <w:color w:val="auto"/>
          <w:kern w:val="0"/>
          <w:szCs w:val="21"/>
          <w:highlight w:val="none"/>
          <w:lang w:eastAsia="zh-CN"/>
        </w:rPr>
        <w:t>相关</w:t>
      </w:r>
      <w:r>
        <w:rPr>
          <w:rFonts w:hint="eastAsia" w:ascii="宋体" w:hAnsi="宋体" w:eastAsia="宋体" w:cs="宋体"/>
          <w:color w:val="auto"/>
          <w:kern w:val="0"/>
          <w:szCs w:val="21"/>
          <w:highlight w:val="none"/>
        </w:rPr>
        <w:t>服务</w:t>
      </w:r>
      <w:r>
        <w:rPr>
          <w:rFonts w:hint="eastAsia" w:ascii="宋体" w:hAnsi="宋体" w:eastAsia="宋体" w:cs="宋体"/>
          <w:color w:val="auto"/>
          <w:szCs w:val="21"/>
          <w:highlight w:val="none"/>
          <w:lang w:val="zh-CN"/>
        </w:rPr>
        <w:t>与询比文件的要求相一致的文件可以是文字资料、图纸和数据资料。</w:t>
      </w:r>
    </w:p>
    <w:p w14:paraId="31739CAA">
      <w:pPr>
        <w:autoSpaceDE w:val="0"/>
        <w:autoSpaceDN w:val="0"/>
        <w:adjustRightInd w:val="0"/>
        <w:spacing w:line="360" w:lineRule="auto"/>
        <w:ind w:left="317" w:leftChars="-100" w:hanging="527" w:hangingChars="251"/>
        <w:rPr>
          <w:rFonts w:hint="eastAsia" w:ascii="宋体" w:hAnsi="宋体" w:eastAsia="宋体" w:cs="宋体"/>
          <w:b/>
          <w:color w:val="auto"/>
          <w:szCs w:val="21"/>
          <w:highlight w:val="none"/>
          <w:lang w:val="zh-CN"/>
        </w:rPr>
      </w:pPr>
      <w:r>
        <w:rPr>
          <w:rFonts w:hint="eastAsia" w:ascii="宋体" w:hAnsi="宋体" w:eastAsia="宋体" w:cs="宋体"/>
          <w:color w:val="auto"/>
          <w:szCs w:val="21"/>
          <w:highlight w:val="none"/>
          <w:lang w:val="zh-CN"/>
        </w:rPr>
        <w:t xml:space="preserve">14.3 </w:t>
      </w:r>
      <w:r>
        <w:rPr>
          <w:rFonts w:hint="eastAsia" w:ascii="宋体" w:hAnsi="宋体" w:eastAsia="宋体" w:cs="宋体"/>
          <w:b/>
          <w:color w:val="auto"/>
          <w:szCs w:val="21"/>
          <w:highlight w:val="none"/>
          <w:lang w:val="zh-CN"/>
        </w:rPr>
        <w:t>为说明第14.2款的规定，供应商应注意本询比文件在《用户需求书》中对服务要求</w:t>
      </w:r>
      <w:r>
        <w:rPr>
          <w:rFonts w:hint="eastAsia" w:ascii="宋体" w:hAnsi="宋体" w:eastAsia="宋体" w:cs="宋体"/>
          <w:b/>
          <w:color w:val="auto"/>
          <w:szCs w:val="21"/>
          <w:highlight w:val="none"/>
          <w:lang w:val="en-US" w:eastAsia="zh-CN"/>
        </w:rPr>
        <w:t>的</w:t>
      </w:r>
      <w:r>
        <w:rPr>
          <w:rFonts w:hint="eastAsia" w:ascii="宋体" w:hAnsi="宋体" w:eastAsia="宋体" w:cs="宋体"/>
          <w:b/>
          <w:color w:val="auto"/>
          <w:szCs w:val="21"/>
          <w:highlight w:val="none"/>
          <w:lang w:val="zh-CN"/>
        </w:rPr>
        <w:t>说明只是概括性的，不能理解为所需要的全部服务的要求，供应商应按国家、行业相关技术标准、规范和以往的服务经验，合格优质的完成采购内容和包含的全部服务。但凡标有“★”的地方均被视为重要的技术指标要求或性能要求。供应商要特别加以注意，必须对此回答并完全满足这些要求，否则若有一项带“★”的指标未响应或不满足，将按无效</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处理。</w:t>
      </w:r>
    </w:p>
    <w:p w14:paraId="1C437AAE">
      <w:pPr>
        <w:autoSpaceDE w:val="0"/>
        <w:autoSpaceDN w:val="0"/>
        <w:adjustRightInd w:val="0"/>
        <w:spacing w:line="360" w:lineRule="auto"/>
        <w:rPr>
          <w:rFonts w:hint="eastAsia" w:ascii="宋体" w:hAnsi="宋体" w:eastAsia="宋体" w:cs="宋体"/>
          <w:color w:val="auto"/>
          <w:kern w:val="0"/>
          <w:sz w:val="24"/>
          <w:szCs w:val="24"/>
          <w:highlight w:val="none"/>
        </w:rPr>
      </w:pPr>
    </w:p>
    <w:p w14:paraId="30D66313">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54" w:name="_Toc8644"/>
      <w:bookmarkStart w:id="155" w:name="_Toc5356_WPSOffice_Level3"/>
      <w:bookmarkStart w:id="156" w:name="_Toc142508329"/>
      <w:bookmarkStart w:id="157" w:name="_Toc744956650"/>
      <w:bookmarkStart w:id="158" w:name="_Toc30555"/>
      <w:bookmarkStart w:id="159" w:name="_Toc486167679"/>
      <w:r>
        <w:rPr>
          <w:rFonts w:hint="eastAsia" w:ascii="宋体" w:hAnsi="宋体" w:eastAsia="宋体" w:cs="宋体"/>
          <w:color w:val="auto"/>
          <w:szCs w:val="21"/>
          <w:highlight w:val="none"/>
          <w:lang w:val="zh-CN"/>
        </w:rPr>
        <w:t xml:space="preserve">15 </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保证金</w:t>
      </w:r>
      <w:bookmarkEnd w:id="154"/>
      <w:bookmarkEnd w:id="155"/>
      <w:bookmarkEnd w:id="156"/>
      <w:bookmarkEnd w:id="157"/>
      <w:bookmarkEnd w:id="158"/>
      <w:bookmarkEnd w:id="159"/>
    </w:p>
    <w:p w14:paraId="5A126EA1">
      <w:pPr>
        <w:tabs>
          <w:tab w:val="left" w:pos="567"/>
        </w:tabs>
        <w:autoSpaceDE w:val="0"/>
        <w:autoSpaceDN w:val="0"/>
        <w:adjustRightInd w:val="0"/>
        <w:spacing w:line="360" w:lineRule="auto"/>
        <w:ind w:left="357" w:leftChars="-100" w:hanging="567"/>
        <w:jc w:val="left"/>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lang w:val="zh-CN"/>
        </w:rPr>
        <w:t>15.1</w:t>
      </w:r>
      <w:r>
        <w:rPr>
          <w:rFonts w:hint="eastAsia" w:ascii="宋体" w:hAnsi="宋体" w:eastAsia="宋体" w:cs="宋体"/>
          <w:b/>
          <w:bCs/>
          <w:color w:val="auto"/>
          <w:kern w:val="0"/>
          <w:szCs w:val="21"/>
          <w:highlight w:val="none"/>
          <w:lang w:val="zh-CN"/>
        </w:rPr>
        <w:t xml:space="preserve"> </w:t>
      </w:r>
      <w:r>
        <w:rPr>
          <w:rFonts w:hint="eastAsia" w:ascii="宋体" w:hAnsi="宋体" w:eastAsia="宋体" w:cs="宋体"/>
          <w:b/>
          <w:bCs/>
          <w:color w:val="auto"/>
          <w:kern w:val="0"/>
          <w:szCs w:val="21"/>
          <w:highlight w:val="none"/>
          <w:u w:val="single"/>
          <w:lang w:val="zh-CN"/>
        </w:rPr>
        <w:t>供应商</w:t>
      </w:r>
      <w:r>
        <w:rPr>
          <w:rFonts w:hint="eastAsia" w:ascii="宋体" w:hAnsi="宋体" w:eastAsia="宋体" w:cs="宋体"/>
          <w:b/>
          <w:bCs/>
          <w:color w:val="auto"/>
          <w:kern w:val="0"/>
          <w:szCs w:val="21"/>
          <w:highlight w:val="none"/>
          <w:u w:val="single"/>
          <w:lang w:val="en-US" w:eastAsia="zh-CN"/>
        </w:rPr>
        <w:t>响应</w:t>
      </w:r>
      <w:r>
        <w:rPr>
          <w:rFonts w:hint="eastAsia" w:ascii="宋体" w:hAnsi="宋体" w:eastAsia="宋体" w:cs="宋体"/>
          <w:b/>
          <w:bCs/>
          <w:color w:val="auto"/>
          <w:kern w:val="0"/>
          <w:szCs w:val="21"/>
          <w:highlight w:val="none"/>
          <w:u w:val="single"/>
          <w:lang w:val="zh-CN"/>
        </w:rPr>
        <w:t>时须</w:t>
      </w:r>
      <w:r>
        <w:rPr>
          <w:rFonts w:hint="eastAsia" w:ascii="宋体" w:hAnsi="宋体" w:eastAsia="宋体" w:cs="宋体"/>
          <w:b/>
          <w:bCs/>
          <w:color w:val="auto"/>
          <w:kern w:val="0"/>
          <w:szCs w:val="21"/>
          <w:highlight w:val="none"/>
          <w:u w:val="single"/>
          <w:lang w:val="en-US" w:eastAsia="zh-CN"/>
        </w:rPr>
        <w:t>提交响应</w:t>
      </w:r>
      <w:r>
        <w:rPr>
          <w:rFonts w:hint="eastAsia" w:ascii="宋体" w:hAnsi="宋体" w:eastAsia="宋体" w:cs="宋体"/>
          <w:b/>
          <w:bCs/>
          <w:color w:val="auto"/>
          <w:kern w:val="0"/>
          <w:szCs w:val="21"/>
          <w:highlight w:val="none"/>
          <w:u w:val="single"/>
          <w:lang w:val="zh-CN"/>
        </w:rPr>
        <w:t>保证金</w:t>
      </w:r>
      <w:r>
        <w:rPr>
          <w:rFonts w:hint="eastAsia" w:ascii="宋体" w:hAnsi="宋体" w:eastAsia="宋体" w:cs="宋体"/>
          <w:b/>
          <w:bCs/>
          <w:color w:val="auto"/>
          <w:kern w:val="0"/>
          <w:szCs w:val="21"/>
          <w:highlight w:val="none"/>
          <w:u w:val="single"/>
          <w:lang w:val="en-US" w:eastAsia="zh-CN"/>
        </w:rPr>
        <w:t>10,000</w:t>
      </w:r>
      <w:r>
        <w:rPr>
          <w:rFonts w:hint="eastAsia" w:ascii="宋体" w:hAnsi="宋体" w:eastAsia="宋体" w:cs="宋体"/>
          <w:b/>
          <w:color w:val="auto"/>
          <w:kern w:val="0"/>
          <w:szCs w:val="21"/>
          <w:highlight w:val="none"/>
          <w:u w:val="single"/>
        </w:rPr>
        <w:t>元（大写：人民币</w:t>
      </w:r>
      <w:r>
        <w:rPr>
          <w:rFonts w:hint="eastAsia" w:ascii="宋体" w:hAnsi="宋体" w:eastAsia="宋体" w:cs="宋体"/>
          <w:b/>
          <w:color w:val="auto"/>
          <w:kern w:val="0"/>
          <w:szCs w:val="21"/>
          <w:highlight w:val="none"/>
          <w:u w:val="single"/>
          <w:lang w:val="en-US" w:eastAsia="zh-CN"/>
        </w:rPr>
        <w:t>壹万元整</w:t>
      </w:r>
      <w:r>
        <w:rPr>
          <w:rFonts w:hint="eastAsia" w:ascii="宋体" w:hAnsi="宋体" w:eastAsia="宋体" w:cs="宋体"/>
          <w:b/>
          <w:color w:val="auto"/>
          <w:kern w:val="0"/>
          <w:szCs w:val="21"/>
          <w:highlight w:val="none"/>
          <w:u w:val="single"/>
        </w:rPr>
        <w:t>）</w:t>
      </w:r>
      <w:r>
        <w:rPr>
          <w:rFonts w:hint="eastAsia" w:ascii="宋体" w:hAnsi="宋体" w:eastAsia="宋体" w:cs="宋体"/>
          <w:b/>
          <w:color w:val="auto"/>
          <w:kern w:val="0"/>
          <w:szCs w:val="21"/>
          <w:highlight w:val="none"/>
        </w:rPr>
        <w:t>。</w:t>
      </w:r>
    </w:p>
    <w:p w14:paraId="3B3FA3DB">
      <w:pPr>
        <w:spacing w:line="360" w:lineRule="auto"/>
        <w:ind w:left="315" w:leftChars="-100" w:hanging="525" w:hangingChars="250"/>
        <w:rPr>
          <w:rFonts w:hint="eastAsia" w:ascii="宋体" w:hAnsi="宋体" w:eastAsia="宋体" w:cs="宋体"/>
          <w:b/>
          <w:color w:val="auto"/>
          <w:kern w:val="0"/>
          <w:szCs w:val="21"/>
          <w:highlight w:val="none"/>
        </w:rPr>
      </w:pPr>
      <w:r>
        <w:rPr>
          <w:rFonts w:hint="eastAsia" w:ascii="宋体" w:hAnsi="宋体" w:eastAsia="宋体" w:cs="宋体"/>
          <w:bCs/>
          <w:color w:val="auto"/>
          <w:kern w:val="0"/>
          <w:szCs w:val="21"/>
          <w:highlight w:val="none"/>
          <w:lang w:val="zh-CN"/>
        </w:rPr>
        <w:t xml:space="preserve">15.2 </w:t>
      </w:r>
      <w:r>
        <w:rPr>
          <w:rFonts w:hint="eastAsia" w:ascii="宋体" w:hAnsi="宋体" w:eastAsia="宋体" w:cs="宋体"/>
          <w:color w:val="auto"/>
          <w:szCs w:val="21"/>
          <w:highlight w:val="none"/>
          <w:lang w:val="zh-CN"/>
        </w:rPr>
        <w:t>供应商</w:t>
      </w:r>
      <w:r>
        <w:rPr>
          <w:rFonts w:hint="eastAsia" w:ascii="宋体" w:hAnsi="宋体" w:eastAsia="宋体" w:cs="宋体"/>
          <w:color w:val="auto"/>
          <w:kern w:val="0"/>
          <w:szCs w:val="21"/>
          <w:highlight w:val="none"/>
        </w:rPr>
        <w:t>应按要求提交</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保证金，</w:t>
      </w:r>
      <w:r>
        <w:rPr>
          <w:rFonts w:hint="eastAsia" w:ascii="宋体" w:hAnsi="宋体" w:eastAsia="宋体" w:cs="宋体"/>
          <w:b/>
          <w:color w:val="auto"/>
          <w:kern w:val="0"/>
          <w:szCs w:val="21"/>
          <w:highlight w:val="none"/>
          <w:u w:val="single"/>
          <w:lang w:eastAsia="zh-CN"/>
        </w:rPr>
        <w:t>供应商</w:t>
      </w:r>
      <w:r>
        <w:rPr>
          <w:rFonts w:hint="eastAsia" w:ascii="宋体" w:hAnsi="宋体" w:eastAsia="宋体" w:cs="宋体"/>
          <w:b/>
          <w:color w:val="auto"/>
          <w:kern w:val="0"/>
          <w:szCs w:val="21"/>
          <w:highlight w:val="none"/>
          <w:u w:val="single"/>
        </w:rPr>
        <w:t>必须通过本单位银行基本账户采用银行转账、电汇形式缴交，</w:t>
      </w:r>
      <w:r>
        <w:rPr>
          <w:rFonts w:hint="eastAsia" w:ascii="宋体" w:hAnsi="宋体" w:eastAsia="宋体" w:cs="宋体"/>
          <w:b/>
          <w:color w:val="auto"/>
          <w:kern w:val="0"/>
          <w:szCs w:val="21"/>
          <w:highlight w:val="none"/>
          <w:u w:val="single"/>
          <w:lang w:eastAsia="zh-CN"/>
        </w:rPr>
        <w:t>供应商</w:t>
      </w:r>
      <w:r>
        <w:rPr>
          <w:rFonts w:hint="eastAsia" w:ascii="宋体" w:hAnsi="宋体" w:eastAsia="宋体" w:cs="宋体"/>
          <w:b/>
          <w:color w:val="auto"/>
          <w:kern w:val="0"/>
          <w:szCs w:val="21"/>
          <w:highlight w:val="none"/>
          <w:u w:val="single"/>
        </w:rPr>
        <w:t>与交款人名称必须一致，非</w:t>
      </w:r>
      <w:r>
        <w:rPr>
          <w:rFonts w:hint="eastAsia" w:ascii="宋体" w:hAnsi="宋体" w:eastAsia="宋体" w:cs="宋体"/>
          <w:b/>
          <w:color w:val="auto"/>
          <w:kern w:val="0"/>
          <w:szCs w:val="21"/>
          <w:highlight w:val="none"/>
          <w:u w:val="single"/>
          <w:lang w:eastAsia="zh-CN"/>
        </w:rPr>
        <w:t>供应商</w:t>
      </w:r>
      <w:r>
        <w:rPr>
          <w:rFonts w:hint="eastAsia" w:ascii="宋体" w:hAnsi="宋体" w:eastAsia="宋体" w:cs="宋体"/>
          <w:b/>
          <w:color w:val="auto"/>
          <w:kern w:val="0"/>
          <w:szCs w:val="21"/>
          <w:highlight w:val="none"/>
          <w:u w:val="single"/>
        </w:rPr>
        <w:t>缴纳的或未通过其基本账户提交的</w:t>
      </w:r>
      <w:r>
        <w:rPr>
          <w:rFonts w:hint="eastAsia" w:ascii="宋体" w:hAnsi="宋体" w:eastAsia="宋体" w:cs="宋体"/>
          <w:b/>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rPr>
        <w:t>保证金无效</w:t>
      </w:r>
      <w:r>
        <w:rPr>
          <w:rFonts w:hint="eastAsia" w:ascii="宋体" w:hAnsi="宋体" w:eastAsia="宋体" w:cs="宋体"/>
          <w:b/>
          <w:color w:val="auto"/>
          <w:kern w:val="0"/>
          <w:szCs w:val="21"/>
          <w:highlight w:val="none"/>
        </w:rPr>
        <w:t>。</w:t>
      </w:r>
    </w:p>
    <w:p w14:paraId="733C8065">
      <w:pPr>
        <w:tabs>
          <w:tab w:val="left" w:pos="567"/>
        </w:tabs>
        <w:autoSpaceDE w:val="0"/>
        <w:autoSpaceDN w:val="0"/>
        <w:adjustRightInd w:val="0"/>
        <w:spacing w:line="360" w:lineRule="auto"/>
        <w:ind w:left="357" w:leftChars="-100" w:hanging="567"/>
        <w:jc w:val="left"/>
        <w:rPr>
          <w:rFonts w:hint="eastAsia" w:ascii="宋体" w:hAnsi="宋体" w:eastAsia="宋体" w:cs="宋体"/>
          <w:bCs/>
          <w:color w:val="auto"/>
          <w:kern w:val="0"/>
          <w:szCs w:val="21"/>
          <w:highlight w:val="none"/>
          <w:lang w:val="zh-CN"/>
        </w:rPr>
      </w:pPr>
      <w:r>
        <w:rPr>
          <w:rFonts w:hint="eastAsia" w:ascii="宋体" w:hAnsi="宋体" w:eastAsia="宋体" w:cs="宋体"/>
          <w:bCs/>
          <w:color w:val="auto"/>
          <w:kern w:val="0"/>
          <w:szCs w:val="21"/>
          <w:highlight w:val="none"/>
          <w:lang w:val="zh-CN"/>
        </w:rPr>
        <w:t>15.3 提交保证金时应符合下列规定：</w:t>
      </w:r>
    </w:p>
    <w:p w14:paraId="75E0CD64">
      <w:pPr>
        <w:spacing w:line="360" w:lineRule="auto"/>
        <w:ind w:firstLine="777" w:firstLineChars="37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必须通过本单位基本账户采用银行转账、电汇方式提交，且在递交</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截止时间前到达以下账户上</w:t>
      </w:r>
      <w:r>
        <w:rPr>
          <w:rFonts w:hint="eastAsia" w:ascii="宋体" w:hAnsi="宋体" w:eastAsia="宋体" w:cs="宋体"/>
          <w:b/>
          <w:bCs/>
          <w:color w:val="auto"/>
          <w:kern w:val="0"/>
          <w:szCs w:val="21"/>
          <w:highlight w:val="none"/>
          <w:lang w:val="en-US" w:eastAsia="zh-CN"/>
        </w:rPr>
        <w:t>并注明采购编号</w:t>
      </w:r>
      <w:r>
        <w:rPr>
          <w:rFonts w:hint="eastAsia" w:ascii="宋体" w:hAnsi="宋体" w:eastAsia="宋体" w:cs="宋体"/>
          <w:color w:val="auto"/>
          <w:kern w:val="0"/>
          <w:szCs w:val="21"/>
          <w:highlight w:val="none"/>
        </w:rPr>
        <w:t>。</w:t>
      </w:r>
    </w:p>
    <w:p w14:paraId="61411209">
      <w:pPr>
        <w:spacing w:line="360" w:lineRule="auto"/>
        <w:ind w:left="210" w:leftChars="100" w:firstLine="210" w:firstLineChars="1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开户名称：东莞市尚源环能科技有限公司</w:t>
      </w:r>
    </w:p>
    <w:p w14:paraId="1EEF3B95">
      <w:pPr>
        <w:spacing w:line="360" w:lineRule="auto"/>
        <w:ind w:left="210" w:leftChars="100" w:firstLine="210" w:firstLineChars="1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开户银行：中国工商银行股份有限公司东莞分行</w:t>
      </w:r>
    </w:p>
    <w:p w14:paraId="5AD1ACEB">
      <w:pPr>
        <w:spacing w:line="360" w:lineRule="auto"/>
        <w:ind w:left="210" w:leftChars="100" w:firstLine="210" w:firstLineChars="1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银行账号：2010021309200624846</w:t>
      </w:r>
    </w:p>
    <w:p w14:paraId="5EE90663">
      <w:pPr>
        <w:spacing w:line="360" w:lineRule="auto"/>
        <w:ind w:left="210" w:leftChars="100" w:firstLine="211" w:firstLineChars="1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rPr>
        <w:t>保证金未按规定时间到达指定账户或提交金额不足的，将被视为无效</w:t>
      </w:r>
      <w:r>
        <w:rPr>
          <w:rFonts w:hint="eastAsia" w:ascii="宋体" w:hAnsi="宋体" w:eastAsia="宋体" w:cs="宋体"/>
          <w:b/>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rPr>
        <w:t>保证金</w:t>
      </w:r>
      <w:r>
        <w:rPr>
          <w:rFonts w:hint="eastAsia" w:ascii="宋体" w:hAnsi="宋体" w:eastAsia="宋体" w:cs="宋体"/>
          <w:b/>
          <w:color w:val="auto"/>
          <w:kern w:val="0"/>
          <w:szCs w:val="21"/>
          <w:highlight w:val="none"/>
        </w:rPr>
        <w:t>。</w:t>
      </w:r>
    </w:p>
    <w:p w14:paraId="18972C7C">
      <w:pPr>
        <w:autoSpaceDE w:val="0"/>
        <w:autoSpaceDN w:val="0"/>
        <w:adjustRightInd w:val="0"/>
        <w:spacing w:line="360" w:lineRule="auto"/>
        <w:ind w:left="357" w:leftChars="-100" w:hanging="567" w:hangingChars="270"/>
        <w:jc w:val="left"/>
        <w:rPr>
          <w:rFonts w:hint="eastAsia" w:ascii="宋体" w:hAnsi="宋体" w:eastAsia="宋体" w:cs="宋体"/>
          <w:b/>
          <w:bCs/>
          <w:color w:val="auto"/>
          <w:kern w:val="0"/>
          <w:szCs w:val="24"/>
          <w:highlight w:val="none"/>
        </w:rPr>
      </w:pPr>
      <w:r>
        <w:rPr>
          <w:rFonts w:hint="eastAsia" w:ascii="宋体" w:hAnsi="宋体" w:eastAsia="宋体" w:cs="宋体"/>
          <w:bCs/>
          <w:color w:val="auto"/>
          <w:szCs w:val="21"/>
          <w:highlight w:val="none"/>
          <w:lang w:val="zh-CN"/>
        </w:rPr>
        <w:t xml:space="preserve">15.4 </w:t>
      </w:r>
      <w:r>
        <w:rPr>
          <w:rFonts w:hint="eastAsia" w:ascii="宋体" w:hAnsi="宋体" w:eastAsia="宋体" w:cs="宋体"/>
          <w:b/>
          <w:color w:val="auto"/>
          <w:kern w:val="0"/>
          <w:szCs w:val="24"/>
          <w:highlight w:val="none"/>
          <w:u w:val="single"/>
        </w:rPr>
        <w:t>任何未按第15.1款、第15.2款、第15.3款规定提交</w:t>
      </w:r>
      <w:r>
        <w:rPr>
          <w:rFonts w:hint="eastAsia" w:ascii="宋体" w:hAnsi="宋体" w:eastAsia="宋体" w:cs="宋体"/>
          <w:b/>
          <w:color w:val="auto"/>
          <w:kern w:val="0"/>
          <w:szCs w:val="24"/>
          <w:highlight w:val="none"/>
          <w:u w:val="single"/>
          <w:lang w:val="en-US" w:eastAsia="zh-CN"/>
        </w:rPr>
        <w:t>响应</w:t>
      </w:r>
      <w:r>
        <w:rPr>
          <w:rFonts w:hint="eastAsia" w:ascii="宋体" w:hAnsi="宋体" w:eastAsia="宋体" w:cs="宋体"/>
          <w:b/>
          <w:color w:val="auto"/>
          <w:kern w:val="0"/>
          <w:szCs w:val="24"/>
          <w:highlight w:val="none"/>
          <w:u w:val="single"/>
        </w:rPr>
        <w:t>保证金的</w:t>
      </w:r>
      <w:r>
        <w:rPr>
          <w:rFonts w:hint="eastAsia" w:ascii="宋体" w:hAnsi="宋体" w:eastAsia="宋体" w:cs="宋体"/>
          <w:b/>
          <w:color w:val="auto"/>
          <w:kern w:val="0"/>
          <w:szCs w:val="24"/>
          <w:highlight w:val="none"/>
          <w:u w:val="single"/>
          <w:lang w:val="en-US" w:eastAsia="zh-CN"/>
        </w:rPr>
        <w:t>响应</w:t>
      </w:r>
      <w:r>
        <w:rPr>
          <w:rFonts w:hint="eastAsia" w:ascii="宋体" w:hAnsi="宋体" w:eastAsia="宋体" w:cs="宋体"/>
          <w:b/>
          <w:color w:val="auto"/>
          <w:kern w:val="0"/>
          <w:szCs w:val="24"/>
          <w:highlight w:val="none"/>
          <w:u w:val="single"/>
        </w:rPr>
        <w:t>，将被视为无效</w:t>
      </w:r>
      <w:r>
        <w:rPr>
          <w:rFonts w:hint="eastAsia" w:ascii="宋体" w:hAnsi="宋体" w:eastAsia="宋体" w:cs="宋体"/>
          <w:b/>
          <w:color w:val="auto"/>
          <w:kern w:val="0"/>
          <w:szCs w:val="24"/>
          <w:highlight w:val="none"/>
          <w:u w:val="single"/>
          <w:lang w:val="en-US" w:eastAsia="zh-CN"/>
        </w:rPr>
        <w:t>响应</w:t>
      </w:r>
      <w:r>
        <w:rPr>
          <w:rFonts w:hint="eastAsia" w:ascii="宋体" w:hAnsi="宋体" w:eastAsia="宋体" w:cs="宋体"/>
          <w:b/>
          <w:color w:val="auto"/>
          <w:kern w:val="0"/>
          <w:szCs w:val="24"/>
          <w:highlight w:val="none"/>
        </w:rPr>
        <w:t>。</w:t>
      </w:r>
    </w:p>
    <w:p w14:paraId="0E3E4DAA">
      <w:pPr>
        <w:spacing w:line="360" w:lineRule="auto"/>
        <w:ind w:left="315" w:leftChars="-100" w:hanging="525" w:hangingChars="250"/>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lang w:val="zh-CN"/>
        </w:rPr>
        <w:t xml:space="preserve">15.5 </w:t>
      </w:r>
      <w:r>
        <w:rPr>
          <w:rFonts w:hint="eastAsia" w:ascii="宋体" w:hAnsi="宋体" w:eastAsia="宋体" w:cs="宋体"/>
          <w:color w:val="auto"/>
          <w:kern w:val="0"/>
          <w:szCs w:val="21"/>
          <w:highlight w:val="none"/>
        </w:rPr>
        <w:t>未</w:t>
      </w:r>
      <w:r>
        <w:rPr>
          <w:rFonts w:hint="eastAsia" w:ascii="宋体" w:hAnsi="宋体" w:eastAsia="宋体" w:cs="宋体"/>
          <w:color w:val="auto"/>
          <w:kern w:val="0"/>
          <w:szCs w:val="21"/>
          <w:highlight w:val="none"/>
          <w:lang w:val="en-US" w:eastAsia="zh-CN"/>
        </w:rPr>
        <w:t>成交</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保证金，最迟应</w:t>
      </w:r>
      <w:r>
        <w:rPr>
          <w:rFonts w:hint="eastAsia" w:ascii="宋体" w:hAnsi="宋体" w:eastAsia="宋体" w:cs="宋体"/>
          <w:color w:val="auto"/>
          <w:kern w:val="0"/>
          <w:szCs w:val="21"/>
          <w:highlight w:val="none"/>
          <w:lang w:eastAsia="zh-CN"/>
        </w:rPr>
        <w:t>在本项目的书面合同签订后5日内</w:t>
      </w:r>
      <w:r>
        <w:rPr>
          <w:rFonts w:hint="eastAsia" w:ascii="宋体" w:hAnsi="宋体" w:eastAsia="宋体" w:cs="宋体"/>
          <w:color w:val="auto"/>
          <w:kern w:val="0"/>
          <w:szCs w:val="21"/>
          <w:highlight w:val="none"/>
        </w:rPr>
        <w:t>，按照其</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保证金支付凭证上注明的收款人名称和账号予以退还，除非</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保证金有效期已延长。</w:t>
      </w:r>
    </w:p>
    <w:p w14:paraId="19D1DB37">
      <w:pPr>
        <w:spacing w:line="360" w:lineRule="auto"/>
        <w:ind w:left="357" w:leftChars="-100" w:hanging="567" w:hangingChars="270"/>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lang w:val="zh-CN"/>
        </w:rPr>
        <w:t xml:space="preserve">15.6 </w:t>
      </w:r>
      <w:r>
        <w:rPr>
          <w:rFonts w:hint="eastAsia" w:ascii="宋体" w:hAnsi="宋体" w:eastAsia="宋体" w:cs="宋体"/>
          <w:bCs/>
          <w:color w:val="auto"/>
          <w:szCs w:val="21"/>
          <w:highlight w:val="none"/>
          <w:lang w:val="en-US" w:eastAsia="zh-CN"/>
        </w:rPr>
        <w:t>成交</w:t>
      </w:r>
      <w:r>
        <w:rPr>
          <w:rFonts w:hint="eastAsia" w:ascii="宋体" w:hAnsi="宋体" w:eastAsia="宋体" w:cs="宋体"/>
          <w:color w:val="auto"/>
          <w:kern w:val="0"/>
          <w:szCs w:val="21"/>
          <w:highlight w:val="none"/>
        </w:rPr>
        <w:t>人的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保证金，满足下列要求，并最迟应在合同签订后的5日内退还。</w:t>
      </w:r>
    </w:p>
    <w:p w14:paraId="371C41FD">
      <w:pPr>
        <w:spacing w:line="360" w:lineRule="auto"/>
        <w:ind w:left="357" w:leftChars="-100" w:hanging="567" w:hangingChars="270"/>
        <w:rPr>
          <w:rFonts w:hint="eastAsia"/>
          <w:color w:val="auto"/>
          <w:highlight w:val="none"/>
        </w:rPr>
      </w:pPr>
      <w:r>
        <w:rPr>
          <w:rFonts w:hint="eastAsia" w:ascii="宋体" w:hAnsi="宋体" w:eastAsia="宋体" w:cs="宋体"/>
          <w:b w:val="0"/>
          <w:bCs w:val="0"/>
          <w:color w:val="auto"/>
          <w:kern w:val="0"/>
          <w:sz w:val="21"/>
          <w:szCs w:val="21"/>
          <w:highlight w:val="none"/>
          <w:lang w:val="en-US" w:eastAsia="zh-CN" w:bidi="ar-SA"/>
        </w:rPr>
        <w:t>（1）成交</w:t>
      </w:r>
      <w:r>
        <w:rPr>
          <w:rFonts w:hint="eastAsia" w:ascii="宋体" w:hAnsi="宋体" w:eastAsia="宋体" w:cs="宋体"/>
          <w:b w:val="0"/>
          <w:bCs w:val="0"/>
          <w:color w:val="auto"/>
          <w:kern w:val="0"/>
          <w:sz w:val="21"/>
          <w:szCs w:val="21"/>
          <w:highlight w:val="none"/>
          <w:lang w:val="zh-CN" w:eastAsia="zh-CN" w:bidi="ar-SA"/>
        </w:rPr>
        <w:t>人提交了履约担保；</w:t>
      </w:r>
    </w:p>
    <w:p w14:paraId="114A6962">
      <w:pPr>
        <w:autoSpaceDE w:val="0"/>
        <w:autoSpaceDN w:val="0"/>
        <w:adjustRightInd w:val="0"/>
        <w:spacing w:line="360" w:lineRule="auto"/>
        <w:ind w:left="357" w:leftChars="-100" w:hanging="567"/>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val="zh-CN"/>
        </w:rPr>
        <w:t>）在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过程中</w:t>
      </w:r>
      <w:r>
        <w:rPr>
          <w:rFonts w:hint="eastAsia" w:ascii="宋体" w:hAnsi="宋体" w:eastAsia="宋体" w:cs="宋体"/>
          <w:color w:val="auto"/>
          <w:kern w:val="0"/>
          <w:szCs w:val="21"/>
          <w:highlight w:val="none"/>
        </w:rPr>
        <w:t>不存在违反本</w:t>
      </w: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或法律、法规、规章规定的行为。</w:t>
      </w:r>
    </w:p>
    <w:p w14:paraId="28943049">
      <w:pPr>
        <w:spacing w:line="360" w:lineRule="auto"/>
        <w:ind w:left="315" w:leftChars="-100" w:hanging="525" w:hangingChars="250"/>
        <w:rPr>
          <w:rFonts w:hint="eastAsia" w:ascii="宋体" w:hAnsi="宋体" w:eastAsia="宋体" w:cs="宋体"/>
          <w:b/>
          <w:bCs/>
          <w:color w:val="auto"/>
          <w:kern w:val="0"/>
          <w:szCs w:val="20"/>
          <w:highlight w:val="none"/>
        </w:rPr>
      </w:pPr>
      <w:r>
        <w:rPr>
          <w:rFonts w:hint="eastAsia" w:ascii="宋体" w:hAnsi="宋体" w:eastAsia="宋体" w:cs="宋体"/>
          <w:bCs/>
          <w:color w:val="auto"/>
          <w:szCs w:val="21"/>
          <w:highlight w:val="none"/>
          <w:lang w:val="zh-CN"/>
        </w:rPr>
        <w:t xml:space="preserve">15.7 </w:t>
      </w:r>
      <w:r>
        <w:rPr>
          <w:rFonts w:hint="eastAsia" w:ascii="宋体" w:hAnsi="宋体" w:eastAsia="宋体" w:cs="宋体"/>
          <w:color w:val="auto"/>
          <w:kern w:val="0"/>
          <w:szCs w:val="20"/>
          <w:highlight w:val="none"/>
        </w:rPr>
        <w:t>若</w:t>
      </w:r>
      <w:r>
        <w:rPr>
          <w:rFonts w:hint="eastAsia" w:ascii="宋体" w:hAnsi="宋体" w:eastAsia="宋体" w:cs="宋体"/>
          <w:color w:val="auto"/>
          <w:szCs w:val="21"/>
          <w:highlight w:val="none"/>
          <w:lang w:val="zh-CN"/>
        </w:rPr>
        <w:t>发生</w:t>
      </w:r>
      <w:r>
        <w:rPr>
          <w:rFonts w:hint="eastAsia" w:ascii="宋体" w:hAnsi="宋体" w:eastAsia="宋体" w:cs="宋体"/>
          <w:color w:val="auto"/>
          <w:kern w:val="0"/>
          <w:szCs w:val="20"/>
          <w:highlight w:val="none"/>
        </w:rPr>
        <w:t>下列情况，</w:t>
      </w:r>
      <w:r>
        <w:rPr>
          <w:rFonts w:hint="eastAsia" w:ascii="宋体" w:hAnsi="宋体" w:eastAsia="宋体" w:cs="宋体"/>
          <w:color w:val="auto"/>
          <w:kern w:val="0"/>
          <w:szCs w:val="20"/>
          <w:highlight w:val="none"/>
          <w:lang w:eastAsia="zh-CN"/>
        </w:rPr>
        <w:t>采购人</w:t>
      </w:r>
      <w:r>
        <w:rPr>
          <w:rFonts w:hint="eastAsia" w:ascii="宋体" w:hAnsi="宋体" w:eastAsia="宋体" w:cs="宋体"/>
          <w:color w:val="auto"/>
          <w:kern w:val="0"/>
          <w:szCs w:val="20"/>
          <w:highlight w:val="none"/>
        </w:rPr>
        <w:t>在书面通知</w:t>
      </w:r>
      <w:r>
        <w:rPr>
          <w:rFonts w:hint="eastAsia" w:ascii="宋体" w:hAnsi="宋体" w:eastAsia="宋体" w:cs="宋体"/>
          <w:color w:val="auto"/>
          <w:kern w:val="0"/>
          <w:szCs w:val="20"/>
          <w:highlight w:val="none"/>
          <w:lang w:eastAsia="zh-CN"/>
        </w:rPr>
        <w:t>供应商</w:t>
      </w:r>
      <w:r>
        <w:rPr>
          <w:rFonts w:hint="eastAsia" w:ascii="宋体" w:hAnsi="宋体" w:eastAsia="宋体" w:cs="宋体"/>
          <w:color w:val="auto"/>
          <w:kern w:val="0"/>
          <w:szCs w:val="20"/>
          <w:highlight w:val="none"/>
        </w:rPr>
        <w:t>（或</w:t>
      </w:r>
      <w:r>
        <w:rPr>
          <w:rFonts w:hint="eastAsia" w:ascii="宋体" w:hAnsi="宋体" w:eastAsia="宋体" w:cs="宋体"/>
          <w:color w:val="auto"/>
          <w:kern w:val="0"/>
          <w:szCs w:val="20"/>
          <w:highlight w:val="none"/>
          <w:lang w:val="en-US" w:eastAsia="zh-CN"/>
        </w:rPr>
        <w:t>成交人</w:t>
      </w:r>
      <w:r>
        <w:rPr>
          <w:rFonts w:hint="eastAsia" w:ascii="宋体" w:hAnsi="宋体" w:eastAsia="宋体" w:cs="宋体"/>
          <w:color w:val="auto"/>
          <w:kern w:val="0"/>
          <w:szCs w:val="20"/>
          <w:highlight w:val="none"/>
        </w:rPr>
        <w:t>）后有权不予退还</w:t>
      </w:r>
      <w:r>
        <w:rPr>
          <w:rFonts w:hint="eastAsia" w:ascii="宋体" w:hAnsi="宋体" w:eastAsia="宋体" w:cs="宋体"/>
          <w:color w:val="auto"/>
          <w:kern w:val="0"/>
          <w:szCs w:val="20"/>
          <w:highlight w:val="none"/>
          <w:lang w:val="en-US" w:eastAsia="zh-CN"/>
        </w:rPr>
        <w:t>响应</w:t>
      </w:r>
      <w:r>
        <w:rPr>
          <w:rFonts w:hint="eastAsia" w:ascii="宋体" w:hAnsi="宋体" w:eastAsia="宋体" w:cs="宋体"/>
          <w:color w:val="auto"/>
          <w:kern w:val="0"/>
          <w:szCs w:val="20"/>
          <w:highlight w:val="none"/>
        </w:rPr>
        <w:t>保证金：</w:t>
      </w:r>
    </w:p>
    <w:p w14:paraId="5CB6DF19">
      <w:pPr>
        <w:numPr>
          <w:ilvl w:val="2"/>
          <w:numId w:val="0"/>
        </w:numPr>
        <w:autoSpaceDE w:val="0"/>
        <w:autoSpaceDN w:val="0"/>
        <w:adjustRightInd w:val="0"/>
        <w:spacing w:line="360" w:lineRule="auto"/>
        <w:ind w:left="853" w:leftChars="136" w:hanging="567"/>
        <w:jc w:val="left"/>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如果</w:t>
      </w:r>
      <w:r>
        <w:rPr>
          <w:rFonts w:hint="eastAsia" w:ascii="宋体" w:hAnsi="宋体" w:eastAsia="宋体" w:cs="宋体"/>
          <w:color w:val="auto"/>
          <w:kern w:val="0"/>
          <w:szCs w:val="24"/>
          <w:highlight w:val="none"/>
          <w:lang w:eastAsia="zh-CN"/>
        </w:rPr>
        <w:t>供应商</w:t>
      </w:r>
      <w:r>
        <w:rPr>
          <w:rFonts w:hint="eastAsia" w:ascii="宋体" w:hAnsi="宋体" w:eastAsia="宋体" w:cs="宋体"/>
          <w:color w:val="auto"/>
          <w:kern w:val="0"/>
          <w:szCs w:val="24"/>
          <w:highlight w:val="none"/>
        </w:rPr>
        <w:t>（或</w:t>
      </w:r>
      <w:r>
        <w:rPr>
          <w:rFonts w:hint="eastAsia" w:ascii="宋体" w:hAnsi="宋体" w:eastAsia="宋体" w:cs="宋体"/>
          <w:color w:val="auto"/>
          <w:kern w:val="0"/>
          <w:szCs w:val="24"/>
          <w:highlight w:val="none"/>
          <w:lang w:val="en-US" w:eastAsia="zh-CN"/>
        </w:rPr>
        <w:t>成交</w:t>
      </w:r>
      <w:r>
        <w:rPr>
          <w:rFonts w:hint="eastAsia" w:ascii="宋体" w:hAnsi="宋体" w:eastAsia="宋体" w:cs="宋体"/>
          <w:color w:val="auto"/>
          <w:kern w:val="0"/>
          <w:szCs w:val="24"/>
          <w:highlight w:val="none"/>
        </w:rPr>
        <w:t>人）：</w:t>
      </w:r>
    </w:p>
    <w:p w14:paraId="6F816AFD">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szCs w:val="21"/>
          <w:highlight w:val="none"/>
          <w:lang w:val="zh-CN"/>
        </w:rPr>
        <w:t>在规定的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截止时间后至</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有效期满之前撤销或修改其响应文件；</w:t>
      </w:r>
    </w:p>
    <w:p w14:paraId="0DE18DF9">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r>
        <w:rPr>
          <w:rFonts w:hint="eastAsia" w:ascii="宋体" w:hAnsi="宋体" w:eastAsia="宋体" w:cs="宋体"/>
          <w:color w:val="auto"/>
          <w:szCs w:val="21"/>
          <w:highlight w:val="none"/>
          <w:lang w:val="en-US" w:eastAsia="zh-CN"/>
        </w:rPr>
        <w:t>成交人</w:t>
      </w:r>
      <w:r>
        <w:rPr>
          <w:rFonts w:hint="eastAsia" w:ascii="宋体" w:hAnsi="宋体" w:eastAsia="宋体" w:cs="宋体"/>
          <w:color w:val="auto"/>
          <w:szCs w:val="21"/>
          <w:highlight w:val="none"/>
          <w:lang w:val="zh-CN"/>
        </w:rPr>
        <w:t>未能在规定期限内提交履约担保；</w:t>
      </w:r>
    </w:p>
    <w:p w14:paraId="72A83AB9">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（3）未根据第34条规定签署合同；</w:t>
      </w:r>
    </w:p>
    <w:p w14:paraId="4402A5D1">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（4）将</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项目转让给他人，或者在响应文件中未说明，且未经采购人同意，将</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项目的合同的权利义务转让给第三方的；</w:t>
      </w:r>
    </w:p>
    <w:p w14:paraId="2118FB2F">
      <w:pPr>
        <w:autoSpaceDE w:val="0"/>
        <w:autoSpaceDN w:val="0"/>
        <w:adjustRightInd w:val="0"/>
        <w:spacing w:line="360" w:lineRule="auto"/>
        <w:ind w:left="357" w:leftChars="-100" w:hanging="567"/>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val="zh-CN"/>
        </w:rPr>
        <w:t>（5）提供虚假响应文件</w:t>
      </w:r>
      <w:r>
        <w:rPr>
          <w:rFonts w:hint="eastAsia" w:ascii="宋体" w:hAnsi="宋体" w:eastAsia="宋体" w:cs="宋体"/>
          <w:color w:val="auto"/>
          <w:kern w:val="0"/>
          <w:szCs w:val="21"/>
          <w:highlight w:val="none"/>
        </w:rPr>
        <w:t>或虚假补充文件的，或违反法律、法规、规章及</w:t>
      </w:r>
      <w:r>
        <w:rPr>
          <w:rFonts w:hint="eastAsia" w:ascii="宋体" w:hAnsi="宋体" w:eastAsia="宋体" w:cs="宋体"/>
          <w:color w:val="auto"/>
          <w:kern w:val="0"/>
          <w:szCs w:val="21"/>
          <w:highlight w:val="none"/>
          <w:lang w:val="en-US" w:eastAsia="zh-CN"/>
        </w:rPr>
        <w:t>本询比文件</w:t>
      </w:r>
      <w:r>
        <w:rPr>
          <w:rFonts w:hint="eastAsia" w:ascii="宋体" w:hAnsi="宋体" w:eastAsia="宋体" w:cs="宋体"/>
          <w:color w:val="auto"/>
          <w:kern w:val="0"/>
          <w:szCs w:val="21"/>
          <w:highlight w:val="none"/>
        </w:rPr>
        <w:t>规定的行为。</w:t>
      </w:r>
    </w:p>
    <w:p w14:paraId="7D268109">
      <w:pPr>
        <w:tabs>
          <w:tab w:val="left" w:pos="1134"/>
        </w:tabs>
        <w:autoSpaceDE w:val="0"/>
        <w:autoSpaceDN w:val="0"/>
        <w:adjustRightInd w:val="0"/>
        <w:spacing w:line="360" w:lineRule="auto"/>
        <w:ind w:left="840" w:leftChars="150" w:hanging="525" w:hangingChars="250"/>
        <w:jc w:val="left"/>
        <w:rPr>
          <w:rFonts w:hint="eastAsia" w:ascii="宋体" w:hAnsi="宋体" w:eastAsia="宋体" w:cs="宋体"/>
          <w:color w:val="auto"/>
          <w:kern w:val="0"/>
          <w:szCs w:val="21"/>
          <w:highlight w:val="none"/>
        </w:rPr>
      </w:pPr>
    </w:p>
    <w:p w14:paraId="1706B4B9">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60" w:name="_Toc1458"/>
      <w:bookmarkStart w:id="161" w:name="_Toc142508330"/>
      <w:bookmarkStart w:id="162" w:name="_Toc445509307"/>
      <w:bookmarkStart w:id="163" w:name="_Toc29607"/>
      <w:bookmarkStart w:id="164" w:name="_Toc22649_WPSOffice_Level3"/>
      <w:bookmarkStart w:id="165" w:name="_Toc486167680"/>
      <w:bookmarkStart w:id="166" w:name="_Toc450662865"/>
      <w:r>
        <w:rPr>
          <w:rFonts w:hint="eastAsia" w:ascii="宋体" w:hAnsi="宋体" w:eastAsia="宋体" w:cs="宋体"/>
          <w:color w:val="auto"/>
          <w:szCs w:val="21"/>
          <w:highlight w:val="none"/>
          <w:lang w:val="zh-CN"/>
        </w:rPr>
        <w:t xml:space="preserve">16 </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有效期</w:t>
      </w:r>
      <w:bookmarkEnd w:id="160"/>
      <w:bookmarkEnd w:id="161"/>
      <w:bookmarkEnd w:id="162"/>
      <w:bookmarkEnd w:id="163"/>
      <w:bookmarkEnd w:id="164"/>
      <w:bookmarkEnd w:id="165"/>
      <w:bookmarkEnd w:id="166"/>
    </w:p>
    <w:p w14:paraId="4B402952">
      <w:pPr>
        <w:tabs>
          <w:tab w:val="left" w:pos="567"/>
        </w:tabs>
        <w:autoSpaceDE w:val="0"/>
        <w:autoSpaceDN w:val="0"/>
        <w:adjustRightInd w:val="0"/>
        <w:spacing w:line="360" w:lineRule="auto"/>
        <w:ind w:left="357" w:leftChars="-100" w:hanging="567"/>
        <w:rPr>
          <w:rFonts w:hint="eastAsia" w:ascii="宋体" w:hAnsi="宋体" w:eastAsia="宋体" w:cs="宋体"/>
          <w:b/>
          <w:bCs/>
          <w:color w:val="auto"/>
          <w:szCs w:val="21"/>
          <w:highlight w:val="none"/>
          <w:lang w:val="zh-CN"/>
        </w:rPr>
      </w:pPr>
      <w:r>
        <w:rPr>
          <w:rFonts w:hint="eastAsia" w:ascii="宋体" w:hAnsi="宋体" w:eastAsia="宋体" w:cs="宋体"/>
          <w:color w:val="auto"/>
          <w:szCs w:val="21"/>
          <w:highlight w:val="none"/>
          <w:lang w:val="zh-CN"/>
        </w:rPr>
        <w:t>16.1</w:t>
      </w:r>
      <w:r>
        <w:rPr>
          <w:rFonts w:hint="eastAsia" w:ascii="宋体" w:hAnsi="宋体" w:eastAsia="宋体" w:cs="宋体"/>
          <w:color w:val="auto"/>
          <w:szCs w:val="21"/>
          <w:highlight w:val="none"/>
          <w:lang w:val="zh-CN"/>
        </w:rPr>
        <w:tab/>
      </w:r>
      <w:r>
        <w:rPr>
          <w:rFonts w:hint="eastAsia" w:ascii="宋体" w:hAnsi="宋体" w:eastAsia="宋体" w:cs="宋体"/>
          <w:b/>
          <w:bCs/>
          <w:color w:val="auto"/>
          <w:szCs w:val="21"/>
          <w:highlight w:val="none"/>
          <w:u w:val="single"/>
          <w:lang w:val="zh-CN"/>
        </w:rPr>
        <w:t>响应文件将在递交响应文件截止时间届满后90日内有效。</w:t>
      </w:r>
      <w:r>
        <w:rPr>
          <w:rFonts w:hint="eastAsia" w:ascii="宋体" w:hAnsi="宋体" w:eastAsia="宋体" w:cs="宋体"/>
          <w:b/>
          <w:bCs/>
          <w:color w:val="auto"/>
          <w:szCs w:val="21"/>
          <w:highlight w:val="none"/>
          <w:u w:val="single"/>
          <w:lang w:val="en-US" w:eastAsia="zh-CN"/>
        </w:rPr>
        <w:t>响应</w:t>
      </w:r>
      <w:r>
        <w:rPr>
          <w:rFonts w:hint="eastAsia" w:ascii="宋体" w:hAnsi="宋体" w:eastAsia="宋体" w:cs="宋体"/>
          <w:b/>
          <w:bCs/>
          <w:color w:val="auto"/>
          <w:szCs w:val="21"/>
          <w:highlight w:val="none"/>
          <w:u w:val="single"/>
          <w:lang w:val="zh-CN"/>
        </w:rPr>
        <w:t>有效期比规定时间短的按无效响应文件处理</w:t>
      </w:r>
      <w:r>
        <w:rPr>
          <w:rFonts w:hint="eastAsia" w:ascii="宋体" w:hAnsi="宋体" w:eastAsia="宋体" w:cs="宋体"/>
          <w:b/>
          <w:bCs/>
          <w:color w:val="auto"/>
          <w:szCs w:val="21"/>
          <w:highlight w:val="none"/>
          <w:lang w:val="zh-CN"/>
        </w:rPr>
        <w:t>。</w:t>
      </w:r>
    </w:p>
    <w:p w14:paraId="48272349">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16.2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en-US" w:eastAsia="zh-CN"/>
        </w:rPr>
        <w:t>成交人</w:t>
      </w:r>
      <w:r>
        <w:rPr>
          <w:rFonts w:hint="eastAsia" w:ascii="宋体" w:hAnsi="宋体" w:eastAsia="宋体" w:cs="宋体"/>
          <w:color w:val="auto"/>
          <w:szCs w:val="21"/>
          <w:highlight w:val="none"/>
          <w:lang w:val="zh-CN"/>
        </w:rPr>
        <w:t>的响应文件作为合同附件，合同失效时同时失效。</w:t>
      </w:r>
    </w:p>
    <w:p w14:paraId="3EE160DE">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16.3</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在特殊情况下，采购代理机构可于</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有效期满之前要求供应商同意延长</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有效期。要求与答复均应为书面形式往来。供应商可以拒绝上述要求，采购人将退还其</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保证金。对于同意该要求的供应商，既不要求也不允许其修改响应文件，但将要求其相应延长</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保证金的有效期。第15条</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保证金的有关规定在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保证金延长期内仍适用。</w:t>
      </w:r>
    </w:p>
    <w:p w14:paraId="7C571E68">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p>
    <w:p w14:paraId="281FB94B">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67" w:name="_Toc450662866"/>
      <w:bookmarkStart w:id="168" w:name="_Toc932"/>
      <w:bookmarkStart w:id="169" w:name="_Toc305411579"/>
      <w:bookmarkStart w:id="170" w:name="_Toc142508331"/>
      <w:bookmarkStart w:id="171" w:name="_Toc486167681"/>
      <w:bookmarkStart w:id="172" w:name="_Toc20422"/>
      <w:bookmarkStart w:id="173" w:name="_Toc25637_WPSOffice_Level3"/>
      <w:r>
        <w:rPr>
          <w:rFonts w:hint="eastAsia" w:ascii="宋体" w:hAnsi="宋体" w:eastAsia="宋体" w:cs="宋体"/>
          <w:color w:val="auto"/>
          <w:szCs w:val="21"/>
          <w:highlight w:val="none"/>
          <w:lang w:val="zh-CN"/>
        </w:rPr>
        <w:t>17 响应文件的式样和签署</w:t>
      </w:r>
      <w:bookmarkEnd w:id="167"/>
      <w:bookmarkEnd w:id="168"/>
      <w:bookmarkEnd w:id="169"/>
      <w:bookmarkEnd w:id="170"/>
      <w:bookmarkEnd w:id="171"/>
      <w:bookmarkEnd w:id="172"/>
      <w:bookmarkEnd w:id="173"/>
    </w:p>
    <w:p w14:paraId="635F062E">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17.1</w:t>
      </w:r>
      <w:r>
        <w:rPr>
          <w:rFonts w:hint="eastAsia" w:ascii="宋体" w:hAnsi="宋体" w:eastAsia="宋体" w:cs="宋体"/>
          <w:color w:val="auto"/>
          <w:szCs w:val="21"/>
          <w:highlight w:val="none"/>
          <w:lang w:val="zh-CN"/>
        </w:rPr>
        <w:tab/>
      </w:r>
      <w:r>
        <w:rPr>
          <w:rFonts w:hint="eastAsia" w:ascii="宋体" w:hAnsi="宋体" w:eastAsia="宋体" w:cs="宋体"/>
          <w:b/>
          <w:color w:val="auto"/>
          <w:szCs w:val="21"/>
          <w:highlight w:val="none"/>
          <w:u w:val="single"/>
          <w:lang w:val="zh-CN"/>
        </w:rPr>
        <w:t>供应商应准备一份“</w:t>
      </w:r>
      <w:r>
        <w:rPr>
          <w:rFonts w:hint="eastAsia" w:ascii="宋体" w:hAnsi="宋体" w:eastAsia="宋体" w:cs="宋体"/>
          <w:b/>
          <w:color w:val="auto"/>
          <w:szCs w:val="21"/>
          <w:highlight w:val="none"/>
          <w:u w:val="single"/>
          <w:lang w:val="en-US" w:eastAsia="zh-CN"/>
        </w:rPr>
        <w:t>报价</w:t>
      </w:r>
      <w:r>
        <w:rPr>
          <w:rFonts w:hint="eastAsia" w:ascii="宋体" w:hAnsi="宋体" w:eastAsia="宋体" w:cs="宋体"/>
          <w:b/>
          <w:color w:val="auto"/>
          <w:szCs w:val="21"/>
          <w:highlight w:val="none"/>
          <w:u w:val="single"/>
          <w:lang w:val="zh-CN"/>
        </w:rPr>
        <w:t>信封”、一份响应文件电子文件、一份正本和五份副本“响应文件”</w:t>
      </w:r>
      <w:r>
        <w:rPr>
          <w:rFonts w:hint="eastAsia" w:ascii="宋体" w:hAnsi="宋体" w:eastAsia="宋体" w:cs="宋体"/>
          <w:color w:val="auto"/>
          <w:szCs w:val="21"/>
          <w:highlight w:val="none"/>
          <w:lang w:val="zh-CN"/>
        </w:rPr>
        <w:t>，在每一份响应文件上编上目录（目录内的页码必须与实际内容对应）、页次，装订成册（不允许使用活页夹），并要明确注明“正本”或“副本”，一旦正本和副本发现差异，以正本为准。</w:t>
      </w:r>
    </w:p>
    <w:p w14:paraId="21EE4519">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17.2</w:t>
      </w:r>
      <w:r>
        <w:rPr>
          <w:rFonts w:hint="eastAsia" w:ascii="宋体" w:hAnsi="宋体" w:eastAsia="宋体" w:cs="宋体"/>
          <w:color w:val="auto"/>
          <w:szCs w:val="21"/>
          <w:highlight w:val="none"/>
          <w:lang w:val="zh-CN"/>
        </w:rPr>
        <w:tab/>
      </w:r>
      <w:r>
        <w:rPr>
          <w:rFonts w:hint="eastAsia" w:ascii="宋体" w:hAnsi="宋体" w:eastAsia="宋体" w:cs="宋体"/>
          <w:bCs/>
          <w:color w:val="auto"/>
          <w:szCs w:val="21"/>
          <w:highlight w:val="none"/>
          <w:lang w:val="zh-CN"/>
        </w:rPr>
        <w:t>响应文件正本和副本须打印或用不褪色墨水书写，询比文件提供的格式文件或响应文件中明确要求签署的，由供应商法定代表人或其授权代表签字（或盖私章），后者须将“法人授权委托证明书”以书面形式附在响应文件中。</w:t>
      </w:r>
      <w:r>
        <w:rPr>
          <w:rFonts w:hint="eastAsia" w:ascii="宋体" w:hAnsi="宋体" w:eastAsia="宋体" w:cs="宋体"/>
          <w:color w:val="auto"/>
          <w:szCs w:val="21"/>
          <w:highlight w:val="none"/>
          <w:lang w:val="zh-CN"/>
        </w:rPr>
        <w:t>副本文件可由正本文件复印而成。</w:t>
      </w:r>
    </w:p>
    <w:p w14:paraId="2C0084A8">
      <w:pPr>
        <w:autoSpaceDE w:val="0"/>
        <w:autoSpaceDN w:val="0"/>
        <w:adjustRightInd w:val="0"/>
        <w:spacing w:line="360" w:lineRule="auto"/>
        <w:ind w:left="357" w:leftChars="-100" w:hanging="567"/>
        <w:rPr>
          <w:rFonts w:hint="eastAsia" w:ascii="宋体" w:hAnsi="宋体" w:eastAsia="宋体" w:cs="宋体"/>
          <w:bCs/>
          <w:color w:val="auto"/>
          <w:szCs w:val="21"/>
          <w:highlight w:val="none"/>
          <w:lang w:val="zh-CN"/>
        </w:rPr>
      </w:pPr>
      <w:r>
        <w:rPr>
          <w:rFonts w:hint="eastAsia" w:ascii="宋体" w:hAnsi="宋体" w:eastAsia="宋体" w:cs="宋体"/>
          <w:color w:val="auto"/>
          <w:szCs w:val="21"/>
          <w:highlight w:val="none"/>
          <w:lang w:val="zh-CN"/>
        </w:rPr>
        <w:t>17.3</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除供应商对错处作必要修改外，响应文件中不许有加行、涂抹或改写。</w:t>
      </w:r>
      <w:r>
        <w:rPr>
          <w:rFonts w:hint="eastAsia" w:ascii="宋体" w:hAnsi="宋体" w:eastAsia="宋体" w:cs="宋体"/>
          <w:bCs/>
          <w:color w:val="auto"/>
          <w:szCs w:val="21"/>
          <w:highlight w:val="none"/>
          <w:lang w:val="zh-CN"/>
        </w:rPr>
        <w:t>若有修改须由签署响应文件的人进行签字（或盖私章），并加盖供应商法人公章。</w:t>
      </w:r>
    </w:p>
    <w:p w14:paraId="4C36FDD3">
      <w:pPr>
        <w:autoSpaceDE w:val="0"/>
        <w:autoSpaceDN w:val="0"/>
        <w:adjustRightInd w:val="0"/>
        <w:spacing w:line="360" w:lineRule="auto"/>
        <w:ind w:left="357" w:leftChars="-100" w:hanging="567"/>
        <w:rPr>
          <w:rFonts w:hint="eastAsia" w:ascii="宋体" w:hAnsi="宋体" w:eastAsia="宋体" w:cs="宋体"/>
          <w:b/>
          <w:bCs/>
          <w:color w:val="auto"/>
          <w:szCs w:val="21"/>
          <w:highlight w:val="none"/>
          <w:u w:val="single"/>
          <w:lang w:val="zh-CN"/>
        </w:rPr>
      </w:pPr>
      <w:r>
        <w:rPr>
          <w:rFonts w:hint="eastAsia" w:ascii="宋体" w:hAnsi="宋体" w:eastAsia="宋体" w:cs="宋体"/>
          <w:color w:val="auto"/>
          <w:szCs w:val="21"/>
          <w:highlight w:val="none"/>
          <w:lang w:val="zh-CN"/>
        </w:rPr>
        <w:t>17.4  响应文件的封面应注明“项目名称、采购编号、供应商名称、日期等”。</w:t>
      </w:r>
    </w:p>
    <w:p w14:paraId="0933AC88">
      <w:pPr>
        <w:autoSpaceDE w:val="0"/>
        <w:autoSpaceDN w:val="0"/>
        <w:adjustRightInd w:val="0"/>
        <w:spacing w:line="360" w:lineRule="auto"/>
        <w:ind w:left="357" w:leftChars="-100" w:hanging="567"/>
        <w:rPr>
          <w:rFonts w:hint="eastAsia" w:ascii="宋体" w:hAnsi="宋体" w:eastAsia="宋体" w:cs="宋体"/>
          <w:b/>
          <w:bCs/>
          <w:color w:val="auto"/>
          <w:szCs w:val="21"/>
          <w:highlight w:val="none"/>
          <w:lang w:val="zh-CN"/>
        </w:rPr>
      </w:pPr>
      <w:r>
        <w:rPr>
          <w:rFonts w:hint="eastAsia" w:ascii="宋体" w:hAnsi="宋体" w:eastAsia="宋体" w:cs="宋体"/>
          <w:color w:val="auto"/>
          <w:szCs w:val="21"/>
          <w:highlight w:val="none"/>
          <w:lang w:val="zh-CN"/>
        </w:rPr>
        <w:t>17.5</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电子文件内容包括：电子文件不可设置密码，用DVD或CD-R光盘或U盘储存，可密封于“</w:t>
      </w:r>
      <w:r>
        <w:rPr>
          <w:rFonts w:hint="eastAsia" w:ascii="宋体" w:hAnsi="宋体" w:eastAsia="宋体" w:cs="宋体"/>
          <w:color w:val="auto"/>
          <w:szCs w:val="21"/>
          <w:highlight w:val="none"/>
          <w:lang w:val="en-US" w:eastAsia="zh-CN"/>
        </w:rPr>
        <w:t>报价</w:t>
      </w:r>
      <w:r>
        <w:rPr>
          <w:rFonts w:hint="eastAsia" w:ascii="宋体" w:hAnsi="宋体" w:eastAsia="宋体" w:cs="宋体"/>
          <w:color w:val="auto"/>
          <w:szCs w:val="21"/>
          <w:highlight w:val="none"/>
          <w:lang w:val="zh-CN"/>
        </w:rPr>
        <w:t>信封”内（若电子文件单独密封，其包装封面需注明项目名称、采购编号、供应商单位名称，并加盖供应商法人公章）。</w:t>
      </w:r>
    </w:p>
    <w:p w14:paraId="24680F3F">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17.6</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电报、电传、传真的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概不接受。</w:t>
      </w:r>
    </w:p>
    <w:p w14:paraId="615633E8">
      <w:pPr>
        <w:autoSpaceDE w:val="0"/>
        <w:autoSpaceDN w:val="0"/>
        <w:adjustRightInd w:val="0"/>
        <w:jc w:val="left"/>
        <w:rPr>
          <w:rFonts w:hint="eastAsia" w:ascii="宋体" w:hAnsi="宋体" w:eastAsia="宋体" w:cs="宋体"/>
          <w:color w:val="auto"/>
          <w:kern w:val="0"/>
          <w:sz w:val="24"/>
          <w:szCs w:val="24"/>
          <w:highlight w:val="none"/>
        </w:rPr>
      </w:pPr>
      <w:bookmarkStart w:id="174" w:name="_Toc450662867"/>
    </w:p>
    <w:p w14:paraId="1F4E196F">
      <w:pPr>
        <w:keepNext/>
        <w:keepLines/>
        <w:tabs>
          <w:tab w:val="left" w:pos="509"/>
        </w:tabs>
        <w:autoSpaceDE w:val="0"/>
        <w:autoSpaceDN w:val="0"/>
        <w:adjustRightInd w:val="0"/>
        <w:spacing w:line="360" w:lineRule="auto"/>
        <w:jc w:val="left"/>
        <w:outlineLvl w:val="0"/>
        <w:rPr>
          <w:rFonts w:hint="eastAsia" w:ascii="宋体" w:hAnsi="宋体" w:eastAsia="宋体" w:cs="宋体"/>
          <w:color w:val="auto"/>
          <w:kern w:val="0"/>
          <w:sz w:val="24"/>
          <w:szCs w:val="24"/>
          <w:highlight w:val="none"/>
        </w:rPr>
      </w:pPr>
      <w:bookmarkStart w:id="175" w:name="_Toc22356_WPSOffice_Level2"/>
      <w:bookmarkStart w:id="176" w:name="_Toc486167682"/>
      <w:bookmarkStart w:id="177" w:name="_Toc26605"/>
      <w:bookmarkStart w:id="178" w:name="_Toc1816550390"/>
      <w:bookmarkStart w:id="179" w:name="_Toc140596891"/>
      <w:bookmarkStart w:id="180" w:name="_Toc142508332"/>
      <w:bookmarkStart w:id="181" w:name="_Toc17199"/>
      <w:r>
        <w:rPr>
          <w:rFonts w:hint="eastAsia" w:ascii="宋体" w:hAnsi="宋体" w:eastAsia="宋体" w:cs="宋体"/>
          <w:b/>
          <w:bCs/>
          <w:color w:val="auto"/>
          <w:kern w:val="44"/>
          <w:szCs w:val="21"/>
          <w:highlight w:val="none"/>
          <w:lang w:val="zh-CN"/>
        </w:rPr>
        <w:t>四、响应文件的递交</w:t>
      </w:r>
      <w:bookmarkEnd w:id="174"/>
      <w:bookmarkEnd w:id="175"/>
      <w:bookmarkEnd w:id="176"/>
      <w:bookmarkEnd w:id="177"/>
      <w:bookmarkEnd w:id="178"/>
      <w:bookmarkEnd w:id="179"/>
      <w:bookmarkEnd w:id="180"/>
      <w:bookmarkEnd w:id="181"/>
    </w:p>
    <w:p w14:paraId="7AD53516">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82" w:name="_Toc486167683"/>
      <w:bookmarkStart w:id="183" w:name="_Toc564635853"/>
      <w:bookmarkStart w:id="184" w:name="_Toc12192_WPSOffice_Level3"/>
      <w:bookmarkStart w:id="185" w:name="_Toc29885"/>
      <w:bookmarkStart w:id="186" w:name="_Toc31551"/>
      <w:bookmarkStart w:id="187" w:name="_Toc142508333"/>
      <w:bookmarkStart w:id="188" w:name="_Toc450662868"/>
      <w:r>
        <w:rPr>
          <w:rFonts w:hint="eastAsia" w:ascii="宋体" w:hAnsi="宋体" w:eastAsia="宋体" w:cs="宋体"/>
          <w:color w:val="auto"/>
          <w:szCs w:val="21"/>
          <w:highlight w:val="none"/>
          <w:lang w:val="zh-CN"/>
        </w:rPr>
        <w:t>18 响应文件的密封和标记</w:t>
      </w:r>
      <w:bookmarkEnd w:id="182"/>
      <w:bookmarkEnd w:id="183"/>
      <w:bookmarkEnd w:id="184"/>
      <w:bookmarkEnd w:id="185"/>
      <w:bookmarkEnd w:id="186"/>
      <w:bookmarkEnd w:id="187"/>
      <w:bookmarkEnd w:id="188"/>
    </w:p>
    <w:p w14:paraId="5C6ECCFF">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18.1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供应商应将正本和副本响应文件（本处不含</w:t>
      </w:r>
      <w:r>
        <w:rPr>
          <w:rFonts w:hint="eastAsia" w:ascii="宋体" w:hAnsi="宋体" w:eastAsia="宋体" w:cs="宋体"/>
          <w:color w:val="auto"/>
          <w:szCs w:val="21"/>
          <w:highlight w:val="none"/>
          <w:lang w:val="en-US" w:eastAsia="zh-CN"/>
        </w:rPr>
        <w:t>报价</w:t>
      </w:r>
      <w:r>
        <w:rPr>
          <w:rFonts w:hint="eastAsia" w:ascii="宋体" w:hAnsi="宋体" w:eastAsia="宋体" w:cs="宋体"/>
          <w:color w:val="auto"/>
          <w:szCs w:val="21"/>
          <w:highlight w:val="none"/>
          <w:lang w:val="zh-CN"/>
        </w:rPr>
        <w:t>信封、响应文件电子文件）密封在不透明的外层封装中。</w:t>
      </w:r>
    </w:p>
    <w:p w14:paraId="33CFFCAA">
      <w:pPr>
        <w:autoSpaceDE w:val="0"/>
        <w:autoSpaceDN w:val="0"/>
        <w:adjustRightInd w:val="0"/>
        <w:spacing w:line="360" w:lineRule="auto"/>
        <w:ind w:left="357" w:leftChars="-100" w:hanging="567"/>
        <w:rPr>
          <w:rFonts w:hint="eastAsia" w:ascii="宋体" w:hAnsi="宋体" w:eastAsia="宋体" w:cs="宋体"/>
          <w:b/>
          <w:bCs/>
          <w:color w:val="auto"/>
          <w:szCs w:val="21"/>
          <w:highlight w:val="none"/>
          <w:u w:val="single"/>
          <w:lang w:val="zh-CN"/>
        </w:rPr>
      </w:pPr>
      <w:r>
        <w:rPr>
          <w:rFonts w:hint="eastAsia" w:ascii="宋体" w:hAnsi="宋体" w:eastAsia="宋体" w:cs="宋体"/>
          <w:color w:val="auto"/>
          <w:szCs w:val="21"/>
          <w:highlight w:val="none"/>
          <w:lang w:val="zh-CN"/>
        </w:rPr>
        <w:t>18.2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en-US" w:eastAsia="zh-CN"/>
        </w:rPr>
        <w:t>报价</w:t>
      </w:r>
      <w:r>
        <w:rPr>
          <w:rFonts w:hint="eastAsia" w:ascii="宋体" w:hAnsi="宋体" w:eastAsia="宋体" w:cs="宋体"/>
          <w:b/>
          <w:bCs/>
          <w:color w:val="auto"/>
          <w:szCs w:val="21"/>
          <w:highlight w:val="none"/>
          <w:lang w:val="zh-CN"/>
        </w:rPr>
        <w:t>信封应单独密封，与18.1款的响应文件一同提交。</w:t>
      </w:r>
    </w:p>
    <w:p w14:paraId="2BE486C3">
      <w:pPr>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18.3</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响应文件密封封装标记：</w:t>
      </w:r>
    </w:p>
    <w:p w14:paraId="7420FB3B">
      <w:pPr>
        <w:autoSpaceDE w:val="0"/>
        <w:autoSpaceDN w:val="0"/>
        <w:adjustRightInd w:val="0"/>
        <w:spacing w:line="360" w:lineRule="auto"/>
        <w:ind w:left="319" w:leftChars="-118" w:hanging="567" w:hangingChars="27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）外层密封封装表面应正确注明项目名称、采购编号、供应商单位名称、并注明响应文件递交截止时间之前不得开封（在封口位置的封条上标注注明），封口位置的封条上须加盖供应商法人公章；</w:t>
      </w:r>
    </w:p>
    <w:p w14:paraId="325AA7EA">
      <w:pPr>
        <w:autoSpaceDE w:val="0"/>
        <w:autoSpaceDN w:val="0"/>
        <w:adjustRightInd w:val="0"/>
        <w:spacing w:line="360" w:lineRule="auto"/>
        <w:ind w:left="319" w:leftChars="-118" w:hanging="567" w:hangingChars="27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zh-CN"/>
        </w:rPr>
        <w:t>）响应文件已密封但不按前述标志封包，由此而引起的提前开封或错放责任由供应商承担；</w:t>
      </w:r>
    </w:p>
    <w:p w14:paraId="112C5FD2">
      <w:pPr>
        <w:autoSpaceDE w:val="0"/>
        <w:autoSpaceDN w:val="0"/>
        <w:adjustRightInd w:val="0"/>
        <w:spacing w:line="360" w:lineRule="auto"/>
        <w:ind w:left="319" w:leftChars="-118" w:hanging="567" w:hangingChars="27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（3）不足以造成响应文件可以从外包装内散出而导致响应文件泄密的，不认定为响应文件未密封。</w:t>
      </w:r>
    </w:p>
    <w:p w14:paraId="13CE5E34">
      <w:pPr>
        <w:tabs>
          <w:tab w:val="left" w:pos="567"/>
        </w:tabs>
        <w:autoSpaceDE w:val="0"/>
        <w:autoSpaceDN w:val="0"/>
        <w:adjustRightInd w:val="0"/>
        <w:spacing w:line="360" w:lineRule="auto"/>
        <w:ind w:left="357" w:leftChars="-100" w:right="15" w:rightChars="7" w:hanging="567"/>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18.4</w:t>
      </w:r>
      <w:r>
        <w:rPr>
          <w:rFonts w:hint="eastAsia" w:ascii="宋体" w:hAnsi="宋体" w:eastAsia="宋体" w:cs="宋体"/>
          <w:b/>
          <w:color w:val="auto"/>
          <w:szCs w:val="21"/>
          <w:highlight w:val="none"/>
          <w:lang w:val="zh-CN"/>
        </w:rPr>
        <w:tab/>
      </w:r>
      <w:r>
        <w:rPr>
          <w:rFonts w:hint="eastAsia" w:ascii="宋体" w:hAnsi="宋体" w:eastAsia="宋体" w:cs="宋体"/>
          <w:b/>
          <w:color w:val="auto"/>
          <w:szCs w:val="21"/>
          <w:highlight w:val="none"/>
          <w:lang w:val="zh-CN"/>
        </w:rPr>
        <w:t>如果密封封装未按本款规定密封和标记，采购代理机构对响应文件的误投或提前拆封不负责任。对由此造成提前开封的响应文件，采购代理机构予以拒绝，并退回供应商。</w:t>
      </w:r>
    </w:p>
    <w:p w14:paraId="39E58C9F">
      <w:pPr>
        <w:autoSpaceDE w:val="0"/>
        <w:autoSpaceDN w:val="0"/>
        <w:adjustRightInd w:val="0"/>
        <w:spacing w:line="360" w:lineRule="auto"/>
        <w:ind w:left="355" w:leftChars="-101" w:right="15" w:rightChars="7" w:hanging="567" w:hangingChars="27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18.5 开启前，由供应商代表（第一位递交响应文件的供应商代表及主动自愿参与检查的供应商代表）和采购人代表</w:t>
      </w:r>
      <w:r>
        <w:rPr>
          <w:rFonts w:hint="eastAsia" w:ascii="宋体" w:hAnsi="宋体" w:eastAsia="宋体" w:cs="宋体"/>
          <w:color w:val="auto"/>
          <w:kern w:val="0"/>
          <w:szCs w:val="21"/>
          <w:highlight w:val="none"/>
          <w:lang w:val="zh-CN"/>
        </w:rPr>
        <w:t>将对所有的响应文件的密封性进行检查</w:t>
      </w:r>
      <w:r>
        <w:rPr>
          <w:rFonts w:hint="eastAsia" w:ascii="宋体" w:hAnsi="宋体" w:eastAsia="宋体" w:cs="宋体"/>
          <w:color w:val="auto"/>
          <w:szCs w:val="21"/>
          <w:highlight w:val="none"/>
          <w:lang w:val="zh-CN"/>
        </w:rPr>
        <w:t>，并签署进行确认。</w:t>
      </w:r>
    </w:p>
    <w:p w14:paraId="30B03008">
      <w:pPr>
        <w:tabs>
          <w:tab w:val="left" w:pos="567"/>
        </w:tabs>
        <w:autoSpaceDE w:val="0"/>
        <w:autoSpaceDN w:val="0"/>
        <w:adjustRightInd w:val="0"/>
        <w:spacing w:line="360" w:lineRule="auto"/>
        <w:ind w:right="15" w:rightChars="7" w:firstLine="525" w:firstLineChars="250"/>
        <w:rPr>
          <w:rFonts w:hint="eastAsia" w:ascii="宋体" w:hAnsi="宋体" w:eastAsia="宋体" w:cs="宋体"/>
          <w:color w:val="auto"/>
          <w:szCs w:val="21"/>
          <w:highlight w:val="none"/>
          <w:lang w:val="zh-CN"/>
        </w:rPr>
      </w:pPr>
    </w:p>
    <w:p w14:paraId="17C0ED4C">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189" w:name="_Toc12582"/>
      <w:bookmarkStart w:id="190" w:name="_Toc450662869"/>
      <w:bookmarkStart w:id="191" w:name="_Toc4979"/>
      <w:bookmarkStart w:id="192" w:name="_Toc486167684"/>
      <w:bookmarkStart w:id="193" w:name="_Toc29665_WPSOffice_Level3"/>
      <w:bookmarkStart w:id="194" w:name="_Toc142508334"/>
      <w:bookmarkStart w:id="195" w:name="_Toc695523934"/>
      <w:r>
        <w:rPr>
          <w:rFonts w:hint="eastAsia" w:ascii="宋体" w:hAnsi="宋体" w:eastAsia="宋体" w:cs="宋体"/>
          <w:color w:val="auto"/>
          <w:szCs w:val="21"/>
          <w:highlight w:val="none"/>
          <w:lang w:val="zh-CN"/>
        </w:rPr>
        <w:t>19 递交响应文件的截止日期</w:t>
      </w:r>
      <w:bookmarkEnd w:id="189"/>
      <w:bookmarkEnd w:id="190"/>
      <w:bookmarkEnd w:id="191"/>
      <w:bookmarkEnd w:id="192"/>
      <w:bookmarkEnd w:id="193"/>
      <w:bookmarkEnd w:id="194"/>
      <w:bookmarkEnd w:id="195"/>
    </w:p>
    <w:p w14:paraId="7398119E">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19.1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采购代理机构收到响应文件的时间不得迟于第一篇“询比公告”中规定的截止时间。</w:t>
      </w:r>
    </w:p>
    <w:p w14:paraId="3F951836">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19.2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采购代理机构可按照第7条的规定修改询比文件并酌情延长递交响应文件的截止时间，因此，已规定的采购代理机构和供应商的一切权利和义务将按延期后的递交响应文件截止时间履行。</w:t>
      </w:r>
    </w:p>
    <w:p w14:paraId="22A99C81">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p>
    <w:p w14:paraId="4069F916">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kern w:val="0"/>
          <w:sz w:val="24"/>
          <w:szCs w:val="24"/>
          <w:highlight w:val="none"/>
        </w:rPr>
      </w:pPr>
      <w:bookmarkStart w:id="196" w:name="_Toc22431_WPSOffice_Level3"/>
      <w:bookmarkStart w:id="197" w:name="_Toc30287"/>
      <w:bookmarkStart w:id="198" w:name="_Toc450662870"/>
      <w:bookmarkStart w:id="199" w:name="_Toc20835"/>
      <w:bookmarkStart w:id="200" w:name="_Toc486167685"/>
      <w:bookmarkStart w:id="201" w:name="_Toc142508335"/>
      <w:bookmarkStart w:id="202" w:name="_Toc1267917161"/>
      <w:r>
        <w:rPr>
          <w:rFonts w:hint="eastAsia" w:ascii="宋体" w:hAnsi="宋体" w:eastAsia="宋体" w:cs="宋体"/>
          <w:color w:val="auto"/>
          <w:szCs w:val="21"/>
          <w:highlight w:val="none"/>
          <w:lang w:val="zh-CN"/>
        </w:rPr>
        <w:t>20 迟交的</w:t>
      </w:r>
      <w:bookmarkEnd w:id="196"/>
      <w:bookmarkEnd w:id="197"/>
      <w:bookmarkEnd w:id="198"/>
      <w:bookmarkEnd w:id="199"/>
      <w:bookmarkEnd w:id="200"/>
      <w:bookmarkEnd w:id="201"/>
      <w:r>
        <w:rPr>
          <w:rFonts w:hint="eastAsia" w:ascii="宋体" w:hAnsi="宋体" w:eastAsia="宋体" w:cs="宋体"/>
          <w:color w:val="auto"/>
          <w:szCs w:val="21"/>
          <w:highlight w:val="none"/>
          <w:lang w:val="zh-CN"/>
        </w:rPr>
        <w:t>响应文件</w:t>
      </w:r>
      <w:bookmarkEnd w:id="202"/>
    </w:p>
    <w:p w14:paraId="002CFCFB">
      <w:pPr>
        <w:autoSpaceDE w:val="0"/>
        <w:autoSpaceDN w:val="0"/>
        <w:adjustRightInd w:val="0"/>
        <w:spacing w:line="360" w:lineRule="auto"/>
        <w:ind w:firstLine="315" w:firstLineChars="15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根据第19条规定，采购代理机构将拒绝任何晚于递交响应文件的截止时间交到的响应文件。</w:t>
      </w:r>
    </w:p>
    <w:p w14:paraId="778B0E3A">
      <w:pPr>
        <w:autoSpaceDE w:val="0"/>
        <w:autoSpaceDN w:val="0"/>
        <w:adjustRightInd w:val="0"/>
        <w:jc w:val="left"/>
        <w:rPr>
          <w:rFonts w:hint="eastAsia" w:ascii="宋体" w:hAnsi="宋体" w:eastAsia="宋体" w:cs="宋体"/>
          <w:color w:val="auto"/>
          <w:kern w:val="0"/>
          <w:sz w:val="24"/>
          <w:szCs w:val="24"/>
          <w:highlight w:val="none"/>
        </w:rPr>
      </w:pPr>
    </w:p>
    <w:p w14:paraId="5606AD30">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203" w:name="_Toc142508336"/>
      <w:bookmarkStart w:id="204" w:name="_Toc3814"/>
      <w:bookmarkStart w:id="205" w:name="_Toc450662871"/>
      <w:bookmarkStart w:id="206" w:name="_Toc4883_WPSOffice_Level3"/>
      <w:bookmarkStart w:id="207" w:name="_Toc27851"/>
      <w:bookmarkStart w:id="208" w:name="_Toc486167686"/>
      <w:bookmarkStart w:id="209" w:name="_Toc169277513"/>
      <w:r>
        <w:rPr>
          <w:rFonts w:hint="eastAsia" w:ascii="宋体" w:hAnsi="宋体" w:eastAsia="宋体" w:cs="宋体"/>
          <w:color w:val="auto"/>
          <w:szCs w:val="21"/>
          <w:highlight w:val="none"/>
          <w:lang w:val="zh-CN"/>
        </w:rPr>
        <w:t>21 响应文件的修改和撤回</w:t>
      </w:r>
      <w:bookmarkEnd w:id="203"/>
      <w:bookmarkEnd w:id="204"/>
      <w:bookmarkEnd w:id="205"/>
      <w:bookmarkEnd w:id="206"/>
      <w:bookmarkEnd w:id="207"/>
      <w:bookmarkEnd w:id="208"/>
      <w:bookmarkEnd w:id="209"/>
    </w:p>
    <w:p w14:paraId="287637EB">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21.1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供应商在提交响应文件后可对其响应文件进行修改或撤回，但采购代理机构须在提交响应文件截止日期前收到该修改或撤回的书面通知。</w:t>
      </w:r>
    </w:p>
    <w:p w14:paraId="0EACAAC4">
      <w:pPr>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21.2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供应商对响应文件的修改或撤回的通知应按第17条和第18条规定进行准备、密封、标注和递送。</w:t>
      </w:r>
    </w:p>
    <w:p w14:paraId="4A7A4D81">
      <w:pPr>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21.3</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递交响应文件截止时间后不得修改响应文件。</w:t>
      </w:r>
    </w:p>
    <w:p w14:paraId="4994E9C5">
      <w:pPr>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21.4</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供应商不得在递交响应文件截止时间起至第16条规定的响应文件有效期期满前撤销响应文件。否则采购人将按第15.7款（1）规定不予退还其响应保证金。</w:t>
      </w:r>
    </w:p>
    <w:p w14:paraId="15263A25">
      <w:pPr>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p>
    <w:p w14:paraId="300CCF44">
      <w:pPr>
        <w:keepNext/>
        <w:keepLines/>
        <w:tabs>
          <w:tab w:val="left" w:pos="509"/>
        </w:tabs>
        <w:autoSpaceDE w:val="0"/>
        <w:autoSpaceDN w:val="0"/>
        <w:adjustRightInd w:val="0"/>
        <w:spacing w:line="360" w:lineRule="auto"/>
        <w:jc w:val="left"/>
        <w:outlineLvl w:val="0"/>
        <w:rPr>
          <w:rFonts w:hint="eastAsia" w:ascii="宋体" w:hAnsi="宋体" w:eastAsia="宋体" w:cs="宋体"/>
          <w:b/>
          <w:bCs/>
          <w:color w:val="auto"/>
          <w:kern w:val="44"/>
          <w:szCs w:val="21"/>
          <w:highlight w:val="none"/>
          <w:lang w:val="zh-CN"/>
        </w:rPr>
      </w:pPr>
      <w:bookmarkStart w:id="210" w:name="_Toc450662872"/>
      <w:bookmarkStart w:id="211" w:name="_Toc140596896"/>
      <w:bookmarkStart w:id="212" w:name="_Toc486167687"/>
      <w:bookmarkStart w:id="213" w:name="_Toc1049_WPSOffice_Level2"/>
      <w:bookmarkStart w:id="214" w:name="_Toc30428"/>
      <w:bookmarkStart w:id="215" w:name="_Toc142508337"/>
      <w:bookmarkStart w:id="216" w:name="_Toc28824"/>
      <w:bookmarkStart w:id="217" w:name="_Toc406847452"/>
      <w:r>
        <w:rPr>
          <w:rFonts w:hint="eastAsia" w:ascii="宋体" w:hAnsi="宋体" w:eastAsia="宋体" w:cs="宋体"/>
          <w:b/>
          <w:bCs/>
          <w:color w:val="auto"/>
          <w:kern w:val="44"/>
          <w:szCs w:val="21"/>
          <w:highlight w:val="none"/>
          <w:lang w:val="zh-CN"/>
        </w:rPr>
        <w:t>五、开启与</w:t>
      </w:r>
      <w:bookmarkEnd w:id="210"/>
      <w:bookmarkEnd w:id="211"/>
      <w:bookmarkEnd w:id="212"/>
      <w:bookmarkEnd w:id="213"/>
      <w:bookmarkEnd w:id="214"/>
      <w:bookmarkEnd w:id="215"/>
      <w:bookmarkEnd w:id="216"/>
      <w:r>
        <w:rPr>
          <w:rFonts w:hint="eastAsia" w:ascii="宋体" w:hAnsi="宋体" w:eastAsia="宋体" w:cs="宋体"/>
          <w:b/>
          <w:bCs/>
          <w:color w:val="auto"/>
          <w:kern w:val="44"/>
          <w:szCs w:val="21"/>
          <w:highlight w:val="none"/>
          <w:lang w:val="zh-CN"/>
        </w:rPr>
        <w:t>评审</w:t>
      </w:r>
      <w:bookmarkEnd w:id="217"/>
    </w:p>
    <w:p w14:paraId="11776F02">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218" w:name="_Toc142508338"/>
      <w:bookmarkStart w:id="219" w:name="_Toc486167688"/>
      <w:bookmarkStart w:id="220" w:name="_Toc8728"/>
      <w:bookmarkStart w:id="221" w:name="_Toc450662873"/>
      <w:bookmarkStart w:id="222" w:name="_Toc11256"/>
      <w:bookmarkStart w:id="223" w:name="_Toc144_WPSOffice_Level3"/>
      <w:bookmarkStart w:id="224" w:name="_Toc923395576"/>
      <w:r>
        <w:rPr>
          <w:rFonts w:hint="eastAsia" w:ascii="宋体" w:hAnsi="宋体" w:eastAsia="宋体" w:cs="宋体"/>
          <w:color w:val="auto"/>
          <w:szCs w:val="21"/>
          <w:highlight w:val="none"/>
          <w:lang w:val="zh-CN"/>
        </w:rPr>
        <w:t xml:space="preserve">22 </w:t>
      </w:r>
      <w:bookmarkEnd w:id="218"/>
      <w:bookmarkEnd w:id="219"/>
      <w:bookmarkEnd w:id="220"/>
      <w:bookmarkEnd w:id="221"/>
      <w:bookmarkEnd w:id="222"/>
      <w:bookmarkEnd w:id="223"/>
      <w:r>
        <w:rPr>
          <w:rFonts w:hint="eastAsia" w:ascii="宋体" w:hAnsi="宋体" w:eastAsia="宋体" w:cs="宋体"/>
          <w:color w:val="auto"/>
          <w:szCs w:val="21"/>
          <w:highlight w:val="none"/>
          <w:lang w:val="zh-CN"/>
        </w:rPr>
        <w:t>开启</w:t>
      </w:r>
      <w:bookmarkEnd w:id="224"/>
    </w:p>
    <w:p w14:paraId="4E598774">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采购代理机构在供应商代表自愿出席的情况下，在第一篇“询比公告”规定的地点和时间开启，出席代表需登记以示出席。</w:t>
      </w:r>
    </w:p>
    <w:p w14:paraId="7642BB80">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按照第21条规定，提交了可接受的“撤回”通知的响应文件将不予开封。</w:t>
      </w:r>
    </w:p>
    <w:p w14:paraId="6649B7B2">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22.3 开启时，采购代理机构将当众宣读供应商名称、</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报价以及采购代理机构认为合适的其他内容。若采购代理机构宣读的结果与响应文件不符时，供应商有权在开启现场提出异议，经采购人采购活动的监督人员</w:t>
      </w:r>
      <w:r>
        <w:rPr>
          <w:rFonts w:hint="eastAsia" w:ascii="宋体" w:hAnsi="宋体" w:eastAsia="宋体" w:cs="宋体"/>
          <w:color w:val="auto"/>
          <w:szCs w:val="21"/>
          <w:highlight w:val="none"/>
          <w:lang w:val="en-US" w:eastAsia="zh-CN"/>
        </w:rPr>
        <w:t>当</w:t>
      </w:r>
      <w:r>
        <w:rPr>
          <w:rFonts w:hint="eastAsia" w:ascii="宋体" w:hAnsi="宋体" w:eastAsia="宋体" w:cs="宋体"/>
          <w:color w:val="auto"/>
          <w:szCs w:val="21"/>
          <w:highlight w:val="none"/>
          <w:lang w:val="zh-CN"/>
        </w:rPr>
        <w:t>场核查确认之后，可重新宣读其响应文件</w:t>
      </w:r>
      <w:r>
        <w:rPr>
          <w:rFonts w:hint="eastAsia" w:ascii="宋体" w:hAnsi="宋体" w:eastAsia="宋体" w:cs="宋体"/>
          <w:color w:val="auto"/>
          <w:szCs w:val="21"/>
          <w:highlight w:val="none"/>
          <w:lang w:val="en-US" w:eastAsia="zh-CN"/>
        </w:rPr>
        <w:t>相关内容</w:t>
      </w:r>
      <w:r>
        <w:rPr>
          <w:rFonts w:hint="eastAsia" w:ascii="宋体" w:hAnsi="宋体" w:eastAsia="宋体" w:cs="宋体"/>
          <w:color w:val="auto"/>
          <w:szCs w:val="21"/>
          <w:highlight w:val="none"/>
          <w:lang w:val="zh-CN"/>
        </w:rPr>
        <w:t>。若供应商现场未提出异议，则视为供应商确认宣读的结果。</w:t>
      </w:r>
    </w:p>
    <w:p w14:paraId="6AD41DC4">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22.4</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响应文件的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报价大写金额和小写金额不一致的，以大写金额为准。对不同文字文本响应文件的解释发生异议的，以中文文本为准。</w:t>
      </w:r>
    </w:p>
    <w:p w14:paraId="75930393">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22.5 供应商对开启有异议的，应当在开启现场提出，采购代理机构应当当场作出答复，并制作记录。供应商法定代表人或其授权代表未出席的，视同认可开启结果。</w:t>
      </w:r>
    </w:p>
    <w:p w14:paraId="72E633C2">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22.6 采购代理机构将做开启记录，开启记录包括第22.5款发生的异议及答复、按第22.3款的规定在开启时宣读的全部内容。</w:t>
      </w:r>
    </w:p>
    <w:p w14:paraId="47FB9199">
      <w:pPr>
        <w:autoSpaceDE w:val="0"/>
        <w:autoSpaceDN w:val="0"/>
        <w:adjustRightInd w:val="0"/>
        <w:spacing w:line="360" w:lineRule="auto"/>
        <w:ind w:left="357" w:leftChars="-100" w:right="15" w:rightChars="7" w:hanging="567"/>
        <w:rPr>
          <w:rFonts w:hint="eastAsia" w:ascii="宋体" w:hAnsi="宋体" w:eastAsia="宋体" w:cs="宋体"/>
          <w:color w:val="auto"/>
          <w:kern w:val="0"/>
          <w:szCs w:val="21"/>
          <w:highlight w:val="none"/>
        </w:rPr>
      </w:pPr>
    </w:p>
    <w:p w14:paraId="133AEB16">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225" w:name="_Toc486167689"/>
      <w:bookmarkStart w:id="226" w:name="_Toc195128046"/>
      <w:bookmarkStart w:id="227" w:name="_Toc32534"/>
      <w:bookmarkStart w:id="228" w:name="_Toc12165_WPSOffice_Level3"/>
      <w:bookmarkStart w:id="229" w:name="_Toc142508339"/>
      <w:bookmarkStart w:id="230" w:name="_Toc23059"/>
      <w:bookmarkStart w:id="231" w:name="_Toc450662874"/>
      <w:r>
        <w:rPr>
          <w:rFonts w:hint="eastAsia" w:ascii="宋体" w:hAnsi="宋体" w:eastAsia="宋体" w:cs="宋体"/>
          <w:color w:val="auto"/>
          <w:szCs w:val="21"/>
          <w:highlight w:val="none"/>
          <w:lang w:val="zh-CN"/>
        </w:rPr>
        <w:t xml:space="preserve">23 </w:t>
      </w:r>
      <w:r>
        <w:rPr>
          <w:rFonts w:hint="eastAsia" w:ascii="宋体" w:hAnsi="宋体" w:eastAsia="宋体" w:cs="宋体"/>
          <w:color w:val="auto"/>
          <w:kern w:val="0"/>
          <w:szCs w:val="24"/>
          <w:highlight w:val="none"/>
          <w:lang w:eastAsia="zh-CN"/>
        </w:rPr>
        <w:t>评审</w:t>
      </w:r>
      <w:r>
        <w:rPr>
          <w:rFonts w:hint="eastAsia" w:ascii="宋体" w:hAnsi="宋体" w:eastAsia="宋体" w:cs="宋体"/>
          <w:color w:val="auto"/>
          <w:kern w:val="0"/>
          <w:szCs w:val="24"/>
          <w:highlight w:val="none"/>
        </w:rPr>
        <w:t>过程的保密性</w:t>
      </w:r>
      <w:bookmarkEnd w:id="225"/>
      <w:bookmarkEnd w:id="226"/>
      <w:bookmarkEnd w:id="227"/>
      <w:bookmarkEnd w:id="228"/>
      <w:bookmarkEnd w:id="229"/>
      <w:bookmarkEnd w:id="230"/>
      <w:bookmarkEnd w:id="231"/>
    </w:p>
    <w:p w14:paraId="4F3DB786">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23.1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递交响应文件后，直至向成交人授予合同期间，凡与审查、澄清、评估和比较</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报价的有关资料以及意见等，均不得向供应商及与评审无关的其他人透露，否则追究有关当事人的法律责任。</w:t>
      </w:r>
    </w:p>
    <w:p w14:paraId="3648FD49">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23.2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在评审过程中，如果供应商试图在响应文件审查、澄清、比较及授予合同方面向采购代理机构和采购人施加任何影响，其响应文件将被拒绝。</w:t>
      </w:r>
    </w:p>
    <w:p w14:paraId="56289CAD">
      <w:pPr>
        <w:tabs>
          <w:tab w:val="left" w:pos="567"/>
        </w:tabs>
        <w:autoSpaceDE w:val="0"/>
        <w:autoSpaceDN w:val="0"/>
        <w:adjustRightInd w:val="0"/>
        <w:spacing w:line="360" w:lineRule="auto"/>
        <w:ind w:left="357" w:leftChars="-100" w:right="15" w:rightChars="7" w:hanging="567"/>
        <w:rPr>
          <w:rFonts w:hint="eastAsia" w:ascii="宋体" w:hAnsi="宋体" w:eastAsia="宋体" w:cs="宋体"/>
          <w:color w:val="auto"/>
          <w:szCs w:val="21"/>
          <w:highlight w:val="none"/>
          <w:lang w:val="zh-CN"/>
        </w:rPr>
      </w:pPr>
    </w:p>
    <w:p w14:paraId="58AF676C">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232" w:name="_Toc15565_WPSOffice_Level3"/>
      <w:bookmarkStart w:id="233" w:name="_Toc183950469"/>
      <w:bookmarkStart w:id="234" w:name="_Toc800"/>
      <w:bookmarkStart w:id="235" w:name="_Toc486167690"/>
      <w:bookmarkStart w:id="236" w:name="_Toc16920"/>
      <w:bookmarkStart w:id="237" w:name="_Toc142508340"/>
      <w:bookmarkStart w:id="238" w:name="_Toc450662875"/>
      <w:r>
        <w:rPr>
          <w:rFonts w:hint="eastAsia" w:ascii="宋体" w:hAnsi="宋体" w:eastAsia="宋体" w:cs="宋体"/>
          <w:color w:val="auto"/>
          <w:szCs w:val="21"/>
          <w:highlight w:val="none"/>
          <w:lang w:val="zh-CN"/>
        </w:rPr>
        <w:t>24 评审委员会</w:t>
      </w:r>
      <w:bookmarkEnd w:id="232"/>
      <w:bookmarkEnd w:id="233"/>
      <w:bookmarkEnd w:id="234"/>
      <w:bookmarkEnd w:id="235"/>
      <w:bookmarkEnd w:id="236"/>
      <w:bookmarkEnd w:id="237"/>
      <w:bookmarkEnd w:id="238"/>
    </w:p>
    <w:p w14:paraId="0027CDF7">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24.1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评审委员会</w:t>
      </w:r>
      <w:r>
        <w:rPr>
          <w:rFonts w:hint="eastAsia" w:ascii="宋体" w:hAnsi="宋体" w:eastAsia="宋体" w:cs="宋体"/>
          <w:color w:val="auto"/>
          <w:szCs w:val="21"/>
          <w:highlight w:val="none"/>
          <w:lang w:val="en-US" w:eastAsia="zh-CN"/>
        </w:rPr>
        <w:t>是</w:t>
      </w:r>
      <w:r>
        <w:rPr>
          <w:rFonts w:hint="eastAsia" w:ascii="宋体" w:hAnsi="宋体" w:eastAsia="宋体" w:cs="宋体"/>
          <w:color w:val="auto"/>
          <w:szCs w:val="21"/>
          <w:highlight w:val="none"/>
          <w:lang w:val="zh-CN"/>
        </w:rPr>
        <w:t>按照采购文件组建的、专门负责本次采购项目评审工作的临时性机构。评审委员会的成员在评审过程中必须严格</w:t>
      </w:r>
      <w:r>
        <w:rPr>
          <w:rFonts w:hint="eastAsia" w:ascii="宋体" w:hAnsi="宋体" w:eastAsia="宋体" w:cs="宋体"/>
          <w:color w:val="auto"/>
          <w:szCs w:val="21"/>
          <w:highlight w:val="none"/>
          <w:lang w:val="zh-CN" w:eastAsia="zh-CN"/>
        </w:rPr>
        <w:t>依据本次</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lang w:val="zh-CN" w:eastAsia="zh-CN"/>
        </w:rPr>
        <w:t>文件</w:t>
      </w:r>
      <w:r>
        <w:rPr>
          <w:rFonts w:hint="eastAsia" w:ascii="宋体" w:hAnsi="宋体" w:eastAsia="宋体" w:cs="宋体"/>
          <w:color w:val="auto"/>
          <w:szCs w:val="21"/>
          <w:highlight w:val="none"/>
          <w:lang w:val="zh-CN"/>
        </w:rPr>
        <w:t>有关规定进行。</w:t>
      </w:r>
    </w:p>
    <w:p w14:paraId="42850290">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24.2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评审委员会依法根据询比文件的规定，进行响应文件的评审、得出评审结果，并向采购人推荐成交候选人。</w:t>
      </w:r>
    </w:p>
    <w:p w14:paraId="1D359C3B">
      <w:pPr>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p>
    <w:p w14:paraId="2EE6C176">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b/>
          <w:color w:val="auto"/>
          <w:szCs w:val="21"/>
          <w:highlight w:val="none"/>
          <w:lang w:val="zh-CN"/>
        </w:rPr>
      </w:pPr>
      <w:bookmarkStart w:id="239" w:name="_Toc18668"/>
      <w:bookmarkStart w:id="240" w:name="_Toc486167691"/>
      <w:bookmarkStart w:id="241" w:name="_Toc12715"/>
      <w:bookmarkStart w:id="242" w:name="_Toc28910_WPSOffice_Level3"/>
      <w:bookmarkStart w:id="243" w:name="_Toc142508341"/>
      <w:bookmarkStart w:id="244" w:name="_Toc450662876"/>
      <w:bookmarkStart w:id="245" w:name="_Toc358521471"/>
      <w:r>
        <w:rPr>
          <w:rFonts w:hint="eastAsia" w:ascii="宋体" w:hAnsi="宋体" w:eastAsia="宋体" w:cs="宋体"/>
          <w:b/>
          <w:color w:val="auto"/>
          <w:szCs w:val="21"/>
          <w:highlight w:val="none"/>
          <w:lang w:val="zh-CN"/>
        </w:rPr>
        <w:t>25 响应文件的初审</w:t>
      </w:r>
      <w:bookmarkEnd w:id="239"/>
      <w:bookmarkEnd w:id="240"/>
      <w:bookmarkEnd w:id="241"/>
      <w:bookmarkEnd w:id="242"/>
      <w:bookmarkEnd w:id="243"/>
      <w:bookmarkEnd w:id="244"/>
      <w:bookmarkEnd w:id="245"/>
    </w:p>
    <w:p w14:paraId="09BE3709">
      <w:pPr>
        <w:autoSpaceDE w:val="0"/>
        <w:autoSpaceDN w:val="0"/>
        <w:adjustRightInd w:val="0"/>
        <w:spacing w:line="360" w:lineRule="auto"/>
        <w:ind w:left="357" w:leftChars="-100" w:hanging="567"/>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zh-CN"/>
        </w:rPr>
        <w:t>25.1 资格性检查：依据法律法规和询比文件的规定，对响应文件中的资格证明、响应保证金等进行审查，以确定供应商是否具备</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资格。</w:t>
      </w:r>
    </w:p>
    <w:p w14:paraId="2929D272">
      <w:pPr>
        <w:autoSpaceDE w:val="0"/>
        <w:autoSpaceDN w:val="0"/>
        <w:adjustRightInd w:val="0"/>
        <w:spacing w:line="360" w:lineRule="auto"/>
        <w:ind w:left="330" w:leftChars="-100" w:hanging="540"/>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25.2 符合性检查：依据询比文件的规定，从响应文件的有效性、完整性和对询比文件的响应程度进行审查，以确定是否对询比文件的实质性要求作出响应。</w:t>
      </w:r>
    </w:p>
    <w:p w14:paraId="42A39B0B">
      <w:pPr>
        <w:autoSpaceDE w:val="0"/>
        <w:autoSpaceDN w:val="0"/>
        <w:adjustRightInd w:val="0"/>
        <w:spacing w:line="360" w:lineRule="auto"/>
        <w:ind w:left="330" w:leftChars="-100" w:hanging="540"/>
        <w:rPr>
          <w:rFonts w:hint="eastAsia" w:ascii="宋体" w:hAnsi="宋体" w:eastAsia="宋体" w:cs="宋体"/>
          <w:b/>
          <w:color w:val="auto"/>
          <w:szCs w:val="21"/>
          <w:highlight w:val="none"/>
          <w:lang w:val="zh-CN"/>
        </w:rPr>
      </w:pPr>
    </w:p>
    <w:p w14:paraId="3CCEA54E">
      <w:pPr>
        <w:tabs>
          <w:tab w:val="left" w:pos="525"/>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246" w:name="_Toc142508342"/>
      <w:bookmarkStart w:id="247" w:name="_Toc338_WPSOffice_Level3"/>
      <w:bookmarkStart w:id="248" w:name="_Toc450662877"/>
      <w:bookmarkStart w:id="249" w:name="_Toc486167692"/>
      <w:bookmarkStart w:id="250" w:name="_Toc30225"/>
      <w:bookmarkStart w:id="251" w:name="_Toc989022092"/>
      <w:bookmarkStart w:id="252" w:name="_Toc4837"/>
      <w:r>
        <w:rPr>
          <w:rFonts w:hint="eastAsia" w:ascii="宋体" w:hAnsi="宋体" w:eastAsia="宋体" w:cs="宋体"/>
          <w:color w:val="auto"/>
          <w:szCs w:val="21"/>
          <w:highlight w:val="none"/>
          <w:lang w:val="zh-CN"/>
        </w:rPr>
        <w:t>26 响应文件的澄清</w:t>
      </w:r>
      <w:bookmarkEnd w:id="246"/>
      <w:bookmarkEnd w:id="247"/>
      <w:bookmarkEnd w:id="248"/>
      <w:bookmarkEnd w:id="249"/>
      <w:bookmarkEnd w:id="250"/>
      <w:bookmarkEnd w:id="251"/>
      <w:bookmarkEnd w:id="252"/>
    </w:p>
    <w:p w14:paraId="024F013F">
      <w:pPr>
        <w:autoSpaceDE w:val="0"/>
        <w:autoSpaceDN w:val="0"/>
        <w:adjustRightInd w:val="0"/>
        <w:spacing w:line="360" w:lineRule="auto"/>
        <w:ind w:left="315" w:leftChars="-100" w:hanging="525" w:hangingChars="2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26.1 对响应文件中含义不明确、同类问题表述不一致或者有明显文字和计算错误的内容，评审委员会可以书面形式（应当由评审委员会专家签字）要求供应商作出必要的澄清、说明或者纠正。供应商的澄清、说明或者补正应当采用书面形式，由其授权的代表签字，并不得超出响应文件的范围或者改变响应文件的实质性内容。</w:t>
      </w:r>
    </w:p>
    <w:p w14:paraId="66EAC820">
      <w:pPr>
        <w:autoSpaceDE w:val="0"/>
        <w:autoSpaceDN w:val="0"/>
        <w:adjustRightInd w:val="0"/>
        <w:spacing w:line="360" w:lineRule="auto"/>
        <w:ind w:left="330" w:leftChars="-100" w:right="15" w:rightChars="7" w:hanging="540"/>
        <w:rPr>
          <w:rFonts w:hint="eastAsia" w:ascii="宋体" w:hAnsi="宋体" w:eastAsia="宋体" w:cs="宋体"/>
          <w:color w:val="auto"/>
          <w:szCs w:val="21"/>
          <w:highlight w:val="none"/>
          <w:lang w:val="zh-CN"/>
        </w:rPr>
      </w:pPr>
      <w:bookmarkStart w:id="253" w:name="_Toc450662879"/>
      <w:r>
        <w:rPr>
          <w:rFonts w:hint="eastAsia" w:ascii="宋体" w:hAnsi="宋体" w:eastAsia="宋体" w:cs="宋体"/>
          <w:color w:val="auto"/>
          <w:szCs w:val="21"/>
          <w:highlight w:val="none"/>
          <w:lang w:val="zh-CN"/>
        </w:rPr>
        <w:t xml:space="preserve">26.2 </w:t>
      </w:r>
      <w:r>
        <w:rPr>
          <w:rFonts w:hint="eastAsia" w:ascii="宋体" w:hAnsi="宋体" w:eastAsia="宋体" w:cs="宋体"/>
          <w:color w:val="auto"/>
          <w:szCs w:val="21"/>
          <w:highlight w:val="none"/>
          <w:lang w:val="en-US" w:eastAsia="zh-CN"/>
        </w:rPr>
        <w:t>开启当天</w:t>
      </w:r>
      <w:r>
        <w:rPr>
          <w:rFonts w:hint="eastAsia" w:ascii="宋体" w:hAnsi="宋体" w:eastAsia="宋体" w:cs="宋体"/>
          <w:color w:val="auto"/>
          <w:szCs w:val="21"/>
          <w:highlight w:val="none"/>
          <w:lang w:val="zh-CN"/>
        </w:rPr>
        <w:t>，供应商法定代表人或法定代表人授权书列明的被授权人的联系电话应保持开机状态，以便在评审期间，评审委员会要求供应商对响应文件进行澄清时能够收到有关通知，否则视为供应商放弃澄清的权利，对评审委员会就该项内容的评审意见无异议。</w:t>
      </w:r>
    </w:p>
    <w:p w14:paraId="1F30EE29">
      <w:pPr>
        <w:autoSpaceDE w:val="0"/>
        <w:autoSpaceDN w:val="0"/>
        <w:adjustRightInd w:val="0"/>
        <w:spacing w:line="360" w:lineRule="auto"/>
        <w:ind w:left="330" w:leftChars="-100" w:right="15" w:rightChars="7" w:hanging="540"/>
        <w:rPr>
          <w:rFonts w:hint="eastAsia" w:ascii="宋体" w:hAnsi="宋体" w:eastAsia="宋体" w:cs="宋体"/>
          <w:color w:val="auto"/>
          <w:szCs w:val="21"/>
          <w:highlight w:val="none"/>
          <w:lang w:val="zh-CN"/>
        </w:rPr>
      </w:pPr>
    </w:p>
    <w:bookmarkEnd w:id="253"/>
    <w:p w14:paraId="160F30C5">
      <w:pPr>
        <w:tabs>
          <w:tab w:val="left" w:pos="525"/>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254" w:name="_Toc522047355"/>
      <w:bookmarkStart w:id="255" w:name="_Toc22065"/>
      <w:bookmarkStart w:id="256" w:name="_Toc142508343"/>
      <w:bookmarkStart w:id="257" w:name="_Toc521918096"/>
      <w:bookmarkStart w:id="258" w:name="_Toc10967"/>
      <w:bookmarkStart w:id="259" w:name="_Toc18368_WPSOffice_Level3"/>
      <w:bookmarkStart w:id="260" w:name="_Toc469681478"/>
      <w:r>
        <w:rPr>
          <w:rFonts w:hint="eastAsia" w:ascii="宋体" w:hAnsi="宋体" w:eastAsia="宋体" w:cs="宋体"/>
          <w:color w:val="auto"/>
          <w:szCs w:val="21"/>
          <w:highlight w:val="none"/>
          <w:lang w:val="zh-CN"/>
        </w:rPr>
        <w:t>27 对响应文件的比较和评价</w:t>
      </w:r>
      <w:bookmarkEnd w:id="254"/>
      <w:bookmarkEnd w:id="255"/>
      <w:bookmarkEnd w:id="256"/>
      <w:bookmarkEnd w:id="257"/>
      <w:bookmarkEnd w:id="258"/>
      <w:bookmarkEnd w:id="259"/>
      <w:bookmarkEnd w:id="260"/>
    </w:p>
    <w:p w14:paraId="790D1AE2">
      <w:pPr>
        <w:tabs>
          <w:tab w:val="left" w:pos="540"/>
        </w:tabs>
        <w:autoSpaceDE w:val="0"/>
        <w:autoSpaceDN w:val="0"/>
        <w:adjustRightInd w:val="0"/>
        <w:spacing w:line="360" w:lineRule="auto"/>
        <w:ind w:left="330" w:leftChars="-100" w:right="15" w:rightChars="7"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27.1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评审委员会将对资格性检查和符合性检查合格的响应文件进行比较和评价，包括商务、技术和价格的详细评审。</w:t>
      </w:r>
    </w:p>
    <w:p w14:paraId="28392CDF">
      <w:pPr>
        <w:autoSpaceDE w:val="0"/>
        <w:autoSpaceDN w:val="0"/>
        <w:adjustRightInd w:val="0"/>
        <w:spacing w:line="360" w:lineRule="auto"/>
        <w:ind w:left="330" w:leftChars="-100" w:right="15" w:rightChars="7"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27.2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对响应文件商务的评审详见评审工作大纲。</w:t>
      </w:r>
    </w:p>
    <w:p w14:paraId="3B745B2C">
      <w:pPr>
        <w:autoSpaceDE w:val="0"/>
        <w:autoSpaceDN w:val="0"/>
        <w:adjustRightInd w:val="0"/>
        <w:spacing w:line="360" w:lineRule="auto"/>
        <w:ind w:left="330" w:leftChars="-100" w:right="15" w:rightChars="7" w:hanging="540"/>
        <w:rPr>
          <w:rFonts w:hint="eastAsia" w:ascii="宋体" w:hAnsi="宋体" w:eastAsia="宋体" w:cs="宋体"/>
          <w:color w:val="auto"/>
          <w:szCs w:val="21"/>
          <w:highlight w:val="none"/>
          <w:lang w:val="zh-CN"/>
        </w:rPr>
      </w:pPr>
      <w:bookmarkStart w:id="261" w:name="_Toc521918097"/>
      <w:bookmarkStart w:id="262" w:name="_Toc522047356"/>
      <w:r>
        <w:rPr>
          <w:rFonts w:hint="eastAsia" w:ascii="宋体" w:hAnsi="宋体" w:eastAsia="宋体" w:cs="宋体"/>
          <w:color w:val="auto"/>
          <w:szCs w:val="21"/>
          <w:highlight w:val="none"/>
          <w:lang w:val="zh-CN"/>
        </w:rPr>
        <w:t>27.3</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对响应文件技术的评审详见评审工作大纲。</w:t>
      </w:r>
    </w:p>
    <w:p w14:paraId="1BFBD9E7">
      <w:pPr>
        <w:autoSpaceDE w:val="0"/>
        <w:autoSpaceDN w:val="0"/>
        <w:adjustRightInd w:val="0"/>
        <w:spacing w:line="360" w:lineRule="auto"/>
        <w:ind w:left="330" w:leftChars="-100" w:right="15" w:rightChars="7"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27.</w:t>
      </w:r>
      <w:r>
        <w:rPr>
          <w:rFonts w:hint="default" w:ascii="宋体" w:hAnsi="宋体" w:eastAsia="宋体" w:cs="宋体"/>
          <w:color w:val="auto"/>
          <w:szCs w:val="21"/>
          <w:highlight w:val="none"/>
          <w:lang w:val="en-US"/>
        </w:rPr>
        <w:t>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lang w:val="zh-CN"/>
        </w:rPr>
        <w:t>对</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价格的评审详见评审工作大纲。</w:t>
      </w:r>
    </w:p>
    <w:p w14:paraId="76CE1939">
      <w:pPr>
        <w:autoSpaceDE w:val="0"/>
        <w:autoSpaceDN w:val="0"/>
        <w:adjustRightInd w:val="0"/>
        <w:spacing w:line="360" w:lineRule="auto"/>
        <w:ind w:left="330" w:leftChars="-100" w:right="15" w:rightChars="7"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27.</w:t>
      </w:r>
      <w:r>
        <w:rPr>
          <w:rFonts w:hint="default" w:ascii="宋体" w:hAnsi="宋体" w:eastAsia="宋体" w:cs="宋体"/>
          <w:color w:val="auto"/>
          <w:szCs w:val="21"/>
          <w:highlight w:val="none"/>
          <w:lang w:val="en-US"/>
        </w:rPr>
        <w:t>5</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lang w:val="zh-CN"/>
        </w:rPr>
        <w:t>本次评审的评分权重详见评审工作大纲。</w:t>
      </w:r>
    </w:p>
    <w:p w14:paraId="7BC54DA0">
      <w:pPr>
        <w:autoSpaceDE w:val="0"/>
        <w:autoSpaceDN w:val="0"/>
        <w:adjustRightInd w:val="0"/>
        <w:spacing w:line="360" w:lineRule="auto"/>
        <w:ind w:left="330" w:leftChars="-100" w:right="15" w:rightChars="7"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27.</w:t>
      </w:r>
      <w:r>
        <w:rPr>
          <w:rFonts w:hint="default" w:ascii="宋体" w:hAnsi="宋体" w:eastAsia="宋体" w:cs="宋体"/>
          <w:color w:val="auto"/>
          <w:szCs w:val="21"/>
          <w:highlight w:val="none"/>
          <w:lang w:val="en-US"/>
        </w:rPr>
        <w:t>6</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lang w:val="zh-CN"/>
        </w:rPr>
        <w:t>根据上述商务、技术及价格综合评价的权重分配计算出各供应商的综合得分。</w:t>
      </w:r>
    </w:p>
    <w:p w14:paraId="329ABEB6">
      <w:pPr>
        <w:tabs>
          <w:tab w:val="left" w:pos="567"/>
        </w:tabs>
        <w:autoSpaceDE w:val="0"/>
        <w:autoSpaceDN w:val="0"/>
        <w:adjustRightInd w:val="0"/>
        <w:spacing w:line="360" w:lineRule="auto"/>
        <w:ind w:left="357" w:leftChars="-100" w:hanging="567"/>
        <w:jc w:val="left"/>
        <w:rPr>
          <w:rFonts w:hint="eastAsia" w:ascii="宋体" w:hAnsi="宋体" w:eastAsia="宋体" w:cs="宋体"/>
          <w:color w:val="auto"/>
          <w:szCs w:val="21"/>
          <w:highlight w:val="none"/>
          <w:lang w:val="zh-CN"/>
        </w:rPr>
      </w:pPr>
    </w:p>
    <w:p w14:paraId="42252A20">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263" w:name="_Toc272080647"/>
      <w:bookmarkStart w:id="264" w:name="_Toc21460_WPSOffice_Level3"/>
      <w:bookmarkStart w:id="265" w:name="_Toc142508344"/>
      <w:bookmarkStart w:id="266" w:name="_Toc14804"/>
      <w:bookmarkStart w:id="267" w:name="_Toc27026"/>
      <w:r>
        <w:rPr>
          <w:rFonts w:hint="eastAsia" w:ascii="宋体" w:hAnsi="宋体" w:eastAsia="宋体" w:cs="宋体"/>
          <w:color w:val="auto"/>
          <w:szCs w:val="21"/>
          <w:highlight w:val="none"/>
          <w:lang w:val="zh-CN"/>
        </w:rPr>
        <w:t>28 评审原则及方法</w:t>
      </w:r>
      <w:bookmarkEnd w:id="261"/>
      <w:bookmarkEnd w:id="262"/>
      <w:bookmarkEnd w:id="263"/>
      <w:bookmarkEnd w:id="264"/>
      <w:bookmarkEnd w:id="265"/>
      <w:bookmarkEnd w:id="266"/>
      <w:bookmarkEnd w:id="267"/>
    </w:p>
    <w:p w14:paraId="6AFA0210">
      <w:pPr>
        <w:tabs>
          <w:tab w:val="left" w:pos="567"/>
        </w:tabs>
        <w:autoSpaceDE w:val="0"/>
        <w:autoSpaceDN w:val="0"/>
        <w:adjustRightInd w:val="0"/>
        <w:spacing w:line="360" w:lineRule="auto"/>
        <w:ind w:left="357" w:leftChars="-100" w:hanging="56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28.1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对所有响应文件的评审，都采用相同的程序和标准。按步骤先进行初步评审，再进行商务、技术、价格评审。</w:t>
      </w:r>
    </w:p>
    <w:p w14:paraId="05715165">
      <w:pPr>
        <w:tabs>
          <w:tab w:val="left" w:pos="360"/>
        </w:tabs>
        <w:autoSpaceDE w:val="0"/>
        <w:autoSpaceDN w:val="0"/>
        <w:adjustRightInd w:val="0"/>
        <w:spacing w:line="360" w:lineRule="auto"/>
        <w:ind w:left="330" w:leftChars="-100" w:right="44" w:rightChars="21"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28.2 评审严格按照询比文件的要求和条件进行。</w:t>
      </w:r>
    </w:p>
    <w:p w14:paraId="1C1DA960">
      <w:pPr>
        <w:tabs>
          <w:tab w:val="left" w:pos="360"/>
        </w:tabs>
        <w:autoSpaceDE w:val="0"/>
        <w:autoSpaceDN w:val="0"/>
        <w:adjustRightInd w:val="0"/>
        <w:spacing w:line="360" w:lineRule="auto"/>
        <w:ind w:left="330" w:leftChars="-100" w:right="44" w:rightChars="21"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     在评审时将根据第27条，采用综合评分法的评审方法，对所有实质响应性响应文件进行综合打分。</w:t>
      </w:r>
    </w:p>
    <w:p w14:paraId="20B8ACD5">
      <w:pPr>
        <w:tabs>
          <w:tab w:val="left" w:pos="360"/>
        </w:tabs>
        <w:autoSpaceDE w:val="0"/>
        <w:autoSpaceDN w:val="0"/>
        <w:adjustRightInd w:val="0"/>
        <w:spacing w:line="360" w:lineRule="auto"/>
        <w:ind w:left="330" w:leftChars="-100" w:right="44" w:rightChars="21" w:hanging="540" w:firstLineChars="0"/>
        <w:rPr>
          <w:rFonts w:hint="eastAsia" w:ascii="宋体" w:hAnsi="宋体" w:eastAsia="宋体" w:cs="宋体"/>
          <w:b/>
          <w:bCs/>
          <w:color w:val="auto"/>
          <w:szCs w:val="21"/>
          <w:highlight w:val="none"/>
          <w:lang w:val="zh-CN" w:eastAsia="zh-CN"/>
        </w:rPr>
      </w:pPr>
      <w:r>
        <w:rPr>
          <w:rFonts w:hint="eastAsia" w:ascii="宋体" w:hAnsi="宋体" w:eastAsia="宋体" w:cs="宋体"/>
          <w:color w:val="auto"/>
          <w:szCs w:val="21"/>
          <w:highlight w:val="none"/>
          <w:lang w:val="zh-CN"/>
        </w:rPr>
        <w:t xml:space="preserve">28.3 </w:t>
      </w:r>
      <w:r>
        <w:rPr>
          <w:rFonts w:hint="eastAsia" w:ascii="宋体" w:hAnsi="宋体" w:eastAsia="宋体" w:cs="宋体"/>
          <w:b/>
          <w:bCs/>
          <w:color w:val="auto"/>
          <w:szCs w:val="21"/>
          <w:highlight w:val="none"/>
          <w:lang w:val="zh-CN"/>
        </w:rPr>
        <w:t>（</w:t>
      </w:r>
      <w:r>
        <w:rPr>
          <w:rFonts w:hint="eastAsia" w:ascii="宋体" w:hAnsi="宋体" w:eastAsia="宋体" w:cs="宋体"/>
          <w:b/>
          <w:bCs/>
          <w:color w:val="auto"/>
          <w:szCs w:val="21"/>
          <w:highlight w:val="none"/>
          <w:lang w:val="zh-CN" w:eastAsia="zh-CN"/>
        </w:rPr>
        <w:t>1</w:t>
      </w:r>
      <w:r>
        <w:rPr>
          <w:rFonts w:hint="eastAsia" w:ascii="宋体" w:hAnsi="宋体" w:eastAsia="宋体" w:cs="宋体"/>
          <w:b/>
          <w:bCs/>
          <w:color w:val="auto"/>
          <w:szCs w:val="21"/>
          <w:highlight w:val="none"/>
          <w:lang w:val="zh-CN"/>
        </w:rPr>
        <w:t>）</w:t>
      </w:r>
      <w:r>
        <w:rPr>
          <w:rFonts w:hint="eastAsia" w:ascii="宋体" w:hAnsi="宋体" w:eastAsia="宋体" w:cs="宋体"/>
          <w:b/>
          <w:bCs/>
          <w:color w:val="auto"/>
          <w:szCs w:val="21"/>
          <w:highlight w:val="none"/>
          <w:lang w:val="zh-CN" w:eastAsia="zh-CN"/>
        </w:rPr>
        <w:t>若本次</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lang w:val="zh-CN" w:eastAsia="zh-CN"/>
        </w:rPr>
        <w:t>过程中，参与</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lang w:val="zh-CN" w:eastAsia="zh-CN"/>
        </w:rPr>
        <w:t>的</w:t>
      </w:r>
      <w:r>
        <w:rPr>
          <w:rFonts w:hint="eastAsia" w:ascii="宋体" w:hAnsi="宋体" w:eastAsia="宋体" w:cs="宋体"/>
          <w:b/>
          <w:bCs/>
          <w:color w:val="auto"/>
          <w:szCs w:val="21"/>
          <w:highlight w:val="none"/>
          <w:lang w:val="en-US" w:eastAsia="zh-CN"/>
        </w:rPr>
        <w:t>供应商</w:t>
      </w:r>
      <w:r>
        <w:rPr>
          <w:rFonts w:hint="eastAsia" w:ascii="宋体" w:hAnsi="宋体" w:eastAsia="宋体" w:cs="宋体"/>
          <w:b/>
          <w:bCs/>
          <w:color w:val="auto"/>
          <w:szCs w:val="21"/>
          <w:highlight w:val="none"/>
          <w:lang w:val="zh-CN" w:eastAsia="zh-CN"/>
        </w:rPr>
        <w:t>不足3个时，本项目公开</w:t>
      </w:r>
      <w:r>
        <w:rPr>
          <w:rFonts w:hint="eastAsia" w:ascii="宋体" w:hAnsi="宋体" w:eastAsia="宋体" w:cs="宋体"/>
          <w:b/>
          <w:bCs/>
          <w:color w:val="auto"/>
          <w:szCs w:val="21"/>
          <w:highlight w:val="none"/>
          <w:lang w:val="en-US" w:eastAsia="zh-CN"/>
        </w:rPr>
        <w:t>询比</w:t>
      </w:r>
      <w:r>
        <w:rPr>
          <w:rFonts w:hint="eastAsia" w:ascii="宋体" w:hAnsi="宋体" w:eastAsia="宋体" w:cs="宋体"/>
          <w:b/>
          <w:bCs/>
          <w:color w:val="auto"/>
          <w:szCs w:val="21"/>
          <w:highlight w:val="none"/>
          <w:lang w:val="zh-CN" w:eastAsia="zh-CN"/>
        </w:rPr>
        <w:t>失败。</w:t>
      </w:r>
    </w:p>
    <w:p w14:paraId="2AD4D25E">
      <w:pPr>
        <w:autoSpaceDE w:val="0"/>
        <w:autoSpaceDN w:val="0"/>
        <w:adjustRightInd w:val="0"/>
        <w:spacing w:line="360" w:lineRule="auto"/>
        <w:ind w:left="420" w:leftChars="200" w:firstLine="0" w:firstLineChars="0"/>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eastAsia="zh-CN"/>
        </w:rPr>
        <w:t>（2）当参与响应的供应商不少于3个，经评审委员会评审，有效供应商只有2个时，经评审委员会对</w:t>
      </w:r>
      <w:r>
        <w:rPr>
          <w:rFonts w:hint="eastAsia" w:ascii="宋体" w:hAnsi="宋体" w:eastAsia="宋体" w:cs="宋体"/>
          <w:b/>
          <w:bCs/>
          <w:color w:val="auto"/>
          <w:szCs w:val="21"/>
          <w:highlight w:val="none"/>
          <w:lang w:val="en-US" w:eastAsia="zh-CN"/>
        </w:rPr>
        <w:t>询比</w:t>
      </w:r>
      <w:r>
        <w:rPr>
          <w:rFonts w:hint="eastAsia" w:ascii="宋体" w:hAnsi="宋体" w:eastAsia="宋体" w:cs="宋体"/>
          <w:b/>
          <w:bCs/>
          <w:color w:val="auto"/>
          <w:szCs w:val="21"/>
          <w:highlight w:val="none"/>
          <w:lang w:val="zh-CN" w:eastAsia="zh-CN"/>
        </w:rPr>
        <w:t>文件进行论证，</w:t>
      </w:r>
      <w:r>
        <w:rPr>
          <w:rFonts w:hint="eastAsia" w:ascii="宋体" w:hAnsi="宋体" w:eastAsia="宋体" w:cs="宋体"/>
          <w:b/>
          <w:bCs/>
          <w:color w:val="auto"/>
          <w:szCs w:val="21"/>
          <w:highlight w:val="none"/>
          <w:lang w:val="en-US" w:eastAsia="zh-CN"/>
        </w:rPr>
        <w:t>询比</w:t>
      </w:r>
      <w:r>
        <w:rPr>
          <w:rFonts w:hint="eastAsia" w:ascii="宋体" w:hAnsi="宋体" w:eastAsia="宋体" w:cs="宋体"/>
          <w:b/>
          <w:bCs/>
          <w:color w:val="auto"/>
          <w:szCs w:val="21"/>
          <w:highlight w:val="none"/>
          <w:lang w:val="zh-CN" w:eastAsia="zh-CN"/>
        </w:rPr>
        <w:t>文件没有不合理条款、</w:t>
      </w:r>
      <w:r>
        <w:rPr>
          <w:rFonts w:hint="eastAsia" w:ascii="宋体" w:hAnsi="宋体" w:eastAsia="宋体" w:cs="宋体"/>
          <w:b/>
          <w:bCs/>
          <w:color w:val="auto"/>
          <w:szCs w:val="21"/>
          <w:highlight w:val="none"/>
          <w:lang w:val="en-US" w:eastAsia="zh-CN"/>
        </w:rPr>
        <w:t>询比</w:t>
      </w:r>
      <w:r>
        <w:rPr>
          <w:rFonts w:hint="eastAsia" w:ascii="宋体" w:hAnsi="宋体" w:eastAsia="宋体" w:cs="宋体"/>
          <w:b/>
          <w:bCs/>
          <w:color w:val="auto"/>
          <w:szCs w:val="21"/>
          <w:highlight w:val="none"/>
          <w:lang w:val="zh-CN" w:eastAsia="zh-CN"/>
        </w:rPr>
        <w:t>程序符合规定的，本项目将根据</w:t>
      </w:r>
      <w:r>
        <w:rPr>
          <w:rFonts w:hint="eastAsia" w:ascii="宋体" w:hAnsi="宋体" w:eastAsia="宋体" w:cs="宋体"/>
          <w:b/>
          <w:bCs/>
          <w:color w:val="auto"/>
          <w:szCs w:val="21"/>
          <w:highlight w:val="none"/>
          <w:lang w:val="en-US" w:eastAsia="zh-CN"/>
        </w:rPr>
        <w:t>询比</w:t>
      </w:r>
      <w:r>
        <w:rPr>
          <w:rFonts w:hint="eastAsia" w:ascii="宋体" w:hAnsi="宋体" w:eastAsia="宋体" w:cs="宋体"/>
          <w:b/>
          <w:bCs/>
          <w:color w:val="auto"/>
          <w:szCs w:val="21"/>
          <w:highlight w:val="none"/>
          <w:lang w:val="zh-CN" w:eastAsia="zh-CN"/>
        </w:rPr>
        <w:t>文件附件一 评审工作大纲的要求继续进行评审；当有效供应商只有1个时，本项目公开询比失败</w:t>
      </w:r>
      <w:r>
        <w:rPr>
          <w:rFonts w:hint="eastAsia" w:ascii="宋体" w:hAnsi="宋体" w:eastAsia="宋体" w:cs="宋体"/>
          <w:b/>
          <w:bCs/>
          <w:color w:val="auto"/>
          <w:szCs w:val="21"/>
          <w:highlight w:val="none"/>
          <w:lang w:val="zh-CN"/>
        </w:rPr>
        <w:t>。</w:t>
      </w:r>
    </w:p>
    <w:p w14:paraId="6A3EBFAA">
      <w:pPr>
        <w:autoSpaceDE w:val="0"/>
        <w:autoSpaceDN w:val="0"/>
        <w:adjustRightInd w:val="0"/>
        <w:spacing w:line="360" w:lineRule="auto"/>
        <w:ind w:left="441" w:leftChars="-60" w:hanging="567" w:hangingChars="270"/>
        <w:rPr>
          <w:rFonts w:hint="eastAsia" w:ascii="宋体" w:hAnsi="宋体" w:eastAsia="宋体" w:cs="宋体"/>
          <w:color w:val="auto"/>
          <w:szCs w:val="21"/>
          <w:highlight w:val="none"/>
          <w:lang w:val="zh-CN"/>
        </w:rPr>
      </w:pPr>
    </w:p>
    <w:p w14:paraId="04686E17">
      <w:pPr>
        <w:tabs>
          <w:tab w:val="left" w:pos="360"/>
        </w:tabs>
        <w:autoSpaceDE w:val="0"/>
        <w:autoSpaceDN w:val="0"/>
        <w:adjustRightInd w:val="0"/>
        <w:spacing w:line="360" w:lineRule="auto"/>
        <w:ind w:left="330" w:leftChars="-100" w:right="44" w:rightChars="21" w:hanging="540"/>
        <w:rPr>
          <w:rFonts w:hint="eastAsia" w:ascii="宋体" w:hAnsi="宋体" w:eastAsia="宋体" w:cs="宋体"/>
          <w:color w:val="auto"/>
          <w:szCs w:val="21"/>
          <w:highlight w:val="none"/>
          <w:lang w:val="zh-CN"/>
        </w:rPr>
      </w:pPr>
    </w:p>
    <w:p w14:paraId="3F52A882">
      <w:pPr>
        <w:tabs>
          <w:tab w:val="left" w:pos="525"/>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268" w:name="_Toc466882017"/>
      <w:bookmarkStart w:id="269" w:name="_Toc11615"/>
      <w:bookmarkStart w:id="270" w:name="_Toc32498_WPSOffice_Level3"/>
      <w:bookmarkStart w:id="271" w:name="_Toc465358969"/>
      <w:bookmarkStart w:id="272" w:name="_Toc4819"/>
      <w:bookmarkStart w:id="273" w:name="_Toc486167694"/>
      <w:bookmarkStart w:id="274" w:name="_Toc142508345"/>
      <w:bookmarkStart w:id="275" w:name="_Toc1187444683"/>
      <w:r>
        <w:rPr>
          <w:rFonts w:hint="eastAsia" w:ascii="宋体" w:hAnsi="宋体" w:eastAsia="宋体" w:cs="宋体"/>
          <w:color w:val="auto"/>
          <w:szCs w:val="21"/>
          <w:highlight w:val="none"/>
          <w:lang w:val="zh-CN"/>
        </w:rPr>
        <w:t>2</w:t>
      </w:r>
      <w:r>
        <w:rPr>
          <w:rFonts w:hint="eastAsia" w:ascii="宋体" w:hAnsi="宋体" w:eastAsia="宋体" w:cs="宋体"/>
          <w:color w:val="auto"/>
          <w:szCs w:val="21"/>
          <w:highlight w:val="none"/>
        </w:rPr>
        <w:t xml:space="preserve">9 </w:t>
      </w:r>
      <w:r>
        <w:rPr>
          <w:rFonts w:hint="eastAsia" w:ascii="宋体" w:hAnsi="宋体" w:eastAsia="宋体" w:cs="宋体"/>
          <w:color w:val="auto"/>
          <w:szCs w:val="21"/>
          <w:highlight w:val="none"/>
          <w:lang w:val="zh-CN"/>
        </w:rPr>
        <w:t>评审结果公示及异议、投诉</w:t>
      </w:r>
      <w:bookmarkEnd w:id="268"/>
      <w:bookmarkEnd w:id="269"/>
      <w:bookmarkEnd w:id="270"/>
      <w:bookmarkEnd w:id="271"/>
      <w:bookmarkEnd w:id="272"/>
      <w:bookmarkEnd w:id="273"/>
      <w:bookmarkEnd w:id="274"/>
      <w:bookmarkEnd w:id="275"/>
    </w:p>
    <w:p w14:paraId="614C6F8E">
      <w:pPr>
        <w:tabs>
          <w:tab w:val="left" w:pos="360"/>
        </w:tabs>
        <w:autoSpaceDE w:val="0"/>
        <w:autoSpaceDN w:val="0"/>
        <w:adjustRightInd w:val="0"/>
        <w:spacing w:line="360" w:lineRule="auto"/>
        <w:ind w:left="330" w:leftChars="-100" w:right="44" w:rightChars="21"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.1 采购代理机构在询比公告发布媒介公示成交候选人，公示期为3日。供应商或者其他利害关系人对评审结果有异议的，应当在</w:t>
      </w:r>
      <w:r>
        <w:rPr>
          <w:rFonts w:hint="eastAsia" w:ascii="宋体" w:hAnsi="宋体" w:eastAsia="宋体" w:cs="宋体"/>
          <w:color w:val="auto"/>
          <w:szCs w:val="21"/>
          <w:highlight w:val="none"/>
          <w:lang w:eastAsia="zh-CN"/>
        </w:rPr>
        <w:t>评审</w:t>
      </w:r>
      <w:r>
        <w:rPr>
          <w:rFonts w:hint="eastAsia" w:ascii="宋体" w:hAnsi="宋体" w:eastAsia="宋体" w:cs="宋体"/>
          <w:color w:val="auto"/>
          <w:szCs w:val="21"/>
          <w:highlight w:val="none"/>
        </w:rPr>
        <w:t>结果</w:t>
      </w:r>
      <w:r>
        <w:rPr>
          <w:rFonts w:hint="eastAsia" w:ascii="宋体" w:hAnsi="宋体" w:eastAsia="宋体" w:cs="宋体"/>
          <w:color w:val="auto"/>
          <w:szCs w:val="21"/>
          <w:highlight w:val="none"/>
          <w:lang w:val="zh-CN"/>
        </w:rPr>
        <w:t>公示期间向采购代理机构以书面的形式提出，并将完整的异议书面材料原件送达采购代理机构，逾期则视为对评审结果无异议。超出提交异议截止时间而提出的任何疑问，采购代理机构可不予答复。</w:t>
      </w:r>
    </w:p>
    <w:p w14:paraId="07FA0166">
      <w:pPr>
        <w:autoSpaceDE w:val="0"/>
        <w:autoSpaceDN w:val="0"/>
        <w:adjustRightInd w:val="0"/>
        <w:snapToGrid w:val="0"/>
        <w:spacing w:line="360" w:lineRule="auto"/>
        <w:ind w:left="210" w:leftChars="100" w:firstLine="525" w:firstLineChars="250"/>
        <w:jc w:val="left"/>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lang w:val="zh-CN"/>
        </w:rPr>
        <w:t>采购代理机构将拒收未能提供完整异议书面材料的异议，完整的异议书面材料必须同时包含：异议书（加盖法人公章，并注明联系人、联系电话、联系地址）、授权提交异议的法定代表人授权书原件、反映异议人主体资格的营业执照复印件（加盖法人公章）、以及合法来源的证据证明材料</w:t>
      </w:r>
      <w:r>
        <w:rPr>
          <w:rFonts w:hint="eastAsia" w:ascii="宋体" w:hAnsi="宋体" w:eastAsia="宋体" w:cs="宋体"/>
          <w:color w:val="auto"/>
          <w:kern w:val="0"/>
          <w:szCs w:val="21"/>
          <w:highlight w:val="none"/>
          <w:lang w:val="zh-CN"/>
        </w:rPr>
        <w:t>。</w:t>
      </w:r>
    </w:p>
    <w:p w14:paraId="01C6BA37">
      <w:pPr>
        <w:autoSpaceDE w:val="0"/>
        <w:autoSpaceDN w:val="0"/>
        <w:adjustRightInd w:val="0"/>
        <w:spacing w:line="360" w:lineRule="auto"/>
        <w:ind w:left="284" w:hanging="568"/>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rPr>
        <w:t xml:space="preserve">29.2 </w:t>
      </w:r>
      <w:r>
        <w:rPr>
          <w:rFonts w:hint="eastAsia" w:ascii="宋体" w:hAnsi="宋体" w:eastAsia="宋体" w:cs="宋体"/>
          <w:b/>
          <w:color w:val="auto"/>
          <w:szCs w:val="21"/>
          <w:highlight w:val="none"/>
          <w:lang w:val="zh-CN"/>
        </w:rPr>
        <w:t>结果公示后，采购人有权要求</w:t>
      </w:r>
      <w:r>
        <w:rPr>
          <w:rFonts w:hint="eastAsia" w:ascii="宋体" w:hAnsi="宋体" w:eastAsia="宋体" w:cs="宋体"/>
          <w:b/>
          <w:color w:val="auto"/>
          <w:szCs w:val="21"/>
          <w:highlight w:val="none"/>
          <w:lang w:val="en-US" w:eastAsia="zh-CN"/>
        </w:rPr>
        <w:t>成交</w:t>
      </w:r>
      <w:r>
        <w:rPr>
          <w:rFonts w:hint="eastAsia" w:ascii="宋体" w:hAnsi="宋体" w:eastAsia="宋体" w:cs="宋体"/>
          <w:b/>
          <w:color w:val="auto"/>
          <w:szCs w:val="21"/>
          <w:highlight w:val="none"/>
          <w:lang w:val="zh-CN"/>
        </w:rPr>
        <w:t>候选人在结果公示之日起3日内提交响应文件中所提供的资格证明文件、业绩证明文件、对询比文件实质性条款响应文件、履约能力证明文件的原件供采购人核查。采购人如有需要，成交候选人有义务提供响应文件外其他相关证明资料原件（包括但不限于业绩合同对应的发票等）供采购人核查。采购人如发现供应商提供虚假证明文件、虚假响应文件等弄虚作假行为骗取成交的，采购人将取消其成交资格，不予退还其响应保证金。涉嫌违法犯罪的，将移交司法机关处理。</w:t>
      </w:r>
    </w:p>
    <w:p w14:paraId="767FC4C3">
      <w:pPr>
        <w:autoSpaceDE w:val="0"/>
        <w:autoSpaceDN w:val="0"/>
        <w:adjustRightInd w:val="0"/>
        <w:snapToGrid w:val="0"/>
        <w:spacing w:line="360" w:lineRule="auto"/>
        <w:ind w:left="246" w:leftChars="117" w:firstLine="422" w:firstLineChars="200"/>
        <w:jc w:val="left"/>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当采购人（或其委托的采购代理机构）向成交候选人发出提供上述响应文件或响应文件外其他相关（包括但不限于业绩合同对应的发票等）的证明资料原件进行核查的书面通知后，</w:t>
      </w:r>
      <w:r>
        <w:rPr>
          <w:rFonts w:hint="eastAsia" w:ascii="宋体" w:hAnsi="宋体" w:eastAsia="宋体" w:cs="宋体"/>
          <w:b/>
          <w:color w:val="auto"/>
          <w:kern w:val="0"/>
          <w:szCs w:val="21"/>
          <w:highlight w:val="none"/>
        </w:rPr>
        <w:t>第一</w:t>
      </w:r>
      <w:r>
        <w:rPr>
          <w:rFonts w:hint="eastAsia" w:ascii="宋体" w:hAnsi="宋体" w:eastAsia="宋体" w:cs="宋体"/>
          <w:b/>
          <w:color w:val="auto"/>
          <w:kern w:val="0"/>
          <w:szCs w:val="21"/>
          <w:highlight w:val="none"/>
          <w:lang w:eastAsia="zh-CN"/>
        </w:rPr>
        <w:t>成交</w:t>
      </w:r>
      <w:r>
        <w:rPr>
          <w:rFonts w:hint="eastAsia" w:ascii="宋体" w:hAnsi="宋体" w:eastAsia="宋体" w:cs="宋体"/>
          <w:b/>
          <w:color w:val="auto"/>
          <w:kern w:val="0"/>
          <w:szCs w:val="21"/>
          <w:highlight w:val="none"/>
        </w:rPr>
        <w:t>候选人未能在</w:t>
      </w:r>
      <w:r>
        <w:rPr>
          <w:rFonts w:hint="eastAsia" w:ascii="宋体" w:hAnsi="宋体" w:eastAsia="宋体" w:cs="宋体"/>
          <w:b/>
          <w:color w:val="auto"/>
          <w:kern w:val="0"/>
          <w:szCs w:val="21"/>
          <w:highlight w:val="none"/>
          <w:lang w:eastAsia="zh-CN"/>
        </w:rPr>
        <w:t>采购人</w:t>
      </w:r>
      <w:r>
        <w:rPr>
          <w:rFonts w:hint="eastAsia" w:ascii="宋体" w:hAnsi="宋体" w:eastAsia="宋体" w:cs="宋体"/>
          <w:b/>
          <w:color w:val="auto"/>
          <w:kern w:val="0"/>
          <w:szCs w:val="21"/>
          <w:highlight w:val="none"/>
        </w:rPr>
        <w:t>（或其委托的</w:t>
      </w:r>
      <w:r>
        <w:rPr>
          <w:rFonts w:hint="eastAsia" w:ascii="宋体" w:hAnsi="宋体" w:eastAsia="宋体" w:cs="宋体"/>
          <w:b/>
          <w:color w:val="auto"/>
          <w:kern w:val="0"/>
          <w:szCs w:val="21"/>
          <w:highlight w:val="none"/>
          <w:lang w:eastAsia="zh-CN"/>
        </w:rPr>
        <w:t>采购代理机构</w:t>
      </w:r>
      <w:r>
        <w:rPr>
          <w:rFonts w:hint="eastAsia" w:ascii="宋体" w:hAnsi="宋体" w:eastAsia="宋体" w:cs="宋体"/>
          <w:b/>
          <w:color w:val="auto"/>
          <w:kern w:val="0"/>
          <w:szCs w:val="21"/>
          <w:highlight w:val="none"/>
        </w:rPr>
        <w:t>) 书面要求的时间(一般不少于三个工作日) 内提供完整的材料原件进行核查的</w:t>
      </w:r>
      <w:r>
        <w:rPr>
          <w:rFonts w:hint="eastAsia" w:ascii="宋体" w:hAnsi="宋体" w:eastAsia="宋体" w:cs="宋体"/>
          <w:b/>
          <w:color w:val="auto"/>
          <w:szCs w:val="21"/>
          <w:highlight w:val="none"/>
          <w:lang w:val="zh-CN"/>
        </w:rPr>
        <w:t>，视为其无法提供真实的资料，采购人有权取消其成交候选人资格。</w:t>
      </w:r>
    </w:p>
    <w:p w14:paraId="6226238D">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.3 供应商或者其他利害关系人认为</w:t>
      </w:r>
      <w:r>
        <w:rPr>
          <w:rFonts w:hint="eastAsia" w:ascii="宋体" w:hAnsi="宋体" w:eastAsia="宋体" w:cs="宋体"/>
          <w:color w:val="auto"/>
          <w:szCs w:val="21"/>
          <w:highlight w:val="none"/>
          <w:lang w:val="en-US" w:eastAsia="zh-CN"/>
        </w:rPr>
        <w:t>本采购</w:t>
      </w:r>
      <w:r>
        <w:rPr>
          <w:rFonts w:hint="eastAsia" w:ascii="宋体" w:hAnsi="宋体" w:eastAsia="宋体" w:cs="宋体"/>
          <w:color w:val="auto"/>
          <w:szCs w:val="21"/>
          <w:highlight w:val="none"/>
          <w:lang w:val="zh-CN"/>
        </w:rPr>
        <w:t>活动不符合法律、行政法规规定的，可以自知道或者应当知道之日起10日内，按程序向采购人采购活动的监督部门投诉。投诉应当提供纸质投诉书及必要的证明材料。投诉书应当包括下列内容：</w:t>
      </w:r>
    </w:p>
    <w:p w14:paraId="069974A0">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（一）投诉人和被投诉人的姓名或者名称、通讯地址、邮编、联系人及联系电话；</w:t>
      </w:r>
    </w:p>
    <w:p w14:paraId="75EFF680">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（二）异议和异议答复情况说明及相关证明材料；</w:t>
      </w:r>
    </w:p>
    <w:p w14:paraId="70C7AC68">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（三）具体、明确的投诉事项和与投诉事项相关的投诉请求；</w:t>
      </w:r>
    </w:p>
    <w:p w14:paraId="361801C5">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（四）事实依据；</w:t>
      </w:r>
    </w:p>
    <w:p w14:paraId="22FFCB5F">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（五）法律依据；</w:t>
      </w:r>
    </w:p>
    <w:p w14:paraId="129920F4">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（六）提起投诉的日期。</w:t>
      </w:r>
    </w:p>
    <w:p w14:paraId="03FA988B">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     投诉人为法人或者其他组织的，应当由法定代表人、主要负责人，或者其授权代表签字或者盖章，并加盖公章。</w:t>
      </w:r>
    </w:p>
    <w:p w14:paraId="291B9365">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     投诉人投诉的事项不得超出已异议事项的范围，但基于异议答复内容提出的投诉事项除外。</w:t>
      </w:r>
    </w:p>
    <w:p w14:paraId="316BC1A2">
      <w:pPr>
        <w:autoSpaceDE w:val="0"/>
        <w:autoSpaceDN w:val="0"/>
        <w:adjustRightInd w:val="0"/>
        <w:snapToGrid w:val="0"/>
        <w:spacing w:line="360" w:lineRule="auto"/>
        <w:ind w:left="319" w:leftChars="-100" w:hanging="529" w:hangingChars="25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     监督部门：东莞市水务环境投资控股集团有限公司，联系人：</w:t>
      </w:r>
      <w:r>
        <w:rPr>
          <w:rFonts w:hint="eastAsia" w:ascii="宋体" w:hAnsi="宋体" w:eastAsia="宋体" w:cs="宋体"/>
          <w:color w:val="auto"/>
          <w:szCs w:val="21"/>
          <w:highlight w:val="none"/>
          <w:lang w:val="zh-CN" w:eastAsia="zh-CN"/>
        </w:rPr>
        <w:t>邓</w:t>
      </w:r>
      <w:r>
        <w:rPr>
          <w:rFonts w:hint="eastAsia" w:ascii="宋体" w:hAnsi="宋体" w:eastAsia="宋体" w:cs="宋体"/>
          <w:color w:val="auto"/>
          <w:szCs w:val="21"/>
          <w:highlight w:val="none"/>
          <w:lang w:val="zh-CN"/>
        </w:rPr>
        <w:t>先生，联系电话：0769-28823251。</w:t>
      </w:r>
    </w:p>
    <w:p w14:paraId="28F29F2D">
      <w:pPr>
        <w:autoSpaceDE w:val="0"/>
        <w:autoSpaceDN w:val="0"/>
        <w:adjustRightInd w:val="0"/>
        <w:snapToGrid w:val="0"/>
        <w:spacing w:line="360" w:lineRule="auto"/>
        <w:ind w:left="296" w:leftChars="100" w:hanging="86" w:hangingChars="41"/>
        <w:jc w:val="left"/>
        <w:rPr>
          <w:rFonts w:hint="eastAsia" w:ascii="宋体" w:hAnsi="宋体" w:eastAsia="宋体" w:cs="宋体"/>
          <w:color w:val="auto"/>
          <w:szCs w:val="21"/>
          <w:highlight w:val="none"/>
          <w:lang w:val="zh-CN"/>
        </w:rPr>
      </w:pPr>
    </w:p>
    <w:p w14:paraId="49770457">
      <w:pPr>
        <w:tabs>
          <w:tab w:val="left" w:pos="567"/>
        </w:tabs>
        <w:autoSpaceDE w:val="0"/>
        <w:autoSpaceDN w:val="0"/>
        <w:adjustRightInd w:val="0"/>
        <w:spacing w:line="360" w:lineRule="auto"/>
        <w:ind w:left="288" w:leftChars="-100" w:hanging="498" w:hangingChars="236"/>
        <w:outlineLvl w:val="2"/>
        <w:rPr>
          <w:rFonts w:hint="eastAsia" w:ascii="宋体" w:hAnsi="宋体" w:eastAsia="宋体" w:cs="宋体"/>
          <w:b/>
          <w:color w:val="auto"/>
          <w:szCs w:val="21"/>
          <w:highlight w:val="none"/>
          <w:lang w:val="zh-CN"/>
        </w:rPr>
      </w:pPr>
      <w:bookmarkStart w:id="276" w:name="_Toc486167695"/>
      <w:bookmarkStart w:id="277" w:name="_Toc3154"/>
      <w:bookmarkStart w:id="278" w:name="_Toc627227885"/>
      <w:bookmarkStart w:id="279" w:name="_Toc1848_WPSOffice_Level3"/>
      <w:bookmarkStart w:id="280" w:name="_Toc466882018"/>
      <w:bookmarkStart w:id="281" w:name="_Toc142508346"/>
      <w:bookmarkStart w:id="282" w:name="_Toc465358970"/>
      <w:bookmarkStart w:id="283" w:name="_Toc26354"/>
      <w:r>
        <w:rPr>
          <w:rFonts w:hint="eastAsia" w:ascii="宋体" w:hAnsi="宋体" w:eastAsia="宋体" w:cs="宋体"/>
          <w:b/>
          <w:color w:val="auto"/>
          <w:szCs w:val="21"/>
          <w:highlight w:val="none"/>
        </w:rPr>
        <w:t>30</w:t>
      </w:r>
      <w:r>
        <w:rPr>
          <w:rFonts w:hint="eastAsia" w:ascii="宋体" w:hAnsi="宋体" w:eastAsia="宋体" w:cs="宋体"/>
          <w:b/>
          <w:color w:val="auto"/>
          <w:szCs w:val="21"/>
          <w:highlight w:val="none"/>
          <w:lang w:val="zh-CN"/>
        </w:rPr>
        <w:t xml:space="preserve"> 真实性审查</w:t>
      </w:r>
      <w:bookmarkEnd w:id="276"/>
      <w:bookmarkEnd w:id="277"/>
      <w:bookmarkEnd w:id="278"/>
      <w:bookmarkEnd w:id="279"/>
      <w:bookmarkEnd w:id="280"/>
      <w:bookmarkEnd w:id="281"/>
      <w:bookmarkEnd w:id="282"/>
      <w:bookmarkEnd w:id="283"/>
    </w:p>
    <w:p w14:paraId="3A802710">
      <w:pPr>
        <w:autoSpaceDE w:val="0"/>
        <w:autoSpaceDN w:val="0"/>
        <w:adjustRightInd w:val="0"/>
        <w:snapToGrid w:val="0"/>
        <w:spacing w:line="360" w:lineRule="auto"/>
        <w:ind w:left="321" w:leftChars="-100" w:hanging="531" w:hangingChars="252"/>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30.1 在</w:t>
      </w:r>
      <w:r>
        <w:rPr>
          <w:rFonts w:hint="eastAsia" w:ascii="宋体" w:hAnsi="宋体" w:eastAsia="宋体" w:cs="宋体"/>
          <w:b/>
          <w:color w:val="auto"/>
          <w:kern w:val="0"/>
          <w:szCs w:val="21"/>
          <w:highlight w:val="none"/>
        </w:rPr>
        <w:t>授予合同前，</w:t>
      </w:r>
      <w:r>
        <w:rPr>
          <w:rFonts w:hint="eastAsia" w:ascii="宋体" w:hAnsi="宋体" w:eastAsia="宋体" w:cs="宋体"/>
          <w:b/>
          <w:color w:val="auto"/>
          <w:kern w:val="0"/>
          <w:szCs w:val="21"/>
          <w:highlight w:val="none"/>
          <w:lang w:eastAsia="zh-CN"/>
        </w:rPr>
        <w:t>采购人</w:t>
      </w:r>
      <w:r>
        <w:rPr>
          <w:rFonts w:hint="eastAsia" w:ascii="宋体" w:hAnsi="宋体" w:eastAsia="宋体" w:cs="宋体"/>
          <w:b/>
          <w:color w:val="auto"/>
          <w:kern w:val="0"/>
          <w:szCs w:val="21"/>
          <w:highlight w:val="none"/>
        </w:rPr>
        <w:t>（或其委托的</w:t>
      </w:r>
      <w:r>
        <w:rPr>
          <w:rFonts w:hint="eastAsia" w:ascii="宋体" w:hAnsi="宋体" w:eastAsia="宋体" w:cs="宋体"/>
          <w:b/>
          <w:color w:val="auto"/>
          <w:kern w:val="0"/>
          <w:szCs w:val="21"/>
          <w:highlight w:val="none"/>
          <w:lang w:eastAsia="zh-CN"/>
        </w:rPr>
        <w:t>采购代理机构</w:t>
      </w:r>
      <w:r>
        <w:rPr>
          <w:rFonts w:hint="eastAsia" w:ascii="宋体" w:hAnsi="宋体" w:eastAsia="宋体" w:cs="宋体"/>
          <w:b/>
          <w:color w:val="auto"/>
          <w:kern w:val="0"/>
          <w:szCs w:val="21"/>
          <w:highlight w:val="none"/>
        </w:rPr>
        <w:t>）、或</w:t>
      </w:r>
      <w:r>
        <w:rPr>
          <w:rFonts w:hint="eastAsia" w:ascii="宋体" w:hAnsi="宋体" w:eastAsia="宋体" w:cs="宋体"/>
          <w:b/>
          <w:color w:val="auto"/>
          <w:kern w:val="0"/>
          <w:szCs w:val="21"/>
          <w:highlight w:val="none"/>
          <w:lang w:eastAsia="zh-CN"/>
        </w:rPr>
        <w:t>评审</w:t>
      </w:r>
      <w:r>
        <w:rPr>
          <w:rFonts w:hint="eastAsia" w:ascii="宋体" w:hAnsi="宋体" w:eastAsia="宋体" w:cs="宋体"/>
          <w:b/>
          <w:color w:val="auto"/>
          <w:kern w:val="0"/>
          <w:szCs w:val="21"/>
          <w:highlight w:val="none"/>
        </w:rPr>
        <w:t>委员会有权组织对</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的真实性审查。包括对</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的资格证明文件、业绩证明文件、对</w:t>
      </w:r>
      <w:r>
        <w:rPr>
          <w:rFonts w:hint="eastAsia" w:ascii="宋体" w:hAnsi="宋体" w:eastAsia="宋体" w:cs="宋体"/>
          <w:b/>
          <w:color w:val="auto"/>
          <w:kern w:val="0"/>
          <w:szCs w:val="21"/>
          <w:highlight w:val="none"/>
          <w:lang w:eastAsia="zh-CN"/>
        </w:rPr>
        <w:t>询比文件</w:t>
      </w:r>
      <w:r>
        <w:rPr>
          <w:rFonts w:hint="eastAsia" w:ascii="宋体" w:hAnsi="宋体" w:eastAsia="宋体" w:cs="宋体"/>
          <w:b/>
          <w:color w:val="auto"/>
          <w:kern w:val="0"/>
          <w:szCs w:val="21"/>
          <w:highlight w:val="none"/>
        </w:rPr>
        <w:t>实质性条款响应文件、履约能力证明文件的原件真实性进行核查。</w:t>
      </w:r>
      <w:r>
        <w:rPr>
          <w:rFonts w:hint="eastAsia" w:ascii="宋体" w:hAnsi="宋体" w:eastAsia="宋体" w:cs="宋体"/>
          <w:b/>
          <w:color w:val="auto"/>
          <w:kern w:val="0"/>
          <w:szCs w:val="21"/>
          <w:highlight w:val="none"/>
          <w:lang w:eastAsia="zh-CN"/>
        </w:rPr>
        <w:t>采购人</w:t>
      </w:r>
      <w:r>
        <w:rPr>
          <w:rFonts w:hint="eastAsia" w:ascii="宋体" w:hAnsi="宋体" w:eastAsia="宋体" w:cs="宋体"/>
          <w:b/>
          <w:color w:val="auto"/>
          <w:szCs w:val="21"/>
          <w:highlight w:val="none"/>
          <w:lang w:val="zh-CN"/>
        </w:rPr>
        <w:t>如有需要，供应商有义务提供响应文件外其他相关证明资料原件（包括但不限于业绩合同对应的发票等）供采购人核查。</w:t>
      </w:r>
      <w:r>
        <w:rPr>
          <w:rFonts w:hint="eastAsia" w:ascii="宋体" w:hAnsi="宋体" w:eastAsia="宋体" w:cs="宋体"/>
          <w:b/>
          <w:color w:val="auto"/>
          <w:kern w:val="0"/>
          <w:szCs w:val="21"/>
          <w:highlight w:val="none"/>
        </w:rPr>
        <w:t>若发现</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提供虚假证明文件、虚假响应文件等弄虚作假行为的，或经审查确认其经营、财务状况发生较大变化（或者存在违法行为）导致无法按照</w:t>
      </w:r>
      <w:r>
        <w:rPr>
          <w:rFonts w:hint="eastAsia" w:ascii="宋体" w:hAnsi="宋体" w:eastAsia="宋体" w:cs="宋体"/>
          <w:b/>
          <w:color w:val="auto"/>
          <w:kern w:val="0"/>
          <w:szCs w:val="21"/>
          <w:highlight w:val="none"/>
          <w:lang w:eastAsia="zh-CN"/>
        </w:rPr>
        <w:t>响应文件</w:t>
      </w:r>
      <w:r>
        <w:rPr>
          <w:rFonts w:hint="eastAsia" w:ascii="宋体" w:hAnsi="宋体" w:eastAsia="宋体" w:cs="宋体"/>
          <w:b/>
          <w:color w:val="auto"/>
          <w:kern w:val="0"/>
          <w:szCs w:val="21"/>
          <w:highlight w:val="none"/>
        </w:rPr>
        <w:t>的承诺履约的，或其明确表示不按照</w:t>
      </w:r>
      <w:r>
        <w:rPr>
          <w:rFonts w:hint="eastAsia" w:ascii="宋体" w:hAnsi="宋体" w:eastAsia="宋体" w:cs="宋体"/>
          <w:b/>
          <w:color w:val="auto"/>
          <w:kern w:val="0"/>
          <w:szCs w:val="21"/>
          <w:highlight w:val="none"/>
          <w:lang w:eastAsia="zh-CN"/>
        </w:rPr>
        <w:t>响应文件</w:t>
      </w:r>
      <w:r>
        <w:rPr>
          <w:rFonts w:hint="eastAsia" w:ascii="宋体" w:hAnsi="宋体" w:eastAsia="宋体" w:cs="宋体"/>
          <w:b/>
          <w:color w:val="auto"/>
          <w:kern w:val="0"/>
          <w:szCs w:val="21"/>
          <w:highlight w:val="none"/>
        </w:rPr>
        <w:t>承诺履约的，等影响</w:t>
      </w:r>
      <w:r>
        <w:rPr>
          <w:rFonts w:hint="eastAsia" w:ascii="宋体" w:hAnsi="宋体" w:eastAsia="宋体" w:cs="宋体"/>
          <w:b/>
          <w:color w:val="auto"/>
          <w:kern w:val="0"/>
          <w:szCs w:val="21"/>
          <w:highlight w:val="none"/>
          <w:lang w:val="en-US" w:eastAsia="zh-CN"/>
        </w:rPr>
        <w:t>成交</w:t>
      </w:r>
      <w:r>
        <w:rPr>
          <w:rFonts w:hint="eastAsia" w:ascii="宋体" w:hAnsi="宋体" w:eastAsia="宋体" w:cs="宋体"/>
          <w:b/>
          <w:color w:val="auto"/>
          <w:kern w:val="0"/>
          <w:szCs w:val="21"/>
          <w:highlight w:val="none"/>
        </w:rPr>
        <w:t>结果的行为，</w:t>
      </w:r>
      <w:r>
        <w:rPr>
          <w:rFonts w:hint="eastAsia" w:ascii="宋体" w:hAnsi="宋体" w:eastAsia="宋体" w:cs="宋体"/>
          <w:b/>
          <w:color w:val="auto"/>
          <w:kern w:val="0"/>
          <w:szCs w:val="21"/>
          <w:highlight w:val="none"/>
          <w:lang w:eastAsia="zh-CN"/>
        </w:rPr>
        <w:t>采购人</w:t>
      </w:r>
      <w:r>
        <w:rPr>
          <w:rFonts w:hint="eastAsia" w:ascii="宋体" w:hAnsi="宋体" w:eastAsia="宋体" w:cs="宋体"/>
          <w:b/>
          <w:color w:val="auto"/>
          <w:kern w:val="0"/>
          <w:szCs w:val="21"/>
          <w:highlight w:val="none"/>
        </w:rPr>
        <w:t>有权按照</w:t>
      </w:r>
      <w:r>
        <w:rPr>
          <w:rFonts w:hint="eastAsia" w:ascii="宋体" w:hAnsi="宋体" w:eastAsia="宋体" w:cs="宋体"/>
          <w:b/>
          <w:color w:val="auto"/>
          <w:kern w:val="0"/>
          <w:szCs w:val="21"/>
          <w:highlight w:val="none"/>
          <w:lang w:eastAsia="zh-CN"/>
        </w:rPr>
        <w:t>评审</w:t>
      </w:r>
      <w:r>
        <w:rPr>
          <w:rFonts w:hint="eastAsia" w:ascii="宋体" w:hAnsi="宋体" w:eastAsia="宋体" w:cs="宋体"/>
          <w:b/>
          <w:color w:val="auto"/>
          <w:kern w:val="0"/>
          <w:szCs w:val="21"/>
          <w:highlight w:val="none"/>
        </w:rPr>
        <w:t>委员会提出的</w:t>
      </w:r>
      <w:r>
        <w:rPr>
          <w:rFonts w:hint="eastAsia" w:ascii="宋体" w:hAnsi="宋体" w:eastAsia="宋体" w:cs="宋体"/>
          <w:b/>
          <w:color w:val="auto"/>
          <w:kern w:val="0"/>
          <w:szCs w:val="21"/>
          <w:highlight w:val="none"/>
          <w:lang w:val="en-US" w:eastAsia="zh-CN"/>
        </w:rPr>
        <w:t>成交</w:t>
      </w:r>
      <w:r>
        <w:rPr>
          <w:rFonts w:hint="eastAsia" w:ascii="宋体" w:hAnsi="宋体" w:eastAsia="宋体" w:cs="宋体"/>
          <w:b/>
          <w:color w:val="auto"/>
          <w:kern w:val="0"/>
          <w:szCs w:val="21"/>
          <w:highlight w:val="none"/>
        </w:rPr>
        <w:t>候选人名单排序依次确定其他</w:t>
      </w:r>
      <w:r>
        <w:rPr>
          <w:rFonts w:hint="eastAsia" w:ascii="宋体" w:hAnsi="宋体" w:eastAsia="宋体" w:cs="宋体"/>
          <w:b/>
          <w:color w:val="auto"/>
          <w:kern w:val="0"/>
          <w:szCs w:val="21"/>
          <w:highlight w:val="none"/>
          <w:lang w:val="en-US" w:eastAsia="zh-CN"/>
        </w:rPr>
        <w:t>成交</w:t>
      </w:r>
      <w:r>
        <w:rPr>
          <w:rFonts w:hint="eastAsia" w:ascii="宋体" w:hAnsi="宋体" w:eastAsia="宋体" w:cs="宋体"/>
          <w:b/>
          <w:color w:val="auto"/>
          <w:kern w:val="0"/>
          <w:szCs w:val="21"/>
          <w:highlight w:val="none"/>
        </w:rPr>
        <w:t>候选人为</w:t>
      </w:r>
      <w:r>
        <w:rPr>
          <w:rFonts w:hint="eastAsia" w:ascii="宋体" w:hAnsi="宋体" w:eastAsia="宋体" w:cs="宋体"/>
          <w:b/>
          <w:color w:val="auto"/>
          <w:kern w:val="0"/>
          <w:szCs w:val="21"/>
          <w:highlight w:val="none"/>
          <w:lang w:val="en-US" w:eastAsia="zh-CN"/>
        </w:rPr>
        <w:t>成交</w:t>
      </w:r>
      <w:r>
        <w:rPr>
          <w:rFonts w:hint="eastAsia" w:ascii="宋体" w:hAnsi="宋体" w:eastAsia="宋体" w:cs="宋体"/>
          <w:b/>
          <w:color w:val="auto"/>
          <w:kern w:val="0"/>
          <w:szCs w:val="21"/>
          <w:highlight w:val="none"/>
        </w:rPr>
        <w:t>人或重新</w:t>
      </w:r>
      <w:r>
        <w:rPr>
          <w:rFonts w:hint="eastAsia" w:ascii="宋体" w:hAnsi="宋体" w:eastAsia="宋体" w:cs="宋体"/>
          <w:b/>
          <w:color w:val="auto"/>
          <w:kern w:val="0"/>
          <w:szCs w:val="21"/>
          <w:highlight w:val="none"/>
          <w:lang w:val="en-US" w:eastAsia="zh-CN"/>
        </w:rPr>
        <w:t>采购</w:t>
      </w:r>
      <w:r>
        <w:rPr>
          <w:rFonts w:hint="eastAsia" w:ascii="宋体" w:hAnsi="宋体" w:eastAsia="宋体" w:cs="宋体"/>
          <w:b/>
          <w:color w:val="auto"/>
          <w:szCs w:val="21"/>
          <w:highlight w:val="none"/>
        </w:rPr>
        <w:t>。</w:t>
      </w:r>
    </w:p>
    <w:p w14:paraId="5D2D0168">
      <w:pPr>
        <w:autoSpaceDE w:val="0"/>
        <w:autoSpaceDN w:val="0"/>
        <w:adjustRightInd w:val="0"/>
        <w:snapToGrid w:val="0"/>
        <w:spacing w:line="360" w:lineRule="auto"/>
        <w:ind w:left="321" w:leftChars="-100" w:hanging="531" w:hangingChars="252"/>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30.2 </w:t>
      </w:r>
      <w:r>
        <w:rPr>
          <w:rFonts w:hint="eastAsia" w:ascii="宋体" w:hAnsi="宋体" w:eastAsia="宋体" w:cs="宋体"/>
          <w:b/>
          <w:color w:val="auto"/>
          <w:szCs w:val="21"/>
          <w:highlight w:val="none"/>
          <w:lang w:eastAsia="zh-CN"/>
        </w:rPr>
        <w:t>供应商</w:t>
      </w:r>
      <w:r>
        <w:rPr>
          <w:rFonts w:hint="eastAsia" w:ascii="宋体" w:hAnsi="宋体" w:eastAsia="宋体" w:cs="宋体"/>
          <w:b/>
          <w:color w:val="auto"/>
          <w:kern w:val="0"/>
          <w:szCs w:val="21"/>
          <w:highlight w:val="none"/>
        </w:rPr>
        <w:t>在</w:t>
      </w:r>
      <w:r>
        <w:rPr>
          <w:rFonts w:hint="eastAsia" w:ascii="宋体" w:hAnsi="宋体" w:eastAsia="宋体" w:cs="宋体"/>
          <w:b/>
          <w:color w:val="auto"/>
          <w:kern w:val="0"/>
          <w:szCs w:val="21"/>
          <w:highlight w:val="none"/>
          <w:lang w:eastAsia="zh-CN"/>
        </w:rPr>
        <w:t>采购人</w:t>
      </w:r>
      <w:r>
        <w:rPr>
          <w:rFonts w:hint="eastAsia" w:ascii="宋体" w:hAnsi="宋体" w:eastAsia="宋体" w:cs="宋体"/>
          <w:b/>
          <w:color w:val="auto"/>
          <w:kern w:val="0"/>
          <w:szCs w:val="21"/>
          <w:highlight w:val="none"/>
        </w:rPr>
        <w:t>（或其委托的</w:t>
      </w:r>
      <w:r>
        <w:rPr>
          <w:rFonts w:hint="eastAsia" w:ascii="宋体" w:hAnsi="宋体" w:eastAsia="宋体" w:cs="宋体"/>
          <w:b/>
          <w:color w:val="auto"/>
          <w:kern w:val="0"/>
          <w:szCs w:val="21"/>
          <w:highlight w:val="none"/>
          <w:lang w:eastAsia="zh-CN"/>
        </w:rPr>
        <w:t>采购代理机构</w:t>
      </w:r>
      <w:r>
        <w:rPr>
          <w:rFonts w:hint="eastAsia" w:ascii="宋体" w:hAnsi="宋体" w:eastAsia="宋体" w:cs="宋体"/>
          <w:b/>
          <w:color w:val="auto"/>
          <w:kern w:val="0"/>
          <w:szCs w:val="21"/>
          <w:highlight w:val="none"/>
        </w:rPr>
        <w:t>）、或</w:t>
      </w:r>
      <w:r>
        <w:rPr>
          <w:rFonts w:hint="eastAsia" w:ascii="宋体" w:hAnsi="宋体" w:eastAsia="宋体" w:cs="宋体"/>
          <w:b/>
          <w:color w:val="auto"/>
          <w:kern w:val="0"/>
          <w:szCs w:val="21"/>
          <w:highlight w:val="none"/>
          <w:lang w:eastAsia="zh-CN"/>
        </w:rPr>
        <w:t>评审</w:t>
      </w:r>
      <w:r>
        <w:rPr>
          <w:rFonts w:hint="eastAsia" w:ascii="宋体" w:hAnsi="宋体" w:eastAsia="宋体" w:cs="宋体"/>
          <w:b/>
          <w:color w:val="auto"/>
          <w:kern w:val="0"/>
          <w:szCs w:val="21"/>
          <w:highlight w:val="none"/>
        </w:rPr>
        <w:t>委员会通知其提供</w:t>
      </w:r>
      <w:r>
        <w:rPr>
          <w:rFonts w:hint="eastAsia" w:ascii="宋体" w:hAnsi="宋体" w:eastAsia="宋体" w:cs="宋体"/>
          <w:b/>
          <w:color w:val="auto"/>
          <w:szCs w:val="21"/>
          <w:highlight w:val="none"/>
          <w:lang w:val="zh-CN"/>
        </w:rPr>
        <w:t>上述响应文件或响应文件外其他相关（包括但不限于业绩合同对应的发票等）的证明资料原件</w:t>
      </w:r>
      <w:r>
        <w:rPr>
          <w:rFonts w:hint="eastAsia" w:ascii="宋体" w:hAnsi="宋体" w:eastAsia="宋体" w:cs="宋体"/>
          <w:b/>
          <w:color w:val="auto"/>
          <w:kern w:val="0"/>
          <w:szCs w:val="21"/>
          <w:highlight w:val="none"/>
        </w:rPr>
        <w:t>进行核查的要求后，未能在约定的时间内提供原件进行核查的，视为</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无法提供真实的资料，</w:t>
      </w:r>
      <w:r>
        <w:rPr>
          <w:rFonts w:hint="eastAsia" w:ascii="宋体" w:hAnsi="宋体" w:eastAsia="宋体" w:cs="宋体"/>
          <w:b/>
          <w:color w:val="auto"/>
          <w:kern w:val="0"/>
          <w:szCs w:val="21"/>
          <w:highlight w:val="none"/>
          <w:lang w:eastAsia="zh-CN"/>
        </w:rPr>
        <w:t>采购人</w:t>
      </w:r>
      <w:r>
        <w:rPr>
          <w:rFonts w:hint="eastAsia" w:ascii="宋体" w:hAnsi="宋体" w:eastAsia="宋体" w:cs="宋体"/>
          <w:b/>
          <w:color w:val="auto"/>
          <w:kern w:val="0"/>
          <w:szCs w:val="21"/>
          <w:highlight w:val="none"/>
        </w:rPr>
        <w:t>有权按照</w:t>
      </w:r>
      <w:r>
        <w:rPr>
          <w:rFonts w:hint="eastAsia" w:ascii="宋体" w:hAnsi="宋体" w:eastAsia="宋体" w:cs="宋体"/>
          <w:b/>
          <w:color w:val="auto"/>
          <w:kern w:val="0"/>
          <w:szCs w:val="21"/>
          <w:highlight w:val="none"/>
          <w:lang w:eastAsia="zh-CN"/>
        </w:rPr>
        <w:t>评审</w:t>
      </w:r>
      <w:r>
        <w:rPr>
          <w:rFonts w:hint="eastAsia" w:ascii="宋体" w:hAnsi="宋体" w:eastAsia="宋体" w:cs="宋体"/>
          <w:b/>
          <w:color w:val="auto"/>
          <w:kern w:val="0"/>
          <w:szCs w:val="21"/>
          <w:highlight w:val="none"/>
        </w:rPr>
        <w:t>委员会提出的</w:t>
      </w:r>
      <w:r>
        <w:rPr>
          <w:rFonts w:hint="eastAsia" w:ascii="宋体" w:hAnsi="宋体" w:eastAsia="宋体" w:cs="宋体"/>
          <w:b/>
          <w:color w:val="auto"/>
          <w:kern w:val="0"/>
          <w:szCs w:val="21"/>
          <w:highlight w:val="none"/>
          <w:lang w:val="en-US" w:eastAsia="zh-CN"/>
        </w:rPr>
        <w:t>成交</w:t>
      </w:r>
      <w:r>
        <w:rPr>
          <w:rFonts w:hint="eastAsia" w:ascii="宋体" w:hAnsi="宋体" w:eastAsia="宋体" w:cs="宋体"/>
          <w:b/>
          <w:color w:val="auto"/>
          <w:kern w:val="0"/>
          <w:szCs w:val="21"/>
          <w:highlight w:val="none"/>
        </w:rPr>
        <w:t>候选人名单排序依次确定其他</w:t>
      </w:r>
      <w:r>
        <w:rPr>
          <w:rFonts w:hint="eastAsia" w:ascii="宋体" w:hAnsi="宋体" w:eastAsia="宋体" w:cs="宋体"/>
          <w:b/>
          <w:color w:val="auto"/>
          <w:kern w:val="0"/>
          <w:szCs w:val="21"/>
          <w:highlight w:val="none"/>
          <w:lang w:val="en-US" w:eastAsia="zh-CN"/>
        </w:rPr>
        <w:t>成交</w:t>
      </w:r>
      <w:r>
        <w:rPr>
          <w:rFonts w:hint="eastAsia" w:ascii="宋体" w:hAnsi="宋体" w:eastAsia="宋体" w:cs="宋体"/>
          <w:b/>
          <w:color w:val="auto"/>
          <w:kern w:val="0"/>
          <w:szCs w:val="21"/>
          <w:highlight w:val="none"/>
        </w:rPr>
        <w:t>候选人为</w:t>
      </w:r>
      <w:r>
        <w:rPr>
          <w:rFonts w:hint="eastAsia" w:ascii="宋体" w:hAnsi="宋体" w:eastAsia="宋体" w:cs="宋体"/>
          <w:b/>
          <w:color w:val="auto"/>
          <w:kern w:val="0"/>
          <w:szCs w:val="21"/>
          <w:highlight w:val="none"/>
          <w:lang w:val="en-US" w:eastAsia="zh-CN"/>
        </w:rPr>
        <w:t>成交</w:t>
      </w:r>
      <w:r>
        <w:rPr>
          <w:rFonts w:hint="eastAsia" w:ascii="宋体" w:hAnsi="宋体" w:eastAsia="宋体" w:cs="宋体"/>
          <w:b/>
          <w:color w:val="auto"/>
          <w:kern w:val="0"/>
          <w:szCs w:val="21"/>
          <w:highlight w:val="none"/>
        </w:rPr>
        <w:t>人或重新</w:t>
      </w:r>
      <w:r>
        <w:rPr>
          <w:rFonts w:hint="eastAsia" w:ascii="宋体" w:hAnsi="宋体" w:eastAsia="宋体" w:cs="宋体"/>
          <w:b/>
          <w:color w:val="auto"/>
          <w:kern w:val="0"/>
          <w:szCs w:val="21"/>
          <w:highlight w:val="none"/>
          <w:lang w:val="en-US" w:eastAsia="zh-CN"/>
        </w:rPr>
        <w:t>采购</w:t>
      </w:r>
      <w:r>
        <w:rPr>
          <w:rFonts w:hint="eastAsia" w:ascii="宋体" w:hAnsi="宋体" w:eastAsia="宋体" w:cs="宋体"/>
          <w:b/>
          <w:color w:val="auto"/>
          <w:szCs w:val="21"/>
          <w:highlight w:val="none"/>
        </w:rPr>
        <w:t>。</w:t>
      </w:r>
    </w:p>
    <w:p w14:paraId="6E595D5E">
      <w:pPr>
        <w:autoSpaceDE w:val="0"/>
        <w:autoSpaceDN w:val="0"/>
        <w:adjustRightInd w:val="0"/>
        <w:snapToGrid w:val="0"/>
        <w:spacing w:line="360" w:lineRule="auto"/>
        <w:ind w:left="321" w:leftChars="-100" w:hanging="531" w:hangingChars="252"/>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30.3 若</w:t>
      </w:r>
      <w:r>
        <w:rPr>
          <w:rFonts w:hint="eastAsia" w:ascii="宋体" w:hAnsi="宋体" w:eastAsia="宋体" w:cs="宋体"/>
          <w:b/>
          <w:color w:val="auto"/>
          <w:szCs w:val="21"/>
          <w:highlight w:val="none"/>
          <w:lang w:eastAsia="zh-CN"/>
        </w:rPr>
        <w:t>供应商</w:t>
      </w:r>
      <w:r>
        <w:rPr>
          <w:rFonts w:hint="eastAsia" w:ascii="宋体" w:hAnsi="宋体" w:eastAsia="宋体" w:cs="宋体"/>
          <w:b/>
          <w:color w:val="auto"/>
          <w:szCs w:val="21"/>
          <w:highlight w:val="none"/>
        </w:rPr>
        <w:t>在</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rPr>
        <w:t>或履约过程中存在提供虚假材料、虚假响应</w:t>
      </w:r>
      <w:r>
        <w:rPr>
          <w:rFonts w:hint="eastAsia" w:ascii="宋体" w:hAnsi="宋体" w:eastAsia="宋体" w:cs="宋体"/>
          <w:b/>
          <w:color w:val="auto"/>
          <w:szCs w:val="21"/>
          <w:highlight w:val="none"/>
          <w:lang w:eastAsia="zh-CN"/>
        </w:rPr>
        <w:t>询比文件</w:t>
      </w:r>
      <w:r>
        <w:rPr>
          <w:rFonts w:hint="eastAsia" w:ascii="宋体" w:hAnsi="宋体" w:eastAsia="宋体" w:cs="宋体"/>
          <w:b/>
          <w:color w:val="auto"/>
          <w:szCs w:val="21"/>
          <w:highlight w:val="none"/>
        </w:rPr>
        <w:t>要求等弄虚作假行为，或未能根据本须知29.2款约定按时提供原件进行核查的，或不按照</w:t>
      </w:r>
      <w:r>
        <w:rPr>
          <w:rFonts w:hint="eastAsia" w:ascii="宋体" w:hAnsi="宋体" w:eastAsia="宋体" w:cs="宋体"/>
          <w:b/>
          <w:color w:val="auto"/>
          <w:szCs w:val="21"/>
          <w:highlight w:val="none"/>
          <w:lang w:eastAsia="zh-CN"/>
        </w:rPr>
        <w:t>响应文件</w:t>
      </w:r>
      <w:r>
        <w:rPr>
          <w:rFonts w:hint="eastAsia" w:ascii="宋体" w:hAnsi="宋体" w:eastAsia="宋体" w:cs="宋体"/>
          <w:b/>
          <w:color w:val="auto"/>
          <w:szCs w:val="21"/>
          <w:highlight w:val="none"/>
        </w:rPr>
        <w:t>承诺履约或撤回</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rPr>
        <w:t>或放弃</w:t>
      </w:r>
      <w:r>
        <w:rPr>
          <w:rFonts w:hint="eastAsia" w:ascii="宋体" w:hAnsi="宋体" w:eastAsia="宋体" w:cs="宋体"/>
          <w:b/>
          <w:color w:val="auto"/>
          <w:szCs w:val="21"/>
          <w:highlight w:val="none"/>
          <w:lang w:val="en-US" w:eastAsia="zh-CN"/>
        </w:rPr>
        <w:t>成交</w:t>
      </w:r>
      <w:r>
        <w:rPr>
          <w:rFonts w:hint="eastAsia" w:ascii="宋体" w:hAnsi="宋体" w:eastAsia="宋体" w:cs="宋体"/>
          <w:b/>
          <w:color w:val="auto"/>
          <w:szCs w:val="21"/>
          <w:highlight w:val="none"/>
        </w:rPr>
        <w:t>资格或不按要求与</w:t>
      </w:r>
      <w:r>
        <w:rPr>
          <w:rFonts w:hint="eastAsia" w:ascii="宋体" w:hAnsi="宋体" w:eastAsia="宋体" w:cs="宋体"/>
          <w:b/>
          <w:color w:val="auto"/>
          <w:szCs w:val="21"/>
          <w:highlight w:val="none"/>
          <w:lang w:eastAsia="zh-CN"/>
        </w:rPr>
        <w:t>采购人</w:t>
      </w:r>
      <w:r>
        <w:rPr>
          <w:rFonts w:hint="eastAsia" w:ascii="宋体" w:hAnsi="宋体" w:eastAsia="宋体" w:cs="宋体"/>
          <w:b/>
          <w:color w:val="auto"/>
          <w:szCs w:val="21"/>
          <w:highlight w:val="none"/>
        </w:rPr>
        <w:t>签订合同等影响</w:t>
      </w:r>
      <w:r>
        <w:rPr>
          <w:rFonts w:hint="eastAsia" w:ascii="宋体" w:hAnsi="宋体" w:eastAsia="宋体" w:cs="宋体"/>
          <w:b/>
          <w:color w:val="auto"/>
          <w:szCs w:val="21"/>
          <w:highlight w:val="none"/>
          <w:lang w:val="en-US" w:eastAsia="zh-CN"/>
        </w:rPr>
        <w:t>成交</w:t>
      </w:r>
      <w:r>
        <w:rPr>
          <w:rFonts w:hint="eastAsia" w:ascii="宋体" w:hAnsi="宋体" w:eastAsia="宋体" w:cs="宋体"/>
          <w:b/>
          <w:color w:val="auto"/>
          <w:szCs w:val="21"/>
          <w:highlight w:val="none"/>
        </w:rPr>
        <w:t>结果的行为，因此导致</w:t>
      </w:r>
      <w:r>
        <w:rPr>
          <w:rFonts w:hint="eastAsia" w:ascii="宋体" w:hAnsi="宋体" w:eastAsia="宋体" w:cs="宋体"/>
          <w:b/>
          <w:color w:val="auto"/>
          <w:szCs w:val="21"/>
          <w:highlight w:val="none"/>
          <w:lang w:eastAsia="zh-CN"/>
        </w:rPr>
        <w:t>供应商</w:t>
      </w:r>
      <w:r>
        <w:rPr>
          <w:rFonts w:hint="eastAsia" w:ascii="宋体" w:hAnsi="宋体" w:eastAsia="宋体" w:cs="宋体"/>
          <w:b/>
          <w:color w:val="auto"/>
          <w:szCs w:val="21"/>
          <w:highlight w:val="none"/>
        </w:rPr>
        <w:t>无法参与东莞市水务环境投资控股集团有限公司相关采购等活动的，由</w:t>
      </w:r>
      <w:r>
        <w:rPr>
          <w:rFonts w:hint="eastAsia" w:ascii="宋体" w:hAnsi="宋体" w:eastAsia="宋体" w:cs="宋体"/>
          <w:b/>
          <w:color w:val="auto"/>
          <w:szCs w:val="21"/>
          <w:highlight w:val="none"/>
          <w:lang w:eastAsia="zh-CN"/>
        </w:rPr>
        <w:t>供应商</w:t>
      </w:r>
      <w:r>
        <w:rPr>
          <w:rFonts w:hint="eastAsia" w:ascii="宋体" w:hAnsi="宋体" w:eastAsia="宋体" w:cs="宋体"/>
          <w:b/>
          <w:color w:val="auto"/>
          <w:szCs w:val="21"/>
          <w:highlight w:val="none"/>
        </w:rPr>
        <w:t>自行承担全部后果。</w:t>
      </w:r>
    </w:p>
    <w:p w14:paraId="14A1224A">
      <w:pPr>
        <w:autoSpaceDE w:val="0"/>
        <w:autoSpaceDN w:val="0"/>
        <w:adjustRightInd w:val="0"/>
        <w:snapToGrid w:val="0"/>
        <w:spacing w:line="360" w:lineRule="auto"/>
        <w:jc w:val="left"/>
        <w:rPr>
          <w:rFonts w:hint="eastAsia" w:ascii="宋体" w:hAnsi="宋体" w:eastAsia="宋体" w:cs="宋体"/>
          <w:color w:val="auto"/>
          <w:szCs w:val="21"/>
          <w:highlight w:val="none"/>
        </w:rPr>
      </w:pPr>
      <w:bookmarkStart w:id="284" w:name="_Toc465358971"/>
      <w:bookmarkStart w:id="285" w:name="_Toc466882019"/>
    </w:p>
    <w:p w14:paraId="49389FB1">
      <w:pPr>
        <w:tabs>
          <w:tab w:val="left" w:pos="567"/>
        </w:tabs>
        <w:autoSpaceDE w:val="0"/>
        <w:autoSpaceDN w:val="0"/>
        <w:adjustRightInd w:val="0"/>
        <w:spacing w:line="360" w:lineRule="auto"/>
        <w:ind w:left="16" w:leftChars="-59" w:hanging="140" w:hangingChars="67"/>
        <w:outlineLvl w:val="2"/>
        <w:rPr>
          <w:rFonts w:hint="eastAsia" w:ascii="宋体" w:hAnsi="宋体" w:eastAsia="宋体" w:cs="宋体"/>
          <w:color w:val="auto"/>
          <w:szCs w:val="21"/>
          <w:highlight w:val="none"/>
          <w:lang w:val="zh-CN"/>
        </w:rPr>
      </w:pPr>
      <w:bookmarkStart w:id="286" w:name="_Toc142508347"/>
      <w:bookmarkStart w:id="287" w:name="_Toc8654"/>
      <w:bookmarkStart w:id="288" w:name="_Toc23672"/>
      <w:bookmarkStart w:id="289" w:name="_Toc1308701960"/>
      <w:bookmarkStart w:id="290" w:name="_Toc486167696"/>
      <w:bookmarkStart w:id="291" w:name="_Toc10867_WPSOffice_Level3"/>
      <w:r>
        <w:rPr>
          <w:rFonts w:hint="eastAsia" w:ascii="宋体" w:hAnsi="宋体" w:eastAsia="宋体" w:cs="宋体"/>
          <w:color w:val="auto"/>
          <w:szCs w:val="21"/>
          <w:highlight w:val="none"/>
        </w:rPr>
        <w:t>31</w:t>
      </w:r>
      <w:r>
        <w:rPr>
          <w:rFonts w:hint="eastAsia" w:ascii="宋体" w:hAnsi="宋体" w:eastAsia="宋体" w:cs="宋体"/>
          <w:color w:val="auto"/>
          <w:szCs w:val="21"/>
          <w:highlight w:val="none"/>
          <w:lang w:val="zh-CN"/>
        </w:rPr>
        <w:t xml:space="preserve"> 评审委员会和采购人接受或拒绝任何</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或所有</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的权利</w:t>
      </w:r>
      <w:bookmarkEnd w:id="284"/>
      <w:bookmarkEnd w:id="285"/>
      <w:bookmarkEnd w:id="286"/>
      <w:bookmarkEnd w:id="287"/>
      <w:bookmarkEnd w:id="288"/>
      <w:bookmarkEnd w:id="289"/>
      <w:bookmarkEnd w:id="290"/>
      <w:bookmarkEnd w:id="291"/>
    </w:p>
    <w:p w14:paraId="370CAB33">
      <w:pPr>
        <w:autoSpaceDE w:val="0"/>
        <w:autoSpaceDN w:val="0"/>
        <w:adjustRightInd w:val="0"/>
        <w:spacing w:line="360" w:lineRule="auto"/>
        <w:ind w:left="248" w:leftChars="118" w:firstLine="1"/>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在授予合同前的任何时候，</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仍保留接受或拒绝任何</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，宣布</w:t>
      </w:r>
      <w:r>
        <w:rPr>
          <w:rFonts w:hint="eastAsia" w:ascii="宋体" w:hAnsi="宋体" w:eastAsia="宋体" w:cs="宋体"/>
          <w:color w:val="auto"/>
          <w:kern w:val="0"/>
          <w:szCs w:val="21"/>
          <w:highlight w:val="none"/>
          <w:lang w:val="en-US" w:eastAsia="zh-CN"/>
        </w:rPr>
        <w:t>询比</w:t>
      </w:r>
      <w:r>
        <w:rPr>
          <w:rFonts w:hint="eastAsia" w:ascii="宋体" w:hAnsi="宋体" w:eastAsia="宋体" w:cs="宋体"/>
          <w:color w:val="auto"/>
          <w:kern w:val="0"/>
          <w:szCs w:val="21"/>
          <w:highlight w:val="none"/>
        </w:rPr>
        <w:t>程序无效或拒绝所有</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的权利，无需向受影响的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承担任何责任。</w:t>
      </w:r>
    </w:p>
    <w:p w14:paraId="7EAF9819">
      <w:pPr>
        <w:autoSpaceDE w:val="0"/>
        <w:autoSpaceDN w:val="0"/>
        <w:adjustRightInd w:val="0"/>
        <w:snapToGrid w:val="0"/>
        <w:spacing w:line="360" w:lineRule="auto"/>
        <w:ind w:left="436" w:leftChars="-158" w:hanging="768" w:hangingChars="320"/>
        <w:jc w:val="left"/>
        <w:rPr>
          <w:rFonts w:hint="eastAsia" w:ascii="宋体" w:hAnsi="宋体" w:eastAsia="宋体" w:cs="宋体"/>
          <w:color w:val="auto"/>
          <w:kern w:val="44"/>
          <w:sz w:val="24"/>
          <w:szCs w:val="24"/>
          <w:highlight w:val="none"/>
          <w:lang w:val="zh-CN"/>
        </w:rPr>
      </w:pPr>
      <w:bookmarkStart w:id="292" w:name="_Toc450662880"/>
    </w:p>
    <w:p w14:paraId="56E45725">
      <w:pPr>
        <w:keepNext/>
        <w:keepLines/>
        <w:autoSpaceDE w:val="0"/>
        <w:autoSpaceDN w:val="0"/>
        <w:adjustRightInd w:val="0"/>
        <w:spacing w:line="360" w:lineRule="auto"/>
        <w:jc w:val="left"/>
        <w:outlineLvl w:val="0"/>
        <w:rPr>
          <w:rFonts w:hint="eastAsia" w:ascii="宋体" w:hAnsi="宋体" w:eastAsia="宋体" w:cs="宋体"/>
          <w:b/>
          <w:bCs/>
          <w:color w:val="auto"/>
          <w:kern w:val="44"/>
          <w:szCs w:val="21"/>
          <w:highlight w:val="none"/>
          <w:lang w:val="zh-CN"/>
        </w:rPr>
      </w:pPr>
      <w:bookmarkStart w:id="293" w:name="_Toc142508348"/>
      <w:bookmarkStart w:id="294" w:name="_Toc16848_WPSOffice_Level2"/>
      <w:bookmarkStart w:id="295" w:name="_Toc486167697"/>
      <w:bookmarkStart w:id="296" w:name="_Toc140596907"/>
      <w:bookmarkStart w:id="297" w:name="_Toc16789"/>
      <w:bookmarkStart w:id="298" w:name="_Toc27936"/>
      <w:bookmarkStart w:id="299" w:name="_Toc868660800"/>
      <w:r>
        <w:rPr>
          <w:rFonts w:hint="eastAsia" w:ascii="宋体" w:hAnsi="宋体" w:eastAsia="宋体" w:cs="宋体"/>
          <w:b/>
          <w:bCs/>
          <w:color w:val="auto"/>
          <w:kern w:val="44"/>
          <w:szCs w:val="21"/>
          <w:highlight w:val="none"/>
          <w:lang w:val="zh-CN"/>
        </w:rPr>
        <w:t>六、授予合同</w:t>
      </w:r>
      <w:bookmarkEnd w:id="292"/>
      <w:bookmarkEnd w:id="293"/>
      <w:bookmarkEnd w:id="294"/>
      <w:bookmarkEnd w:id="295"/>
      <w:bookmarkEnd w:id="296"/>
      <w:bookmarkEnd w:id="297"/>
      <w:bookmarkEnd w:id="298"/>
      <w:bookmarkEnd w:id="299"/>
    </w:p>
    <w:p w14:paraId="4A43B8A5">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300" w:name="_Toc450662881"/>
      <w:bookmarkStart w:id="301" w:name="_Toc1525820439"/>
      <w:bookmarkStart w:id="302" w:name="_Toc486167698"/>
      <w:bookmarkStart w:id="303" w:name="_Toc6401_WPSOffice_Level3"/>
      <w:bookmarkStart w:id="304" w:name="_Toc29383"/>
      <w:bookmarkStart w:id="305" w:name="_Toc31713"/>
      <w:bookmarkStart w:id="306" w:name="_Toc142508349"/>
      <w:r>
        <w:rPr>
          <w:rFonts w:hint="eastAsia" w:ascii="宋体" w:hAnsi="宋体" w:eastAsia="宋体" w:cs="宋体"/>
          <w:color w:val="auto"/>
          <w:szCs w:val="21"/>
          <w:highlight w:val="none"/>
        </w:rPr>
        <w:t>32</w:t>
      </w:r>
      <w:r>
        <w:rPr>
          <w:rFonts w:hint="eastAsia" w:ascii="宋体" w:hAnsi="宋体" w:eastAsia="宋体" w:cs="宋体"/>
          <w:color w:val="auto"/>
          <w:szCs w:val="21"/>
          <w:highlight w:val="none"/>
          <w:lang w:val="zh-CN"/>
        </w:rPr>
        <w:t xml:space="preserve"> 授予合同的准则</w:t>
      </w:r>
      <w:bookmarkEnd w:id="300"/>
      <w:bookmarkEnd w:id="301"/>
      <w:bookmarkEnd w:id="302"/>
      <w:bookmarkEnd w:id="303"/>
      <w:bookmarkEnd w:id="304"/>
      <w:bookmarkEnd w:id="305"/>
      <w:bookmarkEnd w:id="306"/>
    </w:p>
    <w:p w14:paraId="252C173C">
      <w:pPr>
        <w:tabs>
          <w:tab w:val="left" w:pos="645"/>
        </w:tabs>
        <w:autoSpaceDE w:val="0"/>
        <w:autoSpaceDN w:val="0"/>
        <w:adjustRightInd w:val="0"/>
        <w:spacing w:line="360" w:lineRule="auto"/>
        <w:ind w:left="330" w:leftChars="-100" w:right="44" w:rightChars="21"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32</w:t>
      </w: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除第29条、30条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Cs w:val="24"/>
          <w:highlight w:val="none"/>
        </w:rPr>
        <w:t>31</w:t>
      </w:r>
      <w:r>
        <w:rPr>
          <w:rFonts w:hint="eastAsia" w:ascii="宋体" w:hAnsi="宋体" w:eastAsia="宋体" w:cs="宋体"/>
          <w:color w:val="auto"/>
          <w:szCs w:val="21"/>
          <w:highlight w:val="none"/>
          <w:lang w:val="zh-CN"/>
        </w:rPr>
        <w:t>条规定外，采购人将合同授予其响应文件符合询比文件要求，并且能承诺履行合同，对采购人最为有利的供应商。</w:t>
      </w:r>
    </w:p>
    <w:p w14:paraId="15E6C62E">
      <w:pPr>
        <w:numPr>
          <w:ilvl w:val="1"/>
          <w:numId w:val="0"/>
        </w:numPr>
        <w:tabs>
          <w:tab w:val="left" w:pos="540"/>
        </w:tabs>
        <w:autoSpaceDE w:val="0"/>
        <w:autoSpaceDN w:val="0"/>
        <w:adjustRightInd w:val="0"/>
        <w:spacing w:line="360" w:lineRule="auto"/>
        <w:ind w:left="330" w:leftChars="-100" w:right="44" w:rightChars="21"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32.2 采购人依法</w:t>
      </w:r>
      <w:r>
        <w:rPr>
          <w:rFonts w:hint="eastAsia" w:ascii="宋体" w:hAnsi="宋体" w:eastAsia="宋体" w:cs="宋体"/>
          <w:color w:val="auto"/>
          <w:kern w:val="0"/>
          <w:szCs w:val="21"/>
          <w:highlight w:val="none"/>
        </w:rPr>
        <w:t>按照</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报告中推荐的</w:t>
      </w:r>
      <w:r>
        <w:rPr>
          <w:rFonts w:hint="eastAsia" w:ascii="宋体" w:hAnsi="宋体" w:eastAsia="宋体" w:cs="宋体"/>
          <w:color w:val="auto"/>
          <w:kern w:val="0"/>
          <w:szCs w:val="21"/>
          <w:highlight w:val="none"/>
          <w:lang w:val="en-US" w:eastAsia="zh-CN"/>
        </w:rPr>
        <w:t>成交</w:t>
      </w:r>
      <w:r>
        <w:rPr>
          <w:rFonts w:hint="eastAsia" w:ascii="宋体" w:hAnsi="宋体" w:eastAsia="宋体" w:cs="宋体"/>
          <w:color w:val="auto"/>
          <w:kern w:val="0"/>
          <w:szCs w:val="21"/>
          <w:highlight w:val="none"/>
        </w:rPr>
        <w:t>候选人顺序</w:t>
      </w:r>
      <w:r>
        <w:rPr>
          <w:rFonts w:hint="eastAsia" w:ascii="宋体" w:hAnsi="宋体" w:eastAsia="宋体" w:cs="宋体"/>
          <w:color w:val="auto"/>
          <w:szCs w:val="21"/>
          <w:highlight w:val="none"/>
          <w:lang w:val="zh-CN"/>
        </w:rPr>
        <w:t>确定</w:t>
      </w:r>
      <w:r>
        <w:rPr>
          <w:rFonts w:hint="eastAsia" w:ascii="宋体" w:hAnsi="宋体" w:eastAsia="宋体" w:cs="宋体"/>
          <w:color w:val="auto"/>
          <w:kern w:val="2"/>
          <w:sz w:val="21"/>
          <w:szCs w:val="21"/>
          <w:highlight w:val="none"/>
          <w:lang w:val="zh-CN" w:eastAsia="zh-CN" w:bidi="ar-SA"/>
        </w:rPr>
        <w:t>成交</w:t>
      </w:r>
      <w:r>
        <w:rPr>
          <w:rFonts w:hint="eastAsia" w:ascii="宋体" w:hAnsi="宋体" w:eastAsia="宋体" w:cs="宋体"/>
          <w:color w:val="auto"/>
          <w:szCs w:val="21"/>
          <w:highlight w:val="none"/>
          <w:lang w:val="zh-CN"/>
        </w:rPr>
        <w:t>人。</w:t>
      </w:r>
    </w:p>
    <w:p w14:paraId="68B04444">
      <w:pPr>
        <w:autoSpaceDE w:val="0"/>
        <w:autoSpaceDN w:val="0"/>
        <w:adjustRightInd w:val="0"/>
        <w:snapToGrid w:val="0"/>
        <w:spacing w:line="360" w:lineRule="auto"/>
        <w:ind w:left="315" w:leftChars="-100" w:hanging="525" w:hangingChars="250"/>
        <w:jc w:val="left"/>
        <w:rPr>
          <w:rFonts w:hint="eastAsia" w:ascii="宋体" w:hAnsi="宋体" w:eastAsia="宋体" w:cs="宋体"/>
          <w:b/>
          <w:color w:val="auto"/>
          <w:kern w:val="0"/>
          <w:szCs w:val="21"/>
          <w:highlight w:val="none"/>
        </w:rPr>
      </w:pPr>
      <w:r>
        <w:rPr>
          <w:rFonts w:hint="eastAsia" w:ascii="宋体" w:hAnsi="宋体" w:eastAsia="宋体" w:cs="宋体"/>
          <w:color w:val="auto"/>
          <w:szCs w:val="21"/>
          <w:highlight w:val="none"/>
          <w:lang w:val="zh-CN"/>
        </w:rPr>
        <w:t>32</w:t>
      </w:r>
      <w:r>
        <w:rPr>
          <w:rFonts w:hint="eastAsia" w:ascii="宋体" w:hAnsi="宋体" w:eastAsia="宋体" w:cs="宋体"/>
          <w:color w:val="auto"/>
          <w:kern w:val="0"/>
          <w:szCs w:val="21"/>
          <w:highlight w:val="none"/>
        </w:rPr>
        <w:t>.3 因不可抗力或自身原因不能履行合同的、不按要求与</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签订合同、</w:t>
      </w:r>
      <w:r>
        <w:rPr>
          <w:rFonts w:hint="eastAsia" w:ascii="宋体" w:hAnsi="宋体" w:eastAsia="宋体" w:cs="宋体"/>
          <w:color w:val="auto"/>
          <w:kern w:val="0"/>
          <w:szCs w:val="21"/>
          <w:highlight w:val="none"/>
          <w:lang w:val="en-US" w:eastAsia="zh-CN"/>
        </w:rPr>
        <w:t>成交</w:t>
      </w:r>
      <w:r>
        <w:rPr>
          <w:rFonts w:hint="eastAsia" w:ascii="宋体" w:hAnsi="宋体" w:eastAsia="宋体" w:cs="宋体"/>
          <w:color w:val="auto"/>
          <w:kern w:val="0"/>
          <w:szCs w:val="21"/>
          <w:highlight w:val="none"/>
        </w:rPr>
        <w:t>人放弃</w:t>
      </w:r>
      <w:r>
        <w:rPr>
          <w:rFonts w:hint="eastAsia" w:ascii="宋体" w:hAnsi="宋体" w:eastAsia="宋体" w:cs="宋体"/>
          <w:color w:val="auto"/>
          <w:kern w:val="0"/>
          <w:szCs w:val="21"/>
          <w:highlight w:val="none"/>
          <w:lang w:val="en-US" w:eastAsia="zh-CN"/>
        </w:rPr>
        <w:t>成交</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成交</w:t>
      </w:r>
      <w:r>
        <w:rPr>
          <w:rFonts w:hint="eastAsia" w:ascii="宋体" w:hAnsi="宋体" w:eastAsia="宋体" w:cs="宋体"/>
          <w:color w:val="auto"/>
          <w:kern w:val="0"/>
          <w:szCs w:val="21"/>
          <w:highlight w:val="none"/>
        </w:rPr>
        <w:t>资格被依法确认无效的，</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可以按照</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委员会提出的</w:t>
      </w:r>
      <w:r>
        <w:rPr>
          <w:rFonts w:hint="eastAsia" w:ascii="宋体" w:hAnsi="宋体" w:eastAsia="宋体" w:cs="宋体"/>
          <w:color w:val="auto"/>
          <w:kern w:val="0"/>
          <w:szCs w:val="21"/>
          <w:highlight w:val="none"/>
          <w:lang w:val="en-US" w:eastAsia="zh-CN"/>
        </w:rPr>
        <w:t>成交</w:t>
      </w:r>
      <w:r>
        <w:rPr>
          <w:rFonts w:hint="eastAsia" w:ascii="宋体" w:hAnsi="宋体" w:eastAsia="宋体" w:cs="宋体"/>
          <w:color w:val="auto"/>
          <w:kern w:val="0"/>
          <w:szCs w:val="21"/>
          <w:highlight w:val="none"/>
        </w:rPr>
        <w:t>候选人名单排序依次确定其他</w:t>
      </w:r>
      <w:r>
        <w:rPr>
          <w:rFonts w:hint="eastAsia" w:ascii="宋体" w:hAnsi="宋体" w:eastAsia="宋体" w:cs="宋体"/>
          <w:color w:val="auto"/>
          <w:kern w:val="0"/>
          <w:szCs w:val="21"/>
          <w:highlight w:val="none"/>
          <w:lang w:val="en-US" w:eastAsia="zh-CN"/>
        </w:rPr>
        <w:t>成交</w:t>
      </w:r>
      <w:r>
        <w:rPr>
          <w:rFonts w:hint="eastAsia" w:ascii="宋体" w:hAnsi="宋体" w:eastAsia="宋体" w:cs="宋体"/>
          <w:color w:val="auto"/>
          <w:kern w:val="0"/>
          <w:szCs w:val="21"/>
          <w:highlight w:val="none"/>
        </w:rPr>
        <w:t>候选人为</w:t>
      </w:r>
      <w:r>
        <w:rPr>
          <w:rFonts w:hint="eastAsia" w:ascii="宋体" w:hAnsi="宋体" w:eastAsia="宋体" w:cs="宋体"/>
          <w:color w:val="auto"/>
          <w:kern w:val="0"/>
          <w:szCs w:val="21"/>
          <w:highlight w:val="none"/>
          <w:lang w:val="en-US" w:eastAsia="zh-CN"/>
        </w:rPr>
        <w:t>成交</w:t>
      </w:r>
      <w:r>
        <w:rPr>
          <w:rFonts w:hint="eastAsia" w:ascii="宋体" w:hAnsi="宋体" w:eastAsia="宋体" w:cs="宋体"/>
          <w:color w:val="auto"/>
          <w:kern w:val="0"/>
          <w:szCs w:val="21"/>
          <w:highlight w:val="none"/>
        </w:rPr>
        <w:t>人或重新</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b/>
          <w:color w:val="auto"/>
          <w:kern w:val="0"/>
          <w:szCs w:val="21"/>
          <w:highlight w:val="none"/>
        </w:rPr>
        <w:t>。</w:t>
      </w:r>
    </w:p>
    <w:p w14:paraId="31DCB421">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bookmarkStart w:id="307" w:name="_Toc450662885"/>
    </w:p>
    <w:p w14:paraId="40A1C1A6">
      <w:pPr>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308" w:name="_Toc18984"/>
      <w:bookmarkStart w:id="309" w:name="_Toc6726_WPSOffice_Level3"/>
      <w:bookmarkStart w:id="310" w:name="_Toc142508350"/>
      <w:bookmarkStart w:id="311" w:name="_Toc486167699"/>
      <w:bookmarkStart w:id="312" w:name="_Toc1232539425"/>
      <w:bookmarkStart w:id="313" w:name="_Toc8196"/>
      <w:r>
        <w:rPr>
          <w:rFonts w:hint="eastAsia" w:ascii="宋体" w:hAnsi="宋体" w:eastAsia="宋体" w:cs="宋体"/>
          <w:color w:val="auto"/>
          <w:szCs w:val="21"/>
          <w:highlight w:val="none"/>
          <w:lang w:val="zh-CN"/>
        </w:rPr>
        <w:t>33 成交通知</w:t>
      </w:r>
      <w:bookmarkEnd w:id="307"/>
      <w:bookmarkEnd w:id="308"/>
      <w:bookmarkEnd w:id="309"/>
      <w:bookmarkEnd w:id="310"/>
      <w:bookmarkEnd w:id="311"/>
      <w:bookmarkEnd w:id="312"/>
      <w:bookmarkEnd w:id="313"/>
    </w:p>
    <w:p w14:paraId="0A83784C">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bookmarkStart w:id="314" w:name="_Toc450662886"/>
      <w:r>
        <w:rPr>
          <w:rFonts w:hint="eastAsia" w:ascii="宋体" w:hAnsi="宋体" w:eastAsia="宋体" w:cs="宋体"/>
          <w:color w:val="auto"/>
          <w:szCs w:val="21"/>
          <w:highlight w:val="none"/>
          <w:lang w:val="zh-CN"/>
        </w:rPr>
        <w:t>33.1</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采购代理机构向</w:t>
      </w:r>
      <w:r>
        <w:rPr>
          <w:rFonts w:hint="eastAsia" w:ascii="宋体" w:hAnsi="宋体" w:eastAsia="宋体" w:cs="宋体"/>
          <w:color w:val="auto"/>
          <w:szCs w:val="21"/>
          <w:highlight w:val="none"/>
          <w:lang w:val="zh-CN" w:eastAsia="zh-CN"/>
        </w:rPr>
        <w:t>成交</w:t>
      </w:r>
      <w:r>
        <w:rPr>
          <w:rFonts w:hint="eastAsia" w:ascii="宋体" w:hAnsi="宋体" w:eastAsia="宋体" w:cs="宋体"/>
          <w:color w:val="auto"/>
          <w:szCs w:val="21"/>
          <w:highlight w:val="none"/>
          <w:lang w:val="zh-CN"/>
        </w:rPr>
        <w:t>人发出书面通知，</w:t>
      </w:r>
      <w:r>
        <w:rPr>
          <w:rFonts w:hint="eastAsia" w:ascii="宋体" w:hAnsi="宋体" w:eastAsia="宋体" w:cs="宋体"/>
          <w:color w:val="auto"/>
          <w:szCs w:val="21"/>
          <w:highlight w:val="none"/>
          <w:lang w:val="zh-CN" w:eastAsia="zh-CN"/>
        </w:rPr>
        <w:t>成交</w:t>
      </w:r>
      <w:r>
        <w:rPr>
          <w:rFonts w:hint="eastAsia" w:ascii="宋体" w:hAnsi="宋体" w:eastAsia="宋体" w:cs="宋体"/>
          <w:color w:val="auto"/>
          <w:szCs w:val="21"/>
          <w:highlight w:val="none"/>
          <w:lang w:val="zh-CN"/>
        </w:rPr>
        <w:t>通知书是合同的一个组成部分。</w:t>
      </w:r>
    </w:p>
    <w:p w14:paraId="5FE252C9">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33.2</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采购代理机构向</w:t>
      </w:r>
      <w:r>
        <w:rPr>
          <w:rFonts w:hint="eastAsia" w:ascii="宋体" w:hAnsi="宋体" w:eastAsia="宋体" w:cs="宋体"/>
          <w:color w:val="auto"/>
          <w:szCs w:val="21"/>
          <w:highlight w:val="none"/>
          <w:lang w:val="zh-CN" w:eastAsia="zh-CN"/>
        </w:rPr>
        <w:t>成交</w:t>
      </w:r>
      <w:r>
        <w:rPr>
          <w:rFonts w:hint="eastAsia" w:ascii="宋体" w:hAnsi="宋体" w:eastAsia="宋体" w:cs="宋体"/>
          <w:color w:val="auto"/>
          <w:szCs w:val="21"/>
          <w:highlight w:val="none"/>
          <w:lang w:val="zh-CN"/>
        </w:rPr>
        <w:t>人发出书面通知的同时，采购代理机构通知落选的供应商其响应文件未被接受而不提原因。</w:t>
      </w:r>
    </w:p>
    <w:p w14:paraId="080672C0">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p>
    <w:p w14:paraId="31E26451">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315" w:name="_Toc1860466717"/>
      <w:bookmarkStart w:id="316" w:name="_Toc9694_WPSOffice_Level3"/>
      <w:bookmarkStart w:id="317" w:name="_Toc19127"/>
      <w:bookmarkStart w:id="318" w:name="_Toc28020"/>
      <w:bookmarkStart w:id="319" w:name="_Toc142508351"/>
      <w:bookmarkStart w:id="320" w:name="_Toc486167700"/>
      <w:r>
        <w:rPr>
          <w:rFonts w:hint="eastAsia" w:ascii="宋体" w:hAnsi="宋体" w:eastAsia="宋体" w:cs="宋体"/>
          <w:color w:val="auto"/>
          <w:szCs w:val="21"/>
          <w:highlight w:val="none"/>
        </w:rPr>
        <w:t>34</w:t>
      </w:r>
      <w:r>
        <w:rPr>
          <w:rFonts w:hint="eastAsia" w:ascii="宋体" w:hAnsi="宋体" w:eastAsia="宋体" w:cs="宋体"/>
          <w:color w:val="auto"/>
          <w:szCs w:val="21"/>
          <w:highlight w:val="none"/>
          <w:lang w:val="zh-CN"/>
        </w:rPr>
        <w:t xml:space="preserve"> 签署合同</w:t>
      </w:r>
      <w:bookmarkEnd w:id="314"/>
      <w:bookmarkEnd w:id="315"/>
      <w:bookmarkEnd w:id="316"/>
      <w:bookmarkEnd w:id="317"/>
      <w:bookmarkEnd w:id="318"/>
      <w:bookmarkEnd w:id="319"/>
      <w:bookmarkEnd w:id="320"/>
    </w:p>
    <w:p w14:paraId="38EA98EB">
      <w:pPr>
        <w:tabs>
          <w:tab w:val="left" w:pos="540"/>
        </w:tabs>
        <w:autoSpaceDE w:val="0"/>
        <w:autoSpaceDN w:val="0"/>
        <w:adjustRightInd w:val="0"/>
        <w:spacing w:line="360" w:lineRule="auto"/>
        <w:ind w:left="330" w:leftChars="-100" w:right="15" w:rightChars="7" w:hanging="5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34</w:t>
      </w: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lang w:val="zh-CN"/>
        </w:rPr>
        <w:tab/>
      </w:r>
      <w:r>
        <w:rPr>
          <w:rFonts w:hint="eastAsia" w:ascii="宋体" w:hAnsi="宋体" w:eastAsia="宋体" w:cs="宋体"/>
          <w:b/>
          <w:color w:val="auto"/>
          <w:szCs w:val="21"/>
          <w:highlight w:val="none"/>
          <w:u w:val="single"/>
          <w:lang w:val="en-US" w:eastAsia="zh-CN"/>
        </w:rPr>
        <w:t>成交人</w:t>
      </w:r>
      <w:r>
        <w:rPr>
          <w:rFonts w:hint="eastAsia" w:ascii="宋体" w:hAnsi="宋体" w:eastAsia="宋体" w:cs="宋体"/>
          <w:b/>
          <w:color w:val="auto"/>
          <w:szCs w:val="21"/>
          <w:highlight w:val="none"/>
          <w:u w:val="single"/>
          <w:lang w:val="zh-CN"/>
        </w:rPr>
        <w:t>在自</w:t>
      </w:r>
      <w:r>
        <w:rPr>
          <w:rFonts w:hint="eastAsia" w:ascii="宋体" w:hAnsi="宋体" w:eastAsia="宋体" w:cs="宋体"/>
          <w:b/>
          <w:color w:val="auto"/>
          <w:szCs w:val="21"/>
          <w:highlight w:val="none"/>
          <w:u w:val="single"/>
          <w:lang w:val="en-US" w:eastAsia="zh-CN"/>
        </w:rPr>
        <w:t>成交</w:t>
      </w:r>
      <w:r>
        <w:rPr>
          <w:rFonts w:hint="eastAsia" w:ascii="宋体" w:hAnsi="宋体" w:eastAsia="宋体" w:cs="宋体"/>
          <w:b/>
          <w:color w:val="auto"/>
          <w:szCs w:val="21"/>
          <w:highlight w:val="none"/>
          <w:u w:val="single"/>
          <w:lang w:val="zh-CN"/>
        </w:rPr>
        <w:t>通知书发出之日起30日内，按照询比文件和</w:t>
      </w:r>
      <w:r>
        <w:rPr>
          <w:rFonts w:hint="eastAsia" w:ascii="宋体" w:hAnsi="宋体" w:eastAsia="宋体" w:cs="宋体"/>
          <w:b/>
          <w:color w:val="auto"/>
          <w:szCs w:val="21"/>
          <w:highlight w:val="none"/>
          <w:u w:val="single"/>
          <w:lang w:val="en-US" w:eastAsia="zh-CN"/>
        </w:rPr>
        <w:t>成交人</w:t>
      </w:r>
      <w:r>
        <w:rPr>
          <w:rFonts w:hint="eastAsia" w:ascii="宋体" w:hAnsi="宋体" w:eastAsia="宋体" w:cs="宋体"/>
          <w:b/>
          <w:color w:val="auto"/>
          <w:szCs w:val="21"/>
          <w:highlight w:val="none"/>
          <w:u w:val="single"/>
          <w:lang w:val="zh-CN"/>
        </w:rPr>
        <w:t>的响应文件的约定，与采购人签订书面合同，具体签订方式以采购人通知为准。否则采购人有权取消</w:t>
      </w:r>
      <w:r>
        <w:rPr>
          <w:rFonts w:hint="eastAsia" w:ascii="宋体" w:hAnsi="宋体" w:eastAsia="宋体" w:cs="宋体"/>
          <w:b/>
          <w:color w:val="auto"/>
          <w:szCs w:val="21"/>
          <w:highlight w:val="none"/>
          <w:u w:val="single"/>
          <w:lang w:val="zh-CN" w:eastAsia="zh-CN"/>
        </w:rPr>
        <w:t>成交</w:t>
      </w:r>
      <w:r>
        <w:rPr>
          <w:rFonts w:hint="eastAsia" w:ascii="宋体" w:hAnsi="宋体" w:eastAsia="宋体" w:cs="宋体"/>
          <w:b/>
          <w:color w:val="auto"/>
          <w:szCs w:val="21"/>
          <w:highlight w:val="none"/>
          <w:u w:val="single"/>
          <w:lang w:val="zh-CN"/>
        </w:rPr>
        <w:t>资格并按询比文件及法律、法规的规定进行处理</w:t>
      </w:r>
      <w:r>
        <w:rPr>
          <w:rFonts w:hint="eastAsia" w:ascii="宋体" w:hAnsi="宋体" w:eastAsia="宋体" w:cs="宋体"/>
          <w:color w:val="auto"/>
          <w:szCs w:val="21"/>
          <w:highlight w:val="none"/>
          <w:lang w:val="zh-CN"/>
        </w:rPr>
        <w:t>。</w:t>
      </w:r>
    </w:p>
    <w:p w14:paraId="2154F7D0">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34.2 在签署合同前，采购人可对成交人</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报价明细及附表内的算术性错误进行修正，修正原则为：</w:t>
      </w:r>
    </w:p>
    <w:p w14:paraId="3E8D4003">
      <w:pPr>
        <w:autoSpaceDE w:val="0"/>
        <w:autoSpaceDN w:val="0"/>
        <w:adjustRightInd w:val="0"/>
        <w:snapToGrid w:val="0"/>
        <w:spacing w:line="360" w:lineRule="auto"/>
        <w:ind w:left="315" w:leftChars="100" w:hanging="105" w:hangingChars="5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（1）当以数字表示的金额与以文字表示的金额不一致时，以文字表示的金额为准；（2）当开启一览表(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报价表)内总报价金额与按综合单价计算的总价不一致的，以综合单价计算结果为准，单项金额小数点有明显错位的，应以总价为准，并修正综合单价金额；</w:t>
      </w:r>
    </w:p>
    <w:p w14:paraId="5F449025">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val="zh-CN"/>
        </w:rPr>
        <w:t xml:space="preserve"> 本项目服务单位（即</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人）合同履约期间，如因服务单位（即</w:t>
      </w:r>
      <w:r>
        <w:rPr>
          <w:rFonts w:hint="eastAsia" w:ascii="宋体" w:hAnsi="宋体" w:eastAsia="宋体" w:cs="宋体"/>
          <w:color w:val="auto"/>
          <w:szCs w:val="21"/>
          <w:highlight w:val="none"/>
          <w:lang w:val="zh-CN" w:eastAsia="zh-CN"/>
        </w:rPr>
        <w:t>成交</w:t>
      </w:r>
      <w:r>
        <w:rPr>
          <w:rFonts w:hint="eastAsia" w:ascii="宋体" w:hAnsi="宋体" w:eastAsia="宋体" w:cs="宋体"/>
          <w:color w:val="auto"/>
          <w:szCs w:val="21"/>
          <w:highlight w:val="none"/>
          <w:lang w:val="zh-CN"/>
        </w:rPr>
        <w:t>人）存在违约行为或因其他合同约定或法定事由，导致</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lang w:val="zh-CN"/>
        </w:rPr>
        <w:t>依法依规解除本合同的，</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val="zh-CN"/>
        </w:rPr>
        <w:t>人有权按照本项目综合评审结果，从以下方式中择一确定后续安排：</w:t>
      </w:r>
    </w:p>
    <w:p w14:paraId="718C9AD2">
      <w:pPr>
        <w:autoSpaceDE w:val="0"/>
        <w:autoSpaceDN w:val="0"/>
        <w:adjustRightInd w:val="0"/>
        <w:snapToGrid w:val="0"/>
        <w:spacing w:line="360" w:lineRule="auto"/>
        <w:ind w:left="315" w:leftChars="100" w:hanging="105" w:hangingChars="5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b/>
          <w:bCs/>
          <w:color w:val="auto"/>
          <w:szCs w:val="21"/>
          <w:highlight w:val="none"/>
          <w:lang w:val="zh-CN"/>
        </w:rPr>
        <w:t>替补</w:t>
      </w:r>
      <w:r>
        <w:rPr>
          <w:rFonts w:hint="eastAsia" w:ascii="宋体" w:hAnsi="宋体" w:eastAsia="宋体" w:cs="宋体"/>
          <w:b/>
          <w:bCs/>
          <w:color w:val="auto"/>
          <w:szCs w:val="21"/>
          <w:highlight w:val="none"/>
          <w:lang w:val="en-US" w:eastAsia="zh-CN"/>
        </w:rPr>
        <w:t>响应供应商</w:t>
      </w:r>
      <w:r>
        <w:rPr>
          <w:rFonts w:hint="eastAsia" w:ascii="宋体" w:hAnsi="宋体" w:eastAsia="宋体" w:cs="宋体"/>
          <w:b/>
          <w:bCs/>
          <w:color w:val="auto"/>
          <w:szCs w:val="21"/>
          <w:highlight w:val="none"/>
          <w:lang w:val="zh-CN"/>
        </w:rPr>
        <w:t>承接</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lang w:val="zh-CN"/>
        </w:rPr>
        <w:t>有权根据剩余有效</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val="zh-CN"/>
        </w:rPr>
        <w:t>数量，在原评审排名基础上邀请相应</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val="zh-CN"/>
        </w:rPr>
        <w:t>，通过谈判或其他</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lang w:val="zh-CN"/>
        </w:rPr>
        <w:t>认可的方式，择优确定新的</w:t>
      </w:r>
      <w:r>
        <w:rPr>
          <w:rFonts w:hint="eastAsia" w:ascii="宋体" w:hAnsi="宋体" w:eastAsia="宋体" w:cs="宋体"/>
          <w:color w:val="auto"/>
          <w:szCs w:val="21"/>
          <w:highlight w:val="none"/>
          <w:lang w:val="zh-CN" w:eastAsia="zh-CN"/>
        </w:rPr>
        <w:t>供应商</w:t>
      </w:r>
      <w:r>
        <w:rPr>
          <w:rFonts w:hint="eastAsia" w:ascii="宋体" w:hAnsi="宋体" w:eastAsia="宋体" w:cs="宋体"/>
          <w:color w:val="auto"/>
          <w:szCs w:val="21"/>
          <w:highlight w:val="none"/>
          <w:lang w:val="zh-CN"/>
        </w:rPr>
        <w:t>承接本合同项下未履行部分的服务内容，邀请规则如下：当剩余有效</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val="zh-CN"/>
        </w:rPr>
        <w:t>为2家时，邀请综合评审排名第2名及第3名的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val="zh-CN"/>
        </w:rPr>
        <w:t>，当剩余有效</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val="zh-CN"/>
        </w:rPr>
        <w:t>≥3家时，邀请综合评审排名第2名至第4名的</w:t>
      </w:r>
      <w:r>
        <w:rPr>
          <w:rFonts w:hint="eastAsia" w:ascii="宋体" w:hAnsi="宋体" w:eastAsia="宋体" w:cs="宋体"/>
          <w:color w:val="auto"/>
          <w:szCs w:val="21"/>
          <w:highlight w:val="none"/>
          <w:lang w:val="zh-CN" w:eastAsia="zh-CN"/>
        </w:rPr>
        <w:t>供应商</w:t>
      </w:r>
      <w:r>
        <w:rPr>
          <w:rFonts w:hint="eastAsia" w:ascii="宋体" w:hAnsi="宋体" w:eastAsia="宋体" w:cs="宋体"/>
          <w:color w:val="auto"/>
          <w:szCs w:val="21"/>
          <w:highlight w:val="none"/>
          <w:lang w:val="zh-CN"/>
        </w:rPr>
        <w:t>。替补</w:t>
      </w:r>
      <w:r>
        <w:rPr>
          <w:rFonts w:hint="eastAsia" w:ascii="宋体" w:hAnsi="宋体" w:eastAsia="宋体" w:cs="宋体"/>
          <w:color w:val="auto"/>
          <w:szCs w:val="21"/>
          <w:highlight w:val="none"/>
          <w:lang w:val="zh-CN" w:eastAsia="zh-CN"/>
        </w:rPr>
        <w:t>供应商</w:t>
      </w:r>
      <w:r>
        <w:rPr>
          <w:rFonts w:hint="eastAsia" w:ascii="宋体" w:hAnsi="宋体" w:eastAsia="宋体" w:cs="宋体"/>
          <w:color w:val="auto"/>
          <w:szCs w:val="21"/>
          <w:highlight w:val="none"/>
          <w:lang w:val="zh-CN"/>
        </w:rPr>
        <w:t>一经确定，应与</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lang w:val="zh-CN"/>
        </w:rPr>
        <w:t>另行签订书面合同，</w:t>
      </w:r>
      <w:r>
        <w:rPr>
          <w:rFonts w:hint="eastAsia" w:ascii="宋体" w:hAnsi="宋体" w:eastAsia="宋体" w:cs="宋体"/>
          <w:color w:val="auto"/>
          <w:szCs w:val="21"/>
          <w:highlight w:val="none"/>
          <w:lang w:val="en-US" w:eastAsia="zh-CN"/>
        </w:rPr>
        <w:t>服务</w:t>
      </w:r>
      <w:r>
        <w:rPr>
          <w:rFonts w:hint="eastAsia" w:ascii="宋体" w:hAnsi="宋体" w:eastAsia="宋体" w:cs="宋体"/>
          <w:color w:val="auto"/>
          <w:szCs w:val="21"/>
          <w:highlight w:val="none"/>
          <w:lang w:val="zh-CN"/>
        </w:rPr>
        <w:t>标准、履约要求原则上不得低于</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时承诺的标准。</w:t>
      </w:r>
    </w:p>
    <w:p w14:paraId="1AC11A32">
      <w:pPr>
        <w:autoSpaceDE w:val="0"/>
        <w:autoSpaceDN w:val="0"/>
        <w:adjustRightInd w:val="0"/>
        <w:snapToGrid w:val="0"/>
        <w:spacing w:line="360" w:lineRule="auto"/>
        <w:ind w:left="315" w:leftChars="100" w:hanging="105" w:hangingChars="5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r>
        <w:rPr>
          <w:rFonts w:hint="eastAsia" w:ascii="宋体" w:hAnsi="宋体" w:eastAsia="宋体" w:cs="宋体"/>
          <w:b/>
          <w:bCs/>
          <w:color w:val="auto"/>
          <w:szCs w:val="21"/>
          <w:highlight w:val="none"/>
          <w:lang w:val="zh-CN"/>
        </w:rPr>
        <w:t>重新</w:t>
      </w:r>
      <w:r>
        <w:rPr>
          <w:rFonts w:hint="eastAsia" w:ascii="宋体" w:hAnsi="宋体" w:eastAsia="宋体" w:cs="宋体"/>
          <w:b/>
          <w:bCs/>
          <w:color w:val="auto"/>
          <w:szCs w:val="21"/>
          <w:highlight w:val="none"/>
          <w:lang w:val="en-US" w:eastAsia="zh-CN"/>
        </w:rPr>
        <w:t>采购</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val="zh-CN"/>
        </w:rPr>
        <w:t>人亦有权根据实际情况，重新组织</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val="zh-CN"/>
        </w:rPr>
        <w:t>。</w:t>
      </w:r>
    </w:p>
    <w:p w14:paraId="74A20729">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p>
    <w:p w14:paraId="0B60C9C2">
      <w:pPr>
        <w:tabs>
          <w:tab w:val="left" w:pos="360"/>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321" w:name="_Toc486167701"/>
      <w:bookmarkStart w:id="322" w:name="_Toc8181"/>
      <w:bookmarkStart w:id="323" w:name="_Toc5304"/>
      <w:bookmarkStart w:id="324" w:name="_Toc450662887"/>
      <w:bookmarkStart w:id="325" w:name="_Toc142508352"/>
      <w:bookmarkStart w:id="326" w:name="_Toc10513_WPSOffice_Level3"/>
      <w:bookmarkStart w:id="327" w:name="_Toc1383576799"/>
      <w:r>
        <w:rPr>
          <w:rFonts w:hint="eastAsia" w:ascii="宋体" w:hAnsi="宋体" w:eastAsia="宋体" w:cs="宋体"/>
          <w:color w:val="auto"/>
          <w:szCs w:val="21"/>
          <w:highlight w:val="none"/>
        </w:rPr>
        <w:t xml:space="preserve">35 </w:t>
      </w:r>
      <w:r>
        <w:rPr>
          <w:rFonts w:hint="eastAsia" w:ascii="宋体" w:hAnsi="宋体" w:eastAsia="宋体" w:cs="宋体"/>
          <w:color w:val="auto"/>
          <w:szCs w:val="21"/>
          <w:highlight w:val="none"/>
          <w:lang w:val="zh-CN"/>
        </w:rPr>
        <w:t>履约担保</w:t>
      </w:r>
      <w:bookmarkEnd w:id="321"/>
      <w:bookmarkEnd w:id="322"/>
      <w:bookmarkEnd w:id="323"/>
      <w:bookmarkEnd w:id="324"/>
      <w:bookmarkEnd w:id="325"/>
      <w:bookmarkEnd w:id="326"/>
      <w:bookmarkEnd w:id="327"/>
    </w:p>
    <w:p w14:paraId="6A245D54">
      <w:pPr>
        <w:numPr>
          <w:ilvl w:val="1"/>
          <w:numId w:val="0"/>
        </w:numPr>
        <w:autoSpaceDE w:val="0"/>
        <w:autoSpaceDN w:val="0"/>
        <w:adjustRightInd w:val="0"/>
        <w:spacing w:beforeLines="0" w:afterLines="0" w:line="360" w:lineRule="auto"/>
        <w:ind w:left="357" w:leftChars="-100" w:right="15" w:rightChars="7" w:hanging="567" w:hangingChars="269"/>
        <w:rPr>
          <w:rFonts w:hint="eastAsia" w:ascii="宋体" w:hAnsi="宋体" w:eastAsia="宋体" w:cs="宋体"/>
          <w:b/>
          <w:bCs w:val="0"/>
          <w:color w:val="auto"/>
          <w:sz w:val="21"/>
          <w:szCs w:val="21"/>
          <w:highlight w:val="none"/>
          <w:lang w:val="zh-CN"/>
        </w:rPr>
      </w:pPr>
      <w:bookmarkStart w:id="328" w:name="_Toc465358977"/>
      <w:bookmarkStart w:id="329" w:name="_Toc466882025"/>
      <w:r>
        <w:rPr>
          <w:rFonts w:hint="eastAsia" w:ascii="宋体" w:hAnsi="宋体" w:eastAsia="宋体" w:cs="宋体"/>
          <w:b/>
          <w:bCs w:val="0"/>
          <w:color w:val="auto"/>
          <w:szCs w:val="21"/>
          <w:highlight w:val="none"/>
        </w:rPr>
        <w:t>35</w:t>
      </w:r>
      <w:r>
        <w:rPr>
          <w:rFonts w:hint="eastAsia" w:ascii="宋体" w:hAnsi="宋体" w:eastAsia="宋体" w:cs="宋体"/>
          <w:b/>
          <w:bCs w:val="0"/>
          <w:color w:val="auto"/>
          <w:szCs w:val="21"/>
          <w:highlight w:val="none"/>
          <w:lang w:val="zh-CN"/>
        </w:rPr>
        <w:t xml:space="preserve">.1 </w:t>
      </w:r>
      <w:r>
        <w:rPr>
          <w:rFonts w:hint="eastAsia" w:ascii="宋体" w:hAnsi="宋体" w:eastAsia="宋体" w:cs="宋体"/>
          <w:b/>
          <w:bCs w:val="0"/>
          <w:color w:val="auto"/>
          <w:sz w:val="21"/>
          <w:szCs w:val="21"/>
          <w:highlight w:val="none"/>
          <w:u w:val="single"/>
          <w:lang w:val="zh-CN"/>
        </w:rPr>
        <w:t>成交人应在签订合同前，按本询比文件规定金额及形式要求，向采购人提交不可撤销银行履约保函（或履约保证金</w:t>
      </w:r>
      <w:r>
        <w:rPr>
          <w:rFonts w:hint="eastAsia" w:ascii="宋体" w:hAnsi="宋体" w:eastAsia="宋体" w:cs="宋体"/>
          <w:b/>
          <w:bCs w:val="0"/>
          <w:color w:val="auto"/>
          <w:sz w:val="21"/>
          <w:szCs w:val="21"/>
          <w:highlight w:val="none"/>
          <w:u w:val="single"/>
        </w:rPr>
        <w:t>或履约保证保险</w:t>
      </w:r>
      <w:r>
        <w:rPr>
          <w:rFonts w:hint="eastAsia" w:ascii="宋体" w:hAnsi="宋体" w:eastAsia="宋体" w:cs="宋体"/>
          <w:b/>
          <w:bCs w:val="0"/>
          <w:color w:val="auto"/>
          <w:sz w:val="21"/>
          <w:szCs w:val="21"/>
          <w:highlight w:val="none"/>
          <w:u w:val="single"/>
          <w:lang w:val="zh-CN"/>
        </w:rPr>
        <w:t>或担保公司履约担保书），作为履约担保（所需费用由成交人自行承担），</w:t>
      </w:r>
      <w:r>
        <w:rPr>
          <w:rFonts w:hint="eastAsia" w:ascii="宋体" w:hAnsi="宋体" w:eastAsia="宋体" w:cs="宋体"/>
          <w:b/>
          <w:bCs w:val="0"/>
          <w:color w:val="auto"/>
          <w:kern w:val="0"/>
          <w:sz w:val="21"/>
          <w:szCs w:val="24"/>
          <w:highlight w:val="none"/>
          <w:u w:val="single"/>
        </w:rPr>
        <w:t>否则采购人可取消成交人的成交资格，不予退还其响应保证金。</w:t>
      </w:r>
      <w:r>
        <w:rPr>
          <w:rFonts w:hint="eastAsia" w:ascii="宋体" w:hAnsi="宋体" w:eastAsia="宋体" w:cs="宋体"/>
          <w:b/>
          <w:bCs w:val="0"/>
          <w:color w:val="auto"/>
          <w:sz w:val="21"/>
          <w:szCs w:val="21"/>
          <w:highlight w:val="none"/>
          <w:u w:val="single"/>
          <w:lang w:val="zh-CN"/>
        </w:rPr>
        <w:t>其中，采用履约保证金（银行转账形式）的金额为</w:t>
      </w:r>
      <w:r>
        <w:rPr>
          <w:rFonts w:hint="eastAsia" w:ascii="宋体" w:hAnsi="宋体" w:eastAsia="宋体" w:cs="宋体"/>
          <w:b/>
          <w:bCs w:val="0"/>
          <w:color w:val="auto"/>
          <w:sz w:val="21"/>
          <w:szCs w:val="21"/>
          <w:highlight w:val="none"/>
          <w:u w:val="single"/>
        </w:rPr>
        <w:t>不含税暂定合同价</w:t>
      </w:r>
      <w:r>
        <w:rPr>
          <w:rFonts w:hint="eastAsia" w:ascii="宋体" w:hAnsi="宋体" w:eastAsia="宋体" w:cs="宋体"/>
          <w:b/>
          <w:bCs w:val="0"/>
          <w:color w:val="auto"/>
          <w:sz w:val="21"/>
          <w:szCs w:val="21"/>
          <w:highlight w:val="none"/>
          <w:u w:val="single"/>
          <w:lang w:val="zh-CN"/>
        </w:rPr>
        <w:t>的5%；采用不可撤销银行履约保函（或履约保证保险）形式的金额为</w:t>
      </w:r>
      <w:r>
        <w:rPr>
          <w:rFonts w:hint="eastAsia" w:ascii="宋体" w:hAnsi="宋体" w:eastAsia="宋体" w:cs="宋体"/>
          <w:b/>
          <w:bCs w:val="0"/>
          <w:color w:val="auto"/>
          <w:sz w:val="21"/>
          <w:szCs w:val="21"/>
          <w:highlight w:val="none"/>
          <w:u w:val="single"/>
        </w:rPr>
        <w:t>不含税暂定合同价</w:t>
      </w:r>
      <w:r>
        <w:rPr>
          <w:rFonts w:hint="eastAsia" w:ascii="宋体" w:hAnsi="宋体" w:eastAsia="宋体" w:cs="宋体"/>
          <w:b/>
          <w:bCs w:val="0"/>
          <w:color w:val="auto"/>
          <w:sz w:val="21"/>
          <w:szCs w:val="21"/>
          <w:highlight w:val="none"/>
          <w:u w:val="single"/>
          <w:lang w:val="zh-CN"/>
        </w:rPr>
        <w:t>的8%；采用担保公司履约担保书形式的金额为</w:t>
      </w:r>
      <w:r>
        <w:rPr>
          <w:rFonts w:hint="eastAsia" w:ascii="宋体" w:hAnsi="宋体" w:eastAsia="宋体" w:cs="宋体"/>
          <w:b/>
          <w:bCs w:val="0"/>
          <w:color w:val="auto"/>
          <w:sz w:val="21"/>
          <w:szCs w:val="21"/>
          <w:highlight w:val="none"/>
          <w:u w:val="single"/>
        </w:rPr>
        <w:t>不含税暂定合同价</w:t>
      </w:r>
      <w:r>
        <w:rPr>
          <w:rFonts w:hint="eastAsia" w:ascii="宋体" w:hAnsi="宋体" w:eastAsia="宋体" w:cs="宋体"/>
          <w:b/>
          <w:bCs w:val="0"/>
          <w:color w:val="auto"/>
          <w:sz w:val="21"/>
          <w:szCs w:val="21"/>
          <w:highlight w:val="none"/>
          <w:u w:val="single"/>
          <w:lang w:val="zh-CN"/>
        </w:rPr>
        <w:t>的10%</w:t>
      </w:r>
      <w:bookmarkStart w:id="330" w:name="OLE_LINK387"/>
      <w:r>
        <w:rPr>
          <w:rFonts w:hint="eastAsia" w:ascii="宋体" w:hAnsi="宋体" w:eastAsia="宋体" w:cs="宋体"/>
          <w:b/>
          <w:bCs w:val="0"/>
          <w:color w:val="auto"/>
          <w:sz w:val="21"/>
          <w:szCs w:val="21"/>
          <w:highlight w:val="none"/>
          <w:u w:val="single"/>
          <w:lang w:val="zh-CN"/>
        </w:rPr>
        <w:t>。</w:t>
      </w:r>
      <w:r>
        <w:rPr>
          <w:rFonts w:hint="eastAsia" w:ascii="宋体" w:hAnsi="宋体" w:eastAsia="宋体" w:cs="宋体"/>
          <w:b/>
          <w:bCs w:val="0"/>
          <w:color w:val="auto"/>
          <w:sz w:val="21"/>
          <w:szCs w:val="21"/>
          <w:highlight w:val="none"/>
        </w:rPr>
        <w:t>如成交人提供不可撤销银行履约保函或履约保证保险或担保公司履约担保书作为履约担保的，其受益人应为东莞市尚源环能科技有限公司。</w:t>
      </w:r>
      <w:bookmarkEnd w:id="330"/>
      <w:r>
        <w:rPr>
          <w:rFonts w:hint="eastAsia" w:ascii="宋体" w:hAnsi="宋体" w:eastAsia="宋体" w:cs="宋体"/>
          <w:b/>
          <w:bCs w:val="0"/>
          <w:color w:val="auto"/>
          <w:kern w:val="0"/>
          <w:sz w:val="21"/>
          <w:szCs w:val="24"/>
          <w:highlight w:val="none"/>
        </w:rPr>
        <w:t>合同履行过程中，成交人给采购人造成的损失超过履约担保数额的，成交人还应当对超过部分予以赔偿，采购人依法追究成交人的相应责任。</w:t>
      </w:r>
    </w:p>
    <w:p w14:paraId="12FD0E43">
      <w:pPr>
        <w:tabs>
          <w:tab w:val="left" w:pos="360"/>
          <w:tab w:val="left" w:pos="4725"/>
        </w:tabs>
        <w:autoSpaceDE w:val="0"/>
        <w:autoSpaceDN w:val="0"/>
        <w:adjustRightInd w:val="0"/>
        <w:spacing w:beforeLines="0" w:afterLines="0" w:line="360" w:lineRule="auto"/>
        <w:ind w:left="317" w:leftChars="-100" w:hanging="527" w:hangingChars="25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3</w:t>
      </w:r>
      <w:r>
        <w:rPr>
          <w:rFonts w:hint="eastAsia" w:ascii="宋体" w:hAnsi="宋体" w:eastAsia="宋体" w:cs="宋体"/>
          <w:b/>
          <w:bCs w:val="0"/>
          <w:color w:val="auto"/>
          <w:kern w:val="0"/>
          <w:sz w:val="21"/>
          <w:szCs w:val="21"/>
          <w:highlight w:val="none"/>
          <w:lang w:val="en-US" w:eastAsia="zh-CN"/>
        </w:rPr>
        <w:t>5</w:t>
      </w:r>
      <w:r>
        <w:rPr>
          <w:rFonts w:hint="eastAsia" w:ascii="宋体" w:hAnsi="宋体" w:eastAsia="宋体" w:cs="宋体"/>
          <w:b/>
          <w:bCs w:val="0"/>
          <w:color w:val="auto"/>
          <w:kern w:val="0"/>
          <w:sz w:val="21"/>
          <w:szCs w:val="21"/>
          <w:highlight w:val="none"/>
        </w:rPr>
        <w:t>.2 履约担保用于补偿采购人因成交人不能完全履行其合同义务而蒙受的损失或其他合同约定的事项。如发生下列任一情况时，采购人有权依合同追究成交人违约责任外，同时有权提取履约担保并进行相应处理：</w:t>
      </w:r>
    </w:p>
    <w:p w14:paraId="3288CA62">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1）在合同履行期间，因成交人货物、服务质量问题造成损害、侵权损失（包括但不限于采购人经济损失、第三人人身财产损失等）、拖欠原材料供应商货款或与其所雇用员工发生劳资纠纷、上访、闹事或其他影响采购人生产经营等情况而其未及时妥善处理的，采购人有权使用履约担保予以支付或作出相应处理，由此产生的一切法律后果由成交人承担。</w:t>
      </w:r>
    </w:p>
    <w:p w14:paraId="600218FA">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（2）在合同履行期间，成交人违约产生的违约金、赔偿、罚款或其他应付费用等款项，采购人有权直接从未付</w:t>
      </w:r>
      <w:r>
        <w:rPr>
          <w:rFonts w:hint="eastAsia" w:ascii="宋体" w:hAnsi="宋体" w:eastAsia="宋体" w:cs="宋体"/>
          <w:b/>
          <w:bCs w:val="0"/>
          <w:color w:val="auto"/>
          <w:kern w:val="0"/>
          <w:sz w:val="21"/>
          <w:szCs w:val="21"/>
          <w:highlight w:val="none"/>
          <w:lang w:val="en-US" w:eastAsia="zh-CN"/>
        </w:rPr>
        <w:t>款项</w:t>
      </w:r>
      <w:r>
        <w:rPr>
          <w:rFonts w:hint="eastAsia" w:ascii="宋体" w:hAnsi="宋体" w:eastAsia="宋体" w:cs="宋体"/>
          <w:b/>
          <w:bCs w:val="0"/>
          <w:color w:val="auto"/>
          <w:kern w:val="0"/>
          <w:sz w:val="21"/>
          <w:szCs w:val="21"/>
          <w:highlight w:val="none"/>
        </w:rPr>
        <w:t>中扣除或启用履约担保予以支付。</w:t>
      </w:r>
    </w:p>
    <w:p w14:paraId="7CC1DDCB">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（3）合同期内，成交人不能及时完成合同某项义务的，采购人有权使用履约担保用于处理该项工作。</w:t>
      </w:r>
    </w:p>
    <w:p w14:paraId="05471EB7">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（4）其他根据本合同约定或法律规定，采购人可启用履约担保的情形。</w:t>
      </w:r>
    </w:p>
    <w:p w14:paraId="2CE5FF6F">
      <w:pPr>
        <w:tabs>
          <w:tab w:val="left" w:pos="360"/>
          <w:tab w:val="left" w:pos="4725"/>
        </w:tabs>
        <w:autoSpaceDE w:val="0"/>
        <w:autoSpaceDN w:val="0"/>
        <w:adjustRightInd w:val="0"/>
        <w:spacing w:beforeLines="0" w:afterLines="0" w:line="360" w:lineRule="auto"/>
        <w:ind w:left="317" w:leftChars="-100" w:hanging="527" w:hangingChars="250"/>
        <w:jc w:val="left"/>
        <w:rPr>
          <w:rFonts w:hint="eastAsia" w:ascii="宋体" w:hAnsi="宋体" w:eastAsia="宋体" w:cs="宋体"/>
          <w:b/>
          <w:bCs w:val="0"/>
          <w:color w:val="auto"/>
          <w:kern w:val="0"/>
          <w:sz w:val="21"/>
          <w:szCs w:val="21"/>
          <w:highlight w:val="none"/>
        </w:rPr>
      </w:pPr>
      <w:bookmarkStart w:id="331" w:name="_Toc32290"/>
      <w:r>
        <w:rPr>
          <w:rFonts w:hint="eastAsia" w:ascii="宋体" w:hAnsi="宋体" w:eastAsia="宋体" w:cs="宋体"/>
          <w:b/>
          <w:bCs w:val="0"/>
          <w:color w:val="auto"/>
          <w:kern w:val="0"/>
          <w:sz w:val="21"/>
          <w:szCs w:val="21"/>
          <w:highlight w:val="none"/>
        </w:rPr>
        <w:t>3</w:t>
      </w:r>
      <w:r>
        <w:rPr>
          <w:rFonts w:hint="eastAsia" w:ascii="宋体" w:hAnsi="宋体" w:eastAsia="宋体" w:cs="宋体"/>
          <w:b/>
          <w:bCs w:val="0"/>
          <w:color w:val="auto"/>
          <w:kern w:val="0"/>
          <w:sz w:val="21"/>
          <w:szCs w:val="21"/>
          <w:highlight w:val="none"/>
          <w:lang w:val="en-US" w:eastAsia="zh-CN"/>
        </w:rPr>
        <w:t>5</w:t>
      </w:r>
      <w:r>
        <w:rPr>
          <w:rFonts w:hint="eastAsia" w:ascii="宋体" w:hAnsi="宋体" w:eastAsia="宋体" w:cs="宋体"/>
          <w:b/>
          <w:bCs w:val="0"/>
          <w:color w:val="auto"/>
          <w:kern w:val="0"/>
          <w:sz w:val="21"/>
          <w:szCs w:val="21"/>
          <w:highlight w:val="none"/>
        </w:rPr>
        <w:t>.3  履约担保应符合如下规定：</w:t>
      </w:r>
      <w:bookmarkEnd w:id="331"/>
    </w:p>
    <w:p w14:paraId="12B9ADC2">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（1）出具履约保函的银行必须是境内支行一级以上机构，并经采购人同意，执行本款时所发生的费用由成交人承担。</w:t>
      </w:r>
    </w:p>
    <w:p w14:paraId="720CD501">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（2）履约担保格式应采用</w:t>
      </w:r>
      <w:r>
        <w:rPr>
          <w:rFonts w:hint="eastAsia" w:ascii="宋体" w:hAnsi="宋体" w:eastAsia="宋体" w:cs="宋体"/>
          <w:b/>
          <w:bCs w:val="0"/>
          <w:color w:val="auto"/>
          <w:kern w:val="0"/>
          <w:sz w:val="21"/>
          <w:szCs w:val="21"/>
          <w:highlight w:val="none"/>
          <w:lang w:eastAsia="zh-CN"/>
        </w:rPr>
        <w:t>询比文件</w:t>
      </w:r>
      <w:r>
        <w:rPr>
          <w:rFonts w:hint="eastAsia" w:ascii="宋体" w:hAnsi="宋体" w:eastAsia="宋体" w:cs="宋体"/>
          <w:b/>
          <w:bCs w:val="0"/>
          <w:color w:val="auto"/>
          <w:kern w:val="0"/>
          <w:sz w:val="21"/>
          <w:szCs w:val="21"/>
          <w:highlight w:val="none"/>
        </w:rPr>
        <w:t>中提供的（格式参见第五篇），供应商如以履约保函（或履约保证保险或担保公司履约担保书）形式提供履约担保的，响应前应当自行向其拟申请开具保函的银行（或保险或担保）机构落实履约保函（或履约保证保险或担保公司履约担保书）格式情况，以确保能按本</w:t>
      </w:r>
      <w:r>
        <w:rPr>
          <w:rFonts w:hint="eastAsia" w:ascii="宋体" w:hAnsi="宋体" w:eastAsia="宋体" w:cs="宋体"/>
          <w:b/>
          <w:bCs w:val="0"/>
          <w:color w:val="auto"/>
          <w:kern w:val="0"/>
          <w:sz w:val="21"/>
          <w:szCs w:val="21"/>
          <w:highlight w:val="none"/>
          <w:lang w:eastAsia="zh-CN"/>
        </w:rPr>
        <w:t>询比文件</w:t>
      </w:r>
      <w:r>
        <w:rPr>
          <w:rFonts w:hint="eastAsia" w:ascii="宋体" w:hAnsi="宋体" w:eastAsia="宋体" w:cs="宋体"/>
          <w:b/>
          <w:bCs w:val="0"/>
          <w:color w:val="auto"/>
          <w:kern w:val="0"/>
          <w:sz w:val="21"/>
          <w:szCs w:val="21"/>
          <w:highlight w:val="none"/>
        </w:rPr>
        <w:t>规定的格式提供保函。如使用其他格式的履约保函（或履约保证保险或担保公司履约担保书），须事先经采购人书面同意。</w:t>
      </w:r>
    </w:p>
    <w:p w14:paraId="0711AA59">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3）提供担保书的担保机构经济性质须为国有企业，或政府性融资担保机构（成交人须提供能证明其属于政府性融资担保机构的证明文件），并经采购人同意，执行本款时所发生的费用由成交人承担。如采购人合同条款接受担保公司预付款担保函的，对担保机构要求参照本条执行。</w:t>
      </w:r>
    </w:p>
    <w:p w14:paraId="547EFBAB">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sz w:val="21"/>
          <w:szCs w:val="21"/>
          <w:highlight w:val="none"/>
        </w:rPr>
      </w:pPr>
      <w:r>
        <w:rPr>
          <w:rFonts w:hint="eastAsia" w:ascii="宋体" w:hAnsi="宋体" w:eastAsia="宋体" w:cs="宋体"/>
          <w:b/>
          <w:bCs w:val="0"/>
          <w:color w:val="auto"/>
          <w:kern w:val="0"/>
          <w:sz w:val="21"/>
          <w:szCs w:val="21"/>
          <w:highlight w:val="none"/>
        </w:rPr>
        <w:t>（4）如果成交人提交的履约担保的有效期届满时间早于</w:t>
      </w:r>
      <w:r>
        <w:rPr>
          <w:rFonts w:hint="eastAsia" w:ascii="宋体" w:hAnsi="宋体" w:eastAsia="宋体" w:cs="宋体"/>
          <w:b/>
          <w:bCs w:val="0"/>
          <w:color w:val="auto"/>
          <w:kern w:val="0"/>
          <w:sz w:val="21"/>
          <w:szCs w:val="21"/>
          <w:highlight w:val="none"/>
          <w:lang w:eastAsia="zh-CN"/>
        </w:rPr>
        <w:t>询比文件</w:t>
      </w:r>
      <w:r>
        <w:rPr>
          <w:rFonts w:hint="eastAsia" w:ascii="宋体" w:hAnsi="宋体" w:eastAsia="宋体" w:cs="宋体"/>
          <w:b/>
          <w:bCs w:val="0"/>
          <w:color w:val="auto"/>
          <w:kern w:val="0"/>
          <w:sz w:val="21"/>
          <w:szCs w:val="21"/>
          <w:highlight w:val="none"/>
        </w:rPr>
        <w:t>、合同文件要求的，成交人应在原提交的履约担保有效期届满前15日内，</w:t>
      </w:r>
      <w:r>
        <w:rPr>
          <w:rFonts w:hint="eastAsia" w:ascii="宋体" w:hAnsi="宋体" w:eastAsia="宋体" w:cs="宋体"/>
          <w:b/>
          <w:bCs w:val="0"/>
          <w:color w:val="auto"/>
          <w:sz w:val="21"/>
          <w:szCs w:val="21"/>
          <w:highlight w:val="none"/>
        </w:rPr>
        <w:t>无条件办理办妥符合采购人要求的延期手续或重新提供不可撤销银行履约保函（或履约保证保险或担保公司履约担保书）</w:t>
      </w:r>
      <w:r>
        <w:rPr>
          <w:rFonts w:hint="eastAsia" w:ascii="宋体" w:hAnsi="宋体" w:eastAsia="宋体" w:cs="宋体"/>
          <w:b/>
          <w:bCs w:val="0"/>
          <w:color w:val="auto"/>
          <w:kern w:val="0"/>
          <w:sz w:val="21"/>
          <w:szCs w:val="21"/>
          <w:highlight w:val="none"/>
        </w:rPr>
        <w:t>，费用由成交人承担，否则视为成交人违约，采购人有权在不可撤销银行履约保函（或履约保证保险或担保公司履约担保书）到期前向出具履约担保的机构提取履约担保。在不可撤销银行履约保函（或履约保证保险或担保公司履约担保书）到期后成交人未按采购人要求重新提供的，</w:t>
      </w:r>
      <w:r>
        <w:rPr>
          <w:rFonts w:hint="eastAsia" w:ascii="宋体" w:hAnsi="宋体" w:eastAsia="宋体" w:cs="宋体"/>
          <w:b/>
          <w:bCs w:val="0"/>
          <w:color w:val="auto"/>
          <w:sz w:val="21"/>
          <w:szCs w:val="21"/>
          <w:highlight w:val="none"/>
        </w:rPr>
        <w:t>成交人应向采购人支付【</w:t>
      </w:r>
      <w:r>
        <w:rPr>
          <w:rFonts w:hint="eastAsia" w:ascii="宋体" w:hAnsi="宋体" w:eastAsia="宋体" w:cs="宋体"/>
          <w:b/>
          <w:bCs w:val="0"/>
          <w:color w:val="auto"/>
          <w:sz w:val="21"/>
          <w:szCs w:val="21"/>
          <w:highlight w:val="none"/>
          <w:lang w:val="en-US" w:eastAsia="zh-CN"/>
        </w:rPr>
        <w:t>10</w:t>
      </w:r>
      <w:r>
        <w:rPr>
          <w:rFonts w:hint="eastAsia" w:ascii="宋体" w:hAnsi="宋体" w:eastAsia="宋体" w:cs="宋体"/>
          <w:b/>
          <w:bCs w:val="0"/>
          <w:color w:val="auto"/>
          <w:sz w:val="21"/>
          <w:szCs w:val="21"/>
          <w:highlight w:val="none"/>
        </w:rPr>
        <w:t>,000.00】元违约金</w:t>
      </w:r>
      <w:r>
        <w:rPr>
          <w:rFonts w:hint="eastAsia" w:ascii="宋体" w:hAnsi="宋体" w:eastAsia="宋体" w:cs="宋体"/>
          <w:b/>
          <w:bCs w:val="0"/>
          <w:color w:val="auto"/>
          <w:kern w:val="0"/>
          <w:sz w:val="21"/>
          <w:szCs w:val="21"/>
          <w:highlight w:val="none"/>
        </w:rPr>
        <w:t>，违约金可直接从未付</w:t>
      </w:r>
      <w:r>
        <w:rPr>
          <w:rFonts w:hint="eastAsia" w:ascii="宋体" w:hAnsi="宋体" w:eastAsia="宋体" w:cs="宋体"/>
          <w:b/>
          <w:bCs w:val="0"/>
          <w:color w:val="auto"/>
          <w:kern w:val="0"/>
          <w:sz w:val="21"/>
          <w:szCs w:val="21"/>
          <w:highlight w:val="none"/>
          <w:lang w:val="en-US" w:eastAsia="zh-CN"/>
        </w:rPr>
        <w:t>款项</w:t>
      </w:r>
      <w:r>
        <w:rPr>
          <w:rFonts w:hint="eastAsia" w:ascii="宋体" w:hAnsi="宋体" w:eastAsia="宋体" w:cs="宋体"/>
          <w:b/>
          <w:bCs w:val="0"/>
          <w:color w:val="auto"/>
          <w:kern w:val="0"/>
          <w:sz w:val="21"/>
          <w:szCs w:val="21"/>
          <w:highlight w:val="none"/>
        </w:rPr>
        <w:t>中扣除。在成交人重新提供前，采购人无需向成交人支付合同款项</w:t>
      </w:r>
      <w:r>
        <w:rPr>
          <w:rFonts w:hint="eastAsia" w:ascii="宋体" w:hAnsi="宋体" w:eastAsia="宋体" w:cs="宋体"/>
          <w:b/>
          <w:bCs w:val="0"/>
          <w:color w:val="auto"/>
          <w:sz w:val="21"/>
          <w:szCs w:val="21"/>
          <w:highlight w:val="none"/>
        </w:rPr>
        <w:t>，且不视为采购人违约，成交人不得以此为由拒绝或迟延履行合同义务。</w:t>
      </w:r>
    </w:p>
    <w:p w14:paraId="2C266CDD">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（5）在合同履行过程中，不论何种原因导致履约担保金数额不符合</w:t>
      </w:r>
      <w:r>
        <w:rPr>
          <w:rFonts w:hint="eastAsia" w:ascii="宋体" w:hAnsi="宋体" w:eastAsia="宋体" w:cs="宋体"/>
          <w:b/>
          <w:bCs w:val="0"/>
          <w:color w:val="auto"/>
          <w:kern w:val="0"/>
          <w:sz w:val="21"/>
          <w:szCs w:val="21"/>
          <w:highlight w:val="none"/>
          <w:lang w:eastAsia="zh-CN"/>
        </w:rPr>
        <w:t>询比文件</w:t>
      </w:r>
      <w:r>
        <w:rPr>
          <w:rFonts w:hint="eastAsia" w:ascii="宋体" w:hAnsi="宋体" w:eastAsia="宋体" w:cs="宋体"/>
          <w:b/>
          <w:bCs w:val="0"/>
          <w:color w:val="auto"/>
          <w:kern w:val="0"/>
          <w:sz w:val="21"/>
          <w:szCs w:val="21"/>
          <w:highlight w:val="none"/>
        </w:rPr>
        <w:t>及合同约定要求的，成交人应当在5日内予以补足。逾期不予补足的，采购人有权按需补足的金额要求成交人承担违约金，并要求成交人限期补足，</w:t>
      </w:r>
      <w:r>
        <w:rPr>
          <w:rFonts w:hint="eastAsia" w:ascii="宋体" w:hAnsi="宋体" w:eastAsia="宋体" w:cs="宋体"/>
          <w:b/>
          <w:bCs w:val="0"/>
          <w:color w:val="auto"/>
          <w:sz w:val="21"/>
          <w:szCs w:val="21"/>
          <w:highlight w:val="none"/>
        </w:rPr>
        <w:t>在成交人补足前，采购人无需向成交人支付合同款项，且不视为采购人违约，成交人不得以此为由拒绝或迟延履行合同义务。</w:t>
      </w:r>
    </w:p>
    <w:p w14:paraId="7D5B2977">
      <w:pPr>
        <w:tabs>
          <w:tab w:val="left" w:pos="360"/>
          <w:tab w:val="left" w:pos="4725"/>
        </w:tabs>
        <w:autoSpaceDE w:val="0"/>
        <w:autoSpaceDN w:val="0"/>
        <w:adjustRightInd w:val="0"/>
        <w:spacing w:beforeLines="0" w:afterLines="0" w:line="360" w:lineRule="auto"/>
        <w:ind w:left="359" w:leftChars="-100" w:hanging="569" w:hangingChars="27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（6）不可撤销银行履约保函（或履约保证保险或担保公司履约担保书）应从合同签订之日起（或签订合同前）</w:t>
      </w:r>
      <w:r>
        <w:rPr>
          <w:rFonts w:hint="eastAsia" w:ascii="宋体" w:hAnsi="宋体" w:eastAsia="宋体" w:cs="宋体"/>
          <w:b/>
          <w:bCs w:val="0"/>
          <w:color w:val="auto"/>
          <w:kern w:val="0"/>
          <w:sz w:val="21"/>
          <w:szCs w:val="21"/>
          <w:highlight w:val="none"/>
          <w:lang w:val="en-US" w:eastAsia="zh-CN"/>
        </w:rPr>
        <w:t>至</w:t>
      </w:r>
      <w:r>
        <w:rPr>
          <w:rFonts w:hint="eastAsia" w:ascii="宋体" w:hAnsi="宋体" w:eastAsia="宋体" w:cs="宋体"/>
          <w:b/>
          <w:bCs w:val="0"/>
          <w:color w:val="auto"/>
          <w:kern w:val="0"/>
          <w:sz w:val="21"/>
          <w:szCs w:val="21"/>
          <w:highlight w:val="none"/>
        </w:rPr>
        <w:t>合同服务期限终止（终止时间以</w:t>
      </w:r>
      <w:r>
        <w:rPr>
          <w:rFonts w:hint="eastAsia" w:ascii="宋体" w:hAnsi="宋体" w:eastAsia="宋体" w:cs="宋体"/>
          <w:b/>
          <w:bCs w:val="0"/>
          <w:color w:val="auto"/>
          <w:kern w:val="0"/>
          <w:sz w:val="21"/>
          <w:szCs w:val="21"/>
          <w:highlight w:val="none"/>
          <w:lang w:val="en-US" w:eastAsia="zh-CN"/>
        </w:rPr>
        <w:t>长期废盐处置服务单位具备服务条件之日或结算处置量达到</w:t>
      </w:r>
      <w:r>
        <w:rPr>
          <w:rFonts w:hint="eastAsia" w:ascii="宋体" w:hAnsi="宋体" w:eastAsia="宋体" w:cs="宋体"/>
          <w:b/>
          <w:bCs w:val="0"/>
          <w:color w:val="auto"/>
          <w:kern w:val="0"/>
          <w:sz w:val="21"/>
          <w:szCs w:val="21"/>
          <w:highlight w:val="none"/>
        </w:rPr>
        <w:t>804</w:t>
      </w:r>
      <w:r>
        <w:rPr>
          <w:rFonts w:hint="eastAsia" w:ascii="宋体" w:hAnsi="宋体" w:eastAsia="宋体" w:cs="宋体"/>
          <w:b/>
          <w:bCs w:val="0"/>
          <w:color w:val="auto"/>
          <w:kern w:val="0"/>
          <w:sz w:val="21"/>
          <w:szCs w:val="21"/>
          <w:highlight w:val="none"/>
          <w:lang w:val="en-US" w:eastAsia="zh-CN"/>
        </w:rPr>
        <w:t>吨</w:t>
      </w:r>
      <w:r>
        <w:rPr>
          <w:rFonts w:hint="eastAsia" w:ascii="宋体" w:hAnsi="宋体" w:eastAsia="宋体" w:cs="宋体"/>
          <w:b/>
          <w:bCs w:val="0"/>
          <w:color w:val="auto"/>
          <w:kern w:val="0"/>
          <w:sz w:val="21"/>
          <w:szCs w:val="21"/>
          <w:highlight w:val="none"/>
        </w:rPr>
        <w:t>二者先到者为准）</w:t>
      </w:r>
      <w:r>
        <w:rPr>
          <w:rFonts w:hint="eastAsia" w:ascii="宋体" w:hAnsi="宋体" w:eastAsia="宋体" w:cs="宋体"/>
          <w:b/>
          <w:bCs w:val="0"/>
          <w:color w:val="auto"/>
          <w:kern w:val="0"/>
          <w:sz w:val="21"/>
          <w:szCs w:val="21"/>
          <w:highlight w:val="none"/>
          <w:lang w:eastAsia="zh-CN"/>
        </w:rPr>
        <w:t>，</w:t>
      </w:r>
      <w:r>
        <w:rPr>
          <w:rFonts w:hint="eastAsia" w:ascii="宋体" w:hAnsi="宋体" w:eastAsia="宋体" w:cs="宋体"/>
          <w:b/>
          <w:bCs w:val="0"/>
          <w:color w:val="auto"/>
          <w:kern w:val="0"/>
          <w:sz w:val="21"/>
          <w:szCs w:val="21"/>
          <w:highlight w:val="none"/>
          <w:lang w:val="en-US" w:eastAsia="zh-CN"/>
        </w:rPr>
        <w:t>且</w:t>
      </w:r>
      <w:r>
        <w:rPr>
          <w:rFonts w:hint="eastAsia" w:ascii="宋体" w:hAnsi="宋体" w:eastAsia="宋体" w:cs="宋体"/>
          <w:b/>
          <w:bCs w:val="0"/>
          <w:color w:val="auto"/>
          <w:kern w:val="0"/>
          <w:sz w:val="21"/>
          <w:szCs w:val="21"/>
          <w:highlight w:val="none"/>
        </w:rPr>
        <w:t>完成合同全部服务义务后二十八（28）日内保持有效。</w:t>
      </w:r>
    </w:p>
    <w:p w14:paraId="79161E0D">
      <w:pPr>
        <w:tabs>
          <w:tab w:val="left" w:pos="360"/>
          <w:tab w:val="left" w:pos="4725"/>
        </w:tabs>
        <w:autoSpaceDE w:val="0"/>
        <w:autoSpaceDN w:val="0"/>
        <w:adjustRightInd w:val="0"/>
        <w:spacing w:beforeLines="0" w:afterLines="0" w:line="360" w:lineRule="auto"/>
        <w:ind w:left="317" w:leftChars="-100" w:hanging="527" w:hangingChars="250"/>
        <w:jc w:val="left"/>
        <w:rPr>
          <w:rFonts w:hint="eastAsia" w:ascii="宋体" w:hAnsi="宋体" w:eastAsia="宋体" w:cs="宋体"/>
          <w:b/>
          <w:bCs w:val="0"/>
          <w:color w:val="auto"/>
          <w:kern w:val="0"/>
          <w:sz w:val="21"/>
          <w:szCs w:val="21"/>
          <w:highlight w:val="none"/>
        </w:rPr>
      </w:pPr>
      <w:bookmarkStart w:id="332" w:name="_Toc26730"/>
      <w:r>
        <w:rPr>
          <w:rFonts w:hint="eastAsia" w:ascii="宋体" w:hAnsi="宋体" w:eastAsia="宋体" w:cs="宋体"/>
          <w:b/>
          <w:bCs w:val="0"/>
          <w:color w:val="auto"/>
          <w:kern w:val="0"/>
          <w:sz w:val="21"/>
          <w:szCs w:val="21"/>
          <w:highlight w:val="none"/>
        </w:rPr>
        <w:t>3</w:t>
      </w:r>
      <w:r>
        <w:rPr>
          <w:rFonts w:hint="eastAsia" w:ascii="宋体" w:hAnsi="宋体" w:eastAsia="宋体" w:cs="宋体"/>
          <w:b/>
          <w:bCs w:val="0"/>
          <w:color w:val="auto"/>
          <w:kern w:val="0"/>
          <w:sz w:val="21"/>
          <w:szCs w:val="21"/>
          <w:highlight w:val="none"/>
          <w:lang w:val="en-US" w:eastAsia="zh-CN"/>
        </w:rPr>
        <w:t>5</w:t>
      </w:r>
      <w:r>
        <w:rPr>
          <w:rFonts w:hint="eastAsia" w:ascii="宋体" w:hAnsi="宋体" w:eastAsia="宋体" w:cs="宋体"/>
          <w:b/>
          <w:bCs w:val="0"/>
          <w:color w:val="auto"/>
          <w:kern w:val="0"/>
          <w:sz w:val="21"/>
          <w:szCs w:val="21"/>
          <w:highlight w:val="none"/>
        </w:rPr>
        <w:t>.4  履约保证金应用本合同货币。</w:t>
      </w:r>
      <w:bookmarkEnd w:id="332"/>
    </w:p>
    <w:p w14:paraId="42D1B3B7">
      <w:pPr>
        <w:autoSpaceDE w:val="0"/>
        <w:autoSpaceDN w:val="0"/>
        <w:adjustRightInd w:val="0"/>
        <w:spacing w:beforeLines="0" w:afterLines="0" w:line="360" w:lineRule="auto"/>
        <w:ind w:left="422" w:leftChars="-100" w:hanging="632" w:hangingChars="30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3</w:t>
      </w:r>
      <w:r>
        <w:rPr>
          <w:rFonts w:hint="eastAsia" w:ascii="宋体" w:hAnsi="宋体" w:eastAsia="宋体" w:cs="宋体"/>
          <w:b/>
          <w:bCs w:val="0"/>
          <w:color w:val="auto"/>
          <w:kern w:val="0"/>
          <w:sz w:val="21"/>
          <w:szCs w:val="21"/>
          <w:highlight w:val="none"/>
          <w:lang w:val="en-US" w:eastAsia="zh-CN"/>
        </w:rPr>
        <w:t>5</w:t>
      </w:r>
      <w:r>
        <w:rPr>
          <w:rFonts w:hint="eastAsia" w:ascii="宋体" w:hAnsi="宋体" w:eastAsia="宋体" w:cs="宋体"/>
          <w:b/>
          <w:bCs w:val="0"/>
          <w:color w:val="auto"/>
          <w:kern w:val="0"/>
          <w:sz w:val="21"/>
          <w:szCs w:val="21"/>
          <w:highlight w:val="none"/>
        </w:rPr>
        <w:t>.5  成交人也可以按</w:t>
      </w:r>
      <w:r>
        <w:rPr>
          <w:rFonts w:hint="eastAsia" w:ascii="宋体" w:hAnsi="宋体" w:eastAsia="宋体" w:cs="宋体"/>
          <w:b/>
          <w:bCs w:val="0"/>
          <w:color w:val="auto"/>
          <w:kern w:val="0"/>
          <w:sz w:val="21"/>
          <w:szCs w:val="21"/>
          <w:highlight w:val="none"/>
          <w:lang w:eastAsia="zh-CN"/>
        </w:rPr>
        <w:t>询比文件</w:t>
      </w:r>
      <w:r>
        <w:rPr>
          <w:rFonts w:hint="eastAsia" w:ascii="宋体" w:hAnsi="宋体" w:eastAsia="宋体" w:cs="宋体"/>
          <w:b/>
          <w:bCs w:val="0"/>
          <w:color w:val="auto"/>
          <w:kern w:val="0"/>
          <w:sz w:val="21"/>
          <w:szCs w:val="21"/>
          <w:highlight w:val="none"/>
        </w:rPr>
        <w:t>约定的额度和时间，向采购人交纳同等数额的履约保证金作为履约担保。如成交人提交的履约保证金是其分支机构以转账形式转入的，要提交成交人的法人书面授权，不接受由私人账户和其它单位转入的保证金，也不接受现金形式提交。履约保证金应以存入采购人指定的以下银行账户为准。</w:t>
      </w:r>
    </w:p>
    <w:p w14:paraId="440B11AF">
      <w:pPr>
        <w:tabs>
          <w:tab w:val="left" w:pos="360"/>
          <w:tab w:val="left" w:pos="4725"/>
        </w:tabs>
        <w:autoSpaceDE w:val="0"/>
        <w:autoSpaceDN w:val="0"/>
        <w:adjustRightInd w:val="0"/>
        <w:spacing w:beforeLines="0" w:afterLines="0" w:line="360" w:lineRule="auto"/>
        <w:ind w:firstLine="632" w:firstLineChars="300"/>
        <w:jc w:val="left"/>
        <w:rPr>
          <w:rFonts w:hint="eastAsia" w:ascii="宋体" w:hAnsi="宋体" w:eastAsia="宋体" w:cs="宋体"/>
          <w:b/>
          <w:bCs w:val="0"/>
          <w:color w:val="auto"/>
          <w:kern w:val="0"/>
          <w:sz w:val="21"/>
          <w:szCs w:val="21"/>
          <w:highlight w:val="none"/>
        </w:rPr>
      </w:pPr>
      <w:bookmarkStart w:id="333" w:name="_Toc26661"/>
      <w:r>
        <w:rPr>
          <w:rFonts w:hint="eastAsia" w:ascii="宋体" w:hAnsi="宋体" w:eastAsia="宋体" w:cs="宋体"/>
          <w:b/>
          <w:bCs w:val="0"/>
          <w:color w:val="auto"/>
          <w:kern w:val="0"/>
          <w:sz w:val="21"/>
          <w:szCs w:val="21"/>
          <w:highlight w:val="none"/>
        </w:rPr>
        <w:t>履约保证金账户：</w:t>
      </w:r>
      <w:bookmarkEnd w:id="333"/>
    </w:p>
    <w:p w14:paraId="6B7A0D28">
      <w:pPr>
        <w:autoSpaceDE w:val="0"/>
        <w:autoSpaceDN w:val="0"/>
        <w:adjustRightInd w:val="0"/>
        <w:snapToGrid w:val="0"/>
        <w:spacing w:beforeLines="0" w:afterLines="0" w:line="360" w:lineRule="auto"/>
        <w:ind w:firstLine="632" w:firstLineChars="30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开户名称：东莞市尚源环能科技有限公司</w:t>
      </w:r>
    </w:p>
    <w:p w14:paraId="1AC7FD23">
      <w:pPr>
        <w:autoSpaceDE w:val="0"/>
        <w:autoSpaceDN w:val="0"/>
        <w:adjustRightInd w:val="0"/>
        <w:snapToGrid w:val="0"/>
        <w:spacing w:beforeLines="0" w:afterLines="0" w:line="360" w:lineRule="auto"/>
        <w:ind w:firstLine="632" w:firstLineChars="30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银行账号：2010021309200624846</w:t>
      </w:r>
    </w:p>
    <w:p w14:paraId="53875681">
      <w:pPr>
        <w:autoSpaceDE w:val="0"/>
        <w:autoSpaceDN w:val="0"/>
        <w:adjustRightInd w:val="0"/>
        <w:snapToGrid w:val="0"/>
        <w:spacing w:beforeLines="0" w:afterLines="0" w:line="360" w:lineRule="auto"/>
        <w:ind w:firstLine="632" w:firstLineChars="30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开户银行：中国工商银行股份有限公司东莞分行</w:t>
      </w:r>
    </w:p>
    <w:p w14:paraId="1DB9E844">
      <w:pPr>
        <w:autoSpaceDE w:val="0"/>
        <w:autoSpaceDN w:val="0"/>
        <w:adjustRightInd w:val="0"/>
        <w:spacing w:beforeLines="0" w:afterLines="0" w:line="360" w:lineRule="auto"/>
        <w:ind w:left="422" w:leftChars="-100" w:hanging="632" w:hangingChars="300"/>
        <w:jc w:val="left"/>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3</w:t>
      </w:r>
      <w:r>
        <w:rPr>
          <w:rFonts w:hint="eastAsia" w:ascii="宋体" w:hAnsi="宋体" w:eastAsia="宋体" w:cs="宋体"/>
          <w:b/>
          <w:bCs w:val="0"/>
          <w:color w:val="auto"/>
          <w:kern w:val="0"/>
          <w:sz w:val="21"/>
          <w:szCs w:val="21"/>
          <w:highlight w:val="none"/>
          <w:lang w:val="en-US" w:eastAsia="zh-CN"/>
        </w:rPr>
        <w:t>5</w:t>
      </w:r>
      <w:r>
        <w:rPr>
          <w:rFonts w:hint="eastAsia" w:ascii="宋体" w:hAnsi="宋体" w:eastAsia="宋体" w:cs="宋体"/>
          <w:b/>
          <w:bCs w:val="0"/>
          <w:color w:val="auto"/>
          <w:kern w:val="0"/>
          <w:sz w:val="21"/>
          <w:szCs w:val="21"/>
          <w:highlight w:val="none"/>
        </w:rPr>
        <w:t>.6  成交人</w:t>
      </w:r>
      <w:r>
        <w:rPr>
          <w:rFonts w:hint="eastAsia" w:ascii="宋体" w:hAnsi="宋体" w:eastAsia="宋体" w:cs="宋体"/>
          <w:b/>
          <w:bCs w:val="0"/>
          <w:color w:val="auto"/>
          <w:kern w:val="0"/>
          <w:sz w:val="21"/>
          <w:szCs w:val="24"/>
          <w:highlight w:val="none"/>
        </w:rPr>
        <w:t>提交了履约担保后，当履约保证金转达采购人履约保证金账户后，</w:t>
      </w:r>
      <w:r>
        <w:rPr>
          <w:rFonts w:hint="eastAsia" w:ascii="宋体" w:hAnsi="宋体" w:eastAsia="宋体" w:cs="宋体"/>
          <w:b/>
          <w:bCs w:val="0"/>
          <w:color w:val="auto"/>
          <w:sz w:val="21"/>
          <w:szCs w:val="21"/>
          <w:highlight w:val="none"/>
          <w:lang w:val="zh-CN"/>
        </w:rPr>
        <w:t>成交人</w:t>
      </w:r>
      <w:r>
        <w:rPr>
          <w:rFonts w:hint="eastAsia" w:ascii="宋体" w:hAnsi="宋体" w:eastAsia="宋体" w:cs="宋体"/>
          <w:b/>
          <w:bCs w:val="0"/>
          <w:color w:val="auto"/>
          <w:kern w:val="0"/>
          <w:sz w:val="21"/>
          <w:szCs w:val="24"/>
          <w:highlight w:val="none"/>
        </w:rPr>
        <w:t>将履约保证金的汇款凭证用A4纸复印件（注明采购编号）一式二份并加盖</w:t>
      </w:r>
      <w:r>
        <w:rPr>
          <w:rFonts w:hint="eastAsia" w:ascii="宋体" w:hAnsi="宋体" w:eastAsia="宋体" w:cs="宋体"/>
          <w:b/>
          <w:bCs w:val="0"/>
          <w:color w:val="auto"/>
          <w:sz w:val="21"/>
          <w:szCs w:val="21"/>
          <w:highlight w:val="none"/>
          <w:lang w:val="zh-CN"/>
        </w:rPr>
        <w:t>成交人</w:t>
      </w:r>
      <w:r>
        <w:rPr>
          <w:rFonts w:hint="eastAsia" w:ascii="宋体" w:hAnsi="宋体" w:eastAsia="宋体" w:cs="宋体"/>
          <w:b/>
          <w:bCs w:val="0"/>
          <w:color w:val="auto"/>
          <w:kern w:val="0"/>
          <w:sz w:val="21"/>
          <w:szCs w:val="24"/>
          <w:highlight w:val="none"/>
        </w:rPr>
        <w:t>的公章送采购代理机构，[或当成交人采取不可撤销银行履约保函（</w:t>
      </w:r>
      <w:r>
        <w:rPr>
          <w:rFonts w:hint="eastAsia" w:ascii="宋体" w:hAnsi="宋体" w:eastAsia="宋体" w:cs="宋体"/>
          <w:b/>
          <w:bCs w:val="0"/>
          <w:color w:val="auto"/>
          <w:kern w:val="0"/>
          <w:sz w:val="21"/>
          <w:szCs w:val="21"/>
          <w:highlight w:val="none"/>
        </w:rPr>
        <w:t>或履约保证保险</w:t>
      </w:r>
      <w:r>
        <w:rPr>
          <w:rFonts w:hint="eastAsia" w:ascii="宋体" w:hAnsi="宋体" w:eastAsia="宋体" w:cs="宋体"/>
          <w:b/>
          <w:bCs w:val="0"/>
          <w:color w:val="auto"/>
          <w:kern w:val="0"/>
          <w:sz w:val="21"/>
          <w:szCs w:val="24"/>
          <w:highlight w:val="none"/>
        </w:rPr>
        <w:t>或担保公司履约担保书）的方式缴纳履约担保时，成交人将不可撤销银行履约保函（</w:t>
      </w:r>
      <w:r>
        <w:rPr>
          <w:rFonts w:hint="eastAsia" w:ascii="宋体" w:hAnsi="宋体" w:eastAsia="宋体" w:cs="宋体"/>
          <w:b/>
          <w:bCs w:val="0"/>
          <w:color w:val="auto"/>
          <w:kern w:val="0"/>
          <w:sz w:val="21"/>
          <w:szCs w:val="21"/>
          <w:highlight w:val="none"/>
        </w:rPr>
        <w:t>或履约保证保险</w:t>
      </w:r>
      <w:r>
        <w:rPr>
          <w:rFonts w:hint="eastAsia" w:ascii="宋体" w:hAnsi="宋体" w:eastAsia="宋体" w:cs="宋体"/>
          <w:b/>
          <w:bCs w:val="0"/>
          <w:color w:val="auto"/>
          <w:kern w:val="0"/>
          <w:sz w:val="21"/>
          <w:szCs w:val="24"/>
          <w:highlight w:val="none"/>
        </w:rPr>
        <w:t>或担保公司履约担保书）原件</w:t>
      </w:r>
      <w:r>
        <w:rPr>
          <w:rFonts w:hint="eastAsia" w:ascii="宋体" w:hAnsi="宋体" w:eastAsia="宋体" w:cs="宋体"/>
          <w:b/>
          <w:bCs w:val="0"/>
          <w:color w:val="auto"/>
          <w:sz w:val="21"/>
          <w:szCs w:val="21"/>
          <w:highlight w:val="none"/>
          <w:lang w:val="zh-CN"/>
        </w:rPr>
        <w:t>交给采购人，由采购人在</w:t>
      </w:r>
      <w:r>
        <w:rPr>
          <w:rFonts w:hint="eastAsia" w:ascii="宋体" w:hAnsi="宋体" w:eastAsia="宋体" w:cs="宋体"/>
          <w:b/>
          <w:bCs w:val="0"/>
          <w:color w:val="auto"/>
          <w:kern w:val="0"/>
          <w:sz w:val="21"/>
          <w:szCs w:val="24"/>
          <w:highlight w:val="none"/>
        </w:rPr>
        <w:t>履约保函一式两份复印件上</w:t>
      </w:r>
      <w:r>
        <w:rPr>
          <w:rFonts w:hint="eastAsia" w:ascii="宋体" w:hAnsi="宋体" w:eastAsia="宋体" w:cs="宋体"/>
          <w:b/>
          <w:bCs w:val="0"/>
          <w:color w:val="auto"/>
          <w:sz w:val="21"/>
          <w:szCs w:val="21"/>
          <w:highlight w:val="none"/>
          <w:lang w:val="zh-CN"/>
        </w:rPr>
        <w:t>注明“原件已收”及签收人、日期后，成交人在每份</w:t>
      </w:r>
      <w:r>
        <w:rPr>
          <w:rFonts w:hint="eastAsia" w:ascii="宋体" w:hAnsi="宋体" w:eastAsia="宋体" w:cs="宋体"/>
          <w:b/>
          <w:bCs w:val="0"/>
          <w:color w:val="auto"/>
          <w:kern w:val="0"/>
          <w:sz w:val="21"/>
          <w:szCs w:val="24"/>
          <w:highlight w:val="none"/>
        </w:rPr>
        <w:t>复印</w:t>
      </w:r>
      <w:r>
        <w:rPr>
          <w:rFonts w:hint="eastAsia" w:ascii="宋体" w:hAnsi="宋体" w:eastAsia="宋体" w:cs="宋体"/>
          <w:b/>
          <w:bCs w:val="0"/>
          <w:color w:val="auto"/>
          <w:sz w:val="21"/>
          <w:szCs w:val="21"/>
          <w:highlight w:val="none"/>
          <w:lang w:val="zh-CN"/>
        </w:rPr>
        <w:t>件上</w:t>
      </w:r>
      <w:r>
        <w:rPr>
          <w:rFonts w:hint="eastAsia" w:ascii="宋体" w:hAnsi="宋体" w:eastAsia="宋体" w:cs="宋体"/>
          <w:b/>
          <w:bCs w:val="0"/>
          <w:color w:val="auto"/>
          <w:kern w:val="0"/>
          <w:sz w:val="21"/>
          <w:szCs w:val="24"/>
          <w:highlight w:val="none"/>
        </w:rPr>
        <w:t>加盖</w:t>
      </w:r>
      <w:r>
        <w:rPr>
          <w:rFonts w:hint="eastAsia" w:ascii="宋体" w:hAnsi="宋体" w:eastAsia="宋体" w:cs="宋体"/>
          <w:b/>
          <w:bCs w:val="0"/>
          <w:color w:val="auto"/>
          <w:sz w:val="21"/>
          <w:szCs w:val="21"/>
          <w:highlight w:val="none"/>
          <w:lang w:val="zh-CN"/>
        </w:rPr>
        <w:t>成交人</w:t>
      </w:r>
      <w:r>
        <w:rPr>
          <w:rFonts w:hint="eastAsia" w:ascii="宋体" w:hAnsi="宋体" w:eastAsia="宋体" w:cs="宋体"/>
          <w:b/>
          <w:bCs w:val="0"/>
          <w:color w:val="auto"/>
          <w:kern w:val="0"/>
          <w:sz w:val="21"/>
          <w:szCs w:val="24"/>
          <w:highlight w:val="none"/>
        </w:rPr>
        <w:t>的公章，送采购代理机构]</w:t>
      </w:r>
      <w:r>
        <w:rPr>
          <w:rFonts w:hint="eastAsia" w:ascii="宋体" w:hAnsi="宋体" w:eastAsia="宋体" w:cs="宋体"/>
          <w:b/>
          <w:bCs w:val="0"/>
          <w:color w:val="auto"/>
          <w:kern w:val="0"/>
          <w:sz w:val="21"/>
          <w:szCs w:val="21"/>
          <w:highlight w:val="none"/>
        </w:rPr>
        <w:t>。</w:t>
      </w:r>
    </w:p>
    <w:p w14:paraId="3CDD33CF">
      <w:pPr>
        <w:autoSpaceDE w:val="0"/>
        <w:autoSpaceDN w:val="0"/>
        <w:adjustRightInd w:val="0"/>
        <w:snapToGrid/>
        <w:spacing w:beforeLines="0" w:afterLines="0" w:line="360" w:lineRule="auto"/>
        <w:ind w:left="422" w:leftChars="-100" w:hanging="632" w:hangingChars="300"/>
        <w:jc w:val="left"/>
        <w:rPr>
          <w:rFonts w:hint="eastAsia" w:ascii="宋体" w:hAnsi="宋体" w:eastAsia="宋体" w:cs="宋体"/>
          <w:color w:val="auto"/>
          <w:szCs w:val="21"/>
          <w:highlight w:val="none"/>
        </w:rPr>
      </w:pPr>
      <w:r>
        <w:rPr>
          <w:rFonts w:hint="eastAsia" w:ascii="宋体" w:hAnsi="宋体" w:eastAsia="宋体" w:cs="宋体"/>
          <w:b/>
          <w:bCs w:val="0"/>
          <w:color w:val="auto"/>
          <w:kern w:val="0"/>
          <w:sz w:val="21"/>
          <w:szCs w:val="24"/>
          <w:highlight w:val="none"/>
        </w:rPr>
        <w:t>3</w:t>
      </w:r>
      <w:r>
        <w:rPr>
          <w:rFonts w:hint="eastAsia" w:ascii="宋体" w:hAnsi="宋体" w:eastAsia="宋体" w:cs="宋体"/>
          <w:b/>
          <w:bCs w:val="0"/>
          <w:color w:val="auto"/>
          <w:kern w:val="0"/>
          <w:sz w:val="21"/>
          <w:szCs w:val="24"/>
          <w:highlight w:val="none"/>
          <w:lang w:val="en-US" w:eastAsia="zh-CN"/>
        </w:rPr>
        <w:t>5</w:t>
      </w:r>
      <w:r>
        <w:rPr>
          <w:rFonts w:hint="eastAsia" w:ascii="宋体" w:hAnsi="宋体" w:eastAsia="宋体" w:cs="宋体"/>
          <w:b/>
          <w:bCs w:val="0"/>
          <w:color w:val="auto"/>
          <w:kern w:val="0"/>
          <w:sz w:val="21"/>
          <w:szCs w:val="24"/>
          <w:highlight w:val="none"/>
        </w:rPr>
        <w:t xml:space="preserve">.7  </w:t>
      </w:r>
      <w:r>
        <w:rPr>
          <w:rFonts w:hint="eastAsia" w:ascii="宋体" w:hAnsi="宋体" w:eastAsia="宋体" w:cs="宋体"/>
          <w:b/>
          <w:bCs w:val="0"/>
          <w:color w:val="auto"/>
          <w:kern w:val="0"/>
          <w:sz w:val="21"/>
          <w:szCs w:val="21"/>
          <w:highlight w:val="none"/>
        </w:rPr>
        <w:t>成交人以履约保证金（银行转账形式）提供履约担保的，在合同服务期限终止（终止时间以</w:t>
      </w:r>
      <w:r>
        <w:rPr>
          <w:rFonts w:hint="eastAsia" w:ascii="宋体" w:hAnsi="宋体" w:eastAsia="宋体" w:cs="宋体"/>
          <w:b/>
          <w:bCs w:val="0"/>
          <w:color w:val="auto"/>
          <w:kern w:val="0"/>
          <w:sz w:val="21"/>
          <w:szCs w:val="21"/>
          <w:highlight w:val="none"/>
          <w:lang w:val="en-US" w:eastAsia="zh-CN"/>
        </w:rPr>
        <w:t>长期废盐处置服务单位具备服务条件之日或结算处置量达到</w:t>
      </w:r>
      <w:r>
        <w:rPr>
          <w:rFonts w:hint="eastAsia" w:ascii="宋体" w:hAnsi="宋体" w:eastAsia="宋体" w:cs="宋体"/>
          <w:b/>
          <w:bCs w:val="0"/>
          <w:color w:val="auto"/>
          <w:kern w:val="0"/>
          <w:sz w:val="21"/>
          <w:szCs w:val="21"/>
          <w:highlight w:val="none"/>
        </w:rPr>
        <w:t>804</w:t>
      </w:r>
      <w:r>
        <w:rPr>
          <w:rFonts w:hint="eastAsia" w:ascii="宋体" w:hAnsi="宋体" w:eastAsia="宋体" w:cs="宋体"/>
          <w:b/>
          <w:bCs w:val="0"/>
          <w:color w:val="auto"/>
          <w:kern w:val="0"/>
          <w:sz w:val="21"/>
          <w:szCs w:val="21"/>
          <w:highlight w:val="none"/>
          <w:lang w:val="en-US" w:eastAsia="zh-CN"/>
        </w:rPr>
        <w:t>吨</w:t>
      </w:r>
      <w:r>
        <w:rPr>
          <w:rFonts w:hint="eastAsia" w:ascii="宋体" w:hAnsi="宋体" w:eastAsia="宋体" w:cs="宋体"/>
          <w:b/>
          <w:bCs w:val="0"/>
          <w:color w:val="auto"/>
          <w:kern w:val="0"/>
          <w:sz w:val="21"/>
          <w:szCs w:val="21"/>
          <w:highlight w:val="none"/>
        </w:rPr>
        <w:t>二者先到者为准）</w:t>
      </w:r>
      <w:r>
        <w:rPr>
          <w:rFonts w:hint="eastAsia" w:ascii="宋体" w:hAnsi="宋体" w:eastAsia="宋体" w:cs="宋体"/>
          <w:b/>
          <w:bCs w:val="0"/>
          <w:color w:val="auto"/>
          <w:kern w:val="0"/>
          <w:sz w:val="21"/>
          <w:szCs w:val="21"/>
          <w:highlight w:val="none"/>
          <w:lang w:eastAsia="zh-CN"/>
        </w:rPr>
        <w:t>，</w:t>
      </w:r>
      <w:r>
        <w:rPr>
          <w:rFonts w:hint="eastAsia" w:ascii="宋体" w:hAnsi="宋体" w:eastAsia="宋体" w:cs="宋体"/>
          <w:b/>
          <w:bCs w:val="0"/>
          <w:color w:val="auto"/>
          <w:kern w:val="0"/>
          <w:sz w:val="21"/>
          <w:szCs w:val="21"/>
          <w:highlight w:val="none"/>
          <w:lang w:val="en-US" w:eastAsia="zh-CN"/>
        </w:rPr>
        <w:t>且</w:t>
      </w:r>
      <w:r>
        <w:rPr>
          <w:rFonts w:hint="eastAsia" w:ascii="宋体" w:hAnsi="宋体" w:eastAsia="宋体" w:cs="宋体"/>
          <w:b/>
          <w:bCs w:val="0"/>
          <w:color w:val="auto"/>
          <w:kern w:val="0"/>
          <w:sz w:val="21"/>
          <w:szCs w:val="21"/>
          <w:highlight w:val="none"/>
        </w:rPr>
        <w:t>完成合同全部服务义务二十八（28）日后，经采购人确认，成交人可向采购人提交退回履约担保的申请。采购人审核无异议并在扣除成交人应承担的相应费用后，为成交人办理履约担保退还手续，退回时一律以银行转账的形式无息退回到成交人的账户。</w:t>
      </w:r>
    </w:p>
    <w:p w14:paraId="6D616B69">
      <w:pPr>
        <w:tabs>
          <w:tab w:val="left" w:pos="360"/>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334" w:name="_Toc486167702"/>
      <w:bookmarkStart w:id="335" w:name="_Toc10548"/>
      <w:bookmarkStart w:id="336" w:name="_Toc1620681636"/>
      <w:bookmarkStart w:id="337" w:name="_Toc27162"/>
      <w:bookmarkStart w:id="338" w:name="_Toc142508353"/>
      <w:r>
        <w:rPr>
          <w:rFonts w:hint="eastAsia" w:ascii="宋体" w:hAnsi="宋体" w:eastAsia="宋体" w:cs="宋体"/>
          <w:color w:val="auto"/>
          <w:szCs w:val="21"/>
          <w:highlight w:val="none"/>
        </w:rPr>
        <w:t>36</w:t>
      </w:r>
      <w:r>
        <w:rPr>
          <w:rFonts w:hint="eastAsia" w:ascii="宋体" w:hAnsi="宋体" w:eastAsia="宋体" w:cs="宋体"/>
          <w:color w:val="auto"/>
          <w:szCs w:val="21"/>
          <w:highlight w:val="none"/>
          <w:lang w:val="zh-CN"/>
        </w:rPr>
        <w:t xml:space="preserve"> 在合同履行中变更采购范围的权利</w:t>
      </w:r>
      <w:bookmarkEnd w:id="328"/>
      <w:bookmarkEnd w:id="329"/>
      <w:bookmarkEnd w:id="334"/>
      <w:bookmarkEnd w:id="335"/>
      <w:bookmarkEnd w:id="336"/>
      <w:bookmarkEnd w:id="337"/>
      <w:bookmarkEnd w:id="338"/>
    </w:p>
    <w:p w14:paraId="5A87ABBF">
      <w:pPr>
        <w:autoSpaceDE w:val="0"/>
        <w:autoSpaceDN w:val="0"/>
        <w:adjustRightInd w:val="0"/>
        <w:spacing w:line="360" w:lineRule="auto"/>
        <w:ind w:left="328" w:leftChars="-114"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36.1 合同履行中，</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4"/>
          <w:highlight w:val="none"/>
          <w:lang w:val="en-US" w:eastAsia="zh-CN"/>
        </w:rPr>
        <w:t>或采购人权属子公司</w:t>
      </w:r>
      <w:r>
        <w:rPr>
          <w:rFonts w:hint="eastAsia" w:ascii="宋体" w:hAnsi="宋体" w:eastAsia="宋体" w:cs="宋体"/>
          <w:color w:val="auto"/>
          <w:kern w:val="0"/>
          <w:szCs w:val="21"/>
          <w:highlight w:val="none"/>
        </w:rPr>
        <w:t>在合同约定的范围内，</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4"/>
          <w:highlight w:val="none"/>
          <w:lang w:val="en-US" w:eastAsia="zh-CN"/>
        </w:rPr>
        <w:t>或采购人权属子公司</w:t>
      </w:r>
      <w:r>
        <w:rPr>
          <w:rFonts w:hint="eastAsia" w:ascii="宋体" w:hAnsi="宋体" w:eastAsia="宋体" w:cs="宋体"/>
          <w:color w:val="auto"/>
          <w:kern w:val="0"/>
          <w:szCs w:val="21"/>
          <w:highlight w:val="none"/>
        </w:rPr>
        <w:t>有权根据项目实际情况及有关法律法规、政策的规定对采购范围进行变更调整，变更采购范围后，</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应遵照执行。</w:t>
      </w:r>
    </w:p>
    <w:p w14:paraId="2439FADF">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bookmarkStart w:id="339" w:name="_Toc450662888"/>
    </w:p>
    <w:p w14:paraId="7BB366B6">
      <w:pPr>
        <w:tabs>
          <w:tab w:val="left" w:pos="465"/>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340" w:name="_Toc28921_WPSOffice_Level3"/>
      <w:bookmarkStart w:id="341" w:name="_Toc2401"/>
      <w:bookmarkStart w:id="342" w:name="_Toc780830010"/>
      <w:bookmarkStart w:id="343" w:name="_Toc23218"/>
      <w:bookmarkStart w:id="344" w:name="_Toc486167703"/>
      <w:bookmarkStart w:id="345" w:name="_Toc142508354"/>
      <w:r>
        <w:rPr>
          <w:rFonts w:hint="eastAsia" w:ascii="宋体" w:hAnsi="宋体" w:eastAsia="宋体" w:cs="宋体"/>
          <w:color w:val="auto"/>
          <w:szCs w:val="21"/>
          <w:highlight w:val="none"/>
        </w:rPr>
        <w:t>37</w:t>
      </w:r>
      <w:r>
        <w:rPr>
          <w:rFonts w:hint="eastAsia" w:ascii="宋体" w:hAnsi="宋体" w:eastAsia="宋体" w:cs="宋体"/>
          <w:color w:val="auto"/>
          <w:szCs w:val="21"/>
          <w:highlight w:val="none"/>
          <w:lang w:val="zh-CN"/>
        </w:rPr>
        <w:t xml:space="preserve"> </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服务费</w:t>
      </w:r>
      <w:bookmarkEnd w:id="339"/>
      <w:bookmarkEnd w:id="340"/>
      <w:bookmarkEnd w:id="341"/>
      <w:bookmarkEnd w:id="342"/>
      <w:bookmarkEnd w:id="343"/>
      <w:bookmarkEnd w:id="344"/>
      <w:bookmarkEnd w:id="345"/>
    </w:p>
    <w:p w14:paraId="4BFBA91C">
      <w:pPr>
        <w:keepNext w:val="0"/>
        <w:keepLines w:val="0"/>
        <w:pageBreakBefore w:val="0"/>
        <w:widowControl w:val="0"/>
        <w:tabs>
          <w:tab w:val="left" w:pos="567"/>
        </w:tabs>
        <w:kinsoku/>
        <w:wordWrap/>
        <w:overflowPunct/>
        <w:topLinePunct w:val="0"/>
        <w:autoSpaceDE w:val="0"/>
        <w:autoSpaceDN w:val="0"/>
        <w:bidi w:val="0"/>
        <w:adjustRightInd w:val="0"/>
        <w:snapToGrid/>
        <w:spacing w:line="360" w:lineRule="auto"/>
        <w:ind w:left="357" w:leftChars="-100" w:right="0" w:rightChars="0" w:hanging="567" w:hangingChars="270"/>
        <w:textAlignment w:val="auto"/>
        <w:rPr>
          <w:rFonts w:hint="eastAsia" w:ascii="宋体" w:hAnsi="宋体" w:eastAsia="宋体" w:cs="宋体"/>
          <w:b w:val="0"/>
          <w:color w:val="auto"/>
          <w:szCs w:val="21"/>
          <w:highlight w:val="none"/>
          <w:lang w:val="en-US" w:eastAsia="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 xml:space="preserve">.1 </w:t>
      </w:r>
      <w:r>
        <w:rPr>
          <w:rFonts w:hint="eastAsia" w:ascii="宋体" w:hAnsi="宋体" w:eastAsia="宋体" w:cs="宋体"/>
          <w:color w:val="auto"/>
          <w:szCs w:val="21"/>
          <w:highlight w:val="none"/>
          <w:lang w:val="en-US" w:eastAsia="zh-CN"/>
        </w:rPr>
        <w:t>成交人</w:t>
      </w:r>
      <w:r>
        <w:rPr>
          <w:rFonts w:hint="eastAsia" w:ascii="宋体" w:hAnsi="宋体" w:eastAsia="宋体" w:cs="宋体"/>
          <w:color w:val="auto"/>
          <w:szCs w:val="21"/>
          <w:highlight w:val="none"/>
        </w:rPr>
        <w:t>应向</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代理机构一次性交纳</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服务费（以</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通知书中不含税</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总价金额为计费额，本项目业务性质：按服务类</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代理服务收费），依次按以下第（1）（2）款计算得出服务费基价，服务费基价实行全额分档折扣计算，按第（3）款计算折扣得出代理服务费，具体如下。</w:t>
      </w:r>
    </w:p>
    <w:p w14:paraId="16370EC6">
      <w:pPr>
        <w:tabs>
          <w:tab w:val="left" w:pos="567"/>
        </w:tabs>
        <w:autoSpaceDE w:val="0"/>
        <w:autoSpaceDN w:val="0"/>
        <w:adjustRightInd w:val="0"/>
        <w:spacing w:line="360" w:lineRule="auto"/>
        <w:ind w:left="0" w:leftChars="0" w:firstLine="420" w:firstLineChars="200"/>
        <w:rPr>
          <w:rFonts w:hint="eastAsia" w:ascii="宋体" w:hAnsi="宋体" w:eastAsia="宋体" w:cs="宋体"/>
          <w:b w:val="0"/>
          <w:color w:val="auto"/>
          <w:szCs w:val="21"/>
          <w:highlight w:val="none"/>
          <w:lang w:val="en-US" w:eastAsia="zh-CN"/>
        </w:rPr>
      </w:pPr>
      <w:r>
        <w:rPr>
          <w:rFonts w:hint="eastAsia" w:ascii="宋体" w:hAnsi="宋体" w:eastAsia="宋体" w:cs="宋体"/>
          <w:b w:val="0"/>
          <w:color w:val="auto"/>
          <w:szCs w:val="21"/>
          <w:highlight w:val="none"/>
          <w:lang w:val="en-US" w:eastAsia="zh-CN"/>
        </w:rPr>
        <w:t>（1）</w:t>
      </w:r>
      <w:r>
        <w:rPr>
          <w:rFonts w:hint="eastAsia" w:ascii="宋体" w:hAnsi="宋体" w:eastAsia="宋体" w:cs="宋体"/>
          <w:b w:val="0"/>
          <w:color w:val="auto"/>
          <w:szCs w:val="21"/>
          <w:highlight w:val="none"/>
          <w:lang w:val="zh-CN"/>
        </w:rPr>
        <w:t>参照</w:t>
      </w:r>
      <w:r>
        <w:rPr>
          <w:rFonts w:hint="eastAsia" w:ascii="宋体" w:hAnsi="宋体" w:eastAsia="宋体" w:cs="宋体"/>
          <w:b w:val="0"/>
          <w:color w:val="auto"/>
          <w:szCs w:val="21"/>
          <w:highlight w:val="none"/>
          <w:lang w:val="en-US" w:eastAsia="zh-CN"/>
        </w:rPr>
        <w:t>以下标准按差额定率累进法计算：</w:t>
      </w:r>
    </w:p>
    <w:tbl>
      <w:tblPr>
        <w:tblStyle w:val="36"/>
        <w:tblW w:w="10182" w:type="dxa"/>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2544"/>
        <w:gridCol w:w="2544"/>
        <w:gridCol w:w="2544"/>
        <w:gridCol w:w="2550"/>
      </w:tblGrid>
      <w:tr w14:paraId="32D2B3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vMerge w:val="restart"/>
            <w:shd w:val="clear" w:color="auto" w:fill="auto"/>
            <w:tcMar>
              <w:top w:w="0" w:type="dxa"/>
              <w:left w:w="0" w:type="dxa"/>
              <w:bottom w:w="0" w:type="dxa"/>
              <w:right w:w="0" w:type="dxa"/>
            </w:tcMar>
            <w:vAlign w:val="center"/>
          </w:tcPr>
          <w:p w14:paraId="5AF97B71">
            <w:pPr>
              <w:keepNext w:val="0"/>
              <w:keepLines w:val="0"/>
              <w:widowControl/>
              <w:suppressLineNumbers w:val="0"/>
              <w:shd w:val="clear"/>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2"/>
                <w:sz w:val="21"/>
                <w:szCs w:val="21"/>
                <w:highlight w:val="none"/>
                <w:lang w:val="en-US" w:eastAsia="zh-CN" w:bidi="ar"/>
              </w:rPr>
              <w:t>成交金额（万元）</w:t>
            </w:r>
          </w:p>
        </w:tc>
        <w:tc>
          <w:tcPr>
            <w:tcW w:w="7638" w:type="dxa"/>
            <w:gridSpan w:val="3"/>
            <w:shd w:val="clear" w:color="auto" w:fill="auto"/>
            <w:tcMar>
              <w:top w:w="0" w:type="dxa"/>
              <w:left w:w="0" w:type="dxa"/>
              <w:bottom w:w="0" w:type="dxa"/>
              <w:right w:w="0" w:type="dxa"/>
            </w:tcMar>
            <w:vAlign w:val="center"/>
          </w:tcPr>
          <w:p w14:paraId="19388823">
            <w:pPr>
              <w:keepNext w:val="0"/>
              <w:keepLines w:val="0"/>
              <w:widowControl/>
              <w:suppressLineNumbers w:val="0"/>
              <w:shd w:val="clear"/>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2"/>
                <w:sz w:val="21"/>
                <w:szCs w:val="21"/>
                <w:highlight w:val="none"/>
                <w:lang w:val="en-US" w:eastAsia="zh-CN" w:bidi="ar"/>
              </w:rPr>
              <w:t>服务类型</w:t>
            </w:r>
          </w:p>
        </w:tc>
      </w:tr>
      <w:tr w14:paraId="3FF4C2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vMerge w:val="continue"/>
            <w:shd w:val="clear" w:color="auto" w:fill="auto"/>
            <w:tcMar>
              <w:top w:w="0" w:type="dxa"/>
              <w:left w:w="0" w:type="dxa"/>
              <w:bottom w:w="0" w:type="dxa"/>
              <w:right w:w="0" w:type="dxa"/>
            </w:tcMar>
            <w:vAlign w:val="center"/>
          </w:tcPr>
          <w:p w14:paraId="7FFB572C">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p>
        </w:tc>
        <w:tc>
          <w:tcPr>
            <w:tcW w:w="7638" w:type="dxa"/>
            <w:gridSpan w:val="3"/>
            <w:shd w:val="clear" w:color="auto" w:fill="auto"/>
            <w:tcMar>
              <w:top w:w="0" w:type="dxa"/>
              <w:left w:w="0" w:type="dxa"/>
              <w:bottom w:w="0" w:type="dxa"/>
              <w:right w:w="0" w:type="dxa"/>
            </w:tcMar>
            <w:vAlign w:val="center"/>
          </w:tcPr>
          <w:p w14:paraId="21FDABB7">
            <w:pPr>
              <w:keepNext w:val="0"/>
              <w:keepLines w:val="0"/>
              <w:widowControl/>
              <w:suppressLineNumbers w:val="0"/>
              <w:shd w:val="clear"/>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2"/>
                <w:sz w:val="21"/>
                <w:szCs w:val="21"/>
                <w:highlight w:val="none"/>
                <w:lang w:val="en-US" w:eastAsia="zh-CN" w:bidi="ar"/>
              </w:rPr>
              <w:t>费率</w:t>
            </w:r>
          </w:p>
        </w:tc>
      </w:tr>
      <w:tr w14:paraId="1F238D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vMerge w:val="continue"/>
            <w:shd w:val="clear" w:color="auto" w:fill="auto"/>
            <w:tcMar>
              <w:top w:w="0" w:type="dxa"/>
              <w:left w:w="0" w:type="dxa"/>
              <w:bottom w:w="0" w:type="dxa"/>
              <w:right w:w="0" w:type="dxa"/>
            </w:tcMar>
            <w:vAlign w:val="center"/>
          </w:tcPr>
          <w:p w14:paraId="49527103">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p>
        </w:tc>
        <w:tc>
          <w:tcPr>
            <w:tcW w:w="2544" w:type="dxa"/>
            <w:shd w:val="clear" w:color="auto" w:fill="auto"/>
            <w:tcMar>
              <w:top w:w="0" w:type="dxa"/>
              <w:left w:w="0" w:type="dxa"/>
              <w:bottom w:w="0" w:type="dxa"/>
              <w:right w:w="0" w:type="dxa"/>
            </w:tcMar>
            <w:vAlign w:val="center"/>
          </w:tcPr>
          <w:p w14:paraId="39E64B1A">
            <w:pPr>
              <w:keepNext w:val="0"/>
              <w:keepLines w:val="0"/>
              <w:widowControl/>
              <w:suppressLineNumbers w:val="0"/>
              <w:shd w:val="clear"/>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2"/>
                <w:sz w:val="21"/>
                <w:szCs w:val="21"/>
                <w:highlight w:val="none"/>
                <w:lang w:val="en-US" w:eastAsia="zh-CN" w:bidi="ar"/>
              </w:rPr>
              <w:t>货物采购</w:t>
            </w:r>
          </w:p>
        </w:tc>
        <w:tc>
          <w:tcPr>
            <w:tcW w:w="2544" w:type="dxa"/>
            <w:shd w:val="clear" w:color="auto" w:fill="auto"/>
            <w:tcMar>
              <w:top w:w="0" w:type="dxa"/>
              <w:left w:w="0" w:type="dxa"/>
              <w:bottom w:w="0" w:type="dxa"/>
              <w:right w:w="0" w:type="dxa"/>
            </w:tcMar>
            <w:vAlign w:val="center"/>
          </w:tcPr>
          <w:p w14:paraId="63972AAE">
            <w:pPr>
              <w:keepNext w:val="0"/>
              <w:keepLines w:val="0"/>
              <w:widowControl/>
              <w:suppressLineNumbers w:val="0"/>
              <w:shd w:val="clear"/>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2"/>
                <w:sz w:val="21"/>
                <w:szCs w:val="21"/>
                <w:highlight w:val="none"/>
                <w:lang w:val="en-US" w:eastAsia="zh-CN" w:bidi="ar"/>
              </w:rPr>
              <w:t>服务采购</w:t>
            </w:r>
          </w:p>
        </w:tc>
        <w:tc>
          <w:tcPr>
            <w:tcW w:w="2550" w:type="dxa"/>
            <w:shd w:val="clear" w:color="auto" w:fill="auto"/>
            <w:tcMar>
              <w:top w:w="0" w:type="dxa"/>
              <w:left w:w="0" w:type="dxa"/>
              <w:bottom w:w="0" w:type="dxa"/>
              <w:right w:w="0" w:type="dxa"/>
            </w:tcMar>
            <w:vAlign w:val="center"/>
          </w:tcPr>
          <w:p w14:paraId="1C975843">
            <w:pPr>
              <w:keepNext w:val="0"/>
              <w:keepLines w:val="0"/>
              <w:widowControl/>
              <w:suppressLineNumbers w:val="0"/>
              <w:shd w:val="clear"/>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2"/>
                <w:sz w:val="21"/>
                <w:szCs w:val="21"/>
                <w:highlight w:val="none"/>
                <w:lang w:val="en-US" w:eastAsia="zh-CN" w:bidi="ar"/>
              </w:rPr>
              <w:t>工程采购</w:t>
            </w:r>
          </w:p>
        </w:tc>
      </w:tr>
      <w:tr w14:paraId="725300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shd w:val="clear" w:color="auto" w:fill="auto"/>
            <w:tcMar>
              <w:top w:w="0" w:type="dxa"/>
              <w:left w:w="0" w:type="dxa"/>
              <w:bottom w:w="0" w:type="dxa"/>
              <w:right w:w="0" w:type="dxa"/>
            </w:tcMar>
            <w:vAlign w:val="center"/>
          </w:tcPr>
          <w:p w14:paraId="44A3754E">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100以下</w:t>
            </w:r>
          </w:p>
        </w:tc>
        <w:tc>
          <w:tcPr>
            <w:tcW w:w="2544" w:type="dxa"/>
            <w:shd w:val="clear" w:color="auto" w:fill="auto"/>
            <w:tcMar>
              <w:top w:w="0" w:type="dxa"/>
              <w:left w:w="0" w:type="dxa"/>
              <w:bottom w:w="0" w:type="dxa"/>
              <w:right w:w="0" w:type="dxa"/>
            </w:tcMar>
            <w:vAlign w:val="center"/>
          </w:tcPr>
          <w:p w14:paraId="0713866A">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1.5%</w:t>
            </w:r>
          </w:p>
        </w:tc>
        <w:tc>
          <w:tcPr>
            <w:tcW w:w="2544" w:type="dxa"/>
            <w:shd w:val="clear" w:color="auto" w:fill="auto"/>
            <w:tcMar>
              <w:top w:w="0" w:type="dxa"/>
              <w:left w:w="0" w:type="dxa"/>
              <w:bottom w:w="0" w:type="dxa"/>
              <w:right w:w="0" w:type="dxa"/>
            </w:tcMar>
            <w:vAlign w:val="center"/>
          </w:tcPr>
          <w:p w14:paraId="283D0C4B">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1.5%</w:t>
            </w:r>
          </w:p>
        </w:tc>
        <w:tc>
          <w:tcPr>
            <w:tcW w:w="2550" w:type="dxa"/>
            <w:shd w:val="clear" w:color="auto" w:fill="auto"/>
            <w:tcMar>
              <w:top w:w="0" w:type="dxa"/>
              <w:left w:w="0" w:type="dxa"/>
              <w:bottom w:w="0" w:type="dxa"/>
              <w:right w:w="0" w:type="dxa"/>
            </w:tcMar>
            <w:vAlign w:val="center"/>
          </w:tcPr>
          <w:p w14:paraId="346B2FE6">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1.0%</w:t>
            </w:r>
          </w:p>
        </w:tc>
      </w:tr>
      <w:tr w14:paraId="58B292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shd w:val="clear" w:color="auto" w:fill="auto"/>
            <w:tcMar>
              <w:top w:w="0" w:type="dxa"/>
              <w:left w:w="0" w:type="dxa"/>
              <w:bottom w:w="0" w:type="dxa"/>
              <w:right w:w="0" w:type="dxa"/>
            </w:tcMar>
            <w:vAlign w:val="center"/>
          </w:tcPr>
          <w:p w14:paraId="49D9CFE7">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100-500</w:t>
            </w:r>
          </w:p>
        </w:tc>
        <w:tc>
          <w:tcPr>
            <w:tcW w:w="2544" w:type="dxa"/>
            <w:shd w:val="clear" w:color="auto" w:fill="auto"/>
            <w:tcMar>
              <w:top w:w="0" w:type="dxa"/>
              <w:left w:w="0" w:type="dxa"/>
              <w:bottom w:w="0" w:type="dxa"/>
              <w:right w:w="0" w:type="dxa"/>
            </w:tcMar>
            <w:vAlign w:val="center"/>
          </w:tcPr>
          <w:p w14:paraId="5EABBA2F">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1.1%</w:t>
            </w:r>
          </w:p>
        </w:tc>
        <w:tc>
          <w:tcPr>
            <w:tcW w:w="2544" w:type="dxa"/>
            <w:shd w:val="clear" w:color="auto" w:fill="auto"/>
            <w:tcMar>
              <w:top w:w="0" w:type="dxa"/>
              <w:left w:w="0" w:type="dxa"/>
              <w:bottom w:w="0" w:type="dxa"/>
              <w:right w:w="0" w:type="dxa"/>
            </w:tcMar>
            <w:vAlign w:val="center"/>
          </w:tcPr>
          <w:p w14:paraId="616A86BC">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0.8%</w:t>
            </w:r>
          </w:p>
        </w:tc>
        <w:tc>
          <w:tcPr>
            <w:tcW w:w="2550" w:type="dxa"/>
            <w:shd w:val="clear" w:color="auto" w:fill="auto"/>
            <w:tcMar>
              <w:top w:w="0" w:type="dxa"/>
              <w:left w:w="0" w:type="dxa"/>
              <w:bottom w:w="0" w:type="dxa"/>
              <w:right w:w="0" w:type="dxa"/>
            </w:tcMar>
            <w:vAlign w:val="center"/>
          </w:tcPr>
          <w:p w14:paraId="7CDC31EA">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0.7%</w:t>
            </w:r>
          </w:p>
        </w:tc>
      </w:tr>
      <w:tr w14:paraId="1BAE0F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shd w:val="clear" w:color="auto" w:fill="auto"/>
            <w:tcMar>
              <w:top w:w="0" w:type="dxa"/>
              <w:left w:w="0" w:type="dxa"/>
              <w:bottom w:w="0" w:type="dxa"/>
              <w:right w:w="0" w:type="dxa"/>
            </w:tcMar>
            <w:vAlign w:val="center"/>
          </w:tcPr>
          <w:p w14:paraId="16F713D0">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500-1000</w:t>
            </w:r>
          </w:p>
        </w:tc>
        <w:tc>
          <w:tcPr>
            <w:tcW w:w="2544" w:type="dxa"/>
            <w:shd w:val="clear" w:color="auto" w:fill="auto"/>
            <w:tcMar>
              <w:top w:w="0" w:type="dxa"/>
              <w:left w:w="0" w:type="dxa"/>
              <w:bottom w:w="0" w:type="dxa"/>
              <w:right w:w="0" w:type="dxa"/>
            </w:tcMar>
            <w:vAlign w:val="center"/>
          </w:tcPr>
          <w:p w14:paraId="48ABBAC2">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0.8%</w:t>
            </w:r>
          </w:p>
        </w:tc>
        <w:tc>
          <w:tcPr>
            <w:tcW w:w="2544" w:type="dxa"/>
            <w:shd w:val="clear" w:color="auto" w:fill="auto"/>
            <w:tcMar>
              <w:top w:w="0" w:type="dxa"/>
              <w:left w:w="0" w:type="dxa"/>
              <w:bottom w:w="0" w:type="dxa"/>
              <w:right w:w="0" w:type="dxa"/>
            </w:tcMar>
            <w:vAlign w:val="center"/>
          </w:tcPr>
          <w:p w14:paraId="07ED55AB">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0.45%</w:t>
            </w:r>
          </w:p>
        </w:tc>
        <w:tc>
          <w:tcPr>
            <w:tcW w:w="2550" w:type="dxa"/>
            <w:shd w:val="clear" w:color="auto" w:fill="auto"/>
            <w:tcMar>
              <w:top w:w="0" w:type="dxa"/>
              <w:left w:w="0" w:type="dxa"/>
              <w:bottom w:w="0" w:type="dxa"/>
              <w:right w:w="0" w:type="dxa"/>
            </w:tcMar>
            <w:vAlign w:val="center"/>
          </w:tcPr>
          <w:p w14:paraId="36AED1E9">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0.55%</w:t>
            </w:r>
          </w:p>
        </w:tc>
      </w:tr>
      <w:tr w14:paraId="09B1C2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shd w:val="clear" w:color="auto" w:fill="auto"/>
            <w:tcMar>
              <w:top w:w="0" w:type="dxa"/>
              <w:left w:w="0" w:type="dxa"/>
              <w:bottom w:w="0" w:type="dxa"/>
              <w:right w:w="0" w:type="dxa"/>
            </w:tcMar>
            <w:vAlign w:val="center"/>
          </w:tcPr>
          <w:p w14:paraId="5937C5A1">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1000-5000</w:t>
            </w:r>
          </w:p>
        </w:tc>
        <w:tc>
          <w:tcPr>
            <w:tcW w:w="2544" w:type="dxa"/>
            <w:shd w:val="clear" w:color="auto" w:fill="auto"/>
            <w:tcMar>
              <w:top w:w="0" w:type="dxa"/>
              <w:left w:w="0" w:type="dxa"/>
              <w:bottom w:w="0" w:type="dxa"/>
              <w:right w:w="0" w:type="dxa"/>
            </w:tcMar>
            <w:vAlign w:val="center"/>
          </w:tcPr>
          <w:p w14:paraId="0CF5CC04">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0.5%</w:t>
            </w:r>
          </w:p>
        </w:tc>
        <w:tc>
          <w:tcPr>
            <w:tcW w:w="2544" w:type="dxa"/>
            <w:shd w:val="clear" w:color="auto" w:fill="auto"/>
            <w:tcMar>
              <w:top w:w="0" w:type="dxa"/>
              <w:left w:w="0" w:type="dxa"/>
              <w:bottom w:w="0" w:type="dxa"/>
              <w:right w:w="0" w:type="dxa"/>
            </w:tcMar>
            <w:vAlign w:val="center"/>
          </w:tcPr>
          <w:p w14:paraId="1AB23FDC">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0.25%</w:t>
            </w:r>
          </w:p>
        </w:tc>
        <w:tc>
          <w:tcPr>
            <w:tcW w:w="2550" w:type="dxa"/>
            <w:shd w:val="clear" w:color="auto" w:fill="auto"/>
            <w:tcMar>
              <w:top w:w="0" w:type="dxa"/>
              <w:left w:w="0" w:type="dxa"/>
              <w:bottom w:w="0" w:type="dxa"/>
              <w:right w:w="0" w:type="dxa"/>
            </w:tcMar>
            <w:vAlign w:val="center"/>
          </w:tcPr>
          <w:p w14:paraId="44928A2B">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0.36%</w:t>
            </w:r>
          </w:p>
        </w:tc>
      </w:tr>
      <w:tr w14:paraId="02F0AE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shd w:val="clear" w:color="auto" w:fill="auto"/>
            <w:tcMar>
              <w:top w:w="0" w:type="dxa"/>
              <w:left w:w="0" w:type="dxa"/>
              <w:bottom w:w="0" w:type="dxa"/>
              <w:right w:w="0" w:type="dxa"/>
            </w:tcMar>
            <w:vAlign w:val="center"/>
          </w:tcPr>
          <w:p w14:paraId="2A8AA710">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5000-10000</w:t>
            </w:r>
          </w:p>
        </w:tc>
        <w:tc>
          <w:tcPr>
            <w:tcW w:w="2544" w:type="dxa"/>
            <w:shd w:val="clear" w:color="auto" w:fill="auto"/>
            <w:tcMar>
              <w:top w:w="0" w:type="dxa"/>
              <w:left w:w="0" w:type="dxa"/>
              <w:bottom w:w="0" w:type="dxa"/>
              <w:right w:w="0" w:type="dxa"/>
            </w:tcMar>
            <w:vAlign w:val="center"/>
          </w:tcPr>
          <w:p w14:paraId="4DC8E84D">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0.25%</w:t>
            </w:r>
          </w:p>
        </w:tc>
        <w:tc>
          <w:tcPr>
            <w:tcW w:w="2544" w:type="dxa"/>
            <w:shd w:val="clear" w:color="auto" w:fill="auto"/>
            <w:tcMar>
              <w:top w:w="0" w:type="dxa"/>
              <w:left w:w="0" w:type="dxa"/>
              <w:bottom w:w="0" w:type="dxa"/>
              <w:right w:w="0" w:type="dxa"/>
            </w:tcMar>
            <w:vAlign w:val="center"/>
          </w:tcPr>
          <w:p w14:paraId="71A88B52">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0.1%</w:t>
            </w:r>
          </w:p>
        </w:tc>
        <w:tc>
          <w:tcPr>
            <w:tcW w:w="2550" w:type="dxa"/>
            <w:shd w:val="clear" w:color="auto" w:fill="auto"/>
            <w:tcMar>
              <w:top w:w="0" w:type="dxa"/>
              <w:left w:w="0" w:type="dxa"/>
              <w:bottom w:w="0" w:type="dxa"/>
              <w:right w:w="0" w:type="dxa"/>
            </w:tcMar>
            <w:vAlign w:val="center"/>
          </w:tcPr>
          <w:p w14:paraId="1FF58D9D">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0.2%</w:t>
            </w:r>
          </w:p>
        </w:tc>
      </w:tr>
      <w:tr w14:paraId="5AD1E9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shd w:val="clear" w:color="auto" w:fill="auto"/>
            <w:tcMar>
              <w:top w:w="0" w:type="dxa"/>
              <w:left w:w="0" w:type="dxa"/>
              <w:bottom w:w="0" w:type="dxa"/>
              <w:right w:w="0" w:type="dxa"/>
            </w:tcMar>
            <w:vAlign w:val="center"/>
          </w:tcPr>
          <w:p w14:paraId="6C1E134B">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10000-100000</w:t>
            </w:r>
          </w:p>
        </w:tc>
        <w:tc>
          <w:tcPr>
            <w:tcW w:w="2544" w:type="dxa"/>
            <w:shd w:val="clear" w:color="auto" w:fill="auto"/>
            <w:tcMar>
              <w:top w:w="0" w:type="dxa"/>
              <w:left w:w="0" w:type="dxa"/>
              <w:bottom w:w="0" w:type="dxa"/>
              <w:right w:w="0" w:type="dxa"/>
            </w:tcMar>
            <w:vAlign w:val="center"/>
          </w:tcPr>
          <w:p w14:paraId="135FC1EB">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0.05%</w:t>
            </w:r>
          </w:p>
        </w:tc>
        <w:tc>
          <w:tcPr>
            <w:tcW w:w="2544" w:type="dxa"/>
            <w:shd w:val="clear" w:color="auto" w:fill="auto"/>
            <w:tcMar>
              <w:top w:w="0" w:type="dxa"/>
              <w:left w:w="0" w:type="dxa"/>
              <w:bottom w:w="0" w:type="dxa"/>
              <w:right w:w="0" w:type="dxa"/>
            </w:tcMar>
            <w:vAlign w:val="center"/>
          </w:tcPr>
          <w:p w14:paraId="6B237ED6">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0.05%</w:t>
            </w:r>
          </w:p>
        </w:tc>
        <w:tc>
          <w:tcPr>
            <w:tcW w:w="2550" w:type="dxa"/>
            <w:shd w:val="clear" w:color="auto" w:fill="auto"/>
            <w:tcMar>
              <w:top w:w="0" w:type="dxa"/>
              <w:left w:w="0" w:type="dxa"/>
              <w:bottom w:w="0" w:type="dxa"/>
              <w:right w:w="0" w:type="dxa"/>
            </w:tcMar>
            <w:vAlign w:val="center"/>
          </w:tcPr>
          <w:p w14:paraId="0AE11FC8">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0.05%</w:t>
            </w:r>
          </w:p>
        </w:tc>
      </w:tr>
      <w:tr w14:paraId="788ACC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544" w:type="dxa"/>
            <w:shd w:val="clear" w:color="auto" w:fill="auto"/>
            <w:tcMar>
              <w:top w:w="0" w:type="dxa"/>
              <w:left w:w="0" w:type="dxa"/>
              <w:bottom w:w="0" w:type="dxa"/>
              <w:right w:w="0" w:type="dxa"/>
            </w:tcMar>
            <w:vAlign w:val="center"/>
          </w:tcPr>
          <w:p w14:paraId="42C34EE9">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1000000以上</w:t>
            </w:r>
          </w:p>
        </w:tc>
        <w:tc>
          <w:tcPr>
            <w:tcW w:w="2544" w:type="dxa"/>
            <w:shd w:val="clear" w:color="auto" w:fill="auto"/>
            <w:tcMar>
              <w:top w:w="0" w:type="dxa"/>
              <w:left w:w="0" w:type="dxa"/>
              <w:bottom w:w="0" w:type="dxa"/>
              <w:right w:w="0" w:type="dxa"/>
            </w:tcMar>
            <w:vAlign w:val="center"/>
          </w:tcPr>
          <w:p w14:paraId="7D06E857">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0.01%</w:t>
            </w:r>
          </w:p>
        </w:tc>
        <w:tc>
          <w:tcPr>
            <w:tcW w:w="2544" w:type="dxa"/>
            <w:shd w:val="clear" w:color="auto" w:fill="auto"/>
            <w:tcMar>
              <w:top w:w="0" w:type="dxa"/>
              <w:left w:w="0" w:type="dxa"/>
              <w:bottom w:w="0" w:type="dxa"/>
              <w:right w:w="0" w:type="dxa"/>
            </w:tcMar>
            <w:vAlign w:val="center"/>
          </w:tcPr>
          <w:p w14:paraId="0169629B">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0.01%</w:t>
            </w:r>
          </w:p>
        </w:tc>
        <w:tc>
          <w:tcPr>
            <w:tcW w:w="2550" w:type="dxa"/>
            <w:shd w:val="clear" w:color="auto" w:fill="auto"/>
            <w:tcMar>
              <w:top w:w="0" w:type="dxa"/>
              <w:left w:w="0" w:type="dxa"/>
              <w:bottom w:w="0" w:type="dxa"/>
              <w:right w:w="0" w:type="dxa"/>
            </w:tcMar>
            <w:vAlign w:val="center"/>
          </w:tcPr>
          <w:p w14:paraId="3F7A3183">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0.01%</w:t>
            </w:r>
          </w:p>
        </w:tc>
      </w:tr>
    </w:tbl>
    <w:p w14:paraId="7E65C376">
      <w:pPr>
        <w:keepNext w:val="0"/>
        <w:keepLines w:val="0"/>
        <w:pageBreakBefore w:val="0"/>
        <w:widowControl/>
        <w:tabs>
          <w:tab w:val="left" w:pos="567"/>
        </w:tabs>
        <w:kinsoku/>
        <w:wordWrap/>
        <w:overflowPunct/>
        <w:topLinePunct w:val="0"/>
        <w:autoSpaceDE w:val="0"/>
        <w:autoSpaceDN w:val="0"/>
        <w:bidi w:val="0"/>
        <w:adjustRightInd w:val="0"/>
        <w:snapToGrid/>
        <w:spacing w:line="360" w:lineRule="auto"/>
        <w:ind w:left="0" w:leftChars="0" w:firstLine="420" w:firstLineChars="200"/>
        <w:textAlignment w:val="auto"/>
        <w:rPr>
          <w:rFonts w:hint="eastAsia" w:ascii="宋体" w:hAnsi="宋体" w:eastAsia="宋体" w:cs="宋体"/>
          <w:b w:val="0"/>
          <w:color w:val="auto"/>
          <w:szCs w:val="21"/>
          <w:highlight w:val="none"/>
          <w:lang w:val="en-US"/>
        </w:rPr>
      </w:pPr>
      <w:r>
        <w:rPr>
          <w:rFonts w:hint="eastAsia" w:ascii="宋体" w:hAnsi="宋体" w:eastAsia="宋体" w:cs="宋体"/>
          <w:b w:val="0"/>
          <w:color w:val="auto"/>
          <w:szCs w:val="21"/>
          <w:highlight w:val="none"/>
          <w:lang w:val="en-US" w:eastAsia="zh-CN"/>
        </w:rPr>
        <w:t>（2）降低成交金额在5亿元以上采购代理服务收费标准，并设置收费上限。货物、服务、工程采购代理服务收费差额费率：成交金额在5—10亿元的为0.035%；10—50亿元的为0.008%；50—100亿元为0.006%；100亿元以上为0.004%。货物、服务、工程一次采购（完成一次采购全流程）代理服务费最高限额分别为350万元、300万元和450万元，并按各标段成交金额比例计算各标段采购代理服务费。</w:t>
      </w:r>
    </w:p>
    <w:p w14:paraId="0C9954CC">
      <w:pPr>
        <w:tabs>
          <w:tab w:val="left" w:pos="567"/>
        </w:tabs>
        <w:autoSpaceDE w:val="0"/>
        <w:autoSpaceDN w:val="0"/>
        <w:adjustRightInd w:val="0"/>
        <w:spacing w:line="360" w:lineRule="auto"/>
        <w:ind w:left="0" w:leftChars="0" w:firstLine="420" w:firstLineChars="200"/>
        <w:jc w:val="left"/>
        <w:rPr>
          <w:rFonts w:hint="eastAsia" w:ascii="宋体" w:hAnsi="宋体" w:eastAsia="宋体" w:cs="宋体"/>
          <w:b w:val="0"/>
          <w:color w:val="auto"/>
          <w:szCs w:val="21"/>
          <w:highlight w:val="none"/>
          <w:lang w:val="en-US" w:eastAsia="zh-CN"/>
        </w:rPr>
      </w:pPr>
      <w:r>
        <w:rPr>
          <w:rFonts w:hint="eastAsia" w:ascii="宋体" w:hAnsi="宋体" w:eastAsia="宋体" w:cs="宋体"/>
          <w:b w:val="0"/>
          <w:color w:val="auto"/>
          <w:szCs w:val="21"/>
          <w:highlight w:val="none"/>
          <w:lang w:val="en-US" w:eastAsia="zh-CN"/>
        </w:rPr>
        <w:t>（3）服务费基价实行全额分档折扣计算，得出代理服务费。具体为：服务费基价10万元（不含）以下的，按80%执行；服务费基价10万元（含）—20万元（不含）的，按70%执行；服务费基价20万元（含）—30万元（不含）的，按60%执行；服务费基价30万元（含）以上的，按50%计取，且单个项目最高代理费为30万元封顶</w:t>
      </w:r>
      <w:r>
        <w:rPr>
          <w:rFonts w:hint="eastAsia" w:ascii="宋体" w:hAnsi="宋体" w:eastAsia="宋体" w:cs="宋体"/>
          <w:b w:val="0"/>
          <w:color w:val="auto"/>
          <w:szCs w:val="21"/>
          <w:highlight w:val="none"/>
          <w:lang w:val="en-US"/>
        </w:rPr>
        <w:t>。</w:t>
      </w:r>
      <w:r>
        <w:rPr>
          <w:rFonts w:hint="eastAsia" w:ascii="宋体" w:hAnsi="宋体" w:eastAsia="宋体" w:cs="宋体"/>
          <w:b w:val="0"/>
          <w:color w:val="auto"/>
          <w:szCs w:val="21"/>
          <w:highlight w:val="none"/>
          <w:lang w:val="en-US" w:eastAsia="zh-CN"/>
        </w:rPr>
        <w:t>同时，为保障项目服务质量与库管理的可持续性，设置单个项目代理费最低为8000元，即按上述收费标准计取后不足8000元的，以8000元作为代理费。</w:t>
      </w:r>
    </w:p>
    <w:p w14:paraId="5EEB800C">
      <w:pPr>
        <w:tabs>
          <w:tab w:val="left" w:pos="567"/>
        </w:tabs>
        <w:autoSpaceDE w:val="0"/>
        <w:autoSpaceDN w:val="0"/>
        <w:adjustRightInd w:val="0"/>
        <w:spacing w:line="360" w:lineRule="auto"/>
        <w:ind w:left="0" w:leftChars="0" w:firstLine="420" w:firstLineChars="200"/>
        <w:jc w:val="left"/>
        <w:rPr>
          <w:rFonts w:hint="eastAsia" w:ascii="宋体" w:hAnsi="宋体" w:eastAsia="宋体" w:cs="宋体"/>
          <w:b w:val="0"/>
          <w:color w:val="auto"/>
          <w:szCs w:val="21"/>
          <w:highlight w:val="none"/>
          <w:lang w:val="en-US" w:eastAsia="zh-CN"/>
        </w:rPr>
      </w:pPr>
      <w:r>
        <w:rPr>
          <w:rFonts w:hint="eastAsia" w:ascii="宋体" w:hAnsi="宋体" w:eastAsia="宋体" w:cs="宋体"/>
          <w:b w:val="0"/>
          <w:color w:val="auto"/>
          <w:szCs w:val="21"/>
          <w:highlight w:val="none"/>
          <w:lang w:val="en-US" w:eastAsia="zh-CN"/>
        </w:rPr>
        <w:t>例子：某项目采购代理业务成交金额为2000万元（货物类），计算代理服务费额如下：</w:t>
      </w:r>
    </w:p>
    <w:p w14:paraId="6C6905CD">
      <w:pPr>
        <w:tabs>
          <w:tab w:val="left" w:pos="567"/>
        </w:tabs>
        <w:autoSpaceDE w:val="0"/>
        <w:autoSpaceDN w:val="0"/>
        <w:adjustRightInd w:val="0"/>
        <w:spacing w:line="360" w:lineRule="auto"/>
        <w:ind w:left="0" w:leftChars="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100</w:t>
      </w:r>
      <w:r>
        <w:rPr>
          <w:rFonts w:hint="eastAsia" w:ascii="宋体" w:hAnsi="宋体" w:eastAsia="宋体" w:cs="宋体"/>
          <w:color w:val="auto"/>
          <w:szCs w:val="21"/>
          <w:highlight w:val="none"/>
          <w:lang w:val="en-US" w:eastAsia="zh-CN"/>
        </w:rPr>
        <w:t>万元部分</w:t>
      </w:r>
      <w:r>
        <w:rPr>
          <w:rFonts w:hint="eastAsia" w:ascii="宋体" w:hAnsi="宋体" w:eastAsia="宋体" w:cs="宋体"/>
          <w:color w:val="auto"/>
          <w:szCs w:val="21"/>
          <w:highlight w:val="none"/>
        </w:rPr>
        <w:t>：100</w:t>
      </w:r>
      <w:r>
        <w:rPr>
          <w:rFonts w:hint="eastAsia" w:ascii="宋体" w:hAnsi="宋体" w:eastAsia="宋体" w:cs="宋体"/>
          <w:color w:val="auto"/>
          <w:szCs w:val="21"/>
          <w:highlight w:val="none"/>
          <w:lang w:val="en-US" w:eastAsia="zh-CN"/>
        </w:rPr>
        <w:t>万元</w:t>
      </w:r>
      <w:r>
        <w:rPr>
          <w:rFonts w:hint="eastAsia" w:ascii="宋体" w:hAnsi="宋体" w:eastAsia="宋体" w:cs="宋体"/>
          <w:color w:val="auto"/>
          <w:szCs w:val="21"/>
          <w:highlight w:val="none"/>
        </w:rPr>
        <w:t>×1.5</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=15000元</w:t>
      </w:r>
    </w:p>
    <w:p w14:paraId="3CDC2F9B">
      <w:pPr>
        <w:tabs>
          <w:tab w:val="left" w:pos="567"/>
        </w:tabs>
        <w:autoSpaceDE w:val="0"/>
        <w:autoSpaceDN w:val="0"/>
        <w:adjustRightInd w:val="0"/>
        <w:spacing w:line="360" w:lineRule="auto"/>
        <w:ind w:left="0" w:leftChars="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500</w:t>
      </w:r>
      <w:r>
        <w:rPr>
          <w:rFonts w:hint="eastAsia" w:ascii="宋体" w:hAnsi="宋体" w:eastAsia="宋体" w:cs="宋体"/>
          <w:color w:val="auto"/>
          <w:szCs w:val="21"/>
          <w:highlight w:val="none"/>
          <w:lang w:val="en-US" w:eastAsia="zh-CN"/>
        </w:rPr>
        <w:t>万元部分</w:t>
      </w:r>
      <w:r>
        <w:rPr>
          <w:rFonts w:hint="eastAsia" w:ascii="宋体" w:hAnsi="宋体" w:eastAsia="宋体" w:cs="宋体"/>
          <w:color w:val="auto"/>
          <w:szCs w:val="21"/>
          <w:highlight w:val="none"/>
        </w:rPr>
        <w:t>：400</w:t>
      </w:r>
      <w:r>
        <w:rPr>
          <w:rFonts w:hint="eastAsia" w:ascii="宋体" w:hAnsi="宋体" w:eastAsia="宋体" w:cs="宋体"/>
          <w:color w:val="auto"/>
          <w:szCs w:val="21"/>
          <w:highlight w:val="none"/>
          <w:lang w:val="en-US" w:eastAsia="zh-CN"/>
        </w:rPr>
        <w:t>万元</w:t>
      </w: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=44000元</w:t>
      </w:r>
    </w:p>
    <w:p w14:paraId="5986C416">
      <w:pPr>
        <w:tabs>
          <w:tab w:val="left" w:pos="567"/>
        </w:tabs>
        <w:autoSpaceDE w:val="0"/>
        <w:autoSpaceDN w:val="0"/>
        <w:adjustRightInd w:val="0"/>
        <w:spacing w:line="360" w:lineRule="auto"/>
        <w:ind w:left="0" w:leftChars="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1000</w:t>
      </w:r>
      <w:r>
        <w:rPr>
          <w:rFonts w:hint="eastAsia" w:ascii="宋体" w:hAnsi="宋体" w:eastAsia="宋体" w:cs="宋体"/>
          <w:color w:val="auto"/>
          <w:szCs w:val="21"/>
          <w:highlight w:val="none"/>
          <w:lang w:val="en-US" w:eastAsia="zh-CN"/>
        </w:rPr>
        <w:t>万元部分</w:t>
      </w:r>
      <w:r>
        <w:rPr>
          <w:rFonts w:hint="eastAsia" w:ascii="宋体" w:hAnsi="宋体" w:eastAsia="宋体" w:cs="宋体"/>
          <w:color w:val="auto"/>
          <w:szCs w:val="21"/>
          <w:highlight w:val="none"/>
        </w:rPr>
        <w:t>：500</w:t>
      </w:r>
      <w:r>
        <w:rPr>
          <w:rFonts w:hint="eastAsia" w:ascii="宋体" w:hAnsi="宋体" w:eastAsia="宋体" w:cs="宋体"/>
          <w:color w:val="auto"/>
          <w:szCs w:val="21"/>
          <w:highlight w:val="none"/>
          <w:lang w:val="en-US" w:eastAsia="zh-CN"/>
        </w:rPr>
        <w:t>万元</w:t>
      </w:r>
      <w:r>
        <w:rPr>
          <w:rFonts w:hint="eastAsia" w:ascii="宋体" w:hAnsi="宋体" w:eastAsia="宋体" w:cs="宋体"/>
          <w:color w:val="auto"/>
          <w:szCs w:val="21"/>
          <w:highlight w:val="none"/>
        </w:rPr>
        <w:t>×0.8</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=40000元</w:t>
      </w:r>
    </w:p>
    <w:p w14:paraId="1B728BBE">
      <w:pPr>
        <w:tabs>
          <w:tab w:val="left" w:pos="567"/>
        </w:tabs>
        <w:autoSpaceDE w:val="0"/>
        <w:autoSpaceDN w:val="0"/>
        <w:adjustRightInd w:val="0"/>
        <w:spacing w:line="360" w:lineRule="auto"/>
        <w:ind w:left="0" w:leftChars="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2000</w:t>
      </w:r>
      <w:r>
        <w:rPr>
          <w:rFonts w:hint="eastAsia" w:ascii="宋体" w:hAnsi="宋体" w:eastAsia="宋体" w:cs="宋体"/>
          <w:color w:val="auto"/>
          <w:szCs w:val="21"/>
          <w:highlight w:val="none"/>
          <w:lang w:val="en-US" w:eastAsia="zh-CN"/>
        </w:rPr>
        <w:t>万元部分</w:t>
      </w:r>
      <w:r>
        <w:rPr>
          <w:rFonts w:hint="eastAsia" w:ascii="宋体" w:hAnsi="宋体" w:eastAsia="宋体" w:cs="宋体"/>
          <w:color w:val="auto"/>
          <w:szCs w:val="21"/>
          <w:highlight w:val="none"/>
        </w:rPr>
        <w:t>：1000</w:t>
      </w:r>
      <w:r>
        <w:rPr>
          <w:rFonts w:hint="eastAsia" w:ascii="宋体" w:hAnsi="宋体" w:eastAsia="宋体" w:cs="宋体"/>
          <w:color w:val="auto"/>
          <w:szCs w:val="21"/>
          <w:highlight w:val="none"/>
          <w:lang w:val="en-US" w:eastAsia="zh-CN"/>
        </w:rPr>
        <w:t>万元</w:t>
      </w:r>
      <w:r>
        <w:rPr>
          <w:rFonts w:hint="eastAsia" w:ascii="宋体" w:hAnsi="宋体" w:eastAsia="宋体" w:cs="宋体"/>
          <w:color w:val="auto"/>
          <w:szCs w:val="21"/>
          <w:highlight w:val="none"/>
        </w:rPr>
        <w:t>×0.5</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=50000元</w:t>
      </w:r>
    </w:p>
    <w:p w14:paraId="1B02524A">
      <w:pPr>
        <w:tabs>
          <w:tab w:val="left" w:pos="567"/>
        </w:tabs>
        <w:autoSpaceDE w:val="0"/>
        <w:autoSpaceDN w:val="0"/>
        <w:adjustRightInd w:val="0"/>
        <w:spacing w:line="360" w:lineRule="auto"/>
        <w:ind w:left="0" w:leftChars="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各</w:t>
      </w:r>
      <w:r>
        <w:rPr>
          <w:rFonts w:hint="eastAsia" w:ascii="宋体" w:hAnsi="宋体" w:eastAsia="宋体" w:cs="宋体"/>
          <w:color w:val="auto"/>
          <w:szCs w:val="21"/>
          <w:highlight w:val="none"/>
          <w:lang w:val="en-US" w:eastAsia="zh-CN"/>
        </w:rPr>
        <w:t>部分</w:t>
      </w:r>
      <w:r>
        <w:rPr>
          <w:rFonts w:hint="eastAsia" w:ascii="宋体" w:hAnsi="宋体" w:eastAsia="宋体" w:cs="宋体"/>
          <w:color w:val="auto"/>
          <w:szCs w:val="21"/>
          <w:highlight w:val="none"/>
        </w:rPr>
        <w:t>累计得</w:t>
      </w:r>
      <w:r>
        <w:rPr>
          <w:rFonts w:hint="eastAsia" w:ascii="宋体" w:hAnsi="宋体" w:eastAsia="宋体" w:cs="宋体"/>
          <w:color w:val="auto"/>
          <w:szCs w:val="21"/>
          <w:highlight w:val="none"/>
          <w:lang w:val="en-US" w:eastAsia="zh-CN"/>
        </w:rPr>
        <w:t>出</w:t>
      </w:r>
      <w:r>
        <w:rPr>
          <w:rFonts w:hint="eastAsia" w:ascii="宋体" w:hAnsi="宋体" w:eastAsia="宋体" w:cs="宋体"/>
          <w:b w:val="0"/>
          <w:color w:val="auto"/>
          <w:szCs w:val="21"/>
          <w:highlight w:val="none"/>
          <w:lang w:val="en-US" w:eastAsia="zh-CN"/>
        </w:rPr>
        <w:t>服务费基价</w:t>
      </w:r>
      <w:r>
        <w:rPr>
          <w:rFonts w:hint="eastAsia" w:ascii="宋体" w:hAnsi="宋体" w:eastAsia="宋体" w:cs="宋体"/>
          <w:color w:val="auto"/>
          <w:szCs w:val="21"/>
          <w:highlight w:val="none"/>
        </w:rPr>
        <w:t>：149000.00元</w:t>
      </w:r>
    </w:p>
    <w:p w14:paraId="475DF0F5">
      <w:pPr>
        <w:tabs>
          <w:tab w:val="left" w:pos="567"/>
        </w:tabs>
        <w:autoSpaceDE w:val="0"/>
        <w:autoSpaceDN w:val="0"/>
        <w:adjustRightInd w:val="0"/>
        <w:spacing w:line="360" w:lineRule="auto"/>
        <w:ind w:left="0" w:leftChars="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计算得</w:t>
      </w:r>
      <w:r>
        <w:rPr>
          <w:rFonts w:hint="eastAsia" w:ascii="宋体" w:hAnsi="宋体" w:eastAsia="宋体" w:cs="宋体"/>
          <w:color w:val="auto"/>
          <w:szCs w:val="21"/>
          <w:highlight w:val="none"/>
          <w:lang w:val="en-US" w:eastAsia="zh-CN"/>
        </w:rPr>
        <w:t>出代理服务费</w:t>
      </w:r>
      <w:r>
        <w:rPr>
          <w:rFonts w:hint="eastAsia" w:ascii="宋体" w:hAnsi="宋体" w:eastAsia="宋体" w:cs="宋体"/>
          <w:color w:val="auto"/>
          <w:szCs w:val="21"/>
          <w:highlight w:val="none"/>
        </w:rPr>
        <w:t>：149000</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70%=104300</w:t>
      </w:r>
      <w:r>
        <w:rPr>
          <w:rFonts w:hint="eastAsia" w:ascii="宋体" w:hAnsi="宋体" w:eastAsia="宋体" w:cs="宋体"/>
          <w:color w:val="auto"/>
          <w:szCs w:val="21"/>
          <w:highlight w:val="none"/>
        </w:rPr>
        <w:t>元</w:t>
      </w:r>
    </w:p>
    <w:p w14:paraId="114DB369">
      <w:pPr>
        <w:autoSpaceDE w:val="0"/>
        <w:autoSpaceDN w:val="0"/>
        <w:adjustRightInd w:val="0"/>
        <w:spacing w:line="360" w:lineRule="auto"/>
        <w:ind w:left="357" w:leftChars="-100" w:hanging="567" w:hangingChars="27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 xml:space="preserve">.2 </w:t>
      </w:r>
      <w:r>
        <w:rPr>
          <w:rFonts w:hint="eastAsia" w:ascii="宋体" w:hAnsi="宋体" w:eastAsia="宋体" w:cs="宋体"/>
          <w:color w:val="auto"/>
          <w:szCs w:val="21"/>
          <w:highlight w:val="none"/>
          <w:lang w:val="en-US" w:eastAsia="zh-CN"/>
        </w:rPr>
        <w:t>成交人</w:t>
      </w:r>
      <w:r>
        <w:rPr>
          <w:rFonts w:hint="eastAsia" w:ascii="宋体" w:hAnsi="宋体" w:eastAsia="宋体" w:cs="宋体"/>
          <w:color w:val="auto"/>
          <w:szCs w:val="21"/>
          <w:highlight w:val="none"/>
        </w:rPr>
        <w:t>收到</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通知后，须在15日内向</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代理机构交纳</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服务费用。</w:t>
      </w:r>
    </w:p>
    <w:p w14:paraId="14BA65F9">
      <w:pPr>
        <w:autoSpaceDE w:val="0"/>
        <w:autoSpaceDN w:val="0"/>
        <w:adjustRightInd w:val="0"/>
        <w:spacing w:line="360" w:lineRule="auto"/>
        <w:ind w:left="357" w:leftChars="-100" w:hanging="567" w:hangingChars="27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 xml:space="preserve">.3 </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服务费只接受以银行转账、电汇方式交纳</w:t>
      </w:r>
    </w:p>
    <w:p w14:paraId="6EC2A593">
      <w:pPr>
        <w:autoSpaceDE w:val="0"/>
        <w:autoSpaceDN w:val="0"/>
        <w:adjustRightInd w:val="0"/>
        <w:spacing w:line="360" w:lineRule="auto"/>
        <w:ind w:left="357" w:leftChars="-100" w:hanging="567" w:hangingChars="27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服务费汇入账号（特别提醒，本账户非</w:t>
      </w:r>
      <w:r>
        <w:rPr>
          <w:rFonts w:hint="eastAsia" w:ascii="宋体" w:hAnsi="宋体" w:eastAsia="宋体" w:cs="宋体"/>
          <w:color w:val="auto"/>
          <w:szCs w:val="21"/>
          <w:highlight w:val="none"/>
          <w:lang w:eastAsia="zh-CN"/>
        </w:rPr>
        <w:t>响应保证金</w:t>
      </w:r>
      <w:r>
        <w:rPr>
          <w:rFonts w:hint="eastAsia" w:ascii="宋体" w:hAnsi="宋体" w:eastAsia="宋体" w:cs="宋体"/>
          <w:color w:val="auto"/>
          <w:szCs w:val="21"/>
          <w:highlight w:val="none"/>
        </w:rPr>
        <w:t>汇入账户)：</w:t>
      </w:r>
    </w:p>
    <w:p w14:paraId="406655AD">
      <w:pPr>
        <w:autoSpaceDE w:val="0"/>
        <w:autoSpaceDN w:val="0"/>
        <w:adjustRightInd w:val="0"/>
        <w:spacing w:line="360" w:lineRule="auto"/>
        <w:ind w:left="357" w:leftChars="-100" w:hanging="567" w:hangingChars="27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开户名称：</w:t>
      </w:r>
      <w:r>
        <w:rPr>
          <w:rFonts w:hint="eastAsia" w:ascii="宋体" w:hAnsi="宋体" w:eastAsia="宋体" w:cs="宋体"/>
          <w:color w:val="auto"/>
          <w:szCs w:val="21"/>
          <w:highlight w:val="none"/>
          <w:lang w:eastAsia="zh-CN"/>
        </w:rPr>
        <w:t>公诚管理咨询有限公司</w:t>
      </w:r>
    </w:p>
    <w:p w14:paraId="3A006EB1">
      <w:pPr>
        <w:autoSpaceDE w:val="0"/>
        <w:autoSpaceDN w:val="0"/>
        <w:adjustRightInd w:val="0"/>
        <w:spacing w:line="360" w:lineRule="auto"/>
        <w:ind w:left="357" w:leftChars="-100" w:hanging="567" w:hangingChars="27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     银行账号：</w:t>
      </w:r>
      <w:r>
        <w:rPr>
          <w:rFonts w:hint="eastAsia" w:ascii="宋体" w:hAnsi="宋体" w:eastAsia="宋体" w:cs="宋体"/>
          <w:color w:val="auto"/>
          <w:kern w:val="0"/>
          <w:szCs w:val="21"/>
          <w:highlight w:val="none"/>
          <w:lang w:eastAsia="zh-CN"/>
        </w:rPr>
        <w:t>3110910037672624868</w:t>
      </w:r>
    </w:p>
    <w:p w14:paraId="79AA7765">
      <w:pPr>
        <w:autoSpaceDE w:val="0"/>
        <w:autoSpaceDN w:val="0"/>
        <w:adjustRightInd w:val="0"/>
        <w:spacing w:line="360" w:lineRule="auto"/>
        <w:ind w:left="357" w:leftChars="-100" w:hanging="567" w:hangingChars="27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开户银行：</w:t>
      </w:r>
      <w:r>
        <w:rPr>
          <w:rFonts w:hint="eastAsia" w:ascii="宋体" w:hAnsi="宋体" w:eastAsia="宋体" w:cs="宋体"/>
          <w:color w:val="auto"/>
          <w:kern w:val="0"/>
          <w:szCs w:val="21"/>
          <w:highlight w:val="none"/>
        </w:rPr>
        <w:t>中信银行广州花园支行</w:t>
      </w:r>
    </w:p>
    <w:p w14:paraId="0644C1C4">
      <w:pPr>
        <w:autoSpaceDE w:val="0"/>
        <w:autoSpaceDN w:val="0"/>
        <w:adjustRightInd w:val="0"/>
        <w:spacing w:line="360" w:lineRule="auto"/>
        <w:ind w:left="357" w:leftChars="-100"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 xml:space="preserve">.4 </w:t>
      </w:r>
      <w:r>
        <w:rPr>
          <w:rFonts w:hint="eastAsia" w:ascii="宋体" w:hAnsi="宋体" w:eastAsia="宋体" w:cs="宋体"/>
          <w:color w:val="auto"/>
          <w:szCs w:val="21"/>
          <w:highlight w:val="none"/>
          <w:lang w:val="en-US" w:eastAsia="zh-CN"/>
        </w:rPr>
        <w:t>成交人</w:t>
      </w:r>
      <w:r>
        <w:rPr>
          <w:rFonts w:hint="eastAsia" w:ascii="宋体" w:hAnsi="宋体" w:eastAsia="宋体" w:cs="宋体"/>
          <w:color w:val="auto"/>
          <w:szCs w:val="21"/>
          <w:highlight w:val="none"/>
        </w:rPr>
        <w:t>如未按第3</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.1款、第3</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.2款规定办理，将不予退还其</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保证金。</w:t>
      </w:r>
    </w:p>
    <w:p w14:paraId="530165EA">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bookmarkStart w:id="346" w:name="_Toc450662889"/>
    </w:p>
    <w:p w14:paraId="232AD303">
      <w:pPr>
        <w:tabs>
          <w:tab w:val="left" w:pos="360"/>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lang w:val="zh-CN"/>
        </w:rPr>
      </w:pPr>
      <w:bookmarkStart w:id="347" w:name="_Toc6796"/>
      <w:bookmarkStart w:id="348" w:name="_Toc486167704"/>
      <w:bookmarkStart w:id="349" w:name="_Toc1680708833"/>
      <w:bookmarkStart w:id="350" w:name="_Toc21985"/>
      <w:bookmarkStart w:id="351" w:name="_Toc6764_WPSOffice_Level3"/>
      <w:bookmarkStart w:id="352" w:name="_Toc142508355"/>
      <w:r>
        <w:rPr>
          <w:rFonts w:hint="eastAsia" w:ascii="宋体" w:hAnsi="宋体" w:eastAsia="宋体" w:cs="宋体"/>
          <w:color w:val="auto"/>
          <w:szCs w:val="21"/>
          <w:highlight w:val="none"/>
        </w:rPr>
        <w:t>38</w:t>
      </w:r>
      <w:r>
        <w:rPr>
          <w:rFonts w:hint="eastAsia" w:ascii="宋体" w:hAnsi="宋体" w:eastAsia="宋体" w:cs="宋体"/>
          <w:color w:val="auto"/>
          <w:szCs w:val="21"/>
          <w:highlight w:val="none"/>
          <w:lang w:val="zh-CN"/>
        </w:rPr>
        <w:t xml:space="preserve"> 发票</w:t>
      </w:r>
      <w:bookmarkEnd w:id="346"/>
      <w:bookmarkEnd w:id="347"/>
      <w:bookmarkEnd w:id="348"/>
      <w:bookmarkEnd w:id="349"/>
      <w:bookmarkEnd w:id="350"/>
      <w:bookmarkEnd w:id="351"/>
      <w:bookmarkEnd w:id="352"/>
    </w:p>
    <w:p w14:paraId="4E68007E">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38</w:t>
      </w:r>
      <w:r>
        <w:rPr>
          <w:rFonts w:hint="eastAsia" w:ascii="宋体" w:hAnsi="宋体" w:eastAsia="宋体" w:cs="宋体"/>
          <w:color w:val="auto"/>
          <w:szCs w:val="21"/>
          <w:highlight w:val="none"/>
          <w:lang w:val="zh-CN"/>
        </w:rPr>
        <w:t>.1</w:t>
      </w:r>
      <w:bookmarkStart w:id="353" w:name="_Toc31106_WPSOffice_Level3"/>
      <w:bookmarkStart w:id="354" w:name="_Toc486167705"/>
      <w:r>
        <w:rPr>
          <w:rFonts w:hint="eastAsia" w:ascii="宋体" w:hAnsi="宋体" w:eastAsia="宋体" w:cs="宋体"/>
          <w:color w:val="auto"/>
          <w:szCs w:val="21"/>
          <w:highlight w:val="none"/>
          <w:lang w:val="zh-CN"/>
        </w:rPr>
        <w:t>该项目获得</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的</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人在执行合同过程中，向采购人（或采购人的权属</w:t>
      </w:r>
      <w:r>
        <w:rPr>
          <w:rFonts w:hint="eastAsia" w:ascii="宋体" w:hAnsi="宋体" w:eastAsia="宋体" w:cs="宋体"/>
          <w:color w:val="auto"/>
          <w:szCs w:val="21"/>
          <w:highlight w:val="none"/>
          <w:lang w:val="en-US" w:eastAsia="zh-CN"/>
        </w:rPr>
        <w:t>子</w:t>
      </w:r>
      <w:r>
        <w:rPr>
          <w:rFonts w:hint="eastAsia" w:ascii="宋体" w:hAnsi="宋体" w:eastAsia="宋体" w:cs="宋体"/>
          <w:color w:val="auto"/>
          <w:szCs w:val="21"/>
          <w:highlight w:val="none"/>
          <w:lang w:val="zh-CN"/>
        </w:rPr>
        <w:t>公司）出具的发票必须是由</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人开具，不得以其他单位或个人名义出具，本项目</w:t>
      </w:r>
      <w:r>
        <w:rPr>
          <w:rFonts w:hint="eastAsia" w:ascii="宋体" w:hAnsi="宋体" w:eastAsia="宋体" w:cs="宋体"/>
          <w:color w:val="auto"/>
          <w:szCs w:val="21"/>
          <w:highlight w:val="none"/>
          <w:lang w:val="en-US" w:eastAsia="zh-CN"/>
        </w:rPr>
        <w:t>成交人</w:t>
      </w:r>
      <w:r>
        <w:rPr>
          <w:rFonts w:hint="eastAsia" w:ascii="宋体" w:hAnsi="宋体" w:eastAsia="宋体" w:cs="宋体"/>
          <w:color w:val="auto"/>
          <w:szCs w:val="21"/>
          <w:highlight w:val="none"/>
          <w:lang w:val="zh-CN"/>
        </w:rPr>
        <w:t>向采购人（或采购人的权属</w:t>
      </w:r>
      <w:r>
        <w:rPr>
          <w:rFonts w:hint="eastAsia" w:ascii="宋体" w:hAnsi="宋体" w:eastAsia="宋体" w:cs="宋体"/>
          <w:color w:val="auto"/>
          <w:szCs w:val="21"/>
          <w:highlight w:val="none"/>
          <w:lang w:val="en-US" w:eastAsia="zh-CN"/>
        </w:rPr>
        <w:t>子</w:t>
      </w:r>
      <w:r>
        <w:rPr>
          <w:rFonts w:hint="eastAsia" w:ascii="宋体" w:hAnsi="宋体" w:eastAsia="宋体" w:cs="宋体"/>
          <w:color w:val="auto"/>
          <w:szCs w:val="21"/>
          <w:highlight w:val="none"/>
          <w:lang w:val="zh-CN"/>
        </w:rPr>
        <w:t>公司）出具的发票类型为增值税专用发票。</w:t>
      </w:r>
    </w:p>
    <w:p w14:paraId="17AC7DCC">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rPr>
      </w:pPr>
    </w:p>
    <w:p w14:paraId="3F5F1C48">
      <w:pPr>
        <w:tabs>
          <w:tab w:val="left" w:pos="360"/>
        </w:tabs>
        <w:autoSpaceDE w:val="0"/>
        <w:autoSpaceDN w:val="0"/>
        <w:adjustRightInd w:val="0"/>
        <w:spacing w:line="360" w:lineRule="auto"/>
        <w:ind w:left="357" w:leftChars="-100" w:hanging="567"/>
        <w:jc w:val="left"/>
        <w:outlineLvl w:val="2"/>
        <w:rPr>
          <w:rFonts w:hint="eastAsia" w:ascii="宋体" w:hAnsi="宋体" w:eastAsia="宋体" w:cs="宋体"/>
          <w:b/>
          <w:color w:val="auto"/>
          <w:szCs w:val="21"/>
          <w:highlight w:val="none"/>
        </w:rPr>
      </w:pPr>
      <w:bookmarkStart w:id="355" w:name="_Toc14536684"/>
      <w:bookmarkStart w:id="356" w:name="_Toc142508356"/>
      <w:bookmarkStart w:id="357" w:name="_Toc24547"/>
      <w:bookmarkStart w:id="358" w:name="_Toc8619"/>
      <w:r>
        <w:rPr>
          <w:rFonts w:hint="eastAsia" w:ascii="宋体" w:hAnsi="宋体" w:eastAsia="宋体" w:cs="宋体"/>
          <w:b/>
          <w:color w:val="auto"/>
          <w:szCs w:val="21"/>
          <w:highlight w:val="none"/>
        </w:rPr>
        <w:t>39 相关补充约定</w:t>
      </w:r>
      <w:bookmarkEnd w:id="355"/>
      <w:bookmarkEnd w:id="356"/>
      <w:bookmarkEnd w:id="357"/>
      <w:bookmarkEnd w:id="358"/>
    </w:p>
    <w:p w14:paraId="666CF2B8">
      <w:pPr>
        <w:autoSpaceDE w:val="0"/>
        <w:autoSpaceDN w:val="0"/>
        <w:adjustRightInd w:val="0"/>
        <w:snapToGrid w:val="0"/>
        <w:spacing w:line="360" w:lineRule="auto"/>
        <w:ind w:left="317" w:leftChars="-100" w:hanging="527" w:hangingChars="25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39.1</w:t>
      </w:r>
      <w:r>
        <w:rPr>
          <w:rFonts w:hint="eastAsia" w:ascii="宋体" w:hAnsi="宋体" w:eastAsia="宋体" w:cs="宋体"/>
          <w:b/>
          <w:color w:val="auto"/>
          <w:szCs w:val="21"/>
          <w:highlight w:val="none"/>
        </w:rPr>
        <w:tab/>
      </w:r>
      <w:r>
        <w:rPr>
          <w:rFonts w:hint="eastAsia" w:ascii="宋体" w:hAnsi="宋体" w:eastAsia="宋体" w:cs="宋体"/>
          <w:b/>
          <w:color w:val="auto"/>
          <w:szCs w:val="21"/>
          <w:highlight w:val="none"/>
        </w:rPr>
        <w:t>本项目</w:t>
      </w:r>
      <w:r>
        <w:rPr>
          <w:rFonts w:hint="eastAsia" w:ascii="宋体" w:hAnsi="宋体" w:eastAsia="宋体" w:cs="宋体"/>
          <w:b/>
          <w:color w:val="auto"/>
          <w:szCs w:val="21"/>
          <w:highlight w:val="none"/>
          <w:lang w:eastAsia="zh-CN"/>
        </w:rPr>
        <w:t>供应商</w:t>
      </w:r>
      <w:r>
        <w:rPr>
          <w:rFonts w:hint="eastAsia" w:ascii="宋体" w:hAnsi="宋体" w:eastAsia="宋体" w:cs="宋体"/>
          <w:b/>
          <w:color w:val="auto"/>
          <w:szCs w:val="21"/>
          <w:highlight w:val="none"/>
        </w:rPr>
        <w:t>须知第2条所述行政处罚信息，以</w:t>
      </w:r>
      <w:r>
        <w:rPr>
          <w:rFonts w:hint="eastAsia" w:ascii="宋体" w:hAnsi="宋体" w:eastAsia="宋体" w:cs="宋体"/>
          <w:b/>
          <w:color w:val="auto"/>
          <w:szCs w:val="21"/>
          <w:highlight w:val="none"/>
          <w:lang w:eastAsia="zh-CN"/>
        </w:rPr>
        <w:t>开启</w:t>
      </w:r>
      <w:r>
        <w:rPr>
          <w:rFonts w:hint="eastAsia" w:ascii="宋体" w:hAnsi="宋体" w:eastAsia="宋体" w:cs="宋体"/>
          <w:b/>
          <w:color w:val="auto"/>
          <w:szCs w:val="21"/>
          <w:highlight w:val="none"/>
          <w:lang w:val="en-US" w:eastAsia="zh-CN"/>
        </w:rPr>
        <w:t>当天</w:t>
      </w:r>
      <w:r>
        <w:rPr>
          <w:rFonts w:hint="eastAsia" w:ascii="宋体" w:hAnsi="宋体" w:eastAsia="宋体" w:cs="宋体"/>
          <w:b/>
          <w:color w:val="auto"/>
          <w:szCs w:val="21"/>
          <w:highlight w:val="none"/>
        </w:rPr>
        <w:t>在“信用中国”网站（www.creditchina.gov.cn）查询结果为准，或以司法、仲裁机构等出具的生效文件予以认定,时间以认定文件的落款时间为准。</w:t>
      </w:r>
      <w:r>
        <w:rPr>
          <w:rFonts w:hint="eastAsia" w:ascii="宋体" w:hAnsi="宋体" w:eastAsia="宋体" w:cs="宋体"/>
          <w:b/>
          <w:color w:val="auto"/>
          <w:szCs w:val="21"/>
          <w:highlight w:val="none"/>
          <w:lang w:eastAsia="zh-CN"/>
        </w:rPr>
        <w:t>开启</w:t>
      </w:r>
      <w:r>
        <w:rPr>
          <w:rFonts w:hint="eastAsia" w:ascii="宋体" w:hAnsi="宋体" w:eastAsia="宋体" w:cs="宋体"/>
          <w:b/>
          <w:color w:val="auto"/>
          <w:szCs w:val="21"/>
          <w:highlight w:val="none"/>
        </w:rPr>
        <w:t>结束后，有关</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rPr>
        <w:t>单位的行政处罚信息，以</w:t>
      </w:r>
      <w:r>
        <w:rPr>
          <w:rFonts w:hint="eastAsia" w:ascii="宋体" w:hAnsi="宋体" w:eastAsia="宋体" w:cs="宋体"/>
          <w:b/>
          <w:color w:val="auto"/>
          <w:szCs w:val="21"/>
          <w:highlight w:val="none"/>
          <w:lang w:val="en-US" w:eastAsia="zh-CN"/>
        </w:rPr>
        <w:t>开启当天查询</w:t>
      </w:r>
      <w:r>
        <w:rPr>
          <w:rFonts w:hint="eastAsia" w:ascii="宋体" w:hAnsi="宋体" w:eastAsia="宋体" w:cs="宋体"/>
          <w:b/>
          <w:color w:val="auto"/>
          <w:szCs w:val="21"/>
          <w:highlight w:val="none"/>
        </w:rPr>
        <w:t>结果为准；结果公示期间，如</w:t>
      </w:r>
      <w:r>
        <w:rPr>
          <w:rFonts w:hint="eastAsia" w:ascii="宋体" w:hAnsi="宋体" w:eastAsia="宋体" w:cs="宋体"/>
          <w:b/>
          <w:color w:val="auto"/>
          <w:szCs w:val="21"/>
          <w:highlight w:val="none"/>
          <w:lang w:eastAsia="zh-CN"/>
        </w:rPr>
        <w:t>供应商</w:t>
      </w:r>
      <w:r>
        <w:rPr>
          <w:rFonts w:hint="eastAsia" w:ascii="宋体" w:hAnsi="宋体" w:eastAsia="宋体" w:cs="宋体"/>
          <w:b/>
          <w:color w:val="auto"/>
          <w:szCs w:val="21"/>
          <w:highlight w:val="none"/>
        </w:rPr>
        <w:t>对有关</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rPr>
        <w:t>单位的行政处罚信息存在异议，但不涉及第一</w:t>
      </w:r>
      <w:r>
        <w:rPr>
          <w:rFonts w:hint="eastAsia" w:ascii="宋体" w:hAnsi="宋体" w:eastAsia="宋体" w:cs="宋体"/>
          <w:b/>
          <w:color w:val="auto"/>
          <w:szCs w:val="21"/>
          <w:highlight w:val="none"/>
          <w:lang w:val="en-US" w:eastAsia="zh-CN"/>
        </w:rPr>
        <w:t>成交</w:t>
      </w:r>
      <w:r>
        <w:rPr>
          <w:rFonts w:hint="eastAsia" w:ascii="宋体" w:hAnsi="宋体" w:eastAsia="宋体" w:cs="宋体"/>
          <w:b/>
          <w:color w:val="auto"/>
          <w:szCs w:val="21"/>
          <w:highlight w:val="none"/>
        </w:rPr>
        <w:t>候选人的，视为对</w:t>
      </w:r>
      <w:r>
        <w:rPr>
          <w:rFonts w:hint="eastAsia" w:ascii="宋体" w:hAnsi="宋体" w:eastAsia="宋体" w:cs="宋体"/>
          <w:b/>
          <w:color w:val="auto"/>
          <w:szCs w:val="21"/>
          <w:highlight w:val="none"/>
          <w:lang w:val="en-US" w:eastAsia="zh-CN"/>
        </w:rPr>
        <w:t>成交</w:t>
      </w:r>
      <w:r>
        <w:rPr>
          <w:rFonts w:hint="eastAsia" w:ascii="宋体" w:hAnsi="宋体" w:eastAsia="宋体" w:cs="宋体"/>
          <w:b/>
          <w:color w:val="auto"/>
          <w:szCs w:val="21"/>
          <w:highlight w:val="none"/>
        </w:rPr>
        <w:t>结果没有造成实质影响。</w:t>
      </w:r>
    </w:p>
    <w:p w14:paraId="4903AC47">
      <w:pPr>
        <w:autoSpaceDE w:val="0"/>
        <w:autoSpaceDN w:val="0"/>
        <w:adjustRightInd w:val="0"/>
        <w:snapToGrid w:val="0"/>
        <w:spacing w:line="360" w:lineRule="auto"/>
        <w:ind w:left="315" w:leftChars="-100" w:hanging="525" w:hangingChars="250"/>
        <w:jc w:val="left"/>
        <w:rPr>
          <w:rFonts w:hint="eastAsia" w:ascii="宋体" w:hAnsi="宋体" w:eastAsia="宋体" w:cs="宋体"/>
          <w:color w:val="auto"/>
          <w:szCs w:val="21"/>
          <w:highlight w:val="none"/>
        </w:rPr>
      </w:pPr>
    </w:p>
    <w:p w14:paraId="214A8E1D">
      <w:pPr>
        <w:tabs>
          <w:tab w:val="left" w:pos="360"/>
        </w:tabs>
        <w:autoSpaceDE w:val="0"/>
        <w:autoSpaceDN w:val="0"/>
        <w:adjustRightInd w:val="0"/>
        <w:spacing w:line="360" w:lineRule="auto"/>
        <w:ind w:left="357" w:leftChars="-100" w:hanging="567"/>
        <w:jc w:val="left"/>
        <w:outlineLvl w:val="2"/>
        <w:rPr>
          <w:rFonts w:hint="eastAsia" w:ascii="宋体" w:hAnsi="宋体" w:eastAsia="宋体" w:cs="宋体"/>
          <w:color w:val="auto"/>
          <w:szCs w:val="21"/>
          <w:highlight w:val="none"/>
        </w:rPr>
      </w:pPr>
      <w:bookmarkStart w:id="359" w:name="_Toc1546245570"/>
      <w:bookmarkStart w:id="360" w:name="_Toc26594"/>
      <w:bookmarkStart w:id="361" w:name="_Toc29758"/>
      <w:bookmarkStart w:id="362" w:name="_Toc142508357"/>
      <w:r>
        <w:rPr>
          <w:rFonts w:hint="eastAsia" w:ascii="宋体" w:hAnsi="宋体" w:eastAsia="宋体" w:cs="宋体"/>
          <w:color w:val="auto"/>
          <w:szCs w:val="21"/>
          <w:highlight w:val="none"/>
        </w:rPr>
        <w:t>40 本次</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rPr>
        <w:t>活动的最终解释权归</w:t>
      </w:r>
      <w:r>
        <w:rPr>
          <w:rFonts w:hint="eastAsia" w:ascii="宋体" w:hAnsi="宋体" w:eastAsia="宋体" w:cs="宋体"/>
          <w:color w:val="auto"/>
          <w:szCs w:val="21"/>
          <w:highlight w:val="none"/>
          <w:lang w:eastAsia="zh-CN"/>
        </w:rPr>
        <w:t>采购代理机构</w:t>
      </w:r>
      <w:r>
        <w:rPr>
          <w:rFonts w:hint="eastAsia" w:ascii="宋体" w:hAnsi="宋体" w:eastAsia="宋体" w:cs="宋体"/>
          <w:color w:val="auto"/>
          <w:szCs w:val="21"/>
          <w:highlight w:val="none"/>
        </w:rPr>
        <w:t>及</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所有。</w:t>
      </w:r>
      <w:bookmarkEnd w:id="353"/>
      <w:bookmarkEnd w:id="354"/>
      <w:bookmarkEnd w:id="359"/>
      <w:bookmarkEnd w:id="360"/>
      <w:bookmarkEnd w:id="361"/>
      <w:bookmarkEnd w:id="362"/>
    </w:p>
    <w:p w14:paraId="3E48B81B">
      <w:pPr>
        <w:pageBreakBefore w:val="0"/>
        <w:autoSpaceDE/>
        <w:autoSpaceDN/>
        <w:adjustRightInd/>
        <w:spacing w:line="240" w:lineRule="auto"/>
        <w:ind w:left="0" w:leftChars="0" w:firstLine="0"/>
        <w:jc w:val="left"/>
        <w:outlineLvl w:val="9"/>
        <w:rPr>
          <w:rFonts w:hint="eastAsia" w:ascii="宋体" w:hAnsi="宋体" w:eastAsia="宋体" w:cs="宋体"/>
          <w:b/>
          <w:bCs/>
          <w:color w:val="auto"/>
          <w:kern w:val="44"/>
          <w:sz w:val="32"/>
          <w:szCs w:val="32"/>
          <w:highlight w:val="none"/>
          <w:lang w:val="zh-CN"/>
        </w:rPr>
      </w:pPr>
      <w:bookmarkStart w:id="363" w:name="_Toc9840"/>
      <w:bookmarkStart w:id="364" w:name="_Toc142508361"/>
      <w:bookmarkStart w:id="365" w:name="_Toc15817"/>
      <w:bookmarkStart w:id="366" w:name="_Toc486167708"/>
      <w:bookmarkStart w:id="367" w:name="_Toc32761_WPSOffice_Level1"/>
      <w:bookmarkStart w:id="368" w:name="_Toc450662895"/>
      <w:r>
        <w:rPr>
          <w:rFonts w:hint="eastAsia" w:ascii="宋体" w:hAnsi="宋体" w:eastAsia="宋体" w:cs="宋体"/>
          <w:b/>
          <w:bCs/>
          <w:color w:val="auto"/>
          <w:kern w:val="44"/>
          <w:sz w:val="32"/>
          <w:szCs w:val="32"/>
          <w:highlight w:val="none"/>
          <w:lang w:val="zh-CN"/>
        </w:rPr>
        <w:br w:type="page"/>
      </w:r>
    </w:p>
    <w:p w14:paraId="4416732D">
      <w:pPr>
        <w:pageBreakBefore/>
        <w:tabs>
          <w:tab w:val="left" w:pos="1080"/>
        </w:tabs>
        <w:autoSpaceDE w:val="0"/>
        <w:autoSpaceDN w:val="0"/>
        <w:adjustRightInd w:val="0"/>
        <w:spacing w:line="360" w:lineRule="auto"/>
        <w:ind w:left="357" w:leftChars="-100" w:hanging="567"/>
        <w:jc w:val="center"/>
        <w:outlineLvl w:val="0"/>
        <w:rPr>
          <w:rFonts w:hint="eastAsia" w:ascii="宋体" w:hAnsi="宋体" w:eastAsia="宋体" w:cs="宋体"/>
          <w:b/>
          <w:bCs/>
          <w:color w:val="auto"/>
          <w:kern w:val="0"/>
          <w:sz w:val="32"/>
          <w:szCs w:val="32"/>
          <w:highlight w:val="none"/>
          <w:lang w:val="zh-CN"/>
        </w:rPr>
      </w:pPr>
      <w:bookmarkStart w:id="369" w:name="_Toc18115"/>
      <w:bookmarkStart w:id="370" w:name="_Toc160654632"/>
      <w:bookmarkStart w:id="371" w:name="_Toc6282"/>
      <w:bookmarkStart w:id="372" w:name="_Toc22810"/>
      <w:r>
        <w:rPr>
          <w:rFonts w:hint="eastAsia" w:ascii="宋体" w:hAnsi="宋体" w:eastAsia="宋体" w:cs="宋体"/>
          <w:b/>
          <w:bCs/>
          <w:color w:val="auto"/>
          <w:kern w:val="44"/>
          <w:sz w:val="32"/>
          <w:szCs w:val="32"/>
          <w:highlight w:val="none"/>
          <w:lang w:val="zh-CN"/>
        </w:rPr>
        <w:t>第三篇</w:t>
      </w:r>
      <w:r>
        <w:rPr>
          <w:rFonts w:ascii="宋体" w:hAnsi="宋体" w:eastAsia="宋体" w:cs="宋体"/>
          <w:b/>
          <w:bCs/>
          <w:color w:val="auto"/>
          <w:kern w:val="44"/>
          <w:sz w:val="32"/>
          <w:szCs w:val="32"/>
          <w:highlight w:val="none"/>
          <w:lang w:val="zh-CN"/>
        </w:rPr>
        <w:t xml:space="preserve"> </w:t>
      </w:r>
      <w:r>
        <w:rPr>
          <w:rFonts w:hint="eastAsia" w:ascii="宋体" w:hAnsi="宋体" w:eastAsia="宋体" w:cs="宋体"/>
          <w:b/>
          <w:bCs/>
          <w:color w:val="auto"/>
          <w:kern w:val="44"/>
          <w:sz w:val="32"/>
          <w:szCs w:val="32"/>
          <w:highlight w:val="none"/>
          <w:lang w:val="zh-CN"/>
        </w:rPr>
        <w:t>用户需求书</w:t>
      </w:r>
      <w:bookmarkEnd w:id="369"/>
      <w:bookmarkEnd w:id="370"/>
    </w:p>
    <w:bookmarkEnd w:id="371"/>
    <w:bookmarkEnd w:id="372"/>
    <w:p w14:paraId="28180AA7">
      <w:pPr>
        <w:autoSpaceDE/>
        <w:adjustRightInd/>
        <w:spacing w:line="360" w:lineRule="auto"/>
        <w:ind w:firstLine="420" w:firstLineChars="200"/>
        <w:outlineLvl w:val="9"/>
        <w:rPr>
          <w:rFonts w:hint="eastAsia" w:ascii="宋体" w:hAnsi="宋体" w:eastAsia="宋体" w:cs="宋体"/>
          <w:color w:val="auto"/>
          <w:kern w:val="2"/>
          <w:sz w:val="21"/>
          <w:szCs w:val="21"/>
          <w:highlight w:val="none"/>
        </w:rPr>
      </w:pPr>
      <w:bookmarkStart w:id="373" w:name="_Toc22866"/>
      <w:bookmarkStart w:id="374" w:name="_Toc23633"/>
      <w:bookmarkStart w:id="375" w:name="_Toc30747"/>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2"/>
          <w:sz w:val="21"/>
          <w:szCs w:val="21"/>
          <w:highlight w:val="none"/>
        </w:rPr>
        <w:t>一、项目概况</w:t>
      </w:r>
    </w:p>
    <w:p w14:paraId="3D5D831B">
      <w:pPr>
        <w:autoSpaceDE/>
        <w:adjustRightInd/>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东莞市污泥集中处理处置项目位于东莞市沙田镇虎门港立沙岛精细化工园区沙望路南侧，总用地面积约8.8632公顷，负责接纳处理东莞市全域范围内生活污水厂的脱水污泥，近期建设规模为2000t/d（以含水率60%计），共5条污泥焚烧线，焚烧工艺流程为【鼓泡流化床焚烧炉】+【高温空预器】+【余热锅炉】+【静电除尘器】+【干法脱酸（含活性炭喷射）】+【布袋除尘器】+【湿法脱酸】+【烟气再热】，同步配套2条湿法脱酸废水处理线，总设计规模为650立方/天。</w:t>
      </w:r>
    </w:p>
    <w:p w14:paraId="477B85DD">
      <w:pPr>
        <w:autoSpaceDE/>
        <w:adjustRightInd/>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设计方案，本项目采用小苏打干法脱酸加氢氧化钠湿法脱酸组合脱酸工艺，湿法脱酸产生的废水进入废水处理系统，废水中的盐分最终经三效蒸发装置处理后以废盐形式产出。根据项目环境影响评价，废盐须进行固体废物属性鉴定，鉴定前按照危险废物管理，参考上海嘉定污泥焚烧项目竣工环保验收的结论，本项目产生的废盐拟按危险废物管理，危险废物代码暂定为772-006-49。本项目建设有约40平方的废盐暂存间一座，用于存储吨包废盐。</w:t>
      </w:r>
    </w:p>
    <w:p w14:paraId="68CB4E11">
      <w:pPr>
        <w:autoSpaceDE/>
        <w:adjustRightInd/>
        <w:spacing w:line="360" w:lineRule="auto"/>
        <w:ind w:firstLine="420" w:firstLineChars="200"/>
        <w:outlineLvl w:val="9"/>
        <w:rPr>
          <w:rFonts w:hint="eastAsia" w:ascii="宋体" w:hAnsi="宋体" w:eastAsia="宋体" w:cs="宋体"/>
          <w:color w:val="auto"/>
          <w:sz w:val="21"/>
          <w:szCs w:val="21"/>
          <w:highlight w:val="none"/>
        </w:rPr>
      </w:pPr>
      <w:bookmarkStart w:id="376" w:name="_Toc23784"/>
      <w:bookmarkStart w:id="377" w:name="_Toc23329"/>
      <w:r>
        <w:rPr>
          <w:rFonts w:hint="eastAsia" w:ascii="宋体" w:hAnsi="宋体" w:eastAsia="宋体" w:cs="宋体"/>
          <w:color w:val="auto"/>
          <w:sz w:val="21"/>
          <w:szCs w:val="21"/>
          <w:highlight w:val="none"/>
        </w:rPr>
        <w:t>二、委托处置的内容及废物性状情况</w:t>
      </w:r>
    </w:p>
    <w:bookmarkEnd w:id="376"/>
    <w:bookmarkEnd w:id="377"/>
    <w:p w14:paraId="5A7ED9C3">
      <w:pPr>
        <w:autoSpaceDE/>
        <w:adjustRightInd/>
        <w:spacing w:line="360" w:lineRule="auto"/>
        <w:ind w:firstLine="422" w:firstLineChars="200"/>
        <w:outlineLvl w:val="9"/>
        <w:rPr>
          <w:rFonts w:hint="eastAsia" w:ascii="宋体" w:hAnsi="宋体" w:eastAsia="宋体" w:cs="宋体"/>
          <w:b/>
          <w:bCs/>
          <w:color w:val="auto"/>
          <w:sz w:val="21"/>
          <w:szCs w:val="21"/>
          <w:highlight w:val="none"/>
        </w:rPr>
      </w:pPr>
      <w:bookmarkStart w:id="378" w:name="_Toc24914"/>
      <w:bookmarkStart w:id="379" w:name="_Toc11078"/>
      <w:r>
        <w:rPr>
          <w:rFonts w:hint="eastAsia" w:ascii="宋体" w:hAnsi="宋体" w:eastAsia="宋体" w:cs="宋体"/>
          <w:b/>
          <w:bCs/>
          <w:color w:val="auto"/>
          <w:sz w:val="21"/>
          <w:szCs w:val="21"/>
          <w:highlight w:val="none"/>
        </w:rPr>
        <w:t>（一）委托处置的废物种类及数量见下表所示：</w:t>
      </w:r>
    </w:p>
    <w:tbl>
      <w:tblPr>
        <w:tblStyle w:val="36"/>
        <w:tblW w:w="8247" w:type="dxa"/>
        <w:jc w:val="center"/>
        <w:tblLayout w:type="autofit"/>
        <w:tblCellMar>
          <w:top w:w="0" w:type="dxa"/>
          <w:left w:w="108" w:type="dxa"/>
          <w:bottom w:w="0" w:type="dxa"/>
          <w:right w:w="108" w:type="dxa"/>
        </w:tblCellMar>
      </w:tblPr>
      <w:tblGrid>
        <w:gridCol w:w="1338"/>
        <w:gridCol w:w="2115"/>
        <w:gridCol w:w="1530"/>
        <w:gridCol w:w="1900"/>
        <w:gridCol w:w="1364"/>
      </w:tblGrid>
      <w:tr w14:paraId="3838A1F5">
        <w:tblPrEx>
          <w:tblCellMar>
            <w:top w:w="0" w:type="dxa"/>
            <w:left w:w="108" w:type="dxa"/>
            <w:bottom w:w="0" w:type="dxa"/>
            <w:right w:w="108" w:type="dxa"/>
          </w:tblCellMar>
        </w:tblPrEx>
        <w:trPr>
          <w:trHeight w:val="648" w:hRule="atLeast"/>
          <w:jc w:val="center"/>
        </w:trPr>
        <w:tc>
          <w:tcPr>
            <w:tcW w:w="1338" w:type="dxa"/>
            <w:tcBorders>
              <w:top w:val="single" w:color="auto" w:sz="4" w:space="0"/>
              <w:left w:val="single" w:color="auto" w:sz="4" w:space="0"/>
              <w:bottom w:val="single" w:color="auto" w:sz="4" w:space="0"/>
              <w:right w:val="single" w:color="auto" w:sz="4" w:space="0"/>
            </w:tcBorders>
            <w:vAlign w:val="center"/>
          </w:tcPr>
          <w:p w14:paraId="4F74E3C8">
            <w:pPr>
              <w:widowControl/>
              <w:spacing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废物名称</w:t>
            </w:r>
          </w:p>
        </w:tc>
        <w:tc>
          <w:tcPr>
            <w:tcW w:w="2115" w:type="dxa"/>
            <w:tcBorders>
              <w:top w:val="single" w:color="auto" w:sz="4" w:space="0"/>
              <w:left w:val="single" w:color="auto" w:sz="4" w:space="0"/>
              <w:bottom w:val="single" w:color="auto" w:sz="4" w:space="0"/>
              <w:right w:val="single" w:color="auto" w:sz="4" w:space="0"/>
            </w:tcBorders>
            <w:vAlign w:val="center"/>
          </w:tcPr>
          <w:p w14:paraId="5253569B">
            <w:pPr>
              <w:widowControl/>
              <w:spacing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暂定废物代码</w:t>
            </w:r>
          </w:p>
        </w:tc>
        <w:tc>
          <w:tcPr>
            <w:tcW w:w="1530" w:type="dxa"/>
            <w:tcBorders>
              <w:top w:val="single" w:color="auto" w:sz="4" w:space="0"/>
              <w:left w:val="nil"/>
              <w:bottom w:val="single" w:color="auto" w:sz="4" w:space="0"/>
              <w:right w:val="single" w:color="auto" w:sz="4" w:space="0"/>
            </w:tcBorders>
            <w:vAlign w:val="center"/>
          </w:tcPr>
          <w:p w14:paraId="622E682D">
            <w:pPr>
              <w:widowControl/>
              <w:spacing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包装方式</w:t>
            </w:r>
          </w:p>
        </w:tc>
        <w:tc>
          <w:tcPr>
            <w:tcW w:w="1900" w:type="dxa"/>
            <w:tcBorders>
              <w:top w:val="single" w:color="auto" w:sz="4" w:space="0"/>
              <w:left w:val="nil"/>
              <w:bottom w:val="single" w:color="auto" w:sz="4" w:space="0"/>
              <w:right w:val="single" w:color="auto" w:sz="4" w:space="0"/>
            </w:tcBorders>
            <w:vAlign w:val="center"/>
          </w:tcPr>
          <w:p w14:paraId="295F6775">
            <w:pPr>
              <w:widowControl/>
              <w:spacing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预估量（吨）</w:t>
            </w:r>
          </w:p>
        </w:tc>
        <w:tc>
          <w:tcPr>
            <w:tcW w:w="1364" w:type="dxa"/>
            <w:tcBorders>
              <w:top w:val="single" w:color="auto" w:sz="4" w:space="0"/>
              <w:left w:val="nil"/>
              <w:bottom w:val="single" w:color="auto" w:sz="4" w:space="0"/>
              <w:right w:val="single" w:color="auto" w:sz="4" w:space="0"/>
            </w:tcBorders>
            <w:vAlign w:val="center"/>
          </w:tcPr>
          <w:p w14:paraId="4C10B690">
            <w:pPr>
              <w:widowControl/>
              <w:spacing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备注</w:t>
            </w:r>
          </w:p>
        </w:tc>
      </w:tr>
      <w:tr w14:paraId="6811D500">
        <w:tblPrEx>
          <w:tblCellMar>
            <w:top w:w="0" w:type="dxa"/>
            <w:left w:w="108" w:type="dxa"/>
            <w:bottom w:w="0" w:type="dxa"/>
            <w:right w:w="108" w:type="dxa"/>
          </w:tblCellMar>
        </w:tblPrEx>
        <w:trPr>
          <w:trHeight w:val="600" w:hRule="atLeast"/>
          <w:jc w:val="center"/>
        </w:trPr>
        <w:tc>
          <w:tcPr>
            <w:tcW w:w="1338" w:type="dxa"/>
            <w:tcBorders>
              <w:top w:val="single" w:color="auto" w:sz="4" w:space="0"/>
              <w:left w:val="single" w:color="auto" w:sz="4" w:space="0"/>
              <w:bottom w:val="single" w:color="auto" w:sz="4" w:space="0"/>
              <w:right w:val="single" w:color="auto" w:sz="4" w:space="0"/>
            </w:tcBorders>
            <w:vAlign w:val="center"/>
          </w:tcPr>
          <w:p w14:paraId="6FAA0034">
            <w:pPr>
              <w:widowControl/>
              <w:spacing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废盐</w:t>
            </w:r>
          </w:p>
        </w:tc>
        <w:tc>
          <w:tcPr>
            <w:tcW w:w="2115" w:type="dxa"/>
            <w:tcBorders>
              <w:top w:val="single" w:color="auto" w:sz="4" w:space="0"/>
              <w:left w:val="single" w:color="auto" w:sz="4" w:space="0"/>
              <w:bottom w:val="single" w:color="auto" w:sz="4" w:space="0"/>
              <w:right w:val="single" w:color="auto" w:sz="4" w:space="0"/>
            </w:tcBorders>
            <w:vAlign w:val="center"/>
          </w:tcPr>
          <w:p w14:paraId="67D6C0AD">
            <w:pPr>
              <w:widowControl/>
              <w:spacing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772-006-49</w:t>
            </w:r>
          </w:p>
        </w:tc>
        <w:tc>
          <w:tcPr>
            <w:tcW w:w="1530" w:type="dxa"/>
            <w:tcBorders>
              <w:top w:val="single" w:color="auto" w:sz="4" w:space="0"/>
              <w:left w:val="nil"/>
              <w:bottom w:val="single" w:color="auto" w:sz="4" w:space="0"/>
              <w:right w:val="single" w:color="auto" w:sz="4" w:space="0"/>
            </w:tcBorders>
            <w:vAlign w:val="center"/>
          </w:tcPr>
          <w:p w14:paraId="34AA9B5E">
            <w:pPr>
              <w:widowControl/>
              <w:spacing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袋装</w:t>
            </w:r>
          </w:p>
        </w:tc>
        <w:tc>
          <w:tcPr>
            <w:tcW w:w="1900" w:type="dxa"/>
            <w:tcBorders>
              <w:top w:val="single" w:color="auto" w:sz="4" w:space="0"/>
              <w:left w:val="nil"/>
              <w:bottom w:val="single" w:color="auto" w:sz="4" w:space="0"/>
              <w:right w:val="single" w:color="auto" w:sz="4" w:space="0"/>
            </w:tcBorders>
            <w:vAlign w:val="center"/>
          </w:tcPr>
          <w:p w14:paraId="10173BEB">
            <w:pPr>
              <w:widowControl/>
              <w:spacing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804</w:t>
            </w:r>
          </w:p>
        </w:tc>
        <w:tc>
          <w:tcPr>
            <w:tcW w:w="1364" w:type="dxa"/>
            <w:tcBorders>
              <w:top w:val="single" w:color="auto" w:sz="4" w:space="0"/>
              <w:left w:val="nil"/>
              <w:bottom w:val="single" w:color="auto" w:sz="4" w:space="0"/>
              <w:right w:val="single" w:color="auto" w:sz="4" w:space="0"/>
            </w:tcBorders>
            <w:vAlign w:val="center"/>
          </w:tcPr>
          <w:p w14:paraId="666266E2">
            <w:pPr>
              <w:widowControl/>
              <w:spacing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bl>
    <w:p w14:paraId="0F25463B">
      <w:pPr>
        <w:autoSpaceDE/>
        <w:adjustRightInd/>
        <w:spacing w:line="360" w:lineRule="auto"/>
        <w:ind w:firstLine="422" w:firstLineChars="200"/>
        <w:outlineLvl w:val="9"/>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（二）废物性状情况</w:t>
      </w:r>
    </w:p>
    <w:p w14:paraId="2404081F">
      <w:pPr>
        <w:autoSpaceDE/>
        <w:adjustRightInd/>
        <w:spacing w:line="360" w:lineRule="auto"/>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本项目采用钠碱法脱硫，废盐为脱酸废水三效蒸发产物，主要成分为硫酸钠、亚硫酸钠、氢氧化钠等钠盐，含水率约10%。</w:t>
      </w:r>
    </w:p>
    <w:p w14:paraId="49B85A10">
      <w:pPr>
        <w:autoSpaceDE/>
        <w:adjustRightInd/>
        <w:spacing w:line="360" w:lineRule="auto"/>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三、服务范围及要求</w:t>
      </w:r>
    </w:p>
    <w:p w14:paraId="4063F89F">
      <w:pPr>
        <w:autoSpaceDE/>
        <w:adjustRightInd/>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1、合同签订之日起至长期废盐处置服务单位具备服务条件之日</w:t>
      </w:r>
      <w:r>
        <w:rPr>
          <w:rFonts w:hint="eastAsia" w:ascii="宋体" w:hAnsi="宋体" w:eastAsia="宋体" w:cs="宋体"/>
          <w:b w:val="0"/>
          <w:bCs w:val="0"/>
          <w:color w:val="auto"/>
          <w:sz w:val="21"/>
          <w:szCs w:val="21"/>
          <w:highlight w:val="none"/>
          <w:lang w:val="en-US" w:eastAsia="zh-CN"/>
        </w:rPr>
        <w:t>（采购人拟以公开采购方式确定长期废盐处置服务单位，预计2027年2月）</w:t>
      </w:r>
      <w:r>
        <w:rPr>
          <w:rFonts w:hint="eastAsia" w:ascii="宋体" w:hAnsi="宋体" w:eastAsia="宋体" w:cs="宋体"/>
          <w:color w:val="auto"/>
          <w:sz w:val="21"/>
          <w:szCs w:val="21"/>
          <w:highlight w:val="none"/>
        </w:rPr>
        <w:t>或结算处置量达到</w:t>
      </w:r>
      <w:r>
        <w:rPr>
          <w:rFonts w:hint="eastAsia" w:ascii="宋体" w:hAnsi="宋体" w:eastAsia="宋体" w:cs="宋体"/>
          <w:color w:val="auto"/>
          <w:sz w:val="21"/>
          <w:szCs w:val="21"/>
          <w:highlight w:val="none"/>
          <w:lang w:val="en-US" w:eastAsia="zh-CN"/>
        </w:rPr>
        <w:t>804吨</w:t>
      </w:r>
      <w:r>
        <w:rPr>
          <w:rFonts w:hint="eastAsia" w:ascii="宋体" w:hAnsi="宋体" w:eastAsia="宋体" w:cs="宋体"/>
          <w:color w:val="auto"/>
          <w:sz w:val="21"/>
          <w:szCs w:val="21"/>
          <w:highlight w:val="none"/>
        </w:rPr>
        <w:t>为止</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sz w:val="21"/>
          <w:szCs w:val="21"/>
          <w:highlight w:val="none"/>
        </w:rPr>
        <w:t>终止日期以前述两种情况中先达到的期限为准。</w:t>
      </w:r>
    </w:p>
    <w:p w14:paraId="5645B950">
      <w:pPr>
        <w:autoSpaceDE/>
        <w:adjustRightInd/>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2、本次采购为东莞市污泥集中处理处置项目</w:t>
      </w:r>
      <w:r>
        <w:rPr>
          <w:rFonts w:hint="eastAsia" w:ascii="宋体" w:hAnsi="宋体" w:eastAsia="宋体" w:cs="宋体"/>
          <w:color w:val="auto"/>
          <w:sz w:val="21"/>
          <w:szCs w:val="21"/>
          <w:highlight w:val="none"/>
          <w:lang w:val="en-US" w:eastAsia="zh-CN"/>
        </w:rPr>
        <w:t>提供</w:t>
      </w:r>
      <w:r>
        <w:rPr>
          <w:rFonts w:hint="eastAsia" w:ascii="宋体" w:hAnsi="宋体" w:eastAsia="宋体" w:cs="宋体"/>
          <w:color w:val="auto"/>
          <w:sz w:val="21"/>
          <w:szCs w:val="21"/>
          <w:highlight w:val="none"/>
        </w:rPr>
        <w:t>废盐处置服务，包括从前端运输到最终处置全过程，废盐的装车由采购人负责，服务单位配合装车工作。</w:t>
      </w:r>
    </w:p>
    <w:p w14:paraId="4BE30BD4">
      <w:pPr>
        <w:autoSpaceDE/>
        <w:adjustRightInd/>
        <w:spacing w:line="360" w:lineRule="auto"/>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3、本项目位于立沙岛精细化工园区，服务单位应根据园区管理要求，自行负责入园车辆备案、预约并服从园区各项管理制度；确需采购人配合的，由服务单位书面提出。</w:t>
      </w:r>
    </w:p>
    <w:p w14:paraId="60498EB8">
      <w:pPr>
        <w:autoSpaceDE/>
        <w:adjustRightInd/>
        <w:spacing w:line="360" w:lineRule="auto"/>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4、服务全过程应当严格遵守《</w:t>
      </w:r>
      <w:r>
        <w:rPr>
          <w:rFonts w:hint="eastAsia" w:ascii="宋体" w:hAnsi="宋体" w:eastAsia="宋体" w:cs="宋体"/>
          <w:color w:val="auto"/>
          <w:szCs w:val="21"/>
          <w:highlight w:val="none"/>
        </w:rPr>
        <w:t>中华人民共和国生态环境法典</w:t>
      </w:r>
      <w:r>
        <w:rPr>
          <w:rFonts w:hint="eastAsia" w:ascii="宋体" w:hAnsi="宋体" w:eastAsia="宋体" w:cs="宋体"/>
          <w:color w:val="auto"/>
          <w:kern w:val="2"/>
          <w:sz w:val="21"/>
          <w:szCs w:val="21"/>
          <w:highlight w:val="none"/>
        </w:rPr>
        <w:t>》《危险废物经营许可证管理办法》及相关环境保护法律、法规规定、规范性引用文件及技术标准，合法处理处置，并且在运输和处置过程中，不产生对环境的二次污染。</w:t>
      </w:r>
    </w:p>
    <w:p w14:paraId="197CE943">
      <w:pPr>
        <w:autoSpaceDE/>
        <w:adjustRightInd/>
        <w:spacing w:line="360" w:lineRule="auto"/>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5、服务单位应为</w:t>
      </w:r>
      <w:r>
        <w:rPr>
          <w:rFonts w:hint="eastAsia" w:ascii="宋体" w:hAnsi="宋体" w:eastAsia="宋体" w:cs="宋体"/>
          <w:color w:val="auto"/>
          <w:sz w:val="21"/>
          <w:szCs w:val="21"/>
          <w:highlight w:val="none"/>
          <w:lang w:eastAsia="zh-CN"/>
        </w:rPr>
        <w:t>符合</w:t>
      </w:r>
      <w:r>
        <w:rPr>
          <w:rFonts w:hint="eastAsia" w:ascii="宋体" w:hAnsi="宋体" w:eastAsia="宋体" w:cs="宋体"/>
          <w:color w:val="auto"/>
          <w:sz w:val="21"/>
          <w:szCs w:val="21"/>
          <w:highlight w:val="none"/>
        </w:rPr>
        <w:t>国家及当地相关法律法规要求</w:t>
      </w:r>
      <w:r>
        <w:rPr>
          <w:rFonts w:hint="eastAsia" w:ascii="宋体" w:hAnsi="宋体" w:eastAsia="宋体" w:cs="宋体"/>
          <w:color w:val="auto"/>
          <w:kern w:val="2"/>
          <w:sz w:val="21"/>
          <w:szCs w:val="21"/>
          <w:highlight w:val="none"/>
          <w:lang w:eastAsia="zh-CN"/>
        </w:rPr>
        <w:t>，具备本项目对应类别危险废物收集、</w:t>
      </w:r>
      <w:r>
        <w:rPr>
          <w:rFonts w:hint="eastAsia" w:ascii="宋体" w:hAnsi="宋体" w:eastAsia="宋体" w:cs="宋体"/>
          <w:color w:val="auto"/>
          <w:kern w:val="2"/>
          <w:sz w:val="21"/>
          <w:szCs w:val="21"/>
          <w:highlight w:val="none"/>
        </w:rPr>
        <w:t xml:space="preserve"> 贮存</w:t>
      </w:r>
      <w:r>
        <w:rPr>
          <w:rFonts w:hint="eastAsia" w:ascii="宋体" w:hAnsi="宋体" w:eastAsia="宋体" w:cs="宋体"/>
          <w:color w:val="auto"/>
          <w:kern w:val="2"/>
          <w:sz w:val="21"/>
          <w:szCs w:val="21"/>
          <w:highlight w:val="none"/>
          <w:lang w:eastAsia="zh-CN"/>
        </w:rPr>
        <w:t>、利用、</w:t>
      </w:r>
      <w:r>
        <w:rPr>
          <w:rFonts w:hint="eastAsia" w:ascii="宋体" w:hAnsi="宋体" w:eastAsia="宋体" w:cs="宋体"/>
          <w:color w:val="auto"/>
          <w:kern w:val="2"/>
          <w:sz w:val="21"/>
          <w:szCs w:val="21"/>
          <w:highlight w:val="none"/>
        </w:rPr>
        <w:t>最终处置</w:t>
      </w:r>
      <w:r>
        <w:rPr>
          <w:rFonts w:hint="eastAsia" w:ascii="宋体" w:hAnsi="宋体" w:eastAsia="宋体" w:cs="宋体"/>
          <w:color w:val="auto"/>
          <w:kern w:val="2"/>
          <w:sz w:val="21"/>
          <w:szCs w:val="21"/>
          <w:highlight w:val="none"/>
          <w:lang w:eastAsia="zh-CN"/>
        </w:rPr>
        <w:t>能力的</w:t>
      </w:r>
      <w:r>
        <w:rPr>
          <w:rFonts w:hint="eastAsia" w:ascii="宋体" w:hAnsi="宋体" w:eastAsia="宋体" w:cs="宋体"/>
          <w:color w:val="auto"/>
          <w:kern w:val="2"/>
          <w:sz w:val="21"/>
          <w:szCs w:val="21"/>
          <w:highlight w:val="none"/>
        </w:rPr>
        <w:t>合规</w:t>
      </w:r>
      <w:r>
        <w:rPr>
          <w:rFonts w:hint="eastAsia" w:ascii="宋体" w:hAnsi="宋体" w:eastAsia="宋体" w:cs="宋体"/>
          <w:color w:val="auto"/>
          <w:kern w:val="2"/>
          <w:sz w:val="21"/>
          <w:szCs w:val="21"/>
          <w:highlight w:val="none"/>
          <w:lang w:eastAsia="zh-CN"/>
        </w:rPr>
        <w:t>主体</w:t>
      </w:r>
      <w:r>
        <w:rPr>
          <w:rFonts w:hint="eastAsia" w:ascii="宋体" w:hAnsi="宋体" w:eastAsia="宋体" w:cs="宋体"/>
          <w:color w:val="auto"/>
          <w:kern w:val="2"/>
          <w:sz w:val="21"/>
          <w:szCs w:val="21"/>
          <w:highlight w:val="none"/>
          <w:lang w:val="en-US" w:eastAsia="zh-CN" w:bidi="ar"/>
        </w:rPr>
        <w:t>。服务单位应于履约前</w:t>
      </w:r>
      <w:r>
        <w:rPr>
          <w:rFonts w:hint="eastAsia" w:ascii="宋体" w:hAnsi="宋体" w:eastAsia="宋体" w:cs="宋体"/>
          <w:color w:val="auto"/>
          <w:kern w:val="2"/>
          <w:sz w:val="21"/>
          <w:szCs w:val="21"/>
          <w:highlight w:val="none"/>
        </w:rPr>
        <w:t>提供</w:t>
      </w:r>
      <w:r>
        <w:rPr>
          <w:rFonts w:hint="eastAsia" w:ascii="宋体" w:hAnsi="宋体" w:eastAsia="宋体" w:cs="宋体"/>
          <w:color w:val="auto"/>
          <w:kern w:val="2"/>
          <w:sz w:val="21"/>
          <w:szCs w:val="21"/>
          <w:highlight w:val="none"/>
          <w:lang w:val="en-US" w:eastAsia="zh-CN" w:bidi="ar"/>
        </w:rPr>
        <w:t>与本项目处置危废类别</w:t>
      </w:r>
      <w:r>
        <w:rPr>
          <w:rFonts w:hint="eastAsia" w:ascii="宋体" w:hAnsi="宋体" w:eastAsia="宋体" w:cs="宋体"/>
          <w:color w:val="auto"/>
          <w:kern w:val="2"/>
          <w:sz w:val="21"/>
          <w:szCs w:val="21"/>
          <w:highlight w:val="none"/>
        </w:rPr>
        <w:t>匹配的资质证明材料，包括但不限于危废工艺及接收处置能力的相关说明、省或市等相关管理部门公布的资质材料（危险废物经营许可证）或其他可证明具备接收资质的材料，相关资质应在合同期内</w:t>
      </w:r>
      <w:r>
        <w:rPr>
          <w:rFonts w:hint="eastAsia" w:ascii="宋体" w:hAnsi="宋体" w:eastAsia="宋体" w:cs="宋体"/>
          <w:color w:val="auto"/>
          <w:szCs w:val="21"/>
          <w:highlight w:val="none"/>
          <w:lang w:val="en-US" w:eastAsia="zh-CN"/>
        </w:rPr>
        <w:t>持续</w:t>
      </w:r>
      <w:r>
        <w:rPr>
          <w:rFonts w:hint="eastAsia" w:ascii="宋体" w:hAnsi="宋体" w:eastAsia="宋体" w:cs="宋体"/>
          <w:color w:val="auto"/>
          <w:kern w:val="2"/>
          <w:sz w:val="21"/>
          <w:szCs w:val="21"/>
          <w:highlight w:val="none"/>
        </w:rPr>
        <w:t>有效，否则采购人有权单方解除合同并追究服务单位违约责任，若</w:t>
      </w:r>
      <w:r>
        <w:rPr>
          <w:rFonts w:hint="eastAsia" w:ascii="宋体" w:hAnsi="宋体" w:eastAsia="宋体" w:cs="宋体"/>
          <w:color w:val="auto"/>
          <w:sz w:val="21"/>
          <w:szCs w:val="21"/>
          <w:highlight w:val="none"/>
        </w:rPr>
        <w:t>危废处置涉及跨市、跨省转运，服务单位应做好转运计划及信息完善和相关法定备案工作</w:t>
      </w:r>
      <w:r>
        <w:rPr>
          <w:rFonts w:hint="eastAsia" w:ascii="宋体" w:hAnsi="宋体" w:eastAsia="宋体" w:cs="宋体"/>
          <w:color w:val="auto"/>
          <w:kern w:val="2"/>
          <w:sz w:val="21"/>
          <w:szCs w:val="21"/>
          <w:highlight w:val="none"/>
        </w:rPr>
        <w:t>。</w:t>
      </w:r>
    </w:p>
    <w:p w14:paraId="53019EE9">
      <w:pPr>
        <w:autoSpaceDE/>
        <w:adjustRightInd/>
        <w:spacing w:line="360" w:lineRule="auto"/>
        <w:ind w:firstLine="422" w:firstLineChars="200"/>
        <w:outlineLvl w:val="9"/>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6、在合同签订后10</w:t>
      </w:r>
      <w:r>
        <w:rPr>
          <w:rFonts w:hint="eastAsia" w:ascii="宋体" w:hAnsi="宋体" w:eastAsia="宋体" w:cs="宋体"/>
          <w:b/>
          <w:bCs/>
          <w:color w:val="auto"/>
          <w:sz w:val="21"/>
          <w:szCs w:val="21"/>
          <w:highlight w:val="none"/>
        </w:rPr>
        <w:t>日</w:t>
      </w:r>
      <w:r>
        <w:rPr>
          <w:rFonts w:hint="eastAsia" w:ascii="宋体" w:hAnsi="宋体" w:eastAsia="宋体" w:cs="宋体"/>
          <w:b/>
          <w:bCs/>
          <w:color w:val="auto"/>
          <w:kern w:val="2"/>
          <w:sz w:val="21"/>
          <w:szCs w:val="21"/>
          <w:highlight w:val="none"/>
        </w:rPr>
        <w:t>内，服务单位需完成相关手续办理且具备危废的接收处置能力，并做好相关车辆安排，否则采购人有权单方解除合同并追究服务单位违约责任。</w:t>
      </w:r>
    </w:p>
    <w:p w14:paraId="003A1FED">
      <w:pPr>
        <w:autoSpaceDE/>
        <w:adjustRightInd/>
        <w:spacing w:line="360" w:lineRule="auto"/>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7、本项目5条焚烧线，正常运营每日产生废盐约6.7吨（具体废物量以实际为准，下同）。服务单位须以满足采购人生产要求为前提，根据采购人生产线试生产情况及废物产生量，提前安排好运输车辆，按实际需求提供废物处理处置服务。</w:t>
      </w:r>
    </w:p>
    <w:p w14:paraId="50E7666B">
      <w:pPr>
        <w:widowControl/>
        <w:autoSpaceDE/>
        <w:adjustRightInd/>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rPr>
        <w:t>8、服务单位负责安排运输单位承运，</w:t>
      </w:r>
      <w:r>
        <w:rPr>
          <w:rFonts w:hint="eastAsia" w:ascii="宋体" w:hAnsi="宋体" w:eastAsia="宋体" w:cs="宋体"/>
          <w:color w:val="auto"/>
          <w:szCs w:val="21"/>
          <w:highlight w:val="none"/>
          <w:lang w:val="en-US" w:eastAsia="zh-CN"/>
        </w:rPr>
        <w:t>运输费用已包含在服务单价内，</w:t>
      </w:r>
      <w:r>
        <w:rPr>
          <w:rFonts w:hint="eastAsia" w:ascii="宋体" w:hAnsi="宋体" w:eastAsia="宋体" w:cs="宋体"/>
          <w:color w:val="auto"/>
          <w:kern w:val="2"/>
          <w:sz w:val="21"/>
          <w:szCs w:val="21"/>
          <w:highlight w:val="none"/>
        </w:rPr>
        <w:t>服务单位应确保废物运输单位须具备交通主管部门颁发的危险废物《道路运输经营许可证》且该证在有效期内，并用危废运输专用车辆运输；车辆应当悬挂危险货物运输许可标志，车辆的驾驶人员需取得相应机动车驾驶证和相应危险货物运输从业资格证；驾驶员须具备相关法律法规要求的证照。</w:t>
      </w:r>
      <w:r>
        <w:rPr>
          <w:rFonts w:hint="eastAsia" w:ascii="宋体" w:hAnsi="宋体" w:eastAsia="宋体" w:cs="宋体"/>
          <w:color w:val="auto"/>
          <w:sz w:val="21"/>
          <w:szCs w:val="21"/>
          <w:highlight w:val="none"/>
        </w:rPr>
        <w:t>除了运输司机外，服务单位应至少配备一名押送员随车配合废物装车、废物过磅等工作。</w:t>
      </w:r>
      <w:r>
        <w:rPr>
          <w:rFonts w:hint="eastAsia" w:ascii="宋体" w:hAnsi="宋体" w:eastAsia="宋体" w:cs="宋体"/>
          <w:color w:val="auto"/>
          <w:szCs w:val="21"/>
          <w:highlight w:val="none"/>
          <w:lang w:val="en-US" w:eastAsia="zh-CN"/>
        </w:rPr>
        <w:t>若运输单位的行为违反本合同约定，同样视为</w:t>
      </w:r>
      <w:r>
        <w:rPr>
          <w:rFonts w:hint="eastAsia" w:ascii="宋体" w:hAnsi="宋体" w:eastAsia="宋体" w:cs="宋体"/>
          <w:color w:val="auto"/>
          <w:kern w:val="2"/>
          <w:sz w:val="21"/>
          <w:szCs w:val="21"/>
          <w:highlight w:val="none"/>
          <w14:ligatures w14:val="none"/>
        </w:rPr>
        <w:t>服务单位</w:t>
      </w:r>
      <w:r>
        <w:rPr>
          <w:rFonts w:hint="eastAsia" w:ascii="宋体" w:hAnsi="宋体" w:eastAsia="宋体" w:cs="宋体"/>
          <w:color w:val="auto"/>
          <w:szCs w:val="21"/>
          <w:highlight w:val="none"/>
          <w:lang w:val="en-US" w:eastAsia="zh-CN"/>
        </w:rPr>
        <w:t>违约，</w:t>
      </w:r>
      <w:r>
        <w:rPr>
          <w:rFonts w:hint="eastAsia" w:ascii="宋体" w:hAnsi="宋体" w:eastAsia="宋体" w:cs="宋体"/>
          <w:color w:val="auto"/>
          <w:kern w:val="2"/>
          <w:sz w:val="21"/>
          <w:szCs w:val="21"/>
          <w:highlight w:val="none"/>
          <w14:ligatures w14:val="none"/>
        </w:rPr>
        <w:t>服务单位</w:t>
      </w:r>
      <w:r>
        <w:rPr>
          <w:rFonts w:hint="eastAsia" w:ascii="宋体" w:hAnsi="宋体" w:eastAsia="宋体" w:cs="宋体"/>
          <w:color w:val="auto"/>
          <w:szCs w:val="21"/>
          <w:highlight w:val="none"/>
          <w:lang w:val="en-US" w:eastAsia="zh-CN"/>
        </w:rPr>
        <w:t>应承担本合同约定的违约责任，并连带承担因运输单位行为造成的损失赔偿责任。</w:t>
      </w:r>
    </w:p>
    <w:p w14:paraId="79ADBBD7">
      <w:pPr>
        <w:widowControl/>
        <w:autoSpaceDE/>
        <w:autoSpaceDN w:val="0"/>
        <w:adjustRightInd/>
        <w:spacing w:line="360" w:lineRule="auto"/>
        <w:ind w:firstLine="420" w:firstLineChars="200"/>
        <w:jc w:val="left"/>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9</w:t>
      </w:r>
      <w:r>
        <w:rPr>
          <w:rFonts w:hint="eastAsia" w:ascii="宋体" w:hAnsi="宋体" w:eastAsia="宋体" w:cs="宋体"/>
          <w:color w:val="auto"/>
          <w:kern w:val="2"/>
          <w:sz w:val="21"/>
          <w:szCs w:val="21"/>
          <w:highlight w:val="none"/>
          <w:lang w:val="en-US" w:eastAsia="zh-CN" w:bidi="ar-SA"/>
        </w:rPr>
        <w:t>、服务单位的废物处理必须遵守《广东省固体废物污染环境防治条例》相关法规，且符合当地相关行政主管部门、及监督部门的相关规定；服务单位在危废转移的过程中严格执行《</w:t>
      </w:r>
      <w:r>
        <w:rPr>
          <w:rFonts w:hint="eastAsia" w:ascii="宋体" w:hAnsi="宋体" w:eastAsia="宋体" w:cs="宋体"/>
          <w:color w:val="auto"/>
          <w:kern w:val="2"/>
          <w:sz w:val="21"/>
          <w:szCs w:val="21"/>
          <w:highlight w:val="none"/>
          <w:lang w:eastAsia="zh-CN"/>
          <w14:ligatures w14:val="none"/>
        </w:rPr>
        <w:t>危险废物转移管理办法</w:t>
      </w:r>
      <w:r>
        <w:rPr>
          <w:rFonts w:hint="eastAsia" w:ascii="宋体" w:hAnsi="宋体" w:eastAsia="宋体" w:cs="宋体"/>
          <w:color w:val="auto"/>
          <w:kern w:val="2"/>
          <w:sz w:val="21"/>
          <w:szCs w:val="21"/>
          <w:highlight w:val="none"/>
          <w:lang w:val="en-US" w:eastAsia="zh-CN" w:bidi="ar-SA"/>
        </w:rPr>
        <w:t>》等相关规定，做好运输监控、联单管理等工作，相关处理信息必须登记上传《广东省固体废物管理信息平台》。</w:t>
      </w:r>
    </w:p>
    <w:p w14:paraId="74430A4F">
      <w:pPr>
        <w:autoSpaceDE/>
        <w:autoSpaceDN w:val="0"/>
        <w:adjustRightInd/>
        <w:spacing w:line="360" w:lineRule="auto"/>
        <w:ind w:firstLine="420" w:firstLineChars="20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10、服务单位需协助采购人做好各级政府主管部门的检查工作，同时采购人及其上级主管部门有权随时检查服务单位的运输和处理情况，有权对处置产物进行取样检测、分析。</w:t>
      </w:r>
    </w:p>
    <w:p w14:paraId="11C488AE">
      <w:pPr>
        <w:keepNext w:val="0"/>
        <w:keepLines w:val="0"/>
        <w:pageBreakBefore w:val="0"/>
        <w:widowControl/>
        <w:numPr>
          <w:ilvl w:val="-1"/>
          <w:numId w:val="0"/>
        </w:numPr>
        <w:kinsoku/>
        <w:wordWrap/>
        <w:overflowPunct/>
        <w:topLinePunct w:val="0"/>
        <w:autoSpaceDE/>
        <w:autoSpaceDN w:val="0"/>
        <w:bidi w:val="0"/>
        <w:adjustRightInd/>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11、采购人提前5日向服务单位发出处置需求，服务单位收到通知后10日内完成危险废物的转移处置。</w:t>
      </w:r>
      <w:r>
        <w:rPr>
          <w:rFonts w:hint="eastAsia" w:ascii="宋体" w:hAnsi="宋体" w:eastAsia="宋体" w:cs="宋体"/>
          <w:color w:val="auto"/>
          <w:szCs w:val="21"/>
          <w:highlight w:val="none"/>
          <w:lang w:val="en-US" w:eastAsia="zh-CN"/>
        </w:rPr>
        <w:t>若采购人因紧急处置需要，需</w:t>
      </w:r>
      <w:r>
        <w:rPr>
          <w:rFonts w:hint="eastAsia" w:ascii="宋体" w:hAnsi="宋体" w:eastAsia="宋体" w:cs="宋体"/>
          <w:color w:val="auto"/>
          <w:kern w:val="2"/>
          <w:sz w:val="21"/>
          <w:szCs w:val="21"/>
          <w:highlight w:val="none"/>
          <w14:ligatures w14:val="none"/>
        </w:rPr>
        <w:t>服务单位</w:t>
      </w:r>
      <w:r>
        <w:rPr>
          <w:rFonts w:hint="eastAsia" w:ascii="宋体" w:hAnsi="宋体" w:eastAsia="宋体" w:cs="宋体"/>
          <w:color w:val="auto"/>
          <w:szCs w:val="21"/>
          <w:highlight w:val="none"/>
          <w:lang w:val="en-US" w:eastAsia="zh-CN"/>
        </w:rPr>
        <w:t>加急运输处置的，</w:t>
      </w:r>
      <w:r>
        <w:rPr>
          <w:rFonts w:hint="eastAsia" w:ascii="宋体" w:hAnsi="宋体" w:eastAsia="宋体" w:cs="宋体"/>
          <w:color w:val="auto"/>
          <w:kern w:val="2"/>
          <w:sz w:val="21"/>
          <w:szCs w:val="21"/>
          <w:highlight w:val="none"/>
          <w14:ligatures w14:val="none"/>
        </w:rPr>
        <w:t>服务单位</w:t>
      </w:r>
      <w:r>
        <w:rPr>
          <w:rFonts w:hint="eastAsia" w:ascii="宋体" w:hAnsi="宋体" w:eastAsia="宋体" w:cs="宋体"/>
          <w:color w:val="auto"/>
          <w:szCs w:val="21"/>
          <w:highlight w:val="none"/>
          <w:lang w:val="en-US" w:eastAsia="zh-CN"/>
        </w:rPr>
        <w:t>应在采购人要求的期限内完成危险废物的转移处置，且采购人无需为此额外向</w:t>
      </w:r>
      <w:r>
        <w:rPr>
          <w:rFonts w:hint="eastAsia" w:ascii="宋体" w:hAnsi="宋体" w:eastAsia="宋体" w:cs="宋体"/>
          <w:color w:val="auto"/>
          <w:kern w:val="2"/>
          <w:sz w:val="21"/>
          <w:szCs w:val="21"/>
          <w:highlight w:val="none"/>
          <w14:ligatures w14:val="none"/>
        </w:rPr>
        <w:t>服务单位</w:t>
      </w:r>
      <w:r>
        <w:rPr>
          <w:rFonts w:hint="eastAsia" w:ascii="宋体" w:hAnsi="宋体" w:eastAsia="宋体" w:cs="宋体"/>
          <w:color w:val="auto"/>
          <w:szCs w:val="21"/>
          <w:highlight w:val="none"/>
          <w:lang w:val="en-US" w:eastAsia="zh-CN"/>
        </w:rPr>
        <w:t>支付其他任何费用或补偿、赔偿。</w:t>
      </w:r>
    </w:p>
    <w:p w14:paraId="38512C0A">
      <w:pPr>
        <w:keepNext w:val="0"/>
        <w:keepLines w:val="0"/>
        <w:numPr>
          <w:ilvl w:val="0"/>
          <w:numId w:val="0"/>
        </w:numPr>
        <w:autoSpaceDE/>
        <w:autoSpaceDN/>
        <w:adjustRightInd/>
        <w:spacing w:line="360" w:lineRule="auto"/>
        <w:ind w:firstLine="420" w:firstLineChars="200"/>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12、采购人负责危废转出地转移报批工作，服务单位负责危废移入地转移报批工作。</w:t>
      </w:r>
    </w:p>
    <w:p w14:paraId="38961919">
      <w:pPr>
        <w:autoSpaceDE/>
        <w:adjustRightInd/>
        <w:spacing w:line="360" w:lineRule="auto"/>
        <w:ind w:firstLine="422" w:firstLineChars="200"/>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、若后续由于行政主管部门对废物代码认定有调整，采购人有权单方解除合同且不承担因此发生的任何费用。</w:t>
      </w:r>
    </w:p>
    <w:p w14:paraId="440A96DB">
      <w:pPr>
        <w:widowControl/>
        <w:numPr>
          <w:ilvl w:val="0"/>
          <w:numId w:val="0"/>
        </w:numPr>
        <w:wordWrap/>
        <w:adjustRightInd/>
        <w:snapToGrid/>
        <w:spacing w:line="360" w:lineRule="auto"/>
        <w:ind w:left="0" w:leftChars="0" w:right="0" w:firstLine="420" w:firstLineChars="200"/>
        <w:jc w:val="left"/>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14、安全要求</w:t>
      </w:r>
      <w:r>
        <w:rPr>
          <w:rFonts w:hint="eastAsia" w:ascii="宋体" w:hAnsi="宋体" w:eastAsia="宋体" w:cs="宋体"/>
          <w:b w:val="0"/>
          <w:bCs w:val="0"/>
          <w:color w:val="auto"/>
          <w:sz w:val="21"/>
          <w:szCs w:val="21"/>
          <w:highlight w:val="none"/>
        </w:rPr>
        <w:t xml:space="preserve"> </w:t>
      </w:r>
    </w:p>
    <w:p w14:paraId="23565508">
      <w:pPr>
        <w:keepNext w:val="0"/>
        <w:keepLines w:val="0"/>
        <w:numPr>
          <w:ilvl w:val="0"/>
          <w:numId w:val="0"/>
        </w:numPr>
        <w:kinsoku/>
        <w:overflowPunct/>
        <w:topLinePunct w:val="0"/>
        <w:autoSpaceDE/>
        <w:autoSpaceDN/>
        <w:bidi w:val="0"/>
        <w:adjustRightInd/>
        <w:spacing w:line="360" w:lineRule="auto"/>
        <w:ind w:right="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14:ligatures w14:val="none"/>
        </w:rPr>
        <w:t>服务单位</w:t>
      </w:r>
      <w:r>
        <w:rPr>
          <w:rFonts w:hint="eastAsia" w:ascii="宋体" w:hAnsi="宋体" w:eastAsia="宋体" w:cs="宋体"/>
          <w:color w:val="auto"/>
          <w:kern w:val="2"/>
          <w:sz w:val="21"/>
          <w:szCs w:val="21"/>
          <w:highlight w:val="none"/>
        </w:rPr>
        <w:t>负责转运过程中的污染控制及人员的安全防护，承担所有废物交接后的全部责任，包括废物运输、处置过程中的一切责任。</w:t>
      </w:r>
    </w:p>
    <w:p w14:paraId="7AA5727A">
      <w:pPr>
        <w:keepNext w:val="0"/>
        <w:keepLines w:val="0"/>
        <w:numPr>
          <w:ilvl w:val="0"/>
          <w:numId w:val="0"/>
        </w:numPr>
        <w:kinsoku/>
        <w:overflowPunct/>
        <w:topLinePunct w:val="0"/>
        <w:autoSpaceDE/>
        <w:autoSpaceDN/>
        <w:bidi w:val="0"/>
        <w:adjustRightInd/>
        <w:spacing w:line="360" w:lineRule="auto"/>
        <w:ind w:right="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收运时，</w:t>
      </w:r>
      <w:r>
        <w:rPr>
          <w:rFonts w:hint="eastAsia" w:ascii="宋体" w:hAnsi="宋体" w:eastAsia="宋体" w:cs="宋体"/>
          <w:color w:val="auto"/>
          <w:kern w:val="2"/>
          <w:sz w:val="21"/>
          <w:szCs w:val="21"/>
          <w:highlight w:val="none"/>
          <w14:ligatures w14:val="none"/>
        </w:rPr>
        <w:t>服务单位</w:t>
      </w:r>
      <w:r>
        <w:rPr>
          <w:rFonts w:hint="eastAsia" w:ascii="宋体" w:hAnsi="宋体" w:eastAsia="宋体" w:cs="宋体"/>
          <w:color w:val="auto"/>
          <w:kern w:val="2"/>
          <w:sz w:val="21"/>
          <w:szCs w:val="21"/>
          <w:highlight w:val="none"/>
        </w:rPr>
        <w:t>工作人员应文明作业，作业完毕后将其作业范围清理干净，并遵守</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kern w:val="2"/>
          <w:sz w:val="21"/>
          <w:szCs w:val="21"/>
          <w:highlight w:val="none"/>
        </w:rPr>
        <w:t>相关环境及安全管理规定。</w:t>
      </w:r>
    </w:p>
    <w:bookmarkEnd w:id="378"/>
    <w:bookmarkEnd w:id="379"/>
    <w:p w14:paraId="714DA274">
      <w:pPr>
        <w:autoSpaceDE/>
        <w:adjustRightInd/>
        <w:spacing w:line="360" w:lineRule="auto"/>
        <w:ind w:firstLine="420" w:firstLineChars="200"/>
        <w:outlineLvl w:val="9"/>
        <w:rPr>
          <w:rFonts w:hint="eastAsia" w:ascii="宋体" w:hAnsi="宋体" w:eastAsia="宋体" w:cs="宋体"/>
          <w:color w:val="auto"/>
          <w:kern w:val="2"/>
          <w:sz w:val="21"/>
          <w:szCs w:val="21"/>
          <w:highlight w:val="none"/>
        </w:rPr>
      </w:pPr>
      <w:bookmarkStart w:id="380" w:name="_Toc3921"/>
      <w:bookmarkStart w:id="381" w:name="_Toc24877"/>
      <w:r>
        <w:rPr>
          <w:rFonts w:hint="eastAsia" w:ascii="宋体" w:hAnsi="宋体" w:eastAsia="宋体" w:cs="宋体"/>
          <w:color w:val="auto"/>
          <w:kern w:val="2"/>
          <w:sz w:val="21"/>
          <w:szCs w:val="21"/>
          <w:highlight w:val="none"/>
        </w:rPr>
        <w:t>四、报价要求</w:t>
      </w:r>
      <w:bookmarkEnd w:id="380"/>
      <w:bookmarkEnd w:id="381"/>
    </w:p>
    <w:p w14:paraId="4A5E3C31">
      <w:pPr>
        <w:spacing w:line="360" w:lineRule="auto"/>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本项目按实结算。报价已包含危险废物运输费、废物分拣及检测费、处理处置费、技术咨询费、管理费</w:t>
      </w:r>
      <w:r>
        <w:rPr>
          <w:rFonts w:hint="eastAsia" w:ascii="宋体" w:hAnsi="宋体" w:eastAsia="宋体" w:cs="宋体"/>
          <w:color w:val="auto"/>
          <w:sz w:val="21"/>
          <w:szCs w:val="21"/>
          <w:highlight w:val="none"/>
        </w:rPr>
        <w:t>、人员及车辆保险费、</w:t>
      </w:r>
      <w:r>
        <w:rPr>
          <w:rFonts w:hint="eastAsia" w:ascii="宋体" w:hAnsi="宋体" w:eastAsia="宋体" w:cs="宋体"/>
          <w:color w:val="auto"/>
          <w:kern w:val="2"/>
          <w:sz w:val="21"/>
          <w:szCs w:val="21"/>
          <w:highlight w:val="none"/>
        </w:rPr>
        <w:t>利润、服务单位销项税额以外的税费</w:t>
      </w:r>
      <w:r>
        <w:rPr>
          <w:rFonts w:hint="eastAsia" w:ascii="宋体" w:hAnsi="宋体" w:eastAsia="宋体" w:cs="Times New Roman"/>
          <w:color w:val="auto"/>
          <w:kern w:val="2"/>
          <w:sz w:val="21"/>
          <w:highlight w:val="none"/>
          <w:lang w:eastAsia="zh-CN"/>
        </w:rPr>
        <w:t>、</w:t>
      </w:r>
      <w:r>
        <w:rPr>
          <w:rFonts w:hint="eastAsia" w:ascii="宋体" w:hAnsi="宋体" w:eastAsia="宋体" w:cs="Times New Roman"/>
          <w:color w:val="auto"/>
          <w:kern w:val="2"/>
          <w:sz w:val="21"/>
          <w:highlight w:val="none"/>
          <w:lang w:val="en-US" w:eastAsia="zh-CN"/>
        </w:rPr>
        <w:t>成交服务费</w:t>
      </w:r>
      <w:r>
        <w:rPr>
          <w:rFonts w:hint="eastAsia" w:ascii="宋体" w:hAnsi="宋体" w:eastAsia="宋体" w:cs="宋体"/>
          <w:color w:val="auto"/>
          <w:kern w:val="2"/>
          <w:sz w:val="21"/>
          <w:szCs w:val="21"/>
          <w:highlight w:val="none"/>
        </w:rPr>
        <w:t>等服务单位完成本合同约定项目内容所需的一切费用，不随法律法规政策、物价人工、服务期限调整而进行调整，未经采购人书面确认，服务单位无权增加任何费用。</w:t>
      </w:r>
    </w:p>
    <w:p w14:paraId="1C380DFA">
      <w:pPr>
        <w:autoSpaceDE/>
        <w:adjustRightInd/>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五、计费与支付方式</w:t>
      </w:r>
    </w:p>
    <w:p w14:paraId="2D7CF20F">
      <w:pPr>
        <w:autoSpaceDE/>
        <w:adjustRightInd/>
        <w:spacing w:line="360" w:lineRule="auto"/>
        <w:ind w:firstLine="422" w:firstLineChars="200"/>
        <w:outlineLvl w:val="9"/>
        <w:rPr>
          <w:rFonts w:hint="eastAsia" w:ascii="宋体" w:hAnsi="宋体" w:eastAsia="宋体" w:cs="宋体"/>
          <w:b/>
          <w:bCs/>
          <w:color w:val="auto"/>
          <w:kern w:val="2"/>
          <w:sz w:val="21"/>
          <w:szCs w:val="21"/>
          <w:highlight w:val="none"/>
        </w:rPr>
      </w:pPr>
      <w:bookmarkStart w:id="382" w:name="_Toc23902"/>
      <w:bookmarkStart w:id="383" w:name="_Toc25694"/>
      <w:r>
        <w:rPr>
          <w:rFonts w:hint="eastAsia" w:ascii="宋体" w:hAnsi="宋体" w:eastAsia="宋体" w:cs="宋体"/>
          <w:b/>
          <w:bCs/>
          <w:color w:val="auto"/>
          <w:sz w:val="21"/>
          <w:szCs w:val="21"/>
          <w:highlight w:val="none"/>
        </w:rPr>
        <w:t>（一）处置服务费计费</w:t>
      </w:r>
    </w:p>
    <w:p w14:paraId="4787C0F8">
      <w:pPr>
        <w:autoSpaceDE/>
        <w:adjustRightInd/>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不含税废盐处置服务费=结算数量×不含税废盐处置服务合同单价[单位：元/吨]</w:t>
      </w:r>
    </w:p>
    <w:p w14:paraId="2E959C02">
      <w:pPr>
        <w:autoSpaceDE/>
        <w:adjustRightInd/>
        <w:spacing w:line="360" w:lineRule="auto"/>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结算数量以采购人项目内的地磅称重为准。在采购人及服务单位双方监督下过磅，并由采购人监督人员现场对称重结果签字确认</w:t>
      </w:r>
      <w:r>
        <w:rPr>
          <w:rFonts w:hint="eastAsia" w:ascii="宋体" w:hAnsi="宋体" w:eastAsia="宋体" w:cs="宋体"/>
          <w:color w:val="auto"/>
          <w:kern w:val="0"/>
          <w:sz w:val="21"/>
          <w:szCs w:val="21"/>
          <w:highlight w:val="none"/>
          <w:lang w:val="en-US" w:eastAsia="zh-CN"/>
        </w:rPr>
        <w:t>后才可作为计费依据</w:t>
      </w:r>
      <w:r>
        <w:rPr>
          <w:rFonts w:hint="eastAsia" w:ascii="宋体" w:hAnsi="宋体" w:eastAsia="宋体" w:cs="宋体"/>
          <w:color w:val="auto"/>
          <w:sz w:val="21"/>
          <w:szCs w:val="21"/>
          <w:highlight w:val="none"/>
        </w:rPr>
        <w:t>。若</w:t>
      </w:r>
      <w:r>
        <w:rPr>
          <w:rFonts w:hint="eastAsia" w:ascii="宋体" w:hAnsi="宋体" w:eastAsia="宋体" w:cs="宋体"/>
          <w:color w:val="auto"/>
          <w:sz w:val="21"/>
          <w:szCs w:val="21"/>
          <w:highlight w:val="none"/>
          <w:lang w:val="en-US" w:eastAsia="zh-CN"/>
        </w:rPr>
        <w:t>污泥</w:t>
      </w:r>
      <w:r>
        <w:rPr>
          <w:rFonts w:hint="eastAsia" w:ascii="宋体" w:hAnsi="宋体" w:eastAsia="宋体" w:cs="宋体"/>
          <w:color w:val="auto"/>
          <w:sz w:val="21"/>
          <w:szCs w:val="21"/>
          <w:highlight w:val="none"/>
        </w:rPr>
        <w:t>项目内地磅因检修等原因不可用，则由服务单位自行就近寻找地磅称重并提供磅单及带水印（含称重时间和地点）的称重结果照片作为计量计费依据，相关的地磅费用由服务单位负责，但服务单位自行就近寻找的地磅在称重前须提请采购人同意，且过磅过程同样需采购人监督人员现场签字确认，否则该地磅称重的数据不得作为计量计费依据。</w:t>
      </w:r>
    </w:p>
    <w:bookmarkEnd w:id="382"/>
    <w:bookmarkEnd w:id="383"/>
    <w:p w14:paraId="3C8EC408">
      <w:pPr>
        <w:autoSpaceDE/>
        <w:adjustRightInd/>
        <w:spacing w:line="360" w:lineRule="auto"/>
        <w:ind w:firstLine="422" w:firstLineChars="200"/>
        <w:outlineLvl w:val="9"/>
        <w:rPr>
          <w:rFonts w:hint="eastAsia" w:ascii="宋体" w:hAnsi="宋体" w:eastAsia="宋体" w:cs="宋体"/>
          <w:b/>
          <w:color w:val="auto"/>
          <w:kern w:val="2"/>
          <w:sz w:val="21"/>
          <w:szCs w:val="21"/>
          <w:highlight w:val="none"/>
        </w:rPr>
      </w:pPr>
      <w:r>
        <w:rPr>
          <w:rFonts w:hint="eastAsia" w:ascii="宋体" w:hAnsi="宋体" w:eastAsia="宋体" w:cs="宋体"/>
          <w:b/>
          <w:bCs/>
          <w:color w:val="auto"/>
          <w:sz w:val="21"/>
          <w:szCs w:val="21"/>
          <w:highlight w:val="none"/>
        </w:rPr>
        <w:t>（二）支付方式</w:t>
      </w:r>
    </w:p>
    <w:p w14:paraId="057E87C0">
      <w:pPr>
        <w:keepNext w:val="0"/>
        <w:keepLines w:val="0"/>
        <w:pageBreakBefore w:val="0"/>
        <w:widowControl/>
        <w:numPr>
          <w:ilvl w:val="-1"/>
          <w:numId w:val="0"/>
        </w:numPr>
        <w:kinsoku/>
        <w:wordWrap/>
        <w:overflowPunct/>
        <w:topLinePunct w:val="0"/>
        <w:autoSpaceDE/>
        <w:autoSpaceDN/>
        <w:bidi w:val="0"/>
        <w:adjustRightIn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合同履约过程中，</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根据本合同约定需向</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支付违约金、赔偿金或其他应付费用的，</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应在收到</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书面通知后</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日内，向</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支付经双方确认的违约金、赔偿金或其他应付费用。</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在足额收到</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支付的上述款项</w:t>
      </w:r>
      <w:r>
        <w:rPr>
          <w:rFonts w:hint="eastAsia" w:ascii="宋体" w:hAnsi="宋体" w:eastAsia="宋体" w:cs="宋体"/>
          <w:color w:val="auto"/>
          <w:sz w:val="21"/>
          <w:szCs w:val="21"/>
          <w:highlight w:val="none"/>
          <w:lang w:val="en-US" w:eastAsia="zh-CN"/>
        </w:rPr>
        <w:t>且服务单位满足本合同约定的其他付款条件</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日内按照本合同约定向</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支付对应合同价款及税额；因</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未及时足额支付前述款项导致</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逾期付款的，</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不构成违约，</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也不得以此为由拒绝或迟延履行合同义务。</w:t>
      </w:r>
    </w:p>
    <w:p w14:paraId="7611009B">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若</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对需支付的款项金额有异议，应在收到</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通知后</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日内与</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协商，协商不成的可按本合同约定的争议解决方式处理，若</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未在前述期限内书面向</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提出异议并提供充分证据予以证明的，视为</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认可无异议。若</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未按时足额支付前述费用的，</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有权直接从未付合同款项中扣除前述款项，且</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必须按照扣除前述款项前的合同价（销售额）开具增值税专用发票，保证增值税税额符合法律规定</w:t>
      </w:r>
      <w:r>
        <w:rPr>
          <w:rFonts w:hint="eastAsia" w:ascii="宋体" w:hAnsi="宋体" w:eastAsia="宋体" w:cs="宋体"/>
          <w:color w:val="auto"/>
          <w:sz w:val="21"/>
          <w:szCs w:val="21"/>
          <w:highlight w:val="none"/>
          <w:lang w:eastAsia="zh-CN"/>
        </w:rPr>
        <w:t>。</w:t>
      </w:r>
    </w:p>
    <w:p w14:paraId="1AAE3B21">
      <w:pPr>
        <w:wordWrap/>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若双方对违约事实认定、违约条款适用、应付费用金额等存在争议的，</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有权在应付未付合同款项中暂扣</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所主张的违约金、赔偿金对应金额（暂扣金额不超过当期应付未付款项总额，亦不超过</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主张的违约相关费用金额），待双方就该等争议达成书面一致确认或生效裁判文书作出认定后，</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再按照最终确定的金额办理款项结算支付；该暂扣行为不视为</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逾期付款，</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无需为此承担违约责任，</w:t>
      </w:r>
      <w:r>
        <w:rPr>
          <w:rFonts w:hint="eastAsia" w:ascii="宋体" w:hAnsi="宋体" w:eastAsia="宋体" w:cs="宋体"/>
          <w:color w:val="auto"/>
          <w:sz w:val="21"/>
          <w:szCs w:val="21"/>
          <w:highlight w:val="none"/>
          <w:lang w:val="en-US" w:eastAsia="zh-CN"/>
        </w:rPr>
        <w:t>服务单位</w:t>
      </w:r>
      <w:r>
        <w:rPr>
          <w:rFonts w:hint="eastAsia" w:ascii="宋体" w:hAnsi="宋体" w:eastAsia="宋体" w:cs="宋体"/>
          <w:color w:val="auto"/>
          <w:sz w:val="21"/>
          <w:szCs w:val="21"/>
          <w:highlight w:val="none"/>
        </w:rPr>
        <w:t>也不得因此拒绝或迟延履行合同义务。</w:t>
      </w:r>
    </w:p>
    <w:p w14:paraId="30BE5728">
      <w:pPr>
        <w:wordWrap/>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支付方式为银行转账，</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按本条的约定进行付款，</w:t>
      </w:r>
      <w:r>
        <w:rPr>
          <w:rFonts w:hint="eastAsia" w:ascii="宋体" w:hAnsi="宋体" w:eastAsia="宋体" w:cs="宋体"/>
          <w:color w:val="auto"/>
          <w:sz w:val="21"/>
          <w:szCs w:val="21"/>
          <w:highlight w:val="none"/>
          <w:lang w:val="en-US" w:eastAsia="zh-CN"/>
        </w:rPr>
        <w:t>但若</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未能按合同要求履约，根据合同约定</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可暂缓或延期付款的，从其约定，且不视为</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违约，</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 xml:space="preserve">不得以此为由拒绝或迟延履行合同义务。 </w:t>
      </w:r>
    </w:p>
    <w:p w14:paraId="06CA54CE">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jc w:val="left"/>
        <w:textAlignment w:val="auto"/>
        <w:outlineLvl w:val="9"/>
        <w:rPr>
          <w:rFonts w:hint="eastAsia" w:ascii="宋体" w:hAnsi="宋体" w:eastAsia="宋体" w:cs="宋体"/>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处置服务费的款项每月按实结算，服务单位完成一个月的处置服务后，向采购人提供该月的称重磅单及汇总单（需采购人或其相关负责人签字确认）等合同要求的资料后，采购人根据本合同约定确定该月废盐处置服务费，服务单位按照该金额提供等额有效的增值税专用发票等请款资料，采购人在收到上述资料</w:t>
      </w:r>
      <w:r>
        <w:rPr>
          <w:rFonts w:hint="eastAsia" w:ascii="宋体" w:hAnsi="宋体" w:eastAsia="宋体" w:cs="宋体"/>
          <w:bCs w:val="0"/>
          <w:color w:val="auto"/>
          <w:sz w:val="21"/>
          <w:szCs w:val="21"/>
          <w:highlight w:val="none"/>
          <w:lang w:val="en-US" w:eastAsia="zh-CN"/>
        </w:rPr>
        <w:t>并确认无误</w:t>
      </w:r>
      <w:r>
        <w:rPr>
          <w:rFonts w:hint="eastAsia" w:ascii="宋体" w:hAnsi="宋体" w:eastAsia="宋体" w:cs="宋体"/>
          <w:color w:val="auto"/>
          <w:sz w:val="21"/>
          <w:szCs w:val="21"/>
          <w:highlight w:val="none"/>
          <w:lang w:val="en-US" w:eastAsia="zh-CN"/>
        </w:rPr>
        <w:t>后30日内向服务单位支付该月</w:t>
      </w:r>
      <w:r>
        <w:rPr>
          <w:rFonts w:hint="eastAsia" w:ascii="宋体" w:hAnsi="宋体" w:eastAsia="宋体" w:cs="宋体"/>
          <w:bCs w:val="0"/>
          <w:color w:val="auto"/>
          <w:sz w:val="21"/>
          <w:szCs w:val="21"/>
          <w:highlight w:val="none"/>
          <w:lang w:val="en-US" w:eastAsia="zh-CN"/>
        </w:rPr>
        <w:t>剩余应支付</w:t>
      </w:r>
      <w:r>
        <w:rPr>
          <w:rFonts w:hint="eastAsia" w:ascii="宋体" w:hAnsi="宋体" w:eastAsia="宋体" w:cs="宋体"/>
          <w:color w:val="auto"/>
          <w:sz w:val="21"/>
          <w:szCs w:val="21"/>
          <w:highlight w:val="none"/>
          <w:lang w:val="en-US" w:eastAsia="zh-CN"/>
        </w:rPr>
        <w:t>处置服务费的100%</w:t>
      </w:r>
      <w:r>
        <w:rPr>
          <w:rFonts w:hint="eastAsia" w:ascii="宋体" w:hAnsi="宋体" w:eastAsia="宋体" w:cs="宋体"/>
          <w:color w:val="auto"/>
          <w:kern w:val="2"/>
          <w:sz w:val="21"/>
          <w:szCs w:val="21"/>
          <w:highlight w:val="none"/>
          <w:lang w:val="en-US" w:eastAsia="zh-CN" w:bidi="ar-SA"/>
        </w:rPr>
        <w:t>。</w:t>
      </w:r>
    </w:p>
    <w:p w14:paraId="35BCE368">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jc w:val="left"/>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逾期提供请款资料及发票或</w:t>
      </w:r>
      <w:r>
        <w:rPr>
          <w:rFonts w:hint="eastAsia" w:ascii="宋体" w:hAnsi="宋体" w:eastAsia="宋体" w:cs="宋体"/>
          <w:color w:val="auto"/>
          <w:sz w:val="21"/>
          <w:szCs w:val="21"/>
          <w:highlight w:val="none"/>
          <w:lang w:val="en-US" w:eastAsia="zh-CN"/>
        </w:rPr>
        <w:t>请款</w:t>
      </w:r>
      <w:r>
        <w:rPr>
          <w:rFonts w:hint="eastAsia" w:ascii="宋体" w:hAnsi="宋体" w:eastAsia="宋体" w:cs="宋体"/>
          <w:color w:val="auto"/>
          <w:sz w:val="21"/>
          <w:szCs w:val="21"/>
          <w:highlight w:val="none"/>
        </w:rPr>
        <w:t>资料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发票</w:t>
      </w:r>
      <w:r>
        <w:rPr>
          <w:rFonts w:hint="eastAsia" w:ascii="宋体" w:hAnsi="宋体" w:eastAsia="宋体" w:cs="宋体"/>
          <w:color w:val="auto"/>
          <w:sz w:val="21"/>
          <w:szCs w:val="21"/>
          <w:highlight w:val="none"/>
        </w:rPr>
        <w:t>不符合</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要求的，</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付款时间顺延，并不承担逾期付款违约责任，</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不得以此为由拒绝或迟延履行合同义务。由于</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提供的发票不符合税法规定，给</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造成的损失由</w:t>
      </w:r>
      <w:r>
        <w:rPr>
          <w:rFonts w:hint="eastAsia" w:ascii="宋体" w:hAnsi="宋体" w:eastAsia="宋体" w:cs="宋体"/>
          <w:color w:val="auto"/>
          <w:sz w:val="21"/>
          <w:szCs w:val="21"/>
          <w:highlight w:val="none"/>
          <w:lang w:eastAsia="zh-CN"/>
        </w:rPr>
        <w:t>服务单位</w:t>
      </w:r>
      <w:r>
        <w:rPr>
          <w:rFonts w:hint="eastAsia" w:ascii="宋体" w:hAnsi="宋体" w:eastAsia="宋体" w:cs="宋体"/>
          <w:color w:val="auto"/>
          <w:sz w:val="21"/>
          <w:szCs w:val="21"/>
          <w:highlight w:val="none"/>
        </w:rPr>
        <w:t>承担赔偿责任。</w:t>
      </w:r>
    </w:p>
    <w:p w14:paraId="4B35FA30">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jc w:val="left"/>
        <w:textAlignment w:val="auto"/>
        <w:outlineLvl w:val="9"/>
        <w:rPr>
          <w:rFonts w:hint="eastAsia" w:ascii="宋体" w:hAnsi="宋体" w:eastAsia="宋体" w:cs="宋体"/>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（三）</w:t>
      </w:r>
      <w:r>
        <w:rPr>
          <w:rFonts w:hint="eastAsia" w:ascii="宋体" w:hAnsi="宋体" w:eastAsia="宋体" w:cs="宋体"/>
          <w:bCs w:val="0"/>
          <w:color w:val="auto"/>
          <w:sz w:val="21"/>
          <w:szCs w:val="21"/>
          <w:highlight w:val="none"/>
          <w:lang w:val="en-US" w:eastAsia="zh-CN"/>
        </w:rPr>
        <w:t>履约评价</w:t>
      </w:r>
    </w:p>
    <w:p w14:paraId="0B4699CF">
      <w:pPr>
        <w:kinsoku/>
        <w:wordWrap/>
        <w:overflowPunct/>
        <w:topLinePunct w:val="0"/>
        <w:autoSpaceDE/>
        <w:autoSpaceDN w:val="0"/>
        <w:bidi w:val="0"/>
        <w:adjustRightInd/>
        <w:snapToGrid/>
        <w:spacing w:after="0" w:line="360" w:lineRule="auto"/>
        <w:ind w:firstLine="420" w:firstLineChars="200"/>
        <w:jc w:val="left"/>
        <w:textAlignment w:val="auto"/>
        <w:outlineLvl w:val="9"/>
        <w:rPr>
          <w:rFonts w:hint="eastAsia" w:ascii="宋体" w:hAnsi="宋体" w:eastAsia="宋体" w:cs="宋体"/>
          <w:bCs/>
          <w:color w:val="auto"/>
          <w:kern w:val="0"/>
          <w:sz w:val="21"/>
          <w:szCs w:val="21"/>
          <w:highlight w:val="none"/>
          <w14:ligatures w14:val="none"/>
        </w:rPr>
      </w:pPr>
      <w:r>
        <w:rPr>
          <w:rFonts w:hint="eastAsia" w:ascii="宋体" w:hAnsi="宋体" w:eastAsia="宋体" w:cs="宋体"/>
          <w:color w:val="auto"/>
          <w:sz w:val="21"/>
          <w:szCs w:val="21"/>
          <w:highlight w:val="none"/>
          <w:lang w:val="en-US" w:eastAsia="zh-CN"/>
        </w:rPr>
        <w:t>采购人每月在付款前对服务单位的履约情况进行评价，填写《供应商履约评价表》。考核评分满分为100分，考核结果分为优秀、良好、合格、不合格四个等级，考核评分分数≥90分为优秀等级，考核评分分数＜90且≥80的为良好等级，考核评分分数＜80且≥60的为合格等级，考核评分分数＜60的为不合格等级。考核评分结果为合格时，采购人发放限期整改通知书，服务单位整改完成后采购人再次组织进行复核评价，服务单位逾期完成整改或整改后得分仍低于80分的，采购人从该月（需要整改的月份）含税服务费（注：该月含税服务费=结算数量×</w:t>
      </w:r>
      <w:r>
        <w:rPr>
          <w:rFonts w:hint="eastAsia" w:ascii="宋体" w:hAnsi="宋体" w:eastAsia="宋体" w:cs="宋体"/>
          <w:color w:val="auto"/>
          <w:sz w:val="21"/>
          <w:szCs w:val="21"/>
          <w:highlight w:val="none"/>
        </w:rPr>
        <w:t>合同单价价税合计</w:t>
      </w:r>
      <w:r>
        <w:rPr>
          <w:rFonts w:hint="eastAsia" w:ascii="宋体" w:hAnsi="宋体" w:eastAsia="宋体" w:cs="宋体"/>
          <w:color w:val="auto"/>
          <w:sz w:val="21"/>
          <w:szCs w:val="21"/>
          <w:highlight w:val="none"/>
          <w:lang w:val="en-US" w:eastAsia="zh-CN"/>
        </w:rPr>
        <w:t>金额）中扣除10%作为违约金；考核评分分数为不合格时，采购人从该月含税服务费（注：该月含税服务费=结算数量×</w:t>
      </w:r>
      <w:r>
        <w:rPr>
          <w:rFonts w:hint="eastAsia" w:ascii="宋体" w:hAnsi="宋体" w:eastAsia="宋体" w:cs="宋体"/>
          <w:color w:val="auto"/>
          <w:sz w:val="21"/>
          <w:szCs w:val="21"/>
          <w:highlight w:val="none"/>
        </w:rPr>
        <w:t>合同单价价税合计</w:t>
      </w:r>
      <w:r>
        <w:rPr>
          <w:rFonts w:hint="eastAsia" w:ascii="宋体" w:hAnsi="宋体" w:eastAsia="宋体" w:cs="宋体"/>
          <w:color w:val="auto"/>
          <w:sz w:val="21"/>
          <w:szCs w:val="21"/>
          <w:highlight w:val="none"/>
          <w:lang w:val="en-US" w:eastAsia="zh-CN"/>
        </w:rPr>
        <w:t>金额）中扣除20%作为违约金。若服务单位在合同期内累计出现3次（含）以上评价结论为不合格的，采购人有权取消服务单位的服务资格并单方解除合同。</w:t>
      </w:r>
    </w:p>
    <w:p w14:paraId="212D901A">
      <w:pPr>
        <w:rPr>
          <w:color w:val="auto"/>
          <w:highlight w:val="none"/>
        </w:rPr>
      </w:pPr>
      <w:r>
        <w:rPr>
          <w:color w:val="auto"/>
          <w:highlight w:val="none"/>
        </w:rPr>
        <w:br w:type="page"/>
      </w:r>
    </w:p>
    <w:p w14:paraId="57848103">
      <w:pPr>
        <w:pageBreakBefore/>
        <w:spacing w:line="360" w:lineRule="auto"/>
        <w:rPr>
          <w:rFonts w:hint="eastAsia" w:ascii="宋体" w:hAnsi="宋体" w:eastAsia="宋体" w:cs="宋体"/>
          <w:b/>
          <w:bCs/>
          <w:color w:val="auto"/>
          <w:kern w:val="0"/>
          <w:sz w:val="21"/>
          <w:szCs w:val="21"/>
          <w:highlight w:val="none"/>
          <w:lang w:val="en-US" w:eastAsia="zh-CN"/>
          <w14:ligatures w14:val="none"/>
        </w:rPr>
      </w:pPr>
      <w:r>
        <w:rPr>
          <w:rFonts w:hint="eastAsia" w:ascii="宋体" w:hAnsi="宋体" w:eastAsia="宋体" w:cs="宋体"/>
          <w:b/>
          <w:bCs/>
          <w:color w:val="auto"/>
          <w:kern w:val="0"/>
          <w:sz w:val="21"/>
          <w:szCs w:val="21"/>
          <w:highlight w:val="none"/>
          <w:lang w:val="en-US" w:eastAsia="zh-CN"/>
          <w14:ligatures w14:val="none"/>
        </w:rPr>
        <w:t>附表：</w:t>
      </w:r>
    </w:p>
    <w:p w14:paraId="797A66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8"/>
          <w:szCs w:val="28"/>
          <w:highlight w:val="none"/>
          <w:lang w:val="en-US" w:eastAsia="zh-CN"/>
        </w:rPr>
        <w:t>供应商履约评价表</w:t>
      </w:r>
    </w:p>
    <w:tbl>
      <w:tblPr>
        <w:tblStyle w:val="36"/>
        <w:tblW w:w="49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444"/>
        <w:gridCol w:w="929"/>
        <w:gridCol w:w="3890"/>
        <w:gridCol w:w="1189"/>
        <w:gridCol w:w="936"/>
        <w:gridCol w:w="934"/>
      </w:tblGrid>
      <w:tr w14:paraId="3D8C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gridSpan w:val="2"/>
            <w:tcBorders>
              <w:top w:val="single" w:color="auto" w:sz="4" w:space="0"/>
              <w:left w:val="single" w:color="auto" w:sz="4" w:space="0"/>
              <w:bottom w:val="single" w:color="auto" w:sz="4" w:space="0"/>
              <w:right w:val="single" w:color="auto" w:sz="4" w:space="0"/>
            </w:tcBorders>
            <w:noWrap w:val="0"/>
            <w:vAlign w:val="center"/>
          </w:tcPr>
          <w:p w14:paraId="55E9536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合同名称</w:t>
            </w:r>
          </w:p>
        </w:tc>
        <w:tc>
          <w:tcPr>
            <w:tcW w:w="3850" w:type="pct"/>
            <w:gridSpan w:val="5"/>
            <w:tcBorders>
              <w:top w:val="single" w:color="auto" w:sz="4" w:space="0"/>
              <w:left w:val="single" w:color="auto" w:sz="4" w:space="0"/>
              <w:bottom w:val="single" w:color="auto" w:sz="4" w:space="0"/>
              <w:right w:val="single" w:color="auto" w:sz="4" w:space="0"/>
            </w:tcBorders>
            <w:noWrap w:val="0"/>
            <w:vAlign w:val="center"/>
          </w:tcPr>
          <w:p w14:paraId="62608B66">
            <w:pPr>
              <w:spacing w:line="360" w:lineRule="auto"/>
              <w:jc w:val="center"/>
              <w:rPr>
                <w:rFonts w:hint="eastAsia" w:ascii="宋体" w:hAnsi="宋体" w:eastAsia="宋体" w:cs="宋体"/>
                <w:color w:val="auto"/>
                <w:sz w:val="21"/>
                <w:szCs w:val="21"/>
                <w:highlight w:val="none"/>
              </w:rPr>
            </w:pPr>
          </w:p>
        </w:tc>
      </w:tr>
      <w:tr w14:paraId="7361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gridSpan w:val="2"/>
            <w:tcBorders>
              <w:top w:val="single" w:color="auto" w:sz="4" w:space="0"/>
              <w:left w:val="single" w:color="auto" w:sz="4" w:space="0"/>
              <w:bottom w:val="single" w:color="auto" w:sz="4" w:space="0"/>
              <w:right w:val="single" w:color="auto" w:sz="4" w:space="0"/>
            </w:tcBorders>
            <w:noWrap w:val="0"/>
            <w:vAlign w:val="center"/>
          </w:tcPr>
          <w:p w14:paraId="0623499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合同编号</w:t>
            </w:r>
          </w:p>
        </w:tc>
        <w:tc>
          <w:tcPr>
            <w:tcW w:w="3850" w:type="pct"/>
            <w:gridSpan w:val="5"/>
            <w:tcBorders>
              <w:top w:val="single" w:color="auto" w:sz="4" w:space="0"/>
              <w:left w:val="single" w:color="auto" w:sz="4" w:space="0"/>
              <w:bottom w:val="single" w:color="auto" w:sz="4" w:space="0"/>
              <w:right w:val="single" w:color="auto" w:sz="4" w:space="0"/>
            </w:tcBorders>
            <w:noWrap w:val="0"/>
            <w:vAlign w:val="center"/>
          </w:tcPr>
          <w:p w14:paraId="5B66D171">
            <w:pPr>
              <w:spacing w:line="360" w:lineRule="auto"/>
              <w:jc w:val="center"/>
              <w:rPr>
                <w:rFonts w:hint="eastAsia" w:ascii="宋体" w:hAnsi="宋体" w:eastAsia="宋体" w:cs="宋体"/>
                <w:color w:val="auto"/>
                <w:sz w:val="21"/>
                <w:szCs w:val="21"/>
                <w:highlight w:val="none"/>
              </w:rPr>
            </w:pPr>
          </w:p>
        </w:tc>
      </w:tr>
      <w:tr w14:paraId="7176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gridSpan w:val="2"/>
            <w:tcBorders>
              <w:top w:val="single" w:color="auto" w:sz="4" w:space="0"/>
              <w:left w:val="single" w:color="auto" w:sz="4" w:space="0"/>
              <w:bottom w:val="single" w:color="auto" w:sz="4" w:space="0"/>
              <w:right w:val="single" w:color="auto" w:sz="4" w:space="0"/>
            </w:tcBorders>
            <w:noWrap w:val="0"/>
            <w:vAlign w:val="center"/>
          </w:tcPr>
          <w:p w14:paraId="34C8E282">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供应商</w:t>
            </w:r>
            <w:r>
              <w:rPr>
                <w:rFonts w:hint="eastAsia" w:ascii="宋体" w:hAnsi="宋体" w:eastAsia="宋体" w:cs="宋体"/>
                <w:color w:val="auto"/>
                <w:sz w:val="21"/>
                <w:szCs w:val="21"/>
                <w:highlight w:val="none"/>
              </w:rPr>
              <w:t>名称</w:t>
            </w:r>
          </w:p>
        </w:tc>
        <w:tc>
          <w:tcPr>
            <w:tcW w:w="3850" w:type="pct"/>
            <w:gridSpan w:val="5"/>
            <w:tcBorders>
              <w:top w:val="single" w:color="auto" w:sz="4" w:space="0"/>
              <w:left w:val="single" w:color="auto" w:sz="4" w:space="0"/>
              <w:bottom w:val="single" w:color="auto" w:sz="4" w:space="0"/>
              <w:right w:val="single" w:color="auto" w:sz="4" w:space="0"/>
            </w:tcBorders>
            <w:noWrap w:val="0"/>
            <w:vAlign w:val="center"/>
          </w:tcPr>
          <w:p w14:paraId="364C3B51">
            <w:pPr>
              <w:spacing w:line="360" w:lineRule="auto"/>
              <w:jc w:val="center"/>
              <w:rPr>
                <w:rFonts w:hint="eastAsia" w:ascii="宋体" w:hAnsi="宋体" w:eastAsia="宋体" w:cs="宋体"/>
                <w:color w:val="auto"/>
                <w:sz w:val="21"/>
                <w:szCs w:val="21"/>
                <w:highlight w:val="none"/>
              </w:rPr>
            </w:pPr>
          </w:p>
        </w:tc>
      </w:tr>
      <w:tr w14:paraId="5A86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gridSpan w:val="2"/>
            <w:tcBorders>
              <w:top w:val="single" w:color="auto" w:sz="4" w:space="0"/>
              <w:left w:val="single" w:color="auto" w:sz="4" w:space="0"/>
              <w:bottom w:val="single" w:color="auto" w:sz="4" w:space="0"/>
              <w:right w:val="single" w:color="auto" w:sz="4" w:space="0"/>
            </w:tcBorders>
            <w:noWrap w:val="0"/>
            <w:vAlign w:val="center"/>
          </w:tcPr>
          <w:p w14:paraId="0B1B7629">
            <w:pPr>
              <w:spacing w:line="360" w:lineRule="auto"/>
              <w:jc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考核周期</w:t>
            </w:r>
          </w:p>
        </w:tc>
        <w:tc>
          <w:tcPr>
            <w:tcW w:w="3850" w:type="pct"/>
            <w:gridSpan w:val="5"/>
            <w:tcBorders>
              <w:top w:val="single" w:color="auto" w:sz="4" w:space="0"/>
              <w:left w:val="single" w:color="auto" w:sz="4" w:space="0"/>
              <w:bottom w:val="single" w:color="auto" w:sz="4" w:space="0"/>
              <w:right w:val="single" w:color="auto" w:sz="4" w:space="0"/>
            </w:tcBorders>
            <w:noWrap w:val="0"/>
            <w:vAlign w:val="center"/>
          </w:tcPr>
          <w:p w14:paraId="03D953EF">
            <w:pPr>
              <w:spacing w:line="360" w:lineRule="auto"/>
              <w:ind w:firstLine="1050" w:firstLineChars="500"/>
              <w:jc w:val="both"/>
              <w:rPr>
                <w:rFonts w:hint="eastAsia" w:ascii="宋体" w:hAnsi="宋体" w:eastAsia="宋体" w:cs="宋体"/>
                <w:color w:val="auto"/>
                <w:sz w:val="21"/>
                <w:szCs w:val="21"/>
                <w:highlight w:val="none"/>
              </w:rPr>
            </w:pPr>
          </w:p>
        </w:tc>
      </w:tr>
      <w:tr w14:paraId="6F1F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43" w:type="pct"/>
            <w:shd w:val="clear" w:color="auto" w:fill="FFFFFF"/>
            <w:noWrap w:val="0"/>
            <w:vAlign w:val="center"/>
          </w:tcPr>
          <w:p w14:paraId="73B22486">
            <w:pPr>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序号</w:t>
            </w:r>
          </w:p>
        </w:tc>
        <w:tc>
          <w:tcPr>
            <w:tcW w:w="705" w:type="pct"/>
            <w:shd w:val="clear" w:color="auto" w:fill="FFFFFF"/>
            <w:noWrap w:val="0"/>
            <w:vAlign w:val="center"/>
          </w:tcPr>
          <w:p w14:paraId="4218498D">
            <w:pPr>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考核项目</w:t>
            </w:r>
          </w:p>
        </w:tc>
        <w:tc>
          <w:tcPr>
            <w:tcW w:w="2355" w:type="pct"/>
            <w:gridSpan w:val="2"/>
            <w:shd w:val="clear" w:color="auto" w:fill="FFFFFF"/>
            <w:noWrap w:val="0"/>
            <w:vAlign w:val="center"/>
          </w:tcPr>
          <w:p w14:paraId="4C45EFF1">
            <w:pPr>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评分标准</w:t>
            </w:r>
          </w:p>
        </w:tc>
        <w:tc>
          <w:tcPr>
            <w:tcW w:w="581" w:type="pct"/>
            <w:shd w:val="clear" w:color="auto" w:fill="FFFFFF"/>
            <w:noWrap w:val="0"/>
            <w:vAlign w:val="center"/>
          </w:tcPr>
          <w:p w14:paraId="2BEAA570">
            <w:pPr>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分值</w:t>
            </w:r>
          </w:p>
        </w:tc>
        <w:tc>
          <w:tcPr>
            <w:tcW w:w="457" w:type="pct"/>
            <w:shd w:val="clear" w:color="auto" w:fill="FFFFFF"/>
            <w:noWrap w:val="0"/>
            <w:vAlign w:val="center"/>
          </w:tcPr>
          <w:p w14:paraId="6A660F4F">
            <w:pPr>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得分</w:t>
            </w:r>
          </w:p>
        </w:tc>
        <w:tc>
          <w:tcPr>
            <w:tcW w:w="456" w:type="pct"/>
            <w:shd w:val="clear" w:color="auto" w:fill="FFFFFF"/>
            <w:noWrap w:val="0"/>
            <w:vAlign w:val="center"/>
          </w:tcPr>
          <w:p w14:paraId="189E3123">
            <w:pPr>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备注</w:t>
            </w:r>
          </w:p>
        </w:tc>
      </w:tr>
      <w:tr w14:paraId="3A7D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443" w:type="pct"/>
            <w:noWrap/>
            <w:vAlign w:val="center"/>
          </w:tcPr>
          <w:p w14:paraId="15684DC7">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p>
        </w:tc>
        <w:tc>
          <w:tcPr>
            <w:tcW w:w="705" w:type="pct"/>
            <w:noWrap/>
            <w:vAlign w:val="center"/>
          </w:tcPr>
          <w:p w14:paraId="7C303F9A">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服务质量</w:t>
            </w:r>
          </w:p>
        </w:tc>
        <w:tc>
          <w:tcPr>
            <w:tcW w:w="2355" w:type="pct"/>
            <w:gridSpan w:val="2"/>
            <w:noWrap/>
            <w:vAlign w:val="center"/>
          </w:tcPr>
          <w:p w14:paraId="440D907A">
            <w:pPr>
              <w:widowControl/>
              <w:numPr>
                <w:ilvl w:val="0"/>
                <w:numId w:val="0"/>
              </w:numPr>
              <w:bidi w:val="0"/>
              <w:spacing w:line="360" w:lineRule="auto"/>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1、按采购人要求的时间节点及时完成废盐运工作，保证暂存厂房能正常运转，未发生拉运不及时导致爆仓状况。延迟拉运，每出现一次爆仓扣10分。</w:t>
            </w:r>
          </w:p>
          <w:p w14:paraId="3219CA45">
            <w:pPr>
              <w:keepNext w:val="0"/>
              <w:keepLines w:val="0"/>
              <w:widowControl/>
              <w:numPr>
                <w:ilvl w:val="0"/>
                <w:numId w:val="0"/>
              </w:numPr>
              <w:suppressLineNumbers w:val="0"/>
              <w:spacing w:line="360" w:lineRule="auto"/>
              <w:jc w:val="lef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2、服从现场管理工作，车辆不乱停靠，不影响厂区交通条件。每发现一次车辆乱停，扣2分。</w:t>
            </w:r>
          </w:p>
        </w:tc>
        <w:tc>
          <w:tcPr>
            <w:tcW w:w="581" w:type="pct"/>
            <w:noWrap/>
            <w:vAlign w:val="center"/>
          </w:tcPr>
          <w:p w14:paraId="63DD9542">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40</w:t>
            </w:r>
          </w:p>
        </w:tc>
        <w:tc>
          <w:tcPr>
            <w:tcW w:w="457" w:type="pct"/>
            <w:noWrap/>
            <w:vAlign w:val="center"/>
          </w:tcPr>
          <w:p w14:paraId="357AFECD">
            <w:pPr>
              <w:bidi w:val="0"/>
              <w:spacing w:line="360" w:lineRule="auto"/>
              <w:jc w:val="center"/>
              <w:rPr>
                <w:rFonts w:hint="eastAsia" w:ascii="宋体" w:hAnsi="宋体" w:eastAsia="宋体" w:cs="宋体"/>
                <w:color w:val="auto"/>
                <w:sz w:val="21"/>
                <w:szCs w:val="21"/>
                <w:highlight w:val="none"/>
              </w:rPr>
            </w:pPr>
          </w:p>
        </w:tc>
        <w:tc>
          <w:tcPr>
            <w:tcW w:w="456" w:type="pct"/>
            <w:noWrap/>
            <w:vAlign w:val="center"/>
          </w:tcPr>
          <w:p w14:paraId="170D5EA3">
            <w:pPr>
              <w:bidi w:val="0"/>
              <w:spacing w:line="360" w:lineRule="auto"/>
              <w:jc w:val="center"/>
              <w:rPr>
                <w:rFonts w:hint="eastAsia" w:ascii="宋体" w:hAnsi="宋体" w:eastAsia="宋体" w:cs="宋体"/>
                <w:color w:val="auto"/>
                <w:sz w:val="21"/>
                <w:szCs w:val="21"/>
                <w:highlight w:val="none"/>
              </w:rPr>
            </w:pPr>
          </w:p>
        </w:tc>
      </w:tr>
      <w:tr w14:paraId="03C0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443" w:type="pct"/>
            <w:noWrap/>
            <w:vAlign w:val="center"/>
          </w:tcPr>
          <w:p w14:paraId="6B5FAFAE">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p>
        </w:tc>
        <w:tc>
          <w:tcPr>
            <w:tcW w:w="705" w:type="pct"/>
            <w:noWrap/>
            <w:vAlign w:val="center"/>
          </w:tcPr>
          <w:p w14:paraId="63037440">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管理质量</w:t>
            </w:r>
          </w:p>
        </w:tc>
        <w:tc>
          <w:tcPr>
            <w:tcW w:w="2355" w:type="pct"/>
            <w:gridSpan w:val="2"/>
            <w:noWrap/>
            <w:vAlign w:val="center"/>
          </w:tcPr>
          <w:p w14:paraId="6E02AA3D">
            <w:pPr>
              <w:numPr>
                <w:ilvl w:val="0"/>
                <w:numId w:val="0"/>
              </w:numPr>
              <w:bidi w:val="0"/>
              <w:spacing w:line="360" w:lineRule="auto"/>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1、废盐运输、存储、处置等全过程合法合规，采购人未接到相关投诉、举报等环境事件。每发生一次与项目废盐处置有关的环境事件，扣10分。</w:t>
            </w:r>
          </w:p>
          <w:p w14:paraId="6C12CD06">
            <w:pPr>
              <w:numPr>
                <w:ilvl w:val="0"/>
                <w:numId w:val="0"/>
              </w:numPr>
              <w:bidi w:val="0"/>
              <w:spacing w:line="360" w:lineRule="auto"/>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2、及时提供废盐每车拉运照片。未提供照片，超过时限提供，每次扣2分。</w:t>
            </w:r>
          </w:p>
          <w:p w14:paraId="6829C932">
            <w:pPr>
              <w:numPr>
                <w:ilvl w:val="0"/>
                <w:numId w:val="0"/>
              </w:numPr>
              <w:spacing w:line="360" w:lineRule="auto"/>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3、转移联单及台账填写信息齐全，及时提供给采购人。台账信息不齐全，超时限提供，每次扣2分。</w:t>
            </w:r>
          </w:p>
          <w:p w14:paraId="0456F66C">
            <w:pPr>
              <w:numPr>
                <w:ilvl w:val="0"/>
                <w:numId w:val="0"/>
              </w:numPr>
              <w:spacing w:line="360" w:lineRule="auto"/>
              <w:jc w:val="left"/>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4、完成上月限期整改通知书所要求的事项（若有）。未按要求完成整改，每次扣5分。</w:t>
            </w:r>
          </w:p>
        </w:tc>
        <w:tc>
          <w:tcPr>
            <w:tcW w:w="581" w:type="pct"/>
            <w:noWrap/>
            <w:vAlign w:val="center"/>
          </w:tcPr>
          <w:p w14:paraId="2F7FFF8C">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30</w:t>
            </w:r>
          </w:p>
        </w:tc>
        <w:tc>
          <w:tcPr>
            <w:tcW w:w="457" w:type="pct"/>
            <w:noWrap/>
            <w:vAlign w:val="center"/>
          </w:tcPr>
          <w:p w14:paraId="13E25C0D">
            <w:pPr>
              <w:bidi w:val="0"/>
              <w:spacing w:line="360" w:lineRule="auto"/>
              <w:jc w:val="center"/>
              <w:rPr>
                <w:rFonts w:hint="eastAsia" w:ascii="宋体" w:hAnsi="宋体" w:eastAsia="宋体" w:cs="宋体"/>
                <w:color w:val="auto"/>
                <w:sz w:val="21"/>
                <w:szCs w:val="21"/>
                <w:highlight w:val="none"/>
              </w:rPr>
            </w:pPr>
          </w:p>
        </w:tc>
        <w:tc>
          <w:tcPr>
            <w:tcW w:w="456" w:type="pct"/>
            <w:noWrap/>
            <w:vAlign w:val="center"/>
          </w:tcPr>
          <w:p w14:paraId="4A713877">
            <w:pPr>
              <w:bidi w:val="0"/>
              <w:spacing w:line="360" w:lineRule="auto"/>
              <w:jc w:val="center"/>
              <w:rPr>
                <w:rFonts w:hint="eastAsia" w:ascii="宋体" w:hAnsi="宋体" w:eastAsia="宋体" w:cs="宋体"/>
                <w:color w:val="auto"/>
                <w:sz w:val="21"/>
                <w:szCs w:val="21"/>
                <w:highlight w:val="none"/>
              </w:rPr>
            </w:pPr>
          </w:p>
        </w:tc>
      </w:tr>
      <w:tr w14:paraId="331D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443" w:type="pct"/>
            <w:noWrap/>
            <w:vAlign w:val="center"/>
          </w:tcPr>
          <w:p w14:paraId="7A6BD7F3">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705" w:type="pct"/>
            <w:noWrap/>
            <w:vAlign w:val="center"/>
          </w:tcPr>
          <w:p w14:paraId="5003803D">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服务配合与保密</w:t>
            </w:r>
          </w:p>
        </w:tc>
        <w:tc>
          <w:tcPr>
            <w:tcW w:w="2355" w:type="pct"/>
            <w:gridSpan w:val="2"/>
            <w:noWrap/>
            <w:vAlign w:val="center"/>
          </w:tcPr>
          <w:p w14:paraId="47D5665A">
            <w:pPr>
              <w:numPr>
                <w:ilvl w:val="0"/>
                <w:numId w:val="2"/>
              </w:numPr>
              <w:bidi w:val="0"/>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沟通渠道畅通，服务态度积极，配合度高。消极应对，沟通不畅，每次扣5分。</w:t>
            </w:r>
          </w:p>
          <w:p w14:paraId="0A63F891">
            <w:pPr>
              <w:numPr>
                <w:ilvl w:val="0"/>
                <w:numId w:val="2"/>
              </w:num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对采购人提出的修改意见响应迅速，并按约定时间完成修订。拒不服从采购人要求整改，每次扣5分。</w:t>
            </w:r>
          </w:p>
          <w:p w14:paraId="639912A5">
            <w:pPr>
              <w:numPr>
                <w:ilvl w:val="0"/>
                <w:numId w:val="2"/>
              </w:numPr>
              <w:bidi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严格遵守保密规定，未发生信息泄露事件。随意泄露项目信息，每次扣5分。</w:t>
            </w:r>
          </w:p>
        </w:tc>
        <w:tc>
          <w:tcPr>
            <w:tcW w:w="581" w:type="pct"/>
            <w:noWrap/>
            <w:vAlign w:val="center"/>
          </w:tcPr>
          <w:p w14:paraId="01D740BC">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p>
        </w:tc>
        <w:tc>
          <w:tcPr>
            <w:tcW w:w="457" w:type="pct"/>
            <w:noWrap/>
            <w:vAlign w:val="center"/>
          </w:tcPr>
          <w:p w14:paraId="5A3D5163">
            <w:pPr>
              <w:bidi w:val="0"/>
              <w:spacing w:line="360" w:lineRule="auto"/>
              <w:jc w:val="center"/>
              <w:rPr>
                <w:rFonts w:hint="eastAsia" w:ascii="宋体" w:hAnsi="宋体" w:eastAsia="宋体" w:cs="宋体"/>
                <w:color w:val="auto"/>
                <w:sz w:val="21"/>
                <w:szCs w:val="21"/>
                <w:highlight w:val="none"/>
              </w:rPr>
            </w:pPr>
          </w:p>
        </w:tc>
        <w:tc>
          <w:tcPr>
            <w:tcW w:w="456" w:type="pct"/>
            <w:noWrap/>
            <w:vAlign w:val="center"/>
          </w:tcPr>
          <w:p w14:paraId="56A09E32">
            <w:pPr>
              <w:bidi w:val="0"/>
              <w:spacing w:line="360" w:lineRule="auto"/>
              <w:jc w:val="center"/>
              <w:rPr>
                <w:rFonts w:hint="eastAsia" w:ascii="宋体" w:hAnsi="宋体" w:eastAsia="宋体" w:cs="宋体"/>
                <w:color w:val="auto"/>
                <w:sz w:val="21"/>
                <w:szCs w:val="21"/>
                <w:highlight w:val="none"/>
              </w:rPr>
            </w:pPr>
          </w:p>
        </w:tc>
      </w:tr>
      <w:tr w14:paraId="081E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443" w:type="pct"/>
            <w:noWrap/>
            <w:vAlign w:val="center"/>
          </w:tcPr>
          <w:p w14:paraId="0078CD6A">
            <w:pPr>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705" w:type="pct"/>
            <w:noWrap/>
            <w:vAlign w:val="center"/>
          </w:tcPr>
          <w:p w14:paraId="78F83284">
            <w:pPr>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w:t>
            </w:r>
          </w:p>
        </w:tc>
        <w:tc>
          <w:tcPr>
            <w:tcW w:w="2355" w:type="pct"/>
            <w:gridSpan w:val="2"/>
            <w:noWrap/>
            <w:vAlign w:val="center"/>
          </w:tcPr>
          <w:p w14:paraId="293A6615">
            <w:pPr>
              <w:numPr>
                <w:ilvl w:val="0"/>
                <w:numId w:val="0"/>
              </w:numPr>
              <w:bidi w:val="0"/>
              <w:spacing w:line="360" w:lineRule="auto"/>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考核期内</w:t>
            </w:r>
            <w:r>
              <w:rPr>
                <w:rFonts w:hint="eastAsia" w:ascii="宋体" w:hAnsi="宋体" w:eastAsia="宋体" w:cs="宋体"/>
                <w:color w:val="auto"/>
                <w:sz w:val="21"/>
                <w:szCs w:val="21"/>
                <w:highlight w:val="none"/>
              </w:rPr>
              <w:t>积极响应并接受相关部门的监督检查</w:t>
            </w:r>
            <w:r>
              <w:rPr>
                <w:rFonts w:hint="eastAsia" w:ascii="宋体" w:hAnsi="宋体" w:eastAsia="宋体" w:cs="宋体"/>
                <w:color w:val="auto"/>
                <w:sz w:val="21"/>
                <w:szCs w:val="21"/>
                <w:highlight w:val="none"/>
                <w:lang w:val="en-US" w:eastAsia="zh-CN"/>
              </w:rPr>
              <w:t>且未</w:t>
            </w:r>
            <w:r>
              <w:rPr>
                <w:rFonts w:hint="eastAsia" w:ascii="宋体" w:hAnsi="宋体" w:eastAsia="宋体" w:cs="宋体"/>
                <w:color w:val="auto"/>
                <w:sz w:val="21"/>
                <w:szCs w:val="21"/>
                <w:highlight w:val="none"/>
              </w:rPr>
              <w:t>受到相关部门的批评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拒不服从监督检查，每次扣5分。</w:t>
            </w:r>
          </w:p>
        </w:tc>
        <w:tc>
          <w:tcPr>
            <w:tcW w:w="581" w:type="pct"/>
            <w:noWrap/>
            <w:vAlign w:val="center"/>
          </w:tcPr>
          <w:p w14:paraId="63CCB242">
            <w:pPr>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457" w:type="pct"/>
            <w:noWrap/>
            <w:vAlign w:val="center"/>
          </w:tcPr>
          <w:p w14:paraId="5BA97935">
            <w:pPr>
              <w:bidi w:val="0"/>
              <w:spacing w:line="360" w:lineRule="auto"/>
              <w:jc w:val="center"/>
              <w:rPr>
                <w:rFonts w:hint="eastAsia" w:ascii="宋体" w:hAnsi="宋体" w:eastAsia="宋体" w:cs="宋体"/>
                <w:color w:val="auto"/>
                <w:sz w:val="21"/>
                <w:szCs w:val="21"/>
                <w:highlight w:val="none"/>
              </w:rPr>
            </w:pPr>
          </w:p>
        </w:tc>
        <w:tc>
          <w:tcPr>
            <w:tcW w:w="456" w:type="pct"/>
            <w:noWrap/>
            <w:vAlign w:val="center"/>
          </w:tcPr>
          <w:p w14:paraId="0F370E95">
            <w:pPr>
              <w:bidi w:val="0"/>
              <w:spacing w:line="360" w:lineRule="auto"/>
              <w:jc w:val="center"/>
              <w:rPr>
                <w:rFonts w:hint="eastAsia" w:ascii="宋体" w:hAnsi="宋体" w:eastAsia="宋体" w:cs="宋体"/>
                <w:color w:val="auto"/>
                <w:sz w:val="21"/>
                <w:szCs w:val="21"/>
                <w:highlight w:val="none"/>
              </w:rPr>
            </w:pPr>
          </w:p>
        </w:tc>
      </w:tr>
      <w:tr w14:paraId="74F7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3504" w:type="pct"/>
            <w:gridSpan w:val="4"/>
            <w:shd w:val="clear" w:color="auto" w:fill="auto"/>
            <w:noWrap/>
            <w:vAlign w:val="center"/>
          </w:tcPr>
          <w:p w14:paraId="2B8D0665">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总分</w:t>
            </w:r>
          </w:p>
        </w:tc>
        <w:tc>
          <w:tcPr>
            <w:tcW w:w="581" w:type="pct"/>
            <w:shd w:val="clear" w:color="auto" w:fill="auto"/>
            <w:noWrap/>
            <w:vAlign w:val="center"/>
          </w:tcPr>
          <w:p w14:paraId="6132527A">
            <w:pPr>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100</w:t>
            </w:r>
          </w:p>
        </w:tc>
        <w:tc>
          <w:tcPr>
            <w:tcW w:w="457" w:type="pct"/>
            <w:shd w:val="clear" w:color="auto" w:fill="FFFFFF"/>
            <w:noWrap/>
            <w:vAlign w:val="center"/>
          </w:tcPr>
          <w:p w14:paraId="0AEF835E">
            <w:pPr>
              <w:bidi w:val="0"/>
              <w:spacing w:line="360" w:lineRule="auto"/>
              <w:jc w:val="center"/>
              <w:rPr>
                <w:rFonts w:hint="eastAsia" w:ascii="宋体" w:hAnsi="宋体" w:eastAsia="宋体" w:cs="宋体"/>
                <w:color w:val="auto"/>
                <w:sz w:val="21"/>
                <w:szCs w:val="21"/>
                <w:highlight w:val="none"/>
              </w:rPr>
            </w:pPr>
          </w:p>
        </w:tc>
        <w:tc>
          <w:tcPr>
            <w:tcW w:w="456" w:type="pct"/>
            <w:shd w:val="clear" w:color="auto" w:fill="FFFFFF"/>
            <w:noWrap/>
            <w:vAlign w:val="center"/>
          </w:tcPr>
          <w:p w14:paraId="79A61CB3">
            <w:pPr>
              <w:bidi w:val="0"/>
              <w:spacing w:line="360" w:lineRule="auto"/>
              <w:jc w:val="center"/>
              <w:rPr>
                <w:rFonts w:hint="eastAsia" w:ascii="宋体" w:hAnsi="宋体" w:eastAsia="宋体" w:cs="宋体"/>
                <w:color w:val="auto"/>
                <w:sz w:val="21"/>
                <w:szCs w:val="21"/>
                <w:highlight w:val="none"/>
              </w:rPr>
            </w:pPr>
          </w:p>
        </w:tc>
      </w:tr>
      <w:tr w14:paraId="19DD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1603"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38EFDEB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履约</w:t>
            </w:r>
            <w:r>
              <w:rPr>
                <w:rFonts w:hint="eastAsia" w:ascii="宋体" w:hAnsi="宋体" w:eastAsia="宋体" w:cs="宋体"/>
                <w:bCs/>
                <w:color w:val="auto"/>
                <w:sz w:val="21"/>
                <w:szCs w:val="21"/>
                <w:highlight w:val="none"/>
                <w:lang w:val="en-US" w:eastAsia="zh-CN"/>
              </w:rPr>
              <w:t>评价</w:t>
            </w:r>
            <w:r>
              <w:rPr>
                <w:rFonts w:hint="eastAsia" w:ascii="宋体" w:hAnsi="宋体" w:eastAsia="宋体" w:cs="宋体"/>
                <w:bCs/>
                <w:color w:val="auto"/>
                <w:sz w:val="21"/>
                <w:szCs w:val="21"/>
                <w:highlight w:val="none"/>
              </w:rPr>
              <w:t>项目</w:t>
            </w:r>
            <w:r>
              <w:rPr>
                <w:rFonts w:hint="eastAsia" w:ascii="宋体" w:hAnsi="宋体" w:eastAsia="宋体" w:cs="宋体"/>
                <w:color w:val="auto"/>
                <w:sz w:val="21"/>
                <w:szCs w:val="21"/>
                <w:highlight w:val="none"/>
              </w:rPr>
              <w:t>其他</w:t>
            </w:r>
            <w:r>
              <w:rPr>
                <w:rFonts w:hint="eastAsia" w:ascii="宋体" w:hAnsi="宋体" w:eastAsia="宋体" w:cs="宋体"/>
                <w:bCs/>
                <w:color w:val="auto"/>
                <w:sz w:val="21"/>
                <w:szCs w:val="21"/>
                <w:highlight w:val="none"/>
              </w:rPr>
              <w:t>意见及签署</w:t>
            </w:r>
          </w:p>
        </w:tc>
        <w:tc>
          <w:tcPr>
            <w:tcW w:w="1900" w:type="pct"/>
            <w:tcBorders>
              <w:top w:val="single" w:color="auto" w:sz="4" w:space="0"/>
              <w:left w:val="single" w:color="auto" w:sz="4" w:space="0"/>
              <w:bottom w:val="single" w:color="auto" w:sz="4" w:space="0"/>
              <w:right w:val="single" w:color="auto" w:sz="4" w:space="0"/>
            </w:tcBorders>
            <w:noWrap w:val="0"/>
            <w:vAlign w:val="center"/>
          </w:tcPr>
          <w:p w14:paraId="27798387">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经办人</w:t>
            </w:r>
            <w:r>
              <w:rPr>
                <w:rFonts w:hint="eastAsia" w:ascii="宋体" w:hAnsi="宋体" w:eastAsia="宋体" w:cs="宋体"/>
                <w:bCs/>
                <w:color w:val="auto"/>
                <w:sz w:val="21"/>
                <w:szCs w:val="21"/>
                <w:highlight w:val="none"/>
                <w:lang w:eastAsia="zh-CN"/>
              </w:rPr>
              <w:t>：</w:t>
            </w:r>
          </w:p>
        </w:tc>
        <w:tc>
          <w:tcPr>
            <w:tcW w:w="1495" w:type="pct"/>
            <w:gridSpan w:val="3"/>
            <w:tcBorders>
              <w:top w:val="single" w:color="auto" w:sz="4" w:space="0"/>
              <w:left w:val="single" w:color="auto" w:sz="4" w:space="0"/>
              <w:bottom w:val="single" w:color="auto" w:sz="4" w:space="0"/>
              <w:right w:val="single" w:color="auto" w:sz="4" w:space="0"/>
            </w:tcBorders>
            <w:noWrap w:val="0"/>
            <w:vAlign w:val="center"/>
          </w:tcPr>
          <w:p w14:paraId="6BB3AC15">
            <w:pPr>
              <w:spacing w:line="360" w:lineRule="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日期：    年    月    日</w:t>
            </w:r>
          </w:p>
        </w:tc>
      </w:tr>
      <w:tr w14:paraId="0621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1603"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3F23B246">
            <w:pPr>
              <w:spacing w:line="360" w:lineRule="auto"/>
              <w:rPr>
                <w:rFonts w:hint="eastAsia" w:ascii="宋体" w:hAnsi="宋体" w:eastAsia="宋体" w:cs="宋体"/>
                <w:color w:val="auto"/>
                <w:sz w:val="21"/>
                <w:szCs w:val="21"/>
                <w:highlight w:val="none"/>
              </w:rPr>
            </w:pPr>
          </w:p>
        </w:tc>
        <w:tc>
          <w:tcPr>
            <w:tcW w:w="1900" w:type="pct"/>
            <w:tcBorders>
              <w:top w:val="single" w:color="auto" w:sz="4" w:space="0"/>
              <w:left w:val="single" w:color="auto" w:sz="4" w:space="0"/>
              <w:bottom w:val="single" w:color="auto" w:sz="4" w:space="0"/>
              <w:right w:val="single" w:color="auto" w:sz="4" w:space="0"/>
            </w:tcBorders>
            <w:noWrap w:val="0"/>
            <w:vAlign w:val="center"/>
          </w:tcPr>
          <w:p w14:paraId="61BDC464">
            <w:pPr>
              <w:spacing w:line="360" w:lineRule="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项目负责人</w:t>
            </w:r>
            <w:r>
              <w:rPr>
                <w:rFonts w:hint="eastAsia" w:ascii="宋体" w:hAnsi="宋体" w:eastAsia="宋体" w:cs="宋体"/>
                <w:bCs/>
                <w:color w:val="auto"/>
                <w:sz w:val="21"/>
                <w:szCs w:val="21"/>
                <w:highlight w:val="none"/>
                <w:lang w:eastAsia="zh-CN"/>
              </w:rPr>
              <w:t>：</w:t>
            </w:r>
          </w:p>
        </w:tc>
        <w:tc>
          <w:tcPr>
            <w:tcW w:w="1495" w:type="pct"/>
            <w:gridSpan w:val="3"/>
            <w:tcBorders>
              <w:top w:val="single" w:color="auto" w:sz="4" w:space="0"/>
              <w:left w:val="single" w:color="auto" w:sz="4" w:space="0"/>
              <w:bottom w:val="single" w:color="auto" w:sz="4" w:space="0"/>
              <w:right w:val="single" w:color="auto" w:sz="4" w:space="0"/>
            </w:tcBorders>
            <w:noWrap w:val="0"/>
            <w:vAlign w:val="center"/>
          </w:tcPr>
          <w:p w14:paraId="0C23BCAB">
            <w:pPr>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日期：    年    月    日</w:t>
            </w:r>
          </w:p>
        </w:tc>
      </w:tr>
      <w:tr w14:paraId="4F58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jc w:val="center"/>
        </w:trPr>
        <w:tc>
          <w:tcPr>
            <w:tcW w:w="1603" w:type="pct"/>
            <w:gridSpan w:val="3"/>
            <w:tcBorders>
              <w:top w:val="single" w:color="auto" w:sz="4" w:space="0"/>
              <w:left w:val="single" w:color="auto" w:sz="4" w:space="0"/>
              <w:bottom w:val="single" w:color="auto" w:sz="4" w:space="0"/>
              <w:right w:val="single" w:color="auto" w:sz="4" w:space="0"/>
            </w:tcBorders>
            <w:noWrap w:val="0"/>
            <w:vAlign w:val="center"/>
          </w:tcPr>
          <w:p w14:paraId="398A84DB">
            <w:pPr>
              <w:numPr>
                <w:ilvl w:val="0"/>
                <w:numId w:val="0"/>
              </w:numPr>
              <w:spacing w:line="360" w:lineRule="auto"/>
              <w:ind w:leftChars="0"/>
              <w:jc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供应商意见及签署</w:t>
            </w:r>
          </w:p>
        </w:tc>
        <w:tc>
          <w:tcPr>
            <w:tcW w:w="3396" w:type="pct"/>
            <w:gridSpan w:val="4"/>
            <w:tcBorders>
              <w:top w:val="single" w:color="auto" w:sz="4" w:space="0"/>
              <w:left w:val="single" w:color="auto" w:sz="4" w:space="0"/>
              <w:bottom w:val="single" w:color="auto" w:sz="4" w:space="0"/>
              <w:right w:val="single" w:color="auto" w:sz="4" w:space="0"/>
            </w:tcBorders>
            <w:noWrap w:val="0"/>
            <w:vAlign w:val="center"/>
          </w:tcPr>
          <w:p w14:paraId="5F78BE5F">
            <w:pPr>
              <w:numPr>
                <w:ilvl w:val="0"/>
                <w:numId w:val="0"/>
              </w:numPr>
              <w:spacing w:line="360" w:lineRule="auto"/>
              <w:ind w:leftChars="0"/>
              <w:rPr>
                <w:rFonts w:hint="eastAsia" w:ascii="宋体" w:hAnsi="宋体" w:eastAsia="宋体" w:cs="宋体"/>
                <w:bCs/>
                <w:color w:val="auto"/>
                <w:sz w:val="21"/>
                <w:szCs w:val="21"/>
                <w:highlight w:val="none"/>
              </w:rPr>
            </w:pPr>
          </w:p>
        </w:tc>
      </w:tr>
    </w:tbl>
    <w:p w14:paraId="61098763">
      <w:pPr>
        <w:keepNext w:val="0"/>
        <w:keepLines w:val="0"/>
        <w:pageBreakBefore w:val="0"/>
        <w:widowControl w:val="0"/>
        <w:kinsoku/>
        <w:wordWrap/>
        <w:overflowPunct/>
        <w:topLinePunct w:val="0"/>
        <w:autoSpaceDE/>
        <w:autoSpaceDN/>
        <w:bidi w:val="0"/>
        <w:adjustRightInd/>
        <w:spacing w:line="360" w:lineRule="auto"/>
        <w:jc w:val="both"/>
        <w:textAlignment w:val="auto"/>
        <w:outlineLvl w:val="9"/>
        <w:rPr>
          <w:rFonts w:hint="eastAsia" w:ascii="宋体" w:hAnsi="宋体" w:eastAsia="宋体" w:cs="宋体"/>
          <w:b/>
          <w:color w:val="auto"/>
          <w:kern w:val="2"/>
          <w:sz w:val="21"/>
          <w:szCs w:val="21"/>
          <w:highlight w:val="none"/>
          <w:lang w:val="en-US" w:eastAsia="zh-CN" w:bidi="ar-SA"/>
        </w:rPr>
      </w:pPr>
    </w:p>
    <w:p w14:paraId="4FA41BEF">
      <w:pPr>
        <w:rPr>
          <w:color w:val="auto"/>
          <w:highlight w:val="none"/>
        </w:rPr>
      </w:pPr>
    </w:p>
    <w:p w14:paraId="0DC0CAFD">
      <w:pPr>
        <w:pageBreakBefore/>
        <w:tabs>
          <w:tab w:val="left" w:pos="1080"/>
        </w:tabs>
        <w:autoSpaceDE w:val="0"/>
        <w:autoSpaceDN w:val="0"/>
        <w:adjustRightInd w:val="0"/>
        <w:spacing w:line="360" w:lineRule="auto"/>
        <w:ind w:left="357" w:leftChars="-100" w:hanging="567"/>
        <w:jc w:val="center"/>
        <w:outlineLvl w:val="0"/>
        <w:rPr>
          <w:rFonts w:hint="eastAsia" w:ascii="宋体" w:hAnsi="宋体" w:eastAsia="宋体" w:cs="宋体"/>
          <w:b/>
          <w:bCs/>
          <w:color w:val="auto"/>
          <w:kern w:val="44"/>
          <w:sz w:val="32"/>
          <w:szCs w:val="32"/>
          <w:highlight w:val="none"/>
          <w:lang w:val="zh-CN"/>
        </w:rPr>
      </w:pPr>
      <w:bookmarkStart w:id="384" w:name="_Toc746837324"/>
      <w:r>
        <w:rPr>
          <w:rFonts w:hint="eastAsia" w:ascii="宋体" w:hAnsi="宋体" w:eastAsia="宋体" w:cs="宋体"/>
          <w:b/>
          <w:bCs/>
          <w:color w:val="auto"/>
          <w:kern w:val="44"/>
          <w:sz w:val="32"/>
          <w:szCs w:val="32"/>
          <w:highlight w:val="none"/>
          <w:lang w:val="zh-CN"/>
        </w:rPr>
        <w:t>第四篇 合同条款格式</w:t>
      </w:r>
      <w:bookmarkEnd w:id="373"/>
      <w:bookmarkEnd w:id="374"/>
      <w:bookmarkEnd w:id="375"/>
      <w:bookmarkEnd w:id="384"/>
    </w:p>
    <w:p w14:paraId="170ADAD4">
      <w:pPr>
        <w:widowControl/>
        <w:wordWrap w:val="0"/>
        <w:ind w:right="934" w:firstLine="5250" w:firstLineChars="2500"/>
        <w:textAlignment w:val="bottom"/>
        <w:rPr>
          <w:rFonts w:hAnsi="宋体" w:cs="宋体"/>
          <w:color w:val="auto"/>
          <w:szCs w:val="32"/>
          <w:highlight w:val="none"/>
        </w:rPr>
      </w:pPr>
    </w:p>
    <w:p w14:paraId="62AC9EE3">
      <w:pPr>
        <w:keepNext w:val="0"/>
        <w:keepLines w:val="0"/>
        <w:pageBreakBefore w:val="0"/>
        <w:kinsoku/>
        <w:wordWrap/>
        <w:overflowPunct/>
        <w:topLinePunct w:val="0"/>
        <w:autoSpaceDE w:val="0"/>
        <w:autoSpaceDN w:val="0"/>
        <w:bidi w:val="0"/>
        <w:adjustRightInd w:val="0"/>
        <w:spacing w:line="360" w:lineRule="auto"/>
        <w:jc w:val="right"/>
        <w:rPr>
          <w:rFonts w:hint="eastAsia" w:ascii="宋体" w:hAnsi="宋体" w:eastAsia="宋体" w:cs="宋体"/>
          <w:b/>
          <w:color w:val="auto"/>
          <w:kern w:val="0"/>
          <w:sz w:val="24"/>
          <w:szCs w:val="24"/>
          <w:highlight w:val="none"/>
          <w:lang w:eastAsia="zh-CN"/>
        </w:rPr>
      </w:pPr>
      <w:r>
        <w:rPr>
          <w:rFonts w:hint="eastAsia" w:ascii="宋体" w:hAnsi="宋体" w:eastAsia="宋体" w:cs="宋体"/>
          <w:b/>
          <w:bCs/>
          <w:color w:val="auto"/>
          <w:sz w:val="24"/>
          <w:szCs w:val="24"/>
          <w:highlight w:val="none"/>
        </w:rPr>
        <w:t xml:space="preserve">合同编号：   </w:t>
      </w:r>
    </w:p>
    <w:p w14:paraId="2CCA76CB">
      <w:pPr>
        <w:tabs>
          <w:tab w:val="left" w:pos="840"/>
        </w:tabs>
        <w:wordWrap/>
        <w:spacing w:line="360" w:lineRule="auto"/>
        <w:jc w:val="center"/>
        <w:textAlignment w:val="auto"/>
        <w:rPr>
          <w:rFonts w:hint="eastAsia" w:ascii="宋体" w:hAnsi="宋体" w:eastAsia="宋体" w:cs="宋体"/>
          <w:b/>
          <w:bCs/>
          <w:color w:val="auto"/>
          <w:kern w:val="0"/>
          <w:sz w:val="48"/>
          <w:szCs w:val="48"/>
          <w:highlight w:val="none"/>
          <w:lang w:val="zh-CN"/>
        </w:rPr>
      </w:pPr>
    </w:p>
    <w:p w14:paraId="03FE189B">
      <w:pPr>
        <w:tabs>
          <w:tab w:val="left" w:pos="840"/>
        </w:tabs>
        <w:wordWrap/>
        <w:spacing w:line="360" w:lineRule="auto"/>
        <w:jc w:val="center"/>
        <w:textAlignment w:val="auto"/>
        <w:rPr>
          <w:rFonts w:hint="eastAsia" w:ascii="宋体" w:hAnsi="宋体" w:eastAsia="宋体" w:cs="宋体"/>
          <w:color w:val="auto"/>
          <w:sz w:val="48"/>
          <w:szCs w:val="48"/>
          <w:highlight w:val="none"/>
          <w:lang w:val="en-US" w:eastAsia="zh-CN"/>
        </w:rPr>
      </w:pPr>
      <w:r>
        <w:rPr>
          <w:rFonts w:hint="eastAsia" w:ascii="宋体" w:hAnsi="宋体" w:eastAsia="宋体" w:cs="宋体"/>
          <w:b/>
          <w:bCs/>
          <w:color w:val="auto"/>
          <w:kern w:val="0"/>
          <w:sz w:val="48"/>
          <w:szCs w:val="48"/>
          <w:highlight w:val="none"/>
          <w:lang w:val="zh-CN"/>
        </w:rPr>
        <w:t>东莞市污泥集中处理处置项目过渡期废盐处置服务采购项目</w:t>
      </w:r>
      <w:r>
        <w:rPr>
          <w:rFonts w:hint="eastAsia" w:ascii="宋体" w:hAnsi="宋体" w:eastAsia="宋体" w:cs="宋体"/>
          <w:b/>
          <w:bCs/>
          <w:color w:val="auto"/>
          <w:kern w:val="0"/>
          <w:sz w:val="48"/>
          <w:szCs w:val="48"/>
          <w:highlight w:val="none"/>
          <w:lang w:val="en-US" w:eastAsia="zh-CN"/>
        </w:rPr>
        <w:t>合同</w:t>
      </w:r>
    </w:p>
    <w:p w14:paraId="5FC10471">
      <w:pPr>
        <w:tabs>
          <w:tab w:val="left" w:pos="840"/>
        </w:tabs>
        <w:wordWrap/>
        <w:spacing w:line="360" w:lineRule="auto"/>
        <w:textAlignment w:val="auto"/>
        <w:rPr>
          <w:rFonts w:hint="eastAsia" w:ascii="宋体" w:hAnsi="宋体" w:eastAsia="宋体" w:cs="宋体"/>
          <w:color w:val="auto"/>
          <w:sz w:val="48"/>
          <w:szCs w:val="48"/>
          <w:highlight w:val="none"/>
        </w:rPr>
      </w:pPr>
    </w:p>
    <w:p w14:paraId="1856F5B7">
      <w:pPr>
        <w:tabs>
          <w:tab w:val="left" w:pos="840"/>
        </w:tabs>
        <w:wordWrap/>
        <w:spacing w:line="360" w:lineRule="auto"/>
        <w:textAlignment w:val="auto"/>
        <w:rPr>
          <w:rFonts w:hint="eastAsia" w:ascii="宋体" w:hAnsi="宋体" w:eastAsia="宋体" w:cs="宋体"/>
          <w:color w:val="auto"/>
          <w:sz w:val="48"/>
          <w:szCs w:val="48"/>
          <w:highlight w:val="none"/>
        </w:rPr>
      </w:pPr>
    </w:p>
    <w:p w14:paraId="7CEEC5C3">
      <w:pPr>
        <w:tabs>
          <w:tab w:val="left" w:pos="840"/>
        </w:tabs>
        <w:wordWrap/>
        <w:spacing w:line="360" w:lineRule="auto"/>
        <w:textAlignment w:val="auto"/>
        <w:rPr>
          <w:rFonts w:hint="eastAsia" w:ascii="宋体" w:hAnsi="宋体" w:eastAsia="宋体" w:cs="宋体"/>
          <w:color w:val="auto"/>
          <w:sz w:val="48"/>
          <w:szCs w:val="48"/>
          <w:highlight w:val="none"/>
        </w:rPr>
      </w:pPr>
    </w:p>
    <w:p w14:paraId="5BEBAACE">
      <w:pPr>
        <w:tabs>
          <w:tab w:val="left" w:pos="840"/>
        </w:tabs>
        <w:wordWrap/>
        <w:spacing w:line="360" w:lineRule="auto"/>
        <w:textAlignment w:val="auto"/>
        <w:rPr>
          <w:rFonts w:hint="eastAsia" w:ascii="宋体" w:hAnsi="宋体" w:eastAsia="宋体" w:cs="宋体"/>
          <w:color w:val="auto"/>
          <w:sz w:val="48"/>
          <w:szCs w:val="48"/>
          <w:highlight w:val="none"/>
        </w:rPr>
      </w:pPr>
    </w:p>
    <w:p w14:paraId="5923BDE8">
      <w:pPr>
        <w:tabs>
          <w:tab w:val="left" w:pos="840"/>
        </w:tabs>
        <w:wordWrap/>
        <w:spacing w:line="360" w:lineRule="auto"/>
        <w:textAlignment w:val="auto"/>
        <w:rPr>
          <w:rFonts w:hint="eastAsia" w:ascii="宋体" w:hAnsi="宋体" w:eastAsia="宋体" w:cs="宋体"/>
          <w:color w:val="auto"/>
          <w:sz w:val="48"/>
          <w:szCs w:val="48"/>
          <w:highlight w:val="none"/>
        </w:rPr>
      </w:pPr>
    </w:p>
    <w:p w14:paraId="39E3E8F2">
      <w:pPr>
        <w:keepNext w:val="0"/>
        <w:keepLines w:val="0"/>
        <w:pageBreakBefore w:val="0"/>
        <w:widowControl w:val="0"/>
        <w:kinsoku/>
        <w:wordWrap/>
        <w:overflowPunct/>
        <w:topLinePunct w:val="0"/>
        <w:bidi w:val="0"/>
        <w:snapToGrid/>
        <w:spacing w:line="720" w:lineRule="auto"/>
        <w:ind w:firstLine="2157" w:firstLineChars="719"/>
        <w:jc w:val="left"/>
        <w:textAlignment w:val="auto"/>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甲方：</w:t>
      </w:r>
      <w:r>
        <w:rPr>
          <w:rFonts w:hint="eastAsia" w:ascii="宋体" w:hAnsi="宋体" w:eastAsia="宋体" w:cs="宋体"/>
          <w:color w:val="auto"/>
          <w:sz w:val="30"/>
          <w:szCs w:val="30"/>
          <w:highlight w:val="none"/>
          <w:u w:val="single"/>
        </w:rPr>
        <w:t>东莞市尚源环能科技有限公司</w:t>
      </w:r>
    </w:p>
    <w:p w14:paraId="52E07A89">
      <w:pPr>
        <w:keepNext w:val="0"/>
        <w:keepLines w:val="0"/>
        <w:pageBreakBefore w:val="0"/>
        <w:widowControl w:val="0"/>
        <w:kinsoku/>
        <w:wordWrap/>
        <w:overflowPunct/>
        <w:topLinePunct w:val="0"/>
        <w:bidi w:val="0"/>
        <w:snapToGrid/>
        <w:spacing w:line="720" w:lineRule="auto"/>
        <w:ind w:firstLine="2157" w:firstLineChars="719"/>
        <w:jc w:val="left"/>
        <w:textAlignment w:val="auto"/>
        <w:rPr>
          <w:rFonts w:hint="eastAsia" w:ascii="宋体" w:hAnsi="宋体" w:eastAsia="宋体" w:cs="宋体"/>
          <w:color w:val="auto"/>
          <w:sz w:val="30"/>
          <w:szCs w:val="30"/>
          <w:highlight w:val="none"/>
          <w:u w:val="single"/>
          <w:lang w:val="en-US" w:eastAsia="zh-CN"/>
        </w:rPr>
      </w:pPr>
      <w:r>
        <w:rPr>
          <w:rFonts w:hint="eastAsia" w:ascii="宋体" w:hAnsi="宋体" w:eastAsia="宋体" w:cs="宋体"/>
          <w:color w:val="auto"/>
          <w:sz w:val="30"/>
          <w:szCs w:val="30"/>
          <w:highlight w:val="none"/>
        </w:rPr>
        <w:t>乙方：</w:t>
      </w:r>
      <w:r>
        <w:rPr>
          <w:rFonts w:hint="eastAsia" w:ascii="宋体" w:hAnsi="宋体" w:eastAsia="宋体" w:cs="宋体"/>
          <w:color w:val="auto"/>
          <w:sz w:val="30"/>
          <w:szCs w:val="30"/>
          <w:highlight w:val="none"/>
          <w:u w:val="single"/>
          <w:lang w:val="en-US" w:eastAsia="zh-CN"/>
        </w:rPr>
        <w:t xml:space="preserve">                          </w:t>
      </w:r>
    </w:p>
    <w:p w14:paraId="225BB73B">
      <w:pPr>
        <w:tabs>
          <w:tab w:val="left" w:pos="0"/>
        </w:tabs>
        <w:wordWrap/>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sectPr>
          <w:headerReference r:id="rId3" w:type="first"/>
          <w:footerReference r:id="rId5" w:type="first"/>
          <w:footerReference r:id="rId4" w:type="default"/>
          <w:pgSz w:w="12240" w:h="15840"/>
          <w:pgMar w:top="1191" w:right="1117" w:bottom="1191" w:left="1043" w:header="720" w:footer="720" w:gutter="0"/>
          <w:pgBorders>
            <w:top w:val="none" w:sz="0" w:space="0"/>
            <w:left w:val="none" w:sz="0" w:space="0"/>
            <w:bottom w:val="none" w:sz="0" w:space="0"/>
            <w:right w:val="none" w:sz="0" w:space="0"/>
          </w:pgBorders>
          <w:pgNumType w:fmt="decimal"/>
          <w:cols w:space="0" w:num="1"/>
          <w:rtlGutter w:val="0"/>
          <w:docGrid w:linePitch="326" w:charSpace="0"/>
        </w:sectPr>
      </w:pPr>
    </w:p>
    <w:p w14:paraId="65A42D4F">
      <w:pPr>
        <w:keepNext w:val="0"/>
        <w:keepLines w:val="0"/>
        <w:pageBreakBefore w:val="0"/>
        <w:kinsoku/>
        <w:wordWrap/>
        <w:overflowPunct/>
        <w:topLinePunct w:val="0"/>
        <w:bidi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甲方：</w:t>
      </w:r>
      <w:r>
        <w:rPr>
          <w:rFonts w:hint="eastAsia" w:ascii="宋体" w:hAnsi="宋体" w:eastAsia="宋体" w:cs="宋体"/>
          <w:b/>
          <w:bCs/>
          <w:color w:val="auto"/>
          <w:sz w:val="21"/>
          <w:szCs w:val="21"/>
          <w:highlight w:val="none"/>
          <w:u w:val="single"/>
        </w:rPr>
        <w:t>东莞市尚源环能科技有限公司</w:t>
      </w:r>
    </w:p>
    <w:p w14:paraId="3E7621EF">
      <w:pPr>
        <w:keepNext w:val="0"/>
        <w:keepLines w:val="0"/>
        <w:pageBreakBefore w:val="0"/>
        <w:kinsoku/>
        <w:wordWrap/>
        <w:overflowPunct/>
        <w:topLinePunct w:val="0"/>
        <w:bidi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广东省东莞市沙田镇立沙中路</w:t>
      </w:r>
    </w:p>
    <w:p w14:paraId="6E703E7C">
      <w:pPr>
        <w:keepNext w:val="0"/>
        <w:keepLines w:val="0"/>
        <w:pageBreakBefore w:val="0"/>
        <w:kinsoku/>
        <w:wordWrap/>
        <w:overflowPunct/>
        <w:topLinePunct w:val="0"/>
        <w:bidi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乙方：</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 xml:space="preserve"> </w:t>
      </w:r>
      <w:r>
        <w:rPr>
          <w:rFonts w:hint="eastAsia" w:ascii="宋体" w:hAnsi="宋体" w:eastAsia="宋体" w:cs="宋体"/>
          <w:color w:val="auto"/>
          <w:sz w:val="21"/>
          <w:szCs w:val="21"/>
          <w:highlight w:val="none"/>
        </w:rPr>
        <w:t xml:space="preserve">                                  </w:t>
      </w:r>
    </w:p>
    <w:p w14:paraId="28E9663D">
      <w:pPr>
        <w:tabs>
          <w:tab w:val="left" w:pos="0"/>
        </w:tabs>
        <w:wordWrap/>
        <w:spacing w:line="360" w:lineRule="auto"/>
        <w:ind w:left="0" w:leftChars="0" w:right="0" w:firstLine="0" w:firstLineChars="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w:t>
      </w:r>
    </w:p>
    <w:p w14:paraId="0FC14B10">
      <w:pPr>
        <w:tabs>
          <w:tab w:val="left" w:pos="0"/>
        </w:tabs>
        <w:wordWrap/>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pPr>
    </w:p>
    <w:p w14:paraId="40E76167">
      <w:pPr>
        <w:tabs>
          <w:tab w:val="left" w:pos="0"/>
        </w:tabs>
        <w:wordWrap/>
        <w:spacing w:line="360" w:lineRule="auto"/>
        <w:ind w:left="0" w:leftChars="0" w:right="0" w:firstLine="420" w:firstLineChars="200"/>
        <w:jc w:val="both"/>
        <w:textAlignment w:val="auto"/>
        <w:outlineLvl w:val="9"/>
        <w:rPr>
          <w:rFonts w:hint="eastAsia" w:ascii="宋体" w:hAnsi="宋体" w:eastAsia="宋体" w:cs="宋体"/>
          <w:color w:val="auto"/>
          <w:kern w:val="2"/>
          <w:sz w:val="21"/>
          <w:szCs w:val="21"/>
          <w:highlight w:val="none"/>
          <w:lang w:val="zh-CN"/>
        </w:rPr>
      </w:pPr>
      <w:r>
        <w:rPr>
          <w:rFonts w:hint="eastAsia" w:ascii="宋体" w:hAnsi="宋体" w:eastAsia="宋体" w:cs="宋体"/>
          <w:color w:val="auto"/>
          <w:sz w:val="21"/>
          <w:szCs w:val="21"/>
          <w:highlight w:val="none"/>
        </w:rPr>
        <w:t>经甲方采购，现确定甲方向乙方采购</w:t>
      </w:r>
      <w:r>
        <w:rPr>
          <w:rFonts w:hint="eastAsia" w:ascii="宋体" w:hAnsi="宋体" w:eastAsia="宋体" w:cs="宋体"/>
          <w:color w:val="auto"/>
          <w:kern w:val="2"/>
          <w:sz w:val="21"/>
          <w:szCs w:val="21"/>
          <w:highlight w:val="none"/>
          <w:u w:val="single" w:color="auto"/>
          <w:lang w:val="en-US" w:eastAsia="zh-CN"/>
        </w:rPr>
        <w:t>废盐处置</w:t>
      </w:r>
      <w:r>
        <w:rPr>
          <w:rFonts w:hint="eastAsia" w:ascii="宋体" w:hAnsi="宋体" w:eastAsia="宋体" w:cs="宋体"/>
          <w:color w:val="auto"/>
          <w:kern w:val="2"/>
          <w:sz w:val="21"/>
          <w:szCs w:val="21"/>
          <w:highlight w:val="none"/>
          <w:u w:val="single" w:color="auto"/>
          <w:lang w:val="zh-CN"/>
        </w:rPr>
        <w:t>服务</w:t>
      </w:r>
      <w:r>
        <w:rPr>
          <w:rFonts w:hint="eastAsia" w:ascii="宋体" w:hAnsi="宋体" w:eastAsia="宋体" w:cs="宋体"/>
          <w:color w:val="auto"/>
          <w:sz w:val="21"/>
          <w:szCs w:val="21"/>
          <w:highlight w:val="none"/>
        </w:rPr>
        <w:t>。根据《中华人民共和国民法典》等法律、法规的规定，经双方平等协商，双方就</w:t>
      </w:r>
      <w:r>
        <w:rPr>
          <w:rFonts w:hint="eastAsia" w:ascii="宋体" w:hAnsi="宋体" w:eastAsia="宋体" w:cs="宋体"/>
          <w:color w:val="auto"/>
          <w:kern w:val="2"/>
          <w:sz w:val="21"/>
          <w:szCs w:val="21"/>
          <w:highlight w:val="none"/>
          <w:u w:val="single" w:color="auto"/>
          <w:lang w:val="en-US" w:eastAsia="zh-CN"/>
        </w:rPr>
        <w:t>废盐处置</w:t>
      </w:r>
      <w:r>
        <w:rPr>
          <w:rFonts w:hint="eastAsia" w:ascii="宋体" w:hAnsi="宋体" w:eastAsia="宋体" w:cs="宋体"/>
          <w:color w:val="auto"/>
          <w:kern w:val="2"/>
          <w:sz w:val="21"/>
          <w:szCs w:val="21"/>
          <w:highlight w:val="none"/>
          <w:u w:val="single" w:color="auto"/>
          <w:lang w:val="zh-CN"/>
        </w:rPr>
        <w:t>服务</w:t>
      </w:r>
      <w:r>
        <w:rPr>
          <w:rFonts w:hint="eastAsia" w:ascii="宋体" w:hAnsi="宋体" w:eastAsia="宋体" w:cs="宋体"/>
          <w:color w:val="auto"/>
          <w:sz w:val="21"/>
          <w:szCs w:val="21"/>
          <w:highlight w:val="none"/>
        </w:rPr>
        <w:t>（以下称“</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”）采购事宜，签订本合同。</w:t>
      </w:r>
    </w:p>
    <w:p w14:paraId="7BCDDC0D">
      <w:pPr>
        <w:wordWrap/>
        <w:snapToGrid w:val="0"/>
        <w:spacing w:line="360" w:lineRule="auto"/>
        <w:ind w:left="0" w:leftChars="0" w:right="0" w:firstLine="413" w:firstLineChars="196"/>
        <w:jc w:val="both"/>
        <w:textAlignment w:val="auto"/>
        <w:outlineLvl w:val="9"/>
        <w:rPr>
          <w:rFonts w:hint="eastAsia" w:ascii="宋体" w:hAnsi="宋体" w:eastAsia="宋体" w:cs="宋体"/>
          <w:b/>
          <w:color w:val="auto"/>
          <w:sz w:val="21"/>
          <w:szCs w:val="21"/>
          <w:highlight w:val="none"/>
        </w:rPr>
      </w:pPr>
    </w:p>
    <w:p w14:paraId="2AFE0276">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color w:val="auto"/>
          <w:sz w:val="21"/>
          <w:szCs w:val="21"/>
          <w:highlight w:val="none"/>
        </w:rPr>
      </w:pPr>
      <w:bookmarkStart w:id="385" w:name="_Toc143718572"/>
      <w:bookmarkStart w:id="386" w:name="_Toc14611"/>
      <w:r>
        <w:rPr>
          <w:rFonts w:hint="eastAsia" w:ascii="宋体" w:hAnsi="宋体" w:eastAsia="宋体" w:cs="宋体"/>
          <w:b/>
          <w:color w:val="auto"/>
          <w:sz w:val="21"/>
          <w:szCs w:val="21"/>
          <w:highlight w:val="none"/>
        </w:rPr>
        <w:t>第一条 合同范围</w:t>
      </w:r>
      <w:bookmarkEnd w:id="385"/>
      <w:bookmarkEnd w:id="386"/>
    </w:p>
    <w:p w14:paraId="471443C3">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处置的内容及废物性状情况</w:t>
      </w:r>
      <w:r>
        <w:rPr>
          <w:rFonts w:hint="eastAsia" w:ascii="宋体" w:hAnsi="宋体" w:eastAsia="宋体" w:cs="宋体"/>
          <w:color w:val="auto"/>
          <w:sz w:val="21"/>
          <w:szCs w:val="21"/>
          <w:highlight w:val="none"/>
          <w:lang w:eastAsia="zh-CN"/>
        </w:rPr>
        <w:t>：</w:t>
      </w:r>
    </w:p>
    <w:p w14:paraId="1896563D">
      <w:pPr>
        <w:wordWrap/>
        <w:snapToGrid w:val="0"/>
        <w:spacing w:line="360" w:lineRule="auto"/>
        <w:ind w:left="0" w:leftChars="0" w:right="0" w:firstLine="422"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0"/>
          <w:sz w:val="21"/>
          <w:szCs w:val="21"/>
          <w:highlight w:val="none"/>
          <w14:ligatures w14:val="none"/>
        </w:rPr>
        <w:t>（一）</w:t>
      </w:r>
      <w:r>
        <w:rPr>
          <w:rFonts w:hint="eastAsia" w:ascii="宋体" w:hAnsi="宋体" w:eastAsia="宋体" w:cs="宋体"/>
          <w:b/>
          <w:bCs/>
          <w:color w:val="auto"/>
          <w:sz w:val="21"/>
          <w:szCs w:val="21"/>
          <w:highlight w:val="none"/>
          <w:lang w:val="en-US" w:eastAsia="zh-CN"/>
        </w:rPr>
        <w:t>委托处置的废物种类及数量见下表所示：</w:t>
      </w:r>
    </w:p>
    <w:tbl>
      <w:tblPr>
        <w:tblStyle w:val="36"/>
        <w:tblW w:w="8247" w:type="dxa"/>
        <w:jc w:val="center"/>
        <w:tblLayout w:type="autofit"/>
        <w:tblCellMar>
          <w:top w:w="0" w:type="dxa"/>
          <w:left w:w="108" w:type="dxa"/>
          <w:bottom w:w="0" w:type="dxa"/>
          <w:right w:w="108" w:type="dxa"/>
        </w:tblCellMar>
      </w:tblPr>
      <w:tblGrid>
        <w:gridCol w:w="1338"/>
        <w:gridCol w:w="2115"/>
        <w:gridCol w:w="1530"/>
        <w:gridCol w:w="1900"/>
        <w:gridCol w:w="1364"/>
      </w:tblGrid>
      <w:tr w14:paraId="48576670">
        <w:tblPrEx>
          <w:tblCellMar>
            <w:top w:w="0" w:type="dxa"/>
            <w:left w:w="108" w:type="dxa"/>
            <w:bottom w:w="0" w:type="dxa"/>
            <w:right w:w="108" w:type="dxa"/>
          </w:tblCellMar>
        </w:tblPrEx>
        <w:trPr>
          <w:trHeight w:val="648" w:hRule="atLeast"/>
          <w:jc w:val="center"/>
        </w:trPr>
        <w:tc>
          <w:tcPr>
            <w:tcW w:w="1338" w:type="dxa"/>
            <w:tcBorders>
              <w:top w:val="single" w:color="auto" w:sz="4" w:space="0"/>
              <w:left w:val="single" w:color="auto" w:sz="4" w:space="0"/>
              <w:bottom w:val="single" w:color="auto" w:sz="4" w:space="0"/>
              <w:right w:val="single" w:color="auto" w:sz="4" w:space="0"/>
            </w:tcBorders>
            <w:noWrap w:val="0"/>
            <w:vAlign w:val="center"/>
          </w:tcPr>
          <w:p w14:paraId="66B2C76C">
            <w:pPr>
              <w:wordWrap/>
              <w:snapToGrid w:val="0"/>
              <w:spacing w:line="360" w:lineRule="auto"/>
              <w:ind w:left="0" w:leftChars="0" w:right="0" w:firstLine="0" w:firstLineChars="0"/>
              <w:jc w:val="center"/>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废物名称</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4914E6B7">
            <w:pPr>
              <w:wordWrap/>
              <w:snapToGrid w:val="0"/>
              <w:spacing w:line="360" w:lineRule="auto"/>
              <w:ind w:left="0" w:leftChars="0" w:right="0" w:firstLine="0" w:firstLineChars="0"/>
              <w:jc w:val="center"/>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暂定废物</w:t>
            </w:r>
            <w:r>
              <w:rPr>
                <w:rFonts w:hint="eastAsia" w:ascii="宋体" w:hAnsi="宋体" w:eastAsia="宋体" w:cs="宋体"/>
                <w:b/>
                <w:bCs/>
                <w:color w:val="auto"/>
                <w:sz w:val="21"/>
                <w:szCs w:val="21"/>
                <w:highlight w:val="none"/>
              </w:rPr>
              <w:t>代码</w:t>
            </w:r>
          </w:p>
        </w:tc>
        <w:tc>
          <w:tcPr>
            <w:tcW w:w="1530" w:type="dxa"/>
            <w:tcBorders>
              <w:top w:val="single" w:color="auto" w:sz="4" w:space="0"/>
              <w:left w:val="nil"/>
              <w:bottom w:val="single" w:color="auto" w:sz="4" w:space="0"/>
              <w:right w:val="single" w:color="auto" w:sz="4" w:space="0"/>
            </w:tcBorders>
            <w:noWrap w:val="0"/>
            <w:vAlign w:val="center"/>
          </w:tcPr>
          <w:p w14:paraId="500ED07F">
            <w:pPr>
              <w:wordWrap/>
              <w:snapToGrid w:val="0"/>
              <w:spacing w:line="360" w:lineRule="auto"/>
              <w:ind w:left="0" w:leftChars="0" w:right="0" w:firstLine="0" w:firstLineChars="0"/>
              <w:jc w:val="center"/>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包装方式</w:t>
            </w:r>
          </w:p>
        </w:tc>
        <w:tc>
          <w:tcPr>
            <w:tcW w:w="1900" w:type="dxa"/>
            <w:tcBorders>
              <w:top w:val="single" w:color="auto" w:sz="4" w:space="0"/>
              <w:left w:val="nil"/>
              <w:bottom w:val="single" w:color="auto" w:sz="4" w:space="0"/>
              <w:right w:val="single" w:color="auto" w:sz="4" w:space="0"/>
            </w:tcBorders>
            <w:noWrap w:val="0"/>
            <w:vAlign w:val="center"/>
          </w:tcPr>
          <w:p w14:paraId="0E1365A5">
            <w:pPr>
              <w:wordWrap/>
              <w:snapToGrid w:val="0"/>
              <w:spacing w:line="360" w:lineRule="auto"/>
              <w:ind w:left="0" w:leftChars="0" w:right="0" w:firstLine="0" w:firstLineChars="0"/>
              <w:jc w:val="center"/>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预估</w:t>
            </w:r>
            <w:r>
              <w:rPr>
                <w:rFonts w:hint="eastAsia" w:ascii="宋体" w:hAnsi="宋体" w:eastAsia="宋体" w:cs="宋体"/>
                <w:b/>
                <w:bCs/>
                <w:color w:val="auto"/>
                <w:sz w:val="21"/>
                <w:szCs w:val="21"/>
                <w:highlight w:val="none"/>
              </w:rPr>
              <w:t>量（吨）</w:t>
            </w:r>
          </w:p>
        </w:tc>
        <w:tc>
          <w:tcPr>
            <w:tcW w:w="1364" w:type="dxa"/>
            <w:tcBorders>
              <w:top w:val="single" w:color="auto" w:sz="4" w:space="0"/>
              <w:left w:val="nil"/>
              <w:bottom w:val="single" w:color="auto" w:sz="4" w:space="0"/>
              <w:right w:val="single" w:color="auto" w:sz="4" w:space="0"/>
            </w:tcBorders>
            <w:noWrap w:val="0"/>
            <w:vAlign w:val="center"/>
          </w:tcPr>
          <w:p w14:paraId="7DCEAAE8">
            <w:pPr>
              <w:wordWrap/>
              <w:snapToGrid w:val="0"/>
              <w:spacing w:line="360" w:lineRule="auto"/>
              <w:ind w:left="0" w:leftChars="0" w:right="0" w:firstLine="0" w:firstLineChars="0"/>
              <w:jc w:val="center"/>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备注</w:t>
            </w:r>
          </w:p>
        </w:tc>
      </w:tr>
      <w:tr w14:paraId="1AA504E5">
        <w:tblPrEx>
          <w:tblCellMar>
            <w:top w:w="0" w:type="dxa"/>
            <w:left w:w="108" w:type="dxa"/>
            <w:bottom w:w="0" w:type="dxa"/>
            <w:right w:w="108" w:type="dxa"/>
          </w:tblCellMar>
        </w:tblPrEx>
        <w:trPr>
          <w:trHeight w:val="600" w:hRule="atLeast"/>
          <w:jc w:val="center"/>
        </w:trPr>
        <w:tc>
          <w:tcPr>
            <w:tcW w:w="1338" w:type="dxa"/>
            <w:tcBorders>
              <w:top w:val="single" w:color="auto" w:sz="4" w:space="0"/>
              <w:left w:val="single" w:color="auto" w:sz="4" w:space="0"/>
              <w:bottom w:val="single" w:color="auto" w:sz="4" w:space="0"/>
              <w:right w:val="single" w:color="auto" w:sz="4" w:space="0"/>
            </w:tcBorders>
            <w:noWrap w:val="0"/>
            <w:vAlign w:val="center"/>
          </w:tcPr>
          <w:p w14:paraId="62031E11">
            <w:pPr>
              <w:wordWrap/>
              <w:snapToGrid w:val="0"/>
              <w:spacing w:line="360" w:lineRule="auto"/>
              <w:ind w:left="0" w:leftChars="0" w:right="0" w:firstLine="0" w:firstLineChars="0"/>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废盐</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22F81789">
            <w:pPr>
              <w:wordWrap/>
              <w:snapToGrid w:val="0"/>
              <w:spacing w:line="360" w:lineRule="auto"/>
              <w:ind w:left="0" w:leftChars="0" w:right="0" w:firstLine="0" w:firstLineChars="0"/>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772-006-49</w:t>
            </w:r>
          </w:p>
        </w:tc>
        <w:tc>
          <w:tcPr>
            <w:tcW w:w="1530" w:type="dxa"/>
            <w:tcBorders>
              <w:top w:val="single" w:color="auto" w:sz="4" w:space="0"/>
              <w:left w:val="nil"/>
              <w:bottom w:val="single" w:color="auto" w:sz="4" w:space="0"/>
              <w:right w:val="single" w:color="auto" w:sz="4" w:space="0"/>
            </w:tcBorders>
            <w:noWrap w:val="0"/>
            <w:vAlign w:val="center"/>
          </w:tcPr>
          <w:p w14:paraId="774A9F86">
            <w:pPr>
              <w:wordWrap/>
              <w:snapToGrid w:val="0"/>
              <w:spacing w:line="360" w:lineRule="auto"/>
              <w:ind w:left="0" w:leftChars="0" w:right="0" w:firstLine="0" w:firstLineChars="0"/>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袋装</w:t>
            </w:r>
          </w:p>
        </w:tc>
        <w:tc>
          <w:tcPr>
            <w:tcW w:w="1900" w:type="dxa"/>
            <w:tcBorders>
              <w:top w:val="single" w:color="auto" w:sz="4" w:space="0"/>
              <w:left w:val="nil"/>
              <w:bottom w:val="single" w:color="auto" w:sz="4" w:space="0"/>
              <w:right w:val="single" w:color="auto" w:sz="4" w:space="0"/>
            </w:tcBorders>
            <w:noWrap w:val="0"/>
            <w:vAlign w:val="center"/>
          </w:tcPr>
          <w:p w14:paraId="11D710EA">
            <w:pPr>
              <w:wordWrap/>
              <w:snapToGrid w:val="0"/>
              <w:spacing w:line="360" w:lineRule="auto"/>
              <w:ind w:left="0" w:leftChars="0" w:right="0" w:firstLine="0" w:firstLineChars="0"/>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804</w:t>
            </w:r>
          </w:p>
        </w:tc>
        <w:tc>
          <w:tcPr>
            <w:tcW w:w="1364" w:type="dxa"/>
            <w:tcBorders>
              <w:top w:val="single" w:color="auto" w:sz="4" w:space="0"/>
              <w:left w:val="nil"/>
              <w:bottom w:val="single" w:color="auto" w:sz="4" w:space="0"/>
              <w:right w:val="single" w:color="auto" w:sz="4" w:space="0"/>
            </w:tcBorders>
            <w:noWrap w:val="0"/>
            <w:vAlign w:val="center"/>
          </w:tcPr>
          <w:p w14:paraId="2143F3BB">
            <w:pPr>
              <w:wordWrap/>
              <w:snapToGrid w:val="0"/>
              <w:spacing w:line="360" w:lineRule="auto"/>
              <w:ind w:left="0" w:leftChars="0" w:right="0" w:firstLine="0" w:firstLineChars="0"/>
              <w:jc w:val="center"/>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bl>
    <w:p w14:paraId="3B184D5F">
      <w:pPr>
        <w:wordWrap/>
        <w:snapToGrid w:val="0"/>
        <w:spacing w:line="360" w:lineRule="auto"/>
        <w:ind w:left="0" w:leftChars="0" w:right="0" w:firstLine="422"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0"/>
          <w:sz w:val="21"/>
          <w:szCs w:val="21"/>
          <w:highlight w:val="none"/>
          <w14:ligatures w14:val="none"/>
        </w:rPr>
        <w:t>（</w:t>
      </w:r>
      <w:r>
        <w:rPr>
          <w:rFonts w:hint="eastAsia" w:ascii="宋体" w:hAnsi="宋体" w:eastAsia="宋体" w:cs="宋体"/>
          <w:b/>
          <w:bCs/>
          <w:color w:val="auto"/>
          <w:kern w:val="0"/>
          <w:sz w:val="21"/>
          <w:szCs w:val="21"/>
          <w:highlight w:val="none"/>
          <w:lang w:val="en-US" w:eastAsia="zh-CN"/>
          <w14:ligatures w14:val="none"/>
        </w:rPr>
        <w:t>二</w:t>
      </w:r>
      <w:r>
        <w:rPr>
          <w:rFonts w:hint="eastAsia" w:ascii="宋体" w:hAnsi="宋体" w:eastAsia="宋体" w:cs="宋体"/>
          <w:b/>
          <w:bCs/>
          <w:color w:val="auto"/>
          <w:kern w:val="0"/>
          <w:sz w:val="21"/>
          <w:szCs w:val="21"/>
          <w:highlight w:val="none"/>
          <w14:ligatures w14:val="none"/>
        </w:rPr>
        <w:t>）</w:t>
      </w:r>
      <w:r>
        <w:rPr>
          <w:rFonts w:hint="eastAsia" w:ascii="宋体" w:hAnsi="宋体" w:eastAsia="宋体" w:cs="宋体"/>
          <w:color w:val="auto"/>
          <w:sz w:val="21"/>
          <w:szCs w:val="21"/>
          <w:highlight w:val="none"/>
          <w:lang w:val="en-US" w:eastAsia="zh-CN"/>
        </w:rPr>
        <w:t>废物性状情况</w:t>
      </w:r>
    </w:p>
    <w:p w14:paraId="67ACDBA7">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本项目采用钠碱法脱硫，废盐为脱酸废水三效蒸发产物，主要成分为硫酸钠、亚硫酸钠、氢氧化钠等钠盐，含水率约10%。</w:t>
      </w:r>
    </w:p>
    <w:p w14:paraId="1EF12749">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服务期限：合同签订之日起至长期废盐处置</w:t>
      </w:r>
      <w:r>
        <w:rPr>
          <w:rFonts w:hint="eastAsia" w:ascii="宋体" w:hAnsi="宋体" w:eastAsia="宋体" w:cs="宋体"/>
          <w:color w:val="auto"/>
          <w:sz w:val="21"/>
          <w:szCs w:val="21"/>
          <w:highlight w:val="none"/>
          <w:lang w:val="en-US" w:eastAsia="zh-CN"/>
        </w:rPr>
        <w:t>服务单位</w:t>
      </w:r>
      <w:r>
        <w:rPr>
          <w:rFonts w:hint="eastAsia" w:ascii="宋体" w:hAnsi="宋体" w:eastAsia="宋体" w:cs="宋体"/>
          <w:color w:val="auto"/>
          <w:sz w:val="21"/>
          <w:szCs w:val="21"/>
          <w:highlight w:val="none"/>
        </w:rPr>
        <w:t>具备服务条件之日或结算处置量达到804</w:t>
      </w:r>
      <w:r>
        <w:rPr>
          <w:rFonts w:hint="eastAsia" w:ascii="宋体" w:hAnsi="宋体" w:eastAsia="宋体" w:cs="宋体"/>
          <w:color w:val="auto"/>
          <w:kern w:val="0"/>
          <w:sz w:val="21"/>
          <w:szCs w:val="21"/>
          <w:highlight w:val="none"/>
          <w:lang w:val="en-US" w:eastAsia="zh-CN"/>
        </w:rPr>
        <w:t>吨为止</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终止日期以前述两种情况中先达到的期限为准。</w:t>
      </w:r>
    </w:p>
    <w:p w14:paraId="306D2B5D">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3、服务地点：广东省东莞市沙田镇立沙中路。</w:t>
      </w:r>
    </w:p>
    <w:p w14:paraId="3498A879">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kern w:val="2"/>
          <w:sz w:val="21"/>
          <w:szCs w:val="21"/>
          <w:highlight w:val="none"/>
        </w:rPr>
        <w:t>服务内容</w:t>
      </w:r>
    </w:p>
    <w:p w14:paraId="44EA1DB8">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（1）乙方</w:t>
      </w:r>
      <w:r>
        <w:rPr>
          <w:rFonts w:hint="eastAsia" w:ascii="宋体" w:hAnsi="宋体" w:eastAsia="宋体" w:cs="宋体"/>
          <w:color w:val="auto"/>
          <w:sz w:val="21"/>
          <w:szCs w:val="21"/>
          <w:highlight w:val="none"/>
          <w:lang w:val="zh-CN"/>
        </w:rPr>
        <w:t>为</w:t>
      </w:r>
      <w:r>
        <w:rPr>
          <w:rFonts w:hint="eastAsia" w:ascii="宋体" w:hAnsi="宋体" w:eastAsia="宋体" w:cs="宋体"/>
          <w:color w:val="auto"/>
          <w:sz w:val="21"/>
          <w:szCs w:val="21"/>
          <w:highlight w:val="none"/>
        </w:rPr>
        <w:t>东莞市污泥集中处理处置项目</w:t>
      </w:r>
      <w:r>
        <w:rPr>
          <w:rFonts w:hint="eastAsia" w:ascii="宋体" w:hAnsi="宋体" w:eastAsia="宋体" w:cs="宋体"/>
          <w:color w:val="auto"/>
          <w:sz w:val="21"/>
          <w:szCs w:val="21"/>
          <w:highlight w:val="none"/>
          <w:lang w:val="en-US" w:eastAsia="zh-CN"/>
        </w:rPr>
        <w:t>提供</w:t>
      </w:r>
      <w:r>
        <w:rPr>
          <w:rFonts w:hint="eastAsia" w:ascii="宋体" w:hAnsi="宋体" w:eastAsia="宋体" w:cs="宋体"/>
          <w:color w:val="auto"/>
          <w:sz w:val="21"/>
          <w:szCs w:val="21"/>
          <w:highlight w:val="none"/>
        </w:rPr>
        <w:t>废盐处置服务，包括从前端运输到最终处置全过程，废盐的装车由</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负责，</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配合装车工作。</w:t>
      </w:r>
    </w:p>
    <w:p w14:paraId="66BCC45C">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本项目位于立沙岛精细化工园区，</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应根据园区管理要求，自行负责入园车辆备案、预约并服从园区各项管理制度；确需</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配合的，由</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书面提出。</w:t>
      </w:r>
    </w:p>
    <w:p w14:paraId="0C611985">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服务全过程应当严格遵守《中华人民共和国生态环境法典》《危险废物经营许可证管理办法》及相关环境保护法律、法规规定、规范性引用文件及技术标准，合法处理处置，并且在运输和处置过程中，不产生对环境的二次污染。</w:t>
      </w:r>
    </w:p>
    <w:p w14:paraId="1635B793">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应为</w:t>
      </w:r>
      <w:r>
        <w:rPr>
          <w:rFonts w:hint="eastAsia" w:ascii="宋体" w:hAnsi="宋体" w:eastAsia="宋体" w:cs="宋体"/>
          <w:color w:val="auto"/>
          <w:szCs w:val="21"/>
          <w:highlight w:val="none"/>
          <w:lang w:eastAsia="zh-CN"/>
        </w:rPr>
        <w:t>符合</w:t>
      </w:r>
      <w:r>
        <w:rPr>
          <w:rFonts w:hint="eastAsia" w:ascii="宋体" w:hAnsi="宋体" w:eastAsia="宋体" w:cs="宋体"/>
          <w:color w:val="auto"/>
          <w:szCs w:val="21"/>
          <w:highlight w:val="none"/>
        </w:rPr>
        <w:t>国家及当地相关法律法规要求</w:t>
      </w:r>
      <w:r>
        <w:rPr>
          <w:rFonts w:hint="eastAsia" w:ascii="宋体" w:hAnsi="宋体" w:eastAsia="宋体" w:cs="宋体"/>
          <w:color w:val="auto"/>
          <w:szCs w:val="21"/>
          <w:highlight w:val="none"/>
          <w:lang w:eastAsia="zh-CN"/>
        </w:rPr>
        <w:t>，具备本项目对应类别危险废物收集、 贮存、利用、最终处置能力的合规主体。乙方</w:t>
      </w:r>
      <w:r>
        <w:rPr>
          <w:rFonts w:hint="eastAsia" w:ascii="宋体" w:hAnsi="宋体" w:eastAsia="宋体" w:cs="宋体"/>
          <w:color w:val="auto"/>
          <w:szCs w:val="21"/>
          <w:highlight w:val="none"/>
        </w:rPr>
        <w:t>应于履约前提供与本项目处置危废类别匹配的资质证明材料，包括但不限于危废工艺及接收处置能力的相关说明、省或市等相关管理部门公布的资质材料（危险废物经营许可证）或其他可证明具备接收资质的材料，相关资质应在合同期内</w:t>
      </w:r>
      <w:r>
        <w:rPr>
          <w:rFonts w:hint="eastAsia" w:ascii="宋体" w:hAnsi="宋体" w:eastAsia="宋体" w:cs="宋体"/>
          <w:color w:val="auto"/>
          <w:szCs w:val="21"/>
          <w:highlight w:val="none"/>
          <w:lang w:val="en-US" w:eastAsia="zh-CN"/>
        </w:rPr>
        <w:t>持续</w:t>
      </w:r>
      <w:r>
        <w:rPr>
          <w:rFonts w:hint="eastAsia" w:ascii="宋体" w:hAnsi="宋体" w:eastAsia="宋体" w:cs="宋体"/>
          <w:color w:val="auto"/>
          <w:szCs w:val="21"/>
          <w:highlight w:val="none"/>
        </w:rPr>
        <w:t>有效，否则</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有权单方解除合同并追究</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违约责任，若危废处置涉及跨市、跨省转运，</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应做好转运计划及信息完善和相关法定备案工作。</w:t>
      </w:r>
    </w:p>
    <w:p w14:paraId="56D827A5">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在合同签订后10日内，</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需完成相关手续办理且具备危废的接收处置能力，并做好相关车辆安排，否则</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有权单方解除合同并追究</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违约责任。</w:t>
      </w:r>
    </w:p>
    <w:p w14:paraId="3FB4F2A1">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本项目5条焚烧线，正常运营每日产生废盐约6.7吨（具体废物量以实际为准，下同）。</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须以满足</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生产要求为前提，根据</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生产线试生产情况及废物产生量，提前安排好运输车辆，按实际需求提供废物处理处置服务。</w:t>
      </w:r>
    </w:p>
    <w:p w14:paraId="4B5972B8">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负责安排运输单位承运，</w:t>
      </w:r>
      <w:r>
        <w:rPr>
          <w:rFonts w:hint="eastAsia" w:ascii="宋体" w:hAnsi="宋体" w:eastAsia="宋体" w:cs="宋体"/>
          <w:color w:val="auto"/>
          <w:szCs w:val="21"/>
          <w:highlight w:val="none"/>
          <w:lang w:val="en-US" w:eastAsia="zh-CN"/>
        </w:rPr>
        <w:t>运输费用已包含在服务单价内，</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应确保废物运输单位须具备交通主管部门颁发的危险废物《道路运输经营许可证》且该证在有效期内，并用危废运输专用车辆运输；车辆应当悬挂危险货物运输许可标志，车辆的驾驶人员需取得相应机动车驾驶证和相应危险货物运输从业资格证；驾驶员须具备相关法律法规要求的证照。除了运输司机外，</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应至少配备一名押送员随车配合废物装车、废物过磅等工作。</w:t>
      </w:r>
      <w:r>
        <w:rPr>
          <w:rFonts w:hint="eastAsia" w:ascii="宋体" w:hAnsi="宋体" w:eastAsia="宋体" w:cs="宋体"/>
          <w:color w:val="auto"/>
          <w:szCs w:val="21"/>
          <w:highlight w:val="none"/>
          <w:lang w:val="en-US" w:eastAsia="zh-CN"/>
        </w:rPr>
        <w:t>若运输单位的行为违反本合同约定，同样视为乙方违约，乙方应承担本合同约定的违约责任，并连带承担因运输单位行为造成的损失赔偿责任。</w:t>
      </w:r>
    </w:p>
    <w:p w14:paraId="71BE159D">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的废物处理必须遵守《广东省固体废物污染环境防治条例》相关法规，且符合当地相关行政主管部门、及监督部门的相关规定；</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在危废转移的过程中严格执行《</w:t>
      </w:r>
      <w:r>
        <w:rPr>
          <w:rFonts w:hint="eastAsia" w:ascii="宋体" w:hAnsi="宋体" w:eastAsia="宋体" w:cs="宋体"/>
          <w:color w:val="auto"/>
          <w:szCs w:val="21"/>
          <w:highlight w:val="none"/>
          <w:lang w:eastAsia="zh-CN"/>
        </w:rPr>
        <w:t>危险废物转移管理办法</w:t>
      </w:r>
      <w:r>
        <w:rPr>
          <w:rFonts w:hint="eastAsia" w:ascii="宋体" w:hAnsi="宋体" w:eastAsia="宋体" w:cs="宋体"/>
          <w:color w:val="auto"/>
          <w:szCs w:val="21"/>
          <w:highlight w:val="none"/>
        </w:rPr>
        <w:t>》等相关规定，做好运输监控、联单管理等工作，相关处理信息必须登记上传《广东省固体废物管理信息平台》。</w:t>
      </w:r>
    </w:p>
    <w:p w14:paraId="67D92F66">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需协助</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做好各级政府主管部门的检查工作，同时</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及其上级主管部门有权随时检查</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的运输和处理情况，有权对处置产物进行取样检测、分析。</w:t>
      </w:r>
    </w:p>
    <w:p w14:paraId="13EBC598">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提前5日向</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发出处置需求，</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收到通知后10</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rPr>
        <w:t>内完成危险废物的转移处置。</w:t>
      </w:r>
      <w:r>
        <w:rPr>
          <w:rFonts w:hint="eastAsia" w:ascii="宋体" w:hAnsi="宋体" w:eastAsia="宋体" w:cs="宋体"/>
          <w:color w:val="auto"/>
          <w:szCs w:val="21"/>
          <w:highlight w:val="none"/>
          <w:lang w:val="en-US" w:eastAsia="zh-CN"/>
        </w:rPr>
        <w:t>若甲方因紧急处置需要，需乙方加急运输处置的，乙方应在甲方要求的期限内完成危险废物的转移处置，且甲方无需为此额外向乙方支付其他任何费用或补偿、赔偿。</w:t>
      </w:r>
    </w:p>
    <w:p w14:paraId="323BF25A">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负责危废转出地转移报批工作，</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负责危废移入地转移报批工作。</w:t>
      </w:r>
    </w:p>
    <w:p w14:paraId="5A72399E">
      <w:pPr>
        <w:wordWrap/>
        <w:snapToGrid w:val="0"/>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若后续由于行政主管部门对废物代码认定有调整，</w:t>
      </w:r>
      <w:r>
        <w:rPr>
          <w:rFonts w:hint="eastAsia" w:ascii="宋体" w:hAnsi="宋体" w:eastAsia="宋体" w:cs="宋体"/>
          <w:color w:val="auto"/>
          <w:szCs w:val="21"/>
          <w:highlight w:val="none"/>
          <w:lang w:eastAsia="zh-CN"/>
        </w:rPr>
        <w:t>甲方</w:t>
      </w:r>
      <w:r>
        <w:rPr>
          <w:rFonts w:hint="eastAsia" w:ascii="宋体" w:hAnsi="宋体" w:eastAsia="宋体" w:cs="宋体"/>
          <w:color w:val="auto"/>
          <w:szCs w:val="21"/>
          <w:highlight w:val="none"/>
        </w:rPr>
        <w:t>有权单方解除合同且不承担因此发生的任何费用。</w:t>
      </w:r>
      <w:r>
        <w:rPr>
          <w:rFonts w:hint="eastAsia" w:ascii="宋体" w:hAnsi="宋体" w:eastAsia="宋体" w:cs="宋体"/>
          <w:sz w:val="21"/>
          <w:szCs w:val="21"/>
          <w:lang w:val="en-US" w:eastAsia="zh-CN"/>
        </w:rPr>
        <w:t>对于乙方已实际、合法处置的部分，双方依照本合同约定进行据实结算。</w:t>
      </w:r>
    </w:p>
    <w:p w14:paraId="790CD2D0">
      <w:pPr>
        <w:widowControl w:val="0"/>
        <w:wordWrap/>
        <w:adjustRightInd/>
        <w:snapToGrid/>
        <w:spacing w:line="360" w:lineRule="auto"/>
        <w:ind w:left="0" w:leftChars="0" w:right="0" w:firstLine="420" w:firstLineChars="200"/>
        <w:jc w:val="both"/>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5、安全要求</w:t>
      </w:r>
      <w:r>
        <w:rPr>
          <w:rFonts w:hint="eastAsia" w:ascii="宋体" w:hAnsi="宋体" w:eastAsia="宋体" w:cs="宋体"/>
          <w:b w:val="0"/>
          <w:bCs/>
          <w:color w:val="auto"/>
          <w:sz w:val="21"/>
          <w:szCs w:val="21"/>
          <w:highlight w:val="none"/>
        </w:rPr>
        <w:t xml:space="preserve"> </w:t>
      </w:r>
    </w:p>
    <w:p w14:paraId="40D628ED">
      <w:pPr>
        <w:keepNext w:val="0"/>
        <w:keepLines w:val="0"/>
        <w:numPr>
          <w:ilvl w:val="0"/>
          <w:numId w:val="0"/>
        </w:numPr>
        <w:kinsoku/>
        <w:overflowPunct/>
        <w:topLinePunct w:val="0"/>
        <w:autoSpaceDE/>
        <w:autoSpaceDN/>
        <w:bidi w:val="0"/>
        <w:adjustRightInd/>
        <w:spacing w:line="360" w:lineRule="auto"/>
        <w:ind w:right="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负责转运过程中的污染控制及人员的安全防护，承担所有废物交接后的全部责任，包括废物运输、处置过程中的一切责任。</w:t>
      </w:r>
    </w:p>
    <w:p w14:paraId="13E80EDA">
      <w:pPr>
        <w:keepNext w:val="0"/>
        <w:keepLines w:val="0"/>
        <w:numPr>
          <w:ilvl w:val="0"/>
          <w:numId w:val="0"/>
        </w:numPr>
        <w:kinsoku/>
        <w:overflowPunct/>
        <w:topLinePunct w:val="0"/>
        <w:autoSpaceDE/>
        <w:autoSpaceDN/>
        <w:bidi w:val="0"/>
        <w:adjustRightInd/>
        <w:spacing w:line="360" w:lineRule="auto"/>
        <w:ind w:right="0" w:firstLine="420" w:firstLineChars="200"/>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收运时，</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工作人员应文明作业，作业完毕后将其作业范围清理干净，并遵守</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相关环境及安全管理规定。</w:t>
      </w:r>
    </w:p>
    <w:p w14:paraId="0F43E146">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color w:val="auto"/>
          <w:sz w:val="21"/>
          <w:szCs w:val="21"/>
          <w:highlight w:val="none"/>
        </w:rPr>
      </w:pPr>
      <w:bookmarkStart w:id="387" w:name="_Toc23226"/>
      <w:bookmarkStart w:id="388" w:name="_Toc606163939"/>
      <w:r>
        <w:rPr>
          <w:rFonts w:hint="eastAsia" w:ascii="宋体" w:hAnsi="宋体" w:eastAsia="宋体" w:cs="宋体"/>
          <w:b/>
          <w:color w:val="auto"/>
          <w:sz w:val="21"/>
          <w:szCs w:val="21"/>
          <w:highlight w:val="none"/>
        </w:rPr>
        <w:t>第二条 甲方合同义务</w:t>
      </w:r>
      <w:bookmarkEnd w:id="387"/>
      <w:bookmarkEnd w:id="388"/>
    </w:p>
    <w:p w14:paraId="2B0E089D">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甲方应将本合同约定下生产过程中所形成的危险废物连同包装物交予乙方处理。乙方向甲方提供预约式危险废物处理处置服务，甲方应在每次有危险废物处理需要前，通过书面形式或电话通知乙方具体的收运时间、地点及收运危险废物的具体数量和包装方式等，乙方应在收到甲方书面形式或电话通知后在</w:t>
      </w:r>
      <w:r>
        <w:rPr>
          <w:rFonts w:hint="eastAsia" w:ascii="宋体" w:hAnsi="宋体" w:eastAsia="宋体" w:cs="宋体"/>
          <w:color w:val="auto"/>
          <w:kern w:val="0"/>
          <w:sz w:val="21"/>
          <w:szCs w:val="21"/>
          <w:highlight w:val="none"/>
          <w:lang w:val="en-US" w:eastAsia="zh-CN"/>
        </w:rPr>
        <w:t>甲方要求的时间内上门完成收运，并按</w:t>
      </w:r>
      <w:r>
        <w:rPr>
          <w:rFonts w:hint="eastAsia" w:ascii="宋体" w:hAnsi="宋体" w:eastAsia="宋体" w:cs="宋体"/>
          <w:color w:val="auto"/>
          <w:kern w:val="0"/>
          <w:sz w:val="21"/>
          <w:szCs w:val="21"/>
          <w:highlight w:val="none"/>
        </w:rPr>
        <w:t>甲乙双方约定的时间内完成相应的处理处置服务。</w:t>
      </w:r>
    </w:p>
    <w:p w14:paraId="5B1F4ED5">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2、甲方应将危险废物做好标记标识，不可混入其他杂物，以方便乙方处理及保障操作安全。</w:t>
      </w:r>
    </w:p>
    <w:p w14:paraId="40E29BBB">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3、甲方应将待处理的危险废物集中摆放，并为乙方上门收运提供必要的条件，包括进场道路、作业场地、装车所需的装载机械（叉车等），以便于乙方装运。</w:t>
      </w:r>
    </w:p>
    <w:p w14:paraId="75508717">
      <w:pPr>
        <w:ind w:right="420"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、甲方应按照本合同约定方式、时间，准时、足额向乙方支付费用。</w:t>
      </w:r>
    </w:p>
    <w:p w14:paraId="0A262447">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color w:val="auto"/>
          <w:sz w:val="21"/>
          <w:szCs w:val="21"/>
          <w:highlight w:val="none"/>
        </w:rPr>
      </w:pPr>
      <w:bookmarkStart w:id="389" w:name="_Toc16914"/>
      <w:bookmarkStart w:id="390" w:name="_Toc1052248903"/>
      <w:r>
        <w:rPr>
          <w:rFonts w:hint="eastAsia" w:ascii="宋体" w:hAnsi="宋体" w:eastAsia="宋体" w:cs="宋体"/>
          <w:b/>
          <w:color w:val="auto"/>
          <w:sz w:val="21"/>
          <w:szCs w:val="21"/>
          <w:highlight w:val="none"/>
        </w:rPr>
        <w:t xml:space="preserve">第三条 </w:t>
      </w:r>
      <w:bookmarkEnd w:id="389"/>
      <w:r>
        <w:rPr>
          <w:rFonts w:hint="eastAsia" w:ascii="宋体" w:hAnsi="宋体" w:eastAsia="宋体" w:cs="宋体"/>
          <w:b/>
          <w:color w:val="auto"/>
          <w:sz w:val="21"/>
          <w:szCs w:val="21"/>
          <w:highlight w:val="none"/>
        </w:rPr>
        <w:t>乙方合同义务</w:t>
      </w:r>
      <w:bookmarkEnd w:id="390"/>
      <w:r>
        <w:rPr>
          <w:rFonts w:hint="eastAsia" w:ascii="宋体" w:hAnsi="宋体" w:eastAsia="宋体" w:cs="宋体"/>
          <w:b/>
          <w:color w:val="auto"/>
          <w:sz w:val="21"/>
          <w:szCs w:val="21"/>
          <w:highlight w:val="none"/>
        </w:rPr>
        <w:t xml:space="preserve"> </w:t>
      </w:r>
    </w:p>
    <w:p w14:paraId="0B626990">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1、在合同有效期内，乙方应具备处理危险废物所需的资质、条件和设施，保证所持有许可证、营业执照等相关证件合法有效，并向甲方提交相关资质、许可证的复印件。</w:t>
      </w:r>
    </w:p>
    <w:p w14:paraId="7AD7ED44">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、乙方收运车辆以及司机与装卸员工，应当文明作业，作业完毕后当日内将其作业范围清理干净，并遵守甲方的相关环境以及安全管理规定。</w:t>
      </w:r>
    </w:p>
    <w:p w14:paraId="4D68D83E">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、乙方在本合同项目项下的任何行为均应严格遵守法律、法规的规定，包括但不限于应当符合有关依法纳税、环境保护、知识产权、劳动保护、劳动保险与待遇等各方面的规定。如有违反，由乙方</w:t>
      </w:r>
      <w:r>
        <w:rPr>
          <w:rFonts w:hint="eastAsia" w:ascii="宋体" w:hAnsi="宋体" w:eastAsia="宋体" w:cs="宋体"/>
          <w:color w:val="auto"/>
          <w:kern w:val="0"/>
          <w:sz w:val="21"/>
          <w:szCs w:val="21"/>
          <w:highlight w:val="none"/>
          <w:lang w:val="en-US" w:eastAsia="zh-CN"/>
        </w:rPr>
        <w:t>自行</w:t>
      </w:r>
      <w:r>
        <w:rPr>
          <w:rFonts w:hint="eastAsia" w:ascii="宋体" w:hAnsi="宋体" w:eastAsia="宋体" w:cs="宋体"/>
          <w:color w:val="auto"/>
          <w:kern w:val="0"/>
          <w:sz w:val="21"/>
          <w:szCs w:val="21"/>
          <w:highlight w:val="none"/>
        </w:rPr>
        <w:t>承担相应的法律责任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与甲方无关</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若乙方或其人员</w:t>
      </w:r>
      <w:r>
        <w:rPr>
          <w:rFonts w:hint="eastAsia" w:ascii="宋体" w:hAnsi="宋体" w:eastAsia="宋体" w:cs="宋体"/>
          <w:color w:val="auto"/>
          <w:kern w:val="0"/>
          <w:sz w:val="21"/>
          <w:szCs w:val="21"/>
          <w:highlight w:val="none"/>
        </w:rPr>
        <w:t>造成甲方经济或第三方经济、人身损失的，乙方应当予以赔偿。</w:t>
      </w:r>
    </w:p>
    <w:p w14:paraId="2AB150A8">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、乙方可将合同项下的</w:t>
      </w:r>
      <w:r>
        <w:rPr>
          <w:rFonts w:hint="eastAsia" w:ascii="宋体" w:hAnsi="宋体" w:eastAsia="宋体" w:cs="宋体"/>
          <w:color w:val="auto"/>
          <w:kern w:val="0"/>
          <w:sz w:val="21"/>
          <w:szCs w:val="21"/>
          <w:highlight w:val="none"/>
          <w:lang w:eastAsia="zh-CN"/>
        </w:rPr>
        <w:t>废盐</w:t>
      </w:r>
      <w:r>
        <w:rPr>
          <w:rFonts w:hint="eastAsia" w:ascii="宋体" w:hAnsi="宋体" w:eastAsia="宋体" w:cs="宋体"/>
          <w:color w:val="auto"/>
          <w:kern w:val="0"/>
          <w:sz w:val="21"/>
          <w:szCs w:val="21"/>
          <w:highlight w:val="none"/>
        </w:rPr>
        <w:t>运输内容委托具有相关资质的第三方单位运输，并保证运输过程合法合规，相关费用由乙方承担。</w:t>
      </w:r>
      <w:r>
        <w:rPr>
          <w:rFonts w:hint="eastAsia" w:ascii="宋体" w:hAnsi="宋体" w:eastAsia="宋体" w:cs="宋体"/>
          <w:color w:val="auto"/>
          <w:kern w:val="0"/>
          <w:sz w:val="21"/>
          <w:szCs w:val="21"/>
          <w:highlight w:val="none"/>
          <w:lang w:val="en-US" w:eastAsia="zh-CN"/>
        </w:rPr>
        <w:t>其他合同服务内容</w:t>
      </w:r>
      <w:r>
        <w:rPr>
          <w:rFonts w:hint="eastAsia" w:ascii="宋体" w:hAnsi="宋体" w:eastAsia="宋体" w:cs="宋体"/>
          <w:color w:val="auto"/>
          <w:kern w:val="0"/>
          <w:sz w:val="21"/>
          <w:szCs w:val="21"/>
          <w:highlight w:val="none"/>
        </w:rPr>
        <w:t>未经甲方书面同意，不得将本合同或本合同项下权利义务全部或部分转让给第三方，否则乙方将承担违约责任。</w:t>
      </w:r>
    </w:p>
    <w:p w14:paraId="2ABDDCDD">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、乙方有义务接受甲方及使用方的监督、评价及考核，且同意甲方关于服务资格供应商的管理规则及要求。</w:t>
      </w:r>
    </w:p>
    <w:p w14:paraId="0D903F65">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、乙方须协助甲方在广东省固体废物管理信息平台完成危险废物管理计划备案并通过审核。</w:t>
      </w:r>
    </w:p>
    <w:p w14:paraId="2D1DC596">
      <w:pPr>
        <w:keepNext w:val="0"/>
        <w:keepLines w:val="0"/>
        <w:pageBreakBefore w:val="0"/>
        <w:kinsoku/>
        <w:wordWrap/>
        <w:overflowPunct/>
        <w:topLinePunct w:val="0"/>
        <w:bidi w:val="0"/>
        <w:snapToGrid/>
        <w:spacing w:line="360" w:lineRule="auto"/>
        <w:ind w:left="0" w:leftChars="0" w:right="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乙方</w:t>
      </w:r>
      <w:r>
        <w:rPr>
          <w:rFonts w:hint="eastAsia" w:ascii="宋体" w:hAnsi="宋体" w:eastAsia="宋体" w:cs="宋体"/>
          <w:color w:val="auto"/>
          <w:kern w:val="0"/>
          <w:sz w:val="21"/>
          <w:szCs w:val="21"/>
          <w:highlight w:val="none"/>
          <w:lang w:val="en-US" w:eastAsia="zh-CN"/>
        </w:rPr>
        <w:t>及其人员</w:t>
      </w:r>
      <w:r>
        <w:rPr>
          <w:rFonts w:hint="eastAsia" w:ascii="宋体" w:hAnsi="宋体" w:eastAsia="宋体" w:cs="宋体"/>
          <w:color w:val="auto"/>
          <w:kern w:val="0"/>
          <w:sz w:val="21"/>
          <w:szCs w:val="21"/>
          <w:highlight w:val="none"/>
        </w:rPr>
        <w:t>对甲方提供或者在本合同履行过程中获取甲方的相关信息和资料具有保密义务。本合同期限届满后，乙方应按照甲方的要求</w:t>
      </w:r>
      <w:r>
        <w:rPr>
          <w:rFonts w:hint="eastAsia" w:ascii="宋体" w:hAnsi="宋体" w:eastAsia="宋体" w:cs="宋体"/>
          <w:color w:val="auto"/>
          <w:kern w:val="0"/>
          <w:sz w:val="21"/>
          <w:szCs w:val="21"/>
          <w:highlight w:val="none"/>
          <w:lang w:val="en-US" w:eastAsia="zh-CN"/>
        </w:rPr>
        <w:t>全部</w:t>
      </w:r>
      <w:r>
        <w:rPr>
          <w:rFonts w:hint="eastAsia" w:ascii="宋体" w:hAnsi="宋体" w:eastAsia="宋体" w:cs="宋体"/>
          <w:color w:val="auto"/>
          <w:kern w:val="0"/>
          <w:sz w:val="21"/>
          <w:szCs w:val="21"/>
          <w:highlight w:val="none"/>
        </w:rPr>
        <w:t>返还或销毁获得的甲方的信息</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乙方不得留存、备份</w:t>
      </w:r>
      <w:r>
        <w:rPr>
          <w:rFonts w:hint="eastAsia" w:ascii="宋体" w:hAnsi="宋体" w:eastAsia="宋体" w:cs="宋体"/>
          <w:color w:val="auto"/>
          <w:kern w:val="0"/>
          <w:sz w:val="21"/>
          <w:szCs w:val="21"/>
          <w:highlight w:val="none"/>
        </w:rPr>
        <w:t>。未经甲方书面同意，乙方</w:t>
      </w:r>
      <w:r>
        <w:rPr>
          <w:rFonts w:hint="eastAsia" w:ascii="宋体" w:hAnsi="宋体" w:eastAsia="宋体" w:cs="宋体"/>
          <w:color w:val="auto"/>
          <w:kern w:val="0"/>
          <w:sz w:val="21"/>
          <w:szCs w:val="21"/>
          <w:highlight w:val="none"/>
          <w:lang w:val="en-US" w:eastAsia="zh-CN"/>
        </w:rPr>
        <w:t>及其人员</w:t>
      </w:r>
      <w:r>
        <w:rPr>
          <w:rFonts w:hint="eastAsia" w:ascii="宋体" w:hAnsi="宋体" w:eastAsia="宋体" w:cs="宋体"/>
          <w:color w:val="auto"/>
          <w:kern w:val="0"/>
          <w:sz w:val="21"/>
          <w:szCs w:val="21"/>
          <w:highlight w:val="none"/>
        </w:rPr>
        <w:t>不得向第三人披露或自行使用甲方提供的任何信息及资料</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否则乙方应赔偿甲方全部损失</w:t>
      </w:r>
      <w:r>
        <w:rPr>
          <w:rFonts w:hint="eastAsia" w:ascii="宋体" w:hAnsi="宋体" w:eastAsia="宋体" w:cs="宋体"/>
          <w:color w:val="auto"/>
          <w:kern w:val="0"/>
          <w:sz w:val="21"/>
          <w:szCs w:val="21"/>
          <w:highlight w:val="none"/>
        </w:rPr>
        <w:t>。本保密条款不因本合同解除或终止而失效。</w:t>
      </w:r>
    </w:p>
    <w:p w14:paraId="4CD202CD">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color w:val="auto"/>
          <w:sz w:val="21"/>
          <w:szCs w:val="21"/>
          <w:highlight w:val="none"/>
        </w:rPr>
      </w:pPr>
      <w:bookmarkStart w:id="391" w:name="_Toc1960268963"/>
      <w:r>
        <w:rPr>
          <w:rFonts w:hint="eastAsia" w:ascii="宋体" w:hAnsi="宋体" w:eastAsia="宋体" w:cs="宋体"/>
          <w:b/>
          <w:color w:val="auto"/>
          <w:sz w:val="21"/>
          <w:szCs w:val="21"/>
          <w:highlight w:val="none"/>
          <w:lang w:val="en-US" w:eastAsia="zh-CN"/>
        </w:rPr>
        <w:t xml:space="preserve">第四条 </w:t>
      </w:r>
      <w:r>
        <w:rPr>
          <w:rFonts w:hint="eastAsia" w:ascii="宋体" w:hAnsi="宋体" w:eastAsia="宋体" w:cs="宋体"/>
          <w:b/>
          <w:color w:val="auto"/>
          <w:sz w:val="21"/>
          <w:szCs w:val="21"/>
          <w:highlight w:val="none"/>
        </w:rPr>
        <w:t>危险废物种类、数量以及收费凭证及转接责任</w:t>
      </w:r>
      <w:bookmarkEnd w:id="391"/>
    </w:p>
    <w:p w14:paraId="561C7F63">
      <w:pPr>
        <w:keepNext w:val="0"/>
        <w:keepLines w:val="0"/>
        <w:kinsoku/>
        <w:overflowPunct/>
        <w:topLinePunct w:val="0"/>
        <w:bidi w:val="0"/>
        <w:spacing w:line="360" w:lineRule="auto"/>
        <w:ind w:right="4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1、甲、乙双方交接待处理危险废物时，必须认真填写《危险废物转移联单》的各项内容，该联单作为合同双方核对危险废物种类、数量以及收费的凭证。</w:t>
      </w:r>
    </w:p>
    <w:p w14:paraId="065EF8B5">
      <w:pPr>
        <w:keepNext w:val="0"/>
        <w:keepLines w:val="0"/>
        <w:kinsoku/>
        <w:overflowPunct/>
        <w:topLinePunct w:val="0"/>
        <w:bidi w:val="0"/>
        <w:spacing w:line="360" w:lineRule="auto"/>
        <w:ind w:right="42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2、若发生意外或者事故，甲方将待处理危险废物交乙方签收之前，责任由甲方自行承担，但若乙方对事故发生、造成的损失有过错的，乙方应在其过错范围内承担责任；甲方将待处理危险废物交乙方签收之后，责任由乙方自行承担，但法律法规另有规定或本合同另有约定的除外。</w:t>
      </w:r>
    </w:p>
    <w:p w14:paraId="4E20C30E">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color w:val="auto"/>
          <w:sz w:val="21"/>
          <w:szCs w:val="21"/>
          <w:highlight w:val="none"/>
        </w:rPr>
      </w:pPr>
      <w:bookmarkStart w:id="392" w:name="_Toc14115"/>
      <w:bookmarkStart w:id="393" w:name="_Toc1170799792"/>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五</w:t>
      </w:r>
      <w:r>
        <w:rPr>
          <w:rFonts w:hint="eastAsia" w:ascii="宋体" w:hAnsi="宋体" w:eastAsia="宋体" w:cs="宋体"/>
          <w:b/>
          <w:color w:val="auto"/>
          <w:sz w:val="21"/>
          <w:szCs w:val="21"/>
          <w:highlight w:val="none"/>
        </w:rPr>
        <w:t>条 履约担保</w:t>
      </w:r>
      <w:bookmarkEnd w:id="392"/>
      <w:bookmarkEnd w:id="393"/>
    </w:p>
    <w:p w14:paraId="2BBF495E">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1、乙方应当根据</w:t>
      </w:r>
      <w:r>
        <w:rPr>
          <w:rFonts w:hint="eastAsia" w:ascii="宋体" w:hAnsi="宋体" w:eastAsia="宋体" w:cs="宋体"/>
          <w:color w:val="auto"/>
          <w:kern w:val="0"/>
          <w:sz w:val="21"/>
          <w:szCs w:val="21"/>
          <w:highlight w:val="none"/>
          <w:lang w:val="en-US" w:eastAsia="zh-CN"/>
        </w:rPr>
        <w:t>询比</w:t>
      </w:r>
      <w:r>
        <w:rPr>
          <w:rFonts w:hint="eastAsia" w:ascii="宋体" w:hAnsi="宋体" w:eastAsia="宋体" w:cs="宋体"/>
          <w:color w:val="auto"/>
          <w:kern w:val="0"/>
          <w:sz w:val="21"/>
          <w:szCs w:val="21"/>
          <w:highlight w:val="none"/>
        </w:rPr>
        <w:t>文件的规定在签订本合同前向甲方提供履约担保，履约担保形式及金额由乙方从以下方式中任选一种：</w:t>
      </w:r>
    </w:p>
    <w:p w14:paraId="555D250F">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u w:val="single"/>
        </w:rPr>
        <w:t>履约保证金（银行转账形式）金额为¥     元（大写人民币         ）</w:t>
      </w:r>
      <w:r>
        <w:rPr>
          <w:rFonts w:hint="eastAsia" w:ascii="宋体" w:hAnsi="宋体" w:eastAsia="宋体" w:cs="宋体"/>
          <w:color w:val="auto"/>
          <w:kern w:val="0"/>
          <w:sz w:val="21"/>
          <w:szCs w:val="21"/>
          <w:highlight w:val="none"/>
        </w:rPr>
        <w:t>；</w:t>
      </w:r>
    </w:p>
    <w:p w14:paraId="203F06D8">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u w:val="single"/>
        </w:rPr>
        <w:t>不可撤销银行履约保函金额为</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u w:val="single"/>
        </w:rPr>
        <w:t>元（</w:t>
      </w:r>
      <w:r>
        <w:rPr>
          <w:rFonts w:hint="eastAsia" w:ascii="宋体" w:hAnsi="宋体" w:eastAsia="宋体" w:cs="宋体"/>
          <w:color w:val="auto"/>
          <w:kern w:val="0"/>
          <w:sz w:val="21"/>
          <w:szCs w:val="21"/>
          <w:highlight w:val="none"/>
          <w:u w:val="single"/>
          <w:lang w:val="zh-CN"/>
        </w:rPr>
        <w:t>大写人民币         ）</w:t>
      </w:r>
      <w:r>
        <w:rPr>
          <w:rFonts w:hint="eastAsia" w:ascii="宋体" w:hAnsi="宋体" w:eastAsia="宋体" w:cs="宋体"/>
          <w:color w:val="auto"/>
          <w:kern w:val="0"/>
          <w:sz w:val="21"/>
          <w:szCs w:val="21"/>
          <w:highlight w:val="none"/>
          <w:lang w:val="zh-CN"/>
        </w:rPr>
        <w:t>；</w:t>
      </w:r>
    </w:p>
    <w:p w14:paraId="1175ECE2">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u w:val="single"/>
        </w:rPr>
        <w:t>履约保证保险金额为¥     元（大写人民币     ）</w:t>
      </w:r>
      <w:r>
        <w:rPr>
          <w:rFonts w:hint="eastAsia" w:ascii="宋体" w:hAnsi="宋体" w:eastAsia="宋体" w:cs="宋体"/>
          <w:color w:val="auto"/>
          <w:kern w:val="0"/>
          <w:sz w:val="21"/>
          <w:szCs w:val="21"/>
          <w:highlight w:val="none"/>
        </w:rPr>
        <w:t>；</w:t>
      </w:r>
    </w:p>
    <w:p w14:paraId="70B3AB12">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u w:val="single"/>
        </w:rPr>
        <w:t>担保公司履约担保书金额为¥     元（大写人民币         ）</w:t>
      </w:r>
      <w:r>
        <w:rPr>
          <w:rFonts w:hint="eastAsia" w:ascii="宋体" w:hAnsi="宋体" w:eastAsia="宋体" w:cs="宋体"/>
          <w:color w:val="auto"/>
          <w:kern w:val="0"/>
          <w:sz w:val="21"/>
          <w:szCs w:val="21"/>
          <w:highlight w:val="none"/>
        </w:rPr>
        <w:t>。</w:t>
      </w:r>
    </w:p>
    <w:p w14:paraId="785D7263">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合同履行过程中，乙方给甲方造成的损失超过履约担保数额的，乙方还应当对超过部分予以赔偿，甲方并依法追究乙方的相应责任。</w:t>
      </w:r>
    </w:p>
    <w:p w14:paraId="7500AEFB">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、履约担保用于补偿甲方因乙方不能完全履行其合同义务而蒙受的损失或其他合同约定的事项，如发生下列任一情况时，甲方有权依合同追究乙方违约责任外，同时有权提取履约担保并进行相应处理：</w:t>
      </w:r>
    </w:p>
    <w:p w14:paraId="3C2322D0">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合同履行期间，因乙方货物、服务质量问题造成损害、侵权损失（包括但不限于甲方经济损失、第三人人身财产损失等）、拖欠原材料供应商货款或与其所雇用员工发生劳资纠纷、上访、闹事或其他影响甲方生产经营等情况而其未及时妥善处理的，甲方有权使用履约担保予以支付或作出相应处理，由此产生的一切法律后果由乙方承担。</w:t>
      </w:r>
    </w:p>
    <w:p w14:paraId="23A78EA3">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（2）在合同履行期间，乙方违约产生的违约金、赔偿、罚款或其他应付费用等款项，甲方有权直接从未付</w:t>
      </w:r>
      <w:r>
        <w:rPr>
          <w:rFonts w:hint="eastAsia" w:ascii="宋体" w:hAnsi="宋体" w:eastAsia="宋体" w:cs="宋体"/>
          <w:color w:val="auto"/>
          <w:kern w:val="0"/>
          <w:sz w:val="21"/>
          <w:szCs w:val="21"/>
          <w:highlight w:val="none"/>
          <w:lang w:val="en-US" w:eastAsia="zh-CN"/>
        </w:rPr>
        <w:t>款项</w:t>
      </w:r>
      <w:r>
        <w:rPr>
          <w:rFonts w:hint="eastAsia" w:ascii="宋体" w:hAnsi="宋体" w:eastAsia="宋体" w:cs="宋体"/>
          <w:color w:val="auto"/>
          <w:kern w:val="0"/>
          <w:sz w:val="21"/>
          <w:szCs w:val="21"/>
          <w:highlight w:val="none"/>
        </w:rPr>
        <w:t>中扣除或启用履约担保予以支付。</w:t>
      </w:r>
    </w:p>
    <w:p w14:paraId="4BF70F13">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（3）合同期内，乙方不能及时完成合同某项义务的，甲方有权使用履约担保用于处理该项工作。</w:t>
      </w:r>
    </w:p>
    <w:p w14:paraId="68BC3F6B">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（4）其他根据本合同约定或法律规定，甲方可启用履约担保的情形。</w:t>
      </w:r>
    </w:p>
    <w:p w14:paraId="23F37868">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、乙方以履约保证金（银行转账形式）提供履约担保的，在合同服务期限终止（终止时间以</w:t>
      </w:r>
      <w:r>
        <w:rPr>
          <w:rFonts w:hint="eastAsia" w:ascii="宋体" w:hAnsi="宋体" w:eastAsia="宋体" w:cs="宋体"/>
          <w:color w:val="auto"/>
          <w:kern w:val="0"/>
          <w:sz w:val="21"/>
          <w:szCs w:val="21"/>
          <w:highlight w:val="none"/>
          <w:lang w:val="en-US" w:eastAsia="zh-CN"/>
        </w:rPr>
        <w:t>长期废盐处置服务单位具备服务条件之日或结算处置量达到</w:t>
      </w:r>
      <w:r>
        <w:rPr>
          <w:rFonts w:hint="eastAsia" w:ascii="宋体" w:hAnsi="宋体" w:eastAsia="宋体" w:cs="宋体"/>
          <w:color w:val="auto"/>
          <w:sz w:val="21"/>
          <w:szCs w:val="21"/>
          <w:highlight w:val="none"/>
        </w:rPr>
        <w:t>804</w:t>
      </w:r>
      <w:r>
        <w:rPr>
          <w:rFonts w:hint="eastAsia" w:ascii="宋体" w:hAnsi="宋体" w:eastAsia="宋体" w:cs="宋体"/>
          <w:color w:val="auto"/>
          <w:kern w:val="0"/>
          <w:sz w:val="21"/>
          <w:szCs w:val="21"/>
          <w:highlight w:val="none"/>
          <w:lang w:val="en-US" w:eastAsia="zh-CN"/>
        </w:rPr>
        <w:t>吨</w:t>
      </w:r>
      <w:r>
        <w:rPr>
          <w:rFonts w:hint="eastAsia" w:ascii="宋体" w:hAnsi="宋体" w:eastAsia="宋体" w:cs="宋体"/>
          <w:color w:val="auto"/>
          <w:kern w:val="0"/>
          <w:sz w:val="21"/>
          <w:szCs w:val="21"/>
          <w:highlight w:val="none"/>
        </w:rPr>
        <w:t>二者先到者为准）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且</w:t>
      </w:r>
      <w:r>
        <w:rPr>
          <w:rFonts w:hint="eastAsia" w:ascii="宋体" w:hAnsi="宋体" w:eastAsia="宋体" w:cs="宋体"/>
          <w:color w:val="auto"/>
          <w:kern w:val="0"/>
          <w:sz w:val="21"/>
          <w:szCs w:val="21"/>
          <w:highlight w:val="none"/>
        </w:rPr>
        <w:t>完成合同全部服务义务二十八（28）日后，经甲方确认，乙方可向甲方提交退回履约担保的申请。甲方审核无异议并在扣除</w:t>
      </w:r>
      <w:r>
        <w:rPr>
          <w:rFonts w:hint="eastAsia" w:ascii="宋体" w:hAnsi="宋体" w:eastAsia="宋体" w:cs="宋体"/>
          <w:color w:val="auto"/>
          <w:kern w:val="0"/>
          <w:sz w:val="21"/>
          <w:szCs w:val="21"/>
          <w:highlight w:val="none"/>
          <w:lang w:eastAsia="zh-CN"/>
        </w:rPr>
        <w:t>乙方应承担的</w:t>
      </w:r>
      <w:r>
        <w:rPr>
          <w:rFonts w:hint="eastAsia" w:ascii="宋体" w:hAnsi="宋体" w:eastAsia="宋体" w:cs="宋体"/>
          <w:color w:val="auto"/>
          <w:kern w:val="0"/>
          <w:sz w:val="21"/>
          <w:szCs w:val="21"/>
          <w:highlight w:val="none"/>
        </w:rPr>
        <w:t>相应费用后，</w:t>
      </w:r>
      <w:r>
        <w:rPr>
          <w:rFonts w:hint="eastAsia" w:ascii="宋体" w:hAnsi="宋体" w:eastAsia="宋体" w:cs="宋体"/>
          <w:color w:val="auto"/>
          <w:kern w:val="0"/>
          <w:sz w:val="21"/>
          <w:szCs w:val="21"/>
          <w:highlight w:val="none"/>
          <w:lang w:eastAsia="zh-CN"/>
        </w:rPr>
        <w:t>为乙方</w:t>
      </w:r>
      <w:r>
        <w:rPr>
          <w:rFonts w:hint="eastAsia" w:ascii="宋体" w:hAnsi="宋体" w:eastAsia="宋体" w:cs="宋体"/>
          <w:color w:val="auto"/>
          <w:kern w:val="0"/>
          <w:sz w:val="21"/>
          <w:szCs w:val="21"/>
          <w:highlight w:val="none"/>
        </w:rPr>
        <w:t>办理履约担保退还手续，退回时一律以银行转账的形式无息退回到乙方的账户。</w:t>
      </w:r>
    </w:p>
    <w:p w14:paraId="0B71EAF5">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、如乙方提供不可撤销银行履约保函（或履约保证保险或担保公司履约担保书）作为履约担保的，其受益人应为</w:t>
      </w:r>
      <w:r>
        <w:rPr>
          <w:rFonts w:hint="eastAsia" w:ascii="宋体" w:hAnsi="宋体" w:eastAsia="宋体" w:cs="宋体"/>
          <w:color w:val="auto"/>
          <w:kern w:val="0"/>
          <w:sz w:val="21"/>
          <w:szCs w:val="21"/>
          <w:highlight w:val="none"/>
          <w:lang w:eastAsia="zh-CN"/>
        </w:rPr>
        <w:t>东莞市尚源环能科技有限公司</w:t>
      </w:r>
      <w:r>
        <w:rPr>
          <w:rFonts w:hint="eastAsia" w:ascii="宋体" w:hAnsi="宋体" w:eastAsia="宋体" w:cs="宋体"/>
          <w:color w:val="auto"/>
          <w:kern w:val="0"/>
          <w:sz w:val="21"/>
          <w:szCs w:val="21"/>
          <w:highlight w:val="none"/>
        </w:rPr>
        <w:t>，且不可撤销银行履约保函（或履约保证保险或担保公司履约担保书）应从合同签订之日起（或签订合同前）至合同服务期限终止（终止时间以</w:t>
      </w:r>
      <w:r>
        <w:rPr>
          <w:rFonts w:hint="eastAsia" w:ascii="宋体" w:hAnsi="宋体" w:eastAsia="宋体" w:cs="宋体"/>
          <w:color w:val="auto"/>
          <w:kern w:val="0"/>
          <w:sz w:val="21"/>
          <w:szCs w:val="21"/>
          <w:highlight w:val="none"/>
          <w:lang w:val="en-US" w:eastAsia="zh-CN"/>
        </w:rPr>
        <w:t>长期废盐处置服务单位具备服务条件之日或结算处置量达到</w:t>
      </w:r>
      <w:r>
        <w:rPr>
          <w:rFonts w:hint="eastAsia" w:ascii="宋体" w:hAnsi="宋体" w:eastAsia="宋体" w:cs="宋体"/>
          <w:color w:val="auto"/>
          <w:sz w:val="21"/>
          <w:szCs w:val="21"/>
          <w:highlight w:val="none"/>
        </w:rPr>
        <w:t>804</w:t>
      </w:r>
      <w:r>
        <w:rPr>
          <w:rFonts w:hint="eastAsia" w:ascii="宋体" w:hAnsi="宋体" w:eastAsia="宋体" w:cs="宋体"/>
          <w:color w:val="auto"/>
          <w:kern w:val="0"/>
          <w:sz w:val="21"/>
          <w:szCs w:val="21"/>
          <w:highlight w:val="none"/>
          <w:lang w:val="en-US" w:eastAsia="zh-CN"/>
        </w:rPr>
        <w:t>吨</w:t>
      </w:r>
      <w:r>
        <w:rPr>
          <w:rFonts w:hint="eastAsia" w:ascii="宋体" w:hAnsi="宋体" w:eastAsia="宋体" w:cs="宋体"/>
          <w:color w:val="auto"/>
          <w:kern w:val="0"/>
          <w:sz w:val="21"/>
          <w:szCs w:val="21"/>
          <w:highlight w:val="none"/>
        </w:rPr>
        <w:t>二者先到者为准）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且</w:t>
      </w:r>
      <w:r>
        <w:rPr>
          <w:rFonts w:hint="eastAsia" w:ascii="宋体" w:hAnsi="宋体" w:eastAsia="宋体" w:cs="宋体"/>
          <w:color w:val="auto"/>
          <w:kern w:val="0"/>
          <w:sz w:val="21"/>
          <w:szCs w:val="21"/>
          <w:highlight w:val="none"/>
        </w:rPr>
        <w:t>完成合同全部服务义务后二十八（28）日内保持有效。如不可撤销银行履约保函（或履约保证保险或担保公司履约担保书）</w:t>
      </w:r>
      <w:r>
        <w:rPr>
          <w:rFonts w:hint="eastAsia" w:ascii="宋体" w:hAnsi="宋体" w:eastAsia="宋体" w:cs="宋体"/>
          <w:color w:val="auto"/>
          <w:kern w:val="0"/>
          <w:sz w:val="21"/>
          <w:szCs w:val="21"/>
          <w:highlight w:val="none"/>
          <w:lang w:val="en-US" w:eastAsia="zh-CN"/>
        </w:rPr>
        <w:t>的</w:t>
      </w:r>
      <w:r>
        <w:rPr>
          <w:rFonts w:hint="eastAsia" w:ascii="宋体" w:hAnsi="宋体" w:eastAsia="宋体" w:cs="宋体"/>
          <w:color w:val="auto"/>
          <w:kern w:val="0"/>
          <w:sz w:val="21"/>
          <w:szCs w:val="21"/>
          <w:highlight w:val="none"/>
        </w:rPr>
        <w:t>有效期届满时间早于</w:t>
      </w:r>
      <w:r>
        <w:rPr>
          <w:rFonts w:hint="eastAsia" w:ascii="宋体" w:hAnsi="宋体" w:eastAsia="宋体" w:cs="宋体"/>
          <w:color w:val="auto"/>
          <w:kern w:val="0"/>
          <w:sz w:val="21"/>
          <w:szCs w:val="21"/>
          <w:highlight w:val="none"/>
          <w:lang w:val="en-US" w:eastAsia="zh-CN"/>
        </w:rPr>
        <w:t>询比文件</w:t>
      </w:r>
      <w:r>
        <w:rPr>
          <w:rFonts w:hint="eastAsia" w:ascii="宋体" w:hAnsi="宋体" w:eastAsia="宋体" w:cs="宋体"/>
          <w:color w:val="auto"/>
          <w:kern w:val="0"/>
          <w:sz w:val="21"/>
          <w:szCs w:val="21"/>
          <w:highlight w:val="none"/>
        </w:rPr>
        <w:t>、合同文件要求的，乙方必须在不可撤销银行履约保函（或履约保证保险或担保公司履约担保书）到期15日前无条件办理办妥符合甲方要求的延期手续或重新提供不可撤销银行履约保函（或履约保证保险或担保公司履约担保书），</w:t>
      </w:r>
      <w:r>
        <w:rPr>
          <w:rFonts w:hint="eastAsia" w:ascii="宋体" w:hAnsi="宋体" w:eastAsia="宋体" w:cs="宋体"/>
          <w:color w:val="auto"/>
          <w:kern w:val="0"/>
          <w:sz w:val="21"/>
          <w:szCs w:val="21"/>
          <w:highlight w:val="none"/>
          <w:lang w:val="en-US" w:eastAsia="zh-CN"/>
        </w:rPr>
        <w:t>费用由乙方承担，</w:t>
      </w:r>
      <w:r>
        <w:rPr>
          <w:rFonts w:hint="eastAsia" w:ascii="宋体" w:hAnsi="宋体" w:eastAsia="宋体" w:cs="宋体"/>
          <w:color w:val="auto"/>
          <w:kern w:val="0"/>
          <w:sz w:val="21"/>
          <w:szCs w:val="21"/>
          <w:highlight w:val="none"/>
        </w:rPr>
        <w:t>否则视为乙方违约，甲方有权在不可撤销银行履约保函（或履约保证保险或担保公司履约担保书）到期前向出具履约担保的机构提取履约担保。在不可撤销银行履约保函（或履约保证保险或担保公司履约担保书）到期后乙方未按甲方要求重新提供的，乙方应向甲方支付【</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,000.00】元违约金，违约金可直接从未付</w:t>
      </w:r>
      <w:r>
        <w:rPr>
          <w:rFonts w:hint="eastAsia" w:ascii="宋体" w:hAnsi="宋体" w:eastAsia="宋体" w:cs="宋体"/>
          <w:color w:val="auto"/>
          <w:kern w:val="0"/>
          <w:sz w:val="21"/>
          <w:szCs w:val="21"/>
          <w:highlight w:val="none"/>
          <w:lang w:val="en-US" w:eastAsia="zh-CN"/>
        </w:rPr>
        <w:t>款项</w:t>
      </w:r>
      <w:r>
        <w:rPr>
          <w:rFonts w:hint="eastAsia" w:ascii="宋体" w:hAnsi="宋体" w:eastAsia="宋体" w:cs="宋体"/>
          <w:color w:val="auto"/>
          <w:kern w:val="0"/>
          <w:sz w:val="21"/>
          <w:szCs w:val="21"/>
          <w:highlight w:val="none"/>
        </w:rPr>
        <w:t>中扣除。在乙方重新提供前，甲方无需向乙方支付合同款项，且不视为甲方违约</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乙方不得以此为由拒绝或迟延履行合同义务</w:t>
      </w:r>
      <w:r>
        <w:rPr>
          <w:rFonts w:hint="eastAsia" w:ascii="宋体" w:hAnsi="宋体" w:eastAsia="宋体" w:cs="宋体"/>
          <w:color w:val="auto"/>
          <w:kern w:val="0"/>
          <w:sz w:val="21"/>
          <w:szCs w:val="21"/>
          <w:highlight w:val="none"/>
        </w:rPr>
        <w:t>。</w:t>
      </w:r>
    </w:p>
    <w:p w14:paraId="6DFFE9DA">
      <w:pPr>
        <w:pStyle w:val="205"/>
        <w:spacing w:line="360" w:lineRule="auto"/>
        <w:jc w:val="both"/>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、在合同履行过程中，不论何种原因导致履约担保数额不符合</w:t>
      </w:r>
      <w:r>
        <w:rPr>
          <w:rFonts w:hint="eastAsia" w:ascii="宋体" w:hAnsi="宋体" w:cs="宋体"/>
          <w:color w:val="auto"/>
          <w:kern w:val="0"/>
          <w:sz w:val="21"/>
          <w:szCs w:val="21"/>
          <w:highlight w:val="none"/>
          <w:lang w:val="en-US" w:eastAsia="zh-CN"/>
        </w:rPr>
        <w:t>询比文件</w:t>
      </w:r>
      <w:r>
        <w:rPr>
          <w:rFonts w:hint="eastAsia" w:ascii="宋体" w:hAnsi="宋体" w:eastAsia="宋体" w:cs="宋体"/>
          <w:color w:val="auto"/>
          <w:kern w:val="0"/>
          <w:sz w:val="21"/>
          <w:szCs w:val="21"/>
          <w:highlight w:val="none"/>
        </w:rPr>
        <w:t>要求</w:t>
      </w:r>
      <w:r>
        <w:rPr>
          <w:rFonts w:hint="eastAsia" w:ascii="宋体" w:hAnsi="宋体" w:eastAsia="宋体" w:cs="宋体"/>
          <w:color w:val="auto"/>
          <w:kern w:val="0"/>
          <w:sz w:val="21"/>
          <w:szCs w:val="21"/>
          <w:highlight w:val="none"/>
          <w:lang w:val="en-US" w:eastAsia="zh-CN"/>
        </w:rPr>
        <w:t>及本合同约定</w:t>
      </w:r>
      <w:r>
        <w:rPr>
          <w:rFonts w:hint="eastAsia" w:ascii="宋体" w:hAnsi="宋体" w:eastAsia="宋体" w:cs="宋体"/>
          <w:color w:val="auto"/>
          <w:kern w:val="0"/>
          <w:sz w:val="21"/>
          <w:szCs w:val="21"/>
          <w:highlight w:val="none"/>
        </w:rPr>
        <w:t>的，乙方应当在5日内予以补足。逾期不予补足的，甲方有权按需补足的金额要求乙方承担违约金，并要求乙方限期补足，在乙方补足前，甲方无需向乙方支付合同款项，且不视为甲方违约</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乙方不得以此为由拒绝或迟延履行合同义务</w:t>
      </w:r>
      <w:r>
        <w:rPr>
          <w:rFonts w:hint="eastAsia" w:ascii="宋体" w:hAnsi="宋体" w:eastAsia="宋体" w:cs="宋体"/>
          <w:color w:val="auto"/>
          <w:kern w:val="0"/>
          <w:sz w:val="21"/>
          <w:szCs w:val="21"/>
          <w:highlight w:val="none"/>
        </w:rPr>
        <w:t>。</w:t>
      </w:r>
    </w:p>
    <w:p w14:paraId="5647A637">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color w:val="auto"/>
          <w:sz w:val="21"/>
          <w:szCs w:val="21"/>
          <w:highlight w:val="none"/>
        </w:rPr>
      </w:pPr>
      <w:bookmarkStart w:id="394" w:name="_Toc19756"/>
      <w:bookmarkStart w:id="395" w:name="_Toc1747772837"/>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六</w:t>
      </w:r>
      <w:r>
        <w:rPr>
          <w:rFonts w:hint="eastAsia" w:ascii="宋体" w:hAnsi="宋体" w:eastAsia="宋体" w:cs="宋体"/>
          <w:b/>
          <w:color w:val="auto"/>
          <w:sz w:val="21"/>
          <w:szCs w:val="21"/>
          <w:highlight w:val="none"/>
        </w:rPr>
        <w:t>条 服务价格及付款方式</w:t>
      </w:r>
      <w:bookmarkEnd w:id="394"/>
      <w:bookmarkEnd w:id="395"/>
    </w:p>
    <w:p w14:paraId="14286592">
      <w:pPr>
        <w:pStyle w:val="205"/>
        <w:tabs>
          <w:tab w:val="left" w:pos="142"/>
        </w:tabs>
        <w:wordWrap/>
        <w:spacing w:line="360" w:lineRule="auto"/>
        <w:ind w:left="0" w:leftChars="0" w:right="0"/>
        <w:jc w:val="both"/>
        <w:textAlignment w:val="auto"/>
        <w:outlineLvl w:val="9"/>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rPr>
        <w:t>1、</w:t>
      </w:r>
      <w:r>
        <w:rPr>
          <w:rFonts w:hint="eastAsia" w:ascii="宋体" w:hAnsi="宋体" w:cs="宋体"/>
          <w:color w:val="auto"/>
          <w:sz w:val="21"/>
          <w:szCs w:val="21"/>
          <w:highlight w:val="none"/>
          <w:lang w:val="en-US" w:eastAsia="zh-CN"/>
        </w:rPr>
        <w:t>废盐处置</w:t>
      </w:r>
      <w:r>
        <w:rPr>
          <w:rFonts w:hint="eastAsia" w:ascii="宋体" w:hAnsi="宋体" w:eastAsia="宋体" w:cs="宋体"/>
          <w:color w:val="auto"/>
          <w:sz w:val="21"/>
          <w:szCs w:val="21"/>
          <w:highlight w:val="none"/>
        </w:rPr>
        <w:t>服务合同单价（即销售额，不含乙方销项税额）为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元/吨(大写人民币每吨</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在本合同履行过程中，合同单价（即销</w:t>
      </w:r>
      <w:r>
        <w:rPr>
          <w:rFonts w:hint="eastAsia" w:ascii="宋体" w:hAnsi="宋体" w:cs="宋体"/>
          <w:color w:val="auto"/>
          <w:sz w:val="21"/>
          <w:szCs w:val="21"/>
          <w:highlight w:val="none"/>
          <w:lang w:val="en-US" w:eastAsia="zh-CN"/>
        </w:rPr>
        <w:t>售</w:t>
      </w:r>
      <w:r>
        <w:rPr>
          <w:rFonts w:hint="eastAsia" w:ascii="宋体" w:hAnsi="宋体" w:eastAsia="宋体" w:cs="宋体"/>
          <w:color w:val="auto"/>
          <w:sz w:val="21"/>
          <w:szCs w:val="21"/>
          <w:highlight w:val="none"/>
          <w:lang w:val="en-US" w:eastAsia="zh-CN"/>
        </w:rPr>
        <w:t>额，不含乙方销项税额）固定不变，不因法律法规政策、物价人工、</w:t>
      </w:r>
      <w:r>
        <w:rPr>
          <w:rFonts w:hint="eastAsia" w:ascii="宋体" w:hAnsi="宋体" w:cs="宋体"/>
          <w:color w:val="auto"/>
          <w:sz w:val="21"/>
          <w:szCs w:val="21"/>
          <w:highlight w:val="none"/>
          <w:lang w:val="en-US" w:eastAsia="zh-CN"/>
        </w:rPr>
        <w:t>运输成本、</w:t>
      </w:r>
      <w:r>
        <w:rPr>
          <w:rFonts w:hint="eastAsia" w:ascii="宋体" w:hAnsi="宋体" w:eastAsia="宋体" w:cs="宋体"/>
          <w:color w:val="auto"/>
          <w:sz w:val="21"/>
          <w:szCs w:val="21"/>
          <w:highlight w:val="none"/>
          <w:lang w:val="en-US" w:eastAsia="zh-CN"/>
        </w:rPr>
        <w:t>劳务成本等调整而进行调整，未经甲方书面确认，乙方无权增加任何费用。</w:t>
      </w:r>
    </w:p>
    <w:p w14:paraId="4DCBAD02">
      <w:pPr>
        <w:wordWrap/>
        <w:spacing w:line="360" w:lineRule="auto"/>
        <w:ind w:left="0" w:leftChars="0" w:right="0" w:firstLine="476" w:firstLineChars="227"/>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依法计得并根据本合同约定确定的销项税额由甲方承担。</w:t>
      </w:r>
      <w:r>
        <w:rPr>
          <w:rFonts w:hint="eastAsia" w:ascii="宋体" w:hAnsi="宋体" w:eastAsia="宋体" w:cs="宋体"/>
          <w:color w:val="auto"/>
          <w:kern w:val="2"/>
          <w:sz w:val="21"/>
          <w:szCs w:val="21"/>
          <w:highlight w:val="none"/>
        </w:rPr>
        <w:t>根据《中华人民共和国增值税法》及其实施条例相关规定</w:t>
      </w:r>
      <w:r>
        <w:rPr>
          <w:rFonts w:hint="eastAsia" w:ascii="宋体" w:hAnsi="宋体" w:eastAsia="宋体" w:cs="宋体"/>
          <w:color w:val="auto"/>
          <w:sz w:val="21"/>
          <w:szCs w:val="21"/>
          <w:highlight w:val="none"/>
        </w:rPr>
        <w:t>，本合同项目的增值税税率</w:t>
      </w:r>
      <w:r>
        <w:rPr>
          <w:rFonts w:hint="eastAsia" w:ascii="宋体" w:hAnsi="宋体" w:eastAsia="宋体" w:cs="宋体"/>
          <w:color w:val="auto"/>
          <w:sz w:val="21"/>
          <w:szCs w:val="21"/>
          <w:highlight w:val="none"/>
          <w:lang w:eastAsia="zh-CN"/>
        </w:rPr>
        <w:t>暂定</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，对应的销项税额</w:t>
      </w:r>
      <w:r>
        <w:rPr>
          <w:rFonts w:hint="eastAsia" w:ascii="宋体" w:hAnsi="宋体" w:eastAsia="宋体" w:cs="宋体"/>
          <w:color w:val="auto"/>
          <w:sz w:val="21"/>
          <w:szCs w:val="21"/>
          <w:highlight w:val="none"/>
          <w:lang w:eastAsia="zh-CN"/>
        </w:rPr>
        <w:t>暂定</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元/吨（大写人民币每吨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2B545F">
      <w:pPr>
        <w:wordWrap/>
        <w:spacing w:line="360" w:lineRule="auto"/>
        <w:ind w:left="0" w:leftChars="0" w:right="0" w:firstLine="476" w:firstLineChars="227"/>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在本合同履行过程中，税收政策变动导致增值税税率调整，依法应调整销项税额的，依法调整；但因乙方未按合同约定</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、未根据合同约定提供合法、完整的请款资料、</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验收不合格导致的返工或退</w:t>
      </w:r>
      <w:r>
        <w:rPr>
          <w:rFonts w:hint="eastAsia" w:ascii="宋体" w:hAnsi="宋体" w:eastAsia="宋体" w:cs="宋体"/>
          <w:color w:val="auto"/>
          <w:sz w:val="21"/>
          <w:szCs w:val="21"/>
          <w:highlight w:val="none"/>
          <w:lang w:val="en-US" w:eastAsia="zh-CN"/>
        </w:rPr>
        <w:t>款</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验收合格前的非正常损耗等原因导致销项税额增加的，相应损失由乙方承担。</w:t>
      </w:r>
    </w:p>
    <w:p w14:paraId="12CE06F0">
      <w:pPr>
        <w:wordWrap/>
        <w:spacing w:line="360" w:lineRule="auto"/>
        <w:ind w:left="0" w:leftChars="0" w:right="0" w:firstLine="422" w:firstLineChars="201"/>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3、废盐处置</w:t>
      </w:r>
      <w:r>
        <w:rPr>
          <w:rFonts w:hint="eastAsia" w:ascii="宋体" w:hAnsi="宋体" w:eastAsia="宋体" w:cs="宋体"/>
          <w:color w:val="auto"/>
          <w:sz w:val="21"/>
          <w:szCs w:val="21"/>
          <w:highlight w:val="none"/>
        </w:rPr>
        <w:t>服务合同单价价税合计</w:t>
      </w:r>
      <w:r>
        <w:rPr>
          <w:rFonts w:hint="eastAsia" w:ascii="宋体" w:hAnsi="宋体" w:eastAsia="宋体" w:cs="宋体"/>
          <w:color w:val="auto"/>
          <w:sz w:val="21"/>
          <w:szCs w:val="21"/>
          <w:highlight w:val="none"/>
          <w:lang w:eastAsia="zh-CN"/>
        </w:rPr>
        <w:t>暂定</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元/吨（大写人民币每吨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），合同履行期间根据本条第2项</w:t>
      </w:r>
      <w:r>
        <w:rPr>
          <w:rFonts w:hint="eastAsia" w:ascii="宋体" w:hAnsi="宋体" w:eastAsia="宋体" w:cs="宋体"/>
          <w:color w:val="auto"/>
          <w:sz w:val="21"/>
          <w:szCs w:val="21"/>
          <w:highlight w:val="none"/>
          <w:lang w:val="en-US" w:eastAsia="zh-CN"/>
        </w:rPr>
        <w:t>约定</w:t>
      </w:r>
      <w:r>
        <w:rPr>
          <w:rFonts w:hint="eastAsia" w:ascii="宋体" w:hAnsi="宋体" w:eastAsia="宋体" w:cs="宋体"/>
          <w:color w:val="auto"/>
          <w:sz w:val="21"/>
          <w:szCs w:val="21"/>
          <w:highlight w:val="none"/>
        </w:rPr>
        <w:t>调整销项税额的，合同单价价税合计对应调整。</w:t>
      </w:r>
    </w:p>
    <w:p w14:paraId="5F8D6F5F">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lang w:val="en-US" w:eastAsia="zh-CN"/>
        </w:rPr>
        <w:t>4、废盐处置</w:t>
      </w:r>
      <w:r>
        <w:rPr>
          <w:rFonts w:hint="eastAsia" w:ascii="宋体" w:hAnsi="宋体" w:eastAsia="宋体" w:cs="宋体"/>
          <w:color w:val="auto"/>
          <w:sz w:val="21"/>
          <w:szCs w:val="21"/>
          <w:highlight w:val="none"/>
        </w:rPr>
        <w:t>服务合同单价</w:t>
      </w:r>
      <w:r>
        <w:rPr>
          <w:rFonts w:hint="eastAsia" w:ascii="宋体" w:hAnsi="宋体" w:eastAsia="宋体" w:cs="宋体"/>
          <w:color w:val="auto"/>
          <w:kern w:val="0"/>
          <w:sz w:val="21"/>
          <w:szCs w:val="21"/>
          <w:highlight w:val="none"/>
        </w:rPr>
        <w:t>（即销售额，不含乙方销项税额）</w:t>
      </w:r>
      <w:r>
        <w:rPr>
          <w:rFonts w:hint="eastAsia" w:ascii="宋体" w:hAnsi="宋体" w:eastAsia="宋体" w:cs="宋体"/>
          <w:color w:val="auto"/>
          <w:kern w:val="2"/>
          <w:sz w:val="21"/>
          <w:szCs w:val="21"/>
          <w:highlight w:val="none"/>
          <w:lang w:eastAsia="zh-CN"/>
        </w:rPr>
        <w:t>已包含</w:t>
      </w:r>
      <w:r>
        <w:rPr>
          <w:rFonts w:hint="eastAsia" w:ascii="宋体" w:hAnsi="宋体" w:eastAsia="宋体" w:cs="宋体"/>
          <w:color w:val="auto"/>
          <w:kern w:val="2"/>
          <w:sz w:val="21"/>
          <w:szCs w:val="21"/>
          <w:highlight w:val="none"/>
          <w:lang w:val="en-US" w:eastAsia="zh-CN" w:bidi="ar-SA"/>
        </w:rPr>
        <w:t>危险废物运输费、废物分拣及检测费、处理处置费、技术咨询费、管理费</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人员及车辆</w:t>
      </w:r>
      <w:r>
        <w:rPr>
          <w:rFonts w:hint="eastAsia" w:ascii="宋体" w:hAnsi="宋体" w:eastAsia="宋体" w:cs="宋体"/>
          <w:color w:val="auto"/>
          <w:kern w:val="0"/>
          <w:sz w:val="21"/>
          <w:szCs w:val="21"/>
          <w:highlight w:val="none"/>
        </w:rPr>
        <w:t>保险费</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2"/>
          <w:sz w:val="21"/>
          <w:szCs w:val="21"/>
          <w:highlight w:val="none"/>
        </w:rPr>
        <w:t>利润</w:t>
      </w:r>
      <w:r>
        <w:rPr>
          <w:rFonts w:hint="eastAsia" w:ascii="宋体" w:hAnsi="宋体" w:eastAsia="宋体" w:cs="宋体"/>
          <w:color w:val="auto"/>
          <w:kern w:val="2"/>
          <w:sz w:val="21"/>
          <w:szCs w:val="21"/>
          <w:highlight w:val="none"/>
          <w:lang w:eastAsia="zh-CN"/>
        </w:rPr>
        <w:t>、乙方销项税额以外的税费、</w:t>
      </w:r>
      <w:r>
        <w:rPr>
          <w:rFonts w:hint="eastAsia" w:ascii="宋体" w:hAnsi="宋体" w:eastAsia="宋体" w:cs="宋体"/>
          <w:color w:val="auto"/>
          <w:kern w:val="2"/>
          <w:sz w:val="21"/>
          <w:szCs w:val="21"/>
          <w:highlight w:val="none"/>
          <w:lang w:val="en-US" w:eastAsia="zh-CN"/>
        </w:rPr>
        <w:t>成交服务费</w:t>
      </w:r>
      <w:r>
        <w:rPr>
          <w:rFonts w:hint="eastAsia" w:ascii="宋体" w:hAnsi="宋体" w:eastAsia="宋体" w:cs="宋体"/>
          <w:color w:val="auto"/>
          <w:kern w:val="2"/>
          <w:sz w:val="21"/>
          <w:szCs w:val="21"/>
          <w:highlight w:val="none"/>
          <w:lang w:eastAsia="zh-CN"/>
        </w:rPr>
        <w:t>等乙方完成本合同约定项目内容所需的一切费用，不随法律法规政策、物价人工、服务期限调整而进行调整，未经甲方书面确认，乙方无权增加任何费用</w:t>
      </w:r>
      <w:r>
        <w:rPr>
          <w:rFonts w:hint="eastAsia" w:ascii="宋体" w:hAnsi="宋体" w:eastAsia="宋体" w:cs="宋体"/>
          <w:color w:val="auto"/>
          <w:kern w:val="0"/>
          <w:sz w:val="21"/>
          <w:szCs w:val="21"/>
          <w:highlight w:val="none"/>
        </w:rPr>
        <w:t>。</w:t>
      </w:r>
    </w:p>
    <w:p w14:paraId="2A5A4CCB">
      <w:pPr>
        <w:wordWrap/>
        <w:spacing w:line="360" w:lineRule="auto"/>
        <w:ind w:left="0" w:leftChars="0" w:right="0" w:firstLine="422" w:firstLineChars="201"/>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rPr>
        <w:t>因乙方未按法定税率计算税额或未根据本合同约定出具对应合法的发票等乙方原因导致甲方多支付税额的，乙方必须退还甲方，给甲方造成损失的，乙方须向甲方赔偿</w:t>
      </w:r>
      <w:r>
        <w:rPr>
          <w:rFonts w:hint="eastAsia" w:ascii="宋体" w:hAnsi="宋体" w:eastAsia="宋体" w:cs="宋体"/>
          <w:color w:val="auto"/>
          <w:sz w:val="21"/>
          <w:szCs w:val="21"/>
          <w:highlight w:val="none"/>
        </w:rPr>
        <w:t>相应损失。</w:t>
      </w:r>
    </w:p>
    <w:p w14:paraId="1A24F88D">
      <w:pPr>
        <w:wordWrap/>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不含税</w:t>
      </w:r>
      <w:r>
        <w:rPr>
          <w:rFonts w:hint="eastAsia" w:ascii="宋体" w:hAnsi="宋体" w:eastAsia="宋体" w:cs="宋体"/>
          <w:color w:val="auto"/>
          <w:sz w:val="21"/>
          <w:szCs w:val="21"/>
          <w:highlight w:val="none"/>
          <w:lang w:val="en-US" w:eastAsia="zh-CN"/>
        </w:rPr>
        <w:t>废盐处置</w:t>
      </w:r>
      <w:r>
        <w:rPr>
          <w:rFonts w:hint="eastAsia" w:ascii="宋体" w:hAnsi="宋体" w:eastAsia="宋体" w:cs="宋体"/>
          <w:color w:val="auto"/>
          <w:sz w:val="21"/>
          <w:szCs w:val="21"/>
          <w:highlight w:val="none"/>
        </w:rPr>
        <w:t>服务费=</w:t>
      </w:r>
      <w:r>
        <w:rPr>
          <w:rFonts w:hint="eastAsia" w:ascii="宋体" w:hAnsi="宋体" w:eastAsia="宋体" w:cs="宋体"/>
          <w:color w:val="auto"/>
          <w:sz w:val="21"/>
          <w:szCs w:val="21"/>
          <w:highlight w:val="none"/>
          <w:lang w:val="en-US" w:eastAsia="zh-CN"/>
        </w:rPr>
        <w:t>结算数量×</w:t>
      </w:r>
      <w:r>
        <w:rPr>
          <w:rFonts w:hint="eastAsia" w:ascii="宋体" w:hAnsi="宋体" w:eastAsia="宋体" w:cs="宋体"/>
          <w:color w:val="auto"/>
          <w:sz w:val="21"/>
          <w:szCs w:val="21"/>
          <w:highlight w:val="none"/>
        </w:rPr>
        <w:t>不含税</w:t>
      </w:r>
      <w:r>
        <w:rPr>
          <w:rFonts w:hint="eastAsia" w:ascii="宋体" w:hAnsi="宋体" w:eastAsia="宋体" w:cs="宋体"/>
          <w:color w:val="auto"/>
          <w:sz w:val="21"/>
          <w:szCs w:val="21"/>
          <w:highlight w:val="none"/>
          <w:lang w:val="en-US" w:eastAsia="zh-CN"/>
        </w:rPr>
        <w:t>废盐处置</w:t>
      </w:r>
      <w:r>
        <w:rPr>
          <w:rFonts w:hint="eastAsia" w:ascii="宋体" w:hAnsi="宋体" w:eastAsia="宋体" w:cs="宋体"/>
          <w:color w:val="auto"/>
          <w:sz w:val="21"/>
          <w:szCs w:val="21"/>
          <w:highlight w:val="none"/>
        </w:rPr>
        <w:t>服务合同单价[单位：元/吨]。</w:t>
      </w:r>
    </w:p>
    <w:p w14:paraId="6DA1CE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firstLine="420" w:firstLineChars="200"/>
        <w:jc w:val="left"/>
        <w:textAlignment w:val="auto"/>
        <w:outlineLvl w:val="9"/>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6、结算</w:t>
      </w:r>
      <w:r>
        <w:rPr>
          <w:rFonts w:hint="eastAsia" w:ascii="宋体" w:hAnsi="宋体" w:eastAsia="宋体" w:cs="宋体"/>
          <w:color w:val="auto"/>
          <w:sz w:val="21"/>
          <w:szCs w:val="21"/>
          <w:highlight w:val="none"/>
          <w:lang w:val="en-US" w:eastAsia="zh-CN"/>
        </w:rPr>
        <w:t>数量</w:t>
      </w:r>
      <w:r>
        <w:rPr>
          <w:rFonts w:hint="eastAsia" w:ascii="宋体" w:hAnsi="宋体" w:eastAsia="宋体" w:cs="宋体"/>
          <w:color w:val="auto"/>
          <w:kern w:val="0"/>
          <w:sz w:val="21"/>
          <w:szCs w:val="21"/>
          <w:highlight w:val="none"/>
        </w:rPr>
        <w:t>以</w:t>
      </w:r>
      <w:r>
        <w:rPr>
          <w:rFonts w:hint="eastAsia" w:ascii="宋体" w:hAnsi="宋体" w:eastAsia="宋体" w:cs="宋体"/>
          <w:color w:val="auto"/>
          <w:kern w:val="0"/>
          <w:sz w:val="21"/>
          <w:szCs w:val="21"/>
          <w:highlight w:val="none"/>
          <w:lang w:eastAsia="zh-CN"/>
        </w:rPr>
        <w:t>甲方</w:t>
      </w:r>
      <w:r>
        <w:rPr>
          <w:rFonts w:hint="eastAsia" w:ascii="宋体" w:hAnsi="宋体" w:eastAsia="宋体" w:cs="宋体"/>
          <w:color w:val="auto"/>
          <w:kern w:val="0"/>
          <w:sz w:val="21"/>
          <w:szCs w:val="21"/>
          <w:highlight w:val="none"/>
          <w:lang w:val="en-US" w:eastAsia="zh-CN"/>
        </w:rPr>
        <w:t>项目内的</w:t>
      </w:r>
      <w:r>
        <w:rPr>
          <w:rFonts w:hint="eastAsia" w:ascii="宋体" w:hAnsi="宋体" w:eastAsia="宋体" w:cs="宋体"/>
          <w:color w:val="auto"/>
          <w:kern w:val="0"/>
          <w:sz w:val="21"/>
          <w:szCs w:val="21"/>
          <w:highlight w:val="none"/>
        </w:rPr>
        <w:t>地磅</w:t>
      </w:r>
      <w:r>
        <w:rPr>
          <w:rFonts w:hint="eastAsia" w:ascii="宋体" w:hAnsi="宋体" w:eastAsia="宋体" w:cs="宋体"/>
          <w:color w:val="auto"/>
          <w:kern w:val="0"/>
          <w:sz w:val="21"/>
          <w:szCs w:val="21"/>
          <w:highlight w:val="none"/>
          <w:lang w:val="en-US" w:eastAsia="zh-CN"/>
        </w:rPr>
        <w:t>称重</w:t>
      </w:r>
      <w:r>
        <w:rPr>
          <w:rFonts w:hint="eastAsia" w:ascii="宋体" w:hAnsi="宋体" w:eastAsia="宋体" w:cs="宋体"/>
          <w:color w:val="auto"/>
          <w:kern w:val="0"/>
          <w:sz w:val="21"/>
          <w:szCs w:val="21"/>
          <w:highlight w:val="none"/>
        </w:rPr>
        <w:t>为准。在</w:t>
      </w:r>
      <w:r>
        <w:rPr>
          <w:rFonts w:hint="eastAsia" w:ascii="宋体" w:hAnsi="宋体" w:eastAsia="宋体" w:cs="宋体"/>
          <w:color w:val="auto"/>
          <w:kern w:val="0"/>
          <w:sz w:val="21"/>
          <w:szCs w:val="21"/>
          <w:highlight w:val="none"/>
          <w:lang w:eastAsia="zh-CN"/>
        </w:rPr>
        <w:t>甲方</w:t>
      </w:r>
      <w:r>
        <w:rPr>
          <w:rFonts w:hint="eastAsia" w:ascii="宋体" w:hAnsi="宋体" w:eastAsia="宋体" w:cs="宋体"/>
          <w:color w:val="auto"/>
          <w:kern w:val="0"/>
          <w:sz w:val="21"/>
          <w:szCs w:val="21"/>
          <w:highlight w:val="none"/>
        </w:rPr>
        <w:t>及</w:t>
      </w:r>
      <w:r>
        <w:rPr>
          <w:rFonts w:hint="eastAsia" w:ascii="宋体" w:hAnsi="宋体" w:eastAsia="宋体" w:cs="宋体"/>
          <w:color w:val="auto"/>
          <w:kern w:val="0"/>
          <w:sz w:val="21"/>
          <w:szCs w:val="21"/>
          <w:highlight w:val="none"/>
          <w:lang w:val="en-US" w:eastAsia="zh-CN"/>
        </w:rPr>
        <w:t>乙方</w:t>
      </w:r>
      <w:r>
        <w:rPr>
          <w:rFonts w:hint="eastAsia" w:ascii="宋体" w:hAnsi="宋体" w:eastAsia="宋体" w:cs="宋体"/>
          <w:color w:val="auto"/>
          <w:kern w:val="0"/>
          <w:sz w:val="21"/>
          <w:szCs w:val="21"/>
          <w:highlight w:val="none"/>
        </w:rPr>
        <w:t>双方监督下过磅，</w:t>
      </w:r>
      <w:r>
        <w:rPr>
          <w:rFonts w:hint="eastAsia" w:ascii="宋体" w:hAnsi="宋体" w:eastAsia="宋体" w:cs="宋体"/>
          <w:color w:val="auto"/>
          <w:kern w:val="0"/>
          <w:sz w:val="21"/>
          <w:szCs w:val="21"/>
          <w:highlight w:val="none"/>
          <w:lang w:val="en-US" w:eastAsia="zh-CN"/>
        </w:rPr>
        <w:t>并由甲方监督人员现场对称重结果签字确认后才可作为计费依据</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若污泥项目内地磅因检修等原因不可用，则由乙方自行就近寻找地磅称重并提供磅单及带水印（含称重时间和地点）的称重结果照片作为计量计费依据，相关的地磅费用由乙方负责，但乙方自行就近寻找的地磅在称重前须提请甲方同意，且过磅过程同样需甲方监督人员现场签字确认，否则该地磅称重的数据不得作为计量计费依据。</w:t>
      </w:r>
    </w:p>
    <w:p w14:paraId="4A38E974">
      <w:pPr>
        <w:wordWrap/>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合同履约过程中，乙方根据本合同约定需向甲方支付违约金、赔偿金或其他应付费用的，乙方应在收到甲方书面通知后30日内，向甲方支付经双方确认的违约金、赔偿金或其他应付费用。甲方在足额收到乙方支付的上述款项且乙方满足本合同约定的其他付款条件后30日内按照本合同约定向乙方支付对应合同价款及税额；因乙方未及时足额支付前述款项导致甲方逾期付款的，甲方不构成违约，乙方也不得以此为由拒绝或迟延履行合同义务。</w:t>
      </w:r>
    </w:p>
    <w:p w14:paraId="1C62258C">
      <w:pPr>
        <w:wordWrap/>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若乙方对需支付的款项金额有异议，应在收到甲方通知后30日内与甲方协商，协商不成的可按本合同约定的争议解决方式处理，若乙方未在前述期限内书面向甲方提出异议并提供充分证据予以证明的，视为乙方认可无异议。若乙方未按时足额支付前述费用的，甲方有权直接从未付合同款项中扣除前述款项，且乙方必须按照扣除前述款项前的合同价（销售额）开具增值税专用发票，保证增值税税额符合法律规定。</w:t>
      </w:r>
    </w:p>
    <w:p w14:paraId="5D6A4A6D">
      <w:pPr>
        <w:wordWrap/>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若双方对违约事实认定、违约条款适用、应付费用金额等存在争议的，甲方有权在应付未付合同款项中暂扣甲方所主张的违约金、赔偿金对应金额（暂扣金额不超过当期应付未付款项总额，亦不超过甲方主张的违约相关费用金额），待双方就该等争议达成书面一致确认或生效裁判文书作出认定后，甲方再按照最终确定的金额办理款项结算支付；该暂扣行为不视为甲方逾期付款，甲方无需为此承担违约责任，乙方也不得因此拒绝或迟延履行合同义务。</w:t>
      </w:r>
    </w:p>
    <w:p w14:paraId="4973C534">
      <w:pPr>
        <w:wordWrap/>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支付方式：银行转账</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按本条的约定进行付款，</w:t>
      </w:r>
      <w:r>
        <w:rPr>
          <w:rFonts w:hint="eastAsia" w:ascii="宋体" w:hAnsi="宋体" w:eastAsia="宋体" w:cs="宋体"/>
          <w:color w:val="auto"/>
          <w:sz w:val="21"/>
          <w:szCs w:val="21"/>
          <w:highlight w:val="none"/>
          <w:lang w:val="en-US" w:eastAsia="zh-CN"/>
        </w:rPr>
        <w:t>但若</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未能按合同要求履约，根据合同约定</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可暂缓或延期付款的，从其约定，且不视为</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违约，</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 xml:space="preserve">不得以此为由拒绝或迟延履行合同义务。 </w:t>
      </w:r>
    </w:p>
    <w:p w14:paraId="12739A04">
      <w:pPr>
        <w:widowControl w:val="0"/>
        <w:autoSpaceDE/>
        <w:autoSpaceDN/>
        <w:adjustRightInd/>
        <w:spacing w:line="360" w:lineRule="auto"/>
        <w:ind w:firstLine="42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11、处置服务费的款项每月按实结算，乙方完成一个月的处置服务后，向甲方提供该月的称重磅单及汇总单（需甲方或其相关负责人签字确认）等本合同要求的资料后，甲方根据本合同约定确定该月废盐处置服务费，乙方按照该金额提供等额有效的增值税专用发票等请款资料，甲方在收到上述资料</w:t>
      </w:r>
      <w:r>
        <w:rPr>
          <w:rFonts w:hint="eastAsia" w:ascii="宋体" w:hAnsi="宋体" w:eastAsia="宋体" w:cs="宋体"/>
          <w:bCs w:val="0"/>
          <w:color w:val="auto"/>
          <w:sz w:val="21"/>
          <w:szCs w:val="21"/>
          <w:highlight w:val="none"/>
          <w:lang w:val="en-US" w:eastAsia="zh-CN"/>
        </w:rPr>
        <w:t>并确认无误</w:t>
      </w:r>
      <w:r>
        <w:rPr>
          <w:rFonts w:hint="eastAsia" w:ascii="宋体" w:hAnsi="宋体" w:eastAsia="宋体" w:cs="宋体"/>
          <w:color w:val="auto"/>
          <w:sz w:val="21"/>
          <w:szCs w:val="21"/>
          <w:highlight w:val="none"/>
          <w:lang w:val="en-US" w:eastAsia="zh-CN"/>
        </w:rPr>
        <w:t>后30日内向乙方支付该月</w:t>
      </w:r>
      <w:r>
        <w:rPr>
          <w:rFonts w:hint="eastAsia" w:ascii="宋体" w:hAnsi="宋体" w:eastAsia="宋体" w:cs="宋体"/>
          <w:bCs w:val="0"/>
          <w:color w:val="auto"/>
          <w:sz w:val="21"/>
          <w:szCs w:val="21"/>
          <w:highlight w:val="none"/>
          <w:lang w:val="en-US" w:eastAsia="zh-CN"/>
        </w:rPr>
        <w:t>剩余应支付</w:t>
      </w:r>
      <w:r>
        <w:rPr>
          <w:rFonts w:hint="eastAsia" w:ascii="宋体" w:hAnsi="宋体" w:eastAsia="宋体" w:cs="宋体"/>
          <w:color w:val="auto"/>
          <w:sz w:val="21"/>
          <w:szCs w:val="21"/>
          <w:highlight w:val="none"/>
          <w:lang w:val="en-US" w:eastAsia="zh-CN"/>
        </w:rPr>
        <w:t>处置服务费的100%</w:t>
      </w:r>
      <w:r>
        <w:rPr>
          <w:rFonts w:hint="eastAsia" w:ascii="宋体" w:hAnsi="宋体" w:eastAsia="宋体" w:cs="宋体"/>
          <w:color w:val="auto"/>
          <w:kern w:val="2"/>
          <w:sz w:val="21"/>
          <w:szCs w:val="21"/>
          <w:highlight w:val="none"/>
          <w:lang w:val="en-US" w:eastAsia="zh-CN" w:bidi="ar-SA"/>
        </w:rPr>
        <w:t>。</w:t>
      </w:r>
    </w:p>
    <w:p w14:paraId="6F2115C5">
      <w:pPr>
        <w:widowControl w:val="0"/>
        <w:autoSpaceDE/>
        <w:autoSpaceDN/>
        <w:adjustRightInd/>
        <w:spacing w:line="360" w:lineRule="auto"/>
        <w:ind w:firstLine="42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w:t>
      </w:r>
      <w:r>
        <w:rPr>
          <w:rFonts w:hint="eastAsia" w:ascii="宋体" w:hAnsi="宋体" w:eastAsia="宋体" w:cs="宋体"/>
          <w:color w:val="auto"/>
          <w:sz w:val="21"/>
          <w:szCs w:val="21"/>
          <w:highlight w:val="none"/>
        </w:rPr>
        <w:t>乙方逾期提供请款资料及发票或</w:t>
      </w:r>
      <w:r>
        <w:rPr>
          <w:rFonts w:hint="eastAsia" w:ascii="宋体" w:hAnsi="宋体" w:eastAsia="宋体" w:cs="宋体"/>
          <w:color w:val="auto"/>
          <w:sz w:val="21"/>
          <w:szCs w:val="21"/>
          <w:highlight w:val="none"/>
          <w:lang w:val="en-US" w:eastAsia="zh-CN"/>
        </w:rPr>
        <w:t>请款</w:t>
      </w:r>
      <w:r>
        <w:rPr>
          <w:rFonts w:hint="eastAsia" w:ascii="宋体" w:hAnsi="宋体" w:eastAsia="宋体" w:cs="宋体"/>
          <w:color w:val="auto"/>
          <w:sz w:val="21"/>
          <w:szCs w:val="21"/>
          <w:highlight w:val="none"/>
        </w:rPr>
        <w:t>资料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发票</w:t>
      </w:r>
      <w:r>
        <w:rPr>
          <w:rFonts w:hint="eastAsia" w:ascii="宋体" w:hAnsi="宋体" w:eastAsia="宋体" w:cs="宋体"/>
          <w:color w:val="auto"/>
          <w:sz w:val="21"/>
          <w:szCs w:val="21"/>
          <w:highlight w:val="none"/>
        </w:rPr>
        <w:t>不符合甲方要求的，甲方付款时间顺延，并不承担逾期付款违约责任，乙方不得以此为由拒绝或迟延履行合同义务。由于乙方提供的发票不符合税法规定，给甲方造成的损失由乙方承担赔偿责任。</w:t>
      </w:r>
    </w:p>
    <w:p w14:paraId="3913CE3B">
      <w:pPr>
        <w:widowControl w:val="0"/>
        <w:wordWrap/>
        <w:adjustRightInd/>
        <w:snapToGrid/>
        <w:spacing w:line="360" w:lineRule="auto"/>
        <w:ind w:left="0" w:leftChars="0" w:right="0" w:firstLine="420" w:firstLineChars="200"/>
        <w:jc w:val="both"/>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13、</w:t>
      </w:r>
      <w:r>
        <w:rPr>
          <w:rFonts w:hint="eastAsia" w:ascii="宋体" w:hAnsi="宋体" w:eastAsia="宋体" w:cs="宋体"/>
          <w:b w:val="0"/>
          <w:bCs/>
          <w:color w:val="auto"/>
          <w:sz w:val="21"/>
          <w:szCs w:val="21"/>
          <w:highlight w:val="none"/>
        </w:rPr>
        <w:t>结算价计算过程中产生小数均参与计算，仅结果保留两位小数</w:t>
      </w:r>
      <w:r>
        <w:rPr>
          <w:rFonts w:hint="eastAsia" w:ascii="宋体" w:hAnsi="宋体" w:eastAsia="宋体" w:cs="宋体"/>
          <w:b w:val="0"/>
          <w:bCs/>
          <w:color w:val="auto"/>
          <w:sz w:val="21"/>
          <w:szCs w:val="21"/>
          <w:highlight w:val="none"/>
          <w:lang w:eastAsia="zh-CN"/>
        </w:rPr>
        <w:t>，</w:t>
      </w:r>
      <w:r>
        <w:rPr>
          <w:rFonts w:hint="eastAsia" w:ascii="宋体" w:hAnsi="宋体" w:eastAsia="宋体" w:cs="宋体"/>
          <w:bCs/>
          <w:color w:val="auto"/>
          <w:sz w:val="21"/>
          <w:szCs w:val="21"/>
          <w:highlight w:val="none"/>
        </w:rPr>
        <w:t>小数点后第三位及第三位后面的小数均舍去</w:t>
      </w:r>
      <w:r>
        <w:rPr>
          <w:rFonts w:hint="eastAsia" w:ascii="宋体" w:hAnsi="宋体" w:eastAsia="宋体" w:cs="宋体"/>
          <w:b w:val="0"/>
          <w:bCs/>
          <w:color w:val="auto"/>
          <w:sz w:val="21"/>
          <w:szCs w:val="21"/>
          <w:highlight w:val="none"/>
        </w:rPr>
        <w:t>。</w:t>
      </w:r>
    </w:p>
    <w:p w14:paraId="461E6794">
      <w:pPr>
        <w:widowControl w:val="0"/>
        <w:wordWrap/>
        <w:adjustRightInd/>
        <w:snapToGrid/>
        <w:spacing w:line="360" w:lineRule="auto"/>
        <w:ind w:left="0" w:leftChars="0" w:right="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甲方每月在付款前对乙方的履约情况进行评价，填写《供应商履约评价表》。考核评分满分为100分，考核结果分为优秀、良好、合格、不合格四个等级，考核评分分数≥90分为优秀等级，考核评分分数＜90且≥80的为良好等级，考核评分分数＜80且≥60的为合格等级，考核评分分数＜60的为不合格等级。考核评分结果为合格时，甲方发放限期整改通知书，乙方整改完成后甲方再次组织进行复核评价，乙方逾期完成整改或整改后得分仍低于80分的，甲方从该月（发放限期整改通知书的月份）含税服务费</w:t>
      </w:r>
      <w:r>
        <w:rPr>
          <w:rFonts w:hint="eastAsia" w:ascii="宋体" w:hAnsi="宋体" w:eastAsia="宋体" w:cs="宋体"/>
          <w:color w:val="auto"/>
          <w:szCs w:val="21"/>
          <w:highlight w:val="none"/>
        </w:rPr>
        <w:t>（注：该月含税服务费=结算数量×合同单价价税合计金额）</w:t>
      </w:r>
      <w:r>
        <w:rPr>
          <w:rFonts w:hint="eastAsia" w:ascii="宋体" w:hAnsi="宋体" w:eastAsia="宋体" w:cs="宋体"/>
          <w:color w:val="auto"/>
          <w:sz w:val="21"/>
          <w:szCs w:val="21"/>
          <w:highlight w:val="none"/>
          <w:lang w:val="en-US" w:eastAsia="zh-CN"/>
        </w:rPr>
        <w:t>中扣除10%作为违约金；考核评分分数为不合格时，甲方从该月含税服务费</w:t>
      </w:r>
      <w:r>
        <w:rPr>
          <w:rFonts w:hint="eastAsia" w:ascii="宋体" w:hAnsi="宋体" w:eastAsia="宋体" w:cs="宋体"/>
          <w:color w:val="auto"/>
          <w:szCs w:val="21"/>
          <w:highlight w:val="none"/>
        </w:rPr>
        <w:t>（注：该月含税服务费=结算数量×合同单价价税合计金额）</w:t>
      </w:r>
      <w:r>
        <w:rPr>
          <w:rFonts w:hint="eastAsia" w:ascii="宋体" w:hAnsi="宋体" w:eastAsia="宋体" w:cs="宋体"/>
          <w:color w:val="auto"/>
          <w:sz w:val="21"/>
          <w:szCs w:val="21"/>
          <w:highlight w:val="none"/>
          <w:lang w:val="en-US" w:eastAsia="zh-CN"/>
        </w:rPr>
        <w:t>中扣除20%作为违约金。若乙方在合同期内累计出现3次（含）以上评价结论为不合格的，甲方有权取消乙方的服务资格并单方解除合同。</w:t>
      </w:r>
      <w:bookmarkStart w:id="396" w:name="_Toc28183"/>
    </w:p>
    <w:p w14:paraId="1D9A4671">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color w:val="auto"/>
          <w:sz w:val="21"/>
          <w:szCs w:val="21"/>
          <w:highlight w:val="none"/>
        </w:rPr>
      </w:pPr>
      <w:bookmarkStart w:id="397" w:name="_Toc1080702476"/>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七</w:t>
      </w:r>
      <w:r>
        <w:rPr>
          <w:rFonts w:hint="eastAsia" w:ascii="宋体" w:hAnsi="宋体" w:eastAsia="宋体" w:cs="宋体"/>
          <w:b/>
          <w:color w:val="auto"/>
          <w:sz w:val="21"/>
          <w:szCs w:val="21"/>
          <w:highlight w:val="none"/>
        </w:rPr>
        <w:t>条 不可抗力</w:t>
      </w:r>
      <w:bookmarkEnd w:id="396"/>
      <w:bookmarkEnd w:id="397"/>
    </w:p>
    <w:p w14:paraId="07FFBD80">
      <w:pPr>
        <w:wordWrap/>
        <w:spacing w:line="360" w:lineRule="auto"/>
        <w:ind w:left="0" w:leftChars="0" w:right="0" w:firstLine="420" w:firstLineChars="200"/>
        <w:jc w:val="left"/>
        <w:textAlignment w:val="auto"/>
        <w:outlineLvl w:val="9"/>
        <w:rPr>
          <w:rFonts w:hint="eastAsia" w:ascii="宋体" w:hAnsi="宋体" w:eastAsia="宋体" w:cs="宋体"/>
          <w:b/>
          <w:color w:val="auto"/>
          <w:sz w:val="21"/>
          <w:szCs w:val="21"/>
          <w:highlight w:val="none"/>
        </w:rPr>
      </w:pPr>
      <w:r>
        <w:rPr>
          <w:rFonts w:hint="eastAsia" w:ascii="宋体" w:hAnsi="宋体" w:eastAsia="宋体"/>
          <w:color w:val="auto"/>
          <w:kern w:val="0"/>
          <w:sz w:val="21"/>
          <w:szCs w:val="21"/>
          <w:highlight w:val="none"/>
        </w:rPr>
        <w:t>由于地震、台风、水灾、战争以及其他不能预见并且对其发生和后果不能防止或避免的不可抗力事故，致使直接影响本合同的履行或不能按约定的条件履行时，甲乙双方互不承担责任。但遇有上述不可抗力事故的一方，应立即将事故情况以电话、传真或其他有效方式通知对方，并应在15个工作日内，提供事故详情及合同不能履行、或者部分不能履行、或者需要延期履行的理由的有效证明文件。如因为遭受不可抗力一方迟延通知而给对方造成损失的，该方应当赔偿由于通知迟延而给对方造成的损失。同时，遭受不可抗力的一方应采取一切必要的措施减少损失，否则应就扩大的损失承担责任。按照事故对履行合同影响的程度，由各方协商决定是否解除本合同，或者部分免除履行合同的责任，或者延期履行合同</w:t>
      </w:r>
      <w:r>
        <w:rPr>
          <w:rFonts w:hint="eastAsia" w:ascii="宋体" w:hAnsi="宋体" w:eastAsia="宋体" w:cs="宋体"/>
          <w:b w:val="0"/>
          <w:bCs w:val="0"/>
          <w:color w:val="auto"/>
          <w:sz w:val="21"/>
          <w:szCs w:val="21"/>
          <w:highlight w:val="none"/>
        </w:rPr>
        <w:t>。</w:t>
      </w:r>
    </w:p>
    <w:p w14:paraId="49F01F58">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color w:val="auto"/>
          <w:sz w:val="21"/>
          <w:szCs w:val="21"/>
          <w:highlight w:val="none"/>
        </w:rPr>
      </w:pPr>
      <w:bookmarkStart w:id="398" w:name="_Toc21297"/>
      <w:bookmarkStart w:id="399" w:name="_Toc1340077305"/>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八</w:t>
      </w:r>
      <w:r>
        <w:rPr>
          <w:rFonts w:hint="eastAsia" w:ascii="宋体" w:hAnsi="宋体" w:eastAsia="宋体" w:cs="宋体"/>
          <w:b/>
          <w:color w:val="auto"/>
          <w:sz w:val="21"/>
          <w:szCs w:val="21"/>
          <w:highlight w:val="none"/>
        </w:rPr>
        <w:t>条 合同争议的解决办法</w:t>
      </w:r>
      <w:bookmarkEnd w:id="398"/>
      <w:bookmarkEnd w:id="399"/>
    </w:p>
    <w:p w14:paraId="31F78E80">
      <w:pPr>
        <w:wordWrap/>
        <w:spacing w:line="360" w:lineRule="auto"/>
        <w:ind w:left="0" w:leftChars="0" w:right="0" w:firstLine="411" w:firstLineChars="196"/>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双方在履约中发生争执和分歧，双方应通过友好协商解决，如不能通过友好协商解决的，任何一方均可向甲方住所地有管辖权的人民法院提起诉讼解决。</w:t>
      </w:r>
    </w:p>
    <w:p w14:paraId="21E67733">
      <w:pPr>
        <w:spacing w:line="360" w:lineRule="auto"/>
        <w:ind w:firstLine="420" w:firstLineChars="200"/>
        <w:rPr>
          <w:rFonts w:hint="eastAsia"/>
          <w:color w:val="auto"/>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本合同中的甲方因追究乙方违约责任所产生的所有费用由乙方承担（包括但不限于诉讼费、财产保全费、担保费、公证费、评估费、鉴定费、律师费、差旅费、向第三人支付的赔偿款/违约金/费用、向政府部门支付的罚款等）</w:t>
      </w:r>
      <w:r>
        <w:rPr>
          <w:rFonts w:hint="eastAsia" w:ascii="宋体" w:hAnsi="宋体" w:eastAsia="宋体" w:cs="宋体"/>
          <w:color w:val="auto"/>
          <w:kern w:val="2"/>
          <w:sz w:val="21"/>
          <w:szCs w:val="21"/>
          <w:highlight w:val="none"/>
        </w:rPr>
        <w:t>。</w:t>
      </w:r>
      <w:bookmarkStart w:id="400" w:name="_Toc14724"/>
    </w:p>
    <w:p w14:paraId="6DA3F219">
      <w:pPr>
        <w:widowControl w:val="0"/>
        <w:wordWrap/>
        <w:adjustRightInd/>
        <w:snapToGrid/>
        <w:spacing w:line="360" w:lineRule="auto"/>
        <w:ind w:right="0" w:firstLine="422" w:firstLineChars="200"/>
        <w:jc w:val="both"/>
        <w:textAlignment w:val="auto"/>
        <w:outlineLvl w:val="2"/>
        <w:rPr>
          <w:rFonts w:hint="eastAsia" w:ascii="宋体" w:hAnsi="宋体" w:eastAsia="宋体" w:cs="宋体"/>
          <w:b/>
          <w:color w:val="auto"/>
          <w:sz w:val="21"/>
          <w:szCs w:val="21"/>
          <w:highlight w:val="none"/>
        </w:rPr>
      </w:pPr>
      <w:bookmarkStart w:id="401" w:name="_Toc7136641"/>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九</w:t>
      </w:r>
      <w:r>
        <w:rPr>
          <w:rFonts w:hint="eastAsia" w:ascii="宋体" w:hAnsi="宋体" w:eastAsia="宋体" w:cs="宋体"/>
          <w:b/>
          <w:color w:val="auto"/>
          <w:sz w:val="21"/>
          <w:szCs w:val="21"/>
          <w:highlight w:val="none"/>
        </w:rPr>
        <w:t>条 保密条款</w:t>
      </w:r>
      <w:bookmarkEnd w:id="400"/>
      <w:bookmarkEnd w:id="401"/>
    </w:p>
    <w:p w14:paraId="40058C37">
      <w:pPr>
        <w:wordWrap/>
        <w:spacing w:line="360" w:lineRule="auto"/>
        <w:ind w:left="0" w:leftChars="0" w:right="0" w:firstLine="411" w:firstLineChars="196"/>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双方在危险废物处理过程中所知悉的技术秘密以及商业秘密有义务进行保密，非因法律法规另有规定、监管部门另有要求或履行本合同项需要，任何一方不得向任何第三方泄漏。如有违反，违约方应承担相应的违约责任。</w:t>
      </w:r>
    </w:p>
    <w:p w14:paraId="2AEA2EC8">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color w:val="auto"/>
          <w:sz w:val="21"/>
          <w:szCs w:val="21"/>
          <w:highlight w:val="none"/>
        </w:rPr>
      </w:pPr>
      <w:bookmarkStart w:id="402" w:name="_Toc15891"/>
      <w:bookmarkStart w:id="403" w:name="_Toc2004098052"/>
      <w:r>
        <w:rPr>
          <w:rFonts w:hint="eastAsia" w:ascii="宋体" w:hAnsi="宋体" w:eastAsia="宋体" w:cs="宋体"/>
          <w:b/>
          <w:color w:val="auto"/>
          <w:sz w:val="21"/>
          <w:szCs w:val="21"/>
          <w:highlight w:val="none"/>
        </w:rPr>
        <w:t>第十条 违约责任</w:t>
      </w:r>
      <w:bookmarkEnd w:id="402"/>
      <w:bookmarkEnd w:id="403"/>
    </w:p>
    <w:p w14:paraId="66E056D1">
      <w:pPr>
        <w:keepNext w:val="0"/>
        <w:keepLines w:val="0"/>
        <w:numPr>
          <w:ilvl w:val="0"/>
          <w:numId w:val="0"/>
        </w:numPr>
        <w:kinsoku/>
        <w:overflowPunct/>
        <w:topLinePunct w:val="0"/>
        <w:bidi w:val="0"/>
        <w:spacing w:line="360" w:lineRule="auto"/>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rPr>
        <w:t>乙方应当根据本合同约定及甲方要求保质保量完成合同范围内危险废物的处理与处置服务</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不得借故拒绝接受委托，否则将承担违约赔偿责任。</w:t>
      </w:r>
    </w:p>
    <w:p w14:paraId="7414204B">
      <w:pPr>
        <w:keepNext w:val="0"/>
        <w:keepLines w:val="0"/>
        <w:pageBreakBefore w:val="0"/>
        <w:numPr>
          <w:ilvl w:val="0"/>
          <w:numId w:val="0"/>
        </w:numPr>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乙方在接到甲方通知后，若无法接受甲方预约按计划处理</w:t>
      </w:r>
      <w:r>
        <w:rPr>
          <w:rFonts w:hint="eastAsia" w:ascii="宋体" w:hAnsi="宋体" w:eastAsia="宋体" w:cs="宋体"/>
          <w:color w:val="auto"/>
          <w:sz w:val="21"/>
          <w:szCs w:val="21"/>
          <w:highlight w:val="none"/>
          <w:lang w:eastAsia="zh-CN"/>
        </w:rPr>
        <w:t>废物</w:t>
      </w:r>
      <w:r>
        <w:rPr>
          <w:rFonts w:hint="eastAsia" w:ascii="宋体" w:hAnsi="宋体" w:eastAsia="宋体" w:cs="宋体"/>
          <w:color w:val="auto"/>
          <w:sz w:val="21"/>
          <w:szCs w:val="21"/>
          <w:highlight w:val="none"/>
        </w:rPr>
        <w:t>的，应在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日内书面告知甲方，</w:t>
      </w:r>
      <w:r>
        <w:rPr>
          <w:rFonts w:hint="eastAsia" w:ascii="宋体" w:hAnsi="宋体" w:eastAsia="宋体" w:cs="宋体"/>
          <w:color w:val="auto"/>
          <w:sz w:val="21"/>
          <w:szCs w:val="21"/>
          <w:highlight w:val="none"/>
          <w:lang w:val="en-US" w:eastAsia="zh-CN"/>
        </w:rPr>
        <w:t>但若甲方作出预约的时间距离乙方上门处理废物的时间短于1日的，乙方应至少在甲方通知后4小时内书面告知甲方，且需经甲方书面同意，同时甲方保留追究乙方逾期处置服务违约责任，</w:t>
      </w:r>
      <w:r>
        <w:rPr>
          <w:rFonts w:hint="eastAsia" w:ascii="宋体" w:hAnsi="宋体" w:eastAsia="宋体" w:cs="宋体"/>
          <w:color w:val="auto"/>
          <w:kern w:val="2"/>
          <w:sz w:val="21"/>
          <w:szCs w:val="21"/>
          <w:highlight w:val="none"/>
        </w:rPr>
        <w:t>若非甲方原因，乙方逾期提供相关</w:t>
      </w:r>
      <w:r>
        <w:rPr>
          <w:rFonts w:hint="eastAsia" w:ascii="宋体" w:hAnsi="宋体" w:eastAsia="宋体" w:cs="宋体"/>
          <w:color w:val="auto"/>
          <w:kern w:val="2"/>
          <w:sz w:val="21"/>
          <w:szCs w:val="21"/>
          <w:highlight w:val="none"/>
          <w:lang w:eastAsia="zh-CN"/>
        </w:rPr>
        <w:t>废物</w:t>
      </w:r>
      <w:r>
        <w:rPr>
          <w:rFonts w:hint="eastAsia" w:ascii="宋体" w:hAnsi="宋体" w:eastAsia="宋体" w:cs="宋体"/>
          <w:color w:val="auto"/>
          <w:kern w:val="2"/>
          <w:sz w:val="21"/>
          <w:szCs w:val="21"/>
          <w:highlight w:val="none"/>
        </w:rPr>
        <w:t>的处理与处置服务的，每逾期一日，甲方有权要求乙方承担</w:t>
      </w:r>
      <w:r>
        <w:rPr>
          <w:rFonts w:hint="eastAsia" w:ascii="宋体" w:hAnsi="宋体" w:eastAsia="宋体" w:cs="宋体"/>
          <w:b w:val="0"/>
          <w:bCs/>
          <w:color w:val="auto"/>
          <w:sz w:val="21"/>
          <w:szCs w:val="21"/>
          <w:highlight w:val="none"/>
          <w:lang w:val="en-US" w:eastAsia="zh-CN"/>
        </w:rPr>
        <w:t>1,000元的违约金</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前述逾期违约金累计总额最高不超过10,000元</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若逾期超过【10】日的，甲方有权单方解除本合同，</w:t>
      </w:r>
      <w:r>
        <w:rPr>
          <w:rFonts w:hint="eastAsia" w:ascii="宋体" w:hAnsi="宋体" w:eastAsia="宋体" w:cs="宋体"/>
          <w:color w:val="auto"/>
          <w:kern w:val="2"/>
          <w:sz w:val="21"/>
          <w:szCs w:val="21"/>
          <w:highlight w:val="none"/>
        </w:rPr>
        <w:t>对于已受托但未在甲方</w:t>
      </w:r>
      <w:r>
        <w:rPr>
          <w:rFonts w:hint="eastAsia" w:ascii="宋体" w:hAnsi="宋体" w:eastAsia="宋体" w:cs="宋体"/>
          <w:color w:val="auto"/>
          <w:kern w:val="2"/>
          <w:sz w:val="21"/>
          <w:szCs w:val="21"/>
          <w:highlight w:val="none"/>
          <w:lang w:val="en-US" w:eastAsia="zh-CN"/>
        </w:rPr>
        <w:t>要求</w:t>
      </w:r>
      <w:r>
        <w:rPr>
          <w:rFonts w:hint="eastAsia" w:ascii="宋体" w:hAnsi="宋体" w:eastAsia="宋体" w:cs="宋体"/>
          <w:color w:val="auto"/>
          <w:kern w:val="2"/>
          <w:sz w:val="21"/>
          <w:szCs w:val="21"/>
          <w:highlight w:val="none"/>
        </w:rPr>
        <w:t>时间内处理的</w:t>
      </w:r>
      <w:r>
        <w:rPr>
          <w:rFonts w:hint="eastAsia" w:ascii="宋体" w:hAnsi="宋体" w:eastAsia="宋体" w:cs="宋体"/>
          <w:color w:val="auto"/>
          <w:kern w:val="2"/>
          <w:sz w:val="21"/>
          <w:szCs w:val="21"/>
          <w:highlight w:val="none"/>
          <w:lang w:eastAsia="zh-CN"/>
        </w:rPr>
        <w:t>固体废物</w:t>
      </w:r>
      <w:r>
        <w:rPr>
          <w:rFonts w:hint="eastAsia" w:ascii="宋体" w:hAnsi="宋体" w:eastAsia="宋体" w:cs="宋体"/>
          <w:color w:val="auto"/>
          <w:kern w:val="2"/>
          <w:sz w:val="21"/>
          <w:szCs w:val="21"/>
          <w:highlight w:val="none"/>
        </w:rPr>
        <w:t>，甲方有权</w:t>
      </w:r>
      <w:r>
        <w:rPr>
          <w:rFonts w:hint="eastAsia" w:ascii="宋体" w:hAnsi="宋体" w:eastAsia="宋体" w:cs="宋体"/>
          <w:color w:val="auto"/>
          <w:kern w:val="2"/>
          <w:sz w:val="21"/>
          <w:szCs w:val="21"/>
          <w:highlight w:val="none"/>
          <w:lang w:val="en-US" w:eastAsia="zh-CN"/>
        </w:rPr>
        <w:t>自行</w:t>
      </w:r>
      <w:r>
        <w:rPr>
          <w:rFonts w:hint="eastAsia" w:ascii="宋体" w:hAnsi="宋体" w:eastAsia="宋体" w:cs="宋体"/>
          <w:color w:val="auto"/>
          <w:kern w:val="2"/>
          <w:sz w:val="21"/>
          <w:szCs w:val="21"/>
          <w:highlight w:val="none"/>
        </w:rPr>
        <w:t>委托第三方进行处理，给甲方造成损失</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包括但不限于委托第三方服务产生的费用差价、重新采购的费用等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2"/>
          <w:sz w:val="21"/>
          <w:szCs w:val="21"/>
          <w:highlight w:val="none"/>
        </w:rPr>
        <w:t>的，乙方须承担赔偿责任并一次性向甲方支付违约金</w:t>
      </w:r>
      <w:r>
        <w:rPr>
          <w:rFonts w:hint="eastAsia" w:ascii="宋体" w:hAnsi="宋体" w:eastAsia="宋体" w:cs="宋体"/>
          <w:color w:val="auto"/>
          <w:kern w:val="2"/>
          <w:sz w:val="21"/>
          <w:szCs w:val="21"/>
          <w:highlight w:val="none"/>
          <w:lang w:val="en-US" w:eastAsia="zh-CN"/>
        </w:rPr>
        <w:t>50,000</w:t>
      </w:r>
      <w:r>
        <w:rPr>
          <w:rFonts w:hint="eastAsia" w:ascii="宋体" w:hAnsi="宋体" w:eastAsia="宋体" w:cs="宋体"/>
          <w:color w:val="auto"/>
          <w:kern w:val="2"/>
          <w:sz w:val="21"/>
          <w:szCs w:val="21"/>
          <w:highlight w:val="none"/>
        </w:rPr>
        <w:t>元</w:t>
      </w:r>
      <w:r>
        <w:rPr>
          <w:rFonts w:hint="eastAsia" w:ascii="宋体" w:hAnsi="宋体" w:eastAsia="宋体" w:cs="宋体"/>
          <w:color w:val="auto"/>
          <w:kern w:val="2"/>
          <w:sz w:val="21"/>
          <w:szCs w:val="21"/>
          <w:highlight w:val="none"/>
          <w:lang w:val="en-US" w:eastAsia="zh-CN"/>
        </w:rPr>
        <w:t>。</w:t>
      </w:r>
    </w:p>
    <w:p w14:paraId="797F2BEB">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rPr>
        <w:t>、乙方未对所列废物进行</w:t>
      </w:r>
      <w:r>
        <w:rPr>
          <w:rFonts w:hint="eastAsia" w:ascii="宋体" w:hAnsi="宋体" w:eastAsia="宋体" w:cs="宋体"/>
          <w:color w:val="auto"/>
          <w:kern w:val="2"/>
          <w:sz w:val="21"/>
          <w:szCs w:val="21"/>
          <w:highlight w:val="none"/>
          <w:lang w:val="en-US" w:eastAsia="zh-CN"/>
        </w:rPr>
        <w:t>合法、合规、符合约定的</w:t>
      </w:r>
      <w:r>
        <w:rPr>
          <w:rFonts w:hint="eastAsia" w:ascii="宋体" w:hAnsi="宋体" w:eastAsia="宋体" w:cs="宋体"/>
          <w:color w:val="auto"/>
          <w:kern w:val="2"/>
          <w:sz w:val="21"/>
          <w:szCs w:val="21"/>
          <w:highlight w:val="none"/>
        </w:rPr>
        <w:t>处置或在处置过程中造成二次污染，视同乙方违约，甲方有权要求乙方承担</w:t>
      </w:r>
      <w:r>
        <w:rPr>
          <w:rFonts w:hint="eastAsia" w:ascii="宋体" w:hAnsi="宋体" w:eastAsia="宋体" w:cs="宋体"/>
          <w:b w:val="0"/>
          <w:bCs/>
          <w:color w:val="auto"/>
          <w:sz w:val="21"/>
          <w:szCs w:val="21"/>
          <w:highlight w:val="none"/>
          <w:lang w:val="en-US" w:eastAsia="zh-CN"/>
        </w:rPr>
        <w:t>10,000元/次的违约金，</w:t>
      </w:r>
      <w:r>
        <w:rPr>
          <w:rFonts w:hint="eastAsia" w:ascii="宋体" w:hAnsi="宋体" w:eastAsia="宋体" w:cs="宋体"/>
          <w:color w:val="auto"/>
          <w:kern w:val="2"/>
          <w:sz w:val="21"/>
          <w:szCs w:val="21"/>
          <w:highlight w:val="none"/>
          <w:lang w:val="en-US" w:eastAsia="zh-CN"/>
        </w:rPr>
        <w:t>前述逾期违约金累计总额最高不超过50,000元，累计发生【2】次或情节严重影响甲方正常生产的，甲方有权单方解除本合同，</w:t>
      </w:r>
      <w:r>
        <w:rPr>
          <w:rFonts w:hint="eastAsia" w:ascii="宋体" w:hAnsi="宋体" w:eastAsia="宋体" w:cs="宋体"/>
          <w:color w:val="auto"/>
          <w:kern w:val="2"/>
          <w:sz w:val="21"/>
          <w:szCs w:val="21"/>
          <w:highlight w:val="none"/>
        </w:rPr>
        <w:t>由此产生的相关法律责任由乙方承担</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若因此造成甲方损失</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包括但不限于重新委托第三方服务产生的费用、重新采购的费用、第三方追偿的损失等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2"/>
          <w:sz w:val="21"/>
          <w:szCs w:val="21"/>
          <w:highlight w:val="none"/>
          <w:lang w:val="en-US" w:eastAsia="zh-CN"/>
        </w:rPr>
        <w:t>的，甲方有权向乙方追偿</w:t>
      </w:r>
      <w:r>
        <w:rPr>
          <w:rFonts w:hint="eastAsia" w:ascii="宋体" w:hAnsi="宋体" w:eastAsia="宋体" w:cs="宋体"/>
          <w:color w:val="auto"/>
          <w:kern w:val="2"/>
          <w:sz w:val="21"/>
          <w:szCs w:val="21"/>
          <w:highlight w:val="none"/>
        </w:rPr>
        <w:t>。</w:t>
      </w:r>
    </w:p>
    <w:p w14:paraId="1CD20823">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、乙方未按约定履行</w:t>
      </w:r>
      <w:r>
        <w:rPr>
          <w:rFonts w:hint="eastAsia" w:ascii="宋体" w:hAnsi="宋体" w:eastAsia="宋体" w:cs="宋体"/>
          <w:color w:val="auto"/>
          <w:kern w:val="2"/>
          <w:sz w:val="21"/>
          <w:szCs w:val="21"/>
          <w:highlight w:val="none"/>
          <w:lang w:val="en-US" w:eastAsia="zh-CN"/>
        </w:rPr>
        <w:t>本合同约定</w:t>
      </w:r>
      <w:r>
        <w:rPr>
          <w:rFonts w:hint="eastAsia" w:ascii="宋体" w:hAnsi="宋体" w:eastAsia="宋体" w:cs="宋体"/>
          <w:color w:val="auto"/>
          <w:kern w:val="2"/>
          <w:sz w:val="21"/>
          <w:szCs w:val="21"/>
          <w:highlight w:val="none"/>
        </w:rPr>
        <w:t>义务的，甲方有权要求</w:t>
      </w:r>
      <w:r>
        <w:rPr>
          <w:rFonts w:hint="eastAsia" w:ascii="宋体" w:hAnsi="宋体" w:eastAsia="宋体" w:cs="宋体"/>
          <w:color w:val="auto"/>
          <w:kern w:val="2"/>
          <w:sz w:val="21"/>
          <w:szCs w:val="21"/>
          <w:highlight w:val="none"/>
          <w:lang w:val="en-US" w:eastAsia="zh-CN"/>
        </w:rPr>
        <w:t>乙方</w:t>
      </w:r>
      <w:r>
        <w:rPr>
          <w:rFonts w:hint="eastAsia" w:ascii="宋体" w:hAnsi="宋体" w:eastAsia="宋体" w:cs="宋体"/>
          <w:color w:val="auto"/>
          <w:kern w:val="2"/>
          <w:sz w:val="21"/>
          <w:szCs w:val="21"/>
          <w:highlight w:val="none"/>
        </w:rPr>
        <w:t>限期改正</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费用由乙方承担</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除本合同另有约定外，</w:t>
      </w:r>
      <w:r>
        <w:rPr>
          <w:rFonts w:hint="eastAsia" w:ascii="宋体" w:hAnsi="宋体" w:eastAsia="宋体" w:cs="宋体"/>
          <w:color w:val="auto"/>
          <w:kern w:val="2"/>
          <w:sz w:val="21"/>
          <w:szCs w:val="21"/>
          <w:highlight w:val="none"/>
        </w:rPr>
        <w:t>如</w:t>
      </w:r>
      <w:r>
        <w:rPr>
          <w:rFonts w:hint="eastAsia" w:ascii="宋体" w:hAnsi="宋体" w:eastAsia="宋体" w:cs="宋体"/>
          <w:color w:val="auto"/>
          <w:kern w:val="2"/>
          <w:sz w:val="21"/>
          <w:szCs w:val="21"/>
          <w:highlight w:val="none"/>
          <w:lang w:val="en-US" w:eastAsia="zh-CN"/>
        </w:rPr>
        <w:t>乙方</w:t>
      </w:r>
      <w:r>
        <w:rPr>
          <w:rFonts w:hint="eastAsia" w:ascii="宋体" w:hAnsi="宋体" w:eastAsia="宋体" w:cs="宋体"/>
          <w:color w:val="auto"/>
          <w:kern w:val="2"/>
          <w:sz w:val="21"/>
          <w:szCs w:val="21"/>
          <w:highlight w:val="none"/>
        </w:rPr>
        <w:t>逾期仍未</w:t>
      </w:r>
      <w:r>
        <w:rPr>
          <w:rFonts w:hint="eastAsia" w:ascii="宋体" w:hAnsi="宋体" w:eastAsia="宋体" w:cs="宋体"/>
          <w:color w:val="auto"/>
          <w:kern w:val="2"/>
          <w:sz w:val="21"/>
          <w:szCs w:val="21"/>
          <w:highlight w:val="none"/>
          <w:lang w:val="en-US" w:eastAsia="zh-CN"/>
        </w:rPr>
        <w:t>按要求完成</w:t>
      </w:r>
      <w:r>
        <w:rPr>
          <w:rFonts w:hint="eastAsia" w:ascii="宋体" w:hAnsi="宋体" w:eastAsia="宋体" w:cs="宋体"/>
          <w:color w:val="auto"/>
          <w:kern w:val="2"/>
          <w:sz w:val="21"/>
          <w:szCs w:val="21"/>
          <w:highlight w:val="none"/>
        </w:rPr>
        <w:t>改正的，</w:t>
      </w:r>
      <w:r>
        <w:rPr>
          <w:rFonts w:hint="eastAsia" w:ascii="宋体" w:hAnsi="宋体" w:eastAsia="宋体" w:cs="宋体"/>
          <w:color w:val="auto"/>
          <w:kern w:val="2"/>
          <w:sz w:val="21"/>
          <w:szCs w:val="21"/>
          <w:highlight w:val="none"/>
          <w:lang w:val="en-US" w:eastAsia="zh-CN"/>
        </w:rPr>
        <w:t>甲方</w:t>
      </w:r>
      <w:r>
        <w:rPr>
          <w:rFonts w:hint="eastAsia" w:ascii="宋体" w:hAnsi="宋体" w:eastAsia="宋体" w:cs="宋体"/>
          <w:color w:val="auto"/>
          <w:kern w:val="2"/>
          <w:sz w:val="21"/>
          <w:szCs w:val="21"/>
          <w:highlight w:val="none"/>
        </w:rPr>
        <w:t>有权要求乙方支付</w:t>
      </w:r>
      <w:r>
        <w:rPr>
          <w:rFonts w:hint="eastAsia" w:ascii="宋体" w:hAnsi="宋体" w:eastAsia="宋体" w:cs="宋体"/>
          <w:color w:val="auto"/>
          <w:kern w:val="2"/>
          <w:sz w:val="21"/>
          <w:szCs w:val="21"/>
          <w:highlight w:val="none"/>
          <w:lang w:val="en-US" w:eastAsia="zh-CN"/>
        </w:rPr>
        <w:t>10,000元</w:t>
      </w:r>
      <w:r>
        <w:rPr>
          <w:rFonts w:hint="eastAsia" w:ascii="宋体" w:hAnsi="宋体" w:eastAsia="宋体" w:cs="宋体"/>
          <w:color w:val="auto"/>
          <w:kern w:val="2"/>
          <w:sz w:val="21"/>
          <w:szCs w:val="21"/>
          <w:highlight w:val="none"/>
        </w:rPr>
        <w:t>的违约金，同时甲方有权自行委托第三方提供服务，所产生的费用</w:t>
      </w:r>
      <w:r>
        <w:rPr>
          <w:rFonts w:hint="eastAsia" w:ascii="宋体" w:hAnsi="宋体" w:eastAsia="宋体" w:cs="宋体"/>
          <w:color w:val="auto"/>
          <w:kern w:val="2"/>
          <w:sz w:val="21"/>
          <w:szCs w:val="21"/>
          <w:highlight w:val="none"/>
          <w:lang w:val="en-US" w:eastAsia="zh-CN"/>
        </w:rPr>
        <w:t>由乙方承担，</w:t>
      </w:r>
      <w:r>
        <w:rPr>
          <w:rFonts w:hint="eastAsia" w:ascii="宋体" w:hAnsi="宋体" w:eastAsia="宋体" w:cs="宋体"/>
          <w:color w:val="auto"/>
          <w:kern w:val="2"/>
          <w:sz w:val="21"/>
          <w:szCs w:val="21"/>
          <w:highlight w:val="none"/>
        </w:rPr>
        <w:t>甲方有权从未付款项中扣除，如不足扣除的，乙方还应另行向甲方赔偿。</w:t>
      </w:r>
      <w:r>
        <w:rPr>
          <w:rFonts w:hint="eastAsia" w:ascii="宋体" w:hAnsi="宋体" w:eastAsia="宋体" w:cs="宋体"/>
          <w:color w:val="auto"/>
          <w:kern w:val="2"/>
          <w:sz w:val="21"/>
          <w:szCs w:val="21"/>
          <w:highlight w:val="none"/>
          <w:lang w:val="en-US" w:eastAsia="zh-CN"/>
        </w:rPr>
        <w:t>若乙方拒绝整改，或逾期整改的次数累计达【3】次，或逾期整改的天数累计达【10】日，或违约的次数累计达【3】次，甲方有权单方解除本合同，乙方还应赔偿甲方全部损失。</w:t>
      </w:r>
    </w:p>
    <w:p w14:paraId="0D6702AF">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除合同有约定外，乙方违反合同约定将合同项下乙方的权利义务全部转让给第三方，或未经甲方书面同意将部分权利义务转让给第三方的，甲方有权要求乙方支付10,000元的违约金，并有权单方解除本合同，若由此给甲方造成损失的，乙方还应当承担全部赔偿责任。如因乙方将乙方本合同项下全部或部分权利义务转让给第三方导致安全事故或人员损害事故的，造成甲方其他损失或甲方被认定承担赔偿责任的，甲方有权向乙方追偿并要求乙方另行承担10,000元的违约金。</w:t>
      </w:r>
    </w:p>
    <w:p w14:paraId="1CA1A58E">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如因乙方原因，引发法律纠纷案件，并导致甲方被牵涉其中，成为需承担法律责任的诉讼参与方（无论是作为第三人或被告），或因法律纠纷对甲方造成社会负面影响的，则上述情形将被视为乙方违约，甲方即有权要求乙方向甲方</w:t>
      </w:r>
      <w:r>
        <w:rPr>
          <w:rFonts w:hint="eastAsia" w:ascii="宋体" w:hAnsi="宋体" w:eastAsia="宋体" w:cs="宋体"/>
          <w:color w:val="auto"/>
          <w:sz w:val="21"/>
          <w:szCs w:val="21"/>
          <w:highlight w:val="none"/>
          <w:lang w:eastAsia="zh-CN"/>
        </w:rPr>
        <w:t>一次性支付违约金</w:t>
      </w:r>
      <w:r>
        <w:rPr>
          <w:rFonts w:hint="eastAsia" w:ascii="宋体" w:hAnsi="宋体" w:eastAsia="宋体" w:cs="宋体"/>
          <w:color w:val="auto"/>
          <w:sz w:val="21"/>
          <w:szCs w:val="21"/>
          <w:highlight w:val="none"/>
          <w:lang w:val="en-US" w:eastAsia="zh-CN"/>
        </w:rPr>
        <w:t>50,000</w:t>
      </w:r>
      <w:r>
        <w:rPr>
          <w:rFonts w:hint="eastAsia" w:ascii="宋体" w:hAnsi="宋体" w:eastAsia="宋体" w:cs="宋体"/>
          <w:color w:val="auto"/>
          <w:sz w:val="21"/>
          <w:szCs w:val="21"/>
          <w:highlight w:val="none"/>
          <w:lang w:eastAsia="zh-CN"/>
        </w:rPr>
        <w:t>元</w:t>
      </w:r>
      <w:r>
        <w:rPr>
          <w:rFonts w:hint="eastAsia" w:ascii="宋体" w:hAnsi="宋体" w:eastAsia="宋体" w:cs="宋体"/>
          <w:color w:val="auto"/>
          <w:kern w:val="2"/>
          <w:sz w:val="21"/>
          <w:szCs w:val="21"/>
          <w:highlight w:val="none"/>
        </w:rPr>
        <w:t>；如造成甲方经济损失的（包括但不限于律师费、诉讼费、保全费、执行费、差旅费等损失），由乙方赔偿所有损失，并将相关情况报相关行政主管部门。甲方收到法院参与诉讼通知之日视为乙方构成违约，甲方即有权要求乙方承担前述违约金、损失赔偿及情况报送主管部门的违约责任，即使甲方最终未被法院判决承担任何责任，乙方也无权要求甲方免除前述违约责任。</w:t>
      </w:r>
    </w:p>
    <w:p w14:paraId="6633DCF1">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val="en-US" w:eastAsia="zh-CN"/>
        </w:rPr>
        <w:t>7、</w:t>
      </w:r>
      <w:r>
        <w:rPr>
          <w:rFonts w:hint="eastAsia" w:ascii="宋体" w:hAnsi="宋体" w:eastAsia="宋体" w:cs="宋体"/>
          <w:color w:val="auto"/>
          <w:sz w:val="21"/>
          <w:szCs w:val="21"/>
          <w:highlight w:val="none"/>
          <w:lang w:eastAsia="zh-CN"/>
        </w:rPr>
        <w:t>乙方违反本合同约定或未按</w:t>
      </w:r>
      <w:r>
        <w:rPr>
          <w:rFonts w:hint="eastAsia" w:ascii="宋体" w:hAnsi="宋体" w:eastAsia="宋体" w:cs="宋体"/>
          <w:color w:val="auto"/>
          <w:sz w:val="21"/>
          <w:szCs w:val="21"/>
          <w:highlight w:val="none"/>
          <w:lang w:val="en-US" w:eastAsia="zh-CN"/>
        </w:rPr>
        <w:t>响应文件</w:t>
      </w:r>
      <w:r>
        <w:rPr>
          <w:rFonts w:hint="eastAsia" w:ascii="宋体" w:hAnsi="宋体" w:eastAsia="宋体" w:cs="宋体"/>
          <w:color w:val="auto"/>
          <w:sz w:val="21"/>
          <w:szCs w:val="21"/>
          <w:highlight w:val="none"/>
          <w:lang w:eastAsia="zh-CN"/>
        </w:rPr>
        <w:t>中承诺的事项履约，合同对违约责任有特别约定的，适用该特别约定；无特别约定的，甲方有权要求乙方向甲方支付违约金</w:t>
      </w:r>
      <w:r>
        <w:rPr>
          <w:rFonts w:hint="eastAsia" w:ascii="宋体" w:hAnsi="宋体" w:eastAsia="宋体" w:cs="宋体"/>
          <w:color w:val="auto"/>
          <w:sz w:val="21"/>
          <w:szCs w:val="21"/>
          <w:highlight w:val="none"/>
          <w:lang w:val="en-US" w:eastAsia="zh-CN"/>
        </w:rPr>
        <w:t>2,000</w:t>
      </w:r>
      <w:r>
        <w:rPr>
          <w:rFonts w:hint="eastAsia" w:ascii="宋体" w:hAnsi="宋体" w:eastAsia="宋体" w:cs="宋体"/>
          <w:color w:val="auto"/>
          <w:sz w:val="21"/>
          <w:szCs w:val="21"/>
          <w:highlight w:val="none"/>
          <w:lang w:eastAsia="zh-CN"/>
        </w:rPr>
        <w:t>元。违约金不足以弥补甲方因此所受损失的，乙方应予以补足</w:t>
      </w:r>
      <w:r>
        <w:rPr>
          <w:rFonts w:hint="eastAsia" w:ascii="宋体" w:hAnsi="宋体" w:eastAsia="宋体" w:cs="宋体"/>
          <w:color w:val="auto"/>
          <w:kern w:val="2"/>
          <w:sz w:val="21"/>
          <w:szCs w:val="21"/>
          <w:highlight w:val="none"/>
          <w:lang w:eastAsia="zh-CN"/>
        </w:rPr>
        <w:t>。</w:t>
      </w:r>
    </w:p>
    <w:p w14:paraId="1518D8BF">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rPr>
        <w:t>、合同双方</w:t>
      </w:r>
      <w:r>
        <w:rPr>
          <w:rFonts w:hint="eastAsia" w:ascii="宋体" w:hAnsi="宋体" w:eastAsia="宋体" w:cs="宋体"/>
          <w:color w:val="auto"/>
          <w:kern w:val="2"/>
          <w:sz w:val="21"/>
          <w:szCs w:val="21"/>
          <w:highlight w:val="none"/>
          <w:lang w:val="en-US" w:eastAsia="zh-CN"/>
        </w:rPr>
        <w:t>违约</w:t>
      </w:r>
      <w:r>
        <w:rPr>
          <w:rFonts w:hint="eastAsia" w:ascii="宋体" w:hAnsi="宋体" w:eastAsia="宋体" w:cs="宋体"/>
          <w:color w:val="auto"/>
          <w:kern w:val="2"/>
          <w:sz w:val="21"/>
          <w:szCs w:val="21"/>
          <w:highlight w:val="none"/>
        </w:rPr>
        <w:t>无正当理由撤销或者解除合同，造成另一方损失的，应赔偿因此而造成的实际损失。</w:t>
      </w:r>
    </w:p>
    <w:p w14:paraId="430AFF77">
      <w:pPr>
        <w:keepNext w:val="0"/>
        <w:keepLines w:val="0"/>
        <w:pageBreakBefore w:val="0"/>
        <w:kinsoku/>
        <w:wordWrap/>
        <w:overflowPunct/>
        <w:topLinePunct w:val="0"/>
        <w:bidi w:val="0"/>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9、若发现乙方提供虚假证明文件、虚假报价文件等弄虚作假行为的，或乙方未取得国家、行业主管部门规定必须的许可资质或批复的，或乙方的资质被吊销、失效的，甲方有权单方解除本合同，并要求乙方支付违约金【10,000】元，甲方不予支付任何费用给乙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且乙方应退回甲方已支付的全部费用</w:t>
      </w:r>
      <w:r>
        <w:rPr>
          <w:rFonts w:hint="eastAsia" w:ascii="宋体" w:hAnsi="宋体" w:eastAsia="宋体" w:cs="宋体"/>
          <w:color w:val="auto"/>
          <w:kern w:val="2"/>
          <w:sz w:val="21"/>
          <w:szCs w:val="21"/>
          <w:highlight w:val="none"/>
          <w:lang w:val="en-US" w:eastAsia="zh-CN"/>
        </w:rPr>
        <w:t>。若给甲方造成损失的，乙方须承担赔偿责任。</w:t>
      </w:r>
    </w:p>
    <w:p w14:paraId="522193AB">
      <w:pPr>
        <w:widowControl w:val="0"/>
        <w:wordWrap/>
        <w:adjustRightInd/>
        <w:snapToGrid/>
        <w:spacing w:line="360" w:lineRule="auto"/>
        <w:ind w:left="0" w:leftChars="0" w:right="0" w:firstLine="422" w:firstLineChars="200"/>
        <w:jc w:val="both"/>
        <w:textAlignment w:val="auto"/>
        <w:outlineLvl w:val="2"/>
        <w:rPr>
          <w:rFonts w:hint="eastAsia" w:ascii="宋体" w:hAnsi="宋体" w:eastAsia="宋体" w:cs="宋体"/>
          <w:b/>
          <w:bCs/>
          <w:color w:val="auto"/>
          <w:sz w:val="21"/>
          <w:szCs w:val="21"/>
          <w:highlight w:val="none"/>
          <w:lang w:eastAsia="zh-CN"/>
        </w:rPr>
      </w:pPr>
      <w:bookmarkStart w:id="404" w:name="_Toc24709"/>
      <w:bookmarkStart w:id="405" w:name="_Toc1535205351"/>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十一</w:t>
      </w:r>
      <w:r>
        <w:rPr>
          <w:rFonts w:hint="eastAsia" w:ascii="宋体" w:hAnsi="宋体" w:eastAsia="宋体" w:cs="宋体"/>
          <w:b/>
          <w:color w:val="auto"/>
          <w:sz w:val="21"/>
          <w:szCs w:val="21"/>
          <w:highlight w:val="none"/>
        </w:rPr>
        <w:t>条 合同其他事宜</w:t>
      </w:r>
      <w:bookmarkEnd w:id="404"/>
      <w:bookmarkEnd w:id="405"/>
      <w:r>
        <w:rPr>
          <w:rFonts w:hint="eastAsia" w:ascii="宋体" w:hAnsi="宋体" w:eastAsia="宋体" w:cs="宋体"/>
          <w:b/>
          <w:bCs/>
          <w:color w:val="auto"/>
          <w:sz w:val="21"/>
          <w:szCs w:val="21"/>
          <w:highlight w:val="none"/>
          <w:lang w:val="en-US" w:eastAsia="zh-CN"/>
        </w:rPr>
        <w:t xml:space="preserve">   </w:t>
      </w:r>
    </w:p>
    <w:p w14:paraId="6823B2C0">
      <w:pPr>
        <w:keepNext w:val="0"/>
        <w:keepLines w:val="0"/>
        <w:pageBreakBefore w:val="0"/>
        <w:kinsoku/>
        <w:wordWrap/>
        <w:overflowPunct/>
        <w:topLinePunct w:val="0"/>
        <w:bidi w:val="0"/>
        <w:snapToGrid/>
        <w:spacing w:line="360" w:lineRule="auto"/>
        <w:ind w:left="0" w:leftChars="0" w:right="0" w:firstLine="403"/>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b w:val="0"/>
          <w:bCs/>
          <w:color w:val="auto"/>
          <w:kern w:val="0"/>
          <w:sz w:val="21"/>
          <w:szCs w:val="21"/>
          <w:highlight w:val="none"/>
        </w:rPr>
        <w:t>乙方确认：本合同中列明的乙方“地址”为有效的收件地址，甲方对乙方的相关通知、函件等可通过特快专递方式送达至该地址。甲方通过特快专递方式向乙方“地址”发出相关通知、函件等3日后，即视为有效送达。乙方更换地址的，应该在</w:t>
      </w:r>
      <w:r>
        <w:rPr>
          <w:rFonts w:hint="eastAsia" w:ascii="宋体" w:hAnsi="宋体" w:eastAsia="宋体" w:cs="宋体"/>
          <w:b w:val="0"/>
          <w:bCs/>
          <w:color w:val="auto"/>
          <w:kern w:val="0"/>
          <w:sz w:val="21"/>
          <w:szCs w:val="21"/>
          <w:highlight w:val="none"/>
          <w:lang w:val="en-US" w:eastAsia="zh-CN"/>
        </w:rPr>
        <w:t>更换前</w:t>
      </w:r>
      <w:r>
        <w:rPr>
          <w:rFonts w:hint="eastAsia" w:ascii="宋体" w:hAnsi="宋体" w:eastAsia="宋体" w:cs="宋体"/>
          <w:b w:val="0"/>
          <w:bCs/>
          <w:color w:val="auto"/>
          <w:kern w:val="0"/>
          <w:sz w:val="21"/>
          <w:szCs w:val="21"/>
          <w:highlight w:val="none"/>
        </w:rPr>
        <w:t>3日</w:t>
      </w:r>
      <w:r>
        <w:rPr>
          <w:rFonts w:hint="eastAsia" w:ascii="宋体" w:hAnsi="宋体" w:eastAsia="宋体" w:cs="宋体"/>
          <w:b w:val="0"/>
          <w:bCs/>
          <w:color w:val="auto"/>
          <w:kern w:val="0"/>
          <w:sz w:val="21"/>
          <w:szCs w:val="21"/>
          <w:highlight w:val="none"/>
          <w:lang w:val="en-US" w:eastAsia="zh-CN"/>
        </w:rPr>
        <w:t>前</w:t>
      </w:r>
      <w:r>
        <w:rPr>
          <w:rFonts w:hint="eastAsia" w:ascii="宋体" w:hAnsi="宋体" w:eastAsia="宋体" w:cs="宋体"/>
          <w:b w:val="0"/>
          <w:bCs/>
          <w:color w:val="auto"/>
          <w:kern w:val="0"/>
          <w:sz w:val="21"/>
          <w:szCs w:val="21"/>
          <w:highlight w:val="none"/>
        </w:rPr>
        <w:t>书面告知甲方，否则甲方仍按合同中列明的乙方“地址”发出相关通知、函件等并视为有效送达。</w:t>
      </w:r>
    </w:p>
    <w:p w14:paraId="603CB39F">
      <w:pPr>
        <w:keepNext w:val="0"/>
        <w:keepLines w:val="0"/>
        <w:pageBreakBefore w:val="0"/>
        <w:kinsoku/>
        <w:wordWrap/>
        <w:overflowPunct/>
        <w:topLinePunct w:val="0"/>
        <w:bidi w:val="0"/>
        <w:snapToGrid/>
        <w:spacing w:line="360" w:lineRule="auto"/>
        <w:ind w:left="0" w:leftChars="0" w:right="0" w:firstLine="403"/>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lang w:val="en-US" w:eastAsia="zh-CN"/>
        </w:rPr>
        <w:t>2、</w:t>
      </w:r>
      <w:r>
        <w:rPr>
          <w:rFonts w:hint="eastAsia" w:ascii="宋体" w:hAnsi="宋体" w:eastAsia="宋体" w:cs="宋体"/>
          <w:bCs/>
          <w:color w:val="auto"/>
          <w:sz w:val="21"/>
          <w:szCs w:val="21"/>
          <w:highlight w:val="none"/>
        </w:rPr>
        <w:t>乙方在签订本合同时，须与甲方签订《安全生产管理协议》。乙方人员在甲方的安全由乙方自行负责。在进行卸货等工作时，必须严格遵守相关劳动安全规定，并按要求佩戴相关安全劳动防护用具。乙方须做好安全防护措施，合同履行过程中出现的安全事故由乙方自行承担。乙方人员在甲方场所必须遵守甲方的一切规章制度和安全条例，服从甲方的监督。乙方在提供本合同项下所有服务的过程中，如因违反甲方相关规章制度、安全条例，或因不服从甲方监督而发生安全事故的，其结果与责任均由乙方负责，甲方无须承担任何结果与责任</w:t>
      </w:r>
      <w:r>
        <w:rPr>
          <w:rFonts w:hint="eastAsia" w:hAnsi="宋体" w:cs="宋体"/>
          <w:bCs/>
          <w:color w:val="auto"/>
          <w:sz w:val="21"/>
          <w:szCs w:val="21"/>
          <w:highlight w:val="none"/>
          <w:lang w:eastAsia="zh-CN"/>
        </w:rPr>
        <w:t>。</w:t>
      </w:r>
    </w:p>
    <w:p w14:paraId="1C56EA22">
      <w:pPr>
        <w:wordWrap/>
        <w:spacing w:line="360" w:lineRule="auto"/>
        <w:ind w:left="0" w:leftChars="0" w:right="0" w:firstLine="422" w:firstLineChars="201"/>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bCs/>
          <w:color w:val="auto"/>
          <w:kern w:val="0"/>
          <w:sz w:val="21"/>
          <w:szCs w:val="21"/>
          <w:highlight w:val="none"/>
          <w:lang w:val="en-US" w:eastAsia="zh-CN"/>
        </w:rPr>
        <w:t>3、</w:t>
      </w:r>
      <w:r>
        <w:rPr>
          <w:rFonts w:hint="eastAsia" w:ascii="宋体" w:hAnsi="宋体" w:eastAsia="宋体" w:cs="宋体"/>
          <w:b w:val="0"/>
          <w:bCs/>
          <w:color w:val="auto"/>
          <w:kern w:val="0"/>
          <w:sz w:val="21"/>
          <w:szCs w:val="21"/>
          <w:highlight w:val="none"/>
        </w:rPr>
        <w:t>本合同</w:t>
      </w:r>
      <w:r>
        <w:rPr>
          <w:rFonts w:hint="eastAsia" w:ascii="宋体" w:hAnsi="宋体" w:eastAsia="宋体" w:cs="宋体"/>
          <w:color w:val="auto"/>
          <w:kern w:val="2"/>
          <w:sz w:val="21"/>
          <w:szCs w:val="21"/>
          <w:highlight w:val="none"/>
        </w:rPr>
        <w:t>一式</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伍</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份，甲方执</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叁</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份，乙方执</w:t>
      </w:r>
      <w:r>
        <w:rPr>
          <w:rFonts w:hint="eastAsia" w:ascii="宋体" w:hAnsi="宋体" w:eastAsia="宋体" w:cs="宋体"/>
          <w:color w:val="auto"/>
          <w:kern w:val="2"/>
          <w:sz w:val="21"/>
          <w:szCs w:val="21"/>
          <w:highlight w:val="none"/>
          <w:u w:val="single"/>
        </w:rPr>
        <w:t xml:space="preserve"> 壹 </w:t>
      </w:r>
      <w:r>
        <w:rPr>
          <w:rFonts w:hint="eastAsia" w:ascii="宋体" w:hAnsi="宋体" w:eastAsia="宋体" w:cs="宋体"/>
          <w:color w:val="auto"/>
          <w:kern w:val="2"/>
          <w:sz w:val="21"/>
          <w:szCs w:val="21"/>
          <w:highlight w:val="none"/>
        </w:rPr>
        <w:t>份，</w:t>
      </w:r>
      <w:r>
        <w:rPr>
          <w:rFonts w:hint="eastAsia" w:ascii="宋体" w:hAnsi="宋体" w:eastAsia="宋体" w:cs="宋体"/>
          <w:color w:val="auto"/>
          <w:kern w:val="2"/>
          <w:sz w:val="21"/>
          <w:szCs w:val="21"/>
          <w:highlight w:val="none"/>
          <w:lang w:eastAsia="zh-CN"/>
        </w:rPr>
        <w:t>采购</w:t>
      </w:r>
      <w:r>
        <w:rPr>
          <w:rFonts w:hint="eastAsia" w:ascii="宋体" w:hAnsi="宋体" w:eastAsia="宋体" w:cs="宋体"/>
          <w:color w:val="auto"/>
          <w:kern w:val="2"/>
          <w:sz w:val="21"/>
          <w:szCs w:val="21"/>
          <w:highlight w:val="none"/>
        </w:rPr>
        <w:t>代理机构执</w:t>
      </w:r>
      <w:r>
        <w:rPr>
          <w:rFonts w:hint="eastAsia" w:hAnsi="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壹</w:t>
      </w:r>
      <w:r>
        <w:rPr>
          <w:rFonts w:hint="eastAsia" w:hAnsi="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rPr>
        <w:t>份</w:t>
      </w:r>
      <w:r>
        <w:rPr>
          <w:rFonts w:hint="eastAsia" w:ascii="宋体" w:hAnsi="宋体" w:eastAsia="宋体" w:cs="宋体"/>
          <w:b w:val="0"/>
          <w:bCs/>
          <w:color w:val="auto"/>
          <w:kern w:val="0"/>
          <w:sz w:val="21"/>
          <w:szCs w:val="21"/>
          <w:highlight w:val="none"/>
        </w:rPr>
        <w:t>，每份均具有同等法律效力。</w:t>
      </w:r>
    </w:p>
    <w:p w14:paraId="4B33D386">
      <w:pPr>
        <w:wordWrap/>
        <w:spacing w:line="360" w:lineRule="auto"/>
        <w:ind w:left="0" w:leftChars="0" w:right="0" w:firstLine="422" w:firstLineChars="201"/>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本合同经</w:t>
      </w:r>
      <w:r>
        <w:rPr>
          <w:rFonts w:hint="eastAsia" w:ascii="宋体" w:hAnsi="宋体" w:eastAsia="宋体" w:cs="宋体"/>
          <w:color w:val="auto"/>
          <w:sz w:val="21"/>
          <w:szCs w:val="21"/>
          <w:highlight w:val="none"/>
          <w:lang w:eastAsia="zh-CN"/>
        </w:rPr>
        <w:t>甲乙</w:t>
      </w:r>
      <w:r>
        <w:rPr>
          <w:rFonts w:hint="eastAsia" w:ascii="宋体" w:hAnsi="宋体" w:eastAsia="宋体" w:cs="宋体"/>
          <w:color w:val="auto"/>
          <w:sz w:val="21"/>
          <w:szCs w:val="21"/>
          <w:highlight w:val="none"/>
        </w:rPr>
        <w:t>双方盖章、并由双方法定代表人或委托代理人签字后生效。</w:t>
      </w:r>
    </w:p>
    <w:p w14:paraId="4FC0B0C0">
      <w:pPr>
        <w:wordWrap/>
        <w:spacing w:line="360" w:lineRule="auto"/>
        <w:ind w:left="0" w:leftChars="0" w:right="0" w:firstLine="422" w:firstLineChars="201"/>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合同履约过程中，若发现同一种货物或服务存在有选择性的报价或不是固定的报价的,或存在多种理解方式的情况发生时，按最有</w:t>
      </w:r>
      <w:r>
        <w:rPr>
          <w:rFonts w:hint="eastAsia" w:ascii="宋体" w:hAnsi="宋体" w:eastAsia="宋体" w:cs="宋体"/>
          <w:color w:val="auto"/>
          <w:sz w:val="21"/>
          <w:szCs w:val="21"/>
          <w:highlight w:val="none"/>
          <w:lang w:eastAsia="zh-CN"/>
        </w:rPr>
        <w:t>利</w:t>
      </w:r>
      <w:r>
        <w:rPr>
          <w:rFonts w:hint="eastAsia" w:ascii="宋体" w:hAnsi="宋体" w:eastAsia="宋体" w:cs="宋体"/>
          <w:color w:val="auto"/>
          <w:sz w:val="21"/>
          <w:szCs w:val="21"/>
          <w:highlight w:val="none"/>
        </w:rPr>
        <w:t>甲方的方式解释。本合同附件是本合同不可分割内容，与本合同同时生效，同具法律效力。合同条款与附件、</w:t>
      </w:r>
      <w:r>
        <w:rPr>
          <w:rFonts w:hint="eastAsia" w:ascii="宋体" w:hAnsi="宋体" w:eastAsia="宋体" w:cs="宋体"/>
          <w:color w:val="auto"/>
          <w:sz w:val="21"/>
          <w:szCs w:val="21"/>
          <w:highlight w:val="none"/>
          <w:lang w:eastAsia="zh-CN"/>
        </w:rPr>
        <w:t>询比文件</w:t>
      </w:r>
      <w:r>
        <w:rPr>
          <w:rFonts w:hint="eastAsia" w:ascii="宋体" w:hAnsi="宋体" w:eastAsia="宋体" w:cs="宋体"/>
          <w:color w:val="auto"/>
          <w:sz w:val="21"/>
          <w:szCs w:val="21"/>
          <w:highlight w:val="none"/>
        </w:rPr>
        <w:t>、报价文件等其他文件不一致的，以有利于甲方的约定/解释为准。</w:t>
      </w:r>
    </w:p>
    <w:p w14:paraId="4AB30033">
      <w:pPr>
        <w:pStyle w:val="44"/>
        <w:wordWrap/>
        <w:spacing w:line="360" w:lineRule="auto"/>
        <w:ind w:firstLine="422" w:firstLineChars="201"/>
        <w:textAlignment w:val="auto"/>
        <w:rPr>
          <w:rFonts w:hint="eastAsia" w:ascii="宋体" w:hAnsi="宋体" w:eastAsia="宋体" w:cs="宋体"/>
          <w:color w:val="auto"/>
          <w:sz w:val="21"/>
          <w:szCs w:val="21"/>
          <w:highlight w:val="none"/>
          <w:lang w:val="en-US" w:eastAsia="zh-CN"/>
        </w:rPr>
      </w:pPr>
    </w:p>
    <w:p w14:paraId="2984484F">
      <w:pPr>
        <w:pStyle w:val="44"/>
        <w:wordWrap/>
        <w:spacing w:line="360" w:lineRule="auto"/>
        <w:ind w:left="0" w:leftChars="0" w:right="0" w:firstLine="422" w:firstLineChars="201"/>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一、用户需求书；二、廉洁协议书；三、安全生产管理协议。</w:t>
      </w:r>
    </w:p>
    <w:p w14:paraId="6821924E">
      <w:pPr>
        <w:pStyle w:val="44"/>
        <w:wordWrap/>
        <w:spacing w:line="360" w:lineRule="auto"/>
        <w:ind w:left="0" w:leftChars="0" w:right="0" w:firstLine="0" w:firstLineChars="0"/>
        <w:jc w:val="both"/>
        <w:textAlignment w:val="auto"/>
        <w:outlineLvl w:val="9"/>
        <w:rPr>
          <w:rFonts w:hint="eastAsia"/>
          <w:color w:val="auto"/>
          <w:highlight w:val="none"/>
          <w:lang w:val="en-US" w:eastAsia="zh-CN"/>
        </w:rPr>
      </w:pPr>
    </w:p>
    <w:p w14:paraId="639DB8B8">
      <w:pPr>
        <w:pStyle w:val="44"/>
        <w:wordWrap/>
        <w:spacing w:line="360" w:lineRule="auto"/>
        <w:ind w:left="0" w:leftChars="0" w:right="0" w:firstLine="422" w:firstLineChars="201"/>
        <w:jc w:val="both"/>
        <w:textAlignment w:val="auto"/>
        <w:outlineLvl w:val="9"/>
        <w:rPr>
          <w:rFonts w:hint="eastAsia"/>
          <w:color w:val="auto"/>
          <w:highlight w:val="none"/>
          <w:lang w:val="en-US" w:eastAsia="zh-CN"/>
        </w:rPr>
      </w:pPr>
    </w:p>
    <w:tbl>
      <w:tblPr>
        <w:tblStyle w:val="37"/>
        <w:tblW w:w="102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02"/>
        <w:gridCol w:w="5102"/>
      </w:tblGrid>
      <w:tr w14:paraId="49BD0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2" w:type="dxa"/>
            <w:tcBorders>
              <w:tl2br w:val="nil"/>
              <w:tr2bl w:val="nil"/>
            </w:tcBorders>
            <w:tcMar>
              <w:top w:w="0" w:type="dxa"/>
              <w:left w:w="57" w:type="dxa"/>
              <w:bottom w:w="0" w:type="dxa"/>
              <w:right w:w="57" w:type="dxa"/>
            </w:tcMar>
          </w:tcPr>
          <w:p w14:paraId="3CF8E131">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甲方（盖章）：东莞市尚源环能科技有限公司</w:t>
            </w:r>
          </w:p>
          <w:p w14:paraId="5D1AFC49">
            <w:pPr>
              <w:spacing w:line="360" w:lineRule="auto"/>
              <w:jc w:val="both"/>
              <w:rPr>
                <w:rFonts w:hint="eastAsia" w:ascii="宋体" w:hAnsi="宋体" w:eastAsia="宋体" w:cs="宋体"/>
                <w:color w:val="auto"/>
                <w:sz w:val="21"/>
                <w:szCs w:val="21"/>
                <w:highlight w:val="none"/>
              </w:rPr>
            </w:pPr>
          </w:p>
        </w:tc>
        <w:tc>
          <w:tcPr>
            <w:tcW w:w="5102" w:type="dxa"/>
            <w:tcBorders>
              <w:tl2br w:val="nil"/>
              <w:tr2bl w:val="nil"/>
            </w:tcBorders>
            <w:tcMar>
              <w:top w:w="0" w:type="dxa"/>
              <w:left w:w="57" w:type="dxa"/>
              <w:bottom w:w="0" w:type="dxa"/>
              <w:right w:w="57" w:type="dxa"/>
            </w:tcMar>
          </w:tcPr>
          <w:p w14:paraId="4642C30B">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乙方（盖章）：</w:t>
            </w:r>
          </w:p>
        </w:tc>
      </w:tr>
      <w:tr w14:paraId="72948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2" w:type="dxa"/>
            <w:tcBorders>
              <w:tl2br w:val="nil"/>
              <w:tr2bl w:val="nil"/>
            </w:tcBorders>
            <w:tcMar>
              <w:top w:w="0" w:type="dxa"/>
              <w:left w:w="57" w:type="dxa"/>
              <w:bottom w:w="0" w:type="dxa"/>
              <w:right w:w="57" w:type="dxa"/>
            </w:tcMar>
          </w:tcPr>
          <w:p w14:paraId="155E6862">
            <w:pPr>
              <w:spacing w:line="360" w:lineRule="auto"/>
              <w:jc w:val="both"/>
              <w:rPr>
                <w:rFonts w:hint="eastAsia" w:ascii="宋体" w:hAnsi="宋体" w:eastAsia="宋体" w:cs="宋体"/>
                <w:color w:val="auto"/>
                <w:sz w:val="21"/>
                <w:szCs w:val="21"/>
                <w:highlight w:val="none"/>
              </w:rPr>
            </w:pPr>
          </w:p>
          <w:p w14:paraId="678E1472">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c>
          <w:tcPr>
            <w:tcW w:w="5102" w:type="dxa"/>
            <w:tcBorders>
              <w:tl2br w:val="nil"/>
              <w:tr2bl w:val="nil"/>
            </w:tcBorders>
            <w:tcMar>
              <w:top w:w="0" w:type="dxa"/>
              <w:left w:w="57" w:type="dxa"/>
              <w:bottom w:w="0" w:type="dxa"/>
              <w:right w:w="57" w:type="dxa"/>
            </w:tcMar>
          </w:tcPr>
          <w:p w14:paraId="73774174">
            <w:pPr>
              <w:spacing w:line="360" w:lineRule="auto"/>
              <w:jc w:val="both"/>
              <w:rPr>
                <w:rFonts w:hint="eastAsia" w:ascii="宋体" w:hAnsi="宋体" w:eastAsia="宋体" w:cs="宋体"/>
                <w:color w:val="auto"/>
                <w:sz w:val="21"/>
                <w:szCs w:val="21"/>
                <w:highlight w:val="none"/>
              </w:rPr>
            </w:pPr>
          </w:p>
          <w:p w14:paraId="489B5A4D">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r>
      <w:tr w14:paraId="39C6D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2" w:type="dxa"/>
            <w:tcBorders>
              <w:tl2br w:val="nil"/>
              <w:tr2bl w:val="nil"/>
            </w:tcBorders>
            <w:tcMar>
              <w:top w:w="0" w:type="dxa"/>
              <w:left w:w="57" w:type="dxa"/>
              <w:bottom w:w="0" w:type="dxa"/>
              <w:right w:w="57" w:type="dxa"/>
            </w:tcMar>
          </w:tcPr>
          <w:p w14:paraId="090B80F6">
            <w:pPr>
              <w:spacing w:line="360" w:lineRule="auto"/>
              <w:jc w:val="both"/>
              <w:rPr>
                <w:rFonts w:hint="eastAsia" w:ascii="宋体" w:hAnsi="宋体" w:eastAsia="宋体" w:cs="宋体"/>
                <w:color w:val="auto"/>
                <w:sz w:val="21"/>
                <w:szCs w:val="21"/>
                <w:highlight w:val="none"/>
              </w:rPr>
            </w:pPr>
          </w:p>
          <w:p w14:paraId="13DAF786">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地址：广东省东莞市沙田镇立沙中路</w:t>
            </w:r>
          </w:p>
        </w:tc>
        <w:tc>
          <w:tcPr>
            <w:tcW w:w="5102" w:type="dxa"/>
            <w:tcBorders>
              <w:tl2br w:val="nil"/>
              <w:tr2bl w:val="nil"/>
            </w:tcBorders>
            <w:tcMar>
              <w:top w:w="0" w:type="dxa"/>
              <w:left w:w="57" w:type="dxa"/>
              <w:bottom w:w="0" w:type="dxa"/>
              <w:right w:w="57" w:type="dxa"/>
            </w:tcMar>
            <w:vAlign w:val="top"/>
          </w:tcPr>
          <w:p w14:paraId="351CF26B">
            <w:pPr>
              <w:spacing w:line="360" w:lineRule="auto"/>
              <w:ind w:left="720" w:hanging="630" w:hangingChars="300"/>
              <w:jc w:val="both"/>
              <w:rPr>
                <w:rFonts w:hint="eastAsia" w:ascii="宋体" w:hAnsi="宋体" w:eastAsia="宋体" w:cs="宋体"/>
                <w:color w:val="auto"/>
                <w:sz w:val="21"/>
                <w:szCs w:val="21"/>
                <w:highlight w:val="none"/>
              </w:rPr>
            </w:pPr>
          </w:p>
          <w:p w14:paraId="72728B31">
            <w:pPr>
              <w:spacing w:line="360" w:lineRule="auto"/>
              <w:ind w:left="630" w:leftChars="0" w:hanging="630" w:hangingChars="3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tc>
      </w:tr>
      <w:tr w14:paraId="62B21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2" w:type="dxa"/>
            <w:tcBorders>
              <w:tl2br w:val="nil"/>
              <w:tr2bl w:val="nil"/>
            </w:tcBorders>
            <w:tcMar>
              <w:top w:w="0" w:type="dxa"/>
              <w:left w:w="57" w:type="dxa"/>
              <w:bottom w:w="0" w:type="dxa"/>
              <w:right w:w="57" w:type="dxa"/>
            </w:tcMar>
          </w:tcPr>
          <w:p w14:paraId="5233EDB6">
            <w:pPr>
              <w:spacing w:line="360" w:lineRule="auto"/>
              <w:jc w:val="both"/>
              <w:rPr>
                <w:rFonts w:hint="eastAsia" w:ascii="宋体" w:hAnsi="宋体" w:eastAsia="宋体" w:cs="宋体"/>
                <w:color w:val="auto"/>
                <w:sz w:val="21"/>
                <w:szCs w:val="21"/>
                <w:highlight w:val="none"/>
              </w:rPr>
            </w:pPr>
          </w:p>
        </w:tc>
        <w:tc>
          <w:tcPr>
            <w:tcW w:w="5102" w:type="dxa"/>
            <w:tcBorders>
              <w:tl2br w:val="nil"/>
              <w:tr2bl w:val="nil"/>
            </w:tcBorders>
            <w:tcMar>
              <w:top w:w="0" w:type="dxa"/>
              <w:left w:w="57" w:type="dxa"/>
              <w:bottom w:w="0" w:type="dxa"/>
              <w:right w:w="57" w:type="dxa"/>
            </w:tcMar>
            <w:vAlign w:val="top"/>
          </w:tcPr>
          <w:p w14:paraId="5CB1BA20">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r>
      <w:tr w14:paraId="107C9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2" w:type="dxa"/>
            <w:tcBorders>
              <w:tl2br w:val="nil"/>
              <w:tr2bl w:val="nil"/>
            </w:tcBorders>
            <w:tcMar>
              <w:top w:w="0" w:type="dxa"/>
              <w:left w:w="57" w:type="dxa"/>
              <w:bottom w:w="0" w:type="dxa"/>
              <w:right w:w="57" w:type="dxa"/>
            </w:tcMar>
          </w:tcPr>
          <w:p w14:paraId="3975C8F3">
            <w:pPr>
              <w:spacing w:line="360" w:lineRule="auto"/>
              <w:jc w:val="both"/>
              <w:rPr>
                <w:rFonts w:hint="eastAsia" w:ascii="宋体" w:hAnsi="宋体" w:eastAsia="宋体" w:cs="宋体"/>
                <w:color w:val="auto"/>
                <w:sz w:val="21"/>
                <w:szCs w:val="21"/>
                <w:highlight w:val="none"/>
              </w:rPr>
            </w:pPr>
          </w:p>
        </w:tc>
        <w:tc>
          <w:tcPr>
            <w:tcW w:w="5102" w:type="dxa"/>
            <w:tcBorders>
              <w:tl2br w:val="nil"/>
              <w:tr2bl w:val="nil"/>
            </w:tcBorders>
            <w:tcMar>
              <w:top w:w="0" w:type="dxa"/>
              <w:left w:w="57" w:type="dxa"/>
              <w:bottom w:w="0" w:type="dxa"/>
              <w:right w:w="57" w:type="dxa"/>
            </w:tcMar>
            <w:vAlign w:val="top"/>
          </w:tcPr>
          <w:p w14:paraId="35E4F7EF">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开户</w:t>
            </w:r>
            <w:r>
              <w:rPr>
                <w:rFonts w:hint="eastAsia" w:ascii="宋体" w:hAnsi="宋体" w:eastAsia="宋体" w:cs="宋体"/>
                <w:color w:val="auto"/>
                <w:sz w:val="21"/>
                <w:szCs w:val="21"/>
                <w:highlight w:val="none"/>
              </w:rPr>
              <w:t>名称：</w:t>
            </w:r>
          </w:p>
        </w:tc>
      </w:tr>
      <w:tr w14:paraId="00FE4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2" w:type="dxa"/>
            <w:tcBorders>
              <w:tl2br w:val="nil"/>
              <w:tr2bl w:val="nil"/>
            </w:tcBorders>
            <w:tcMar>
              <w:top w:w="0" w:type="dxa"/>
              <w:left w:w="57" w:type="dxa"/>
              <w:bottom w:w="0" w:type="dxa"/>
              <w:right w:w="57" w:type="dxa"/>
            </w:tcMar>
          </w:tcPr>
          <w:p w14:paraId="359BC51F">
            <w:pPr>
              <w:spacing w:line="360" w:lineRule="auto"/>
              <w:jc w:val="both"/>
              <w:rPr>
                <w:rFonts w:hint="eastAsia" w:ascii="宋体" w:hAnsi="宋体" w:eastAsia="宋体" w:cs="宋体"/>
                <w:color w:val="auto"/>
                <w:sz w:val="21"/>
                <w:szCs w:val="21"/>
                <w:highlight w:val="none"/>
              </w:rPr>
            </w:pPr>
          </w:p>
        </w:tc>
        <w:tc>
          <w:tcPr>
            <w:tcW w:w="5102" w:type="dxa"/>
            <w:tcBorders>
              <w:tl2br w:val="nil"/>
              <w:tr2bl w:val="nil"/>
            </w:tcBorders>
            <w:tcMar>
              <w:top w:w="0" w:type="dxa"/>
              <w:left w:w="57" w:type="dxa"/>
              <w:bottom w:w="0" w:type="dxa"/>
              <w:right w:w="57" w:type="dxa"/>
            </w:tcMar>
            <w:vAlign w:val="top"/>
          </w:tcPr>
          <w:p w14:paraId="7DD6662C">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r>
      <w:tr w14:paraId="3B572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2" w:type="dxa"/>
            <w:tcBorders>
              <w:tl2br w:val="nil"/>
              <w:tr2bl w:val="nil"/>
            </w:tcBorders>
            <w:tcMar>
              <w:top w:w="0" w:type="dxa"/>
              <w:left w:w="57" w:type="dxa"/>
              <w:bottom w:w="0" w:type="dxa"/>
              <w:right w:w="57" w:type="dxa"/>
            </w:tcMar>
          </w:tcPr>
          <w:p w14:paraId="4DCEAC67">
            <w:pPr>
              <w:spacing w:line="360" w:lineRule="auto"/>
              <w:jc w:val="both"/>
              <w:rPr>
                <w:rFonts w:hint="eastAsia" w:ascii="宋体" w:hAnsi="宋体" w:eastAsia="宋体" w:cs="宋体"/>
                <w:color w:val="auto"/>
                <w:sz w:val="21"/>
                <w:szCs w:val="21"/>
                <w:highlight w:val="none"/>
              </w:rPr>
            </w:pPr>
          </w:p>
        </w:tc>
        <w:tc>
          <w:tcPr>
            <w:tcW w:w="5102" w:type="dxa"/>
            <w:tcBorders>
              <w:tl2br w:val="nil"/>
              <w:tr2bl w:val="nil"/>
            </w:tcBorders>
            <w:tcMar>
              <w:top w:w="0" w:type="dxa"/>
              <w:left w:w="57" w:type="dxa"/>
              <w:bottom w:w="0" w:type="dxa"/>
              <w:right w:w="57" w:type="dxa"/>
            </w:tcMar>
            <w:vAlign w:val="top"/>
          </w:tcPr>
          <w:p w14:paraId="49FEEDBE">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银行账号：</w:t>
            </w:r>
          </w:p>
        </w:tc>
      </w:tr>
      <w:tr w14:paraId="06421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2" w:type="dxa"/>
            <w:tcBorders>
              <w:tl2br w:val="nil"/>
              <w:tr2bl w:val="nil"/>
            </w:tcBorders>
            <w:tcMar>
              <w:top w:w="0" w:type="dxa"/>
              <w:left w:w="57" w:type="dxa"/>
              <w:bottom w:w="0" w:type="dxa"/>
              <w:right w:w="57" w:type="dxa"/>
            </w:tcMar>
          </w:tcPr>
          <w:p w14:paraId="73134919">
            <w:pPr>
              <w:spacing w:line="360" w:lineRule="auto"/>
              <w:jc w:val="both"/>
              <w:rPr>
                <w:rFonts w:hint="eastAsia" w:ascii="宋体" w:hAnsi="宋体" w:eastAsia="宋体" w:cs="宋体"/>
                <w:color w:val="auto"/>
                <w:sz w:val="21"/>
                <w:szCs w:val="21"/>
                <w:highlight w:val="none"/>
              </w:rPr>
            </w:pPr>
          </w:p>
        </w:tc>
        <w:tc>
          <w:tcPr>
            <w:tcW w:w="5102" w:type="dxa"/>
            <w:tcBorders>
              <w:tl2br w:val="nil"/>
              <w:tr2bl w:val="nil"/>
            </w:tcBorders>
            <w:tcMar>
              <w:top w:w="0" w:type="dxa"/>
              <w:left w:w="57" w:type="dxa"/>
              <w:bottom w:w="0" w:type="dxa"/>
              <w:right w:w="57" w:type="dxa"/>
            </w:tcMar>
            <w:vAlign w:val="top"/>
          </w:tcPr>
          <w:p w14:paraId="0B155B28">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税号：</w:t>
            </w:r>
          </w:p>
        </w:tc>
      </w:tr>
    </w:tbl>
    <w:p w14:paraId="2DC492AB">
      <w:pPr>
        <w:spacing w:line="360" w:lineRule="auto"/>
        <w:rPr>
          <w:rFonts w:hint="eastAsia" w:ascii="宋体" w:hAnsi="宋体" w:eastAsia="宋体" w:cs="宋体"/>
          <w:color w:val="auto"/>
          <w:sz w:val="21"/>
          <w:szCs w:val="21"/>
          <w:highlight w:val="none"/>
        </w:rPr>
      </w:pPr>
    </w:p>
    <w:p w14:paraId="3E0998C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签订日期：   </w:t>
      </w:r>
    </w:p>
    <w:p w14:paraId="134AC13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签订地点：广东省东莞市</w:t>
      </w:r>
    </w:p>
    <w:p w14:paraId="783CB520">
      <w:pPr>
        <w:pageBreakBefore/>
        <w:kinsoku/>
        <w:overflowPunct/>
        <w:topLinePunct w:val="0"/>
        <w:bidi w:val="0"/>
        <w:spacing w:line="360" w:lineRule="auto"/>
        <w:outlineLvl w:val="1"/>
        <w:rPr>
          <w:rFonts w:hint="eastAsia" w:ascii="宋体" w:hAnsi="宋体" w:eastAsia="宋体" w:cs="宋体"/>
          <w:b/>
          <w:color w:val="auto"/>
          <w:sz w:val="28"/>
          <w:szCs w:val="28"/>
          <w:highlight w:val="none"/>
        </w:rPr>
        <w:sectPr>
          <w:footerReference r:id="rId7" w:type="first"/>
          <w:footerReference r:id="rId6" w:type="default"/>
          <w:pgSz w:w="12240" w:h="15840"/>
          <w:pgMar w:top="1191" w:right="1117" w:bottom="1191" w:left="1043" w:header="720" w:footer="720" w:gutter="0"/>
          <w:pgBorders>
            <w:top w:val="none" w:sz="0" w:space="0"/>
            <w:left w:val="none" w:sz="0" w:space="0"/>
            <w:bottom w:val="none" w:sz="0" w:space="0"/>
            <w:right w:val="none" w:sz="0" w:space="0"/>
          </w:pgBorders>
          <w:pgNumType w:fmt="decimal"/>
          <w:cols w:space="0" w:num="1"/>
          <w:rtlGutter w:val="0"/>
          <w:docGrid w:linePitch="326" w:charSpace="0"/>
        </w:sectPr>
      </w:pPr>
    </w:p>
    <w:p w14:paraId="2021D1FD">
      <w:pPr>
        <w:pageBreakBefore/>
        <w:autoSpaceDE/>
        <w:autoSpaceDN/>
        <w:adjustRightInd/>
        <w:spacing w:line="360" w:lineRule="auto"/>
        <w:jc w:val="both"/>
        <w:rPr>
          <w:rFonts w:hint="eastAsia" w:ascii="宋体" w:hAnsi="宋体" w:eastAsia="宋体" w:cs="宋体"/>
          <w:b/>
          <w:color w:val="auto"/>
          <w:kern w:val="2"/>
          <w:sz w:val="28"/>
          <w:szCs w:val="28"/>
          <w:highlight w:val="none"/>
        </w:rPr>
      </w:pPr>
      <w:r>
        <w:rPr>
          <w:rFonts w:hint="eastAsia" w:ascii="宋体" w:hAnsi="宋体" w:eastAsia="宋体" w:cs="宋体"/>
          <w:b/>
          <w:color w:val="auto"/>
          <w:kern w:val="2"/>
          <w:sz w:val="28"/>
          <w:szCs w:val="28"/>
          <w:highlight w:val="none"/>
        </w:rPr>
        <w:t>附件</w:t>
      </w:r>
      <w:r>
        <w:rPr>
          <w:rFonts w:hint="eastAsia" w:ascii="宋体" w:hAnsi="宋体" w:eastAsia="宋体" w:cs="宋体"/>
          <w:b/>
          <w:color w:val="auto"/>
          <w:kern w:val="2"/>
          <w:sz w:val="28"/>
          <w:szCs w:val="28"/>
          <w:highlight w:val="none"/>
          <w:lang w:val="en-US" w:eastAsia="zh-CN"/>
        </w:rPr>
        <w:t>二</w:t>
      </w:r>
      <w:r>
        <w:rPr>
          <w:rFonts w:hint="eastAsia" w:ascii="宋体" w:hAnsi="宋体" w:eastAsia="宋体" w:cs="宋体"/>
          <w:b/>
          <w:color w:val="auto"/>
          <w:kern w:val="2"/>
          <w:sz w:val="28"/>
          <w:szCs w:val="28"/>
          <w:highlight w:val="none"/>
        </w:rPr>
        <w:t>：廉洁协议书</w:t>
      </w:r>
    </w:p>
    <w:p w14:paraId="321CEE76">
      <w:pPr>
        <w:autoSpaceDE/>
        <w:autoSpaceDN/>
        <w:adjustRightInd/>
        <w:spacing w:line="360" w:lineRule="auto"/>
        <w:jc w:val="center"/>
        <w:rPr>
          <w:rFonts w:hint="eastAsia" w:ascii="宋体" w:hAnsi="宋体" w:eastAsia="宋体" w:cs="宋体"/>
          <w:b/>
          <w:bCs/>
          <w:color w:val="auto"/>
          <w:kern w:val="2"/>
          <w:sz w:val="28"/>
          <w:szCs w:val="28"/>
          <w:highlight w:val="none"/>
        </w:rPr>
      </w:pPr>
      <w:r>
        <w:rPr>
          <w:rFonts w:hint="eastAsia" w:ascii="宋体" w:hAnsi="宋体" w:eastAsia="宋体" w:cs="宋体"/>
          <w:b/>
          <w:bCs/>
          <w:color w:val="auto"/>
          <w:kern w:val="2"/>
          <w:sz w:val="28"/>
          <w:szCs w:val="28"/>
          <w:highlight w:val="none"/>
        </w:rPr>
        <w:t>廉洁协议书</w:t>
      </w:r>
    </w:p>
    <w:p w14:paraId="66290BF3">
      <w:pPr>
        <w:autoSpaceDE/>
        <w:autoSpaceDN/>
        <w:adjustRightInd/>
        <w:spacing w:line="360" w:lineRule="auto"/>
        <w:jc w:val="both"/>
        <w:rPr>
          <w:rFonts w:hint="eastAsia" w:ascii="宋体" w:hAnsi="宋体" w:eastAsia="宋体" w:cs="宋体"/>
          <w:color w:val="auto"/>
          <w:kern w:val="2"/>
          <w:sz w:val="21"/>
          <w:szCs w:val="21"/>
          <w:highlight w:val="none"/>
        </w:rPr>
      </w:pPr>
    </w:p>
    <w:p w14:paraId="7F0BC10B">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rPr>
        <w:t xml:space="preserve">项目名称：                                  </w:t>
      </w: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t xml:space="preserve">  （</w:t>
      </w:r>
      <w:r>
        <w:rPr>
          <w:rFonts w:hint="eastAsia" w:ascii="宋体" w:hAnsi="宋体" w:eastAsia="宋体" w:cs="宋体"/>
          <w:color w:val="auto"/>
          <w:kern w:val="2"/>
          <w:sz w:val="21"/>
          <w:szCs w:val="21"/>
          <w:highlight w:val="none"/>
          <w:lang w:val="en-US" w:eastAsia="zh-CN"/>
        </w:rPr>
        <w:t>采购</w:t>
      </w:r>
      <w:r>
        <w:rPr>
          <w:rFonts w:hint="eastAsia" w:ascii="宋体" w:hAnsi="宋体" w:eastAsia="宋体" w:cs="宋体"/>
          <w:color w:val="auto"/>
          <w:kern w:val="2"/>
          <w:sz w:val="21"/>
          <w:szCs w:val="21"/>
          <w:highlight w:val="none"/>
        </w:rPr>
        <w:t>编号：         ）</w:t>
      </w:r>
    </w:p>
    <w:p w14:paraId="37913E66">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甲方（业主单位）： </w:t>
      </w:r>
    </w:p>
    <w:p w14:paraId="114FFCF7">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乙方： </w:t>
      </w:r>
    </w:p>
    <w:p w14:paraId="19F6738C">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为规范甲乙双方在订立、履行合同及经济业务往来过程中的行为，保持廉洁自律的工作作风</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防止各种违法及不正当行为的发生</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确保甲乙双方及其工作人员自觉遵守国家法律、法规及廉洁从业各项规定，特订立本协议。</w:t>
      </w:r>
    </w:p>
    <w:p w14:paraId="3C5A4FFE">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第一条  甲乙双方的权利和义务</w:t>
      </w:r>
    </w:p>
    <w:p w14:paraId="2D6D9318">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（一）严格遵守党和国家有关法律法规等有关廉洁从业规定。</w:t>
      </w:r>
    </w:p>
    <w:p w14:paraId="7731AA63">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（二）严格执行本项目的合同文件，自觉按合同办事。</w:t>
      </w:r>
    </w:p>
    <w:p w14:paraId="436CD5CB">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（三）双方的业务活动坚持公开、公正、诚信、透明的原则（除法律认定的商业秘密和合同文件另有规定之外）不得损害国家和集体利益，违反法律法规规章制度。</w:t>
      </w:r>
    </w:p>
    <w:p w14:paraId="24BCA070">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（四）建立健全廉洁制度，开展廉洁教育，设立廉洁监督公示牌，公布举报电话，监督并认真查处违法违纪行为。</w:t>
      </w:r>
    </w:p>
    <w:p w14:paraId="287E9451">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（五）发现对方在业务活动中有违反廉洁规定的行为，有及时提醒对方纠正的权利和义务。</w:t>
      </w:r>
    </w:p>
    <w:p w14:paraId="76FFD1BB">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（六）发现对方严重违反本协议义务条款的行为，有向其上级有关部门举报、建议给予处理并要求告知处理结果的权利。</w:t>
      </w:r>
    </w:p>
    <w:p w14:paraId="1193FE67">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第二条  甲方的义务</w:t>
      </w:r>
    </w:p>
    <w:p w14:paraId="1BA64842">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（一）甲方及其工作人员不得索要或接受乙方的礼金、有价证券和贵重物品，不得在乙方报销任何应由甲方或个人支付的费用。</w:t>
      </w:r>
    </w:p>
    <w:p w14:paraId="11576CD5">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（二）甲方工作人员不得参加乙方安排的高消费宴请和娱乐活动；不得接受乙方提供的通讯工具、交通工具和高档办公用品。</w:t>
      </w:r>
    </w:p>
    <w:p w14:paraId="2D1AF43E">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（三）甲方及其工作人员不得要求或者接受乙方为其住房装修、婚丧嫁娶活动、家属或亲友的工作安排以及出国出境、旅游等提供方便。</w:t>
      </w:r>
    </w:p>
    <w:p w14:paraId="1638E16B">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（四）甲方工作人员不得向乙方介绍其家属或者亲友（包括家属或亲友开办的公司企业）从事于本项目涉及的经济业务活动。</w:t>
      </w:r>
    </w:p>
    <w:p w14:paraId="69257353">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（五）甲方及其工作人员不得以任何理由向乙方推荐分包单位，不得要求乙方购买合同规定外的材料和设备。</w:t>
      </w:r>
    </w:p>
    <w:p w14:paraId="27E36DD5">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（六）甲方及其工作人员不得进行违反廉洁规定的其他活动。</w:t>
      </w:r>
    </w:p>
    <w:p w14:paraId="53B96E48">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（七）甲方应对甲方工作人员进行廉洁监督管理，如甲方工作人员违反本协议第一、第二条，甲方应依据有关法律法规、党纪规定对其进行处理；涉嫌犯罪的，甲方应将其移交司法机关追究刑事责任。</w:t>
      </w:r>
    </w:p>
    <w:p w14:paraId="3805C24A">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第三条  乙方义务</w:t>
      </w:r>
    </w:p>
    <w:p w14:paraId="255A17E3">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（一）乙方不得以任何理由向甲方及其工作人员馈赠礼金、有价证券、贵重礼品，或报销应由甲方单位或个人支付的任何费用。</w:t>
      </w:r>
    </w:p>
    <w:p w14:paraId="0019D6ED">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（二）乙方及其工作人员不得以考察、参观、洽谈业务、签订合同等的借口邀请甲方及其工作人员参加高消费的宴请、娱乐和健身等活动。</w:t>
      </w:r>
    </w:p>
    <w:p w14:paraId="496DFBC1">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（三）乙方不得为甲方单位和个人购置或提供通讯工具、交通工具和高档办公用品等。</w:t>
      </w:r>
    </w:p>
    <w:p w14:paraId="08FC06B4">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（四）乙方及其工作人员不得为甲方工作人员购买、装修、维修私人住房、汽车等。</w:t>
      </w:r>
    </w:p>
    <w:p w14:paraId="63910951">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（五）乙方及其工作人员不得为甲方工作人员的婚丧嫁娶、家属或亲友的工作安排，及出国出境提供方便以及报销任何私人消费的费用。</w:t>
      </w:r>
    </w:p>
    <w:p w14:paraId="4718F1F5">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（六）乙方及其工作人员不得进行影响甲方及其工作人员公正执行合同和履行职务的其他活动。</w:t>
      </w:r>
    </w:p>
    <w:p w14:paraId="07C07990">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七）乙方应对乙方工作人员进行廉洁监督管理，如乙方工作人员违反本协议第一、第三条，乙方应依据有关法律法规、党纪规定对其进行处理；乙方工作人员涉嫌犯罪的，乙方应将其移交司法机关追究刑事责任。</w:t>
      </w:r>
    </w:p>
    <w:p w14:paraId="7746D2CD">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第四条  违约责任</w:t>
      </w:r>
    </w:p>
    <w:p w14:paraId="703C9EC1">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（一）甲方违反本协议第一、第二条给乙方单位造成经济损失的，应予以赔偿。</w:t>
      </w:r>
    </w:p>
    <w:p w14:paraId="4CE05C47">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（二）乙方违反本协议第一、第三条给甲方单位造成经济损失的，应予以赔偿。</w:t>
      </w:r>
    </w:p>
    <w:p w14:paraId="7AA599E9">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第五条  监督检查</w:t>
      </w:r>
    </w:p>
    <w:p w14:paraId="0379A6D0">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甲乙双方的廉洁从业行为由双方或双方上级单位的纪检、监察负责监督，对本协议履行情况进行检查。</w:t>
      </w:r>
    </w:p>
    <w:p w14:paraId="7EF98CC4">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第六条  举报信访受理</w:t>
      </w:r>
    </w:p>
    <w:p w14:paraId="3B4E4DBE">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(一)举报受理部门</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东莞市水务环境投资控股集团有限公司纪检监察部。</w:t>
      </w:r>
    </w:p>
    <w:p w14:paraId="35E00E1B">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(二)举报电话</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（0769）23076092</w:t>
      </w:r>
    </w:p>
    <w:p w14:paraId="2C469510">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(三)举报邮箱</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u w:val="none"/>
        </w:rPr>
        <w:t>jcsj@dgswjt.cn</w:t>
      </w:r>
      <w:r>
        <w:rPr>
          <w:rFonts w:hint="eastAsia" w:ascii="宋体" w:hAnsi="宋体" w:eastAsia="宋体" w:cs="宋体"/>
          <w:color w:val="auto"/>
          <w:kern w:val="2"/>
          <w:sz w:val="21"/>
          <w:szCs w:val="21"/>
          <w:highlight w:val="none"/>
          <w:lang w:eastAsia="zh-CN"/>
        </w:rPr>
        <w:t>。</w:t>
      </w:r>
    </w:p>
    <w:p w14:paraId="265CE09C">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(四)信访地址</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 xml:space="preserve">广东省东莞市南城街道宏北路16号水业大厦 </w:t>
      </w:r>
    </w:p>
    <w:p w14:paraId="76933CD9">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第七条  其他</w:t>
      </w:r>
    </w:p>
    <w:p w14:paraId="61425CF5">
      <w:pPr>
        <w:autoSpaceDE/>
        <w:autoSpaceDN/>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本协议有效期为甲乙双方法定代表人或委托代理人签字并</w:t>
      </w:r>
      <w:r>
        <w:rPr>
          <w:rFonts w:hint="eastAsia" w:ascii="宋体" w:hAnsi="宋体" w:eastAsia="宋体" w:cs="宋体"/>
          <w:color w:val="auto"/>
          <w:kern w:val="2"/>
          <w:sz w:val="21"/>
          <w:szCs w:val="21"/>
          <w:highlight w:val="none"/>
          <w:lang w:eastAsia="zh-CN"/>
        </w:rPr>
        <w:t>经</w:t>
      </w:r>
      <w:r>
        <w:rPr>
          <w:rFonts w:hint="eastAsia" w:ascii="宋体" w:hAnsi="宋体" w:eastAsia="宋体" w:cs="宋体"/>
          <w:color w:val="auto"/>
          <w:kern w:val="2"/>
          <w:sz w:val="21"/>
          <w:szCs w:val="21"/>
          <w:highlight w:val="none"/>
          <w:lang w:val="en-US" w:eastAsia="zh-CN"/>
        </w:rPr>
        <w:t>双方</w:t>
      </w:r>
      <w:r>
        <w:rPr>
          <w:rFonts w:hint="eastAsia" w:ascii="宋体" w:hAnsi="宋体" w:eastAsia="宋体" w:cs="宋体"/>
          <w:color w:val="auto"/>
          <w:kern w:val="2"/>
          <w:sz w:val="21"/>
          <w:szCs w:val="21"/>
          <w:highlight w:val="none"/>
        </w:rPr>
        <w:t>盖章之日起至该服务期满后止。 本协议一式</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伍</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份，甲方执</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叁</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份，乙方执</w:t>
      </w:r>
      <w:r>
        <w:rPr>
          <w:rFonts w:hint="eastAsia" w:ascii="宋体" w:hAnsi="宋体" w:eastAsia="宋体" w:cs="宋体"/>
          <w:color w:val="auto"/>
          <w:kern w:val="2"/>
          <w:sz w:val="21"/>
          <w:szCs w:val="21"/>
          <w:highlight w:val="none"/>
          <w:u w:val="single"/>
        </w:rPr>
        <w:t xml:space="preserve"> 壹 </w:t>
      </w:r>
      <w:r>
        <w:rPr>
          <w:rFonts w:hint="eastAsia" w:ascii="宋体" w:hAnsi="宋体" w:eastAsia="宋体" w:cs="宋体"/>
          <w:color w:val="auto"/>
          <w:kern w:val="2"/>
          <w:sz w:val="21"/>
          <w:szCs w:val="21"/>
          <w:highlight w:val="none"/>
        </w:rPr>
        <w:t>份，</w:t>
      </w:r>
      <w:r>
        <w:rPr>
          <w:rFonts w:hint="eastAsia" w:ascii="宋体" w:hAnsi="宋体" w:eastAsia="宋体" w:cs="宋体"/>
          <w:color w:val="auto"/>
          <w:kern w:val="2"/>
          <w:sz w:val="21"/>
          <w:szCs w:val="21"/>
          <w:highlight w:val="none"/>
          <w:lang w:val="en-US" w:eastAsia="zh-CN"/>
        </w:rPr>
        <w:t>采购</w:t>
      </w:r>
      <w:r>
        <w:rPr>
          <w:rFonts w:hint="eastAsia" w:ascii="宋体" w:hAnsi="宋体" w:eastAsia="宋体" w:cs="宋体"/>
          <w:color w:val="auto"/>
          <w:kern w:val="2"/>
          <w:sz w:val="21"/>
          <w:szCs w:val="21"/>
          <w:highlight w:val="none"/>
        </w:rPr>
        <w:t>代理机构执</w:t>
      </w:r>
      <w:r>
        <w:rPr>
          <w:rFonts w:hint="eastAsia" w:ascii="宋体" w:hAnsi="宋体" w:eastAsia="宋体" w:cs="宋体"/>
          <w:color w:val="auto"/>
          <w:kern w:val="2"/>
          <w:sz w:val="21"/>
          <w:szCs w:val="21"/>
          <w:highlight w:val="none"/>
          <w:u w:val="single"/>
        </w:rPr>
        <w:t>壹</w:t>
      </w:r>
      <w:r>
        <w:rPr>
          <w:rFonts w:hint="eastAsia" w:ascii="宋体" w:hAnsi="宋体" w:eastAsia="宋体" w:cs="宋体"/>
          <w:color w:val="auto"/>
          <w:kern w:val="2"/>
          <w:sz w:val="21"/>
          <w:szCs w:val="21"/>
          <w:highlight w:val="none"/>
        </w:rPr>
        <w:t>份。</w:t>
      </w:r>
    </w:p>
    <w:p w14:paraId="7119CAE3">
      <w:pPr>
        <w:autoSpaceDE/>
        <w:autoSpaceDN/>
        <w:adjustRightInd/>
        <w:spacing w:line="360" w:lineRule="auto"/>
        <w:jc w:val="both"/>
        <w:rPr>
          <w:rFonts w:hint="eastAsia" w:ascii="宋体" w:hAnsi="宋体" w:eastAsia="宋体" w:cs="宋体"/>
          <w:color w:val="auto"/>
          <w:kern w:val="2"/>
          <w:sz w:val="21"/>
          <w:szCs w:val="21"/>
          <w:highlight w:val="none"/>
        </w:rPr>
      </w:pPr>
    </w:p>
    <w:tbl>
      <w:tblPr>
        <w:tblStyle w:val="37"/>
        <w:tblW w:w="92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82"/>
        <w:gridCol w:w="4621"/>
      </w:tblGrid>
      <w:tr w14:paraId="0C736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82" w:type="dxa"/>
            <w:tcBorders>
              <w:tl2br w:val="nil"/>
              <w:tr2bl w:val="nil"/>
            </w:tcBorders>
            <w:tcMar>
              <w:top w:w="0" w:type="dxa"/>
              <w:left w:w="57" w:type="dxa"/>
              <w:bottom w:w="0" w:type="dxa"/>
              <w:right w:w="57" w:type="dxa"/>
            </w:tcMar>
          </w:tcPr>
          <w:p w14:paraId="023D4975">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甲方（盖章）：东莞市尚源环能科技有限公司</w:t>
            </w:r>
          </w:p>
          <w:p w14:paraId="3E3565F8">
            <w:pPr>
              <w:spacing w:line="360" w:lineRule="auto"/>
              <w:jc w:val="both"/>
              <w:rPr>
                <w:rFonts w:hint="eastAsia" w:ascii="宋体" w:hAnsi="宋体" w:eastAsia="宋体" w:cs="宋体"/>
                <w:color w:val="auto"/>
                <w:sz w:val="21"/>
                <w:szCs w:val="21"/>
                <w:highlight w:val="none"/>
              </w:rPr>
            </w:pPr>
          </w:p>
        </w:tc>
        <w:tc>
          <w:tcPr>
            <w:tcW w:w="4621" w:type="dxa"/>
            <w:tcBorders>
              <w:tl2br w:val="nil"/>
              <w:tr2bl w:val="nil"/>
            </w:tcBorders>
            <w:tcMar>
              <w:top w:w="0" w:type="dxa"/>
              <w:left w:w="57" w:type="dxa"/>
              <w:bottom w:w="0" w:type="dxa"/>
              <w:right w:w="57" w:type="dxa"/>
            </w:tcMar>
          </w:tcPr>
          <w:p w14:paraId="05C9EB1B">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乙方（盖章）：</w:t>
            </w:r>
          </w:p>
        </w:tc>
      </w:tr>
      <w:tr w14:paraId="23BD2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82" w:type="dxa"/>
            <w:tcBorders>
              <w:tl2br w:val="nil"/>
              <w:tr2bl w:val="nil"/>
            </w:tcBorders>
            <w:tcMar>
              <w:top w:w="0" w:type="dxa"/>
              <w:left w:w="57" w:type="dxa"/>
              <w:bottom w:w="0" w:type="dxa"/>
              <w:right w:w="57" w:type="dxa"/>
            </w:tcMar>
          </w:tcPr>
          <w:p w14:paraId="02D2AA64">
            <w:pPr>
              <w:spacing w:line="360" w:lineRule="auto"/>
              <w:jc w:val="both"/>
              <w:rPr>
                <w:rFonts w:hint="eastAsia" w:ascii="宋体" w:hAnsi="宋体" w:eastAsia="宋体" w:cs="宋体"/>
                <w:color w:val="auto"/>
                <w:sz w:val="21"/>
                <w:szCs w:val="21"/>
                <w:highlight w:val="none"/>
              </w:rPr>
            </w:pPr>
          </w:p>
          <w:p w14:paraId="56661639">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法定代表人或委托代理人：</w:t>
            </w:r>
          </w:p>
        </w:tc>
        <w:tc>
          <w:tcPr>
            <w:tcW w:w="4621" w:type="dxa"/>
            <w:tcBorders>
              <w:tl2br w:val="nil"/>
              <w:tr2bl w:val="nil"/>
            </w:tcBorders>
            <w:tcMar>
              <w:top w:w="0" w:type="dxa"/>
              <w:left w:w="57" w:type="dxa"/>
              <w:bottom w:w="0" w:type="dxa"/>
              <w:right w:w="57" w:type="dxa"/>
            </w:tcMar>
          </w:tcPr>
          <w:p w14:paraId="14E660C4">
            <w:pPr>
              <w:spacing w:line="360" w:lineRule="auto"/>
              <w:jc w:val="both"/>
              <w:rPr>
                <w:rFonts w:hint="eastAsia" w:ascii="宋体" w:hAnsi="宋体" w:eastAsia="宋体" w:cs="宋体"/>
                <w:color w:val="auto"/>
                <w:sz w:val="21"/>
                <w:szCs w:val="21"/>
                <w:highlight w:val="none"/>
              </w:rPr>
            </w:pPr>
          </w:p>
          <w:p w14:paraId="3BC3FB05">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法定代表人或委托代理人：</w:t>
            </w:r>
          </w:p>
        </w:tc>
      </w:tr>
      <w:tr w14:paraId="574E6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82" w:type="dxa"/>
            <w:tcBorders>
              <w:tl2br w:val="nil"/>
              <w:tr2bl w:val="nil"/>
            </w:tcBorders>
            <w:tcMar>
              <w:top w:w="0" w:type="dxa"/>
              <w:left w:w="57" w:type="dxa"/>
              <w:bottom w:w="0" w:type="dxa"/>
              <w:right w:w="57" w:type="dxa"/>
            </w:tcMar>
          </w:tcPr>
          <w:p w14:paraId="5421611A">
            <w:pPr>
              <w:spacing w:line="360" w:lineRule="auto"/>
              <w:jc w:val="both"/>
              <w:rPr>
                <w:rFonts w:hint="eastAsia" w:ascii="宋体" w:hAnsi="宋体" w:eastAsia="宋体" w:cs="宋体"/>
                <w:color w:val="auto"/>
                <w:sz w:val="21"/>
                <w:szCs w:val="21"/>
                <w:highlight w:val="none"/>
              </w:rPr>
            </w:pPr>
          </w:p>
          <w:p w14:paraId="6C8E91CE">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rPr>
              <w:t>甲方代表：</w:t>
            </w:r>
          </w:p>
        </w:tc>
        <w:tc>
          <w:tcPr>
            <w:tcW w:w="4621" w:type="dxa"/>
            <w:tcBorders>
              <w:tl2br w:val="nil"/>
              <w:tr2bl w:val="nil"/>
            </w:tcBorders>
            <w:tcMar>
              <w:top w:w="0" w:type="dxa"/>
              <w:left w:w="57" w:type="dxa"/>
              <w:bottom w:w="0" w:type="dxa"/>
              <w:right w:w="57" w:type="dxa"/>
            </w:tcMar>
            <w:vAlign w:val="top"/>
          </w:tcPr>
          <w:p w14:paraId="491947F6">
            <w:pPr>
              <w:spacing w:line="360" w:lineRule="auto"/>
              <w:ind w:left="720" w:hanging="630" w:hangingChars="300"/>
              <w:jc w:val="both"/>
              <w:rPr>
                <w:rFonts w:hint="eastAsia" w:ascii="宋体" w:hAnsi="宋体" w:eastAsia="宋体" w:cs="宋体"/>
                <w:color w:val="auto"/>
                <w:sz w:val="21"/>
                <w:szCs w:val="21"/>
                <w:highlight w:val="none"/>
              </w:rPr>
            </w:pPr>
          </w:p>
          <w:p w14:paraId="685FB2A9">
            <w:pPr>
              <w:spacing w:line="360" w:lineRule="auto"/>
              <w:ind w:left="630" w:leftChars="0" w:hanging="630" w:hangingChars="300"/>
              <w:jc w:val="both"/>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rPr>
              <w:t>乙方代表：</w:t>
            </w:r>
          </w:p>
        </w:tc>
      </w:tr>
      <w:tr w14:paraId="2D521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82" w:type="dxa"/>
            <w:tcBorders>
              <w:tl2br w:val="nil"/>
              <w:tr2bl w:val="nil"/>
            </w:tcBorders>
            <w:tcMar>
              <w:top w:w="0" w:type="dxa"/>
              <w:left w:w="57" w:type="dxa"/>
              <w:bottom w:w="0" w:type="dxa"/>
              <w:right w:w="57" w:type="dxa"/>
            </w:tcMar>
          </w:tcPr>
          <w:p w14:paraId="23BF0FA7">
            <w:pPr>
              <w:autoSpaceDE/>
              <w:autoSpaceDN/>
              <w:adjustRightInd/>
              <w:spacing w:line="36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签订日期：     年  月  日</w:t>
            </w:r>
          </w:p>
        </w:tc>
        <w:tc>
          <w:tcPr>
            <w:tcW w:w="4621" w:type="dxa"/>
            <w:tcBorders>
              <w:tl2br w:val="nil"/>
              <w:tr2bl w:val="nil"/>
            </w:tcBorders>
            <w:tcMar>
              <w:top w:w="0" w:type="dxa"/>
              <w:left w:w="57" w:type="dxa"/>
              <w:bottom w:w="0" w:type="dxa"/>
              <w:right w:w="57" w:type="dxa"/>
            </w:tcMar>
            <w:vAlign w:val="top"/>
          </w:tcPr>
          <w:p w14:paraId="7699D003">
            <w:pPr>
              <w:spacing w:line="360" w:lineRule="auto"/>
              <w:ind w:left="630" w:leftChars="0" w:hanging="630" w:hangingChars="300"/>
              <w:jc w:val="both"/>
              <w:rPr>
                <w:rFonts w:hint="eastAsia" w:ascii="宋体" w:hAnsi="宋体" w:eastAsia="宋体" w:cs="宋体"/>
                <w:color w:val="auto"/>
                <w:kern w:val="2"/>
                <w:sz w:val="21"/>
                <w:szCs w:val="21"/>
                <w:highlight w:val="none"/>
              </w:rPr>
            </w:pPr>
          </w:p>
        </w:tc>
      </w:tr>
    </w:tbl>
    <w:p w14:paraId="4A202073">
      <w:pPr>
        <w:autoSpaceDE/>
        <w:autoSpaceDN/>
        <w:adjustRightInd/>
        <w:spacing w:line="360" w:lineRule="auto"/>
        <w:ind w:left="5880" w:hanging="5880" w:hangingChars="2800"/>
        <w:jc w:val="both"/>
        <w:rPr>
          <w:rFonts w:hint="eastAsia" w:ascii="宋体" w:hAnsi="宋体" w:eastAsia="宋体" w:cs="宋体"/>
          <w:color w:val="auto"/>
          <w:kern w:val="2"/>
          <w:sz w:val="21"/>
          <w:szCs w:val="21"/>
          <w:highlight w:val="none"/>
        </w:rPr>
      </w:pPr>
    </w:p>
    <w:p w14:paraId="7A233486">
      <w:pPr>
        <w:pageBreakBefore/>
        <w:autoSpaceDE/>
        <w:autoSpaceDN/>
        <w:adjustRightInd/>
        <w:spacing w:line="360" w:lineRule="auto"/>
        <w:jc w:val="both"/>
        <w:rPr>
          <w:rFonts w:hint="eastAsia" w:ascii="宋体" w:hAnsi="宋体" w:eastAsia="宋体" w:cs="宋体"/>
          <w:b/>
          <w:color w:val="auto"/>
          <w:kern w:val="2"/>
          <w:sz w:val="28"/>
          <w:szCs w:val="28"/>
          <w:highlight w:val="none"/>
        </w:rPr>
      </w:pPr>
      <w:r>
        <w:rPr>
          <w:rFonts w:hint="eastAsia" w:ascii="宋体" w:hAnsi="宋体" w:eastAsia="宋体" w:cs="宋体"/>
          <w:b/>
          <w:color w:val="auto"/>
          <w:kern w:val="2"/>
          <w:sz w:val="28"/>
          <w:szCs w:val="28"/>
          <w:highlight w:val="none"/>
          <w:lang w:bidi="ar"/>
        </w:rPr>
        <w:t>附件</w:t>
      </w:r>
      <w:r>
        <w:rPr>
          <w:rFonts w:hint="eastAsia" w:ascii="宋体" w:hAnsi="宋体" w:eastAsia="宋体" w:cs="宋体"/>
          <w:b/>
          <w:color w:val="auto"/>
          <w:kern w:val="2"/>
          <w:sz w:val="28"/>
          <w:szCs w:val="28"/>
          <w:highlight w:val="none"/>
          <w:lang w:val="en-US" w:eastAsia="zh-CN" w:bidi="ar"/>
        </w:rPr>
        <w:t>三</w:t>
      </w:r>
      <w:r>
        <w:rPr>
          <w:rFonts w:hint="eastAsia" w:ascii="宋体" w:hAnsi="宋体" w:eastAsia="宋体" w:cs="宋体"/>
          <w:b/>
          <w:color w:val="auto"/>
          <w:kern w:val="2"/>
          <w:sz w:val="28"/>
          <w:szCs w:val="28"/>
          <w:highlight w:val="none"/>
          <w:lang w:bidi="ar"/>
        </w:rPr>
        <w:t>：</w:t>
      </w:r>
    </w:p>
    <w:p w14:paraId="78D38637">
      <w:pPr>
        <w:keepNext w:val="0"/>
        <w:keepLines w:val="0"/>
        <w:pageBreakBefore w:val="0"/>
        <w:widowControl w:val="0"/>
        <w:kinsoku/>
        <w:wordWrap/>
        <w:overflowPunct/>
        <w:topLinePunct w:val="0"/>
        <w:bidi w:val="0"/>
        <w:snapToGrid/>
        <w:ind w:firstLine="723" w:firstLineChars="200"/>
        <w:jc w:val="center"/>
        <w:textAlignment w:val="auto"/>
        <w:rPr>
          <w:rFonts w:ascii="Times New Roman" w:hAnsi="Times New Roman" w:eastAsia="宋体" w:cs="仿宋"/>
          <w:b/>
          <w:bCs/>
          <w:color w:val="auto"/>
          <w:sz w:val="36"/>
          <w:szCs w:val="36"/>
          <w:highlight w:val="none"/>
        </w:rPr>
      </w:pPr>
      <w:r>
        <w:rPr>
          <w:rFonts w:hint="eastAsia" w:ascii="Times New Roman" w:hAnsi="Times New Roman" w:eastAsia="宋体" w:cs="仿宋"/>
          <w:b/>
          <w:bCs/>
          <w:color w:val="auto"/>
          <w:sz w:val="36"/>
          <w:szCs w:val="36"/>
          <w:highlight w:val="none"/>
        </w:rPr>
        <w:t>安全生产管理协议</w:t>
      </w:r>
    </w:p>
    <w:p w14:paraId="644AAC74">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textAlignment w:val="auto"/>
        <w:rPr>
          <w:rFonts w:hint="eastAsia" w:ascii="Times New Roman" w:hAnsi="Times New Roman" w:eastAsia="宋体" w:cs="宋体"/>
          <w:color w:val="auto"/>
          <w:sz w:val="21"/>
          <w:szCs w:val="21"/>
          <w:highlight w:val="none"/>
          <w:u w:val="single"/>
        </w:rPr>
      </w:pPr>
      <w:r>
        <w:rPr>
          <w:rFonts w:hint="eastAsia" w:ascii="Times New Roman" w:hAnsi="Times New Roman" w:eastAsia="宋体" w:cs="宋体"/>
          <w:color w:val="auto"/>
          <w:sz w:val="21"/>
          <w:szCs w:val="21"/>
          <w:highlight w:val="none"/>
        </w:rPr>
        <w:t>甲方：</w:t>
      </w:r>
      <w:r>
        <w:rPr>
          <w:rFonts w:hint="eastAsia" w:ascii="Times New Roman" w:hAnsi="Times New Roman" w:eastAsia="宋体" w:cs="宋体"/>
          <w:color w:val="auto"/>
          <w:sz w:val="21"/>
          <w:szCs w:val="21"/>
          <w:highlight w:val="none"/>
          <w:u w:val="single"/>
        </w:rPr>
        <w:t>东莞市尚源环能科技有限公司</w:t>
      </w:r>
    </w:p>
    <w:p w14:paraId="285BB628">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textAlignment w:val="auto"/>
        <w:rPr>
          <w:rFonts w:hint="eastAsia" w:ascii="Times New Roman" w:hAnsi="Times New Roman" w:eastAsia="宋体" w:cs="宋体"/>
          <w:color w:val="auto"/>
          <w:sz w:val="21"/>
          <w:szCs w:val="21"/>
          <w:highlight w:val="none"/>
          <w:u w:val="single"/>
        </w:rPr>
      </w:pPr>
      <w:r>
        <w:rPr>
          <w:rFonts w:hint="eastAsia" w:ascii="Times New Roman" w:hAnsi="Times New Roman" w:eastAsia="宋体" w:cs="宋体"/>
          <w:color w:val="auto"/>
          <w:sz w:val="21"/>
          <w:szCs w:val="21"/>
          <w:highlight w:val="none"/>
        </w:rPr>
        <w:t>地址：</w:t>
      </w:r>
      <w:r>
        <w:rPr>
          <w:rFonts w:hint="eastAsia" w:ascii="Times New Roman" w:hAnsi="Times New Roman" w:eastAsia="宋体" w:cs="宋体"/>
          <w:color w:val="auto"/>
          <w:sz w:val="21"/>
          <w:szCs w:val="21"/>
          <w:highlight w:val="none"/>
          <w:u w:val="single"/>
        </w:rPr>
        <w:t>广东省东莞市沙田镇立沙中路</w:t>
      </w:r>
    </w:p>
    <w:p w14:paraId="6B6DFF2B">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textAlignment w:val="auto"/>
        <w:rPr>
          <w:rFonts w:hint="eastAsia" w:ascii="Times New Roman" w:hAnsi="Times New Roman" w:eastAsia="宋体" w:cs="宋体"/>
          <w:color w:val="auto"/>
          <w:sz w:val="21"/>
          <w:szCs w:val="21"/>
          <w:highlight w:val="none"/>
          <w:u w:val="single"/>
        </w:rPr>
      </w:pPr>
    </w:p>
    <w:p w14:paraId="1BBBE930">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textAlignment w:val="auto"/>
        <w:rPr>
          <w:rFonts w:hint="default" w:ascii="Times New Roman" w:hAnsi="Times New Roman" w:eastAsia="宋体" w:cs="宋体"/>
          <w:color w:val="auto"/>
          <w:sz w:val="21"/>
          <w:szCs w:val="21"/>
          <w:highlight w:val="none"/>
          <w:lang w:val="en-US" w:eastAsia="zh-CN"/>
        </w:rPr>
      </w:pPr>
      <w:r>
        <w:rPr>
          <w:rFonts w:hint="eastAsia" w:ascii="Times New Roman" w:hAnsi="Times New Roman" w:eastAsia="宋体" w:cs="宋体"/>
          <w:color w:val="auto"/>
          <w:sz w:val="21"/>
          <w:szCs w:val="21"/>
          <w:highlight w:val="none"/>
        </w:rPr>
        <w:t>乙方：</w:t>
      </w:r>
      <w:r>
        <w:rPr>
          <w:rFonts w:hint="eastAsia" w:ascii="Times New Roman" w:cs="宋体"/>
          <w:color w:val="auto"/>
          <w:sz w:val="21"/>
          <w:szCs w:val="21"/>
          <w:highlight w:val="none"/>
          <w:u w:val="single"/>
          <w:lang w:val="en-US" w:eastAsia="zh-CN"/>
        </w:rPr>
        <w:t xml:space="preserve">                          </w:t>
      </w:r>
    </w:p>
    <w:p w14:paraId="5E4368C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textAlignment w:val="auto"/>
        <w:rPr>
          <w:rFonts w:hint="eastAsia" w:ascii="Times New Roman" w:hAnsi="Times New Roman" w:eastAsia="宋体" w:cs="宋体"/>
          <w:color w:val="auto"/>
          <w:sz w:val="21"/>
          <w:szCs w:val="21"/>
          <w:highlight w:val="none"/>
        </w:rPr>
      </w:pPr>
      <w:r>
        <w:rPr>
          <w:rFonts w:hint="eastAsia" w:ascii="Times New Roman" w:hAnsi="Times New Roman" w:eastAsia="宋体" w:cs="宋体"/>
          <w:color w:val="auto"/>
          <w:sz w:val="21"/>
          <w:szCs w:val="21"/>
          <w:highlight w:val="none"/>
        </w:rPr>
        <w:t>地址：</w:t>
      </w:r>
      <w:r>
        <w:rPr>
          <w:rFonts w:hint="eastAsia" w:ascii="Times New Roman" w:cs="宋体"/>
          <w:color w:val="auto"/>
          <w:sz w:val="21"/>
          <w:szCs w:val="21"/>
          <w:highlight w:val="none"/>
          <w:u w:val="single"/>
          <w:lang w:val="en-US" w:eastAsia="zh-CN"/>
        </w:rPr>
        <w:t xml:space="preserve">                          </w:t>
      </w:r>
    </w:p>
    <w:p w14:paraId="6D554B37">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textAlignment w:val="auto"/>
        <w:rPr>
          <w:rFonts w:hint="eastAsia" w:ascii="Times New Roman" w:hAnsi="Times New Roman" w:eastAsia="宋体" w:cs="宋体"/>
          <w:color w:val="auto"/>
          <w:sz w:val="21"/>
          <w:szCs w:val="21"/>
          <w:highlight w:val="none"/>
        </w:rPr>
      </w:pPr>
      <w:r>
        <w:rPr>
          <w:rFonts w:hint="eastAsia" w:ascii="Times New Roman" w:hAnsi="Times New Roman" w:eastAsia="宋体" w:cs="宋体"/>
          <w:color w:val="auto"/>
          <w:sz w:val="21"/>
          <w:szCs w:val="21"/>
          <w:highlight w:val="none"/>
        </w:rPr>
        <w:t>电话：</w:t>
      </w:r>
      <w:r>
        <w:rPr>
          <w:rFonts w:hint="eastAsia" w:ascii="Times New Roman" w:cs="宋体"/>
          <w:color w:val="auto"/>
          <w:sz w:val="21"/>
          <w:szCs w:val="21"/>
          <w:highlight w:val="none"/>
          <w:u w:val="single"/>
          <w:lang w:val="en-US" w:eastAsia="zh-CN"/>
        </w:rPr>
        <w:t xml:space="preserve">                          </w:t>
      </w:r>
    </w:p>
    <w:p w14:paraId="335786DF">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Times New Roman" w:hAnsi="Times New Roman" w:eastAsia="宋体" w:cs="宋体"/>
          <w:color w:val="auto"/>
          <w:sz w:val="21"/>
          <w:szCs w:val="21"/>
          <w:highlight w:val="none"/>
        </w:rPr>
      </w:pPr>
    </w:p>
    <w:p w14:paraId="5712EC61">
      <w:pPr>
        <w:pStyle w:val="32"/>
        <w:keepNext w:val="0"/>
        <w:keepLines w:val="0"/>
        <w:widowControl w:val="0"/>
        <w:suppressLineNumbers w:val="0"/>
        <w:autoSpaceDE w:val="0"/>
        <w:autoSpaceDN/>
        <w:adjustRightInd/>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0"/>
          <w:sz w:val="21"/>
          <w:szCs w:val="21"/>
          <w:highlight w:val="none"/>
          <w:lang w:val="en-US" w:eastAsia="zh-CN" w:bidi="ar"/>
        </w:rPr>
        <w:t>根据《中华人民共和国安全生产法》《建设工程安全生产管理条例》等法律法规，为明确双方安全生产责任，防范作业风险，保障财产及人员安全，经甲乙双方协商一致，签订本协议。</w:t>
      </w:r>
    </w:p>
    <w:p w14:paraId="0798ED5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项目基本信息</w:t>
      </w:r>
    </w:p>
    <w:p w14:paraId="5B083C5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lang w:val="en-US"/>
        </w:rPr>
      </w:pPr>
      <w:r>
        <w:rPr>
          <w:rFonts w:hint="eastAsia" w:ascii="宋体" w:hAnsi="宋体" w:eastAsia="宋体" w:cs="宋体"/>
          <w:snapToGrid w:val="0"/>
          <w:color w:val="auto"/>
          <w:kern w:val="0"/>
          <w:sz w:val="21"/>
          <w:szCs w:val="21"/>
          <w:highlight w:val="none"/>
          <w:lang w:val="en-US" w:eastAsia="zh-CN" w:bidi="ar"/>
        </w:rPr>
        <w:t>项目名称：</w:t>
      </w:r>
      <w:r>
        <w:rPr>
          <w:rFonts w:hint="eastAsia" w:ascii="宋体" w:hAnsi="宋体" w:eastAsia="宋体" w:cs="宋体"/>
          <w:snapToGrid w:val="0"/>
          <w:color w:val="auto"/>
          <w:kern w:val="0"/>
          <w:sz w:val="21"/>
          <w:szCs w:val="21"/>
          <w:highlight w:val="none"/>
          <w:u w:val="single"/>
          <w:lang w:val="en-US" w:eastAsia="zh-CN" w:bidi="ar"/>
        </w:rPr>
        <w:t xml:space="preserve">                          </w:t>
      </w:r>
    </w:p>
    <w:p w14:paraId="66E9419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u w:val="single"/>
        </w:rPr>
      </w:pPr>
      <w:r>
        <w:rPr>
          <w:rFonts w:hint="eastAsia" w:ascii="宋体" w:hAnsi="宋体" w:eastAsia="宋体" w:cs="宋体"/>
          <w:snapToGrid w:val="0"/>
          <w:color w:val="auto"/>
          <w:kern w:val="0"/>
          <w:sz w:val="21"/>
          <w:szCs w:val="21"/>
          <w:highlight w:val="none"/>
          <w:lang w:val="en-US" w:eastAsia="zh-CN" w:bidi="ar"/>
        </w:rPr>
        <w:t>项目地点：</w:t>
      </w:r>
      <w:r>
        <w:rPr>
          <w:rFonts w:hint="eastAsia" w:ascii="宋体" w:hAnsi="宋体" w:eastAsia="宋体" w:cs="宋体"/>
          <w:snapToGrid w:val="0"/>
          <w:color w:val="auto"/>
          <w:kern w:val="0"/>
          <w:sz w:val="21"/>
          <w:szCs w:val="21"/>
          <w:highlight w:val="none"/>
          <w:u w:val="single"/>
          <w:lang w:val="en-US" w:eastAsia="zh-CN" w:bidi="ar"/>
        </w:rPr>
        <w:t>广东省东莞市沙田镇立沙中路</w:t>
      </w:r>
      <w:r>
        <w:rPr>
          <w:rFonts w:hint="eastAsia" w:ascii="宋体" w:hAnsi="宋体" w:eastAsia="宋体" w:cs="宋体"/>
          <w:snapToGrid w:val="0"/>
          <w:color w:val="auto"/>
          <w:kern w:val="0"/>
          <w:sz w:val="21"/>
          <w:szCs w:val="21"/>
          <w:highlight w:val="none"/>
          <w:lang w:val="en-US" w:eastAsia="zh-CN" w:bidi="ar"/>
        </w:rPr>
        <w:t xml:space="preserve">                                                   </w:t>
      </w:r>
    </w:p>
    <w:p w14:paraId="379853B6">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服务时间：自本合同签订之日始至本合同权利义务履行完毕时止。</w:t>
      </w:r>
    </w:p>
    <w:p w14:paraId="0AF76259">
      <w:pPr>
        <w:keepNext w:val="0"/>
        <w:keepLines w:val="0"/>
        <w:widowControl w:val="0"/>
        <w:suppressLineNumbers w:val="0"/>
        <w:autoSpaceDE w:val="0"/>
        <w:autoSpaceDN/>
        <w:adjustRightInd w:val="0"/>
        <w:spacing w:before="0" w:beforeAutospacing="0" w:after="0" w:afterAutospacing="0" w:line="36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snapToGrid w:val="0"/>
          <w:color w:val="auto"/>
          <w:kern w:val="0"/>
          <w:sz w:val="21"/>
          <w:szCs w:val="21"/>
          <w:highlight w:val="none"/>
          <w:lang w:val="en-US" w:eastAsia="zh-CN" w:bidi="ar"/>
        </w:rPr>
        <w:t>一、风险辨识</w:t>
      </w:r>
    </w:p>
    <w:p w14:paraId="61BB1361">
      <w:pPr>
        <w:keepNext w:val="0"/>
        <w:keepLines w:val="0"/>
        <w:widowControl w:val="0"/>
        <w:suppressLineNumbers w:val="0"/>
        <w:autoSpaceDE w:val="0"/>
        <w:autoSpaceDN/>
        <w:adjustRightInd w:val="0"/>
        <w:spacing w:before="0" w:beforeAutospacing="0" w:after="0" w:afterAutospacing="0" w:line="360" w:lineRule="auto"/>
        <w:ind w:left="100" w:right="99" w:firstLine="420" w:firstLineChars="200"/>
        <w:jc w:val="both"/>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1、污水处理厂有限空间辨识，如:集水间、粗格栅间、提升泵坑、细格栅间、沉沙池、配水井、生化池、储泥池、送水泵坑、各类封闭或通风不良的井（≥1.5 米，含阀门井、污水井、雨水井、吸水井、旋流沉砂池、生化池（带封盖）、回流污泥泵房（带封盖）、剩余污泥泵房（带封盖）、储泥池、储粪池、密闭配水渠等，可能存在有毒有害、易燃易爆介质的井，不受深度限制）、封闭的管道、污水池、地下管道、自然通风不良的设备间、压力容器、密闭储药池、加药储罐等。</w:t>
      </w:r>
    </w:p>
    <w:p w14:paraId="0C35026C">
      <w:pPr>
        <w:keepNext w:val="0"/>
        <w:keepLines w:val="0"/>
        <w:widowControl w:val="0"/>
        <w:suppressLineNumbers w:val="0"/>
        <w:autoSpaceDE w:val="0"/>
        <w:autoSpaceDN/>
        <w:adjustRightInd w:val="0"/>
        <w:spacing w:before="0" w:beforeAutospacing="0" w:after="0" w:afterAutospacing="0" w:line="360" w:lineRule="auto"/>
        <w:ind w:left="100" w:right="99" w:firstLine="420" w:firstLineChars="200"/>
        <w:jc w:val="both"/>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2、其他有限空间辨识，如:建筑施工未完工的地下暗室、管道及管道井等封闭、半封闭的设施及场所（地下隐蔽工程、密闭容器、长期不用的设施或通风不畅的场所等）等。</w:t>
      </w:r>
    </w:p>
    <w:p w14:paraId="6C08A5EA">
      <w:pPr>
        <w:keepNext w:val="0"/>
        <w:keepLines w:val="0"/>
        <w:widowControl w:val="0"/>
        <w:suppressLineNumbers w:val="0"/>
        <w:autoSpaceDE w:val="0"/>
        <w:autoSpaceDN/>
        <w:adjustRightInd w:val="0"/>
        <w:spacing w:before="0" w:beforeAutospacing="0" w:after="0" w:afterAutospacing="0" w:line="360" w:lineRule="auto"/>
        <w:ind w:left="100" w:right="99" w:firstLine="420" w:firstLineChars="200"/>
        <w:jc w:val="both"/>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3、东莞市污泥集中处置项目危险源辨识，如：污泥收料仓、混合料仓、缓存料仓、焚烧锅炉、余热锅炉、废气处理系统、消防水池等。</w:t>
      </w:r>
    </w:p>
    <w:p w14:paraId="6AE381C2">
      <w:pPr>
        <w:keepNext w:val="0"/>
        <w:keepLines w:val="0"/>
        <w:widowControl w:val="0"/>
        <w:suppressLineNumbers w:val="0"/>
        <w:autoSpaceDE w:val="0"/>
        <w:autoSpaceDN w:val="0"/>
        <w:adjustRightInd w:val="0"/>
        <w:spacing w:before="44" w:beforeAutospacing="0" w:after="0" w:afterAutospacing="0" w:line="36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snapToGrid w:val="0"/>
          <w:color w:val="auto"/>
          <w:kern w:val="0"/>
          <w:sz w:val="21"/>
          <w:szCs w:val="21"/>
          <w:highlight w:val="none"/>
          <w:lang w:val="en-US" w:eastAsia="zh-CN" w:bidi="ar"/>
        </w:rPr>
        <w:t>二、危害因素分析</w:t>
      </w:r>
    </w:p>
    <w:p w14:paraId="37EEC4C2">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实施作业前，应当对作业环境进行安全评估，分析存在的危险有害因素并形成危害因素清单，若存在无法消除的危险因素或安全隐患，乙方有权拒绝作业，并应及时上报甲方。甲方负责消除隐患，在确认符合安全作业条件后，乙方方可作业。存在以下伤害类别的危害因素应包括但不限于以下方面：中毒和窒息、高处坠落、淹溺、火灾、其他爆炸、物体打击、机械伤害、触电、坍塌、起重伤害、其它伤害等。</w:t>
      </w:r>
    </w:p>
    <w:p w14:paraId="03417741">
      <w:pPr>
        <w:keepNext w:val="0"/>
        <w:keepLines w:val="0"/>
        <w:widowControl w:val="0"/>
        <w:suppressLineNumbers w:val="0"/>
        <w:autoSpaceDE w:val="0"/>
        <w:autoSpaceDN/>
        <w:adjustRightInd w:val="0"/>
        <w:spacing w:before="0" w:beforeAutospacing="0" w:after="0" w:afterAutospacing="0" w:line="360" w:lineRule="auto"/>
        <w:ind w:left="0" w:right="0"/>
        <w:jc w:val="both"/>
        <w:rPr>
          <w:rFonts w:hint="eastAsia" w:ascii="宋体" w:hAnsi="宋体" w:eastAsia="宋体" w:cs="宋体"/>
          <w:b/>
          <w:bCs/>
          <w:color w:val="auto"/>
          <w:sz w:val="21"/>
          <w:szCs w:val="21"/>
          <w:highlight w:val="none"/>
        </w:rPr>
      </w:pPr>
      <w:r>
        <w:rPr>
          <w:rFonts w:hint="eastAsia" w:ascii="宋体" w:hAnsi="宋体" w:eastAsia="宋体" w:cs="宋体"/>
          <w:b/>
          <w:bCs/>
          <w:snapToGrid w:val="0"/>
          <w:color w:val="auto"/>
          <w:kern w:val="0"/>
          <w:sz w:val="21"/>
          <w:szCs w:val="21"/>
          <w:highlight w:val="none"/>
          <w:lang w:val="en-US" w:eastAsia="zh-CN" w:bidi="ar"/>
        </w:rPr>
        <w:t>三、协议实施条款</w:t>
      </w:r>
    </w:p>
    <w:p w14:paraId="04F1DE15">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本协议所称"相关方"指在甲方公司内从事生产经营相关活动的外部单位及个人，具体包括： </w:t>
      </w:r>
    </w:p>
    <w:p w14:paraId="4BC31728">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（1）在甲方公司内从事基建、设备安装、维修保养、运输、后勤服务、劳务输出以及其他承包各种项目的外来单位或个人。 </w:t>
      </w:r>
    </w:p>
    <w:p w14:paraId="42AA6ADB">
      <w:pPr>
        <w:keepNext w:val="0"/>
        <w:keepLines w:val="0"/>
        <w:widowControl w:val="0"/>
        <w:numPr>
          <w:ilvl w:val="0"/>
          <w:numId w:val="4"/>
        </w:numPr>
        <w:suppressLineNumbers w:val="0"/>
        <w:autoSpaceDE w:val="0"/>
        <w:autoSpaceDN/>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进入单位内进行商务洽谈、参观访问、工作检查、学习交流及其他各类公务活动的外来单位或个人。</w:t>
      </w:r>
    </w:p>
    <w:p w14:paraId="031A2988">
      <w:pPr>
        <w:keepNext w:val="0"/>
        <w:keepLines w:val="0"/>
        <w:widowControl w:val="0"/>
        <w:numPr>
          <w:ilvl w:val="0"/>
          <w:numId w:val="4"/>
        </w:numPr>
        <w:suppressLineNumbers w:val="0"/>
        <w:autoSpaceDE w:val="0"/>
        <w:autoSpaceDN/>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目前我司相关方包括但不限于保安人员、绿化环卫人员、安装施工人员、配送人员、参观人员等。</w:t>
      </w:r>
    </w:p>
    <w:p w14:paraId="125A153D">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危险作业包括但不限于：临水作业、受限空间作业、临时用电、动火作业、高处作业、断路作业、动土作业、吊装作业、盲板抽堵作业等。（以下简称：危险作业）</w:t>
      </w:r>
    </w:p>
    <w:p w14:paraId="295FE08F">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进场前乙方应将本企业的营业执照、企业资质等级证书、安全生产许可证、进场人员花名册、特种作业证复印件（加盖公章）及机具清单等资料报甲方。禁止使用未成年工、童工、超龄工、有职业禁忌的员工和安排女工从事禁忌劳动。</w:t>
      </w:r>
    </w:p>
    <w:p w14:paraId="4FA1ED21">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危险作业前须由乙方带班人员对作业人员进行安全交底，明确危险因素、防范措施及应急处置方案。</w:t>
      </w:r>
    </w:p>
    <w:p w14:paraId="2FBFA9B2">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乙方需完善并加强日常考勤管理，严格遵守厂区对进出人员的管理要求。</w:t>
      </w:r>
    </w:p>
    <w:p w14:paraId="58C13FBA">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应在作业场所配备与作业范围相适应的专职或兼职安全管理员，并持有《安全管理员证》《安全员证》等相关安全资质证书，对作业进行安全管理，通过相应的安全教育确保从业人员应当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每次进行维修作业等其他可能存在危险的作业前需由乙方的带班人员对作业人员进行安全交底。</w:t>
      </w:r>
    </w:p>
    <w:p w14:paraId="74BF0CEC">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乙方使用被派遣劳动者的，应当将被派遣劳动者纳入甲方单位从业人员统一管理，对被派遣劳动者进行岗位安全操作规程和安全操作技能的教育和培训。</w:t>
      </w:r>
    </w:p>
    <w:p w14:paraId="6CFCD0BD">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乙方应制定与作业范围相适应的应急处置预案，并定期组织演练或者参加甲方组织的演练。</w:t>
      </w:r>
    </w:p>
    <w:p w14:paraId="2DFD3DCB">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在作业过程中应当在有较大危险因素的场所和有关设施、设备上，设置明显的安全警示标志、安全告知牌及安全操作规程。乙方应当对安全设备进行经常性维护、保养，并定期检测，保证正常运转。维护、保养、检测应当做好记录，并由乙方安全员或代表签字。</w:t>
      </w:r>
    </w:p>
    <w:p w14:paraId="1B5ECDFE">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乙方应当教育和督促从业人员严格执行甲方单位的安全生产规章制度和安全操作规程；并向从业人员如实告知作业场所和工作岗位存在的危险因素、防范措施以及事故应急措施。</w:t>
      </w:r>
    </w:p>
    <w:p w14:paraId="5BCB3A4F">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乙方依法参加工伤保险，为从业人员按时足额缴纳保险费，并应当为从事危险作业的人员办理意外伤害保险。</w:t>
      </w:r>
    </w:p>
    <w:p w14:paraId="1B464A46">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乙方应严格遵守国家、地方政府有关安全生产及劳动保护的法律法规、标准、规定，贯彻执行甲方的各项安全管理规章制度，严格按照生产场所操作规程制度。</w:t>
      </w:r>
    </w:p>
    <w:p w14:paraId="0EC2CA77">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应当服从甲方的安全管理，保证作业区域的现场文明安全管理达标，现场临时用电、机器设备、安全防护齐全、完好。接受和配合甲方的安全监督检查，乙方现场的所有安全装置、防护设施必须依据经甲方审批后的安全技术方案进行搭设、安装，乙方必须无条件保证安全防护设施使用的搭设材料的质量，在用于安全防护的物资进场前将有关物资的材质证明报甲方，经甲方确认后方可使用。</w:t>
      </w:r>
    </w:p>
    <w:p w14:paraId="18CB706B">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携带进场的机器设备、机具必须是合格产品，乙方须对携带进场的机器设备、机具安全负责管理、维护及检查，对甲方和自查发现的安全隐患落实整改措施。对由于乙方使用不合格机器设备、机具造成事故的，由乙方自行承担责任。</w:t>
      </w:r>
    </w:p>
    <w:p w14:paraId="0F42B572">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甲方有权对整个作业现场的安全管理工作进行协调和监督管理。指导、监督、检查乙方的执业健康安全管理工作，对乙方作业中的违章指挥、违章作业和安全隐患提出整改意见，督促、检查乙方的隐患整改落实情况。</w:t>
      </w:r>
    </w:p>
    <w:p w14:paraId="6152C5B5">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在作业过程中违反有关安全管理规定、有违章现象发生、安全问题整改不到位或拒不接受甲方的正常安全管理的，依据有关法律法规规定及相关约定进行处理。乙方作业中存在重大隐患或险情时，甲方有权要求乙方立即整改直至隐患消除，若乙方整改后仍达不到甲方要求的，甲方有权单方解除合同，并要求乙方清退出场。</w:t>
      </w:r>
    </w:p>
    <w:p w14:paraId="2A867A2D">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作业人员未经许可不得随意到作业区域以外的其它工作场所活动，乙方作业人员擅自到作业区域以外的其它工作场所活动，出现人身损伤或伤亡的，由乙方自行负责一切责任。乙方作业人员需动用或作业涉及到甲方所属设备、电器、管线及其他设施等，必须事先征得甲方代表的同意，并采取安全防护措施。</w:t>
      </w:r>
    </w:p>
    <w:p w14:paraId="47A2A212">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作业人员在甲方区域内存放工器具、危险的化学品或是易爆易燃物品等，并因此在甲方的区域内发生包括但不限于安全事故、治安事件等任何事故，造成乙方所属人员或甲方、第三人人身或财产损失的，由乙方承担事故的全部责任和善后事宜。若甲方代为承担相应责任的，有权全部向乙方追偿。</w:t>
      </w:r>
    </w:p>
    <w:p w14:paraId="0CAE381B">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乙方作业人员未经许可不得随意到厂区区域以内的其它工作场所活动，活动内容包括但不限于采摘水果、前往其他池体活动、攀爬构筑物等危险行为，出现人身损伤或伤亡的，由乙方自行负责一切责任。</w:t>
      </w:r>
    </w:p>
    <w:p w14:paraId="29467BC4">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在作业过程中，需要进行动土、动火、登高、吊装、断路、进入限制性空间等危险性较高的作业时，乙方的作业负责人、专职或兼职安全员必须现场确认，作业前报甲方。根据甲方的关于危险作业安全要求执行。</w:t>
      </w:r>
    </w:p>
    <w:p w14:paraId="3F24FBE8">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因乙方原因，造成乙方损失，由乙方自负，给甲方造成财产损失和人员伤害，乙方要负全部责任，并全额赔偿甲方。</w:t>
      </w:r>
    </w:p>
    <w:p w14:paraId="6E8EE042">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非因甲方原因，造成乙方损失的，甲方不承担任何责任，由乙方自行承担全部责任。</w:t>
      </w:r>
    </w:p>
    <w:p w14:paraId="3693A6FB">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乙方应严格遵守法律法规以及甲方的安全管理要求，并接受甲方的安全生产工作协调和监督，积极消除安全隐患。安全管理的基本要求包括但不限于以下条款：</w:t>
      </w:r>
    </w:p>
    <w:p w14:paraId="50C295BE">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①禁火区内严禁吸烟、动火。有火灾危险的作业区域，乙方必须配置足够的灭火设施。</w:t>
      </w:r>
    </w:p>
    <w:p w14:paraId="12C03EF6">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②焊接、气割作业时两瓶距离必须达到5M及以上，气瓶距可能产生火花的电器、设备和其它火源的间距必须达到10M及以上。</w:t>
      </w:r>
    </w:p>
    <w:p w14:paraId="0988A05E">
      <w:pPr>
        <w:keepNext w:val="0"/>
        <w:keepLines w:val="0"/>
        <w:widowControl w:val="0"/>
        <w:suppressLineNumbers w:val="0"/>
        <w:autoSpaceDE w:val="0"/>
        <w:autoSpaceDN w:val="0"/>
        <w:adjustRightInd w:val="0"/>
        <w:spacing w:before="0" w:beforeAutospacing="0" w:after="0" w:afterAutospacing="0" w:line="360" w:lineRule="auto"/>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③严禁在厂内道路、消防通道内搭建临时建筑或堆放物资。严禁占用、堵塞、遮掩、挪用、损毁、破坏或因装修作业等工作或其他原因导致消防设施设备损坏。</w:t>
      </w:r>
    </w:p>
    <w:p w14:paraId="5F11A698">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④作业场所的电动工具、电焊机等须有漏电保护器和相应的安全防护装置。</w:t>
      </w:r>
    </w:p>
    <w:p w14:paraId="6E7FCD5C">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⑤作业现场及居住室、办公室内的用电设施必须符合要求，严禁电线乱接、乱拉，刀闸和开关无盖，在电器设施上堆放物品。</w:t>
      </w:r>
    </w:p>
    <w:p w14:paraId="262084CC">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⑥防雷、防静电设施及用电设施要有良好接地。</w:t>
      </w:r>
    </w:p>
    <w:p w14:paraId="70F5F09D">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⑦作业现场的危险区域，如临边、深坑、土方堆填区等，必须设置围栏和危险标志，夜间要设信号灯。</w:t>
      </w:r>
    </w:p>
    <w:p w14:paraId="256B8337">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⑧乙方应当为从业人员提供符合国家标准或者行业标准的劳动防护用品，并监督、教育从业人员按照使用规则佩戴、使用，防止工伤事故的发生。乙方发生各类工伤事故，严禁隐瞒不报，乙方负责依法依规办理与工伤认定、待遇赔付相关事项的全部手续并承担全部责任。发生重伤及重伤以上事故，乙方应及时组织抢救、保护好现场，并立即报告甲方主管领导。</w:t>
      </w:r>
    </w:p>
    <w:p w14:paraId="264F4E33">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⑨登高架子、安全防护设施、脚手架搭设完毕必须经乙方安全员或代表验收合格后方可使用，对从甲方处接手及自行搭设的安全防护设施、脚手架做好日常维护与管理。安全防护设施、脚手架的拆除必须在接到专业工程师的作业指令后方可拆除，不得私自拆改任何安全防护设施。进行受限空间作业前，必须有作业票，先通风，检测氧气、有毒有害气体，确保符合作业条件，做好个人防护和专人监护后，方可进入。</w:t>
      </w:r>
    </w:p>
    <w:p w14:paraId="03C5C3DC">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⑩乙方采用新工艺、新技术、新材料或者使用新设备，必须了解、掌握其安全技术特性，采取有效的安全防护措施，并对从业人员进行专门的安全生产教育和培训。乙方的电工、焊工、起重工、高处作业等特种作业人员必须按照国家有关规定经专门的安全作业培训，取得相应资格，方可上岗作业。</w:t>
      </w:r>
    </w:p>
    <w:p w14:paraId="703B215D">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乙方应当定期排查并及时治理作业范围内的事故隐患，建立台账，做好相关记录，及时向甲方报告。乙方在发现重大事故隐患后不能立即治理的，应当采取必要的防范措施，并及时书面报告甲方，消除事故隐患。</w:t>
      </w:r>
    </w:p>
    <w:p w14:paraId="15E60B69">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需做好临水作业安全保障工作，临水作业的范围包括但不限于：构筑物水面垃圾的打捞（含粗格栅、细格栅、生化池、沉淀池/二沉池；生化池、二沉池、滤布滤池、出水明渠、硝化池、反硝化池等构筑物）的池内清洗等。具体要求如下：</w:t>
      </w:r>
    </w:p>
    <w:p w14:paraId="3098E28F">
      <w:pPr>
        <w:keepNext w:val="0"/>
        <w:keepLines w:val="0"/>
        <w:widowControl w:val="0"/>
        <w:numPr>
          <w:ilvl w:val="0"/>
          <w:numId w:val="5"/>
        </w:numPr>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乙方在实施临水作业时，需设一名或以上监护人员；作业存在多种危险作业情况下，需严格落实2人或2人以上为一组协同作业或交替作业，不能单独作业。</w:t>
      </w:r>
    </w:p>
    <w:p w14:paraId="6CCE8EE2">
      <w:pPr>
        <w:keepNext w:val="0"/>
        <w:keepLines w:val="0"/>
        <w:widowControl w:val="0"/>
        <w:numPr>
          <w:ilvl w:val="0"/>
          <w:numId w:val="5"/>
        </w:numPr>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危险作业前，必须检查作业工具是否完好，做好交底工作。</w:t>
      </w:r>
    </w:p>
    <w:p w14:paraId="27275459">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（3）危险作业时，必须做好安全防护措施（穿戴救生衣、安全绳（带）、水鞋、手套、不得穿拖鞋或凉鞋等），严格落实2人或2人以上为一组进行协同作业，不得单独作业。</w:t>
      </w:r>
    </w:p>
    <w:p w14:paraId="4AC030FC">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（4）如遇阴雨及大雾、雷暴雨、台风等恶劣天气，禁止危险作业。</w:t>
      </w:r>
    </w:p>
    <w:p w14:paraId="24AAA52E">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乙方对作业过程中潜在的安全风险不明确的，不可盲目作业，否则，造成的后果由乙方独自承担。</w:t>
      </w:r>
    </w:p>
    <w:p w14:paraId="3B442766">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本协议中约定的甲方的同意、审批或确认不视为对乙方及其人员行为合法性、合规性的最终认定，不能因此减轻或免除乙方应承担的责任。</w:t>
      </w:r>
    </w:p>
    <w:p w14:paraId="4B0723D4">
      <w:pPr>
        <w:keepNext w:val="0"/>
        <w:keepLines w:val="0"/>
        <w:widowControl w:val="0"/>
        <w:numPr>
          <w:ilvl w:val="0"/>
          <w:numId w:val="3"/>
        </w:numPr>
        <w:suppressLineNumbers w:val="0"/>
        <w:autoSpaceDE w:val="0"/>
        <w:autoSpaceDN w:val="0"/>
        <w:adjustRightInd w:val="0"/>
        <w:spacing w:before="0" w:beforeAutospacing="0" w:after="0" w:afterAutospacing="0" w:line="360" w:lineRule="auto"/>
        <w:ind w:left="0" w:right="0" w:firstLine="40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本协议</w:t>
      </w:r>
      <w:r>
        <w:rPr>
          <w:rFonts w:hint="eastAsia" w:ascii="宋体" w:hAnsi="宋体" w:eastAsia="宋体" w:cs="宋体"/>
          <w:color w:val="auto"/>
          <w:kern w:val="2"/>
          <w:sz w:val="21"/>
          <w:szCs w:val="21"/>
          <w:highlight w:val="none"/>
        </w:rPr>
        <w:t>一式</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伍</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份，甲方执</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叁</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份，乙方执</w:t>
      </w:r>
      <w:r>
        <w:rPr>
          <w:rFonts w:hint="eastAsia" w:ascii="宋体" w:hAnsi="宋体" w:eastAsia="宋体" w:cs="宋体"/>
          <w:color w:val="auto"/>
          <w:kern w:val="2"/>
          <w:sz w:val="21"/>
          <w:szCs w:val="21"/>
          <w:highlight w:val="none"/>
          <w:u w:val="single"/>
        </w:rPr>
        <w:t xml:space="preserve"> 壹 </w:t>
      </w:r>
      <w:r>
        <w:rPr>
          <w:rFonts w:hint="eastAsia" w:ascii="宋体" w:hAnsi="宋体" w:eastAsia="宋体" w:cs="宋体"/>
          <w:color w:val="auto"/>
          <w:kern w:val="2"/>
          <w:sz w:val="21"/>
          <w:szCs w:val="21"/>
          <w:highlight w:val="none"/>
        </w:rPr>
        <w:t>份，</w:t>
      </w:r>
      <w:r>
        <w:rPr>
          <w:rFonts w:hint="eastAsia" w:ascii="宋体" w:hAnsi="宋体" w:eastAsia="宋体" w:cs="宋体"/>
          <w:color w:val="auto"/>
          <w:kern w:val="2"/>
          <w:sz w:val="21"/>
          <w:szCs w:val="21"/>
          <w:highlight w:val="none"/>
          <w:lang w:val="en-US" w:eastAsia="zh-CN"/>
        </w:rPr>
        <w:t>采购</w:t>
      </w:r>
      <w:r>
        <w:rPr>
          <w:rFonts w:hint="eastAsia" w:ascii="宋体" w:hAnsi="宋体" w:eastAsia="宋体" w:cs="宋体"/>
          <w:color w:val="auto"/>
          <w:kern w:val="2"/>
          <w:sz w:val="21"/>
          <w:szCs w:val="21"/>
          <w:highlight w:val="none"/>
        </w:rPr>
        <w:t>代理机构执</w:t>
      </w:r>
      <w:r>
        <w:rPr>
          <w:rFonts w:hint="eastAsia" w:ascii="宋体" w:hAnsi="宋体" w:eastAsia="宋体" w:cs="宋体"/>
          <w:color w:val="auto"/>
          <w:kern w:val="2"/>
          <w:sz w:val="21"/>
          <w:szCs w:val="21"/>
          <w:highlight w:val="none"/>
          <w:u w:val="single"/>
        </w:rPr>
        <w:t>壹</w:t>
      </w:r>
      <w:r>
        <w:rPr>
          <w:rFonts w:hint="eastAsia" w:ascii="宋体" w:hAnsi="宋体" w:eastAsia="宋体" w:cs="宋体"/>
          <w:color w:val="auto"/>
          <w:kern w:val="2"/>
          <w:sz w:val="21"/>
          <w:szCs w:val="21"/>
          <w:highlight w:val="none"/>
        </w:rPr>
        <w:t>份</w:t>
      </w:r>
      <w:r>
        <w:rPr>
          <w:rFonts w:hint="eastAsia" w:ascii="宋体" w:hAnsi="宋体" w:eastAsia="宋体" w:cs="宋体"/>
          <w:snapToGrid w:val="0"/>
          <w:color w:val="auto"/>
          <w:kern w:val="0"/>
          <w:sz w:val="21"/>
          <w:szCs w:val="21"/>
          <w:highlight w:val="none"/>
          <w:lang w:val="en-US" w:eastAsia="zh-CN" w:bidi="ar"/>
        </w:rPr>
        <w:t>，自双方法定代表人或委托代理人签字并经双方盖章后生效。</w:t>
      </w:r>
    </w:p>
    <w:p w14:paraId="44D57D0F">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 </w:t>
      </w:r>
    </w:p>
    <w:p w14:paraId="2A266C86">
      <w:pPr>
        <w:keepNext w:val="0"/>
        <w:keepLines w:val="0"/>
        <w:widowControl w:val="0"/>
        <w:suppressLineNumbers w:val="0"/>
        <w:autoSpaceDE w:val="0"/>
        <w:autoSpaceDN w:val="0"/>
        <w:adjustRightInd w:val="0"/>
        <w:spacing w:before="0" w:beforeAutospacing="0" w:after="0" w:afterAutospacing="0" w:line="360" w:lineRule="auto"/>
        <w:ind w:left="0" w:right="0" w:firstLine="426" w:firstLineChars="202"/>
        <w:jc w:val="left"/>
        <w:rPr>
          <w:rFonts w:hint="eastAsia" w:ascii="宋体" w:hAnsi="宋体" w:eastAsia="宋体" w:cs="宋体"/>
          <w:b/>
          <w:bCs/>
          <w:color w:val="auto"/>
          <w:sz w:val="21"/>
          <w:szCs w:val="21"/>
          <w:highlight w:val="none"/>
        </w:rPr>
      </w:pPr>
      <w:r>
        <w:rPr>
          <w:rFonts w:hint="eastAsia" w:ascii="宋体" w:hAnsi="宋体" w:eastAsia="宋体" w:cs="宋体"/>
          <w:b/>
          <w:bCs/>
          <w:snapToGrid w:val="0"/>
          <w:color w:val="auto"/>
          <w:kern w:val="0"/>
          <w:sz w:val="21"/>
          <w:szCs w:val="21"/>
          <w:highlight w:val="none"/>
          <w:lang w:val="en-US" w:eastAsia="zh-CN" w:bidi="ar"/>
        </w:rPr>
        <w:t>乙方声明：</w:t>
      </w:r>
    </w:p>
    <w:p w14:paraId="09E98193">
      <w:pPr>
        <w:keepNext w:val="0"/>
        <w:keepLines w:val="0"/>
        <w:widowControl w:val="0"/>
        <w:suppressLineNumbers w:val="0"/>
        <w:autoSpaceDE w:val="0"/>
        <w:autoSpaceDN w:val="0"/>
        <w:adjustRightInd w:val="0"/>
        <w:spacing w:before="0" w:beforeAutospacing="0" w:after="0" w:afterAutospacing="0" w:line="360" w:lineRule="auto"/>
        <w:ind w:left="0" w:right="0" w:firstLine="426" w:firstLineChars="202"/>
        <w:jc w:val="left"/>
        <w:rPr>
          <w:rFonts w:hint="eastAsia" w:ascii="宋体" w:hAnsi="宋体" w:eastAsia="宋体" w:cs="宋体"/>
          <w:b/>
          <w:bCs/>
          <w:color w:val="auto"/>
          <w:sz w:val="21"/>
          <w:szCs w:val="21"/>
          <w:highlight w:val="none"/>
        </w:rPr>
      </w:pPr>
      <w:r>
        <w:rPr>
          <w:rFonts w:hint="eastAsia" w:ascii="宋体" w:hAnsi="宋体" w:eastAsia="宋体" w:cs="宋体"/>
          <w:b/>
          <w:bCs/>
          <w:snapToGrid w:val="0"/>
          <w:color w:val="auto"/>
          <w:kern w:val="0"/>
          <w:sz w:val="21"/>
          <w:szCs w:val="21"/>
          <w:highlight w:val="none"/>
          <w:lang w:val="en-US" w:eastAsia="zh-CN" w:bidi="ar"/>
        </w:rPr>
        <w:t>乙方已认真阅读协议内容，对协议条款、现场的安全管理要求、安全风险充分理解、遵守执行，并自愿承担因违规、违约造成的一切后果。</w:t>
      </w:r>
    </w:p>
    <w:p w14:paraId="71E33AE0">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snapToGrid w:val="0"/>
          <w:color w:val="auto"/>
          <w:kern w:val="0"/>
          <w:sz w:val="21"/>
          <w:szCs w:val="21"/>
          <w:highlight w:val="none"/>
          <w:lang w:val="en-US" w:eastAsia="zh-CN" w:bidi="ar"/>
        </w:rPr>
      </w:pPr>
    </w:p>
    <w:p w14:paraId="06FB1FBC">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（以下无正文）</w:t>
      </w:r>
    </w:p>
    <w:p w14:paraId="35B9127B">
      <w:pPr>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 </w:t>
      </w:r>
    </w:p>
    <w:p w14:paraId="518A1301">
      <w:pPr>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甲方（盖章）：                      乙方（盖章）： </w:t>
      </w:r>
    </w:p>
    <w:p w14:paraId="7011AD9B">
      <w:pPr>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法定代表人或委托代理人：            法定代表人或委托代理人：</w:t>
      </w:r>
    </w:p>
    <w:p w14:paraId="3CF0F22A">
      <w:pPr>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 </w:t>
      </w:r>
    </w:p>
    <w:p w14:paraId="48705B9D">
      <w:pPr>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签订日期：</w:t>
      </w:r>
    </w:p>
    <w:p w14:paraId="10FF9BB7">
      <w:pPr>
        <w:keepNext w:val="0"/>
        <w:keepLines w:val="0"/>
        <w:pageBreakBefore w:val="0"/>
        <w:widowControl/>
        <w:kinsoku w:val="0"/>
        <w:wordWrap/>
        <w:overflowPunct/>
        <w:topLinePunct w:val="0"/>
        <w:bidi w:val="0"/>
        <w:snapToGrid w:val="0"/>
        <w:spacing w:beforeLines="0" w:afterLines="0"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签订地点：广东省东莞市                              </w:t>
      </w:r>
    </w:p>
    <w:p w14:paraId="1A4825F0">
      <w:pPr>
        <w:pStyle w:val="2"/>
        <w:jc w:val="both"/>
        <w:rPr>
          <w:rFonts w:hint="eastAsia" w:ascii="宋体" w:hAnsi="宋体" w:eastAsia="宋体" w:cs="宋体"/>
          <w:color w:val="auto"/>
          <w:highlight w:val="none"/>
          <w:lang w:val="zh-CN"/>
        </w:rPr>
      </w:pPr>
    </w:p>
    <w:p w14:paraId="019A11CE">
      <w:pPr>
        <w:rPr>
          <w:rFonts w:hint="eastAsia" w:ascii="宋体" w:hAnsi="宋体" w:eastAsia="宋体" w:cs="宋体"/>
          <w:b/>
          <w:bCs/>
          <w:color w:val="auto"/>
          <w:kern w:val="44"/>
          <w:sz w:val="32"/>
          <w:szCs w:val="32"/>
          <w:highlight w:val="none"/>
          <w:lang w:val="zh-CN"/>
        </w:rPr>
      </w:pPr>
      <w:r>
        <w:rPr>
          <w:rFonts w:hint="eastAsia" w:ascii="宋体" w:hAnsi="宋体" w:eastAsia="宋体" w:cs="宋体"/>
          <w:b/>
          <w:bCs/>
          <w:color w:val="auto"/>
          <w:kern w:val="44"/>
          <w:sz w:val="32"/>
          <w:szCs w:val="32"/>
          <w:highlight w:val="none"/>
          <w:lang w:val="zh-CN"/>
        </w:rPr>
        <w:br w:type="page"/>
      </w:r>
    </w:p>
    <w:p w14:paraId="4CE5DDCA">
      <w:pPr>
        <w:pageBreakBefore/>
        <w:tabs>
          <w:tab w:val="left" w:pos="1080"/>
        </w:tabs>
        <w:autoSpaceDE w:val="0"/>
        <w:autoSpaceDN w:val="0"/>
        <w:adjustRightInd w:val="0"/>
        <w:spacing w:before="0" w:beforeLines="-2147483648" w:after="0" w:afterLines="-2147483648" w:line="360" w:lineRule="auto"/>
        <w:ind w:left="357" w:leftChars="-100" w:hanging="567"/>
        <w:jc w:val="center"/>
        <w:outlineLvl w:val="0"/>
        <w:rPr>
          <w:rFonts w:hint="eastAsia" w:ascii="宋体" w:hAnsi="宋体" w:eastAsia="宋体" w:cs="宋体"/>
          <w:b/>
          <w:bCs/>
          <w:color w:val="auto"/>
          <w:kern w:val="44"/>
          <w:sz w:val="32"/>
          <w:szCs w:val="32"/>
          <w:highlight w:val="none"/>
          <w:lang w:val="zh-CN"/>
        </w:rPr>
      </w:pPr>
      <w:bookmarkStart w:id="406" w:name="_Toc512353083"/>
      <w:bookmarkStart w:id="407" w:name="_Toc447045090"/>
      <w:bookmarkStart w:id="408" w:name="_Toc25564"/>
      <w:bookmarkStart w:id="409" w:name="_Toc8325"/>
      <w:bookmarkStart w:id="410" w:name="_Toc26785"/>
      <w:bookmarkStart w:id="411" w:name="_Toc191087110"/>
      <w:bookmarkStart w:id="412" w:name="_Toc30025"/>
      <w:bookmarkStart w:id="413" w:name="_Toc24427_WPSOffice_Level1"/>
      <w:bookmarkStart w:id="414" w:name="_Toc142508360"/>
      <w:bookmarkStart w:id="415" w:name="_Toc447044603"/>
      <w:bookmarkStart w:id="416" w:name="_Toc447044479"/>
      <w:bookmarkStart w:id="417" w:name="_Toc13867"/>
      <w:bookmarkStart w:id="721" w:name="_GoBack"/>
      <w:bookmarkEnd w:id="721"/>
      <w:r>
        <w:rPr>
          <w:rFonts w:hint="eastAsia" w:ascii="宋体" w:hAnsi="宋体" w:eastAsia="宋体" w:cs="宋体"/>
          <w:b/>
          <w:bCs/>
          <w:color w:val="auto"/>
          <w:kern w:val="44"/>
          <w:sz w:val="32"/>
          <w:szCs w:val="32"/>
          <w:highlight w:val="none"/>
          <w:lang w:val="zh-CN"/>
        </w:rPr>
        <w:t>第五篇 相关保函格式</w:t>
      </w:r>
      <w:bookmarkEnd w:id="406"/>
      <w:bookmarkEnd w:id="407"/>
      <w:bookmarkEnd w:id="408"/>
      <w:bookmarkEnd w:id="409"/>
      <w:bookmarkEnd w:id="410"/>
      <w:bookmarkEnd w:id="411"/>
      <w:bookmarkEnd w:id="412"/>
      <w:bookmarkEnd w:id="413"/>
      <w:bookmarkEnd w:id="414"/>
      <w:bookmarkEnd w:id="415"/>
      <w:bookmarkEnd w:id="416"/>
      <w:bookmarkEnd w:id="417"/>
      <w:bookmarkStart w:id="418" w:name="_Toc447044604"/>
      <w:bookmarkStart w:id="419" w:name="_Toc447045091"/>
      <w:bookmarkStart w:id="420" w:name="_Toc447044480"/>
    </w:p>
    <w:bookmarkEnd w:id="418"/>
    <w:bookmarkEnd w:id="419"/>
    <w:bookmarkEnd w:id="420"/>
    <w:p w14:paraId="26AA7250">
      <w:pPr>
        <w:autoSpaceDE w:val="0"/>
        <w:autoSpaceDN w:val="0"/>
        <w:adjustRightInd w:val="0"/>
        <w:spacing w:after="120" w:afterLines="50" w:line="360" w:lineRule="auto"/>
        <w:jc w:val="left"/>
        <w:outlineLvl w:val="9"/>
        <w:rPr>
          <w:rFonts w:hint="eastAsia" w:ascii="宋体" w:hAnsi="宋体" w:eastAsia="宋体" w:cs="宋体"/>
          <w:b/>
          <w:color w:val="auto"/>
          <w:kern w:val="0"/>
          <w:sz w:val="28"/>
          <w:szCs w:val="28"/>
          <w:highlight w:val="none"/>
        </w:rPr>
      </w:pPr>
      <w:bookmarkStart w:id="421" w:name="_Toc26521_WPSOffice_Level2"/>
      <w:r>
        <w:rPr>
          <w:rFonts w:hint="eastAsia" w:ascii="宋体" w:hAnsi="宋体" w:eastAsia="宋体" w:cs="宋体"/>
          <w:b/>
          <w:color w:val="auto"/>
          <w:kern w:val="0"/>
          <w:sz w:val="28"/>
          <w:szCs w:val="28"/>
          <w:highlight w:val="none"/>
        </w:rPr>
        <w:t>一、</w:t>
      </w:r>
      <w:bookmarkEnd w:id="421"/>
      <w:r>
        <w:rPr>
          <w:rFonts w:hint="eastAsia" w:ascii="宋体" w:hAnsi="宋体" w:eastAsia="宋体" w:cs="宋体"/>
          <w:b/>
          <w:color w:val="auto"/>
          <w:kern w:val="0"/>
          <w:sz w:val="28"/>
          <w:szCs w:val="28"/>
          <w:highlight w:val="none"/>
        </w:rPr>
        <w:t>不可撤销银行履约保函格式</w:t>
      </w:r>
    </w:p>
    <w:p w14:paraId="5FC222A0">
      <w:pPr>
        <w:autoSpaceDE w:val="0"/>
        <w:autoSpaceDN w:val="0"/>
        <w:adjustRightInd w:val="0"/>
        <w:jc w:val="center"/>
        <w:outlineLvl w:val="9"/>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不可撤销银行履约保函</w:t>
      </w:r>
    </w:p>
    <w:p w14:paraId="3A3ABC0D">
      <w:pPr>
        <w:widowControl/>
        <w:autoSpaceDE w:val="0"/>
        <w:autoSpaceDN w:val="0"/>
        <w:adjustRightInd w:val="0"/>
        <w:spacing w:line="360" w:lineRule="auto"/>
        <w:jc w:val="left"/>
        <w:outlineLvl w:val="9"/>
        <w:rPr>
          <w:rFonts w:hint="eastAsia" w:ascii="宋体" w:hAnsi="宋体" w:eastAsia="宋体" w:cs="宋体"/>
          <w:color w:val="auto"/>
          <w:kern w:val="0"/>
          <w:sz w:val="21"/>
          <w:szCs w:val="21"/>
          <w:highlight w:val="none"/>
        </w:rPr>
      </w:pPr>
    </w:p>
    <w:p w14:paraId="55F7416C">
      <w:pPr>
        <w:autoSpaceDE w:val="0"/>
        <w:autoSpaceDN w:val="0"/>
        <w:adjustRightInd w:val="0"/>
        <w:spacing w:line="360" w:lineRule="auto"/>
        <w:ind w:firstLine="6300"/>
        <w:jc w:val="left"/>
        <w:outlineLvl w:val="9"/>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银行编号：</w:t>
      </w:r>
    </w:p>
    <w:p w14:paraId="27B518E3">
      <w:pPr>
        <w:widowControl/>
        <w:autoSpaceDE w:val="0"/>
        <w:autoSpaceDN w:val="0"/>
        <w:adjustRightInd w:val="0"/>
        <w:spacing w:line="360" w:lineRule="auto"/>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致：</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color w:val="auto"/>
          <w:kern w:val="0"/>
          <w:sz w:val="21"/>
          <w:szCs w:val="21"/>
          <w:highlight w:val="none"/>
        </w:rPr>
        <w:t>（下称“受益人”）</w:t>
      </w:r>
    </w:p>
    <w:p w14:paraId="13BAFFEE">
      <w:pPr>
        <w:widowControl/>
        <w:autoSpaceDE w:val="0"/>
        <w:autoSpaceDN w:val="0"/>
        <w:adjustRightInd w:val="0"/>
        <w:spacing w:line="360" w:lineRule="auto"/>
        <w:ind w:firstLine="567" w:firstLineChars="27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鉴于</w:t>
      </w:r>
      <w:r>
        <w:rPr>
          <w:rFonts w:hint="eastAsia" w:ascii="宋体" w:hAnsi="宋体" w:eastAsia="宋体" w:cs="宋体"/>
          <w:color w:val="auto"/>
          <w:kern w:val="0"/>
          <w:sz w:val="21"/>
          <w:szCs w:val="21"/>
          <w:highlight w:val="none"/>
          <w:u w:val="single"/>
        </w:rPr>
        <w:t xml:space="preserve">  （申请人的名称与地址）  </w:t>
      </w:r>
      <w:r>
        <w:rPr>
          <w:rFonts w:hint="eastAsia" w:ascii="宋体" w:hAnsi="宋体" w:eastAsia="宋体" w:cs="宋体"/>
          <w:color w:val="auto"/>
          <w:kern w:val="0"/>
          <w:sz w:val="21"/>
          <w:szCs w:val="21"/>
          <w:highlight w:val="none"/>
        </w:rPr>
        <w:t>（下称“申请人”），已保证按拟签订的</w:t>
      </w:r>
      <w:r>
        <w:rPr>
          <w:rFonts w:hint="eastAsia" w:ascii="宋体" w:hAnsi="宋体" w:eastAsia="宋体" w:cs="宋体"/>
          <w:color w:val="auto"/>
          <w:kern w:val="0"/>
          <w:sz w:val="21"/>
          <w:szCs w:val="21"/>
          <w:highlight w:val="none"/>
          <w:u w:val="single"/>
        </w:rPr>
        <w:t xml:space="preserve"> 项目名称       （</w:t>
      </w:r>
      <w:r>
        <w:rPr>
          <w:rFonts w:hint="eastAsia" w:ascii="宋体" w:hAnsi="宋体" w:eastAsia="宋体" w:cs="宋体"/>
          <w:color w:val="auto"/>
          <w:kern w:val="0"/>
          <w:sz w:val="21"/>
          <w:szCs w:val="21"/>
          <w:highlight w:val="none"/>
          <w:u w:val="single"/>
          <w:lang w:eastAsia="zh-CN"/>
        </w:rPr>
        <w:t>采购编号</w:t>
      </w:r>
      <w:r>
        <w:rPr>
          <w:rFonts w:hint="eastAsia" w:ascii="宋体" w:hAnsi="宋体" w:eastAsia="宋体" w:cs="宋体"/>
          <w:color w:val="auto"/>
          <w:kern w:val="0"/>
          <w:sz w:val="21"/>
          <w:szCs w:val="21"/>
          <w:highlight w:val="none"/>
          <w:u w:val="single"/>
        </w:rPr>
        <w:t>：         ）</w:t>
      </w:r>
      <w:r>
        <w:rPr>
          <w:rFonts w:hint="eastAsia" w:ascii="宋体" w:hAnsi="宋体" w:eastAsia="宋体" w:cs="宋体"/>
          <w:color w:val="auto"/>
          <w:kern w:val="0"/>
          <w:sz w:val="21"/>
          <w:szCs w:val="21"/>
          <w:highlight w:val="none"/>
        </w:rPr>
        <w:t>合同（</w:t>
      </w:r>
      <w:r>
        <w:rPr>
          <w:rFonts w:hint="eastAsia" w:ascii="宋体" w:hAnsi="宋体" w:eastAsia="宋体" w:cs="宋体"/>
          <w:color w:val="auto"/>
          <w:kern w:val="0"/>
          <w:sz w:val="21"/>
          <w:szCs w:val="21"/>
          <w:highlight w:val="none"/>
          <w:lang w:eastAsia="zh-CN"/>
        </w:rPr>
        <w:t>询比文件</w:t>
      </w:r>
      <w:r>
        <w:rPr>
          <w:rFonts w:hint="eastAsia" w:ascii="宋体" w:hAnsi="宋体" w:eastAsia="宋体" w:cs="宋体"/>
          <w:color w:val="auto"/>
          <w:kern w:val="0"/>
          <w:sz w:val="21"/>
          <w:szCs w:val="21"/>
          <w:highlight w:val="none"/>
        </w:rPr>
        <w:t>）中规定的义务履行合同。</w:t>
      </w:r>
    </w:p>
    <w:p w14:paraId="43D30AD9">
      <w:pPr>
        <w:widowControl/>
        <w:autoSpaceDE w:val="0"/>
        <w:autoSpaceDN w:val="0"/>
        <w:adjustRightInd w:val="0"/>
        <w:spacing w:line="360" w:lineRule="auto"/>
        <w:ind w:firstLine="567" w:firstLineChars="27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根据上述合同（</w:t>
      </w:r>
      <w:r>
        <w:rPr>
          <w:rFonts w:hint="eastAsia" w:ascii="宋体" w:hAnsi="宋体" w:eastAsia="宋体" w:cs="宋体"/>
          <w:color w:val="auto"/>
          <w:kern w:val="0"/>
          <w:sz w:val="21"/>
          <w:szCs w:val="21"/>
          <w:highlight w:val="none"/>
          <w:lang w:eastAsia="zh-CN"/>
        </w:rPr>
        <w:t>询比文件</w:t>
      </w:r>
      <w:r>
        <w:rPr>
          <w:rFonts w:hint="eastAsia" w:ascii="宋体" w:hAnsi="宋体" w:eastAsia="宋体" w:cs="宋体"/>
          <w:color w:val="auto"/>
          <w:kern w:val="0"/>
          <w:sz w:val="21"/>
          <w:szCs w:val="21"/>
          <w:highlight w:val="none"/>
        </w:rPr>
        <w:t>）规定，申请人应向受益人提供一份金额为人民币（大写）</w:t>
      </w:r>
      <w:r>
        <w:rPr>
          <w:rFonts w:hint="eastAsia" w:ascii="宋体" w:hAnsi="宋体" w:eastAsia="宋体" w:cs="宋体"/>
          <w:color w:val="auto"/>
          <w:kern w:val="0"/>
          <w:sz w:val="21"/>
          <w:szCs w:val="21"/>
          <w:highlight w:val="none"/>
          <w:u w:val="single"/>
        </w:rPr>
        <w:t xml:space="preserve">      （RMB元）</w:t>
      </w:r>
      <w:r>
        <w:rPr>
          <w:rFonts w:hint="eastAsia" w:ascii="宋体" w:hAnsi="宋体" w:eastAsia="宋体" w:cs="宋体"/>
          <w:color w:val="auto"/>
          <w:kern w:val="0"/>
          <w:sz w:val="21"/>
          <w:szCs w:val="21"/>
          <w:highlight w:val="none"/>
        </w:rPr>
        <w:t>的无条件、不可撤销银行履约保函，作为申请人履行上述合同的担保。</w:t>
      </w:r>
    </w:p>
    <w:p w14:paraId="2503E1D0">
      <w:pPr>
        <w:widowControl/>
        <w:autoSpaceDE w:val="0"/>
        <w:autoSpaceDN w:val="0"/>
        <w:adjustRightInd w:val="0"/>
        <w:spacing w:line="360" w:lineRule="auto"/>
        <w:ind w:firstLine="567" w:firstLineChars="27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w:t>
      </w:r>
      <w:r>
        <w:rPr>
          <w:rFonts w:hint="eastAsia" w:ascii="宋体" w:hAnsi="宋体" w:eastAsia="宋体" w:cs="宋体"/>
          <w:color w:val="auto"/>
          <w:kern w:val="0"/>
          <w:sz w:val="21"/>
          <w:szCs w:val="21"/>
          <w:highlight w:val="none"/>
          <w:u w:val="single"/>
        </w:rPr>
        <w:t xml:space="preserve">     （银行名称）</w:t>
      </w:r>
      <w:r>
        <w:rPr>
          <w:rFonts w:hint="eastAsia" w:ascii="宋体" w:hAnsi="宋体" w:eastAsia="宋体" w:cs="宋体"/>
          <w:color w:val="auto"/>
          <w:kern w:val="0"/>
          <w:sz w:val="21"/>
          <w:szCs w:val="21"/>
          <w:highlight w:val="none"/>
        </w:rPr>
        <w:t>，受申请人的委托，无条件和不可撤销地在受益人出具本保函原件且</w:t>
      </w:r>
      <w:r>
        <w:rPr>
          <w:rFonts w:hint="eastAsia" w:ascii="宋体" w:hAnsi="宋体" w:eastAsia="宋体" w:cs="宋体"/>
          <w:color w:val="auto"/>
          <w:kern w:val="0"/>
          <w:sz w:val="21"/>
          <w:szCs w:val="21"/>
          <w:highlight w:val="none"/>
          <w:lang w:val="en-US" w:eastAsia="zh-CN"/>
        </w:rPr>
        <w:t>书面</w:t>
      </w:r>
      <w:r>
        <w:rPr>
          <w:rFonts w:hint="eastAsia" w:ascii="宋体" w:hAnsi="宋体" w:eastAsia="宋体" w:cs="宋体"/>
          <w:color w:val="auto"/>
          <w:kern w:val="0"/>
          <w:sz w:val="21"/>
          <w:szCs w:val="21"/>
          <w:highlight w:val="none"/>
        </w:rPr>
        <w:t>提出因申请人没有履行上述合同规定，而要求我方承担责任</w:t>
      </w:r>
      <w:r>
        <w:rPr>
          <w:rFonts w:hint="eastAsia" w:ascii="宋体" w:hAnsi="宋体" w:eastAsia="宋体" w:cs="宋体"/>
          <w:color w:val="auto"/>
          <w:kern w:val="0"/>
          <w:sz w:val="21"/>
          <w:szCs w:val="21"/>
          <w:highlight w:val="none"/>
          <w:lang w:val="en-US" w:eastAsia="zh-CN"/>
        </w:rPr>
        <w:t>及付款</w:t>
      </w:r>
      <w:r>
        <w:rPr>
          <w:rFonts w:hint="eastAsia" w:ascii="宋体" w:hAnsi="宋体" w:eastAsia="宋体" w:cs="宋体"/>
          <w:color w:val="auto"/>
          <w:kern w:val="0"/>
          <w:sz w:val="21"/>
          <w:szCs w:val="21"/>
          <w:highlight w:val="none"/>
        </w:rPr>
        <w:t>后，在保函限额内向受益人支付不超过人民币（大写）_________（¥_______元）的款项。</w:t>
      </w:r>
    </w:p>
    <w:p w14:paraId="247B29C8">
      <w:pPr>
        <w:widowControl/>
        <w:autoSpaceDE w:val="0"/>
        <w:autoSpaceDN w:val="0"/>
        <w:adjustRightInd w:val="0"/>
        <w:spacing w:line="360" w:lineRule="auto"/>
        <w:ind w:firstLine="567" w:firstLineChars="27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受益人提出要求我方付款的文件之具体内容由受益人确定，受益人只需提出付款要求即可，无需提供证明申请人没有履行合同的证据，也无需提供第三方证明或司法机构裁判文书。我方的付款义务独立于基础交易关系，我方不得以基础交易关系的相关事实认定问题作为拒付理由。</w:t>
      </w:r>
    </w:p>
    <w:p w14:paraId="59CA173F">
      <w:pPr>
        <w:widowControl/>
        <w:autoSpaceDE w:val="0"/>
        <w:autoSpaceDN w:val="0"/>
        <w:adjustRightInd w:val="0"/>
        <w:spacing w:line="360" w:lineRule="auto"/>
        <w:ind w:firstLine="420" w:firstLineChars="20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在向我</w:t>
      </w:r>
      <w:r>
        <w:rPr>
          <w:rFonts w:hint="eastAsia" w:ascii="宋体" w:hAnsi="宋体" w:eastAsia="宋体" w:cs="宋体"/>
          <w:color w:val="auto"/>
          <w:kern w:val="0"/>
          <w:sz w:val="21"/>
          <w:szCs w:val="21"/>
          <w:highlight w:val="none"/>
          <w:lang w:val="en-US" w:eastAsia="zh-CN"/>
        </w:rPr>
        <w:t>方</w:t>
      </w:r>
      <w:r>
        <w:rPr>
          <w:rFonts w:hint="eastAsia" w:ascii="宋体" w:hAnsi="宋体" w:eastAsia="宋体" w:cs="宋体"/>
          <w:color w:val="auto"/>
          <w:kern w:val="0"/>
          <w:sz w:val="21"/>
          <w:szCs w:val="21"/>
          <w:highlight w:val="none"/>
        </w:rPr>
        <w:t>提出要求前，我</w:t>
      </w:r>
      <w:r>
        <w:rPr>
          <w:rFonts w:hint="eastAsia" w:ascii="宋体" w:hAnsi="宋体" w:eastAsia="宋体" w:cs="宋体"/>
          <w:color w:val="auto"/>
          <w:kern w:val="0"/>
          <w:sz w:val="21"/>
          <w:szCs w:val="21"/>
          <w:highlight w:val="none"/>
          <w:lang w:val="en-US" w:eastAsia="zh-CN"/>
        </w:rPr>
        <w:t>方</w:t>
      </w:r>
      <w:r>
        <w:rPr>
          <w:rFonts w:hint="eastAsia" w:ascii="宋体" w:hAnsi="宋体" w:eastAsia="宋体" w:cs="宋体"/>
          <w:color w:val="auto"/>
          <w:kern w:val="0"/>
          <w:sz w:val="21"/>
          <w:szCs w:val="21"/>
          <w:highlight w:val="none"/>
        </w:rPr>
        <w:t>将不坚持要求受益人首先向申请人提出上述款项的索赔。</w:t>
      </w:r>
    </w:p>
    <w:p w14:paraId="42A287F8">
      <w:pPr>
        <w:widowControl/>
        <w:autoSpaceDE w:val="0"/>
        <w:autoSpaceDN w:val="0"/>
        <w:adjustRightInd w:val="0"/>
        <w:spacing w:line="360" w:lineRule="auto"/>
        <w:ind w:firstLine="437"/>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我方还同意，任何受益人与申请人之间可能对合同条款的修改、规范或其他合同文件的变动补充，都不能免除我方按本保函所承担的责任。因此，有关上述变动、补充和修改无须通知或征得我方同意。</w:t>
      </w:r>
    </w:p>
    <w:p w14:paraId="088C4CF2">
      <w:pPr>
        <w:widowControl/>
        <w:autoSpaceDE w:val="0"/>
        <w:autoSpaceDN w:val="0"/>
        <w:adjustRightInd w:val="0"/>
        <w:spacing w:line="360" w:lineRule="auto"/>
        <w:ind w:firstLine="437"/>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Cs w:val="21"/>
          <w:highlight w:val="none"/>
        </w:rPr>
        <w:t>本保函为见索即付保函。</w:t>
      </w:r>
      <w:r>
        <w:rPr>
          <w:rFonts w:hint="eastAsia" w:ascii="宋体" w:hAnsi="宋体" w:eastAsia="宋体" w:cs="宋体"/>
          <w:color w:val="auto"/>
          <w:kern w:val="0"/>
          <w:sz w:val="21"/>
          <w:szCs w:val="21"/>
          <w:highlight w:val="none"/>
        </w:rPr>
        <w:t>本保函应自合同签订之日起至合同服务期限终止（终止时间以</w:t>
      </w:r>
      <w:r>
        <w:rPr>
          <w:rFonts w:hint="eastAsia" w:ascii="宋体" w:hAnsi="宋体" w:eastAsia="宋体" w:cs="宋体"/>
          <w:color w:val="auto"/>
          <w:kern w:val="0"/>
          <w:sz w:val="21"/>
          <w:szCs w:val="21"/>
          <w:highlight w:val="none"/>
          <w:lang w:val="en-US" w:eastAsia="zh-CN"/>
        </w:rPr>
        <w:t>长期废盐处置服务单位具备服务条件之日或结算处置量达到804吨</w:t>
      </w:r>
      <w:r>
        <w:rPr>
          <w:rFonts w:hint="eastAsia" w:ascii="宋体" w:hAnsi="宋体" w:eastAsia="宋体" w:cs="宋体"/>
          <w:color w:val="auto"/>
          <w:kern w:val="0"/>
          <w:sz w:val="21"/>
          <w:szCs w:val="21"/>
          <w:highlight w:val="none"/>
        </w:rPr>
        <w:t>二者先到者为准），</w:t>
      </w:r>
      <w:r>
        <w:rPr>
          <w:rFonts w:hint="eastAsia" w:ascii="宋体" w:hAnsi="宋体" w:eastAsia="宋体" w:cs="宋体"/>
          <w:color w:val="auto"/>
          <w:kern w:val="0"/>
          <w:sz w:val="21"/>
          <w:szCs w:val="21"/>
          <w:highlight w:val="none"/>
          <w:lang w:val="en-US" w:eastAsia="zh-CN"/>
        </w:rPr>
        <w:t>且</w:t>
      </w:r>
      <w:r>
        <w:rPr>
          <w:rFonts w:hint="eastAsia" w:ascii="宋体" w:hAnsi="宋体" w:eastAsia="宋体" w:cs="宋体"/>
          <w:color w:val="auto"/>
          <w:kern w:val="0"/>
          <w:sz w:val="21"/>
          <w:szCs w:val="21"/>
          <w:highlight w:val="none"/>
        </w:rPr>
        <w:t>完成合同全部服务义务后二十八（28）日内保持有效。</w:t>
      </w:r>
    </w:p>
    <w:p w14:paraId="78229667">
      <w:pPr>
        <w:widowControl/>
        <w:autoSpaceDE w:val="0"/>
        <w:autoSpaceDN w:val="0"/>
        <w:adjustRightInd w:val="0"/>
        <w:spacing w:line="360" w:lineRule="auto"/>
        <w:ind w:firstLine="437"/>
        <w:jc w:val="left"/>
        <w:outlineLvl w:val="9"/>
        <w:rPr>
          <w:rFonts w:hint="eastAsia" w:ascii="宋体" w:hAnsi="宋体" w:eastAsia="宋体" w:cs="宋体"/>
          <w:color w:val="auto"/>
          <w:kern w:val="0"/>
          <w:sz w:val="21"/>
          <w:szCs w:val="21"/>
          <w:highlight w:val="none"/>
        </w:rPr>
      </w:pPr>
    </w:p>
    <w:p w14:paraId="510D6A08">
      <w:pPr>
        <w:widowControl/>
        <w:autoSpaceDE w:val="0"/>
        <w:autoSpaceDN w:val="0"/>
        <w:adjustRightInd w:val="0"/>
        <w:spacing w:line="360" w:lineRule="auto"/>
        <w:ind w:firstLine="2520" w:firstLineChars="1200"/>
        <w:jc w:val="left"/>
        <w:outlineLvl w:val="9"/>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担 保 银 行：</w:t>
      </w:r>
      <w:r>
        <w:rPr>
          <w:rFonts w:hint="eastAsia" w:ascii="宋体" w:hAnsi="宋体" w:eastAsia="宋体" w:cs="宋体"/>
          <w:color w:val="auto"/>
          <w:kern w:val="0"/>
          <w:sz w:val="21"/>
          <w:szCs w:val="21"/>
          <w:highlight w:val="none"/>
          <w:u w:val="single"/>
        </w:rPr>
        <w:t xml:space="preserve">          银行全称          (盖章)   </w:t>
      </w:r>
    </w:p>
    <w:p w14:paraId="56F0D0DA">
      <w:pPr>
        <w:widowControl/>
        <w:autoSpaceDE w:val="0"/>
        <w:autoSpaceDN w:val="0"/>
        <w:adjustRightInd w:val="0"/>
        <w:spacing w:line="360" w:lineRule="auto"/>
        <w:ind w:firstLine="2520" w:firstLineChars="120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法定代表人或其授权的代表人：</w:t>
      </w:r>
      <w:r>
        <w:rPr>
          <w:rFonts w:hint="eastAsia" w:ascii="宋体" w:hAnsi="宋体" w:eastAsia="宋体" w:cs="宋体"/>
          <w:color w:val="auto"/>
          <w:kern w:val="0"/>
          <w:sz w:val="21"/>
          <w:szCs w:val="21"/>
          <w:highlight w:val="none"/>
          <w:u w:val="single"/>
        </w:rPr>
        <w:t xml:space="preserve">       (职务)         </w:t>
      </w:r>
    </w:p>
    <w:p w14:paraId="0E58746D">
      <w:pPr>
        <w:widowControl/>
        <w:autoSpaceDE w:val="0"/>
        <w:autoSpaceDN w:val="0"/>
        <w:adjustRightInd w:val="0"/>
        <w:spacing w:line="360" w:lineRule="auto"/>
        <w:ind w:firstLine="5502" w:firstLineChars="2620"/>
        <w:jc w:val="left"/>
        <w:outlineLvl w:val="9"/>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 xml:space="preserve">       (姓名)         </w:t>
      </w:r>
    </w:p>
    <w:p w14:paraId="7E2FBBF9">
      <w:pPr>
        <w:widowControl/>
        <w:autoSpaceDE w:val="0"/>
        <w:autoSpaceDN w:val="0"/>
        <w:adjustRightInd w:val="0"/>
        <w:spacing w:line="360" w:lineRule="auto"/>
        <w:ind w:firstLine="5502" w:firstLineChars="2620"/>
        <w:jc w:val="left"/>
        <w:outlineLvl w:val="9"/>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 xml:space="preserve">       (签章)         </w:t>
      </w:r>
    </w:p>
    <w:p w14:paraId="5FE37FCF">
      <w:pPr>
        <w:autoSpaceDE w:val="0"/>
        <w:autoSpaceDN w:val="0"/>
        <w:adjustRightInd w:val="0"/>
        <w:spacing w:line="360" w:lineRule="auto"/>
        <w:ind w:left="840" w:firstLine="420" w:firstLineChars="20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日</w:t>
      </w:r>
    </w:p>
    <w:p w14:paraId="479F1A93">
      <w:pPr>
        <w:autoSpaceDE w:val="0"/>
        <w:autoSpaceDN w:val="0"/>
        <w:adjustRightInd w:val="0"/>
        <w:spacing w:line="360" w:lineRule="auto"/>
        <w:ind w:right="368" w:rightChars="175"/>
        <w:jc w:val="left"/>
        <w:outlineLvl w:val="9"/>
        <w:rPr>
          <w:rFonts w:hint="eastAsia" w:ascii="宋体" w:hAnsi="宋体" w:eastAsia="宋体" w:cs="宋体"/>
          <w:color w:val="auto"/>
          <w:kern w:val="0"/>
          <w:szCs w:val="21"/>
          <w:highlight w:val="none"/>
        </w:rPr>
        <w:sectPr>
          <w:footerReference r:id="rId9" w:type="first"/>
          <w:footerReference r:id="rId8" w:type="default"/>
          <w:pgSz w:w="12240" w:h="15840"/>
          <w:pgMar w:top="1191" w:right="1043" w:bottom="1191" w:left="1043" w:header="720" w:footer="720" w:gutter="0"/>
          <w:pgBorders>
            <w:top w:val="none" w:sz="0" w:space="0"/>
            <w:left w:val="none" w:sz="0" w:space="0"/>
            <w:bottom w:val="none" w:sz="0" w:space="0"/>
            <w:right w:val="none" w:sz="0" w:space="0"/>
          </w:pgBorders>
          <w:pgNumType w:fmt="decimal"/>
          <w:cols w:space="720" w:num="1"/>
          <w:docGrid w:linePitch="326" w:charSpace="0"/>
        </w:sectPr>
      </w:pPr>
    </w:p>
    <w:p w14:paraId="66008FD6">
      <w:pPr>
        <w:autoSpaceDE/>
        <w:autoSpaceDN/>
        <w:adjustRightInd/>
        <w:jc w:val="both"/>
        <w:outlineLvl w:val="9"/>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二、履约保证保险凭证格式</w:t>
      </w:r>
    </w:p>
    <w:p w14:paraId="324AB870">
      <w:pPr>
        <w:autoSpaceDE w:val="0"/>
        <w:autoSpaceDN w:val="0"/>
        <w:adjustRightInd w:val="0"/>
        <w:jc w:val="center"/>
        <w:outlineLvl w:val="9"/>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履约保证保险凭证</w:t>
      </w:r>
    </w:p>
    <w:p w14:paraId="1E575E1A">
      <w:pPr>
        <w:autoSpaceDE w:val="0"/>
        <w:autoSpaceDN w:val="0"/>
        <w:adjustRightInd w:val="0"/>
        <w:spacing w:line="420" w:lineRule="exact"/>
        <w:ind w:firstLine="437"/>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p>
    <w:p w14:paraId="52DADB71">
      <w:pPr>
        <w:autoSpaceDE w:val="0"/>
        <w:autoSpaceDN w:val="0"/>
        <w:adjustRightInd w:val="0"/>
        <w:spacing w:line="420" w:lineRule="exact"/>
        <w:ind w:firstLine="437"/>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编号：</w:t>
      </w:r>
    </w:p>
    <w:p w14:paraId="14CE91C4">
      <w:pPr>
        <w:autoSpaceDE w:val="0"/>
        <w:autoSpaceDN w:val="0"/>
        <w:adjustRightInd w:val="0"/>
        <w:spacing w:line="420" w:lineRule="exact"/>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致：</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color w:val="auto"/>
          <w:kern w:val="0"/>
          <w:sz w:val="21"/>
          <w:szCs w:val="21"/>
          <w:highlight w:val="none"/>
        </w:rPr>
        <w:t xml:space="preserve">（下称“受益人”）： </w:t>
      </w:r>
    </w:p>
    <w:p w14:paraId="2239D720">
      <w:pPr>
        <w:autoSpaceDE w:val="0"/>
        <w:autoSpaceDN w:val="0"/>
        <w:adjustRightInd w:val="0"/>
        <w:spacing w:line="420" w:lineRule="exact"/>
        <w:ind w:firstLine="437"/>
        <w:jc w:val="left"/>
        <w:outlineLvl w:val="9"/>
        <w:rPr>
          <w:rFonts w:hint="eastAsia" w:ascii="宋体" w:hAnsi="宋体" w:eastAsia="宋体" w:cs="宋体"/>
          <w:color w:val="auto"/>
          <w:kern w:val="0"/>
          <w:sz w:val="21"/>
          <w:szCs w:val="21"/>
          <w:highlight w:val="none"/>
        </w:rPr>
      </w:pPr>
    </w:p>
    <w:p w14:paraId="719B97E5">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鉴于</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color w:val="auto"/>
          <w:kern w:val="0"/>
          <w:sz w:val="21"/>
          <w:szCs w:val="21"/>
          <w:highlight w:val="none"/>
        </w:rPr>
        <w:t>（下称“申请人”）已与贵方签订了</w:t>
      </w:r>
      <w:r>
        <w:rPr>
          <w:rFonts w:hint="eastAsia" w:ascii="宋体" w:hAnsi="宋体" w:eastAsia="宋体" w:cs="宋体"/>
          <w:color w:val="auto"/>
          <w:kern w:val="0"/>
          <w:sz w:val="21"/>
          <w:szCs w:val="21"/>
          <w:highlight w:val="none"/>
          <w:u w:val="single"/>
        </w:rPr>
        <w:t xml:space="preserve">         项目（</w:t>
      </w:r>
      <w:r>
        <w:rPr>
          <w:rFonts w:hint="eastAsia" w:ascii="宋体" w:hAnsi="宋体" w:eastAsia="宋体" w:cs="宋体"/>
          <w:color w:val="auto"/>
          <w:kern w:val="0"/>
          <w:sz w:val="21"/>
          <w:szCs w:val="21"/>
          <w:highlight w:val="none"/>
          <w:u w:val="single"/>
          <w:lang w:eastAsia="zh-CN"/>
        </w:rPr>
        <w:t>采购编号</w:t>
      </w:r>
      <w:r>
        <w:rPr>
          <w:rFonts w:hint="eastAsia" w:ascii="宋体" w:hAnsi="宋体" w:eastAsia="宋体" w:cs="宋体"/>
          <w:color w:val="auto"/>
          <w:kern w:val="0"/>
          <w:sz w:val="21"/>
          <w:szCs w:val="21"/>
          <w:highlight w:val="none"/>
          <w:u w:val="single"/>
        </w:rPr>
        <w:t>：        ）</w:t>
      </w:r>
      <w:r>
        <w:rPr>
          <w:rFonts w:hint="eastAsia" w:ascii="宋体" w:hAnsi="宋体" w:eastAsia="宋体" w:cs="宋体"/>
          <w:color w:val="auto"/>
          <w:kern w:val="0"/>
          <w:sz w:val="21"/>
          <w:szCs w:val="21"/>
          <w:highlight w:val="none"/>
        </w:rPr>
        <w:t xml:space="preserve">合同。我方已接受申请人的请求，并出具《履约保证保险》保险单。 </w:t>
      </w:r>
    </w:p>
    <w:p w14:paraId="5F6DA3CF">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一、保证保险金额 </w:t>
      </w:r>
    </w:p>
    <w:p w14:paraId="3C749E40">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我方承担的履约保证保险的保险金额（最高限额）为人民币（大写）</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元 （¥</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color w:val="auto"/>
          <w:kern w:val="0"/>
          <w:sz w:val="21"/>
          <w:szCs w:val="21"/>
          <w:highlight w:val="none"/>
        </w:rPr>
        <w:t xml:space="preserve"> ）。 </w:t>
      </w:r>
    </w:p>
    <w:p w14:paraId="7844E6CF">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二、保证保险的责任范围 </w:t>
      </w:r>
    </w:p>
    <w:p w14:paraId="413B5290">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在保险期间内，申请人因自身原因未按照与贵方签订的</w:t>
      </w:r>
      <w:r>
        <w:rPr>
          <w:rFonts w:hint="eastAsia" w:ascii="宋体" w:hAnsi="宋体" w:eastAsia="宋体" w:cs="宋体"/>
          <w:color w:val="auto"/>
          <w:kern w:val="0"/>
          <w:sz w:val="21"/>
          <w:szCs w:val="21"/>
          <w:highlight w:val="none"/>
          <w:u w:val="single"/>
        </w:rPr>
        <w:t xml:space="preserve">         项目（</w:t>
      </w:r>
      <w:r>
        <w:rPr>
          <w:rFonts w:hint="eastAsia" w:ascii="宋体" w:hAnsi="宋体" w:eastAsia="宋体" w:cs="宋体"/>
          <w:color w:val="auto"/>
          <w:kern w:val="0"/>
          <w:sz w:val="21"/>
          <w:szCs w:val="21"/>
          <w:highlight w:val="none"/>
          <w:u w:val="single"/>
          <w:lang w:eastAsia="zh-CN"/>
        </w:rPr>
        <w:t>采购编号</w:t>
      </w:r>
      <w:r>
        <w:rPr>
          <w:rFonts w:hint="eastAsia" w:ascii="宋体" w:hAnsi="宋体" w:eastAsia="宋体" w:cs="宋体"/>
          <w:color w:val="auto"/>
          <w:kern w:val="0"/>
          <w:sz w:val="21"/>
          <w:szCs w:val="21"/>
          <w:highlight w:val="none"/>
          <w:u w:val="single"/>
        </w:rPr>
        <w:t>：        ）</w:t>
      </w:r>
      <w:r>
        <w:rPr>
          <w:rFonts w:hint="eastAsia" w:ascii="宋体" w:hAnsi="宋体" w:eastAsia="宋体" w:cs="宋体"/>
          <w:color w:val="auto"/>
          <w:kern w:val="0"/>
          <w:sz w:val="21"/>
          <w:szCs w:val="21"/>
          <w:highlight w:val="none"/>
        </w:rPr>
        <w:t xml:space="preserve">合同履行相关义务，给贵方造成损失的，贵方可向我方提出索赔，我方按照保险合同的约定承担损失赔偿责任。 </w:t>
      </w:r>
    </w:p>
    <w:p w14:paraId="35AAB08D">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三、代偿的安排 </w:t>
      </w:r>
    </w:p>
    <w:p w14:paraId="65E7571D">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贵方要求我方承担保证保险责任的，我方无条件和不可撤销地在贵方出具本履约保证保险原件且提出因申请人没有履行上述合同规定，而要求我方承担保证责任后，在保险限额内向贵方支付不超过人民币（大写）_________（¥_______元）的款项。</w:t>
      </w:r>
    </w:p>
    <w:p w14:paraId="31D10039">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贵方提出要求我方付款的文件之具体内容由贵方确定，贵方只需提出付款要求即可，无需提供证明申请人没有履行合同的证据，也无需提供第三方证明或司法机构裁判文书。我方的付款义务独立于基础交易关系，我方不得以基础交易关系的相关事实认定问题作为拒付理由。</w:t>
      </w:r>
    </w:p>
    <w:p w14:paraId="22213E6D">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四、生效时间 </w:t>
      </w:r>
    </w:p>
    <w:p w14:paraId="71085268">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本保险凭证自我方法定代表人（或其授权代理人）签字并加盖保险承保章之日起生效。 </w:t>
      </w:r>
    </w:p>
    <w:p w14:paraId="5E68B846">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五、其他</w:t>
      </w:r>
    </w:p>
    <w:p w14:paraId="7E38223D">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本履约保证保险应自合同签订之日起至合同服务期限终止（终止时间以</w:t>
      </w:r>
      <w:r>
        <w:rPr>
          <w:rFonts w:hint="eastAsia" w:ascii="宋体" w:hAnsi="宋体" w:eastAsia="宋体" w:cs="宋体"/>
          <w:color w:val="auto"/>
          <w:kern w:val="0"/>
          <w:sz w:val="21"/>
          <w:szCs w:val="21"/>
          <w:highlight w:val="none"/>
          <w:lang w:val="en-US" w:eastAsia="zh-CN"/>
        </w:rPr>
        <w:t>长期废盐处置服务单位具备服务条件之日或结算处置量达到804吨</w:t>
      </w:r>
      <w:r>
        <w:rPr>
          <w:rFonts w:hint="eastAsia" w:ascii="宋体" w:hAnsi="宋体" w:eastAsia="宋体" w:cs="宋体"/>
          <w:color w:val="auto"/>
          <w:kern w:val="0"/>
          <w:sz w:val="21"/>
          <w:szCs w:val="21"/>
          <w:highlight w:val="none"/>
        </w:rPr>
        <w:t>二者先到者为准），</w:t>
      </w:r>
      <w:r>
        <w:rPr>
          <w:rFonts w:hint="eastAsia" w:ascii="宋体" w:hAnsi="宋体" w:eastAsia="宋体" w:cs="宋体"/>
          <w:color w:val="auto"/>
          <w:kern w:val="0"/>
          <w:sz w:val="21"/>
          <w:szCs w:val="21"/>
          <w:highlight w:val="none"/>
          <w:lang w:val="en-US" w:eastAsia="zh-CN"/>
        </w:rPr>
        <w:t>且</w:t>
      </w:r>
      <w:r>
        <w:rPr>
          <w:rFonts w:hint="eastAsia" w:ascii="宋体" w:hAnsi="宋体" w:eastAsia="宋体" w:cs="宋体"/>
          <w:color w:val="auto"/>
          <w:kern w:val="0"/>
          <w:sz w:val="21"/>
          <w:szCs w:val="21"/>
          <w:highlight w:val="none"/>
        </w:rPr>
        <w:t>完成合同全部服务义务后二十八（28）日内保持有效。</w:t>
      </w:r>
    </w:p>
    <w:p w14:paraId="1F85078E">
      <w:pPr>
        <w:keepNext w:val="0"/>
        <w:keepLines w:val="0"/>
        <w:pageBreakBefore w:val="0"/>
        <w:widowControl w:val="0"/>
        <w:kinsoku/>
        <w:wordWrap/>
        <w:overflowPunct/>
        <w:topLinePunct w:val="0"/>
        <w:autoSpaceDE/>
        <w:autoSpaceDN/>
        <w:bidi w:val="0"/>
        <w:adjustRightInd/>
        <w:snapToGrid/>
        <w:spacing w:line="540" w:lineRule="exact"/>
        <w:jc w:val="both"/>
        <w:textAlignment w:val="auto"/>
        <w:outlineLvl w:val="9"/>
        <w:rPr>
          <w:rFonts w:hint="eastAsia" w:ascii="宋体" w:hAnsi="宋体" w:eastAsia="宋体" w:cs="宋体"/>
          <w:color w:val="auto"/>
          <w:kern w:val="2"/>
          <w:sz w:val="21"/>
          <w:szCs w:val="22"/>
          <w:highlight w:val="none"/>
        </w:rPr>
      </w:pPr>
    </w:p>
    <w:p w14:paraId="118E4AFA">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附：《XXX 保险有限公司履约保证保险（X 款）条款》及保单 </w:t>
      </w:r>
    </w:p>
    <w:p w14:paraId="4E685775">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center"/>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p>
    <w:p w14:paraId="0BEC1627">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center"/>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保险人：（盖章）</w:t>
      </w:r>
    </w:p>
    <w:p w14:paraId="4823EB90">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righ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法定代表人或授权代理人：________ </w:t>
      </w:r>
    </w:p>
    <w:p w14:paraId="6FDE20F3">
      <w:pPr>
        <w:keepNext w:val="0"/>
        <w:keepLines w:val="0"/>
        <w:pageBreakBefore w:val="0"/>
        <w:widowControl w:val="0"/>
        <w:kinsoku/>
        <w:wordWrap/>
        <w:overflowPunct/>
        <w:topLinePunct w:val="0"/>
        <w:autoSpaceDE w:val="0"/>
        <w:autoSpaceDN w:val="0"/>
        <w:bidi w:val="0"/>
        <w:adjustRightInd w:val="0"/>
        <w:snapToGrid/>
        <w:spacing w:line="540" w:lineRule="exact"/>
        <w:ind w:firstLine="437"/>
        <w:jc w:val="righ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年 月 日</w:t>
      </w:r>
    </w:p>
    <w:p w14:paraId="523F0F74">
      <w:pPr>
        <w:widowControl/>
        <w:autoSpaceDE w:val="0"/>
        <w:autoSpaceDN w:val="0"/>
        <w:adjustRightInd w:val="0"/>
        <w:spacing w:before="100" w:beforeAutospacing="1" w:after="100" w:afterAutospacing="1" w:line="420" w:lineRule="exact"/>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br w:type="page"/>
      </w:r>
    </w:p>
    <w:p w14:paraId="437304C9">
      <w:pPr>
        <w:autoSpaceDE w:val="0"/>
        <w:autoSpaceDN w:val="0"/>
        <w:adjustRightInd w:val="0"/>
        <w:spacing w:after="120" w:afterLines="50" w:line="360" w:lineRule="auto"/>
        <w:jc w:val="left"/>
        <w:outlineLvl w:val="9"/>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三、担保公司履约担保书格式</w:t>
      </w:r>
    </w:p>
    <w:p w14:paraId="0A0DF24F">
      <w:pPr>
        <w:autoSpaceDE w:val="0"/>
        <w:autoSpaceDN w:val="0"/>
        <w:adjustRightInd w:val="0"/>
        <w:jc w:val="center"/>
        <w:outlineLvl w:val="9"/>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担保公司履约担保书</w:t>
      </w:r>
    </w:p>
    <w:p w14:paraId="1CA41468">
      <w:pPr>
        <w:widowControl/>
        <w:autoSpaceDE w:val="0"/>
        <w:autoSpaceDN w:val="0"/>
        <w:adjustRightInd w:val="0"/>
        <w:spacing w:before="100" w:beforeAutospacing="1" w:after="100" w:afterAutospacing="1" w:line="360" w:lineRule="auto"/>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致：</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color w:val="auto"/>
          <w:kern w:val="0"/>
          <w:sz w:val="21"/>
          <w:szCs w:val="21"/>
          <w:highlight w:val="none"/>
        </w:rPr>
        <w:t>（下称“受益人”）</w:t>
      </w:r>
    </w:p>
    <w:p w14:paraId="2688E27D">
      <w:pPr>
        <w:autoSpaceDE w:val="0"/>
        <w:autoSpaceDN w:val="0"/>
        <w:adjustRightInd w:val="0"/>
        <w:spacing w:line="360" w:lineRule="auto"/>
        <w:ind w:firstLine="437"/>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鉴于</w:t>
      </w:r>
      <w:r>
        <w:rPr>
          <w:rFonts w:hint="eastAsia" w:ascii="宋体" w:hAnsi="宋体" w:eastAsia="宋体" w:cs="宋体"/>
          <w:color w:val="auto"/>
          <w:kern w:val="0"/>
          <w:sz w:val="21"/>
          <w:szCs w:val="21"/>
          <w:highlight w:val="none"/>
          <w:u w:val="single"/>
        </w:rPr>
        <w:t xml:space="preserve">  （申请人的名称与地址）  </w:t>
      </w:r>
      <w:r>
        <w:rPr>
          <w:rFonts w:hint="eastAsia" w:ascii="宋体" w:hAnsi="宋体" w:eastAsia="宋体" w:cs="宋体"/>
          <w:color w:val="auto"/>
          <w:kern w:val="0"/>
          <w:sz w:val="21"/>
          <w:szCs w:val="21"/>
          <w:highlight w:val="none"/>
        </w:rPr>
        <w:t>（下称“申请人”），已保证按拟签订的</w:t>
      </w:r>
      <w:r>
        <w:rPr>
          <w:rFonts w:hint="eastAsia" w:ascii="宋体" w:hAnsi="宋体" w:eastAsia="宋体" w:cs="宋体"/>
          <w:color w:val="auto"/>
          <w:kern w:val="0"/>
          <w:sz w:val="21"/>
          <w:szCs w:val="21"/>
          <w:highlight w:val="none"/>
          <w:u w:val="single"/>
        </w:rPr>
        <w:t xml:space="preserve">          项目（</w:t>
      </w:r>
      <w:r>
        <w:rPr>
          <w:rFonts w:hint="eastAsia" w:ascii="宋体" w:hAnsi="宋体" w:eastAsia="宋体" w:cs="宋体"/>
          <w:color w:val="auto"/>
          <w:kern w:val="0"/>
          <w:sz w:val="21"/>
          <w:szCs w:val="21"/>
          <w:highlight w:val="none"/>
          <w:u w:val="single"/>
          <w:lang w:eastAsia="zh-CN"/>
        </w:rPr>
        <w:t>采购编号</w:t>
      </w:r>
      <w:r>
        <w:rPr>
          <w:rFonts w:hint="eastAsia" w:ascii="宋体" w:hAnsi="宋体" w:eastAsia="宋体" w:cs="宋体"/>
          <w:color w:val="auto"/>
          <w:kern w:val="0"/>
          <w:sz w:val="21"/>
          <w:szCs w:val="21"/>
          <w:highlight w:val="none"/>
          <w:u w:val="single"/>
        </w:rPr>
        <w:t>：        ）</w:t>
      </w:r>
      <w:r>
        <w:rPr>
          <w:rFonts w:hint="eastAsia" w:ascii="宋体" w:hAnsi="宋体" w:eastAsia="宋体" w:cs="宋体"/>
          <w:color w:val="auto"/>
          <w:kern w:val="0"/>
          <w:sz w:val="21"/>
          <w:szCs w:val="21"/>
          <w:highlight w:val="none"/>
        </w:rPr>
        <w:t>合同（</w:t>
      </w:r>
      <w:r>
        <w:rPr>
          <w:rFonts w:hint="eastAsia" w:ascii="宋体" w:hAnsi="宋体" w:eastAsia="宋体" w:cs="宋体"/>
          <w:color w:val="auto"/>
          <w:kern w:val="0"/>
          <w:sz w:val="21"/>
          <w:szCs w:val="21"/>
          <w:highlight w:val="none"/>
          <w:lang w:eastAsia="zh-CN"/>
        </w:rPr>
        <w:t>询比文件</w:t>
      </w:r>
      <w:r>
        <w:rPr>
          <w:rFonts w:hint="eastAsia" w:ascii="宋体" w:hAnsi="宋体" w:eastAsia="宋体" w:cs="宋体"/>
          <w:color w:val="auto"/>
          <w:kern w:val="0"/>
          <w:sz w:val="21"/>
          <w:szCs w:val="21"/>
          <w:highlight w:val="none"/>
        </w:rPr>
        <w:t>）中规定的义务履行合同。</w:t>
      </w:r>
    </w:p>
    <w:p w14:paraId="30641528">
      <w:pPr>
        <w:widowControl/>
        <w:autoSpaceDE w:val="0"/>
        <w:autoSpaceDN w:val="0"/>
        <w:adjustRightInd w:val="0"/>
        <w:spacing w:line="360" w:lineRule="auto"/>
        <w:ind w:firstLine="567" w:firstLineChars="27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根据上述合同（</w:t>
      </w:r>
      <w:r>
        <w:rPr>
          <w:rFonts w:hint="eastAsia" w:ascii="宋体" w:hAnsi="宋体" w:eastAsia="宋体" w:cs="宋体"/>
          <w:color w:val="auto"/>
          <w:kern w:val="0"/>
          <w:sz w:val="21"/>
          <w:szCs w:val="21"/>
          <w:highlight w:val="none"/>
          <w:lang w:eastAsia="zh-CN"/>
        </w:rPr>
        <w:t>询比文件</w:t>
      </w:r>
      <w:r>
        <w:rPr>
          <w:rFonts w:hint="eastAsia" w:ascii="宋体" w:hAnsi="宋体" w:eastAsia="宋体" w:cs="宋体"/>
          <w:color w:val="auto"/>
          <w:kern w:val="0"/>
          <w:sz w:val="21"/>
          <w:szCs w:val="21"/>
          <w:highlight w:val="none"/>
        </w:rPr>
        <w:t>）规定，申请人应向受益人提供一份金额为人民币（大写）</w:t>
      </w:r>
      <w:r>
        <w:rPr>
          <w:rFonts w:hint="eastAsia" w:ascii="宋体" w:hAnsi="宋体" w:eastAsia="宋体" w:cs="宋体"/>
          <w:color w:val="auto"/>
          <w:kern w:val="0"/>
          <w:sz w:val="21"/>
          <w:szCs w:val="21"/>
          <w:highlight w:val="none"/>
          <w:u w:val="single"/>
        </w:rPr>
        <w:t xml:space="preserve">     （RMB元）</w:t>
      </w:r>
      <w:r>
        <w:rPr>
          <w:rFonts w:hint="eastAsia" w:ascii="宋体" w:hAnsi="宋体" w:eastAsia="宋体" w:cs="宋体"/>
          <w:color w:val="auto"/>
          <w:kern w:val="0"/>
          <w:sz w:val="21"/>
          <w:szCs w:val="21"/>
          <w:highlight w:val="none"/>
        </w:rPr>
        <w:t>的无条件、</w:t>
      </w:r>
      <w:r>
        <w:rPr>
          <w:rFonts w:hint="eastAsia" w:ascii="宋体" w:hAnsi="宋体" w:eastAsia="宋体" w:cs="宋体"/>
          <w:bCs/>
          <w:color w:val="auto"/>
          <w:kern w:val="0"/>
          <w:sz w:val="21"/>
          <w:szCs w:val="21"/>
          <w:highlight w:val="none"/>
        </w:rPr>
        <w:t>不可撤销</w:t>
      </w:r>
      <w:r>
        <w:rPr>
          <w:rFonts w:hint="eastAsia" w:ascii="宋体" w:hAnsi="宋体" w:eastAsia="宋体" w:cs="宋体"/>
          <w:color w:val="auto"/>
          <w:kern w:val="0"/>
          <w:sz w:val="21"/>
          <w:szCs w:val="21"/>
          <w:highlight w:val="none"/>
        </w:rPr>
        <w:t>履约担保，作为申请人履行上述合同的担保，</w:t>
      </w:r>
      <w:r>
        <w:rPr>
          <w:rFonts w:hint="eastAsia" w:ascii="宋体" w:hAnsi="宋体" w:eastAsia="宋体" w:cs="宋体"/>
          <w:color w:val="auto"/>
          <w:kern w:val="0"/>
          <w:sz w:val="21"/>
          <w:szCs w:val="21"/>
          <w:highlight w:val="none"/>
          <w:lang w:eastAsia="zh-Hans"/>
        </w:rPr>
        <w:t>我方</w:t>
      </w:r>
      <w:r>
        <w:rPr>
          <w:rFonts w:hint="eastAsia" w:ascii="宋体" w:hAnsi="宋体" w:eastAsia="宋体" w:cs="宋体"/>
          <w:color w:val="auto"/>
          <w:kern w:val="0"/>
          <w:sz w:val="21"/>
          <w:szCs w:val="21"/>
          <w:highlight w:val="none"/>
          <w:u w:val="single"/>
        </w:rPr>
        <w:t xml:space="preserve">  （担保公司名称）  </w:t>
      </w:r>
      <w:r>
        <w:rPr>
          <w:rFonts w:hint="eastAsia" w:ascii="宋体" w:hAnsi="宋体" w:eastAsia="宋体" w:cs="宋体"/>
          <w:color w:val="auto"/>
          <w:kern w:val="0"/>
          <w:sz w:val="21"/>
          <w:szCs w:val="21"/>
          <w:highlight w:val="none"/>
        </w:rPr>
        <w:t>在</w:t>
      </w:r>
      <w:r>
        <w:rPr>
          <w:rFonts w:hint="eastAsia" w:ascii="宋体" w:hAnsi="宋体" w:eastAsia="宋体" w:cs="宋体"/>
          <w:color w:val="auto"/>
          <w:kern w:val="0"/>
          <w:sz w:val="21"/>
          <w:szCs w:val="21"/>
          <w:highlight w:val="none"/>
          <w:lang w:eastAsia="zh-Hans"/>
        </w:rPr>
        <w:t>本合同项下的保证责任为连带责任保证</w:t>
      </w:r>
      <w:r>
        <w:rPr>
          <w:rFonts w:hint="eastAsia" w:ascii="宋体" w:hAnsi="宋体" w:eastAsia="宋体" w:cs="宋体"/>
          <w:color w:val="auto"/>
          <w:kern w:val="0"/>
          <w:sz w:val="21"/>
          <w:szCs w:val="21"/>
          <w:highlight w:val="none"/>
        </w:rPr>
        <w:t>。</w:t>
      </w:r>
    </w:p>
    <w:p w14:paraId="34D13FB6">
      <w:pPr>
        <w:autoSpaceDE w:val="0"/>
        <w:autoSpaceDN w:val="0"/>
        <w:adjustRightInd w:val="0"/>
        <w:spacing w:line="360" w:lineRule="auto"/>
        <w:ind w:firstLine="437"/>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w:t>
      </w:r>
      <w:r>
        <w:rPr>
          <w:rFonts w:hint="eastAsia" w:ascii="宋体" w:hAnsi="宋体" w:eastAsia="宋体" w:cs="宋体"/>
          <w:color w:val="auto"/>
          <w:kern w:val="0"/>
          <w:sz w:val="21"/>
          <w:szCs w:val="21"/>
          <w:highlight w:val="none"/>
          <w:u w:val="single"/>
        </w:rPr>
        <w:t xml:space="preserve">  （担保公司名称）  </w:t>
      </w:r>
      <w:r>
        <w:rPr>
          <w:rFonts w:hint="eastAsia" w:ascii="宋体" w:hAnsi="宋体" w:eastAsia="宋体" w:cs="宋体"/>
          <w:color w:val="auto"/>
          <w:kern w:val="0"/>
          <w:sz w:val="21"/>
          <w:szCs w:val="21"/>
          <w:highlight w:val="none"/>
        </w:rPr>
        <w:t>，受申请人的委托，无条件和不可撤销地在受益人出具本担保书原件且提出因申请人没有履行上述合同规定，在担保书限额内向受益人支付不超过人民币（大写）_________（¥_______元）的款项。受益人提出要求我方付款的文件之具体内容由受益人确定，受益人只需提出付款要求即可，无需提供证明申请人没有履行合同的证据，也无需提供第三方证明或司法机构裁判文书。我方的付款义务独立于基础交易关系，我方不得以基础交易关系的相关事实认定问题作为拒付理由。</w:t>
      </w:r>
    </w:p>
    <w:p w14:paraId="51A342A5">
      <w:pPr>
        <w:autoSpaceDE w:val="0"/>
        <w:autoSpaceDN w:val="0"/>
        <w:adjustRightInd w:val="0"/>
        <w:spacing w:line="360" w:lineRule="auto"/>
        <w:ind w:firstLine="437"/>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我方还同意，任何受益人与申请人之间可能对合同条款的修改、规范或其他合同文件的变动补充，都不能免除我方按本担保函所承担的责任。因此，有关上述变动、补充和修改无须通知或征得我方同意。</w:t>
      </w:r>
    </w:p>
    <w:p w14:paraId="3D072ED0">
      <w:pPr>
        <w:autoSpaceDE w:val="0"/>
        <w:autoSpaceDN w:val="0"/>
        <w:adjustRightInd w:val="0"/>
        <w:spacing w:line="360" w:lineRule="auto"/>
        <w:ind w:firstLine="437"/>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本担保书应自合同签订之日起至合同服务期限终止（终止时间以</w:t>
      </w:r>
      <w:r>
        <w:rPr>
          <w:rFonts w:hint="eastAsia" w:ascii="宋体" w:hAnsi="宋体" w:eastAsia="宋体" w:cs="宋体"/>
          <w:color w:val="auto"/>
          <w:kern w:val="0"/>
          <w:sz w:val="21"/>
          <w:szCs w:val="21"/>
          <w:highlight w:val="none"/>
          <w:lang w:val="en-US" w:eastAsia="zh-CN"/>
        </w:rPr>
        <w:t>长期废盐处置服务单位具备服务条件之日或结算处置量达到804吨</w:t>
      </w:r>
      <w:r>
        <w:rPr>
          <w:rFonts w:hint="eastAsia" w:ascii="宋体" w:hAnsi="宋体" w:eastAsia="宋体" w:cs="宋体"/>
          <w:color w:val="auto"/>
          <w:kern w:val="0"/>
          <w:sz w:val="21"/>
          <w:szCs w:val="21"/>
          <w:highlight w:val="none"/>
        </w:rPr>
        <w:t>二者先到者为准），</w:t>
      </w:r>
      <w:r>
        <w:rPr>
          <w:rFonts w:hint="eastAsia" w:ascii="宋体" w:hAnsi="宋体" w:eastAsia="宋体" w:cs="宋体"/>
          <w:color w:val="auto"/>
          <w:kern w:val="0"/>
          <w:sz w:val="21"/>
          <w:szCs w:val="21"/>
          <w:highlight w:val="none"/>
          <w:lang w:val="en-US" w:eastAsia="zh-CN"/>
        </w:rPr>
        <w:t>且</w:t>
      </w:r>
      <w:r>
        <w:rPr>
          <w:rFonts w:hint="eastAsia" w:ascii="宋体" w:hAnsi="宋体" w:eastAsia="宋体" w:cs="宋体"/>
          <w:color w:val="auto"/>
          <w:kern w:val="0"/>
          <w:sz w:val="21"/>
          <w:szCs w:val="21"/>
          <w:highlight w:val="none"/>
        </w:rPr>
        <w:t>完成合同全部服务义务后二十八（28）日内保持有效。</w:t>
      </w:r>
    </w:p>
    <w:p w14:paraId="5F9C8CDF">
      <w:pPr>
        <w:autoSpaceDE w:val="0"/>
        <w:autoSpaceDN w:val="0"/>
        <w:adjustRightInd w:val="0"/>
        <w:spacing w:line="360" w:lineRule="auto"/>
        <w:jc w:val="left"/>
        <w:outlineLvl w:val="9"/>
        <w:rPr>
          <w:rFonts w:hint="eastAsia" w:ascii="宋体" w:hAnsi="宋体" w:eastAsia="宋体" w:cs="宋体"/>
          <w:color w:val="auto"/>
          <w:kern w:val="0"/>
          <w:sz w:val="21"/>
          <w:szCs w:val="21"/>
          <w:highlight w:val="none"/>
        </w:rPr>
      </w:pPr>
    </w:p>
    <w:p w14:paraId="0BF26F20">
      <w:pPr>
        <w:autoSpaceDE w:val="0"/>
        <w:autoSpaceDN w:val="0"/>
        <w:adjustRightInd w:val="0"/>
        <w:spacing w:line="360" w:lineRule="auto"/>
        <w:ind w:firstLine="3990" w:firstLineChars="190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法定代表人或其授权的代理人：（签字或盖私章）</w:t>
      </w:r>
    </w:p>
    <w:p w14:paraId="035EF23D">
      <w:pPr>
        <w:autoSpaceDE w:val="0"/>
        <w:autoSpaceDN w:val="0"/>
        <w:adjustRightInd w:val="0"/>
        <w:spacing w:line="360" w:lineRule="auto"/>
        <w:ind w:firstLine="3990" w:firstLineChars="190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担保公司盖章：</w:t>
      </w:r>
    </w:p>
    <w:p w14:paraId="359EA279">
      <w:pPr>
        <w:autoSpaceDE w:val="0"/>
        <w:autoSpaceDN w:val="0"/>
        <w:adjustRightInd w:val="0"/>
        <w:spacing w:line="360" w:lineRule="auto"/>
        <w:ind w:firstLine="3990" w:firstLineChars="190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联系电话：</w:t>
      </w:r>
    </w:p>
    <w:p w14:paraId="6229A084">
      <w:pPr>
        <w:autoSpaceDE w:val="0"/>
        <w:autoSpaceDN w:val="0"/>
        <w:adjustRightInd w:val="0"/>
        <w:spacing w:line="360" w:lineRule="auto"/>
        <w:ind w:firstLine="3990" w:firstLineChars="190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w:t>
      </w:r>
    </w:p>
    <w:p w14:paraId="3AAFC506">
      <w:pPr>
        <w:autoSpaceDE w:val="0"/>
        <w:autoSpaceDN w:val="0"/>
        <w:adjustRightInd w:val="0"/>
        <w:spacing w:line="360" w:lineRule="auto"/>
        <w:ind w:firstLine="3990" w:firstLineChars="190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日期：    年   月   日</w:t>
      </w:r>
    </w:p>
    <w:p w14:paraId="153AE3EA">
      <w:pPr>
        <w:rPr>
          <w:color w:val="auto"/>
          <w:highlight w:val="none"/>
        </w:rPr>
      </w:pPr>
    </w:p>
    <w:p w14:paraId="546D8873">
      <w:pPr>
        <w:pageBreakBefore w:val="0"/>
        <w:autoSpaceDE/>
        <w:autoSpaceDN/>
        <w:adjustRightInd/>
        <w:spacing w:line="240" w:lineRule="auto"/>
        <w:ind w:left="0" w:leftChars="0" w:firstLine="0"/>
        <w:jc w:val="left"/>
        <w:outlineLvl w:val="9"/>
        <w:rPr>
          <w:rFonts w:hint="eastAsia" w:ascii="宋体" w:hAnsi="宋体" w:eastAsia="宋体" w:cs="宋体"/>
          <w:b/>
          <w:bCs/>
          <w:color w:val="auto"/>
          <w:kern w:val="44"/>
          <w:sz w:val="32"/>
          <w:szCs w:val="32"/>
          <w:highlight w:val="none"/>
          <w:lang w:val="zh-CN"/>
        </w:rPr>
      </w:pPr>
    </w:p>
    <w:p w14:paraId="4703629B">
      <w:pPr>
        <w:pageBreakBefore/>
        <w:tabs>
          <w:tab w:val="left" w:pos="1080"/>
        </w:tabs>
        <w:autoSpaceDE w:val="0"/>
        <w:autoSpaceDN w:val="0"/>
        <w:adjustRightInd w:val="0"/>
        <w:spacing w:line="360" w:lineRule="auto"/>
        <w:ind w:left="357" w:leftChars="-100" w:hanging="567"/>
        <w:jc w:val="center"/>
        <w:outlineLvl w:val="0"/>
        <w:rPr>
          <w:rFonts w:hint="eastAsia" w:ascii="宋体" w:hAnsi="宋体" w:eastAsia="宋体" w:cs="宋体"/>
          <w:b/>
          <w:bCs/>
          <w:color w:val="auto"/>
          <w:kern w:val="44"/>
          <w:sz w:val="32"/>
          <w:szCs w:val="32"/>
          <w:highlight w:val="none"/>
        </w:rPr>
      </w:pPr>
      <w:bookmarkStart w:id="422" w:name="_Toc215135875"/>
      <w:r>
        <w:rPr>
          <w:rFonts w:hint="eastAsia" w:ascii="宋体" w:hAnsi="宋体" w:eastAsia="宋体" w:cs="宋体"/>
          <w:b/>
          <w:bCs/>
          <w:color w:val="auto"/>
          <w:kern w:val="44"/>
          <w:sz w:val="32"/>
          <w:szCs w:val="32"/>
          <w:highlight w:val="none"/>
          <w:lang w:val="zh-CN"/>
        </w:rPr>
        <w:t>第</w:t>
      </w:r>
      <w:r>
        <w:rPr>
          <w:rFonts w:hint="eastAsia" w:ascii="宋体" w:hAnsi="宋体" w:eastAsia="宋体" w:cs="宋体"/>
          <w:b/>
          <w:bCs/>
          <w:color w:val="auto"/>
          <w:kern w:val="44"/>
          <w:sz w:val="32"/>
          <w:szCs w:val="32"/>
          <w:highlight w:val="none"/>
          <w:lang w:val="en-US" w:eastAsia="zh-CN"/>
        </w:rPr>
        <w:t>六</w:t>
      </w:r>
      <w:r>
        <w:rPr>
          <w:rFonts w:hint="eastAsia" w:ascii="宋体" w:hAnsi="宋体" w:eastAsia="宋体" w:cs="宋体"/>
          <w:b/>
          <w:bCs/>
          <w:color w:val="auto"/>
          <w:kern w:val="44"/>
          <w:sz w:val="32"/>
          <w:szCs w:val="32"/>
          <w:highlight w:val="none"/>
          <w:lang w:val="zh-CN"/>
        </w:rPr>
        <w:t>篇 响应文件格式</w:t>
      </w:r>
      <w:bookmarkEnd w:id="363"/>
      <w:bookmarkEnd w:id="364"/>
      <w:bookmarkEnd w:id="365"/>
      <w:bookmarkEnd w:id="366"/>
      <w:bookmarkEnd w:id="367"/>
      <w:bookmarkEnd w:id="368"/>
      <w:bookmarkEnd w:id="422"/>
    </w:p>
    <w:p w14:paraId="65DAFD73">
      <w:pPr>
        <w:pStyle w:val="19"/>
        <w:spacing w:line="360" w:lineRule="auto"/>
        <w:jc w:val="center"/>
        <w:rPr>
          <w:rFonts w:hint="eastAsia" w:ascii="宋体" w:hAnsi="宋体" w:eastAsia="宋体" w:cs="宋体"/>
          <w:color w:val="auto"/>
          <w:sz w:val="84"/>
          <w:highlight w:val="none"/>
        </w:rPr>
      </w:pPr>
      <w:bookmarkStart w:id="423" w:name="_Toc1977721"/>
      <w:bookmarkStart w:id="424" w:name="_Toc102860411"/>
      <w:bookmarkStart w:id="425" w:name="_Toc142508362"/>
      <w:bookmarkStart w:id="426" w:name="_Toc486167709"/>
      <w:bookmarkStart w:id="427" w:name="_Toc140596921"/>
      <w:bookmarkStart w:id="428" w:name="_Toc102860067"/>
      <w:bookmarkStart w:id="429" w:name="_Toc21133_WPSOffice_Level2"/>
      <w:bookmarkStart w:id="430" w:name="_Toc104991868"/>
      <w:bookmarkStart w:id="431" w:name="_Toc94107202"/>
      <w:bookmarkStart w:id="432" w:name="_Toc533708121"/>
    </w:p>
    <w:p w14:paraId="167B7E90">
      <w:pPr>
        <w:pStyle w:val="19"/>
        <w:spacing w:line="360" w:lineRule="auto"/>
        <w:jc w:val="center"/>
        <w:rPr>
          <w:rFonts w:hint="eastAsia" w:ascii="宋体" w:hAnsi="宋体" w:eastAsia="宋体" w:cs="宋体"/>
          <w:color w:val="auto"/>
          <w:sz w:val="84"/>
          <w:highlight w:val="none"/>
        </w:rPr>
      </w:pPr>
    </w:p>
    <w:p w14:paraId="79CC4A09">
      <w:pPr>
        <w:pStyle w:val="19"/>
        <w:spacing w:line="360" w:lineRule="auto"/>
        <w:jc w:val="center"/>
        <w:rPr>
          <w:rFonts w:hint="eastAsia" w:ascii="宋体" w:hAnsi="宋体" w:eastAsia="宋体" w:cs="宋体"/>
          <w:color w:val="auto"/>
          <w:sz w:val="84"/>
          <w:highlight w:val="none"/>
        </w:rPr>
      </w:pPr>
    </w:p>
    <w:p w14:paraId="56099184">
      <w:pPr>
        <w:pStyle w:val="19"/>
        <w:spacing w:line="360" w:lineRule="auto"/>
        <w:jc w:val="center"/>
        <w:rPr>
          <w:rFonts w:hint="eastAsia" w:ascii="宋体" w:hAnsi="宋体" w:eastAsia="宋体" w:cs="宋体"/>
          <w:color w:val="auto"/>
          <w:sz w:val="84"/>
          <w:highlight w:val="none"/>
        </w:rPr>
      </w:pPr>
    </w:p>
    <w:p w14:paraId="347CAE22">
      <w:pPr>
        <w:pStyle w:val="19"/>
        <w:spacing w:line="360" w:lineRule="auto"/>
        <w:jc w:val="center"/>
        <w:rPr>
          <w:rFonts w:hint="eastAsia" w:ascii="宋体" w:hAnsi="宋体" w:eastAsia="宋体" w:cs="宋体"/>
          <w:color w:val="auto"/>
          <w:sz w:val="84"/>
          <w:highlight w:val="none"/>
        </w:rPr>
      </w:pPr>
    </w:p>
    <w:p w14:paraId="3CD6CAC7">
      <w:pPr>
        <w:pStyle w:val="19"/>
        <w:spacing w:line="360" w:lineRule="auto"/>
        <w:jc w:val="center"/>
        <w:rPr>
          <w:rFonts w:hint="eastAsia" w:ascii="宋体" w:hAnsi="宋体" w:eastAsia="宋体" w:cs="宋体"/>
          <w:color w:val="auto"/>
          <w:sz w:val="84"/>
          <w:highlight w:val="none"/>
        </w:rPr>
      </w:pPr>
    </w:p>
    <w:p w14:paraId="4363018A">
      <w:pPr>
        <w:pStyle w:val="19"/>
        <w:spacing w:line="360" w:lineRule="auto"/>
        <w:jc w:val="center"/>
        <w:rPr>
          <w:rFonts w:hint="eastAsia" w:ascii="宋体" w:hAnsi="宋体" w:eastAsia="宋体" w:cs="宋体"/>
          <w:color w:val="auto"/>
          <w:sz w:val="84"/>
          <w:highlight w:val="none"/>
        </w:rPr>
      </w:pPr>
    </w:p>
    <w:p w14:paraId="2D955274">
      <w:pPr>
        <w:pStyle w:val="19"/>
        <w:spacing w:line="360" w:lineRule="auto"/>
        <w:ind w:left="0" w:leftChars="0"/>
        <w:jc w:val="both"/>
        <w:rPr>
          <w:rFonts w:hint="eastAsia" w:ascii="宋体" w:hAnsi="宋体" w:eastAsia="宋体" w:cs="宋体"/>
          <w:color w:val="auto"/>
          <w:sz w:val="84"/>
          <w:highlight w:val="none"/>
        </w:rPr>
      </w:pPr>
    </w:p>
    <w:p w14:paraId="2E0424F0">
      <w:pPr>
        <w:pStyle w:val="19"/>
        <w:spacing w:line="360" w:lineRule="auto"/>
        <w:jc w:val="center"/>
        <w:rPr>
          <w:rFonts w:hint="eastAsia" w:ascii="宋体" w:hAnsi="宋体" w:eastAsia="宋体" w:cs="宋体"/>
          <w:color w:val="auto"/>
          <w:sz w:val="84"/>
          <w:highlight w:val="none"/>
        </w:rPr>
      </w:pPr>
    </w:p>
    <w:p w14:paraId="2143B4BA">
      <w:pPr>
        <w:pStyle w:val="19"/>
        <w:spacing w:line="360" w:lineRule="auto"/>
        <w:jc w:val="center"/>
        <w:rPr>
          <w:rFonts w:hint="eastAsia" w:ascii="宋体" w:hAnsi="宋体" w:eastAsia="宋体" w:cs="宋体"/>
          <w:color w:val="auto"/>
          <w:sz w:val="84"/>
          <w:highlight w:val="none"/>
        </w:rPr>
      </w:pPr>
      <w:r>
        <w:rPr>
          <w:rFonts w:hint="eastAsia" w:ascii="宋体" w:hAnsi="宋体" w:cs="宋体"/>
          <w:color w:val="auto"/>
          <w:sz w:val="84"/>
          <w:highlight w:val="none"/>
          <w:lang w:val="en-US" w:eastAsia="zh-CN"/>
        </w:rPr>
        <w:t>响</w:t>
      </w:r>
      <w:r>
        <w:rPr>
          <w:rFonts w:hint="eastAsia" w:ascii="宋体" w:hAnsi="宋体" w:eastAsia="宋体" w:cs="宋体"/>
          <w:color w:val="auto"/>
          <w:sz w:val="84"/>
          <w:highlight w:val="none"/>
        </w:rPr>
        <w:t xml:space="preserve"> </w:t>
      </w:r>
      <w:r>
        <w:rPr>
          <w:rFonts w:hint="eastAsia" w:ascii="宋体" w:hAnsi="宋体" w:cs="宋体"/>
          <w:color w:val="auto"/>
          <w:sz w:val="84"/>
          <w:highlight w:val="none"/>
          <w:lang w:val="en-US" w:eastAsia="zh-CN"/>
        </w:rPr>
        <w:t>应</w:t>
      </w:r>
      <w:r>
        <w:rPr>
          <w:rFonts w:hint="eastAsia" w:ascii="宋体" w:hAnsi="宋体" w:eastAsia="宋体" w:cs="宋体"/>
          <w:color w:val="auto"/>
          <w:sz w:val="84"/>
          <w:highlight w:val="none"/>
        </w:rPr>
        <w:t xml:space="preserve"> 文 件</w:t>
      </w:r>
    </w:p>
    <w:p w14:paraId="6D674711">
      <w:pPr>
        <w:pStyle w:val="19"/>
        <w:spacing w:line="360" w:lineRule="auto"/>
        <w:rPr>
          <w:rFonts w:hint="eastAsia" w:ascii="宋体" w:hAnsi="宋体" w:eastAsia="宋体" w:cs="宋体"/>
          <w:color w:val="auto"/>
          <w:highlight w:val="none"/>
        </w:rPr>
      </w:pPr>
    </w:p>
    <w:p w14:paraId="7854376D">
      <w:pPr>
        <w:pStyle w:val="19"/>
        <w:spacing w:line="360" w:lineRule="auto"/>
        <w:rPr>
          <w:rFonts w:hint="eastAsia" w:ascii="宋体" w:hAnsi="宋体" w:eastAsia="宋体" w:cs="宋体"/>
          <w:color w:val="auto"/>
          <w:highlight w:val="none"/>
        </w:rPr>
      </w:pPr>
    </w:p>
    <w:p w14:paraId="34A41144">
      <w:pPr>
        <w:pStyle w:val="19"/>
        <w:spacing w:line="360" w:lineRule="auto"/>
        <w:rPr>
          <w:rFonts w:hint="eastAsia" w:ascii="宋体" w:hAnsi="宋体" w:eastAsia="宋体" w:cs="宋体"/>
          <w:color w:val="auto"/>
          <w:highlight w:val="none"/>
        </w:rPr>
      </w:pPr>
    </w:p>
    <w:p w14:paraId="43B8B7D9">
      <w:pPr>
        <w:pStyle w:val="19"/>
        <w:spacing w:line="360" w:lineRule="auto"/>
        <w:rPr>
          <w:rFonts w:hint="eastAsia" w:ascii="宋体" w:hAnsi="宋体" w:eastAsia="宋体" w:cs="宋体"/>
          <w:color w:val="auto"/>
          <w:highlight w:val="none"/>
        </w:rPr>
      </w:pPr>
    </w:p>
    <w:p w14:paraId="7B659AB0">
      <w:pPr>
        <w:pStyle w:val="19"/>
        <w:spacing w:line="360" w:lineRule="auto"/>
        <w:rPr>
          <w:rFonts w:hint="eastAsia" w:ascii="宋体" w:hAnsi="宋体" w:eastAsia="宋体" w:cs="宋体"/>
          <w:color w:val="auto"/>
          <w:highlight w:val="none"/>
        </w:rPr>
      </w:pPr>
    </w:p>
    <w:p w14:paraId="124F6DEA">
      <w:pPr>
        <w:pStyle w:val="19"/>
        <w:spacing w:line="360" w:lineRule="auto"/>
        <w:rPr>
          <w:rFonts w:hint="eastAsia" w:ascii="宋体" w:hAnsi="宋体" w:eastAsia="宋体" w:cs="宋体"/>
          <w:color w:val="auto"/>
          <w:highlight w:val="none"/>
        </w:rPr>
      </w:pPr>
    </w:p>
    <w:p w14:paraId="456669AF">
      <w:pPr>
        <w:pStyle w:val="19"/>
        <w:spacing w:line="360" w:lineRule="auto"/>
        <w:ind w:firstLine="1875" w:firstLineChars="625"/>
        <w:rPr>
          <w:rFonts w:hint="eastAsia" w:ascii="宋体" w:hAnsi="宋体" w:eastAsia="宋体" w:cs="宋体"/>
          <w:color w:val="auto"/>
          <w:sz w:val="30"/>
          <w:highlight w:val="none"/>
        </w:rPr>
      </w:pPr>
      <w:r>
        <w:rPr>
          <w:rFonts w:hint="eastAsia" w:ascii="宋体" w:hAnsi="宋体" w:cs="宋体"/>
          <w:color w:val="auto"/>
          <w:sz w:val="30"/>
          <w:highlight w:val="none"/>
          <w:lang w:eastAsia="zh-CN"/>
        </w:rPr>
        <w:t>采购编号</w:t>
      </w:r>
      <w:r>
        <w:rPr>
          <w:rFonts w:hint="eastAsia" w:ascii="宋体" w:hAnsi="宋体" w:eastAsia="宋体" w:cs="宋体"/>
          <w:color w:val="auto"/>
          <w:sz w:val="30"/>
          <w:highlight w:val="none"/>
        </w:rPr>
        <w:t>：</w:t>
      </w:r>
      <w:r>
        <w:rPr>
          <w:rFonts w:hint="eastAsia" w:ascii="宋体" w:hAnsi="宋体" w:eastAsia="宋体" w:cs="宋体"/>
          <w:color w:val="auto"/>
          <w:sz w:val="30"/>
          <w:highlight w:val="none"/>
          <w:u w:val="single"/>
        </w:rPr>
        <w:t xml:space="preserve">                      </w:t>
      </w:r>
    </w:p>
    <w:p w14:paraId="3B79938A">
      <w:pPr>
        <w:pStyle w:val="19"/>
        <w:spacing w:line="360" w:lineRule="auto"/>
        <w:ind w:firstLine="1875" w:firstLineChars="625"/>
        <w:rPr>
          <w:rFonts w:hint="eastAsia" w:ascii="宋体" w:hAnsi="宋体" w:eastAsia="宋体" w:cs="宋体"/>
          <w:color w:val="auto"/>
          <w:sz w:val="30"/>
          <w:highlight w:val="none"/>
          <w:u w:val="single"/>
        </w:rPr>
      </w:pPr>
      <w:r>
        <w:rPr>
          <w:rFonts w:hint="eastAsia" w:ascii="宋体" w:hAnsi="宋体" w:eastAsia="宋体" w:cs="宋体"/>
          <w:color w:val="auto"/>
          <w:sz w:val="30"/>
          <w:highlight w:val="none"/>
        </w:rPr>
        <w:t>项目名称：</w:t>
      </w:r>
      <w:r>
        <w:rPr>
          <w:rFonts w:hint="eastAsia" w:ascii="宋体" w:hAnsi="宋体" w:eastAsia="宋体" w:cs="宋体"/>
          <w:color w:val="auto"/>
          <w:sz w:val="30"/>
          <w:highlight w:val="none"/>
          <w:u w:val="single"/>
        </w:rPr>
        <w:t xml:space="preserve">                      </w:t>
      </w:r>
    </w:p>
    <w:p w14:paraId="63A252CA">
      <w:pPr>
        <w:pStyle w:val="19"/>
        <w:spacing w:line="360" w:lineRule="auto"/>
        <w:ind w:firstLine="1875" w:firstLineChars="625"/>
        <w:rPr>
          <w:rFonts w:hint="eastAsia" w:ascii="宋体" w:hAnsi="宋体" w:cs="宋体"/>
          <w:color w:val="auto"/>
          <w:sz w:val="30"/>
          <w:highlight w:val="none"/>
          <w:lang w:eastAsia="zh-CN"/>
        </w:rPr>
      </w:pPr>
      <w:r>
        <w:rPr>
          <w:rFonts w:hint="eastAsia" w:ascii="宋体" w:hAnsi="宋体" w:cs="宋体"/>
          <w:color w:val="auto"/>
          <w:sz w:val="30"/>
          <w:highlight w:val="none"/>
          <w:lang w:eastAsia="zh-CN"/>
        </w:rPr>
        <w:t>响应文件内容：</w:t>
      </w:r>
      <w:r>
        <w:rPr>
          <w:rFonts w:hint="eastAsia" w:ascii="宋体" w:hAnsi="宋体" w:cs="宋体"/>
          <w:color w:val="auto"/>
          <w:sz w:val="30"/>
          <w:highlight w:val="none"/>
          <w:u w:val="single"/>
          <w:lang w:eastAsia="zh-CN"/>
        </w:rPr>
        <w:t xml:space="preserve"> 响应文件商务部分 </w:t>
      </w:r>
    </w:p>
    <w:p w14:paraId="4B33A16E">
      <w:pPr>
        <w:pStyle w:val="19"/>
        <w:spacing w:line="360" w:lineRule="auto"/>
        <w:ind w:firstLine="1875" w:firstLineChars="625"/>
        <w:rPr>
          <w:rFonts w:hint="eastAsia" w:ascii="宋体" w:hAnsi="宋体" w:eastAsia="宋体" w:cs="宋体"/>
          <w:color w:val="auto"/>
          <w:sz w:val="30"/>
          <w:highlight w:val="none"/>
        </w:rPr>
      </w:pPr>
      <w:r>
        <w:rPr>
          <w:rFonts w:hint="eastAsia" w:ascii="宋体" w:hAnsi="宋体" w:cs="宋体"/>
          <w:color w:val="auto"/>
          <w:sz w:val="30"/>
          <w:highlight w:val="none"/>
          <w:lang w:eastAsia="zh-CN"/>
        </w:rPr>
        <w:t>采购人</w:t>
      </w:r>
      <w:r>
        <w:rPr>
          <w:rFonts w:hint="eastAsia" w:ascii="宋体" w:hAnsi="宋体" w:eastAsia="宋体" w:cs="宋体"/>
          <w:color w:val="auto"/>
          <w:sz w:val="30"/>
          <w:highlight w:val="none"/>
        </w:rPr>
        <w:t>：</w:t>
      </w:r>
      <w:r>
        <w:rPr>
          <w:rFonts w:hint="eastAsia" w:ascii="宋体" w:hAnsi="宋体" w:eastAsia="宋体" w:cs="宋体"/>
          <w:color w:val="auto"/>
          <w:sz w:val="30"/>
          <w:highlight w:val="none"/>
          <w:u w:val="single"/>
        </w:rPr>
        <w:t xml:space="preserve">                        </w:t>
      </w:r>
    </w:p>
    <w:p w14:paraId="42067086">
      <w:pPr>
        <w:pStyle w:val="19"/>
        <w:spacing w:line="360" w:lineRule="auto"/>
        <w:ind w:firstLine="1875" w:firstLineChars="625"/>
        <w:rPr>
          <w:rFonts w:hint="eastAsia" w:ascii="宋体" w:hAnsi="宋体" w:eastAsia="宋体" w:cs="宋体"/>
          <w:color w:val="auto"/>
          <w:sz w:val="30"/>
          <w:highlight w:val="none"/>
          <w:u w:val="single"/>
        </w:rPr>
      </w:pPr>
      <w:r>
        <w:rPr>
          <w:rFonts w:hint="eastAsia" w:ascii="宋体" w:hAnsi="宋体" w:cs="宋体"/>
          <w:color w:val="auto"/>
          <w:sz w:val="30"/>
          <w:highlight w:val="none"/>
          <w:lang w:eastAsia="zh-CN"/>
        </w:rPr>
        <w:t>供应商</w:t>
      </w:r>
      <w:r>
        <w:rPr>
          <w:rFonts w:hint="eastAsia" w:ascii="宋体" w:hAnsi="宋体" w:eastAsia="宋体" w:cs="宋体"/>
          <w:color w:val="auto"/>
          <w:sz w:val="30"/>
          <w:highlight w:val="none"/>
        </w:rPr>
        <w:t>：</w:t>
      </w:r>
      <w:r>
        <w:rPr>
          <w:rFonts w:hint="eastAsia" w:ascii="宋体" w:hAnsi="宋体" w:eastAsia="宋体" w:cs="宋体"/>
          <w:color w:val="auto"/>
          <w:sz w:val="30"/>
          <w:highlight w:val="none"/>
          <w:u w:val="single"/>
        </w:rPr>
        <w:t xml:space="preserve">                        </w:t>
      </w:r>
    </w:p>
    <w:p w14:paraId="7351F243">
      <w:pPr>
        <w:pStyle w:val="19"/>
        <w:spacing w:line="360" w:lineRule="auto"/>
        <w:ind w:firstLine="1875" w:firstLineChars="625"/>
        <w:rPr>
          <w:rFonts w:hint="eastAsia" w:ascii="宋体" w:hAnsi="宋体" w:eastAsia="宋体" w:cs="宋体"/>
          <w:color w:val="auto"/>
          <w:sz w:val="30"/>
          <w:highlight w:val="none"/>
        </w:rPr>
      </w:pPr>
      <w:r>
        <w:rPr>
          <w:rFonts w:hint="eastAsia" w:ascii="宋体" w:hAnsi="宋体" w:eastAsia="宋体" w:cs="宋体"/>
          <w:color w:val="auto"/>
          <w:sz w:val="30"/>
          <w:highlight w:val="none"/>
        </w:rPr>
        <w:t>日  期：</w:t>
      </w:r>
      <w:r>
        <w:rPr>
          <w:rFonts w:hint="eastAsia" w:ascii="宋体" w:hAnsi="宋体" w:eastAsia="宋体" w:cs="宋体"/>
          <w:color w:val="auto"/>
          <w:sz w:val="30"/>
          <w:highlight w:val="none"/>
          <w:u w:val="single"/>
        </w:rPr>
        <w:t xml:space="preserve">     </w:t>
      </w:r>
      <w:r>
        <w:rPr>
          <w:rFonts w:hint="eastAsia" w:ascii="宋体" w:hAnsi="宋体" w:eastAsia="宋体" w:cs="宋体"/>
          <w:color w:val="auto"/>
          <w:sz w:val="30"/>
          <w:highlight w:val="none"/>
        </w:rPr>
        <w:t>年</w:t>
      </w:r>
      <w:r>
        <w:rPr>
          <w:rFonts w:hint="eastAsia" w:ascii="宋体" w:hAnsi="宋体" w:eastAsia="宋体" w:cs="宋体"/>
          <w:color w:val="auto"/>
          <w:sz w:val="30"/>
          <w:highlight w:val="none"/>
          <w:u w:val="single"/>
        </w:rPr>
        <w:t xml:space="preserve">    </w:t>
      </w:r>
      <w:r>
        <w:rPr>
          <w:rFonts w:hint="eastAsia" w:ascii="宋体" w:hAnsi="宋体" w:eastAsia="宋体" w:cs="宋体"/>
          <w:color w:val="auto"/>
          <w:sz w:val="30"/>
          <w:highlight w:val="none"/>
        </w:rPr>
        <w:t>月</w:t>
      </w:r>
      <w:r>
        <w:rPr>
          <w:rFonts w:hint="eastAsia" w:ascii="宋体" w:hAnsi="宋体" w:eastAsia="宋体" w:cs="宋体"/>
          <w:color w:val="auto"/>
          <w:sz w:val="30"/>
          <w:highlight w:val="none"/>
          <w:u w:val="single"/>
        </w:rPr>
        <w:t xml:space="preserve">    </w:t>
      </w:r>
      <w:r>
        <w:rPr>
          <w:rFonts w:hint="eastAsia" w:ascii="宋体" w:hAnsi="宋体" w:eastAsia="宋体" w:cs="宋体"/>
          <w:color w:val="auto"/>
          <w:sz w:val="30"/>
          <w:highlight w:val="none"/>
        </w:rPr>
        <w:t>日</w:t>
      </w:r>
    </w:p>
    <w:p w14:paraId="732A1C3B">
      <w:pPr>
        <w:pStyle w:val="19"/>
        <w:spacing w:line="360" w:lineRule="auto"/>
        <w:rPr>
          <w:rFonts w:hint="eastAsia" w:ascii="宋体" w:hAnsi="宋体" w:eastAsia="宋体" w:cs="宋体"/>
          <w:color w:val="auto"/>
          <w:highlight w:val="none"/>
        </w:rPr>
      </w:pPr>
    </w:p>
    <w:p w14:paraId="641BEAEC">
      <w:pPr>
        <w:pStyle w:val="1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A068326">
      <w:pPr>
        <w:pStyle w:val="19"/>
        <w:spacing w:line="360" w:lineRule="auto"/>
        <w:rPr>
          <w:rFonts w:hint="eastAsia" w:ascii="宋体" w:hAnsi="宋体" w:eastAsia="宋体" w:cs="宋体"/>
          <w:color w:val="auto"/>
          <w:highlight w:val="none"/>
        </w:rPr>
      </w:pPr>
    </w:p>
    <w:p w14:paraId="3A0792D1">
      <w:pPr>
        <w:pBdr>
          <w:bottom w:val="single" w:color="auto" w:sz="6" w:space="0"/>
        </w:pBdr>
        <w:spacing w:line="480" w:lineRule="auto"/>
        <w:ind w:firstLine="472" w:firstLineChars="224"/>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响应文件</w:t>
      </w:r>
      <w:r>
        <w:rPr>
          <w:rFonts w:hint="eastAsia" w:ascii="宋体" w:hAnsi="宋体" w:eastAsia="宋体" w:cs="宋体"/>
          <w:b/>
          <w:bCs/>
          <w:color w:val="auto"/>
          <w:szCs w:val="21"/>
          <w:highlight w:val="none"/>
        </w:rPr>
        <w:t>商务评审部分索引表</w:t>
      </w:r>
    </w:p>
    <w:tbl>
      <w:tblPr>
        <w:tblStyle w:val="36"/>
        <w:tblW w:w="1036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108" w:type="dxa"/>
          <w:bottom w:w="0" w:type="dxa"/>
          <w:right w:w="108" w:type="dxa"/>
        </w:tblCellMar>
      </w:tblPr>
      <w:tblGrid>
        <w:gridCol w:w="1379"/>
        <w:gridCol w:w="2773"/>
        <w:gridCol w:w="2157"/>
        <w:gridCol w:w="4059"/>
      </w:tblGrid>
      <w:tr w14:paraId="633980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204" w:hRule="atLeast"/>
          <w:jc w:val="center"/>
        </w:trPr>
        <w:tc>
          <w:tcPr>
            <w:tcW w:w="1379" w:type="dxa"/>
            <w:vAlign w:val="center"/>
          </w:tcPr>
          <w:p w14:paraId="5F85821C">
            <w:pPr>
              <w:adjustRightInd w:val="0"/>
              <w:snapToGrid w:val="0"/>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2773" w:type="dxa"/>
            <w:vAlign w:val="center"/>
          </w:tcPr>
          <w:p w14:paraId="321699D8">
            <w:pPr>
              <w:adjustRightInd w:val="0"/>
              <w:snapToGrid w:val="0"/>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评审</w:t>
            </w:r>
            <w:r>
              <w:rPr>
                <w:rFonts w:hint="eastAsia" w:ascii="宋体" w:hAnsi="宋体" w:eastAsia="宋体" w:cs="宋体"/>
                <w:bCs/>
                <w:color w:val="auto"/>
                <w:szCs w:val="21"/>
                <w:highlight w:val="none"/>
              </w:rPr>
              <w:t>项目</w:t>
            </w:r>
          </w:p>
        </w:tc>
        <w:tc>
          <w:tcPr>
            <w:tcW w:w="2157" w:type="dxa"/>
            <w:vAlign w:val="center"/>
          </w:tcPr>
          <w:p w14:paraId="671DD115">
            <w:pPr>
              <w:adjustRightInd w:val="0"/>
              <w:snapToGrid w:val="0"/>
              <w:spacing w:line="360" w:lineRule="auto"/>
              <w:jc w:val="cente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询比文件上的满分值</w:t>
            </w:r>
          </w:p>
        </w:tc>
        <w:tc>
          <w:tcPr>
            <w:tcW w:w="4059" w:type="dxa"/>
            <w:tcBorders>
              <w:left w:val="single" w:color="auto" w:sz="4" w:space="0"/>
            </w:tcBorders>
            <w:vAlign w:val="center"/>
          </w:tcPr>
          <w:p w14:paraId="10AF4945">
            <w:pPr>
              <w:adjustRightInd w:val="0"/>
              <w:snapToGrid w:val="0"/>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页码索引</w:t>
            </w:r>
          </w:p>
        </w:tc>
      </w:tr>
      <w:tr w14:paraId="40BD15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541" w:hRule="atLeast"/>
          <w:jc w:val="center"/>
        </w:trPr>
        <w:tc>
          <w:tcPr>
            <w:tcW w:w="1379" w:type="dxa"/>
            <w:vAlign w:val="center"/>
          </w:tcPr>
          <w:p w14:paraId="2345BE97">
            <w:pPr>
              <w:adjustRightInd w:val="0"/>
              <w:snapToGrid w:val="0"/>
              <w:spacing w:line="360" w:lineRule="auto"/>
              <w:jc w:val="center"/>
              <w:rPr>
                <w:rFonts w:hint="eastAsia" w:ascii="宋体" w:hAnsi="宋体" w:eastAsia="宋体" w:cs="宋体"/>
                <w:bCs/>
                <w:color w:val="auto"/>
                <w:szCs w:val="21"/>
                <w:highlight w:val="none"/>
              </w:rPr>
            </w:pPr>
          </w:p>
        </w:tc>
        <w:tc>
          <w:tcPr>
            <w:tcW w:w="2773" w:type="dxa"/>
            <w:vAlign w:val="center"/>
          </w:tcPr>
          <w:p w14:paraId="476215FC">
            <w:pPr>
              <w:adjustRightInd w:val="0"/>
              <w:snapToGrid w:val="0"/>
              <w:spacing w:line="360" w:lineRule="auto"/>
              <w:jc w:val="center"/>
              <w:rPr>
                <w:rFonts w:hint="eastAsia" w:ascii="宋体" w:hAnsi="宋体" w:eastAsia="宋体" w:cs="宋体"/>
                <w:bCs/>
                <w:color w:val="auto"/>
                <w:szCs w:val="21"/>
                <w:highlight w:val="none"/>
              </w:rPr>
            </w:pPr>
          </w:p>
        </w:tc>
        <w:tc>
          <w:tcPr>
            <w:tcW w:w="2157" w:type="dxa"/>
            <w:vAlign w:val="center"/>
          </w:tcPr>
          <w:p w14:paraId="61EEB0D9">
            <w:pPr>
              <w:adjustRightInd w:val="0"/>
              <w:snapToGrid w:val="0"/>
              <w:spacing w:line="360" w:lineRule="auto"/>
              <w:jc w:val="center"/>
              <w:rPr>
                <w:rFonts w:hint="eastAsia" w:ascii="宋体" w:hAnsi="宋体" w:eastAsia="宋体" w:cs="宋体"/>
                <w:bCs/>
                <w:color w:val="auto"/>
                <w:szCs w:val="21"/>
                <w:highlight w:val="none"/>
              </w:rPr>
            </w:pPr>
          </w:p>
        </w:tc>
        <w:tc>
          <w:tcPr>
            <w:tcW w:w="4059" w:type="dxa"/>
            <w:tcBorders>
              <w:left w:val="single" w:color="auto" w:sz="4" w:space="0"/>
            </w:tcBorders>
            <w:vAlign w:val="center"/>
          </w:tcPr>
          <w:p w14:paraId="01948D6D">
            <w:pPr>
              <w:adjustRightInd w:val="0"/>
              <w:snapToGrid w:val="0"/>
              <w:spacing w:line="360" w:lineRule="auto"/>
              <w:rPr>
                <w:rFonts w:hint="eastAsia" w:ascii="宋体" w:hAnsi="宋体" w:eastAsia="宋体" w:cs="宋体"/>
                <w:bCs/>
                <w:color w:val="auto"/>
                <w:szCs w:val="21"/>
                <w:highlight w:val="none"/>
              </w:rPr>
            </w:pPr>
          </w:p>
        </w:tc>
      </w:tr>
      <w:tr w14:paraId="4D838D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761" w:hRule="atLeast"/>
          <w:jc w:val="center"/>
        </w:trPr>
        <w:tc>
          <w:tcPr>
            <w:tcW w:w="1379" w:type="dxa"/>
            <w:vAlign w:val="center"/>
          </w:tcPr>
          <w:p w14:paraId="3648B750">
            <w:pPr>
              <w:rPr>
                <w:rFonts w:hint="eastAsia" w:ascii="宋体" w:hAnsi="宋体" w:eastAsia="宋体" w:cs="宋体"/>
                <w:bCs/>
                <w:color w:val="auto"/>
                <w:szCs w:val="21"/>
                <w:highlight w:val="none"/>
              </w:rPr>
            </w:pPr>
          </w:p>
        </w:tc>
        <w:tc>
          <w:tcPr>
            <w:tcW w:w="2773" w:type="dxa"/>
            <w:vAlign w:val="center"/>
          </w:tcPr>
          <w:p w14:paraId="6B257A23">
            <w:pPr>
              <w:rPr>
                <w:rFonts w:hint="eastAsia" w:ascii="宋体" w:hAnsi="宋体" w:eastAsia="宋体" w:cs="宋体"/>
                <w:bCs/>
                <w:color w:val="auto"/>
                <w:szCs w:val="21"/>
                <w:highlight w:val="none"/>
              </w:rPr>
            </w:pPr>
          </w:p>
        </w:tc>
        <w:tc>
          <w:tcPr>
            <w:tcW w:w="2157" w:type="dxa"/>
            <w:vAlign w:val="center"/>
          </w:tcPr>
          <w:p w14:paraId="7CE48019">
            <w:pPr>
              <w:rPr>
                <w:rFonts w:hint="eastAsia" w:ascii="宋体" w:hAnsi="宋体" w:eastAsia="宋体" w:cs="宋体"/>
                <w:bCs/>
                <w:color w:val="auto"/>
                <w:szCs w:val="21"/>
                <w:highlight w:val="none"/>
              </w:rPr>
            </w:pPr>
          </w:p>
        </w:tc>
        <w:tc>
          <w:tcPr>
            <w:tcW w:w="4059" w:type="dxa"/>
            <w:tcBorders>
              <w:left w:val="single" w:color="auto" w:sz="4" w:space="0"/>
            </w:tcBorders>
            <w:vAlign w:val="center"/>
          </w:tcPr>
          <w:p w14:paraId="2DB5A25F">
            <w:pPr>
              <w:adjustRightInd w:val="0"/>
              <w:snapToGrid w:val="0"/>
              <w:spacing w:line="360" w:lineRule="auto"/>
              <w:ind w:firstLine="105" w:firstLineChars="50"/>
              <w:rPr>
                <w:rFonts w:hint="eastAsia" w:ascii="宋体" w:hAnsi="宋体" w:eastAsia="宋体" w:cs="宋体"/>
                <w:bCs/>
                <w:color w:val="auto"/>
                <w:szCs w:val="21"/>
                <w:highlight w:val="none"/>
              </w:rPr>
            </w:pPr>
          </w:p>
        </w:tc>
      </w:tr>
      <w:tr w14:paraId="387E35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2029" w:hRule="atLeast"/>
          <w:jc w:val="center"/>
        </w:trPr>
        <w:tc>
          <w:tcPr>
            <w:tcW w:w="1379" w:type="dxa"/>
            <w:vAlign w:val="center"/>
          </w:tcPr>
          <w:p w14:paraId="411F34E8">
            <w:pPr>
              <w:adjustRightInd w:val="0"/>
              <w:snapToGrid w:val="0"/>
              <w:spacing w:line="360" w:lineRule="auto"/>
              <w:jc w:val="center"/>
              <w:rPr>
                <w:rFonts w:hint="eastAsia" w:ascii="宋体" w:hAnsi="宋体" w:eastAsia="宋体" w:cs="宋体"/>
                <w:bCs/>
                <w:color w:val="auto"/>
                <w:szCs w:val="21"/>
                <w:highlight w:val="none"/>
              </w:rPr>
            </w:pPr>
          </w:p>
        </w:tc>
        <w:tc>
          <w:tcPr>
            <w:tcW w:w="2773" w:type="dxa"/>
            <w:vAlign w:val="center"/>
          </w:tcPr>
          <w:p w14:paraId="426DDD82">
            <w:pPr>
              <w:adjustRightInd w:val="0"/>
              <w:snapToGrid w:val="0"/>
              <w:spacing w:line="360" w:lineRule="auto"/>
              <w:rPr>
                <w:rFonts w:hint="eastAsia" w:ascii="宋体" w:hAnsi="宋体" w:eastAsia="宋体" w:cs="宋体"/>
                <w:bCs/>
                <w:color w:val="auto"/>
                <w:szCs w:val="21"/>
                <w:highlight w:val="none"/>
              </w:rPr>
            </w:pPr>
          </w:p>
        </w:tc>
        <w:tc>
          <w:tcPr>
            <w:tcW w:w="2157" w:type="dxa"/>
            <w:vAlign w:val="center"/>
          </w:tcPr>
          <w:p w14:paraId="17056F48">
            <w:pPr>
              <w:adjustRightInd w:val="0"/>
              <w:snapToGrid w:val="0"/>
              <w:spacing w:line="360" w:lineRule="auto"/>
              <w:jc w:val="center"/>
              <w:rPr>
                <w:rFonts w:hint="eastAsia" w:ascii="宋体" w:hAnsi="宋体" w:eastAsia="宋体" w:cs="宋体"/>
                <w:bCs/>
                <w:color w:val="auto"/>
                <w:szCs w:val="21"/>
                <w:highlight w:val="none"/>
              </w:rPr>
            </w:pPr>
          </w:p>
        </w:tc>
        <w:tc>
          <w:tcPr>
            <w:tcW w:w="4059" w:type="dxa"/>
            <w:tcBorders>
              <w:left w:val="single" w:color="auto" w:sz="4" w:space="0"/>
            </w:tcBorders>
            <w:vAlign w:val="center"/>
          </w:tcPr>
          <w:p w14:paraId="4552C56C">
            <w:pPr>
              <w:spacing w:line="360" w:lineRule="auto"/>
              <w:ind w:firstLine="8" w:firstLineChars="4"/>
              <w:rPr>
                <w:rFonts w:hint="eastAsia" w:ascii="宋体" w:hAnsi="宋体" w:eastAsia="宋体" w:cs="宋体"/>
                <w:bCs/>
                <w:color w:val="auto"/>
                <w:szCs w:val="21"/>
                <w:highlight w:val="none"/>
              </w:rPr>
            </w:pPr>
          </w:p>
        </w:tc>
      </w:tr>
      <w:tr w14:paraId="4CF5F8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033" w:hRule="atLeast"/>
          <w:jc w:val="center"/>
        </w:trPr>
        <w:tc>
          <w:tcPr>
            <w:tcW w:w="1379" w:type="dxa"/>
            <w:tcBorders>
              <w:top w:val="single" w:color="auto" w:sz="6" w:space="0"/>
              <w:left w:val="single" w:color="auto" w:sz="4" w:space="0"/>
              <w:bottom w:val="outset" w:color="808080" w:sz="6" w:space="0"/>
              <w:right w:val="single" w:color="auto" w:sz="6" w:space="0"/>
            </w:tcBorders>
            <w:vAlign w:val="center"/>
          </w:tcPr>
          <w:p w14:paraId="2317ED1E">
            <w:pPr>
              <w:adjustRightInd w:val="0"/>
              <w:snapToGrid w:val="0"/>
              <w:spacing w:line="360" w:lineRule="auto"/>
              <w:jc w:val="center"/>
              <w:rPr>
                <w:rFonts w:hint="eastAsia" w:ascii="宋体" w:hAnsi="宋体" w:eastAsia="宋体" w:cs="宋体"/>
                <w:bCs/>
                <w:color w:val="auto"/>
                <w:szCs w:val="21"/>
                <w:highlight w:val="none"/>
              </w:rPr>
            </w:pPr>
          </w:p>
        </w:tc>
        <w:tc>
          <w:tcPr>
            <w:tcW w:w="2773" w:type="dxa"/>
            <w:tcBorders>
              <w:top w:val="single" w:color="auto" w:sz="6" w:space="0"/>
              <w:left w:val="single" w:color="auto" w:sz="6" w:space="0"/>
              <w:bottom w:val="outset" w:color="808080" w:sz="6" w:space="0"/>
              <w:right w:val="single" w:color="auto" w:sz="6" w:space="0"/>
            </w:tcBorders>
            <w:vAlign w:val="center"/>
          </w:tcPr>
          <w:p w14:paraId="51E14CA7">
            <w:pPr>
              <w:adjustRightInd w:val="0"/>
              <w:snapToGrid w:val="0"/>
              <w:spacing w:line="360" w:lineRule="auto"/>
              <w:rPr>
                <w:rFonts w:hint="eastAsia" w:ascii="宋体" w:hAnsi="宋体" w:eastAsia="宋体" w:cs="宋体"/>
                <w:bCs/>
                <w:color w:val="auto"/>
                <w:szCs w:val="21"/>
                <w:highlight w:val="none"/>
              </w:rPr>
            </w:pPr>
          </w:p>
        </w:tc>
        <w:tc>
          <w:tcPr>
            <w:tcW w:w="2157" w:type="dxa"/>
            <w:tcBorders>
              <w:top w:val="single" w:color="auto" w:sz="6" w:space="0"/>
              <w:left w:val="single" w:color="auto" w:sz="6" w:space="0"/>
              <w:bottom w:val="outset" w:color="808080" w:sz="6" w:space="0"/>
              <w:right w:val="single" w:color="auto" w:sz="6" w:space="0"/>
            </w:tcBorders>
            <w:vAlign w:val="center"/>
          </w:tcPr>
          <w:p w14:paraId="2204E505">
            <w:pPr>
              <w:adjustRightInd w:val="0"/>
              <w:snapToGrid w:val="0"/>
              <w:spacing w:line="360" w:lineRule="auto"/>
              <w:jc w:val="center"/>
              <w:rPr>
                <w:rFonts w:hint="eastAsia" w:ascii="宋体" w:hAnsi="宋体" w:eastAsia="宋体" w:cs="宋体"/>
                <w:bCs/>
                <w:color w:val="auto"/>
                <w:szCs w:val="21"/>
                <w:highlight w:val="none"/>
              </w:rPr>
            </w:pPr>
          </w:p>
        </w:tc>
        <w:tc>
          <w:tcPr>
            <w:tcW w:w="4059" w:type="dxa"/>
            <w:tcBorders>
              <w:top w:val="single" w:color="auto" w:sz="6" w:space="0"/>
              <w:left w:val="single" w:color="auto" w:sz="4" w:space="0"/>
              <w:bottom w:val="outset" w:color="808080" w:sz="6" w:space="0"/>
              <w:right w:val="single" w:color="auto" w:sz="6" w:space="0"/>
            </w:tcBorders>
            <w:vAlign w:val="center"/>
          </w:tcPr>
          <w:p w14:paraId="2DF94BC1">
            <w:pPr>
              <w:adjustRightInd w:val="0"/>
              <w:snapToGrid w:val="0"/>
              <w:spacing w:line="360" w:lineRule="auto"/>
              <w:rPr>
                <w:rFonts w:hint="eastAsia" w:ascii="宋体" w:hAnsi="宋体" w:eastAsia="宋体" w:cs="宋体"/>
                <w:bCs/>
                <w:color w:val="auto"/>
                <w:szCs w:val="21"/>
                <w:highlight w:val="none"/>
              </w:rPr>
            </w:pPr>
          </w:p>
        </w:tc>
      </w:tr>
      <w:tr w14:paraId="741DFA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966" w:hRule="atLeast"/>
          <w:jc w:val="center"/>
        </w:trPr>
        <w:tc>
          <w:tcPr>
            <w:tcW w:w="4152" w:type="dxa"/>
            <w:gridSpan w:val="2"/>
            <w:tcBorders>
              <w:bottom w:val="single" w:color="auto" w:sz="4" w:space="0"/>
            </w:tcBorders>
            <w:vAlign w:val="center"/>
          </w:tcPr>
          <w:p w14:paraId="2D7500DE">
            <w:pPr>
              <w:adjustRightInd w:val="0"/>
              <w:snapToGrid w:val="0"/>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合计</w:t>
            </w:r>
          </w:p>
        </w:tc>
        <w:tc>
          <w:tcPr>
            <w:tcW w:w="2157" w:type="dxa"/>
            <w:tcBorders>
              <w:bottom w:val="single" w:color="auto" w:sz="4" w:space="0"/>
            </w:tcBorders>
            <w:vAlign w:val="center"/>
          </w:tcPr>
          <w:p w14:paraId="1B580116">
            <w:pPr>
              <w:adjustRightInd w:val="0"/>
              <w:snapToGrid w:val="0"/>
              <w:spacing w:line="360" w:lineRule="auto"/>
              <w:jc w:val="center"/>
              <w:rPr>
                <w:rFonts w:hint="eastAsia" w:ascii="宋体" w:hAnsi="宋体" w:eastAsia="宋体" w:cs="宋体"/>
                <w:bCs/>
                <w:color w:val="auto"/>
                <w:szCs w:val="21"/>
                <w:highlight w:val="none"/>
              </w:rPr>
            </w:pPr>
          </w:p>
        </w:tc>
        <w:tc>
          <w:tcPr>
            <w:tcW w:w="4059" w:type="dxa"/>
            <w:tcBorders>
              <w:left w:val="single" w:color="auto" w:sz="4" w:space="0"/>
              <w:bottom w:val="single" w:color="auto" w:sz="4" w:space="0"/>
            </w:tcBorders>
            <w:vAlign w:val="center"/>
          </w:tcPr>
          <w:p w14:paraId="66791BE4">
            <w:pPr>
              <w:spacing w:line="360" w:lineRule="auto"/>
              <w:jc w:val="center"/>
              <w:rPr>
                <w:rFonts w:hint="eastAsia" w:ascii="宋体" w:hAnsi="宋体" w:eastAsia="宋体" w:cs="宋体"/>
                <w:bCs/>
                <w:color w:val="auto"/>
                <w:szCs w:val="21"/>
                <w:highlight w:val="none"/>
              </w:rPr>
            </w:pPr>
          </w:p>
        </w:tc>
      </w:tr>
    </w:tbl>
    <w:p w14:paraId="31B24A2E">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25F50236">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b/>
          <w:color w:val="auto"/>
          <w:kern w:val="0"/>
          <w:sz w:val="32"/>
          <w:szCs w:val="32"/>
          <w:highlight w:val="none"/>
        </w:rPr>
      </w:pPr>
      <w:bookmarkStart w:id="433" w:name="_Toc13281"/>
      <w:bookmarkStart w:id="434" w:name="_Toc27679"/>
      <w:bookmarkStart w:id="435" w:name="_Toc23782"/>
      <w:bookmarkStart w:id="436" w:name="_Toc376743796"/>
      <w:bookmarkStart w:id="437" w:name="_Toc10871"/>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响应</w:t>
      </w:r>
      <w:r>
        <w:rPr>
          <w:rFonts w:hint="eastAsia" w:ascii="宋体" w:hAnsi="宋体" w:eastAsia="宋体" w:cs="宋体"/>
          <w:b/>
          <w:color w:val="auto"/>
          <w:kern w:val="0"/>
          <w:sz w:val="32"/>
          <w:szCs w:val="32"/>
          <w:highlight w:val="none"/>
        </w:rPr>
        <w:t>函格式</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5B573AF9">
      <w:pPr>
        <w:autoSpaceDE w:val="0"/>
        <w:autoSpaceDN w:val="0"/>
        <w:adjustRightInd w:val="0"/>
        <w:spacing w:line="360" w:lineRule="auto"/>
        <w:jc w:val="center"/>
        <w:rPr>
          <w:rFonts w:hint="eastAsia" w:ascii="宋体" w:hAnsi="宋体" w:eastAsia="宋体" w:cs="宋体"/>
          <w:b/>
          <w:bCs/>
          <w:color w:val="auto"/>
          <w:sz w:val="30"/>
          <w:szCs w:val="30"/>
          <w:highlight w:val="none"/>
        </w:rPr>
      </w:pPr>
      <w:bookmarkStart w:id="438" w:name="_Toc16695_WPSOffice_Level3"/>
      <w:r>
        <w:rPr>
          <w:rFonts w:hint="eastAsia" w:ascii="宋体" w:hAnsi="宋体" w:eastAsia="宋体" w:cs="宋体"/>
          <w:b/>
          <w:bCs/>
          <w:color w:val="auto"/>
          <w:sz w:val="30"/>
          <w:szCs w:val="30"/>
          <w:highlight w:val="none"/>
          <w:lang w:val="en-US" w:eastAsia="zh-CN"/>
        </w:rPr>
        <w:t>响 应</w:t>
      </w:r>
      <w:r>
        <w:rPr>
          <w:rFonts w:hint="eastAsia" w:ascii="宋体" w:hAnsi="宋体" w:eastAsia="宋体" w:cs="宋体"/>
          <w:b/>
          <w:bCs/>
          <w:color w:val="auto"/>
          <w:sz w:val="30"/>
          <w:szCs w:val="30"/>
          <w:highlight w:val="none"/>
          <w:lang w:val="zh-CN"/>
        </w:rPr>
        <w:t xml:space="preserve"> 函</w:t>
      </w:r>
      <w:bookmarkEnd w:id="438"/>
    </w:p>
    <w:p w14:paraId="362101FF">
      <w:pPr>
        <w:autoSpaceDE w:val="0"/>
        <w:autoSpaceDN w:val="0"/>
        <w:adjustRightInd w:val="0"/>
        <w:spacing w:line="360" w:lineRule="auto"/>
        <w:rPr>
          <w:rFonts w:hint="eastAsia" w:ascii="宋体" w:hAnsi="宋体" w:eastAsia="宋体" w:cs="宋体"/>
          <w:color w:val="auto"/>
          <w:szCs w:val="21"/>
          <w:highlight w:val="none"/>
          <w:lang w:val="zh-CN"/>
        </w:rPr>
      </w:pPr>
    </w:p>
    <w:p w14:paraId="64476F1D">
      <w:pPr>
        <w:autoSpaceDE w:val="0"/>
        <w:autoSpaceDN w:val="0"/>
        <w:adjustRightInd w:val="0"/>
        <w:spacing w:line="36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rPr>
        <w:t>致：</w:t>
      </w:r>
      <w:r>
        <w:rPr>
          <w:rFonts w:hint="eastAsia" w:ascii="宋体" w:hAnsi="宋体" w:eastAsia="宋体" w:cs="宋体"/>
          <w:color w:val="auto"/>
          <w:kern w:val="0"/>
          <w:szCs w:val="21"/>
          <w:highlight w:val="none"/>
          <w:u w:val="single"/>
          <w:lang w:eastAsia="zh-CN"/>
        </w:rPr>
        <w:t>东莞市尚源环能科技有限公司</w:t>
      </w:r>
    </w:p>
    <w:p w14:paraId="74CC5AC1">
      <w:pPr>
        <w:autoSpaceDE w:val="0"/>
        <w:autoSpaceDN w:val="0"/>
        <w:adjustRightInd w:val="0"/>
        <w:spacing w:line="360" w:lineRule="auto"/>
        <w:rPr>
          <w:rFonts w:hint="eastAsia" w:ascii="宋体" w:hAnsi="宋体" w:eastAsia="宋体" w:cs="宋体"/>
          <w:color w:val="auto"/>
          <w:szCs w:val="21"/>
          <w:highlight w:val="none"/>
        </w:rPr>
      </w:pPr>
    </w:p>
    <w:p w14:paraId="7F338998">
      <w:pPr>
        <w:wordWrap w:val="0"/>
        <w:autoSpaceDE w:val="0"/>
        <w:autoSpaceDN w:val="0"/>
        <w:adjustRightInd w:val="0"/>
        <w:spacing w:line="360" w:lineRule="auto"/>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根据贵方为</w:t>
      </w:r>
      <w:r>
        <w:rPr>
          <w:rFonts w:hint="eastAsia" w:ascii="宋体" w:hAnsi="宋体" w:eastAsia="宋体" w:cs="宋体"/>
          <w:color w:val="auto"/>
          <w:kern w:val="0"/>
          <w:szCs w:val="21"/>
          <w:highlight w:val="none"/>
          <w:u w:val="single"/>
          <w:lang w:eastAsia="zh-CN"/>
        </w:rPr>
        <w:t>东莞市污泥集中处理处置项目过渡期废盐处置服务采购项目</w:t>
      </w:r>
      <w:r>
        <w:rPr>
          <w:rFonts w:hint="eastAsia" w:ascii="宋体" w:hAnsi="宋体" w:eastAsia="宋体" w:cs="宋体"/>
          <w:color w:val="auto"/>
          <w:szCs w:val="21"/>
          <w:highlight w:val="none"/>
          <w:lang w:val="zh-CN"/>
        </w:rPr>
        <w:t>(采购编号：</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lang w:val="zh-CN"/>
        </w:rPr>
        <w:t>)的</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lang w:val="zh-CN"/>
        </w:rPr>
        <w:t>邀请，我方（供应商名称）作为供应商正式授权</w:t>
      </w:r>
      <w:r>
        <w:rPr>
          <w:rFonts w:hint="eastAsia" w:ascii="宋体" w:hAnsi="宋体" w:eastAsia="宋体" w:cs="宋体"/>
          <w:color w:val="auto"/>
          <w:szCs w:val="21"/>
          <w:highlight w:val="none"/>
          <w:u w:val="single"/>
          <w:lang w:val="zh-CN"/>
        </w:rPr>
        <w:t>　   　（</w:t>
      </w:r>
      <w:r>
        <w:rPr>
          <w:rFonts w:hint="eastAsia" w:ascii="宋体" w:hAnsi="宋体" w:eastAsia="宋体" w:cs="宋体"/>
          <w:color w:val="auto"/>
          <w:szCs w:val="21"/>
          <w:highlight w:val="none"/>
          <w:lang w:val="zh-CN"/>
        </w:rPr>
        <w:t>授权代表全名，职务）代表我方进行有关本次</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的一切事宜。</w:t>
      </w:r>
    </w:p>
    <w:p w14:paraId="587A5943">
      <w:pPr>
        <w:autoSpaceDE w:val="0"/>
        <w:autoSpaceDN w:val="0"/>
        <w:adjustRightInd w:val="0"/>
        <w:spacing w:line="360" w:lineRule="auto"/>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在此提交的响应文件，包括如下等内容，并已单独密封封装：</w:t>
      </w:r>
    </w:p>
    <w:p w14:paraId="4BF79F8F">
      <w:pPr>
        <w:autoSpaceDE w:val="0"/>
        <w:autoSpaceDN w:val="0"/>
        <w:adjustRightInd w:val="0"/>
        <w:spacing w:line="360" w:lineRule="auto"/>
        <w:ind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报价</w:t>
      </w:r>
      <w:r>
        <w:rPr>
          <w:rFonts w:hint="eastAsia" w:ascii="宋体" w:hAnsi="宋体" w:eastAsia="宋体" w:cs="宋体"/>
          <w:color w:val="auto"/>
          <w:szCs w:val="21"/>
          <w:highlight w:val="none"/>
          <w:lang w:val="zh-CN"/>
        </w:rPr>
        <w:t>信封【</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lang w:val="zh-CN"/>
        </w:rPr>
        <w:t>份】（含响应文件电子文件）；</w:t>
      </w:r>
    </w:p>
    <w:p w14:paraId="637856DB">
      <w:pPr>
        <w:autoSpaceDE w:val="0"/>
        <w:autoSpaceDN w:val="0"/>
        <w:adjustRightInd w:val="0"/>
        <w:spacing w:line="360" w:lineRule="auto"/>
        <w:ind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（二）响应文件【正本</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lang w:val="zh-CN"/>
        </w:rPr>
        <w:t>份，副本</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lang w:val="zh-CN"/>
        </w:rPr>
        <w:t>份】。</w:t>
      </w:r>
    </w:p>
    <w:p w14:paraId="201EAC5D">
      <w:pPr>
        <w:autoSpaceDE w:val="0"/>
        <w:autoSpaceDN w:val="0"/>
        <w:adjustRightInd w:val="0"/>
        <w:spacing w:line="360" w:lineRule="auto"/>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我方已完全明白询比文件的所有条款要求，并重申以下几点：</w:t>
      </w:r>
    </w:p>
    <w:p w14:paraId="73A4DD61">
      <w:pPr>
        <w:autoSpaceDE w:val="0"/>
        <w:autoSpaceDN w:val="0"/>
        <w:adjustRightInd w:val="0"/>
        <w:spacing w:line="360" w:lineRule="auto"/>
        <w:ind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（—）我方决定参加采购编号为</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lang w:val="zh-CN"/>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w:t>
      </w:r>
    </w:p>
    <w:p w14:paraId="390778EC">
      <w:pPr>
        <w:autoSpaceDE w:val="0"/>
        <w:autoSpaceDN w:val="0"/>
        <w:adjustRightInd w:val="0"/>
        <w:spacing w:line="360" w:lineRule="auto"/>
        <w:ind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（二）本响应文件的有效期自递交响应文件截止时间届满后90日有效，如</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，有效期将延至合同终止日为止；</w:t>
      </w:r>
    </w:p>
    <w:p w14:paraId="0A2D11FF">
      <w:pPr>
        <w:autoSpaceDE w:val="0"/>
        <w:autoSpaceDN w:val="0"/>
        <w:adjustRightInd w:val="0"/>
        <w:spacing w:line="360" w:lineRule="auto"/>
        <w:ind w:left="0" w:leftChars="0"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（三）我方已详细研究了询比文件的所有内容包括修正文（如有）和所有已提供的参考资料以及有关附件并完全明白，我方放弃在此方面提出含糊意见或误解的一切权力；</w:t>
      </w:r>
    </w:p>
    <w:p w14:paraId="0DA628A7">
      <w:pPr>
        <w:autoSpaceDE w:val="0"/>
        <w:autoSpaceDN w:val="0"/>
        <w:adjustRightInd w:val="0"/>
        <w:spacing w:line="360" w:lineRule="auto"/>
        <w:ind w:left="0" w:leftChars="0"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（四）我方明白并愿意在规定的递交响应文件截止时间和日期之后，</w:t>
      </w:r>
      <w:r>
        <w:rPr>
          <w:rFonts w:hint="eastAsia" w:ascii="宋体" w:hAnsi="宋体" w:eastAsia="宋体" w:cs="宋体"/>
          <w:b w:val="0"/>
          <w:bCs w:val="0"/>
          <w:color w:val="auto"/>
          <w:kern w:val="0"/>
          <w:szCs w:val="21"/>
          <w:highlight w:val="none"/>
          <w:lang w:val="en-US" w:eastAsia="zh-CN"/>
        </w:rPr>
        <w:t>响应</w:t>
      </w:r>
      <w:r>
        <w:rPr>
          <w:rFonts w:hint="eastAsia" w:ascii="宋体" w:hAnsi="宋体" w:eastAsia="宋体" w:cs="宋体"/>
          <w:color w:val="auto"/>
          <w:szCs w:val="21"/>
          <w:highlight w:val="none"/>
          <w:lang w:val="zh-CN"/>
        </w:rPr>
        <w:t>有效期之内撤回</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，则不予退还我方响应保证金；</w:t>
      </w:r>
    </w:p>
    <w:p w14:paraId="7FA2093C">
      <w:pPr>
        <w:autoSpaceDE w:val="0"/>
        <w:autoSpaceDN w:val="0"/>
        <w:adjustRightInd w:val="0"/>
        <w:spacing w:line="360" w:lineRule="auto"/>
        <w:ind w:left="0" w:leftChars="0"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（五）我方同意按照贵方可能提出的要求而提供与</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有关的任何其它数据或信息；</w:t>
      </w:r>
    </w:p>
    <w:p w14:paraId="38DAE111">
      <w:pPr>
        <w:autoSpaceDE w:val="0"/>
        <w:autoSpaceDN w:val="0"/>
        <w:adjustRightInd w:val="0"/>
        <w:spacing w:line="360" w:lineRule="auto"/>
        <w:ind w:left="0" w:leftChars="0"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（六）我方理解贵方不一定接受最低报价或任何贵方可能收到的报价；</w:t>
      </w:r>
    </w:p>
    <w:p w14:paraId="3DBC02CF">
      <w:pPr>
        <w:autoSpaceDE w:val="0"/>
        <w:autoSpaceDN w:val="0"/>
        <w:adjustRightInd w:val="0"/>
        <w:spacing w:line="360" w:lineRule="auto"/>
        <w:ind w:left="0" w:leftChars="0"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（七）我方如果</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，将保证履行询比文件以及询比文件修改书（如有）中的全部责任和义务，按质、按量、按期完成《合同书》中的全部任务；</w:t>
      </w:r>
    </w:p>
    <w:p w14:paraId="3048F0C6">
      <w:pPr>
        <w:autoSpaceDE w:val="0"/>
        <w:autoSpaceDN w:val="0"/>
        <w:adjustRightInd w:val="0"/>
        <w:spacing w:line="360" w:lineRule="auto"/>
        <w:ind w:left="0" w:leftChars="0"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（八）保证响应文件中所有资料均真实有效，否则按无效</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处理或可取消中标（</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）资格，并愿意接受按弄虚作假骗取中标（</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）的有关规定进行处理，并不予退还我方响应保证金；</w:t>
      </w:r>
    </w:p>
    <w:p w14:paraId="57995E18">
      <w:pPr>
        <w:autoSpaceDE w:val="0"/>
        <w:autoSpaceDN w:val="0"/>
        <w:adjustRightInd w:val="0"/>
        <w:spacing w:line="360" w:lineRule="auto"/>
        <w:ind w:left="0" w:leftChars="0"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（九）若我方中标（</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）后，我方一定按照询比文件的要求和响应文件的承诺签订和履行合同，否则贵方可取消我方中标（</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）资格，并依法不予退还我方响应保证金或履约担保，我方愿意接受违约处罚；</w:t>
      </w:r>
    </w:p>
    <w:p w14:paraId="3709F19B">
      <w:pPr>
        <w:autoSpaceDE w:val="0"/>
        <w:autoSpaceDN w:val="0"/>
        <w:adjustRightInd w:val="0"/>
        <w:spacing w:line="360" w:lineRule="auto"/>
        <w:ind w:left="0" w:leftChars="0"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（十）若我方中标（</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val="zh-CN"/>
        </w:rPr>
        <w:t>）后，核查出响应文件内容前后不一致，我方愿按最高标准的承诺履约义务；</w:t>
      </w:r>
    </w:p>
    <w:p w14:paraId="30CB50B6">
      <w:pPr>
        <w:autoSpaceDE w:val="0"/>
        <w:autoSpaceDN w:val="0"/>
        <w:adjustRightInd w:val="0"/>
        <w:spacing w:line="360" w:lineRule="auto"/>
        <w:ind w:firstLine="315" w:firstLineChars="1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（十一）所有与本</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lang w:val="zh-CN"/>
        </w:rPr>
        <w:t>有关的函件请发往下列地址：</w:t>
      </w:r>
    </w:p>
    <w:p w14:paraId="3DBA5C98">
      <w:pPr>
        <w:autoSpaceDE w:val="0"/>
        <w:autoSpaceDN w:val="0"/>
        <w:adjustRightInd w:val="0"/>
        <w:spacing w:line="360" w:lineRule="auto"/>
        <w:ind w:left="395" w:leftChars="-12" w:hanging="420" w:hangingChars="200"/>
        <w:rPr>
          <w:rFonts w:hint="eastAsia" w:ascii="宋体" w:hAnsi="宋体" w:eastAsia="宋体" w:cs="宋体"/>
          <w:color w:val="auto"/>
          <w:szCs w:val="21"/>
          <w:highlight w:val="none"/>
          <w:u w:val="single"/>
          <w:lang w:val="zh-CN"/>
        </w:rPr>
      </w:pPr>
    </w:p>
    <w:p w14:paraId="6E75249B">
      <w:pPr>
        <w:autoSpaceDE w:val="0"/>
        <w:autoSpaceDN w:val="0"/>
        <w:adjustRightInd w:val="0"/>
        <w:spacing w:line="360" w:lineRule="auto"/>
        <w:ind w:firstLine="420" w:firstLineChars="200"/>
        <w:rPr>
          <w:rFonts w:hint="eastAsia" w:ascii="宋体" w:hAnsi="宋体" w:eastAsia="宋体" w:cs="宋体"/>
          <w:color w:val="auto"/>
          <w:szCs w:val="21"/>
          <w:highlight w:val="none"/>
          <w:u w:val="single"/>
          <w:lang w:val="zh-CN"/>
        </w:rPr>
      </w:pPr>
      <w:r>
        <w:rPr>
          <w:rFonts w:hint="eastAsia" w:ascii="宋体" w:hAnsi="宋体" w:eastAsia="宋体" w:cs="宋体"/>
          <w:color w:val="auto"/>
          <w:szCs w:val="21"/>
          <w:highlight w:val="none"/>
          <w:lang w:val="zh-CN"/>
        </w:rPr>
        <w:t>地  　址：</w:t>
      </w:r>
      <w:r>
        <w:rPr>
          <w:rFonts w:hint="eastAsia" w:ascii="宋体" w:hAnsi="宋体" w:eastAsia="宋体" w:cs="宋体"/>
          <w:color w:val="auto"/>
          <w:szCs w:val="21"/>
          <w:highlight w:val="none"/>
          <w:u w:val="single"/>
          <w:lang w:val="zh-CN"/>
        </w:rPr>
        <w:t>　　　　　　　　　　　</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邮政编码：</w:t>
      </w:r>
      <w:r>
        <w:rPr>
          <w:rFonts w:hint="eastAsia" w:ascii="宋体" w:hAnsi="宋体" w:eastAsia="宋体" w:cs="宋体"/>
          <w:color w:val="auto"/>
          <w:szCs w:val="21"/>
          <w:highlight w:val="none"/>
          <w:u w:val="single"/>
          <w:lang w:val="zh-CN"/>
        </w:rPr>
        <w:t xml:space="preserve">　　　　　　　　　　 </w:t>
      </w:r>
    </w:p>
    <w:p w14:paraId="5481ABA2">
      <w:pPr>
        <w:autoSpaceDE w:val="0"/>
        <w:autoSpaceDN w:val="0"/>
        <w:adjustRightInd w:val="0"/>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电　　话：</w:t>
      </w:r>
      <w:r>
        <w:rPr>
          <w:rFonts w:hint="eastAsia" w:ascii="宋体" w:hAnsi="宋体" w:eastAsia="宋体" w:cs="宋体"/>
          <w:color w:val="auto"/>
          <w:szCs w:val="21"/>
          <w:highlight w:val="none"/>
          <w:u w:val="single"/>
          <w:lang w:val="zh-CN"/>
        </w:rPr>
        <w:t>　　　　　　　　　　　</w:t>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zh-CN"/>
        </w:rPr>
        <w:t>代表姓名：</w:t>
      </w:r>
      <w:r>
        <w:rPr>
          <w:rFonts w:hint="eastAsia" w:ascii="宋体" w:hAnsi="宋体" w:eastAsia="宋体" w:cs="宋体"/>
          <w:color w:val="auto"/>
          <w:szCs w:val="21"/>
          <w:highlight w:val="none"/>
          <w:u w:val="single"/>
          <w:lang w:val="zh-CN"/>
        </w:rPr>
        <w:t>　　　　　　　　　　　</w:t>
      </w:r>
    </w:p>
    <w:p w14:paraId="7EB604AB">
      <w:pPr>
        <w:autoSpaceDE w:val="0"/>
        <w:autoSpaceDN w:val="0"/>
        <w:adjustRightInd w:val="0"/>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传　　真：</w:t>
      </w:r>
      <w:r>
        <w:rPr>
          <w:rFonts w:hint="eastAsia" w:ascii="宋体" w:hAnsi="宋体" w:eastAsia="宋体" w:cs="宋体"/>
          <w:color w:val="auto"/>
          <w:szCs w:val="21"/>
          <w:highlight w:val="none"/>
          <w:u w:val="single"/>
          <w:lang w:val="zh-CN"/>
        </w:rPr>
        <w:t>　　　　　　　　　　　</w:t>
      </w:r>
      <w:r>
        <w:rPr>
          <w:rFonts w:hint="eastAsia" w:ascii="宋体" w:hAnsi="宋体" w:eastAsia="宋体" w:cs="宋体"/>
          <w:color w:val="auto"/>
          <w:szCs w:val="21"/>
          <w:highlight w:val="none"/>
          <w:lang w:val="zh-CN"/>
        </w:rPr>
        <w:t xml:space="preserve">        职　　务：</w:t>
      </w:r>
      <w:r>
        <w:rPr>
          <w:rFonts w:hint="eastAsia" w:ascii="宋体" w:hAnsi="宋体" w:eastAsia="宋体" w:cs="宋体"/>
          <w:color w:val="auto"/>
          <w:szCs w:val="21"/>
          <w:highlight w:val="none"/>
          <w:u w:val="single"/>
          <w:lang w:val="zh-CN"/>
        </w:rPr>
        <w:t xml:space="preserve">　　　　　　　　　　 </w:t>
      </w:r>
    </w:p>
    <w:p w14:paraId="64AA6C32">
      <w:pPr>
        <w:autoSpaceDE w:val="0"/>
        <w:autoSpaceDN w:val="0"/>
        <w:adjustRightInd w:val="0"/>
        <w:spacing w:line="36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ab/>
      </w:r>
      <w:r>
        <w:rPr>
          <w:rFonts w:hint="eastAsia" w:ascii="宋体" w:hAnsi="宋体" w:eastAsia="宋体" w:cs="宋体"/>
          <w:color w:val="auto"/>
          <w:szCs w:val="21"/>
          <w:highlight w:val="none"/>
          <w:lang w:val="en-US" w:eastAsia="zh-CN"/>
        </w:rPr>
        <w:t>电子邮箱：</w:t>
      </w:r>
      <w:r>
        <w:rPr>
          <w:rFonts w:hint="eastAsia" w:ascii="宋体" w:hAnsi="宋体" w:eastAsia="宋体" w:cs="宋体"/>
          <w:color w:val="auto"/>
          <w:szCs w:val="21"/>
          <w:highlight w:val="none"/>
          <w:u w:val="single"/>
          <w:lang w:val="zh-CN"/>
        </w:rPr>
        <w:t>　　　　　　　　　　　</w:t>
      </w:r>
      <w:r>
        <w:rPr>
          <w:rFonts w:hint="eastAsia" w:ascii="宋体" w:hAnsi="宋体" w:eastAsia="宋体" w:cs="宋体"/>
          <w:color w:val="auto"/>
          <w:szCs w:val="21"/>
          <w:highlight w:val="none"/>
          <w:lang w:val="zh-CN"/>
        </w:rPr>
        <w:tab/>
      </w:r>
    </w:p>
    <w:p w14:paraId="1391F64E">
      <w:pPr>
        <w:autoSpaceDE w:val="0"/>
        <w:autoSpaceDN w:val="0"/>
        <w:adjustRightInd w:val="0"/>
        <w:spacing w:line="360" w:lineRule="auto"/>
        <w:ind w:firstLine="4960" w:firstLineChars="2362"/>
        <w:rPr>
          <w:rFonts w:hint="eastAsia" w:ascii="宋体" w:hAnsi="宋体" w:eastAsia="宋体" w:cs="宋体"/>
          <w:color w:val="auto"/>
          <w:szCs w:val="21"/>
          <w:highlight w:val="none"/>
          <w:lang w:val="zh-CN"/>
        </w:rPr>
      </w:pPr>
    </w:p>
    <w:p w14:paraId="65E10A52">
      <w:pPr>
        <w:autoSpaceDE w:val="0"/>
        <w:autoSpaceDN w:val="0"/>
        <w:adjustRightInd w:val="0"/>
        <w:spacing w:line="360" w:lineRule="auto"/>
        <w:ind w:firstLine="4960" w:firstLineChars="236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w:t>
      </w:r>
      <w:r>
        <w:rPr>
          <w:rFonts w:hint="eastAsia" w:ascii="宋体" w:hAnsi="宋体" w:eastAsia="宋体" w:cs="宋体"/>
          <w:color w:val="auto"/>
          <w:szCs w:val="24"/>
          <w:highlight w:val="none"/>
          <w:lang w:val="zh-CN"/>
        </w:rPr>
        <w:t>加盖供应商法人公章</w:t>
      </w:r>
      <w:r>
        <w:rPr>
          <w:rFonts w:hint="eastAsia" w:ascii="宋体" w:hAnsi="宋体" w:eastAsia="宋体" w:cs="宋体"/>
          <w:color w:val="auto"/>
          <w:szCs w:val="21"/>
          <w:highlight w:val="none"/>
          <w:lang w:val="zh-CN"/>
        </w:rPr>
        <w:t>）</w:t>
      </w:r>
    </w:p>
    <w:p w14:paraId="7C3D0707">
      <w:pPr>
        <w:autoSpaceDE w:val="0"/>
        <w:autoSpaceDN w:val="0"/>
        <w:adjustRightInd w:val="0"/>
        <w:spacing w:line="360" w:lineRule="auto"/>
        <w:ind w:firstLine="4960" w:firstLineChars="236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法定代表人或其授权代表签名（或盖私章）：</w:t>
      </w:r>
    </w:p>
    <w:p w14:paraId="54941212">
      <w:pPr>
        <w:autoSpaceDE w:val="0"/>
        <w:autoSpaceDN w:val="0"/>
        <w:adjustRightInd w:val="0"/>
        <w:spacing w:line="360" w:lineRule="auto"/>
        <w:ind w:firstLine="4960" w:firstLineChars="2362"/>
        <w:rPr>
          <w:rFonts w:hint="eastAsia" w:ascii="宋体" w:hAnsi="宋体" w:eastAsia="宋体" w:cs="宋体"/>
          <w:color w:val="auto"/>
          <w:sz w:val="24"/>
          <w:szCs w:val="24"/>
          <w:highlight w:val="none"/>
          <w:lang w:val="zh-CN"/>
        </w:rPr>
      </w:pPr>
      <w:r>
        <w:rPr>
          <w:rFonts w:hint="eastAsia" w:ascii="宋体" w:hAnsi="宋体" w:eastAsia="宋体" w:cs="宋体"/>
          <w:color w:val="auto"/>
          <w:szCs w:val="21"/>
          <w:highlight w:val="none"/>
          <w:lang w:val="zh-CN"/>
        </w:rPr>
        <w:t>日</w:t>
      </w:r>
      <w:r>
        <w:rPr>
          <w:rFonts w:hint="eastAsia" w:ascii="宋体" w:hAnsi="宋体" w:eastAsia="宋体" w:cs="宋体"/>
          <w:color w:val="auto"/>
          <w:szCs w:val="24"/>
          <w:highlight w:val="none"/>
          <w:lang w:val="zh-CN"/>
        </w:rPr>
        <w:t>期：   年   月   日</w:t>
      </w:r>
    </w:p>
    <w:p w14:paraId="7905BC4B">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b/>
          <w:color w:val="auto"/>
          <w:kern w:val="0"/>
          <w:sz w:val="32"/>
          <w:szCs w:val="32"/>
          <w:highlight w:val="none"/>
        </w:rPr>
      </w:pPr>
      <w:r>
        <w:rPr>
          <w:rFonts w:hint="eastAsia" w:ascii="宋体" w:hAnsi="宋体" w:eastAsia="宋体" w:cs="宋体"/>
          <w:color w:val="auto"/>
          <w:kern w:val="0"/>
          <w:sz w:val="24"/>
          <w:szCs w:val="24"/>
          <w:highlight w:val="none"/>
        </w:rPr>
        <w:br w:type="page"/>
      </w:r>
      <w:bookmarkStart w:id="439" w:name="_Toc104991869"/>
      <w:bookmarkStart w:id="440" w:name="_Toc30995"/>
      <w:bookmarkStart w:id="441" w:name="_Toc660768589"/>
      <w:bookmarkStart w:id="442" w:name="_Toc142508363"/>
      <w:bookmarkStart w:id="443" w:name="_Toc533708122"/>
      <w:bookmarkStart w:id="444" w:name="_Toc12417"/>
      <w:bookmarkStart w:id="445" w:name="_Toc28613_WPSOffice_Level2"/>
      <w:bookmarkStart w:id="446" w:name="_Toc3104"/>
      <w:bookmarkStart w:id="447" w:name="_Toc94107203"/>
      <w:bookmarkStart w:id="448" w:name="_Toc102860412"/>
      <w:bookmarkStart w:id="449" w:name="_Toc1977722"/>
      <w:bookmarkStart w:id="450" w:name="_Toc16335"/>
      <w:bookmarkStart w:id="451" w:name="_Toc102860068"/>
      <w:bookmarkStart w:id="452" w:name="_Toc140596922"/>
      <w:bookmarkStart w:id="453" w:name="_Toc486167710"/>
      <w:r>
        <w:rPr>
          <w:rFonts w:hint="eastAsia" w:ascii="宋体" w:hAnsi="宋体" w:eastAsia="宋体" w:cs="宋体"/>
          <w:b/>
          <w:color w:val="auto"/>
          <w:kern w:val="0"/>
          <w:sz w:val="32"/>
          <w:szCs w:val="32"/>
          <w:highlight w:val="none"/>
        </w:rPr>
        <w:t>二、</w:t>
      </w:r>
      <w:r>
        <w:rPr>
          <w:rFonts w:hint="eastAsia" w:ascii="宋体" w:hAnsi="宋体" w:eastAsia="宋体" w:cs="宋体"/>
          <w:b/>
          <w:color w:val="auto"/>
          <w:kern w:val="0"/>
          <w:sz w:val="32"/>
          <w:szCs w:val="32"/>
          <w:highlight w:val="none"/>
          <w:lang w:val="en-US" w:eastAsia="zh-CN"/>
        </w:rPr>
        <w:t>响应</w:t>
      </w:r>
      <w:r>
        <w:rPr>
          <w:rFonts w:hint="eastAsia" w:ascii="宋体" w:hAnsi="宋体" w:eastAsia="宋体" w:cs="宋体"/>
          <w:b/>
          <w:color w:val="auto"/>
          <w:kern w:val="0"/>
          <w:sz w:val="32"/>
          <w:szCs w:val="32"/>
          <w:highlight w:val="none"/>
        </w:rPr>
        <w:t>承诺书格式</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14:paraId="76EF74B1">
      <w:pPr>
        <w:autoSpaceDE w:val="0"/>
        <w:autoSpaceDN w:val="0"/>
        <w:adjustRightInd w:val="0"/>
        <w:spacing w:line="360" w:lineRule="auto"/>
        <w:jc w:val="center"/>
        <w:rPr>
          <w:rFonts w:hint="eastAsia" w:ascii="宋体" w:hAnsi="宋体" w:eastAsia="宋体" w:cs="宋体"/>
          <w:b/>
          <w:bCs/>
          <w:color w:val="auto"/>
          <w:sz w:val="30"/>
          <w:szCs w:val="30"/>
          <w:highlight w:val="none"/>
          <w:lang w:val="zh-CN"/>
        </w:rPr>
      </w:pPr>
      <w:r>
        <w:rPr>
          <w:rFonts w:hint="eastAsia" w:ascii="宋体" w:hAnsi="宋体" w:eastAsia="宋体" w:cs="宋体"/>
          <w:b/>
          <w:color w:val="auto"/>
          <w:kern w:val="0"/>
          <w:sz w:val="32"/>
          <w:szCs w:val="32"/>
          <w:highlight w:val="none"/>
          <w:lang w:val="en-US" w:eastAsia="zh-CN"/>
        </w:rPr>
        <w:t>响应</w:t>
      </w:r>
      <w:r>
        <w:rPr>
          <w:rFonts w:hint="eastAsia" w:ascii="宋体" w:hAnsi="宋体" w:eastAsia="宋体" w:cs="宋体"/>
          <w:b/>
          <w:bCs/>
          <w:color w:val="auto"/>
          <w:sz w:val="30"/>
          <w:szCs w:val="30"/>
          <w:highlight w:val="none"/>
          <w:lang w:val="zh-CN"/>
        </w:rPr>
        <w:t>承诺书</w:t>
      </w:r>
    </w:p>
    <w:p w14:paraId="27AFC9D0">
      <w:pPr>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我方</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响应</w:t>
      </w:r>
      <w:r>
        <w:rPr>
          <w:rFonts w:hint="eastAsia" w:ascii="宋体" w:hAnsi="宋体" w:eastAsia="宋体" w:cs="宋体"/>
          <w:color w:val="auto"/>
          <w:kern w:val="0"/>
          <w:sz w:val="21"/>
          <w:szCs w:val="21"/>
          <w:highlight w:val="none"/>
        </w:rPr>
        <w:t>人名称</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自愿参与</w:t>
      </w:r>
      <w:r>
        <w:rPr>
          <w:rFonts w:hint="eastAsia" w:ascii="宋体" w:hAnsi="宋体" w:eastAsia="宋体" w:cs="宋体"/>
          <w:color w:val="auto"/>
          <w:sz w:val="21"/>
          <w:szCs w:val="21"/>
          <w:highlight w:val="none"/>
          <w:u w:val="single"/>
          <w:lang w:val="en-US" w:eastAsia="zh-CN"/>
        </w:rPr>
        <w:t>东莞市污泥集中处理处置项目过渡期废盐处置服务采购项目</w:t>
      </w:r>
      <w:r>
        <w:rPr>
          <w:rFonts w:hint="eastAsia" w:ascii="宋体" w:hAnsi="宋体" w:eastAsia="宋体" w:cs="宋体"/>
          <w:color w:val="auto"/>
          <w:sz w:val="21"/>
          <w:szCs w:val="21"/>
          <w:highlight w:val="none"/>
          <w:u w:val="none"/>
          <w:lang w:val="en-US" w:eastAsia="zh-CN"/>
        </w:rPr>
        <w:t>（采购编号：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企业</w:t>
      </w:r>
      <w:r>
        <w:rPr>
          <w:rFonts w:hint="eastAsia" w:ascii="宋体" w:hAnsi="宋体" w:eastAsia="宋体" w:cs="宋体"/>
          <w:color w:val="auto"/>
          <w:sz w:val="21"/>
          <w:szCs w:val="21"/>
          <w:highlight w:val="none"/>
        </w:rPr>
        <w:t>采购活动。为维护</w:t>
      </w:r>
      <w:r>
        <w:rPr>
          <w:rFonts w:hint="eastAsia" w:ascii="宋体" w:hAnsi="宋体" w:eastAsia="宋体" w:cs="宋体"/>
          <w:color w:val="auto"/>
          <w:sz w:val="21"/>
          <w:szCs w:val="21"/>
          <w:highlight w:val="none"/>
          <w:lang w:val="en-US" w:eastAsia="zh-CN"/>
        </w:rPr>
        <w:t>企业采购</w:t>
      </w:r>
      <w:r>
        <w:rPr>
          <w:rFonts w:hint="eastAsia" w:ascii="宋体" w:hAnsi="宋体" w:eastAsia="宋体" w:cs="宋体"/>
          <w:color w:val="auto"/>
          <w:sz w:val="21"/>
          <w:szCs w:val="21"/>
          <w:highlight w:val="none"/>
        </w:rPr>
        <w:t>活动的公平、公正，保障采购质量和效率，</w:t>
      </w:r>
      <w:r>
        <w:rPr>
          <w:rFonts w:hint="eastAsia" w:ascii="宋体" w:hAnsi="宋体" w:eastAsia="宋体" w:cs="宋体"/>
          <w:color w:val="auto"/>
          <w:kern w:val="0"/>
          <w:sz w:val="21"/>
          <w:szCs w:val="21"/>
          <w:highlight w:val="none"/>
        </w:rPr>
        <w:t>我方</w:t>
      </w:r>
      <w:r>
        <w:rPr>
          <w:rFonts w:hint="eastAsia" w:ascii="宋体" w:hAnsi="宋体" w:eastAsia="宋体" w:cs="宋体"/>
          <w:color w:val="auto"/>
          <w:sz w:val="21"/>
          <w:szCs w:val="21"/>
          <w:highlight w:val="none"/>
        </w:rPr>
        <w:t>在充分理解《中华人民共和国招标</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法》《中华人民共和国招标</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法实施条例》等相关法律法规及</w:t>
      </w:r>
      <w:r>
        <w:rPr>
          <w:rFonts w:hint="eastAsia" w:ascii="宋体" w:hAnsi="宋体" w:eastAsia="宋体" w:cs="宋体"/>
          <w:b/>
          <w:bCs/>
          <w:color w:val="auto"/>
          <w:sz w:val="21"/>
          <w:szCs w:val="21"/>
          <w:highlight w:val="none"/>
          <w:lang w:val="en-US" w:eastAsia="zh-CN"/>
        </w:rPr>
        <w:t>采购人、采购人上级部门</w:t>
      </w:r>
      <w:r>
        <w:rPr>
          <w:rFonts w:hint="eastAsia" w:ascii="宋体" w:hAnsi="宋体" w:eastAsia="宋体" w:cs="宋体"/>
          <w:b/>
          <w:bCs/>
          <w:color w:val="auto"/>
          <w:sz w:val="21"/>
          <w:szCs w:val="21"/>
          <w:highlight w:val="none"/>
        </w:rPr>
        <w:t>东莞市水务环境投资控股集团有限公司</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以下简称“水务环境集团”）</w:t>
      </w:r>
      <w:r>
        <w:rPr>
          <w:rFonts w:hint="eastAsia" w:ascii="宋体" w:hAnsi="宋体" w:eastAsia="宋体" w:cs="宋体"/>
          <w:color w:val="auto"/>
          <w:sz w:val="21"/>
          <w:szCs w:val="21"/>
          <w:highlight w:val="none"/>
        </w:rPr>
        <w:t>供应商管理制度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注：水务环境集团供应商管理制度为</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东莞市水务环境投资控股集团有限公司供应商黑名单管理实施细则</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详见水务环境集团官网-“招标采购”栏目，网址：www.dgweg.cn）</w:t>
      </w:r>
      <w:r>
        <w:rPr>
          <w:rFonts w:hint="eastAsia" w:ascii="宋体" w:hAnsi="宋体" w:eastAsia="宋体" w:cs="宋体"/>
          <w:color w:val="auto"/>
          <w:sz w:val="21"/>
          <w:szCs w:val="21"/>
          <w:highlight w:val="none"/>
        </w:rPr>
        <w:t>的基础上，郑重承诺如下：</w:t>
      </w:r>
    </w:p>
    <w:p w14:paraId="1F7362DA">
      <w:pPr>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color w:val="auto"/>
          <w:sz w:val="21"/>
          <w:szCs w:val="21"/>
          <w:highlight w:val="none"/>
        </w:rPr>
      </w:pPr>
    </w:p>
    <w:p w14:paraId="127260AA">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一、守法</w:t>
      </w:r>
      <w:r>
        <w:rPr>
          <w:rFonts w:hint="eastAsia" w:ascii="宋体" w:hAnsi="宋体" w:eastAsia="宋体" w:cs="宋体"/>
          <w:b/>
          <w:bCs/>
          <w:color w:val="auto"/>
          <w:sz w:val="21"/>
          <w:szCs w:val="21"/>
          <w:highlight w:val="none"/>
          <w:lang w:eastAsia="zh-CN"/>
        </w:rPr>
        <w:t>响应</w:t>
      </w:r>
      <w:r>
        <w:rPr>
          <w:rFonts w:hint="eastAsia" w:ascii="宋体" w:hAnsi="宋体" w:eastAsia="宋体" w:cs="宋体"/>
          <w:b/>
          <w:bCs/>
          <w:color w:val="auto"/>
          <w:sz w:val="21"/>
          <w:szCs w:val="21"/>
          <w:highlight w:val="none"/>
        </w:rPr>
        <w:t>承诺</w:t>
      </w:r>
    </w:p>
    <w:p w14:paraId="7D654881">
      <w:pPr>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我方</w:t>
      </w:r>
      <w:r>
        <w:rPr>
          <w:rFonts w:hint="eastAsia" w:ascii="宋体" w:hAnsi="宋体" w:eastAsia="宋体" w:cs="宋体"/>
          <w:color w:val="auto"/>
          <w:sz w:val="21"/>
          <w:szCs w:val="21"/>
          <w:highlight w:val="none"/>
        </w:rPr>
        <w:t>在参与本项目</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过程中，严格遵守《中华人民共和国招标</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法》《中华人民共和国招标</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法实施条例》等相关法律法规，并郑重承诺不存在下列行为：</w:t>
      </w:r>
    </w:p>
    <w:p w14:paraId="7F42ECF8">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1.不得串通</w:t>
      </w:r>
      <w:r>
        <w:rPr>
          <w:rFonts w:hint="eastAsia" w:ascii="宋体" w:hAnsi="宋体" w:eastAsia="宋体" w:cs="宋体"/>
          <w:b/>
          <w:bCs/>
          <w:color w:val="auto"/>
          <w:sz w:val="21"/>
          <w:szCs w:val="21"/>
          <w:highlight w:val="none"/>
          <w:lang w:eastAsia="zh-CN"/>
        </w:rPr>
        <w:t>响应</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不与</w:t>
      </w:r>
      <w:r>
        <w:rPr>
          <w:rFonts w:hint="eastAsia" w:ascii="宋体" w:hAnsi="宋体" w:eastAsia="宋体" w:cs="宋体"/>
          <w:b w:val="0"/>
          <w:bCs w:val="0"/>
          <w:color w:val="auto"/>
          <w:sz w:val="21"/>
          <w:szCs w:val="21"/>
          <w:highlight w:val="none"/>
          <w:lang w:val="en-US" w:eastAsia="zh-CN"/>
        </w:rPr>
        <w:t>采购人</w:t>
      </w:r>
      <w:r>
        <w:rPr>
          <w:rFonts w:hint="eastAsia" w:ascii="宋体" w:hAnsi="宋体" w:eastAsia="宋体" w:cs="宋体"/>
          <w:color w:val="auto"/>
          <w:sz w:val="21"/>
          <w:szCs w:val="21"/>
          <w:highlight w:val="none"/>
        </w:rPr>
        <w:t>、代理机构或其他</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人串通</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，不损害国家利益、社会公共利益或他人合法权益</w:t>
      </w:r>
      <w:r>
        <w:rPr>
          <w:rFonts w:hint="eastAsia" w:ascii="宋体" w:hAnsi="宋体" w:eastAsia="宋体" w:cs="宋体"/>
          <w:color w:val="auto"/>
          <w:sz w:val="21"/>
          <w:szCs w:val="21"/>
          <w:highlight w:val="none"/>
          <w:lang w:eastAsia="zh-CN"/>
        </w:rPr>
        <w:t>。</w:t>
      </w:r>
    </w:p>
    <w:p w14:paraId="1D036006">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2.不得弄虚作假：</w:t>
      </w:r>
      <w:r>
        <w:rPr>
          <w:rFonts w:hint="eastAsia" w:ascii="宋体" w:hAnsi="宋体" w:eastAsia="宋体" w:cs="宋体"/>
          <w:color w:val="auto"/>
          <w:sz w:val="21"/>
          <w:szCs w:val="21"/>
          <w:highlight w:val="none"/>
        </w:rPr>
        <w:t>不提供虚假的资质证书、业绩证明、财务状况、信用信息等材料，不伪造、变造资格、资质证书或其他证明文件</w:t>
      </w:r>
      <w:r>
        <w:rPr>
          <w:rFonts w:hint="eastAsia" w:ascii="宋体" w:hAnsi="宋体" w:eastAsia="宋体" w:cs="宋体"/>
          <w:color w:val="auto"/>
          <w:sz w:val="21"/>
          <w:szCs w:val="21"/>
          <w:highlight w:val="none"/>
          <w:lang w:eastAsia="zh-CN"/>
        </w:rPr>
        <w:t>。</w:t>
      </w:r>
    </w:p>
    <w:p w14:paraId="7A058C7A">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3.不得行贿谋取</w:t>
      </w:r>
      <w:r>
        <w:rPr>
          <w:rFonts w:hint="eastAsia" w:ascii="宋体" w:hAnsi="宋体" w:eastAsia="宋体" w:cs="宋体"/>
          <w:b/>
          <w:bCs/>
          <w:color w:val="auto"/>
          <w:sz w:val="21"/>
          <w:szCs w:val="21"/>
          <w:highlight w:val="none"/>
          <w:lang w:val="en-US" w:eastAsia="zh-CN"/>
        </w:rPr>
        <w:t>成交</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不向</w:t>
      </w:r>
      <w:r>
        <w:rPr>
          <w:rFonts w:hint="eastAsia" w:ascii="宋体" w:hAnsi="宋体" w:eastAsia="宋体" w:cs="宋体"/>
          <w:b w:val="0"/>
          <w:bCs w:val="0"/>
          <w:color w:val="auto"/>
          <w:sz w:val="21"/>
          <w:szCs w:val="21"/>
          <w:highlight w:val="none"/>
          <w:lang w:val="en-US" w:eastAsia="zh-CN"/>
        </w:rPr>
        <w:t>采购人</w:t>
      </w:r>
      <w:r>
        <w:rPr>
          <w:rFonts w:hint="eastAsia" w:ascii="宋体" w:hAnsi="宋体" w:eastAsia="宋体" w:cs="宋体"/>
          <w:color w:val="auto"/>
          <w:sz w:val="21"/>
          <w:szCs w:val="21"/>
          <w:highlight w:val="none"/>
        </w:rPr>
        <w:t>、代理机构、评标委员会成员等与</w:t>
      </w:r>
      <w:r>
        <w:rPr>
          <w:rFonts w:hint="eastAsia" w:ascii="宋体" w:hAnsi="宋体" w:eastAsia="宋体" w:cs="宋体"/>
          <w:color w:val="auto"/>
          <w:sz w:val="21"/>
          <w:szCs w:val="21"/>
          <w:highlight w:val="none"/>
          <w:lang w:val="en-US" w:eastAsia="zh-CN"/>
        </w:rPr>
        <w:t>企业</w:t>
      </w:r>
      <w:r>
        <w:rPr>
          <w:rFonts w:hint="eastAsia" w:ascii="宋体" w:hAnsi="宋体" w:eastAsia="宋体" w:cs="宋体"/>
          <w:color w:val="auto"/>
          <w:sz w:val="21"/>
          <w:szCs w:val="21"/>
          <w:highlight w:val="none"/>
        </w:rPr>
        <w:t>采购活动有关的人员行贿，或提供其他不正当利益</w:t>
      </w:r>
      <w:r>
        <w:rPr>
          <w:rFonts w:hint="eastAsia" w:ascii="宋体" w:hAnsi="宋体" w:eastAsia="宋体" w:cs="宋体"/>
          <w:color w:val="auto"/>
          <w:sz w:val="21"/>
          <w:szCs w:val="21"/>
          <w:highlight w:val="none"/>
          <w:lang w:eastAsia="zh-CN"/>
        </w:rPr>
        <w:t>。</w:t>
      </w:r>
    </w:p>
    <w:p w14:paraId="214C9439">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4.不得以他人名义</w:t>
      </w:r>
      <w:r>
        <w:rPr>
          <w:rFonts w:hint="eastAsia" w:ascii="宋体" w:hAnsi="宋体" w:eastAsia="宋体" w:cs="宋体"/>
          <w:b/>
          <w:bCs/>
          <w:color w:val="auto"/>
          <w:sz w:val="21"/>
          <w:szCs w:val="21"/>
          <w:highlight w:val="none"/>
          <w:lang w:eastAsia="zh-CN"/>
        </w:rPr>
        <w:t>响应</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不使用其他单位名义</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，不出借、转让资质证书，不让他人使用本单位名义</w:t>
      </w:r>
      <w:r>
        <w:rPr>
          <w:rFonts w:hint="eastAsia" w:ascii="宋体" w:hAnsi="宋体" w:eastAsia="宋体" w:cs="宋体"/>
          <w:color w:val="auto"/>
          <w:sz w:val="21"/>
          <w:szCs w:val="21"/>
          <w:highlight w:val="none"/>
          <w:lang w:eastAsia="zh-CN"/>
        </w:rPr>
        <w:t>响应。</w:t>
      </w:r>
    </w:p>
    <w:p w14:paraId="6B0F822B">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5.不得恶意低价竞标：</w:t>
      </w:r>
      <w:r>
        <w:rPr>
          <w:rFonts w:hint="eastAsia" w:ascii="宋体" w:hAnsi="宋体" w:eastAsia="宋体" w:cs="宋体"/>
          <w:color w:val="auto"/>
          <w:sz w:val="21"/>
          <w:szCs w:val="21"/>
          <w:highlight w:val="none"/>
        </w:rPr>
        <w:t>不以低于成本的报价竞标，不通过恶意低价</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后以次充好、偷工减料等方式谋取不当利益</w:t>
      </w:r>
      <w:r>
        <w:rPr>
          <w:rFonts w:hint="eastAsia" w:ascii="宋体" w:hAnsi="宋体" w:eastAsia="宋体" w:cs="宋体"/>
          <w:color w:val="auto"/>
          <w:sz w:val="21"/>
          <w:szCs w:val="21"/>
          <w:highlight w:val="none"/>
          <w:lang w:eastAsia="zh-CN"/>
        </w:rPr>
        <w:t>。</w:t>
      </w:r>
    </w:p>
    <w:p w14:paraId="440B03DB">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6.不得违法转包、分包：</w:t>
      </w:r>
      <w:r>
        <w:rPr>
          <w:rFonts w:hint="eastAsia" w:ascii="宋体" w:hAnsi="宋体" w:eastAsia="宋体" w:cs="宋体"/>
          <w:color w:val="auto"/>
          <w:sz w:val="21"/>
          <w:szCs w:val="21"/>
          <w:highlight w:val="none"/>
        </w:rPr>
        <w:t>不将</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项目违法转包、违规分包，不将主体、关键性工作分包给不具备相应资质的单位。</w:t>
      </w:r>
    </w:p>
    <w:p w14:paraId="29A19DF5">
      <w:pPr>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    </w:t>
      </w:r>
      <w:r>
        <w:rPr>
          <w:rFonts w:hint="eastAsia" w:ascii="宋体" w:hAnsi="宋体" w:eastAsia="宋体" w:cs="宋体"/>
          <w:b/>
          <w:bCs/>
          <w:color w:val="auto"/>
          <w:kern w:val="0"/>
          <w:sz w:val="21"/>
          <w:szCs w:val="21"/>
          <w:highlight w:val="none"/>
          <w:lang w:val="en-US" w:eastAsia="zh-CN" w:bidi="ar-SA"/>
        </w:rPr>
        <w:t>7.不存在失信记录：</w:t>
      </w:r>
      <w:r>
        <w:rPr>
          <w:rFonts w:hint="eastAsia" w:ascii="宋体" w:hAnsi="宋体" w:eastAsia="宋体" w:cs="宋体"/>
          <w:color w:val="auto"/>
          <w:kern w:val="0"/>
          <w:sz w:val="21"/>
          <w:szCs w:val="21"/>
          <w:highlight w:val="none"/>
          <w:lang w:val="en-US" w:eastAsia="zh-CN" w:bidi="ar-SA"/>
        </w:rPr>
        <w:t>未被列入“信用中国”网站（www.creditchina.gov.cn）失信被执行人、重大税收违法失信主体、政府采购严重违法失信行为记录名单（处罚期限届满的除外）。</w:t>
      </w:r>
    </w:p>
    <w:p w14:paraId="7FBF3070">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b/>
          <w:bCs/>
          <w:color w:val="auto"/>
          <w:sz w:val="21"/>
          <w:szCs w:val="21"/>
          <w:highlight w:val="none"/>
        </w:rPr>
      </w:pPr>
    </w:p>
    <w:p w14:paraId="3BE9CFAC">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w:t>
      </w:r>
      <w:r>
        <w:rPr>
          <w:rFonts w:hint="eastAsia" w:ascii="宋体" w:hAnsi="宋体" w:eastAsia="宋体" w:cs="宋体"/>
          <w:b/>
          <w:bCs/>
          <w:color w:val="auto"/>
          <w:sz w:val="21"/>
          <w:szCs w:val="21"/>
          <w:highlight w:val="none"/>
          <w:lang w:val="en-US" w:eastAsia="zh-CN"/>
        </w:rPr>
        <w:t>成交</w:t>
      </w:r>
      <w:r>
        <w:rPr>
          <w:rFonts w:hint="eastAsia" w:ascii="宋体" w:hAnsi="宋体" w:eastAsia="宋体" w:cs="宋体"/>
          <w:b/>
          <w:bCs/>
          <w:color w:val="auto"/>
          <w:sz w:val="21"/>
          <w:szCs w:val="21"/>
          <w:highlight w:val="none"/>
        </w:rPr>
        <w:t>履约承诺</w:t>
      </w:r>
    </w:p>
    <w:p w14:paraId="4F3F7A5E">
      <w:pPr>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eastAsia="zh-CN"/>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，将严格履行合同约定，并</w:t>
      </w:r>
      <w:r>
        <w:rPr>
          <w:rFonts w:hint="eastAsia" w:ascii="宋体" w:hAnsi="宋体" w:eastAsia="宋体" w:cs="宋体"/>
          <w:color w:val="auto"/>
          <w:sz w:val="21"/>
          <w:szCs w:val="21"/>
          <w:highlight w:val="none"/>
          <w:lang w:val="en-US" w:eastAsia="zh-CN"/>
        </w:rPr>
        <w:t>郑重</w:t>
      </w:r>
      <w:r>
        <w:rPr>
          <w:rFonts w:hint="eastAsia" w:ascii="宋体" w:hAnsi="宋体" w:eastAsia="宋体" w:cs="宋体"/>
          <w:color w:val="auto"/>
          <w:sz w:val="21"/>
          <w:szCs w:val="21"/>
          <w:highlight w:val="none"/>
        </w:rPr>
        <w:t>承诺：</w:t>
      </w:r>
    </w:p>
    <w:p w14:paraId="0C3FAE5C">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按时订立合同：</w:t>
      </w:r>
      <w:r>
        <w:rPr>
          <w:rFonts w:hint="eastAsia" w:ascii="宋体" w:hAnsi="宋体" w:eastAsia="宋体" w:cs="宋体"/>
          <w:b w:val="0"/>
          <w:bCs w:val="0"/>
          <w:color w:val="auto"/>
          <w:sz w:val="21"/>
          <w:szCs w:val="21"/>
          <w:highlight w:val="none"/>
          <w:lang w:val="en-US" w:eastAsia="zh-CN"/>
        </w:rPr>
        <w:t>在采购文件规定时间内,按照采购文件和成交人的响应文件订立书面合同。不得无正当理由拒签合同，不得再行订立背离合同实质性内容的其他协议。</w:t>
      </w:r>
    </w:p>
    <w:p w14:paraId="65511595">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严格按</w:t>
      </w:r>
      <w:r>
        <w:rPr>
          <w:rFonts w:hint="eastAsia" w:ascii="宋体" w:hAnsi="宋体" w:eastAsia="宋体" w:cs="宋体"/>
          <w:b/>
          <w:bCs/>
          <w:color w:val="auto"/>
          <w:sz w:val="21"/>
          <w:szCs w:val="21"/>
          <w:highlight w:val="none"/>
          <w:lang w:eastAsia="zh-CN"/>
        </w:rPr>
        <w:t>响应</w:t>
      </w:r>
      <w:r>
        <w:rPr>
          <w:rFonts w:hint="eastAsia" w:ascii="宋体" w:hAnsi="宋体" w:eastAsia="宋体" w:cs="宋体"/>
          <w:b/>
          <w:bCs/>
          <w:color w:val="auto"/>
          <w:sz w:val="21"/>
          <w:szCs w:val="21"/>
          <w:highlight w:val="none"/>
        </w:rPr>
        <w:t>文件履约：</w:t>
      </w:r>
      <w:r>
        <w:rPr>
          <w:rFonts w:hint="eastAsia" w:ascii="宋体" w:hAnsi="宋体" w:eastAsia="宋体" w:cs="宋体"/>
          <w:color w:val="auto"/>
          <w:sz w:val="21"/>
          <w:szCs w:val="21"/>
          <w:highlight w:val="none"/>
        </w:rPr>
        <w:t>按</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文件中承诺的人员、设备、技术方案、质量标准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工期</w:t>
      </w:r>
      <w:r>
        <w:rPr>
          <w:rFonts w:hint="eastAsia" w:ascii="宋体" w:hAnsi="宋体" w:eastAsia="宋体" w:cs="宋体"/>
          <w:color w:val="auto"/>
          <w:sz w:val="21"/>
          <w:szCs w:val="21"/>
          <w:highlight w:val="none"/>
        </w:rPr>
        <w:t>等组织履约，不擅自更换项目负责人及核心技术人员</w:t>
      </w:r>
      <w:r>
        <w:rPr>
          <w:rFonts w:hint="eastAsia" w:ascii="宋体" w:hAnsi="宋体" w:eastAsia="宋体" w:cs="宋体"/>
          <w:color w:val="auto"/>
          <w:sz w:val="21"/>
          <w:szCs w:val="21"/>
          <w:highlight w:val="none"/>
          <w:lang w:eastAsia="zh-CN"/>
        </w:rPr>
        <w:t>。</w:t>
      </w:r>
    </w:p>
    <w:p w14:paraId="5E7AA691">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.接受履约评价与监督</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自觉接受</w:t>
      </w:r>
      <w:r>
        <w:rPr>
          <w:rFonts w:hint="eastAsia" w:ascii="宋体" w:hAnsi="宋体" w:eastAsia="宋体" w:cs="宋体"/>
          <w:b w:val="0"/>
          <w:bCs w:val="0"/>
          <w:color w:val="auto"/>
          <w:sz w:val="21"/>
          <w:szCs w:val="21"/>
          <w:highlight w:val="none"/>
          <w:lang w:val="en-US" w:eastAsia="zh-CN"/>
        </w:rPr>
        <w:t>采购人</w:t>
      </w:r>
      <w:r>
        <w:rPr>
          <w:rFonts w:hint="eastAsia" w:ascii="宋体" w:hAnsi="宋体" w:eastAsia="宋体" w:cs="宋体"/>
          <w:color w:val="auto"/>
          <w:sz w:val="21"/>
          <w:szCs w:val="21"/>
          <w:highlight w:val="none"/>
        </w:rPr>
        <w:t>组织的履约评价与监督检查，如实提供履约过程相关资料</w:t>
      </w:r>
      <w:r>
        <w:rPr>
          <w:rFonts w:hint="eastAsia" w:ascii="宋体" w:hAnsi="宋体" w:eastAsia="宋体" w:cs="宋体"/>
          <w:color w:val="auto"/>
          <w:sz w:val="21"/>
          <w:szCs w:val="21"/>
          <w:highlight w:val="none"/>
          <w:lang w:eastAsia="zh-CN"/>
        </w:rPr>
        <w:t>。</w:t>
      </w:r>
    </w:p>
    <w:p w14:paraId="212580BB">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.承担违约责任：</w:t>
      </w:r>
      <w:r>
        <w:rPr>
          <w:rFonts w:hint="eastAsia" w:ascii="宋体" w:hAnsi="宋体" w:eastAsia="宋体" w:cs="宋体"/>
          <w:color w:val="auto"/>
          <w:sz w:val="21"/>
          <w:szCs w:val="21"/>
          <w:highlight w:val="none"/>
        </w:rPr>
        <w:t>如因</w:t>
      </w:r>
      <w:r>
        <w:rPr>
          <w:rFonts w:hint="eastAsia" w:ascii="宋体" w:hAnsi="宋体" w:eastAsia="宋体" w:cs="宋体"/>
          <w:color w:val="auto"/>
          <w:sz w:val="21"/>
          <w:szCs w:val="21"/>
          <w:highlight w:val="none"/>
          <w:lang w:eastAsia="zh-CN"/>
        </w:rPr>
        <w:t>我方</w:t>
      </w:r>
      <w:r>
        <w:rPr>
          <w:rFonts w:hint="eastAsia" w:ascii="宋体" w:hAnsi="宋体" w:eastAsia="宋体" w:cs="宋体"/>
          <w:color w:val="auto"/>
          <w:sz w:val="21"/>
          <w:szCs w:val="21"/>
          <w:highlight w:val="none"/>
        </w:rPr>
        <w:t>原因导致合同解除或履约不合格，自愿承担合同约定的违约责任，包括但不限于支付违约金、没收履约担保</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赔偿差价损失等。</w:t>
      </w:r>
    </w:p>
    <w:p w14:paraId="50543185">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b/>
          <w:bCs/>
          <w:color w:val="auto"/>
          <w:sz w:val="21"/>
          <w:szCs w:val="21"/>
          <w:highlight w:val="none"/>
        </w:rPr>
      </w:pPr>
    </w:p>
    <w:p w14:paraId="028B3FF6">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w:t>
      </w:r>
      <w:r>
        <w:rPr>
          <w:rFonts w:hint="eastAsia" w:ascii="宋体" w:hAnsi="宋体" w:eastAsia="宋体" w:cs="宋体"/>
          <w:b/>
          <w:bCs/>
          <w:color w:val="auto"/>
          <w:sz w:val="21"/>
          <w:szCs w:val="21"/>
          <w:highlight w:val="none"/>
          <w:lang w:val="en-US" w:eastAsia="zh-CN"/>
        </w:rPr>
        <w:t>灰名单、</w:t>
      </w:r>
      <w:r>
        <w:rPr>
          <w:rFonts w:hint="eastAsia" w:ascii="宋体" w:hAnsi="宋体" w:eastAsia="宋体" w:cs="宋体"/>
          <w:b/>
          <w:bCs/>
          <w:color w:val="auto"/>
          <w:sz w:val="21"/>
          <w:szCs w:val="21"/>
          <w:highlight w:val="none"/>
        </w:rPr>
        <w:t>黑名单管理承诺</w:t>
      </w:r>
    </w:p>
    <w:p w14:paraId="3AABEF2D">
      <w:pPr>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我方</w:t>
      </w:r>
      <w:r>
        <w:rPr>
          <w:rFonts w:hint="eastAsia" w:ascii="宋体" w:hAnsi="宋体" w:eastAsia="宋体" w:cs="宋体"/>
          <w:color w:val="auto"/>
          <w:sz w:val="21"/>
          <w:szCs w:val="21"/>
          <w:highlight w:val="none"/>
        </w:rPr>
        <w:t>充分理解并接受</w:t>
      </w:r>
      <w:r>
        <w:rPr>
          <w:rFonts w:hint="eastAsia" w:ascii="宋体" w:hAnsi="宋体" w:eastAsia="宋体" w:cs="宋体"/>
          <w:b/>
          <w:bCs/>
          <w:color w:val="auto"/>
          <w:sz w:val="21"/>
          <w:szCs w:val="21"/>
          <w:highlight w:val="none"/>
          <w:lang w:val="en-US" w:eastAsia="zh-CN"/>
        </w:rPr>
        <w:t>采购人、采购人上级部门水务环境集团</w:t>
      </w:r>
      <w:r>
        <w:rPr>
          <w:rFonts w:hint="eastAsia" w:ascii="宋体" w:hAnsi="宋体" w:eastAsia="宋体" w:cs="宋体"/>
          <w:color w:val="auto"/>
          <w:sz w:val="21"/>
          <w:szCs w:val="21"/>
          <w:highlight w:val="none"/>
        </w:rPr>
        <w:t>供应商管理制度的相关规定，</w:t>
      </w:r>
      <w:r>
        <w:rPr>
          <w:rFonts w:hint="eastAsia" w:ascii="宋体" w:hAnsi="宋体" w:eastAsia="宋体" w:cs="宋体"/>
          <w:color w:val="auto"/>
          <w:sz w:val="21"/>
          <w:szCs w:val="21"/>
          <w:highlight w:val="none"/>
          <w:lang w:val="en-US" w:eastAsia="zh-CN"/>
        </w:rPr>
        <w:t>自愿并</w:t>
      </w:r>
      <w:r>
        <w:rPr>
          <w:rFonts w:hint="eastAsia" w:ascii="宋体" w:hAnsi="宋体" w:eastAsia="宋体" w:cs="宋体"/>
          <w:color w:val="auto"/>
          <w:sz w:val="21"/>
          <w:szCs w:val="21"/>
          <w:highlight w:val="none"/>
        </w:rPr>
        <w:t>郑重承诺：</w:t>
      </w:r>
    </w:p>
    <w:p w14:paraId="169B62E9">
      <w:pPr>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eastAsia="zh-CN"/>
        </w:rPr>
        <w:t>我方</w:t>
      </w:r>
      <w:r>
        <w:rPr>
          <w:rFonts w:hint="eastAsia" w:ascii="宋体" w:hAnsi="宋体" w:eastAsia="宋体" w:cs="宋体"/>
          <w:color w:val="auto"/>
          <w:sz w:val="21"/>
          <w:szCs w:val="21"/>
          <w:highlight w:val="none"/>
        </w:rPr>
        <w:t>在履约过程中因下列行为被纳入</w:t>
      </w:r>
      <w:r>
        <w:rPr>
          <w:rFonts w:hint="eastAsia" w:ascii="宋体" w:hAnsi="宋体" w:eastAsia="宋体" w:cs="宋体"/>
          <w:b/>
          <w:bCs/>
          <w:color w:val="auto"/>
          <w:sz w:val="21"/>
          <w:szCs w:val="21"/>
          <w:highlight w:val="none"/>
          <w:lang w:val="en-US" w:eastAsia="zh-CN"/>
        </w:rPr>
        <w:t>采购人、采购人上级部门水务环境集团</w:t>
      </w: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val="en-US" w:eastAsia="zh-CN"/>
        </w:rPr>
        <w:t>灰名单或</w:t>
      </w:r>
      <w:r>
        <w:rPr>
          <w:rFonts w:hint="eastAsia" w:ascii="宋体" w:hAnsi="宋体" w:eastAsia="宋体" w:cs="宋体"/>
          <w:color w:val="auto"/>
          <w:sz w:val="21"/>
          <w:szCs w:val="21"/>
          <w:highlight w:val="none"/>
        </w:rPr>
        <w:t>黑名单”的，自愿接受相应</w:t>
      </w:r>
      <w:r>
        <w:rPr>
          <w:rFonts w:hint="eastAsia" w:ascii="宋体" w:hAnsi="宋体" w:eastAsia="宋体" w:cs="宋体"/>
          <w:color w:val="auto"/>
          <w:sz w:val="21"/>
          <w:szCs w:val="21"/>
          <w:highlight w:val="none"/>
          <w:lang w:val="en-US" w:eastAsia="zh-CN"/>
        </w:rPr>
        <w:t>处理，在暂停采购资格期限内</w:t>
      </w:r>
      <w:r>
        <w:rPr>
          <w:rFonts w:hint="eastAsia" w:ascii="宋体" w:hAnsi="宋体" w:eastAsia="宋体" w:cs="宋体"/>
          <w:color w:val="auto"/>
          <w:sz w:val="21"/>
          <w:szCs w:val="21"/>
          <w:highlight w:val="none"/>
        </w:rPr>
        <w:t>不参与</w:t>
      </w:r>
      <w:r>
        <w:rPr>
          <w:rFonts w:hint="eastAsia" w:ascii="宋体" w:hAnsi="宋体" w:eastAsia="宋体" w:cs="宋体"/>
          <w:b/>
          <w:bCs/>
          <w:color w:val="auto"/>
          <w:sz w:val="21"/>
          <w:szCs w:val="21"/>
          <w:highlight w:val="none"/>
          <w:lang w:val="en-US" w:eastAsia="zh-CN"/>
        </w:rPr>
        <w:t>采购人、采购人上级部门水务环境集团及</w:t>
      </w:r>
      <w:r>
        <w:rPr>
          <w:rFonts w:hint="eastAsia" w:ascii="宋体" w:hAnsi="宋体" w:eastAsia="宋体" w:cs="宋体"/>
          <w:b/>
          <w:bCs/>
          <w:color w:val="auto"/>
          <w:sz w:val="21"/>
          <w:szCs w:val="21"/>
          <w:highlight w:val="none"/>
        </w:rPr>
        <w:t>其下属企业</w:t>
      </w:r>
      <w:r>
        <w:rPr>
          <w:rFonts w:hint="eastAsia" w:ascii="宋体" w:hAnsi="宋体" w:eastAsia="宋体" w:cs="宋体"/>
          <w:b/>
          <w:bCs/>
          <w:color w:val="auto"/>
          <w:sz w:val="21"/>
          <w:szCs w:val="21"/>
          <w:highlight w:val="none"/>
          <w:lang w:val="en-US" w:eastAsia="zh-CN"/>
        </w:rPr>
        <w:t>的</w:t>
      </w:r>
      <w:r>
        <w:rPr>
          <w:rFonts w:hint="eastAsia" w:ascii="宋体" w:hAnsi="宋体" w:eastAsia="宋体" w:cs="宋体"/>
          <w:b w:val="0"/>
          <w:bCs w:val="0"/>
          <w:color w:val="auto"/>
          <w:sz w:val="21"/>
          <w:szCs w:val="21"/>
          <w:highlight w:val="none"/>
          <w:lang w:val="en-US" w:eastAsia="zh-CN"/>
        </w:rPr>
        <w:t>企业</w:t>
      </w:r>
      <w:r>
        <w:rPr>
          <w:rFonts w:hint="eastAsia" w:ascii="宋体" w:hAnsi="宋体" w:eastAsia="宋体" w:cs="宋体"/>
          <w:b w:val="0"/>
          <w:bCs w:val="0"/>
          <w:color w:val="auto"/>
          <w:sz w:val="21"/>
          <w:szCs w:val="21"/>
          <w:highlight w:val="none"/>
        </w:rPr>
        <w:t>采购活动</w:t>
      </w:r>
      <w:r>
        <w:rPr>
          <w:rFonts w:hint="eastAsia" w:ascii="宋体" w:hAnsi="宋体" w:eastAsia="宋体" w:cs="宋体"/>
          <w:color w:val="auto"/>
          <w:sz w:val="21"/>
          <w:szCs w:val="21"/>
          <w:highlight w:val="none"/>
          <w:lang w:eastAsia="zh-CN"/>
        </w:rPr>
        <w:t>。</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2000"/>
        <w:gridCol w:w="5360"/>
      </w:tblGrid>
      <w:tr w14:paraId="09DE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954" w:type="dxa"/>
            <w:vAlign w:val="center"/>
          </w:tcPr>
          <w:p w14:paraId="5A6020D8">
            <w:pPr>
              <w:spacing w:line="24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序号</w:t>
            </w:r>
          </w:p>
        </w:tc>
        <w:tc>
          <w:tcPr>
            <w:tcW w:w="2000" w:type="dxa"/>
            <w:vAlign w:val="center"/>
          </w:tcPr>
          <w:p w14:paraId="632E05C5">
            <w:pPr>
              <w:spacing w:line="240" w:lineRule="auto"/>
              <w:jc w:val="center"/>
              <w:rPr>
                <w:rFonts w:hint="eastAsia" w:ascii="宋体" w:hAnsi="宋体" w:eastAsia="宋体" w:cs="宋体"/>
                <w:b/>
                <w:bCs/>
                <w:color w:val="auto"/>
                <w:sz w:val="21"/>
                <w:szCs w:val="21"/>
                <w:highlight w:val="none"/>
                <w:vertAlign w:val="baseline"/>
              </w:rPr>
            </w:pPr>
            <w:r>
              <w:rPr>
                <w:rFonts w:hint="eastAsia" w:ascii="宋体" w:hAnsi="宋体" w:eastAsia="宋体" w:cs="宋体"/>
                <w:b/>
                <w:bCs/>
                <w:color w:val="auto"/>
                <w:sz w:val="21"/>
                <w:szCs w:val="21"/>
                <w:highlight w:val="none"/>
              </w:rPr>
              <w:t>列入</w:t>
            </w:r>
            <w:r>
              <w:rPr>
                <w:rFonts w:hint="eastAsia" w:ascii="宋体" w:hAnsi="宋体" w:eastAsia="宋体" w:cs="宋体"/>
                <w:b/>
                <w:bCs/>
                <w:color w:val="auto"/>
                <w:sz w:val="21"/>
                <w:szCs w:val="21"/>
                <w:highlight w:val="none"/>
                <w:lang w:val="en-US" w:eastAsia="zh-CN"/>
              </w:rPr>
              <w:t>灰名单或</w:t>
            </w:r>
            <w:r>
              <w:rPr>
                <w:rFonts w:hint="eastAsia" w:ascii="宋体" w:hAnsi="宋体" w:eastAsia="宋体" w:cs="宋体"/>
                <w:b/>
                <w:bCs/>
                <w:color w:val="auto"/>
                <w:sz w:val="21"/>
                <w:szCs w:val="21"/>
                <w:highlight w:val="none"/>
              </w:rPr>
              <w:t>黑名单期限</w:t>
            </w:r>
          </w:p>
        </w:tc>
        <w:tc>
          <w:tcPr>
            <w:tcW w:w="5360" w:type="dxa"/>
            <w:vAlign w:val="center"/>
          </w:tcPr>
          <w:p w14:paraId="6F7785BF">
            <w:pPr>
              <w:spacing w:line="24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分级处理措施</w:t>
            </w:r>
          </w:p>
        </w:tc>
      </w:tr>
      <w:tr w14:paraId="1766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954" w:type="dxa"/>
            <w:vAlign w:val="center"/>
          </w:tcPr>
          <w:p w14:paraId="40CC5013">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000" w:type="dxa"/>
            <w:vAlign w:val="center"/>
          </w:tcPr>
          <w:p w14:paraId="379A5B58">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暂停服务（供货）资格及暂停参与集团新的采购活动的资格1至3个月</w:t>
            </w:r>
          </w:p>
        </w:tc>
        <w:tc>
          <w:tcPr>
            <w:tcW w:w="5360" w:type="dxa"/>
            <w:vAlign w:val="center"/>
          </w:tcPr>
          <w:p w14:paraId="31473059">
            <w:pPr>
              <w:spacing w:line="240" w:lineRule="auto"/>
              <w:jc w:val="left"/>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lang w:eastAsia="zh-CN"/>
              </w:rPr>
              <w:t>供应商被认定有下列情形之一的，纳入</w:t>
            </w:r>
            <w:r>
              <w:rPr>
                <w:rFonts w:hint="eastAsia" w:ascii="宋体" w:hAnsi="宋体" w:eastAsia="宋体" w:cs="宋体"/>
                <w:b/>
                <w:bCs/>
                <w:color w:val="auto"/>
                <w:sz w:val="21"/>
                <w:szCs w:val="21"/>
                <w:highlight w:val="none"/>
                <w:vertAlign w:val="baseline"/>
                <w:lang w:eastAsia="zh-CN"/>
              </w:rPr>
              <w:t>灰名单</w:t>
            </w:r>
            <w:r>
              <w:rPr>
                <w:rFonts w:hint="eastAsia" w:ascii="宋体" w:hAnsi="宋体" w:eastAsia="宋体" w:cs="宋体"/>
                <w:color w:val="auto"/>
                <w:sz w:val="21"/>
                <w:szCs w:val="21"/>
                <w:highlight w:val="none"/>
                <w:vertAlign w:val="baseline"/>
                <w:lang w:eastAsia="zh-CN"/>
              </w:rPr>
              <w:t>，暂停服务（供货）资格及暂停参与集团新的采购活动的资格1至3个月：</w:t>
            </w:r>
          </w:p>
          <w:p w14:paraId="34617A96">
            <w:pPr>
              <w:spacing w:line="240" w:lineRule="auto"/>
              <w:jc w:val="left"/>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lang w:eastAsia="zh-CN"/>
              </w:rPr>
              <w:t>（一）提供的货物、服务存在质量问题或未按标准要求实施或未按约定交付成果，且未及时整改；</w:t>
            </w:r>
          </w:p>
          <w:p w14:paraId="6DED6393">
            <w:pPr>
              <w:spacing w:line="240" w:lineRule="auto"/>
              <w:jc w:val="left"/>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lang w:eastAsia="zh-CN"/>
              </w:rPr>
              <w:t>（二）合同期内出现五类、四类安全事故；</w:t>
            </w:r>
          </w:p>
          <w:p w14:paraId="4A8BF833">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eastAsia="zh-CN"/>
              </w:rPr>
              <w:t>（三）因供应商自身原因（包括但不限于拖欠工资、款项等）引发投诉、信访、媒体曝光并造成不良社会影响、情节恶劣的。</w:t>
            </w:r>
          </w:p>
        </w:tc>
      </w:tr>
      <w:tr w14:paraId="07D5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954" w:type="dxa"/>
            <w:vAlign w:val="center"/>
          </w:tcPr>
          <w:p w14:paraId="6A4E96A4">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000" w:type="dxa"/>
            <w:vAlign w:val="center"/>
          </w:tcPr>
          <w:p w14:paraId="1F8AEEF5">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暂停服务（供货）资格与暂停参与集团新的采购活动的资格4至6个月</w:t>
            </w:r>
          </w:p>
        </w:tc>
        <w:tc>
          <w:tcPr>
            <w:tcW w:w="5360" w:type="dxa"/>
            <w:vAlign w:val="center"/>
          </w:tcPr>
          <w:p w14:paraId="1DC402C4">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供应商被认定有下列情形之一的，纳入</w:t>
            </w:r>
            <w:r>
              <w:rPr>
                <w:rFonts w:hint="eastAsia" w:ascii="宋体" w:hAnsi="宋体" w:eastAsia="宋体" w:cs="宋体"/>
                <w:b/>
                <w:bCs/>
                <w:color w:val="auto"/>
                <w:sz w:val="21"/>
                <w:szCs w:val="21"/>
                <w:highlight w:val="none"/>
                <w:vertAlign w:val="baseline"/>
              </w:rPr>
              <w:t>灰名单</w:t>
            </w:r>
            <w:r>
              <w:rPr>
                <w:rFonts w:hint="eastAsia" w:ascii="宋体" w:hAnsi="宋体" w:eastAsia="宋体" w:cs="宋体"/>
                <w:color w:val="auto"/>
                <w:sz w:val="21"/>
                <w:szCs w:val="21"/>
                <w:highlight w:val="none"/>
                <w:vertAlign w:val="baseline"/>
              </w:rPr>
              <w:t>，暂停服务（供货）资格与暂停参与集团新的采购活动的资格 4至6 个月：</w:t>
            </w:r>
          </w:p>
          <w:p w14:paraId="6F836715">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（一）提供的货物、服务存在质量问题或未按标准要求实施或未按约定交付成果，且整改不到位；</w:t>
            </w:r>
          </w:p>
          <w:p w14:paraId="05710C61">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（二）合同期内出现三类安全事故；</w:t>
            </w:r>
          </w:p>
          <w:p w14:paraId="0E500D40">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（三）与项目要求相关资质变更未告知；</w:t>
            </w:r>
          </w:p>
          <w:p w14:paraId="32672418">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（四）擅自更换货物、材料；</w:t>
            </w:r>
          </w:p>
          <w:p w14:paraId="602B7345">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（五）拒不配合监督检查。</w:t>
            </w:r>
          </w:p>
        </w:tc>
      </w:tr>
      <w:tr w14:paraId="2B15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954" w:type="dxa"/>
            <w:vAlign w:val="center"/>
          </w:tcPr>
          <w:p w14:paraId="2D7B412D">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2000" w:type="dxa"/>
            <w:vAlign w:val="center"/>
          </w:tcPr>
          <w:p w14:paraId="5FDA0733">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暂停参与集团新的采购活动的资格</w:t>
            </w:r>
          </w:p>
          <w:p w14:paraId="200B7261">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6个月至1年</w:t>
            </w:r>
          </w:p>
        </w:tc>
        <w:tc>
          <w:tcPr>
            <w:tcW w:w="5360" w:type="dxa"/>
            <w:vAlign w:val="center"/>
          </w:tcPr>
          <w:p w14:paraId="5C44311E">
            <w:pPr>
              <w:spacing w:line="240" w:lineRule="auto"/>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供应商被认定有下列情形之一的，列入</w:t>
            </w:r>
            <w:r>
              <w:rPr>
                <w:rFonts w:hint="eastAsia" w:ascii="宋体" w:hAnsi="宋体" w:eastAsia="宋体" w:cs="宋体"/>
                <w:b/>
                <w:bCs/>
                <w:color w:val="auto"/>
                <w:sz w:val="21"/>
                <w:szCs w:val="21"/>
                <w:highlight w:val="none"/>
                <w:vertAlign w:val="baseline"/>
                <w:lang w:val="en-US" w:eastAsia="zh-CN"/>
              </w:rPr>
              <w:t>黑名单</w:t>
            </w:r>
            <w:r>
              <w:rPr>
                <w:rFonts w:hint="eastAsia" w:ascii="宋体" w:hAnsi="宋体" w:eastAsia="宋体" w:cs="宋体"/>
                <w:color w:val="auto"/>
                <w:sz w:val="21"/>
                <w:szCs w:val="21"/>
                <w:highlight w:val="none"/>
                <w:vertAlign w:val="baseline"/>
                <w:lang w:val="en-US" w:eastAsia="zh-CN"/>
              </w:rPr>
              <w:t>，暂停参与集团新的采购活动的资格6个月至1年：</w:t>
            </w:r>
          </w:p>
          <w:p w14:paraId="62C135A7">
            <w:pPr>
              <w:spacing w:line="240" w:lineRule="auto"/>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（一）拒绝监督检查、提供虚假情况逃避监督的；</w:t>
            </w:r>
          </w:p>
          <w:p w14:paraId="7D2DFD5E">
            <w:pPr>
              <w:spacing w:line="240" w:lineRule="auto"/>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（二）违法转包、违规分包未造成重大损失的；</w:t>
            </w:r>
          </w:p>
          <w:p w14:paraId="19264838">
            <w:pPr>
              <w:spacing w:line="240" w:lineRule="auto"/>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（三）造成三类安全事故且负主要责任的；</w:t>
            </w:r>
          </w:p>
          <w:p w14:paraId="40B39D3F">
            <w:pPr>
              <w:spacing w:line="240" w:lineRule="auto"/>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（四）质量、履约、安全问题经督促拒不整改导致合同解除；</w:t>
            </w:r>
          </w:p>
          <w:p w14:paraId="41759C0F">
            <w:pPr>
              <w:spacing w:line="240" w:lineRule="auto"/>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（五）因质量履约问题导致合同解除，严重影响项目或正常生产的；</w:t>
            </w:r>
          </w:p>
          <w:p w14:paraId="1EBB1555">
            <w:pPr>
              <w:spacing w:line="240" w:lineRule="auto"/>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（六）存在利益输送数额3万元以下的；</w:t>
            </w:r>
          </w:p>
          <w:p w14:paraId="27104DC3">
            <w:pPr>
              <w:spacing w:line="240" w:lineRule="auto"/>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（七）擅自变更中标或成交承诺的主要技术人员、设备、业绩、安全方案等实质性内容的。</w:t>
            </w:r>
          </w:p>
        </w:tc>
      </w:tr>
      <w:tr w14:paraId="577B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954" w:type="dxa"/>
            <w:vAlign w:val="center"/>
          </w:tcPr>
          <w:p w14:paraId="7AF39FE9">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2000" w:type="dxa"/>
            <w:vAlign w:val="center"/>
          </w:tcPr>
          <w:p w14:paraId="7EDF33AB">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暂停参与集团新的采购活动的资格</w:t>
            </w:r>
          </w:p>
          <w:p w14:paraId="73A3ADDA">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1至2年</w:t>
            </w:r>
          </w:p>
        </w:tc>
        <w:tc>
          <w:tcPr>
            <w:tcW w:w="5360" w:type="dxa"/>
            <w:vAlign w:val="center"/>
          </w:tcPr>
          <w:p w14:paraId="0C185C96">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供应商被认定有下列情形之一的，列入</w:t>
            </w:r>
            <w:r>
              <w:rPr>
                <w:rFonts w:hint="eastAsia" w:ascii="宋体" w:hAnsi="宋体" w:eastAsia="宋体" w:cs="宋体"/>
                <w:b/>
                <w:bCs/>
                <w:color w:val="auto"/>
                <w:sz w:val="21"/>
                <w:szCs w:val="21"/>
                <w:highlight w:val="none"/>
                <w:vertAlign w:val="baseline"/>
              </w:rPr>
              <w:t>黑名单</w:t>
            </w:r>
            <w:r>
              <w:rPr>
                <w:rFonts w:hint="eastAsia" w:ascii="宋体" w:hAnsi="宋体" w:eastAsia="宋体" w:cs="宋体"/>
                <w:color w:val="auto"/>
                <w:sz w:val="21"/>
                <w:szCs w:val="21"/>
                <w:highlight w:val="none"/>
                <w:vertAlign w:val="baseline"/>
              </w:rPr>
              <w:t>，暂停参与集团新的采购活动的资格1至2年：</w:t>
            </w:r>
          </w:p>
          <w:p w14:paraId="454B30E5">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（一）无正当理由不按招投标文件签订合同的；</w:t>
            </w:r>
          </w:p>
          <w:p w14:paraId="675CBE73">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（二）无正当理由不履行合同导致合同终止的；</w:t>
            </w:r>
          </w:p>
          <w:p w14:paraId="731B17F2">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（三）违法转包、违规分包，造成损失的；</w:t>
            </w:r>
          </w:p>
          <w:p w14:paraId="48932756">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（四）造成二类安全事故的；</w:t>
            </w:r>
          </w:p>
          <w:p w14:paraId="6EF82EC3">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（五）提供虚假信息证明文件的；</w:t>
            </w:r>
          </w:p>
          <w:p w14:paraId="1190A91B">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（六）存在利益输送数额3万元以上不满20万元的；</w:t>
            </w:r>
          </w:p>
          <w:p w14:paraId="4042F2F1">
            <w:pPr>
              <w:spacing w:line="24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（七）重大安全隐患拒不整改导致后果的。</w:t>
            </w:r>
          </w:p>
        </w:tc>
      </w:tr>
      <w:tr w14:paraId="15CB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954" w:type="dxa"/>
            <w:vAlign w:val="center"/>
          </w:tcPr>
          <w:p w14:paraId="0EB01FC4">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2000" w:type="dxa"/>
            <w:vAlign w:val="center"/>
          </w:tcPr>
          <w:p w14:paraId="571F69B5">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暂停参与集团新的采购活动的资格</w:t>
            </w:r>
          </w:p>
          <w:p w14:paraId="30AC796F">
            <w:pPr>
              <w:spacing w:line="24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2年至3年</w:t>
            </w:r>
          </w:p>
        </w:tc>
        <w:tc>
          <w:tcPr>
            <w:tcW w:w="5360" w:type="dxa"/>
            <w:vAlign w:val="center"/>
          </w:tcPr>
          <w:p w14:paraId="1084107A">
            <w:pPr>
              <w:widowControl w:val="0"/>
              <w:autoSpaceDE w:val="0"/>
              <w:autoSpaceDN w:val="0"/>
              <w:adjustRightInd w:val="0"/>
              <w:jc w:val="left"/>
              <w:outlineLvl w:val="2"/>
              <w:rPr>
                <w:rFonts w:hint="eastAsia" w:ascii="宋体" w:hAnsi="宋体" w:eastAsia="宋体" w:cs="宋体"/>
                <w:color w:val="auto"/>
                <w:kern w:val="0"/>
                <w:sz w:val="21"/>
                <w:szCs w:val="21"/>
                <w:highlight w:val="none"/>
                <w:vertAlign w:val="baseline"/>
                <w:lang w:val="en-US" w:eastAsia="zh-CN" w:bidi="ar-SA"/>
              </w:rPr>
            </w:pPr>
            <w:bookmarkStart w:id="454" w:name="_Toc487216522"/>
            <w:r>
              <w:rPr>
                <w:rFonts w:hint="eastAsia" w:ascii="宋体" w:hAnsi="宋体" w:eastAsia="宋体" w:cs="宋体"/>
                <w:color w:val="auto"/>
                <w:kern w:val="0"/>
                <w:sz w:val="21"/>
                <w:szCs w:val="21"/>
                <w:highlight w:val="none"/>
                <w:vertAlign w:val="baseline"/>
                <w:lang w:val="en-US" w:eastAsia="zh-CN" w:bidi="ar-SA"/>
              </w:rPr>
              <w:t>供应商有下列情形之一的，列入</w:t>
            </w:r>
            <w:r>
              <w:rPr>
                <w:rFonts w:hint="eastAsia" w:ascii="宋体" w:hAnsi="宋体" w:eastAsia="宋体" w:cs="宋体"/>
                <w:b/>
                <w:bCs/>
                <w:color w:val="auto"/>
                <w:kern w:val="0"/>
                <w:sz w:val="21"/>
                <w:szCs w:val="21"/>
                <w:highlight w:val="none"/>
                <w:vertAlign w:val="baseline"/>
                <w:lang w:val="en-US" w:eastAsia="zh-CN" w:bidi="ar-SA"/>
              </w:rPr>
              <w:t>黑名单</w:t>
            </w:r>
            <w:r>
              <w:rPr>
                <w:rFonts w:hint="eastAsia" w:ascii="宋体" w:hAnsi="宋体" w:eastAsia="宋体" w:cs="宋体"/>
                <w:color w:val="auto"/>
                <w:kern w:val="0"/>
                <w:sz w:val="21"/>
                <w:szCs w:val="21"/>
                <w:highlight w:val="none"/>
                <w:vertAlign w:val="baseline"/>
                <w:lang w:val="en-US" w:eastAsia="zh-CN" w:bidi="ar-SA"/>
              </w:rPr>
              <w:t>，暂停参与集团新的采购活动的资格2年至3年：</w:t>
            </w:r>
            <w:bookmarkEnd w:id="454"/>
          </w:p>
          <w:p w14:paraId="77D6F82A">
            <w:pPr>
              <w:widowControl w:val="0"/>
              <w:autoSpaceDE w:val="0"/>
              <w:autoSpaceDN w:val="0"/>
              <w:adjustRightInd w:val="0"/>
              <w:jc w:val="left"/>
              <w:outlineLvl w:val="2"/>
              <w:rPr>
                <w:rFonts w:hint="eastAsia" w:ascii="宋体" w:hAnsi="宋体" w:eastAsia="宋体" w:cs="宋体"/>
                <w:color w:val="auto"/>
                <w:kern w:val="0"/>
                <w:sz w:val="21"/>
                <w:szCs w:val="21"/>
                <w:highlight w:val="none"/>
                <w:vertAlign w:val="baseline"/>
                <w:lang w:val="en-US" w:eastAsia="zh-CN" w:bidi="ar-SA"/>
              </w:rPr>
            </w:pPr>
            <w:bookmarkStart w:id="455" w:name="_Toc1564188479"/>
            <w:r>
              <w:rPr>
                <w:rFonts w:hint="eastAsia" w:ascii="宋体" w:hAnsi="宋体" w:eastAsia="宋体" w:cs="宋体"/>
                <w:color w:val="auto"/>
                <w:kern w:val="0"/>
                <w:sz w:val="21"/>
                <w:szCs w:val="21"/>
                <w:highlight w:val="none"/>
                <w:vertAlign w:val="baseline"/>
                <w:lang w:val="en-US" w:eastAsia="zh-CN" w:bidi="ar-SA"/>
              </w:rPr>
              <w:t>（一）串通投标、围标、弄虚作假骗取中标的；</w:t>
            </w:r>
            <w:bookmarkEnd w:id="455"/>
          </w:p>
          <w:p w14:paraId="73673534">
            <w:pPr>
              <w:widowControl w:val="0"/>
              <w:autoSpaceDE w:val="0"/>
              <w:autoSpaceDN w:val="0"/>
              <w:adjustRightInd w:val="0"/>
              <w:jc w:val="left"/>
              <w:outlineLvl w:val="2"/>
              <w:rPr>
                <w:rFonts w:hint="eastAsia" w:ascii="宋体" w:hAnsi="宋体" w:eastAsia="宋体" w:cs="宋体"/>
                <w:color w:val="auto"/>
                <w:kern w:val="0"/>
                <w:sz w:val="21"/>
                <w:szCs w:val="21"/>
                <w:highlight w:val="none"/>
                <w:vertAlign w:val="baseline"/>
                <w:lang w:val="en-US" w:eastAsia="zh-CN" w:bidi="ar-SA"/>
              </w:rPr>
            </w:pPr>
            <w:bookmarkStart w:id="456" w:name="_Toc1287996474"/>
            <w:r>
              <w:rPr>
                <w:rFonts w:hint="eastAsia" w:ascii="宋体" w:hAnsi="宋体" w:eastAsia="宋体" w:cs="宋体"/>
                <w:color w:val="auto"/>
                <w:kern w:val="0"/>
                <w:sz w:val="21"/>
                <w:szCs w:val="21"/>
                <w:highlight w:val="none"/>
                <w:vertAlign w:val="baseline"/>
                <w:lang w:val="en-US" w:eastAsia="zh-CN" w:bidi="ar-SA"/>
              </w:rPr>
              <w:t>（二）恶意投诉、诋毁他人情节严重的；</w:t>
            </w:r>
            <w:bookmarkEnd w:id="456"/>
          </w:p>
          <w:p w14:paraId="4164A4E5">
            <w:pPr>
              <w:widowControl w:val="0"/>
              <w:autoSpaceDE w:val="0"/>
              <w:autoSpaceDN w:val="0"/>
              <w:adjustRightInd w:val="0"/>
              <w:jc w:val="left"/>
              <w:outlineLvl w:val="2"/>
              <w:rPr>
                <w:rFonts w:hint="eastAsia" w:ascii="宋体" w:hAnsi="宋体" w:eastAsia="宋体" w:cs="宋体"/>
                <w:color w:val="auto"/>
                <w:kern w:val="0"/>
                <w:sz w:val="21"/>
                <w:szCs w:val="21"/>
                <w:highlight w:val="none"/>
                <w:vertAlign w:val="baseline"/>
                <w:lang w:val="en-US" w:eastAsia="zh-CN" w:bidi="ar-SA"/>
              </w:rPr>
            </w:pPr>
            <w:bookmarkStart w:id="457" w:name="_Toc1795918483"/>
            <w:r>
              <w:rPr>
                <w:rFonts w:hint="eastAsia" w:ascii="宋体" w:hAnsi="宋体" w:eastAsia="宋体" w:cs="宋体"/>
                <w:color w:val="auto"/>
                <w:kern w:val="0"/>
                <w:sz w:val="21"/>
                <w:szCs w:val="21"/>
                <w:highlight w:val="none"/>
                <w:vertAlign w:val="baseline"/>
                <w:lang w:val="en-US" w:eastAsia="zh-CN" w:bidi="ar-SA"/>
              </w:rPr>
              <w:t>（三）伪造图纸、工程量、安全资料骗取款项或规避监管的；</w:t>
            </w:r>
            <w:bookmarkEnd w:id="457"/>
          </w:p>
          <w:p w14:paraId="4BB4CAF6">
            <w:pPr>
              <w:widowControl w:val="0"/>
              <w:autoSpaceDE w:val="0"/>
              <w:autoSpaceDN w:val="0"/>
              <w:adjustRightInd w:val="0"/>
              <w:jc w:val="left"/>
              <w:outlineLvl w:val="2"/>
              <w:rPr>
                <w:rFonts w:hint="eastAsia" w:ascii="宋体" w:hAnsi="宋体" w:eastAsia="宋体" w:cs="宋体"/>
                <w:color w:val="auto"/>
                <w:kern w:val="0"/>
                <w:sz w:val="21"/>
                <w:szCs w:val="21"/>
                <w:highlight w:val="none"/>
                <w:vertAlign w:val="baseline"/>
                <w:lang w:val="en-US" w:eastAsia="zh-CN" w:bidi="ar-SA"/>
              </w:rPr>
            </w:pPr>
            <w:bookmarkStart w:id="458" w:name="_Toc285365631"/>
            <w:r>
              <w:rPr>
                <w:rFonts w:hint="eastAsia" w:ascii="宋体" w:hAnsi="宋体" w:eastAsia="宋体" w:cs="宋体"/>
                <w:color w:val="auto"/>
                <w:kern w:val="0"/>
                <w:sz w:val="21"/>
                <w:szCs w:val="21"/>
                <w:highlight w:val="none"/>
                <w:vertAlign w:val="baseline"/>
                <w:lang w:val="en-US" w:eastAsia="zh-CN" w:bidi="ar-SA"/>
              </w:rPr>
              <w:t>（四）存在利益输送数额20万元及以上的；</w:t>
            </w:r>
            <w:bookmarkEnd w:id="458"/>
          </w:p>
          <w:p w14:paraId="4FBDCBA9">
            <w:pPr>
              <w:widowControl w:val="0"/>
              <w:autoSpaceDE w:val="0"/>
              <w:autoSpaceDN w:val="0"/>
              <w:adjustRightInd w:val="0"/>
              <w:jc w:val="left"/>
              <w:outlineLvl w:val="2"/>
              <w:rPr>
                <w:rFonts w:hint="eastAsia" w:ascii="宋体" w:hAnsi="宋体" w:eastAsia="宋体" w:cs="宋体"/>
                <w:color w:val="auto"/>
                <w:kern w:val="0"/>
                <w:sz w:val="21"/>
                <w:szCs w:val="21"/>
                <w:highlight w:val="none"/>
                <w:vertAlign w:val="baseline"/>
                <w:lang w:val="en-US" w:eastAsia="zh-CN" w:bidi="ar-SA"/>
              </w:rPr>
            </w:pPr>
            <w:bookmarkStart w:id="459" w:name="_Toc666333265"/>
            <w:r>
              <w:rPr>
                <w:rFonts w:hint="eastAsia" w:ascii="宋体" w:hAnsi="宋体" w:eastAsia="宋体" w:cs="宋体"/>
                <w:color w:val="auto"/>
                <w:kern w:val="0"/>
                <w:sz w:val="21"/>
                <w:szCs w:val="21"/>
                <w:highlight w:val="none"/>
                <w:vertAlign w:val="baseline"/>
                <w:lang w:val="en-US" w:eastAsia="zh-CN" w:bidi="ar-SA"/>
              </w:rPr>
              <w:t>（五）造成一类安全事故的；</w:t>
            </w:r>
            <w:bookmarkEnd w:id="459"/>
          </w:p>
          <w:p w14:paraId="5F621BFA">
            <w:pPr>
              <w:widowControl w:val="0"/>
              <w:autoSpaceDE w:val="0"/>
              <w:autoSpaceDN w:val="0"/>
              <w:adjustRightInd w:val="0"/>
              <w:jc w:val="left"/>
              <w:outlineLvl w:val="2"/>
              <w:rPr>
                <w:rFonts w:hint="eastAsia" w:ascii="宋体" w:hAnsi="宋体" w:eastAsia="宋体" w:cs="宋体"/>
                <w:color w:val="auto"/>
                <w:kern w:val="0"/>
                <w:sz w:val="21"/>
                <w:szCs w:val="21"/>
                <w:highlight w:val="none"/>
                <w:lang w:val="en-US" w:eastAsia="zh-CN" w:bidi="ar-SA"/>
              </w:rPr>
            </w:pPr>
            <w:bookmarkStart w:id="460" w:name="_Toc880974260"/>
            <w:r>
              <w:rPr>
                <w:rFonts w:hint="eastAsia" w:ascii="宋体" w:hAnsi="宋体" w:eastAsia="宋体" w:cs="宋体"/>
                <w:color w:val="auto"/>
                <w:kern w:val="0"/>
                <w:sz w:val="21"/>
                <w:szCs w:val="21"/>
                <w:highlight w:val="none"/>
                <w:vertAlign w:val="baseline"/>
                <w:lang w:val="en-US" w:eastAsia="zh-CN" w:bidi="ar-SA"/>
              </w:rPr>
              <w:t>（六）瞒报、谎报事故的。</w:t>
            </w:r>
            <w:bookmarkEnd w:id="460"/>
          </w:p>
        </w:tc>
      </w:tr>
    </w:tbl>
    <w:p w14:paraId="74048FFB">
      <w:pPr>
        <w:spacing w:line="360" w:lineRule="auto"/>
        <w:rPr>
          <w:rFonts w:hint="eastAsia" w:ascii="宋体" w:hAnsi="宋体" w:eastAsia="宋体" w:cs="宋体"/>
          <w:color w:val="auto"/>
          <w:sz w:val="21"/>
          <w:szCs w:val="21"/>
          <w:highlight w:val="none"/>
          <w:lang w:eastAsia="zh-CN"/>
        </w:rPr>
      </w:pPr>
    </w:p>
    <w:p w14:paraId="076425D2">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四、其他承诺</w:t>
      </w:r>
    </w:p>
    <w:p w14:paraId="3BEC8E96">
      <w:pPr>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1.我方已完整阅读了采购文件的所有内容（包括澄清，以及所有已提供的参考资料和有关附件），并完全理解上述文件所表达的意思，本项目递交</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lang w:val="en-US" w:eastAsia="zh-CN"/>
        </w:rPr>
        <w:t>文件时间截止后，我方承诺不再对上述文件内容进行询问或异议。</w:t>
      </w:r>
    </w:p>
    <w:p w14:paraId="5786C5BE">
      <w:pPr>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我方承诺，若我方存在通过弄虚作假、虚假响应</w:t>
      </w:r>
      <w:r>
        <w:rPr>
          <w:rFonts w:hint="eastAsia" w:ascii="宋体" w:hAnsi="宋体" w:eastAsia="宋体" w:cs="宋体"/>
          <w:color w:val="auto"/>
          <w:sz w:val="21"/>
          <w:szCs w:val="21"/>
          <w:highlight w:val="none"/>
          <w:lang w:val="en-US" w:eastAsia="zh-CN"/>
        </w:rPr>
        <w:t>采购文件</w:t>
      </w:r>
      <w:r>
        <w:rPr>
          <w:rFonts w:hint="eastAsia" w:ascii="宋体" w:hAnsi="宋体" w:eastAsia="宋体" w:cs="宋体"/>
          <w:color w:val="auto"/>
          <w:sz w:val="21"/>
          <w:szCs w:val="21"/>
          <w:highlight w:val="none"/>
        </w:rPr>
        <w:t>要求等手段骗取</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人有权或协助主管部门认定我方严重失信的不良行为，纳入相关</w:t>
      </w:r>
      <w:r>
        <w:rPr>
          <w:rFonts w:hint="eastAsia" w:ascii="宋体" w:hAnsi="宋体" w:eastAsia="宋体" w:cs="宋体"/>
          <w:color w:val="auto"/>
          <w:sz w:val="21"/>
          <w:szCs w:val="21"/>
          <w:highlight w:val="none"/>
          <w:lang w:val="en-US" w:eastAsia="zh-CN"/>
        </w:rPr>
        <w:t>行政部门</w:t>
      </w:r>
      <w:r>
        <w:rPr>
          <w:rFonts w:hint="eastAsia" w:ascii="宋体" w:hAnsi="宋体" w:eastAsia="宋体" w:cs="宋体"/>
          <w:color w:val="auto"/>
          <w:sz w:val="21"/>
          <w:szCs w:val="21"/>
          <w:highlight w:val="none"/>
        </w:rPr>
        <w:t>企业信用“黑名单”，限制我方参与依法必须招标项目的投标，并向行政主管部门报送结果。同时，</w:t>
      </w:r>
      <w:r>
        <w:rPr>
          <w:rFonts w:hint="eastAsia" w:ascii="宋体" w:hAnsi="宋体" w:eastAsia="宋体" w:cs="宋体"/>
          <w:b w:val="0"/>
          <w:bCs w:val="0"/>
          <w:color w:val="auto"/>
          <w:sz w:val="21"/>
          <w:szCs w:val="21"/>
          <w:highlight w:val="none"/>
          <w:lang w:val="en-US" w:eastAsia="zh-CN"/>
        </w:rPr>
        <w:t>采购人</w:t>
      </w:r>
      <w:r>
        <w:rPr>
          <w:rFonts w:hint="eastAsia" w:ascii="宋体" w:hAnsi="宋体" w:eastAsia="宋体" w:cs="宋体"/>
          <w:color w:val="auto"/>
          <w:sz w:val="21"/>
          <w:szCs w:val="21"/>
          <w:highlight w:val="none"/>
        </w:rPr>
        <w:t>有权根据《关于对环境保护领域失信生产经营单位及其有关人员开展联合惩戒的合作备忘录》等规定，通过“信用中国”网站向社会公示我方的失信行为，实现“一处失信、处处受限”。</w:t>
      </w:r>
    </w:p>
    <w:p w14:paraId="57F95311">
      <w:pPr>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若我方在</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或履行本合同过程中存在提供虚假材料、虚假响应</w:t>
      </w:r>
      <w:r>
        <w:rPr>
          <w:rFonts w:hint="eastAsia" w:ascii="宋体" w:hAnsi="宋体" w:eastAsia="宋体" w:cs="宋体"/>
          <w:color w:val="auto"/>
          <w:sz w:val="21"/>
          <w:szCs w:val="21"/>
          <w:highlight w:val="none"/>
          <w:lang w:val="en-US" w:eastAsia="zh-CN"/>
        </w:rPr>
        <w:t>采购文件</w:t>
      </w:r>
      <w:r>
        <w:rPr>
          <w:rFonts w:hint="eastAsia" w:ascii="宋体" w:hAnsi="宋体" w:eastAsia="宋体" w:cs="宋体"/>
          <w:color w:val="auto"/>
          <w:sz w:val="21"/>
          <w:szCs w:val="21"/>
          <w:highlight w:val="none"/>
        </w:rPr>
        <w:t>要求等弄虚作假行为，或未能根据</w:t>
      </w:r>
      <w:r>
        <w:rPr>
          <w:rFonts w:hint="eastAsia" w:ascii="宋体" w:hAnsi="宋体" w:eastAsia="宋体" w:cs="宋体"/>
          <w:color w:val="auto"/>
          <w:sz w:val="21"/>
          <w:szCs w:val="21"/>
          <w:highlight w:val="none"/>
          <w:lang w:val="en-US" w:eastAsia="zh-CN"/>
        </w:rPr>
        <w:t>采购文件供应商</w:t>
      </w:r>
      <w:r>
        <w:rPr>
          <w:rFonts w:hint="eastAsia" w:ascii="宋体" w:hAnsi="宋体" w:eastAsia="宋体" w:cs="宋体"/>
          <w:color w:val="auto"/>
          <w:sz w:val="21"/>
          <w:szCs w:val="21"/>
          <w:highlight w:val="none"/>
        </w:rPr>
        <w:t>须知</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按时提供原件核查的，因此导致我方无法参与</w:t>
      </w:r>
      <w:r>
        <w:rPr>
          <w:rFonts w:hint="eastAsia" w:ascii="宋体" w:hAnsi="宋体" w:eastAsia="宋体" w:cs="宋体"/>
          <w:b/>
          <w:bCs/>
          <w:color w:val="auto"/>
          <w:sz w:val="21"/>
          <w:szCs w:val="21"/>
          <w:highlight w:val="none"/>
          <w:lang w:val="en-US" w:eastAsia="zh-CN"/>
        </w:rPr>
        <w:t>水务环境集团</w:t>
      </w:r>
      <w:r>
        <w:rPr>
          <w:rFonts w:hint="eastAsia" w:ascii="宋体" w:hAnsi="宋体" w:eastAsia="宋体" w:cs="宋体"/>
          <w:color w:val="auto"/>
          <w:sz w:val="21"/>
          <w:szCs w:val="21"/>
          <w:highlight w:val="none"/>
        </w:rPr>
        <w:t>相关</w:t>
      </w:r>
      <w:r>
        <w:rPr>
          <w:rFonts w:hint="eastAsia" w:ascii="宋体" w:hAnsi="宋体" w:eastAsia="宋体" w:cs="宋体"/>
          <w:color w:val="auto"/>
          <w:sz w:val="21"/>
          <w:szCs w:val="21"/>
          <w:highlight w:val="none"/>
          <w:lang w:val="en-US" w:eastAsia="zh-CN"/>
        </w:rPr>
        <w:t>企业</w:t>
      </w:r>
      <w:r>
        <w:rPr>
          <w:rFonts w:hint="eastAsia" w:ascii="宋体" w:hAnsi="宋体" w:eastAsia="宋体" w:cs="宋体"/>
          <w:color w:val="auto"/>
          <w:sz w:val="21"/>
          <w:szCs w:val="21"/>
          <w:highlight w:val="none"/>
        </w:rPr>
        <w:t>采购活动的，由我方自行承担全部后果。</w:t>
      </w:r>
    </w:p>
    <w:p w14:paraId="47203541">
      <w:pPr>
        <w:keepNext w:val="0"/>
        <w:keepLines w:val="0"/>
        <w:pageBreakBefore w:val="0"/>
        <w:widowControl w:val="0"/>
        <w:kinsoku/>
        <w:wordWrap/>
        <w:overflowPunct/>
        <w:topLinePunct w:val="0"/>
        <w:autoSpaceDE w:val="0"/>
        <w:autoSpaceDN w:val="0"/>
        <w:bidi w:val="0"/>
        <w:adjustRightInd w:val="0"/>
        <w:snapToGrid/>
        <w:spacing w:line="460" w:lineRule="exact"/>
        <w:ind w:firstLine="420"/>
        <w:jc w:val="left"/>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4.若我方被</w:t>
      </w:r>
      <w:r>
        <w:rPr>
          <w:rFonts w:hint="eastAsia" w:ascii="宋体" w:hAnsi="宋体" w:eastAsia="宋体" w:cs="宋体"/>
          <w:b/>
          <w:bCs/>
          <w:color w:val="auto"/>
          <w:kern w:val="0"/>
          <w:sz w:val="21"/>
          <w:szCs w:val="21"/>
          <w:highlight w:val="none"/>
          <w:lang w:val="en-US" w:eastAsia="zh-CN" w:bidi="ar-SA"/>
        </w:rPr>
        <w:t>采购人、采购人上级部门水务环境集团列入</w:t>
      </w:r>
      <w:r>
        <w:rPr>
          <w:rFonts w:hint="eastAsia" w:ascii="宋体" w:hAnsi="宋体" w:eastAsia="宋体" w:cs="宋体"/>
          <w:color w:val="auto"/>
          <w:kern w:val="0"/>
          <w:sz w:val="21"/>
          <w:szCs w:val="21"/>
          <w:highlight w:val="none"/>
          <w:lang w:val="en-US" w:eastAsia="zh-CN" w:bidi="ar-SA"/>
        </w:rPr>
        <w:t>供应商“灰名单或黑名单”的，我方同意在</w:t>
      </w:r>
      <w:r>
        <w:rPr>
          <w:rFonts w:hint="eastAsia" w:ascii="宋体" w:hAnsi="宋体" w:eastAsia="宋体" w:cs="宋体"/>
          <w:b/>
          <w:bCs/>
          <w:color w:val="auto"/>
          <w:kern w:val="0"/>
          <w:sz w:val="21"/>
          <w:szCs w:val="21"/>
          <w:highlight w:val="none"/>
          <w:lang w:val="en-US" w:eastAsia="zh-CN" w:bidi="ar-SA"/>
        </w:rPr>
        <w:t>水务环境集团官网</w:t>
      </w:r>
      <w:r>
        <w:rPr>
          <w:rFonts w:hint="eastAsia" w:ascii="宋体" w:hAnsi="宋体" w:eastAsia="宋体" w:cs="宋体"/>
          <w:color w:val="auto"/>
          <w:kern w:val="0"/>
          <w:sz w:val="21"/>
          <w:szCs w:val="21"/>
          <w:highlight w:val="none"/>
          <w:lang w:val="en-US" w:eastAsia="zh-CN" w:bidi="ar-SA"/>
        </w:rPr>
        <w:t>公开公示，接受监督。</w:t>
      </w:r>
    </w:p>
    <w:p w14:paraId="48D110F9">
      <w:pPr>
        <w:keepNext w:val="0"/>
        <w:keepLines w:val="0"/>
        <w:pageBreakBefore w:val="0"/>
        <w:widowControl w:val="0"/>
        <w:kinsoku/>
        <w:wordWrap/>
        <w:overflowPunct/>
        <w:topLinePunct w:val="0"/>
        <w:bidi w:val="0"/>
        <w:snapToGrid/>
        <w:spacing w:line="460" w:lineRule="exact"/>
        <w:ind w:firstLine="42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5.若我方被</w:t>
      </w:r>
      <w:r>
        <w:rPr>
          <w:rFonts w:hint="eastAsia" w:ascii="宋体" w:hAnsi="宋体" w:eastAsia="宋体" w:cs="宋体"/>
          <w:b/>
          <w:bCs/>
          <w:color w:val="auto"/>
          <w:sz w:val="21"/>
          <w:szCs w:val="21"/>
          <w:highlight w:val="none"/>
          <w:lang w:val="en-US" w:eastAsia="zh-CN"/>
        </w:rPr>
        <w:t>采购人、采购人上级部门水务环境集团列入</w:t>
      </w: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val="en-US" w:eastAsia="zh-CN"/>
        </w:rPr>
        <w:t>灰名单或</w:t>
      </w:r>
      <w:r>
        <w:rPr>
          <w:rFonts w:hint="eastAsia" w:ascii="宋体" w:hAnsi="宋体" w:eastAsia="宋体" w:cs="宋体"/>
          <w:color w:val="auto"/>
          <w:sz w:val="21"/>
          <w:szCs w:val="21"/>
          <w:highlight w:val="none"/>
        </w:rPr>
        <w:t>黑名单”</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在暂停采购资格期限内</w:t>
      </w:r>
      <w:r>
        <w:rPr>
          <w:rFonts w:hint="eastAsia" w:ascii="宋体" w:hAnsi="宋体" w:eastAsia="宋体" w:cs="宋体"/>
          <w:color w:val="auto"/>
          <w:sz w:val="21"/>
          <w:szCs w:val="21"/>
          <w:highlight w:val="none"/>
        </w:rPr>
        <w:t>仍坚持参与</w:t>
      </w:r>
      <w:r>
        <w:rPr>
          <w:rFonts w:hint="eastAsia" w:ascii="宋体" w:hAnsi="宋体" w:eastAsia="宋体" w:cs="宋体"/>
          <w:b/>
          <w:bCs/>
          <w:color w:val="auto"/>
          <w:sz w:val="21"/>
          <w:szCs w:val="21"/>
          <w:highlight w:val="none"/>
          <w:lang w:val="en-US" w:eastAsia="zh-CN"/>
        </w:rPr>
        <w:t>采购人、采购人上级部门水务环境集团及</w:t>
      </w:r>
      <w:r>
        <w:rPr>
          <w:rFonts w:hint="eastAsia" w:ascii="宋体" w:hAnsi="宋体" w:eastAsia="宋体" w:cs="宋体"/>
          <w:b/>
          <w:bCs/>
          <w:color w:val="auto"/>
          <w:sz w:val="21"/>
          <w:szCs w:val="21"/>
          <w:highlight w:val="none"/>
        </w:rPr>
        <w:t>其下属企业</w:t>
      </w:r>
      <w:r>
        <w:rPr>
          <w:rFonts w:hint="eastAsia" w:ascii="宋体" w:hAnsi="宋体" w:eastAsia="宋体" w:cs="宋体"/>
          <w:b/>
          <w:bCs/>
          <w:color w:val="auto"/>
          <w:sz w:val="21"/>
          <w:szCs w:val="21"/>
          <w:highlight w:val="none"/>
          <w:lang w:val="en-US" w:eastAsia="zh-CN"/>
        </w:rPr>
        <w:t>的</w:t>
      </w:r>
      <w:r>
        <w:rPr>
          <w:rFonts w:hint="eastAsia" w:ascii="宋体" w:hAnsi="宋体" w:eastAsia="宋体" w:cs="宋体"/>
          <w:b w:val="0"/>
          <w:bCs w:val="0"/>
          <w:color w:val="auto"/>
          <w:sz w:val="21"/>
          <w:szCs w:val="21"/>
          <w:highlight w:val="none"/>
          <w:lang w:val="en-US" w:eastAsia="zh-CN"/>
        </w:rPr>
        <w:t>企业</w:t>
      </w:r>
      <w:r>
        <w:rPr>
          <w:rFonts w:hint="eastAsia" w:ascii="宋体" w:hAnsi="宋体" w:eastAsia="宋体" w:cs="宋体"/>
          <w:b w:val="0"/>
          <w:bCs w:val="0"/>
          <w:color w:val="auto"/>
          <w:sz w:val="21"/>
          <w:szCs w:val="21"/>
          <w:highlight w:val="none"/>
        </w:rPr>
        <w:t>采购活动</w:t>
      </w:r>
      <w:r>
        <w:rPr>
          <w:rFonts w:hint="eastAsia" w:ascii="宋体" w:hAnsi="宋体" w:eastAsia="宋体" w:cs="宋体"/>
          <w:b w:val="0"/>
          <w:bCs w:val="0"/>
          <w:color w:val="auto"/>
          <w:sz w:val="21"/>
          <w:szCs w:val="21"/>
          <w:highlight w:val="none"/>
          <w:lang w:val="en-US" w:eastAsia="zh-CN"/>
        </w:rPr>
        <w:t>的，我方同意</w:t>
      </w:r>
      <w:r>
        <w:rPr>
          <w:rFonts w:hint="eastAsia" w:ascii="宋体" w:hAnsi="宋体" w:eastAsia="宋体" w:cs="宋体"/>
          <w:color w:val="auto"/>
          <w:sz w:val="21"/>
          <w:szCs w:val="21"/>
          <w:highlight w:val="none"/>
        </w:rPr>
        <w:t>原惩戒措施予以升级处理。</w:t>
      </w:r>
    </w:p>
    <w:p w14:paraId="6FB4E41F">
      <w:pPr>
        <w:keepNext w:val="0"/>
        <w:keepLines w:val="0"/>
        <w:pageBreakBefore w:val="0"/>
        <w:widowControl w:val="0"/>
        <w:kinsoku/>
        <w:wordWrap/>
        <w:overflowPunct/>
        <w:topLinePunct w:val="0"/>
        <w:autoSpaceDE w:val="0"/>
        <w:autoSpaceDN w:val="0"/>
        <w:bidi w:val="0"/>
        <w:adjustRightInd w:val="0"/>
        <w:snapToGrid/>
        <w:spacing w:line="460" w:lineRule="exact"/>
        <w:ind w:firstLine="422" w:firstLineChars="200"/>
        <w:jc w:val="left"/>
        <w:textAlignment w:val="auto"/>
        <w:outlineLvl w:val="9"/>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6.本承诺书自签署之日起生效，其效力独立于响应文件的有效期，不因响应文件有效期的届满而失效。本承诺书有效期至本项目合同我方义务履行期届满之日止。</w:t>
      </w:r>
    </w:p>
    <w:p w14:paraId="7FF75177">
      <w:pPr>
        <w:keepNext w:val="0"/>
        <w:keepLines w:val="0"/>
        <w:pageBreakBefore w:val="0"/>
        <w:widowControl w:val="0"/>
        <w:kinsoku/>
        <w:wordWrap/>
        <w:overflowPunct/>
        <w:topLinePunct w:val="0"/>
        <w:bidi w:val="0"/>
        <w:snapToGrid/>
        <w:spacing w:line="360" w:lineRule="auto"/>
        <w:textAlignment w:val="auto"/>
        <w:outlineLvl w:val="9"/>
        <w:rPr>
          <w:rFonts w:hint="eastAsia" w:ascii="宋体" w:hAnsi="宋体" w:eastAsia="宋体" w:cs="宋体"/>
          <w:color w:val="auto"/>
          <w:sz w:val="21"/>
          <w:szCs w:val="21"/>
          <w:highlight w:val="none"/>
        </w:rPr>
      </w:pPr>
    </w:p>
    <w:p w14:paraId="3D282143">
      <w:pPr>
        <w:autoSpaceDE w:val="0"/>
        <w:autoSpaceDN w:val="0"/>
        <w:adjustRightInd w:val="0"/>
        <w:spacing w:line="360" w:lineRule="auto"/>
        <w:ind w:firstLine="3990" w:firstLineChars="19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响应人：（加盖响应人法人公章）</w:t>
      </w:r>
    </w:p>
    <w:p w14:paraId="243BAFD4">
      <w:pPr>
        <w:autoSpaceDE w:val="0"/>
        <w:autoSpaceDN w:val="0"/>
        <w:adjustRightInd w:val="0"/>
        <w:spacing w:line="360" w:lineRule="auto"/>
        <w:ind w:firstLine="3990" w:firstLineChars="1900"/>
        <w:outlineLvl w:val="9"/>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法定代表人或其授权代表签名（或盖私章）：</w:t>
      </w:r>
    </w:p>
    <w:p w14:paraId="763C5ACA">
      <w:pPr>
        <w:autoSpaceDE w:val="0"/>
        <w:autoSpaceDN w:val="0"/>
        <w:adjustRightInd w:val="0"/>
        <w:spacing w:line="360" w:lineRule="auto"/>
        <w:ind w:firstLine="3990" w:firstLineChars="1900"/>
        <w:outlineLvl w:val="9"/>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日期：   年   月   日</w:t>
      </w:r>
    </w:p>
    <w:p w14:paraId="6D9AB555">
      <w:pPr>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6BDD7209">
      <w:pPr>
        <w:autoSpaceDE w:val="0"/>
        <w:autoSpaceDN w:val="0"/>
        <w:adjustRightInd w:val="0"/>
        <w:spacing w:line="360" w:lineRule="auto"/>
        <w:jc w:val="left"/>
        <w:rPr>
          <w:rFonts w:hint="eastAsia" w:ascii="宋体" w:hAnsi="宋体" w:eastAsia="宋体" w:cs="宋体"/>
          <w:color w:val="auto"/>
          <w:kern w:val="0"/>
          <w:sz w:val="24"/>
          <w:szCs w:val="24"/>
          <w:highlight w:val="none"/>
        </w:rPr>
      </w:pPr>
      <w:bookmarkStart w:id="461" w:name="_Toc326768876"/>
      <w:bookmarkStart w:id="462" w:name="_Toc316896755"/>
      <w:bookmarkStart w:id="463" w:name="_Toc311032584"/>
    </w:p>
    <w:p w14:paraId="08D37EFC">
      <w:pPr>
        <w:pageBreakBefore/>
        <w:autoSpaceDE w:val="0"/>
        <w:autoSpaceDN w:val="0"/>
        <w:adjustRightInd w:val="0"/>
        <w:spacing w:line="360" w:lineRule="auto"/>
        <w:jc w:val="left"/>
        <w:outlineLvl w:val="2"/>
        <w:rPr>
          <w:rFonts w:hint="eastAsia" w:ascii="宋体" w:hAnsi="宋体" w:eastAsia="宋体" w:cs="宋体"/>
          <w:b/>
          <w:color w:val="auto"/>
          <w:kern w:val="44"/>
          <w:sz w:val="32"/>
          <w:szCs w:val="32"/>
          <w:highlight w:val="none"/>
        </w:rPr>
      </w:pPr>
      <w:bookmarkStart w:id="464" w:name="_Toc142508364"/>
      <w:bookmarkStart w:id="465" w:name="_Toc86764083"/>
      <w:bookmarkStart w:id="466" w:name="_Toc140596923"/>
      <w:bookmarkStart w:id="467" w:name="_Toc102860069"/>
      <w:bookmarkStart w:id="468" w:name="_Toc2145832348"/>
      <w:bookmarkStart w:id="469" w:name="_Toc104991870"/>
      <w:bookmarkStart w:id="470" w:name="_Toc5075"/>
      <w:bookmarkStart w:id="471" w:name="_Toc94107204"/>
      <w:bookmarkStart w:id="472" w:name="_Toc9667"/>
      <w:bookmarkStart w:id="473" w:name="_Toc29910"/>
      <w:bookmarkStart w:id="474" w:name="_Toc102860413"/>
      <w:bookmarkStart w:id="475" w:name="_Toc24336"/>
      <w:bookmarkStart w:id="476" w:name="_Toc82182546"/>
      <w:bookmarkStart w:id="477" w:name="_Toc533708123"/>
      <w:bookmarkStart w:id="478" w:name="_Toc1977723"/>
      <w:bookmarkStart w:id="479" w:name="_Toc7024_WPSOffice_Level2"/>
      <w:bookmarkStart w:id="480" w:name="_Toc486167711"/>
      <w:r>
        <w:rPr>
          <w:rFonts w:hint="eastAsia" w:ascii="宋体" w:hAnsi="宋体" w:eastAsia="宋体" w:cs="宋体"/>
          <w:b/>
          <w:color w:val="auto"/>
          <w:kern w:val="44"/>
          <w:sz w:val="32"/>
          <w:szCs w:val="32"/>
          <w:highlight w:val="none"/>
        </w:rPr>
        <w:t>三、供货及/或提供服务过程承诺函格式</w:t>
      </w:r>
      <w:bookmarkEnd w:id="464"/>
      <w:bookmarkEnd w:id="465"/>
      <w:bookmarkEnd w:id="466"/>
      <w:bookmarkEnd w:id="467"/>
      <w:bookmarkEnd w:id="468"/>
      <w:bookmarkEnd w:id="469"/>
      <w:bookmarkEnd w:id="470"/>
      <w:bookmarkEnd w:id="471"/>
      <w:bookmarkEnd w:id="472"/>
      <w:bookmarkEnd w:id="473"/>
      <w:bookmarkEnd w:id="474"/>
      <w:bookmarkEnd w:id="475"/>
      <w:bookmarkEnd w:id="476"/>
    </w:p>
    <w:p w14:paraId="58413A44">
      <w:pPr>
        <w:autoSpaceDE w:val="0"/>
        <w:autoSpaceDN w:val="0"/>
        <w:adjustRightInd w:val="0"/>
        <w:spacing w:line="360" w:lineRule="auto"/>
        <w:jc w:val="center"/>
        <w:rPr>
          <w:rFonts w:hint="eastAsia" w:ascii="宋体" w:hAnsi="宋体" w:eastAsia="宋体" w:cs="宋体"/>
          <w:b/>
          <w:color w:val="auto"/>
          <w:kern w:val="44"/>
          <w:sz w:val="30"/>
          <w:szCs w:val="30"/>
          <w:highlight w:val="none"/>
        </w:rPr>
      </w:pPr>
      <w:r>
        <w:rPr>
          <w:rFonts w:hint="eastAsia" w:ascii="宋体" w:hAnsi="宋体" w:eastAsia="宋体" w:cs="宋体"/>
          <w:b/>
          <w:color w:val="auto"/>
          <w:kern w:val="44"/>
          <w:sz w:val="30"/>
          <w:szCs w:val="30"/>
          <w:highlight w:val="none"/>
        </w:rPr>
        <w:t>供货及/或提供服务过程承诺函</w:t>
      </w:r>
    </w:p>
    <w:p w14:paraId="4E066468">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致</w:t>
      </w:r>
      <w:r>
        <w:rPr>
          <w:rFonts w:hint="eastAsia" w:ascii="宋体" w:hAnsi="宋体" w:eastAsia="宋体" w:cs="宋体"/>
          <w:color w:val="auto"/>
          <w:kern w:val="0"/>
          <w:szCs w:val="21"/>
          <w:highlight w:val="none"/>
          <w:lang w:eastAsia="zh-CN"/>
        </w:rPr>
        <w:t>东莞市尚源环能科技有限公司</w:t>
      </w:r>
      <w:r>
        <w:rPr>
          <w:rFonts w:hint="eastAsia" w:ascii="宋体" w:hAnsi="宋体" w:eastAsia="宋体" w:cs="宋体"/>
          <w:color w:val="auto"/>
          <w:kern w:val="0"/>
          <w:szCs w:val="21"/>
          <w:highlight w:val="none"/>
        </w:rPr>
        <w:t>：</w:t>
      </w:r>
    </w:p>
    <w:p w14:paraId="79D769BF">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我方</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名称）为</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lang w:val="en-US" w:eastAsia="zh-CN"/>
        </w:rPr>
        <w:t>询比采购</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lang w:eastAsia="zh-CN"/>
        </w:rPr>
        <w:t>东莞市污泥集中处理处置项目过渡期废盐处置服务采购项目</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采购编号</w:t>
      </w:r>
      <w:r>
        <w:rPr>
          <w:rFonts w:hint="eastAsia" w:ascii="宋体" w:hAnsi="宋体" w:eastAsia="宋体" w:cs="宋体"/>
          <w:color w:val="auto"/>
          <w:kern w:val="0"/>
          <w:szCs w:val="21"/>
          <w:highlight w:val="none"/>
        </w:rPr>
        <w:t>：</w:t>
      </w:r>
      <w:r>
        <w:rPr>
          <w:rFonts w:hint="eastAsia" w:ascii="宋体" w:hAnsi="宋体" w:eastAsia="宋体" w:cs="宋体"/>
          <w:color w:val="auto"/>
          <w:szCs w:val="21"/>
          <w:highlight w:val="none"/>
          <w:lang w:val="zh-CN"/>
        </w:rPr>
        <w:t xml:space="preserve">                        </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单位，为确保供货及/或提供服务过程中的人身、财产安全，我方承诺，如我方获得中标</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成交</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资格，将严格按照下列要求开展工作。</w:t>
      </w:r>
    </w:p>
    <w:p w14:paraId="3713804E">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1、我方承诺将严格遵守国家、地方政府有关安全生产及劳动保护的法律法规、标准、规定，贯彻执行</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的各项安全管理规章制度。</w:t>
      </w:r>
    </w:p>
    <w:p w14:paraId="06F99A4D">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2、我方承诺将依法参加工伤保险，为安排至</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从事本项目的工作人员缴纳保险费，并为从事危险作业的人员办理意外伤害保险。</w:t>
      </w:r>
    </w:p>
    <w:p w14:paraId="0DDA1A4D">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3、我方承诺服从</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的安全管理，保证作业区域的现场文明安全管理达标，现场临时用电、机器设备、安全防护齐全、完好，并接受和配合</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的安全监督检查，我方提供到</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现场作业的所有安全装置、防护设施必须依据经</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审批后的安全技术方案进行搭设、安装，同时我方无条件保证安全防护设施使用的搭设材料的质量安全，在用于安全防护的物资进场前将有关物资的材质证明报</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，经</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确认后方可使用。</w:t>
      </w:r>
    </w:p>
    <w:p w14:paraId="51AE3638">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4、我方承诺携带进场的机器设备、机具必须是合格产品，并对携带进场的机器设备、机具安全负责管理、维护及检查，对</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和自查发现的安全隐患落实整改措施。如我方使用不合格机器设备、机具造成事故的，由我方自行承担责任。</w:t>
      </w:r>
    </w:p>
    <w:p w14:paraId="38859193">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我方人员未经许可不随意到作业区域以外的其它工作场所活动，我方作业人员擅自到作业区域以外的其它工作场所活动，出现人身损害或财产损失的，由我方自行负责一切责任。我方作业人员如需动用或作业涉及到</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所属设备、电器、管线及其他设施等，承诺事先征得</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代表的同意，并采取安全防护措施。</w:t>
      </w:r>
    </w:p>
    <w:p w14:paraId="2F136139">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我方承诺在进行卸货等工作时，严格遵守相关劳动安全规定，并按要求佩戴相关安全劳动防护用具。我方承诺做好安全防护措施，在工作过程中出现的安全事故由我方自行处理并承担全部责任。我方承诺我方人员在</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场所遵守</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的一切规章制度和安全条例，服从</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的监督。我方在提供服务过程中，如因违反</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相关规章制度、安全条例，或因不服从</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监督而发生安全事故的，其结果与责任均由我方负责，</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无须承担任何结果与责任。</w:t>
      </w:r>
    </w:p>
    <w:p w14:paraId="2415F95E">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7、我方承诺协助和指导</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进行货物的储存，对</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的储存方式、方法、储存数量、仓库的安全设施设备、安全生产规章制度等是否符合国家标准或者国家有关规定提出合理的建议，并进行技术指导。</w:t>
      </w:r>
    </w:p>
    <w:p w14:paraId="2046C49D">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8、我方车辆在</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场所行驶时，将严格遵守厂区道路限行，限速和限重要求，如因我方未遵守前述要求，对厂区/</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（含其人员）、我方人员、第三方造成损失的，由我方承担赔偿责任。</w:t>
      </w:r>
    </w:p>
    <w:p w14:paraId="0009EE4D">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如我方开展服务项目需进行外出调研或现场作业的，由我方派人负责安全保卫工作，按国家有关规定，对作业的现场人员进行安全防护、劳动保护等，并承担相应的费用。若发生工作人员或第三人人身伤害等事故的，由我方全部承担责任。</w:t>
      </w:r>
    </w:p>
    <w:p w14:paraId="7B8F7C6F">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10、因我方原因，造成我方损失，由我方自负，给</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造成财产损失和人员伤害，我方承担全部责任，并全额赔偿</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w:t>
      </w:r>
    </w:p>
    <w:p w14:paraId="6F3B3BD4">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11、非因</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原因，造成我方损失的，</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无需承担任何责任，由我方自行承担全部责任。</w:t>
      </w:r>
    </w:p>
    <w:p w14:paraId="3DE7DE38">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12、我方承诺严格遵守法律法规以及</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的安全管理要求，并接受</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的安全生产工作协调和监督，积极消除安全隐患。安全管理的基本要求包括但不限于以下条款：</w:t>
      </w:r>
    </w:p>
    <w:p w14:paraId="07F09C76">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①禁火区内严禁吸烟、动火。有火灾危险的作业区域，我方承诺配置足够的灭火设施。</w:t>
      </w:r>
    </w:p>
    <w:p w14:paraId="23D2082D">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②我方承诺焊接、气割作业时两瓶距离必须达到5M及以上，气瓶距可能产生火花的电器、设备和其它火源的间距必须达到10M及以上。</w:t>
      </w:r>
    </w:p>
    <w:p w14:paraId="335BD733">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③我方承诺不在厂内道路、消防通道内搭建临时建筑或堆放物资。</w:t>
      </w:r>
    </w:p>
    <w:p w14:paraId="05448600">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④我方承诺电动工具、电焊机等均具有漏电保护器和相应的安全防护装置。</w:t>
      </w:r>
    </w:p>
    <w:p w14:paraId="7A6B759B">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⑤我方承诺用电设施符合要求，杜绝电线乱接、乱拉，刀闸和开关无盖，在电器设施上堆放物品等行为。</w:t>
      </w:r>
    </w:p>
    <w:p w14:paraId="42651EDB">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⑥我方承诺防雷、防静电设施及用电设施有良好接地。</w:t>
      </w:r>
    </w:p>
    <w:p w14:paraId="2747A06F">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⑦我方承诺为从业人员提供符合国家标准或者行业标准的劳动防护用品，并监督、教育从业人员按照使用规则佩戴、使用，防止工伤事故的发生。我方承诺，如发生各类工伤事故，绝不隐瞒不报。发生重伤及重伤以上事故，应及时组织抢救、保护好现场，并立即报告</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主管领导。</w:t>
      </w:r>
    </w:p>
    <w:p w14:paraId="74B3501E">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13、我方承诺接受</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的检查与监督，并主动配合，做好安全工作，凡有违反上述条款的即视为我方违约，</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有权视情况从货物/服务价款中扣除2000元/次作为违约金。</w:t>
      </w:r>
    </w:p>
    <w:p w14:paraId="5A447A87">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如因我方违反上述条款造成安全生产事故的，我方将承担由此引发的一切责任与后果，如造成</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损失的，我方将予以足额赔偿，同时，</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有权没收我方提交的履约担保。</w:t>
      </w:r>
    </w:p>
    <w:p w14:paraId="23E96AC5">
      <w:pPr>
        <w:autoSpaceDE w:val="0"/>
        <w:autoSpaceDN w:val="0"/>
        <w:adjustRightInd w:val="0"/>
        <w:spacing w:line="360" w:lineRule="auto"/>
        <w:ind w:firstLine="504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p>
    <w:p w14:paraId="23FE4D8B">
      <w:pPr>
        <w:autoSpaceDE w:val="0"/>
        <w:autoSpaceDN w:val="0"/>
        <w:adjustRightInd w:val="0"/>
        <w:spacing w:line="360" w:lineRule="auto"/>
        <w:ind w:firstLine="5040"/>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zh-CN"/>
        </w:rPr>
        <w:t>供应商：（加盖供应商法人公章）</w:t>
      </w:r>
    </w:p>
    <w:p w14:paraId="5C537FC7">
      <w:pPr>
        <w:autoSpaceDE w:val="0"/>
        <w:autoSpaceDN w:val="0"/>
        <w:adjustRightInd w:val="0"/>
        <w:spacing w:line="360" w:lineRule="auto"/>
        <w:ind w:firstLine="504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法定代表人或其授权代表签名（或盖私章）：</w:t>
      </w:r>
    </w:p>
    <w:p w14:paraId="673C3A8F">
      <w:pPr>
        <w:autoSpaceDE w:val="0"/>
        <w:autoSpaceDN w:val="0"/>
        <w:adjustRightInd w:val="0"/>
        <w:spacing w:line="360" w:lineRule="auto"/>
        <w:ind w:right="420" w:firstLine="5040" w:firstLineChars="2400"/>
        <w:jc w:val="left"/>
        <w:rPr>
          <w:rFonts w:hint="eastAsia" w:ascii="宋体" w:hAnsi="宋体" w:eastAsia="宋体" w:cs="宋体"/>
          <w:color w:val="auto"/>
          <w:kern w:val="0"/>
          <w:sz w:val="24"/>
          <w:szCs w:val="24"/>
          <w:highlight w:val="none"/>
        </w:rPr>
      </w:pPr>
      <w:r>
        <w:rPr>
          <w:rFonts w:hint="eastAsia" w:ascii="宋体" w:hAnsi="宋体" w:eastAsia="宋体" w:cs="宋体"/>
          <w:color w:val="auto"/>
          <w:szCs w:val="24"/>
          <w:highlight w:val="none"/>
          <w:lang w:val="zh-CN"/>
        </w:rPr>
        <w:t>日期：   年   月   日</w:t>
      </w:r>
    </w:p>
    <w:p w14:paraId="5684F634">
      <w:pPr>
        <w:pageBreakBefore/>
        <w:autoSpaceDE w:val="0"/>
        <w:autoSpaceDN w:val="0"/>
        <w:adjustRightInd w:val="0"/>
        <w:spacing w:line="360" w:lineRule="auto"/>
        <w:jc w:val="left"/>
        <w:outlineLvl w:val="2"/>
        <w:rPr>
          <w:rFonts w:hint="eastAsia" w:ascii="宋体" w:hAnsi="宋体" w:eastAsia="宋体" w:cs="宋体"/>
          <w:b/>
          <w:color w:val="auto"/>
          <w:kern w:val="0"/>
          <w:sz w:val="32"/>
          <w:szCs w:val="32"/>
          <w:highlight w:val="none"/>
        </w:rPr>
      </w:pPr>
      <w:bookmarkStart w:id="481" w:name="_Toc94107206"/>
      <w:bookmarkStart w:id="482" w:name="_Toc104991872"/>
      <w:bookmarkStart w:id="483" w:name="_Toc2049910065"/>
      <w:bookmarkStart w:id="484" w:name="_Toc1140"/>
      <w:bookmarkStart w:id="485" w:name="_Toc142508366"/>
      <w:bookmarkStart w:id="486" w:name="_Toc23840"/>
      <w:bookmarkStart w:id="487" w:name="_Toc18346"/>
      <w:bookmarkStart w:id="488" w:name="_Toc140596925"/>
      <w:bookmarkStart w:id="489" w:name="_Toc102860415"/>
      <w:bookmarkStart w:id="490" w:name="_Toc102860071"/>
      <w:bookmarkStart w:id="491" w:name="_Toc13416"/>
      <w:r>
        <w:rPr>
          <w:rFonts w:hint="eastAsia" w:ascii="宋体" w:hAnsi="宋体" w:eastAsia="宋体" w:cs="宋体"/>
          <w:b/>
          <w:color w:val="auto"/>
          <w:kern w:val="0"/>
          <w:sz w:val="32"/>
          <w:szCs w:val="32"/>
          <w:highlight w:val="none"/>
          <w:lang w:val="en-US" w:eastAsia="zh-CN"/>
        </w:rPr>
        <w:t>四</w:t>
      </w:r>
      <w:r>
        <w:rPr>
          <w:rFonts w:hint="eastAsia" w:ascii="宋体" w:hAnsi="宋体" w:eastAsia="宋体" w:cs="宋体"/>
          <w:b/>
          <w:color w:val="auto"/>
          <w:kern w:val="0"/>
          <w:sz w:val="32"/>
          <w:szCs w:val="32"/>
          <w:highlight w:val="none"/>
        </w:rPr>
        <w:t>、响应报价表格式</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14:paraId="54F1017E">
      <w:pPr>
        <w:tabs>
          <w:tab w:val="left" w:pos="567"/>
        </w:tabs>
        <w:autoSpaceDE w:val="0"/>
        <w:autoSpaceDN w:val="0"/>
        <w:adjustRightInd w:val="0"/>
        <w:spacing w:line="360" w:lineRule="auto"/>
        <w:ind w:left="711" w:hanging="711" w:hangingChars="236"/>
        <w:jc w:val="left"/>
        <w:outlineLvl w:val="2"/>
        <w:rPr>
          <w:rFonts w:hint="eastAsia" w:ascii="宋体" w:hAnsi="宋体" w:eastAsia="宋体" w:cs="宋体"/>
          <w:b/>
          <w:color w:val="auto"/>
          <w:kern w:val="0"/>
          <w:sz w:val="30"/>
          <w:szCs w:val="30"/>
          <w:highlight w:val="none"/>
        </w:rPr>
      </w:pPr>
      <w:bookmarkStart w:id="492" w:name="_Toc94107207"/>
      <w:bookmarkStart w:id="493" w:name="_Toc10702"/>
      <w:bookmarkStart w:id="494" w:name="_Toc102860416"/>
      <w:bookmarkStart w:id="495" w:name="_Toc102860072"/>
      <w:bookmarkStart w:id="496" w:name="_Toc354172248"/>
      <w:bookmarkStart w:id="497" w:name="_Toc142508367"/>
      <w:bookmarkStart w:id="498" w:name="_Toc140596926"/>
      <w:bookmarkStart w:id="499" w:name="_Toc1294"/>
      <w:bookmarkStart w:id="500" w:name="_Toc15425"/>
      <w:bookmarkStart w:id="501" w:name="_Toc104991873"/>
      <w:bookmarkStart w:id="502" w:name="_Toc2395_WPSOffice_Level3"/>
      <w:bookmarkStart w:id="503" w:name="_Toc24175"/>
      <w:r>
        <w:rPr>
          <w:rFonts w:hint="eastAsia" w:ascii="宋体" w:hAnsi="宋体" w:eastAsia="宋体" w:cs="宋体"/>
          <w:b/>
          <w:color w:val="auto"/>
          <w:kern w:val="0"/>
          <w:sz w:val="30"/>
          <w:szCs w:val="30"/>
          <w:highlight w:val="none"/>
          <w:lang w:val="en-US" w:eastAsia="zh-CN"/>
        </w:rPr>
        <w:t>4</w:t>
      </w:r>
      <w:r>
        <w:rPr>
          <w:rFonts w:hint="eastAsia" w:ascii="宋体" w:hAnsi="宋体" w:eastAsia="宋体" w:cs="宋体"/>
          <w:b/>
          <w:color w:val="auto"/>
          <w:kern w:val="0"/>
          <w:sz w:val="30"/>
          <w:szCs w:val="30"/>
          <w:highlight w:val="none"/>
        </w:rPr>
        <w:t>.1 响应报价表</w:t>
      </w:r>
      <w:bookmarkEnd w:id="492"/>
      <w:bookmarkEnd w:id="493"/>
      <w:bookmarkEnd w:id="494"/>
      <w:bookmarkEnd w:id="495"/>
      <w:bookmarkEnd w:id="496"/>
      <w:bookmarkEnd w:id="497"/>
      <w:bookmarkEnd w:id="498"/>
      <w:bookmarkEnd w:id="499"/>
      <w:bookmarkEnd w:id="500"/>
      <w:bookmarkEnd w:id="501"/>
      <w:bookmarkEnd w:id="502"/>
      <w:bookmarkEnd w:id="503"/>
    </w:p>
    <w:p w14:paraId="4A2CA704">
      <w:pPr>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sz w:val="30"/>
          <w:szCs w:val="30"/>
          <w:highlight w:val="none"/>
          <w:lang w:val="zh-CN"/>
        </w:rPr>
        <w:t>响应报价表</w:t>
      </w:r>
    </w:p>
    <w:p w14:paraId="0C785855">
      <w:pPr>
        <w:spacing w:line="360" w:lineRule="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rPr>
        <w:t>项目名称：</w:t>
      </w:r>
      <w:r>
        <w:rPr>
          <w:rFonts w:hint="eastAsia" w:ascii="宋体" w:hAnsi="宋体" w:eastAsia="宋体" w:cs="宋体"/>
          <w:color w:val="auto"/>
          <w:kern w:val="0"/>
          <w:szCs w:val="21"/>
          <w:highlight w:val="none"/>
          <w:u w:val="single"/>
          <w:lang w:eastAsia="zh-CN"/>
        </w:rPr>
        <w:t>东莞市污泥集中处理处置项目过渡期</w:t>
      </w:r>
      <w:r>
        <w:rPr>
          <w:rFonts w:hint="eastAsia" w:ascii="宋体" w:hAnsi="宋体" w:eastAsia="宋体" w:cs="宋体"/>
          <w:color w:val="auto"/>
          <w:kern w:val="0"/>
          <w:szCs w:val="21"/>
          <w:highlight w:val="none"/>
          <w:u w:val="single"/>
          <w:lang w:val="en-US" w:eastAsia="zh-CN"/>
        </w:rPr>
        <w:t>废盐</w:t>
      </w:r>
      <w:r>
        <w:rPr>
          <w:rFonts w:hint="eastAsia" w:ascii="宋体" w:hAnsi="宋体" w:eastAsia="宋体" w:cs="宋体"/>
          <w:color w:val="auto"/>
          <w:kern w:val="0"/>
          <w:szCs w:val="21"/>
          <w:highlight w:val="none"/>
          <w:u w:val="single"/>
          <w:lang w:eastAsia="zh-CN"/>
        </w:rPr>
        <w:t>处置服务采购项目</w:t>
      </w:r>
    </w:p>
    <w:p w14:paraId="69C72BD9">
      <w:pPr>
        <w:spacing w:line="360" w:lineRule="auto"/>
        <w:rPr>
          <w:rFonts w:hint="eastAsia" w:ascii="宋体" w:hAnsi="宋体" w:eastAsia="宋体" w:cs="宋体"/>
          <w:color w:val="auto"/>
          <w:kern w:val="0"/>
          <w:szCs w:val="21"/>
          <w:highlight w:val="none"/>
          <w:u w:val="single"/>
          <w:lang w:eastAsia="zh-CN"/>
        </w:rPr>
      </w:pPr>
      <w:r>
        <w:rPr>
          <w:rFonts w:hint="eastAsia" w:ascii="宋体" w:hAnsi="宋体" w:eastAsia="宋体" w:cs="宋体"/>
          <w:b/>
          <w:color w:val="auto"/>
          <w:kern w:val="0"/>
          <w:szCs w:val="21"/>
          <w:highlight w:val="none"/>
          <w:lang w:eastAsia="zh-CN"/>
        </w:rPr>
        <w:t>采购编号</w:t>
      </w:r>
      <w:r>
        <w:rPr>
          <w:rFonts w:hint="eastAsia" w:ascii="宋体" w:hAnsi="宋体" w:eastAsia="宋体" w:cs="宋体"/>
          <w:b/>
          <w:color w:val="auto"/>
          <w:kern w:val="0"/>
          <w:szCs w:val="21"/>
          <w:highlight w:val="none"/>
        </w:rPr>
        <w:t>：</w:t>
      </w:r>
      <w:r>
        <w:rPr>
          <w:rFonts w:hint="eastAsia" w:ascii="宋体" w:hAnsi="宋体" w:eastAsia="宋体" w:cs="宋体"/>
          <w:color w:val="auto"/>
          <w:kern w:val="0"/>
          <w:szCs w:val="21"/>
          <w:highlight w:val="none"/>
          <w:u w:val="single"/>
          <w:lang w:eastAsia="zh-CN"/>
        </w:rPr>
        <w:t xml:space="preserve">                        </w:t>
      </w:r>
    </w:p>
    <w:p w14:paraId="39F88C76">
      <w:pPr>
        <w:spacing w:line="360" w:lineRule="auto"/>
        <w:rPr>
          <w:rFonts w:hint="eastAsia" w:ascii="宋体" w:hAnsi="宋体" w:eastAsia="宋体" w:cs="宋体"/>
          <w:color w:val="auto"/>
          <w:kern w:val="0"/>
          <w:szCs w:val="21"/>
          <w:highlight w:val="none"/>
          <w:u w:val="single"/>
          <w:lang w:eastAsia="zh-CN"/>
        </w:rPr>
      </w:pPr>
    </w:p>
    <w:tbl>
      <w:tblPr>
        <w:tblStyle w:val="36"/>
        <w:tblpPr w:leftFromText="180" w:rightFromText="180" w:vertAnchor="text" w:horzAnchor="page" w:tblpX="1344" w:tblpY="413"/>
        <w:tblOverlap w:val="never"/>
        <w:tblW w:w="972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2"/>
        <w:gridCol w:w="3451"/>
        <w:gridCol w:w="4787"/>
        <w:gridCol w:w="829"/>
      </w:tblGrid>
      <w:tr w14:paraId="5ACD36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662" w:type="dxa"/>
            <w:tcBorders>
              <w:top w:val="single" w:color="auto" w:sz="4" w:space="0"/>
              <w:left w:val="single" w:color="auto" w:sz="4" w:space="0"/>
              <w:bottom w:val="single" w:color="auto" w:sz="4" w:space="0"/>
              <w:right w:val="single" w:color="auto" w:sz="4" w:space="0"/>
            </w:tcBorders>
            <w:vAlign w:val="center"/>
          </w:tcPr>
          <w:p w14:paraId="3B7471AC">
            <w:pPr>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3451" w:type="dxa"/>
            <w:tcBorders>
              <w:top w:val="single" w:color="auto" w:sz="4" w:space="0"/>
              <w:left w:val="single" w:color="auto" w:sz="4" w:space="0"/>
              <w:bottom w:val="single" w:color="auto" w:sz="4" w:space="0"/>
              <w:right w:val="single" w:color="auto" w:sz="4" w:space="0"/>
            </w:tcBorders>
            <w:vAlign w:val="center"/>
          </w:tcPr>
          <w:p w14:paraId="5C996021">
            <w:pPr>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名称</w:t>
            </w:r>
          </w:p>
        </w:tc>
        <w:tc>
          <w:tcPr>
            <w:tcW w:w="4787" w:type="dxa"/>
            <w:tcBorders>
              <w:top w:val="single" w:color="auto" w:sz="4" w:space="0"/>
              <w:left w:val="single" w:color="auto" w:sz="4" w:space="0"/>
              <w:bottom w:val="single" w:color="auto" w:sz="4" w:space="0"/>
              <w:right w:val="single" w:color="auto" w:sz="4" w:space="0"/>
            </w:tcBorders>
            <w:vAlign w:val="center"/>
          </w:tcPr>
          <w:p w14:paraId="6BB2E30A">
            <w:pPr>
              <w:spacing w:line="240" w:lineRule="auto"/>
              <w:jc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不含税报价</w:t>
            </w:r>
          </w:p>
          <w:p w14:paraId="2E67DCF7">
            <w:pPr>
              <w:spacing w:line="240" w:lineRule="auto"/>
              <w:jc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[单位：元/吨]</w:t>
            </w:r>
          </w:p>
        </w:tc>
        <w:tc>
          <w:tcPr>
            <w:tcW w:w="829" w:type="dxa"/>
            <w:tcBorders>
              <w:top w:val="single" w:color="auto" w:sz="4" w:space="0"/>
              <w:left w:val="single" w:color="auto" w:sz="4" w:space="0"/>
              <w:bottom w:val="single" w:color="auto" w:sz="4" w:space="0"/>
              <w:right w:val="single" w:color="auto" w:sz="4" w:space="0"/>
            </w:tcBorders>
            <w:vAlign w:val="center"/>
          </w:tcPr>
          <w:p w14:paraId="2350BA88">
            <w:pPr>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备注</w:t>
            </w:r>
          </w:p>
        </w:tc>
      </w:tr>
      <w:tr w14:paraId="415006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44" w:hRule="atLeast"/>
        </w:trPr>
        <w:tc>
          <w:tcPr>
            <w:tcW w:w="662" w:type="dxa"/>
            <w:tcBorders>
              <w:top w:val="single" w:color="auto" w:sz="4" w:space="0"/>
              <w:left w:val="single" w:color="auto" w:sz="4" w:space="0"/>
              <w:right w:val="single" w:color="auto" w:sz="4" w:space="0"/>
            </w:tcBorders>
            <w:vAlign w:val="center"/>
          </w:tcPr>
          <w:p w14:paraId="20A104B0">
            <w:pPr>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3451" w:type="dxa"/>
            <w:tcBorders>
              <w:top w:val="single" w:color="auto" w:sz="4" w:space="0"/>
              <w:left w:val="single" w:color="auto" w:sz="4" w:space="0"/>
              <w:right w:val="single" w:color="auto" w:sz="4" w:space="0"/>
            </w:tcBorders>
            <w:vAlign w:val="center"/>
          </w:tcPr>
          <w:p w14:paraId="230C3374">
            <w:pPr>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东莞市污泥集中处理处置项目过渡期</w:t>
            </w:r>
            <w:r>
              <w:rPr>
                <w:rFonts w:hint="eastAsia" w:ascii="宋体" w:hAnsi="宋体" w:eastAsia="宋体" w:cs="宋体"/>
                <w:color w:val="auto"/>
                <w:kern w:val="0"/>
                <w:sz w:val="21"/>
                <w:szCs w:val="21"/>
                <w:highlight w:val="none"/>
                <w:lang w:val="en-US" w:eastAsia="zh-CN"/>
              </w:rPr>
              <w:t>废盐</w:t>
            </w:r>
            <w:r>
              <w:rPr>
                <w:rFonts w:hint="eastAsia" w:ascii="宋体" w:hAnsi="宋体" w:eastAsia="宋体" w:cs="宋体"/>
                <w:color w:val="auto"/>
                <w:kern w:val="0"/>
                <w:sz w:val="21"/>
                <w:szCs w:val="21"/>
                <w:highlight w:val="none"/>
                <w:lang w:eastAsia="zh-CN"/>
              </w:rPr>
              <w:t>处置服务采购项目</w:t>
            </w:r>
          </w:p>
        </w:tc>
        <w:tc>
          <w:tcPr>
            <w:tcW w:w="4787" w:type="dxa"/>
            <w:tcBorders>
              <w:top w:val="single" w:color="auto" w:sz="4" w:space="0"/>
              <w:left w:val="single" w:color="auto" w:sz="4" w:space="0"/>
              <w:right w:val="single" w:color="auto" w:sz="4" w:space="0"/>
            </w:tcBorders>
            <w:vAlign w:val="center"/>
          </w:tcPr>
          <w:p w14:paraId="2EFC8AD4">
            <w:pPr>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人民币（小写）：</w:t>
            </w:r>
            <w:r>
              <w:rPr>
                <w:rFonts w:hint="eastAsia" w:ascii="宋体" w:hAnsi="宋体" w:eastAsia="宋体" w:cs="宋体"/>
                <w:color w:val="auto"/>
                <w:kern w:val="0"/>
                <w:sz w:val="21"/>
                <w:szCs w:val="21"/>
                <w:highlight w:val="none"/>
                <w:u w:val="single"/>
              </w:rPr>
              <w:t xml:space="preserve">                   </w:t>
            </w:r>
          </w:p>
        </w:tc>
        <w:tc>
          <w:tcPr>
            <w:tcW w:w="829" w:type="dxa"/>
            <w:tcBorders>
              <w:top w:val="single" w:color="auto" w:sz="4" w:space="0"/>
              <w:left w:val="single" w:color="auto" w:sz="4" w:space="0"/>
              <w:right w:val="single" w:color="auto" w:sz="4" w:space="0"/>
            </w:tcBorders>
            <w:vAlign w:val="center"/>
          </w:tcPr>
          <w:p w14:paraId="1B5B2A2F">
            <w:pPr>
              <w:spacing w:line="360" w:lineRule="auto"/>
              <w:rPr>
                <w:rFonts w:hint="eastAsia" w:ascii="宋体" w:hAnsi="宋体" w:eastAsia="宋体" w:cs="宋体"/>
                <w:color w:val="auto"/>
                <w:kern w:val="0"/>
                <w:sz w:val="21"/>
                <w:szCs w:val="21"/>
                <w:highlight w:val="none"/>
              </w:rPr>
            </w:pPr>
          </w:p>
        </w:tc>
      </w:tr>
    </w:tbl>
    <w:p w14:paraId="0DC1E984">
      <w:pPr>
        <w:rPr>
          <w:rFonts w:hint="eastAsia" w:ascii="宋体" w:hAnsi="宋体" w:eastAsia="宋体" w:cs="宋体"/>
          <w:color w:val="auto"/>
          <w:kern w:val="0"/>
          <w:sz w:val="20"/>
          <w:szCs w:val="21"/>
          <w:highlight w:val="none"/>
        </w:rPr>
      </w:pPr>
    </w:p>
    <w:p w14:paraId="637DF91C">
      <w:pPr>
        <w:autoSpaceDE w:val="0"/>
        <w:autoSpaceDN w:val="0"/>
        <w:adjustRightInd w:val="0"/>
        <w:spacing w:line="360" w:lineRule="auto"/>
        <w:rPr>
          <w:rFonts w:hint="eastAsia" w:ascii="宋体" w:hAnsi="宋体" w:eastAsia="宋体" w:cs="宋体"/>
          <w:color w:val="auto"/>
          <w:kern w:val="0"/>
          <w:szCs w:val="21"/>
          <w:highlight w:val="none"/>
        </w:rPr>
      </w:pPr>
    </w:p>
    <w:p w14:paraId="7E8BF9B3">
      <w:pPr>
        <w:autoSpaceDE w:val="0"/>
        <w:autoSpaceDN w:val="0"/>
        <w:adjustRightIn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w:t>
      </w:r>
    </w:p>
    <w:p w14:paraId="7CC5CE9F">
      <w:pPr>
        <w:numPr>
          <w:ilvl w:val="0"/>
          <w:numId w:val="0"/>
        </w:numPr>
        <w:autoSpaceDE w:val="0"/>
        <w:autoSpaceDN w:val="0"/>
        <w:adjustRightInd w:val="0"/>
        <w:snapToGrid w:val="0"/>
        <w:spacing w:line="360" w:lineRule="auto"/>
        <w:ind w:left="605" w:leftChars="18"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（1）</w:t>
      </w:r>
      <w:r>
        <w:rPr>
          <w:rFonts w:hint="eastAsia" w:ascii="宋体" w:hAnsi="宋体" w:eastAsia="宋体" w:cs="宋体"/>
          <w:b/>
          <w:color w:val="auto"/>
          <w:kern w:val="0"/>
          <w:szCs w:val="21"/>
          <w:highlight w:val="none"/>
          <w:u w:val="single"/>
        </w:rPr>
        <w:t>本项目报价为不含税价，即为</w:t>
      </w:r>
      <w:r>
        <w:rPr>
          <w:rFonts w:hint="eastAsia" w:ascii="宋体" w:hAnsi="宋体" w:eastAsia="宋体" w:cs="宋体"/>
          <w:b/>
          <w:color w:val="auto"/>
          <w:kern w:val="0"/>
          <w:szCs w:val="21"/>
          <w:highlight w:val="none"/>
          <w:u w:val="single"/>
          <w:lang w:val="zh-CN"/>
        </w:rPr>
        <w:t>《中华人民共和国增值税法》及其实施条例</w:t>
      </w:r>
      <w:r>
        <w:rPr>
          <w:rFonts w:hint="eastAsia" w:ascii="宋体" w:hAnsi="宋体" w:eastAsia="宋体" w:cs="宋体"/>
          <w:b/>
          <w:color w:val="auto"/>
          <w:kern w:val="0"/>
          <w:szCs w:val="21"/>
          <w:highlight w:val="none"/>
          <w:u w:val="single"/>
        </w:rPr>
        <w:t>规定的销售额。</w:t>
      </w:r>
      <w:r>
        <w:rPr>
          <w:rFonts w:hint="eastAsia" w:ascii="宋体" w:hAnsi="宋体" w:eastAsia="宋体" w:cs="宋体"/>
          <w:color w:val="auto"/>
          <w:kern w:val="0"/>
          <w:szCs w:val="21"/>
          <w:highlight w:val="none"/>
        </w:rPr>
        <w:t>本</w:t>
      </w: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所称的不含税价是指不含本采购项目的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销项税额，包含了</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完成合同义务（含</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代缴代扣、分包及委外服务、采购货物等所产生的价税）的其他全部费用。</w:t>
      </w:r>
      <w:r>
        <w:rPr>
          <w:rFonts w:hint="eastAsia" w:ascii="宋体" w:hAnsi="宋体" w:eastAsia="宋体" w:cs="宋体"/>
          <w:color w:val="auto"/>
          <w:szCs w:val="21"/>
          <w:highlight w:val="none"/>
          <w:lang w:val="zh-CN"/>
        </w:rPr>
        <w:t>本采购项目的销项税额由采购人承担</w:t>
      </w:r>
      <w:r>
        <w:rPr>
          <w:rFonts w:hint="eastAsia" w:ascii="宋体" w:hAnsi="宋体" w:eastAsia="宋体" w:cs="宋体"/>
          <w:color w:val="auto"/>
          <w:kern w:val="0"/>
          <w:szCs w:val="21"/>
          <w:highlight w:val="none"/>
        </w:rPr>
        <w:t>，不计入</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报价。</w:t>
      </w:r>
    </w:p>
    <w:p w14:paraId="56555B88">
      <w:pPr>
        <w:numPr>
          <w:ilvl w:val="0"/>
          <w:numId w:val="0"/>
        </w:numPr>
        <w:autoSpaceDE w:val="0"/>
        <w:autoSpaceDN w:val="0"/>
        <w:adjustRightInd w:val="0"/>
        <w:snapToGrid w:val="0"/>
        <w:spacing w:line="360" w:lineRule="auto"/>
        <w:ind w:left="605" w:leftChars="18"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w:t>
      </w:r>
      <w:r>
        <w:rPr>
          <w:rFonts w:hint="eastAsia" w:ascii="宋体" w:hAnsi="宋体" w:eastAsia="宋体" w:cs="宋体"/>
          <w:b/>
          <w:bCs/>
          <w:color w:val="auto"/>
          <w:kern w:val="0"/>
          <w:szCs w:val="21"/>
          <w:highlight w:val="none"/>
          <w:u w:val="single"/>
          <w:lang w:val="en-US" w:eastAsia="zh-CN"/>
        </w:rPr>
        <w:t>供应商的不含税综合单价高于本项目不含税采购限价综合单价的</w:t>
      </w:r>
      <w:r>
        <w:rPr>
          <w:rFonts w:hint="eastAsia" w:ascii="宋体" w:hAnsi="宋体" w:eastAsia="宋体" w:cs="宋体"/>
          <w:b/>
          <w:bCs/>
          <w:color w:val="auto"/>
          <w:kern w:val="0"/>
          <w:szCs w:val="21"/>
          <w:highlight w:val="none"/>
          <w:u w:val="single"/>
        </w:rPr>
        <w:t>，该</w:t>
      </w:r>
      <w:r>
        <w:rPr>
          <w:rFonts w:hint="eastAsia" w:ascii="宋体" w:hAnsi="宋体" w:eastAsia="宋体" w:cs="宋体"/>
          <w:b/>
          <w:bCs/>
          <w:color w:val="auto"/>
          <w:kern w:val="0"/>
          <w:szCs w:val="21"/>
          <w:highlight w:val="none"/>
          <w:u w:val="single"/>
          <w:lang w:val="en-US" w:eastAsia="zh-CN"/>
        </w:rPr>
        <w:t>供应商</w:t>
      </w:r>
      <w:r>
        <w:rPr>
          <w:rFonts w:hint="eastAsia" w:ascii="宋体" w:hAnsi="宋体" w:eastAsia="宋体" w:cs="宋体"/>
          <w:b/>
          <w:bCs/>
          <w:color w:val="auto"/>
          <w:kern w:val="0"/>
          <w:szCs w:val="21"/>
          <w:highlight w:val="none"/>
          <w:u w:val="single"/>
        </w:rPr>
        <w:t>的</w:t>
      </w:r>
      <w:r>
        <w:rPr>
          <w:rFonts w:hint="eastAsia" w:ascii="宋体" w:hAnsi="宋体" w:eastAsia="宋体" w:cs="宋体"/>
          <w:b/>
          <w:color w:val="auto"/>
          <w:sz w:val="21"/>
          <w:szCs w:val="21"/>
          <w:highlight w:val="none"/>
          <w:u w:val="single"/>
          <w:lang w:eastAsia="zh-CN"/>
        </w:rPr>
        <w:t>响应</w:t>
      </w:r>
      <w:r>
        <w:rPr>
          <w:rFonts w:hint="eastAsia" w:ascii="宋体" w:hAnsi="宋体" w:eastAsia="宋体" w:cs="宋体"/>
          <w:b/>
          <w:bCs/>
          <w:color w:val="auto"/>
          <w:kern w:val="0"/>
          <w:szCs w:val="21"/>
          <w:highlight w:val="none"/>
          <w:u w:val="single"/>
        </w:rPr>
        <w:t>文件将被视为无效</w:t>
      </w:r>
      <w:r>
        <w:rPr>
          <w:rFonts w:hint="eastAsia" w:ascii="宋体" w:hAnsi="宋体" w:eastAsia="宋体" w:cs="宋体"/>
          <w:b/>
          <w:color w:val="auto"/>
          <w:sz w:val="21"/>
          <w:szCs w:val="21"/>
          <w:highlight w:val="none"/>
          <w:u w:val="single"/>
          <w:lang w:eastAsia="zh-CN"/>
        </w:rPr>
        <w:t>响应</w:t>
      </w:r>
      <w:r>
        <w:rPr>
          <w:rFonts w:hint="eastAsia" w:ascii="宋体" w:hAnsi="宋体" w:eastAsia="宋体" w:cs="宋体"/>
          <w:b/>
          <w:bCs/>
          <w:color w:val="auto"/>
          <w:kern w:val="0"/>
          <w:szCs w:val="21"/>
          <w:highlight w:val="none"/>
        </w:rPr>
        <w:t>。</w:t>
      </w:r>
    </w:p>
    <w:p w14:paraId="192985C4">
      <w:pPr>
        <w:autoSpaceDE w:val="0"/>
        <w:autoSpaceDN w:val="0"/>
        <w:adjustRightInd w:val="0"/>
        <w:snapToGrid w:val="0"/>
        <w:spacing w:line="360" w:lineRule="auto"/>
        <w:ind w:left="605" w:leftChars="18" w:hanging="567" w:hangingChars="270"/>
        <w:jc w:val="left"/>
        <w:rPr>
          <w:rFonts w:hint="eastAsia" w:ascii="宋体" w:hAnsi="宋体" w:eastAsia="宋体" w:cs="宋体"/>
          <w:b/>
          <w:bCs/>
          <w:color w:val="auto"/>
          <w:kern w:val="0"/>
          <w:szCs w:val="21"/>
          <w:highlight w:val="none"/>
          <w:lang w:val="zh-CN"/>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b/>
          <w:bCs/>
          <w:color w:val="auto"/>
          <w:kern w:val="0"/>
          <w:szCs w:val="21"/>
          <w:highlight w:val="none"/>
          <w:u w:val="single"/>
          <w:lang w:val="zh-CN"/>
        </w:rPr>
        <w:t>本表一式二份，一份随</w:t>
      </w:r>
      <w:r>
        <w:rPr>
          <w:rFonts w:hint="eastAsia" w:ascii="宋体" w:hAnsi="宋体" w:eastAsia="宋体" w:cs="宋体"/>
          <w:b/>
          <w:bCs/>
          <w:color w:val="auto"/>
          <w:kern w:val="0"/>
          <w:szCs w:val="21"/>
          <w:highlight w:val="none"/>
          <w:u w:val="single"/>
          <w:lang w:val="en-US" w:eastAsia="zh-CN"/>
        </w:rPr>
        <w:t>报价</w:t>
      </w:r>
      <w:r>
        <w:rPr>
          <w:rFonts w:hint="eastAsia" w:ascii="宋体" w:hAnsi="宋体" w:eastAsia="宋体" w:cs="宋体"/>
          <w:b/>
          <w:bCs/>
          <w:color w:val="auto"/>
          <w:kern w:val="0"/>
          <w:szCs w:val="21"/>
          <w:highlight w:val="none"/>
          <w:u w:val="single"/>
          <w:lang w:val="zh-CN"/>
        </w:rPr>
        <w:t>信封一起提交，一份编入响应文件</w:t>
      </w:r>
      <w:r>
        <w:rPr>
          <w:rFonts w:hint="eastAsia" w:ascii="宋体" w:hAnsi="宋体" w:eastAsia="宋体" w:cs="宋体"/>
          <w:b/>
          <w:bCs/>
          <w:color w:val="auto"/>
          <w:kern w:val="0"/>
          <w:szCs w:val="21"/>
          <w:highlight w:val="none"/>
          <w:lang w:val="zh-CN"/>
        </w:rPr>
        <w:t>。</w:t>
      </w:r>
    </w:p>
    <w:p w14:paraId="3E19E611">
      <w:pPr>
        <w:autoSpaceDE w:val="0"/>
        <w:autoSpaceDN w:val="0"/>
        <w:adjustRightInd w:val="0"/>
        <w:snapToGrid w:val="0"/>
        <w:spacing w:line="360" w:lineRule="auto"/>
        <w:ind w:left="605" w:leftChars="18" w:hanging="567" w:hangingChars="270"/>
        <w:jc w:val="left"/>
        <w:rPr>
          <w:rFonts w:hint="eastAsia" w:ascii="宋体" w:hAnsi="宋体" w:eastAsia="宋体" w:cs="宋体"/>
          <w:color w:val="auto"/>
          <w:kern w:val="0"/>
          <w:szCs w:val="21"/>
          <w:highlight w:val="none"/>
          <w:lang w:val="zh-CN"/>
        </w:rPr>
      </w:pPr>
      <w:r>
        <w:rPr>
          <w:rFonts w:hint="eastAsia" w:ascii="宋体" w:hAnsi="宋体" w:eastAsia="宋体" w:cs="宋体"/>
          <w:bCs/>
          <w:color w:val="auto"/>
          <w:kern w:val="0"/>
          <w:szCs w:val="21"/>
          <w:highlight w:val="none"/>
          <w:lang w:val="zh-CN"/>
        </w:rPr>
        <w:t>（</w:t>
      </w:r>
      <w:r>
        <w:rPr>
          <w:rFonts w:hint="eastAsia" w:ascii="宋体" w:hAnsi="宋体" w:eastAsia="宋体" w:cs="宋体"/>
          <w:bCs/>
          <w:color w:val="auto"/>
          <w:kern w:val="0"/>
          <w:szCs w:val="21"/>
          <w:highlight w:val="none"/>
          <w:lang w:val="en-US" w:eastAsia="zh-CN"/>
        </w:rPr>
        <w:t>4</w:t>
      </w:r>
      <w:r>
        <w:rPr>
          <w:rFonts w:hint="eastAsia" w:ascii="宋体" w:hAnsi="宋体" w:eastAsia="宋体" w:cs="宋体"/>
          <w:bCs/>
          <w:color w:val="auto"/>
          <w:kern w:val="0"/>
          <w:szCs w:val="21"/>
          <w:highlight w:val="none"/>
          <w:lang w:val="zh-CN"/>
        </w:rPr>
        <w:t>）</w:t>
      </w:r>
      <w:r>
        <w:rPr>
          <w:rFonts w:hint="eastAsia" w:ascii="宋体" w:hAnsi="宋体" w:eastAsia="宋体" w:cs="宋体"/>
          <w:color w:val="auto"/>
          <w:kern w:val="0"/>
          <w:szCs w:val="21"/>
          <w:highlight w:val="none"/>
          <w:lang w:val="zh-CN"/>
        </w:rPr>
        <w:t>综合单价</w:t>
      </w:r>
      <w:r>
        <w:rPr>
          <w:rFonts w:hint="eastAsia" w:ascii="宋体" w:hAnsi="宋体" w:eastAsia="宋体" w:cs="宋体"/>
          <w:color w:val="auto"/>
          <w:kern w:val="0"/>
          <w:szCs w:val="21"/>
          <w:highlight w:val="none"/>
          <w:lang w:val="zh-CN" w:eastAsia="zh-CN"/>
        </w:rPr>
        <w:t>响应</w:t>
      </w:r>
      <w:r>
        <w:rPr>
          <w:rFonts w:hint="eastAsia" w:ascii="宋体" w:hAnsi="宋体" w:eastAsia="宋体" w:cs="宋体"/>
          <w:color w:val="auto"/>
          <w:kern w:val="0"/>
          <w:szCs w:val="21"/>
          <w:highlight w:val="none"/>
          <w:lang w:val="zh-CN"/>
        </w:rPr>
        <w:t>报价最多保留小数点后两位。</w:t>
      </w:r>
    </w:p>
    <w:p w14:paraId="246030BE">
      <w:pPr>
        <w:autoSpaceDE w:val="0"/>
        <w:autoSpaceDN w:val="0"/>
        <w:adjustRightInd w:val="0"/>
        <w:spacing w:line="360" w:lineRule="auto"/>
        <w:ind w:firstLine="0" w:firstLineChars="0"/>
        <w:rPr>
          <w:rFonts w:hint="eastAsia" w:ascii="宋体" w:hAnsi="宋体" w:eastAsia="宋体" w:cs="宋体"/>
          <w:color w:val="auto"/>
          <w:szCs w:val="21"/>
          <w:highlight w:val="none"/>
          <w:lang w:val="zh-CN"/>
        </w:rPr>
      </w:pPr>
    </w:p>
    <w:p w14:paraId="42564B59">
      <w:pPr>
        <w:autoSpaceDE w:val="0"/>
        <w:autoSpaceDN w:val="0"/>
        <w:adjustRightInd w:val="0"/>
        <w:spacing w:line="360" w:lineRule="auto"/>
        <w:ind w:firstLine="4960" w:firstLineChars="236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w:t>
      </w:r>
      <w:r>
        <w:rPr>
          <w:rFonts w:hint="eastAsia" w:ascii="宋体" w:hAnsi="宋体" w:eastAsia="宋体" w:cs="宋体"/>
          <w:color w:val="auto"/>
          <w:szCs w:val="24"/>
          <w:highlight w:val="none"/>
          <w:lang w:val="zh-CN"/>
        </w:rPr>
        <w:t>加盖供应商法人公章</w:t>
      </w:r>
      <w:r>
        <w:rPr>
          <w:rFonts w:hint="eastAsia" w:ascii="宋体" w:hAnsi="宋体" w:eastAsia="宋体" w:cs="宋体"/>
          <w:color w:val="auto"/>
          <w:szCs w:val="21"/>
          <w:highlight w:val="none"/>
          <w:lang w:val="zh-CN"/>
        </w:rPr>
        <w:t>）</w:t>
      </w:r>
    </w:p>
    <w:p w14:paraId="412F65A1">
      <w:pPr>
        <w:autoSpaceDE w:val="0"/>
        <w:autoSpaceDN w:val="0"/>
        <w:adjustRightInd w:val="0"/>
        <w:spacing w:line="360" w:lineRule="auto"/>
        <w:ind w:firstLine="4960" w:firstLineChars="236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法定代表人或其授权代表签名（或盖私章）：</w:t>
      </w:r>
    </w:p>
    <w:p w14:paraId="485AC23E">
      <w:pPr>
        <w:autoSpaceDE w:val="0"/>
        <w:autoSpaceDN w:val="0"/>
        <w:adjustRightInd w:val="0"/>
        <w:spacing w:line="360" w:lineRule="auto"/>
        <w:ind w:firstLine="4960" w:firstLineChars="2362"/>
        <w:rPr>
          <w:rFonts w:hint="eastAsia" w:ascii="宋体" w:hAnsi="宋体" w:eastAsia="宋体" w:cs="宋体"/>
          <w:color w:val="auto"/>
          <w:szCs w:val="24"/>
          <w:highlight w:val="none"/>
          <w:lang w:val="zh-CN"/>
        </w:rPr>
      </w:pPr>
      <w:r>
        <w:rPr>
          <w:rFonts w:hint="eastAsia" w:ascii="宋体" w:hAnsi="宋体" w:eastAsia="宋体" w:cs="宋体"/>
          <w:color w:val="auto"/>
          <w:szCs w:val="21"/>
          <w:highlight w:val="none"/>
          <w:lang w:val="zh-CN"/>
        </w:rPr>
        <w:t>日</w:t>
      </w:r>
      <w:r>
        <w:rPr>
          <w:rFonts w:hint="eastAsia" w:ascii="宋体" w:hAnsi="宋体" w:eastAsia="宋体" w:cs="宋体"/>
          <w:color w:val="auto"/>
          <w:szCs w:val="24"/>
          <w:highlight w:val="none"/>
          <w:lang w:val="zh-CN"/>
        </w:rPr>
        <w:t>期：   年   月   日</w:t>
      </w:r>
    </w:p>
    <w:p w14:paraId="2F63BFDE">
      <w:pPr>
        <w:tabs>
          <w:tab w:val="left" w:pos="567"/>
        </w:tabs>
        <w:autoSpaceDE w:val="0"/>
        <w:autoSpaceDN w:val="0"/>
        <w:adjustRightInd w:val="0"/>
        <w:spacing w:line="360" w:lineRule="auto"/>
        <w:jc w:val="left"/>
        <w:outlineLvl w:val="2"/>
        <w:rPr>
          <w:rFonts w:hint="eastAsia" w:ascii="宋体" w:hAnsi="宋体" w:eastAsia="宋体" w:cs="宋体"/>
          <w:b/>
          <w:color w:val="auto"/>
          <w:kern w:val="0"/>
          <w:sz w:val="32"/>
          <w:szCs w:val="32"/>
          <w:highlight w:val="none"/>
        </w:rPr>
      </w:pPr>
      <w:r>
        <w:rPr>
          <w:rFonts w:hint="eastAsia" w:ascii="宋体" w:hAnsi="宋体" w:eastAsia="宋体" w:cs="宋体"/>
          <w:color w:val="auto"/>
          <w:szCs w:val="24"/>
          <w:highlight w:val="none"/>
          <w:lang w:val="zh-CN"/>
        </w:rPr>
        <w:br w:type="page"/>
      </w:r>
      <w:bookmarkStart w:id="504" w:name="_Toc140596928"/>
      <w:bookmarkStart w:id="505" w:name="_Toc102860418"/>
      <w:bookmarkStart w:id="506" w:name="_Toc102860074"/>
      <w:bookmarkStart w:id="507" w:name="_Toc779178711"/>
      <w:bookmarkStart w:id="508" w:name="_Toc94107209"/>
      <w:bookmarkStart w:id="509" w:name="_Toc23083"/>
      <w:bookmarkStart w:id="510" w:name="_Toc26516"/>
      <w:bookmarkStart w:id="511" w:name="_Toc104991875"/>
      <w:bookmarkStart w:id="512" w:name="_Toc1977725"/>
      <w:bookmarkStart w:id="513" w:name="_Toc8228"/>
      <w:bookmarkStart w:id="514" w:name="_Toc142508369"/>
      <w:bookmarkStart w:id="515" w:name="_Toc6190"/>
      <w:bookmarkStart w:id="516" w:name="_Toc533708124"/>
      <w:bookmarkStart w:id="517" w:name="_Toc20759_WPSOffice_Level2"/>
      <w:bookmarkStart w:id="518" w:name="_Toc486167712"/>
      <w:r>
        <w:rPr>
          <w:rFonts w:hint="eastAsia" w:ascii="宋体" w:hAnsi="宋体" w:eastAsia="宋体" w:cs="宋体"/>
          <w:b/>
          <w:bCs/>
          <w:color w:val="auto"/>
          <w:sz w:val="30"/>
          <w:szCs w:val="30"/>
          <w:highlight w:val="none"/>
          <w:lang w:val="en-US" w:eastAsia="zh-CN"/>
        </w:rPr>
        <w:t>五</w:t>
      </w:r>
      <w:r>
        <w:rPr>
          <w:rFonts w:hint="eastAsia" w:ascii="宋体" w:hAnsi="宋体" w:eastAsia="宋体" w:cs="宋体"/>
          <w:b/>
          <w:color w:val="auto"/>
          <w:kern w:val="0"/>
          <w:sz w:val="32"/>
          <w:szCs w:val="32"/>
          <w:highlight w:val="none"/>
        </w:rPr>
        <w:t>、</w:t>
      </w:r>
      <w:r>
        <w:rPr>
          <w:rFonts w:hint="eastAsia" w:ascii="宋体" w:hAnsi="宋体" w:eastAsia="宋体" w:cs="宋体"/>
          <w:b/>
          <w:color w:val="auto"/>
          <w:kern w:val="0"/>
          <w:sz w:val="32"/>
          <w:szCs w:val="32"/>
          <w:highlight w:val="none"/>
          <w:lang w:eastAsia="zh-CN"/>
        </w:rPr>
        <w:t>供应商</w:t>
      </w:r>
      <w:r>
        <w:rPr>
          <w:rFonts w:hint="eastAsia" w:ascii="宋体" w:hAnsi="宋体" w:eastAsia="宋体" w:cs="宋体"/>
          <w:b/>
          <w:color w:val="auto"/>
          <w:kern w:val="0"/>
          <w:sz w:val="32"/>
          <w:szCs w:val="32"/>
          <w:highlight w:val="none"/>
        </w:rPr>
        <w:t>资格证明文件</w:t>
      </w:r>
      <w:bookmarkEnd w:id="504"/>
      <w:bookmarkEnd w:id="505"/>
      <w:bookmarkEnd w:id="506"/>
      <w:bookmarkEnd w:id="507"/>
      <w:bookmarkEnd w:id="508"/>
      <w:bookmarkEnd w:id="509"/>
      <w:bookmarkEnd w:id="510"/>
      <w:bookmarkEnd w:id="511"/>
      <w:bookmarkEnd w:id="512"/>
      <w:bookmarkEnd w:id="513"/>
      <w:bookmarkEnd w:id="514"/>
      <w:bookmarkEnd w:id="515"/>
    </w:p>
    <w:p w14:paraId="4D5FD5B1">
      <w:pPr>
        <w:tabs>
          <w:tab w:val="left" w:pos="567"/>
        </w:tabs>
        <w:autoSpaceDE w:val="0"/>
        <w:autoSpaceDN w:val="0"/>
        <w:adjustRightInd w:val="0"/>
        <w:spacing w:line="360" w:lineRule="auto"/>
        <w:jc w:val="left"/>
        <w:outlineLvl w:val="2"/>
        <w:rPr>
          <w:rFonts w:hint="eastAsia" w:ascii="宋体" w:hAnsi="宋体" w:eastAsia="宋体" w:cs="宋体"/>
          <w:b/>
          <w:color w:val="auto"/>
          <w:kern w:val="0"/>
          <w:sz w:val="30"/>
          <w:szCs w:val="30"/>
          <w:highlight w:val="none"/>
        </w:rPr>
      </w:pPr>
      <w:bookmarkStart w:id="519" w:name="_Toc142508370"/>
      <w:bookmarkStart w:id="520" w:name="_Toc25267"/>
      <w:bookmarkStart w:id="521" w:name="_Toc102860419"/>
      <w:bookmarkStart w:id="522" w:name="_Toc94107210"/>
      <w:bookmarkStart w:id="523" w:name="_Toc104991876"/>
      <w:bookmarkStart w:id="524" w:name="_Toc17358"/>
      <w:bookmarkStart w:id="525" w:name="_Toc29874"/>
      <w:bookmarkStart w:id="526" w:name="_Toc102860075"/>
      <w:bookmarkStart w:id="527" w:name="_Toc18930"/>
      <w:bookmarkStart w:id="528" w:name="_Toc1583135250"/>
      <w:bookmarkStart w:id="529" w:name="_Toc140596929"/>
      <w:bookmarkStart w:id="530" w:name="_Toc1977726"/>
      <w:r>
        <w:rPr>
          <w:rFonts w:hint="eastAsia" w:ascii="宋体" w:hAnsi="宋体" w:eastAsia="宋体" w:cs="宋体"/>
          <w:b/>
          <w:color w:val="auto"/>
          <w:kern w:val="0"/>
          <w:sz w:val="30"/>
          <w:szCs w:val="30"/>
          <w:highlight w:val="none"/>
          <w:lang w:val="en-US" w:eastAsia="zh-CN"/>
        </w:rPr>
        <w:t>5</w:t>
      </w:r>
      <w:r>
        <w:rPr>
          <w:rFonts w:hint="eastAsia" w:ascii="宋体" w:hAnsi="宋体" w:eastAsia="宋体" w:cs="宋体"/>
          <w:b/>
          <w:color w:val="auto"/>
          <w:kern w:val="0"/>
          <w:sz w:val="30"/>
          <w:szCs w:val="30"/>
          <w:highlight w:val="none"/>
        </w:rPr>
        <w:t>.1 多证合一营业执照（或事业单位法人证书）复印件</w:t>
      </w:r>
      <w:bookmarkEnd w:id="519"/>
      <w:bookmarkEnd w:id="520"/>
      <w:bookmarkEnd w:id="521"/>
      <w:bookmarkEnd w:id="522"/>
      <w:bookmarkEnd w:id="523"/>
      <w:bookmarkEnd w:id="524"/>
      <w:bookmarkEnd w:id="525"/>
      <w:bookmarkEnd w:id="526"/>
      <w:bookmarkEnd w:id="527"/>
      <w:bookmarkEnd w:id="528"/>
      <w:bookmarkEnd w:id="529"/>
    </w:p>
    <w:p w14:paraId="2974C178">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722FB722">
      <w:pPr>
        <w:tabs>
          <w:tab w:val="left" w:pos="567"/>
        </w:tabs>
        <w:autoSpaceDE w:val="0"/>
        <w:autoSpaceDN w:val="0"/>
        <w:adjustRightInd w:val="0"/>
        <w:spacing w:line="360" w:lineRule="auto"/>
        <w:ind w:firstLine="316" w:firstLineChars="150"/>
        <w:jc w:val="left"/>
        <w:outlineLvl w:val="2"/>
        <w:rPr>
          <w:rFonts w:hint="eastAsia" w:ascii="宋体" w:hAnsi="宋体" w:eastAsia="宋体" w:cs="宋体"/>
          <w:b/>
          <w:color w:val="auto"/>
          <w:kern w:val="0"/>
          <w:szCs w:val="21"/>
          <w:highlight w:val="none"/>
        </w:rPr>
        <w:sectPr>
          <w:footerReference r:id="rId11" w:type="first"/>
          <w:footerReference r:id="rId10" w:type="default"/>
          <w:pgSz w:w="12240" w:h="15840"/>
          <w:pgMar w:top="1191" w:right="1043" w:bottom="1191" w:left="1043" w:header="720" w:footer="720" w:gutter="0"/>
          <w:pgNumType w:fmt="decimal"/>
          <w:cols w:space="720" w:num="1"/>
          <w:titlePg/>
          <w:docGrid w:linePitch="326" w:charSpace="0"/>
        </w:sectPr>
      </w:pPr>
    </w:p>
    <w:p w14:paraId="05E6247E">
      <w:pPr>
        <w:tabs>
          <w:tab w:val="left" w:pos="567"/>
        </w:tabs>
        <w:autoSpaceDE w:val="0"/>
        <w:autoSpaceDN w:val="0"/>
        <w:adjustRightInd w:val="0"/>
        <w:spacing w:line="360" w:lineRule="auto"/>
        <w:jc w:val="left"/>
        <w:outlineLvl w:val="2"/>
        <w:rPr>
          <w:rFonts w:hint="eastAsia" w:ascii="宋体" w:hAnsi="宋体" w:eastAsia="宋体" w:cs="宋体"/>
          <w:b/>
          <w:color w:val="auto"/>
          <w:kern w:val="0"/>
          <w:sz w:val="30"/>
          <w:szCs w:val="30"/>
          <w:highlight w:val="none"/>
        </w:rPr>
      </w:pPr>
      <w:bookmarkStart w:id="531" w:name="_Toc102860420"/>
      <w:bookmarkStart w:id="532" w:name="_Toc27861"/>
      <w:bookmarkStart w:id="533" w:name="_Toc368708933"/>
      <w:bookmarkStart w:id="534" w:name="_Toc7756"/>
      <w:bookmarkStart w:id="535" w:name="_Toc94107211"/>
      <w:bookmarkStart w:id="536" w:name="_Toc71"/>
      <w:bookmarkStart w:id="537" w:name="_Toc142508371"/>
      <w:bookmarkStart w:id="538" w:name="_Toc140596930"/>
      <w:bookmarkStart w:id="539" w:name="_Toc25013"/>
      <w:bookmarkStart w:id="540" w:name="_Toc104991877"/>
      <w:bookmarkStart w:id="541" w:name="_Toc102860076"/>
      <w:r>
        <w:rPr>
          <w:rFonts w:hint="eastAsia" w:ascii="宋体" w:hAnsi="宋体" w:eastAsia="宋体" w:cs="宋体"/>
          <w:b/>
          <w:color w:val="auto"/>
          <w:kern w:val="0"/>
          <w:sz w:val="30"/>
          <w:szCs w:val="30"/>
          <w:highlight w:val="none"/>
          <w:lang w:val="en-US" w:eastAsia="zh-CN"/>
        </w:rPr>
        <w:t>5</w:t>
      </w:r>
      <w:r>
        <w:rPr>
          <w:rFonts w:hint="eastAsia" w:ascii="宋体" w:hAnsi="宋体" w:eastAsia="宋体" w:cs="宋体"/>
          <w:b/>
          <w:color w:val="auto"/>
          <w:kern w:val="0"/>
          <w:sz w:val="30"/>
          <w:szCs w:val="30"/>
          <w:highlight w:val="none"/>
        </w:rPr>
        <w:t>.2 开户许可证复印件（基本存款账户），如</w:t>
      </w:r>
      <w:r>
        <w:rPr>
          <w:rFonts w:hint="eastAsia" w:ascii="宋体" w:hAnsi="宋体" w:eastAsia="宋体" w:cs="宋体"/>
          <w:b/>
          <w:color w:val="auto"/>
          <w:kern w:val="0"/>
          <w:sz w:val="30"/>
          <w:szCs w:val="30"/>
          <w:highlight w:val="none"/>
          <w:lang w:eastAsia="zh-CN"/>
        </w:rPr>
        <w:t>供应商</w:t>
      </w:r>
      <w:r>
        <w:rPr>
          <w:rFonts w:hint="eastAsia" w:ascii="宋体" w:hAnsi="宋体" w:eastAsia="宋体" w:cs="宋体"/>
          <w:b/>
          <w:color w:val="auto"/>
          <w:kern w:val="0"/>
          <w:sz w:val="30"/>
          <w:szCs w:val="30"/>
          <w:highlight w:val="none"/>
        </w:rPr>
        <w:t>企业银行账户开户所在地区已取消企业银行账户许可，</w:t>
      </w:r>
      <w:r>
        <w:rPr>
          <w:rFonts w:hint="eastAsia" w:ascii="宋体" w:hAnsi="宋体" w:eastAsia="宋体" w:cs="宋体"/>
          <w:b/>
          <w:color w:val="auto"/>
          <w:kern w:val="0"/>
          <w:sz w:val="30"/>
          <w:szCs w:val="30"/>
          <w:highlight w:val="none"/>
          <w:lang w:eastAsia="zh-CN"/>
        </w:rPr>
        <w:t>供应商</w:t>
      </w:r>
      <w:r>
        <w:rPr>
          <w:rFonts w:hint="eastAsia" w:ascii="宋体" w:hAnsi="宋体" w:eastAsia="宋体" w:cs="宋体"/>
          <w:b/>
          <w:color w:val="auto"/>
          <w:kern w:val="0"/>
          <w:sz w:val="30"/>
          <w:szCs w:val="30"/>
          <w:highlight w:val="none"/>
        </w:rPr>
        <w:t>应提供基本存款账户开户名称、开户银行、账号、编号等信息及相关备案证明（如有）或其他能证明其为基本存款账户的资料复印件</w:t>
      </w:r>
      <w:bookmarkEnd w:id="531"/>
      <w:bookmarkEnd w:id="532"/>
      <w:bookmarkEnd w:id="533"/>
      <w:bookmarkEnd w:id="534"/>
      <w:bookmarkEnd w:id="535"/>
      <w:bookmarkEnd w:id="536"/>
      <w:bookmarkEnd w:id="537"/>
      <w:bookmarkEnd w:id="538"/>
      <w:bookmarkEnd w:id="539"/>
      <w:bookmarkEnd w:id="540"/>
      <w:bookmarkEnd w:id="541"/>
    </w:p>
    <w:p w14:paraId="4C5CA020">
      <w:pPr>
        <w:tabs>
          <w:tab w:val="left" w:pos="567"/>
        </w:tabs>
        <w:autoSpaceDE w:val="0"/>
        <w:autoSpaceDN w:val="0"/>
        <w:adjustRightInd w:val="0"/>
        <w:spacing w:line="360" w:lineRule="auto"/>
        <w:jc w:val="left"/>
        <w:outlineLvl w:val="2"/>
        <w:rPr>
          <w:rFonts w:hint="eastAsia" w:ascii="宋体" w:hAnsi="宋体" w:eastAsia="宋体" w:cs="宋体"/>
          <w:b/>
          <w:color w:val="auto"/>
          <w:kern w:val="0"/>
          <w:szCs w:val="21"/>
          <w:highlight w:val="none"/>
        </w:rPr>
      </w:pPr>
      <w:r>
        <w:rPr>
          <w:rFonts w:hint="eastAsia" w:ascii="宋体" w:hAnsi="宋体" w:eastAsia="宋体" w:cs="宋体"/>
          <w:b/>
          <w:color w:val="auto"/>
          <w:kern w:val="0"/>
          <w:sz w:val="30"/>
          <w:szCs w:val="30"/>
          <w:highlight w:val="none"/>
        </w:rPr>
        <w:br w:type="page"/>
      </w:r>
      <w:bookmarkStart w:id="542" w:name="_Toc17499"/>
      <w:bookmarkStart w:id="543" w:name="_Toc177940633"/>
      <w:bookmarkStart w:id="544" w:name="_Toc140596931"/>
      <w:bookmarkStart w:id="545" w:name="_Toc102860077"/>
      <w:bookmarkStart w:id="546" w:name="_Toc9132"/>
      <w:bookmarkStart w:id="547" w:name="_Toc142508372"/>
      <w:bookmarkStart w:id="548" w:name="_Toc94107212"/>
      <w:bookmarkStart w:id="549" w:name="_Toc104991878"/>
      <w:bookmarkStart w:id="550" w:name="_Toc102860421"/>
      <w:bookmarkStart w:id="551" w:name="_Toc29565"/>
      <w:bookmarkStart w:id="552" w:name="_Toc7441"/>
      <w:r>
        <w:rPr>
          <w:rFonts w:hint="eastAsia" w:ascii="宋体" w:hAnsi="宋体" w:eastAsia="宋体" w:cs="宋体"/>
          <w:b/>
          <w:color w:val="auto"/>
          <w:kern w:val="0"/>
          <w:sz w:val="30"/>
          <w:szCs w:val="30"/>
          <w:highlight w:val="none"/>
          <w:lang w:val="en-US" w:eastAsia="zh-CN"/>
        </w:rPr>
        <w:t>5</w:t>
      </w:r>
      <w:r>
        <w:rPr>
          <w:rFonts w:hint="eastAsia" w:ascii="宋体" w:hAnsi="宋体" w:eastAsia="宋体" w:cs="宋体"/>
          <w:b/>
          <w:color w:val="auto"/>
          <w:kern w:val="0"/>
          <w:sz w:val="30"/>
          <w:szCs w:val="30"/>
          <w:highlight w:val="none"/>
        </w:rPr>
        <w:t>.3 法定代表人身份证明书原件、法定代表人授权书原件格式（法定代表人参与</w:t>
      </w:r>
      <w:r>
        <w:rPr>
          <w:rFonts w:hint="eastAsia" w:ascii="宋体" w:hAnsi="宋体" w:eastAsia="宋体" w:cs="宋体"/>
          <w:b/>
          <w:color w:val="auto"/>
          <w:kern w:val="0"/>
          <w:sz w:val="30"/>
          <w:szCs w:val="30"/>
          <w:highlight w:val="none"/>
          <w:lang w:val="en-US" w:eastAsia="zh-CN"/>
        </w:rPr>
        <w:t>响应</w:t>
      </w:r>
      <w:r>
        <w:rPr>
          <w:rFonts w:hint="eastAsia" w:ascii="宋体" w:hAnsi="宋体" w:eastAsia="宋体" w:cs="宋体"/>
          <w:b/>
          <w:color w:val="auto"/>
          <w:kern w:val="0"/>
          <w:sz w:val="30"/>
          <w:szCs w:val="30"/>
          <w:highlight w:val="none"/>
        </w:rPr>
        <w:t>时只需提供法定代表人身份证明书，委托他人为</w:t>
      </w:r>
      <w:r>
        <w:rPr>
          <w:rFonts w:hint="eastAsia" w:ascii="宋体" w:hAnsi="宋体" w:eastAsia="宋体" w:cs="宋体"/>
          <w:b/>
          <w:color w:val="auto"/>
          <w:kern w:val="0"/>
          <w:sz w:val="30"/>
          <w:szCs w:val="30"/>
          <w:highlight w:val="none"/>
          <w:lang w:val="en-US" w:eastAsia="zh-CN"/>
        </w:rPr>
        <w:t>响应</w:t>
      </w:r>
      <w:r>
        <w:rPr>
          <w:rFonts w:hint="eastAsia" w:ascii="宋体" w:hAnsi="宋体" w:eastAsia="宋体" w:cs="宋体"/>
          <w:b/>
          <w:color w:val="auto"/>
          <w:kern w:val="0"/>
          <w:sz w:val="30"/>
          <w:szCs w:val="30"/>
          <w:highlight w:val="none"/>
        </w:rPr>
        <w:t>代表或签署</w:t>
      </w:r>
      <w:r>
        <w:rPr>
          <w:rFonts w:hint="eastAsia" w:ascii="宋体" w:hAnsi="宋体" w:eastAsia="宋体" w:cs="宋体"/>
          <w:b/>
          <w:color w:val="auto"/>
          <w:kern w:val="0"/>
          <w:sz w:val="30"/>
          <w:szCs w:val="30"/>
          <w:highlight w:val="none"/>
          <w:lang w:eastAsia="zh-CN"/>
        </w:rPr>
        <w:t>响应文件</w:t>
      </w:r>
      <w:r>
        <w:rPr>
          <w:rFonts w:hint="eastAsia" w:ascii="宋体" w:hAnsi="宋体" w:eastAsia="宋体" w:cs="宋体"/>
          <w:b/>
          <w:color w:val="auto"/>
          <w:kern w:val="0"/>
          <w:sz w:val="30"/>
          <w:szCs w:val="30"/>
          <w:highlight w:val="none"/>
        </w:rPr>
        <w:t>时需同时提供法定代表人授权书）</w:t>
      </w:r>
      <w:bookmarkEnd w:id="542"/>
      <w:bookmarkEnd w:id="543"/>
      <w:bookmarkEnd w:id="544"/>
      <w:bookmarkEnd w:id="545"/>
      <w:bookmarkEnd w:id="546"/>
      <w:bookmarkEnd w:id="547"/>
      <w:bookmarkEnd w:id="548"/>
      <w:bookmarkEnd w:id="549"/>
      <w:bookmarkEnd w:id="550"/>
      <w:bookmarkEnd w:id="551"/>
      <w:bookmarkEnd w:id="552"/>
    </w:p>
    <w:p w14:paraId="72040F7F">
      <w:pPr>
        <w:spacing w:before="120" w:after="120" w:line="360" w:lineRule="auto"/>
        <w:ind w:firstLine="426" w:firstLineChars="202"/>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（1）法定代表人身份证明书格式</w:t>
      </w:r>
      <w:bookmarkEnd w:id="516"/>
      <w:bookmarkEnd w:id="517"/>
      <w:bookmarkEnd w:id="518"/>
      <w:bookmarkEnd w:id="530"/>
    </w:p>
    <w:p w14:paraId="23F2A9FD">
      <w:pPr>
        <w:spacing w:before="120" w:after="120" w:line="360" w:lineRule="auto"/>
        <w:ind w:firstLine="608" w:firstLineChars="202"/>
        <w:jc w:val="center"/>
        <w:rPr>
          <w:rFonts w:hint="eastAsia" w:ascii="宋体" w:hAnsi="宋体" w:eastAsia="宋体" w:cs="宋体"/>
          <w:b/>
          <w:color w:val="auto"/>
          <w:sz w:val="30"/>
          <w:szCs w:val="30"/>
          <w:highlight w:val="none"/>
        </w:rPr>
      </w:pPr>
    </w:p>
    <w:p w14:paraId="6C66339E">
      <w:pPr>
        <w:spacing w:before="120" w:after="120" w:line="360" w:lineRule="auto"/>
        <w:ind w:firstLine="608" w:firstLineChars="202"/>
        <w:jc w:val="center"/>
        <w:rPr>
          <w:rFonts w:hint="eastAsia" w:ascii="宋体" w:hAnsi="宋体" w:eastAsia="宋体" w:cs="宋体"/>
          <w:b/>
          <w:bCs/>
          <w:color w:val="auto"/>
          <w:sz w:val="30"/>
          <w:szCs w:val="30"/>
          <w:highlight w:val="none"/>
        </w:rPr>
      </w:pPr>
      <w:bookmarkStart w:id="553" w:name="_Toc11033_WPSOffice_Level3"/>
      <w:r>
        <w:rPr>
          <w:rFonts w:hint="eastAsia" w:ascii="宋体" w:hAnsi="宋体" w:eastAsia="宋体" w:cs="宋体"/>
          <w:b/>
          <w:color w:val="auto"/>
          <w:sz w:val="30"/>
          <w:szCs w:val="30"/>
          <w:highlight w:val="none"/>
        </w:rPr>
        <w:t>法定代</w:t>
      </w:r>
      <w:bookmarkStart w:id="554" w:name="_Toc36971359"/>
      <w:bookmarkStart w:id="555" w:name="_Toc45995270"/>
      <w:r>
        <w:rPr>
          <w:rFonts w:hint="eastAsia" w:ascii="宋体" w:hAnsi="宋体" w:eastAsia="宋体" w:cs="宋体"/>
          <w:b/>
          <w:color w:val="auto"/>
          <w:sz w:val="30"/>
          <w:szCs w:val="30"/>
          <w:highlight w:val="none"/>
        </w:rPr>
        <w:t>表人身份证明书</w:t>
      </w:r>
      <w:bookmarkEnd w:id="553"/>
    </w:p>
    <w:bookmarkEnd w:id="554"/>
    <w:bookmarkEnd w:id="555"/>
    <w:p w14:paraId="6FD978D4">
      <w:pPr>
        <w:spacing w:before="120" w:after="120" w:line="360" w:lineRule="auto"/>
        <w:ind w:firstLine="42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u w:val="single"/>
        </w:rPr>
        <w:t xml:space="preserve">            </w:t>
      </w:r>
      <w:r>
        <w:rPr>
          <w:rFonts w:hint="eastAsia" w:ascii="宋体" w:hAnsi="宋体" w:eastAsia="宋体" w:cs="宋体"/>
          <w:color w:val="auto"/>
          <w:szCs w:val="24"/>
          <w:highlight w:val="none"/>
        </w:rPr>
        <w:t>先生／女士：现任我单位</w:t>
      </w:r>
      <w:r>
        <w:rPr>
          <w:rFonts w:hint="eastAsia" w:ascii="宋体" w:hAnsi="宋体" w:eastAsia="宋体" w:cs="宋体"/>
          <w:color w:val="auto"/>
          <w:szCs w:val="24"/>
          <w:highlight w:val="none"/>
          <w:u w:val="single"/>
        </w:rPr>
        <w:t xml:space="preserve">            </w:t>
      </w:r>
      <w:r>
        <w:rPr>
          <w:rFonts w:hint="eastAsia" w:ascii="宋体" w:hAnsi="宋体" w:eastAsia="宋体" w:cs="宋体"/>
          <w:color w:val="auto"/>
          <w:szCs w:val="24"/>
          <w:highlight w:val="none"/>
        </w:rPr>
        <w:t>职务，为法定代表人，特此证明。</w:t>
      </w:r>
    </w:p>
    <w:p w14:paraId="608CB6EC">
      <w:pPr>
        <w:spacing w:before="120" w:after="120" w:line="360" w:lineRule="auto"/>
        <w:ind w:firstLine="424" w:firstLineChars="202"/>
        <w:rPr>
          <w:rFonts w:hint="eastAsia" w:ascii="宋体" w:hAnsi="宋体" w:eastAsia="宋体" w:cs="宋体"/>
          <w:color w:val="auto"/>
          <w:szCs w:val="24"/>
          <w:highlight w:val="none"/>
        </w:rPr>
      </w:pPr>
      <w:r>
        <w:rPr>
          <w:rFonts w:hint="eastAsia" w:ascii="宋体" w:hAnsi="宋体" w:eastAsia="宋体" w:cs="宋体"/>
          <w:color w:val="auto"/>
          <w:szCs w:val="24"/>
          <w:highlight w:val="none"/>
        </w:rPr>
        <w:t>有效日期：</w:t>
      </w:r>
      <w:r>
        <w:rPr>
          <w:rFonts w:hint="eastAsia" w:ascii="宋体" w:hAnsi="宋体" w:eastAsia="宋体" w:cs="宋体"/>
          <w:color w:val="auto"/>
          <w:szCs w:val="24"/>
          <w:highlight w:val="none"/>
          <w:u w:val="single"/>
        </w:rPr>
        <w:t xml:space="preserve">          </w:t>
      </w:r>
      <w:r>
        <w:rPr>
          <w:rFonts w:hint="eastAsia" w:ascii="宋体" w:hAnsi="宋体" w:eastAsia="宋体" w:cs="宋体"/>
          <w:color w:val="auto"/>
          <w:szCs w:val="24"/>
          <w:highlight w:val="none"/>
        </w:rPr>
        <w:t>签发日期：</w:t>
      </w:r>
      <w:r>
        <w:rPr>
          <w:rFonts w:hint="eastAsia" w:ascii="宋体" w:hAnsi="宋体" w:eastAsia="宋体" w:cs="宋体"/>
          <w:color w:val="auto"/>
          <w:szCs w:val="24"/>
          <w:highlight w:val="none"/>
          <w:u w:val="single"/>
        </w:rPr>
        <w:t xml:space="preserve">           </w:t>
      </w:r>
    </w:p>
    <w:p w14:paraId="0AFB368F">
      <w:pPr>
        <w:spacing w:before="120" w:after="120" w:line="360" w:lineRule="auto"/>
        <w:ind w:firstLine="424" w:firstLineChars="202"/>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rPr>
        <w:t>附：代表人性别：</w:t>
      </w:r>
      <w:r>
        <w:rPr>
          <w:rFonts w:hint="eastAsia" w:ascii="宋体" w:hAnsi="宋体" w:eastAsia="宋体" w:cs="宋体"/>
          <w:color w:val="auto"/>
          <w:szCs w:val="24"/>
          <w:highlight w:val="none"/>
          <w:u w:val="single"/>
        </w:rPr>
        <w:t xml:space="preserve">      </w:t>
      </w:r>
      <w:r>
        <w:rPr>
          <w:rFonts w:hint="eastAsia" w:ascii="宋体" w:hAnsi="宋体" w:eastAsia="宋体" w:cs="宋体"/>
          <w:color w:val="auto"/>
          <w:szCs w:val="24"/>
          <w:highlight w:val="none"/>
        </w:rPr>
        <w:t xml:space="preserve"> 年龄：</w:t>
      </w:r>
      <w:r>
        <w:rPr>
          <w:rFonts w:hint="eastAsia" w:ascii="宋体" w:hAnsi="宋体" w:eastAsia="宋体" w:cs="宋体"/>
          <w:color w:val="auto"/>
          <w:szCs w:val="24"/>
          <w:highlight w:val="none"/>
          <w:u w:val="single"/>
        </w:rPr>
        <w:t xml:space="preserve">         </w:t>
      </w:r>
      <w:r>
        <w:rPr>
          <w:rFonts w:hint="eastAsia" w:ascii="宋体" w:hAnsi="宋体" w:eastAsia="宋体" w:cs="宋体"/>
          <w:color w:val="auto"/>
          <w:szCs w:val="24"/>
          <w:highlight w:val="none"/>
        </w:rPr>
        <w:t>身份证号码：</w:t>
      </w:r>
      <w:r>
        <w:rPr>
          <w:rFonts w:hint="eastAsia" w:ascii="宋体" w:hAnsi="宋体" w:eastAsia="宋体" w:cs="宋体"/>
          <w:color w:val="auto"/>
          <w:szCs w:val="24"/>
          <w:highlight w:val="none"/>
          <w:u w:val="single"/>
        </w:rPr>
        <w:t xml:space="preserve">            </w:t>
      </w:r>
    </w:p>
    <w:p w14:paraId="7A6672F6">
      <w:pPr>
        <w:spacing w:before="120" w:after="120" w:line="360" w:lineRule="auto"/>
        <w:ind w:firstLine="424" w:firstLineChars="202"/>
        <w:rPr>
          <w:rFonts w:hint="eastAsia" w:ascii="宋体" w:hAnsi="宋体" w:eastAsia="宋体" w:cs="宋体"/>
          <w:color w:val="auto"/>
          <w:szCs w:val="24"/>
          <w:highlight w:val="none"/>
        </w:rPr>
      </w:pPr>
      <w:r>
        <w:rPr>
          <w:rFonts w:hint="eastAsia" w:ascii="宋体" w:hAnsi="宋体" w:eastAsia="宋体" w:cs="宋体"/>
          <w:color w:val="auto"/>
          <w:szCs w:val="24"/>
          <w:highlight w:val="none"/>
        </w:rPr>
        <w:t>营业执照号码：</w:t>
      </w:r>
      <w:r>
        <w:rPr>
          <w:rFonts w:hint="eastAsia" w:ascii="宋体" w:hAnsi="宋体" w:eastAsia="宋体" w:cs="宋体"/>
          <w:color w:val="auto"/>
          <w:szCs w:val="24"/>
          <w:highlight w:val="none"/>
          <w:u w:val="single"/>
        </w:rPr>
        <w:t xml:space="preserve">           </w:t>
      </w:r>
      <w:r>
        <w:rPr>
          <w:rFonts w:hint="eastAsia" w:ascii="宋体" w:hAnsi="宋体" w:eastAsia="宋体" w:cs="宋体"/>
          <w:color w:val="auto"/>
          <w:szCs w:val="24"/>
          <w:highlight w:val="none"/>
        </w:rPr>
        <w:t xml:space="preserve">经济性质： </w:t>
      </w:r>
    </w:p>
    <w:p w14:paraId="3638FEFC">
      <w:pPr>
        <w:spacing w:before="120" w:after="120" w:line="360" w:lineRule="auto"/>
        <w:ind w:firstLine="424" w:firstLineChars="202"/>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rPr>
        <w:t>主营（产）：</w:t>
      </w:r>
    </w:p>
    <w:p w14:paraId="2BEC2C8E">
      <w:pPr>
        <w:spacing w:before="120" w:after="120" w:line="360" w:lineRule="auto"/>
        <w:ind w:firstLine="424" w:firstLineChars="202"/>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rPr>
        <w:t>兼营（产）：</w:t>
      </w:r>
    </w:p>
    <w:p w14:paraId="3213B170">
      <w:pPr>
        <w:spacing w:before="120" w:after="120" w:line="360" w:lineRule="auto"/>
        <w:ind w:firstLine="424" w:firstLineChars="202"/>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附 法定代表人身份证复印件 </w:t>
      </w:r>
    </w:p>
    <w:p w14:paraId="631D9609">
      <w:pPr>
        <w:spacing w:before="120" w:after="120" w:line="360" w:lineRule="auto"/>
        <w:ind w:left="0" w:leftChars="0" w:firstLine="5040" w:firstLineChars="24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供应商：（加盖供应商法人公章）</w:t>
      </w:r>
    </w:p>
    <w:p w14:paraId="0B92DBC3">
      <w:pPr>
        <w:autoSpaceDE/>
        <w:autoSpaceDN/>
        <w:adjustRightInd w:val="0"/>
        <w:spacing w:line="360" w:lineRule="auto"/>
        <w:ind w:right="0" w:rightChars="0" w:firstLine="5040" w:firstLineChars="24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期：   年   月   日</w:t>
      </w:r>
    </w:p>
    <w:p w14:paraId="2EBC9A3C">
      <w:pPr>
        <w:autoSpaceDE w:val="0"/>
        <w:autoSpaceDN w:val="0"/>
        <w:adjustRightInd w:val="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mc:AlternateContent>
          <mc:Choice Requires="wps">
            <w:drawing>
              <wp:anchor distT="0" distB="0" distL="114300" distR="114300" simplePos="0" relativeHeight="251661312" behindDoc="0" locked="0" layoutInCell="1" allowOverlap="1">
                <wp:simplePos x="0" y="0"/>
                <wp:positionH relativeFrom="column">
                  <wp:posOffset>61595</wp:posOffset>
                </wp:positionH>
                <wp:positionV relativeFrom="paragraph">
                  <wp:posOffset>109220</wp:posOffset>
                </wp:positionV>
                <wp:extent cx="2790825" cy="1962150"/>
                <wp:effectExtent l="9525" t="6985" r="9525" b="1206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2790825" cy="1962150"/>
                        </a:xfrm>
                        <a:prstGeom prst="rect">
                          <a:avLst/>
                        </a:prstGeom>
                        <a:solidFill>
                          <a:srgbClr val="FFFFFF"/>
                        </a:solidFill>
                        <a:ln w="9525">
                          <a:solidFill>
                            <a:srgbClr val="000000"/>
                          </a:solidFill>
                          <a:miter lim="800000"/>
                        </a:ln>
                      </wps:spPr>
                      <wps:txbx>
                        <w:txbxContent>
                          <w:p w14:paraId="4E8311B3"/>
                          <w:p w14:paraId="4A09AE8B"/>
                          <w:p w14:paraId="5E5E193F"/>
                          <w:p w14:paraId="76CAC7FB"/>
                          <w:p w14:paraId="4C305E1E">
                            <w:pPr>
                              <w:jc w:val="center"/>
                              <w:rPr>
                                <w:szCs w:val="21"/>
                              </w:rPr>
                            </w:pPr>
                            <w:r>
                              <w:rPr>
                                <w:rFonts w:hint="eastAsia"/>
                                <w:szCs w:val="21"/>
                              </w:rPr>
                              <w:t>法定代表人身份证正面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4.85pt;margin-top:8.6pt;height:154.5pt;width:219.75pt;z-index:251661312;mso-width-relative:page;mso-height-relative:page;" fillcolor="#FFFFFF" filled="t" stroked="t" coordsize="21600,21600" o:gfxdata="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Fj1YWXYAAAACAEAAA8AAAAAAAAAAQAgAAAAIgAA&#10;AGRycy9kb3ducmV2LnhtbFBLAQIUABQAAAAIAIdO4kD5BGLAQQIAAIgEAAAOAAAAAAAAAAEAIAAA&#10;ACcBAABkcnMvZTJvRG9jLnhtbFBLBQYAAAAABgAGAFkBAADaBQAAAAA=&#10;">
                <v:fill on="t" focussize="0,0"/>
                <v:stroke color="#000000" miterlimit="8" joinstyle="miter"/>
                <v:imagedata o:title=""/>
                <o:lock v:ext="edit" aspectratio="f"/>
                <v:textbox>
                  <w:txbxContent>
                    <w:p w14:paraId="4E8311B3"/>
                    <w:p w14:paraId="4A09AE8B"/>
                    <w:p w14:paraId="5E5E193F"/>
                    <w:p w14:paraId="76CAC7FB"/>
                    <w:p w14:paraId="4C305E1E">
                      <w:pPr>
                        <w:jc w:val="center"/>
                        <w:rPr>
                          <w:szCs w:val="21"/>
                        </w:rPr>
                      </w:pPr>
                      <w:r>
                        <w:rPr>
                          <w:rFonts w:hint="eastAsia"/>
                          <w:szCs w:val="21"/>
                        </w:rPr>
                        <w:t>法定代表人身份证正面</w:t>
                      </w:r>
                    </w:p>
                  </w:txbxContent>
                </v:textbox>
              </v:shape>
            </w:pict>
          </mc:Fallback>
        </mc:AlternateContent>
      </w:r>
      <w:r>
        <w:rPr>
          <w:rFonts w:hint="eastAsia" w:ascii="宋体" w:hAnsi="宋体" w:eastAsia="宋体" w:cs="宋体"/>
          <w:color w:val="auto"/>
          <w:kern w:val="0"/>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3128645</wp:posOffset>
                </wp:positionH>
                <wp:positionV relativeFrom="paragraph">
                  <wp:posOffset>109220</wp:posOffset>
                </wp:positionV>
                <wp:extent cx="2790825" cy="1962150"/>
                <wp:effectExtent l="9525" t="6985" r="9525" b="12065"/>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2790825" cy="1962150"/>
                        </a:xfrm>
                        <a:prstGeom prst="rect">
                          <a:avLst/>
                        </a:prstGeom>
                        <a:solidFill>
                          <a:srgbClr val="FFFFFF"/>
                        </a:solidFill>
                        <a:ln w="9525">
                          <a:solidFill>
                            <a:srgbClr val="000000"/>
                          </a:solidFill>
                          <a:miter lim="800000"/>
                        </a:ln>
                      </wps:spPr>
                      <wps:txbx>
                        <w:txbxContent>
                          <w:p w14:paraId="1024C727"/>
                          <w:p w14:paraId="0B60E6E4"/>
                          <w:p w14:paraId="3AF7D30F"/>
                          <w:p w14:paraId="4C9DB3FF"/>
                          <w:p w14:paraId="3F40B7C1">
                            <w:pPr>
                              <w:jc w:val="center"/>
                              <w:rPr>
                                <w:szCs w:val="21"/>
                              </w:rPr>
                            </w:pPr>
                            <w:r>
                              <w:rPr>
                                <w:rFonts w:hint="eastAsia"/>
                                <w:szCs w:val="21"/>
                              </w:rPr>
                              <w:t>法定代表人身份证反面</w:t>
                            </w:r>
                          </w:p>
                          <w:p w14:paraId="60F939C3">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46.35pt;margin-top:8.6pt;height:154.5pt;width:219.75pt;z-index:251660288;mso-width-relative:page;mso-height-relative:page;" fillcolor="#FFFFFF" filled="t" stroked="t" coordsize="21600,21600" o:gfxdata="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UEWTR2QAAAAoBAAAPAAAAAAAAAAEAIAAAACIA&#10;AABkcnMvZG93bnJldi54bWxQSwECFAAUAAAACACHTuJADlLddUECAACIBAAADgAAAAAAAAABACAA&#10;AAAoAQAAZHJzL2Uyb0RvYy54bWxQSwUGAAAAAAYABgBZAQAA2wUAAAAA&#10;">
                <v:fill on="t" focussize="0,0"/>
                <v:stroke color="#000000" miterlimit="8" joinstyle="miter"/>
                <v:imagedata o:title=""/>
                <o:lock v:ext="edit" aspectratio="f"/>
                <v:textbox>
                  <w:txbxContent>
                    <w:p w14:paraId="1024C727"/>
                    <w:p w14:paraId="0B60E6E4"/>
                    <w:p w14:paraId="3AF7D30F"/>
                    <w:p w14:paraId="4C9DB3FF"/>
                    <w:p w14:paraId="3F40B7C1">
                      <w:pPr>
                        <w:jc w:val="center"/>
                        <w:rPr>
                          <w:szCs w:val="21"/>
                        </w:rPr>
                      </w:pPr>
                      <w:r>
                        <w:rPr>
                          <w:rFonts w:hint="eastAsia"/>
                          <w:szCs w:val="21"/>
                        </w:rPr>
                        <w:t>法定代表人身份证反面</w:t>
                      </w:r>
                    </w:p>
                    <w:p w14:paraId="60F939C3">
                      <w:pPr>
                        <w:jc w:val="center"/>
                        <w:rPr>
                          <w:szCs w:val="21"/>
                        </w:rPr>
                      </w:pPr>
                    </w:p>
                  </w:txbxContent>
                </v:textbox>
              </v:shape>
            </w:pict>
          </mc:Fallback>
        </mc:AlternateContent>
      </w:r>
      <w:r>
        <w:rPr>
          <w:rFonts w:hint="eastAsia" w:ascii="宋体" w:hAnsi="宋体" w:eastAsia="宋体" w:cs="宋体"/>
          <w:color w:val="auto"/>
          <w:kern w:val="0"/>
          <w:sz w:val="24"/>
          <w:szCs w:val="24"/>
          <w:highlight w:val="none"/>
        </w:rPr>
        <mc:AlternateContent>
          <mc:Choice Requires="wps">
            <w:drawing>
              <wp:anchor distT="0" distB="0" distL="114300" distR="114300" simplePos="0" relativeHeight="251659264" behindDoc="0" locked="0" layoutInCell="1" allowOverlap="1">
                <wp:simplePos x="0" y="0"/>
                <wp:positionH relativeFrom="column">
                  <wp:posOffset>61595</wp:posOffset>
                </wp:positionH>
                <wp:positionV relativeFrom="paragraph">
                  <wp:posOffset>109220</wp:posOffset>
                </wp:positionV>
                <wp:extent cx="2790825" cy="1962150"/>
                <wp:effectExtent l="9525" t="6985" r="9525" b="12065"/>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2790825" cy="1962150"/>
                        </a:xfrm>
                        <a:prstGeom prst="rect">
                          <a:avLst/>
                        </a:prstGeom>
                        <a:solidFill>
                          <a:srgbClr val="FFFFFF"/>
                        </a:solidFill>
                        <a:ln w="9525">
                          <a:solidFill>
                            <a:srgbClr val="000000"/>
                          </a:solidFill>
                          <a:miter lim="800000"/>
                        </a:ln>
                      </wps:spPr>
                      <wps:txbx>
                        <w:txbxContent>
                          <w:p w14:paraId="5A4CF79B"/>
                          <w:p w14:paraId="388F8C74"/>
                          <w:p w14:paraId="00561824"/>
                          <w:p w14:paraId="1BF16737"/>
                          <w:p w14:paraId="27DBA45B">
                            <w:pPr>
                              <w:jc w:val="center"/>
                            </w:pPr>
                            <w:r>
                              <w:rPr>
                                <w:rFonts w:hint="eastAsia"/>
                              </w:rPr>
                              <w:t>身份证正面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4.85pt;margin-top:8.6pt;height:154.5pt;width:219.75pt;z-index:251659264;mso-width-relative:page;mso-height-relative:page;" fillcolor="#FFFFFF" filled="t" stroked="t" coordsize="21600,21600" o:gfxdata="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WPVhZdgAAAAIAQAADwAAAAAAAAABACAAAAAiAAAA&#10;ZHJzL2Rvd25yZXYueG1sUEsBAhQAFAAAAAgAh07iQFavbXBAAgAAiAQAAA4AAAAAAAAAAQAgAAAA&#10;JwEAAGRycy9lMm9Eb2MueG1sUEsFBgAAAAAGAAYAWQEAANkFAAAAAA==&#10;">
                <v:fill on="t" focussize="0,0"/>
                <v:stroke color="#000000" miterlimit="8" joinstyle="miter"/>
                <v:imagedata o:title=""/>
                <o:lock v:ext="edit" aspectratio="f"/>
                <v:textbox>
                  <w:txbxContent>
                    <w:p w14:paraId="5A4CF79B"/>
                    <w:p w14:paraId="388F8C74"/>
                    <w:p w14:paraId="00561824"/>
                    <w:p w14:paraId="1BF16737"/>
                    <w:p w14:paraId="27DBA45B">
                      <w:pPr>
                        <w:jc w:val="center"/>
                      </w:pPr>
                      <w:r>
                        <w:rPr>
                          <w:rFonts w:hint="eastAsia"/>
                        </w:rPr>
                        <w:t>身份证正面</w:t>
                      </w:r>
                    </w:p>
                  </w:txbxContent>
                </v:textbox>
              </v:shape>
            </w:pict>
          </mc:Fallback>
        </mc:AlternateContent>
      </w:r>
    </w:p>
    <w:p w14:paraId="2EFA8449">
      <w:pPr>
        <w:autoSpaceDE w:val="0"/>
        <w:autoSpaceDN w:val="0"/>
        <w:adjustRightInd w:val="0"/>
        <w:jc w:val="left"/>
        <w:rPr>
          <w:rFonts w:hint="eastAsia" w:ascii="宋体" w:hAnsi="宋体" w:eastAsia="宋体" w:cs="宋体"/>
          <w:color w:val="auto"/>
          <w:kern w:val="0"/>
          <w:sz w:val="24"/>
          <w:szCs w:val="24"/>
          <w:highlight w:val="none"/>
        </w:rPr>
      </w:pPr>
    </w:p>
    <w:p w14:paraId="0D64C407">
      <w:pPr>
        <w:autoSpaceDE w:val="0"/>
        <w:autoSpaceDN w:val="0"/>
        <w:adjustRightInd w:val="0"/>
        <w:jc w:val="left"/>
        <w:rPr>
          <w:rFonts w:hint="eastAsia" w:ascii="宋体" w:hAnsi="宋体" w:eastAsia="宋体" w:cs="宋体"/>
          <w:color w:val="auto"/>
          <w:kern w:val="0"/>
          <w:sz w:val="24"/>
          <w:szCs w:val="24"/>
          <w:highlight w:val="none"/>
        </w:rPr>
      </w:pPr>
    </w:p>
    <w:p w14:paraId="0C771AE8">
      <w:pPr>
        <w:autoSpaceDE w:val="0"/>
        <w:autoSpaceDN w:val="0"/>
        <w:adjustRightInd w:val="0"/>
        <w:jc w:val="left"/>
        <w:rPr>
          <w:rFonts w:hint="eastAsia" w:ascii="宋体" w:hAnsi="宋体" w:eastAsia="宋体" w:cs="宋体"/>
          <w:color w:val="auto"/>
          <w:kern w:val="0"/>
          <w:sz w:val="24"/>
          <w:szCs w:val="24"/>
          <w:highlight w:val="none"/>
        </w:rPr>
      </w:pPr>
    </w:p>
    <w:p w14:paraId="67FFF0D4">
      <w:pPr>
        <w:autoSpaceDE w:val="0"/>
        <w:autoSpaceDN w:val="0"/>
        <w:adjustRightInd w:val="0"/>
        <w:jc w:val="left"/>
        <w:rPr>
          <w:rFonts w:hint="eastAsia" w:ascii="宋体" w:hAnsi="宋体" w:eastAsia="宋体" w:cs="宋体"/>
          <w:color w:val="auto"/>
          <w:kern w:val="0"/>
          <w:sz w:val="24"/>
          <w:szCs w:val="24"/>
          <w:highlight w:val="none"/>
        </w:rPr>
      </w:pPr>
    </w:p>
    <w:p w14:paraId="46A86953">
      <w:pPr>
        <w:autoSpaceDE w:val="0"/>
        <w:autoSpaceDN w:val="0"/>
        <w:adjustRightInd w:val="0"/>
        <w:jc w:val="left"/>
        <w:rPr>
          <w:rFonts w:hint="eastAsia" w:ascii="宋体" w:hAnsi="宋体" w:eastAsia="宋体" w:cs="宋体"/>
          <w:color w:val="auto"/>
          <w:kern w:val="0"/>
          <w:sz w:val="24"/>
          <w:szCs w:val="24"/>
          <w:highlight w:val="none"/>
        </w:rPr>
      </w:pPr>
    </w:p>
    <w:p w14:paraId="724D8BE4">
      <w:pPr>
        <w:autoSpaceDE w:val="0"/>
        <w:autoSpaceDN w:val="0"/>
        <w:adjustRightInd w:val="0"/>
        <w:jc w:val="left"/>
        <w:rPr>
          <w:rFonts w:hint="eastAsia" w:ascii="宋体" w:hAnsi="宋体" w:eastAsia="宋体" w:cs="宋体"/>
          <w:color w:val="auto"/>
          <w:kern w:val="0"/>
          <w:sz w:val="24"/>
          <w:szCs w:val="24"/>
          <w:highlight w:val="none"/>
        </w:rPr>
      </w:pPr>
    </w:p>
    <w:p w14:paraId="4CD7C152">
      <w:pPr>
        <w:autoSpaceDE w:val="0"/>
        <w:autoSpaceDN w:val="0"/>
        <w:adjustRightInd w:val="0"/>
        <w:jc w:val="left"/>
        <w:rPr>
          <w:rFonts w:hint="eastAsia" w:ascii="宋体" w:hAnsi="宋体" w:eastAsia="宋体" w:cs="宋体"/>
          <w:color w:val="auto"/>
          <w:kern w:val="0"/>
          <w:sz w:val="24"/>
          <w:szCs w:val="24"/>
          <w:highlight w:val="none"/>
        </w:rPr>
      </w:pPr>
    </w:p>
    <w:p w14:paraId="5E6021EC">
      <w:pPr>
        <w:autoSpaceDE w:val="0"/>
        <w:autoSpaceDN w:val="0"/>
        <w:adjustRightInd w:val="0"/>
        <w:jc w:val="left"/>
        <w:rPr>
          <w:rFonts w:hint="eastAsia" w:ascii="宋体" w:hAnsi="宋体" w:eastAsia="宋体" w:cs="宋体"/>
          <w:color w:val="auto"/>
          <w:kern w:val="0"/>
          <w:sz w:val="24"/>
          <w:szCs w:val="24"/>
          <w:highlight w:val="none"/>
        </w:rPr>
      </w:pPr>
    </w:p>
    <w:p w14:paraId="16F989E4">
      <w:pPr>
        <w:autoSpaceDE w:val="0"/>
        <w:autoSpaceDN w:val="0"/>
        <w:adjustRightInd w:val="0"/>
        <w:jc w:val="left"/>
        <w:rPr>
          <w:rFonts w:hint="eastAsia" w:ascii="宋体" w:hAnsi="宋体" w:eastAsia="宋体" w:cs="宋体"/>
          <w:color w:val="auto"/>
          <w:kern w:val="0"/>
          <w:sz w:val="24"/>
          <w:szCs w:val="24"/>
          <w:highlight w:val="none"/>
        </w:rPr>
      </w:pPr>
    </w:p>
    <w:p w14:paraId="535532A9">
      <w:pPr>
        <w:autoSpaceDE w:val="0"/>
        <w:autoSpaceDN w:val="0"/>
        <w:adjustRightInd w:val="0"/>
        <w:jc w:val="left"/>
        <w:rPr>
          <w:rFonts w:hint="eastAsia" w:ascii="宋体" w:hAnsi="宋体" w:eastAsia="宋体" w:cs="宋体"/>
          <w:b/>
          <w:color w:val="auto"/>
          <w:kern w:val="0"/>
          <w:szCs w:val="21"/>
          <w:highlight w:val="none"/>
        </w:rPr>
      </w:pPr>
    </w:p>
    <w:p w14:paraId="53AE4F61">
      <w:pPr>
        <w:autoSpaceDE w:val="0"/>
        <w:autoSpaceDN w:val="0"/>
        <w:adjustRightInd w:val="0"/>
        <w:jc w:val="left"/>
        <w:rPr>
          <w:rFonts w:hint="eastAsia" w:ascii="宋体" w:hAnsi="宋体" w:eastAsia="宋体" w:cs="宋体"/>
          <w:color w:val="auto"/>
          <w:kern w:val="0"/>
          <w:szCs w:val="21"/>
          <w:highlight w:val="none"/>
        </w:rPr>
      </w:pPr>
      <w:r>
        <w:rPr>
          <w:rFonts w:hint="eastAsia" w:ascii="宋体" w:hAnsi="宋体" w:eastAsia="宋体" w:cs="宋体"/>
          <w:b/>
          <w:color w:val="auto"/>
          <w:kern w:val="0"/>
          <w:szCs w:val="21"/>
          <w:highlight w:val="none"/>
        </w:rPr>
        <w:t>注：法定代表人身份证须在有效期限内。</w:t>
      </w:r>
    </w:p>
    <w:p w14:paraId="17EA95C7">
      <w:pPr>
        <w:spacing w:before="120" w:after="120" w:line="360" w:lineRule="auto"/>
        <w:ind w:firstLine="0" w:firstLineChars="0"/>
        <w:rPr>
          <w:rFonts w:hint="eastAsia" w:ascii="宋体" w:hAnsi="宋体" w:eastAsia="宋体" w:cs="宋体"/>
          <w:b/>
          <w:color w:val="auto"/>
          <w:kern w:val="0"/>
          <w:szCs w:val="21"/>
          <w:highlight w:val="none"/>
        </w:rPr>
      </w:pPr>
      <w:r>
        <w:rPr>
          <w:rFonts w:hint="eastAsia" w:ascii="宋体" w:hAnsi="宋体" w:eastAsia="宋体" w:cs="宋体"/>
          <w:color w:val="auto"/>
          <w:szCs w:val="24"/>
          <w:highlight w:val="none"/>
          <w:lang w:val="zh-CN"/>
        </w:rPr>
        <w:br w:type="page"/>
      </w:r>
      <w:bookmarkEnd w:id="461"/>
      <w:bookmarkEnd w:id="462"/>
      <w:bookmarkEnd w:id="463"/>
      <w:bookmarkStart w:id="556" w:name="_Toc486167713"/>
      <w:bookmarkStart w:id="557" w:name="_Toc6240_WPSOffice_Level2"/>
      <w:bookmarkStart w:id="558" w:name="_Toc533708125"/>
      <w:bookmarkStart w:id="559" w:name="_Toc1977727"/>
      <w:r>
        <w:rPr>
          <w:rFonts w:hint="eastAsia" w:ascii="宋体" w:hAnsi="宋体" w:eastAsia="宋体" w:cs="宋体"/>
          <w:b/>
          <w:color w:val="auto"/>
          <w:szCs w:val="24"/>
          <w:highlight w:val="none"/>
        </w:rPr>
        <w:t>（2）法定代表人授权书格式</w:t>
      </w:r>
      <w:bookmarkEnd w:id="556"/>
      <w:bookmarkEnd w:id="557"/>
      <w:bookmarkEnd w:id="558"/>
      <w:bookmarkEnd w:id="559"/>
    </w:p>
    <w:p w14:paraId="5299EB97">
      <w:pPr>
        <w:autoSpaceDE w:val="0"/>
        <w:autoSpaceDN w:val="0"/>
        <w:adjustRightInd w:val="0"/>
        <w:spacing w:line="360" w:lineRule="auto"/>
        <w:jc w:val="center"/>
        <w:rPr>
          <w:rFonts w:hint="eastAsia" w:ascii="宋体" w:hAnsi="宋体" w:eastAsia="宋体" w:cs="宋体"/>
          <w:b/>
          <w:bCs/>
          <w:color w:val="auto"/>
          <w:sz w:val="30"/>
          <w:szCs w:val="30"/>
          <w:highlight w:val="none"/>
          <w:lang w:val="zh-CN"/>
        </w:rPr>
      </w:pPr>
    </w:p>
    <w:p w14:paraId="58105644">
      <w:pPr>
        <w:autoSpaceDE w:val="0"/>
        <w:autoSpaceDN w:val="0"/>
        <w:adjustRightInd w:val="0"/>
        <w:spacing w:line="360" w:lineRule="auto"/>
        <w:jc w:val="center"/>
        <w:rPr>
          <w:rFonts w:hint="eastAsia" w:ascii="宋体" w:hAnsi="宋体" w:eastAsia="宋体" w:cs="宋体"/>
          <w:b/>
          <w:bCs/>
          <w:color w:val="auto"/>
          <w:sz w:val="30"/>
          <w:szCs w:val="30"/>
          <w:highlight w:val="none"/>
          <w:lang w:val="zh-CN"/>
        </w:rPr>
      </w:pPr>
      <w:bookmarkStart w:id="560" w:name="_Toc29146_WPSOffice_Level3"/>
      <w:r>
        <w:rPr>
          <w:rFonts w:hint="eastAsia" w:ascii="宋体" w:hAnsi="宋体" w:eastAsia="宋体" w:cs="宋体"/>
          <w:b/>
          <w:bCs/>
          <w:color w:val="auto"/>
          <w:sz w:val="30"/>
          <w:szCs w:val="30"/>
          <w:highlight w:val="none"/>
          <w:lang w:val="zh-CN"/>
        </w:rPr>
        <w:t>法定代表人授权书</w:t>
      </w:r>
      <w:bookmarkEnd w:id="560"/>
    </w:p>
    <w:p w14:paraId="3B640439">
      <w:pPr>
        <w:autoSpaceDE w:val="0"/>
        <w:autoSpaceDN w:val="0"/>
        <w:adjustRightInd w:val="0"/>
        <w:spacing w:line="360" w:lineRule="auto"/>
        <w:jc w:val="center"/>
        <w:rPr>
          <w:rFonts w:hint="eastAsia" w:ascii="宋体" w:hAnsi="宋体" w:eastAsia="宋体" w:cs="宋体"/>
          <w:color w:val="auto"/>
          <w:szCs w:val="28"/>
          <w:highlight w:val="none"/>
          <w:lang w:val="zh-CN"/>
        </w:rPr>
      </w:pPr>
    </w:p>
    <w:p w14:paraId="277BB928">
      <w:pPr>
        <w:spacing w:before="120" w:after="120" w:line="360" w:lineRule="auto"/>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致：东莞市尚源环能科技有限公司</w:t>
      </w:r>
    </w:p>
    <w:p w14:paraId="75CF0C40">
      <w:pPr>
        <w:spacing w:before="120" w:after="120"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4"/>
          <w:highlight w:val="none"/>
          <w:lang w:val="zh-CN"/>
        </w:rPr>
        <w:t>本授权书声明：注册于</w:t>
      </w:r>
      <w:r>
        <w:rPr>
          <w:rFonts w:hint="eastAsia" w:ascii="宋体" w:hAnsi="宋体" w:eastAsia="宋体" w:cs="宋体"/>
          <w:color w:val="auto"/>
          <w:szCs w:val="24"/>
          <w:highlight w:val="none"/>
          <w:u w:val="single"/>
          <w:lang w:val="zh-CN"/>
        </w:rPr>
        <w:t xml:space="preserve">       </w:t>
      </w:r>
      <w:r>
        <w:rPr>
          <w:rFonts w:hint="eastAsia" w:ascii="宋体" w:hAnsi="宋体" w:eastAsia="宋体" w:cs="宋体"/>
          <w:color w:val="auto"/>
          <w:szCs w:val="24"/>
          <w:highlight w:val="none"/>
          <w:lang w:val="zh-CN"/>
        </w:rPr>
        <w:t>（供应商地址）的</w:t>
      </w:r>
      <w:r>
        <w:rPr>
          <w:rFonts w:hint="eastAsia" w:ascii="宋体" w:hAnsi="宋体" w:eastAsia="宋体" w:cs="宋体"/>
          <w:color w:val="auto"/>
          <w:szCs w:val="24"/>
          <w:highlight w:val="none"/>
          <w:u w:val="single"/>
          <w:lang w:val="zh-CN"/>
        </w:rPr>
        <w:t xml:space="preserve">           </w:t>
      </w:r>
      <w:r>
        <w:rPr>
          <w:rFonts w:hint="eastAsia" w:ascii="宋体" w:hAnsi="宋体" w:eastAsia="宋体" w:cs="宋体"/>
          <w:color w:val="auto"/>
          <w:szCs w:val="24"/>
          <w:highlight w:val="none"/>
          <w:lang w:val="zh-CN"/>
        </w:rPr>
        <w:t>（供应商名称）在下面签字或盖私章的</w:t>
      </w:r>
      <w:r>
        <w:rPr>
          <w:rFonts w:hint="eastAsia" w:ascii="宋体" w:hAnsi="宋体" w:eastAsia="宋体" w:cs="宋体"/>
          <w:color w:val="auto"/>
          <w:szCs w:val="24"/>
          <w:highlight w:val="none"/>
          <w:u w:val="single"/>
          <w:lang w:val="zh-CN"/>
        </w:rPr>
        <w:t xml:space="preserve">                          </w:t>
      </w:r>
      <w:r>
        <w:rPr>
          <w:rFonts w:hint="eastAsia" w:ascii="宋体" w:hAnsi="宋体" w:eastAsia="宋体" w:cs="宋体"/>
          <w:color w:val="auto"/>
          <w:szCs w:val="24"/>
          <w:highlight w:val="none"/>
          <w:lang w:val="zh-CN"/>
        </w:rPr>
        <w:t>（法定代表人姓名、职务、身份证号码）代表本公司授权在下面签字或盖私章的</w:t>
      </w:r>
      <w:r>
        <w:rPr>
          <w:rFonts w:hint="eastAsia" w:ascii="宋体" w:hAnsi="宋体" w:eastAsia="宋体" w:cs="宋体"/>
          <w:color w:val="auto"/>
          <w:szCs w:val="24"/>
          <w:highlight w:val="none"/>
          <w:u w:val="single"/>
          <w:lang w:val="zh-CN"/>
        </w:rPr>
        <w:t xml:space="preserve">        </w:t>
      </w:r>
      <w:r>
        <w:rPr>
          <w:rFonts w:hint="eastAsia" w:ascii="宋体" w:hAnsi="宋体" w:eastAsia="宋体" w:cs="宋体"/>
          <w:color w:val="auto"/>
          <w:szCs w:val="24"/>
          <w:highlight w:val="none"/>
          <w:lang w:val="zh-CN"/>
        </w:rPr>
        <w:t>（被授权人的姓名、职务、身份证号码）为本公司的合法代表人，签署</w:t>
      </w:r>
      <w:r>
        <w:rPr>
          <w:rFonts w:hint="eastAsia" w:ascii="宋体" w:hAnsi="宋体" w:eastAsia="宋体" w:cs="宋体"/>
          <w:color w:val="auto"/>
          <w:szCs w:val="21"/>
          <w:highlight w:val="none"/>
          <w:u w:val="single"/>
          <w:lang w:eastAsia="zh-CN"/>
        </w:rPr>
        <w:t>东莞市污泥集中处理处置项目过渡期废盐处置服务采购项目</w:t>
      </w:r>
      <w:r>
        <w:rPr>
          <w:rFonts w:hint="eastAsia" w:ascii="宋体" w:hAnsi="宋体" w:eastAsia="宋体" w:cs="宋体"/>
          <w:color w:val="auto"/>
          <w:szCs w:val="21"/>
          <w:highlight w:val="none"/>
          <w:lang w:val="zh-CN"/>
        </w:rPr>
        <w:t>（采购编号：</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lang w:val="zh-CN"/>
        </w:rPr>
        <w:t>）的响应文件，</w:t>
      </w:r>
      <w:r>
        <w:rPr>
          <w:rFonts w:hint="eastAsia" w:ascii="宋体" w:hAnsi="宋体" w:eastAsia="宋体" w:cs="宋体"/>
          <w:color w:val="auto"/>
          <w:szCs w:val="21"/>
          <w:highlight w:val="none"/>
        </w:rPr>
        <w:t>代表我公司</w:t>
      </w:r>
      <w:r>
        <w:rPr>
          <w:rFonts w:hint="eastAsia" w:ascii="宋体" w:hAnsi="宋体" w:eastAsia="宋体" w:cs="宋体"/>
          <w:color w:val="auto"/>
          <w:szCs w:val="24"/>
          <w:highlight w:val="none"/>
          <w:lang w:val="zh-CN"/>
        </w:rPr>
        <w:t>递交响应文件、参与开启会、代表我公司应评审委员会的要求对响应文件进行澄清、进行合同谈判和签署合同，以我公司的名义处理一切与之有关的事宜，</w:t>
      </w:r>
      <w:r>
        <w:rPr>
          <w:rFonts w:hint="eastAsia" w:ascii="宋体" w:hAnsi="宋体" w:eastAsia="宋体" w:cs="宋体"/>
          <w:color w:val="auto"/>
          <w:szCs w:val="21"/>
          <w:highlight w:val="none"/>
        </w:rPr>
        <w:t>我承认代理人全权代表我所签署的本项目</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的内容及</w:t>
      </w:r>
      <w:r>
        <w:rPr>
          <w:rFonts w:hint="eastAsia" w:ascii="宋体" w:hAnsi="宋体" w:eastAsia="宋体" w:cs="宋体"/>
          <w:color w:val="auto"/>
          <w:szCs w:val="24"/>
          <w:highlight w:val="none"/>
          <w:lang w:val="zh-CN"/>
        </w:rPr>
        <w:t>所进行的上述活动。</w:t>
      </w:r>
    </w:p>
    <w:p w14:paraId="651E2B18">
      <w:pPr>
        <w:spacing w:before="120" w:after="12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4"/>
          <w:highlight w:val="none"/>
          <w:lang w:val="zh-CN"/>
        </w:rPr>
        <w:t>本授权书于</w:t>
      </w:r>
      <w:r>
        <w:rPr>
          <w:rFonts w:hint="eastAsia" w:ascii="宋体" w:hAnsi="宋体" w:eastAsia="宋体" w:cs="宋体"/>
          <w:color w:val="auto"/>
          <w:szCs w:val="24"/>
          <w:highlight w:val="none"/>
          <w:u w:val="single"/>
          <w:lang w:val="zh-CN"/>
        </w:rPr>
        <w:t xml:space="preserve">      </w:t>
      </w:r>
      <w:r>
        <w:rPr>
          <w:rFonts w:hint="eastAsia" w:ascii="宋体" w:hAnsi="宋体" w:eastAsia="宋体" w:cs="宋体"/>
          <w:color w:val="auto"/>
          <w:szCs w:val="24"/>
          <w:highlight w:val="none"/>
          <w:lang w:val="zh-CN"/>
        </w:rPr>
        <w:t>年</w:t>
      </w:r>
      <w:r>
        <w:rPr>
          <w:rFonts w:hint="eastAsia" w:ascii="宋体" w:hAnsi="宋体" w:eastAsia="宋体" w:cs="宋体"/>
          <w:color w:val="auto"/>
          <w:szCs w:val="24"/>
          <w:highlight w:val="none"/>
          <w:u w:val="single"/>
          <w:lang w:val="zh-CN"/>
        </w:rPr>
        <w:t xml:space="preserve">     </w:t>
      </w:r>
      <w:r>
        <w:rPr>
          <w:rFonts w:hint="eastAsia" w:ascii="宋体" w:hAnsi="宋体" w:eastAsia="宋体" w:cs="宋体"/>
          <w:color w:val="auto"/>
          <w:szCs w:val="24"/>
          <w:highlight w:val="none"/>
          <w:lang w:val="zh-CN"/>
        </w:rPr>
        <w:t>月</w:t>
      </w:r>
      <w:r>
        <w:rPr>
          <w:rFonts w:hint="eastAsia" w:ascii="宋体" w:hAnsi="宋体" w:eastAsia="宋体" w:cs="宋体"/>
          <w:color w:val="auto"/>
          <w:szCs w:val="24"/>
          <w:highlight w:val="none"/>
          <w:u w:val="single"/>
          <w:lang w:val="zh-CN"/>
        </w:rPr>
        <w:t xml:space="preserve">     </w:t>
      </w:r>
      <w:r>
        <w:rPr>
          <w:rFonts w:hint="eastAsia" w:ascii="宋体" w:hAnsi="宋体" w:eastAsia="宋体" w:cs="宋体"/>
          <w:color w:val="auto"/>
          <w:szCs w:val="24"/>
          <w:highlight w:val="none"/>
          <w:lang w:val="zh-CN"/>
        </w:rPr>
        <w:t>日签字生效，有效期至响应文件失效期止，</w:t>
      </w:r>
      <w:r>
        <w:rPr>
          <w:rFonts w:hint="eastAsia" w:ascii="宋体" w:hAnsi="宋体" w:eastAsia="宋体" w:cs="宋体"/>
          <w:color w:val="auto"/>
          <w:szCs w:val="21"/>
          <w:highlight w:val="none"/>
        </w:rPr>
        <w:t>代理人无转委托权，</w:t>
      </w:r>
      <w:r>
        <w:rPr>
          <w:rFonts w:hint="eastAsia" w:ascii="宋体" w:hAnsi="宋体" w:eastAsia="宋体" w:cs="宋体"/>
          <w:color w:val="auto"/>
          <w:szCs w:val="24"/>
          <w:highlight w:val="none"/>
          <w:lang w:val="zh-CN"/>
        </w:rPr>
        <w:t>特此声明。</w:t>
      </w:r>
    </w:p>
    <w:p w14:paraId="40416CAE">
      <w:pPr>
        <w:spacing w:before="120" w:after="120" w:line="360" w:lineRule="auto"/>
        <w:ind w:left="348" w:leftChars="136" w:hanging="62"/>
        <w:rPr>
          <w:rFonts w:hint="eastAsia" w:ascii="宋体" w:hAnsi="宋体" w:eastAsia="宋体" w:cs="宋体"/>
          <w:color w:val="auto"/>
          <w:szCs w:val="24"/>
          <w:highlight w:val="none"/>
        </w:rPr>
      </w:pPr>
    </w:p>
    <w:p w14:paraId="77E7B1B4">
      <w:pPr>
        <w:spacing w:before="120" w:after="120" w:line="360" w:lineRule="auto"/>
        <w:ind w:left="4200" w:leftChars="2000" w:firstLine="425"/>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en-US" w:eastAsia="zh-CN"/>
        </w:rPr>
        <w:t>供</w:t>
      </w:r>
      <w:r>
        <w:rPr>
          <w:rFonts w:hint="eastAsia" w:ascii="宋体" w:hAnsi="宋体" w:eastAsia="宋体" w:cs="宋体"/>
          <w:color w:val="auto"/>
          <w:szCs w:val="24"/>
          <w:highlight w:val="none"/>
          <w:lang w:val="zh-CN"/>
        </w:rPr>
        <w:t xml:space="preserve">  </w:t>
      </w:r>
      <w:r>
        <w:rPr>
          <w:rFonts w:hint="eastAsia" w:ascii="宋体" w:hAnsi="宋体" w:eastAsia="宋体" w:cs="宋体"/>
          <w:color w:val="auto"/>
          <w:szCs w:val="24"/>
          <w:highlight w:val="none"/>
          <w:lang w:val="en-US" w:eastAsia="zh-CN"/>
        </w:rPr>
        <w:t>应</w:t>
      </w:r>
      <w:r>
        <w:rPr>
          <w:rFonts w:hint="eastAsia" w:ascii="宋体" w:hAnsi="宋体" w:eastAsia="宋体" w:cs="宋体"/>
          <w:color w:val="auto"/>
          <w:szCs w:val="24"/>
          <w:highlight w:val="none"/>
          <w:lang w:val="zh-CN"/>
        </w:rPr>
        <w:t xml:space="preserve">  </w:t>
      </w:r>
      <w:r>
        <w:rPr>
          <w:rFonts w:hint="eastAsia" w:ascii="宋体" w:hAnsi="宋体" w:eastAsia="宋体" w:cs="宋体"/>
          <w:color w:val="auto"/>
          <w:szCs w:val="24"/>
          <w:highlight w:val="none"/>
          <w:lang w:val="en-US" w:eastAsia="zh-CN"/>
        </w:rPr>
        <w:t>商</w:t>
      </w:r>
      <w:r>
        <w:rPr>
          <w:rFonts w:hint="eastAsia" w:ascii="宋体" w:hAnsi="宋体" w:eastAsia="宋体" w:cs="宋体"/>
          <w:color w:val="auto"/>
          <w:szCs w:val="24"/>
          <w:highlight w:val="none"/>
          <w:lang w:val="zh-CN"/>
        </w:rPr>
        <w:t>：（加盖供应商法人公章）</w:t>
      </w:r>
    </w:p>
    <w:p w14:paraId="052CC7CD">
      <w:pPr>
        <w:spacing w:before="120" w:after="120" w:line="360" w:lineRule="auto"/>
        <w:ind w:left="4200" w:leftChars="2000" w:firstLine="425"/>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供应商地址：</w:t>
      </w:r>
    </w:p>
    <w:p w14:paraId="03784427">
      <w:pPr>
        <w:spacing w:before="120" w:after="120" w:line="360" w:lineRule="auto"/>
        <w:ind w:left="4200" w:leftChars="2000" w:firstLine="425"/>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法定代表人（签名或盖私章）：</w:t>
      </w:r>
    </w:p>
    <w:p w14:paraId="4196C52C">
      <w:pPr>
        <w:spacing w:before="120" w:after="120" w:line="360" w:lineRule="auto"/>
        <w:ind w:left="4200" w:leftChars="2000" w:firstLine="425"/>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职　　　务：</w:t>
      </w:r>
    </w:p>
    <w:p w14:paraId="13D7FAB9">
      <w:pPr>
        <w:spacing w:before="120" w:after="120" w:line="360" w:lineRule="auto"/>
        <w:ind w:left="4200" w:leftChars="2000" w:firstLine="425"/>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被授权人（签名或盖私章）：</w:t>
      </w:r>
    </w:p>
    <w:p w14:paraId="21E81543">
      <w:pPr>
        <w:spacing w:before="120" w:after="120" w:line="360" w:lineRule="auto"/>
        <w:ind w:left="4200" w:leftChars="2000" w:firstLine="425"/>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职　　　务：</w:t>
      </w:r>
    </w:p>
    <w:p w14:paraId="5AEFE2B8">
      <w:pPr>
        <w:spacing w:before="120" w:after="120" w:line="360" w:lineRule="auto"/>
        <w:ind w:left="4200" w:leftChars="2000" w:firstLine="425"/>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被授权人联系手机：</w:t>
      </w:r>
    </w:p>
    <w:p w14:paraId="56950A3C">
      <w:pPr>
        <w:spacing w:before="120" w:after="120" w:line="360" w:lineRule="auto"/>
        <w:ind w:left="4200" w:leftChars="2000" w:firstLine="425"/>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电 子 邮 箱：</w:t>
      </w:r>
    </w:p>
    <w:p w14:paraId="1110ED84">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zh-CN"/>
        </w:rPr>
        <w:br w:type="page"/>
      </w:r>
      <w:r>
        <w:rPr>
          <w:rFonts w:hint="eastAsia" w:ascii="宋体" w:hAnsi="宋体" w:eastAsia="宋体" w:cs="宋体"/>
          <w:color w:val="auto"/>
          <w:szCs w:val="24"/>
          <w:highlight w:val="none"/>
        </w:rPr>
        <w:t>附 法定代表人、被授权人身份证复印件</w:t>
      </w:r>
    </w:p>
    <w:p w14:paraId="6718FFF2">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4384" behindDoc="0" locked="0" layoutInCell="1" allowOverlap="1">
                <wp:simplePos x="0" y="0"/>
                <wp:positionH relativeFrom="column">
                  <wp:posOffset>3366770</wp:posOffset>
                </wp:positionH>
                <wp:positionV relativeFrom="paragraph">
                  <wp:posOffset>69850</wp:posOffset>
                </wp:positionV>
                <wp:extent cx="2790825" cy="1762125"/>
                <wp:effectExtent l="9525" t="9525" r="9525" b="9525"/>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790825" cy="1762125"/>
                        </a:xfrm>
                        <a:prstGeom prst="rect">
                          <a:avLst/>
                        </a:prstGeom>
                        <a:solidFill>
                          <a:srgbClr val="FFFFFF"/>
                        </a:solidFill>
                        <a:ln w="9525">
                          <a:solidFill>
                            <a:srgbClr val="000000"/>
                          </a:solidFill>
                          <a:miter lim="800000"/>
                        </a:ln>
                      </wps:spPr>
                      <wps:txbx>
                        <w:txbxContent>
                          <w:p w14:paraId="55206759"/>
                          <w:p w14:paraId="11AF9B28"/>
                          <w:p w14:paraId="2D593927"/>
                          <w:p w14:paraId="26D7292B"/>
                          <w:p w14:paraId="7B6425B8">
                            <w:pPr>
                              <w:jc w:val="center"/>
                              <w:rPr>
                                <w:rFonts w:hAnsi="宋体"/>
                              </w:rPr>
                            </w:pPr>
                            <w:r>
                              <w:rPr>
                                <w:rFonts w:hint="eastAsia" w:hAnsi="宋体"/>
                              </w:rPr>
                              <w:t>法定代表人身份证反面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65.1pt;margin-top:5.5pt;height:138.75pt;width:219.75pt;z-index:251664384;mso-width-relative:page;mso-height-relative:page;" fillcolor="#FFFFFF" filled="t" stroked="t" coordsize="21600,21600" o:gfxdata="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EQPedkAAAAKAQAADwAAAAAAAAABACAAAAAiAAAA&#10;ZHJzL2Rvd25yZXYueG1sUEsBAhQAFAAAAAgAh07iQA997Fg/AgAAiAQAAA4AAAAAAAAAAQAgAAAA&#10;KAEAAGRycy9lMm9Eb2MueG1sUEsFBgAAAAAGAAYAWQEAANkFAAAAAA==&#10;">
                <v:fill on="t" focussize="0,0"/>
                <v:stroke color="#000000" miterlimit="8" joinstyle="miter"/>
                <v:imagedata o:title=""/>
                <o:lock v:ext="edit" aspectratio="f"/>
                <v:textbox>
                  <w:txbxContent>
                    <w:p w14:paraId="55206759"/>
                    <w:p w14:paraId="11AF9B28"/>
                    <w:p w14:paraId="2D593927"/>
                    <w:p w14:paraId="26D7292B"/>
                    <w:p w14:paraId="7B6425B8">
                      <w:pPr>
                        <w:jc w:val="center"/>
                        <w:rPr>
                          <w:rFonts w:hAnsi="宋体"/>
                        </w:rPr>
                      </w:pPr>
                      <w:r>
                        <w:rPr>
                          <w:rFonts w:hint="eastAsia" w:hAnsi="宋体"/>
                        </w:rPr>
                        <w:t>法定代表人身份证反面</w:t>
                      </w:r>
                    </w:p>
                  </w:txbxContent>
                </v:textbox>
              </v:shape>
            </w:pict>
          </mc:Fallback>
        </mc:AlternateContent>
      </w:r>
      <w:r>
        <w:rPr>
          <w:rFonts w:hint="eastAsia" w:ascii="宋体" w:hAnsi="宋体" w:eastAsia="宋体" w:cs="宋体"/>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309245</wp:posOffset>
                </wp:positionH>
                <wp:positionV relativeFrom="paragraph">
                  <wp:posOffset>69850</wp:posOffset>
                </wp:positionV>
                <wp:extent cx="2790825" cy="1762125"/>
                <wp:effectExtent l="9525" t="9525" r="9525" b="9525"/>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790825" cy="1762125"/>
                        </a:xfrm>
                        <a:prstGeom prst="rect">
                          <a:avLst/>
                        </a:prstGeom>
                        <a:solidFill>
                          <a:srgbClr val="FFFFFF"/>
                        </a:solidFill>
                        <a:ln w="9525">
                          <a:solidFill>
                            <a:srgbClr val="000000"/>
                          </a:solidFill>
                          <a:miter lim="800000"/>
                        </a:ln>
                      </wps:spPr>
                      <wps:txbx>
                        <w:txbxContent>
                          <w:p w14:paraId="7C64BEC3"/>
                          <w:p w14:paraId="0CE73857"/>
                          <w:p w14:paraId="4056495C"/>
                          <w:p w14:paraId="3BEBB522"/>
                          <w:p w14:paraId="44D7C77C">
                            <w:pPr>
                              <w:jc w:val="center"/>
                              <w:rPr>
                                <w:rFonts w:hAnsi="宋体"/>
                              </w:rPr>
                            </w:pPr>
                            <w:r>
                              <w:rPr>
                                <w:rFonts w:hint="eastAsia" w:hAnsi="宋体"/>
                              </w:rPr>
                              <w:t>法定代表人身份证正面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4.35pt;margin-top:5.5pt;height:138.75pt;width:219.75pt;z-index:251662336;mso-width-relative:page;mso-height-relative:page;" fillcolor="#FFFFFF" filled="t" stroked="t" coordsize="21600,21600" o:gfxdata="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iu+XY2AAAAAkBAAAPAAAAAAAAAAEAIAAAACIAAABk&#10;cnMvZG93bnJldi54bWxQSwECFAAUAAAACACHTuJASNEy5j8CAACIBAAADgAAAAAAAAABACAAAAAn&#10;AQAAZHJzL2Uyb0RvYy54bWxQSwUGAAAAAAYABgBZAQAA2AUAAAAA&#10;">
                <v:fill on="t" focussize="0,0"/>
                <v:stroke color="#000000" miterlimit="8" joinstyle="miter"/>
                <v:imagedata o:title=""/>
                <o:lock v:ext="edit" aspectratio="f"/>
                <v:textbox>
                  <w:txbxContent>
                    <w:p w14:paraId="7C64BEC3"/>
                    <w:p w14:paraId="0CE73857"/>
                    <w:p w14:paraId="4056495C"/>
                    <w:p w14:paraId="3BEBB522"/>
                    <w:p w14:paraId="44D7C77C">
                      <w:pPr>
                        <w:jc w:val="center"/>
                        <w:rPr>
                          <w:rFonts w:hAnsi="宋体"/>
                        </w:rPr>
                      </w:pPr>
                      <w:r>
                        <w:rPr>
                          <w:rFonts w:hint="eastAsia" w:hAnsi="宋体"/>
                        </w:rPr>
                        <w:t>法定代表人身份证正面</w:t>
                      </w:r>
                    </w:p>
                  </w:txbxContent>
                </v:textbox>
              </v:shape>
            </w:pict>
          </mc:Fallback>
        </mc:AlternateContent>
      </w:r>
    </w:p>
    <w:p w14:paraId="74FCC38E">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1A080FCF">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1889A88C">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59F5B0D2">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2D447310">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7BB0D1F1">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5FFBE172">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4B80AEC8">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6B12D5A1">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5408" behindDoc="0" locked="0" layoutInCell="1" allowOverlap="1">
                <wp:simplePos x="0" y="0"/>
                <wp:positionH relativeFrom="column">
                  <wp:posOffset>3366770</wp:posOffset>
                </wp:positionH>
                <wp:positionV relativeFrom="paragraph">
                  <wp:posOffset>102235</wp:posOffset>
                </wp:positionV>
                <wp:extent cx="2743200" cy="1771650"/>
                <wp:effectExtent l="9525" t="13970" r="9525" b="508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743200" cy="1771650"/>
                        </a:xfrm>
                        <a:prstGeom prst="rect">
                          <a:avLst/>
                        </a:prstGeom>
                        <a:solidFill>
                          <a:srgbClr val="FFFFFF"/>
                        </a:solidFill>
                        <a:ln w="9525">
                          <a:solidFill>
                            <a:srgbClr val="000000"/>
                          </a:solidFill>
                          <a:miter lim="800000"/>
                        </a:ln>
                      </wps:spPr>
                      <wps:txbx>
                        <w:txbxContent>
                          <w:p w14:paraId="0F34BA3F"/>
                          <w:p w14:paraId="067C1850">
                            <w:pPr>
                              <w:jc w:val="center"/>
                              <w:rPr>
                                <w:rFonts w:hAnsi="宋体"/>
                                <w:color w:val="FF0000"/>
                              </w:rPr>
                            </w:pPr>
                          </w:p>
                          <w:p w14:paraId="30B68A1D">
                            <w:pPr>
                              <w:jc w:val="center"/>
                              <w:rPr>
                                <w:rFonts w:hAnsi="宋体"/>
                                <w:color w:val="FF0000"/>
                              </w:rPr>
                            </w:pPr>
                          </w:p>
                          <w:p w14:paraId="70BDC35B">
                            <w:pPr>
                              <w:jc w:val="center"/>
                              <w:rPr>
                                <w:rFonts w:hAnsi="宋体"/>
                                <w:color w:val="FF0000"/>
                              </w:rPr>
                            </w:pPr>
                          </w:p>
                          <w:p w14:paraId="422D2D68">
                            <w:pPr>
                              <w:jc w:val="center"/>
                            </w:pPr>
                            <w:r>
                              <w:rPr>
                                <w:rFonts w:hint="eastAsia" w:hAnsi="宋体"/>
                              </w:rPr>
                              <w:t>被授权人身份证反面</w:t>
                            </w:r>
                          </w:p>
                          <w:p w14:paraId="7D8114F2"/>
                          <w:p w14:paraId="069DF8C2"/>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65.1pt;margin-top:8.05pt;height:139.5pt;width:216pt;z-index:251665408;mso-width-relative:page;mso-height-relative:page;" fillcolor="#FFFFFF" filled="t" stroked="t" coordsize="21600,21600" o:gfxdata="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LYHyI9kAAAAKAQAADwAAAAAAAAABACAAAAAi&#10;AAAAZHJzL2Rvd25yZXYueG1sUEsBAhQAFAAAAAgAh07iQDsUtmVCAgAAiAQAAA4AAAAAAAAAAQAg&#10;AAAAKAEAAGRycy9lMm9Eb2MueG1sUEsFBgAAAAAGAAYAWQEAANwFAAAAAA==&#10;">
                <v:fill on="t" focussize="0,0"/>
                <v:stroke color="#000000" miterlimit="8" joinstyle="miter"/>
                <v:imagedata o:title=""/>
                <o:lock v:ext="edit" aspectratio="f"/>
                <v:textbox>
                  <w:txbxContent>
                    <w:p w14:paraId="0F34BA3F"/>
                    <w:p w14:paraId="067C1850">
                      <w:pPr>
                        <w:jc w:val="center"/>
                        <w:rPr>
                          <w:rFonts w:hAnsi="宋体"/>
                          <w:color w:val="FF0000"/>
                        </w:rPr>
                      </w:pPr>
                    </w:p>
                    <w:p w14:paraId="30B68A1D">
                      <w:pPr>
                        <w:jc w:val="center"/>
                        <w:rPr>
                          <w:rFonts w:hAnsi="宋体"/>
                          <w:color w:val="FF0000"/>
                        </w:rPr>
                      </w:pPr>
                    </w:p>
                    <w:p w14:paraId="70BDC35B">
                      <w:pPr>
                        <w:jc w:val="center"/>
                        <w:rPr>
                          <w:rFonts w:hAnsi="宋体"/>
                          <w:color w:val="FF0000"/>
                        </w:rPr>
                      </w:pPr>
                    </w:p>
                    <w:p w14:paraId="422D2D68">
                      <w:pPr>
                        <w:jc w:val="center"/>
                      </w:pPr>
                      <w:r>
                        <w:rPr>
                          <w:rFonts w:hint="eastAsia" w:hAnsi="宋体"/>
                        </w:rPr>
                        <w:t>被授权人身份证反面</w:t>
                      </w:r>
                    </w:p>
                    <w:p w14:paraId="7D8114F2"/>
                    <w:p w14:paraId="069DF8C2"/>
                  </w:txbxContent>
                </v:textbox>
              </v:shape>
            </w:pict>
          </mc:Fallback>
        </mc:AlternateContent>
      </w:r>
      <w:r>
        <w:rPr>
          <w:rFonts w:hint="eastAsia" w:ascii="宋体" w:hAnsi="宋体" w:eastAsia="宋体" w:cs="宋体"/>
          <w:color w:val="auto"/>
          <w:szCs w:val="21"/>
          <w:highlight w:val="none"/>
        </w:rPr>
        <mc:AlternateContent>
          <mc:Choice Requires="wps">
            <w:drawing>
              <wp:anchor distT="0" distB="0" distL="114300" distR="114300" simplePos="0" relativeHeight="251663360" behindDoc="0" locked="0" layoutInCell="1" allowOverlap="1">
                <wp:simplePos x="0" y="0"/>
                <wp:positionH relativeFrom="column">
                  <wp:posOffset>309245</wp:posOffset>
                </wp:positionH>
                <wp:positionV relativeFrom="paragraph">
                  <wp:posOffset>102235</wp:posOffset>
                </wp:positionV>
                <wp:extent cx="2743200" cy="1771650"/>
                <wp:effectExtent l="9525" t="13970" r="9525" b="508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2743200" cy="1771650"/>
                        </a:xfrm>
                        <a:prstGeom prst="rect">
                          <a:avLst/>
                        </a:prstGeom>
                        <a:solidFill>
                          <a:srgbClr val="FFFFFF"/>
                        </a:solidFill>
                        <a:ln w="9525">
                          <a:solidFill>
                            <a:srgbClr val="000000"/>
                          </a:solidFill>
                          <a:miter lim="800000"/>
                        </a:ln>
                      </wps:spPr>
                      <wps:txbx>
                        <w:txbxContent>
                          <w:p w14:paraId="49BED639"/>
                          <w:p w14:paraId="250666FD">
                            <w:pPr>
                              <w:jc w:val="center"/>
                              <w:rPr>
                                <w:rFonts w:hAnsi="宋体"/>
                                <w:color w:val="FF0000"/>
                              </w:rPr>
                            </w:pPr>
                          </w:p>
                          <w:p w14:paraId="4EC1E675">
                            <w:pPr>
                              <w:jc w:val="center"/>
                              <w:rPr>
                                <w:rFonts w:hAnsi="宋体"/>
                                <w:color w:val="FF0000"/>
                              </w:rPr>
                            </w:pPr>
                          </w:p>
                          <w:p w14:paraId="18805808">
                            <w:pPr>
                              <w:jc w:val="center"/>
                              <w:rPr>
                                <w:rFonts w:hAnsi="宋体"/>
                                <w:color w:val="FF0000"/>
                              </w:rPr>
                            </w:pPr>
                          </w:p>
                          <w:p w14:paraId="1D7C9C7A">
                            <w:pPr>
                              <w:jc w:val="center"/>
                            </w:pPr>
                            <w:r>
                              <w:rPr>
                                <w:rFonts w:hint="eastAsia" w:hAnsi="宋体"/>
                              </w:rPr>
                              <w:t>被授权人身份证正面</w:t>
                            </w:r>
                          </w:p>
                          <w:p w14:paraId="4EA93F2E"/>
                          <w:p w14:paraId="4E572BA1"/>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4.35pt;margin-top:8.05pt;height:139.5pt;width:216pt;z-index:251663360;mso-width-relative:page;mso-height-relative:page;" fillcolor="#FFFFFF" filled="t" stroked="t" coordsize="21600,21600" o:gfxdata="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LFRAn2AAAAAkBAAAPAAAAAAAAAAEAIAAA&#10;ACIAAABkcnMvZG93bnJldi54bWxQSwECFAAUAAAACACHTuJAY+kGYEUCAACIBAAADgAAAAAAAAAB&#10;ACAAAAAnAQAAZHJzL2Uyb0RvYy54bWxQSwUGAAAAAAYABgBZAQAA3gUAAAAA&#10;">
                <v:fill on="t" focussize="0,0"/>
                <v:stroke color="#000000" miterlimit="8" joinstyle="miter"/>
                <v:imagedata o:title=""/>
                <o:lock v:ext="edit" aspectratio="f"/>
                <v:textbox>
                  <w:txbxContent>
                    <w:p w14:paraId="49BED639"/>
                    <w:p w14:paraId="250666FD">
                      <w:pPr>
                        <w:jc w:val="center"/>
                        <w:rPr>
                          <w:rFonts w:hAnsi="宋体"/>
                          <w:color w:val="FF0000"/>
                        </w:rPr>
                      </w:pPr>
                    </w:p>
                    <w:p w14:paraId="4EC1E675">
                      <w:pPr>
                        <w:jc w:val="center"/>
                        <w:rPr>
                          <w:rFonts w:hAnsi="宋体"/>
                          <w:color w:val="FF0000"/>
                        </w:rPr>
                      </w:pPr>
                    </w:p>
                    <w:p w14:paraId="18805808">
                      <w:pPr>
                        <w:jc w:val="center"/>
                        <w:rPr>
                          <w:rFonts w:hAnsi="宋体"/>
                          <w:color w:val="FF0000"/>
                        </w:rPr>
                      </w:pPr>
                    </w:p>
                    <w:p w14:paraId="1D7C9C7A">
                      <w:pPr>
                        <w:jc w:val="center"/>
                      </w:pPr>
                      <w:r>
                        <w:rPr>
                          <w:rFonts w:hint="eastAsia" w:hAnsi="宋体"/>
                        </w:rPr>
                        <w:t>被授权人身份证正面</w:t>
                      </w:r>
                    </w:p>
                    <w:p w14:paraId="4EA93F2E"/>
                    <w:p w14:paraId="4E572BA1"/>
                  </w:txbxContent>
                </v:textbox>
              </v:shape>
            </w:pict>
          </mc:Fallback>
        </mc:AlternateContent>
      </w:r>
    </w:p>
    <w:p w14:paraId="4CB2D118">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036BE336">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55C549BD">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715D197F">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712739A8">
      <w:pPr>
        <w:widowControl/>
        <w:autoSpaceDE w:val="0"/>
        <w:autoSpaceDN w:val="0"/>
        <w:spacing w:before="120" w:after="120" w:line="360" w:lineRule="auto"/>
        <w:ind w:right="781" w:rightChars="372" w:firstLine="420" w:firstLineChars="200"/>
        <w:textAlignment w:val="bottom"/>
        <w:rPr>
          <w:rFonts w:hint="eastAsia" w:ascii="宋体" w:hAnsi="宋体" w:eastAsia="宋体" w:cs="宋体"/>
          <w:color w:val="auto"/>
          <w:szCs w:val="24"/>
          <w:highlight w:val="none"/>
        </w:rPr>
      </w:pPr>
    </w:p>
    <w:p w14:paraId="0954BB2C">
      <w:pPr>
        <w:widowControl/>
        <w:autoSpaceDE w:val="0"/>
        <w:autoSpaceDN w:val="0"/>
        <w:spacing w:before="120" w:after="120" w:line="360" w:lineRule="auto"/>
        <w:ind w:right="781" w:rightChars="372" w:firstLine="422" w:firstLineChars="200"/>
        <w:textAlignment w:val="bottom"/>
        <w:rPr>
          <w:rFonts w:hint="eastAsia" w:ascii="宋体" w:hAnsi="宋体" w:eastAsia="宋体" w:cs="宋体"/>
          <w:b/>
          <w:color w:val="auto"/>
          <w:szCs w:val="24"/>
          <w:highlight w:val="none"/>
        </w:rPr>
        <w:sectPr>
          <w:footerReference r:id="rId13" w:type="first"/>
          <w:footerReference r:id="rId12" w:type="default"/>
          <w:pgSz w:w="12240" w:h="15840"/>
          <w:pgMar w:top="1191" w:right="1043" w:bottom="1191" w:left="1043" w:header="720" w:footer="720" w:gutter="0"/>
          <w:pgNumType w:fmt="decimal"/>
          <w:cols w:space="720" w:num="1"/>
          <w:titlePg/>
          <w:docGrid w:linePitch="326" w:charSpace="0"/>
        </w:sectPr>
      </w:pPr>
      <w:r>
        <w:rPr>
          <w:rFonts w:hint="eastAsia" w:ascii="宋体" w:hAnsi="宋体" w:eastAsia="宋体" w:cs="宋体"/>
          <w:b/>
          <w:color w:val="auto"/>
          <w:szCs w:val="24"/>
          <w:highlight w:val="none"/>
        </w:rPr>
        <w:t>注：上述所附身份证应在有效期限内。</w:t>
      </w:r>
    </w:p>
    <w:p w14:paraId="6F082ABC">
      <w:pPr>
        <w:keepNext w:val="0"/>
        <w:keepLines w:val="0"/>
        <w:pageBreakBefore w:val="0"/>
        <w:widowControl/>
        <w:tabs>
          <w:tab w:val="left" w:pos="567"/>
        </w:tabs>
        <w:kinsoku/>
        <w:wordWrap/>
        <w:overflowPunct/>
        <w:topLinePunct w:val="0"/>
        <w:autoSpaceDE w:val="0"/>
        <w:autoSpaceDN w:val="0"/>
        <w:bidi w:val="0"/>
        <w:adjustRightInd w:val="0"/>
        <w:snapToGrid/>
        <w:spacing w:line="360" w:lineRule="auto"/>
        <w:jc w:val="left"/>
        <w:textAlignment w:val="auto"/>
        <w:outlineLvl w:val="2"/>
        <w:rPr>
          <w:rFonts w:hint="eastAsia" w:ascii="宋体" w:hAnsi="宋体" w:eastAsia="宋体" w:cs="宋体"/>
          <w:b/>
          <w:color w:val="auto"/>
          <w:kern w:val="0"/>
          <w:sz w:val="30"/>
          <w:szCs w:val="30"/>
          <w:highlight w:val="none"/>
          <w:lang w:val="en-US" w:eastAsia="zh-CN"/>
        </w:rPr>
      </w:pPr>
      <w:bookmarkStart w:id="561" w:name="_Toc12400"/>
      <w:bookmarkStart w:id="562" w:name="_Toc15716"/>
      <w:bookmarkStart w:id="563" w:name="_Toc32328"/>
      <w:bookmarkStart w:id="564" w:name="_Toc1743789882"/>
      <w:bookmarkStart w:id="565" w:name="_Toc142508373"/>
      <w:bookmarkStart w:id="566" w:name="_Toc104991880"/>
      <w:bookmarkStart w:id="567" w:name="_Toc140596933"/>
      <w:bookmarkStart w:id="568" w:name="_Toc1977730"/>
      <w:bookmarkStart w:id="569" w:name="_Toc94107214"/>
      <w:r>
        <w:rPr>
          <w:rFonts w:hint="eastAsia" w:ascii="宋体" w:hAnsi="宋体" w:eastAsia="宋体" w:cs="宋体"/>
          <w:b/>
          <w:color w:val="auto"/>
          <w:kern w:val="0"/>
          <w:sz w:val="30"/>
          <w:szCs w:val="30"/>
          <w:highlight w:val="none"/>
          <w:lang w:val="en-US" w:eastAsia="zh-CN"/>
        </w:rPr>
        <w:t xml:space="preserve">5.4 </w:t>
      </w:r>
      <w:bookmarkEnd w:id="561"/>
      <w:bookmarkEnd w:id="562"/>
      <w:bookmarkEnd w:id="563"/>
      <w:bookmarkStart w:id="570" w:name="_Toc8121"/>
      <w:bookmarkStart w:id="571" w:name="_Toc21843"/>
      <w:bookmarkStart w:id="572" w:name="_Toc7508"/>
      <w:r>
        <w:rPr>
          <w:rFonts w:hint="eastAsia" w:ascii="宋体" w:hAnsi="宋体" w:eastAsia="宋体" w:cs="宋体"/>
          <w:b/>
          <w:color w:val="auto"/>
          <w:kern w:val="0"/>
          <w:sz w:val="30"/>
          <w:szCs w:val="30"/>
          <w:highlight w:val="none"/>
          <w:lang w:val="zh-CN" w:eastAsia="zh-CN"/>
        </w:rPr>
        <w:t>供应商须具有包含</w:t>
      </w:r>
      <w:r>
        <w:rPr>
          <w:rFonts w:hint="eastAsia" w:ascii="宋体" w:hAnsi="宋体" w:eastAsia="宋体" w:cs="宋体"/>
          <w:b/>
          <w:color w:val="auto"/>
          <w:kern w:val="0"/>
          <w:sz w:val="30"/>
          <w:szCs w:val="30"/>
          <w:highlight w:val="none"/>
          <w:lang w:val="en-US" w:eastAsia="zh-CN"/>
        </w:rPr>
        <w:t>危险废物</w:t>
      </w:r>
      <w:r>
        <w:rPr>
          <w:rFonts w:hint="eastAsia" w:ascii="宋体" w:hAnsi="宋体" w:eastAsia="宋体" w:cs="宋体"/>
          <w:b/>
          <w:color w:val="auto"/>
          <w:kern w:val="0"/>
          <w:sz w:val="30"/>
          <w:szCs w:val="30"/>
          <w:highlight w:val="none"/>
          <w:lang w:val="zh-CN" w:eastAsia="zh-CN"/>
        </w:rPr>
        <w:t>代码772-006-49类目的有效</w:t>
      </w:r>
      <w:r>
        <w:rPr>
          <w:rFonts w:hint="eastAsia" w:ascii="宋体" w:hAnsi="宋体" w:eastAsia="宋体" w:cs="宋体"/>
          <w:b/>
          <w:color w:val="auto"/>
          <w:kern w:val="0"/>
          <w:sz w:val="30"/>
          <w:szCs w:val="30"/>
          <w:highlight w:val="none"/>
          <w:lang w:val="en-US" w:eastAsia="zh-CN"/>
        </w:rPr>
        <w:t>期内的</w:t>
      </w:r>
      <w:r>
        <w:rPr>
          <w:rFonts w:hint="eastAsia" w:ascii="宋体" w:hAnsi="宋体" w:eastAsia="宋体" w:cs="宋体"/>
          <w:b/>
          <w:color w:val="auto"/>
          <w:kern w:val="0"/>
          <w:sz w:val="30"/>
          <w:szCs w:val="30"/>
          <w:highlight w:val="none"/>
          <w:lang w:val="zh-CN" w:eastAsia="zh-CN"/>
        </w:rPr>
        <w:t>《危险废物经营许可证》</w:t>
      </w:r>
      <w:r>
        <w:rPr>
          <w:rFonts w:hint="eastAsia" w:ascii="宋体" w:hAnsi="宋体" w:eastAsia="宋体" w:cs="宋体"/>
          <w:b/>
          <w:color w:val="auto"/>
          <w:kern w:val="0"/>
          <w:sz w:val="30"/>
          <w:szCs w:val="30"/>
          <w:highlight w:val="none"/>
          <w:lang w:val="en-US" w:eastAsia="zh-CN"/>
        </w:rPr>
        <w:br w:type="page"/>
      </w:r>
      <w:bookmarkEnd w:id="564"/>
    </w:p>
    <w:p w14:paraId="78385C56">
      <w:pPr>
        <w:tabs>
          <w:tab w:val="left" w:pos="567"/>
        </w:tabs>
        <w:autoSpaceDE w:val="0"/>
        <w:autoSpaceDN w:val="0"/>
        <w:adjustRightInd w:val="0"/>
        <w:spacing w:line="360" w:lineRule="auto"/>
        <w:jc w:val="left"/>
        <w:outlineLvl w:val="2"/>
        <w:rPr>
          <w:rFonts w:hint="eastAsia" w:ascii="宋体" w:hAnsi="宋体" w:eastAsia="宋体" w:cs="宋体"/>
          <w:b/>
          <w:bCs/>
          <w:color w:val="auto"/>
          <w:sz w:val="32"/>
          <w:szCs w:val="32"/>
          <w:highlight w:val="none"/>
          <w:lang w:val="zh-CN"/>
        </w:rPr>
      </w:pPr>
      <w:bookmarkStart w:id="573" w:name="_Toc1115546257"/>
      <w:bookmarkStart w:id="574" w:name="_Toc743"/>
      <w:r>
        <w:rPr>
          <w:rFonts w:hint="eastAsia" w:ascii="宋体" w:hAnsi="宋体" w:eastAsia="宋体" w:cs="宋体"/>
          <w:b/>
          <w:color w:val="auto"/>
          <w:kern w:val="0"/>
          <w:sz w:val="30"/>
          <w:szCs w:val="30"/>
          <w:highlight w:val="none"/>
          <w:lang w:val="en-US" w:eastAsia="zh-CN"/>
        </w:rPr>
        <w:t>5.</w:t>
      </w:r>
      <w:r>
        <w:rPr>
          <w:rFonts w:hint="default" w:ascii="宋体" w:hAnsi="宋体" w:eastAsia="宋体" w:cs="宋体"/>
          <w:b/>
          <w:color w:val="auto"/>
          <w:kern w:val="0"/>
          <w:sz w:val="30"/>
          <w:szCs w:val="30"/>
          <w:highlight w:val="none"/>
          <w:lang w:val="en-US" w:eastAsia="zh-CN"/>
        </w:rPr>
        <w:t>5</w:t>
      </w:r>
      <w:r>
        <w:rPr>
          <w:rFonts w:hint="eastAsia" w:ascii="宋体" w:hAnsi="宋体" w:eastAsia="宋体" w:cs="宋体"/>
          <w:b/>
          <w:color w:val="auto"/>
          <w:kern w:val="0"/>
          <w:sz w:val="30"/>
          <w:szCs w:val="30"/>
          <w:highlight w:val="none"/>
          <w:lang w:val="en-US" w:eastAsia="zh-CN"/>
        </w:rPr>
        <w:t xml:space="preserve"> </w:t>
      </w:r>
      <w:r>
        <w:rPr>
          <w:rFonts w:hint="eastAsia" w:ascii="宋体" w:hAnsi="宋体" w:eastAsia="宋体" w:cs="宋体"/>
          <w:b/>
          <w:color w:val="auto"/>
          <w:kern w:val="0"/>
          <w:sz w:val="30"/>
          <w:szCs w:val="30"/>
          <w:highlight w:val="none"/>
        </w:rPr>
        <w:t>最近3年</w:t>
      </w:r>
      <w:r>
        <w:rPr>
          <w:rFonts w:hint="eastAsia" w:ascii="宋体" w:hAnsi="宋体" w:eastAsia="宋体" w:cs="宋体"/>
          <w:b/>
          <w:color w:val="auto"/>
          <w:kern w:val="0"/>
          <w:sz w:val="30"/>
          <w:szCs w:val="30"/>
          <w:highlight w:val="none"/>
          <w:lang w:eastAsia="zh-CN"/>
        </w:rPr>
        <w:t>供应商</w:t>
      </w:r>
      <w:r>
        <w:rPr>
          <w:rFonts w:hint="eastAsia" w:ascii="宋体" w:hAnsi="宋体" w:eastAsia="宋体" w:cs="宋体"/>
          <w:b/>
          <w:color w:val="auto"/>
          <w:kern w:val="0"/>
          <w:sz w:val="30"/>
          <w:szCs w:val="30"/>
          <w:highlight w:val="none"/>
        </w:rPr>
        <w:t>牵涉的其他（失信和违法）处罚说明格式</w:t>
      </w:r>
      <w:bookmarkEnd w:id="565"/>
      <w:bookmarkEnd w:id="566"/>
      <w:bookmarkEnd w:id="567"/>
      <w:bookmarkEnd w:id="568"/>
      <w:bookmarkEnd w:id="569"/>
      <w:bookmarkEnd w:id="570"/>
      <w:bookmarkEnd w:id="571"/>
      <w:bookmarkEnd w:id="572"/>
      <w:bookmarkEnd w:id="573"/>
      <w:bookmarkEnd w:id="574"/>
    </w:p>
    <w:p w14:paraId="167B6AF8">
      <w:pPr>
        <w:autoSpaceDE w:val="0"/>
        <w:autoSpaceDN w:val="0"/>
        <w:adjustRightIn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b/>
          <w:color w:val="auto"/>
          <w:kern w:val="0"/>
          <w:sz w:val="30"/>
          <w:szCs w:val="30"/>
          <w:highlight w:val="none"/>
        </w:rPr>
        <w:t>最近3年</w:t>
      </w:r>
      <w:r>
        <w:rPr>
          <w:rFonts w:hint="eastAsia" w:ascii="宋体" w:hAnsi="宋体" w:eastAsia="宋体" w:cs="宋体"/>
          <w:b/>
          <w:color w:val="auto"/>
          <w:kern w:val="0"/>
          <w:sz w:val="30"/>
          <w:szCs w:val="30"/>
          <w:highlight w:val="none"/>
          <w:lang w:eastAsia="zh-CN"/>
        </w:rPr>
        <w:t>供应商</w:t>
      </w:r>
      <w:r>
        <w:rPr>
          <w:rFonts w:hint="eastAsia" w:ascii="宋体" w:hAnsi="宋体" w:eastAsia="宋体" w:cs="宋体"/>
          <w:b/>
          <w:color w:val="auto"/>
          <w:kern w:val="0"/>
          <w:sz w:val="30"/>
          <w:szCs w:val="30"/>
          <w:highlight w:val="none"/>
        </w:rPr>
        <w:t>牵涉的其他（失信和违法）</w:t>
      </w:r>
      <w:r>
        <w:rPr>
          <w:rFonts w:hint="eastAsia" w:ascii="宋体" w:hAnsi="宋体" w:eastAsia="宋体" w:cs="宋体"/>
          <w:b/>
          <w:bCs/>
          <w:color w:val="auto"/>
          <w:sz w:val="32"/>
          <w:szCs w:val="32"/>
          <w:highlight w:val="none"/>
          <w:lang w:val="zh-CN"/>
        </w:rPr>
        <w:t>处罚说明</w:t>
      </w:r>
    </w:p>
    <w:tbl>
      <w:tblPr>
        <w:tblStyle w:val="36"/>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3"/>
        <w:gridCol w:w="1417"/>
        <w:gridCol w:w="2268"/>
        <w:gridCol w:w="1276"/>
      </w:tblGrid>
      <w:tr w14:paraId="6180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4253" w:type="dxa"/>
            <w:vAlign w:val="center"/>
          </w:tcPr>
          <w:p w14:paraId="5308EF24">
            <w:pPr>
              <w:autoSpaceDE w:val="0"/>
              <w:autoSpaceDN w:val="0"/>
              <w:adjustRightInd w:val="0"/>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事项名称</w:t>
            </w:r>
          </w:p>
        </w:tc>
        <w:tc>
          <w:tcPr>
            <w:tcW w:w="1417" w:type="dxa"/>
            <w:vAlign w:val="center"/>
          </w:tcPr>
          <w:p w14:paraId="3138FF83">
            <w:pPr>
              <w:autoSpaceDE w:val="0"/>
              <w:autoSpaceDN w:val="0"/>
              <w:adjustRightInd w:val="0"/>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认定时间</w:t>
            </w:r>
          </w:p>
        </w:tc>
        <w:tc>
          <w:tcPr>
            <w:tcW w:w="2268" w:type="dxa"/>
            <w:vAlign w:val="center"/>
          </w:tcPr>
          <w:p w14:paraId="31ACFFBB">
            <w:pPr>
              <w:autoSpaceDE w:val="0"/>
              <w:autoSpaceDN w:val="0"/>
              <w:adjustRightInd w:val="0"/>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处罚期届满异常名录信息失效时间</w:t>
            </w:r>
          </w:p>
        </w:tc>
        <w:tc>
          <w:tcPr>
            <w:tcW w:w="1276" w:type="dxa"/>
            <w:vAlign w:val="center"/>
          </w:tcPr>
          <w:p w14:paraId="1D74794B">
            <w:pPr>
              <w:autoSpaceDE w:val="0"/>
              <w:autoSpaceDN w:val="0"/>
              <w:adjustRightInd w:val="0"/>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w:t>
            </w:r>
          </w:p>
        </w:tc>
      </w:tr>
      <w:tr w14:paraId="6ABA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253" w:type="dxa"/>
            <w:vAlign w:val="center"/>
          </w:tcPr>
          <w:p w14:paraId="4931A1CE">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是否被认定为失信被执行人</w:t>
            </w:r>
          </w:p>
        </w:tc>
        <w:tc>
          <w:tcPr>
            <w:tcW w:w="1417" w:type="dxa"/>
            <w:vAlign w:val="center"/>
          </w:tcPr>
          <w:p w14:paraId="714BEE77">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268" w:type="dxa"/>
            <w:vAlign w:val="center"/>
          </w:tcPr>
          <w:p w14:paraId="54E92E56">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1276" w:type="dxa"/>
            <w:vAlign w:val="center"/>
          </w:tcPr>
          <w:p w14:paraId="02DE442C">
            <w:pPr>
              <w:autoSpaceDE w:val="0"/>
              <w:autoSpaceDN w:val="0"/>
              <w:adjustRightInd w:val="0"/>
              <w:spacing w:line="360" w:lineRule="auto"/>
              <w:jc w:val="center"/>
              <w:rPr>
                <w:rFonts w:hint="eastAsia" w:ascii="宋体" w:hAnsi="宋体" w:eastAsia="宋体" w:cs="宋体"/>
                <w:color w:val="auto"/>
                <w:kern w:val="0"/>
                <w:szCs w:val="21"/>
                <w:highlight w:val="none"/>
              </w:rPr>
            </w:pPr>
          </w:p>
        </w:tc>
      </w:tr>
      <w:tr w14:paraId="70CD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253" w:type="dxa"/>
            <w:vAlign w:val="center"/>
          </w:tcPr>
          <w:p w14:paraId="0CDB7633">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是否被认定为重大税收违法失信主体</w:t>
            </w:r>
          </w:p>
        </w:tc>
        <w:tc>
          <w:tcPr>
            <w:tcW w:w="1417" w:type="dxa"/>
            <w:vAlign w:val="center"/>
          </w:tcPr>
          <w:p w14:paraId="50F0FF74">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268" w:type="dxa"/>
            <w:vAlign w:val="center"/>
          </w:tcPr>
          <w:p w14:paraId="70B1D458">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1276" w:type="dxa"/>
            <w:vAlign w:val="center"/>
          </w:tcPr>
          <w:p w14:paraId="278AE8E3">
            <w:pPr>
              <w:autoSpaceDE w:val="0"/>
              <w:autoSpaceDN w:val="0"/>
              <w:adjustRightInd w:val="0"/>
              <w:spacing w:line="360" w:lineRule="auto"/>
              <w:jc w:val="center"/>
              <w:rPr>
                <w:rFonts w:hint="eastAsia" w:ascii="宋体" w:hAnsi="宋体" w:eastAsia="宋体" w:cs="宋体"/>
                <w:color w:val="auto"/>
                <w:kern w:val="0"/>
                <w:szCs w:val="21"/>
                <w:highlight w:val="none"/>
              </w:rPr>
            </w:pPr>
          </w:p>
        </w:tc>
      </w:tr>
      <w:tr w14:paraId="030D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4253" w:type="dxa"/>
            <w:vAlign w:val="center"/>
          </w:tcPr>
          <w:p w14:paraId="1F51E9F2">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是否被认定为</w:t>
            </w:r>
            <w:r>
              <w:rPr>
                <w:rFonts w:hint="eastAsia" w:ascii="宋体" w:hAnsi="宋体" w:eastAsia="宋体" w:cs="宋体"/>
                <w:color w:val="auto"/>
                <w:kern w:val="0"/>
                <w:szCs w:val="21"/>
                <w:highlight w:val="none"/>
                <w:lang w:val="en-US" w:eastAsia="zh-CN"/>
              </w:rPr>
              <w:t>政府采购</w:t>
            </w:r>
            <w:r>
              <w:rPr>
                <w:rFonts w:hint="eastAsia" w:ascii="宋体" w:hAnsi="宋体" w:eastAsia="宋体" w:cs="宋体"/>
                <w:color w:val="auto"/>
                <w:kern w:val="0"/>
                <w:szCs w:val="21"/>
                <w:highlight w:val="none"/>
              </w:rPr>
              <w:t>严重违法失信行为记录名单</w:t>
            </w:r>
          </w:p>
        </w:tc>
        <w:tc>
          <w:tcPr>
            <w:tcW w:w="1417" w:type="dxa"/>
            <w:vAlign w:val="center"/>
          </w:tcPr>
          <w:p w14:paraId="09599782">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268" w:type="dxa"/>
            <w:vAlign w:val="center"/>
          </w:tcPr>
          <w:p w14:paraId="094CC2FC">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1276" w:type="dxa"/>
            <w:vAlign w:val="center"/>
          </w:tcPr>
          <w:p w14:paraId="310F3342">
            <w:pPr>
              <w:autoSpaceDE w:val="0"/>
              <w:autoSpaceDN w:val="0"/>
              <w:adjustRightInd w:val="0"/>
              <w:spacing w:line="360" w:lineRule="auto"/>
              <w:jc w:val="center"/>
              <w:rPr>
                <w:rFonts w:hint="eastAsia" w:ascii="宋体" w:hAnsi="宋体" w:eastAsia="宋体" w:cs="宋体"/>
                <w:color w:val="auto"/>
                <w:kern w:val="0"/>
                <w:szCs w:val="21"/>
                <w:highlight w:val="none"/>
              </w:rPr>
            </w:pPr>
          </w:p>
        </w:tc>
      </w:tr>
      <w:tr w14:paraId="5EB3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4253" w:type="dxa"/>
            <w:vAlign w:val="center"/>
          </w:tcPr>
          <w:p w14:paraId="79BD6AF1">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是否被行政监督部门列入限制投标(或报价)</w:t>
            </w:r>
          </w:p>
          <w:p w14:paraId="2E15D580">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名单或被禁止参与采购活动(处罚期满除外)</w:t>
            </w:r>
          </w:p>
        </w:tc>
        <w:tc>
          <w:tcPr>
            <w:tcW w:w="1417" w:type="dxa"/>
            <w:vAlign w:val="center"/>
          </w:tcPr>
          <w:p w14:paraId="422F9E2E">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268" w:type="dxa"/>
            <w:vAlign w:val="center"/>
          </w:tcPr>
          <w:p w14:paraId="027C9319">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1276" w:type="dxa"/>
            <w:vAlign w:val="center"/>
          </w:tcPr>
          <w:p w14:paraId="04BCF060">
            <w:pPr>
              <w:autoSpaceDE w:val="0"/>
              <w:autoSpaceDN w:val="0"/>
              <w:adjustRightInd w:val="0"/>
              <w:spacing w:line="360" w:lineRule="auto"/>
              <w:jc w:val="center"/>
              <w:rPr>
                <w:rFonts w:hint="eastAsia" w:ascii="宋体" w:hAnsi="宋体" w:eastAsia="宋体" w:cs="宋体"/>
                <w:color w:val="auto"/>
                <w:kern w:val="0"/>
                <w:szCs w:val="21"/>
                <w:highlight w:val="none"/>
              </w:rPr>
            </w:pPr>
          </w:p>
        </w:tc>
      </w:tr>
    </w:tbl>
    <w:p w14:paraId="6D4B63A7">
      <w:pPr>
        <w:autoSpaceDE w:val="0"/>
        <w:autoSpaceDN w:val="0"/>
        <w:adjustRightInd w:val="0"/>
        <w:spacing w:line="360" w:lineRule="auto"/>
        <w:jc w:val="left"/>
        <w:rPr>
          <w:rFonts w:hint="eastAsia" w:ascii="宋体" w:hAnsi="宋体" w:eastAsia="宋体" w:cs="宋体"/>
          <w:color w:val="auto"/>
          <w:kern w:val="0"/>
          <w:szCs w:val="21"/>
          <w:highlight w:val="none"/>
        </w:rPr>
      </w:pPr>
    </w:p>
    <w:p w14:paraId="53BBFA2A">
      <w:pPr>
        <w:autoSpaceDE w:val="0"/>
        <w:autoSpaceDN w:val="0"/>
        <w:adjustRightInd w:val="0"/>
        <w:spacing w:line="360" w:lineRule="auto"/>
        <w:jc w:val="left"/>
        <w:rPr>
          <w:rFonts w:hint="eastAsia" w:ascii="宋体" w:hAnsi="宋体" w:eastAsia="宋体" w:cs="宋体"/>
          <w:color w:val="auto"/>
          <w:szCs w:val="21"/>
          <w:highlight w:val="none"/>
          <w:lang w:val="zh-CN"/>
        </w:rPr>
      </w:pPr>
      <w:r>
        <w:rPr>
          <w:rFonts w:hint="eastAsia" w:ascii="宋体" w:hAnsi="宋体" w:eastAsia="宋体" w:cs="宋体"/>
          <w:color w:val="auto"/>
          <w:kern w:val="0"/>
          <w:szCs w:val="21"/>
          <w:highlight w:val="none"/>
        </w:rPr>
        <w:t>备注：根据</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及其不具有独立法人资格的分支机构的实际情况自行编写，无相关事项的，在 “认定时间”列填“无”；若受到相关处罚的应附处罚相关材料复印件；若出现相关处罚的处罚期满，但处罚公示没有及时更新的情况，</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须提供相关材料(复印件)佐证，需原件备查</w:t>
      </w:r>
      <w:r>
        <w:rPr>
          <w:rFonts w:hint="eastAsia" w:ascii="宋体" w:hAnsi="宋体" w:eastAsia="宋体" w:cs="宋体"/>
          <w:color w:val="auto"/>
          <w:szCs w:val="21"/>
          <w:highlight w:val="none"/>
          <w:lang w:val="zh-CN"/>
        </w:rPr>
        <w:t>。</w:t>
      </w:r>
    </w:p>
    <w:p w14:paraId="7B154FAC">
      <w:pPr>
        <w:autoSpaceDE w:val="0"/>
        <w:autoSpaceDN w:val="0"/>
        <w:adjustRightInd w:val="0"/>
        <w:ind w:right="-23" w:rightChars="-11"/>
        <w:jc w:val="left"/>
        <w:rPr>
          <w:rFonts w:hint="eastAsia" w:ascii="宋体" w:hAnsi="宋体" w:eastAsia="宋体" w:cs="宋体"/>
          <w:b/>
          <w:bCs/>
          <w:color w:val="auto"/>
          <w:kern w:val="0"/>
          <w:szCs w:val="21"/>
          <w:highlight w:val="none"/>
          <w:lang w:val="zh-CN"/>
        </w:rPr>
      </w:pPr>
    </w:p>
    <w:p w14:paraId="429802A3">
      <w:pPr>
        <w:autoSpaceDE w:val="0"/>
        <w:autoSpaceDN w:val="0"/>
        <w:adjustRightInd w:val="0"/>
        <w:spacing w:line="360" w:lineRule="auto"/>
        <w:jc w:val="center"/>
        <w:rPr>
          <w:rFonts w:hint="eastAsia" w:ascii="宋体" w:hAnsi="宋体" w:eastAsia="宋体" w:cs="宋体"/>
          <w:color w:val="auto"/>
          <w:kern w:val="0"/>
          <w:sz w:val="24"/>
          <w:szCs w:val="24"/>
          <w:highlight w:val="none"/>
        </w:rPr>
      </w:pPr>
    </w:p>
    <w:p w14:paraId="51573695">
      <w:pPr>
        <w:spacing w:line="360" w:lineRule="auto"/>
        <w:ind w:firstLine="494" w:firstLineChars="206"/>
        <w:rPr>
          <w:rFonts w:hint="eastAsia" w:ascii="宋体" w:hAnsi="宋体" w:eastAsia="宋体" w:cs="宋体"/>
          <w:color w:val="auto"/>
          <w:kern w:val="0"/>
          <w:sz w:val="24"/>
          <w:szCs w:val="24"/>
          <w:highlight w:val="none"/>
        </w:rPr>
      </w:pPr>
    </w:p>
    <w:p w14:paraId="1C609D8A">
      <w:pPr>
        <w:spacing w:line="360" w:lineRule="auto"/>
        <w:ind w:firstLine="494" w:firstLineChars="206"/>
        <w:rPr>
          <w:rFonts w:hint="eastAsia" w:ascii="宋体" w:hAnsi="宋体" w:eastAsia="宋体" w:cs="宋体"/>
          <w:color w:val="auto"/>
          <w:kern w:val="0"/>
          <w:sz w:val="24"/>
          <w:szCs w:val="24"/>
          <w:highlight w:val="none"/>
        </w:rPr>
      </w:pPr>
    </w:p>
    <w:p w14:paraId="3F7D85B6">
      <w:pPr>
        <w:spacing w:line="360" w:lineRule="auto"/>
        <w:ind w:firstLine="494" w:firstLineChars="206"/>
        <w:rPr>
          <w:rFonts w:hint="eastAsia" w:ascii="宋体" w:hAnsi="宋体" w:eastAsia="宋体" w:cs="宋体"/>
          <w:color w:val="auto"/>
          <w:kern w:val="0"/>
          <w:sz w:val="24"/>
          <w:szCs w:val="24"/>
          <w:highlight w:val="none"/>
        </w:rPr>
      </w:pPr>
    </w:p>
    <w:p w14:paraId="52A735B5">
      <w:pPr>
        <w:spacing w:line="360" w:lineRule="auto"/>
        <w:ind w:right="368" w:rightChars="175" w:firstLine="5460" w:firstLineChars="26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w:t>
      </w:r>
      <w:r>
        <w:rPr>
          <w:rFonts w:hint="eastAsia" w:ascii="宋体" w:hAnsi="宋体" w:eastAsia="宋体" w:cs="宋体"/>
          <w:color w:val="auto"/>
          <w:kern w:val="0"/>
          <w:szCs w:val="21"/>
          <w:highlight w:val="none"/>
          <w:lang w:val="zh-CN"/>
        </w:rPr>
        <w:t>（加盖供应商法人公章）</w:t>
      </w:r>
    </w:p>
    <w:p w14:paraId="3B760458">
      <w:pPr>
        <w:autoSpaceDE w:val="0"/>
        <w:autoSpaceDN w:val="0"/>
        <w:adjustRightInd w:val="0"/>
        <w:spacing w:line="360" w:lineRule="auto"/>
        <w:ind w:right="781" w:rightChars="372" w:firstLine="2811" w:firstLineChars="1339"/>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 xml:space="preserve">                         日  期：   年  月  日</w:t>
      </w:r>
    </w:p>
    <w:p w14:paraId="2E9C8026">
      <w:pPr>
        <w:rPr>
          <w:rFonts w:hint="eastAsia" w:ascii="宋体" w:hAnsi="宋体" w:eastAsia="宋体" w:cs="宋体"/>
          <w:color w:val="auto"/>
          <w:szCs w:val="24"/>
          <w:highlight w:val="none"/>
          <w:lang w:val="zh-CN"/>
        </w:rPr>
      </w:pPr>
      <w:bookmarkStart w:id="575" w:name="_Toc102860079"/>
      <w:bookmarkStart w:id="576" w:name="_Toc102860423"/>
      <w:bookmarkStart w:id="577" w:name="_Toc140596934"/>
      <w:bookmarkStart w:id="578" w:name="_Toc533708126"/>
      <w:bookmarkStart w:id="579" w:name="_Toc30939"/>
      <w:bookmarkStart w:id="580" w:name="_Toc486167714"/>
      <w:bookmarkStart w:id="581" w:name="_Toc1977731"/>
      <w:bookmarkStart w:id="582" w:name="_Toc2031_WPSOffice_Level2"/>
      <w:bookmarkStart w:id="583" w:name="_Toc94107215"/>
      <w:bookmarkStart w:id="584" w:name="_Toc6412"/>
      <w:bookmarkStart w:id="585" w:name="_Toc104991881"/>
      <w:bookmarkStart w:id="586" w:name="_Toc142508374"/>
      <w:r>
        <w:rPr>
          <w:rFonts w:hint="eastAsia" w:ascii="宋体" w:hAnsi="宋体" w:eastAsia="宋体" w:cs="宋体"/>
          <w:color w:val="auto"/>
          <w:szCs w:val="24"/>
          <w:highlight w:val="none"/>
          <w:lang w:val="zh-CN"/>
        </w:rPr>
        <w:br w:type="page"/>
      </w:r>
    </w:p>
    <w:p w14:paraId="1E2B2D6F">
      <w:pPr>
        <w:tabs>
          <w:tab w:val="left" w:pos="567"/>
        </w:tabs>
        <w:autoSpaceDE w:val="0"/>
        <w:autoSpaceDN w:val="0"/>
        <w:adjustRightInd w:val="0"/>
        <w:spacing w:line="360" w:lineRule="auto"/>
        <w:jc w:val="left"/>
        <w:outlineLvl w:val="2"/>
        <w:rPr>
          <w:rFonts w:hint="eastAsia" w:ascii="宋体" w:hAnsi="宋体" w:eastAsia="宋体" w:cs="宋体"/>
          <w:color w:val="auto"/>
          <w:kern w:val="0"/>
          <w:szCs w:val="21"/>
          <w:highlight w:val="none"/>
          <w:u w:val="single"/>
        </w:rPr>
      </w:pPr>
      <w:bookmarkStart w:id="587" w:name="_Toc22137"/>
      <w:bookmarkStart w:id="588" w:name="_Toc321659206"/>
      <w:bookmarkStart w:id="589" w:name="_Toc17508"/>
      <w:r>
        <w:rPr>
          <w:rFonts w:hint="eastAsia" w:ascii="宋体" w:hAnsi="宋体" w:eastAsia="宋体" w:cs="宋体"/>
          <w:b/>
          <w:color w:val="auto"/>
          <w:sz w:val="32"/>
          <w:szCs w:val="32"/>
          <w:highlight w:val="none"/>
          <w:lang w:val="en-US" w:eastAsia="zh-CN"/>
        </w:rPr>
        <w:t>六</w:t>
      </w:r>
      <w:r>
        <w:rPr>
          <w:rFonts w:hint="eastAsia" w:ascii="宋体" w:hAnsi="宋体" w:eastAsia="宋体" w:cs="宋体"/>
          <w:b/>
          <w:color w:val="auto"/>
          <w:kern w:val="0"/>
          <w:sz w:val="32"/>
          <w:szCs w:val="32"/>
          <w:highlight w:val="none"/>
        </w:rPr>
        <w:t>、</w:t>
      </w:r>
      <w:r>
        <w:rPr>
          <w:rFonts w:hint="eastAsia" w:ascii="宋体" w:hAnsi="宋体" w:eastAsia="宋体" w:cs="宋体"/>
          <w:b/>
          <w:color w:val="auto"/>
          <w:kern w:val="0"/>
          <w:sz w:val="32"/>
          <w:szCs w:val="32"/>
          <w:highlight w:val="none"/>
          <w:lang w:eastAsia="zh-CN"/>
        </w:rPr>
        <w:t>供应商</w:t>
      </w:r>
      <w:r>
        <w:rPr>
          <w:rFonts w:hint="eastAsia" w:ascii="宋体" w:hAnsi="宋体" w:eastAsia="宋体" w:cs="宋体"/>
          <w:b/>
          <w:color w:val="auto"/>
          <w:kern w:val="0"/>
          <w:sz w:val="32"/>
          <w:szCs w:val="32"/>
          <w:highlight w:val="none"/>
        </w:rPr>
        <w:t>基本情况一览表</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14:paraId="74A9E72A">
      <w:pPr>
        <w:autoSpaceDE w:val="0"/>
        <w:autoSpaceDN w:val="0"/>
        <w:adjustRightInd w:val="0"/>
        <w:spacing w:line="360" w:lineRule="auto"/>
        <w:jc w:val="center"/>
        <w:rPr>
          <w:rFonts w:hint="eastAsia" w:ascii="宋体" w:hAnsi="宋体" w:eastAsia="宋体" w:cs="宋体"/>
          <w:b/>
          <w:bCs/>
          <w:color w:val="auto"/>
          <w:sz w:val="30"/>
          <w:szCs w:val="30"/>
          <w:highlight w:val="none"/>
        </w:rPr>
      </w:pPr>
      <w:bookmarkStart w:id="590" w:name="_Toc2773_WPSOffice_Level3"/>
      <w:r>
        <w:rPr>
          <w:rFonts w:hint="eastAsia" w:ascii="宋体" w:hAnsi="宋体" w:eastAsia="宋体" w:cs="宋体"/>
          <w:b/>
          <w:bCs/>
          <w:color w:val="auto"/>
          <w:sz w:val="30"/>
          <w:szCs w:val="30"/>
          <w:highlight w:val="none"/>
          <w:lang w:val="zh-CN"/>
        </w:rPr>
        <w:t>供应商基本情况一览表</w:t>
      </w:r>
      <w:bookmarkEnd w:id="590"/>
    </w:p>
    <w:p w14:paraId="6DD582FA">
      <w:pPr>
        <w:autoSpaceDE w:val="0"/>
        <w:autoSpaceDN w:val="0"/>
        <w:adjustRightInd w:val="0"/>
        <w:spacing w:line="4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1．名称及概况：</w:t>
      </w:r>
    </w:p>
    <w:p w14:paraId="527682C1">
      <w:pPr>
        <w:autoSpaceDE w:val="0"/>
        <w:autoSpaceDN w:val="0"/>
        <w:adjustRightInd w:val="0"/>
        <w:spacing w:line="440" w:lineRule="exact"/>
        <w:ind w:firstLine="42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（1）供应商名称：________________________________________</w:t>
      </w:r>
    </w:p>
    <w:p w14:paraId="7F80E8AD">
      <w:pPr>
        <w:autoSpaceDE w:val="0"/>
        <w:autoSpaceDN w:val="0"/>
        <w:adjustRightInd w:val="0"/>
        <w:spacing w:line="440" w:lineRule="exact"/>
        <w:ind w:firstLine="42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（2）总部地址：__________________________________________</w:t>
      </w:r>
    </w:p>
    <w:p w14:paraId="2D15A1A3">
      <w:pPr>
        <w:autoSpaceDE w:val="0"/>
        <w:autoSpaceDN w:val="0"/>
        <w:adjustRightInd w:val="0"/>
        <w:spacing w:line="440" w:lineRule="exact"/>
        <w:ind w:firstLine="66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 xml:space="preserve">   邮政编码：__________________________________________</w:t>
      </w:r>
    </w:p>
    <w:p w14:paraId="1D93509F">
      <w:pPr>
        <w:autoSpaceDE w:val="0"/>
        <w:autoSpaceDN w:val="0"/>
        <w:adjustRightInd w:val="0"/>
        <w:spacing w:line="440" w:lineRule="exact"/>
        <w:ind w:firstLine="42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 xml:space="preserve">     电话号码：__________________________________________ </w:t>
      </w:r>
    </w:p>
    <w:p w14:paraId="31BEA74A">
      <w:pPr>
        <w:autoSpaceDE w:val="0"/>
        <w:autoSpaceDN w:val="0"/>
        <w:adjustRightInd w:val="0"/>
        <w:spacing w:line="440" w:lineRule="exact"/>
        <w:ind w:firstLine="42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 xml:space="preserve">     传真号码：__________________________________________ </w:t>
      </w:r>
    </w:p>
    <w:p w14:paraId="50B05AC4">
      <w:pPr>
        <w:autoSpaceDE w:val="0"/>
        <w:autoSpaceDN w:val="0"/>
        <w:adjustRightInd w:val="0"/>
        <w:spacing w:line="440" w:lineRule="exact"/>
        <w:ind w:firstLine="42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（3）成立和／或注册日期：________________________________</w:t>
      </w:r>
    </w:p>
    <w:p w14:paraId="173FF13B">
      <w:pPr>
        <w:autoSpaceDE w:val="0"/>
        <w:autoSpaceDN w:val="0"/>
        <w:adjustRightInd w:val="0"/>
        <w:spacing w:line="440" w:lineRule="exact"/>
        <w:ind w:firstLine="42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（4）法人代表：_____________________________________ ____</w:t>
      </w:r>
    </w:p>
    <w:p w14:paraId="2F2E19CB">
      <w:pPr>
        <w:autoSpaceDE w:val="0"/>
        <w:autoSpaceDN w:val="0"/>
        <w:adjustRightInd w:val="0"/>
        <w:spacing w:line="440" w:lineRule="exact"/>
        <w:ind w:firstLine="42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（5）开户银行：__________________________________________</w:t>
      </w:r>
    </w:p>
    <w:p w14:paraId="0FE47487">
      <w:pPr>
        <w:autoSpaceDE w:val="0"/>
        <w:autoSpaceDN w:val="0"/>
        <w:adjustRightInd w:val="0"/>
        <w:spacing w:line="440" w:lineRule="exact"/>
        <w:ind w:firstLine="42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（6）开户账号：__________________________________________</w:t>
      </w:r>
    </w:p>
    <w:p w14:paraId="02AC110E">
      <w:pPr>
        <w:autoSpaceDE w:val="0"/>
        <w:autoSpaceDN w:val="0"/>
        <w:adjustRightInd w:val="0"/>
        <w:spacing w:line="440" w:lineRule="exact"/>
        <w:ind w:firstLine="42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（7）注册资金：__________________________________________</w:t>
      </w:r>
    </w:p>
    <w:p w14:paraId="4301D88A">
      <w:pPr>
        <w:autoSpaceDE w:val="0"/>
        <w:autoSpaceDN w:val="0"/>
        <w:adjustRightInd w:val="0"/>
        <w:spacing w:line="440" w:lineRule="exact"/>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zh-CN"/>
        </w:rPr>
        <w:t>（8）主要负责人姓名：____________________________________</w:t>
      </w:r>
    </w:p>
    <w:p w14:paraId="22DDB725">
      <w:pPr>
        <w:autoSpaceDE w:val="0"/>
        <w:autoSpaceDN w:val="0"/>
        <w:adjustRightInd w:val="0"/>
        <w:spacing w:line="440" w:lineRule="exact"/>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zh-CN"/>
        </w:rPr>
        <w:t xml:space="preserve">（9）项目主要联系人（姓名、职务、通讯）：_________________   </w:t>
      </w:r>
    </w:p>
    <w:p w14:paraId="2C7CDE52">
      <w:pPr>
        <w:autoSpaceDE w:val="0"/>
        <w:autoSpaceDN w:val="0"/>
        <w:adjustRightInd w:val="0"/>
        <w:spacing w:line="440" w:lineRule="exact"/>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zh-CN"/>
        </w:rPr>
        <w:t>（10）在中国的代表的姓名和地址（如有）：__________________</w:t>
      </w:r>
    </w:p>
    <w:p w14:paraId="19DC9149">
      <w:pPr>
        <w:autoSpaceDE w:val="0"/>
        <w:autoSpaceDN w:val="0"/>
        <w:adjustRightInd w:val="0"/>
        <w:spacing w:line="440" w:lineRule="exact"/>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zh-CN"/>
        </w:rPr>
        <w:t>2．供征询之银行的名称和地址：____________________________</w:t>
      </w:r>
    </w:p>
    <w:p w14:paraId="3A11C6A9">
      <w:pPr>
        <w:autoSpaceDE w:val="0"/>
        <w:autoSpaceDN w:val="0"/>
        <w:adjustRightInd w:val="0"/>
        <w:spacing w:line="44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zh-CN"/>
        </w:rPr>
        <w:t xml:space="preserve">    3．公司所隶属之国际集团名称（如果是）____________________</w:t>
      </w:r>
    </w:p>
    <w:p w14:paraId="0C780113">
      <w:pPr>
        <w:autoSpaceDE w:val="0"/>
        <w:autoSpaceDN w:val="0"/>
        <w:adjustRightInd w:val="0"/>
        <w:spacing w:line="440" w:lineRule="exact"/>
        <w:ind w:firstLine="420"/>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zh-CN"/>
        </w:rPr>
        <w:t>4. 提交资料（包括但不限于组织架构、公司简介等）：</w:t>
      </w:r>
    </w:p>
    <w:p w14:paraId="759F38C5">
      <w:pPr>
        <w:autoSpaceDE w:val="0"/>
        <w:autoSpaceDN w:val="0"/>
        <w:adjustRightInd w:val="0"/>
        <w:spacing w:line="440" w:lineRule="exact"/>
        <w:ind w:firstLine="630" w:firstLineChars="3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（1）公司简介；</w:t>
      </w:r>
    </w:p>
    <w:p w14:paraId="7613D0FF">
      <w:pPr>
        <w:autoSpaceDE w:val="0"/>
        <w:autoSpaceDN w:val="0"/>
        <w:adjustRightInd w:val="0"/>
        <w:spacing w:line="440" w:lineRule="exact"/>
        <w:ind w:firstLine="1155" w:firstLineChars="55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__________________________________________________</w:t>
      </w:r>
    </w:p>
    <w:p w14:paraId="1910EA28">
      <w:pPr>
        <w:autoSpaceDE w:val="0"/>
        <w:autoSpaceDN w:val="0"/>
        <w:adjustRightInd w:val="0"/>
        <w:spacing w:line="440" w:lineRule="exact"/>
        <w:ind w:firstLine="630" w:firstLineChars="3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（2）公司组织架构；</w:t>
      </w:r>
    </w:p>
    <w:p w14:paraId="2C6CAA4B">
      <w:pPr>
        <w:autoSpaceDE w:val="0"/>
        <w:autoSpaceDN w:val="0"/>
        <w:adjustRightInd w:val="0"/>
        <w:spacing w:line="440" w:lineRule="exact"/>
        <w:ind w:firstLine="1155" w:firstLineChars="55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__________________________________________________</w:t>
      </w:r>
    </w:p>
    <w:p w14:paraId="7230595B">
      <w:pPr>
        <w:autoSpaceDE w:val="0"/>
        <w:autoSpaceDN w:val="0"/>
        <w:adjustRightInd w:val="0"/>
        <w:spacing w:line="440" w:lineRule="exact"/>
        <w:ind w:left="0" w:leftChars="0" w:firstLine="630" w:firstLineChars="3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（3）东莞市内设有分支机构情况介绍[应提供该分支机构的多证合一营业执照复印件等证明材料]（若无前述分支机构的无需介绍）。</w:t>
      </w:r>
    </w:p>
    <w:p w14:paraId="5174449C">
      <w:pPr>
        <w:autoSpaceDE w:val="0"/>
        <w:autoSpaceDN w:val="0"/>
        <w:adjustRightInd w:val="0"/>
        <w:spacing w:line="440" w:lineRule="exact"/>
        <w:ind w:firstLine="420" w:firstLineChars="2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兹证明上述说明是真实、正确的，并提供了全部能提供的资料和数据，我们同意遵照贵方要求出示有关证明文件。</w:t>
      </w:r>
    </w:p>
    <w:p w14:paraId="4C42E276">
      <w:pPr>
        <w:autoSpaceDE w:val="0"/>
        <w:autoSpaceDN w:val="0"/>
        <w:adjustRightInd w:val="0"/>
        <w:spacing w:line="440" w:lineRule="exact"/>
        <w:ind w:right="368" w:rightChars="175"/>
        <w:jc w:val="right"/>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zh-CN"/>
        </w:rPr>
        <w:t>供应商</w:t>
      </w:r>
      <w:r>
        <w:rPr>
          <w:rFonts w:hint="eastAsia" w:ascii="宋体" w:hAnsi="宋体" w:eastAsia="宋体" w:cs="宋体"/>
          <w:color w:val="auto"/>
          <w:szCs w:val="21"/>
          <w:highlight w:val="none"/>
          <w:lang w:val="zh-CN"/>
        </w:rPr>
        <w:t>：</w:t>
      </w:r>
      <w:r>
        <w:rPr>
          <w:rFonts w:hint="eastAsia" w:ascii="宋体" w:hAnsi="宋体" w:eastAsia="宋体" w:cs="宋体"/>
          <w:color w:val="auto"/>
          <w:kern w:val="0"/>
          <w:szCs w:val="21"/>
          <w:highlight w:val="none"/>
          <w:lang w:val="zh-CN"/>
        </w:rPr>
        <w:t>（加盖供应商法人公章）</w:t>
      </w:r>
    </w:p>
    <w:p w14:paraId="3986A870">
      <w:pPr>
        <w:autoSpaceDE w:val="0"/>
        <w:autoSpaceDN w:val="0"/>
        <w:adjustRightInd w:val="0"/>
        <w:spacing w:line="440" w:lineRule="exact"/>
        <w:ind w:right="368" w:rightChars="175" w:firstLine="6237"/>
        <w:jc w:val="left"/>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en-US" w:eastAsia="zh-CN"/>
        </w:rPr>
        <w:t xml:space="preserve">    </w:t>
      </w:r>
      <w:r>
        <w:rPr>
          <w:rFonts w:hint="eastAsia" w:ascii="宋体" w:hAnsi="宋体" w:eastAsia="宋体" w:cs="宋体"/>
          <w:color w:val="auto"/>
          <w:szCs w:val="24"/>
          <w:highlight w:val="none"/>
          <w:lang w:val="zh-CN"/>
        </w:rPr>
        <w:t>日  期：　年  月  日</w:t>
      </w:r>
    </w:p>
    <w:p w14:paraId="0DFC8AE2">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b/>
          <w:color w:val="auto"/>
          <w:kern w:val="0"/>
          <w:sz w:val="32"/>
          <w:szCs w:val="32"/>
          <w:highlight w:val="none"/>
        </w:rPr>
      </w:pPr>
      <w:r>
        <w:rPr>
          <w:rFonts w:hint="eastAsia" w:ascii="宋体" w:hAnsi="宋体" w:eastAsia="宋体" w:cs="宋体"/>
          <w:color w:val="auto"/>
          <w:szCs w:val="24"/>
          <w:highlight w:val="none"/>
          <w:lang w:val="zh-CN"/>
        </w:rPr>
        <w:br w:type="page"/>
      </w:r>
      <w:bookmarkStart w:id="591" w:name="_Toc94107216"/>
      <w:bookmarkStart w:id="592" w:name="_Toc142508375"/>
      <w:bookmarkStart w:id="593" w:name="_Toc4023"/>
      <w:bookmarkStart w:id="594" w:name="_Toc140596935"/>
      <w:bookmarkStart w:id="595" w:name="_Toc104991882"/>
      <w:bookmarkStart w:id="596" w:name="_Toc29014"/>
      <w:bookmarkStart w:id="597" w:name="_Toc202470173"/>
      <w:bookmarkStart w:id="598" w:name="_Toc102860424"/>
      <w:bookmarkStart w:id="599" w:name="_Toc24450"/>
      <w:bookmarkStart w:id="600" w:name="_Toc10443"/>
      <w:bookmarkStart w:id="601" w:name="_Toc102860080"/>
      <w:bookmarkStart w:id="602" w:name="_Toc533708128"/>
      <w:bookmarkStart w:id="603" w:name="_Toc1977733"/>
      <w:bookmarkStart w:id="604" w:name="_Toc9051_WPSOffice_Level2"/>
      <w:bookmarkStart w:id="605" w:name="_Toc486167715"/>
      <w:r>
        <w:rPr>
          <w:rFonts w:hint="eastAsia" w:ascii="宋体" w:hAnsi="宋体" w:eastAsia="宋体" w:cs="宋体"/>
          <w:b/>
          <w:color w:val="auto"/>
          <w:sz w:val="32"/>
          <w:szCs w:val="32"/>
          <w:highlight w:val="none"/>
          <w:lang w:val="en-US" w:eastAsia="zh-CN"/>
        </w:rPr>
        <w:t>七</w:t>
      </w:r>
      <w:r>
        <w:rPr>
          <w:rFonts w:hint="eastAsia" w:ascii="宋体" w:hAnsi="宋体" w:eastAsia="宋体" w:cs="宋体"/>
          <w:b/>
          <w:color w:val="auto"/>
          <w:sz w:val="32"/>
          <w:szCs w:val="32"/>
          <w:highlight w:val="none"/>
          <w:lang w:val="zh-CN"/>
        </w:rPr>
        <w:t>、供应商财务状况表格式</w:t>
      </w:r>
      <w:bookmarkEnd w:id="591"/>
      <w:bookmarkEnd w:id="592"/>
      <w:bookmarkEnd w:id="593"/>
      <w:bookmarkEnd w:id="594"/>
      <w:bookmarkEnd w:id="595"/>
      <w:bookmarkEnd w:id="596"/>
      <w:bookmarkEnd w:id="597"/>
      <w:bookmarkEnd w:id="598"/>
      <w:bookmarkEnd w:id="599"/>
      <w:bookmarkEnd w:id="600"/>
      <w:bookmarkEnd w:id="601"/>
    </w:p>
    <w:p w14:paraId="17CD0A24">
      <w:pPr>
        <w:autoSpaceDE w:val="0"/>
        <w:autoSpaceDN w:val="0"/>
        <w:adjustRightInd w:val="0"/>
        <w:spacing w:line="360" w:lineRule="auto"/>
        <w:jc w:val="center"/>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lang w:eastAsia="zh-CN"/>
        </w:rPr>
        <w:t>供应商</w:t>
      </w:r>
      <w:r>
        <w:rPr>
          <w:rFonts w:hint="eastAsia" w:ascii="宋体" w:hAnsi="宋体" w:eastAsia="宋体" w:cs="宋体"/>
          <w:b/>
          <w:color w:val="auto"/>
          <w:kern w:val="0"/>
          <w:sz w:val="30"/>
          <w:szCs w:val="30"/>
          <w:highlight w:val="none"/>
        </w:rPr>
        <w:t xml:space="preserve">财务状况表 </w:t>
      </w:r>
    </w:p>
    <w:p w14:paraId="6FF93F3B">
      <w:pPr>
        <w:autoSpaceDE w:val="0"/>
        <w:autoSpaceDN w:val="0"/>
        <w:adjustRightInd w:val="0"/>
        <w:spacing w:line="360" w:lineRule="auto"/>
        <w:jc w:val="righ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[价格单位：（人民币）元]</w:t>
      </w:r>
    </w:p>
    <w:tbl>
      <w:tblPr>
        <w:tblStyle w:val="36"/>
        <w:tblW w:w="982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66"/>
        <w:gridCol w:w="1944"/>
        <w:gridCol w:w="1946"/>
        <w:gridCol w:w="2713"/>
        <w:gridCol w:w="2060"/>
      </w:tblGrid>
      <w:tr w14:paraId="1AA6A5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1" w:hRule="atLeast"/>
          <w:jc w:val="center"/>
        </w:trPr>
        <w:tc>
          <w:tcPr>
            <w:tcW w:w="1166" w:type="dxa"/>
            <w:vAlign w:val="center"/>
          </w:tcPr>
          <w:p w14:paraId="7A366995">
            <w:pPr>
              <w:autoSpaceDE w:val="0"/>
              <w:autoSpaceDN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年  度</w:t>
            </w:r>
          </w:p>
        </w:tc>
        <w:tc>
          <w:tcPr>
            <w:tcW w:w="1944" w:type="dxa"/>
            <w:vAlign w:val="center"/>
          </w:tcPr>
          <w:p w14:paraId="3BD9C97F">
            <w:pPr>
              <w:autoSpaceDE w:val="0"/>
              <w:autoSpaceDN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总资产（元）</w:t>
            </w:r>
          </w:p>
        </w:tc>
        <w:tc>
          <w:tcPr>
            <w:tcW w:w="1946" w:type="dxa"/>
            <w:vAlign w:val="center"/>
          </w:tcPr>
          <w:p w14:paraId="65231203">
            <w:pPr>
              <w:autoSpaceDE w:val="0"/>
              <w:autoSpaceDN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净资产（元）</w:t>
            </w:r>
          </w:p>
        </w:tc>
        <w:tc>
          <w:tcPr>
            <w:tcW w:w="2713" w:type="dxa"/>
            <w:vAlign w:val="center"/>
          </w:tcPr>
          <w:p w14:paraId="6CBEE7F2">
            <w:pPr>
              <w:autoSpaceDE w:val="0"/>
              <w:autoSpaceDN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年营业额（元）</w:t>
            </w:r>
          </w:p>
        </w:tc>
        <w:tc>
          <w:tcPr>
            <w:tcW w:w="2060" w:type="dxa"/>
            <w:vAlign w:val="center"/>
          </w:tcPr>
          <w:p w14:paraId="389FD477">
            <w:pPr>
              <w:autoSpaceDE w:val="0"/>
              <w:autoSpaceDN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年净利润（元）</w:t>
            </w:r>
          </w:p>
        </w:tc>
      </w:tr>
      <w:tr w14:paraId="39C695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1" w:hRule="atLeast"/>
          <w:jc w:val="center"/>
        </w:trPr>
        <w:tc>
          <w:tcPr>
            <w:tcW w:w="1166" w:type="dxa"/>
            <w:vAlign w:val="center"/>
          </w:tcPr>
          <w:p w14:paraId="5EEFF4AB">
            <w:pPr>
              <w:autoSpaceDE w:val="0"/>
              <w:autoSpaceDN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2023</w:t>
            </w:r>
          </w:p>
        </w:tc>
        <w:tc>
          <w:tcPr>
            <w:tcW w:w="1944" w:type="dxa"/>
            <w:vAlign w:val="center"/>
          </w:tcPr>
          <w:p w14:paraId="5EDFA206">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1946" w:type="dxa"/>
            <w:vAlign w:val="center"/>
          </w:tcPr>
          <w:p w14:paraId="2DF213A0">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713" w:type="dxa"/>
            <w:vAlign w:val="center"/>
          </w:tcPr>
          <w:p w14:paraId="07DD136A">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060" w:type="dxa"/>
            <w:vAlign w:val="center"/>
          </w:tcPr>
          <w:p w14:paraId="0F5D44CE">
            <w:pPr>
              <w:autoSpaceDE w:val="0"/>
              <w:autoSpaceDN w:val="0"/>
              <w:adjustRightInd w:val="0"/>
              <w:spacing w:line="360" w:lineRule="auto"/>
              <w:jc w:val="center"/>
              <w:rPr>
                <w:rFonts w:hint="eastAsia" w:ascii="宋体" w:hAnsi="宋体" w:eastAsia="宋体" w:cs="宋体"/>
                <w:color w:val="auto"/>
                <w:kern w:val="0"/>
                <w:szCs w:val="21"/>
                <w:highlight w:val="none"/>
              </w:rPr>
            </w:pPr>
          </w:p>
        </w:tc>
      </w:tr>
      <w:tr w14:paraId="2524FD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8" w:hRule="atLeast"/>
          <w:jc w:val="center"/>
        </w:trPr>
        <w:tc>
          <w:tcPr>
            <w:tcW w:w="1166" w:type="dxa"/>
            <w:vAlign w:val="center"/>
          </w:tcPr>
          <w:p w14:paraId="7C459FDE">
            <w:pPr>
              <w:autoSpaceDE w:val="0"/>
              <w:autoSpaceDN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2024</w:t>
            </w:r>
          </w:p>
        </w:tc>
        <w:tc>
          <w:tcPr>
            <w:tcW w:w="1944" w:type="dxa"/>
            <w:vAlign w:val="center"/>
          </w:tcPr>
          <w:p w14:paraId="6E0FD2E4">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1946" w:type="dxa"/>
            <w:vAlign w:val="center"/>
          </w:tcPr>
          <w:p w14:paraId="602082FF">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713" w:type="dxa"/>
          </w:tcPr>
          <w:p w14:paraId="51BD81CD">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060" w:type="dxa"/>
            <w:vAlign w:val="center"/>
          </w:tcPr>
          <w:p w14:paraId="3BECBBE1">
            <w:pPr>
              <w:autoSpaceDE w:val="0"/>
              <w:autoSpaceDN w:val="0"/>
              <w:adjustRightInd w:val="0"/>
              <w:spacing w:line="360" w:lineRule="auto"/>
              <w:jc w:val="center"/>
              <w:rPr>
                <w:rFonts w:hint="eastAsia" w:ascii="宋体" w:hAnsi="宋体" w:eastAsia="宋体" w:cs="宋体"/>
                <w:color w:val="auto"/>
                <w:kern w:val="0"/>
                <w:szCs w:val="21"/>
                <w:highlight w:val="none"/>
              </w:rPr>
            </w:pPr>
          </w:p>
        </w:tc>
      </w:tr>
      <w:tr w14:paraId="267617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8" w:hRule="atLeast"/>
          <w:jc w:val="center"/>
        </w:trPr>
        <w:tc>
          <w:tcPr>
            <w:tcW w:w="1166" w:type="dxa"/>
            <w:vAlign w:val="center"/>
          </w:tcPr>
          <w:p w14:paraId="4A6DBC82">
            <w:pPr>
              <w:autoSpaceDE w:val="0"/>
              <w:autoSpaceDN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2025</w:t>
            </w:r>
          </w:p>
        </w:tc>
        <w:tc>
          <w:tcPr>
            <w:tcW w:w="1944" w:type="dxa"/>
            <w:vAlign w:val="center"/>
          </w:tcPr>
          <w:p w14:paraId="1BAC512E">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1946" w:type="dxa"/>
            <w:vAlign w:val="center"/>
          </w:tcPr>
          <w:p w14:paraId="1E54F71B">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713" w:type="dxa"/>
          </w:tcPr>
          <w:p w14:paraId="25B0BDD7">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060" w:type="dxa"/>
            <w:vAlign w:val="center"/>
          </w:tcPr>
          <w:p w14:paraId="7BFE2976">
            <w:pPr>
              <w:autoSpaceDE w:val="0"/>
              <w:autoSpaceDN w:val="0"/>
              <w:adjustRightInd w:val="0"/>
              <w:spacing w:line="360" w:lineRule="auto"/>
              <w:jc w:val="center"/>
              <w:rPr>
                <w:rFonts w:hint="eastAsia" w:ascii="宋体" w:hAnsi="宋体" w:eastAsia="宋体" w:cs="宋体"/>
                <w:color w:val="auto"/>
                <w:kern w:val="0"/>
                <w:szCs w:val="21"/>
                <w:highlight w:val="none"/>
              </w:rPr>
            </w:pPr>
          </w:p>
        </w:tc>
      </w:tr>
      <w:tr w14:paraId="2806CF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8" w:hRule="atLeast"/>
          <w:jc w:val="center"/>
        </w:trPr>
        <w:tc>
          <w:tcPr>
            <w:tcW w:w="5056" w:type="dxa"/>
            <w:gridSpan w:val="3"/>
            <w:vAlign w:val="center"/>
          </w:tcPr>
          <w:p w14:paraId="5A32AC2D">
            <w:pPr>
              <w:autoSpaceDE w:val="0"/>
              <w:autoSpaceDN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总计</w:t>
            </w:r>
          </w:p>
        </w:tc>
        <w:tc>
          <w:tcPr>
            <w:tcW w:w="2713" w:type="dxa"/>
          </w:tcPr>
          <w:p w14:paraId="6DE6E5EF">
            <w:pPr>
              <w:autoSpaceDE w:val="0"/>
              <w:autoSpaceDN w:val="0"/>
              <w:adjustRightInd w:val="0"/>
              <w:spacing w:line="360" w:lineRule="auto"/>
              <w:jc w:val="center"/>
              <w:rPr>
                <w:rFonts w:hint="eastAsia" w:ascii="宋体" w:hAnsi="宋体" w:eastAsia="宋体" w:cs="宋体"/>
                <w:color w:val="auto"/>
                <w:kern w:val="0"/>
                <w:szCs w:val="21"/>
                <w:highlight w:val="none"/>
              </w:rPr>
            </w:pPr>
          </w:p>
        </w:tc>
        <w:tc>
          <w:tcPr>
            <w:tcW w:w="2060" w:type="dxa"/>
            <w:vAlign w:val="center"/>
          </w:tcPr>
          <w:p w14:paraId="4FE8A521">
            <w:pPr>
              <w:autoSpaceDE w:val="0"/>
              <w:autoSpaceDN w:val="0"/>
              <w:adjustRightInd w:val="0"/>
              <w:spacing w:line="360" w:lineRule="auto"/>
              <w:jc w:val="center"/>
              <w:rPr>
                <w:rFonts w:hint="eastAsia" w:ascii="宋体" w:hAnsi="宋体" w:eastAsia="宋体" w:cs="宋体"/>
                <w:color w:val="auto"/>
                <w:kern w:val="0"/>
                <w:szCs w:val="21"/>
                <w:highlight w:val="none"/>
              </w:rPr>
            </w:pPr>
          </w:p>
        </w:tc>
      </w:tr>
    </w:tbl>
    <w:p w14:paraId="3DDBDE7D">
      <w:pPr>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备注：需提供对应年度经独立会计师事务所审计的审计报告及</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财务状况表；若</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为新成立或未进行独立会计师事务所审计的，本表中对应年度的财务信息应填写“/”，</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不作无效</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处理，但存在因不符合</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办法中的评分标准而导致对应项不得分。</w:t>
      </w:r>
    </w:p>
    <w:p w14:paraId="4C36F725">
      <w:pPr>
        <w:autoSpaceDE w:val="0"/>
        <w:autoSpaceDN w:val="0"/>
        <w:adjustRightInd w:val="0"/>
        <w:spacing w:line="360" w:lineRule="auto"/>
        <w:ind w:firstLine="5409" w:firstLineChars="2576"/>
        <w:rPr>
          <w:rFonts w:hint="eastAsia" w:ascii="宋体" w:hAnsi="宋体" w:eastAsia="宋体" w:cs="宋体"/>
          <w:color w:val="auto"/>
          <w:szCs w:val="24"/>
          <w:highlight w:val="none"/>
          <w:lang w:val="zh-CN"/>
        </w:rPr>
      </w:pPr>
    </w:p>
    <w:p w14:paraId="6A304C78">
      <w:pPr>
        <w:autoSpaceDE w:val="0"/>
        <w:autoSpaceDN w:val="0"/>
        <w:adjustRightInd w:val="0"/>
        <w:spacing w:line="360" w:lineRule="auto"/>
        <w:ind w:firstLine="5409" w:firstLineChars="2576"/>
        <w:rPr>
          <w:rFonts w:hint="eastAsia" w:ascii="宋体" w:hAnsi="宋体" w:eastAsia="宋体" w:cs="宋体"/>
          <w:color w:val="auto"/>
          <w:szCs w:val="24"/>
          <w:highlight w:val="none"/>
          <w:lang w:val="zh-CN"/>
        </w:rPr>
      </w:pPr>
    </w:p>
    <w:p w14:paraId="2B89A131">
      <w:pPr>
        <w:autoSpaceDE w:val="0"/>
        <w:autoSpaceDN w:val="0"/>
        <w:adjustRightInd w:val="0"/>
        <w:spacing w:line="360" w:lineRule="auto"/>
        <w:ind w:firstLine="5409" w:firstLineChars="2576"/>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lang w:val="zh-CN"/>
        </w:rPr>
        <w:t>供应商：（加盖供应商</w:t>
      </w:r>
      <w:r>
        <w:rPr>
          <w:rFonts w:hint="eastAsia" w:ascii="宋体" w:hAnsi="宋体" w:eastAsia="宋体" w:cs="宋体"/>
          <w:color w:val="auto"/>
          <w:szCs w:val="24"/>
          <w:highlight w:val="none"/>
        </w:rPr>
        <w:t>法人</w:t>
      </w:r>
      <w:r>
        <w:rPr>
          <w:rFonts w:hint="eastAsia" w:ascii="宋体" w:hAnsi="宋体" w:eastAsia="宋体" w:cs="宋体"/>
          <w:color w:val="auto"/>
          <w:szCs w:val="24"/>
          <w:highlight w:val="none"/>
          <w:lang w:val="zh-CN"/>
        </w:rPr>
        <w:t>公章）</w:t>
      </w:r>
    </w:p>
    <w:p w14:paraId="4A6CD1A8">
      <w:pPr>
        <w:autoSpaceDE w:val="0"/>
        <w:autoSpaceDN w:val="0"/>
        <w:adjustRightInd w:val="0"/>
        <w:spacing w:line="360" w:lineRule="auto"/>
        <w:ind w:firstLine="5460" w:firstLineChars="2600"/>
        <w:rPr>
          <w:rFonts w:hint="eastAsia" w:ascii="宋体" w:hAnsi="宋体" w:eastAsia="宋体" w:cs="宋体"/>
          <w:color w:val="auto"/>
          <w:szCs w:val="24"/>
          <w:highlight w:val="none"/>
          <w:u w:val="none"/>
        </w:rPr>
      </w:pPr>
      <w:r>
        <w:rPr>
          <w:rFonts w:hint="eastAsia" w:ascii="宋体" w:hAnsi="宋体" w:eastAsia="宋体" w:cs="宋体"/>
          <w:color w:val="auto"/>
          <w:szCs w:val="24"/>
          <w:highlight w:val="none"/>
          <w:lang w:val="zh-CN"/>
        </w:rPr>
        <w:t>日</w:t>
      </w:r>
      <w:r>
        <w:rPr>
          <w:rFonts w:hint="eastAsia" w:ascii="宋体" w:hAnsi="宋体" w:eastAsia="宋体" w:cs="宋体"/>
          <w:color w:val="auto"/>
          <w:szCs w:val="24"/>
          <w:highlight w:val="none"/>
          <w:lang w:val="en-US" w:eastAsia="zh-CN"/>
        </w:rPr>
        <w:t xml:space="preserve">  </w:t>
      </w:r>
      <w:r>
        <w:rPr>
          <w:rFonts w:hint="eastAsia" w:ascii="宋体" w:hAnsi="宋体" w:eastAsia="宋体" w:cs="宋体"/>
          <w:color w:val="auto"/>
          <w:szCs w:val="24"/>
          <w:highlight w:val="none"/>
          <w:lang w:val="zh-CN"/>
        </w:rPr>
        <w:t>期：</w:t>
      </w:r>
      <w:r>
        <w:rPr>
          <w:rFonts w:hint="eastAsia" w:ascii="宋体" w:hAnsi="宋体" w:eastAsia="宋体" w:cs="宋体"/>
          <w:color w:val="auto"/>
          <w:szCs w:val="24"/>
          <w:highlight w:val="none"/>
          <w:lang w:val="en-US" w:eastAsia="zh-CN"/>
        </w:rPr>
        <w:t xml:space="preserve">    </w:t>
      </w:r>
      <w:r>
        <w:rPr>
          <w:rFonts w:hint="eastAsia" w:ascii="宋体" w:hAnsi="宋体" w:eastAsia="宋体" w:cs="宋体"/>
          <w:color w:val="auto"/>
          <w:szCs w:val="24"/>
          <w:highlight w:val="none"/>
          <w:lang w:val="zh-CN"/>
        </w:rPr>
        <w:t>年</w:t>
      </w:r>
      <w:r>
        <w:rPr>
          <w:rFonts w:hint="eastAsia" w:ascii="宋体" w:hAnsi="宋体" w:eastAsia="宋体" w:cs="宋体"/>
          <w:color w:val="auto"/>
          <w:szCs w:val="24"/>
          <w:highlight w:val="none"/>
          <w:lang w:val="en-US" w:eastAsia="zh-CN"/>
        </w:rPr>
        <w:t xml:space="preserve">    </w:t>
      </w:r>
      <w:r>
        <w:rPr>
          <w:rFonts w:hint="eastAsia" w:ascii="宋体" w:hAnsi="宋体" w:eastAsia="宋体" w:cs="宋体"/>
          <w:color w:val="auto"/>
          <w:szCs w:val="24"/>
          <w:highlight w:val="none"/>
          <w:lang w:val="zh-CN"/>
        </w:rPr>
        <w:t>月</w:t>
      </w:r>
      <w:r>
        <w:rPr>
          <w:rFonts w:hint="eastAsia" w:ascii="宋体" w:hAnsi="宋体" w:eastAsia="宋体" w:cs="宋体"/>
          <w:color w:val="auto"/>
          <w:szCs w:val="24"/>
          <w:highlight w:val="none"/>
          <w:lang w:val="en-US" w:eastAsia="zh-CN"/>
        </w:rPr>
        <w:t xml:space="preserve">    </w:t>
      </w:r>
      <w:r>
        <w:rPr>
          <w:rFonts w:hint="eastAsia" w:ascii="宋体" w:hAnsi="宋体" w:eastAsia="宋体" w:cs="宋体"/>
          <w:color w:val="auto"/>
          <w:szCs w:val="24"/>
          <w:highlight w:val="none"/>
          <w:u w:val="none"/>
        </w:rPr>
        <w:t>日</w:t>
      </w:r>
    </w:p>
    <w:p w14:paraId="67AD5D8A">
      <w:pPr>
        <w:pStyle w:val="2"/>
        <w:rPr>
          <w:rFonts w:hint="eastAsia" w:ascii="宋体" w:hAnsi="宋体" w:eastAsia="宋体" w:cs="宋体"/>
          <w:color w:val="auto"/>
          <w:szCs w:val="24"/>
          <w:highlight w:val="none"/>
          <w:u w:val="none"/>
        </w:rPr>
      </w:pPr>
    </w:p>
    <w:p w14:paraId="10BF70CD">
      <w:pPr>
        <w:rPr>
          <w:rFonts w:hint="eastAsia" w:ascii="宋体" w:hAnsi="宋体" w:eastAsia="宋体" w:cs="宋体"/>
          <w:color w:val="auto"/>
          <w:szCs w:val="24"/>
          <w:highlight w:val="none"/>
          <w:u w:val="none"/>
        </w:rPr>
      </w:pPr>
    </w:p>
    <w:p w14:paraId="3016D674">
      <w:pPr>
        <w:pStyle w:val="2"/>
        <w:rPr>
          <w:rFonts w:hint="eastAsia" w:ascii="宋体" w:hAnsi="宋体" w:eastAsia="宋体" w:cs="宋体"/>
          <w:color w:val="auto"/>
          <w:szCs w:val="24"/>
          <w:highlight w:val="none"/>
          <w:u w:val="none"/>
        </w:rPr>
      </w:pPr>
    </w:p>
    <w:p w14:paraId="15899081">
      <w:pPr>
        <w:rPr>
          <w:rFonts w:hint="eastAsia"/>
          <w:color w:val="auto"/>
          <w:highlight w:val="none"/>
        </w:rPr>
      </w:pPr>
      <w:r>
        <w:rPr>
          <w:rFonts w:hint="eastAsia"/>
          <w:color w:val="auto"/>
          <w:highlight w:val="none"/>
        </w:rPr>
        <w:br w:type="page"/>
      </w:r>
    </w:p>
    <w:bookmarkEnd w:id="602"/>
    <w:bookmarkEnd w:id="603"/>
    <w:bookmarkEnd w:id="604"/>
    <w:bookmarkEnd w:id="605"/>
    <w:p w14:paraId="12DBE7F2">
      <w:pPr>
        <w:tabs>
          <w:tab w:val="left" w:pos="567"/>
        </w:tabs>
        <w:autoSpaceDE w:val="0"/>
        <w:autoSpaceDN w:val="0"/>
        <w:adjustRightInd w:val="0"/>
        <w:spacing w:line="360" w:lineRule="auto"/>
        <w:jc w:val="left"/>
        <w:outlineLvl w:val="2"/>
        <w:rPr>
          <w:rFonts w:hint="eastAsia" w:ascii="宋体" w:hAnsi="宋体" w:eastAsia="宋体" w:cs="宋体"/>
          <w:b/>
          <w:color w:val="auto"/>
          <w:kern w:val="0"/>
          <w:sz w:val="32"/>
          <w:szCs w:val="32"/>
          <w:highlight w:val="none"/>
          <w:lang w:val="zh-CN"/>
        </w:rPr>
      </w:pPr>
      <w:bookmarkStart w:id="606" w:name="_Toc486167716"/>
      <w:bookmarkStart w:id="607" w:name="_Toc102860425"/>
      <w:bookmarkStart w:id="608" w:name="_Toc1977736"/>
      <w:bookmarkStart w:id="609" w:name="_Toc140596936"/>
      <w:bookmarkStart w:id="610" w:name="_Toc142508376"/>
      <w:bookmarkStart w:id="611" w:name="_Toc27232"/>
      <w:bookmarkStart w:id="612" w:name="_Toc102860081"/>
      <w:bookmarkStart w:id="613" w:name="_Toc94107217"/>
      <w:bookmarkStart w:id="614" w:name="_Toc533708130"/>
      <w:bookmarkStart w:id="615" w:name="_Toc17995"/>
      <w:bookmarkStart w:id="616" w:name="_Toc104991883"/>
      <w:bookmarkStart w:id="617" w:name="_Toc26821"/>
      <w:bookmarkStart w:id="618" w:name="_Toc333"/>
      <w:bookmarkStart w:id="619" w:name="_Toc20311512"/>
      <w:bookmarkStart w:id="620" w:name="_Toc739_WPSOffice_Level2"/>
      <w:r>
        <w:rPr>
          <w:rFonts w:hint="eastAsia" w:ascii="宋体" w:hAnsi="宋体" w:eastAsia="宋体" w:cs="宋体"/>
          <w:b/>
          <w:color w:val="auto"/>
          <w:kern w:val="0"/>
          <w:sz w:val="32"/>
          <w:szCs w:val="32"/>
          <w:highlight w:val="none"/>
          <w:lang w:val="en-US" w:eastAsia="zh-CN"/>
        </w:rPr>
        <w:t>八</w:t>
      </w:r>
      <w:r>
        <w:rPr>
          <w:rFonts w:hint="eastAsia" w:ascii="宋体" w:hAnsi="宋体" w:eastAsia="宋体" w:cs="宋体"/>
          <w:b/>
          <w:color w:val="auto"/>
          <w:kern w:val="0"/>
          <w:sz w:val="32"/>
          <w:szCs w:val="32"/>
          <w:highlight w:val="none"/>
          <w:lang w:val="zh-CN"/>
        </w:rPr>
        <w:t>、合同条款偏离表格式</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1D72FDCF">
      <w:pPr>
        <w:autoSpaceDE w:val="0"/>
        <w:autoSpaceDN w:val="0"/>
        <w:adjustRightInd w:val="0"/>
        <w:spacing w:line="360" w:lineRule="auto"/>
        <w:jc w:val="center"/>
        <w:rPr>
          <w:rFonts w:hint="eastAsia" w:ascii="宋体" w:hAnsi="宋体" w:eastAsia="宋体" w:cs="宋体"/>
          <w:b/>
          <w:bCs/>
          <w:color w:val="auto"/>
          <w:kern w:val="0"/>
          <w:sz w:val="28"/>
          <w:szCs w:val="30"/>
          <w:highlight w:val="none"/>
          <w:lang w:val="zh-CN"/>
        </w:rPr>
      </w:pPr>
      <w:bookmarkStart w:id="621" w:name="_Toc26412_WPSOffice_Level3"/>
      <w:r>
        <w:rPr>
          <w:rFonts w:hint="eastAsia" w:ascii="宋体" w:hAnsi="宋体" w:eastAsia="宋体" w:cs="宋体"/>
          <w:b/>
          <w:bCs/>
          <w:color w:val="auto"/>
          <w:kern w:val="0"/>
          <w:sz w:val="28"/>
          <w:szCs w:val="30"/>
          <w:highlight w:val="none"/>
          <w:lang w:val="zh-CN"/>
        </w:rPr>
        <w:t>东莞市污泥集中处理处置项目过渡期废盐处置服务采购项目合同条款偏离表</w:t>
      </w:r>
      <w:bookmarkEnd w:id="621"/>
    </w:p>
    <w:tbl>
      <w:tblPr>
        <w:tblStyle w:val="36"/>
        <w:tblW w:w="10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20"/>
        <w:gridCol w:w="1425"/>
        <w:gridCol w:w="3055"/>
        <w:gridCol w:w="1346"/>
        <w:gridCol w:w="3524"/>
      </w:tblGrid>
      <w:tr w14:paraId="7275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1020" w:type="dxa"/>
            <w:vMerge w:val="restart"/>
            <w:shd w:val="clear" w:color="auto" w:fill="auto"/>
            <w:vAlign w:val="center"/>
          </w:tcPr>
          <w:p w14:paraId="421D0FDF">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4480" w:type="dxa"/>
            <w:gridSpan w:val="2"/>
            <w:shd w:val="clear" w:color="auto" w:fill="auto"/>
            <w:vAlign w:val="center"/>
          </w:tcPr>
          <w:p w14:paraId="68BBF382">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要求</w:t>
            </w:r>
          </w:p>
        </w:tc>
        <w:tc>
          <w:tcPr>
            <w:tcW w:w="4870" w:type="dxa"/>
            <w:gridSpan w:val="2"/>
            <w:shd w:val="clear" w:color="auto" w:fill="auto"/>
            <w:vAlign w:val="center"/>
          </w:tcPr>
          <w:p w14:paraId="36A5BDEB">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内容</w:t>
            </w:r>
          </w:p>
        </w:tc>
      </w:tr>
      <w:tr w14:paraId="5F36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trPr>
        <w:tc>
          <w:tcPr>
            <w:tcW w:w="1020" w:type="dxa"/>
            <w:vMerge w:val="continue"/>
            <w:shd w:val="clear" w:color="auto" w:fill="auto"/>
            <w:vAlign w:val="center"/>
          </w:tcPr>
          <w:p w14:paraId="52E76C38">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1425" w:type="dxa"/>
            <w:shd w:val="clear" w:color="auto" w:fill="auto"/>
            <w:vAlign w:val="center"/>
          </w:tcPr>
          <w:p w14:paraId="49A27F10">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条款号</w:t>
            </w:r>
          </w:p>
        </w:tc>
        <w:tc>
          <w:tcPr>
            <w:tcW w:w="3055" w:type="dxa"/>
            <w:shd w:val="clear" w:color="auto" w:fill="auto"/>
            <w:vAlign w:val="center"/>
          </w:tcPr>
          <w:p w14:paraId="3F90EBE4">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简要内容</w:t>
            </w:r>
          </w:p>
        </w:tc>
        <w:tc>
          <w:tcPr>
            <w:tcW w:w="1346" w:type="dxa"/>
            <w:shd w:val="clear" w:color="auto" w:fill="auto"/>
            <w:vAlign w:val="center"/>
          </w:tcPr>
          <w:p w14:paraId="4A11A644">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偏离情况</w:t>
            </w:r>
          </w:p>
        </w:tc>
        <w:tc>
          <w:tcPr>
            <w:tcW w:w="3524" w:type="dxa"/>
            <w:shd w:val="clear" w:color="auto" w:fill="auto"/>
            <w:vAlign w:val="center"/>
          </w:tcPr>
          <w:p w14:paraId="085C7A00">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具体偏离内容</w:t>
            </w:r>
          </w:p>
        </w:tc>
      </w:tr>
      <w:tr w14:paraId="254B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73A3BDBF">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425" w:type="dxa"/>
            <w:shd w:val="clear" w:color="auto" w:fill="auto"/>
            <w:vAlign w:val="center"/>
          </w:tcPr>
          <w:p w14:paraId="034A2B9C">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第一</w:t>
            </w:r>
            <w:r>
              <w:rPr>
                <w:rFonts w:hint="eastAsia" w:ascii="宋体" w:hAnsi="宋体" w:eastAsia="宋体" w:cs="宋体"/>
                <w:color w:val="auto"/>
                <w:kern w:val="0"/>
                <w:szCs w:val="21"/>
                <w:highlight w:val="none"/>
                <w:lang w:val="en-US" w:eastAsia="zh-CN"/>
              </w:rPr>
              <w:t>条</w:t>
            </w:r>
            <w:r>
              <w:rPr>
                <w:rFonts w:hint="eastAsia" w:ascii="宋体" w:hAnsi="宋体" w:eastAsia="宋体" w:cs="宋体"/>
                <w:color w:val="auto"/>
                <w:kern w:val="0"/>
                <w:szCs w:val="21"/>
                <w:highlight w:val="none"/>
              </w:rPr>
              <w:t xml:space="preserve"> </w:t>
            </w:r>
          </w:p>
        </w:tc>
        <w:tc>
          <w:tcPr>
            <w:tcW w:w="3055" w:type="dxa"/>
            <w:shd w:val="clear" w:color="auto" w:fill="auto"/>
            <w:vAlign w:val="center"/>
          </w:tcPr>
          <w:p w14:paraId="01E4A9BF">
            <w:pPr>
              <w:autoSpaceDE w:val="0"/>
              <w:autoSpaceDN w:val="0"/>
              <w:adjustRightInd w:val="0"/>
              <w:spacing w:line="400" w:lineRule="exact"/>
              <w:jc w:val="center"/>
              <w:rPr>
                <w:rFonts w:hint="eastAsia" w:ascii="宋体" w:hAnsi="宋体" w:eastAsia="宋体" w:cs="宋体"/>
                <w:b w:val="0"/>
                <w:bCs/>
                <w:color w:val="auto"/>
                <w:kern w:val="0"/>
                <w:szCs w:val="21"/>
                <w:highlight w:val="none"/>
              </w:rPr>
            </w:pPr>
            <w:r>
              <w:rPr>
                <w:rFonts w:hint="eastAsia" w:ascii="宋体" w:hAnsi="宋体" w:eastAsia="宋体" w:cs="宋体"/>
                <w:b w:val="0"/>
                <w:bCs/>
                <w:color w:val="auto"/>
                <w:sz w:val="21"/>
                <w:szCs w:val="21"/>
                <w:highlight w:val="none"/>
              </w:rPr>
              <w:t>合同范围</w:t>
            </w:r>
          </w:p>
        </w:tc>
        <w:tc>
          <w:tcPr>
            <w:tcW w:w="1346" w:type="dxa"/>
            <w:shd w:val="clear" w:color="auto" w:fill="auto"/>
            <w:vAlign w:val="center"/>
          </w:tcPr>
          <w:p w14:paraId="629123A3">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69B11200">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326FD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08CE1F7C">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1425" w:type="dxa"/>
            <w:shd w:val="clear" w:color="auto" w:fill="auto"/>
            <w:vAlign w:val="center"/>
          </w:tcPr>
          <w:p w14:paraId="402226DA">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第二</w:t>
            </w:r>
            <w:r>
              <w:rPr>
                <w:rFonts w:hint="eastAsia" w:ascii="宋体" w:hAnsi="宋体" w:eastAsia="宋体" w:cs="宋体"/>
                <w:color w:val="auto"/>
                <w:kern w:val="0"/>
                <w:szCs w:val="21"/>
                <w:highlight w:val="none"/>
                <w:lang w:val="en-US" w:eastAsia="zh-CN"/>
              </w:rPr>
              <w:t>条</w:t>
            </w:r>
          </w:p>
        </w:tc>
        <w:tc>
          <w:tcPr>
            <w:tcW w:w="3055" w:type="dxa"/>
            <w:shd w:val="clear" w:color="auto" w:fill="auto"/>
            <w:vAlign w:val="center"/>
          </w:tcPr>
          <w:p w14:paraId="36F739D8">
            <w:pPr>
              <w:autoSpaceDE w:val="0"/>
              <w:autoSpaceDN w:val="0"/>
              <w:adjustRightInd w:val="0"/>
              <w:spacing w:line="400" w:lineRule="exact"/>
              <w:jc w:val="center"/>
              <w:rPr>
                <w:rFonts w:hint="eastAsia" w:ascii="宋体" w:hAnsi="宋体" w:eastAsia="宋体" w:cs="宋体"/>
                <w:b w:val="0"/>
                <w:bCs/>
                <w:color w:val="auto"/>
                <w:kern w:val="0"/>
                <w:szCs w:val="21"/>
                <w:highlight w:val="none"/>
              </w:rPr>
            </w:pPr>
            <w:r>
              <w:rPr>
                <w:rFonts w:hint="eastAsia" w:ascii="宋体" w:hAnsi="宋体" w:eastAsia="宋体"/>
                <w:b w:val="0"/>
                <w:bCs/>
                <w:color w:val="auto"/>
                <w:kern w:val="0"/>
                <w:sz w:val="21"/>
                <w:szCs w:val="21"/>
                <w:highlight w:val="none"/>
              </w:rPr>
              <w:t>甲方合同义务</w:t>
            </w:r>
          </w:p>
        </w:tc>
        <w:tc>
          <w:tcPr>
            <w:tcW w:w="1346" w:type="dxa"/>
            <w:shd w:val="clear" w:color="auto" w:fill="auto"/>
            <w:vAlign w:val="center"/>
          </w:tcPr>
          <w:p w14:paraId="23762A50">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0BC66DCB">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4CB3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7333BC7B">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1425" w:type="dxa"/>
            <w:shd w:val="clear" w:color="auto" w:fill="auto"/>
            <w:vAlign w:val="center"/>
          </w:tcPr>
          <w:p w14:paraId="0370247D">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第三</w:t>
            </w:r>
            <w:r>
              <w:rPr>
                <w:rFonts w:hint="eastAsia" w:ascii="宋体" w:hAnsi="宋体" w:eastAsia="宋体" w:cs="宋体"/>
                <w:color w:val="auto"/>
                <w:kern w:val="0"/>
                <w:szCs w:val="21"/>
                <w:highlight w:val="none"/>
                <w:lang w:val="en-US" w:eastAsia="zh-CN"/>
              </w:rPr>
              <w:t>条</w:t>
            </w:r>
          </w:p>
        </w:tc>
        <w:tc>
          <w:tcPr>
            <w:tcW w:w="3055" w:type="dxa"/>
            <w:shd w:val="clear" w:color="auto" w:fill="auto"/>
            <w:vAlign w:val="center"/>
          </w:tcPr>
          <w:p w14:paraId="6A059E18">
            <w:pPr>
              <w:autoSpaceDE w:val="0"/>
              <w:autoSpaceDN w:val="0"/>
              <w:adjustRightInd w:val="0"/>
              <w:spacing w:line="400" w:lineRule="exact"/>
              <w:jc w:val="center"/>
              <w:rPr>
                <w:rFonts w:hint="default" w:ascii="宋体" w:hAnsi="宋体" w:eastAsia="宋体" w:cs="宋体"/>
                <w:b w:val="0"/>
                <w:bCs/>
                <w:color w:val="auto"/>
                <w:kern w:val="0"/>
                <w:szCs w:val="21"/>
                <w:highlight w:val="none"/>
                <w:lang w:val="en-US" w:eastAsia="zh-CN"/>
              </w:rPr>
            </w:pPr>
            <w:r>
              <w:rPr>
                <w:rFonts w:hint="eastAsia" w:ascii="宋体" w:hAnsi="宋体" w:eastAsia="宋体"/>
                <w:b w:val="0"/>
                <w:bCs/>
                <w:color w:val="auto"/>
                <w:kern w:val="0"/>
                <w:sz w:val="21"/>
                <w:szCs w:val="21"/>
                <w:highlight w:val="none"/>
              </w:rPr>
              <w:t>乙方合同义务</w:t>
            </w:r>
          </w:p>
        </w:tc>
        <w:tc>
          <w:tcPr>
            <w:tcW w:w="1346" w:type="dxa"/>
            <w:shd w:val="clear" w:color="auto" w:fill="auto"/>
            <w:vAlign w:val="center"/>
          </w:tcPr>
          <w:p w14:paraId="5C95FA4B">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29D4018D">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3642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3D99B020">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1425" w:type="dxa"/>
            <w:shd w:val="clear" w:color="auto" w:fill="auto"/>
            <w:vAlign w:val="center"/>
          </w:tcPr>
          <w:p w14:paraId="5612CC76">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第四</w:t>
            </w:r>
            <w:r>
              <w:rPr>
                <w:rFonts w:hint="eastAsia" w:ascii="宋体" w:hAnsi="宋体" w:eastAsia="宋体" w:cs="宋体"/>
                <w:color w:val="auto"/>
                <w:kern w:val="0"/>
                <w:szCs w:val="21"/>
                <w:highlight w:val="none"/>
                <w:lang w:val="en-US" w:eastAsia="zh-CN"/>
              </w:rPr>
              <w:t>条</w:t>
            </w:r>
          </w:p>
        </w:tc>
        <w:tc>
          <w:tcPr>
            <w:tcW w:w="3055" w:type="dxa"/>
            <w:shd w:val="clear" w:color="auto" w:fill="auto"/>
            <w:vAlign w:val="center"/>
          </w:tcPr>
          <w:p w14:paraId="4847665A">
            <w:pPr>
              <w:autoSpaceDE w:val="0"/>
              <w:autoSpaceDN w:val="0"/>
              <w:adjustRightInd w:val="0"/>
              <w:spacing w:line="400" w:lineRule="exact"/>
              <w:jc w:val="center"/>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危险废物种类、数量以及收费凭证及转接责任</w:t>
            </w:r>
          </w:p>
        </w:tc>
        <w:tc>
          <w:tcPr>
            <w:tcW w:w="1346" w:type="dxa"/>
            <w:shd w:val="clear" w:color="auto" w:fill="auto"/>
            <w:vAlign w:val="center"/>
          </w:tcPr>
          <w:p w14:paraId="27C5D9E9">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23487111">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5989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09C1E419">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1425" w:type="dxa"/>
            <w:shd w:val="clear" w:color="auto" w:fill="auto"/>
            <w:vAlign w:val="center"/>
          </w:tcPr>
          <w:p w14:paraId="5B54355B">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第五</w:t>
            </w:r>
            <w:r>
              <w:rPr>
                <w:rFonts w:hint="eastAsia" w:ascii="宋体" w:hAnsi="宋体" w:eastAsia="宋体" w:cs="宋体"/>
                <w:color w:val="auto"/>
                <w:kern w:val="0"/>
                <w:szCs w:val="21"/>
                <w:highlight w:val="none"/>
                <w:lang w:val="en-US" w:eastAsia="zh-CN"/>
              </w:rPr>
              <w:t>条</w:t>
            </w:r>
            <w:r>
              <w:rPr>
                <w:rFonts w:hint="eastAsia" w:ascii="宋体" w:hAnsi="宋体" w:eastAsia="宋体" w:cs="宋体"/>
                <w:color w:val="auto"/>
                <w:kern w:val="0"/>
                <w:szCs w:val="21"/>
                <w:highlight w:val="none"/>
              </w:rPr>
              <w:t xml:space="preserve"> </w:t>
            </w:r>
          </w:p>
        </w:tc>
        <w:tc>
          <w:tcPr>
            <w:tcW w:w="3055" w:type="dxa"/>
            <w:shd w:val="clear" w:color="auto" w:fill="auto"/>
            <w:vAlign w:val="center"/>
          </w:tcPr>
          <w:p w14:paraId="7C78EAC6">
            <w:pPr>
              <w:autoSpaceDE w:val="0"/>
              <w:autoSpaceDN w:val="0"/>
              <w:adjustRightInd w:val="0"/>
              <w:spacing w:line="400" w:lineRule="exact"/>
              <w:jc w:val="center"/>
              <w:rPr>
                <w:rFonts w:hint="eastAsia" w:ascii="宋体" w:hAnsi="宋体" w:eastAsia="宋体" w:cs="宋体"/>
                <w:b w:val="0"/>
                <w:bCs/>
                <w:color w:val="auto"/>
                <w:kern w:val="0"/>
                <w:szCs w:val="21"/>
                <w:highlight w:val="none"/>
                <w:lang w:val="en-US" w:eastAsia="zh-CN"/>
              </w:rPr>
            </w:pPr>
            <w:r>
              <w:rPr>
                <w:rFonts w:hint="eastAsia" w:ascii="宋体" w:hAnsi="宋体" w:eastAsia="宋体"/>
                <w:b w:val="0"/>
                <w:bCs/>
                <w:color w:val="auto"/>
                <w:kern w:val="0"/>
                <w:sz w:val="21"/>
                <w:szCs w:val="21"/>
                <w:highlight w:val="none"/>
              </w:rPr>
              <w:t>履约担保</w:t>
            </w:r>
          </w:p>
        </w:tc>
        <w:tc>
          <w:tcPr>
            <w:tcW w:w="1346" w:type="dxa"/>
            <w:shd w:val="clear" w:color="auto" w:fill="auto"/>
            <w:vAlign w:val="center"/>
          </w:tcPr>
          <w:p w14:paraId="0DA23046">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539CE423">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63BF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157B0335">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p>
        </w:tc>
        <w:tc>
          <w:tcPr>
            <w:tcW w:w="1425" w:type="dxa"/>
            <w:shd w:val="clear" w:color="auto" w:fill="auto"/>
            <w:vAlign w:val="center"/>
          </w:tcPr>
          <w:p w14:paraId="5AC2618C">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第六</w:t>
            </w:r>
            <w:r>
              <w:rPr>
                <w:rFonts w:hint="eastAsia" w:ascii="宋体" w:hAnsi="宋体" w:eastAsia="宋体" w:cs="宋体"/>
                <w:color w:val="auto"/>
                <w:kern w:val="0"/>
                <w:szCs w:val="21"/>
                <w:highlight w:val="none"/>
                <w:lang w:val="en-US" w:eastAsia="zh-CN"/>
              </w:rPr>
              <w:t>条</w:t>
            </w:r>
          </w:p>
        </w:tc>
        <w:tc>
          <w:tcPr>
            <w:tcW w:w="3055" w:type="dxa"/>
            <w:shd w:val="clear" w:color="auto" w:fill="auto"/>
            <w:vAlign w:val="center"/>
          </w:tcPr>
          <w:p w14:paraId="6D3BB46A">
            <w:pPr>
              <w:autoSpaceDE w:val="0"/>
              <w:autoSpaceDN w:val="0"/>
              <w:adjustRightInd w:val="0"/>
              <w:spacing w:line="400" w:lineRule="exact"/>
              <w:jc w:val="center"/>
              <w:rPr>
                <w:rFonts w:hint="eastAsia" w:ascii="宋体" w:hAnsi="宋体" w:eastAsia="宋体" w:cs="宋体"/>
                <w:b w:val="0"/>
                <w:bCs/>
                <w:color w:val="auto"/>
                <w:kern w:val="0"/>
                <w:szCs w:val="21"/>
                <w:highlight w:val="none"/>
                <w:lang w:val="en-US" w:eastAsia="zh-CN"/>
              </w:rPr>
            </w:pPr>
            <w:r>
              <w:rPr>
                <w:rFonts w:hint="eastAsia" w:ascii="宋体" w:hAnsi="宋体" w:eastAsia="宋体"/>
                <w:b w:val="0"/>
                <w:bCs/>
                <w:color w:val="auto"/>
                <w:kern w:val="0"/>
                <w:sz w:val="21"/>
                <w:szCs w:val="21"/>
                <w:highlight w:val="none"/>
              </w:rPr>
              <w:t>服务价格</w:t>
            </w:r>
            <w:r>
              <w:rPr>
                <w:rFonts w:hint="eastAsia" w:ascii="宋体" w:hAnsi="宋体" w:eastAsia="宋体"/>
                <w:b w:val="0"/>
                <w:bCs/>
                <w:color w:val="auto"/>
                <w:kern w:val="0"/>
                <w:sz w:val="21"/>
                <w:szCs w:val="21"/>
                <w:highlight w:val="none"/>
                <w:lang w:val="en-US" w:eastAsia="zh-CN"/>
              </w:rPr>
              <w:t>及付款方式</w:t>
            </w:r>
          </w:p>
        </w:tc>
        <w:tc>
          <w:tcPr>
            <w:tcW w:w="1346" w:type="dxa"/>
            <w:shd w:val="clear" w:color="auto" w:fill="auto"/>
            <w:vAlign w:val="center"/>
          </w:tcPr>
          <w:p w14:paraId="342821B0">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1D331032">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2EB5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trPr>
        <w:tc>
          <w:tcPr>
            <w:tcW w:w="1020" w:type="dxa"/>
            <w:shd w:val="clear" w:color="auto" w:fill="auto"/>
            <w:vAlign w:val="center"/>
          </w:tcPr>
          <w:p w14:paraId="7261EFB9">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p>
        </w:tc>
        <w:tc>
          <w:tcPr>
            <w:tcW w:w="1425" w:type="dxa"/>
            <w:shd w:val="clear" w:color="auto" w:fill="auto"/>
            <w:vAlign w:val="center"/>
          </w:tcPr>
          <w:p w14:paraId="2A9736E7">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第七</w:t>
            </w:r>
            <w:r>
              <w:rPr>
                <w:rFonts w:hint="eastAsia" w:ascii="宋体" w:hAnsi="宋体" w:eastAsia="宋体" w:cs="宋体"/>
                <w:color w:val="auto"/>
                <w:kern w:val="0"/>
                <w:szCs w:val="21"/>
                <w:highlight w:val="none"/>
                <w:lang w:val="en-US" w:eastAsia="zh-CN"/>
              </w:rPr>
              <w:t>条</w:t>
            </w:r>
          </w:p>
        </w:tc>
        <w:tc>
          <w:tcPr>
            <w:tcW w:w="3055" w:type="dxa"/>
            <w:shd w:val="clear" w:color="auto" w:fill="auto"/>
            <w:vAlign w:val="center"/>
          </w:tcPr>
          <w:p w14:paraId="4D7A585F">
            <w:pPr>
              <w:autoSpaceDE w:val="0"/>
              <w:autoSpaceDN w:val="0"/>
              <w:adjustRightInd w:val="0"/>
              <w:spacing w:line="400" w:lineRule="exact"/>
              <w:jc w:val="center"/>
              <w:rPr>
                <w:rFonts w:hint="eastAsia" w:ascii="宋体" w:hAnsi="宋体" w:eastAsia="宋体" w:cs="宋体"/>
                <w:b w:val="0"/>
                <w:bCs/>
                <w:color w:val="auto"/>
                <w:kern w:val="0"/>
                <w:szCs w:val="21"/>
                <w:highlight w:val="none"/>
                <w:lang w:val="en-US" w:eastAsia="zh-CN"/>
              </w:rPr>
            </w:pPr>
            <w:r>
              <w:rPr>
                <w:rFonts w:hint="eastAsia" w:ascii="宋体" w:hAnsi="宋体" w:eastAsia="宋体"/>
                <w:b w:val="0"/>
                <w:bCs/>
                <w:color w:val="auto"/>
                <w:kern w:val="0"/>
                <w:sz w:val="21"/>
                <w:szCs w:val="21"/>
                <w:highlight w:val="none"/>
              </w:rPr>
              <w:t>不可抗力</w:t>
            </w:r>
          </w:p>
        </w:tc>
        <w:tc>
          <w:tcPr>
            <w:tcW w:w="1346" w:type="dxa"/>
            <w:shd w:val="clear" w:color="auto" w:fill="auto"/>
            <w:vAlign w:val="center"/>
          </w:tcPr>
          <w:p w14:paraId="1C182289">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01FA08F7">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4669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0" w:type="dxa"/>
            <w:shd w:val="clear" w:color="auto" w:fill="auto"/>
            <w:vAlign w:val="center"/>
          </w:tcPr>
          <w:p w14:paraId="2CD4EE6F">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w:t>
            </w:r>
          </w:p>
        </w:tc>
        <w:tc>
          <w:tcPr>
            <w:tcW w:w="1425" w:type="dxa"/>
            <w:shd w:val="clear" w:color="auto" w:fill="auto"/>
            <w:vAlign w:val="center"/>
          </w:tcPr>
          <w:p w14:paraId="1C286EBA">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第八</w:t>
            </w:r>
            <w:r>
              <w:rPr>
                <w:rFonts w:hint="eastAsia" w:ascii="宋体" w:hAnsi="宋体" w:eastAsia="宋体" w:cs="宋体"/>
                <w:color w:val="auto"/>
                <w:kern w:val="0"/>
                <w:szCs w:val="21"/>
                <w:highlight w:val="none"/>
                <w:lang w:val="en-US" w:eastAsia="zh-CN"/>
              </w:rPr>
              <w:t>条</w:t>
            </w:r>
          </w:p>
        </w:tc>
        <w:tc>
          <w:tcPr>
            <w:tcW w:w="3055" w:type="dxa"/>
            <w:shd w:val="clear" w:color="auto" w:fill="auto"/>
            <w:vAlign w:val="center"/>
          </w:tcPr>
          <w:p w14:paraId="5B39F291">
            <w:pPr>
              <w:autoSpaceDE w:val="0"/>
              <w:autoSpaceDN w:val="0"/>
              <w:adjustRightInd w:val="0"/>
              <w:spacing w:line="400" w:lineRule="exact"/>
              <w:jc w:val="center"/>
              <w:rPr>
                <w:rFonts w:hint="eastAsia" w:ascii="宋体" w:hAnsi="宋体" w:eastAsia="宋体" w:cs="宋体"/>
                <w:b w:val="0"/>
                <w:bCs/>
                <w:color w:val="auto"/>
                <w:kern w:val="0"/>
                <w:szCs w:val="21"/>
                <w:highlight w:val="none"/>
                <w:lang w:val="en-US" w:eastAsia="zh-CN"/>
              </w:rPr>
            </w:pPr>
            <w:r>
              <w:rPr>
                <w:rFonts w:hint="eastAsia" w:ascii="宋体" w:hAnsi="宋体" w:eastAsia="宋体"/>
                <w:b w:val="0"/>
                <w:bCs/>
                <w:color w:val="auto"/>
                <w:kern w:val="0"/>
                <w:sz w:val="21"/>
                <w:szCs w:val="21"/>
                <w:highlight w:val="none"/>
              </w:rPr>
              <w:t>合同争议的解决办法</w:t>
            </w:r>
          </w:p>
        </w:tc>
        <w:tc>
          <w:tcPr>
            <w:tcW w:w="1346" w:type="dxa"/>
            <w:shd w:val="clear" w:color="auto" w:fill="auto"/>
            <w:vAlign w:val="center"/>
          </w:tcPr>
          <w:p w14:paraId="45996C39">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1ABDA320">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503E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020" w:type="dxa"/>
            <w:shd w:val="clear" w:color="auto" w:fill="auto"/>
            <w:vAlign w:val="center"/>
          </w:tcPr>
          <w:p w14:paraId="747A8126">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w:t>
            </w:r>
          </w:p>
        </w:tc>
        <w:tc>
          <w:tcPr>
            <w:tcW w:w="1425" w:type="dxa"/>
            <w:shd w:val="clear" w:color="auto" w:fill="auto"/>
            <w:vAlign w:val="center"/>
          </w:tcPr>
          <w:p w14:paraId="0F23EAC8">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第九</w:t>
            </w:r>
            <w:r>
              <w:rPr>
                <w:rFonts w:hint="eastAsia" w:ascii="宋体" w:hAnsi="宋体" w:eastAsia="宋体" w:cs="宋体"/>
                <w:color w:val="auto"/>
                <w:kern w:val="0"/>
                <w:szCs w:val="21"/>
                <w:highlight w:val="none"/>
                <w:lang w:val="en-US" w:eastAsia="zh-CN"/>
              </w:rPr>
              <w:t>条</w:t>
            </w:r>
          </w:p>
        </w:tc>
        <w:tc>
          <w:tcPr>
            <w:tcW w:w="3055" w:type="dxa"/>
            <w:shd w:val="clear" w:color="auto" w:fill="auto"/>
            <w:vAlign w:val="center"/>
          </w:tcPr>
          <w:p w14:paraId="46411A23">
            <w:pPr>
              <w:autoSpaceDE w:val="0"/>
              <w:autoSpaceDN w:val="0"/>
              <w:adjustRightInd w:val="0"/>
              <w:spacing w:line="400" w:lineRule="exact"/>
              <w:jc w:val="center"/>
              <w:rPr>
                <w:rFonts w:hint="eastAsia" w:ascii="宋体" w:hAnsi="宋体" w:eastAsia="宋体" w:cs="宋体"/>
                <w:b w:val="0"/>
                <w:bCs/>
                <w:color w:val="auto"/>
                <w:kern w:val="0"/>
                <w:szCs w:val="21"/>
                <w:highlight w:val="none"/>
                <w:lang w:val="en-US" w:eastAsia="zh-CN"/>
              </w:rPr>
            </w:pPr>
            <w:r>
              <w:rPr>
                <w:rFonts w:hint="eastAsia" w:ascii="宋体" w:hAnsi="宋体" w:eastAsia="宋体"/>
                <w:b w:val="0"/>
                <w:bCs/>
                <w:color w:val="auto"/>
                <w:kern w:val="0"/>
                <w:sz w:val="21"/>
                <w:szCs w:val="21"/>
                <w:highlight w:val="none"/>
              </w:rPr>
              <w:t>保密条款</w:t>
            </w:r>
          </w:p>
        </w:tc>
        <w:tc>
          <w:tcPr>
            <w:tcW w:w="1346" w:type="dxa"/>
            <w:shd w:val="clear" w:color="auto" w:fill="auto"/>
            <w:vAlign w:val="center"/>
          </w:tcPr>
          <w:p w14:paraId="711255C1">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47BAF122">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7576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19897F17">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1425" w:type="dxa"/>
            <w:shd w:val="clear" w:color="auto" w:fill="auto"/>
            <w:vAlign w:val="center"/>
          </w:tcPr>
          <w:p w14:paraId="2F83DDAC">
            <w:pPr>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十条</w:t>
            </w:r>
          </w:p>
        </w:tc>
        <w:tc>
          <w:tcPr>
            <w:tcW w:w="3055" w:type="dxa"/>
            <w:shd w:val="clear" w:color="auto" w:fill="auto"/>
            <w:vAlign w:val="center"/>
          </w:tcPr>
          <w:p w14:paraId="0CDD56EC">
            <w:pPr>
              <w:autoSpaceDE w:val="0"/>
              <w:autoSpaceDN w:val="0"/>
              <w:adjustRightInd w:val="0"/>
              <w:spacing w:line="400" w:lineRule="exact"/>
              <w:jc w:val="center"/>
              <w:rPr>
                <w:rFonts w:hint="eastAsia" w:ascii="宋体" w:hAnsi="宋体" w:eastAsia="宋体" w:cs="宋体"/>
                <w:b w:val="0"/>
                <w:bCs/>
                <w:color w:val="auto"/>
                <w:kern w:val="0"/>
                <w:szCs w:val="21"/>
                <w:highlight w:val="none"/>
                <w:lang w:val="en-US" w:eastAsia="zh-CN"/>
              </w:rPr>
            </w:pPr>
            <w:r>
              <w:rPr>
                <w:rFonts w:hint="eastAsia" w:ascii="宋体" w:hAnsi="宋体" w:eastAsia="宋体"/>
                <w:b w:val="0"/>
                <w:bCs/>
                <w:color w:val="auto"/>
                <w:kern w:val="0"/>
                <w:sz w:val="21"/>
                <w:szCs w:val="21"/>
                <w:highlight w:val="none"/>
                <w:lang w:val="en-US" w:eastAsia="zh-CN"/>
              </w:rPr>
              <w:t>违</w:t>
            </w:r>
            <w:r>
              <w:rPr>
                <w:rFonts w:hint="eastAsia" w:ascii="宋体" w:hAnsi="宋体" w:eastAsia="宋体"/>
                <w:b w:val="0"/>
                <w:bCs/>
                <w:color w:val="auto"/>
                <w:kern w:val="0"/>
                <w:sz w:val="21"/>
                <w:szCs w:val="21"/>
                <w:highlight w:val="none"/>
              </w:rPr>
              <w:t>约责任</w:t>
            </w:r>
          </w:p>
        </w:tc>
        <w:tc>
          <w:tcPr>
            <w:tcW w:w="1346" w:type="dxa"/>
            <w:shd w:val="clear" w:color="auto" w:fill="auto"/>
            <w:vAlign w:val="center"/>
          </w:tcPr>
          <w:p w14:paraId="079D3BDC">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6FF9EEDB">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6879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1F343EB0">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w:t>
            </w:r>
          </w:p>
        </w:tc>
        <w:tc>
          <w:tcPr>
            <w:tcW w:w="1425" w:type="dxa"/>
            <w:shd w:val="clear" w:color="auto" w:fill="auto"/>
            <w:vAlign w:val="center"/>
          </w:tcPr>
          <w:p w14:paraId="7E8DC815">
            <w:pPr>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十一条</w:t>
            </w:r>
          </w:p>
        </w:tc>
        <w:tc>
          <w:tcPr>
            <w:tcW w:w="3055" w:type="dxa"/>
            <w:shd w:val="clear" w:color="auto" w:fill="auto"/>
            <w:vAlign w:val="center"/>
          </w:tcPr>
          <w:p w14:paraId="3988DDDE">
            <w:pPr>
              <w:autoSpaceDE w:val="0"/>
              <w:autoSpaceDN w:val="0"/>
              <w:adjustRightInd w:val="0"/>
              <w:spacing w:line="400" w:lineRule="exact"/>
              <w:jc w:val="center"/>
              <w:rPr>
                <w:rFonts w:hint="eastAsia" w:ascii="宋体" w:hAnsi="宋体" w:eastAsia="宋体" w:cs="宋体"/>
                <w:b w:val="0"/>
                <w:bCs/>
                <w:color w:val="auto"/>
                <w:kern w:val="0"/>
                <w:szCs w:val="21"/>
                <w:highlight w:val="none"/>
                <w:lang w:val="en-US" w:eastAsia="zh-CN"/>
              </w:rPr>
            </w:pPr>
            <w:r>
              <w:rPr>
                <w:rFonts w:hint="eastAsia" w:ascii="宋体" w:hAnsi="宋体" w:eastAsia="宋体"/>
                <w:b w:val="0"/>
                <w:bCs/>
                <w:color w:val="auto"/>
                <w:kern w:val="0"/>
                <w:sz w:val="21"/>
                <w:szCs w:val="21"/>
                <w:highlight w:val="none"/>
              </w:rPr>
              <w:t>合同其他事宜</w:t>
            </w:r>
          </w:p>
        </w:tc>
        <w:tc>
          <w:tcPr>
            <w:tcW w:w="1346" w:type="dxa"/>
            <w:shd w:val="clear" w:color="auto" w:fill="auto"/>
            <w:vAlign w:val="center"/>
          </w:tcPr>
          <w:p w14:paraId="6C23C78C">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27E107DE">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6E98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1BC45FD4">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w:t>
            </w:r>
          </w:p>
        </w:tc>
        <w:tc>
          <w:tcPr>
            <w:tcW w:w="1425" w:type="dxa"/>
            <w:shd w:val="clear" w:color="auto" w:fill="auto"/>
            <w:vAlign w:val="center"/>
          </w:tcPr>
          <w:p w14:paraId="2C76C6A2">
            <w:pPr>
              <w:spacing w:line="40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附件二</w:t>
            </w:r>
          </w:p>
        </w:tc>
        <w:tc>
          <w:tcPr>
            <w:tcW w:w="3055" w:type="dxa"/>
            <w:shd w:val="clear" w:color="auto" w:fill="auto"/>
            <w:vAlign w:val="center"/>
          </w:tcPr>
          <w:p w14:paraId="43B75F0A">
            <w:pPr>
              <w:spacing w:line="40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廉洁协议书</w:t>
            </w:r>
          </w:p>
        </w:tc>
        <w:tc>
          <w:tcPr>
            <w:tcW w:w="1346" w:type="dxa"/>
            <w:shd w:val="clear" w:color="auto" w:fill="auto"/>
            <w:vAlign w:val="center"/>
          </w:tcPr>
          <w:p w14:paraId="55983AB1">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51B81389">
            <w:pPr>
              <w:autoSpaceDE w:val="0"/>
              <w:autoSpaceDN w:val="0"/>
              <w:adjustRightInd w:val="0"/>
              <w:spacing w:line="400" w:lineRule="exact"/>
              <w:jc w:val="center"/>
              <w:rPr>
                <w:rFonts w:hint="eastAsia" w:ascii="宋体" w:hAnsi="宋体" w:eastAsia="宋体" w:cs="宋体"/>
                <w:color w:val="auto"/>
                <w:kern w:val="0"/>
                <w:szCs w:val="21"/>
                <w:highlight w:val="none"/>
              </w:rPr>
            </w:pPr>
          </w:p>
        </w:tc>
      </w:tr>
      <w:tr w14:paraId="36B5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shd w:val="clear" w:color="auto" w:fill="auto"/>
            <w:vAlign w:val="center"/>
          </w:tcPr>
          <w:p w14:paraId="0F1D1966">
            <w:pPr>
              <w:autoSpaceDE w:val="0"/>
              <w:autoSpaceDN w:val="0"/>
              <w:adjustRightInd w:val="0"/>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w:t>
            </w:r>
          </w:p>
        </w:tc>
        <w:tc>
          <w:tcPr>
            <w:tcW w:w="1425" w:type="dxa"/>
            <w:shd w:val="clear" w:color="auto" w:fill="auto"/>
            <w:vAlign w:val="center"/>
          </w:tcPr>
          <w:p w14:paraId="73DED6E2">
            <w:pPr>
              <w:spacing w:line="400" w:lineRule="exact"/>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附件三</w:t>
            </w:r>
          </w:p>
        </w:tc>
        <w:tc>
          <w:tcPr>
            <w:tcW w:w="3055" w:type="dxa"/>
            <w:shd w:val="clear" w:color="auto" w:fill="auto"/>
            <w:vAlign w:val="center"/>
          </w:tcPr>
          <w:p w14:paraId="35528ECE">
            <w:pPr>
              <w:spacing w:line="400" w:lineRule="exact"/>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安全生产管理协议</w:t>
            </w:r>
          </w:p>
        </w:tc>
        <w:tc>
          <w:tcPr>
            <w:tcW w:w="1346" w:type="dxa"/>
            <w:shd w:val="clear" w:color="auto" w:fill="auto"/>
            <w:vAlign w:val="center"/>
          </w:tcPr>
          <w:p w14:paraId="433F5F01">
            <w:pPr>
              <w:autoSpaceDE w:val="0"/>
              <w:autoSpaceDN w:val="0"/>
              <w:adjustRightInd w:val="0"/>
              <w:spacing w:line="400" w:lineRule="exact"/>
              <w:jc w:val="center"/>
              <w:rPr>
                <w:rFonts w:hint="eastAsia" w:ascii="宋体" w:hAnsi="宋体" w:eastAsia="宋体" w:cs="宋体"/>
                <w:color w:val="auto"/>
                <w:kern w:val="0"/>
                <w:szCs w:val="21"/>
                <w:highlight w:val="none"/>
              </w:rPr>
            </w:pPr>
          </w:p>
        </w:tc>
        <w:tc>
          <w:tcPr>
            <w:tcW w:w="3524" w:type="dxa"/>
            <w:shd w:val="clear" w:color="auto" w:fill="auto"/>
            <w:vAlign w:val="center"/>
          </w:tcPr>
          <w:p w14:paraId="26911559">
            <w:pPr>
              <w:autoSpaceDE w:val="0"/>
              <w:autoSpaceDN w:val="0"/>
              <w:adjustRightInd w:val="0"/>
              <w:spacing w:line="400" w:lineRule="exact"/>
              <w:jc w:val="center"/>
              <w:rPr>
                <w:rFonts w:hint="eastAsia" w:ascii="宋体" w:hAnsi="宋体" w:eastAsia="宋体" w:cs="宋体"/>
                <w:color w:val="auto"/>
                <w:kern w:val="0"/>
                <w:szCs w:val="21"/>
                <w:highlight w:val="none"/>
              </w:rPr>
            </w:pPr>
          </w:p>
        </w:tc>
      </w:tr>
    </w:tbl>
    <w:p w14:paraId="48F5CB8D">
      <w:pPr>
        <w:autoSpaceDE w:val="0"/>
        <w:autoSpaceDN w:val="0"/>
        <w:adjustRightInd w:val="0"/>
        <w:snapToGrid w:val="0"/>
        <w:spacing w:line="360" w:lineRule="auto"/>
        <w:ind w:left="186" w:leftChars="-158" w:hanging="518" w:hangingChars="247"/>
        <w:jc w:val="left"/>
        <w:rPr>
          <w:rFonts w:hint="eastAsia" w:ascii="宋体" w:hAnsi="宋体" w:eastAsia="宋体" w:cs="宋体"/>
          <w:color w:val="auto"/>
          <w:szCs w:val="24"/>
          <w:highlight w:val="none"/>
          <w:lang w:val="zh-CN"/>
        </w:rPr>
      </w:pPr>
    </w:p>
    <w:p w14:paraId="72057DCD">
      <w:pPr>
        <w:autoSpaceDE w:val="0"/>
        <w:autoSpaceDN w:val="0"/>
        <w:adjustRightInd w:val="0"/>
        <w:snapToGrid w:val="0"/>
        <w:spacing w:line="360" w:lineRule="auto"/>
        <w:ind w:left="166" w:leftChars="-101" w:hanging="378" w:hangingChars="180"/>
        <w:jc w:val="left"/>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备注：</w:t>
      </w:r>
    </w:p>
    <w:p w14:paraId="735D8A48">
      <w:pPr>
        <w:spacing w:line="360" w:lineRule="auto"/>
        <w:ind w:left="605" w:leftChars="18" w:hanging="567" w:hangingChars="27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b/>
          <w:color w:val="auto"/>
          <w:kern w:val="0"/>
          <w:szCs w:val="21"/>
          <w:highlight w:val="none"/>
          <w:u w:val="single"/>
          <w:lang w:eastAsia="zh-CN"/>
        </w:rPr>
        <w:t>供应商</w:t>
      </w:r>
      <w:r>
        <w:rPr>
          <w:rFonts w:hint="eastAsia" w:ascii="宋体" w:hAnsi="宋体" w:eastAsia="宋体" w:cs="宋体"/>
          <w:b/>
          <w:color w:val="auto"/>
          <w:kern w:val="0"/>
          <w:szCs w:val="21"/>
          <w:highlight w:val="none"/>
          <w:u w:val="single"/>
        </w:rPr>
        <w:t>应对照</w:t>
      </w:r>
      <w:r>
        <w:rPr>
          <w:rFonts w:hint="eastAsia" w:ascii="宋体" w:hAnsi="宋体" w:eastAsia="宋体" w:cs="宋体"/>
          <w:b/>
          <w:color w:val="auto"/>
          <w:kern w:val="0"/>
          <w:szCs w:val="21"/>
          <w:highlight w:val="none"/>
          <w:u w:val="single"/>
          <w:lang w:eastAsia="zh-CN"/>
        </w:rPr>
        <w:t>询比文件</w:t>
      </w:r>
      <w:r>
        <w:rPr>
          <w:rFonts w:hint="eastAsia" w:ascii="宋体" w:hAnsi="宋体" w:eastAsia="宋体" w:cs="宋体"/>
          <w:b/>
          <w:color w:val="auto"/>
          <w:kern w:val="0"/>
          <w:szCs w:val="21"/>
          <w:highlight w:val="none"/>
          <w:u w:val="single"/>
        </w:rPr>
        <w:t>合同格式内合同条款及附件，逐条、如实地填写“偏离情况”项。“偏离情况”项为正偏离（或负偏离）的，必须在“具体偏离内容”项内详细说明与</w:t>
      </w:r>
      <w:r>
        <w:rPr>
          <w:rFonts w:hint="eastAsia" w:ascii="宋体" w:hAnsi="宋体" w:eastAsia="宋体" w:cs="宋体"/>
          <w:b/>
          <w:color w:val="auto"/>
          <w:kern w:val="0"/>
          <w:szCs w:val="21"/>
          <w:highlight w:val="none"/>
          <w:u w:val="single"/>
          <w:lang w:eastAsia="zh-CN"/>
        </w:rPr>
        <w:t>询比文件</w:t>
      </w:r>
      <w:r>
        <w:rPr>
          <w:rFonts w:hint="eastAsia" w:ascii="宋体" w:hAnsi="宋体" w:eastAsia="宋体" w:cs="宋体"/>
          <w:b/>
          <w:color w:val="auto"/>
          <w:kern w:val="0"/>
          <w:szCs w:val="21"/>
          <w:highlight w:val="none"/>
          <w:u w:val="single"/>
        </w:rPr>
        <w:t>的偏离内容，“偏离情况”项为无偏离的，在“具体偏离内容”项内填“无”。若发现虚假填写本表，或对合同及其附件响应有负偏离的，按无效</w:t>
      </w:r>
      <w:r>
        <w:rPr>
          <w:rFonts w:hint="eastAsia" w:ascii="宋体" w:hAnsi="宋体" w:eastAsia="宋体" w:cs="宋体"/>
          <w:b/>
          <w:color w:val="auto"/>
          <w:kern w:val="0"/>
          <w:szCs w:val="21"/>
          <w:highlight w:val="none"/>
          <w:u w:val="single"/>
          <w:lang w:eastAsia="zh-CN"/>
        </w:rPr>
        <w:t>响应文件</w:t>
      </w:r>
      <w:r>
        <w:rPr>
          <w:rFonts w:hint="eastAsia" w:ascii="宋体" w:hAnsi="宋体" w:eastAsia="宋体" w:cs="宋体"/>
          <w:b/>
          <w:color w:val="auto"/>
          <w:kern w:val="0"/>
          <w:szCs w:val="21"/>
          <w:highlight w:val="none"/>
          <w:u w:val="single"/>
        </w:rPr>
        <w:t>处理。若发现此表未逐条填写视为完全满足</w:t>
      </w:r>
      <w:r>
        <w:rPr>
          <w:rFonts w:hint="eastAsia" w:ascii="宋体" w:hAnsi="宋体" w:eastAsia="宋体" w:cs="宋体"/>
          <w:b/>
          <w:color w:val="auto"/>
          <w:kern w:val="0"/>
          <w:szCs w:val="21"/>
          <w:highlight w:val="none"/>
          <w:u w:val="single"/>
          <w:lang w:eastAsia="zh-CN"/>
        </w:rPr>
        <w:t>询比文件</w:t>
      </w:r>
      <w:r>
        <w:rPr>
          <w:rFonts w:hint="eastAsia" w:ascii="宋体" w:hAnsi="宋体" w:eastAsia="宋体" w:cs="宋体"/>
          <w:b/>
          <w:color w:val="auto"/>
          <w:kern w:val="0"/>
          <w:szCs w:val="21"/>
          <w:highlight w:val="none"/>
          <w:u w:val="single"/>
        </w:rPr>
        <w:t>要求</w:t>
      </w:r>
      <w:r>
        <w:rPr>
          <w:rFonts w:hint="eastAsia" w:ascii="宋体" w:hAnsi="宋体" w:eastAsia="宋体" w:cs="宋体"/>
          <w:b/>
          <w:color w:val="auto"/>
          <w:kern w:val="0"/>
          <w:szCs w:val="21"/>
          <w:highlight w:val="none"/>
        </w:rPr>
        <w:t>。</w:t>
      </w:r>
    </w:p>
    <w:p w14:paraId="6C704345">
      <w:pPr>
        <w:spacing w:line="360" w:lineRule="auto"/>
        <w:ind w:left="605" w:leftChars="18" w:hanging="567" w:hangingChars="27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（2）偏离情况（</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对</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合同条款的响应程度）分为：正偏离、负偏离、无偏离。正偏离是指</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提供的</w:t>
      </w:r>
      <w:r>
        <w:rPr>
          <w:rFonts w:hint="eastAsia" w:ascii="宋体" w:hAnsi="宋体" w:eastAsia="宋体" w:cs="宋体"/>
          <w:color w:val="auto"/>
          <w:szCs w:val="21"/>
          <w:highlight w:val="none"/>
          <w:lang w:val="en-US" w:eastAsia="zh-CN"/>
        </w:rPr>
        <w:t>相关服务</w:t>
      </w:r>
      <w:r>
        <w:rPr>
          <w:rFonts w:hint="eastAsia" w:ascii="宋体" w:hAnsi="宋体" w:eastAsia="宋体" w:cs="宋体"/>
          <w:color w:val="auto"/>
          <w:szCs w:val="21"/>
          <w:highlight w:val="none"/>
        </w:rPr>
        <w:t>商务条件优于</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的要求；负偏离是指</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提供的</w:t>
      </w:r>
      <w:r>
        <w:rPr>
          <w:rFonts w:hint="eastAsia" w:ascii="宋体" w:hAnsi="宋体" w:eastAsia="宋体" w:cs="宋体"/>
          <w:color w:val="auto"/>
          <w:szCs w:val="21"/>
          <w:highlight w:val="none"/>
          <w:lang w:val="en-US" w:eastAsia="zh-CN"/>
        </w:rPr>
        <w:t>相关服务</w:t>
      </w:r>
      <w:r>
        <w:rPr>
          <w:rFonts w:hint="eastAsia" w:ascii="宋体" w:hAnsi="宋体" w:eastAsia="宋体" w:cs="宋体"/>
          <w:color w:val="auto"/>
          <w:szCs w:val="21"/>
          <w:highlight w:val="none"/>
        </w:rPr>
        <w:t>商务条件不满足或不完全满足</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的要求；无偏离是指</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提供的</w:t>
      </w:r>
      <w:r>
        <w:rPr>
          <w:rFonts w:hint="eastAsia" w:ascii="宋体" w:hAnsi="宋体" w:eastAsia="宋体" w:cs="宋体"/>
          <w:color w:val="auto"/>
          <w:szCs w:val="21"/>
          <w:highlight w:val="none"/>
          <w:lang w:val="en-US" w:eastAsia="zh-CN"/>
        </w:rPr>
        <w:t>相关服务</w:t>
      </w:r>
      <w:r>
        <w:rPr>
          <w:rFonts w:hint="eastAsia" w:ascii="宋体" w:hAnsi="宋体" w:eastAsia="宋体" w:cs="宋体"/>
          <w:color w:val="auto"/>
          <w:szCs w:val="21"/>
          <w:highlight w:val="none"/>
        </w:rPr>
        <w:t>商务条件完全满足</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的要求。</w:t>
      </w:r>
    </w:p>
    <w:p w14:paraId="11B06A50">
      <w:pPr>
        <w:spacing w:line="360" w:lineRule="auto"/>
        <w:ind w:left="605" w:leftChars="18" w:hanging="567" w:hangingChars="27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）如</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差异内容较多可另附页说明，并在本偏离表“具体偏离内容”项注明其在</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中的具体页码。</w:t>
      </w:r>
    </w:p>
    <w:p w14:paraId="0E7A3656">
      <w:pPr>
        <w:spacing w:line="360" w:lineRule="auto"/>
        <w:ind w:left="357" w:leftChars="-100" w:hanging="567" w:hangingChars="270"/>
        <w:rPr>
          <w:rFonts w:hint="eastAsia" w:ascii="宋体" w:hAnsi="宋体" w:eastAsia="宋体" w:cs="宋体"/>
          <w:color w:val="auto"/>
          <w:szCs w:val="21"/>
          <w:highlight w:val="none"/>
        </w:rPr>
      </w:pPr>
    </w:p>
    <w:p w14:paraId="54269E69">
      <w:pPr>
        <w:spacing w:line="360" w:lineRule="auto"/>
        <w:ind w:left="357" w:leftChars="-100" w:hanging="567" w:hangingChars="270"/>
        <w:rPr>
          <w:rFonts w:hint="eastAsia" w:ascii="宋体" w:hAnsi="宋体" w:eastAsia="宋体" w:cs="宋体"/>
          <w:color w:val="auto"/>
          <w:szCs w:val="21"/>
          <w:highlight w:val="none"/>
        </w:rPr>
      </w:pPr>
    </w:p>
    <w:p w14:paraId="69A65AE2">
      <w:pPr>
        <w:spacing w:line="360" w:lineRule="auto"/>
        <w:ind w:left="357" w:leftChars="-100" w:hanging="567" w:hangingChars="270"/>
        <w:rPr>
          <w:rFonts w:hint="eastAsia" w:ascii="宋体" w:hAnsi="宋体" w:eastAsia="宋体" w:cs="宋体"/>
          <w:color w:val="auto"/>
          <w:szCs w:val="21"/>
          <w:highlight w:val="none"/>
        </w:rPr>
      </w:pPr>
    </w:p>
    <w:p w14:paraId="15B1D068">
      <w:pPr>
        <w:spacing w:line="360" w:lineRule="auto"/>
        <w:ind w:right="368" w:rightChars="175" w:firstLine="5355" w:firstLineChars="2550"/>
        <w:jc w:val="left"/>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lang w:val="zh-CN"/>
        </w:rPr>
        <w:t>供应商：</w:t>
      </w:r>
      <w:r>
        <w:rPr>
          <w:rFonts w:hint="eastAsia" w:ascii="宋体" w:hAnsi="宋体" w:eastAsia="宋体" w:cs="宋体"/>
          <w:color w:val="auto"/>
          <w:kern w:val="0"/>
          <w:szCs w:val="21"/>
          <w:highlight w:val="none"/>
          <w:lang w:val="zh-CN"/>
        </w:rPr>
        <w:t>（加盖供应商法人公章）</w:t>
      </w:r>
    </w:p>
    <w:p w14:paraId="7EFFDB10">
      <w:pPr>
        <w:autoSpaceDE w:val="0"/>
        <w:autoSpaceDN w:val="0"/>
        <w:adjustRightInd w:val="0"/>
        <w:spacing w:line="360" w:lineRule="auto"/>
        <w:ind w:firstLine="5355" w:firstLineChars="255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日  期：  年  月  日</w:t>
      </w:r>
    </w:p>
    <w:p w14:paraId="4D5FC6D6">
      <w:pPr>
        <w:keepNext w:val="0"/>
        <w:keepLines w:val="0"/>
        <w:pageBreakBefore/>
        <w:widowControl w:val="0"/>
        <w:tabs>
          <w:tab w:val="left" w:pos="567"/>
        </w:tabs>
        <w:kinsoku/>
        <w:wordWrap/>
        <w:overflowPunct/>
        <w:topLinePunct w:val="0"/>
        <w:autoSpaceDE w:val="0"/>
        <w:autoSpaceDN w:val="0"/>
        <w:bidi w:val="0"/>
        <w:adjustRightInd w:val="0"/>
        <w:snapToGrid/>
        <w:spacing w:line="360" w:lineRule="auto"/>
        <w:jc w:val="left"/>
        <w:textAlignment w:val="auto"/>
        <w:outlineLvl w:val="2"/>
        <w:rPr>
          <w:rFonts w:hint="eastAsia" w:ascii="宋体" w:hAnsi="宋体" w:eastAsia="宋体" w:cs="宋体"/>
          <w:b/>
          <w:color w:val="auto"/>
          <w:kern w:val="0"/>
          <w:sz w:val="32"/>
          <w:szCs w:val="32"/>
          <w:highlight w:val="none"/>
        </w:rPr>
      </w:pPr>
      <w:bookmarkStart w:id="622" w:name="_Toc94107218"/>
      <w:bookmarkStart w:id="623" w:name="_Toc5473"/>
      <w:bookmarkStart w:id="624" w:name="_Toc13179"/>
      <w:bookmarkStart w:id="625" w:name="_Toc30416"/>
      <w:bookmarkStart w:id="626" w:name="_Toc29505"/>
      <w:bookmarkStart w:id="627" w:name="_Toc104991884"/>
      <w:bookmarkStart w:id="628" w:name="_Toc102860426"/>
      <w:bookmarkStart w:id="629" w:name="_Toc140596937"/>
      <w:bookmarkStart w:id="630" w:name="_Toc134444521"/>
      <w:bookmarkStart w:id="631" w:name="_Toc142508377"/>
      <w:bookmarkStart w:id="632" w:name="_Toc102860082"/>
      <w:bookmarkStart w:id="633" w:name="_Toc486167717"/>
      <w:bookmarkStart w:id="634" w:name="_Toc27980_WPSOffice_Level2"/>
      <w:r>
        <w:rPr>
          <w:rFonts w:hint="eastAsia" w:ascii="宋体" w:hAnsi="宋体" w:eastAsia="宋体" w:cs="宋体"/>
          <w:b/>
          <w:color w:val="auto"/>
          <w:kern w:val="0"/>
          <w:sz w:val="32"/>
          <w:szCs w:val="32"/>
          <w:highlight w:val="none"/>
          <w:lang w:val="en-US" w:eastAsia="zh-CN"/>
        </w:rPr>
        <w:t>九</w:t>
      </w:r>
      <w:r>
        <w:rPr>
          <w:rFonts w:hint="eastAsia" w:ascii="宋体" w:hAnsi="宋体" w:eastAsia="宋体" w:cs="宋体"/>
          <w:b/>
          <w:color w:val="auto"/>
          <w:kern w:val="0"/>
          <w:sz w:val="32"/>
          <w:szCs w:val="32"/>
          <w:highlight w:val="none"/>
        </w:rPr>
        <w:t>、业绩表格式</w:t>
      </w:r>
      <w:bookmarkEnd w:id="622"/>
      <w:bookmarkEnd w:id="623"/>
      <w:bookmarkEnd w:id="624"/>
      <w:bookmarkEnd w:id="625"/>
      <w:bookmarkEnd w:id="626"/>
      <w:bookmarkEnd w:id="627"/>
      <w:bookmarkEnd w:id="628"/>
      <w:bookmarkEnd w:id="629"/>
      <w:bookmarkEnd w:id="630"/>
      <w:bookmarkEnd w:id="631"/>
      <w:bookmarkEnd w:id="632"/>
    </w:p>
    <w:p w14:paraId="446E86CE">
      <w:pPr>
        <w:keepNext w:val="0"/>
        <w:keepLines w:val="0"/>
        <w:pageBreakBefore w:val="0"/>
        <w:widowControl w:val="0"/>
        <w:kinsoku/>
        <w:wordWrap/>
        <w:overflowPunct/>
        <w:topLinePunct w:val="0"/>
        <w:autoSpaceDE w:val="0"/>
        <w:autoSpaceDN w:val="0"/>
        <w:bidi w:val="0"/>
        <w:adjustRightInd w:val="0"/>
        <w:snapToGrid/>
        <w:spacing w:line="360" w:lineRule="auto"/>
        <w:ind w:firstLine="0"/>
        <w:jc w:val="left"/>
        <w:textAlignment w:val="auto"/>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供应商2021年1月1日至今（合同签订时间为2021年1月1日或以后）承接过废物处置（危险废物代码为772-006-49）服务项目的业绩</w:t>
      </w:r>
    </w:p>
    <w:tbl>
      <w:tblPr>
        <w:tblStyle w:val="36"/>
        <w:tblW w:w="49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918"/>
        <w:gridCol w:w="1325"/>
        <w:gridCol w:w="1330"/>
        <w:gridCol w:w="1330"/>
        <w:gridCol w:w="1548"/>
        <w:gridCol w:w="1330"/>
        <w:gridCol w:w="1332"/>
        <w:gridCol w:w="907"/>
      </w:tblGrid>
      <w:tr w14:paraId="74E7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931" w:hRule="exact"/>
          <w:jc w:val="center"/>
        </w:trPr>
        <w:tc>
          <w:tcPr>
            <w:tcW w:w="458" w:type="pct"/>
            <w:noWrap w:val="0"/>
            <w:vAlign w:val="center"/>
          </w:tcPr>
          <w:p w14:paraId="5B8D9A5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661" w:type="pct"/>
            <w:noWrap w:val="0"/>
            <w:vAlign w:val="center"/>
          </w:tcPr>
          <w:p w14:paraId="4FAE7D9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63" w:type="pct"/>
            <w:noWrap w:val="0"/>
            <w:vAlign w:val="center"/>
          </w:tcPr>
          <w:p w14:paraId="293F800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合同金额</w:t>
            </w:r>
          </w:p>
          <w:p w14:paraId="3325D0A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663" w:type="pct"/>
            <w:noWrap w:val="0"/>
            <w:vAlign w:val="center"/>
          </w:tcPr>
          <w:p w14:paraId="3BD0386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合同主要服务内容</w:t>
            </w:r>
          </w:p>
        </w:tc>
        <w:tc>
          <w:tcPr>
            <w:tcW w:w="772" w:type="pct"/>
            <w:noWrap w:val="0"/>
            <w:vAlign w:val="center"/>
          </w:tcPr>
          <w:p w14:paraId="670C03E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签约日期</w:t>
            </w:r>
          </w:p>
        </w:tc>
        <w:tc>
          <w:tcPr>
            <w:tcW w:w="663" w:type="pct"/>
            <w:noWrap w:val="0"/>
            <w:vAlign w:val="center"/>
          </w:tcPr>
          <w:p w14:paraId="0B2DD87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服务完成情况</w:t>
            </w:r>
          </w:p>
        </w:tc>
        <w:tc>
          <w:tcPr>
            <w:tcW w:w="664" w:type="pct"/>
            <w:noWrap w:val="0"/>
            <w:vAlign w:val="center"/>
          </w:tcPr>
          <w:p w14:paraId="7A6BE8B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业主联系人及电话</w:t>
            </w:r>
          </w:p>
        </w:tc>
        <w:tc>
          <w:tcPr>
            <w:tcW w:w="452" w:type="pct"/>
            <w:noWrap w:val="0"/>
            <w:vAlign w:val="center"/>
          </w:tcPr>
          <w:p w14:paraId="2FDB8FC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2B2F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760" w:hRule="exact"/>
          <w:jc w:val="center"/>
        </w:trPr>
        <w:tc>
          <w:tcPr>
            <w:tcW w:w="458" w:type="pct"/>
            <w:noWrap w:val="0"/>
            <w:vAlign w:val="center"/>
          </w:tcPr>
          <w:p w14:paraId="6F63C6D3">
            <w:pPr>
              <w:jc w:val="center"/>
              <w:rPr>
                <w:rFonts w:hint="eastAsia" w:ascii="宋体" w:hAnsi="宋体" w:eastAsia="宋体" w:cs="宋体"/>
                <w:color w:val="auto"/>
                <w:sz w:val="21"/>
                <w:szCs w:val="21"/>
                <w:highlight w:val="none"/>
              </w:rPr>
            </w:pPr>
          </w:p>
        </w:tc>
        <w:tc>
          <w:tcPr>
            <w:tcW w:w="661" w:type="pct"/>
            <w:noWrap w:val="0"/>
            <w:vAlign w:val="center"/>
          </w:tcPr>
          <w:p w14:paraId="7041AC39">
            <w:pPr>
              <w:jc w:val="center"/>
              <w:rPr>
                <w:rFonts w:hint="eastAsia" w:ascii="宋体" w:hAnsi="宋体" w:eastAsia="宋体" w:cs="宋体"/>
                <w:color w:val="auto"/>
                <w:sz w:val="21"/>
                <w:szCs w:val="21"/>
                <w:highlight w:val="none"/>
              </w:rPr>
            </w:pPr>
          </w:p>
        </w:tc>
        <w:tc>
          <w:tcPr>
            <w:tcW w:w="663" w:type="pct"/>
            <w:noWrap w:val="0"/>
            <w:vAlign w:val="center"/>
          </w:tcPr>
          <w:p w14:paraId="4362B63C">
            <w:pPr>
              <w:jc w:val="center"/>
              <w:rPr>
                <w:rFonts w:hint="eastAsia" w:ascii="宋体" w:hAnsi="宋体" w:eastAsia="宋体" w:cs="宋体"/>
                <w:color w:val="auto"/>
                <w:sz w:val="21"/>
                <w:szCs w:val="21"/>
                <w:highlight w:val="none"/>
              </w:rPr>
            </w:pPr>
          </w:p>
        </w:tc>
        <w:tc>
          <w:tcPr>
            <w:tcW w:w="663" w:type="pct"/>
            <w:noWrap w:val="0"/>
            <w:vAlign w:val="center"/>
          </w:tcPr>
          <w:p w14:paraId="10DA3E80">
            <w:pPr>
              <w:jc w:val="center"/>
              <w:rPr>
                <w:rFonts w:hint="eastAsia" w:ascii="宋体" w:hAnsi="宋体" w:eastAsia="宋体" w:cs="宋体"/>
                <w:color w:val="auto"/>
                <w:sz w:val="21"/>
                <w:szCs w:val="21"/>
                <w:highlight w:val="none"/>
              </w:rPr>
            </w:pPr>
          </w:p>
        </w:tc>
        <w:tc>
          <w:tcPr>
            <w:tcW w:w="772" w:type="pct"/>
            <w:noWrap w:val="0"/>
            <w:vAlign w:val="center"/>
          </w:tcPr>
          <w:p w14:paraId="77AF1316">
            <w:pPr>
              <w:jc w:val="center"/>
              <w:rPr>
                <w:rFonts w:hint="eastAsia" w:ascii="宋体" w:hAnsi="宋体" w:eastAsia="宋体" w:cs="宋体"/>
                <w:color w:val="auto"/>
                <w:sz w:val="21"/>
                <w:szCs w:val="21"/>
                <w:highlight w:val="none"/>
              </w:rPr>
            </w:pPr>
          </w:p>
        </w:tc>
        <w:tc>
          <w:tcPr>
            <w:tcW w:w="663" w:type="pct"/>
            <w:noWrap w:val="0"/>
            <w:vAlign w:val="top"/>
          </w:tcPr>
          <w:p w14:paraId="64AFF5F2">
            <w:pPr>
              <w:jc w:val="center"/>
              <w:rPr>
                <w:rFonts w:hint="eastAsia" w:ascii="宋体" w:hAnsi="宋体" w:eastAsia="宋体" w:cs="宋体"/>
                <w:color w:val="auto"/>
                <w:sz w:val="21"/>
                <w:szCs w:val="21"/>
                <w:highlight w:val="none"/>
              </w:rPr>
            </w:pPr>
          </w:p>
        </w:tc>
        <w:tc>
          <w:tcPr>
            <w:tcW w:w="664" w:type="pct"/>
            <w:noWrap w:val="0"/>
            <w:vAlign w:val="center"/>
          </w:tcPr>
          <w:p w14:paraId="6DE0B5CB">
            <w:pPr>
              <w:jc w:val="center"/>
              <w:rPr>
                <w:rFonts w:hint="eastAsia" w:ascii="宋体" w:hAnsi="宋体" w:eastAsia="宋体" w:cs="宋体"/>
                <w:color w:val="auto"/>
                <w:sz w:val="21"/>
                <w:szCs w:val="21"/>
                <w:highlight w:val="none"/>
              </w:rPr>
            </w:pPr>
          </w:p>
        </w:tc>
        <w:tc>
          <w:tcPr>
            <w:tcW w:w="452" w:type="pct"/>
            <w:noWrap w:val="0"/>
            <w:vAlign w:val="center"/>
          </w:tcPr>
          <w:p w14:paraId="127FFE92">
            <w:pPr>
              <w:jc w:val="center"/>
              <w:rPr>
                <w:rFonts w:hint="eastAsia" w:ascii="宋体" w:hAnsi="宋体" w:eastAsia="宋体" w:cs="宋体"/>
                <w:color w:val="auto"/>
                <w:sz w:val="21"/>
                <w:szCs w:val="21"/>
                <w:highlight w:val="none"/>
              </w:rPr>
            </w:pPr>
          </w:p>
        </w:tc>
      </w:tr>
      <w:tr w14:paraId="4AA2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760" w:hRule="exact"/>
          <w:jc w:val="center"/>
        </w:trPr>
        <w:tc>
          <w:tcPr>
            <w:tcW w:w="458" w:type="pct"/>
            <w:noWrap w:val="0"/>
            <w:vAlign w:val="center"/>
          </w:tcPr>
          <w:p w14:paraId="1A2C351A">
            <w:pPr>
              <w:jc w:val="center"/>
              <w:rPr>
                <w:rFonts w:hint="eastAsia" w:ascii="宋体" w:hAnsi="宋体" w:eastAsia="宋体" w:cs="宋体"/>
                <w:color w:val="auto"/>
                <w:sz w:val="21"/>
                <w:szCs w:val="21"/>
                <w:highlight w:val="none"/>
              </w:rPr>
            </w:pPr>
          </w:p>
        </w:tc>
        <w:tc>
          <w:tcPr>
            <w:tcW w:w="661" w:type="pct"/>
            <w:noWrap w:val="0"/>
            <w:vAlign w:val="center"/>
          </w:tcPr>
          <w:p w14:paraId="52C0B58D">
            <w:pPr>
              <w:jc w:val="center"/>
              <w:rPr>
                <w:rFonts w:hint="eastAsia" w:ascii="宋体" w:hAnsi="宋体" w:eastAsia="宋体" w:cs="宋体"/>
                <w:color w:val="auto"/>
                <w:sz w:val="21"/>
                <w:szCs w:val="21"/>
                <w:highlight w:val="none"/>
              </w:rPr>
            </w:pPr>
          </w:p>
        </w:tc>
        <w:tc>
          <w:tcPr>
            <w:tcW w:w="663" w:type="pct"/>
            <w:noWrap w:val="0"/>
            <w:vAlign w:val="center"/>
          </w:tcPr>
          <w:p w14:paraId="79DA615A">
            <w:pPr>
              <w:jc w:val="center"/>
              <w:rPr>
                <w:rFonts w:hint="eastAsia" w:ascii="宋体" w:hAnsi="宋体" w:eastAsia="宋体" w:cs="宋体"/>
                <w:color w:val="auto"/>
                <w:sz w:val="21"/>
                <w:szCs w:val="21"/>
                <w:highlight w:val="none"/>
              </w:rPr>
            </w:pPr>
          </w:p>
        </w:tc>
        <w:tc>
          <w:tcPr>
            <w:tcW w:w="663" w:type="pct"/>
            <w:noWrap w:val="0"/>
            <w:vAlign w:val="center"/>
          </w:tcPr>
          <w:p w14:paraId="1480A78C">
            <w:pPr>
              <w:jc w:val="center"/>
              <w:rPr>
                <w:rFonts w:hint="eastAsia" w:ascii="宋体" w:hAnsi="宋体" w:eastAsia="宋体" w:cs="宋体"/>
                <w:color w:val="auto"/>
                <w:sz w:val="21"/>
                <w:szCs w:val="21"/>
                <w:highlight w:val="none"/>
              </w:rPr>
            </w:pPr>
          </w:p>
        </w:tc>
        <w:tc>
          <w:tcPr>
            <w:tcW w:w="772" w:type="pct"/>
            <w:noWrap w:val="0"/>
            <w:vAlign w:val="center"/>
          </w:tcPr>
          <w:p w14:paraId="7677880A">
            <w:pPr>
              <w:jc w:val="center"/>
              <w:rPr>
                <w:rFonts w:hint="eastAsia" w:ascii="宋体" w:hAnsi="宋体" w:eastAsia="宋体" w:cs="宋体"/>
                <w:color w:val="auto"/>
                <w:sz w:val="21"/>
                <w:szCs w:val="21"/>
                <w:highlight w:val="none"/>
              </w:rPr>
            </w:pPr>
          </w:p>
        </w:tc>
        <w:tc>
          <w:tcPr>
            <w:tcW w:w="663" w:type="pct"/>
            <w:noWrap w:val="0"/>
            <w:vAlign w:val="top"/>
          </w:tcPr>
          <w:p w14:paraId="6CBA543A">
            <w:pPr>
              <w:jc w:val="center"/>
              <w:rPr>
                <w:rFonts w:hint="eastAsia" w:ascii="宋体" w:hAnsi="宋体" w:eastAsia="宋体" w:cs="宋体"/>
                <w:color w:val="auto"/>
                <w:sz w:val="21"/>
                <w:szCs w:val="21"/>
                <w:highlight w:val="none"/>
              </w:rPr>
            </w:pPr>
          </w:p>
        </w:tc>
        <w:tc>
          <w:tcPr>
            <w:tcW w:w="664" w:type="pct"/>
            <w:noWrap w:val="0"/>
            <w:vAlign w:val="center"/>
          </w:tcPr>
          <w:p w14:paraId="216771BA">
            <w:pPr>
              <w:jc w:val="center"/>
              <w:rPr>
                <w:rFonts w:hint="eastAsia" w:ascii="宋体" w:hAnsi="宋体" w:eastAsia="宋体" w:cs="宋体"/>
                <w:color w:val="auto"/>
                <w:sz w:val="21"/>
                <w:szCs w:val="21"/>
                <w:highlight w:val="none"/>
              </w:rPr>
            </w:pPr>
          </w:p>
        </w:tc>
        <w:tc>
          <w:tcPr>
            <w:tcW w:w="452" w:type="pct"/>
            <w:noWrap w:val="0"/>
            <w:vAlign w:val="center"/>
          </w:tcPr>
          <w:p w14:paraId="4ECDE58A">
            <w:pPr>
              <w:jc w:val="center"/>
              <w:rPr>
                <w:rFonts w:hint="eastAsia" w:ascii="宋体" w:hAnsi="宋体" w:eastAsia="宋体" w:cs="宋体"/>
                <w:color w:val="auto"/>
                <w:sz w:val="21"/>
                <w:szCs w:val="21"/>
                <w:highlight w:val="none"/>
              </w:rPr>
            </w:pPr>
          </w:p>
        </w:tc>
      </w:tr>
      <w:tr w14:paraId="348A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760" w:hRule="exact"/>
          <w:jc w:val="center"/>
        </w:trPr>
        <w:tc>
          <w:tcPr>
            <w:tcW w:w="458" w:type="pct"/>
            <w:noWrap w:val="0"/>
            <w:vAlign w:val="center"/>
          </w:tcPr>
          <w:p w14:paraId="65BE9FBC">
            <w:pPr>
              <w:jc w:val="center"/>
              <w:rPr>
                <w:rFonts w:hint="eastAsia" w:ascii="宋体" w:hAnsi="宋体" w:eastAsia="宋体" w:cs="宋体"/>
                <w:color w:val="auto"/>
                <w:sz w:val="21"/>
                <w:szCs w:val="21"/>
                <w:highlight w:val="none"/>
              </w:rPr>
            </w:pPr>
          </w:p>
        </w:tc>
        <w:tc>
          <w:tcPr>
            <w:tcW w:w="661" w:type="pct"/>
            <w:noWrap w:val="0"/>
            <w:vAlign w:val="center"/>
          </w:tcPr>
          <w:p w14:paraId="3B81B835">
            <w:pPr>
              <w:jc w:val="center"/>
              <w:rPr>
                <w:rFonts w:hint="eastAsia" w:ascii="宋体" w:hAnsi="宋体" w:eastAsia="宋体" w:cs="宋体"/>
                <w:color w:val="auto"/>
                <w:sz w:val="21"/>
                <w:szCs w:val="21"/>
                <w:highlight w:val="none"/>
              </w:rPr>
            </w:pPr>
          </w:p>
        </w:tc>
        <w:tc>
          <w:tcPr>
            <w:tcW w:w="663" w:type="pct"/>
            <w:noWrap w:val="0"/>
            <w:vAlign w:val="center"/>
          </w:tcPr>
          <w:p w14:paraId="6C3B5246">
            <w:pPr>
              <w:jc w:val="center"/>
              <w:rPr>
                <w:rFonts w:hint="eastAsia" w:ascii="宋体" w:hAnsi="宋体" w:eastAsia="宋体" w:cs="宋体"/>
                <w:color w:val="auto"/>
                <w:sz w:val="21"/>
                <w:szCs w:val="21"/>
                <w:highlight w:val="none"/>
              </w:rPr>
            </w:pPr>
          </w:p>
        </w:tc>
        <w:tc>
          <w:tcPr>
            <w:tcW w:w="663" w:type="pct"/>
            <w:noWrap w:val="0"/>
            <w:vAlign w:val="center"/>
          </w:tcPr>
          <w:p w14:paraId="16A92F82">
            <w:pPr>
              <w:jc w:val="center"/>
              <w:rPr>
                <w:rFonts w:hint="eastAsia" w:ascii="宋体" w:hAnsi="宋体" w:eastAsia="宋体" w:cs="宋体"/>
                <w:color w:val="auto"/>
                <w:sz w:val="21"/>
                <w:szCs w:val="21"/>
                <w:highlight w:val="none"/>
              </w:rPr>
            </w:pPr>
          </w:p>
        </w:tc>
        <w:tc>
          <w:tcPr>
            <w:tcW w:w="772" w:type="pct"/>
            <w:noWrap w:val="0"/>
            <w:vAlign w:val="center"/>
          </w:tcPr>
          <w:p w14:paraId="4689523B">
            <w:pPr>
              <w:jc w:val="center"/>
              <w:rPr>
                <w:rFonts w:hint="eastAsia" w:ascii="宋体" w:hAnsi="宋体" w:eastAsia="宋体" w:cs="宋体"/>
                <w:color w:val="auto"/>
                <w:sz w:val="21"/>
                <w:szCs w:val="21"/>
                <w:highlight w:val="none"/>
              </w:rPr>
            </w:pPr>
          </w:p>
        </w:tc>
        <w:tc>
          <w:tcPr>
            <w:tcW w:w="663" w:type="pct"/>
            <w:noWrap w:val="0"/>
            <w:vAlign w:val="top"/>
          </w:tcPr>
          <w:p w14:paraId="6387AF47">
            <w:pPr>
              <w:jc w:val="center"/>
              <w:rPr>
                <w:rFonts w:hint="eastAsia" w:ascii="宋体" w:hAnsi="宋体" w:eastAsia="宋体" w:cs="宋体"/>
                <w:color w:val="auto"/>
                <w:sz w:val="21"/>
                <w:szCs w:val="21"/>
                <w:highlight w:val="none"/>
              </w:rPr>
            </w:pPr>
          </w:p>
        </w:tc>
        <w:tc>
          <w:tcPr>
            <w:tcW w:w="664" w:type="pct"/>
            <w:noWrap w:val="0"/>
            <w:vAlign w:val="center"/>
          </w:tcPr>
          <w:p w14:paraId="021AB63F">
            <w:pPr>
              <w:jc w:val="center"/>
              <w:rPr>
                <w:rFonts w:hint="eastAsia" w:ascii="宋体" w:hAnsi="宋体" w:eastAsia="宋体" w:cs="宋体"/>
                <w:color w:val="auto"/>
                <w:sz w:val="21"/>
                <w:szCs w:val="21"/>
                <w:highlight w:val="none"/>
              </w:rPr>
            </w:pPr>
          </w:p>
        </w:tc>
        <w:tc>
          <w:tcPr>
            <w:tcW w:w="452" w:type="pct"/>
            <w:noWrap w:val="0"/>
            <w:vAlign w:val="center"/>
          </w:tcPr>
          <w:p w14:paraId="14A462DA">
            <w:pPr>
              <w:jc w:val="center"/>
              <w:rPr>
                <w:rFonts w:hint="eastAsia" w:ascii="宋体" w:hAnsi="宋体" w:eastAsia="宋体" w:cs="宋体"/>
                <w:color w:val="auto"/>
                <w:sz w:val="21"/>
                <w:szCs w:val="21"/>
                <w:highlight w:val="none"/>
              </w:rPr>
            </w:pPr>
          </w:p>
        </w:tc>
      </w:tr>
    </w:tbl>
    <w:p w14:paraId="0FF53E01">
      <w:pPr>
        <w:autoSpaceDE w:val="0"/>
        <w:autoSpaceDN w:val="0"/>
        <w:adjustRightInd w:val="0"/>
        <w:snapToGrid w:val="0"/>
        <w:spacing w:line="360" w:lineRule="auto"/>
        <w:ind w:left="186" w:leftChars="-158" w:hanging="518" w:hangingChars="247"/>
        <w:jc w:val="left"/>
        <w:rPr>
          <w:rFonts w:hint="eastAsia" w:ascii="宋体" w:hAnsi="宋体" w:eastAsia="宋体" w:cs="宋体"/>
          <w:color w:val="auto"/>
          <w:szCs w:val="24"/>
          <w:highlight w:val="none"/>
          <w:lang w:val="zh-CN"/>
        </w:rPr>
      </w:pPr>
    </w:p>
    <w:p w14:paraId="23B80A2F">
      <w:pPr>
        <w:autoSpaceDE w:val="0"/>
        <w:autoSpaceDN w:val="0"/>
        <w:adjustRightInd w:val="0"/>
        <w:snapToGrid w:val="0"/>
        <w:spacing w:line="360" w:lineRule="auto"/>
        <w:ind w:left="481" w:leftChars="-41" w:hanging="567" w:hangingChars="270"/>
        <w:jc w:val="left"/>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备注：</w:t>
      </w:r>
    </w:p>
    <w:p w14:paraId="13119A2B">
      <w:pPr>
        <w:autoSpaceDE w:val="0"/>
        <w:autoSpaceDN w:val="0"/>
        <w:adjustRightInd w:val="0"/>
        <w:snapToGrid w:val="0"/>
        <w:spacing w:line="360" w:lineRule="auto"/>
        <w:ind w:left="481" w:leftChars="-41" w:hanging="567" w:hangingChars="270"/>
        <w:jc w:val="left"/>
        <w:rPr>
          <w:rFonts w:hint="eastAsia" w:ascii="宋体" w:hAnsi="宋体" w:eastAsia="宋体" w:cs="宋体"/>
          <w:b/>
          <w:bCs/>
          <w:color w:val="auto"/>
          <w:szCs w:val="24"/>
          <w:highlight w:val="none"/>
          <w:lang w:val="zh-CN"/>
        </w:rPr>
      </w:pPr>
      <w:r>
        <w:rPr>
          <w:rFonts w:hint="eastAsia" w:ascii="宋体" w:hAnsi="宋体" w:eastAsia="宋体" w:cs="宋体"/>
          <w:color w:val="auto"/>
          <w:szCs w:val="24"/>
          <w:highlight w:val="none"/>
          <w:lang w:val="zh-CN"/>
        </w:rPr>
        <w:t>（1）业绩按单项合同采购金额从高到低的方式排列</w:t>
      </w:r>
      <w:r>
        <w:rPr>
          <w:rFonts w:hint="eastAsia" w:ascii="宋体" w:hAnsi="宋体" w:eastAsia="宋体" w:cs="宋体"/>
          <w:b/>
          <w:bCs/>
          <w:color w:val="auto"/>
          <w:szCs w:val="24"/>
          <w:highlight w:val="none"/>
          <w:lang w:val="zh-CN"/>
        </w:rPr>
        <w:t>。</w:t>
      </w:r>
    </w:p>
    <w:p w14:paraId="55E5BB2F">
      <w:pPr>
        <w:autoSpaceDE/>
        <w:autoSpaceDN/>
        <w:adjustRightInd w:val="0"/>
        <w:snapToGrid w:val="0"/>
        <w:spacing w:line="360" w:lineRule="auto"/>
        <w:ind w:left="418" w:leftChars="-41" w:hanging="504" w:hangingChars="240"/>
        <w:jc w:val="left"/>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（2）</w:t>
      </w:r>
      <w:r>
        <w:rPr>
          <w:rFonts w:hint="eastAsia" w:ascii="宋体" w:hAnsi="宋体" w:eastAsia="宋体" w:cs="宋体"/>
          <w:b/>
          <w:color w:val="auto"/>
          <w:sz w:val="21"/>
          <w:szCs w:val="21"/>
          <w:highlight w:val="none"/>
        </w:rPr>
        <w:t>业绩须附服务合同复印件（合同服务提供方为供应商）及每份合同提供已提供服务任意一张发票扫描件（发票开具日期须在本项目询比公告发布之日前），否则不得分</w:t>
      </w:r>
      <w:r>
        <w:rPr>
          <w:rFonts w:hint="eastAsia" w:ascii="宋体" w:hAnsi="宋体" w:eastAsia="宋体" w:cs="宋体"/>
          <w:color w:val="auto"/>
          <w:szCs w:val="24"/>
          <w:highlight w:val="none"/>
          <w:lang w:val="zh-CN"/>
        </w:rPr>
        <w:t>。</w:t>
      </w:r>
    </w:p>
    <w:p w14:paraId="3C88D2AD">
      <w:pPr>
        <w:autoSpaceDE w:val="0"/>
        <w:autoSpaceDN w:val="0"/>
        <w:adjustRightInd w:val="0"/>
        <w:snapToGrid w:val="0"/>
        <w:spacing w:line="360" w:lineRule="auto"/>
        <w:ind w:left="418" w:leftChars="-41" w:hanging="504" w:hangingChars="240"/>
        <w:jc w:val="left"/>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（3）</w:t>
      </w:r>
      <w:r>
        <w:rPr>
          <w:rFonts w:hint="eastAsia" w:ascii="宋体" w:hAnsi="宋体" w:eastAsia="宋体" w:cs="宋体"/>
          <w:b/>
          <w:color w:val="auto"/>
          <w:sz w:val="21"/>
          <w:szCs w:val="21"/>
          <w:highlight w:val="none"/>
        </w:rPr>
        <w:t>若合同无法反映评分条件（</w:t>
      </w:r>
      <w:r>
        <w:rPr>
          <w:rFonts w:hint="eastAsia" w:ascii="宋体" w:hAnsi="宋体" w:eastAsia="宋体" w:cs="宋体"/>
          <w:b/>
          <w:color w:val="auto"/>
          <w:sz w:val="21"/>
          <w:szCs w:val="21"/>
          <w:highlight w:val="none"/>
          <w:lang w:val="zh-CN"/>
        </w:rPr>
        <w:t>合同签订时间</w:t>
      </w:r>
      <w:r>
        <w:rPr>
          <w:rFonts w:hint="eastAsia" w:ascii="宋体" w:hAnsi="宋体" w:eastAsia="宋体" w:cs="宋体"/>
          <w:b/>
          <w:color w:val="auto"/>
          <w:sz w:val="21"/>
          <w:szCs w:val="21"/>
          <w:highlight w:val="none"/>
          <w:lang w:val="en-US" w:eastAsia="zh-CN"/>
        </w:rPr>
        <w:t>2021</w:t>
      </w:r>
      <w:r>
        <w:rPr>
          <w:rFonts w:hint="eastAsia" w:ascii="宋体" w:hAnsi="宋体" w:eastAsia="宋体" w:cs="宋体"/>
          <w:b/>
          <w:color w:val="auto"/>
          <w:sz w:val="21"/>
          <w:szCs w:val="21"/>
          <w:highlight w:val="none"/>
          <w:lang w:val="zh-CN"/>
        </w:rPr>
        <w:t>年1月1日</w:t>
      </w:r>
      <w:r>
        <w:rPr>
          <w:rFonts w:hint="eastAsia" w:ascii="宋体" w:hAnsi="宋体" w:eastAsia="宋体" w:cs="宋体"/>
          <w:b/>
          <w:color w:val="auto"/>
          <w:sz w:val="21"/>
          <w:szCs w:val="21"/>
          <w:highlight w:val="none"/>
        </w:rPr>
        <w:t>或以后</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处置</w:t>
      </w:r>
      <w:r>
        <w:rPr>
          <w:rFonts w:hint="eastAsia" w:ascii="宋体" w:hAnsi="宋体" w:eastAsia="宋体" w:cs="宋体"/>
          <w:b/>
          <w:color w:val="auto"/>
          <w:sz w:val="21"/>
          <w:szCs w:val="21"/>
          <w:highlight w:val="none"/>
        </w:rPr>
        <w:t>服务</w:t>
      </w:r>
      <w:r>
        <w:rPr>
          <w:rFonts w:hint="eastAsia" w:ascii="宋体" w:hAnsi="宋体" w:eastAsia="宋体" w:cs="宋体"/>
          <w:b/>
          <w:color w:val="auto"/>
          <w:sz w:val="21"/>
          <w:szCs w:val="21"/>
          <w:highlight w:val="none"/>
          <w:lang w:val="en-US" w:eastAsia="zh-CN"/>
        </w:rPr>
        <w:t>包含危险</w:t>
      </w:r>
      <w:r>
        <w:rPr>
          <w:rFonts w:hint="eastAsia" w:ascii="宋体" w:hAnsi="宋体" w:eastAsia="宋体" w:cs="宋体"/>
          <w:b/>
          <w:color w:val="auto"/>
          <w:sz w:val="21"/>
          <w:szCs w:val="21"/>
          <w:highlight w:val="none"/>
        </w:rPr>
        <w:t>废物代码772-006-49</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该废物代码对应的处置金额</w:t>
      </w:r>
      <w:r>
        <w:rPr>
          <w:rFonts w:hint="eastAsia" w:ascii="宋体" w:hAnsi="宋体" w:eastAsia="宋体" w:cs="宋体"/>
          <w:b/>
          <w:color w:val="auto"/>
          <w:sz w:val="21"/>
          <w:szCs w:val="21"/>
          <w:highlight w:val="none"/>
        </w:rPr>
        <w:t>）的，还需提供服务购买方出具的书面补充说明文件复印件作为辅助证明(补充说明复印件能显示服务购买方法人公章)，否则不得分</w:t>
      </w:r>
      <w:r>
        <w:rPr>
          <w:rFonts w:hint="eastAsia" w:ascii="宋体" w:hAnsi="宋体" w:eastAsia="宋体" w:cs="宋体"/>
          <w:color w:val="auto"/>
          <w:szCs w:val="24"/>
          <w:highlight w:val="none"/>
          <w:lang w:val="zh-CN"/>
        </w:rPr>
        <w:t>。</w:t>
      </w:r>
    </w:p>
    <w:p w14:paraId="5C2DB5A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360" w:lineRule="auto"/>
        <w:ind w:left="418" w:leftChars="-41" w:right="0" w:rightChars="0" w:hanging="504" w:hangingChars="240"/>
        <w:jc w:val="left"/>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color w:val="auto"/>
          <w:sz w:val="21"/>
          <w:szCs w:val="21"/>
          <w:highlight w:val="none"/>
          <w:lang w:val="en-US" w:eastAsia="zh-CN"/>
        </w:rPr>
        <w:t>若合同同时涉及多项危险废物处置服务的，仅对危险废物代码772-006-49对应的处置金额予以计分，其余废物处置金额不计入评分；</w:t>
      </w:r>
    </w:p>
    <w:p w14:paraId="3075DA7F">
      <w:pPr>
        <w:widowControl/>
        <w:autoSpaceDE w:val="0"/>
        <w:autoSpaceDN w:val="0"/>
        <w:adjustRightInd w:val="0"/>
        <w:snapToGrid w:val="0"/>
        <w:spacing w:line="360" w:lineRule="auto"/>
        <w:ind w:left="418" w:leftChars="-41" w:right="0" w:hanging="504" w:hangingChars="24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color w:val="auto"/>
          <w:sz w:val="21"/>
          <w:szCs w:val="21"/>
          <w:highlight w:val="none"/>
          <w:lang w:val="en-US" w:eastAsia="zh-CN"/>
        </w:rPr>
        <w:t>若业绩为框架式协议或资格入围或综合单价合同，必须同时提供合同期限内危险废物代码772-006-49处置服务的发票金额统计表及对应发票复印件，业绩评分以该类废物发票累计金额为准；</w:t>
      </w:r>
    </w:p>
    <w:p w14:paraId="71048DE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360" w:lineRule="auto"/>
        <w:ind w:left="418" w:leftChars="-41" w:right="0" w:hanging="504" w:hangingChars="240"/>
        <w:jc w:val="left"/>
        <w:textAlignment w:val="auto"/>
        <w:rPr>
          <w:rFonts w:hint="eastAsia" w:ascii="宋体" w:hAnsi="宋体" w:eastAsia="宋体" w:cs="宋体"/>
          <w:color w:val="auto"/>
          <w:kern w:val="0"/>
          <w:szCs w:val="21"/>
          <w:highlight w:val="none"/>
        </w:rPr>
      </w:pPr>
      <w:r>
        <w:rPr>
          <w:rFonts w:hint="eastAsia" w:ascii="宋体" w:hAnsi="宋体" w:eastAsia="宋体" w:cs="宋体"/>
          <w:b w:val="0"/>
          <w:bCs/>
          <w:color w:val="auto"/>
          <w:szCs w:val="21"/>
          <w:highlight w:val="none"/>
          <w:lang w:val="en-US"/>
        </w:rPr>
        <w:t>（</w:t>
      </w:r>
      <w:r>
        <w:rPr>
          <w:rFonts w:hint="eastAsia" w:ascii="宋体" w:hAnsi="宋体" w:eastAsia="宋体" w:cs="宋体"/>
          <w:b w:val="0"/>
          <w:bCs/>
          <w:color w:val="auto"/>
          <w:szCs w:val="21"/>
          <w:highlight w:val="none"/>
          <w:lang w:val="en-US" w:eastAsia="zh-CN"/>
        </w:rPr>
        <w:t>6</w:t>
      </w:r>
      <w:r>
        <w:rPr>
          <w:rFonts w:hint="eastAsia" w:ascii="宋体" w:hAnsi="宋体" w:eastAsia="宋体" w:cs="宋体"/>
          <w:b w:val="0"/>
          <w:bCs/>
          <w:color w:val="auto"/>
          <w:szCs w:val="21"/>
          <w:highlight w:val="none"/>
          <w:lang w:val="en-US"/>
        </w:rPr>
        <w:t>）</w:t>
      </w:r>
      <w:r>
        <w:rPr>
          <w:rFonts w:hint="eastAsia" w:ascii="宋体" w:hAnsi="宋体" w:eastAsia="宋体" w:cs="宋体"/>
          <w:b/>
          <w:color w:val="auto"/>
          <w:sz w:val="21"/>
          <w:szCs w:val="21"/>
          <w:highlight w:val="none"/>
        </w:rPr>
        <w:t>未按上述要求提供证明材料的业绩，或所附材料无法证明填报项目符合本项评分要求的业绩，在评审时将不予考虑</w:t>
      </w:r>
      <w:r>
        <w:rPr>
          <w:rFonts w:hint="eastAsia" w:ascii="宋体" w:hAnsi="宋体" w:eastAsia="宋体" w:cs="宋体"/>
          <w:b/>
          <w:color w:val="auto"/>
          <w:kern w:val="2"/>
          <w:szCs w:val="21"/>
          <w:highlight w:val="none"/>
        </w:rPr>
        <w:t>。</w:t>
      </w:r>
    </w:p>
    <w:p w14:paraId="345C5D8D">
      <w:pPr>
        <w:autoSpaceDE w:val="0"/>
        <w:autoSpaceDN w:val="0"/>
        <w:adjustRightInd w:val="0"/>
        <w:spacing w:line="360" w:lineRule="auto"/>
        <w:ind w:firstLine="5040" w:firstLineChars="2400"/>
        <w:jc w:val="left"/>
        <w:rPr>
          <w:rFonts w:hint="eastAsia" w:ascii="宋体" w:hAnsi="宋体" w:eastAsia="宋体" w:cs="宋体"/>
          <w:color w:val="auto"/>
          <w:szCs w:val="24"/>
          <w:highlight w:val="none"/>
          <w:lang w:val="zh-CN"/>
        </w:rPr>
      </w:pPr>
    </w:p>
    <w:p w14:paraId="42E2751B">
      <w:pPr>
        <w:autoSpaceDE w:val="0"/>
        <w:autoSpaceDN w:val="0"/>
        <w:adjustRightInd w:val="0"/>
        <w:spacing w:line="360" w:lineRule="auto"/>
        <w:ind w:firstLine="5040" w:firstLineChars="2400"/>
        <w:jc w:val="left"/>
        <w:rPr>
          <w:rFonts w:hint="eastAsia" w:ascii="宋体" w:hAnsi="宋体" w:eastAsia="宋体" w:cs="宋体"/>
          <w:color w:val="auto"/>
          <w:kern w:val="0"/>
          <w:szCs w:val="21"/>
          <w:highlight w:val="none"/>
        </w:rPr>
      </w:pPr>
      <w:r>
        <w:rPr>
          <w:rFonts w:hint="eastAsia" w:ascii="宋体" w:hAnsi="宋体" w:eastAsia="宋体" w:cs="宋体"/>
          <w:color w:val="auto"/>
          <w:szCs w:val="24"/>
          <w:highlight w:val="none"/>
          <w:lang w:val="zh-CN"/>
        </w:rPr>
        <w:t>供应商：（加盖供应商法人公章）</w:t>
      </w:r>
    </w:p>
    <w:p w14:paraId="363CE7EE">
      <w:pPr>
        <w:autoSpaceDE w:val="0"/>
        <w:autoSpaceDN w:val="0"/>
        <w:adjustRightInd w:val="0"/>
        <w:spacing w:line="360" w:lineRule="auto"/>
        <w:ind w:firstLine="5040" w:firstLineChars="2400"/>
        <w:jc w:val="left"/>
        <w:rPr>
          <w:rFonts w:hint="eastAsia" w:ascii="宋体" w:hAnsi="宋体" w:eastAsia="宋体" w:cs="宋体"/>
          <w:b/>
          <w:bCs/>
          <w:color w:val="auto"/>
          <w:sz w:val="30"/>
          <w:szCs w:val="30"/>
          <w:highlight w:val="none"/>
          <w:lang w:val="zh-CN"/>
        </w:rPr>
      </w:pPr>
      <w:r>
        <w:rPr>
          <w:rFonts w:hint="eastAsia" w:ascii="宋体" w:hAnsi="宋体" w:eastAsia="宋体" w:cs="宋体"/>
          <w:color w:val="auto"/>
          <w:szCs w:val="24"/>
          <w:highlight w:val="none"/>
          <w:lang w:val="zh-CN"/>
        </w:rPr>
        <w:t>日</w:t>
      </w:r>
      <w:r>
        <w:rPr>
          <w:rFonts w:hint="eastAsia" w:ascii="宋体" w:hAnsi="宋体" w:eastAsia="宋体" w:cs="宋体"/>
          <w:color w:val="auto"/>
          <w:szCs w:val="24"/>
          <w:highlight w:val="none"/>
          <w:lang w:val="en-US" w:eastAsia="zh-CN"/>
        </w:rPr>
        <w:t xml:space="preserve">  </w:t>
      </w:r>
      <w:r>
        <w:rPr>
          <w:rFonts w:hint="eastAsia" w:ascii="宋体" w:hAnsi="宋体" w:eastAsia="宋体" w:cs="宋体"/>
          <w:color w:val="auto"/>
          <w:szCs w:val="24"/>
          <w:highlight w:val="none"/>
          <w:lang w:val="zh-CN"/>
        </w:rPr>
        <w:t>期：   年   月   日</w:t>
      </w:r>
    </w:p>
    <w:p w14:paraId="685BA7F8">
      <w:pPr>
        <w:pageBreakBefore w:val="0"/>
        <w:snapToGrid/>
        <w:spacing w:line="240" w:lineRule="auto"/>
        <w:rPr>
          <w:rFonts w:hint="eastAsia" w:ascii="宋体" w:hAnsi="宋体" w:eastAsia="宋体" w:cs="宋体"/>
          <w:b/>
          <w:color w:val="auto"/>
          <w:kern w:val="2"/>
          <w:sz w:val="32"/>
          <w:szCs w:val="32"/>
          <w:highlight w:val="none"/>
          <w:lang w:val="zh-CN"/>
        </w:rPr>
      </w:pPr>
      <w:r>
        <w:rPr>
          <w:rFonts w:hint="eastAsia" w:ascii="宋体" w:hAnsi="宋体" w:eastAsia="宋体" w:cs="宋体"/>
          <w:b/>
          <w:color w:val="auto"/>
          <w:kern w:val="2"/>
          <w:sz w:val="32"/>
          <w:szCs w:val="32"/>
          <w:highlight w:val="none"/>
          <w:lang w:val="zh-CN"/>
        </w:rPr>
        <w:br w:type="page"/>
      </w:r>
      <w:r>
        <w:rPr>
          <w:rFonts w:hint="eastAsia" w:ascii="宋体" w:hAnsi="宋体" w:eastAsia="宋体" w:cs="宋体"/>
          <w:b/>
          <w:color w:val="auto"/>
          <w:kern w:val="2"/>
          <w:sz w:val="32"/>
          <w:szCs w:val="32"/>
          <w:highlight w:val="none"/>
          <w:lang w:val="zh-CN"/>
        </w:rPr>
        <w:t>附表：已服务发票金额统计表</w:t>
      </w:r>
    </w:p>
    <w:tbl>
      <w:tblPr>
        <w:tblStyle w:val="36"/>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3576"/>
        <w:gridCol w:w="1267"/>
        <w:gridCol w:w="1423"/>
        <w:gridCol w:w="1740"/>
        <w:gridCol w:w="1385"/>
      </w:tblGrid>
      <w:tr w14:paraId="4383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5" w:type="dxa"/>
            <w:gridSpan w:val="2"/>
            <w:noWrap w:val="0"/>
            <w:vAlign w:val="center"/>
          </w:tcPr>
          <w:p w14:paraId="1E55E50A">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5815" w:type="dxa"/>
            <w:gridSpan w:val="4"/>
            <w:noWrap w:val="0"/>
            <w:vAlign w:val="center"/>
          </w:tcPr>
          <w:p w14:paraId="7B94D72B">
            <w:pPr>
              <w:pStyle w:val="19"/>
              <w:snapToGrid w:val="0"/>
              <w:spacing w:line="400" w:lineRule="exact"/>
              <w:ind w:left="0" w:leftChars="0"/>
              <w:jc w:val="center"/>
              <w:rPr>
                <w:rFonts w:hint="eastAsia" w:ascii="宋体" w:hAnsi="宋体" w:eastAsia="宋体" w:cs="宋体"/>
                <w:color w:val="auto"/>
                <w:sz w:val="21"/>
                <w:szCs w:val="21"/>
                <w:highlight w:val="none"/>
              </w:rPr>
            </w:pPr>
          </w:p>
        </w:tc>
      </w:tr>
      <w:tr w14:paraId="5850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5" w:type="dxa"/>
            <w:gridSpan w:val="2"/>
            <w:noWrap w:val="0"/>
            <w:vAlign w:val="center"/>
          </w:tcPr>
          <w:p w14:paraId="55D0EFDF">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合同约定的服务期</w:t>
            </w:r>
          </w:p>
        </w:tc>
        <w:tc>
          <w:tcPr>
            <w:tcW w:w="5815" w:type="dxa"/>
            <w:gridSpan w:val="4"/>
            <w:noWrap w:val="0"/>
            <w:vAlign w:val="center"/>
          </w:tcPr>
          <w:p w14:paraId="2E1DF528">
            <w:pPr>
              <w:pStyle w:val="19"/>
              <w:snapToGrid w:val="0"/>
              <w:spacing w:line="400" w:lineRule="exact"/>
              <w:ind w:left="0" w:leftChars="0"/>
              <w:jc w:val="center"/>
              <w:rPr>
                <w:rFonts w:hint="eastAsia" w:ascii="宋体" w:hAnsi="宋体" w:eastAsia="宋体" w:cs="宋体"/>
                <w:color w:val="auto"/>
                <w:sz w:val="21"/>
                <w:szCs w:val="21"/>
                <w:highlight w:val="none"/>
              </w:rPr>
            </w:pPr>
          </w:p>
        </w:tc>
      </w:tr>
      <w:tr w14:paraId="2410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5" w:type="dxa"/>
            <w:gridSpan w:val="2"/>
            <w:noWrap w:val="0"/>
            <w:vAlign w:val="center"/>
          </w:tcPr>
          <w:p w14:paraId="46A7352E">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发票抬头（</w:t>
            </w:r>
            <w:r>
              <w:rPr>
                <w:rFonts w:hint="eastAsia" w:ascii="宋体" w:hAnsi="宋体" w:eastAsia="宋体" w:cs="宋体"/>
                <w:color w:val="auto"/>
                <w:sz w:val="21"/>
                <w:highlight w:val="none"/>
              </w:rPr>
              <w:t>合同服务购买方）</w:t>
            </w:r>
          </w:p>
        </w:tc>
        <w:tc>
          <w:tcPr>
            <w:tcW w:w="5815" w:type="dxa"/>
            <w:gridSpan w:val="4"/>
            <w:noWrap w:val="0"/>
            <w:vAlign w:val="center"/>
          </w:tcPr>
          <w:p w14:paraId="6F795E7F">
            <w:pPr>
              <w:pStyle w:val="19"/>
              <w:snapToGrid w:val="0"/>
              <w:spacing w:line="400" w:lineRule="exact"/>
              <w:ind w:left="0" w:leftChars="0"/>
              <w:jc w:val="center"/>
              <w:rPr>
                <w:rFonts w:hint="eastAsia" w:ascii="宋体" w:hAnsi="宋体" w:eastAsia="宋体" w:cs="宋体"/>
                <w:color w:val="auto"/>
                <w:sz w:val="21"/>
                <w:szCs w:val="21"/>
                <w:highlight w:val="none"/>
              </w:rPr>
            </w:pPr>
          </w:p>
        </w:tc>
      </w:tr>
      <w:tr w14:paraId="4A7F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noWrap w:val="0"/>
            <w:vAlign w:val="center"/>
          </w:tcPr>
          <w:p w14:paraId="4EB8328F">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3576" w:type="dxa"/>
            <w:noWrap w:val="0"/>
            <w:vAlign w:val="center"/>
          </w:tcPr>
          <w:p w14:paraId="3B43834D">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发票名目</w:t>
            </w:r>
          </w:p>
        </w:tc>
        <w:tc>
          <w:tcPr>
            <w:tcW w:w="1267" w:type="dxa"/>
            <w:noWrap w:val="0"/>
            <w:vAlign w:val="center"/>
          </w:tcPr>
          <w:p w14:paraId="3BBEB968">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发票金额（单位：万元）</w:t>
            </w:r>
          </w:p>
        </w:tc>
        <w:tc>
          <w:tcPr>
            <w:tcW w:w="1423" w:type="dxa"/>
            <w:noWrap w:val="0"/>
            <w:vAlign w:val="center"/>
          </w:tcPr>
          <w:p w14:paraId="45CF62DE">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发票号码</w:t>
            </w:r>
          </w:p>
        </w:tc>
        <w:tc>
          <w:tcPr>
            <w:tcW w:w="1740" w:type="dxa"/>
            <w:noWrap w:val="0"/>
            <w:vAlign w:val="center"/>
          </w:tcPr>
          <w:p w14:paraId="0452E361">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发票所属时期</w:t>
            </w:r>
          </w:p>
        </w:tc>
        <w:tc>
          <w:tcPr>
            <w:tcW w:w="1385" w:type="dxa"/>
            <w:noWrap w:val="0"/>
            <w:vAlign w:val="center"/>
          </w:tcPr>
          <w:p w14:paraId="115270FB">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7988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noWrap w:val="0"/>
            <w:vAlign w:val="center"/>
          </w:tcPr>
          <w:p w14:paraId="598A0FE7">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576" w:type="dxa"/>
            <w:noWrap w:val="0"/>
            <w:vAlign w:val="center"/>
          </w:tcPr>
          <w:p w14:paraId="1DD65579">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267" w:type="dxa"/>
            <w:noWrap w:val="0"/>
            <w:vAlign w:val="center"/>
          </w:tcPr>
          <w:p w14:paraId="3CF5D27A">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423" w:type="dxa"/>
            <w:noWrap w:val="0"/>
            <w:vAlign w:val="center"/>
          </w:tcPr>
          <w:p w14:paraId="04B0047B">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740" w:type="dxa"/>
            <w:noWrap w:val="0"/>
            <w:vAlign w:val="center"/>
          </w:tcPr>
          <w:p w14:paraId="34CAC3CC">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385" w:type="dxa"/>
            <w:noWrap w:val="0"/>
            <w:vAlign w:val="center"/>
          </w:tcPr>
          <w:p w14:paraId="3D5F5874">
            <w:pPr>
              <w:pStyle w:val="19"/>
              <w:snapToGrid w:val="0"/>
              <w:spacing w:line="400" w:lineRule="exact"/>
              <w:ind w:left="0" w:leftChars="0"/>
              <w:jc w:val="center"/>
              <w:rPr>
                <w:rFonts w:hint="eastAsia" w:ascii="宋体" w:hAnsi="宋体" w:eastAsia="宋体" w:cs="宋体"/>
                <w:color w:val="auto"/>
                <w:sz w:val="21"/>
                <w:szCs w:val="21"/>
                <w:highlight w:val="none"/>
              </w:rPr>
            </w:pPr>
          </w:p>
        </w:tc>
      </w:tr>
      <w:tr w14:paraId="44AB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noWrap w:val="0"/>
            <w:vAlign w:val="center"/>
          </w:tcPr>
          <w:p w14:paraId="020A7E4B">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576" w:type="dxa"/>
            <w:noWrap w:val="0"/>
            <w:vAlign w:val="center"/>
          </w:tcPr>
          <w:p w14:paraId="5E6453C4">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267" w:type="dxa"/>
            <w:noWrap w:val="0"/>
            <w:vAlign w:val="center"/>
          </w:tcPr>
          <w:p w14:paraId="5C13917A">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423" w:type="dxa"/>
            <w:noWrap w:val="0"/>
            <w:vAlign w:val="center"/>
          </w:tcPr>
          <w:p w14:paraId="3EA96343">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740" w:type="dxa"/>
            <w:noWrap w:val="0"/>
            <w:vAlign w:val="center"/>
          </w:tcPr>
          <w:p w14:paraId="424F492A">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385" w:type="dxa"/>
            <w:noWrap w:val="0"/>
            <w:vAlign w:val="center"/>
          </w:tcPr>
          <w:p w14:paraId="200BE479">
            <w:pPr>
              <w:pStyle w:val="19"/>
              <w:snapToGrid w:val="0"/>
              <w:spacing w:line="400" w:lineRule="exact"/>
              <w:ind w:left="0" w:leftChars="0"/>
              <w:jc w:val="center"/>
              <w:rPr>
                <w:rFonts w:hint="eastAsia" w:ascii="宋体" w:hAnsi="宋体" w:eastAsia="宋体" w:cs="宋体"/>
                <w:color w:val="auto"/>
                <w:sz w:val="21"/>
                <w:szCs w:val="21"/>
                <w:highlight w:val="none"/>
              </w:rPr>
            </w:pPr>
          </w:p>
        </w:tc>
      </w:tr>
      <w:tr w14:paraId="6B4D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noWrap w:val="0"/>
            <w:vAlign w:val="center"/>
          </w:tcPr>
          <w:p w14:paraId="7A21564D">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576" w:type="dxa"/>
            <w:noWrap w:val="0"/>
            <w:vAlign w:val="center"/>
          </w:tcPr>
          <w:p w14:paraId="0F9180A9">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267" w:type="dxa"/>
            <w:noWrap w:val="0"/>
            <w:vAlign w:val="center"/>
          </w:tcPr>
          <w:p w14:paraId="3002EF77">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423" w:type="dxa"/>
            <w:noWrap w:val="0"/>
            <w:vAlign w:val="center"/>
          </w:tcPr>
          <w:p w14:paraId="0E4B88B3">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740" w:type="dxa"/>
            <w:noWrap w:val="0"/>
            <w:vAlign w:val="center"/>
          </w:tcPr>
          <w:p w14:paraId="3FFD3286">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385" w:type="dxa"/>
            <w:noWrap w:val="0"/>
            <w:vAlign w:val="center"/>
          </w:tcPr>
          <w:p w14:paraId="0B424414">
            <w:pPr>
              <w:pStyle w:val="19"/>
              <w:snapToGrid w:val="0"/>
              <w:spacing w:line="400" w:lineRule="exact"/>
              <w:ind w:left="0" w:leftChars="0"/>
              <w:jc w:val="center"/>
              <w:rPr>
                <w:rFonts w:hint="eastAsia" w:ascii="宋体" w:hAnsi="宋体" w:eastAsia="宋体" w:cs="宋体"/>
                <w:color w:val="auto"/>
                <w:sz w:val="21"/>
                <w:szCs w:val="21"/>
                <w:highlight w:val="none"/>
              </w:rPr>
            </w:pPr>
          </w:p>
        </w:tc>
      </w:tr>
      <w:tr w14:paraId="241D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noWrap w:val="0"/>
            <w:vAlign w:val="center"/>
          </w:tcPr>
          <w:p w14:paraId="7B326ADD">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3576" w:type="dxa"/>
            <w:noWrap w:val="0"/>
            <w:vAlign w:val="center"/>
          </w:tcPr>
          <w:p w14:paraId="442BD037">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267" w:type="dxa"/>
            <w:noWrap w:val="0"/>
            <w:vAlign w:val="center"/>
          </w:tcPr>
          <w:p w14:paraId="30A602FC">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423" w:type="dxa"/>
            <w:noWrap w:val="0"/>
            <w:vAlign w:val="center"/>
          </w:tcPr>
          <w:p w14:paraId="4DAFDDB9">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740" w:type="dxa"/>
            <w:noWrap w:val="0"/>
            <w:vAlign w:val="center"/>
          </w:tcPr>
          <w:p w14:paraId="4B4DC3CF">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385" w:type="dxa"/>
            <w:noWrap w:val="0"/>
            <w:vAlign w:val="center"/>
          </w:tcPr>
          <w:p w14:paraId="2CA8FC0C">
            <w:pPr>
              <w:pStyle w:val="19"/>
              <w:snapToGrid w:val="0"/>
              <w:spacing w:line="400" w:lineRule="exact"/>
              <w:ind w:left="0" w:leftChars="0"/>
              <w:jc w:val="center"/>
              <w:rPr>
                <w:rFonts w:hint="eastAsia" w:ascii="宋体" w:hAnsi="宋体" w:eastAsia="宋体" w:cs="宋体"/>
                <w:color w:val="auto"/>
                <w:sz w:val="21"/>
                <w:szCs w:val="21"/>
                <w:highlight w:val="none"/>
              </w:rPr>
            </w:pPr>
          </w:p>
        </w:tc>
      </w:tr>
      <w:tr w14:paraId="1BBF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5" w:type="dxa"/>
            <w:gridSpan w:val="2"/>
            <w:noWrap w:val="0"/>
            <w:vAlign w:val="center"/>
          </w:tcPr>
          <w:p w14:paraId="002D2BA2">
            <w:pPr>
              <w:pStyle w:val="19"/>
              <w:snapToGrid w:val="0"/>
              <w:spacing w:line="400" w:lineRule="exact"/>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发票金额合计</w:t>
            </w:r>
          </w:p>
        </w:tc>
        <w:tc>
          <w:tcPr>
            <w:tcW w:w="1267" w:type="dxa"/>
            <w:noWrap w:val="0"/>
            <w:vAlign w:val="center"/>
          </w:tcPr>
          <w:p w14:paraId="23866F82">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423" w:type="dxa"/>
            <w:noWrap w:val="0"/>
            <w:vAlign w:val="center"/>
          </w:tcPr>
          <w:p w14:paraId="4541EC25">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740" w:type="dxa"/>
            <w:noWrap w:val="0"/>
            <w:vAlign w:val="center"/>
          </w:tcPr>
          <w:p w14:paraId="6FFD47FD">
            <w:pPr>
              <w:pStyle w:val="19"/>
              <w:snapToGrid w:val="0"/>
              <w:spacing w:line="400" w:lineRule="exact"/>
              <w:ind w:left="0" w:leftChars="0"/>
              <w:jc w:val="center"/>
              <w:rPr>
                <w:rFonts w:hint="eastAsia" w:ascii="宋体" w:hAnsi="宋体" w:eastAsia="宋体" w:cs="宋体"/>
                <w:color w:val="auto"/>
                <w:sz w:val="21"/>
                <w:szCs w:val="21"/>
                <w:highlight w:val="none"/>
              </w:rPr>
            </w:pPr>
          </w:p>
        </w:tc>
        <w:tc>
          <w:tcPr>
            <w:tcW w:w="1385" w:type="dxa"/>
            <w:noWrap w:val="0"/>
            <w:vAlign w:val="center"/>
          </w:tcPr>
          <w:p w14:paraId="0F1E31F3">
            <w:pPr>
              <w:pStyle w:val="19"/>
              <w:snapToGrid w:val="0"/>
              <w:spacing w:line="400" w:lineRule="exact"/>
              <w:ind w:left="0" w:leftChars="0"/>
              <w:jc w:val="center"/>
              <w:rPr>
                <w:rFonts w:hint="eastAsia" w:ascii="宋体" w:hAnsi="宋体" w:eastAsia="宋体" w:cs="宋体"/>
                <w:color w:val="auto"/>
                <w:sz w:val="21"/>
                <w:szCs w:val="21"/>
                <w:highlight w:val="none"/>
              </w:rPr>
            </w:pPr>
          </w:p>
        </w:tc>
      </w:tr>
    </w:tbl>
    <w:p w14:paraId="5E837C77">
      <w:pPr>
        <w:snapToGrid w:val="0"/>
        <w:spacing w:line="360" w:lineRule="auto"/>
        <w:ind w:left="491" w:leftChars="-57" w:hanging="611" w:hangingChars="291"/>
        <w:rPr>
          <w:rFonts w:hint="eastAsia" w:ascii="宋体" w:hAnsi="宋体" w:eastAsia="宋体" w:cs="宋体"/>
          <w:color w:val="auto"/>
          <w:kern w:val="2"/>
          <w:sz w:val="21"/>
          <w:highlight w:val="none"/>
        </w:rPr>
      </w:pPr>
    </w:p>
    <w:p w14:paraId="3F71A745">
      <w:pPr>
        <w:snapToGrid w:val="0"/>
        <w:spacing w:line="360" w:lineRule="auto"/>
        <w:ind w:left="491" w:leftChars="-57" w:hanging="611" w:hangingChars="291"/>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备注：</w:t>
      </w:r>
    </w:p>
    <w:p w14:paraId="0C3C01D9">
      <w:pPr>
        <w:snapToGrid w:val="0"/>
        <w:spacing w:line="360" w:lineRule="auto"/>
        <w:ind w:left="396" w:leftChars="-58" w:hanging="518" w:hangingChars="247"/>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（1）</w:t>
      </w:r>
      <w:r>
        <w:rPr>
          <w:rFonts w:hint="eastAsia" w:ascii="宋体" w:hAnsi="宋体" w:eastAsia="宋体" w:cs="宋体"/>
          <w:color w:val="auto"/>
          <w:kern w:val="2"/>
          <w:sz w:val="21"/>
          <w:highlight w:val="none"/>
          <w:lang w:eastAsia="zh-CN"/>
        </w:rPr>
        <w:t>供应商</w:t>
      </w:r>
      <w:r>
        <w:rPr>
          <w:rFonts w:hint="eastAsia" w:ascii="宋体" w:hAnsi="宋体" w:eastAsia="宋体" w:cs="宋体"/>
          <w:color w:val="auto"/>
          <w:kern w:val="2"/>
          <w:sz w:val="21"/>
          <w:highlight w:val="none"/>
        </w:rPr>
        <w:t>提供框架式协议或资格入围</w:t>
      </w:r>
      <w:r>
        <w:rPr>
          <w:rFonts w:hint="eastAsia" w:ascii="宋体" w:hAnsi="宋体" w:eastAsia="宋体" w:cs="宋体"/>
          <w:color w:val="auto"/>
          <w:kern w:val="2"/>
          <w:sz w:val="21"/>
          <w:highlight w:val="none"/>
          <w:lang w:val="en-US" w:eastAsia="zh-CN"/>
        </w:rPr>
        <w:t>或</w:t>
      </w:r>
      <w:r>
        <w:rPr>
          <w:rFonts w:hint="eastAsia" w:ascii="宋体" w:hAnsi="宋体" w:eastAsia="宋体" w:cs="宋体"/>
          <w:color w:val="auto"/>
          <w:kern w:val="2"/>
          <w:sz w:val="21"/>
          <w:highlight w:val="none"/>
        </w:rPr>
        <w:t>无明确</w:t>
      </w:r>
      <w:r>
        <w:rPr>
          <w:rFonts w:hint="eastAsia" w:ascii="宋体" w:hAnsi="宋体" w:eastAsia="宋体" w:cs="宋体"/>
          <w:color w:val="auto"/>
          <w:kern w:val="2"/>
          <w:sz w:val="21"/>
          <w:highlight w:val="none"/>
          <w:lang w:val="en-US" w:eastAsia="zh-CN"/>
        </w:rPr>
        <w:t>总</w:t>
      </w:r>
      <w:r>
        <w:rPr>
          <w:rFonts w:hint="eastAsia" w:ascii="宋体" w:hAnsi="宋体" w:eastAsia="宋体" w:cs="宋体"/>
          <w:color w:val="auto"/>
          <w:kern w:val="2"/>
          <w:sz w:val="21"/>
          <w:highlight w:val="none"/>
        </w:rPr>
        <w:t>金额的</w:t>
      </w:r>
      <w:r>
        <w:rPr>
          <w:rFonts w:hint="eastAsia" w:ascii="宋体" w:hAnsi="宋体" w:eastAsia="宋体" w:cs="宋体"/>
          <w:color w:val="auto"/>
          <w:kern w:val="2"/>
          <w:sz w:val="21"/>
          <w:highlight w:val="none"/>
          <w:lang w:val="en-US" w:eastAsia="zh-CN"/>
        </w:rPr>
        <w:t>综合单价</w:t>
      </w:r>
      <w:r>
        <w:rPr>
          <w:rFonts w:hint="eastAsia" w:ascii="宋体" w:hAnsi="宋体" w:eastAsia="宋体" w:cs="宋体"/>
          <w:color w:val="auto"/>
          <w:kern w:val="2"/>
          <w:sz w:val="21"/>
          <w:highlight w:val="none"/>
        </w:rPr>
        <w:t>合同时，须同时提供本统计表及服务发票复印件，本统计表及服务发票复印件应后附于合同复印件。</w:t>
      </w:r>
    </w:p>
    <w:p w14:paraId="06106DCB">
      <w:pPr>
        <w:snapToGrid w:val="0"/>
        <w:spacing w:line="360" w:lineRule="auto"/>
        <w:ind w:left="396" w:leftChars="-58" w:hanging="518" w:hangingChars="247"/>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（2）发票抬头应为合同服务购买方，</w:t>
      </w:r>
      <w:r>
        <w:rPr>
          <w:rFonts w:hint="eastAsia" w:ascii="宋体" w:hAnsi="宋体" w:eastAsia="宋体" w:cs="宋体"/>
          <w:color w:val="auto"/>
          <w:kern w:val="2"/>
          <w:sz w:val="21"/>
          <w:szCs w:val="21"/>
          <w:highlight w:val="none"/>
          <w:lang w:val="en-US" w:eastAsia="zh-CN"/>
        </w:rPr>
        <w:t>收款人</w:t>
      </w:r>
      <w:r>
        <w:rPr>
          <w:rFonts w:hint="eastAsia" w:ascii="宋体" w:hAnsi="宋体" w:eastAsia="宋体" w:cs="宋体"/>
          <w:color w:val="auto"/>
          <w:kern w:val="2"/>
          <w:sz w:val="21"/>
          <w:highlight w:val="none"/>
        </w:rPr>
        <w:t>应为</w:t>
      </w:r>
      <w:r>
        <w:rPr>
          <w:rFonts w:hint="eastAsia" w:ascii="宋体" w:hAnsi="宋体" w:eastAsia="宋体" w:cs="宋体"/>
          <w:color w:val="auto"/>
          <w:kern w:val="2"/>
          <w:sz w:val="21"/>
          <w:highlight w:val="none"/>
          <w:lang w:eastAsia="zh-CN"/>
        </w:rPr>
        <w:t>供应商</w:t>
      </w:r>
      <w:r>
        <w:rPr>
          <w:rFonts w:hint="eastAsia" w:ascii="宋体" w:hAnsi="宋体" w:eastAsia="宋体" w:cs="宋体"/>
          <w:color w:val="auto"/>
          <w:kern w:val="2"/>
          <w:sz w:val="21"/>
          <w:highlight w:val="none"/>
        </w:rPr>
        <w:t>，且发票名目、所属时期应与合同约定内容一致，否则不计分。</w:t>
      </w:r>
    </w:p>
    <w:p w14:paraId="4E5A16A6">
      <w:pPr>
        <w:snapToGrid w:val="0"/>
        <w:spacing w:line="360" w:lineRule="auto"/>
        <w:ind w:left="396" w:leftChars="-58" w:hanging="518" w:hangingChars="247"/>
        <w:rPr>
          <w:rFonts w:hint="eastAsia" w:ascii="宋体" w:hAnsi="宋体" w:eastAsia="宋体" w:cs="宋体"/>
          <w:b w:val="0"/>
          <w:color w:val="auto"/>
          <w:sz w:val="21"/>
          <w:szCs w:val="21"/>
          <w:highlight w:val="none"/>
        </w:rPr>
      </w:pPr>
      <w:r>
        <w:rPr>
          <w:rFonts w:hint="eastAsia" w:ascii="宋体" w:hAnsi="宋体" w:eastAsia="宋体" w:cs="宋体"/>
          <w:b w:val="0"/>
          <w:color w:val="auto"/>
          <w:kern w:val="2"/>
          <w:sz w:val="21"/>
          <w:highlight w:val="none"/>
        </w:rPr>
        <w:t>（3）发票合计金额视为</w:t>
      </w:r>
      <w:r>
        <w:rPr>
          <w:rFonts w:hint="eastAsia" w:ascii="宋体" w:hAnsi="宋体" w:eastAsia="宋体" w:cs="宋体"/>
          <w:b w:val="0"/>
          <w:color w:val="auto"/>
          <w:kern w:val="2"/>
          <w:sz w:val="21"/>
          <w:highlight w:val="none"/>
          <w:lang w:eastAsia="zh-CN"/>
        </w:rPr>
        <w:t>供应商</w:t>
      </w:r>
      <w:r>
        <w:rPr>
          <w:rFonts w:hint="eastAsia" w:ascii="宋体" w:hAnsi="宋体" w:eastAsia="宋体" w:cs="宋体"/>
          <w:b w:val="0"/>
          <w:color w:val="auto"/>
          <w:kern w:val="2"/>
          <w:sz w:val="21"/>
          <w:highlight w:val="none"/>
        </w:rPr>
        <w:t>所提供该项服务业绩的服务金额，并按此金额进行评审。</w:t>
      </w:r>
    </w:p>
    <w:p w14:paraId="203BCFC7">
      <w:pPr>
        <w:autoSpaceDE w:val="0"/>
        <w:autoSpaceDN w:val="0"/>
        <w:adjustRightInd w:val="0"/>
        <w:spacing w:line="360" w:lineRule="auto"/>
        <w:ind w:firstLine="602"/>
        <w:rPr>
          <w:rFonts w:hint="eastAsia" w:ascii="宋体" w:hAnsi="宋体" w:eastAsia="宋体" w:cs="宋体"/>
          <w:b/>
          <w:bCs/>
          <w:color w:val="auto"/>
          <w:sz w:val="30"/>
          <w:szCs w:val="30"/>
          <w:highlight w:val="none"/>
          <w:lang w:val="zh-CN"/>
        </w:rPr>
      </w:pPr>
      <w:r>
        <w:rPr>
          <w:rFonts w:hint="eastAsia" w:ascii="宋体" w:hAnsi="宋体" w:eastAsia="宋体" w:cs="宋体"/>
          <w:color w:val="auto"/>
          <w:sz w:val="21"/>
          <w:szCs w:val="21"/>
          <w:highlight w:val="none"/>
        </w:rPr>
        <w:br w:type="page"/>
      </w:r>
    </w:p>
    <w:bookmarkEnd w:id="633"/>
    <w:bookmarkEnd w:id="634"/>
    <w:p w14:paraId="4DA22A30">
      <w:pPr>
        <w:pageBreakBefore/>
        <w:spacing w:before="120" w:after="120" w:line="360" w:lineRule="auto"/>
        <w:jc w:val="left"/>
        <w:outlineLvl w:val="2"/>
        <w:rPr>
          <w:rFonts w:hint="eastAsia" w:ascii="宋体" w:hAnsi="宋体" w:eastAsia="宋体" w:cs="宋体"/>
          <w:b/>
          <w:bCs/>
          <w:color w:val="auto"/>
          <w:kern w:val="0"/>
          <w:sz w:val="32"/>
          <w:szCs w:val="32"/>
          <w:highlight w:val="none"/>
          <w:lang w:val="zh-CN"/>
        </w:rPr>
      </w:pPr>
      <w:bookmarkStart w:id="635" w:name="_Toc18413"/>
      <w:bookmarkStart w:id="636" w:name="_Toc104991885"/>
      <w:bookmarkStart w:id="637" w:name="_Toc102860427"/>
      <w:bookmarkStart w:id="638" w:name="_Toc31965"/>
      <w:bookmarkStart w:id="639" w:name="_Toc1373269965"/>
      <w:bookmarkStart w:id="640" w:name="_Toc19890"/>
      <w:bookmarkStart w:id="641" w:name="_Toc486167719"/>
      <w:bookmarkStart w:id="642" w:name="_Toc102860083"/>
      <w:bookmarkStart w:id="643" w:name="_Toc140596938"/>
      <w:bookmarkStart w:id="644" w:name="_Toc94107220"/>
      <w:bookmarkStart w:id="645" w:name="_Toc18175_WPSOffice_Level2"/>
      <w:bookmarkStart w:id="646" w:name="_Toc142508378"/>
      <w:bookmarkStart w:id="647" w:name="_Toc533708132"/>
      <w:bookmarkStart w:id="648" w:name="_Toc1977737"/>
      <w:bookmarkStart w:id="649" w:name="_Toc8570"/>
      <w:r>
        <w:rPr>
          <w:rFonts w:hint="eastAsia" w:ascii="宋体" w:hAnsi="宋体" w:eastAsia="宋体" w:cs="宋体"/>
          <w:b/>
          <w:bCs/>
          <w:color w:val="auto"/>
          <w:kern w:val="0"/>
          <w:sz w:val="32"/>
          <w:szCs w:val="32"/>
          <w:highlight w:val="none"/>
          <w:lang w:val="zh-CN"/>
        </w:rPr>
        <w:t>十、响应保证金汇入情况说明</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734BDE7">
      <w:pPr>
        <w:autoSpaceDE w:val="0"/>
        <w:autoSpaceDN w:val="0"/>
        <w:adjustRightInd w:val="0"/>
        <w:spacing w:line="360" w:lineRule="auto"/>
        <w:jc w:val="left"/>
        <w:rPr>
          <w:rFonts w:hint="eastAsia" w:ascii="宋体" w:hAnsi="宋体" w:eastAsia="宋体" w:cs="宋体"/>
          <w:color w:val="auto"/>
          <w:szCs w:val="24"/>
          <w:highlight w:val="none"/>
        </w:rPr>
      </w:pPr>
    </w:p>
    <w:p w14:paraId="608B5E94">
      <w:pPr>
        <w:autoSpaceDE w:val="0"/>
        <w:autoSpaceDN w:val="0"/>
        <w:adjustRightInd w:val="0"/>
        <w:spacing w:line="360" w:lineRule="auto"/>
        <w:jc w:val="center"/>
        <w:rPr>
          <w:rFonts w:hint="eastAsia" w:ascii="宋体" w:hAnsi="宋体" w:eastAsia="宋体" w:cs="宋体"/>
          <w:b/>
          <w:bCs/>
          <w:color w:val="auto"/>
          <w:kern w:val="0"/>
          <w:sz w:val="24"/>
          <w:szCs w:val="24"/>
          <w:highlight w:val="none"/>
        </w:rPr>
      </w:pPr>
      <w:bookmarkStart w:id="650" w:name="_Toc31832_WPSOffice_Level3"/>
      <w:r>
        <w:rPr>
          <w:rFonts w:hint="eastAsia" w:ascii="宋体" w:hAnsi="宋体" w:eastAsia="宋体" w:cs="宋体"/>
          <w:b/>
          <w:bCs/>
          <w:color w:val="auto"/>
          <w:kern w:val="0"/>
          <w:sz w:val="24"/>
          <w:szCs w:val="24"/>
          <w:highlight w:val="none"/>
          <w:lang w:eastAsia="zh-CN"/>
        </w:rPr>
        <w:t>响应保证金</w:t>
      </w:r>
      <w:r>
        <w:rPr>
          <w:rFonts w:hint="eastAsia" w:ascii="宋体" w:hAnsi="宋体" w:eastAsia="宋体" w:cs="宋体"/>
          <w:b/>
          <w:bCs/>
          <w:color w:val="auto"/>
          <w:kern w:val="0"/>
          <w:sz w:val="24"/>
          <w:szCs w:val="24"/>
          <w:highlight w:val="none"/>
        </w:rPr>
        <w:t>汇入情况说明</w:t>
      </w:r>
      <w:bookmarkEnd w:id="650"/>
    </w:p>
    <w:p w14:paraId="0865890C">
      <w:pPr>
        <w:autoSpaceDE w:val="0"/>
        <w:autoSpaceDN w:val="0"/>
        <w:adjustRightInd w:val="0"/>
        <w:spacing w:line="360" w:lineRule="auto"/>
        <w:jc w:val="center"/>
        <w:rPr>
          <w:rFonts w:hint="eastAsia" w:ascii="宋体" w:hAnsi="宋体" w:eastAsia="宋体" w:cs="宋体"/>
          <w:b/>
          <w:bCs/>
          <w:color w:val="auto"/>
          <w:kern w:val="0"/>
          <w:szCs w:val="24"/>
          <w:highlight w:val="none"/>
        </w:rPr>
      </w:pPr>
    </w:p>
    <w:p w14:paraId="41134FEB">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东莞市尚源环能科技有限公司</w:t>
      </w:r>
      <w:r>
        <w:rPr>
          <w:rFonts w:hint="eastAsia" w:ascii="宋体" w:hAnsi="宋体" w:eastAsia="宋体" w:cs="宋体"/>
          <w:color w:val="auto"/>
          <w:szCs w:val="21"/>
          <w:highlight w:val="none"/>
        </w:rPr>
        <w:t>：</w:t>
      </w:r>
    </w:p>
    <w:p w14:paraId="418F498F">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本单位已按</w:t>
      </w:r>
      <w:r>
        <w:rPr>
          <w:rFonts w:hint="eastAsia" w:ascii="宋体" w:hAnsi="宋体" w:eastAsia="宋体" w:cs="宋体"/>
          <w:color w:val="auto"/>
          <w:kern w:val="0"/>
          <w:szCs w:val="21"/>
          <w:highlight w:val="none"/>
          <w:u w:val="single"/>
          <w:lang w:eastAsia="zh-CN"/>
        </w:rPr>
        <w:t>东莞市污泥集中处理处置项目过渡期废盐处置服务采购项目</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采购编号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要求，于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日前以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付款形式）方式汇入指定账户（账户名称：</w:t>
      </w:r>
      <w:r>
        <w:rPr>
          <w:rFonts w:hint="eastAsia" w:ascii="宋体" w:hAnsi="宋体" w:eastAsia="宋体" w:cs="宋体"/>
          <w:b/>
          <w:color w:val="auto"/>
          <w:szCs w:val="21"/>
          <w:highlight w:val="none"/>
          <w:u w:val="single"/>
        </w:rPr>
        <w:t xml:space="preserve">                    </w:t>
      </w:r>
      <w:r>
        <w:rPr>
          <w:rFonts w:hint="eastAsia" w:ascii="宋体" w:hAnsi="宋体" w:eastAsia="宋体" w:cs="宋体"/>
          <w:color w:val="auto"/>
          <w:szCs w:val="21"/>
          <w:highlight w:val="none"/>
        </w:rPr>
        <w:t>，账号：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rPr>
        <w:t>）。</w:t>
      </w:r>
    </w:p>
    <w:p w14:paraId="264BCBD1">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w:t>
      </w:r>
      <w:r>
        <w:rPr>
          <w:rFonts w:hint="eastAsia" w:ascii="宋体" w:hAnsi="宋体" w:eastAsia="宋体" w:cs="宋体"/>
          <w:color w:val="auto"/>
          <w:szCs w:val="21"/>
          <w:highlight w:val="none"/>
          <w:lang w:eastAsia="zh-CN"/>
        </w:rPr>
        <w:t>响应保证金</w:t>
      </w:r>
      <w:r>
        <w:rPr>
          <w:rFonts w:hint="eastAsia" w:ascii="宋体" w:hAnsi="宋体" w:eastAsia="宋体" w:cs="宋体"/>
          <w:color w:val="auto"/>
          <w:szCs w:val="21"/>
          <w:highlight w:val="none"/>
        </w:rPr>
        <w:t>的汇款情况：（详见附件－</w:t>
      </w:r>
      <w:r>
        <w:rPr>
          <w:rFonts w:hint="eastAsia" w:ascii="宋体" w:hAnsi="宋体" w:eastAsia="宋体" w:cs="宋体"/>
          <w:color w:val="auto"/>
          <w:szCs w:val="21"/>
          <w:highlight w:val="none"/>
          <w:lang w:eastAsia="zh-CN"/>
        </w:rPr>
        <w:t>响应保证金</w:t>
      </w:r>
      <w:r>
        <w:rPr>
          <w:rFonts w:hint="eastAsia" w:ascii="宋体" w:hAnsi="宋体" w:eastAsia="宋体" w:cs="宋体"/>
          <w:color w:val="auto"/>
          <w:szCs w:val="21"/>
          <w:highlight w:val="none"/>
        </w:rPr>
        <w:t>进</w:t>
      </w:r>
      <w:r>
        <w:rPr>
          <w:rFonts w:hint="eastAsia" w:ascii="宋体" w:hAnsi="宋体" w:eastAsia="宋体" w:cs="宋体"/>
          <w:color w:val="auto"/>
          <w:szCs w:val="21"/>
          <w:highlight w:val="none"/>
          <w:lang w:val="en-US" w:eastAsia="zh-CN"/>
        </w:rPr>
        <w:t>账</w:t>
      </w:r>
      <w:r>
        <w:rPr>
          <w:rFonts w:hint="eastAsia" w:ascii="宋体" w:hAnsi="宋体" w:eastAsia="宋体" w:cs="宋体"/>
          <w:color w:val="auto"/>
          <w:szCs w:val="21"/>
          <w:highlight w:val="none"/>
        </w:rPr>
        <w:t>单）</w:t>
      </w:r>
    </w:p>
    <w:p w14:paraId="47401C9F">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汇出时间：</w:t>
      </w:r>
      <w:r>
        <w:rPr>
          <w:rFonts w:hint="eastAsia" w:ascii="宋体" w:hAnsi="宋体" w:eastAsia="宋体" w:cs="宋体"/>
          <w:color w:val="auto"/>
          <w:szCs w:val="21"/>
          <w:highlight w:val="none"/>
          <w:u w:val="single"/>
        </w:rPr>
        <w:t xml:space="preserve">    年   月    日</w:t>
      </w:r>
    </w:p>
    <w:p w14:paraId="14891D79">
      <w:pPr>
        <w:spacing w:line="360" w:lineRule="auto"/>
        <w:ind w:firstLine="424" w:firstLineChars="202"/>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汇款金额：</w:t>
      </w:r>
      <w:r>
        <w:rPr>
          <w:rFonts w:hint="eastAsia" w:ascii="宋体" w:hAnsi="宋体" w:eastAsia="宋体" w:cs="宋体"/>
          <w:color w:val="auto"/>
          <w:szCs w:val="21"/>
          <w:highlight w:val="none"/>
          <w:u w:val="single"/>
          <w:lang w:eastAsia="zh-CN"/>
        </w:rPr>
        <w:t>（大写）人民币      元（小写：¥      元）</w:t>
      </w:r>
    </w:p>
    <w:p w14:paraId="1E23B7F9">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汇款账户名称：</w:t>
      </w:r>
      <w:r>
        <w:rPr>
          <w:rFonts w:hint="eastAsia" w:ascii="宋体" w:hAnsi="宋体" w:eastAsia="宋体" w:cs="宋体"/>
          <w:color w:val="auto"/>
          <w:szCs w:val="21"/>
          <w:highlight w:val="none"/>
          <w:u w:val="single"/>
        </w:rPr>
        <w:t>（必须是</w:t>
      </w:r>
      <w:r>
        <w:rPr>
          <w:rFonts w:hint="eastAsia" w:ascii="宋体" w:hAnsi="宋体" w:eastAsia="宋体" w:cs="宋体"/>
          <w:color w:val="auto"/>
          <w:szCs w:val="21"/>
          <w:highlight w:val="none"/>
          <w:u w:val="single"/>
          <w:lang w:val="en-US" w:eastAsia="zh-CN"/>
        </w:rPr>
        <w:t>响应</w:t>
      </w:r>
      <w:r>
        <w:rPr>
          <w:rFonts w:hint="eastAsia" w:ascii="宋体" w:hAnsi="宋体" w:eastAsia="宋体" w:cs="宋体"/>
          <w:color w:val="auto"/>
          <w:szCs w:val="21"/>
          <w:highlight w:val="none"/>
          <w:u w:val="single"/>
        </w:rPr>
        <w:t>时使用的账户名）</w:t>
      </w:r>
    </w:p>
    <w:p w14:paraId="22211A25">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r>
        <w:rPr>
          <w:rFonts w:hint="eastAsia" w:ascii="宋体" w:hAnsi="宋体" w:eastAsia="宋体" w:cs="宋体"/>
          <w:color w:val="auto"/>
          <w:szCs w:val="21"/>
          <w:highlight w:val="none"/>
          <w:u w:val="single"/>
        </w:rPr>
        <w:t>（必须是</w:t>
      </w:r>
      <w:r>
        <w:rPr>
          <w:rFonts w:hint="eastAsia" w:ascii="宋体" w:hAnsi="宋体" w:eastAsia="宋体" w:cs="宋体"/>
          <w:color w:val="auto"/>
          <w:szCs w:val="21"/>
          <w:highlight w:val="none"/>
          <w:u w:val="single"/>
          <w:lang w:val="en-US" w:eastAsia="zh-CN"/>
        </w:rPr>
        <w:t>响应</w:t>
      </w:r>
      <w:r>
        <w:rPr>
          <w:rFonts w:hint="eastAsia" w:ascii="宋体" w:hAnsi="宋体" w:eastAsia="宋体" w:cs="宋体"/>
          <w:color w:val="auto"/>
          <w:szCs w:val="21"/>
          <w:highlight w:val="none"/>
          <w:u w:val="single"/>
        </w:rPr>
        <w:t>时使用的账号）</w:t>
      </w:r>
    </w:p>
    <w:p w14:paraId="752DA014">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省         市         </w:t>
      </w:r>
    </w:p>
    <w:p w14:paraId="0EB73C1B">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本单位谨承诺上述资料是正确、真实的，如因上述证明与事实不符导致的一切损失，本单位保证承担赔偿等一切法律责任。</w:t>
      </w:r>
    </w:p>
    <w:p w14:paraId="1CE7AB76">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响应保证金</w:t>
      </w:r>
      <w:r>
        <w:rPr>
          <w:rFonts w:hint="eastAsia" w:ascii="宋体" w:hAnsi="宋体" w:eastAsia="宋体" w:cs="宋体"/>
          <w:color w:val="auto"/>
          <w:szCs w:val="21"/>
          <w:highlight w:val="none"/>
        </w:rPr>
        <w:t>退回时，请按上述资料退回。</w:t>
      </w:r>
    </w:p>
    <w:p w14:paraId="7EE05D78">
      <w:pPr>
        <w:spacing w:line="360" w:lineRule="auto"/>
        <w:ind w:right="844" w:rightChars="402" w:firstLine="424" w:firstLineChars="202"/>
        <w:jc w:val="right"/>
        <w:rPr>
          <w:rFonts w:hint="eastAsia" w:ascii="宋体" w:hAnsi="宋体" w:eastAsia="宋体" w:cs="宋体"/>
          <w:color w:val="auto"/>
          <w:szCs w:val="24"/>
          <w:highlight w:val="none"/>
        </w:rPr>
      </w:pPr>
      <w:r>
        <w:rPr>
          <w:rFonts w:hint="eastAsia" w:ascii="宋体" w:hAnsi="宋体" w:eastAsia="宋体" w:cs="宋体"/>
          <w:color w:val="auto"/>
          <w:szCs w:val="24"/>
          <w:highlight w:val="none"/>
        </w:rPr>
        <w:t>（</w:t>
      </w:r>
      <w:r>
        <w:rPr>
          <w:rFonts w:hint="eastAsia" w:ascii="宋体" w:hAnsi="宋体" w:eastAsia="宋体" w:cs="宋体"/>
          <w:bCs/>
          <w:color w:val="auto"/>
          <w:szCs w:val="24"/>
          <w:highlight w:val="none"/>
          <w:lang w:eastAsia="zh-CN"/>
        </w:rPr>
        <w:t>供应商</w:t>
      </w:r>
      <w:r>
        <w:rPr>
          <w:rFonts w:hint="eastAsia" w:ascii="宋体" w:hAnsi="宋体" w:eastAsia="宋体" w:cs="宋体"/>
          <w:bCs/>
          <w:color w:val="auto"/>
          <w:szCs w:val="24"/>
          <w:highlight w:val="none"/>
        </w:rPr>
        <w:t>法人公章</w:t>
      </w:r>
      <w:r>
        <w:rPr>
          <w:rFonts w:hint="eastAsia" w:ascii="宋体" w:hAnsi="宋体" w:eastAsia="宋体" w:cs="宋体"/>
          <w:color w:val="auto"/>
          <w:szCs w:val="24"/>
          <w:highlight w:val="none"/>
        </w:rPr>
        <w:t>）</w:t>
      </w:r>
    </w:p>
    <w:p w14:paraId="6F0D45CF">
      <w:pPr>
        <w:spacing w:line="360" w:lineRule="auto"/>
        <w:ind w:right="628" w:rightChars="299" w:firstLine="7774" w:firstLineChars="3702"/>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rPr>
        <w:t>年   月   日</w:t>
      </w:r>
    </w:p>
    <w:p w14:paraId="3FEF9144">
      <w:pPr>
        <w:spacing w:line="360" w:lineRule="auto"/>
        <w:ind w:firstLine="424" w:firstLineChars="202"/>
        <w:rPr>
          <w:rFonts w:hint="eastAsia" w:ascii="宋体" w:hAnsi="宋体" w:eastAsia="宋体" w:cs="宋体"/>
          <w:color w:val="auto"/>
          <w:szCs w:val="24"/>
          <w:highlight w:val="none"/>
        </w:rPr>
      </w:pPr>
      <w:r>
        <w:rPr>
          <w:rFonts w:hint="eastAsia" w:ascii="宋体" w:hAnsi="宋体" w:eastAsia="宋体" w:cs="宋体"/>
          <w:color w:val="auto"/>
          <w:szCs w:val="24"/>
          <w:highlight w:val="none"/>
        </w:rPr>
        <w:t>单位名称：</w:t>
      </w:r>
    </w:p>
    <w:p w14:paraId="2512BC9D">
      <w:pPr>
        <w:spacing w:line="360" w:lineRule="auto"/>
        <w:ind w:firstLine="424" w:firstLineChars="202"/>
        <w:rPr>
          <w:rFonts w:hint="eastAsia" w:ascii="宋体" w:hAnsi="宋体" w:eastAsia="宋体" w:cs="宋体"/>
          <w:color w:val="auto"/>
          <w:szCs w:val="24"/>
          <w:highlight w:val="none"/>
        </w:rPr>
      </w:pPr>
      <w:r>
        <w:rPr>
          <w:rFonts w:hint="eastAsia" w:ascii="宋体" w:hAnsi="宋体" w:eastAsia="宋体" w:cs="宋体"/>
          <w:color w:val="auto"/>
          <w:szCs w:val="24"/>
          <w:highlight w:val="none"/>
        </w:rPr>
        <w:t>单位地址：</w:t>
      </w:r>
    </w:p>
    <w:p w14:paraId="49F336CD">
      <w:pPr>
        <w:spacing w:line="360" w:lineRule="auto"/>
        <w:ind w:firstLine="424" w:firstLineChars="202"/>
        <w:rPr>
          <w:rFonts w:hint="eastAsia" w:ascii="宋体" w:hAnsi="宋体" w:eastAsia="宋体" w:cs="宋体"/>
          <w:color w:val="auto"/>
          <w:szCs w:val="24"/>
          <w:highlight w:val="none"/>
        </w:rPr>
      </w:pPr>
      <w:r>
        <w:rPr>
          <w:rFonts w:hint="eastAsia" w:ascii="宋体" w:hAnsi="宋体" w:eastAsia="宋体" w:cs="宋体"/>
          <w:color w:val="auto"/>
          <w:szCs w:val="24"/>
          <w:highlight w:val="none"/>
        </w:rPr>
        <w:t>联系人：</w:t>
      </w:r>
    </w:p>
    <w:p w14:paraId="054709CD">
      <w:pPr>
        <w:spacing w:line="360" w:lineRule="auto"/>
        <w:ind w:firstLine="424" w:firstLineChars="202"/>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单位电话：                    </w:t>
      </w:r>
    </w:p>
    <w:p w14:paraId="37F52B3C">
      <w:pPr>
        <w:spacing w:line="360" w:lineRule="auto"/>
        <w:ind w:firstLine="424" w:firstLineChars="202"/>
        <w:rPr>
          <w:rFonts w:hint="eastAsia" w:ascii="宋体" w:hAnsi="宋体" w:eastAsia="宋体" w:cs="宋体"/>
          <w:color w:val="auto"/>
          <w:szCs w:val="24"/>
          <w:highlight w:val="none"/>
        </w:rPr>
      </w:pPr>
      <w:r>
        <w:rPr>
          <w:rFonts w:hint="eastAsia" w:ascii="宋体" w:hAnsi="宋体" w:eastAsia="宋体" w:cs="宋体"/>
          <w:color w:val="auto"/>
          <w:szCs w:val="24"/>
          <w:highlight w:val="none"/>
        </w:rPr>
        <w:t>联系人手机：</w:t>
      </w:r>
    </w:p>
    <w:p w14:paraId="1B93E114">
      <w:pPr>
        <w:spacing w:line="360" w:lineRule="auto"/>
        <w:ind w:left="340" w:leftChars="162" w:firstLine="425"/>
        <w:rPr>
          <w:rFonts w:hint="eastAsia" w:ascii="宋体" w:hAnsi="宋体" w:eastAsia="宋体" w:cs="宋体"/>
          <w:b/>
          <w:bCs/>
          <w:color w:val="auto"/>
          <w:szCs w:val="21"/>
          <w:highlight w:val="none"/>
        </w:rPr>
      </w:pPr>
      <w:bookmarkStart w:id="651" w:name="_Toc26208_WPSOffice_Level3"/>
      <w:r>
        <w:rPr>
          <w:rFonts w:hint="eastAsia" w:ascii="宋体" w:hAnsi="宋体" w:eastAsia="宋体" w:cs="宋体"/>
          <w:b/>
          <w:bCs/>
          <w:color w:val="auto"/>
          <w:szCs w:val="21"/>
          <w:highlight w:val="none"/>
        </w:rPr>
        <w:t>附：1、我方</w:t>
      </w:r>
      <w:r>
        <w:rPr>
          <w:rFonts w:hint="eastAsia" w:ascii="宋体" w:hAnsi="宋体" w:eastAsia="宋体" w:cs="宋体"/>
          <w:b/>
          <w:bCs/>
          <w:color w:val="auto"/>
          <w:szCs w:val="21"/>
          <w:highlight w:val="none"/>
          <w:lang w:eastAsia="zh-CN"/>
        </w:rPr>
        <w:t>响应保证金</w:t>
      </w:r>
      <w:r>
        <w:rPr>
          <w:rFonts w:hint="eastAsia" w:ascii="宋体" w:hAnsi="宋体" w:eastAsia="宋体" w:cs="宋体"/>
          <w:b/>
          <w:bCs/>
          <w:color w:val="auto"/>
          <w:szCs w:val="21"/>
          <w:highlight w:val="none"/>
        </w:rPr>
        <w:t>汇款凭证（复印件）</w:t>
      </w:r>
      <w:bookmarkEnd w:id="651"/>
    </w:p>
    <w:p w14:paraId="09CE6A1D">
      <w:pPr>
        <w:spacing w:line="360" w:lineRule="auto"/>
        <w:ind w:left="340" w:leftChars="162" w:firstLine="839" w:firstLineChars="398"/>
        <w:rPr>
          <w:rFonts w:hint="eastAsia" w:ascii="宋体" w:hAnsi="宋体" w:eastAsia="宋体" w:cs="宋体"/>
          <w:b/>
          <w:bCs/>
          <w:color w:val="auto"/>
          <w:szCs w:val="21"/>
          <w:highlight w:val="none"/>
        </w:rPr>
      </w:pPr>
      <w:bookmarkStart w:id="652" w:name="_Toc12992_WPSOffice_Level3"/>
      <w:r>
        <w:rPr>
          <w:rFonts w:hint="eastAsia" w:ascii="宋体" w:hAnsi="宋体" w:eastAsia="宋体" w:cs="宋体"/>
          <w:b/>
          <w:bCs/>
          <w:color w:val="auto"/>
          <w:szCs w:val="21"/>
          <w:highlight w:val="none"/>
        </w:rPr>
        <w:t>2、我方基本账户开户许可证（复印件）</w:t>
      </w:r>
      <w:bookmarkEnd w:id="652"/>
    </w:p>
    <w:p w14:paraId="57CEB0DE">
      <w:pPr>
        <w:autoSpaceDE/>
        <w:autoSpaceDN/>
        <w:adjustRightInd/>
        <w:spacing w:line="360" w:lineRule="auto"/>
        <w:ind w:left="0" w:leftChars="0" w:firstLine="0" w:firstLineChars="0"/>
        <w:jc w:val="left"/>
        <w:outlineLvl w:val="9"/>
        <w:rPr>
          <w:rFonts w:hint="eastAsia" w:ascii="宋体" w:hAnsi="宋体" w:eastAsia="宋体" w:cs="宋体"/>
          <w:b/>
          <w:bCs/>
          <w:color w:val="auto"/>
          <w:kern w:val="0"/>
          <w:sz w:val="32"/>
          <w:szCs w:val="32"/>
          <w:highlight w:val="none"/>
          <w:lang w:val="zh-CN"/>
        </w:rPr>
      </w:pP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Cs w:val="21"/>
          <w:highlight w:val="none"/>
          <w:lang w:val="zh-CN"/>
        </w:rPr>
        <w:t>注：本情况说明手写无效。</w:t>
      </w:r>
      <w:bookmarkStart w:id="653" w:name="_Toc94107221"/>
      <w:bookmarkStart w:id="654" w:name="_Toc142508379"/>
      <w:bookmarkStart w:id="655" w:name="_Toc24616"/>
      <w:bookmarkStart w:id="656" w:name="_Toc102860084"/>
      <w:bookmarkStart w:id="657" w:name="_Toc1977738"/>
      <w:bookmarkStart w:id="658" w:name="_Toc102860428"/>
      <w:bookmarkStart w:id="659" w:name="_Toc140596939"/>
      <w:bookmarkStart w:id="660" w:name="_Toc104991886"/>
      <w:bookmarkStart w:id="661" w:name="_Toc486167721"/>
      <w:bookmarkStart w:id="662" w:name="_Toc533708134"/>
    </w:p>
    <w:p w14:paraId="7500D495">
      <w:pPr>
        <w:autoSpaceDE/>
        <w:autoSpaceDN/>
        <w:adjustRightInd/>
        <w:spacing w:line="240" w:lineRule="auto"/>
        <w:ind w:left="0" w:leftChars="0" w:firstLine="0"/>
        <w:jc w:val="left"/>
        <w:outlineLvl w:val="9"/>
        <w:rPr>
          <w:rFonts w:hint="eastAsia" w:ascii="宋体" w:hAnsi="宋体" w:eastAsia="宋体" w:cs="宋体"/>
          <w:b/>
          <w:bCs/>
          <w:color w:val="auto"/>
          <w:kern w:val="0"/>
          <w:sz w:val="32"/>
          <w:szCs w:val="32"/>
          <w:highlight w:val="none"/>
          <w:lang w:val="zh-CN"/>
        </w:rPr>
      </w:pPr>
      <w:bookmarkStart w:id="663" w:name="_Toc2007"/>
      <w:bookmarkStart w:id="664" w:name="_Toc29652"/>
      <w:r>
        <w:rPr>
          <w:rFonts w:hint="eastAsia" w:ascii="宋体" w:hAnsi="宋体" w:eastAsia="宋体" w:cs="宋体"/>
          <w:b/>
          <w:bCs/>
          <w:color w:val="auto"/>
          <w:kern w:val="0"/>
          <w:sz w:val="32"/>
          <w:szCs w:val="32"/>
          <w:highlight w:val="none"/>
          <w:lang w:val="zh-CN"/>
        </w:rPr>
        <w:br w:type="page"/>
      </w:r>
    </w:p>
    <w:p w14:paraId="274F7F1F">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b/>
          <w:color w:val="auto"/>
          <w:kern w:val="0"/>
          <w:sz w:val="32"/>
          <w:szCs w:val="32"/>
          <w:highlight w:val="none"/>
        </w:rPr>
        <w:sectPr>
          <w:headerReference r:id="rId15" w:type="first"/>
          <w:headerReference r:id="rId14" w:type="default"/>
          <w:footerReference r:id="rId16" w:type="default"/>
          <w:pgSz w:w="12240" w:h="15840"/>
          <w:pgMar w:top="1191" w:right="1043" w:bottom="1191" w:left="1043" w:header="720" w:footer="720" w:gutter="0"/>
          <w:pgNumType w:fmt="decimal"/>
          <w:cols w:space="720" w:num="1"/>
          <w:titlePg/>
          <w:docGrid w:linePitch="326" w:charSpace="0"/>
        </w:sectPr>
      </w:pPr>
      <w:bookmarkStart w:id="665" w:name="_Toc14585"/>
      <w:bookmarkStart w:id="666" w:name="_Toc1768084349"/>
      <w:r>
        <w:rPr>
          <w:rFonts w:hint="eastAsia" w:ascii="宋体" w:hAnsi="宋体" w:eastAsia="宋体" w:cs="宋体"/>
          <w:b/>
          <w:bCs/>
          <w:color w:val="auto"/>
          <w:kern w:val="0"/>
          <w:sz w:val="32"/>
          <w:szCs w:val="32"/>
          <w:highlight w:val="none"/>
          <w:lang w:val="zh-CN"/>
        </w:rPr>
        <w:t>十</w:t>
      </w:r>
      <w:r>
        <w:rPr>
          <w:rFonts w:hint="eastAsia" w:ascii="宋体" w:hAnsi="宋体" w:eastAsia="宋体" w:cs="宋体"/>
          <w:b/>
          <w:bCs/>
          <w:color w:val="auto"/>
          <w:kern w:val="0"/>
          <w:sz w:val="32"/>
          <w:szCs w:val="32"/>
          <w:highlight w:val="none"/>
          <w:lang w:val="en-US" w:eastAsia="zh-CN"/>
        </w:rPr>
        <w:t>一</w:t>
      </w:r>
      <w:r>
        <w:rPr>
          <w:rFonts w:hint="eastAsia" w:ascii="宋体" w:hAnsi="宋体" w:eastAsia="宋体" w:cs="宋体"/>
          <w:b/>
          <w:bCs/>
          <w:color w:val="auto"/>
          <w:kern w:val="0"/>
          <w:sz w:val="32"/>
          <w:szCs w:val="32"/>
          <w:highlight w:val="none"/>
          <w:lang w:val="zh-CN"/>
        </w:rPr>
        <w:t>、供应商资格证明文件以外的其他资质证书、知识产权证书及获得的相关获奖、认证证书、社会评价资料证明文件复印件等供应商认为有需要证明其具备为本次</w:t>
      </w:r>
      <w:r>
        <w:rPr>
          <w:rFonts w:hint="eastAsia" w:ascii="宋体" w:hAnsi="宋体" w:eastAsia="宋体" w:cs="宋体"/>
          <w:b/>
          <w:bCs/>
          <w:color w:val="auto"/>
          <w:kern w:val="0"/>
          <w:sz w:val="32"/>
          <w:szCs w:val="32"/>
          <w:highlight w:val="none"/>
          <w:lang w:val="en-US" w:eastAsia="zh-CN"/>
        </w:rPr>
        <w:t>采购</w:t>
      </w:r>
      <w:r>
        <w:rPr>
          <w:rFonts w:hint="eastAsia" w:ascii="宋体" w:hAnsi="宋体" w:eastAsia="宋体" w:cs="宋体"/>
          <w:b/>
          <w:bCs/>
          <w:color w:val="auto"/>
          <w:kern w:val="0"/>
          <w:sz w:val="32"/>
          <w:szCs w:val="32"/>
          <w:highlight w:val="none"/>
          <w:lang w:val="zh-CN"/>
        </w:rPr>
        <w:t>项目提供服务能力的有关其它商务文件（不做强制要求）</w:t>
      </w:r>
      <w:bookmarkEnd w:id="653"/>
      <w:bookmarkEnd w:id="654"/>
      <w:bookmarkEnd w:id="655"/>
      <w:bookmarkEnd w:id="656"/>
      <w:bookmarkEnd w:id="657"/>
      <w:bookmarkEnd w:id="658"/>
      <w:bookmarkEnd w:id="659"/>
      <w:bookmarkEnd w:id="660"/>
      <w:bookmarkEnd w:id="663"/>
      <w:bookmarkEnd w:id="664"/>
      <w:bookmarkEnd w:id="665"/>
      <w:bookmarkEnd w:id="666"/>
    </w:p>
    <w:bookmarkEnd w:id="661"/>
    <w:bookmarkEnd w:id="662"/>
    <w:p w14:paraId="162D7999">
      <w:pPr>
        <w:tabs>
          <w:tab w:val="left" w:pos="567"/>
        </w:tabs>
        <w:autoSpaceDE w:val="0"/>
        <w:autoSpaceDN w:val="0"/>
        <w:adjustRightInd w:val="0"/>
        <w:spacing w:line="360" w:lineRule="auto"/>
        <w:ind w:left="357" w:leftChars="-100" w:hanging="567"/>
        <w:jc w:val="left"/>
        <w:outlineLvl w:val="2"/>
        <w:rPr>
          <w:rFonts w:hint="eastAsia" w:ascii="宋体" w:hAnsi="宋体" w:eastAsia="宋体" w:cs="宋体"/>
          <w:b/>
          <w:color w:val="auto"/>
          <w:kern w:val="0"/>
          <w:sz w:val="32"/>
          <w:szCs w:val="32"/>
          <w:highlight w:val="none"/>
        </w:rPr>
      </w:pPr>
      <w:bookmarkStart w:id="667" w:name="_Toc21937"/>
      <w:bookmarkStart w:id="668" w:name="_Toc104991887"/>
      <w:bookmarkStart w:id="669" w:name="_Toc94107222"/>
      <w:bookmarkStart w:id="670" w:name="_Toc18038"/>
      <w:bookmarkStart w:id="671" w:name="_Toc1977739"/>
      <w:bookmarkStart w:id="672" w:name="_Toc102860085"/>
      <w:bookmarkStart w:id="673" w:name="_Toc142508380"/>
      <w:bookmarkStart w:id="674" w:name="_Toc140596940"/>
      <w:bookmarkStart w:id="675" w:name="_Toc31916"/>
      <w:bookmarkStart w:id="676" w:name="_Toc102860429"/>
      <w:bookmarkStart w:id="677" w:name="_Toc1215146997"/>
      <w:bookmarkStart w:id="678" w:name="_Toc27482"/>
      <w:bookmarkStart w:id="679" w:name="_Toc14977"/>
      <w:bookmarkStart w:id="680" w:name="_Toc142508390"/>
      <w:bookmarkStart w:id="681" w:name="_Toc21059"/>
      <w:bookmarkStart w:id="682" w:name="_Toc521918141"/>
      <w:bookmarkStart w:id="683" w:name="_Toc533708139"/>
      <w:bookmarkStart w:id="684" w:name="_Toc522047402"/>
      <w:bookmarkStart w:id="685" w:name="_Toc22601_WPSOffice_Level1"/>
      <w:r>
        <w:rPr>
          <w:rFonts w:hint="eastAsia" w:ascii="宋体" w:hAnsi="宋体" w:eastAsia="宋体" w:cs="宋体"/>
          <w:b/>
          <w:color w:val="auto"/>
          <w:kern w:val="0"/>
          <w:sz w:val="32"/>
          <w:szCs w:val="32"/>
          <w:highlight w:val="none"/>
        </w:rPr>
        <w:t>十</w:t>
      </w: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、技术响应文件格式</w:t>
      </w:r>
      <w:bookmarkEnd w:id="667"/>
      <w:bookmarkEnd w:id="668"/>
      <w:bookmarkEnd w:id="669"/>
      <w:bookmarkEnd w:id="670"/>
      <w:bookmarkEnd w:id="671"/>
      <w:bookmarkEnd w:id="672"/>
      <w:bookmarkEnd w:id="673"/>
      <w:bookmarkEnd w:id="674"/>
      <w:bookmarkEnd w:id="675"/>
      <w:bookmarkEnd w:id="676"/>
      <w:bookmarkEnd w:id="677"/>
      <w:bookmarkEnd w:id="678"/>
    </w:p>
    <w:p w14:paraId="113A0370">
      <w:pPr>
        <w:tabs>
          <w:tab w:val="left" w:pos="864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应按照</w:t>
      </w:r>
      <w:r>
        <w:rPr>
          <w:rFonts w:hint="eastAsia" w:ascii="宋体" w:hAnsi="宋体" w:eastAsia="宋体" w:cs="宋体"/>
          <w:color w:val="auto"/>
          <w:kern w:val="0"/>
          <w:szCs w:val="21"/>
          <w:highlight w:val="none"/>
          <w:lang w:eastAsia="zh-CN"/>
        </w:rPr>
        <w:t>询比文件供应商</w:t>
      </w:r>
      <w:r>
        <w:rPr>
          <w:rFonts w:hint="eastAsia" w:ascii="宋体" w:hAnsi="宋体" w:eastAsia="宋体" w:cs="宋体"/>
          <w:color w:val="auto"/>
          <w:kern w:val="0"/>
          <w:szCs w:val="21"/>
          <w:highlight w:val="none"/>
        </w:rPr>
        <w:t>须知关于</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组成部分的要求编制技术文件，主要包括但不限于以下内容：</w:t>
      </w:r>
    </w:p>
    <w:p w14:paraId="7FCEA0FF">
      <w:pPr>
        <w:numPr>
          <w:ilvl w:val="0"/>
          <w:numId w:val="0"/>
        </w:numPr>
        <w:spacing w:line="360" w:lineRule="auto"/>
        <w:ind w:left="443" w:leftChars="77" w:hanging="281" w:hangingChars="134"/>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rPr>
        <w:t>用户需求响应程度（即</w:t>
      </w:r>
      <w:r>
        <w:rPr>
          <w:rFonts w:hint="eastAsia" w:ascii="宋体" w:hAnsi="宋体" w:eastAsia="宋体" w:cs="宋体"/>
          <w:color w:val="auto"/>
          <w:kern w:val="0"/>
          <w:szCs w:val="21"/>
          <w:highlight w:val="none"/>
          <w:lang w:val="en-US" w:eastAsia="zh-CN"/>
        </w:rPr>
        <w:t>12</w:t>
      </w:r>
      <w:r>
        <w:rPr>
          <w:rFonts w:hint="eastAsia" w:ascii="宋体" w:hAnsi="宋体" w:eastAsia="宋体" w:cs="宋体"/>
          <w:color w:val="auto"/>
          <w:kern w:val="0"/>
          <w:szCs w:val="21"/>
          <w:highlight w:val="none"/>
        </w:rPr>
        <w:t>.1用户需求偏离表格式）；</w:t>
      </w:r>
    </w:p>
    <w:p w14:paraId="316C33BF">
      <w:pPr>
        <w:spacing w:line="360" w:lineRule="auto"/>
        <w:ind w:left="443" w:leftChars="77" w:hanging="281" w:hangingChars="134"/>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w:t>
      </w:r>
      <w:r>
        <w:rPr>
          <w:rFonts w:hint="eastAsia" w:ascii="宋体" w:hAnsi="宋体" w:eastAsia="宋体" w:cs="宋体"/>
          <w:color w:val="auto"/>
          <w:sz w:val="21"/>
          <w:szCs w:val="21"/>
          <w:highlight w:val="none"/>
          <w:lang w:val="en-US" w:eastAsia="zh-CN"/>
        </w:rPr>
        <w:t>应急预案和保障措施</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自行编写）；</w:t>
      </w:r>
    </w:p>
    <w:p w14:paraId="664A33BA">
      <w:pPr>
        <w:spacing w:line="360" w:lineRule="auto"/>
        <w:ind w:left="443" w:leftChars="77" w:hanging="281" w:hangingChars="134"/>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认为有必要提供的其它材料（不做强制要求）。</w:t>
      </w:r>
    </w:p>
    <w:p w14:paraId="4B6CE07C">
      <w:pPr>
        <w:pStyle w:val="2"/>
        <w:rPr>
          <w:rFonts w:hint="eastAsia" w:ascii="宋体" w:hAnsi="宋体" w:eastAsia="宋体" w:cs="宋体"/>
          <w:color w:val="FF0000"/>
          <w:kern w:val="0"/>
          <w:szCs w:val="21"/>
          <w:highlight w:val="none"/>
        </w:rPr>
      </w:pPr>
    </w:p>
    <w:p w14:paraId="5EEDA3B9">
      <w:pPr>
        <w:pStyle w:val="19"/>
        <w:spacing w:line="360" w:lineRule="auto"/>
        <w:jc w:val="center"/>
        <w:rPr>
          <w:rFonts w:hint="eastAsia" w:ascii="宋体" w:hAnsi="宋体" w:eastAsia="宋体" w:cs="宋体"/>
          <w:b/>
          <w:color w:val="auto"/>
          <w:kern w:val="0"/>
          <w:szCs w:val="21"/>
          <w:highlight w:val="none"/>
        </w:rPr>
      </w:pPr>
    </w:p>
    <w:p w14:paraId="21C70913">
      <w:pPr>
        <w:pStyle w:val="19"/>
        <w:spacing w:line="360" w:lineRule="auto"/>
        <w:jc w:val="center"/>
        <w:rPr>
          <w:rFonts w:hint="eastAsia" w:ascii="宋体" w:hAnsi="宋体" w:eastAsia="宋体" w:cs="宋体"/>
          <w:b/>
          <w:color w:val="auto"/>
          <w:kern w:val="0"/>
          <w:szCs w:val="21"/>
          <w:highlight w:val="none"/>
        </w:rPr>
      </w:pPr>
    </w:p>
    <w:p w14:paraId="6F6E50D6">
      <w:pPr>
        <w:pStyle w:val="19"/>
        <w:spacing w:line="360" w:lineRule="auto"/>
        <w:jc w:val="center"/>
        <w:rPr>
          <w:rFonts w:hint="eastAsia" w:ascii="宋体" w:hAnsi="宋体" w:eastAsia="宋体" w:cs="宋体"/>
          <w:b/>
          <w:color w:val="auto"/>
          <w:kern w:val="0"/>
          <w:szCs w:val="21"/>
          <w:highlight w:val="none"/>
        </w:rPr>
      </w:pPr>
    </w:p>
    <w:p w14:paraId="4EEE3CB2">
      <w:pPr>
        <w:pStyle w:val="19"/>
        <w:spacing w:line="360" w:lineRule="auto"/>
        <w:jc w:val="center"/>
        <w:rPr>
          <w:rFonts w:hint="eastAsia" w:ascii="宋体" w:hAnsi="宋体" w:eastAsia="宋体" w:cs="宋体"/>
          <w:b/>
          <w:color w:val="auto"/>
          <w:kern w:val="0"/>
          <w:szCs w:val="21"/>
          <w:highlight w:val="none"/>
        </w:rPr>
      </w:pPr>
    </w:p>
    <w:p w14:paraId="1317E809">
      <w:pPr>
        <w:pStyle w:val="19"/>
        <w:spacing w:line="360" w:lineRule="auto"/>
        <w:jc w:val="center"/>
        <w:rPr>
          <w:rFonts w:hint="eastAsia" w:ascii="宋体" w:hAnsi="宋体" w:eastAsia="宋体" w:cs="宋体"/>
          <w:b/>
          <w:color w:val="auto"/>
          <w:kern w:val="0"/>
          <w:szCs w:val="21"/>
          <w:highlight w:val="none"/>
        </w:rPr>
      </w:pPr>
    </w:p>
    <w:p w14:paraId="2E878865">
      <w:pPr>
        <w:pStyle w:val="19"/>
        <w:spacing w:line="360" w:lineRule="auto"/>
        <w:jc w:val="center"/>
        <w:rPr>
          <w:rFonts w:hint="eastAsia" w:ascii="宋体" w:hAnsi="宋体" w:eastAsia="宋体" w:cs="宋体"/>
          <w:b/>
          <w:color w:val="auto"/>
          <w:kern w:val="0"/>
          <w:szCs w:val="21"/>
          <w:highlight w:val="none"/>
        </w:rPr>
      </w:pPr>
    </w:p>
    <w:p w14:paraId="17D26F5A">
      <w:pPr>
        <w:pStyle w:val="19"/>
        <w:spacing w:line="360" w:lineRule="auto"/>
        <w:jc w:val="center"/>
        <w:rPr>
          <w:rFonts w:hint="eastAsia" w:ascii="宋体" w:hAnsi="宋体" w:eastAsia="宋体" w:cs="宋体"/>
          <w:b/>
          <w:color w:val="auto"/>
          <w:kern w:val="0"/>
          <w:szCs w:val="21"/>
          <w:highlight w:val="none"/>
        </w:rPr>
      </w:pPr>
    </w:p>
    <w:p w14:paraId="65EB21B8">
      <w:pPr>
        <w:pStyle w:val="19"/>
        <w:spacing w:line="360" w:lineRule="auto"/>
        <w:jc w:val="center"/>
        <w:rPr>
          <w:rFonts w:hint="eastAsia" w:ascii="宋体" w:hAnsi="宋体" w:eastAsia="宋体" w:cs="宋体"/>
          <w:b/>
          <w:color w:val="auto"/>
          <w:kern w:val="0"/>
          <w:szCs w:val="21"/>
          <w:highlight w:val="none"/>
        </w:rPr>
      </w:pPr>
    </w:p>
    <w:p w14:paraId="756B1816">
      <w:pPr>
        <w:pStyle w:val="19"/>
        <w:spacing w:line="360" w:lineRule="auto"/>
        <w:jc w:val="center"/>
        <w:rPr>
          <w:rFonts w:hint="eastAsia" w:ascii="宋体" w:hAnsi="宋体" w:eastAsia="宋体" w:cs="宋体"/>
          <w:b/>
          <w:color w:val="auto"/>
          <w:kern w:val="0"/>
          <w:szCs w:val="21"/>
          <w:highlight w:val="none"/>
        </w:rPr>
      </w:pPr>
    </w:p>
    <w:p w14:paraId="28B8CDB3">
      <w:pPr>
        <w:pStyle w:val="19"/>
        <w:spacing w:line="360" w:lineRule="auto"/>
        <w:jc w:val="center"/>
        <w:rPr>
          <w:rFonts w:hint="eastAsia" w:ascii="宋体" w:hAnsi="宋体" w:eastAsia="宋体" w:cs="宋体"/>
          <w:b/>
          <w:color w:val="auto"/>
          <w:kern w:val="0"/>
          <w:szCs w:val="21"/>
          <w:highlight w:val="none"/>
        </w:rPr>
      </w:pPr>
    </w:p>
    <w:p w14:paraId="7583A937">
      <w:pPr>
        <w:pStyle w:val="19"/>
        <w:spacing w:line="360" w:lineRule="auto"/>
        <w:jc w:val="center"/>
        <w:rPr>
          <w:rFonts w:hint="eastAsia" w:ascii="宋体" w:hAnsi="宋体" w:eastAsia="宋体" w:cs="宋体"/>
          <w:b/>
          <w:color w:val="auto"/>
          <w:kern w:val="0"/>
          <w:szCs w:val="21"/>
          <w:highlight w:val="none"/>
        </w:rPr>
      </w:pPr>
    </w:p>
    <w:p w14:paraId="2C4A7B0F">
      <w:pPr>
        <w:pStyle w:val="19"/>
        <w:spacing w:line="360" w:lineRule="auto"/>
        <w:jc w:val="center"/>
        <w:rPr>
          <w:rFonts w:hint="eastAsia" w:ascii="宋体" w:hAnsi="宋体" w:eastAsia="宋体" w:cs="宋体"/>
          <w:b/>
          <w:color w:val="auto"/>
          <w:kern w:val="0"/>
          <w:szCs w:val="21"/>
          <w:highlight w:val="none"/>
        </w:rPr>
      </w:pPr>
    </w:p>
    <w:p w14:paraId="1484C49B">
      <w:pPr>
        <w:pStyle w:val="19"/>
        <w:spacing w:line="360" w:lineRule="auto"/>
        <w:jc w:val="center"/>
        <w:rPr>
          <w:rFonts w:hint="eastAsia" w:ascii="宋体" w:hAnsi="宋体" w:eastAsia="宋体" w:cs="宋体"/>
          <w:b/>
          <w:color w:val="auto"/>
          <w:kern w:val="0"/>
          <w:szCs w:val="21"/>
          <w:highlight w:val="none"/>
        </w:rPr>
      </w:pPr>
    </w:p>
    <w:p w14:paraId="132495EE">
      <w:pPr>
        <w:pStyle w:val="19"/>
        <w:spacing w:line="360" w:lineRule="auto"/>
        <w:jc w:val="center"/>
        <w:rPr>
          <w:rFonts w:hint="eastAsia" w:ascii="宋体" w:hAnsi="宋体" w:eastAsia="宋体" w:cs="宋体"/>
          <w:b/>
          <w:color w:val="auto"/>
          <w:kern w:val="0"/>
          <w:szCs w:val="21"/>
          <w:highlight w:val="none"/>
        </w:rPr>
      </w:pPr>
    </w:p>
    <w:p w14:paraId="3229CBF2">
      <w:pPr>
        <w:pStyle w:val="19"/>
        <w:spacing w:line="360" w:lineRule="auto"/>
        <w:jc w:val="center"/>
        <w:rPr>
          <w:rFonts w:hint="eastAsia" w:ascii="宋体" w:hAnsi="宋体" w:eastAsia="宋体" w:cs="宋体"/>
          <w:b/>
          <w:color w:val="auto"/>
          <w:kern w:val="0"/>
          <w:szCs w:val="21"/>
          <w:highlight w:val="none"/>
        </w:rPr>
      </w:pPr>
    </w:p>
    <w:p w14:paraId="011D41D1">
      <w:pPr>
        <w:pStyle w:val="19"/>
        <w:spacing w:line="360" w:lineRule="auto"/>
        <w:jc w:val="center"/>
        <w:rPr>
          <w:rFonts w:hint="eastAsia" w:ascii="宋体" w:hAnsi="宋体" w:eastAsia="宋体" w:cs="宋体"/>
          <w:b/>
          <w:color w:val="auto"/>
          <w:kern w:val="0"/>
          <w:szCs w:val="21"/>
          <w:highlight w:val="none"/>
        </w:rPr>
      </w:pPr>
    </w:p>
    <w:p w14:paraId="66EA0B31">
      <w:pPr>
        <w:pStyle w:val="19"/>
        <w:spacing w:line="360" w:lineRule="auto"/>
        <w:jc w:val="center"/>
        <w:rPr>
          <w:rFonts w:hint="eastAsia" w:ascii="宋体" w:hAnsi="宋体" w:eastAsia="宋体" w:cs="宋体"/>
          <w:b/>
          <w:color w:val="auto"/>
          <w:kern w:val="0"/>
          <w:szCs w:val="21"/>
          <w:highlight w:val="none"/>
        </w:rPr>
      </w:pPr>
    </w:p>
    <w:p w14:paraId="281A4934">
      <w:pPr>
        <w:pStyle w:val="19"/>
        <w:spacing w:line="360" w:lineRule="auto"/>
        <w:jc w:val="center"/>
        <w:rPr>
          <w:rFonts w:hint="eastAsia" w:ascii="宋体" w:hAnsi="宋体" w:eastAsia="宋体" w:cs="宋体"/>
          <w:b/>
          <w:color w:val="auto"/>
          <w:kern w:val="0"/>
          <w:szCs w:val="21"/>
          <w:highlight w:val="none"/>
        </w:rPr>
      </w:pPr>
    </w:p>
    <w:p w14:paraId="54C5D958">
      <w:pPr>
        <w:pStyle w:val="19"/>
        <w:spacing w:line="360" w:lineRule="auto"/>
        <w:jc w:val="center"/>
        <w:rPr>
          <w:rFonts w:hint="eastAsia" w:ascii="宋体" w:hAnsi="宋体" w:eastAsia="宋体" w:cs="宋体"/>
          <w:b/>
          <w:color w:val="auto"/>
          <w:kern w:val="0"/>
          <w:szCs w:val="21"/>
          <w:highlight w:val="none"/>
        </w:rPr>
      </w:pPr>
    </w:p>
    <w:p w14:paraId="44BC541F">
      <w:pPr>
        <w:pStyle w:val="19"/>
        <w:spacing w:line="360" w:lineRule="auto"/>
        <w:jc w:val="center"/>
        <w:rPr>
          <w:rFonts w:hint="eastAsia" w:ascii="宋体" w:hAnsi="宋体" w:eastAsia="宋体" w:cs="宋体"/>
          <w:b/>
          <w:color w:val="auto"/>
          <w:kern w:val="0"/>
          <w:szCs w:val="21"/>
          <w:highlight w:val="none"/>
        </w:rPr>
      </w:pPr>
    </w:p>
    <w:p w14:paraId="1433BB38">
      <w:pPr>
        <w:pStyle w:val="19"/>
        <w:spacing w:line="360" w:lineRule="auto"/>
        <w:jc w:val="center"/>
        <w:rPr>
          <w:rFonts w:hint="eastAsia" w:ascii="宋体" w:hAnsi="宋体" w:eastAsia="宋体" w:cs="宋体"/>
          <w:b/>
          <w:color w:val="auto"/>
          <w:kern w:val="0"/>
          <w:szCs w:val="21"/>
          <w:highlight w:val="none"/>
        </w:rPr>
      </w:pPr>
    </w:p>
    <w:p w14:paraId="73039483">
      <w:pPr>
        <w:pStyle w:val="19"/>
        <w:spacing w:line="360" w:lineRule="auto"/>
        <w:jc w:val="center"/>
        <w:rPr>
          <w:rFonts w:hint="eastAsia" w:ascii="宋体" w:hAnsi="宋体" w:eastAsia="宋体" w:cs="宋体"/>
          <w:b/>
          <w:color w:val="auto"/>
          <w:kern w:val="0"/>
          <w:szCs w:val="21"/>
          <w:highlight w:val="none"/>
        </w:rPr>
      </w:pPr>
    </w:p>
    <w:p w14:paraId="1E99089C">
      <w:pPr>
        <w:pStyle w:val="19"/>
        <w:spacing w:line="360" w:lineRule="auto"/>
        <w:jc w:val="center"/>
        <w:rPr>
          <w:rFonts w:hint="eastAsia" w:ascii="宋体" w:hAnsi="宋体" w:eastAsia="宋体" w:cs="宋体"/>
          <w:b/>
          <w:color w:val="auto"/>
          <w:kern w:val="0"/>
          <w:szCs w:val="21"/>
          <w:highlight w:val="none"/>
        </w:rPr>
      </w:pPr>
    </w:p>
    <w:p w14:paraId="111A4417">
      <w:pPr>
        <w:pStyle w:val="19"/>
        <w:spacing w:line="360" w:lineRule="auto"/>
        <w:jc w:val="center"/>
        <w:rPr>
          <w:rFonts w:hint="eastAsia" w:ascii="宋体" w:hAnsi="宋体" w:eastAsia="宋体" w:cs="宋体"/>
          <w:b/>
          <w:color w:val="auto"/>
          <w:kern w:val="0"/>
          <w:szCs w:val="21"/>
          <w:highlight w:val="none"/>
        </w:rPr>
      </w:pPr>
    </w:p>
    <w:p w14:paraId="783BB1D5">
      <w:pPr>
        <w:pStyle w:val="19"/>
        <w:spacing w:line="360" w:lineRule="auto"/>
        <w:jc w:val="center"/>
        <w:rPr>
          <w:rFonts w:hint="eastAsia" w:ascii="宋体" w:hAnsi="宋体" w:eastAsia="宋体" w:cs="宋体"/>
          <w:b/>
          <w:color w:val="auto"/>
          <w:kern w:val="0"/>
          <w:szCs w:val="21"/>
          <w:highlight w:val="none"/>
        </w:rPr>
      </w:pPr>
    </w:p>
    <w:p w14:paraId="2D0D459F">
      <w:pPr>
        <w:pStyle w:val="19"/>
        <w:spacing w:line="360" w:lineRule="auto"/>
        <w:jc w:val="center"/>
        <w:rPr>
          <w:rFonts w:hint="eastAsia" w:ascii="宋体" w:hAnsi="宋体" w:eastAsia="宋体" w:cs="宋体"/>
          <w:b/>
          <w:color w:val="auto"/>
          <w:kern w:val="0"/>
          <w:szCs w:val="21"/>
          <w:highlight w:val="none"/>
        </w:rPr>
      </w:pPr>
    </w:p>
    <w:p w14:paraId="128DAAB6">
      <w:pPr>
        <w:pStyle w:val="19"/>
        <w:spacing w:line="360" w:lineRule="auto"/>
        <w:jc w:val="center"/>
        <w:rPr>
          <w:rFonts w:hint="eastAsia" w:ascii="宋体" w:hAnsi="宋体" w:eastAsia="宋体" w:cs="宋体"/>
          <w:b/>
          <w:color w:val="auto"/>
          <w:kern w:val="0"/>
          <w:szCs w:val="21"/>
          <w:highlight w:val="none"/>
        </w:rPr>
      </w:pPr>
    </w:p>
    <w:p w14:paraId="1B4DD2EF">
      <w:pPr>
        <w:pStyle w:val="19"/>
        <w:spacing w:line="360" w:lineRule="auto"/>
        <w:ind w:firstLine="2520" w:firstLineChars="300"/>
        <w:rPr>
          <w:rFonts w:hint="eastAsia" w:ascii="宋体" w:hAnsi="宋体" w:eastAsia="宋体" w:cs="宋体"/>
          <w:color w:val="auto"/>
          <w:sz w:val="84"/>
          <w:highlight w:val="none"/>
        </w:rPr>
      </w:pPr>
      <w:r>
        <w:rPr>
          <w:rFonts w:hint="eastAsia" w:ascii="宋体" w:hAnsi="宋体" w:eastAsia="宋体" w:cs="宋体"/>
          <w:color w:val="auto"/>
          <w:sz w:val="84"/>
          <w:highlight w:val="none"/>
          <w:lang w:val="en-US" w:eastAsia="zh-CN"/>
        </w:rPr>
        <w:t>响</w:t>
      </w:r>
      <w:r>
        <w:rPr>
          <w:rFonts w:hint="eastAsia" w:ascii="宋体" w:hAnsi="宋体" w:eastAsia="宋体" w:cs="宋体"/>
          <w:color w:val="auto"/>
          <w:sz w:val="84"/>
          <w:highlight w:val="none"/>
        </w:rPr>
        <w:t xml:space="preserve"> </w:t>
      </w:r>
      <w:r>
        <w:rPr>
          <w:rFonts w:hint="eastAsia" w:ascii="宋体" w:hAnsi="宋体" w:eastAsia="宋体" w:cs="宋体"/>
          <w:color w:val="auto"/>
          <w:sz w:val="84"/>
          <w:highlight w:val="none"/>
          <w:lang w:val="en-US" w:eastAsia="zh-CN"/>
        </w:rPr>
        <w:t>应</w:t>
      </w:r>
      <w:r>
        <w:rPr>
          <w:rFonts w:hint="eastAsia" w:ascii="宋体" w:hAnsi="宋体" w:eastAsia="宋体" w:cs="宋体"/>
          <w:color w:val="auto"/>
          <w:sz w:val="84"/>
          <w:highlight w:val="none"/>
        </w:rPr>
        <w:t xml:space="preserve"> 文 件</w:t>
      </w:r>
    </w:p>
    <w:p w14:paraId="51BE0F96">
      <w:pPr>
        <w:pStyle w:val="19"/>
        <w:spacing w:line="360" w:lineRule="auto"/>
        <w:rPr>
          <w:rFonts w:hint="eastAsia" w:ascii="宋体" w:hAnsi="宋体" w:eastAsia="宋体" w:cs="宋体"/>
          <w:color w:val="auto"/>
          <w:highlight w:val="none"/>
        </w:rPr>
      </w:pPr>
    </w:p>
    <w:p w14:paraId="06A0E5CF">
      <w:pPr>
        <w:pStyle w:val="19"/>
        <w:spacing w:line="360" w:lineRule="auto"/>
        <w:rPr>
          <w:rFonts w:hint="eastAsia" w:ascii="宋体" w:hAnsi="宋体" w:eastAsia="宋体" w:cs="宋体"/>
          <w:color w:val="auto"/>
          <w:highlight w:val="none"/>
        </w:rPr>
      </w:pPr>
    </w:p>
    <w:p w14:paraId="51CAC4A5">
      <w:pPr>
        <w:pStyle w:val="19"/>
        <w:spacing w:line="360" w:lineRule="auto"/>
        <w:rPr>
          <w:rFonts w:hint="eastAsia" w:ascii="宋体" w:hAnsi="宋体" w:eastAsia="宋体" w:cs="宋体"/>
          <w:color w:val="auto"/>
          <w:highlight w:val="none"/>
        </w:rPr>
      </w:pPr>
    </w:p>
    <w:p w14:paraId="79C9FC3A">
      <w:pPr>
        <w:pStyle w:val="19"/>
        <w:spacing w:line="360" w:lineRule="auto"/>
        <w:rPr>
          <w:rFonts w:hint="eastAsia" w:ascii="宋体" w:hAnsi="宋体" w:eastAsia="宋体" w:cs="宋体"/>
          <w:color w:val="auto"/>
          <w:highlight w:val="none"/>
        </w:rPr>
      </w:pPr>
    </w:p>
    <w:p w14:paraId="3D14ACC2">
      <w:pPr>
        <w:pStyle w:val="19"/>
        <w:spacing w:line="360" w:lineRule="auto"/>
        <w:rPr>
          <w:rFonts w:hint="eastAsia" w:ascii="宋体" w:hAnsi="宋体" w:eastAsia="宋体" w:cs="宋体"/>
          <w:color w:val="auto"/>
          <w:highlight w:val="none"/>
        </w:rPr>
      </w:pPr>
    </w:p>
    <w:p w14:paraId="0696357C">
      <w:pPr>
        <w:pStyle w:val="19"/>
        <w:spacing w:line="360" w:lineRule="auto"/>
        <w:rPr>
          <w:rFonts w:hint="eastAsia" w:ascii="宋体" w:hAnsi="宋体" w:eastAsia="宋体" w:cs="宋体"/>
          <w:color w:val="auto"/>
          <w:highlight w:val="none"/>
        </w:rPr>
      </w:pPr>
    </w:p>
    <w:p w14:paraId="4337E61A">
      <w:pPr>
        <w:pStyle w:val="19"/>
        <w:spacing w:line="360" w:lineRule="auto"/>
        <w:ind w:firstLine="1875" w:firstLineChars="625"/>
        <w:rPr>
          <w:rFonts w:hint="eastAsia" w:ascii="宋体" w:hAnsi="宋体" w:eastAsia="宋体" w:cs="宋体"/>
          <w:color w:val="auto"/>
          <w:sz w:val="30"/>
          <w:highlight w:val="none"/>
        </w:rPr>
      </w:pPr>
      <w:r>
        <w:rPr>
          <w:rFonts w:hint="eastAsia" w:ascii="宋体" w:hAnsi="宋体" w:cs="宋体"/>
          <w:color w:val="auto"/>
          <w:sz w:val="30"/>
          <w:highlight w:val="none"/>
          <w:lang w:eastAsia="zh-CN"/>
        </w:rPr>
        <w:t>采购编号</w:t>
      </w:r>
      <w:r>
        <w:rPr>
          <w:rFonts w:hint="eastAsia" w:ascii="宋体" w:hAnsi="宋体" w:eastAsia="宋体" w:cs="宋体"/>
          <w:color w:val="auto"/>
          <w:sz w:val="30"/>
          <w:highlight w:val="none"/>
        </w:rPr>
        <w:t>：</w:t>
      </w:r>
      <w:r>
        <w:rPr>
          <w:rFonts w:hint="eastAsia" w:ascii="宋体" w:hAnsi="宋体" w:eastAsia="宋体" w:cs="宋体"/>
          <w:color w:val="auto"/>
          <w:sz w:val="30"/>
          <w:highlight w:val="none"/>
          <w:u w:val="single"/>
        </w:rPr>
        <w:t xml:space="preserve">                      </w:t>
      </w:r>
    </w:p>
    <w:p w14:paraId="114AFBF4">
      <w:pPr>
        <w:pStyle w:val="19"/>
        <w:spacing w:line="360" w:lineRule="auto"/>
        <w:ind w:firstLine="1875" w:firstLineChars="625"/>
        <w:rPr>
          <w:rFonts w:hint="eastAsia" w:ascii="宋体" w:hAnsi="宋体" w:eastAsia="宋体" w:cs="宋体"/>
          <w:color w:val="auto"/>
          <w:sz w:val="30"/>
          <w:highlight w:val="none"/>
          <w:u w:val="single"/>
        </w:rPr>
      </w:pPr>
      <w:r>
        <w:rPr>
          <w:rFonts w:hint="eastAsia" w:ascii="宋体" w:hAnsi="宋体" w:eastAsia="宋体" w:cs="宋体"/>
          <w:color w:val="auto"/>
          <w:sz w:val="30"/>
          <w:highlight w:val="none"/>
        </w:rPr>
        <w:t>项目名称：</w:t>
      </w:r>
      <w:r>
        <w:rPr>
          <w:rFonts w:hint="eastAsia" w:ascii="宋体" w:hAnsi="宋体" w:eastAsia="宋体" w:cs="宋体"/>
          <w:color w:val="auto"/>
          <w:sz w:val="30"/>
          <w:highlight w:val="none"/>
          <w:u w:val="single"/>
        </w:rPr>
        <w:t xml:space="preserve">                      </w:t>
      </w:r>
    </w:p>
    <w:p w14:paraId="5DC6B7A7">
      <w:pPr>
        <w:pStyle w:val="19"/>
        <w:spacing w:line="360" w:lineRule="auto"/>
        <w:ind w:firstLine="1875" w:firstLineChars="625"/>
        <w:rPr>
          <w:rFonts w:hint="eastAsia" w:ascii="宋体" w:hAnsi="宋体" w:eastAsia="宋体" w:cs="宋体"/>
          <w:color w:val="auto"/>
          <w:sz w:val="30"/>
          <w:highlight w:val="none"/>
          <w:u w:val="single"/>
        </w:rPr>
      </w:pPr>
      <w:r>
        <w:rPr>
          <w:rFonts w:hint="eastAsia" w:ascii="宋体" w:hAnsi="宋体" w:cs="宋体"/>
          <w:color w:val="auto"/>
          <w:sz w:val="30"/>
          <w:highlight w:val="none"/>
          <w:lang w:eastAsia="zh-CN"/>
        </w:rPr>
        <w:t>响应文件</w:t>
      </w:r>
      <w:r>
        <w:rPr>
          <w:rFonts w:hint="eastAsia" w:ascii="宋体" w:hAnsi="宋体" w:eastAsia="宋体" w:cs="宋体"/>
          <w:color w:val="auto"/>
          <w:sz w:val="30"/>
          <w:highlight w:val="none"/>
        </w:rPr>
        <w:t>内容：</w:t>
      </w:r>
      <w:r>
        <w:rPr>
          <w:rFonts w:hint="eastAsia" w:ascii="宋体" w:hAnsi="宋体" w:eastAsia="宋体" w:cs="宋体"/>
          <w:color w:val="auto"/>
          <w:sz w:val="30"/>
          <w:highlight w:val="none"/>
          <w:u w:val="single"/>
        </w:rPr>
        <w:t xml:space="preserve"> </w:t>
      </w:r>
      <w:r>
        <w:rPr>
          <w:rFonts w:hint="eastAsia" w:ascii="宋体" w:hAnsi="宋体" w:cs="宋体"/>
          <w:color w:val="auto"/>
          <w:sz w:val="30"/>
          <w:highlight w:val="none"/>
          <w:u w:val="single"/>
          <w:lang w:eastAsia="zh-CN"/>
        </w:rPr>
        <w:t>响应文件</w:t>
      </w:r>
      <w:r>
        <w:rPr>
          <w:rFonts w:hint="eastAsia" w:ascii="宋体" w:hAnsi="宋体" w:eastAsia="宋体" w:cs="宋体"/>
          <w:color w:val="auto"/>
          <w:sz w:val="30"/>
          <w:highlight w:val="none"/>
          <w:u w:val="single"/>
          <w:lang w:val="en-US" w:eastAsia="zh-CN"/>
        </w:rPr>
        <w:t>技术</w:t>
      </w:r>
      <w:r>
        <w:rPr>
          <w:rFonts w:hint="eastAsia" w:ascii="宋体" w:hAnsi="宋体" w:eastAsia="宋体" w:cs="宋体"/>
          <w:color w:val="auto"/>
          <w:sz w:val="30"/>
          <w:highlight w:val="none"/>
          <w:u w:val="single"/>
        </w:rPr>
        <w:t xml:space="preserve">部分 </w:t>
      </w:r>
    </w:p>
    <w:p w14:paraId="345350DB">
      <w:pPr>
        <w:pStyle w:val="19"/>
        <w:spacing w:line="360" w:lineRule="auto"/>
        <w:ind w:firstLine="1875" w:firstLineChars="625"/>
        <w:rPr>
          <w:rFonts w:hint="eastAsia" w:ascii="宋体" w:hAnsi="宋体" w:eastAsia="宋体" w:cs="宋体"/>
          <w:color w:val="auto"/>
          <w:sz w:val="30"/>
          <w:highlight w:val="none"/>
        </w:rPr>
      </w:pPr>
      <w:r>
        <w:rPr>
          <w:rFonts w:hint="eastAsia" w:ascii="宋体" w:hAnsi="宋体" w:cs="宋体"/>
          <w:color w:val="auto"/>
          <w:sz w:val="30"/>
          <w:highlight w:val="none"/>
          <w:lang w:eastAsia="zh-CN"/>
        </w:rPr>
        <w:t>采购人</w:t>
      </w:r>
      <w:r>
        <w:rPr>
          <w:rFonts w:hint="eastAsia" w:ascii="宋体" w:hAnsi="宋体" w:eastAsia="宋体" w:cs="宋体"/>
          <w:color w:val="auto"/>
          <w:sz w:val="30"/>
          <w:highlight w:val="none"/>
        </w:rPr>
        <w:t>：</w:t>
      </w:r>
      <w:r>
        <w:rPr>
          <w:rFonts w:hint="eastAsia" w:ascii="宋体" w:hAnsi="宋体" w:eastAsia="宋体" w:cs="宋体"/>
          <w:color w:val="auto"/>
          <w:sz w:val="30"/>
          <w:highlight w:val="none"/>
          <w:u w:val="single"/>
        </w:rPr>
        <w:t xml:space="preserve">                        </w:t>
      </w:r>
    </w:p>
    <w:p w14:paraId="753BF6D5">
      <w:pPr>
        <w:pStyle w:val="19"/>
        <w:spacing w:line="360" w:lineRule="auto"/>
        <w:ind w:firstLine="1875" w:firstLineChars="625"/>
        <w:rPr>
          <w:rFonts w:hint="eastAsia" w:ascii="宋体" w:hAnsi="宋体" w:eastAsia="宋体" w:cs="宋体"/>
          <w:color w:val="auto"/>
          <w:sz w:val="30"/>
          <w:highlight w:val="none"/>
          <w:u w:val="single"/>
        </w:rPr>
      </w:pPr>
      <w:r>
        <w:rPr>
          <w:rFonts w:hint="eastAsia" w:ascii="宋体" w:hAnsi="宋体" w:cs="宋体"/>
          <w:color w:val="auto"/>
          <w:sz w:val="30"/>
          <w:highlight w:val="none"/>
          <w:lang w:eastAsia="zh-CN"/>
        </w:rPr>
        <w:t>供应商</w:t>
      </w:r>
      <w:r>
        <w:rPr>
          <w:rFonts w:hint="eastAsia" w:ascii="宋体" w:hAnsi="宋体" w:eastAsia="宋体" w:cs="宋体"/>
          <w:color w:val="auto"/>
          <w:sz w:val="30"/>
          <w:highlight w:val="none"/>
        </w:rPr>
        <w:t>：</w:t>
      </w:r>
      <w:r>
        <w:rPr>
          <w:rFonts w:hint="eastAsia" w:ascii="宋体" w:hAnsi="宋体" w:eastAsia="宋体" w:cs="宋体"/>
          <w:color w:val="auto"/>
          <w:sz w:val="30"/>
          <w:highlight w:val="none"/>
          <w:u w:val="single"/>
        </w:rPr>
        <w:t xml:space="preserve">                        </w:t>
      </w:r>
    </w:p>
    <w:p w14:paraId="0623CACE">
      <w:pPr>
        <w:pStyle w:val="19"/>
        <w:spacing w:line="360" w:lineRule="auto"/>
        <w:ind w:firstLine="1875" w:firstLineChars="625"/>
        <w:rPr>
          <w:rFonts w:hint="eastAsia" w:ascii="宋体" w:hAnsi="宋体" w:eastAsia="宋体" w:cs="宋体"/>
          <w:color w:val="auto"/>
          <w:sz w:val="30"/>
          <w:highlight w:val="none"/>
        </w:rPr>
      </w:pPr>
      <w:r>
        <w:rPr>
          <w:rFonts w:hint="eastAsia" w:ascii="宋体" w:hAnsi="宋体" w:eastAsia="宋体" w:cs="宋体"/>
          <w:color w:val="auto"/>
          <w:sz w:val="30"/>
          <w:highlight w:val="none"/>
        </w:rPr>
        <w:t>日  期：</w:t>
      </w:r>
      <w:r>
        <w:rPr>
          <w:rFonts w:hint="eastAsia" w:ascii="宋体" w:hAnsi="宋体" w:eastAsia="宋体" w:cs="宋体"/>
          <w:color w:val="auto"/>
          <w:sz w:val="30"/>
          <w:highlight w:val="none"/>
          <w:u w:val="single"/>
        </w:rPr>
        <w:t xml:space="preserve">     </w:t>
      </w:r>
      <w:r>
        <w:rPr>
          <w:rFonts w:hint="eastAsia" w:ascii="宋体" w:hAnsi="宋体" w:eastAsia="宋体" w:cs="宋体"/>
          <w:color w:val="auto"/>
          <w:sz w:val="30"/>
          <w:highlight w:val="none"/>
        </w:rPr>
        <w:t>年</w:t>
      </w:r>
      <w:r>
        <w:rPr>
          <w:rFonts w:hint="eastAsia" w:ascii="宋体" w:hAnsi="宋体" w:eastAsia="宋体" w:cs="宋体"/>
          <w:color w:val="auto"/>
          <w:sz w:val="30"/>
          <w:highlight w:val="none"/>
          <w:u w:val="single"/>
        </w:rPr>
        <w:t xml:space="preserve">    </w:t>
      </w:r>
      <w:r>
        <w:rPr>
          <w:rFonts w:hint="eastAsia" w:ascii="宋体" w:hAnsi="宋体" w:eastAsia="宋体" w:cs="宋体"/>
          <w:color w:val="auto"/>
          <w:sz w:val="30"/>
          <w:highlight w:val="none"/>
        </w:rPr>
        <w:t>月</w:t>
      </w:r>
      <w:r>
        <w:rPr>
          <w:rFonts w:hint="eastAsia" w:ascii="宋体" w:hAnsi="宋体" w:eastAsia="宋体" w:cs="宋体"/>
          <w:color w:val="auto"/>
          <w:sz w:val="30"/>
          <w:highlight w:val="none"/>
          <w:u w:val="single"/>
        </w:rPr>
        <w:t xml:space="preserve">    </w:t>
      </w:r>
      <w:r>
        <w:rPr>
          <w:rFonts w:hint="eastAsia" w:ascii="宋体" w:hAnsi="宋体" w:eastAsia="宋体" w:cs="宋体"/>
          <w:color w:val="auto"/>
          <w:sz w:val="30"/>
          <w:highlight w:val="none"/>
        </w:rPr>
        <w:t>日</w:t>
      </w:r>
    </w:p>
    <w:p w14:paraId="68004769">
      <w:pPr>
        <w:pStyle w:val="19"/>
        <w:spacing w:line="360" w:lineRule="auto"/>
        <w:rPr>
          <w:rFonts w:hint="eastAsia" w:ascii="宋体" w:hAnsi="宋体" w:eastAsia="宋体" w:cs="宋体"/>
          <w:color w:val="auto"/>
          <w:highlight w:val="none"/>
        </w:rPr>
      </w:pPr>
    </w:p>
    <w:p w14:paraId="29EA42F8">
      <w:pPr>
        <w:pStyle w:val="1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A6E93CF">
      <w:pPr>
        <w:pStyle w:val="19"/>
        <w:spacing w:line="360" w:lineRule="auto"/>
        <w:rPr>
          <w:rFonts w:hint="eastAsia" w:ascii="宋体" w:hAnsi="宋体" w:eastAsia="宋体" w:cs="宋体"/>
          <w:color w:val="auto"/>
          <w:highlight w:val="none"/>
        </w:rPr>
      </w:pPr>
    </w:p>
    <w:p w14:paraId="5AA917F5">
      <w:pPr>
        <w:pBdr>
          <w:bottom w:val="single" w:color="auto" w:sz="6" w:space="0"/>
        </w:pBdr>
        <w:spacing w:line="480" w:lineRule="auto"/>
        <w:ind w:firstLine="472" w:firstLineChars="224"/>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响应文件</w:t>
      </w:r>
      <w:r>
        <w:rPr>
          <w:rFonts w:hint="eastAsia" w:ascii="宋体" w:hAnsi="宋体" w:eastAsia="宋体" w:cs="宋体"/>
          <w:b/>
          <w:bCs/>
          <w:color w:val="auto"/>
          <w:szCs w:val="21"/>
          <w:highlight w:val="none"/>
          <w:lang w:val="en-US" w:eastAsia="zh-CN"/>
        </w:rPr>
        <w:t>技术</w:t>
      </w:r>
      <w:r>
        <w:rPr>
          <w:rFonts w:hint="eastAsia" w:ascii="宋体" w:hAnsi="宋体" w:eastAsia="宋体" w:cs="宋体"/>
          <w:b/>
          <w:bCs/>
          <w:color w:val="auto"/>
          <w:szCs w:val="21"/>
          <w:highlight w:val="none"/>
        </w:rPr>
        <w:t>评审部分索引表</w:t>
      </w:r>
    </w:p>
    <w:tbl>
      <w:tblPr>
        <w:tblStyle w:val="36"/>
        <w:tblW w:w="1036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108" w:type="dxa"/>
          <w:bottom w:w="0" w:type="dxa"/>
          <w:right w:w="108" w:type="dxa"/>
        </w:tblCellMar>
      </w:tblPr>
      <w:tblGrid>
        <w:gridCol w:w="1379"/>
        <w:gridCol w:w="2773"/>
        <w:gridCol w:w="2171"/>
        <w:gridCol w:w="4045"/>
      </w:tblGrid>
      <w:tr w14:paraId="6D71E9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204" w:hRule="atLeast"/>
          <w:jc w:val="center"/>
        </w:trPr>
        <w:tc>
          <w:tcPr>
            <w:tcW w:w="1379" w:type="dxa"/>
            <w:vAlign w:val="center"/>
          </w:tcPr>
          <w:p w14:paraId="2B765017">
            <w:pPr>
              <w:adjustRightInd w:val="0"/>
              <w:snapToGrid w:val="0"/>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2773" w:type="dxa"/>
            <w:vAlign w:val="center"/>
          </w:tcPr>
          <w:p w14:paraId="4FBCBACF">
            <w:pPr>
              <w:adjustRightInd w:val="0"/>
              <w:snapToGrid w:val="0"/>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评审</w:t>
            </w:r>
            <w:r>
              <w:rPr>
                <w:rFonts w:hint="eastAsia" w:ascii="宋体" w:hAnsi="宋体" w:eastAsia="宋体" w:cs="宋体"/>
                <w:bCs/>
                <w:color w:val="auto"/>
                <w:szCs w:val="21"/>
                <w:highlight w:val="none"/>
              </w:rPr>
              <w:t>项目</w:t>
            </w:r>
          </w:p>
        </w:tc>
        <w:tc>
          <w:tcPr>
            <w:tcW w:w="2171" w:type="dxa"/>
            <w:vAlign w:val="center"/>
          </w:tcPr>
          <w:p w14:paraId="7172CBD6">
            <w:pPr>
              <w:adjustRightInd w:val="0"/>
              <w:snapToGrid w:val="0"/>
              <w:spacing w:line="360" w:lineRule="auto"/>
              <w:jc w:val="cente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询比文件上的满分值</w:t>
            </w:r>
          </w:p>
        </w:tc>
        <w:tc>
          <w:tcPr>
            <w:tcW w:w="4045" w:type="dxa"/>
            <w:tcBorders>
              <w:left w:val="single" w:color="auto" w:sz="4" w:space="0"/>
            </w:tcBorders>
            <w:vAlign w:val="center"/>
          </w:tcPr>
          <w:p w14:paraId="7900A7B9">
            <w:pPr>
              <w:adjustRightInd w:val="0"/>
              <w:snapToGrid w:val="0"/>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页码索引</w:t>
            </w:r>
          </w:p>
        </w:tc>
      </w:tr>
      <w:tr w14:paraId="477900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541" w:hRule="atLeast"/>
          <w:jc w:val="center"/>
        </w:trPr>
        <w:tc>
          <w:tcPr>
            <w:tcW w:w="1379" w:type="dxa"/>
            <w:vAlign w:val="center"/>
          </w:tcPr>
          <w:p w14:paraId="6D9B44D6">
            <w:pPr>
              <w:adjustRightInd w:val="0"/>
              <w:snapToGrid w:val="0"/>
              <w:spacing w:line="360" w:lineRule="auto"/>
              <w:jc w:val="center"/>
              <w:rPr>
                <w:rFonts w:hint="eastAsia" w:ascii="宋体" w:hAnsi="宋体" w:eastAsia="宋体" w:cs="宋体"/>
                <w:bCs/>
                <w:color w:val="auto"/>
                <w:szCs w:val="21"/>
                <w:highlight w:val="none"/>
              </w:rPr>
            </w:pPr>
          </w:p>
        </w:tc>
        <w:tc>
          <w:tcPr>
            <w:tcW w:w="2773" w:type="dxa"/>
            <w:vAlign w:val="center"/>
          </w:tcPr>
          <w:p w14:paraId="17206945">
            <w:pPr>
              <w:adjustRightInd w:val="0"/>
              <w:snapToGrid w:val="0"/>
              <w:spacing w:line="360" w:lineRule="auto"/>
              <w:jc w:val="center"/>
              <w:rPr>
                <w:rFonts w:hint="eastAsia" w:ascii="宋体" w:hAnsi="宋体" w:eastAsia="宋体" w:cs="宋体"/>
                <w:bCs/>
                <w:color w:val="auto"/>
                <w:szCs w:val="21"/>
                <w:highlight w:val="none"/>
              </w:rPr>
            </w:pPr>
          </w:p>
        </w:tc>
        <w:tc>
          <w:tcPr>
            <w:tcW w:w="2171" w:type="dxa"/>
            <w:vAlign w:val="center"/>
          </w:tcPr>
          <w:p w14:paraId="57B3AB23">
            <w:pPr>
              <w:adjustRightInd w:val="0"/>
              <w:snapToGrid w:val="0"/>
              <w:spacing w:line="360" w:lineRule="auto"/>
              <w:jc w:val="center"/>
              <w:rPr>
                <w:rFonts w:hint="eastAsia" w:ascii="宋体" w:hAnsi="宋体" w:eastAsia="宋体" w:cs="宋体"/>
                <w:bCs/>
                <w:color w:val="auto"/>
                <w:szCs w:val="21"/>
                <w:highlight w:val="none"/>
              </w:rPr>
            </w:pPr>
          </w:p>
        </w:tc>
        <w:tc>
          <w:tcPr>
            <w:tcW w:w="4045" w:type="dxa"/>
            <w:tcBorders>
              <w:left w:val="single" w:color="auto" w:sz="4" w:space="0"/>
            </w:tcBorders>
            <w:vAlign w:val="center"/>
          </w:tcPr>
          <w:p w14:paraId="55535CF5">
            <w:pPr>
              <w:adjustRightInd w:val="0"/>
              <w:snapToGrid w:val="0"/>
              <w:spacing w:line="360" w:lineRule="auto"/>
              <w:rPr>
                <w:rFonts w:hint="eastAsia" w:ascii="宋体" w:hAnsi="宋体" w:eastAsia="宋体" w:cs="宋体"/>
                <w:bCs/>
                <w:color w:val="auto"/>
                <w:szCs w:val="21"/>
                <w:highlight w:val="none"/>
              </w:rPr>
            </w:pPr>
          </w:p>
        </w:tc>
      </w:tr>
      <w:tr w14:paraId="6A0689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761" w:hRule="atLeast"/>
          <w:jc w:val="center"/>
        </w:trPr>
        <w:tc>
          <w:tcPr>
            <w:tcW w:w="1379" w:type="dxa"/>
            <w:vAlign w:val="center"/>
          </w:tcPr>
          <w:p w14:paraId="58A0447E">
            <w:pPr>
              <w:rPr>
                <w:rFonts w:hint="eastAsia" w:ascii="宋体" w:hAnsi="宋体" w:eastAsia="宋体" w:cs="宋体"/>
                <w:bCs/>
                <w:color w:val="auto"/>
                <w:szCs w:val="21"/>
                <w:highlight w:val="none"/>
              </w:rPr>
            </w:pPr>
          </w:p>
        </w:tc>
        <w:tc>
          <w:tcPr>
            <w:tcW w:w="2773" w:type="dxa"/>
            <w:vAlign w:val="center"/>
          </w:tcPr>
          <w:p w14:paraId="7D672634">
            <w:pPr>
              <w:rPr>
                <w:rFonts w:hint="eastAsia" w:ascii="宋体" w:hAnsi="宋体" w:eastAsia="宋体" w:cs="宋体"/>
                <w:bCs/>
                <w:color w:val="auto"/>
                <w:szCs w:val="21"/>
                <w:highlight w:val="none"/>
              </w:rPr>
            </w:pPr>
          </w:p>
        </w:tc>
        <w:tc>
          <w:tcPr>
            <w:tcW w:w="2171" w:type="dxa"/>
            <w:vAlign w:val="center"/>
          </w:tcPr>
          <w:p w14:paraId="5F10C7A1">
            <w:pPr>
              <w:rPr>
                <w:rFonts w:hint="eastAsia" w:ascii="宋体" w:hAnsi="宋体" w:eastAsia="宋体" w:cs="宋体"/>
                <w:bCs/>
                <w:color w:val="auto"/>
                <w:szCs w:val="21"/>
                <w:highlight w:val="none"/>
              </w:rPr>
            </w:pPr>
          </w:p>
        </w:tc>
        <w:tc>
          <w:tcPr>
            <w:tcW w:w="4045" w:type="dxa"/>
            <w:tcBorders>
              <w:left w:val="single" w:color="auto" w:sz="4" w:space="0"/>
            </w:tcBorders>
            <w:vAlign w:val="center"/>
          </w:tcPr>
          <w:p w14:paraId="6D98E6E5">
            <w:pPr>
              <w:adjustRightInd w:val="0"/>
              <w:snapToGrid w:val="0"/>
              <w:spacing w:line="360" w:lineRule="auto"/>
              <w:ind w:firstLine="105" w:firstLineChars="50"/>
              <w:rPr>
                <w:rFonts w:hint="eastAsia" w:ascii="宋体" w:hAnsi="宋体" w:eastAsia="宋体" w:cs="宋体"/>
                <w:bCs/>
                <w:color w:val="auto"/>
                <w:szCs w:val="21"/>
                <w:highlight w:val="none"/>
              </w:rPr>
            </w:pPr>
          </w:p>
        </w:tc>
      </w:tr>
      <w:tr w14:paraId="214920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2029" w:hRule="atLeast"/>
          <w:jc w:val="center"/>
        </w:trPr>
        <w:tc>
          <w:tcPr>
            <w:tcW w:w="1379" w:type="dxa"/>
            <w:vAlign w:val="center"/>
          </w:tcPr>
          <w:p w14:paraId="24992122">
            <w:pPr>
              <w:adjustRightInd w:val="0"/>
              <w:snapToGrid w:val="0"/>
              <w:spacing w:line="360" w:lineRule="auto"/>
              <w:jc w:val="center"/>
              <w:rPr>
                <w:rFonts w:hint="eastAsia" w:ascii="宋体" w:hAnsi="宋体" w:eastAsia="宋体" w:cs="宋体"/>
                <w:bCs/>
                <w:color w:val="auto"/>
                <w:szCs w:val="21"/>
                <w:highlight w:val="none"/>
              </w:rPr>
            </w:pPr>
          </w:p>
        </w:tc>
        <w:tc>
          <w:tcPr>
            <w:tcW w:w="2773" w:type="dxa"/>
            <w:vAlign w:val="center"/>
          </w:tcPr>
          <w:p w14:paraId="104CE738">
            <w:pPr>
              <w:adjustRightInd w:val="0"/>
              <w:snapToGrid w:val="0"/>
              <w:spacing w:line="360" w:lineRule="auto"/>
              <w:rPr>
                <w:rFonts w:hint="eastAsia" w:ascii="宋体" w:hAnsi="宋体" w:eastAsia="宋体" w:cs="宋体"/>
                <w:bCs/>
                <w:color w:val="auto"/>
                <w:szCs w:val="21"/>
                <w:highlight w:val="none"/>
              </w:rPr>
            </w:pPr>
          </w:p>
        </w:tc>
        <w:tc>
          <w:tcPr>
            <w:tcW w:w="2171" w:type="dxa"/>
            <w:vAlign w:val="center"/>
          </w:tcPr>
          <w:p w14:paraId="18746343">
            <w:pPr>
              <w:adjustRightInd w:val="0"/>
              <w:snapToGrid w:val="0"/>
              <w:spacing w:line="360" w:lineRule="auto"/>
              <w:jc w:val="center"/>
              <w:rPr>
                <w:rFonts w:hint="eastAsia" w:ascii="宋体" w:hAnsi="宋体" w:eastAsia="宋体" w:cs="宋体"/>
                <w:bCs/>
                <w:color w:val="auto"/>
                <w:szCs w:val="21"/>
                <w:highlight w:val="none"/>
              </w:rPr>
            </w:pPr>
          </w:p>
        </w:tc>
        <w:tc>
          <w:tcPr>
            <w:tcW w:w="4045" w:type="dxa"/>
            <w:tcBorders>
              <w:left w:val="single" w:color="auto" w:sz="4" w:space="0"/>
            </w:tcBorders>
            <w:vAlign w:val="center"/>
          </w:tcPr>
          <w:p w14:paraId="2F54021F">
            <w:pPr>
              <w:spacing w:line="360" w:lineRule="auto"/>
              <w:ind w:firstLine="8" w:firstLineChars="4"/>
              <w:rPr>
                <w:rFonts w:hint="eastAsia" w:ascii="宋体" w:hAnsi="宋体" w:eastAsia="宋体" w:cs="宋体"/>
                <w:bCs/>
                <w:color w:val="auto"/>
                <w:szCs w:val="21"/>
                <w:highlight w:val="none"/>
              </w:rPr>
            </w:pPr>
          </w:p>
        </w:tc>
      </w:tr>
      <w:tr w14:paraId="318E4E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033" w:hRule="atLeast"/>
          <w:jc w:val="center"/>
        </w:trPr>
        <w:tc>
          <w:tcPr>
            <w:tcW w:w="1379" w:type="dxa"/>
            <w:tcBorders>
              <w:top w:val="single" w:color="auto" w:sz="6" w:space="0"/>
              <w:left w:val="single" w:color="auto" w:sz="4" w:space="0"/>
              <w:bottom w:val="outset" w:color="808080" w:sz="6" w:space="0"/>
              <w:right w:val="single" w:color="auto" w:sz="6" w:space="0"/>
            </w:tcBorders>
            <w:vAlign w:val="center"/>
          </w:tcPr>
          <w:p w14:paraId="2FDBAFED">
            <w:pPr>
              <w:adjustRightInd w:val="0"/>
              <w:snapToGrid w:val="0"/>
              <w:spacing w:line="360" w:lineRule="auto"/>
              <w:jc w:val="center"/>
              <w:rPr>
                <w:rFonts w:hint="eastAsia" w:ascii="宋体" w:hAnsi="宋体" w:eastAsia="宋体" w:cs="宋体"/>
                <w:bCs/>
                <w:color w:val="auto"/>
                <w:szCs w:val="21"/>
                <w:highlight w:val="none"/>
              </w:rPr>
            </w:pPr>
          </w:p>
        </w:tc>
        <w:tc>
          <w:tcPr>
            <w:tcW w:w="2773" w:type="dxa"/>
            <w:tcBorders>
              <w:top w:val="single" w:color="auto" w:sz="6" w:space="0"/>
              <w:left w:val="single" w:color="auto" w:sz="6" w:space="0"/>
              <w:bottom w:val="outset" w:color="808080" w:sz="6" w:space="0"/>
              <w:right w:val="single" w:color="auto" w:sz="6" w:space="0"/>
            </w:tcBorders>
            <w:vAlign w:val="center"/>
          </w:tcPr>
          <w:p w14:paraId="13779F9C">
            <w:pPr>
              <w:adjustRightInd w:val="0"/>
              <w:snapToGrid w:val="0"/>
              <w:spacing w:line="360" w:lineRule="auto"/>
              <w:rPr>
                <w:rFonts w:hint="eastAsia" w:ascii="宋体" w:hAnsi="宋体" w:eastAsia="宋体" w:cs="宋体"/>
                <w:bCs/>
                <w:color w:val="auto"/>
                <w:szCs w:val="21"/>
                <w:highlight w:val="none"/>
              </w:rPr>
            </w:pPr>
          </w:p>
        </w:tc>
        <w:tc>
          <w:tcPr>
            <w:tcW w:w="2171" w:type="dxa"/>
            <w:tcBorders>
              <w:top w:val="single" w:color="auto" w:sz="6" w:space="0"/>
              <w:left w:val="single" w:color="auto" w:sz="6" w:space="0"/>
              <w:bottom w:val="outset" w:color="808080" w:sz="6" w:space="0"/>
              <w:right w:val="single" w:color="auto" w:sz="6" w:space="0"/>
            </w:tcBorders>
            <w:vAlign w:val="center"/>
          </w:tcPr>
          <w:p w14:paraId="2BD4435E">
            <w:pPr>
              <w:adjustRightInd w:val="0"/>
              <w:snapToGrid w:val="0"/>
              <w:spacing w:line="360" w:lineRule="auto"/>
              <w:jc w:val="center"/>
              <w:rPr>
                <w:rFonts w:hint="eastAsia" w:ascii="宋体" w:hAnsi="宋体" w:eastAsia="宋体" w:cs="宋体"/>
                <w:bCs/>
                <w:color w:val="auto"/>
                <w:szCs w:val="21"/>
                <w:highlight w:val="none"/>
              </w:rPr>
            </w:pPr>
          </w:p>
        </w:tc>
        <w:tc>
          <w:tcPr>
            <w:tcW w:w="4045" w:type="dxa"/>
            <w:tcBorders>
              <w:top w:val="single" w:color="auto" w:sz="6" w:space="0"/>
              <w:left w:val="single" w:color="auto" w:sz="4" w:space="0"/>
              <w:bottom w:val="outset" w:color="808080" w:sz="6" w:space="0"/>
              <w:right w:val="single" w:color="auto" w:sz="6" w:space="0"/>
            </w:tcBorders>
            <w:vAlign w:val="center"/>
          </w:tcPr>
          <w:p w14:paraId="634B8CFF">
            <w:pPr>
              <w:adjustRightInd w:val="0"/>
              <w:snapToGrid w:val="0"/>
              <w:spacing w:line="360" w:lineRule="auto"/>
              <w:rPr>
                <w:rFonts w:hint="eastAsia" w:ascii="宋体" w:hAnsi="宋体" w:eastAsia="宋体" w:cs="宋体"/>
                <w:bCs/>
                <w:color w:val="auto"/>
                <w:szCs w:val="21"/>
                <w:highlight w:val="none"/>
              </w:rPr>
            </w:pPr>
          </w:p>
        </w:tc>
      </w:tr>
      <w:tr w14:paraId="7883E8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966" w:hRule="atLeast"/>
          <w:jc w:val="center"/>
        </w:trPr>
        <w:tc>
          <w:tcPr>
            <w:tcW w:w="4152" w:type="dxa"/>
            <w:gridSpan w:val="2"/>
            <w:tcBorders>
              <w:bottom w:val="single" w:color="auto" w:sz="4" w:space="0"/>
            </w:tcBorders>
            <w:vAlign w:val="center"/>
          </w:tcPr>
          <w:p w14:paraId="6D6DB611">
            <w:pPr>
              <w:adjustRightInd w:val="0"/>
              <w:snapToGrid w:val="0"/>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合计</w:t>
            </w:r>
          </w:p>
        </w:tc>
        <w:tc>
          <w:tcPr>
            <w:tcW w:w="2171" w:type="dxa"/>
            <w:tcBorders>
              <w:bottom w:val="single" w:color="auto" w:sz="4" w:space="0"/>
            </w:tcBorders>
            <w:vAlign w:val="center"/>
          </w:tcPr>
          <w:p w14:paraId="675ABADD">
            <w:pPr>
              <w:adjustRightInd w:val="0"/>
              <w:snapToGrid w:val="0"/>
              <w:spacing w:line="360" w:lineRule="auto"/>
              <w:jc w:val="center"/>
              <w:rPr>
                <w:rFonts w:hint="eastAsia" w:ascii="宋体" w:hAnsi="宋体" w:eastAsia="宋体" w:cs="宋体"/>
                <w:bCs/>
                <w:color w:val="auto"/>
                <w:szCs w:val="21"/>
                <w:highlight w:val="none"/>
              </w:rPr>
            </w:pPr>
          </w:p>
        </w:tc>
        <w:tc>
          <w:tcPr>
            <w:tcW w:w="4045" w:type="dxa"/>
            <w:tcBorders>
              <w:left w:val="single" w:color="auto" w:sz="4" w:space="0"/>
              <w:bottom w:val="single" w:color="auto" w:sz="4" w:space="0"/>
            </w:tcBorders>
            <w:vAlign w:val="center"/>
          </w:tcPr>
          <w:p w14:paraId="5AC3E58C">
            <w:pPr>
              <w:spacing w:line="360" w:lineRule="auto"/>
              <w:jc w:val="center"/>
              <w:rPr>
                <w:rFonts w:hint="eastAsia" w:ascii="宋体" w:hAnsi="宋体" w:eastAsia="宋体" w:cs="宋体"/>
                <w:bCs/>
                <w:color w:val="auto"/>
                <w:szCs w:val="21"/>
                <w:highlight w:val="none"/>
              </w:rPr>
            </w:pPr>
          </w:p>
        </w:tc>
      </w:tr>
    </w:tbl>
    <w:p w14:paraId="37CEC8B6">
      <w:pPr>
        <w:rPr>
          <w:rFonts w:hint="eastAsia"/>
        </w:rPr>
      </w:pPr>
    </w:p>
    <w:p w14:paraId="13F1F4FC">
      <w:pPr>
        <w:pageBreakBefore/>
        <w:tabs>
          <w:tab w:val="left" w:pos="567"/>
        </w:tabs>
        <w:autoSpaceDE w:val="0"/>
        <w:autoSpaceDN w:val="0"/>
        <w:adjustRightInd w:val="0"/>
        <w:spacing w:line="360" w:lineRule="auto"/>
        <w:jc w:val="left"/>
        <w:outlineLvl w:val="2"/>
        <w:rPr>
          <w:rFonts w:hint="eastAsia" w:ascii="宋体" w:hAnsi="宋体" w:eastAsia="宋体" w:cs="宋体"/>
          <w:b/>
          <w:color w:val="auto"/>
          <w:kern w:val="0"/>
          <w:sz w:val="30"/>
          <w:szCs w:val="30"/>
          <w:highlight w:val="none"/>
        </w:rPr>
      </w:pPr>
      <w:bookmarkStart w:id="686" w:name="_Toc565863622"/>
      <w:r>
        <w:rPr>
          <w:rFonts w:hint="eastAsia" w:ascii="宋体" w:hAnsi="宋体" w:eastAsia="宋体" w:cs="宋体"/>
          <w:b/>
          <w:color w:val="auto"/>
          <w:kern w:val="0"/>
          <w:sz w:val="30"/>
          <w:szCs w:val="30"/>
          <w:highlight w:val="none"/>
          <w:lang w:val="en-US" w:eastAsia="zh-CN"/>
        </w:rPr>
        <w:t xml:space="preserve">12.1 </w:t>
      </w:r>
      <w:r>
        <w:rPr>
          <w:rFonts w:hint="eastAsia" w:ascii="宋体" w:hAnsi="宋体" w:eastAsia="宋体" w:cs="宋体"/>
          <w:b/>
          <w:color w:val="auto"/>
          <w:kern w:val="0"/>
          <w:sz w:val="30"/>
          <w:szCs w:val="30"/>
          <w:highlight w:val="none"/>
        </w:rPr>
        <w:t>用户需求偏离表格式</w:t>
      </w:r>
      <w:bookmarkEnd w:id="686"/>
    </w:p>
    <w:p w14:paraId="797306B2">
      <w:pPr>
        <w:spacing w:before="120" w:after="120" w:line="360" w:lineRule="auto"/>
        <w:jc w:val="center"/>
        <w:rPr>
          <w:rFonts w:hint="eastAsia" w:ascii="宋体" w:hAnsi="宋体" w:eastAsia="宋体" w:cs="宋体"/>
          <w:color w:val="auto"/>
          <w:kern w:val="0"/>
          <w:szCs w:val="21"/>
          <w:highlight w:val="none"/>
        </w:rPr>
      </w:pPr>
      <w:r>
        <w:rPr>
          <w:rFonts w:hint="eastAsia" w:ascii="宋体" w:hAnsi="宋体" w:eastAsia="宋体" w:cs="宋体"/>
          <w:b/>
          <w:color w:val="auto"/>
          <w:kern w:val="0"/>
          <w:sz w:val="30"/>
          <w:szCs w:val="30"/>
          <w:highlight w:val="none"/>
          <w:lang w:val="zh-CN"/>
        </w:rPr>
        <w:t>用户需求偏离表</w:t>
      </w:r>
    </w:p>
    <w:tbl>
      <w:tblPr>
        <w:tblStyle w:val="36"/>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952"/>
        <w:gridCol w:w="4885"/>
        <w:gridCol w:w="1404"/>
        <w:gridCol w:w="1432"/>
        <w:gridCol w:w="1106"/>
      </w:tblGrid>
      <w:tr w14:paraId="6367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91" w:type="dxa"/>
            <w:vMerge w:val="restart"/>
            <w:vAlign w:val="center"/>
          </w:tcPr>
          <w:p w14:paraId="65F6A252">
            <w:pPr>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序号</w:t>
            </w:r>
          </w:p>
        </w:tc>
        <w:tc>
          <w:tcPr>
            <w:tcW w:w="5837" w:type="dxa"/>
            <w:gridSpan w:val="2"/>
            <w:vAlign w:val="center"/>
          </w:tcPr>
          <w:p w14:paraId="378F1231">
            <w:pPr>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询比文件</w:t>
            </w:r>
            <w:r>
              <w:rPr>
                <w:rFonts w:hint="eastAsia" w:ascii="宋体" w:hAnsi="宋体" w:eastAsia="宋体" w:cs="宋体"/>
                <w:color w:val="auto"/>
                <w:kern w:val="0"/>
                <w:sz w:val="21"/>
                <w:szCs w:val="21"/>
                <w:highlight w:val="none"/>
              </w:rPr>
              <w:t>要求</w:t>
            </w:r>
          </w:p>
        </w:tc>
        <w:tc>
          <w:tcPr>
            <w:tcW w:w="3942" w:type="dxa"/>
            <w:gridSpan w:val="3"/>
            <w:vAlign w:val="center"/>
          </w:tcPr>
          <w:p w14:paraId="29782270">
            <w:pPr>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响应文件</w:t>
            </w:r>
            <w:r>
              <w:rPr>
                <w:rFonts w:hint="eastAsia" w:ascii="宋体" w:hAnsi="宋体" w:eastAsia="宋体" w:cs="宋体"/>
                <w:color w:val="auto"/>
                <w:kern w:val="0"/>
                <w:sz w:val="21"/>
                <w:szCs w:val="21"/>
                <w:highlight w:val="none"/>
              </w:rPr>
              <w:t>内容</w:t>
            </w:r>
          </w:p>
        </w:tc>
      </w:tr>
      <w:tr w14:paraId="1A62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91" w:type="dxa"/>
            <w:vMerge w:val="continue"/>
            <w:vAlign w:val="center"/>
          </w:tcPr>
          <w:p w14:paraId="7A0929D7">
            <w:pPr>
              <w:keepNext/>
              <w:keepLines/>
              <w:spacing w:line="240" w:lineRule="auto"/>
              <w:jc w:val="center"/>
              <w:outlineLvl w:val="0"/>
              <w:rPr>
                <w:rFonts w:hint="eastAsia" w:ascii="宋体" w:hAnsi="宋体" w:eastAsia="宋体" w:cs="宋体"/>
                <w:color w:val="auto"/>
                <w:kern w:val="0"/>
                <w:sz w:val="21"/>
                <w:szCs w:val="21"/>
                <w:highlight w:val="none"/>
              </w:rPr>
            </w:pPr>
          </w:p>
        </w:tc>
        <w:tc>
          <w:tcPr>
            <w:tcW w:w="952" w:type="dxa"/>
            <w:vAlign w:val="center"/>
          </w:tcPr>
          <w:p w14:paraId="340C581A">
            <w:pPr>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条款号</w:t>
            </w:r>
          </w:p>
        </w:tc>
        <w:tc>
          <w:tcPr>
            <w:tcW w:w="4885" w:type="dxa"/>
            <w:vAlign w:val="center"/>
          </w:tcPr>
          <w:p w14:paraId="256F0FE5">
            <w:pPr>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简要内容</w:t>
            </w:r>
          </w:p>
        </w:tc>
        <w:tc>
          <w:tcPr>
            <w:tcW w:w="1404" w:type="dxa"/>
            <w:vAlign w:val="center"/>
          </w:tcPr>
          <w:p w14:paraId="11224414">
            <w:pPr>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偏离情况</w:t>
            </w:r>
          </w:p>
        </w:tc>
        <w:tc>
          <w:tcPr>
            <w:tcW w:w="1432" w:type="dxa"/>
            <w:vAlign w:val="center"/>
          </w:tcPr>
          <w:p w14:paraId="287FDF3D">
            <w:pPr>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实质性响应的具体内容</w:t>
            </w:r>
          </w:p>
        </w:tc>
        <w:tc>
          <w:tcPr>
            <w:tcW w:w="1106" w:type="dxa"/>
            <w:vAlign w:val="center"/>
          </w:tcPr>
          <w:p w14:paraId="6F0C69E0">
            <w:pPr>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对应证明材料页码</w:t>
            </w:r>
          </w:p>
        </w:tc>
      </w:tr>
      <w:tr w14:paraId="2FEF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1" w:type="dxa"/>
            <w:vAlign w:val="center"/>
          </w:tcPr>
          <w:p w14:paraId="085F49D1">
            <w:pPr>
              <w:spacing w:line="24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952" w:type="dxa"/>
            <w:vAlign w:val="center"/>
          </w:tcPr>
          <w:p w14:paraId="108B1962">
            <w:pPr>
              <w:autoSpaceDE w:val="0"/>
              <w:autoSpaceDN w:val="0"/>
              <w:adjustRightInd/>
              <w:spacing w:line="240" w:lineRule="auto"/>
              <w:ind w:firstLine="0" w:firstLineChars="0"/>
              <w:jc w:val="center"/>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sz w:val="21"/>
                <w:szCs w:val="21"/>
                <w:highlight w:val="none"/>
                <w:lang w:val="en-US" w:eastAsia="zh-CN"/>
              </w:rPr>
              <w:t>一</w:t>
            </w:r>
          </w:p>
        </w:tc>
        <w:tc>
          <w:tcPr>
            <w:tcW w:w="4885" w:type="dxa"/>
            <w:vAlign w:val="center"/>
          </w:tcPr>
          <w:p w14:paraId="70609881">
            <w:pPr>
              <w:autoSpaceDE w:val="0"/>
              <w:autoSpaceDN w:val="0"/>
              <w:adjustRightInd/>
              <w:spacing w:line="240" w:lineRule="auto"/>
              <w:jc w:val="both"/>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sz w:val="21"/>
                <w:szCs w:val="21"/>
                <w:highlight w:val="none"/>
                <w:lang w:val="en-US" w:eastAsia="zh-CN"/>
              </w:rPr>
              <w:t>项目概况</w:t>
            </w:r>
          </w:p>
        </w:tc>
        <w:tc>
          <w:tcPr>
            <w:tcW w:w="1404" w:type="dxa"/>
            <w:vAlign w:val="center"/>
          </w:tcPr>
          <w:p w14:paraId="77FF4DF2">
            <w:pPr>
              <w:keepNext/>
              <w:keepLines/>
              <w:spacing w:line="240" w:lineRule="auto"/>
              <w:jc w:val="center"/>
              <w:outlineLvl w:val="2"/>
              <w:rPr>
                <w:rFonts w:hint="eastAsia" w:ascii="宋体" w:hAnsi="宋体" w:eastAsia="宋体" w:cs="宋体"/>
                <w:color w:val="auto"/>
                <w:kern w:val="0"/>
                <w:sz w:val="21"/>
                <w:szCs w:val="21"/>
                <w:highlight w:val="none"/>
              </w:rPr>
            </w:pPr>
          </w:p>
        </w:tc>
        <w:tc>
          <w:tcPr>
            <w:tcW w:w="1432" w:type="dxa"/>
            <w:vAlign w:val="center"/>
          </w:tcPr>
          <w:p w14:paraId="4473D365">
            <w:pPr>
              <w:keepNext/>
              <w:keepLines/>
              <w:spacing w:line="240" w:lineRule="auto"/>
              <w:jc w:val="center"/>
              <w:outlineLvl w:val="2"/>
              <w:rPr>
                <w:rFonts w:hint="eastAsia" w:ascii="宋体" w:hAnsi="宋体" w:eastAsia="宋体" w:cs="宋体"/>
                <w:color w:val="auto"/>
                <w:kern w:val="0"/>
                <w:sz w:val="21"/>
                <w:szCs w:val="21"/>
                <w:highlight w:val="none"/>
              </w:rPr>
            </w:pPr>
          </w:p>
        </w:tc>
        <w:tc>
          <w:tcPr>
            <w:tcW w:w="1106" w:type="dxa"/>
            <w:vAlign w:val="center"/>
          </w:tcPr>
          <w:p w14:paraId="0D365944">
            <w:pPr>
              <w:keepNext/>
              <w:keepLines/>
              <w:spacing w:line="240" w:lineRule="auto"/>
              <w:jc w:val="center"/>
              <w:outlineLvl w:val="2"/>
              <w:rPr>
                <w:rFonts w:hint="eastAsia" w:ascii="宋体" w:hAnsi="宋体" w:eastAsia="宋体" w:cs="宋体"/>
                <w:color w:val="auto"/>
                <w:kern w:val="0"/>
                <w:sz w:val="21"/>
                <w:szCs w:val="21"/>
                <w:highlight w:val="none"/>
              </w:rPr>
            </w:pPr>
          </w:p>
        </w:tc>
      </w:tr>
      <w:tr w14:paraId="7A9A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1" w:type="dxa"/>
            <w:vAlign w:val="center"/>
          </w:tcPr>
          <w:p w14:paraId="2EE90C4D">
            <w:pPr>
              <w:spacing w:line="24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w:t>
            </w:r>
          </w:p>
        </w:tc>
        <w:tc>
          <w:tcPr>
            <w:tcW w:w="952" w:type="dxa"/>
            <w:vAlign w:val="center"/>
          </w:tcPr>
          <w:p w14:paraId="30027430">
            <w:pPr>
              <w:spacing w:line="240" w:lineRule="auto"/>
              <w:jc w:val="center"/>
              <w:rPr>
                <w:rFonts w:hint="eastAsia" w:ascii="宋体" w:hAnsi="宋体" w:eastAsia="宋体" w:cs="宋体"/>
                <w:b w:val="0"/>
                <w:bCs/>
                <w:color w:val="auto"/>
                <w:sz w:val="21"/>
                <w:szCs w:val="21"/>
                <w:highlight w:val="none"/>
                <w:lang w:val="zh-CN" w:eastAsia="zh-CN"/>
              </w:rPr>
            </w:pPr>
            <w:r>
              <w:rPr>
                <w:rFonts w:hint="eastAsia" w:ascii="宋体" w:hAnsi="宋体" w:eastAsia="宋体" w:cs="宋体"/>
                <w:b w:val="0"/>
                <w:bCs/>
                <w:color w:val="auto"/>
                <w:sz w:val="21"/>
                <w:szCs w:val="21"/>
                <w:highlight w:val="none"/>
                <w:lang w:val="en-US" w:eastAsia="zh-CN"/>
              </w:rPr>
              <w:t>二</w:t>
            </w:r>
          </w:p>
        </w:tc>
        <w:tc>
          <w:tcPr>
            <w:tcW w:w="4885" w:type="dxa"/>
            <w:vAlign w:val="center"/>
          </w:tcPr>
          <w:p w14:paraId="2E1BF8BF">
            <w:pPr>
              <w:spacing w:line="240" w:lineRule="auto"/>
              <w:ind w:firstLine="0" w:firstLineChars="0"/>
              <w:jc w:val="both"/>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委托处置的内容及废物性状情况</w:t>
            </w:r>
          </w:p>
        </w:tc>
        <w:tc>
          <w:tcPr>
            <w:tcW w:w="1404" w:type="dxa"/>
            <w:vAlign w:val="center"/>
          </w:tcPr>
          <w:p w14:paraId="58CF7A10">
            <w:pPr>
              <w:keepNext/>
              <w:keepLines/>
              <w:spacing w:line="240" w:lineRule="auto"/>
              <w:jc w:val="center"/>
              <w:outlineLvl w:val="2"/>
              <w:rPr>
                <w:rFonts w:hint="eastAsia" w:ascii="宋体" w:hAnsi="宋体" w:eastAsia="宋体" w:cs="宋体"/>
                <w:color w:val="auto"/>
                <w:kern w:val="0"/>
                <w:sz w:val="21"/>
                <w:szCs w:val="21"/>
                <w:highlight w:val="none"/>
              </w:rPr>
            </w:pPr>
          </w:p>
        </w:tc>
        <w:tc>
          <w:tcPr>
            <w:tcW w:w="1432" w:type="dxa"/>
            <w:vAlign w:val="center"/>
          </w:tcPr>
          <w:p w14:paraId="7B0CB631">
            <w:pPr>
              <w:keepNext/>
              <w:keepLines/>
              <w:spacing w:line="240" w:lineRule="auto"/>
              <w:jc w:val="center"/>
              <w:outlineLvl w:val="2"/>
              <w:rPr>
                <w:rFonts w:hint="eastAsia" w:ascii="宋体" w:hAnsi="宋体" w:eastAsia="宋体" w:cs="宋体"/>
                <w:color w:val="auto"/>
                <w:kern w:val="0"/>
                <w:sz w:val="21"/>
                <w:szCs w:val="21"/>
                <w:highlight w:val="none"/>
              </w:rPr>
            </w:pPr>
          </w:p>
        </w:tc>
        <w:tc>
          <w:tcPr>
            <w:tcW w:w="1106" w:type="dxa"/>
            <w:vAlign w:val="center"/>
          </w:tcPr>
          <w:p w14:paraId="75806079">
            <w:pPr>
              <w:keepNext/>
              <w:keepLines/>
              <w:spacing w:line="240" w:lineRule="auto"/>
              <w:jc w:val="center"/>
              <w:outlineLvl w:val="2"/>
              <w:rPr>
                <w:rFonts w:hint="eastAsia" w:ascii="宋体" w:hAnsi="宋体" w:eastAsia="宋体" w:cs="宋体"/>
                <w:color w:val="auto"/>
                <w:kern w:val="0"/>
                <w:sz w:val="21"/>
                <w:szCs w:val="21"/>
                <w:highlight w:val="none"/>
              </w:rPr>
            </w:pPr>
          </w:p>
        </w:tc>
      </w:tr>
      <w:tr w14:paraId="0D6A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1" w:type="dxa"/>
            <w:vAlign w:val="center"/>
          </w:tcPr>
          <w:p w14:paraId="6C17180E">
            <w:pPr>
              <w:spacing w:line="24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p>
        </w:tc>
        <w:tc>
          <w:tcPr>
            <w:tcW w:w="952" w:type="dxa"/>
            <w:vAlign w:val="center"/>
          </w:tcPr>
          <w:p w14:paraId="11ABC349">
            <w:pPr>
              <w:spacing w:line="240" w:lineRule="auto"/>
              <w:jc w:val="center"/>
              <w:rPr>
                <w:rFonts w:hint="eastAsia" w:ascii="宋体" w:hAnsi="宋体" w:eastAsia="宋体" w:cs="宋体"/>
                <w:b w:val="0"/>
                <w:bCs/>
                <w:color w:val="auto"/>
                <w:sz w:val="21"/>
                <w:szCs w:val="21"/>
                <w:highlight w:val="none"/>
                <w:lang w:val="zh-CN" w:eastAsia="zh-CN"/>
              </w:rPr>
            </w:pPr>
            <w:r>
              <w:rPr>
                <w:rFonts w:hint="eastAsia" w:ascii="宋体" w:hAnsi="宋体" w:eastAsia="宋体" w:cs="宋体"/>
                <w:b w:val="0"/>
                <w:bCs/>
                <w:color w:val="auto"/>
                <w:sz w:val="21"/>
                <w:szCs w:val="21"/>
                <w:highlight w:val="none"/>
                <w:lang w:val="en-US" w:eastAsia="zh-CN"/>
              </w:rPr>
              <w:t>三</w:t>
            </w:r>
          </w:p>
        </w:tc>
        <w:tc>
          <w:tcPr>
            <w:tcW w:w="4885" w:type="dxa"/>
            <w:vAlign w:val="center"/>
          </w:tcPr>
          <w:p w14:paraId="3AF2E01B">
            <w:pPr>
              <w:spacing w:line="240" w:lineRule="auto"/>
              <w:ind w:firstLine="0" w:firstLineChars="0"/>
              <w:jc w:val="both"/>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服务范围及要求</w:t>
            </w:r>
          </w:p>
        </w:tc>
        <w:tc>
          <w:tcPr>
            <w:tcW w:w="1404" w:type="dxa"/>
            <w:vAlign w:val="center"/>
          </w:tcPr>
          <w:p w14:paraId="3C73BFC2">
            <w:pPr>
              <w:keepNext/>
              <w:keepLines/>
              <w:spacing w:line="240" w:lineRule="auto"/>
              <w:jc w:val="center"/>
              <w:outlineLvl w:val="2"/>
              <w:rPr>
                <w:rFonts w:hint="eastAsia" w:ascii="宋体" w:hAnsi="宋体" w:eastAsia="宋体" w:cs="宋体"/>
                <w:color w:val="auto"/>
                <w:kern w:val="0"/>
                <w:sz w:val="21"/>
                <w:szCs w:val="21"/>
                <w:highlight w:val="none"/>
              </w:rPr>
            </w:pPr>
          </w:p>
        </w:tc>
        <w:tc>
          <w:tcPr>
            <w:tcW w:w="1432" w:type="dxa"/>
            <w:vAlign w:val="center"/>
          </w:tcPr>
          <w:p w14:paraId="07E3539C">
            <w:pPr>
              <w:keepNext/>
              <w:keepLines/>
              <w:spacing w:line="240" w:lineRule="auto"/>
              <w:jc w:val="center"/>
              <w:outlineLvl w:val="2"/>
              <w:rPr>
                <w:rFonts w:hint="eastAsia" w:ascii="宋体" w:hAnsi="宋体" w:eastAsia="宋体" w:cs="宋体"/>
                <w:color w:val="auto"/>
                <w:kern w:val="0"/>
                <w:sz w:val="21"/>
                <w:szCs w:val="21"/>
                <w:highlight w:val="none"/>
              </w:rPr>
            </w:pPr>
          </w:p>
        </w:tc>
        <w:tc>
          <w:tcPr>
            <w:tcW w:w="1106" w:type="dxa"/>
            <w:vAlign w:val="center"/>
          </w:tcPr>
          <w:p w14:paraId="79FCA37D">
            <w:pPr>
              <w:keepNext/>
              <w:keepLines/>
              <w:spacing w:line="240" w:lineRule="auto"/>
              <w:jc w:val="center"/>
              <w:outlineLvl w:val="2"/>
              <w:rPr>
                <w:rFonts w:hint="eastAsia" w:ascii="宋体" w:hAnsi="宋体" w:eastAsia="宋体" w:cs="宋体"/>
                <w:color w:val="auto"/>
                <w:kern w:val="0"/>
                <w:sz w:val="21"/>
                <w:szCs w:val="21"/>
                <w:highlight w:val="none"/>
              </w:rPr>
            </w:pPr>
          </w:p>
        </w:tc>
      </w:tr>
      <w:tr w14:paraId="50EE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1" w:type="dxa"/>
            <w:vAlign w:val="center"/>
          </w:tcPr>
          <w:p w14:paraId="2A8640FC">
            <w:pPr>
              <w:spacing w:line="24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w:t>
            </w:r>
          </w:p>
        </w:tc>
        <w:tc>
          <w:tcPr>
            <w:tcW w:w="952" w:type="dxa"/>
            <w:vAlign w:val="center"/>
          </w:tcPr>
          <w:p w14:paraId="7B87C590">
            <w:pPr>
              <w:spacing w:line="240" w:lineRule="auto"/>
              <w:jc w:val="center"/>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四</w:t>
            </w:r>
          </w:p>
        </w:tc>
        <w:tc>
          <w:tcPr>
            <w:tcW w:w="4885" w:type="dxa"/>
            <w:vAlign w:val="center"/>
          </w:tcPr>
          <w:p w14:paraId="1BC1A99E">
            <w:pPr>
              <w:spacing w:line="240" w:lineRule="auto"/>
              <w:ind w:firstLine="0" w:firstLineChars="0"/>
              <w:jc w:val="both"/>
              <w:rPr>
                <w:rFonts w:hint="eastAsia" w:ascii="宋体" w:hAnsi="宋体" w:eastAsia="宋体" w:cs="宋体"/>
                <w:b w:val="0"/>
                <w:bCs/>
                <w:color w:val="auto"/>
                <w:sz w:val="21"/>
                <w:szCs w:val="21"/>
                <w:highlight w:val="none"/>
              </w:rPr>
            </w:pPr>
            <w:r>
              <w:rPr>
                <w:rFonts w:hint="eastAsia" w:ascii="宋体" w:hAnsi="宋体" w:eastAsia="宋体" w:cs="宋体"/>
                <w:color w:val="auto"/>
                <w:kern w:val="2"/>
                <w:sz w:val="21"/>
                <w:szCs w:val="21"/>
                <w:highlight w:val="none"/>
              </w:rPr>
              <w:t>报价要求</w:t>
            </w:r>
          </w:p>
        </w:tc>
        <w:tc>
          <w:tcPr>
            <w:tcW w:w="1404" w:type="dxa"/>
            <w:vAlign w:val="center"/>
          </w:tcPr>
          <w:p w14:paraId="3D74A5BA">
            <w:pPr>
              <w:keepNext/>
              <w:keepLines/>
              <w:spacing w:line="240" w:lineRule="auto"/>
              <w:jc w:val="center"/>
              <w:outlineLvl w:val="2"/>
              <w:rPr>
                <w:rFonts w:hint="eastAsia" w:ascii="宋体" w:hAnsi="宋体" w:eastAsia="宋体" w:cs="宋体"/>
                <w:color w:val="auto"/>
                <w:kern w:val="0"/>
                <w:sz w:val="21"/>
                <w:szCs w:val="21"/>
                <w:highlight w:val="none"/>
              </w:rPr>
            </w:pPr>
          </w:p>
        </w:tc>
        <w:tc>
          <w:tcPr>
            <w:tcW w:w="1432" w:type="dxa"/>
            <w:vAlign w:val="center"/>
          </w:tcPr>
          <w:p w14:paraId="343AB591">
            <w:pPr>
              <w:keepNext/>
              <w:keepLines/>
              <w:spacing w:line="240" w:lineRule="auto"/>
              <w:jc w:val="center"/>
              <w:outlineLvl w:val="2"/>
              <w:rPr>
                <w:rFonts w:hint="eastAsia" w:ascii="宋体" w:hAnsi="宋体" w:eastAsia="宋体" w:cs="宋体"/>
                <w:color w:val="auto"/>
                <w:kern w:val="0"/>
                <w:sz w:val="21"/>
                <w:szCs w:val="21"/>
                <w:highlight w:val="none"/>
              </w:rPr>
            </w:pPr>
          </w:p>
        </w:tc>
        <w:tc>
          <w:tcPr>
            <w:tcW w:w="1106" w:type="dxa"/>
            <w:vAlign w:val="center"/>
          </w:tcPr>
          <w:p w14:paraId="697BB76C">
            <w:pPr>
              <w:keepNext/>
              <w:keepLines/>
              <w:spacing w:line="240" w:lineRule="auto"/>
              <w:jc w:val="center"/>
              <w:outlineLvl w:val="2"/>
              <w:rPr>
                <w:rFonts w:hint="eastAsia" w:ascii="宋体" w:hAnsi="宋体" w:eastAsia="宋体" w:cs="宋体"/>
                <w:color w:val="auto"/>
                <w:kern w:val="0"/>
                <w:sz w:val="21"/>
                <w:szCs w:val="21"/>
                <w:highlight w:val="none"/>
              </w:rPr>
            </w:pPr>
          </w:p>
        </w:tc>
      </w:tr>
      <w:tr w14:paraId="7FDD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1" w:type="dxa"/>
            <w:vAlign w:val="center"/>
          </w:tcPr>
          <w:p w14:paraId="6D7E66DE">
            <w:pPr>
              <w:spacing w:line="24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w:t>
            </w:r>
          </w:p>
        </w:tc>
        <w:tc>
          <w:tcPr>
            <w:tcW w:w="952" w:type="dxa"/>
            <w:vAlign w:val="center"/>
          </w:tcPr>
          <w:p w14:paraId="5E66946F">
            <w:pPr>
              <w:spacing w:line="240" w:lineRule="auto"/>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五</w:t>
            </w:r>
          </w:p>
        </w:tc>
        <w:tc>
          <w:tcPr>
            <w:tcW w:w="4885" w:type="dxa"/>
            <w:vAlign w:val="center"/>
          </w:tcPr>
          <w:p w14:paraId="62451A77">
            <w:pPr>
              <w:spacing w:line="240" w:lineRule="auto"/>
              <w:ind w:firstLine="0" w:firstLineChars="0"/>
              <w:jc w:val="both"/>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计费与支付方式</w:t>
            </w:r>
          </w:p>
        </w:tc>
        <w:tc>
          <w:tcPr>
            <w:tcW w:w="1404" w:type="dxa"/>
            <w:vAlign w:val="center"/>
          </w:tcPr>
          <w:p w14:paraId="167B40C8">
            <w:pPr>
              <w:keepNext/>
              <w:keepLines/>
              <w:spacing w:line="240" w:lineRule="auto"/>
              <w:jc w:val="center"/>
              <w:outlineLvl w:val="2"/>
              <w:rPr>
                <w:rFonts w:hint="eastAsia" w:ascii="宋体" w:hAnsi="宋体" w:eastAsia="宋体" w:cs="宋体"/>
                <w:color w:val="auto"/>
                <w:kern w:val="0"/>
                <w:sz w:val="21"/>
                <w:szCs w:val="21"/>
                <w:highlight w:val="none"/>
              </w:rPr>
            </w:pPr>
          </w:p>
        </w:tc>
        <w:tc>
          <w:tcPr>
            <w:tcW w:w="1432" w:type="dxa"/>
            <w:vAlign w:val="center"/>
          </w:tcPr>
          <w:p w14:paraId="336A32CC">
            <w:pPr>
              <w:keepNext/>
              <w:keepLines/>
              <w:spacing w:line="240" w:lineRule="auto"/>
              <w:jc w:val="center"/>
              <w:outlineLvl w:val="2"/>
              <w:rPr>
                <w:rFonts w:hint="eastAsia" w:ascii="宋体" w:hAnsi="宋体" w:eastAsia="宋体" w:cs="宋体"/>
                <w:color w:val="auto"/>
                <w:kern w:val="0"/>
                <w:sz w:val="21"/>
                <w:szCs w:val="21"/>
                <w:highlight w:val="none"/>
              </w:rPr>
            </w:pPr>
          </w:p>
        </w:tc>
        <w:tc>
          <w:tcPr>
            <w:tcW w:w="1106" w:type="dxa"/>
            <w:vAlign w:val="center"/>
          </w:tcPr>
          <w:p w14:paraId="758E97D1">
            <w:pPr>
              <w:keepNext/>
              <w:keepLines/>
              <w:spacing w:line="240" w:lineRule="auto"/>
              <w:jc w:val="center"/>
              <w:outlineLvl w:val="2"/>
              <w:rPr>
                <w:rFonts w:hint="eastAsia" w:ascii="宋体" w:hAnsi="宋体" w:eastAsia="宋体" w:cs="宋体"/>
                <w:color w:val="auto"/>
                <w:kern w:val="0"/>
                <w:sz w:val="21"/>
                <w:szCs w:val="21"/>
                <w:highlight w:val="none"/>
              </w:rPr>
            </w:pPr>
          </w:p>
        </w:tc>
      </w:tr>
      <w:tr w14:paraId="304A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70" w:type="dxa"/>
            <w:gridSpan w:val="6"/>
            <w:vAlign w:val="center"/>
          </w:tcPr>
          <w:p w14:paraId="501314F2">
            <w:pPr>
              <w:keepNext/>
              <w:keepLines/>
              <w:spacing w:line="240" w:lineRule="auto"/>
              <w:jc w:val="left"/>
              <w:outlineLvl w:val="2"/>
              <w:rPr>
                <w:rFonts w:hint="eastAsia" w:ascii="宋体" w:hAnsi="宋体" w:eastAsia="宋体" w:cs="宋体"/>
                <w:b w:val="0"/>
                <w:bCs/>
                <w:color w:val="auto"/>
                <w:kern w:val="0"/>
                <w:sz w:val="21"/>
                <w:szCs w:val="21"/>
                <w:highlight w:val="none"/>
              </w:rPr>
            </w:pPr>
            <w:bookmarkStart w:id="687" w:name="_Toc1775220991"/>
            <w:r>
              <w:rPr>
                <w:rFonts w:hint="eastAsia" w:ascii="宋体" w:hAnsi="宋体" w:eastAsia="宋体" w:cs="宋体"/>
                <w:b/>
                <w:bCs w:val="0"/>
                <w:color w:val="auto"/>
                <w:kern w:val="0"/>
                <w:sz w:val="21"/>
                <w:szCs w:val="21"/>
                <w:highlight w:val="none"/>
              </w:rPr>
              <w:t>用户需求书“★”条款汇总:</w:t>
            </w:r>
            <w:bookmarkEnd w:id="687"/>
          </w:p>
        </w:tc>
      </w:tr>
      <w:tr w14:paraId="5EFF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1" w:type="dxa"/>
            <w:vAlign w:val="center"/>
          </w:tcPr>
          <w:p w14:paraId="52BC9F7D">
            <w:pPr>
              <w:spacing w:line="240" w:lineRule="auto"/>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w:t>
            </w:r>
          </w:p>
        </w:tc>
        <w:tc>
          <w:tcPr>
            <w:tcW w:w="952" w:type="dxa"/>
            <w:vAlign w:val="center"/>
          </w:tcPr>
          <w:p w14:paraId="6A0727D5">
            <w:pPr>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p>
        </w:tc>
        <w:tc>
          <w:tcPr>
            <w:tcW w:w="4885" w:type="dxa"/>
            <w:vAlign w:val="center"/>
          </w:tcPr>
          <w:p w14:paraId="48776DA5">
            <w:pPr>
              <w:spacing w:line="240" w:lineRule="auto"/>
              <w:ind w:firstLine="0" w:firstLineChars="0"/>
              <w:jc w:val="left"/>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p>
        </w:tc>
        <w:tc>
          <w:tcPr>
            <w:tcW w:w="1404" w:type="dxa"/>
            <w:vAlign w:val="center"/>
          </w:tcPr>
          <w:p w14:paraId="700DEDF9">
            <w:pPr>
              <w:keepNext/>
              <w:keepLines/>
              <w:spacing w:line="240" w:lineRule="auto"/>
              <w:jc w:val="center"/>
              <w:outlineLvl w:val="2"/>
              <w:rPr>
                <w:rFonts w:hint="eastAsia" w:ascii="宋体" w:hAnsi="宋体" w:eastAsia="宋体" w:cs="宋体"/>
                <w:color w:val="auto"/>
                <w:kern w:val="0"/>
                <w:sz w:val="21"/>
                <w:szCs w:val="21"/>
                <w:highlight w:val="none"/>
                <w:lang w:val="en-US" w:eastAsia="zh-CN"/>
              </w:rPr>
            </w:pPr>
            <w:bookmarkStart w:id="688" w:name="_Toc1071761401"/>
            <w:r>
              <w:rPr>
                <w:rFonts w:hint="eastAsia" w:ascii="宋体" w:hAnsi="宋体" w:eastAsia="宋体" w:cs="宋体"/>
                <w:color w:val="auto"/>
                <w:kern w:val="0"/>
                <w:sz w:val="21"/>
                <w:szCs w:val="21"/>
                <w:highlight w:val="none"/>
                <w:lang w:val="en-US" w:eastAsia="zh-CN"/>
              </w:rPr>
              <w:t>/</w:t>
            </w:r>
            <w:bookmarkEnd w:id="688"/>
          </w:p>
        </w:tc>
        <w:tc>
          <w:tcPr>
            <w:tcW w:w="1432" w:type="dxa"/>
            <w:vAlign w:val="center"/>
          </w:tcPr>
          <w:p w14:paraId="2B11859A">
            <w:pPr>
              <w:keepNext/>
              <w:keepLines/>
              <w:spacing w:line="240" w:lineRule="auto"/>
              <w:jc w:val="center"/>
              <w:outlineLvl w:val="2"/>
              <w:rPr>
                <w:rFonts w:hint="eastAsia" w:ascii="宋体" w:hAnsi="宋体" w:eastAsia="宋体" w:cs="宋体"/>
                <w:color w:val="auto"/>
                <w:kern w:val="0"/>
                <w:sz w:val="21"/>
                <w:szCs w:val="21"/>
                <w:highlight w:val="none"/>
                <w:lang w:val="en-US" w:eastAsia="zh-CN"/>
              </w:rPr>
            </w:pPr>
            <w:bookmarkStart w:id="689" w:name="_Toc2101068974"/>
            <w:r>
              <w:rPr>
                <w:rFonts w:hint="eastAsia" w:ascii="宋体" w:hAnsi="宋体" w:eastAsia="宋体" w:cs="宋体"/>
                <w:color w:val="auto"/>
                <w:kern w:val="0"/>
                <w:sz w:val="21"/>
                <w:szCs w:val="21"/>
                <w:highlight w:val="none"/>
                <w:lang w:val="en-US" w:eastAsia="zh-CN"/>
              </w:rPr>
              <w:t>/</w:t>
            </w:r>
            <w:bookmarkEnd w:id="689"/>
          </w:p>
        </w:tc>
        <w:tc>
          <w:tcPr>
            <w:tcW w:w="1106" w:type="dxa"/>
            <w:vAlign w:val="center"/>
          </w:tcPr>
          <w:p w14:paraId="007A70FD">
            <w:pPr>
              <w:keepNext/>
              <w:keepLines/>
              <w:spacing w:line="240" w:lineRule="auto"/>
              <w:jc w:val="center"/>
              <w:outlineLvl w:val="2"/>
              <w:rPr>
                <w:rFonts w:hint="eastAsia" w:ascii="宋体" w:hAnsi="宋体" w:eastAsia="宋体" w:cs="宋体"/>
                <w:color w:val="auto"/>
                <w:kern w:val="0"/>
                <w:sz w:val="21"/>
                <w:szCs w:val="21"/>
                <w:highlight w:val="none"/>
                <w:lang w:val="en-US" w:eastAsia="zh-CN"/>
              </w:rPr>
            </w:pPr>
            <w:bookmarkStart w:id="690" w:name="_Toc1966308101"/>
            <w:r>
              <w:rPr>
                <w:rFonts w:hint="eastAsia" w:ascii="宋体" w:hAnsi="宋体" w:eastAsia="宋体" w:cs="宋体"/>
                <w:color w:val="auto"/>
                <w:kern w:val="0"/>
                <w:sz w:val="21"/>
                <w:szCs w:val="21"/>
                <w:highlight w:val="none"/>
                <w:lang w:val="en-US" w:eastAsia="zh-CN"/>
              </w:rPr>
              <w:t>/</w:t>
            </w:r>
            <w:bookmarkEnd w:id="690"/>
          </w:p>
        </w:tc>
      </w:tr>
    </w:tbl>
    <w:p w14:paraId="57DAB945">
      <w:pPr>
        <w:spacing w:line="240" w:lineRule="auto"/>
        <w:rPr>
          <w:rFonts w:hint="eastAsia" w:ascii="宋体" w:hAnsi="宋体" w:eastAsia="宋体" w:cs="宋体"/>
          <w:color w:val="auto"/>
          <w:szCs w:val="21"/>
          <w:highlight w:val="none"/>
        </w:rPr>
      </w:pPr>
    </w:p>
    <w:p w14:paraId="369B01CB">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p w14:paraId="1330A0BE">
      <w:pPr>
        <w:spacing w:line="400" w:lineRule="exact"/>
        <w:ind w:left="605" w:leftChars="18" w:hanging="567" w:hangingChars="270"/>
        <w:rPr>
          <w:rFonts w:hint="eastAsia" w:ascii="宋体" w:hAnsi="宋体" w:eastAsia="宋体" w:cs="宋体"/>
          <w:b/>
          <w:bCs w:val="0"/>
          <w:color w:val="auto"/>
          <w:szCs w:val="21"/>
          <w:highlight w:val="none"/>
          <w:u w:val="single"/>
        </w:rPr>
      </w:pPr>
      <w:r>
        <w:rPr>
          <w:rFonts w:hint="eastAsia" w:ascii="宋体" w:hAnsi="宋体" w:eastAsia="宋体" w:cs="宋体"/>
          <w:color w:val="auto"/>
          <w:szCs w:val="21"/>
          <w:highlight w:val="none"/>
        </w:rPr>
        <w:t>（1）</w:t>
      </w:r>
      <w:r>
        <w:rPr>
          <w:rFonts w:hint="eastAsia" w:ascii="宋体" w:hAnsi="宋体" w:eastAsia="宋体" w:cs="宋体"/>
          <w:b/>
          <w:color w:val="auto"/>
          <w:szCs w:val="21"/>
          <w:highlight w:val="none"/>
          <w:u w:val="single"/>
          <w:lang w:eastAsia="zh-CN"/>
        </w:rPr>
        <w:t>供应商</w:t>
      </w:r>
      <w:r>
        <w:rPr>
          <w:rFonts w:hint="eastAsia" w:ascii="宋体" w:hAnsi="宋体" w:eastAsia="宋体" w:cs="宋体"/>
          <w:b/>
          <w:color w:val="auto"/>
          <w:szCs w:val="21"/>
          <w:highlight w:val="none"/>
          <w:u w:val="single"/>
        </w:rPr>
        <w:t>应对照</w:t>
      </w:r>
      <w:r>
        <w:rPr>
          <w:rFonts w:hint="eastAsia" w:ascii="宋体" w:hAnsi="宋体" w:eastAsia="宋体" w:cs="宋体"/>
          <w:b/>
          <w:color w:val="auto"/>
          <w:szCs w:val="21"/>
          <w:highlight w:val="none"/>
          <w:u w:val="single"/>
          <w:lang w:eastAsia="zh-CN"/>
        </w:rPr>
        <w:t>询比文件</w:t>
      </w:r>
      <w:r>
        <w:rPr>
          <w:rFonts w:hint="eastAsia" w:ascii="宋体" w:hAnsi="宋体" w:eastAsia="宋体" w:cs="宋体"/>
          <w:b/>
          <w:color w:val="auto"/>
          <w:szCs w:val="21"/>
          <w:highlight w:val="none"/>
          <w:u w:val="single"/>
        </w:rPr>
        <w:t>用户需求书的响应，逐条逐项、如实地填写“偏离情况”，</w:t>
      </w:r>
      <w:r>
        <w:rPr>
          <w:rFonts w:hint="eastAsia" w:ascii="宋体" w:hAnsi="宋体" w:eastAsia="宋体" w:cs="宋体"/>
          <w:b/>
          <w:color w:val="auto"/>
          <w:kern w:val="0"/>
          <w:szCs w:val="21"/>
          <w:highlight w:val="none"/>
          <w:u w:val="single"/>
        </w:rPr>
        <w:t>若发现未填写本表，或虚假填写本表，或伪造、变造证明材料的，按无效</w:t>
      </w:r>
      <w:r>
        <w:rPr>
          <w:rFonts w:hint="eastAsia" w:ascii="宋体" w:hAnsi="宋体" w:eastAsia="宋体" w:cs="宋体"/>
          <w:b/>
          <w:color w:val="auto"/>
          <w:kern w:val="0"/>
          <w:szCs w:val="21"/>
          <w:highlight w:val="none"/>
          <w:u w:val="single"/>
          <w:lang w:eastAsia="zh-CN"/>
        </w:rPr>
        <w:t>响应文件</w:t>
      </w:r>
      <w:r>
        <w:rPr>
          <w:rFonts w:hint="eastAsia" w:ascii="宋体" w:hAnsi="宋体" w:eastAsia="宋体" w:cs="宋体"/>
          <w:b/>
          <w:color w:val="auto"/>
          <w:kern w:val="0"/>
          <w:szCs w:val="21"/>
          <w:highlight w:val="none"/>
          <w:u w:val="single"/>
        </w:rPr>
        <w:t>处理</w:t>
      </w:r>
      <w:r>
        <w:rPr>
          <w:rFonts w:hint="eastAsia" w:ascii="宋体" w:hAnsi="宋体" w:eastAsia="宋体" w:cs="宋体"/>
          <w:b/>
          <w:color w:val="auto"/>
          <w:szCs w:val="21"/>
          <w:highlight w:val="none"/>
          <w:u w:val="single"/>
        </w:rPr>
        <w:t>。若</w:t>
      </w:r>
      <w:r>
        <w:rPr>
          <w:rFonts w:hint="eastAsia" w:ascii="宋体" w:hAnsi="宋体" w:eastAsia="宋体" w:cs="宋体"/>
          <w:b/>
          <w:color w:val="auto"/>
          <w:szCs w:val="21"/>
          <w:highlight w:val="none"/>
          <w:u w:val="single"/>
          <w:lang w:eastAsia="zh-CN"/>
        </w:rPr>
        <w:t>询比文件</w:t>
      </w:r>
      <w:r>
        <w:rPr>
          <w:rFonts w:hint="eastAsia" w:ascii="宋体" w:hAnsi="宋体" w:eastAsia="宋体" w:cs="宋体"/>
          <w:b/>
          <w:color w:val="auto"/>
          <w:szCs w:val="21"/>
          <w:highlight w:val="none"/>
          <w:u w:val="single"/>
        </w:rPr>
        <w:t>用户需求书中有“★”条款须逐条逐项、如实地填写“偏离情况”，未填写“★”条款以外的条款的，视为完全满足</w:t>
      </w:r>
      <w:r>
        <w:rPr>
          <w:rFonts w:hint="eastAsia" w:ascii="宋体" w:hAnsi="宋体" w:eastAsia="宋体" w:cs="宋体"/>
          <w:b/>
          <w:color w:val="auto"/>
          <w:szCs w:val="21"/>
          <w:highlight w:val="none"/>
          <w:u w:val="single"/>
          <w:lang w:eastAsia="zh-CN"/>
        </w:rPr>
        <w:t>询比文件</w:t>
      </w:r>
      <w:r>
        <w:rPr>
          <w:rFonts w:hint="eastAsia" w:ascii="宋体" w:hAnsi="宋体" w:eastAsia="宋体" w:cs="宋体"/>
          <w:b/>
          <w:color w:val="auto"/>
          <w:szCs w:val="21"/>
          <w:highlight w:val="none"/>
          <w:u w:val="single"/>
        </w:rPr>
        <w:t>要求。</w:t>
      </w:r>
    </w:p>
    <w:p w14:paraId="312B180C">
      <w:pPr>
        <w:spacing w:line="400" w:lineRule="exact"/>
        <w:ind w:left="605" w:leftChars="18" w:hanging="567" w:hangingChars="27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（2）偏离情况（</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对</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用户需求的响应程度）分为：正偏离、负偏离、无偏离。正偏离是指</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对用户需求响应优于</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的要求；负偏离是指</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对用户需求响应不满足或不完全满足</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的要求；无偏离是指</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对用户需求响应完全满足</w:t>
      </w:r>
      <w:r>
        <w:rPr>
          <w:rFonts w:hint="eastAsia" w:ascii="宋体" w:hAnsi="宋体" w:eastAsia="宋体" w:cs="宋体"/>
          <w:color w:val="auto"/>
          <w:szCs w:val="21"/>
          <w:highlight w:val="none"/>
          <w:lang w:eastAsia="zh-CN"/>
        </w:rPr>
        <w:t>询比文件</w:t>
      </w:r>
      <w:r>
        <w:rPr>
          <w:rFonts w:hint="eastAsia" w:ascii="宋体" w:hAnsi="宋体" w:eastAsia="宋体" w:cs="宋体"/>
          <w:color w:val="auto"/>
          <w:szCs w:val="21"/>
          <w:highlight w:val="none"/>
        </w:rPr>
        <w:t xml:space="preserve">的要求。 </w:t>
      </w:r>
    </w:p>
    <w:p w14:paraId="391B4670">
      <w:pPr>
        <w:spacing w:line="400" w:lineRule="exact"/>
        <w:ind w:left="607" w:leftChars="18" w:hanging="569" w:hangingChars="270"/>
        <w:rPr>
          <w:rFonts w:hint="eastAsia" w:ascii="宋体" w:hAnsi="宋体" w:eastAsia="宋体" w:cs="宋体"/>
          <w:b/>
          <w:color w:val="auto"/>
          <w:kern w:val="0"/>
          <w:szCs w:val="21"/>
          <w:highlight w:val="none"/>
          <w:u w:val="single"/>
        </w:rPr>
      </w:pPr>
      <w:r>
        <w:rPr>
          <w:rFonts w:hint="eastAsia" w:ascii="宋体" w:hAnsi="宋体" w:eastAsia="宋体" w:cs="宋体"/>
          <w:b/>
          <w:color w:val="auto"/>
          <w:szCs w:val="21"/>
          <w:highlight w:val="none"/>
        </w:rPr>
        <w:t>（3）</w:t>
      </w:r>
      <w:r>
        <w:rPr>
          <w:rFonts w:hint="eastAsia" w:ascii="宋体" w:hAnsi="宋体" w:eastAsia="宋体" w:cs="宋体"/>
          <w:b/>
          <w:color w:val="auto"/>
          <w:kern w:val="0"/>
          <w:szCs w:val="21"/>
          <w:highlight w:val="none"/>
          <w:u w:val="single"/>
        </w:rPr>
        <w:t>应逐条</w:t>
      </w:r>
      <w:r>
        <w:rPr>
          <w:rFonts w:hint="eastAsia" w:ascii="宋体" w:hAnsi="宋体" w:eastAsia="宋体" w:cs="宋体"/>
          <w:b/>
          <w:color w:val="auto"/>
          <w:szCs w:val="21"/>
          <w:highlight w:val="none"/>
          <w:u w:val="single"/>
        </w:rPr>
        <w:t>逐项</w:t>
      </w:r>
      <w:r>
        <w:rPr>
          <w:rFonts w:hint="eastAsia" w:ascii="宋体" w:hAnsi="宋体" w:eastAsia="宋体" w:cs="宋体"/>
          <w:b/>
          <w:color w:val="auto"/>
          <w:kern w:val="0"/>
          <w:szCs w:val="21"/>
          <w:highlight w:val="none"/>
          <w:u w:val="single"/>
        </w:rPr>
        <w:t>、如实地填写“偏离情况”。“偏离情况”项为正偏离（或负偏离）的，必须在“实质性响应的具体内容”项内详细说明与</w:t>
      </w:r>
      <w:r>
        <w:rPr>
          <w:rFonts w:hint="eastAsia" w:ascii="宋体" w:hAnsi="宋体" w:eastAsia="宋体" w:cs="宋体"/>
          <w:b/>
          <w:color w:val="auto"/>
          <w:kern w:val="0"/>
          <w:szCs w:val="21"/>
          <w:highlight w:val="none"/>
          <w:u w:val="single"/>
          <w:lang w:eastAsia="zh-CN"/>
        </w:rPr>
        <w:t>询比文件</w:t>
      </w:r>
      <w:r>
        <w:rPr>
          <w:rFonts w:hint="eastAsia" w:ascii="宋体" w:hAnsi="宋体" w:eastAsia="宋体" w:cs="宋体"/>
          <w:b/>
          <w:color w:val="auto"/>
          <w:kern w:val="0"/>
          <w:szCs w:val="21"/>
          <w:highlight w:val="none"/>
          <w:u w:val="single"/>
        </w:rPr>
        <w:t>的偏离内容，“偏离情况”项为无偏离的，在“实质性响应的具体内容”项内填“完全响应</w:t>
      </w:r>
      <w:r>
        <w:rPr>
          <w:rFonts w:hint="eastAsia" w:ascii="宋体" w:hAnsi="宋体" w:eastAsia="宋体" w:cs="宋体"/>
          <w:b/>
          <w:color w:val="auto"/>
          <w:kern w:val="0"/>
          <w:szCs w:val="21"/>
          <w:highlight w:val="none"/>
          <w:u w:val="single"/>
          <w:lang w:eastAsia="zh-CN"/>
        </w:rPr>
        <w:t>询比文件</w:t>
      </w:r>
      <w:r>
        <w:rPr>
          <w:rFonts w:hint="eastAsia" w:ascii="宋体" w:hAnsi="宋体" w:eastAsia="宋体" w:cs="宋体"/>
          <w:b/>
          <w:color w:val="auto"/>
          <w:kern w:val="0"/>
          <w:szCs w:val="21"/>
          <w:highlight w:val="none"/>
          <w:u w:val="single"/>
        </w:rPr>
        <w:t>要求”即可，也可进一步说明响应的具体内容。</w:t>
      </w:r>
      <w:r>
        <w:rPr>
          <w:rFonts w:hint="eastAsia" w:ascii="宋体" w:hAnsi="宋体" w:eastAsia="宋体" w:cs="宋体"/>
          <w:b/>
          <w:color w:val="auto"/>
          <w:kern w:val="0"/>
          <w:szCs w:val="21"/>
          <w:highlight w:val="none"/>
          <w:u w:val="single"/>
          <w:lang w:eastAsia="zh-CN"/>
        </w:rPr>
        <w:t>供应商</w:t>
      </w:r>
      <w:r>
        <w:rPr>
          <w:rFonts w:hint="eastAsia" w:ascii="宋体" w:hAnsi="宋体" w:eastAsia="宋体" w:cs="宋体"/>
          <w:b/>
          <w:color w:val="auto"/>
          <w:kern w:val="0"/>
          <w:szCs w:val="21"/>
          <w:highlight w:val="none"/>
          <w:u w:val="single"/>
        </w:rPr>
        <w:t>可将反映</w:t>
      </w:r>
      <w:r>
        <w:rPr>
          <w:rFonts w:hint="eastAsia" w:ascii="宋体" w:hAnsi="宋体" w:eastAsia="宋体" w:cs="宋体"/>
          <w:b/>
          <w:color w:val="auto"/>
          <w:kern w:val="0"/>
          <w:szCs w:val="21"/>
          <w:highlight w:val="none"/>
          <w:u w:val="single"/>
          <w:lang w:val="en-US" w:eastAsia="zh-CN"/>
        </w:rPr>
        <w:t>服务能力</w:t>
      </w:r>
      <w:r>
        <w:rPr>
          <w:rFonts w:hint="eastAsia" w:ascii="宋体" w:hAnsi="宋体" w:eastAsia="宋体" w:cs="宋体"/>
          <w:b/>
          <w:color w:val="auto"/>
          <w:kern w:val="0"/>
          <w:szCs w:val="21"/>
          <w:highlight w:val="none"/>
          <w:u w:val="single"/>
        </w:rPr>
        <w:t>的技术支持资料作为本表的附件，并在本偏离表“对应证明材料页码”项内注明其在</w:t>
      </w:r>
      <w:r>
        <w:rPr>
          <w:rFonts w:hint="eastAsia" w:ascii="宋体" w:hAnsi="宋体" w:eastAsia="宋体" w:cs="宋体"/>
          <w:b/>
          <w:color w:val="auto"/>
          <w:kern w:val="0"/>
          <w:szCs w:val="21"/>
          <w:highlight w:val="none"/>
          <w:u w:val="single"/>
          <w:lang w:eastAsia="zh-CN"/>
        </w:rPr>
        <w:t>响应文件</w:t>
      </w:r>
      <w:r>
        <w:rPr>
          <w:rFonts w:hint="eastAsia" w:ascii="宋体" w:hAnsi="宋体" w:eastAsia="宋体" w:cs="宋体"/>
          <w:b/>
          <w:color w:val="auto"/>
          <w:kern w:val="0"/>
          <w:szCs w:val="21"/>
          <w:highlight w:val="none"/>
          <w:u w:val="single"/>
        </w:rPr>
        <w:t>中的具体页码。</w:t>
      </w:r>
    </w:p>
    <w:p w14:paraId="434B0A30">
      <w:pPr>
        <w:spacing w:line="400" w:lineRule="exact"/>
        <w:ind w:left="607" w:leftChars="18" w:hanging="569" w:hangingChars="270"/>
        <w:rPr>
          <w:rFonts w:hint="eastAsia" w:ascii="宋体" w:hAnsi="宋体" w:eastAsia="宋体" w:cs="宋体"/>
          <w:b/>
          <w:color w:val="auto"/>
          <w:kern w:val="0"/>
          <w:szCs w:val="21"/>
          <w:highlight w:val="none"/>
          <w:u w:val="single"/>
        </w:rPr>
      </w:pPr>
      <w:r>
        <w:rPr>
          <w:rFonts w:hint="eastAsia" w:ascii="宋体" w:hAnsi="宋体" w:eastAsia="宋体" w:cs="宋体"/>
          <w:b/>
          <w:color w:val="auto"/>
          <w:szCs w:val="21"/>
          <w:highlight w:val="none"/>
        </w:rPr>
        <w:t>（4）</w:t>
      </w:r>
      <w:r>
        <w:rPr>
          <w:rFonts w:hint="eastAsia" w:ascii="宋体" w:hAnsi="宋体" w:eastAsia="宋体" w:cs="宋体"/>
          <w:b/>
          <w:color w:val="auto"/>
          <w:kern w:val="0"/>
          <w:szCs w:val="21"/>
          <w:highlight w:val="none"/>
          <w:u w:val="single"/>
        </w:rPr>
        <w:t>凡标有“★”的地方均被视为重要的技术指标要求或性能要求。</w:t>
      </w:r>
      <w:r>
        <w:rPr>
          <w:rFonts w:hint="eastAsia" w:ascii="宋体" w:hAnsi="宋体" w:eastAsia="宋体" w:cs="宋体"/>
          <w:b/>
          <w:color w:val="auto"/>
          <w:kern w:val="0"/>
          <w:szCs w:val="21"/>
          <w:highlight w:val="none"/>
          <w:u w:val="single"/>
          <w:lang w:eastAsia="zh-CN"/>
        </w:rPr>
        <w:t>供应商</w:t>
      </w:r>
      <w:r>
        <w:rPr>
          <w:rFonts w:hint="eastAsia" w:ascii="宋体" w:hAnsi="宋体" w:eastAsia="宋体" w:cs="宋体"/>
          <w:b/>
          <w:color w:val="auto"/>
          <w:kern w:val="0"/>
          <w:szCs w:val="21"/>
          <w:highlight w:val="none"/>
          <w:u w:val="single"/>
        </w:rPr>
        <w:t>要特别加以注意，必须对此回答并完全满足这些要求，否则若有一项带“★”的指标未响应或不满足，将按无效</w:t>
      </w:r>
      <w:r>
        <w:rPr>
          <w:rFonts w:hint="eastAsia" w:ascii="宋体" w:hAnsi="宋体" w:eastAsia="宋体" w:cs="宋体"/>
          <w:b/>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rPr>
        <w:t>处</w:t>
      </w:r>
      <w:r>
        <w:rPr>
          <w:rFonts w:hint="eastAsia" w:ascii="宋体" w:hAnsi="宋体" w:eastAsia="宋体" w:cs="宋体"/>
          <w:b/>
          <w:bCs w:val="0"/>
          <w:color w:val="auto"/>
          <w:kern w:val="0"/>
          <w:szCs w:val="21"/>
          <w:highlight w:val="none"/>
          <w:u w:val="single"/>
        </w:rPr>
        <w:t>理</w:t>
      </w:r>
      <w:r>
        <w:rPr>
          <w:rFonts w:hint="eastAsia" w:ascii="宋体" w:hAnsi="宋体" w:eastAsia="宋体" w:cs="宋体"/>
          <w:b/>
          <w:bCs w:val="0"/>
          <w:color w:val="auto"/>
          <w:kern w:val="0"/>
          <w:sz w:val="24"/>
          <w:szCs w:val="21"/>
          <w:highlight w:val="none"/>
          <w:u w:val="single"/>
          <w:lang w:val="zh-CN"/>
        </w:rPr>
        <w:t>。</w:t>
      </w:r>
    </w:p>
    <w:p w14:paraId="50AC81E0">
      <w:pPr>
        <w:spacing w:line="400" w:lineRule="exact"/>
        <w:rPr>
          <w:rFonts w:hint="eastAsia" w:ascii="宋体" w:hAnsi="宋体" w:eastAsia="宋体" w:cs="宋体"/>
          <w:color w:val="auto"/>
          <w:szCs w:val="21"/>
          <w:highlight w:val="none"/>
        </w:rPr>
      </w:pPr>
    </w:p>
    <w:p w14:paraId="3C480577">
      <w:pPr>
        <w:autoSpaceDE/>
        <w:autoSpaceDN/>
        <w:adjustRightInd w:val="0"/>
        <w:spacing w:line="40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w:t>
      </w:r>
      <w:r>
        <w:rPr>
          <w:rFonts w:hint="eastAsia" w:ascii="宋体" w:hAnsi="宋体" w:eastAsia="宋体" w:cs="宋体"/>
          <w:color w:val="auto"/>
          <w:szCs w:val="21"/>
          <w:highlight w:val="none"/>
          <w:lang w:val="zh-CN"/>
        </w:rPr>
        <w:t>加盖供应商法人公章</w:t>
      </w:r>
      <w:r>
        <w:rPr>
          <w:rFonts w:hint="eastAsia" w:ascii="宋体" w:hAnsi="宋体" w:eastAsia="宋体" w:cs="宋体"/>
          <w:color w:val="auto"/>
          <w:kern w:val="0"/>
          <w:szCs w:val="21"/>
          <w:highlight w:val="none"/>
        </w:rPr>
        <w:t>）</w:t>
      </w:r>
    </w:p>
    <w:p w14:paraId="24BC2527">
      <w:pPr>
        <w:autoSpaceDE/>
        <w:autoSpaceDN/>
        <w:adjustRightInd w:val="0"/>
        <w:spacing w:line="400" w:lineRule="exact"/>
        <w:ind w:left="15" w:leftChars="-50" w:hanging="1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日  期：   年  月  日</w:t>
      </w:r>
    </w:p>
    <w:p w14:paraId="24ADA5CA">
      <w:pPr>
        <w:keepNext w:val="0"/>
        <w:keepLines w:val="0"/>
        <w:pageBreakBefore/>
        <w:widowControl w:val="0"/>
        <w:tabs>
          <w:tab w:val="left" w:pos="567"/>
        </w:tabs>
        <w:kinsoku/>
        <w:wordWrap/>
        <w:overflowPunct/>
        <w:topLinePunct w:val="0"/>
        <w:autoSpaceDE w:val="0"/>
        <w:autoSpaceDN w:val="0"/>
        <w:bidi w:val="0"/>
        <w:adjustRightInd w:val="0"/>
        <w:snapToGrid/>
        <w:spacing w:line="360" w:lineRule="auto"/>
        <w:jc w:val="left"/>
        <w:textAlignment w:val="auto"/>
        <w:outlineLvl w:val="2"/>
        <w:rPr>
          <w:rFonts w:hint="eastAsia" w:ascii="宋体" w:hAnsi="宋体" w:eastAsia="宋体" w:cs="宋体"/>
          <w:b/>
          <w:color w:val="auto"/>
          <w:kern w:val="0"/>
          <w:sz w:val="30"/>
          <w:szCs w:val="30"/>
          <w:highlight w:val="none"/>
          <w:lang w:val="en-US" w:eastAsia="zh-CN"/>
        </w:rPr>
      </w:pPr>
      <w:bookmarkStart w:id="691" w:name="_Toc1286897276"/>
      <w:bookmarkStart w:id="692" w:name="_Toc30545"/>
      <w:bookmarkStart w:id="693" w:name="_Toc282"/>
      <w:bookmarkStart w:id="694" w:name="_Toc18180"/>
      <w:bookmarkStart w:id="695" w:name="_Toc3750"/>
      <w:r>
        <w:rPr>
          <w:rFonts w:hint="eastAsia" w:ascii="宋体" w:hAnsi="宋体" w:eastAsia="宋体" w:cs="宋体"/>
          <w:b/>
          <w:color w:val="auto"/>
          <w:kern w:val="0"/>
          <w:sz w:val="30"/>
          <w:szCs w:val="30"/>
          <w:highlight w:val="none"/>
          <w:lang w:val="en-US" w:eastAsia="zh-CN"/>
        </w:rPr>
        <w:t>12.2 应急预案和保障措施</w:t>
      </w:r>
      <w:bookmarkEnd w:id="691"/>
    </w:p>
    <w:p w14:paraId="7840D17D">
      <w:pPr>
        <w:keepNext w:val="0"/>
        <w:keepLines w:val="0"/>
        <w:pageBreakBefore/>
        <w:widowControl w:val="0"/>
        <w:tabs>
          <w:tab w:val="left" w:pos="567"/>
        </w:tabs>
        <w:kinsoku/>
        <w:wordWrap/>
        <w:overflowPunct/>
        <w:topLinePunct w:val="0"/>
        <w:autoSpaceDE w:val="0"/>
        <w:autoSpaceDN w:val="0"/>
        <w:bidi w:val="0"/>
        <w:adjustRightInd w:val="0"/>
        <w:snapToGrid/>
        <w:spacing w:line="360" w:lineRule="auto"/>
        <w:jc w:val="left"/>
        <w:textAlignment w:val="auto"/>
        <w:outlineLvl w:val="2"/>
        <w:rPr>
          <w:rFonts w:hint="eastAsia" w:ascii="宋体" w:hAnsi="宋体" w:eastAsia="宋体" w:cs="宋体"/>
          <w:b/>
          <w:color w:val="auto"/>
          <w:kern w:val="0"/>
          <w:sz w:val="30"/>
          <w:szCs w:val="30"/>
          <w:highlight w:val="none"/>
        </w:rPr>
      </w:pPr>
      <w:bookmarkStart w:id="696" w:name="_Toc330329122"/>
      <w:r>
        <w:rPr>
          <w:rFonts w:hint="eastAsia" w:ascii="宋体" w:hAnsi="宋体" w:eastAsia="宋体" w:cs="宋体"/>
          <w:b/>
          <w:color w:val="auto"/>
          <w:kern w:val="0"/>
          <w:sz w:val="30"/>
          <w:szCs w:val="30"/>
          <w:highlight w:val="none"/>
          <w:lang w:val="en-US" w:eastAsia="zh-CN"/>
        </w:rPr>
        <w:t xml:space="preserve">12.3 </w:t>
      </w:r>
      <w:r>
        <w:rPr>
          <w:rFonts w:hint="eastAsia" w:ascii="宋体" w:hAnsi="宋体" w:eastAsia="宋体" w:cs="宋体"/>
          <w:b/>
          <w:color w:val="auto"/>
          <w:kern w:val="0"/>
          <w:sz w:val="30"/>
          <w:szCs w:val="30"/>
          <w:highlight w:val="none"/>
          <w:lang w:eastAsia="zh-CN"/>
        </w:rPr>
        <w:t>供应商</w:t>
      </w:r>
      <w:r>
        <w:rPr>
          <w:rFonts w:hint="eastAsia" w:ascii="宋体" w:hAnsi="宋体" w:eastAsia="宋体" w:cs="宋体"/>
          <w:b/>
          <w:color w:val="auto"/>
          <w:kern w:val="0"/>
          <w:sz w:val="30"/>
          <w:szCs w:val="30"/>
          <w:highlight w:val="none"/>
        </w:rPr>
        <w:t>认为有必要提供的其它材料（不做强制要求）</w:t>
      </w:r>
      <w:bookmarkEnd w:id="692"/>
      <w:bookmarkEnd w:id="693"/>
      <w:bookmarkEnd w:id="694"/>
      <w:bookmarkEnd w:id="695"/>
      <w:bookmarkEnd w:id="696"/>
    </w:p>
    <w:p w14:paraId="1B14AF52">
      <w:pPr>
        <w:pStyle w:val="2"/>
        <w:rPr>
          <w:rFonts w:hint="eastAsia"/>
        </w:rPr>
      </w:pPr>
    </w:p>
    <w:p w14:paraId="29645DDE">
      <w:pPr>
        <w:rPr>
          <w:color w:val="auto"/>
          <w:highlight w:val="none"/>
        </w:rPr>
      </w:pPr>
      <w:r>
        <w:rPr>
          <w:rFonts w:hint="eastAsia" w:ascii="宋体" w:hAnsi="宋体" w:eastAsia="宋体" w:cs="宋体"/>
          <w:b/>
          <w:color w:val="auto"/>
          <w:kern w:val="0"/>
          <w:sz w:val="30"/>
          <w:szCs w:val="30"/>
          <w:highlight w:val="none"/>
          <w:lang w:val="en-US" w:eastAsia="zh-CN"/>
        </w:rPr>
        <w:br w:type="page"/>
      </w:r>
    </w:p>
    <w:p w14:paraId="1BA8BCF9">
      <w:pPr>
        <w:tabs>
          <w:tab w:val="left" w:pos="1080"/>
        </w:tabs>
        <w:autoSpaceDE w:val="0"/>
        <w:autoSpaceDN w:val="0"/>
        <w:adjustRightInd w:val="0"/>
        <w:spacing w:line="360" w:lineRule="auto"/>
        <w:ind w:firstLine="643" w:firstLineChars="200"/>
        <w:jc w:val="left"/>
        <w:outlineLvl w:val="0"/>
        <w:rPr>
          <w:rFonts w:hint="eastAsia" w:ascii="宋体" w:hAnsi="宋体" w:eastAsia="宋体" w:cs="宋体"/>
          <w:b/>
          <w:bCs/>
          <w:color w:val="auto"/>
          <w:kern w:val="44"/>
          <w:sz w:val="32"/>
          <w:szCs w:val="32"/>
          <w:highlight w:val="none"/>
          <w:lang w:val="zh-CN"/>
        </w:rPr>
      </w:pPr>
      <w:bookmarkStart w:id="697" w:name="_Toc479593042"/>
      <w:r>
        <w:rPr>
          <w:rFonts w:hint="eastAsia" w:ascii="宋体" w:hAnsi="宋体" w:eastAsia="宋体" w:cs="宋体"/>
          <w:b/>
          <w:bCs/>
          <w:color w:val="auto"/>
          <w:kern w:val="44"/>
          <w:sz w:val="32"/>
          <w:szCs w:val="32"/>
          <w:highlight w:val="none"/>
          <w:lang w:val="zh-CN"/>
        </w:rPr>
        <w:t>附件一：评审工作大纲</w:t>
      </w:r>
      <w:bookmarkEnd w:id="679"/>
      <w:bookmarkEnd w:id="680"/>
      <w:bookmarkEnd w:id="681"/>
      <w:bookmarkEnd w:id="697"/>
    </w:p>
    <w:p w14:paraId="6F4C63AC">
      <w:pPr>
        <w:autoSpaceDE w:val="0"/>
        <w:autoSpaceDN w:val="0"/>
        <w:adjustRightInd w:val="0"/>
        <w:spacing w:line="400" w:lineRule="atLeast"/>
        <w:jc w:val="center"/>
        <w:rPr>
          <w:rFonts w:hint="eastAsia" w:ascii="宋体" w:hAnsi="宋体" w:eastAsia="宋体" w:cs="宋体"/>
          <w:b/>
          <w:bCs/>
          <w:color w:val="auto"/>
          <w:szCs w:val="21"/>
          <w:highlight w:val="none"/>
        </w:rPr>
      </w:pPr>
    </w:p>
    <w:p w14:paraId="1B7B2ACB">
      <w:pPr>
        <w:autoSpaceDE w:val="0"/>
        <w:autoSpaceDN w:val="0"/>
        <w:adjustRightInd w:val="0"/>
        <w:spacing w:line="400" w:lineRule="atLeast"/>
        <w:jc w:val="center"/>
        <w:rPr>
          <w:rFonts w:hint="eastAsia" w:ascii="宋体" w:hAnsi="宋体" w:eastAsia="宋体" w:cs="宋体"/>
          <w:b/>
          <w:bCs/>
          <w:color w:val="auto"/>
          <w:szCs w:val="21"/>
          <w:highlight w:val="none"/>
        </w:rPr>
      </w:pPr>
    </w:p>
    <w:p w14:paraId="37479767">
      <w:pPr>
        <w:autoSpaceDE w:val="0"/>
        <w:autoSpaceDN w:val="0"/>
        <w:adjustRightInd w:val="0"/>
        <w:spacing w:line="400" w:lineRule="atLeast"/>
        <w:jc w:val="center"/>
        <w:rPr>
          <w:rFonts w:hint="eastAsia" w:ascii="宋体" w:hAnsi="宋体" w:eastAsia="宋体" w:cs="宋体"/>
          <w:b/>
          <w:bCs/>
          <w:color w:val="auto"/>
          <w:szCs w:val="21"/>
          <w:highlight w:val="none"/>
        </w:rPr>
      </w:pPr>
    </w:p>
    <w:p w14:paraId="42703A04">
      <w:pPr>
        <w:autoSpaceDE w:val="0"/>
        <w:autoSpaceDN w:val="0"/>
        <w:adjustRightInd w:val="0"/>
        <w:spacing w:line="400" w:lineRule="atLeast"/>
        <w:jc w:val="center"/>
        <w:rPr>
          <w:rFonts w:hint="eastAsia" w:ascii="宋体" w:hAnsi="宋体" w:eastAsia="宋体" w:cs="宋体"/>
          <w:b/>
          <w:bCs/>
          <w:color w:val="auto"/>
          <w:szCs w:val="21"/>
          <w:highlight w:val="none"/>
        </w:rPr>
      </w:pPr>
    </w:p>
    <w:p w14:paraId="11A50539">
      <w:pPr>
        <w:autoSpaceDE w:val="0"/>
        <w:autoSpaceDN w:val="0"/>
        <w:adjustRightInd w:val="0"/>
        <w:spacing w:line="360" w:lineRule="auto"/>
        <w:jc w:val="center"/>
        <w:rPr>
          <w:rFonts w:hint="eastAsia" w:ascii="宋体" w:hAnsi="宋体" w:eastAsia="宋体" w:cs="宋体"/>
          <w:b/>
          <w:bCs/>
          <w:color w:val="auto"/>
          <w:sz w:val="44"/>
          <w:szCs w:val="44"/>
          <w:highlight w:val="none"/>
          <w:lang w:eastAsia="zh-CN"/>
        </w:rPr>
      </w:pPr>
      <w:r>
        <w:rPr>
          <w:rFonts w:hint="eastAsia" w:ascii="宋体" w:hAnsi="宋体" w:eastAsia="宋体" w:cs="宋体"/>
          <w:b/>
          <w:bCs/>
          <w:color w:val="auto"/>
          <w:sz w:val="44"/>
          <w:szCs w:val="44"/>
          <w:highlight w:val="none"/>
          <w:lang w:eastAsia="zh-CN"/>
        </w:rPr>
        <w:t>东莞市污泥集中处理处置项目过渡期废盐处置服务采购项目</w:t>
      </w:r>
    </w:p>
    <w:p w14:paraId="485FC3CC">
      <w:pPr>
        <w:autoSpaceDE w:val="0"/>
        <w:autoSpaceDN w:val="0"/>
        <w:adjustRightInd w:val="0"/>
        <w:spacing w:line="360" w:lineRule="auto"/>
        <w:jc w:val="center"/>
        <w:rPr>
          <w:rFonts w:hint="eastAsia" w:ascii="宋体" w:hAnsi="宋体" w:eastAsia="宋体" w:cs="宋体"/>
          <w:b/>
          <w:bCs/>
          <w:color w:val="auto"/>
          <w:sz w:val="36"/>
          <w:szCs w:val="36"/>
          <w:highlight w:val="none"/>
        </w:rPr>
      </w:pPr>
      <w:bookmarkStart w:id="698" w:name="_Toc14752_WPSOffice_Level1"/>
      <w:r>
        <w:rPr>
          <w:rFonts w:hint="eastAsia" w:ascii="宋体" w:hAnsi="宋体" w:eastAsia="宋体" w:cs="宋体"/>
          <w:b/>
          <w:bCs/>
          <w:color w:val="auto"/>
          <w:sz w:val="36"/>
          <w:szCs w:val="36"/>
          <w:highlight w:val="none"/>
          <w:lang w:val="zh-CN"/>
        </w:rPr>
        <w:t>（采购编号：03-05-04A-2026-D-F-E24868）</w:t>
      </w:r>
      <w:bookmarkEnd w:id="698"/>
    </w:p>
    <w:p w14:paraId="2E977638">
      <w:pPr>
        <w:autoSpaceDE w:val="0"/>
        <w:autoSpaceDN w:val="0"/>
        <w:adjustRightInd w:val="0"/>
        <w:spacing w:line="400" w:lineRule="atLeast"/>
        <w:jc w:val="center"/>
        <w:rPr>
          <w:rFonts w:hint="eastAsia" w:ascii="宋体" w:hAnsi="宋体" w:eastAsia="宋体" w:cs="宋体"/>
          <w:b/>
          <w:bCs/>
          <w:color w:val="auto"/>
          <w:sz w:val="36"/>
          <w:szCs w:val="36"/>
          <w:highlight w:val="none"/>
        </w:rPr>
      </w:pPr>
    </w:p>
    <w:p w14:paraId="28FF7277">
      <w:pPr>
        <w:autoSpaceDE w:val="0"/>
        <w:autoSpaceDN w:val="0"/>
        <w:adjustRightInd w:val="0"/>
        <w:spacing w:line="400" w:lineRule="atLeast"/>
        <w:jc w:val="center"/>
        <w:rPr>
          <w:rFonts w:hint="eastAsia" w:ascii="宋体" w:hAnsi="宋体" w:eastAsia="宋体" w:cs="宋体"/>
          <w:b/>
          <w:bCs/>
          <w:color w:val="auto"/>
          <w:sz w:val="36"/>
          <w:szCs w:val="36"/>
          <w:highlight w:val="none"/>
        </w:rPr>
      </w:pPr>
    </w:p>
    <w:p w14:paraId="7CF5DA20">
      <w:pPr>
        <w:autoSpaceDE w:val="0"/>
        <w:autoSpaceDN w:val="0"/>
        <w:adjustRightInd w:val="0"/>
        <w:spacing w:line="400" w:lineRule="atLeast"/>
        <w:jc w:val="center"/>
        <w:rPr>
          <w:rFonts w:hint="eastAsia" w:ascii="宋体" w:hAnsi="宋体" w:eastAsia="宋体" w:cs="宋体"/>
          <w:b/>
          <w:bCs/>
          <w:color w:val="auto"/>
          <w:sz w:val="36"/>
          <w:szCs w:val="36"/>
          <w:highlight w:val="none"/>
        </w:rPr>
      </w:pPr>
    </w:p>
    <w:p w14:paraId="797F37A0">
      <w:pPr>
        <w:autoSpaceDE w:val="0"/>
        <w:autoSpaceDN w:val="0"/>
        <w:adjustRightInd w:val="0"/>
        <w:spacing w:line="400" w:lineRule="atLeast"/>
        <w:jc w:val="center"/>
        <w:rPr>
          <w:rFonts w:hint="eastAsia" w:ascii="宋体" w:hAnsi="宋体" w:eastAsia="宋体" w:cs="宋体"/>
          <w:b/>
          <w:bCs/>
          <w:color w:val="auto"/>
          <w:sz w:val="36"/>
          <w:szCs w:val="36"/>
          <w:highlight w:val="none"/>
        </w:rPr>
      </w:pPr>
    </w:p>
    <w:p w14:paraId="7D9C50A1">
      <w:pPr>
        <w:autoSpaceDE w:val="0"/>
        <w:autoSpaceDN w:val="0"/>
        <w:adjustRightInd w:val="0"/>
        <w:spacing w:line="400" w:lineRule="atLeast"/>
        <w:jc w:val="center"/>
        <w:rPr>
          <w:rFonts w:hint="eastAsia" w:ascii="宋体" w:hAnsi="宋体" w:eastAsia="宋体" w:cs="宋体"/>
          <w:b/>
          <w:bCs/>
          <w:color w:val="auto"/>
          <w:sz w:val="72"/>
          <w:szCs w:val="72"/>
          <w:highlight w:val="none"/>
          <w:lang w:val="zh-CN"/>
        </w:rPr>
      </w:pPr>
      <w:bookmarkStart w:id="699" w:name="_Toc18947_WPSOffice_Level2"/>
      <w:r>
        <w:rPr>
          <w:rFonts w:hint="eastAsia" w:ascii="宋体" w:hAnsi="宋体" w:eastAsia="宋体" w:cs="宋体"/>
          <w:b/>
          <w:bCs/>
          <w:color w:val="auto"/>
          <w:sz w:val="72"/>
          <w:szCs w:val="72"/>
          <w:highlight w:val="none"/>
          <w:lang w:val="zh-CN"/>
        </w:rPr>
        <w:t>评审工作大纲</w:t>
      </w:r>
      <w:bookmarkEnd w:id="699"/>
    </w:p>
    <w:p w14:paraId="2D377EA9">
      <w:pPr>
        <w:autoSpaceDE w:val="0"/>
        <w:autoSpaceDN w:val="0"/>
        <w:adjustRightInd w:val="0"/>
        <w:spacing w:line="400" w:lineRule="atLeast"/>
        <w:jc w:val="center"/>
        <w:rPr>
          <w:rFonts w:hint="eastAsia" w:ascii="宋体" w:hAnsi="宋体" w:eastAsia="宋体" w:cs="宋体"/>
          <w:b/>
          <w:bCs/>
          <w:color w:val="auto"/>
          <w:sz w:val="36"/>
          <w:szCs w:val="36"/>
          <w:highlight w:val="none"/>
        </w:rPr>
      </w:pPr>
    </w:p>
    <w:p w14:paraId="06867ADE">
      <w:pPr>
        <w:autoSpaceDE w:val="0"/>
        <w:autoSpaceDN w:val="0"/>
        <w:adjustRightInd w:val="0"/>
        <w:spacing w:line="400" w:lineRule="atLeast"/>
        <w:rPr>
          <w:rFonts w:hint="eastAsia" w:ascii="宋体" w:hAnsi="宋体" w:eastAsia="宋体" w:cs="宋体"/>
          <w:b/>
          <w:bCs/>
          <w:color w:val="auto"/>
          <w:sz w:val="36"/>
          <w:szCs w:val="36"/>
          <w:highlight w:val="none"/>
        </w:rPr>
      </w:pPr>
    </w:p>
    <w:p w14:paraId="48A1B567">
      <w:pPr>
        <w:autoSpaceDE w:val="0"/>
        <w:autoSpaceDN w:val="0"/>
        <w:adjustRightInd w:val="0"/>
        <w:spacing w:line="400" w:lineRule="atLeast"/>
        <w:jc w:val="center"/>
        <w:rPr>
          <w:rFonts w:hint="eastAsia" w:ascii="宋体" w:hAnsi="宋体" w:eastAsia="宋体" w:cs="宋体"/>
          <w:b/>
          <w:bCs/>
          <w:color w:val="auto"/>
          <w:sz w:val="36"/>
          <w:szCs w:val="36"/>
          <w:highlight w:val="none"/>
        </w:rPr>
      </w:pPr>
    </w:p>
    <w:p w14:paraId="01CD0C4A">
      <w:pPr>
        <w:autoSpaceDE w:val="0"/>
        <w:autoSpaceDN w:val="0"/>
        <w:adjustRightInd w:val="0"/>
        <w:spacing w:line="400" w:lineRule="atLeast"/>
        <w:jc w:val="center"/>
        <w:rPr>
          <w:rFonts w:hint="eastAsia" w:ascii="宋体" w:hAnsi="宋体" w:eastAsia="宋体" w:cs="宋体"/>
          <w:b/>
          <w:bCs/>
          <w:color w:val="auto"/>
          <w:sz w:val="36"/>
          <w:szCs w:val="36"/>
          <w:highlight w:val="none"/>
        </w:rPr>
      </w:pPr>
    </w:p>
    <w:p w14:paraId="5321B9F9">
      <w:pPr>
        <w:autoSpaceDE w:val="0"/>
        <w:autoSpaceDN w:val="0"/>
        <w:adjustRightInd w:val="0"/>
        <w:spacing w:line="400" w:lineRule="atLeast"/>
        <w:jc w:val="center"/>
        <w:rPr>
          <w:rFonts w:hint="eastAsia" w:ascii="宋体" w:hAnsi="宋体" w:eastAsia="宋体" w:cs="宋体"/>
          <w:b/>
          <w:bCs/>
          <w:color w:val="auto"/>
          <w:sz w:val="36"/>
          <w:szCs w:val="36"/>
          <w:highlight w:val="none"/>
        </w:rPr>
      </w:pPr>
    </w:p>
    <w:p w14:paraId="24929982">
      <w:pPr>
        <w:autoSpaceDE w:val="0"/>
        <w:autoSpaceDN w:val="0"/>
        <w:adjustRightInd w:val="0"/>
        <w:spacing w:line="400" w:lineRule="atLeast"/>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lang w:val="zh-CN"/>
        </w:rPr>
        <w:t>公诚管理咨询有限公司</w:t>
      </w:r>
    </w:p>
    <w:p w14:paraId="1CD1A2DB">
      <w:pPr>
        <w:autoSpaceDE w:val="0"/>
        <w:autoSpaceDN w:val="0"/>
        <w:adjustRightInd w:val="0"/>
        <w:spacing w:line="400" w:lineRule="atLeast"/>
        <w:jc w:val="center"/>
        <w:rPr>
          <w:rFonts w:hint="eastAsia" w:ascii="宋体" w:hAnsi="宋体" w:eastAsia="宋体" w:cs="宋体"/>
          <w:b/>
          <w:bCs/>
          <w:color w:val="auto"/>
          <w:sz w:val="36"/>
          <w:szCs w:val="36"/>
          <w:highlight w:val="none"/>
        </w:rPr>
      </w:pPr>
    </w:p>
    <w:p w14:paraId="32C238DE">
      <w:pPr>
        <w:autoSpaceDE w:val="0"/>
        <w:autoSpaceDN w:val="0"/>
        <w:adjustRightInd w:val="0"/>
        <w:spacing w:line="400" w:lineRule="atLeast"/>
        <w:jc w:val="center"/>
        <w:rPr>
          <w:rFonts w:hint="eastAsia" w:ascii="宋体" w:hAnsi="宋体" w:eastAsia="宋体" w:cs="宋体"/>
          <w:b/>
          <w:bCs/>
          <w:color w:val="auto"/>
          <w:sz w:val="36"/>
          <w:szCs w:val="36"/>
          <w:highlight w:val="none"/>
        </w:rPr>
      </w:pPr>
      <w:r>
        <w:rPr>
          <w:rFonts w:hint="eastAsia" w:ascii="宋体" w:hAnsi="宋体" w:eastAsia="宋体" w:cs="宋体"/>
          <w:color w:val="auto"/>
          <w:sz w:val="44"/>
          <w:szCs w:val="44"/>
          <w:highlight w:val="none"/>
        </w:rPr>
        <w:br w:type="page"/>
      </w:r>
      <w:bookmarkStart w:id="700" w:name="_Toc32395_WPSOffice_Level1"/>
      <w:r>
        <w:rPr>
          <w:rFonts w:hint="eastAsia" w:ascii="宋体" w:hAnsi="宋体" w:eastAsia="宋体" w:cs="宋体"/>
          <w:b/>
          <w:bCs/>
          <w:color w:val="auto"/>
          <w:sz w:val="36"/>
          <w:szCs w:val="36"/>
          <w:highlight w:val="none"/>
          <w:lang w:val="zh-CN"/>
        </w:rPr>
        <w:t>目录</w:t>
      </w:r>
      <w:bookmarkEnd w:id="700"/>
    </w:p>
    <w:p w14:paraId="571FDB2F">
      <w:pPr>
        <w:autoSpaceDE w:val="0"/>
        <w:autoSpaceDN w:val="0"/>
        <w:adjustRightInd w:val="0"/>
        <w:spacing w:line="400" w:lineRule="atLeast"/>
        <w:jc w:val="center"/>
        <w:rPr>
          <w:rFonts w:hint="eastAsia" w:ascii="宋体" w:hAnsi="宋体" w:eastAsia="宋体" w:cs="宋体"/>
          <w:color w:val="auto"/>
          <w:sz w:val="44"/>
          <w:szCs w:val="44"/>
          <w:highlight w:val="none"/>
        </w:rPr>
      </w:pPr>
    </w:p>
    <w:p w14:paraId="7DEF9FB5">
      <w:pPr>
        <w:autoSpaceDE w:val="0"/>
        <w:autoSpaceDN w:val="0"/>
        <w:adjustRightInd w:val="0"/>
        <w:spacing w:line="360" w:lineRule="auto"/>
        <w:ind w:left="567" w:hanging="567"/>
        <w:rPr>
          <w:rFonts w:hint="eastAsia" w:ascii="宋体" w:hAnsi="宋体" w:eastAsia="宋体" w:cs="宋体"/>
          <w:color w:val="auto"/>
          <w:szCs w:val="30"/>
          <w:highlight w:val="none"/>
        </w:rPr>
      </w:pPr>
      <w:bookmarkStart w:id="701" w:name="_Toc21604_WPSOffice_Level1"/>
      <w:r>
        <w:rPr>
          <w:rFonts w:hint="eastAsia" w:ascii="宋体" w:hAnsi="宋体" w:eastAsia="宋体" w:cs="宋体"/>
          <w:color w:val="auto"/>
          <w:szCs w:val="30"/>
          <w:highlight w:val="none"/>
          <w:lang w:val="zh-CN"/>
        </w:rPr>
        <w:t>一、</w:t>
      </w:r>
      <w:r>
        <w:rPr>
          <w:rFonts w:hint="eastAsia" w:ascii="宋体" w:hAnsi="宋体" w:eastAsia="宋体" w:cs="宋体"/>
          <w:color w:val="auto"/>
          <w:szCs w:val="30"/>
          <w:highlight w:val="none"/>
          <w:lang w:val="zh-CN"/>
        </w:rPr>
        <w:tab/>
      </w:r>
      <w:r>
        <w:rPr>
          <w:rFonts w:hint="eastAsia" w:ascii="宋体" w:hAnsi="宋体" w:eastAsia="宋体" w:cs="宋体"/>
          <w:color w:val="auto"/>
          <w:szCs w:val="30"/>
          <w:highlight w:val="none"/>
          <w:lang w:val="zh-CN"/>
        </w:rPr>
        <w:t>总则</w:t>
      </w:r>
      <w:bookmarkEnd w:id="701"/>
    </w:p>
    <w:p w14:paraId="41479346">
      <w:pPr>
        <w:autoSpaceDE w:val="0"/>
        <w:autoSpaceDN w:val="0"/>
        <w:adjustRightInd w:val="0"/>
        <w:spacing w:line="360" w:lineRule="auto"/>
        <w:ind w:left="567" w:hanging="567"/>
        <w:rPr>
          <w:rFonts w:hint="eastAsia" w:ascii="宋体" w:hAnsi="宋体" w:eastAsia="宋体" w:cs="宋体"/>
          <w:color w:val="auto"/>
          <w:szCs w:val="30"/>
          <w:highlight w:val="none"/>
        </w:rPr>
      </w:pPr>
      <w:bookmarkStart w:id="702" w:name="_Toc1387_WPSOffice_Level1"/>
      <w:r>
        <w:rPr>
          <w:rFonts w:hint="eastAsia" w:ascii="宋体" w:hAnsi="宋体" w:eastAsia="宋体" w:cs="宋体"/>
          <w:color w:val="auto"/>
          <w:szCs w:val="30"/>
          <w:highlight w:val="none"/>
          <w:lang w:val="zh-CN"/>
        </w:rPr>
        <w:t>二、</w:t>
      </w:r>
      <w:r>
        <w:rPr>
          <w:rFonts w:hint="eastAsia" w:ascii="宋体" w:hAnsi="宋体" w:eastAsia="宋体" w:cs="宋体"/>
          <w:color w:val="auto"/>
          <w:szCs w:val="30"/>
          <w:highlight w:val="none"/>
          <w:lang w:val="zh-CN"/>
        </w:rPr>
        <w:tab/>
      </w:r>
      <w:r>
        <w:rPr>
          <w:rFonts w:hint="eastAsia" w:ascii="宋体" w:hAnsi="宋体" w:eastAsia="宋体" w:cs="宋体"/>
          <w:color w:val="auto"/>
          <w:szCs w:val="30"/>
          <w:highlight w:val="none"/>
          <w:lang w:val="zh-CN"/>
        </w:rPr>
        <w:t>响应文件的初审</w:t>
      </w:r>
      <w:bookmarkEnd w:id="702"/>
    </w:p>
    <w:p w14:paraId="6A6A43AF">
      <w:pPr>
        <w:autoSpaceDE w:val="0"/>
        <w:autoSpaceDN w:val="0"/>
        <w:adjustRightInd w:val="0"/>
        <w:spacing w:line="360" w:lineRule="auto"/>
        <w:ind w:left="567" w:hanging="567"/>
        <w:rPr>
          <w:rFonts w:hint="eastAsia" w:ascii="宋体" w:hAnsi="宋体" w:eastAsia="宋体" w:cs="宋体"/>
          <w:color w:val="auto"/>
          <w:szCs w:val="30"/>
          <w:highlight w:val="none"/>
        </w:rPr>
      </w:pPr>
      <w:bookmarkStart w:id="703" w:name="_Toc30284_WPSOffice_Level1"/>
      <w:r>
        <w:rPr>
          <w:rFonts w:hint="eastAsia" w:ascii="宋体" w:hAnsi="宋体" w:eastAsia="宋体" w:cs="宋体"/>
          <w:color w:val="auto"/>
          <w:szCs w:val="30"/>
          <w:highlight w:val="none"/>
          <w:lang w:val="zh-CN"/>
        </w:rPr>
        <w:t>三、</w:t>
      </w:r>
      <w:r>
        <w:rPr>
          <w:rFonts w:hint="eastAsia" w:ascii="宋体" w:hAnsi="宋体" w:eastAsia="宋体" w:cs="宋体"/>
          <w:color w:val="auto"/>
          <w:szCs w:val="30"/>
          <w:highlight w:val="none"/>
          <w:lang w:val="zh-CN"/>
        </w:rPr>
        <w:tab/>
      </w:r>
      <w:r>
        <w:rPr>
          <w:rFonts w:hint="eastAsia" w:ascii="宋体" w:hAnsi="宋体" w:eastAsia="宋体" w:cs="宋体"/>
          <w:color w:val="auto"/>
          <w:szCs w:val="30"/>
          <w:highlight w:val="none"/>
          <w:lang w:val="zh-CN"/>
        </w:rPr>
        <w:t>澄清有关问题</w:t>
      </w:r>
      <w:bookmarkEnd w:id="703"/>
    </w:p>
    <w:p w14:paraId="6D4E9873">
      <w:pPr>
        <w:autoSpaceDE w:val="0"/>
        <w:autoSpaceDN w:val="0"/>
        <w:adjustRightInd w:val="0"/>
        <w:spacing w:line="360" w:lineRule="auto"/>
        <w:ind w:left="567" w:hanging="567"/>
        <w:rPr>
          <w:rFonts w:hint="eastAsia" w:ascii="宋体" w:hAnsi="宋体" w:eastAsia="宋体" w:cs="宋体"/>
          <w:color w:val="auto"/>
          <w:szCs w:val="30"/>
          <w:highlight w:val="none"/>
        </w:rPr>
      </w:pPr>
      <w:bookmarkStart w:id="704" w:name="_Toc1206_WPSOffice_Level1"/>
      <w:r>
        <w:rPr>
          <w:rFonts w:hint="eastAsia" w:ascii="宋体" w:hAnsi="宋体" w:eastAsia="宋体" w:cs="宋体"/>
          <w:color w:val="auto"/>
          <w:szCs w:val="30"/>
          <w:highlight w:val="none"/>
        </w:rPr>
        <w:t>四、 比较和评价</w:t>
      </w:r>
      <w:bookmarkEnd w:id="704"/>
    </w:p>
    <w:p w14:paraId="4FF287CC">
      <w:pPr>
        <w:autoSpaceDE w:val="0"/>
        <w:autoSpaceDN w:val="0"/>
        <w:adjustRightInd w:val="0"/>
        <w:spacing w:line="360" w:lineRule="auto"/>
        <w:ind w:left="567" w:hanging="567"/>
        <w:rPr>
          <w:rFonts w:hint="eastAsia" w:ascii="宋体" w:hAnsi="宋体" w:eastAsia="宋体" w:cs="宋体"/>
          <w:color w:val="auto"/>
          <w:szCs w:val="30"/>
          <w:highlight w:val="none"/>
        </w:rPr>
      </w:pPr>
      <w:bookmarkStart w:id="705" w:name="_Toc12163_WPSOffice_Level1"/>
      <w:r>
        <w:rPr>
          <w:rFonts w:hint="eastAsia" w:ascii="宋体" w:hAnsi="宋体" w:eastAsia="宋体" w:cs="宋体"/>
          <w:color w:val="auto"/>
          <w:szCs w:val="30"/>
          <w:highlight w:val="none"/>
          <w:lang w:val="zh-CN"/>
        </w:rPr>
        <w:t>五、</w:t>
      </w:r>
      <w:r>
        <w:rPr>
          <w:rFonts w:hint="eastAsia" w:ascii="宋体" w:hAnsi="宋体" w:eastAsia="宋体" w:cs="宋体"/>
          <w:color w:val="auto"/>
          <w:szCs w:val="30"/>
          <w:highlight w:val="none"/>
          <w:lang w:val="zh-CN"/>
        </w:rPr>
        <w:tab/>
      </w:r>
      <w:r>
        <w:rPr>
          <w:rFonts w:hint="eastAsia" w:ascii="宋体" w:hAnsi="宋体" w:eastAsia="宋体" w:cs="宋体"/>
          <w:color w:val="auto"/>
          <w:szCs w:val="30"/>
          <w:highlight w:val="none"/>
          <w:lang w:val="zh-CN"/>
        </w:rPr>
        <w:t>推荐</w:t>
      </w:r>
      <w:r>
        <w:rPr>
          <w:rFonts w:hint="eastAsia" w:ascii="宋体" w:hAnsi="宋体" w:eastAsia="宋体" w:cs="宋体"/>
          <w:color w:val="auto"/>
          <w:szCs w:val="30"/>
          <w:highlight w:val="none"/>
          <w:lang w:val="en-US" w:eastAsia="zh-CN"/>
        </w:rPr>
        <w:t>成交</w:t>
      </w:r>
      <w:r>
        <w:rPr>
          <w:rFonts w:hint="eastAsia" w:ascii="宋体" w:hAnsi="宋体" w:eastAsia="宋体" w:cs="宋体"/>
          <w:color w:val="auto"/>
          <w:szCs w:val="30"/>
          <w:highlight w:val="none"/>
          <w:lang w:val="zh-CN"/>
        </w:rPr>
        <w:t>人</w:t>
      </w:r>
      <w:bookmarkEnd w:id="705"/>
    </w:p>
    <w:p w14:paraId="6005578E">
      <w:pPr>
        <w:autoSpaceDE w:val="0"/>
        <w:autoSpaceDN w:val="0"/>
        <w:adjustRightInd w:val="0"/>
        <w:spacing w:line="360" w:lineRule="auto"/>
        <w:ind w:left="567" w:hanging="567"/>
        <w:rPr>
          <w:rFonts w:hint="eastAsia" w:ascii="宋体" w:hAnsi="宋体" w:eastAsia="宋体" w:cs="宋体"/>
          <w:color w:val="auto"/>
          <w:szCs w:val="30"/>
          <w:highlight w:val="none"/>
        </w:rPr>
      </w:pPr>
      <w:bookmarkStart w:id="706" w:name="_Toc366_WPSOffice_Level1"/>
      <w:r>
        <w:rPr>
          <w:rFonts w:hint="eastAsia" w:ascii="宋体" w:hAnsi="宋体" w:eastAsia="宋体" w:cs="宋体"/>
          <w:color w:val="auto"/>
          <w:szCs w:val="30"/>
          <w:highlight w:val="none"/>
          <w:lang w:val="zh-CN"/>
        </w:rPr>
        <w:t>六、</w:t>
      </w:r>
      <w:r>
        <w:rPr>
          <w:rFonts w:hint="eastAsia" w:ascii="宋体" w:hAnsi="宋体" w:eastAsia="宋体" w:cs="宋体"/>
          <w:color w:val="auto"/>
          <w:szCs w:val="30"/>
          <w:highlight w:val="none"/>
          <w:lang w:val="zh-CN"/>
        </w:rPr>
        <w:tab/>
      </w:r>
      <w:r>
        <w:rPr>
          <w:rFonts w:hint="eastAsia" w:ascii="宋体" w:hAnsi="宋体" w:eastAsia="宋体" w:cs="宋体"/>
          <w:color w:val="auto"/>
          <w:szCs w:val="30"/>
          <w:highlight w:val="none"/>
          <w:lang w:val="zh-CN"/>
        </w:rPr>
        <w:t>编写评审报告</w:t>
      </w:r>
      <w:bookmarkEnd w:id="706"/>
    </w:p>
    <w:p w14:paraId="36429A22">
      <w:pPr>
        <w:autoSpaceDE w:val="0"/>
        <w:autoSpaceDN w:val="0"/>
        <w:adjustRightInd w:val="0"/>
        <w:spacing w:line="360" w:lineRule="auto"/>
        <w:ind w:left="567" w:hanging="567"/>
        <w:rPr>
          <w:rFonts w:hint="eastAsia" w:ascii="宋体" w:hAnsi="宋体" w:eastAsia="宋体" w:cs="宋体"/>
          <w:color w:val="auto"/>
          <w:szCs w:val="30"/>
          <w:highlight w:val="none"/>
        </w:rPr>
      </w:pPr>
      <w:bookmarkStart w:id="707" w:name="_Toc22378_WPSOffice_Level1"/>
      <w:r>
        <w:rPr>
          <w:rFonts w:hint="eastAsia" w:ascii="宋体" w:hAnsi="宋体" w:eastAsia="宋体" w:cs="宋体"/>
          <w:color w:val="auto"/>
          <w:szCs w:val="30"/>
          <w:highlight w:val="none"/>
          <w:lang w:val="zh-CN"/>
        </w:rPr>
        <w:t>七、</w:t>
      </w:r>
      <w:r>
        <w:rPr>
          <w:rFonts w:hint="eastAsia" w:ascii="宋体" w:hAnsi="宋体" w:eastAsia="宋体" w:cs="宋体"/>
          <w:color w:val="auto"/>
          <w:szCs w:val="30"/>
          <w:highlight w:val="none"/>
          <w:lang w:val="zh-CN"/>
        </w:rPr>
        <w:tab/>
      </w:r>
      <w:r>
        <w:rPr>
          <w:rFonts w:hint="eastAsia" w:ascii="宋体" w:hAnsi="宋体" w:eastAsia="宋体" w:cs="宋体"/>
          <w:color w:val="auto"/>
          <w:szCs w:val="30"/>
          <w:highlight w:val="none"/>
          <w:lang w:val="zh-CN"/>
        </w:rPr>
        <w:t>注意事项</w:t>
      </w:r>
      <w:bookmarkEnd w:id="707"/>
    </w:p>
    <w:p w14:paraId="490D8DDD">
      <w:pPr>
        <w:tabs>
          <w:tab w:val="right" w:pos="7320"/>
        </w:tabs>
        <w:autoSpaceDE w:val="0"/>
        <w:autoSpaceDN w:val="0"/>
        <w:adjustRightInd w:val="0"/>
        <w:spacing w:line="360" w:lineRule="auto"/>
        <w:ind w:left="720" w:hanging="720"/>
        <w:rPr>
          <w:rFonts w:hint="eastAsia" w:ascii="宋体" w:hAnsi="宋体" w:eastAsia="宋体" w:cs="宋体"/>
          <w:color w:val="auto"/>
          <w:szCs w:val="30"/>
          <w:highlight w:val="none"/>
        </w:rPr>
      </w:pPr>
    </w:p>
    <w:p w14:paraId="28BD1939">
      <w:pPr>
        <w:tabs>
          <w:tab w:val="right" w:pos="7320"/>
        </w:tabs>
        <w:autoSpaceDE w:val="0"/>
        <w:autoSpaceDN w:val="0"/>
        <w:adjustRightInd w:val="0"/>
        <w:spacing w:line="360" w:lineRule="auto"/>
        <w:ind w:left="720" w:hanging="720"/>
        <w:rPr>
          <w:rFonts w:hint="eastAsia" w:ascii="宋体" w:hAnsi="宋体" w:eastAsia="宋体" w:cs="宋体"/>
          <w:color w:val="auto"/>
          <w:szCs w:val="30"/>
          <w:highlight w:val="none"/>
        </w:rPr>
      </w:pPr>
    </w:p>
    <w:p w14:paraId="62526685">
      <w:pPr>
        <w:tabs>
          <w:tab w:val="left" w:pos="1080"/>
          <w:tab w:val="right" w:pos="7320"/>
        </w:tabs>
        <w:autoSpaceDE w:val="0"/>
        <w:autoSpaceDN w:val="0"/>
        <w:adjustRightInd w:val="0"/>
        <w:spacing w:line="400" w:lineRule="atLeast"/>
        <w:ind w:left="720" w:hanging="720"/>
        <w:rPr>
          <w:rFonts w:hint="eastAsia" w:ascii="宋体" w:hAnsi="宋体" w:eastAsia="宋体" w:cs="宋体"/>
          <w:color w:val="auto"/>
          <w:szCs w:val="30"/>
          <w:highlight w:val="none"/>
        </w:rPr>
      </w:pPr>
    </w:p>
    <w:p w14:paraId="3DF3F9E7">
      <w:pPr>
        <w:tabs>
          <w:tab w:val="left" w:pos="1140"/>
        </w:tabs>
        <w:autoSpaceDE w:val="0"/>
        <w:autoSpaceDN w:val="0"/>
        <w:adjustRightIn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color w:val="auto"/>
          <w:sz w:val="30"/>
          <w:szCs w:val="30"/>
          <w:highlight w:val="none"/>
        </w:rPr>
        <w:br w:type="page"/>
      </w:r>
      <w:bookmarkStart w:id="708" w:name="_Toc27181_WPSOffice_Level1"/>
      <w:r>
        <w:rPr>
          <w:rFonts w:hint="eastAsia" w:ascii="宋体" w:hAnsi="宋体" w:eastAsia="宋体" w:cs="宋体"/>
          <w:color w:val="auto"/>
          <w:sz w:val="28"/>
          <w:szCs w:val="28"/>
          <w:highlight w:val="none"/>
          <w:lang w:val="zh-CN"/>
        </w:rPr>
        <w:t>一、</w:t>
      </w:r>
      <w:r>
        <w:rPr>
          <w:rFonts w:hint="eastAsia" w:ascii="宋体" w:hAnsi="宋体" w:eastAsia="宋体" w:cs="宋体"/>
          <w:b/>
          <w:bCs/>
          <w:color w:val="auto"/>
          <w:sz w:val="28"/>
          <w:szCs w:val="28"/>
          <w:highlight w:val="none"/>
          <w:lang w:val="zh-CN"/>
        </w:rPr>
        <w:t>总则</w:t>
      </w:r>
      <w:bookmarkEnd w:id="708"/>
    </w:p>
    <w:p w14:paraId="5164E215">
      <w:pPr>
        <w:tabs>
          <w:tab w:val="left" w:pos="567"/>
          <w:tab w:val="left" w:pos="600"/>
        </w:tabs>
        <w:autoSpaceDE w:val="0"/>
        <w:autoSpaceDN w:val="0"/>
        <w:adjustRightInd w:val="0"/>
        <w:spacing w:line="360" w:lineRule="auto"/>
        <w:ind w:left="600" w:hanging="600"/>
        <w:rPr>
          <w:rFonts w:hint="eastAsia" w:ascii="宋体" w:hAnsi="宋体" w:eastAsia="宋体" w:cs="宋体"/>
          <w:b/>
          <w:bCs/>
          <w:color w:val="auto"/>
          <w:szCs w:val="24"/>
          <w:highlight w:val="none"/>
          <w:lang w:val="zh-CN"/>
        </w:rPr>
      </w:pPr>
      <w:r>
        <w:rPr>
          <w:rFonts w:hint="eastAsia" w:ascii="宋体" w:hAnsi="宋体" w:eastAsia="宋体" w:cs="宋体"/>
          <w:b/>
          <w:bCs/>
          <w:color w:val="auto"/>
          <w:szCs w:val="24"/>
          <w:highlight w:val="none"/>
          <w:lang w:val="zh-CN"/>
        </w:rPr>
        <w:t>1、一般规定</w:t>
      </w:r>
    </w:p>
    <w:p w14:paraId="4614A755">
      <w:pPr>
        <w:autoSpaceDE w:val="0"/>
        <w:autoSpaceDN w:val="0"/>
        <w:adjustRightInd w:val="0"/>
        <w:spacing w:line="360" w:lineRule="auto"/>
        <w:ind w:left="567" w:hanging="567"/>
        <w:rPr>
          <w:rFonts w:hint="eastAsia" w:ascii="宋体" w:hAnsi="宋体" w:eastAsia="宋体" w:cs="宋体"/>
          <w:color w:val="auto"/>
          <w:kern w:val="0"/>
          <w:szCs w:val="32"/>
          <w:highlight w:val="none"/>
        </w:rPr>
      </w:pPr>
      <w:r>
        <w:rPr>
          <w:rFonts w:hint="eastAsia" w:ascii="宋体" w:hAnsi="宋体" w:eastAsia="宋体" w:cs="宋体"/>
          <w:color w:val="auto"/>
          <w:szCs w:val="21"/>
          <w:highlight w:val="none"/>
          <w:lang w:val="zh-CN"/>
        </w:rPr>
        <w:t>1.1</w:t>
      </w:r>
      <w:r>
        <w:rPr>
          <w:rFonts w:hint="eastAsia" w:ascii="宋体" w:hAnsi="宋体" w:eastAsia="宋体" w:cs="宋体"/>
          <w:color w:val="auto"/>
          <w:szCs w:val="21"/>
          <w:highlight w:val="none"/>
          <w:lang w:val="zh-CN"/>
        </w:rPr>
        <w:tab/>
      </w:r>
      <w:r>
        <w:rPr>
          <w:rFonts w:hint="eastAsia" w:ascii="宋体" w:hAnsi="宋体" w:eastAsia="宋体" w:cs="宋体"/>
          <w:color w:val="auto"/>
          <w:kern w:val="0"/>
          <w:szCs w:val="21"/>
          <w:highlight w:val="none"/>
          <w:lang w:eastAsia="zh-CN"/>
        </w:rPr>
        <w:t>东莞市污泥集中处理处置项目过渡期废盐处置服务采购项目</w:t>
      </w:r>
      <w:r>
        <w:rPr>
          <w:rFonts w:hint="eastAsia" w:ascii="宋体" w:hAnsi="宋体" w:eastAsia="宋体" w:cs="宋体"/>
          <w:color w:val="auto"/>
          <w:szCs w:val="21"/>
          <w:highlight w:val="none"/>
          <w:lang w:val="zh-CN"/>
        </w:rPr>
        <w:t>(采购编号：03-05-04A-2026-D-F-E24868</w:t>
      </w:r>
      <w:r>
        <w:rPr>
          <w:rFonts w:hint="eastAsia" w:ascii="宋体" w:hAnsi="宋体" w:eastAsia="宋体" w:cs="宋体"/>
          <w:color w:val="auto"/>
          <w:kern w:val="0"/>
          <w:szCs w:val="32"/>
          <w:highlight w:val="none"/>
        </w:rPr>
        <w:t>)的</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kern w:val="0"/>
          <w:szCs w:val="32"/>
          <w:highlight w:val="none"/>
        </w:rPr>
        <w:t>按照</w:t>
      </w:r>
      <w:r>
        <w:rPr>
          <w:rFonts w:hint="eastAsia" w:ascii="宋体" w:hAnsi="宋体" w:eastAsia="宋体" w:cs="宋体"/>
          <w:color w:val="auto"/>
          <w:kern w:val="0"/>
          <w:szCs w:val="32"/>
          <w:highlight w:val="none"/>
          <w:lang w:val="en-US" w:eastAsia="zh-CN"/>
        </w:rPr>
        <w:t>采购人</w:t>
      </w:r>
      <w:r>
        <w:rPr>
          <w:rFonts w:hint="eastAsia" w:ascii="宋体" w:hAnsi="宋体" w:eastAsia="宋体" w:cs="宋体"/>
          <w:color w:val="auto"/>
          <w:kern w:val="0"/>
          <w:szCs w:val="32"/>
          <w:highlight w:val="none"/>
        </w:rPr>
        <w:t>采购管理制度组织实施</w:t>
      </w:r>
      <w:r>
        <w:rPr>
          <w:rFonts w:hint="eastAsia" w:ascii="宋体" w:hAnsi="宋体" w:eastAsia="宋体" w:cs="宋体"/>
          <w:color w:val="auto"/>
          <w:kern w:val="0"/>
          <w:szCs w:val="32"/>
          <w:highlight w:val="none"/>
          <w:lang w:eastAsia="zh-CN"/>
        </w:rPr>
        <w:t>，</w:t>
      </w:r>
      <w:r>
        <w:rPr>
          <w:rFonts w:hint="eastAsia" w:ascii="宋体" w:hAnsi="宋体" w:eastAsia="宋体" w:cs="宋体"/>
          <w:color w:val="auto"/>
          <w:kern w:val="0"/>
          <w:szCs w:val="32"/>
          <w:highlight w:val="none"/>
          <w:lang w:val="en-US" w:eastAsia="zh-CN"/>
        </w:rPr>
        <w:t>评审工作依据本次询比文件</w:t>
      </w:r>
      <w:r>
        <w:rPr>
          <w:rFonts w:hint="eastAsia" w:ascii="宋体" w:hAnsi="宋体" w:eastAsia="宋体" w:cs="宋体"/>
          <w:color w:val="auto"/>
          <w:kern w:val="0"/>
          <w:szCs w:val="32"/>
          <w:highlight w:val="none"/>
        </w:rPr>
        <w:t>有关规定进行。</w:t>
      </w:r>
    </w:p>
    <w:p w14:paraId="6F70D5F8">
      <w:pPr>
        <w:autoSpaceDE w:val="0"/>
        <w:autoSpaceDN w:val="0"/>
        <w:adjustRightInd w:val="0"/>
        <w:spacing w:line="360" w:lineRule="auto"/>
        <w:ind w:left="567" w:hanging="5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1.2</w:t>
      </w:r>
      <w:r>
        <w:rPr>
          <w:rFonts w:hint="eastAsia" w:ascii="宋体" w:hAnsi="宋体" w:eastAsia="宋体" w:cs="宋体"/>
          <w:color w:val="auto"/>
          <w:szCs w:val="24"/>
          <w:highlight w:val="none"/>
          <w:lang w:val="zh-CN"/>
        </w:rPr>
        <w:tab/>
      </w:r>
      <w:r>
        <w:rPr>
          <w:rFonts w:hint="eastAsia" w:ascii="宋体" w:hAnsi="宋体" w:eastAsia="宋体" w:cs="宋体"/>
          <w:color w:val="auto"/>
          <w:szCs w:val="24"/>
          <w:highlight w:val="none"/>
          <w:lang w:val="zh-CN"/>
        </w:rPr>
        <w:t>评审必须遵循公平、公正、诚实信用的原则。</w:t>
      </w:r>
    </w:p>
    <w:p w14:paraId="053AB1FC">
      <w:pPr>
        <w:autoSpaceDE w:val="0"/>
        <w:autoSpaceDN w:val="0"/>
        <w:adjustRightInd w:val="0"/>
        <w:spacing w:line="360" w:lineRule="auto"/>
        <w:ind w:left="567" w:hanging="5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1.3</w:t>
      </w:r>
      <w:r>
        <w:rPr>
          <w:rFonts w:hint="eastAsia" w:ascii="宋体" w:hAnsi="宋体" w:eastAsia="宋体" w:cs="宋体"/>
          <w:color w:val="auto"/>
          <w:szCs w:val="24"/>
          <w:highlight w:val="none"/>
          <w:lang w:val="zh-CN"/>
        </w:rPr>
        <w:tab/>
      </w:r>
      <w:r>
        <w:rPr>
          <w:rFonts w:hint="eastAsia" w:ascii="宋体" w:hAnsi="宋体" w:eastAsia="宋体" w:cs="宋体"/>
          <w:color w:val="auto"/>
          <w:szCs w:val="24"/>
          <w:highlight w:val="none"/>
          <w:lang w:val="zh-CN"/>
        </w:rPr>
        <w:t>采购代理机构</w:t>
      </w:r>
      <w:r>
        <w:rPr>
          <w:rFonts w:hint="eastAsia" w:ascii="宋体" w:hAnsi="宋体" w:eastAsia="宋体" w:cs="宋体"/>
          <w:color w:val="auto"/>
          <w:kern w:val="0"/>
          <w:szCs w:val="32"/>
          <w:highlight w:val="none"/>
        </w:rPr>
        <w:t>(</w:t>
      </w:r>
      <w:r>
        <w:rPr>
          <w:rFonts w:hint="eastAsia" w:ascii="宋体" w:hAnsi="宋体" w:eastAsia="宋体" w:cs="宋体"/>
          <w:color w:val="auto"/>
          <w:kern w:val="0"/>
          <w:szCs w:val="32"/>
          <w:highlight w:val="none"/>
          <w:lang w:eastAsia="zh-CN"/>
        </w:rPr>
        <w:t>公诚管理咨询有限公司</w:t>
      </w:r>
      <w:r>
        <w:rPr>
          <w:rFonts w:hint="eastAsia" w:ascii="宋体" w:hAnsi="宋体" w:eastAsia="宋体" w:cs="宋体"/>
          <w:color w:val="auto"/>
          <w:kern w:val="0"/>
          <w:szCs w:val="32"/>
          <w:highlight w:val="none"/>
        </w:rPr>
        <w:t>）组</w:t>
      </w:r>
      <w:r>
        <w:rPr>
          <w:rFonts w:hint="eastAsia" w:ascii="宋体" w:hAnsi="宋体" w:eastAsia="宋体" w:cs="宋体"/>
          <w:color w:val="auto"/>
          <w:szCs w:val="24"/>
          <w:highlight w:val="none"/>
          <w:lang w:val="zh-CN"/>
        </w:rPr>
        <w:t>织评审工作，全过程接受采购人及相关部门的监督、管理和指导。</w:t>
      </w:r>
    </w:p>
    <w:p w14:paraId="1C438181">
      <w:pPr>
        <w:autoSpaceDE w:val="0"/>
        <w:autoSpaceDN w:val="0"/>
        <w:adjustRightInd w:val="0"/>
        <w:spacing w:line="360" w:lineRule="auto"/>
        <w:ind w:left="567" w:hanging="5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1.4</w:t>
      </w:r>
      <w:r>
        <w:rPr>
          <w:rFonts w:hint="eastAsia" w:ascii="宋体" w:hAnsi="宋体" w:eastAsia="宋体" w:cs="宋体"/>
          <w:color w:val="auto"/>
          <w:szCs w:val="24"/>
          <w:highlight w:val="none"/>
          <w:lang w:val="zh-CN"/>
        </w:rPr>
        <w:tab/>
      </w:r>
      <w:r>
        <w:rPr>
          <w:rFonts w:hint="eastAsia" w:ascii="宋体" w:hAnsi="宋体" w:eastAsia="宋体" w:cs="宋体"/>
          <w:color w:val="auto"/>
          <w:szCs w:val="24"/>
          <w:highlight w:val="none"/>
          <w:lang w:val="zh-CN"/>
        </w:rPr>
        <w:t>评审按照询比文件规定的内容进行，采取综合评分</w:t>
      </w:r>
      <w:r>
        <w:rPr>
          <w:rFonts w:hint="eastAsia" w:ascii="宋体" w:hAnsi="宋体" w:eastAsia="宋体" w:cs="宋体"/>
          <w:color w:val="auto"/>
          <w:szCs w:val="21"/>
          <w:highlight w:val="none"/>
        </w:rPr>
        <w:t>法进行评审</w:t>
      </w:r>
      <w:r>
        <w:rPr>
          <w:rFonts w:hint="eastAsia" w:ascii="宋体" w:hAnsi="宋体" w:eastAsia="宋体" w:cs="宋体"/>
          <w:color w:val="auto"/>
          <w:szCs w:val="24"/>
          <w:highlight w:val="none"/>
          <w:lang w:val="zh-CN"/>
        </w:rPr>
        <w:t>。</w:t>
      </w:r>
    </w:p>
    <w:p w14:paraId="7535E6D4">
      <w:pPr>
        <w:numPr>
          <w:ilvl w:val="1"/>
          <w:numId w:val="6"/>
        </w:numPr>
        <w:autoSpaceDE w:val="0"/>
        <w:autoSpaceDN w:val="0"/>
        <w:adjustRightInd w:val="0"/>
        <w:spacing w:line="360" w:lineRule="auto"/>
        <w:ind w:left="565" w:hanging="564" w:hangingChars="269"/>
        <w:jc w:val="left"/>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en-US" w:eastAsia="zh-CN"/>
        </w:rPr>
        <w:t xml:space="preserve"> </w:t>
      </w:r>
      <w:r>
        <w:rPr>
          <w:rFonts w:hint="eastAsia" w:ascii="宋体" w:hAnsi="宋体" w:eastAsia="宋体" w:cs="宋体"/>
          <w:color w:val="auto"/>
          <w:szCs w:val="24"/>
          <w:highlight w:val="none"/>
          <w:lang w:val="zh-CN"/>
        </w:rPr>
        <w:t>本办法的评审对象是指供应商按照询比文件要求提供的有效响应文件，包括供应商应评审委员会要求对原响应文件作出的正式书面澄清文件。</w:t>
      </w:r>
    </w:p>
    <w:p w14:paraId="35D69820">
      <w:pPr>
        <w:autoSpaceDE w:val="0"/>
        <w:autoSpaceDN w:val="0"/>
        <w:adjustRightInd w:val="0"/>
        <w:spacing w:line="360" w:lineRule="auto"/>
        <w:rPr>
          <w:rFonts w:hint="eastAsia" w:ascii="宋体" w:hAnsi="宋体" w:eastAsia="宋体" w:cs="宋体"/>
          <w:color w:val="auto"/>
          <w:sz w:val="24"/>
          <w:szCs w:val="24"/>
          <w:highlight w:val="none"/>
          <w:lang w:val="zh-CN"/>
        </w:rPr>
      </w:pPr>
    </w:p>
    <w:p w14:paraId="3B2126F0">
      <w:pPr>
        <w:tabs>
          <w:tab w:val="left" w:pos="360"/>
          <w:tab w:val="left" w:pos="600"/>
        </w:tabs>
        <w:autoSpaceDE w:val="0"/>
        <w:autoSpaceDN w:val="0"/>
        <w:adjustRightInd w:val="0"/>
        <w:spacing w:line="360" w:lineRule="auto"/>
        <w:ind w:left="600" w:hanging="600"/>
        <w:rPr>
          <w:rFonts w:hint="eastAsia" w:ascii="宋体" w:hAnsi="宋体" w:eastAsia="宋体" w:cs="宋体"/>
          <w:b/>
          <w:bCs/>
          <w:color w:val="auto"/>
          <w:szCs w:val="24"/>
          <w:highlight w:val="none"/>
          <w:lang w:val="zh-CN"/>
        </w:rPr>
      </w:pPr>
      <w:r>
        <w:rPr>
          <w:rFonts w:hint="eastAsia" w:ascii="宋体" w:hAnsi="宋体" w:eastAsia="宋体" w:cs="宋体"/>
          <w:b/>
          <w:bCs/>
          <w:color w:val="auto"/>
          <w:szCs w:val="24"/>
          <w:highlight w:val="none"/>
          <w:lang w:val="zh-CN"/>
        </w:rPr>
        <w:t>2、</w:t>
      </w:r>
      <w:r>
        <w:rPr>
          <w:rFonts w:hint="eastAsia" w:ascii="宋体" w:hAnsi="宋体" w:eastAsia="宋体" w:cs="宋体"/>
          <w:b/>
          <w:bCs/>
          <w:color w:val="auto"/>
          <w:szCs w:val="24"/>
          <w:highlight w:val="none"/>
          <w:lang w:val="zh-CN"/>
        </w:rPr>
        <w:tab/>
      </w:r>
      <w:r>
        <w:rPr>
          <w:rFonts w:hint="eastAsia" w:ascii="宋体" w:hAnsi="宋体" w:eastAsia="宋体" w:cs="宋体"/>
          <w:b/>
          <w:bCs/>
          <w:color w:val="auto"/>
          <w:szCs w:val="24"/>
          <w:highlight w:val="none"/>
          <w:lang w:val="zh-CN"/>
        </w:rPr>
        <w:t>评审组织机构的组成</w:t>
      </w:r>
    </w:p>
    <w:p w14:paraId="5AD25A0F">
      <w:pPr>
        <w:tabs>
          <w:tab w:val="left" w:pos="567"/>
          <w:tab w:val="left" w:pos="1145"/>
        </w:tabs>
        <w:autoSpaceDE w:val="0"/>
        <w:autoSpaceDN w:val="0"/>
        <w:adjustRightInd w:val="0"/>
        <w:spacing w:line="360" w:lineRule="auto"/>
        <w:ind w:left="600" w:hanging="6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2.1</w:t>
      </w:r>
      <w:r>
        <w:rPr>
          <w:rFonts w:hint="eastAsia" w:ascii="宋体" w:hAnsi="宋体" w:eastAsia="宋体" w:cs="宋体"/>
          <w:color w:val="auto"/>
          <w:szCs w:val="24"/>
          <w:highlight w:val="none"/>
          <w:lang w:val="zh-CN"/>
        </w:rPr>
        <w:tab/>
      </w:r>
      <w:r>
        <w:rPr>
          <w:rFonts w:hint="eastAsia" w:ascii="宋体" w:hAnsi="宋体" w:eastAsia="宋体" w:cs="宋体"/>
          <w:color w:val="auto"/>
          <w:szCs w:val="24"/>
          <w:highlight w:val="none"/>
          <w:lang w:val="zh-CN"/>
        </w:rPr>
        <w:t>评审委员会</w:t>
      </w:r>
      <w:r>
        <w:rPr>
          <w:rFonts w:hint="eastAsia" w:ascii="宋体" w:hAnsi="宋体" w:eastAsia="宋体" w:cs="宋体"/>
          <w:color w:val="auto"/>
          <w:kern w:val="0"/>
          <w:szCs w:val="24"/>
          <w:highlight w:val="none"/>
        </w:rPr>
        <w:t>由</w:t>
      </w:r>
      <w:r>
        <w:rPr>
          <w:rFonts w:hint="eastAsia" w:ascii="宋体" w:hAnsi="宋体" w:eastAsia="宋体" w:cs="宋体"/>
          <w:color w:val="auto"/>
          <w:kern w:val="0"/>
          <w:szCs w:val="24"/>
          <w:highlight w:val="none"/>
          <w:lang w:eastAsia="zh-CN"/>
        </w:rPr>
        <w:t>采购人</w:t>
      </w:r>
      <w:r>
        <w:rPr>
          <w:rFonts w:hint="eastAsia" w:ascii="宋体" w:hAnsi="宋体" w:eastAsia="宋体" w:cs="宋体"/>
          <w:color w:val="auto"/>
          <w:kern w:val="0"/>
          <w:szCs w:val="24"/>
          <w:highlight w:val="none"/>
        </w:rPr>
        <w:t>和技术、经济等方面的专家组成，成员为</w:t>
      </w:r>
      <w:r>
        <w:rPr>
          <w:rFonts w:hint="eastAsia" w:ascii="宋体" w:hAnsi="宋体" w:eastAsia="宋体" w:cs="宋体"/>
          <w:b/>
          <w:bCs/>
          <w:color w:val="auto"/>
          <w:kern w:val="0"/>
          <w:szCs w:val="24"/>
          <w:highlight w:val="none"/>
        </w:rPr>
        <w:t>5人以上（含5人）单数</w:t>
      </w:r>
      <w:r>
        <w:rPr>
          <w:rFonts w:hint="eastAsia" w:ascii="宋体" w:hAnsi="宋体" w:eastAsia="宋体" w:cs="宋体"/>
          <w:color w:val="auto"/>
          <w:kern w:val="0"/>
          <w:szCs w:val="24"/>
          <w:highlight w:val="none"/>
        </w:rPr>
        <w:t>，其中技术、经济等方面的专家不少于成员总数的三分之二。</w:t>
      </w:r>
      <w:r>
        <w:rPr>
          <w:rFonts w:hint="eastAsia" w:ascii="宋体" w:hAnsi="宋体" w:eastAsia="宋体" w:cs="宋体"/>
          <w:color w:val="auto"/>
          <w:szCs w:val="24"/>
          <w:highlight w:val="none"/>
          <w:lang w:val="zh-CN"/>
        </w:rPr>
        <w:t>专家依法从</w:t>
      </w:r>
      <w:r>
        <w:rPr>
          <w:rFonts w:hint="eastAsia" w:ascii="宋体" w:hAnsi="宋体" w:eastAsia="宋体" w:cs="宋体"/>
          <w:color w:val="auto"/>
          <w:kern w:val="0"/>
          <w:szCs w:val="24"/>
          <w:highlight w:val="none"/>
        </w:rPr>
        <w:t>专家库中随机抽取产生。</w:t>
      </w:r>
    </w:p>
    <w:p w14:paraId="6D1B1B43">
      <w:pPr>
        <w:tabs>
          <w:tab w:val="left" w:pos="567"/>
          <w:tab w:val="left" w:pos="1145"/>
        </w:tabs>
        <w:autoSpaceDE w:val="0"/>
        <w:autoSpaceDN w:val="0"/>
        <w:adjustRightInd w:val="0"/>
        <w:spacing w:line="360" w:lineRule="auto"/>
        <w:ind w:left="600" w:hanging="6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2.2</w:t>
      </w:r>
      <w:r>
        <w:rPr>
          <w:rFonts w:hint="eastAsia" w:ascii="宋体" w:hAnsi="宋体" w:eastAsia="宋体" w:cs="宋体"/>
          <w:color w:val="auto"/>
          <w:szCs w:val="24"/>
          <w:highlight w:val="none"/>
          <w:lang w:val="zh-CN"/>
        </w:rPr>
        <w:tab/>
      </w:r>
      <w:r>
        <w:rPr>
          <w:rFonts w:hint="eastAsia" w:ascii="宋体" w:hAnsi="宋体" w:eastAsia="宋体" w:cs="宋体"/>
          <w:color w:val="auto"/>
          <w:szCs w:val="24"/>
          <w:highlight w:val="none"/>
          <w:lang w:val="zh-CN"/>
        </w:rPr>
        <w:t>评审工作组由采购人、采购代理机构及有关专家组成，由评审委员会确认，并接受其领导。</w:t>
      </w:r>
    </w:p>
    <w:p w14:paraId="40740A7D">
      <w:pPr>
        <w:autoSpaceDE w:val="0"/>
        <w:autoSpaceDN w:val="0"/>
        <w:adjustRightInd w:val="0"/>
        <w:spacing w:line="360" w:lineRule="auto"/>
        <w:ind w:left="600" w:hanging="6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2.3</w:t>
      </w:r>
      <w:r>
        <w:rPr>
          <w:rFonts w:hint="eastAsia" w:ascii="宋体" w:hAnsi="宋体" w:eastAsia="宋体" w:cs="宋体"/>
          <w:color w:val="auto"/>
          <w:szCs w:val="24"/>
          <w:highlight w:val="none"/>
          <w:lang w:val="zh-CN"/>
        </w:rPr>
        <w:tab/>
      </w:r>
      <w:r>
        <w:rPr>
          <w:rFonts w:hint="eastAsia" w:ascii="宋体" w:hAnsi="宋体" w:eastAsia="宋体" w:cs="宋体"/>
          <w:color w:val="auto"/>
          <w:szCs w:val="24"/>
          <w:highlight w:val="none"/>
          <w:lang w:val="zh-CN"/>
        </w:rPr>
        <w:t>评审工作组分成评审委员会、秘书组。</w:t>
      </w:r>
    </w:p>
    <w:p w14:paraId="0B7EA259">
      <w:pPr>
        <w:autoSpaceDE w:val="0"/>
        <w:autoSpaceDN w:val="0"/>
        <w:adjustRightInd w:val="0"/>
        <w:spacing w:line="360" w:lineRule="auto"/>
        <w:ind w:left="600" w:hanging="6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2.4</w:t>
      </w:r>
      <w:r>
        <w:rPr>
          <w:rFonts w:hint="eastAsia" w:ascii="宋体" w:hAnsi="宋体" w:eastAsia="宋体" w:cs="宋体"/>
          <w:color w:val="auto"/>
          <w:szCs w:val="24"/>
          <w:highlight w:val="none"/>
          <w:lang w:val="zh-CN"/>
        </w:rPr>
        <w:tab/>
      </w:r>
      <w:r>
        <w:rPr>
          <w:rFonts w:hint="eastAsia" w:ascii="宋体" w:hAnsi="宋体" w:eastAsia="宋体" w:cs="宋体"/>
          <w:color w:val="auto"/>
          <w:szCs w:val="24"/>
          <w:highlight w:val="none"/>
          <w:lang w:val="zh-CN"/>
        </w:rPr>
        <w:t>评审委员会应相对独立工作，负责评审、撰写评审报告。采购代理机构秘书组负责评审过程中资料的保管、发放及回收，协调技术和评审委员会评审工作的进展和整理、汇总评审资料及复核。</w:t>
      </w:r>
    </w:p>
    <w:p w14:paraId="7A0A3B6E">
      <w:pPr>
        <w:autoSpaceDE w:val="0"/>
        <w:autoSpaceDN w:val="0"/>
        <w:adjustRightInd w:val="0"/>
        <w:spacing w:line="360" w:lineRule="auto"/>
        <w:rPr>
          <w:rFonts w:hint="eastAsia" w:ascii="宋体" w:hAnsi="宋体" w:eastAsia="宋体" w:cs="宋体"/>
          <w:color w:val="auto"/>
          <w:sz w:val="24"/>
          <w:szCs w:val="24"/>
          <w:highlight w:val="none"/>
          <w:lang w:val="zh-CN"/>
        </w:rPr>
      </w:pPr>
    </w:p>
    <w:p w14:paraId="40504F69">
      <w:pPr>
        <w:autoSpaceDE w:val="0"/>
        <w:autoSpaceDN w:val="0"/>
        <w:adjustRightIn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b/>
          <w:color w:val="auto"/>
          <w:szCs w:val="21"/>
          <w:highlight w:val="none"/>
          <w:lang w:val="zh-CN"/>
        </w:rPr>
        <w:t>3、</w:t>
      </w:r>
      <w:r>
        <w:rPr>
          <w:rFonts w:hint="eastAsia" w:ascii="宋体" w:hAnsi="宋体" w:eastAsia="宋体" w:cs="宋体"/>
          <w:b/>
          <w:bCs/>
          <w:color w:val="auto"/>
          <w:szCs w:val="21"/>
          <w:highlight w:val="none"/>
          <w:lang w:val="zh-CN"/>
        </w:rPr>
        <w:t>评审</w:t>
      </w:r>
      <w:r>
        <w:rPr>
          <w:rFonts w:hint="eastAsia" w:ascii="宋体" w:hAnsi="宋体" w:eastAsia="宋体" w:cs="宋体"/>
          <w:b/>
          <w:bCs/>
          <w:color w:val="auto"/>
          <w:szCs w:val="24"/>
          <w:highlight w:val="none"/>
          <w:lang w:val="zh-CN"/>
        </w:rPr>
        <w:t>委员会职责</w:t>
      </w:r>
    </w:p>
    <w:p w14:paraId="743A1594">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3.1  审查响应文件是否符合询比文件要求，并作出评价；</w:t>
      </w:r>
    </w:p>
    <w:p w14:paraId="0FA15D9D">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3.2  要求供应商对响应文件有关事项作出解释或者澄清；</w:t>
      </w:r>
    </w:p>
    <w:p w14:paraId="4786088E">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3.3</w:t>
      </w:r>
      <w:r>
        <w:rPr>
          <w:rFonts w:hint="eastAsia" w:ascii="宋体" w:hAnsi="宋体" w:eastAsia="宋体" w:cs="宋体"/>
          <w:color w:val="auto"/>
          <w:kern w:val="0"/>
          <w:szCs w:val="24"/>
          <w:highlight w:val="none"/>
          <w:lang w:val="zh-CN"/>
        </w:rPr>
        <w:tab/>
      </w:r>
      <w:r>
        <w:rPr>
          <w:rFonts w:hint="eastAsia" w:ascii="宋体" w:hAnsi="宋体" w:eastAsia="宋体" w:cs="宋体"/>
          <w:color w:val="auto"/>
          <w:kern w:val="0"/>
          <w:szCs w:val="24"/>
          <w:highlight w:val="none"/>
          <w:lang w:val="zh-CN"/>
        </w:rPr>
        <w:t xml:space="preserve"> 推荐</w:t>
      </w:r>
      <w:r>
        <w:rPr>
          <w:rFonts w:hint="eastAsia" w:ascii="宋体" w:hAnsi="宋体" w:eastAsia="宋体" w:cs="宋体"/>
          <w:color w:val="auto"/>
          <w:kern w:val="0"/>
          <w:szCs w:val="24"/>
          <w:highlight w:val="none"/>
          <w:lang w:val="en-US" w:eastAsia="zh-CN"/>
        </w:rPr>
        <w:t>成交</w:t>
      </w:r>
      <w:r>
        <w:rPr>
          <w:rFonts w:hint="eastAsia" w:ascii="宋体" w:hAnsi="宋体" w:eastAsia="宋体" w:cs="宋体"/>
          <w:color w:val="auto"/>
          <w:kern w:val="0"/>
          <w:szCs w:val="24"/>
          <w:highlight w:val="none"/>
          <w:lang w:val="zh-CN"/>
        </w:rPr>
        <w:t>候选人名单及排序；</w:t>
      </w:r>
    </w:p>
    <w:p w14:paraId="217EC007">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3.4</w:t>
      </w:r>
      <w:r>
        <w:rPr>
          <w:rFonts w:hint="eastAsia" w:ascii="宋体" w:hAnsi="宋体" w:eastAsia="宋体" w:cs="宋体"/>
          <w:color w:val="auto"/>
          <w:kern w:val="0"/>
          <w:szCs w:val="24"/>
          <w:highlight w:val="none"/>
          <w:lang w:val="zh-CN"/>
        </w:rPr>
        <w:tab/>
      </w:r>
      <w:r>
        <w:rPr>
          <w:rFonts w:hint="eastAsia" w:ascii="宋体" w:hAnsi="宋体" w:eastAsia="宋体" w:cs="宋体"/>
          <w:color w:val="auto"/>
          <w:kern w:val="0"/>
          <w:szCs w:val="24"/>
          <w:highlight w:val="none"/>
          <w:lang w:val="zh-CN"/>
        </w:rPr>
        <w:t xml:space="preserve"> 向采购人、采购代理机构或者有关部门报告非法干预评审工作的行为。</w:t>
      </w:r>
    </w:p>
    <w:p w14:paraId="0F45A234">
      <w:pPr>
        <w:autoSpaceDE w:val="0"/>
        <w:autoSpaceDN w:val="0"/>
        <w:adjustRightInd w:val="0"/>
        <w:spacing w:line="360" w:lineRule="auto"/>
        <w:jc w:val="left"/>
        <w:rPr>
          <w:rFonts w:hint="eastAsia" w:ascii="宋体" w:hAnsi="宋体" w:eastAsia="宋体" w:cs="宋体"/>
          <w:color w:val="auto"/>
          <w:kern w:val="0"/>
          <w:sz w:val="24"/>
          <w:szCs w:val="24"/>
          <w:highlight w:val="none"/>
          <w:lang w:val="zh-CN"/>
        </w:rPr>
      </w:pPr>
    </w:p>
    <w:p w14:paraId="6A5CBE08">
      <w:pPr>
        <w:tabs>
          <w:tab w:val="left" w:pos="720"/>
        </w:tabs>
        <w:autoSpaceDE w:val="0"/>
        <w:autoSpaceDN w:val="0"/>
        <w:adjustRightInd w:val="0"/>
        <w:spacing w:line="360" w:lineRule="auto"/>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4、评审委员会义务</w:t>
      </w:r>
    </w:p>
    <w:p w14:paraId="32332617">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4.1  遵纪守法，客观、公正、廉洁地履行职责；</w:t>
      </w:r>
    </w:p>
    <w:p w14:paraId="23518273">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4.2  按照询比文件规定的评审方法和评审标准进行评审，对评审意见承担个人责任；</w:t>
      </w:r>
    </w:p>
    <w:p w14:paraId="2CF09833">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4.3  对评审过程和结果，以及供应商的商业秘密保密；</w:t>
      </w:r>
    </w:p>
    <w:p w14:paraId="4924FA6F">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4.4  参与评审报告的起草；</w:t>
      </w:r>
    </w:p>
    <w:p w14:paraId="217BBEF8">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4.5  配合有关部门的投诉处理工作；</w:t>
      </w:r>
    </w:p>
    <w:p w14:paraId="38E79454">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4.6  配合采购人、采购代理机构答复供应商提出的质疑、异议。</w:t>
      </w:r>
    </w:p>
    <w:p w14:paraId="347D5494">
      <w:pPr>
        <w:tabs>
          <w:tab w:val="left" w:pos="1547"/>
        </w:tabs>
        <w:autoSpaceDE w:val="0"/>
        <w:autoSpaceDN w:val="0"/>
        <w:adjustRightInd w:val="0"/>
        <w:spacing w:line="360" w:lineRule="auto"/>
        <w:rPr>
          <w:rFonts w:hint="eastAsia" w:ascii="宋体" w:hAnsi="宋体" w:eastAsia="宋体" w:cs="宋体"/>
          <w:b/>
          <w:color w:val="auto"/>
          <w:szCs w:val="24"/>
          <w:highlight w:val="none"/>
          <w:lang w:val="zh-CN"/>
        </w:rPr>
      </w:pPr>
      <w:r>
        <w:rPr>
          <w:rFonts w:hint="eastAsia" w:ascii="宋体" w:hAnsi="宋体" w:eastAsia="宋体" w:cs="宋体"/>
          <w:b/>
          <w:bCs/>
          <w:color w:val="auto"/>
          <w:szCs w:val="21"/>
          <w:highlight w:val="none"/>
          <w:lang w:val="zh-CN"/>
        </w:rPr>
        <w:t>5、评审程序</w:t>
      </w:r>
    </w:p>
    <w:p w14:paraId="37150FF9">
      <w:pPr>
        <w:autoSpaceDE w:val="0"/>
        <w:autoSpaceDN w:val="0"/>
        <w:adjustRightInd w:val="0"/>
        <w:spacing w:line="360" w:lineRule="auto"/>
        <w:ind w:left="567" w:hanging="567"/>
        <w:rPr>
          <w:rFonts w:hint="eastAsia" w:ascii="宋体" w:hAnsi="宋体" w:eastAsia="宋体" w:cs="宋体"/>
          <w:b/>
          <w:color w:val="auto"/>
          <w:szCs w:val="24"/>
          <w:highlight w:val="none"/>
          <w:lang w:val="zh-CN"/>
        </w:rPr>
      </w:pPr>
      <w:r>
        <w:rPr>
          <w:rFonts w:hint="eastAsia" w:ascii="宋体" w:hAnsi="宋体" w:eastAsia="宋体" w:cs="宋体"/>
          <w:b/>
          <w:color w:val="auto"/>
          <w:szCs w:val="24"/>
          <w:highlight w:val="none"/>
          <w:lang w:val="zh-CN"/>
        </w:rPr>
        <w:t>公开</w:t>
      </w:r>
      <w:r>
        <w:rPr>
          <w:rFonts w:hint="eastAsia" w:ascii="宋体" w:hAnsi="宋体" w:eastAsia="宋体" w:cs="宋体"/>
          <w:b/>
          <w:color w:val="auto"/>
          <w:szCs w:val="24"/>
          <w:highlight w:val="none"/>
          <w:lang w:val="en-US" w:eastAsia="zh-CN"/>
        </w:rPr>
        <w:t>询比</w:t>
      </w:r>
      <w:r>
        <w:rPr>
          <w:rFonts w:hint="eastAsia" w:ascii="宋体" w:hAnsi="宋体" w:eastAsia="宋体" w:cs="宋体"/>
          <w:b/>
          <w:color w:val="auto"/>
          <w:szCs w:val="24"/>
          <w:highlight w:val="none"/>
          <w:lang w:val="zh-CN"/>
        </w:rPr>
        <w:t>：</w:t>
      </w:r>
    </w:p>
    <w:p w14:paraId="6125FAB2">
      <w:pPr>
        <w:autoSpaceDE w:val="0"/>
        <w:autoSpaceDN w:val="0"/>
        <w:adjustRightInd w:val="0"/>
        <w:spacing w:line="360" w:lineRule="auto"/>
        <w:ind w:left="567" w:hanging="567"/>
        <w:rPr>
          <w:rFonts w:hint="eastAsia" w:ascii="宋体" w:hAnsi="宋体" w:eastAsia="宋体" w:cs="宋体"/>
          <w:bCs/>
          <w:color w:val="auto"/>
          <w:szCs w:val="24"/>
          <w:highlight w:val="none"/>
          <w:lang w:val="zh-CN"/>
        </w:rPr>
      </w:pPr>
      <w:r>
        <w:rPr>
          <w:rFonts w:hint="eastAsia" w:ascii="宋体" w:hAnsi="宋体" w:eastAsia="宋体" w:cs="宋体"/>
          <w:color w:val="auto"/>
          <w:szCs w:val="24"/>
          <w:highlight w:val="none"/>
          <w:lang w:val="zh-CN"/>
        </w:rPr>
        <w:t>5.1</w:t>
      </w:r>
      <w:r>
        <w:rPr>
          <w:rFonts w:hint="eastAsia" w:ascii="宋体" w:hAnsi="宋体" w:eastAsia="宋体" w:cs="宋体"/>
          <w:color w:val="auto"/>
          <w:szCs w:val="24"/>
          <w:highlight w:val="none"/>
          <w:lang w:val="zh-CN"/>
        </w:rPr>
        <w:tab/>
      </w:r>
      <w:r>
        <w:rPr>
          <w:rFonts w:hint="eastAsia" w:ascii="宋体" w:hAnsi="宋体" w:eastAsia="宋体" w:cs="宋体"/>
          <w:bCs/>
          <w:color w:val="auto"/>
          <w:szCs w:val="24"/>
          <w:highlight w:val="none"/>
          <w:lang w:val="zh-CN"/>
        </w:rPr>
        <w:t>评审首先由评审委员会对供应商的</w:t>
      </w:r>
      <w:r>
        <w:rPr>
          <w:rFonts w:hint="eastAsia" w:ascii="宋体" w:hAnsi="宋体" w:eastAsia="宋体" w:cs="宋体"/>
          <w:color w:val="auto"/>
          <w:szCs w:val="24"/>
          <w:highlight w:val="none"/>
          <w:lang w:val="zh-CN"/>
        </w:rPr>
        <w:t>响应文件</w:t>
      </w:r>
      <w:r>
        <w:rPr>
          <w:rFonts w:hint="eastAsia" w:ascii="宋体" w:hAnsi="宋体" w:eastAsia="宋体" w:cs="宋体"/>
          <w:bCs/>
          <w:color w:val="auto"/>
          <w:szCs w:val="24"/>
          <w:highlight w:val="none"/>
          <w:lang w:val="zh-CN"/>
        </w:rPr>
        <w:t>做初审，对未能通过初审的响应文件不再进入下一阶段评审。</w:t>
      </w:r>
    </w:p>
    <w:p w14:paraId="29455992">
      <w:pPr>
        <w:autoSpaceDE w:val="0"/>
        <w:autoSpaceDN w:val="0"/>
        <w:adjustRightInd w:val="0"/>
        <w:spacing w:line="360" w:lineRule="auto"/>
        <w:ind w:left="567" w:hanging="5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5.2</w:t>
      </w:r>
      <w:r>
        <w:rPr>
          <w:rFonts w:hint="eastAsia" w:ascii="宋体" w:hAnsi="宋体" w:eastAsia="宋体" w:cs="宋体"/>
          <w:color w:val="auto"/>
          <w:szCs w:val="24"/>
          <w:highlight w:val="none"/>
          <w:lang w:val="zh-CN"/>
        </w:rPr>
        <w:tab/>
      </w:r>
      <w:r>
        <w:rPr>
          <w:rFonts w:hint="eastAsia" w:ascii="宋体" w:hAnsi="宋体" w:eastAsia="宋体" w:cs="宋体"/>
          <w:bCs/>
          <w:color w:val="auto"/>
          <w:szCs w:val="24"/>
          <w:highlight w:val="none"/>
          <w:lang w:val="zh-CN"/>
        </w:rPr>
        <w:t>评审</w:t>
      </w:r>
      <w:r>
        <w:rPr>
          <w:rFonts w:hint="eastAsia" w:ascii="宋体" w:hAnsi="宋体" w:eastAsia="宋体" w:cs="宋体"/>
          <w:color w:val="auto"/>
          <w:szCs w:val="24"/>
          <w:highlight w:val="none"/>
          <w:lang w:val="zh-CN"/>
        </w:rPr>
        <w:t>委员会对通过初审的供应商的响应文件进行详细的比较和评价。如需要，进行必要的澄清工作。</w:t>
      </w:r>
    </w:p>
    <w:p w14:paraId="18DE5388">
      <w:pPr>
        <w:autoSpaceDE w:val="0"/>
        <w:autoSpaceDN w:val="0"/>
        <w:adjustRightInd w:val="0"/>
        <w:spacing w:line="360" w:lineRule="auto"/>
        <w:ind w:left="567" w:hanging="5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5.3  依据评分标准以及各项权重，各位评审委员会成员单独就每个供应商的商务状况、技术状况进行比较和评价，分别评出其商务得分和技术得分。</w:t>
      </w:r>
    </w:p>
    <w:p w14:paraId="6208C9BA">
      <w:pPr>
        <w:autoSpaceDE w:val="0"/>
        <w:autoSpaceDN w:val="0"/>
        <w:adjustRightInd w:val="0"/>
        <w:spacing w:line="360" w:lineRule="auto"/>
        <w:ind w:left="567" w:hanging="5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5.4</w:t>
      </w:r>
      <w:r>
        <w:rPr>
          <w:rFonts w:hint="eastAsia" w:ascii="宋体" w:hAnsi="宋体" w:eastAsia="宋体" w:cs="宋体"/>
          <w:color w:val="auto"/>
          <w:szCs w:val="24"/>
          <w:highlight w:val="none"/>
          <w:lang w:val="zh-CN"/>
        </w:rPr>
        <w:tab/>
      </w:r>
      <w:r>
        <w:rPr>
          <w:rFonts w:hint="eastAsia" w:ascii="宋体" w:hAnsi="宋体" w:eastAsia="宋体" w:cs="宋体"/>
          <w:color w:val="auto"/>
          <w:kern w:val="0"/>
          <w:szCs w:val="24"/>
          <w:highlight w:val="none"/>
          <w:lang w:val="zh-CN"/>
        </w:rPr>
        <w:t>对有效供应商的</w:t>
      </w:r>
      <w:r>
        <w:rPr>
          <w:rFonts w:hint="eastAsia" w:ascii="宋体" w:hAnsi="宋体" w:eastAsia="宋体" w:cs="宋体"/>
          <w:color w:val="auto"/>
          <w:kern w:val="0"/>
          <w:szCs w:val="24"/>
          <w:highlight w:val="none"/>
          <w:lang w:val="en-US" w:eastAsia="zh-CN"/>
        </w:rPr>
        <w:t>响应</w:t>
      </w:r>
      <w:r>
        <w:rPr>
          <w:rFonts w:hint="eastAsia" w:ascii="宋体" w:hAnsi="宋体" w:eastAsia="宋体" w:cs="宋体"/>
          <w:color w:val="auto"/>
          <w:kern w:val="0"/>
          <w:szCs w:val="24"/>
          <w:highlight w:val="none"/>
          <w:lang w:val="zh-CN"/>
        </w:rPr>
        <w:t>报价进行审查和价格评分。</w:t>
      </w:r>
    </w:p>
    <w:p w14:paraId="180BC759">
      <w:pPr>
        <w:autoSpaceDE w:val="0"/>
        <w:autoSpaceDN w:val="0"/>
        <w:adjustRightInd w:val="0"/>
        <w:spacing w:line="360" w:lineRule="auto"/>
        <w:ind w:left="567" w:hanging="567"/>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5.5  将各</w:t>
      </w:r>
      <w:r>
        <w:rPr>
          <w:rFonts w:hint="eastAsia" w:ascii="宋体" w:hAnsi="宋体" w:eastAsia="宋体" w:cs="宋体"/>
          <w:color w:val="auto"/>
          <w:szCs w:val="24"/>
          <w:highlight w:val="none"/>
          <w:lang w:val="zh-CN"/>
        </w:rPr>
        <w:t>评委对</w:t>
      </w:r>
      <w:r>
        <w:rPr>
          <w:rFonts w:hint="eastAsia" w:ascii="宋体" w:hAnsi="宋体" w:eastAsia="宋体" w:cs="宋体"/>
          <w:color w:val="auto"/>
          <w:kern w:val="0"/>
          <w:szCs w:val="24"/>
          <w:highlight w:val="none"/>
          <w:lang w:val="zh-CN"/>
        </w:rPr>
        <w:t>供应商的技术打分的最终综合得分、商务打分的算术平均值和价格得分相加得出供应商的总分。</w:t>
      </w:r>
    </w:p>
    <w:p w14:paraId="6843BDC3">
      <w:pPr>
        <w:autoSpaceDE w:val="0"/>
        <w:autoSpaceDN w:val="0"/>
        <w:adjustRightInd w:val="0"/>
        <w:spacing w:line="360" w:lineRule="auto"/>
        <w:ind w:left="567" w:hanging="567"/>
        <w:rPr>
          <w:rFonts w:hint="eastAsia" w:ascii="宋体" w:hAnsi="宋体" w:eastAsia="宋体" w:cs="宋体"/>
          <w:color w:val="auto"/>
          <w:kern w:val="0"/>
          <w:szCs w:val="21"/>
          <w:highlight w:val="none"/>
        </w:rPr>
      </w:pPr>
      <w:r>
        <w:rPr>
          <w:rFonts w:hint="eastAsia" w:ascii="宋体" w:hAnsi="宋体" w:eastAsia="宋体" w:cs="宋体"/>
          <w:bCs/>
          <w:color w:val="auto"/>
          <w:kern w:val="0"/>
          <w:szCs w:val="24"/>
          <w:highlight w:val="none"/>
        </w:rPr>
        <w:t xml:space="preserve">5.6  </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委员会将向</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推荐</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最后综合得分最高的前二名</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为成交候选人，并标明排列顺序。</w:t>
      </w:r>
    </w:p>
    <w:p w14:paraId="040B3A92">
      <w:pPr>
        <w:autoSpaceDE w:val="0"/>
        <w:autoSpaceDN w:val="0"/>
        <w:adjustRightInd w:val="0"/>
        <w:spacing w:line="360" w:lineRule="auto"/>
        <w:ind w:left="525" w:hanging="525" w:hangingChars="250"/>
        <w:jc w:val="left"/>
        <w:rPr>
          <w:rFonts w:hint="eastAsia" w:ascii="宋体" w:hAnsi="宋体" w:eastAsia="宋体" w:cs="宋体"/>
          <w:color w:val="auto"/>
          <w:szCs w:val="24"/>
          <w:highlight w:val="none"/>
          <w:lang w:val="zh-CN"/>
        </w:rPr>
      </w:pPr>
      <w:r>
        <w:rPr>
          <w:rFonts w:hint="eastAsia" w:ascii="宋体" w:hAnsi="宋体" w:eastAsia="宋体" w:cs="宋体"/>
          <w:color w:val="auto"/>
          <w:kern w:val="0"/>
          <w:szCs w:val="24"/>
          <w:highlight w:val="none"/>
          <w:lang w:val="zh-CN"/>
        </w:rPr>
        <w:t>5.</w:t>
      </w:r>
      <w:r>
        <w:rPr>
          <w:rFonts w:hint="eastAsia" w:ascii="宋体" w:hAnsi="宋体" w:eastAsia="宋体" w:cs="宋体"/>
          <w:color w:val="auto"/>
          <w:szCs w:val="24"/>
          <w:highlight w:val="none"/>
          <w:lang w:val="zh-CN"/>
        </w:rPr>
        <w:t>7</w:t>
      </w:r>
      <w:r>
        <w:rPr>
          <w:rFonts w:hint="eastAsia" w:ascii="宋体" w:hAnsi="宋体" w:eastAsia="宋体" w:cs="宋体"/>
          <w:color w:val="auto"/>
          <w:szCs w:val="24"/>
          <w:highlight w:val="none"/>
          <w:lang w:val="zh-CN"/>
        </w:rPr>
        <w:tab/>
      </w:r>
      <w:r>
        <w:rPr>
          <w:rFonts w:hint="eastAsia" w:ascii="宋体" w:hAnsi="宋体" w:eastAsia="宋体" w:cs="宋体"/>
          <w:color w:val="auto"/>
          <w:kern w:val="0"/>
          <w:szCs w:val="24"/>
          <w:highlight w:val="none"/>
          <w:lang w:val="zh-CN"/>
        </w:rPr>
        <w:t>评审委员会</w:t>
      </w:r>
      <w:r>
        <w:rPr>
          <w:rFonts w:hint="eastAsia" w:ascii="宋体" w:hAnsi="宋体" w:eastAsia="宋体" w:cs="宋体"/>
          <w:color w:val="auto"/>
          <w:szCs w:val="24"/>
          <w:highlight w:val="none"/>
          <w:lang w:val="zh-CN"/>
        </w:rPr>
        <w:t>根据评审结果编写评审报告。</w:t>
      </w:r>
    </w:p>
    <w:p w14:paraId="57DE445F">
      <w:pPr>
        <w:autoSpaceDE w:val="0"/>
        <w:autoSpaceDN w:val="0"/>
        <w:adjustRightInd w:val="0"/>
        <w:spacing w:line="360" w:lineRule="auto"/>
        <w:ind w:left="525" w:hanging="525" w:hangingChars="250"/>
        <w:jc w:val="left"/>
        <w:rPr>
          <w:rFonts w:hint="eastAsia" w:ascii="宋体" w:hAnsi="宋体" w:eastAsia="宋体" w:cs="宋体"/>
          <w:color w:val="auto"/>
          <w:szCs w:val="24"/>
          <w:highlight w:val="none"/>
          <w:lang w:val="zh-CN"/>
        </w:rPr>
      </w:pPr>
    </w:p>
    <w:p w14:paraId="6F8FDD35">
      <w:pPr>
        <w:tabs>
          <w:tab w:val="left" w:pos="1140"/>
        </w:tabs>
        <w:autoSpaceDE w:val="0"/>
        <w:autoSpaceDN w:val="0"/>
        <w:adjustRightInd w:val="0"/>
        <w:spacing w:line="360" w:lineRule="auto"/>
        <w:jc w:val="center"/>
        <w:rPr>
          <w:rFonts w:hint="eastAsia" w:ascii="宋体" w:hAnsi="宋体" w:eastAsia="宋体" w:cs="宋体"/>
          <w:b/>
          <w:bCs/>
          <w:color w:val="auto"/>
          <w:sz w:val="28"/>
          <w:szCs w:val="28"/>
          <w:highlight w:val="none"/>
        </w:rPr>
      </w:pPr>
      <w:bookmarkStart w:id="709" w:name="_Toc19435_WPSOffice_Level1"/>
      <w:r>
        <w:rPr>
          <w:rFonts w:hint="eastAsia" w:ascii="宋体" w:hAnsi="宋体" w:eastAsia="宋体" w:cs="宋体"/>
          <w:b/>
          <w:bCs/>
          <w:color w:val="auto"/>
          <w:sz w:val="28"/>
          <w:szCs w:val="28"/>
          <w:highlight w:val="none"/>
          <w:lang w:val="zh-CN"/>
        </w:rPr>
        <w:t>二、响应文件的初审</w:t>
      </w:r>
      <w:bookmarkEnd w:id="709"/>
    </w:p>
    <w:p w14:paraId="772499A5">
      <w:pPr>
        <w:autoSpaceDE w:val="0"/>
        <w:autoSpaceDN w:val="0"/>
        <w:adjustRightInd w:val="0"/>
        <w:spacing w:line="360" w:lineRule="auto"/>
        <w:rPr>
          <w:rFonts w:hint="eastAsia" w:ascii="宋体" w:hAnsi="宋体" w:eastAsia="宋体" w:cs="宋体"/>
          <w:b/>
          <w:color w:val="auto"/>
          <w:szCs w:val="24"/>
          <w:highlight w:val="none"/>
          <w:lang w:val="zh-CN"/>
        </w:rPr>
      </w:pPr>
      <w:r>
        <w:rPr>
          <w:rFonts w:hint="eastAsia" w:ascii="宋体" w:hAnsi="宋体" w:eastAsia="宋体" w:cs="宋体"/>
          <w:b/>
          <w:color w:val="auto"/>
          <w:szCs w:val="24"/>
          <w:highlight w:val="none"/>
          <w:lang w:val="zh-CN"/>
        </w:rPr>
        <w:t>6、响应文件的初审分为资格性检查和符合性检查。</w:t>
      </w:r>
    </w:p>
    <w:p w14:paraId="609BE80A">
      <w:pPr>
        <w:autoSpaceDE w:val="0"/>
        <w:autoSpaceDN w:val="0"/>
        <w:adjustRightInd w:val="0"/>
        <w:spacing w:line="360" w:lineRule="auto"/>
        <w:ind w:left="529" w:hanging="529" w:hangingChars="252"/>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6.1  资格性检查是指评审委员会依据法律法规和询比文件的规定，对响应文件中的资格证明、响应保证金、供应商（含其不具有独立法人资格的分支机构）信用（由采购代理机构在递交响应文件截止时间当天通过“信用中国”网站对供应商信用进行查询，采购代理机构将查询情况提交评审委员会评审）等进行审查，以确定供应商是否具备</w:t>
      </w:r>
      <w:r>
        <w:rPr>
          <w:rFonts w:hint="eastAsia" w:ascii="宋体" w:hAnsi="宋体" w:eastAsia="宋体" w:cs="宋体"/>
          <w:color w:val="auto"/>
          <w:szCs w:val="24"/>
          <w:highlight w:val="none"/>
          <w:lang w:val="en-US" w:eastAsia="zh-CN"/>
        </w:rPr>
        <w:t>响应</w:t>
      </w:r>
      <w:r>
        <w:rPr>
          <w:rFonts w:hint="eastAsia" w:ascii="宋体" w:hAnsi="宋体" w:eastAsia="宋体" w:cs="宋体"/>
          <w:color w:val="auto"/>
          <w:szCs w:val="24"/>
          <w:highlight w:val="none"/>
          <w:lang w:val="zh-CN"/>
        </w:rPr>
        <w:t>资格。</w:t>
      </w:r>
    </w:p>
    <w:p w14:paraId="77EE056B">
      <w:pPr>
        <w:autoSpaceDE w:val="0"/>
        <w:autoSpaceDN w:val="0"/>
        <w:adjustRightInd w:val="0"/>
        <w:spacing w:line="360" w:lineRule="auto"/>
        <w:ind w:left="529" w:hanging="529" w:hangingChars="252"/>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6.2  符合性检查是指评审委员会依据询比文件规定，从响应文件的有效性、完整性和对询比文件的响应程度进行审查，以确定是否对询比文件的实质性要求作出响应。</w:t>
      </w:r>
    </w:p>
    <w:p w14:paraId="342CF78D">
      <w:pPr>
        <w:autoSpaceDE w:val="0"/>
        <w:autoSpaceDN w:val="0"/>
        <w:adjustRightInd w:val="0"/>
        <w:spacing w:line="360" w:lineRule="auto"/>
        <w:ind w:left="420" w:leftChars="200" w:firstLine="420" w:firstLineChars="2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实质性响应指的是符合询比文件要求的全部“★”条款和验收标准而无任何重大偏离或保留。重大偏离或保留系指实质上影响到合同项下的服务范围、质量，或指与询比文件有实质不一致，限制了合同项下委托人的权利和承包人的义务, 或对该重大偏离的修改对提交实质性响应的其他供应商将不公平。</w:t>
      </w:r>
    </w:p>
    <w:p w14:paraId="54E19E99">
      <w:pPr>
        <w:autoSpaceDE w:val="0"/>
        <w:autoSpaceDN w:val="0"/>
        <w:adjustRightInd w:val="0"/>
        <w:spacing w:line="360" w:lineRule="auto"/>
        <w:ind w:firstLine="840" w:firstLineChars="4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评审委员会决定响应文件的响应性是基于响应文件的内容本身而不靠外部的证据。</w:t>
      </w:r>
    </w:p>
    <w:p w14:paraId="4C3FD113">
      <w:pPr>
        <w:autoSpaceDE w:val="0"/>
        <w:autoSpaceDN w:val="0"/>
        <w:adjustRightInd w:val="0"/>
        <w:spacing w:line="360" w:lineRule="auto"/>
        <w:ind w:left="420" w:leftChars="200" w:firstLine="422" w:firstLineChars="200"/>
        <w:rPr>
          <w:rFonts w:hint="eastAsia" w:ascii="宋体" w:hAnsi="宋体" w:eastAsia="宋体" w:cs="宋体"/>
          <w:b/>
          <w:color w:val="auto"/>
          <w:szCs w:val="24"/>
          <w:highlight w:val="none"/>
          <w:lang w:val="zh-CN"/>
        </w:rPr>
      </w:pPr>
      <w:r>
        <w:rPr>
          <w:rFonts w:hint="eastAsia" w:ascii="宋体" w:hAnsi="宋体" w:eastAsia="宋体" w:cs="宋体"/>
          <w:b/>
          <w:color w:val="auto"/>
          <w:szCs w:val="24"/>
          <w:highlight w:val="none"/>
          <w:lang w:val="zh-CN"/>
        </w:rPr>
        <w:t>对是否符合实质性响应询比文件有争议的响应文件，评审委员会成员将以记名方式表决，根据少数服</w:t>
      </w:r>
      <w:r>
        <w:rPr>
          <w:rFonts w:hint="eastAsia" w:ascii="宋体" w:hAnsi="宋体" w:eastAsia="宋体" w:cs="宋体"/>
          <w:b/>
          <w:color w:val="auto"/>
          <w:szCs w:val="24"/>
          <w:highlight w:val="none"/>
          <w:lang w:val="en-US" w:eastAsia="zh-CN"/>
        </w:rPr>
        <w:t>从</w:t>
      </w:r>
      <w:r>
        <w:rPr>
          <w:rFonts w:hint="eastAsia" w:ascii="宋体" w:hAnsi="宋体" w:eastAsia="宋体" w:cs="宋体"/>
          <w:b/>
          <w:color w:val="auto"/>
          <w:szCs w:val="24"/>
          <w:highlight w:val="none"/>
          <w:lang w:val="zh-CN"/>
        </w:rPr>
        <w:t>多数的原则，获多数表决通过的供应商才有资格进入下一阶段的评审，否则将被认定为无效响应文件。</w:t>
      </w:r>
    </w:p>
    <w:p w14:paraId="4FF0BDAE">
      <w:pPr>
        <w:autoSpaceDE w:val="0"/>
        <w:autoSpaceDN w:val="0"/>
        <w:adjustRightInd w:val="0"/>
        <w:spacing w:line="360" w:lineRule="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7、响应文件出现下列情况之一的，被认定为无效</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w:t>
      </w:r>
    </w:p>
    <w:p w14:paraId="34871B3A">
      <w:pPr>
        <w:autoSpaceDE w:val="0"/>
        <w:autoSpaceDN w:val="0"/>
        <w:adjustRightInd w:val="0"/>
        <w:spacing w:line="360" w:lineRule="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 xml:space="preserve">7.1  </w:t>
      </w:r>
      <w:r>
        <w:rPr>
          <w:rFonts w:hint="eastAsia" w:ascii="宋体" w:hAnsi="宋体" w:eastAsia="宋体" w:cs="宋体"/>
          <w:b/>
          <w:bCs/>
          <w:color w:val="auto"/>
          <w:kern w:val="0"/>
          <w:szCs w:val="21"/>
          <w:highlight w:val="none"/>
          <w:lang w:eastAsia="zh-CN"/>
        </w:rPr>
        <w:t>供应商</w:t>
      </w:r>
      <w:r>
        <w:rPr>
          <w:rFonts w:hint="eastAsia" w:ascii="宋体" w:hAnsi="宋体" w:eastAsia="宋体" w:cs="宋体"/>
          <w:b/>
          <w:bCs/>
          <w:color w:val="auto"/>
          <w:kern w:val="0"/>
          <w:szCs w:val="21"/>
          <w:highlight w:val="none"/>
        </w:rPr>
        <w:t>未按</w:t>
      </w:r>
      <w:r>
        <w:rPr>
          <w:rFonts w:hint="eastAsia" w:ascii="宋体" w:hAnsi="宋体" w:eastAsia="宋体" w:cs="宋体"/>
          <w:b/>
          <w:bCs/>
          <w:color w:val="auto"/>
          <w:kern w:val="0"/>
          <w:szCs w:val="21"/>
          <w:highlight w:val="none"/>
          <w:lang w:eastAsia="zh-CN"/>
        </w:rPr>
        <w:t>询比文件</w:t>
      </w:r>
      <w:r>
        <w:rPr>
          <w:rFonts w:hint="eastAsia" w:ascii="宋体" w:hAnsi="宋体" w:eastAsia="宋体" w:cs="宋体"/>
          <w:b/>
          <w:bCs/>
          <w:color w:val="auto"/>
          <w:kern w:val="0"/>
          <w:szCs w:val="21"/>
          <w:highlight w:val="none"/>
        </w:rPr>
        <w:t>要求交纳</w:t>
      </w:r>
      <w:r>
        <w:rPr>
          <w:rFonts w:hint="eastAsia" w:ascii="宋体" w:hAnsi="宋体" w:eastAsia="宋体" w:cs="宋体"/>
          <w:b/>
          <w:bCs/>
          <w:color w:val="auto"/>
          <w:kern w:val="0"/>
          <w:szCs w:val="21"/>
          <w:highlight w:val="none"/>
          <w:lang w:eastAsia="zh-CN"/>
        </w:rPr>
        <w:t>响应保证金</w:t>
      </w:r>
      <w:r>
        <w:rPr>
          <w:rFonts w:hint="eastAsia" w:ascii="宋体" w:hAnsi="宋体" w:eastAsia="宋体" w:cs="宋体"/>
          <w:b/>
          <w:bCs/>
          <w:color w:val="auto"/>
          <w:kern w:val="0"/>
          <w:szCs w:val="21"/>
          <w:highlight w:val="none"/>
        </w:rPr>
        <w:t>的；</w:t>
      </w:r>
    </w:p>
    <w:p w14:paraId="110C3A3D">
      <w:pPr>
        <w:keepNext w:val="0"/>
        <w:keepLines w:val="0"/>
        <w:pageBreakBefore w:val="0"/>
        <w:widowControl w:val="0"/>
        <w:tabs>
          <w:tab w:val="left" w:pos="567"/>
        </w:tabs>
        <w:kinsoku/>
        <w:wordWrap/>
        <w:overflowPunct/>
        <w:topLinePunct w:val="0"/>
        <w:autoSpaceDE/>
        <w:autoSpaceDN/>
        <w:bidi w:val="0"/>
        <w:adjustRightInd/>
        <w:snapToGrid/>
        <w:spacing w:line="360" w:lineRule="auto"/>
        <w:ind w:left="546" w:hanging="546" w:hangingChars="259"/>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7.2  </w:t>
      </w:r>
      <w:r>
        <w:rPr>
          <w:rFonts w:hint="eastAsia" w:ascii="宋体" w:hAnsi="宋体" w:eastAsia="宋体" w:cs="宋体"/>
          <w:b/>
          <w:bCs/>
          <w:color w:val="auto"/>
          <w:kern w:val="0"/>
          <w:szCs w:val="21"/>
          <w:highlight w:val="none"/>
          <w:lang w:eastAsia="zh-CN"/>
        </w:rPr>
        <w:t>供应商</w:t>
      </w:r>
      <w:r>
        <w:rPr>
          <w:rFonts w:hint="eastAsia" w:ascii="宋体" w:hAnsi="宋体" w:eastAsia="宋体" w:cs="宋体"/>
          <w:b/>
          <w:bCs/>
          <w:color w:val="auto"/>
          <w:kern w:val="0"/>
          <w:szCs w:val="21"/>
          <w:highlight w:val="none"/>
        </w:rPr>
        <w:t>的</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bCs/>
          <w:color w:val="auto"/>
          <w:kern w:val="0"/>
          <w:szCs w:val="21"/>
          <w:highlight w:val="none"/>
        </w:rPr>
        <w:t>总报价高于不含税最高</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bCs/>
          <w:color w:val="auto"/>
          <w:kern w:val="0"/>
          <w:szCs w:val="21"/>
          <w:highlight w:val="none"/>
        </w:rPr>
        <w:t>限价或不含税综合单价</w:t>
      </w:r>
      <w:r>
        <w:rPr>
          <w:rFonts w:hint="eastAsia" w:ascii="宋体" w:hAnsi="宋体" w:eastAsia="宋体" w:cs="宋体"/>
          <w:b/>
          <w:bCs/>
          <w:color w:val="auto"/>
          <w:kern w:val="0"/>
          <w:szCs w:val="21"/>
          <w:highlight w:val="none"/>
          <w:lang w:val="en-US" w:eastAsia="zh-CN"/>
        </w:rPr>
        <w:t>响应报价</w:t>
      </w:r>
      <w:r>
        <w:rPr>
          <w:rFonts w:hint="eastAsia" w:ascii="宋体" w:hAnsi="宋体" w:eastAsia="宋体" w:cs="宋体"/>
          <w:b/>
          <w:bCs/>
          <w:color w:val="auto"/>
          <w:kern w:val="0"/>
          <w:szCs w:val="21"/>
          <w:highlight w:val="none"/>
        </w:rPr>
        <w:t>高于不含税</w:t>
      </w:r>
      <w:r>
        <w:rPr>
          <w:rFonts w:hint="eastAsia" w:ascii="宋体" w:hAnsi="宋体" w:eastAsia="宋体" w:cs="宋体"/>
          <w:b/>
          <w:bCs/>
          <w:color w:val="auto"/>
          <w:kern w:val="0"/>
          <w:szCs w:val="21"/>
          <w:highlight w:val="none"/>
          <w:lang w:val="en-US" w:eastAsia="zh-CN"/>
        </w:rPr>
        <w:t>采购限价</w:t>
      </w:r>
      <w:r>
        <w:rPr>
          <w:rFonts w:hint="eastAsia" w:ascii="宋体" w:hAnsi="宋体" w:eastAsia="宋体" w:cs="宋体"/>
          <w:b/>
          <w:bCs/>
          <w:color w:val="auto"/>
          <w:kern w:val="0"/>
          <w:szCs w:val="21"/>
          <w:highlight w:val="none"/>
        </w:rPr>
        <w:t>综合</w:t>
      </w:r>
      <w:r>
        <w:rPr>
          <w:rFonts w:hint="eastAsia" w:ascii="宋体" w:hAnsi="宋体" w:eastAsia="宋体" w:cs="宋体"/>
          <w:b/>
          <w:bCs/>
          <w:color w:val="auto"/>
          <w:kern w:val="0"/>
          <w:szCs w:val="21"/>
          <w:highlight w:val="none"/>
          <w:lang w:eastAsia="zh-CN"/>
        </w:rPr>
        <w:t>单价</w:t>
      </w:r>
      <w:r>
        <w:rPr>
          <w:rFonts w:hint="eastAsia" w:ascii="宋体" w:hAnsi="宋体" w:eastAsia="宋体" w:cs="宋体"/>
          <w:b/>
          <w:bCs/>
          <w:color w:val="auto"/>
          <w:kern w:val="0"/>
          <w:szCs w:val="21"/>
          <w:highlight w:val="none"/>
        </w:rPr>
        <w:t>的；</w:t>
      </w:r>
    </w:p>
    <w:p w14:paraId="1DEE9748">
      <w:pPr>
        <w:tabs>
          <w:tab w:val="left" w:pos="567"/>
        </w:tabs>
        <w:spacing w:line="360" w:lineRule="auto"/>
        <w:ind w:left="632" w:hanging="632" w:hangingChars="3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7.3  </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以低于企业成本价报价，且</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不能合理说明或不能提供相关证明材料；</w:t>
      </w:r>
    </w:p>
    <w:p w14:paraId="258734B3">
      <w:pPr>
        <w:tabs>
          <w:tab w:val="left" w:pos="567"/>
        </w:tabs>
        <w:spacing w:line="360" w:lineRule="auto"/>
        <w:ind w:left="632" w:hanging="632" w:hangingChars="3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7.4  </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递交两份或多份内容不同的</w:t>
      </w:r>
      <w:r>
        <w:rPr>
          <w:rFonts w:hint="eastAsia" w:ascii="宋体" w:hAnsi="宋体" w:eastAsia="宋体" w:cs="宋体"/>
          <w:b/>
          <w:color w:val="auto"/>
          <w:kern w:val="0"/>
          <w:szCs w:val="21"/>
          <w:highlight w:val="none"/>
          <w:lang w:eastAsia="zh-CN"/>
        </w:rPr>
        <w:t>响应文件</w:t>
      </w:r>
      <w:r>
        <w:rPr>
          <w:rFonts w:hint="eastAsia" w:ascii="宋体" w:hAnsi="宋体" w:eastAsia="宋体" w:cs="宋体"/>
          <w:b/>
          <w:color w:val="auto"/>
          <w:kern w:val="0"/>
          <w:szCs w:val="21"/>
          <w:highlight w:val="none"/>
        </w:rPr>
        <w:t>，或在一份</w:t>
      </w:r>
      <w:r>
        <w:rPr>
          <w:rFonts w:hint="eastAsia" w:ascii="宋体" w:hAnsi="宋体" w:eastAsia="宋体" w:cs="宋体"/>
          <w:b/>
          <w:color w:val="auto"/>
          <w:kern w:val="0"/>
          <w:szCs w:val="21"/>
          <w:highlight w:val="none"/>
          <w:lang w:eastAsia="zh-CN"/>
        </w:rPr>
        <w:t>响应文件</w:t>
      </w:r>
      <w:r>
        <w:rPr>
          <w:rFonts w:hint="eastAsia" w:ascii="宋体" w:hAnsi="宋体" w:eastAsia="宋体" w:cs="宋体"/>
          <w:b/>
          <w:color w:val="auto"/>
          <w:kern w:val="0"/>
          <w:szCs w:val="21"/>
          <w:highlight w:val="none"/>
        </w:rPr>
        <w:t>中报有两个或多个报价，且未书面声明哪一个有效；</w:t>
      </w:r>
    </w:p>
    <w:p w14:paraId="4C187AE1">
      <w:pPr>
        <w:tabs>
          <w:tab w:val="left" w:pos="567"/>
        </w:tabs>
        <w:spacing w:line="360" w:lineRule="auto"/>
        <w:ind w:left="632" w:hanging="632" w:hangingChars="30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7.5  </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不符合合格</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的基本条件[含未提供资格证明文件，或</w:t>
      </w:r>
      <w:r>
        <w:rPr>
          <w:rFonts w:hint="eastAsia" w:ascii="宋体" w:hAnsi="宋体" w:eastAsia="宋体" w:cs="宋体"/>
          <w:b/>
          <w:color w:val="auto"/>
          <w:kern w:val="0"/>
          <w:szCs w:val="21"/>
          <w:highlight w:val="none"/>
          <w:lang w:eastAsia="zh-CN"/>
        </w:rPr>
        <w:t>供应商</w:t>
      </w:r>
      <w:r>
        <w:rPr>
          <w:rFonts w:hint="eastAsia" w:ascii="宋体" w:hAnsi="宋体" w:eastAsia="宋体" w:cs="宋体"/>
          <w:b/>
          <w:color w:val="auto"/>
          <w:kern w:val="0"/>
          <w:szCs w:val="21"/>
          <w:highlight w:val="none"/>
        </w:rPr>
        <w:t>（含其不具有独立法人资格的分支机构）被列入“信用中国”网站（www.creditchina.gov.cn）失信被执行人、重大税收违法失信主体、</w:t>
      </w:r>
      <w:r>
        <w:rPr>
          <w:rFonts w:hint="eastAsia" w:ascii="宋体" w:hAnsi="宋体" w:eastAsia="宋体" w:cs="宋体"/>
          <w:b/>
          <w:color w:val="auto"/>
          <w:kern w:val="0"/>
          <w:szCs w:val="21"/>
          <w:highlight w:val="none"/>
          <w:lang w:val="en-US" w:eastAsia="zh-CN"/>
        </w:rPr>
        <w:t>政府采购</w:t>
      </w:r>
      <w:r>
        <w:rPr>
          <w:rFonts w:hint="eastAsia" w:ascii="宋体" w:hAnsi="宋体" w:eastAsia="宋体" w:cs="宋体"/>
          <w:b/>
          <w:color w:val="auto"/>
          <w:kern w:val="0"/>
          <w:szCs w:val="21"/>
          <w:highlight w:val="none"/>
        </w:rPr>
        <w:t>严重违法失信行为记录名单（处罚期限届满的除外）]；</w:t>
      </w:r>
    </w:p>
    <w:p w14:paraId="2C0FE738">
      <w:pPr>
        <w:spacing w:line="360" w:lineRule="auto"/>
        <w:ind w:left="527" w:hanging="527" w:hangingChars="25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7.6  </w:t>
      </w:r>
      <w:r>
        <w:rPr>
          <w:rFonts w:hint="eastAsia" w:ascii="宋体" w:hAnsi="宋体" w:eastAsia="宋体" w:cs="宋体"/>
          <w:b/>
          <w:bCs/>
          <w:color w:val="auto"/>
          <w:kern w:val="0"/>
          <w:szCs w:val="21"/>
          <w:highlight w:val="none"/>
          <w:lang w:eastAsia="zh-CN"/>
        </w:rPr>
        <w:t>响应文件</w:t>
      </w:r>
      <w:r>
        <w:rPr>
          <w:rFonts w:hint="eastAsia" w:ascii="宋体" w:hAnsi="宋体" w:eastAsia="宋体" w:cs="宋体"/>
          <w:b/>
          <w:bCs/>
          <w:color w:val="auto"/>
          <w:kern w:val="0"/>
          <w:szCs w:val="21"/>
          <w:highlight w:val="none"/>
        </w:rPr>
        <w:t>未按照</w:t>
      </w:r>
      <w:r>
        <w:rPr>
          <w:rFonts w:hint="eastAsia" w:ascii="宋体" w:hAnsi="宋体" w:eastAsia="宋体" w:cs="宋体"/>
          <w:b/>
          <w:bCs/>
          <w:color w:val="auto"/>
          <w:kern w:val="0"/>
          <w:szCs w:val="21"/>
          <w:highlight w:val="none"/>
          <w:lang w:eastAsia="zh-CN"/>
        </w:rPr>
        <w:t>询比文件</w:t>
      </w:r>
      <w:r>
        <w:rPr>
          <w:rFonts w:hint="eastAsia" w:ascii="宋体" w:hAnsi="宋体" w:eastAsia="宋体" w:cs="宋体"/>
          <w:b/>
          <w:bCs/>
          <w:color w:val="auto"/>
          <w:kern w:val="0"/>
          <w:szCs w:val="21"/>
          <w:highlight w:val="none"/>
        </w:rPr>
        <w:t>规定要求密封；</w:t>
      </w:r>
      <w:r>
        <w:rPr>
          <w:rFonts w:hint="eastAsia" w:ascii="宋体" w:hAnsi="宋体" w:eastAsia="宋体" w:cs="宋体"/>
          <w:b/>
          <w:bCs/>
          <w:color w:val="auto"/>
          <w:kern w:val="0"/>
          <w:szCs w:val="21"/>
          <w:highlight w:val="none"/>
          <w:lang w:eastAsia="zh-CN"/>
        </w:rPr>
        <w:t>响应文件</w:t>
      </w:r>
      <w:r>
        <w:rPr>
          <w:rFonts w:hint="eastAsia" w:ascii="宋体" w:hAnsi="宋体" w:eastAsia="宋体" w:cs="宋体"/>
          <w:b/>
          <w:bCs/>
          <w:color w:val="auto"/>
          <w:kern w:val="0"/>
          <w:szCs w:val="21"/>
          <w:highlight w:val="none"/>
        </w:rPr>
        <w:t>无法定代表人或其授权代表签字（或盖私章），或签字人无法定代表人有效授权的；签字盖章不符合</w:t>
      </w:r>
      <w:r>
        <w:rPr>
          <w:rFonts w:hint="eastAsia" w:ascii="宋体" w:hAnsi="宋体" w:eastAsia="宋体" w:cs="宋体"/>
          <w:b/>
          <w:bCs/>
          <w:color w:val="auto"/>
          <w:kern w:val="0"/>
          <w:szCs w:val="21"/>
          <w:highlight w:val="none"/>
          <w:lang w:eastAsia="zh-CN"/>
        </w:rPr>
        <w:t>询比文件</w:t>
      </w:r>
      <w:r>
        <w:rPr>
          <w:rFonts w:hint="eastAsia" w:ascii="宋体" w:hAnsi="宋体" w:eastAsia="宋体" w:cs="宋体"/>
          <w:b/>
          <w:bCs/>
          <w:color w:val="auto"/>
          <w:kern w:val="0"/>
          <w:szCs w:val="21"/>
          <w:highlight w:val="none"/>
        </w:rPr>
        <w:t xml:space="preserve">要求的； </w:t>
      </w:r>
    </w:p>
    <w:p w14:paraId="49E68541">
      <w:pPr>
        <w:spacing w:line="360" w:lineRule="auto"/>
        <w:ind w:left="527" w:hanging="527" w:hangingChars="25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7.7  </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bCs/>
          <w:color w:val="auto"/>
          <w:kern w:val="0"/>
          <w:szCs w:val="21"/>
          <w:highlight w:val="none"/>
        </w:rPr>
        <w:t>有效期限不符合要求；</w:t>
      </w:r>
    </w:p>
    <w:p w14:paraId="36330644">
      <w:pPr>
        <w:spacing w:line="360" w:lineRule="auto"/>
        <w:ind w:left="527" w:hanging="527" w:hangingChars="25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7.8  </w:t>
      </w:r>
      <w:r>
        <w:rPr>
          <w:rFonts w:hint="eastAsia" w:ascii="宋体" w:hAnsi="宋体" w:eastAsia="宋体" w:cs="宋体"/>
          <w:b/>
          <w:bCs/>
          <w:color w:val="auto"/>
          <w:kern w:val="0"/>
          <w:szCs w:val="21"/>
          <w:highlight w:val="none"/>
          <w:lang w:eastAsia="zh-CN"/>
        </w:rPr>
        <w:t>响应文件</w:t>
      </w:r>
      <w:r>
        <w:rPr>
          <w:rFonts w:hint="eastAsia" w:ascii="宋体" w:hAnsi="宋体" w:eastAsia="宋体" w:cs="宋体"/>
          <w:b/>
          <w:bCs/>
          <w:color w:val="auto"/>
          <w:kern w:val="0"/>
          <w:szCs w:val="21"/>
          <w:highlight w:val="none"/>
        </w:rPr>
        <w:t>未对</w:t>
      </w:r>
      <w:r>
        <w:rPr>
          <w:rFonts w:hint="eastAsia" w:ascii="宋体" w:hAnsi="宋体" w:eastAsia="宋体" w:cs="宋体"/>
          <w:b/>
          <w:bCs/>
          <w:color w:val="auto"/>
          <w:kern w:val="0"/>
          <w:szCs w:val="21"/>
          <w:highlight w:val="none"/>
          <w:lang w:val="en-US" w:eastAsia="zh-CN"/>
        </w:rPr>
        <w:t>采购</w:t>
      </w:r>
      <w:r>
        <w:rPr>
          <w:rFonts w:hint="eastAsia" w:ascii="宋体" w:hAnsi="宋体" w:eastAsia="宋体" w:cs="宋体"/>
          <w:b/>
          <w:bCs/>
          <w:color w:val="auto"/>
          <w:kern w:val="0"/>
          <w:szCs w:val="21"/>
          <w:highlight w:val="none"/>
        </w:rPr>
        <w:t>范围内的全部内容进行</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bCs/>
          <w:color w:val="auto"/>
          <w:kern w:val="0"/>
          <w:szCs w:val="21"/>
          <w:highlight w:val="none"/>
        </w:rPr>
        <w:t>报价</w:t>
      </w:r>
      <w:r>
        <w:rPr>
          <w:rFonts w:hint="eastAsia" w:ascii="宋体" w:hAnsi="宋体" w:eastAsia="宋体" w:cs="宋体"/>
          <w:b/>
          <w:color w:val="auto"/>
          <w:kern w:val="0"/>
          <w:szCs w:val="21"/>
          <w:highlight w:val="none"/>
        </w:rPr>
        <w:t>或</w:t>
      </w:r>
      <w:r>
        <w:rPr>
          <w:rFonts w:hint="eastAsia" w:ascii="宋体" w:hAnsi="宋体" w:eastAsia="宋体" w:cs="宋体"/>
          <w:b/>
          <w:color w:val="auto"/>
          <w:kern w:val="0"/>
          <w:szCs w:val="21"/>
          <w:highlight w:val="none"/>
          <w:lang w:val="en-US" w:eastAsia="zh-CN"/>
        </w:rPr>
        <w:t>响应</w:t>
      </w:r>
      <w:r>
        <w:rPr>
          <w:rFonts w:hint="eastAsia" w:ascii="宋体" w:hAnsi="宋体" w:eastAsia="宋体" w:cs="宋体"/>
          <w:b/>
          <w:color w:val="auto"/>
          <w:kern w:val="0"/>
          <w:szCs w:val="21"/>
          <w:highlight w:val="none"/>
        </w:rPr>
        <w:t>方案不是唯一</w:t>
      </w:r>
      <w:r>
        <w:rPr>
          <w:rFonts w:hint="eastAsia" w:ascii="宋体" w:hAnsi="宋体" w:eastAsia="宋体" w:cs="宋体"/>
          <w:b/>
          <w:bCs/>
          <w:color w:val="auto"/>
          <w:kern w:val="0"/>
          <w:szCs w:val="21"/>
          <w:highlight w:val="none"/>
        </w:rPr>
        <w:t>；</w:t>
      </w:r>
    </w:p>
    <w:p w14:paraId="2E435005">
      <w:pPr>
        <w:spacing w:line="360" w:lineRule="auto"/>
        <w:ind w:left="413" w:hanging="413" w:hanging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7.9  未提供或虚假填写《合同条款偏离表》，或对《合同条款偏离表》有负偏离的；</w:t>
      </w:r>
    </w:p>
    <w:p w14:paraId="118A3E9A">
      <w:pPr>
        <w:spacing w:line="360" w:lineRule="auto"/>
        <w:ind w:left="413" w:hanging="413" w:hanging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7.10  未填写或虚假填写《用户需求偏离表》的；</w:t>
      </w:r>
    </w:p>
    <w:p w14:paraId="68695FE6">
      <w:pPr>
        <w:spacing w:line="360" w:lineRule="auto"/>
        <w:ind w:left="413" w:hanging="413" w:hanging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7.11 </w:t>
      </w:r>
      <w:r>
        <w:rPr>
          <w:rFonts w:hint="eastAsia" w:ascii="宋体" w:hAnsi="宋体" w:eastAsia="宋体" w:cs="宋体"/>
          <w:b/>
          <w:color w:val="auto"/>
          <w:kern w:val="0"/>
          <w:szCs w:val="21"/>
          <w:highlight w:val="none"/>
          <w:lang w:val="en-US" w:eastAsia="zh-CN"/>
        </w:rPr>
        <w:t xml:space="preserve"> </w:t>
      </w:r>
      <w:r>
        <w:rPr>
          <w:rFonts w:hint="eastAsia" w:ascii="宋体" w:hAnsi="宋体" w:eastAsia="宋体" w:cs="宋体"/>
          <w:b/>
          <w:color w:val="auto"/>
          <w:kern w:val="0"/>
          <w:szCs w:val="21"/>
          <w:highlight w:val="none"/>
        </w:rPr>
        <w:t>未响应</w:t>
      </w:r>
      <w:r>
        <w:rPr>
          <w:rFonts w:hint="eastAsia" w:ascii="宋体" w:hAnsi="宋体" w:eastAsia="宋体" w:cs="宋体"/>
          <w:b/>
          <w:color w:val="auto"/>
          <w:kern w:val="0"/>
          <w:szCs w:val="21"/>
          <w:highlight w:val="none"/>
          <w:lang w:eastAsia="zh-CN"/>
        </w:rPr>
        <w:t>询比文件</w:t>
      </w:r>
      <w:r>
        <w:rPr>
          <w:rFonts w:hint="eastAsia" w:ascii="宋体" w:hAnsi="宋体" w:eastAsia="宋体" w:cs="宋体"/>
          <w:b/>
          <w:color w:val="auto"/>
          <w:kern w:val="0"/>
          <w:szCs w:val="21"/>
          <w:highlight w:val="none"/>
        </w:rPr>
        <w:t>提出的实质性要求和条件（标注★的条款）。</w:t>
      </w:r>
    </w:p>
    <w:p w14:paraId="160FFBDA">
      <w:pPr>
        <w:autoSpaceDE w:val="0"/>
        <w:autoSpaceDN w:val="0"/>
        <w:adjustRightInd w:val="0"/>
        <w:spacing w:line="360" w:lineRule="auto"/>
        <w:ind w:left="315" w:hanging="315" w:hangingChars="150"/>
        <w:rPr>
          <w:rFonts w:hint="eastAsia" w:ascii="宋体" w:hAnsi="宋体" w:eastAsia="宋体" w:cs="宋体"/>
          <w:color w:val="auto"/>
          <w:kern w:val="0"/>
          <w:szCs w:val="24"/>
          <w:highlight w:val="none"/>
          <w:lang w:val="zh-CN"/>
        </w:rPr>
      </w:pPr>
      <w:r>
        <w:rPr>
          <w:rFonts w:hint="eastAsia" w:ascii="宋体" w:hAnsi="宋体" w:eastAsia="宋体" w:cs="宋体"/>
          <w:bCs/>
          <w:color w:val="auto"/>
          <w:kern w:val="0"/>
          <w:szCs w:val="24"/>
          <w:highlight w:val="none"/>
          <w:lang w:val="zh-CN"/>
        </w:rPr>
        <w:t>8、</w:t>
      </w:r>
      <w:r>
        <w:rPr>
          <w:rFonts w:hint="eastAsia" w:ascii="宋体" w:hAnsi="宋体" w:eastAsia="宋体" w:cs="宋体"/>
          <w:color w:val="auto"/>
          <w:kern w:val="0"/>
          <w:szCs w:val="24"/>
          <w:highlight w:val="none"/>
          <w:lang w:val="zh-CN"/>
        </w:rPr>
        <w:t>评审委员会应当书面要求存在细微偏差的供应商在开启评审结束前予以补正。细微偏差是指响应文件在实质上响应询比文件要求，但在个别地方存在漏项或者提供了不完整的技术方案信息和数据等情况，并且补正这些遗漏或者不完整不会对其他供应商造成不公平的结果。细微偏差不影响响应文件的有效性。</w:t>
      </w:r>
    </w:p>
    <w:p w14:paraId="29BAF057">
      <w:pPr>
        <w:spacing w:line="360" w:lineRule="auto"/>
        <w:ind w:left="480"/>
        <w:rPr>
          <w:rFonts w:hint="eastAsia" w:ascii="宋体" w:hAnsi="宋体" w:eastAsia="宋体" w:cs="宋体"/>
          <w:b/>
          <w:color w:val="auto"/>
          <w:kern w:val="0"/>
          <w:szCs w:val="21"/>
          <w:highlight w:val="none"/>
        </w:rPr>
      </w:pPr>
    </w:p>
    <w:p w14:paraId="2ED76A12">
      <w:pPr>
        <w:tabs>
          <w:tab w:val="left" w:pos="1140"/>
        </w:tabs>
        <w:autoSpaceDE w:val="0"/>
        <w:autoSpaceDN w:val="0"/>
        <w:adjustRightInd w:val="0"/>
        <w:spacing w:line="360" w:lineRule="auto"/>
        <w:ind w:firstLine="3528" w:firstLineChars="1255"/>
        <w:jc w:val="left"/>
        <w:rPr>
          <w:rFonts w:hint="eastAsia" w:ascii="宋体" w:hAnsi="宋体" w:eastAsia="宋体" w:cs="宋体"/>
          <w:b/>
          <w:bCs/>
          <w:color w:val="auto"/>
          <w:sz w:val="28"/>
          <w:szCs w:val="28"/>
          <w:highlight w:val="none"/>
        </w:rPr>
      </w:pPr>
      <w:bookmarkStart w:id="710" w:name="_Toc4109_WPSOffice_Level1"/>
      <w:r>
        <w:rPr>
          <w:rFonts w:hint="eastAsia" w:ascii="宋体" w:hAnsi="宋体" w:eastAsia="宋体" w:cs="宋体"/>
          <w:b/>
          <w:bCs/>
          <w:color w:val="auto"/>
          <w:sz w:val="28"/>
          <w:szCs w:val="28"/>
          <w:highlight w:val="none"/>
          <w:lang w:val="zh-CN"/>
        </w:rPr>
        <w:t>三、澄清有关问题</w:t>
      </w:r>
      <w:bookmarkEnd w:id="710"/>
    </w:p>
    <w:p w14:paraId="380A61DF">
      <w:pPr>
        <w:autoSpaceDE w:val="0"/>
        <w:autoSpaceDN w:val="0"/>
        <w:adjustRightInd w:val="0"/>
        <w:spacing w:line="360" w:lineRule="auto"/>
        <w:ind w:left="315" w:hanging="315" w:hangingChars="150"/>
        <w:rPr>
          <w:rFonts w:hint="eastAsia" w:ascii="宋体" w:hAnsi="宋体" w:eastAsia="宋体" w:cs="宋体"/>
          <w:color w:val="auto"/>
          <w:szCs w:val="24"/>
          <w:highlight w:val="none"/>
          <w:lang w:val="zh-CN"/>
        </w:rPr>
      </w:pPr>
      <w:r>
        <w:rPr>
          <w:rFonts w:hint="eastAsia" w:ascii="宋体" w:hAnsi="宋体" w:eastAsia="宋体" w:cs="宋体"/>
          <w:bCs/>
          <w:color w:val="auto"/>
          <w:szCs w:val="24"/>
          <w:highlight w:val="none"/>
          <w:lang w:val="zh-CN"/>
        </w:rPr>
        <w:t>9、</w:t>
      </w:r>
      <w:r>
        <w:rPr>
          <w:rFonts w:hint="eastAsia" w:ascii="宋体" w:hAnsi="宋体" w:eastAsia="宋体" w:cs="宋体"/>
          <w:color w:val="auto"/>
          <w:szCs w:val="24"/>
          <w:highlight w:val="none"/>
          <w:lang w:val="zh-CN"/>
        </w:rPr>
        <w:t>在</w:t>
      </w:r>
      <w:r>
        <w:rPr>
          <w:rFonts w:hint="eastAsia" w:ascii="宋体" w:hAnsi="宋体" w:eastAsia="宋体" w:cs="宋体"/>
          <w:color w:val="auto"/>
          <w:kern w:val="0"/>
          <w:szCs w:val="24"/>
          <w:highlight w:val="none"/>
          <w:lang w:val="zh-CN"/>
        </w:rPr>
        <w:t>响应文件</w:t>
      </w:r>
      <w:r>
        <w:rPr>
          <w:rFonts w:hint="eastAsia" w:ascii="宋体" w:hAnsi="宋体" w:eastAsia="宋体" w:cs="宋体"/>
          <w:color w:val="auto"/>
          <w:szCs w:val="24"/>
          <w:highlight w:val="none"/>
          <w:lang w:val="zh-CN"/>
        </w:rPr>
        <w:t>的商务、技术资格性检查及符合性检查过程中，</w:t>
      </w:r>
      <w:r>
        <w:rPr>
          <w:rFonts w:hint="eastAsia" w:ascii="宋体" w:hAnsi="宋体" w:eastAsia="宋体" w:cs="宋体"/>
          <w:color w:val="auto"/>
          <w:kern w:val="0"/>
          <w:szCs w:val="24"/>
          <w:highlight w:val="none"/>
          <w:lang w:val="zh-CN"/>
        </w:rPr>
        <w:t>供应商</w:t>
      </w:r>
      <w:r>
        <w:rPr>
          <w:rFonts w:hint="eastAsia" w:ascii="宋体" w:hAnsi="宋体" w:eastAsia="宋体" w:cs="宋体"/>
          <w:color w:val="auto"/>
          <w:szCs w:val="24"/>
          <w:highlight w:val="none"/>
          <w:lang w:val="zh-CN"/>
        </w:rPr>
        <w:t>可应评审委员会要求对</w:t>
      </w:r>
      <w:r>
        <w:rPr>
          <w:rFonts w:hint="eastAsia" w:ascii="宋体" w:hAnsi="宋体" w:eastAsia="宋体" w:cs="宋体"/>
          <w:color w:val="auto"/>
          <w:kern w:val="0"/>
          <w:szCs w:val="24"/>
          <w:highlight w:val="none"/>
          <w:lang w:val="zh-CN"/>
        </w:rPr>
        <w:t>响应文件</w:t>
      </w:r>
      <w:r>
        <w:rPr>
          <w:rFonts w:hint="eastAsia" w:ascii="宋体" w:hAnsi="宋体" w:eastAsia="宋体" w:cs="宋体"/>
          <w:color w:val="auto"/>
          <w:szCs w:val="24"/>
          <w:highlight w:val="none"/>
          <w:lang w:val="zh-CN"/>
        </w:rPr>
        <w:t>中有关问题进行书面澄清。该书面澄清作为其</w:t>
      </w:r>
      <w:r>
        <w:rPr>
          <w:rFonts w:hint="eastAsia" w:ascii="宋体" w:hAnsi="宋体" w:eastAsia="宋体" w:cs="宋体"/>
          <w:color w:val="auto"/>
          <w:kern w:val="0"/>
          <w:szCs w:val="24"/>
          <w:highlight w:val="none"/>
          <w:lang w:val="zh-CN"/>
        </w:rPr>
        <w:t>响应文件</w:t>
      </w:r>
      <w:r>
        <w:rPr>
          <w:rFonts w:hint="eastAsia" w:ascii="宋体" w:hAnsi="宋体" w:eastAsia="宋体" w:cs="宋体"/>
          <w:color w:val="auto"/>
          <w:szCs w:val="24"/>
          <w:highlight w:val="none"/>
          <w:lang w:val="zh-CN"/>
        </w:rPr>
        <w:t>的一部分。</w:t>
      </w:r>
    </w:p>
    <w:p w14:paraId="54AEDD29">
      <w:pPr>
        <w:autoSpaceDE w:val="0"/>
        <w:autoSpaceDN w:val="0"/>
        <w:adjustRightInd w:val="0"/>
        <w:spacing w:line="360" w:lineRule="auto"/>
        <w:ind w:left="529" w:hanging="529" w:hangingChars="252"/>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9.1  对</w:t>
      </w:r>
      <w:r>
        <w:rPr>
          <w:rFonts w:hint="eastAsia" w:ascii="宋体" w:hAnsi="宋体" w:eastAsia="宋体" w:cs="宋体"/>
          <w:color w:val="auto"/>
          <w:kern w:val="0"/>
          <w:szCs w:val="24"/>
          <w:highlight w:val="none"/>
          <w:lang w:val="zh-CN"/>
        </w:rPr>
        <w:t>响应文件</w:t>
      </w:r>
      <w:r>
        <w:rPr>
          <w:rFonts w:hint="eastAsia" w:ascii="宋体" w:hAnsi="宋体" w:eastAsia="宋体" w:cs="宋体"/>
          <w:color w:val="auto"/>
          <w:szCs w:val="24"/>
          <w:highlight w:val="none"/>
          <w:lang w:val="zh-CN"/>
        </w:rPr>
        <w:t>中含义不明确、同类问题表述不一致或者有明显文字和计算错误的内容，评审委员会可以书面形式（由评审委员会专家签字）要求供应商作出必要的澄清、说明或者纠正。</w:t>
      </w:r>
    </w:p>
    <w:p w14:paraId="5E5C8D6E">
      <w:pPr>
        <w:autoSpaceDE w:val="0"/>
        <w:autoSpaceDN w:val="0"/>
        <w:adjustRightInd w:val="0"/>
        <w:spacing w:line="360" w:lineRule="auto"/>
        <w:ind w:left="529" w:hanging="529" w:hangingChars="252"/>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9.2  供应商的澄清、说明或者纠正应当采用书面形式，经加盖其公章或其合法代表人（法定代表人或法定代表人授权书列明的被授权人）签署方有效，并不得超出响应文件的范围或者改变响应文件的实质性内容。</w:t>
      </w:r>
    </w:p>
    <w:p w14:paraId="1A6B3B3B">
      <w:pPr>
        <w:autoSpaceDE w:val="0"/>
        <w:autoSpaceDN w:val="0"/>
        <w:adjustRightInd w:val="0"/>
        <w:spacing w:line="360" w:lineRule="auto"/>
        <w:ind w:left="529" w:right="18" w:hanging="529" w:hangingChars="252"/>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9.3  经过澄清后仍不符合要求，则该项目在下一步评审进行评分调整；若重大（实质性）偏差仍存在，且不可接受，供应商则被认为是“不响应询比文件要求的供应商”，不再进入下一步评审。</w:t>
      </w:r>
    </w:p>
    <w:p w14:paraId="72C773BD">
      <w:pPr>
        <w:spacing w:line="360" w:lineRule="auto"/>
        <w:ind w:left="424" w:hanging="424" w:hangingChars="202"/>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9.4  </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报价计算错误的修正</w:t>
      </w:r>
    </w:p>
    <w:p w14:paraId="6A932CCC">
      <w:pPr>
        <w:autoSpaceDE/>
        <w:autoSpaceDN/>
        <w:adjustRightInd/>
        <w:spacing w:line="360" w:lineRule="auto"/>
        <w:ind w:left="567" w:hanging="567" w:hangingChars="27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委员会将对确定为实质上响应</w:t>
      </w: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要求的</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进行校核，看其是否有计算或表达上的错误，修正错误的原则为：</w:t>
      </w:r>
    </w:p>
    <w:p w14:paraId="50868C77">
      <w:pPr>
        <w:autoSpaceDE/>
        <w:autoSpaceDN/>
        <w:adjustRightInd/>
        <w:spacing w:line="360" w:lineRule="auto"/>
        <w:ind w:left="0"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lang w:val="en-US" w:eastAsia="zh-CN"/>
        </w:rPr>
        <w:t>A</w:t>
      </w:r>
      <w:r>
        <w:rPr>
          <w:rFonts w:hint="eastAsia" w:ascii="宋体" w:hAnsi="宋体" w:eastAsia="宋体" w:cs="宋体"/>
          <w:color w:val="auto"/>
          <w:kern w:val="0"/>
          <w:szCs w:val="21"/>
          <w:highlight w:val="none"/>
          <w:lang w:val="zh-CN"/>
        </w:rPr>
        <w:t>）当以数字表示的金额与以文字表示的金额不一致时，以文字表示的金额为准；</w:t>
      </w:r>
    </w:p>
    <w:p w14:paraId="762F6C3C">
      <w:pPr>
        <w:autoSpaceDE/>
        <w:autoSpaceDN/>
        <w:adjustRightInd/>
        <w:spacing w:line="360" w:lineRule="auto"/>
        <w:ind w:left="420" w:leftChars="200" w:firstLine="0" w:firstLineChars="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lang w:val="en-US" w:eastAsia="zh-CN"/>
        </w:rPr>
        <w:t>B</w:t>
      </w:r>
      <w:r>
        <w:rPr>
          <w:rFonts w:hint="eastAsia" w:ascii="宋体" w:hAnsi="宋体" w:eastAsia="宋体" w:cs="宋体"/>
          <w:color w:val="auto"/>
          <w:kern w:val="0"/>
          <w:szCs w:val="21"/>
          <w:highlight w:val="none"/>
          <w:lang w:val="zh-CN"/>
        </w:rPr>
        <w:t>）当开启一览表(响应报价表)内总报价金额与按综合单价计算的总价不一致的，以综合单价计算结果为准，单项金额小数点有明显错位的，应以总价为准，并修正综合单价金额；</w:t>
      </w:r>
    </w:p>
    <w:p w14:paraId="688BFFE1">
      <w:pPr>
        <w:autoSpaceDE/>
        <w:autoSpaceDN/>
        <w:adjustRightInd/>
        <w:spacing w:line="360" w:lineRule="auto"/>
        <w:ind w:left="0" w:firstLine="42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lang w:val="en-US" w:eastAsia="zh-CN"/>
        </w:rPr>
        <w:t>C</w:t>
      </w:r>
      <w:r>
        <w:rPr>
          <w:rFonts w:hint="eastAsia" w:ascii="宋体" w:hAnsi="宋体" w:eastAsia="宋体" w:cs="宋体"/>
          <w:color w:val="auto"/>
          <w:kern w:val="0"/>
          <w:szCs w:val="21"/>
          <w:highlight w:val="none"/>
          <w:lang w:val="zh-CN"/>
        </w:rPr>
        <w:t>）按前述修正原则排序依次进行修正至唯一值后的报价表经双方确认后，作为供应商的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lang w:val="zh-CN"/>
        </w:rPr>
        <w:t>报价</w:t>
      </w:r>
      <w:r>
        <w:rPr>
          <w:rFonts w:hint="eastAsia" w:ascii="宋体" w:hAnsi="宋体" w:eastAsia="宋体" w:cs="宋体"/>
          <w:color w:val="auto"/>
          <w:kern w:val="0"/>
          <w:szCs w:val="21"/>
          <w:highlight w:val="none"/>
          <w:lang w:val="en-US" w:eastAsia="zh-CN"/>
        </w:rPr>
        <w:t>及</w:t>
      </w:r>
      <w:r>
        <w:rPr>
          <w:rFonts w:hint="eastAsia" w:ascii="宋体" w:hAnsi="宋体" w:eastAsia="宋体" w:cs="宋体"/>
          <w:color w:val="auto"/>
          <w:kern w:val="0"/>
          <w:szCs w:val="21"/>
          <w:highlight w:val="none"/>
          <w:lang w:val="zh-CN"/>
        </w:rPr>
        <w:t>合同文件的组成部分。</w:t>
      </w:r>
    </w:p>
    <w:p w14:paraId="2EA32243">
      <w:pPr>
        <w:spacing w:line="360" w:lineRule="auto"/>
        <w:ind w:left="567" w:hanging="567" w:hangingChars="270"/>
        <w:rPr>
          <w:rFonts w:hint="eastAsia" w:ascii="宋体" w:hAnsi="宋体" w:eastAsia="宋体" w:cs="宋体"/>
          <w:b/>
          <w:color w:val="auto"/>
          <w:kern w:val="0"/>
          <w:szCs w:val="21"/>
          <w:highlight w:val="none"/>
          <w:lang w:val="zh-CN"/>
        </w:rPr>
      </w:pPr>
      <w:r>
        <w:rPr>
          <w:rFonts w:hint="eastAsia" w:ascii="宋体" w:hAnsi="宋体" w:eastAsia="宋体" w:cs="宋体"/>
          <w:color w:val="auto"/>
          <w:kern w:val="0"/>
          <w:szCs w:val="21"/>
          <w:highlight w:val="none"/>
          <w:lang w:val="zh-CN"/>
        </w:rPr>
        <w:t>（2）</w:t>
      </w:r>
      <w:r>
        <w:rPr>
          <w:rFonts w:hint="eastAsia" w:ascii="宋体" w:hAnsi="宋体" w:eastAsia="宋体" w:cs="宋体"/>
          <w:b/>
          <w:color w:val="auto"/>
          <w:kern w:val="0"/>
          <w:szCs w:val="21"/>
          <w:highlight w:val="none"/>
          <w:u w:val="single"/>
          <w:lang w:val="zh-CN"/>
        </w:rPr>
        <w:t>按上述修正</w:t>
      </w:r>
      <w:r>
        <w:rPr>
          <w:rFonts w:hint="eastAsia" w:ascii="宋体" w:hAnsi="宋体" w:eastAsia="宋体" w:cs="宋体"/>
          <w:b/>
          <w:color w:val="auto"/>
          <w:kern w:val="0"/>
          <w:szCs w:val="21"/>
          <w:highlight w:val="none"/>
          <w:u w:val="single"/>
        </w:rPr>
        <w:t>错误</w:t>
      </w:r>
      <w:r>
        <w:rPr>
          <w:rFonts w:hint="eastAsia" w:ascii="宋体" w:hAnsi="宋体" w:eastAsia="宋体" w:cs="宋体"/>
          <w:b/>
          <w:color w:val="auto"/>
          <w:kern w:val="0"/>
          <w:szCs w:val="21"/>
          <w:highlight w:val="none"/>
          <w:u w:val="single"/>
          <w:lang w:val="zh-CN"/>
        </w:rPr>
        <w:t>的原则及方法调整或修正响应文件的</w:t>
      </w:r>
      <w:r>
        <w:rPr>
          <w:rFonts w:hint="eastAsia" w:ascii="宋体" w:hAnsi="宋体" w:eastAsia="宋体" w:cs="宋体"/>
          <w:b/>
          <w:bCs/>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lang w:val="zh-CN"/>
        </w:rPr>
        <w:t>报价，调整后的</w:t>
      </w:r>
      <w:r>
        <w:rPr>
          <w:rFonts w:hint="eastAsia" w:ascii="宋体" w:hAnsi="宋体" w:eastAsia="宋体" w:cs="宋体"/>
          <w:b/>
          <w:bCs/>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lang w:val="zh-CN"/>
        </w:rPr>
        <w:t>报价对供应商起约束作用。如果供应商不接受修正后的报价，则其</w:t>
      </w:r>
      <w:r>
        <w:rPr>
          <w:rFonts w:hint="eastAsia" w:ascii="宋体" w:hAnsi="宋体" w:eastAsia="宋体" w:cs="宋体"/>
          <w:b/>
          <w:bCs/>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lang w:val="zh-CN"/>
        </w:rPr>
        <w:t>将被拒绝，作为无效</w:t>
      </w:r>
      <w:r>
        <w:rPr>
          <w:rFonts w:hint="eastAsia" w:ascii="宋体" w:hAnsi="宋体" w:eastAsia="宋体" w:cs="宋体"/>
          <w:b/>
          <w:bCs/>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lang w:val="zh-CN"/>
        </w:rPr>
        <w:t>处理</w:t>
      </w:r>
      <w:r>
        <w:rPr>
          <w:rFonts w:hint="eastAsia" w:ascii="宋体" w:hAnsi="宋体" w:eastAsia="宋体" w:cs="宋体"/>
          <w:b/>
          <w:color w:val="auto"/>
          <w:kern w:val="0"/>
          <w:szCs w:val="21"/>
          <w:highlight w:val="none"/>
          <w:lang w:val="zh-CN"/>
        </w:rPr>
        <w:t>。</w:t>
      </w:r>
    </w:p>
    <w:p w14:paraId="625DC77A">
      <w:pPr>
        <w:spacing w:line="360" w:lineRule="auto"/>
        <w:ind w:left="567" w:hanging="567" w:hangingChars="270"/>
        <w:rPr>
          <w:rFonts w:hint="eastAsia" w:ascii="宋体" w:hAnsi="宋体" w:eastAsia="宋体" w:cs="宋体"/>
          <w:b/>
          <w:color w:val="auto"/>
          <w:szCs w:val="21"/>
          <w:highlight w:val="none"/>
          <w:lang w:val="zh-CN"/>
        </w:rPr>
      </w:pPr>
      <w:r>
        <w:rPr>
          <w:rFonts w:hint="eastAsia" w:ascii="宋体" w:hAnsi="宋体" w:eastAsia="宋体" w:cs="宋体"/>
          <w:color w:val="auto"/>
          <w:kern w:val="0"/>
          <w:szCs w:val="21"/>
          <w:highlight w:val="none"/>
          <w:lang w:val="zh-CN"/>
        </w:rPr>
        <w:t>9.5  若供应商出现超低报价，有可能影响服务质量和不能诚信履约的，</w:t>
      </w:r>
      <w:r>
        <w:rPr>
          <w:rFonts w:hint="eastAsia" w:ascii="宋体" w:hAnsi="宋体" w:eastAsia="宋体" w:cs="宋体"/>
          <w:b w:val="0"/>
          <w:bCs/>
          <w:color w:val="auto"/>
          <w:szCs w:val="21"/>
          <w:highlight w:val="none"/>
          <w:lang w:val="zh-CN"/>
        </w:rPr>
        <w:t>评审委员会将要求该供应商作出书面说明并提供相关证明材料，以确定供应商是否以低于企业成本价报价。</w:t>
      </w:r>
      <w:r>
        <w:rPr>
          <w:rFonts w:hint="eastAsia" w:ascii="宋体" w:hAnsi="宋体" w:eastAsia="宋体" w:cs="宋体"/>
          <w:b/>
          <w:color w:val="auto"/>
          <w:szCs w:val="21"/>
          <w:highlight w:val="none"/>
          <w:lang w:val="zh-CN"/>
        </w:rPr>
        <w:t>若供应商不能合理说明或不能提供相关证明材料的，评审委员会将认定其</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color w:val="auto"/>
          <w:szCs w:val="21"/>
          <w:highlight w:val="none"/>
          <w:lang w:val="zh-CN"/>
        </w:rPr>
        <w:t>报价低于成本，同时否决其</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lang w:val="zh-CN"/>
        </w:rPr>
        <w:t>。</w:t>
      </w:r>
    </w:p>
    <w:p w14:paraId="6F9018F5">
      <w:pPr>
        <w:tabs>
          <w:tab w:val="left" w:pos="567"/>
        </w:tabs>
        <w:autoSpaceDE/>
        <w:autoSpaceDN/>
        <w:adjustRightInd w:val="0"/>
        <w:spacing w:line="360" w:lineRule="auto"/>
        <w:ind w:firstLine="567"/>
        <w:rPr>
          <w:rFonts w:hint="eastAsia" w:ascii="宋体" w:hAnsi="宋体" w:eastAsia="宋体" w:cs="宋体"/>
          <w:b/>
          <w:bCs w:val="0"/>
          <w:color w:val="auto"/>
          <w:szCs w:val="21"/>
          <w:highlight w:val="none"/>
          <w:lang w:val="zh-CN"/>
        </w:rPr>
      </w:pPr>
      <w:r>
        <w:rPr>
          <w:rFonts w:hint="eastAsia" w:ascii="宋体" w:hAnsi="宋体" w:eastAsia="宋体" w:cs="宋体"/>
          <w:b/>
          <w:bCs w:val="0"/>
          <w:color w:val="auto"/>
          <w:szCs w:val="21"/>
          <w:highlight w:val="none"/>
          <w:lang w:val="zh-CN"/>
        </w:rPr>
        <w:t>若出现下列情形之一的，评审委员会应启动异常低价</w:t>
      </w:r>
      <w:r>
        <w:rPr>
          <w:rFonts w:hint="eastAsia" w:ascii="宋体" w:hAnsi="宋体" w:eastAsia="宋体" w:cs="宋体"/>
          <w:b/>
          <w:bCs w:val="0"/>
          <w:color w:val="auto"/>
          <w:szCs w:val="21"/>
          <w:highlight w:val="none"/>
          <w:lang w:val="en-US" w:eastAsia="zh-CN"/>
        </w:rPr>
        <w:t>响应</w:t>
      </w:r>
      <w:r>
        <w:rPr>
          <w:rFonts w:hint="eastAsia" w:ascii="宋体" w:hAnsi="宋体" w:eastAsia="宋体" w:cs="宋体"/>
          <w:b/>
          <w:bCs w:val="0"/>
          <w:color w:val="auto"/>
          <w:szCs w:val="21"/>
          <w:highlight w:val="none"/>
          <w:lang w:val="zh-CN"/>
        </w:rPr>
        <w:t>审查程序：</w:t>
      </w:r>
    </w:p>
    <w:p w14:paraId="00194DA9">
      <w:pPr>
        <w:autoSpaceDE/>
        <w:autoSpaceDN/>
        <w:spacing w:line="360" w:lineRule="auto"/>
        <w:ind w:left="422" w:leftChars="201" w:firstLine="0" w:firstLineChars="0"/>
        <w:rPr>
          <w:rFonts w:hint="eastAsia" w:ascii="宋体" w:hAnsi="宋体" w:eastAsia="宋体" w:cs="宋体"/>
          <w:b/>
          <w:bCs w:val="0"/>
          <w:color w:val="auto"/>
          <w:kern w:val="0"/>
          <w:szCs w:val="21"/>
          <w:highlight w:val="none"/>
          <w:lang w:val="zh-CN"/>
        </w:rPr>
      </w:pPr>
      <w:r>
        <w:rPr>
          <w:rFonts w:hint="eastAsia" w:ascii="宋体" w:hAnsi="宋体" w:eastAsia="宋体" w:cs="宋体"/>
          <w:b/>
          <w:bCs w:val="0"/>
          <w:color w:val="auto"/>
          <w:kern w:val="0"/>
          <w:szCs w:val="21"/>
          <w:highlight w:val="none"/>
          <w:lang w:val="zh-CN"/>
        </w:rPr>
        <w:t>（1）</w:t>
      </w:r>
      <w:r>
        <w:rPr>
          <w:rFonts w:hint="eastAsia" w:ascii="宋体" w:hAnsi="宋体" w:eastAsia="宋体" w:cs="宋体"/>
          <w:b/>
          <w:bCs w:val="0"/>
          <w:color w:val="auto"/>
          <w:kern w:val="0"/>
          <w:szCs w:val="21"/>
          <w:highlight w:val="none"/>
          <w:lang w:val="en-US" w:eastAsia="zh-CN"/>
        </w:rPr>
        <w:t>响应</w:t>
      </w:r>
      <w:r>
        <w:rPr>
          <w:rFonts w:hint="eastAsia" w:ascii="宋体" w:hAnsi="宋体" w:eastAsia="宋体" w:cs="宋体"/>
          <w:b/>
          <w:bCs w:val="0"/>
          <w:color w:val="auto"/>
          <w:kern w:val="0"/>
          <w:szCs w:val="21"/>
          <w:highlight w:val="none"/>
          <w:lang w:val="zh-CN"/>
        </w:rPr>
        <w:t>报价低于合格</w:t>
      </w:r>
      <w:r>
        <w:rPr>
          <w:rFonts w:hint="eastAsia" w:ascii="宋体" w:hAnsi="宋体" w:eastAsia="宋体" w:cs="宋体"/>
          <w:b/>
          <w:bCs w:val="0"/>
          <w:color w:val="auto"/>
          <w:kern w:val="0"/>
          <w:sz w:val="21"/>
          <w:szCs w:val="21"/>
          <w:highlight w:val="none"/>
          <w:lang w:val="en-US" w:eastAsia="zh-CN"/>
        </w:rPr>
        <w:t>供应商</w:t>
      </w:r>
      <w:r>
        <w:rPr>
          <w:rFonts w:hint="eastAsia" w:ascii="宋体" w:hAnsi="宋体" w:eastAsia="宋体" w:cs="宋体"/>
          <w:b/>
          <w:bCs w:val="0"/>
          <w:color w:val="auto"/>
          <w:kern w:val="0"/>
          <w:szCs w:val="21"/>
          <w:highlight w:val="none"/>
          <w:lang w:val="zh-CN"/>
        </w:rPr>
        <w:t>报价平均值50%的；</w:t>
      </w:r>
    </w:p>
    <w:p w14:paraId="2EB9B72B">
      <w:pPr>
        <w:autoSpaceDE/>
        <w:autoSpaceDN/>
        <w:spacing w:line="360" w:lineRule="auto"/>
        <w:ind w:left="422" w:leftChars="201" w:firstLine="0" w:firstLineChars="0"/>
        <w:rPr>
          <w:rFonts w:hint="eastAsia" w:ascii="宋体" w:hAnsi="宋体" w:eastAsia="宋体" w:cs="宋体"/>
          <w:b/>
          <w:bCs w:val="0"/>
          <w:color w:val="auto"/>
          <w:kern w:val="0"/>
          <w:szCs w:val="21"/>
          <w:highlight w:val="none"/>
          <w:lang w:val="zh-CN"/>
        </w:rPr>
      </w:pPr>
      <w:r>
        <w:rPr>
          <w:rFonts w:hint="eastAsia" w:ascii="宋体" w:hAnsi="宋体" w:eastAsia="宋体" w:cs="宋体"/>
          <w:b/>
          <w:bCs w:val="0"/>
          <w:color w:val="auto"/>
          <w:kern w:val="0"/>
          <w:szCs w:val="21"/>
          <w:highlight w:val="none"/>
          <w:lang w:val="zh-CN"/>
        </w:rPr>
        <w:t>（2）</w:t>
      </w:r>
      <w:r>
        <w:rPr>
          <w:rFonts w:hint="eastAsia" w:ascii="宋体" w:hAnsi="宋体" w:eastAsia="宋体" w:cs="宋体"/>
          <w:b/>
          <w:bCs w:val="0"/>
          <w:color w:val="auto"/>
          <w:kern w:val="0"/>
          <w:szCs w:val="21"/>
          <w:highlight w:val="none"/>
          <w:lang w:val="zh-CN" w:eastAsia="zh-CN"/>
        </w:rPr>
        <w:t>响应</w:t>
      </w:r>
      <w:r>
        <w:rPr>
          <w:rFonts w:hint="eastAsia" w:ascii="宋体" w:hAnsi="宋体" w:eastAsia="宋体" w:cs="宋体"/>
          <w:b/>
          <w:bCs w:val="0"/>
          <w:color w:val="auto"/>
          <w:kern w:val="0"/>
          <w:szCs w:val="21"/>
          <w:highlight w:val="none"/>
          <w:lang w:val="zh-CN"/>
        </w:rPr>
        <w:t>报价低于合格且报价次低</w:t>
      </w:r>
      <w:r>
        <w:rPr>
          <w:rFonts w:hint="eastAsia" w:ascii="宋体" w:hAnsi="宋体" w:eastAsia="宋体" w:cs="宋体"/>
          <w:b/>
          <w:bCs w:val="0"/>
          <w:color w:val="auto"/>
          <w:kern w:val="0"/>
          <w:sz w:val="21"/>
          <w:szCs w:val="21"/>
          <w:highlight w:val="none"/>
          <w:lang w:val="zh-CN" w:eastAsia="zh-CN"/>
        </w:rPr>
        <w:t>供应商</w:t>
      </w:r>
      <w:r>
        <w:rPr>
          <w:rFonts w:hint="eastAsia" w:ascii="宋体" w:hAnsi="宋体" w:eastAsia="宋体" w:cs="宋体"/>
          <w:b/>
          <w:bCs w:val="0"/>
          <w:color w:val="auto"/>
          <w:kern w:val="0"/>
          <w:szCs w:val="21"/>
          <w:highlight w:val="none"/>
          <w:lang w:val="zh-CN"/>
        </w:rPr>
        <w:t>报价50%的；</w:t>
      </w:r>
    </w:p>
    <w:p w14:paraId="4F6AEA8E">
      <w:pPr>
        <w:autoSpaceDE/>
        <w:autoSpaceDN/>
        <w:spacing w:line="360" w:lineRule="auto"/>
        <w:ind w:left="422" w:leftChars="201" w:firstLine="0" w:firstLineChars="0"/>
        <w:rPr>
          <w:rFonts w:hint="eastAsia" w:ascii="宋体" w:hAnsi="宋体" w:eastAsia="宋体" w:cs="宋体"/>
          <w:b/>
          <w:bCs w:val="0"/>
          <w:color w:val="auto"/>
          <w:kern w:val="0"/>
          <w:szCs w:val="21"/>
          <w:highlight w:val="none"/>
          <w:lang w:val="zh-CN"/>
        </w:rPr>
      </w:pPr>
      <w:r>
        <w:rPr>
          <w:rFonts w:hint="eastAsia" w:ascii="宋体" w:hAnsi="宋体" w:eastAsia="宋体" w:cs="宋体"/>
          <w:b/>
          <w:bCs w:val="0"/>
          <w:color w:val="auto"/>
          <w:kern w:val="0"/>
          <w:szCs w:val="21"/>
          <w:highlight w:val="none"/>
          <w:lang w:val="zh-CN"/>
        </w:rPr>
        <w:t>（3）</w:t>
      </w:r>
      <w:r>
        <w:rPr>
          <w:rFonts w:hint="eastAsia" w:ascii="宋体" w:hAnsi="宋体" w:eastAsia="宋体" w:cs="宋体"/>
          <w:b/>
          <w:bCs w:val="0"/>
          <w:color w:val="auto"/>
          <w:kern w:val="0"/>
          <w:szCs w:val="21"/>
          <w:highlight w:val="none"/>
          <w:lang w:val="zh-CN" w:eastAsia="zh-CN"/>
        </w:rPr>
        <w:t>响应</w:t>
      </w:r>
      <w:r>
        <w:rPr>
          <w:rFonts w:hint="eastAsia" w:ascii="宋体" w:hAnsi="宋体" w:eastAsia="宋体" w:cs="宋体"/>
          <w:b/>
          <w:bCs w:val="0"/>
          <w:color w:val="auto"/>
          <w:kern w:val="0"/>
          <w:szCs w:val="21"/>
          <w:highlight w:val="none"/>
          <w:lang w:val="zh-CN"/>
        </w:rPr>
        <w:t>报价低于采购项目采购限价45%的；</w:t>
      </w:r>
    </w:p>
    <w:p w14:paraId="56C1CFF6">
      <w:pPr>
        <w:autoSpaceDE/>
        <w:autoSpaceDN/>
        <w:spacing w:line="360" w:lineRule="auto"/>
        <w:ind w:left="422" w:leftChars="201" w:firstLine="0" w:firstLineChars="0"/>
        <w:rPr>
          <w:rFonts w:hint="eastAsia" w:ascii="宋体" w:hAnsi="宋体" w:eastAsia="宋体" w:cs="宋体"/>
          <w:b/>
          <w:bCs w:val="0"/>
          <w:color w:val="auto"/>
          <w:kern w:val="0"/>
          <w:szCs w:val="21"/>
          <w:highlight w:val="none"/>
          <w:lang w:val="zh-CN"/>
        </w:rPr>
      </w:pPr>
      <w:r>
        <w:rPr>
          <w:rFonts w:hint="eastAsia" w:ascii="宋体" w:hAnsi="宋体" w:eastAsia="宋体" w:cs="宋体"/>
          <w:b/>
          <w:bCs w:val="0"/>
          <w:color w:val="auto"/>
          <w:kern w:val="0"/>
          <w:szCs w:val="21"/>
          <w:highlight w:val="none"/>
          <w:lang w:val="zh-CN"/>
        </w:rPr>
        <w:t>（4）评审委员会认为</w:t>
      </w:r>
      <w:r>
        <w:rPr>
          <w:rFonts w:hint="eastAsia" w:ascii="宋体" w:hAnsi="宋体" w:eastAsia="宋体" w:cs="宋体"/>
          <w:b/>
          <w:bCs w:val="0"/>
          <w:color w:val="auto"/>
          <w:kern w:val="0"/>
          <w:szCs w:val="21"/>
          <w:highlight w:val="none"/>
          <w:lang w:val="zh-CN" w:eastAsia="zh-CN"/>
        </w:rPr>
        <w:t>供应商</w:t>
      </w:r>
      <w:r>
        <w:rPr>
          <w:rFonts w:hint="eastAsia" w:ascii="宋体" w:hAnsi="宋体" w:eastAsia="宋体" w:cs="宋体"/>
          <w:b/>
          <w:bCs w:val="0"/>
          <w:color w:val="auto"/>
          <w:kern w:val="0"/>
          <w:szCs w:val="21"/>
          <w:highlight w:val="none"/>
          <w:lang w:val="zh-CN"/>
        </w:rPr>
        <w:t>报价过低，有可能影响产品质量或者不能诚信履约的。</w:t>
      </w:r>
    </w:p>
    <w:p w14:paraId="5F74DF52">
      <w:pPr>
        <w:autoSpaceDE w:val="0"/>
        <w:autoSpaceDN w:val="0"/>
        <w:adjustRightInd w:val="0"/>
        <w:spacing w:line="360" w:lineRule="auto"/>
        <w:jc w:val="center"/>
        <w:rPr>
          <w:rFonts w:hint="eastAsia" w:ascii="宋体" w:hAnsi="宋体" w:eastAsia="宋体" w:cs="宋体"/>
          <w:b/>
          <w:bCs/>
          <w:color w:val="auto"/>
          <w:sz w:val="28"/>
          <w:szCs w:val="28"/>
          <w:highlight w:val="none"/>
          <w:lang w:val="zh-CN"/>
        </w:rPr>
      </w:pPr>
      <w:bookmarkStart w:id="711" w:name="_Toc8518_WPSOffice_Level1"/>
    </w:p>
    <w:p w14:paraId="6FECBA30">
      <w:pPr>
        <w:autoSpaceDE w:val="0"/>
        <w:autoSpaceDN w:val="0"/>
        <w:adjustRightIn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zh-CN"/>
        </w:rPr>
        <w:t>四、比较和评价</w:t>
      </w:r>
      <w:bookmarkEnd w:id="711"/>
    </w:p>
    <w:p w14:paraId="1F2AD8C5">
      <w:pPr>
        <w:autoSpaceDE w:val="0"/>
        <w:autoSpaceDN w:val="0"/>
        <w:adjustRightInd w:val="0"/>
        <w:spacing w:line="360" w:lineRule="auto"/>
        <w:ind w:left="422" w:leftChars="1" w:hanging="420" w:hangingChars="200"/>
        <w:rPr>
          <w:rFonts w:hint="eastAsia" w:ascii="宋体" w:hAnsi="宋体" w:eastAsia="宋体" w:cs="宋体"/>
          <w:color w:val="auto"/>
          <w:szCs w:val="24"/>
          <w:highlight w:val="none"/>
          <w:lang w:val="zh-CN"/>
        </w:rPr>
      </w:pPr>
      <w:r>
        <w:rPr>
          <w:rFonts w:hint="eastAsia" w:ascii="宋体" w:hAnsi="宋体" w:eastAsia="宋体" w:cs="宋体"/>
          <w:bCs/>
          <w:color w:val="auto"/>
          <w:szCs w:val="24"/>
          <w:highlight w:val="none"/>
          <w:lang w:val="zh-CN"/>
        </w:rPr>
        <w:t>10、评审委员会按询比文件中规定的评审方法和标准，对资格性检查和符合性检查合格的响应文件进行商务和技术评审、综合比较与评价；评审委员会根据商务和技术评审的结果，采用综合评分法，分别对响应文件的商务、技术、价格等内容进行打分。</w:t>
      </w:r>
    </w:p>
    <w:p w14:paraId="46B91508">
      <w:pPr>
        <w:autoSpaceDE w:val="0"/>
        <w:autoSpaceDN w:val="0"/>
        <w:adjustRightInd w:val="0"/>
        <w:spacing w:line="360" w:lineRule="auto"/>
        <w:ind w:left="422" w:leftChars="1" w:hanging="420" w:hangingChars="200"/>
        <w:rPr>
          <w:rFonts w:hint="eastAsia" w:ascii="宋体" w:hAnsi="宋体" w:eastAsia="宋体" w:cs="宋体"/>
          <w:color w:val="auto"/>
          <w:szCs w:val="24"/>
          <w:highlight w:val="none"/>
          <w:lang w:val="zh-CN"/>
        </w:rPr>
      </w:pPr>
    </w:p>
    <w:p w14:paraId="4F055631">
      <w:pPr>
        <w:tabs>
          <w:tab w:val="left" w:pos="1701"/>
        </w:tabs>
        <w:autoSpaceDE w:val="0"/>
        <w:autoSpaceDN w:val="0"/>
        <w:adjustRightInd w:val="0"/>
        <w:spacing w:line="360" w:lineRule="auto"/>
        <w:rPr>
          <w:rFonts w:hint="eastAsia" w:ascii="宋体" w:hAnsi="宋体" w:eastAsia="宋体" w:cs="宋体"/>
          <w:b/>
          <w:color w:val="auto"/>
          <w:szCs w:val="24"/>
          <w:highlight w:val="none"/>
          <w:lang w:val="zh-CN"/>
        </w:rPr>
      </w:pPr>
      <w:r>
        <w:rPr>
          <w:rFonts w:hint="eastAsia" w:ascii="宋体" w:hAnsi="宋体" w:eastAsia="宋体" w:cs="宋体"/>
          <w:b/>
          <w:color w:val="auto"/>
          <w:szCs w:val="24"/>
          <w:highlight w:val="none"/>
          <w:lang w:val="zh-CN"/>
        </w:rPr>
        <w:t>11、评委打分办法</w:t>
      </w:r>
    </w:p>
    <w:p w14:paraId="4A91488F">
      <w:pPr>
        <w:autoSpaceDE w:val="0"/>
        <w:autoSpaceDN w:val="0"/>
        <w:adjustRightInd w:val="0"/>
        <w:spacing w:line="360" w:lineRule="auto"/>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11.1 参加评分的评委应尽力体现客观、实事求是，避免学派偏见和个人偏好。</w:t>
      </w:r>
    </w:p>
    <w:p w14:paraId="7115E1F4">
      <w:pPr>
        <w:autoSpaceDE w:val="0"/>
        <w:autoSpaceDN w:val="0"/>
        <w:adjustRightInd w:val="0"/>
        <w:spacing w:line="360" w:lineRule="auto"/>
        <w:ind w:left="565" w:leftChars="-1" w:hanging="567" w:hangingChars="27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11.2 衡量、对比的依据，应以询比文件、响应文件、提供的正式试验数据、开启澄清中的文字为准，口头回答和收集的资料只作为参考。</w:t>
      </w:r>
    </w:p>
    <w:p w14:paraId="710AB5CB">
      <w:pPr>
        <w:autoSpaceDE w:val="0"/>
        <w:autoSpaceDN w:val="0"/>
        <w:adjustRightInd w:val="0"/>
        <w:spacing w:line="360" w:lineRule="auto"/>
        <w:ind w:left="565" w:leftChars="-1" w:hanging="567" w:hangingChars="270"/>
        <w:rPr>
          <w:rFonts w:hint="eastAsia" w:ascii="宋体" w:hAnsi="宋体" w:eastAsia="宋体" w:cs="宋体"/>
          <w:color w:val="auto"/>
          <w:kern w:val="0"/>
          <w:szCs w:val="21"/>
          <w:highlight w:val="none"/>
        </w:rPr>
      </w:pPr>
      <w:r>
        <w:rPr>
          <w:rFonts w:hint="eastAsia" w:ascii="宋体" w:hAnsi="宋体" w:eastAsia="宋体" w:cs="宋体"/>
          <w:color w:val="auto"/>
          <w:szCs w:val="24"/>
          <w:highlight w:val="none"/>
          <w:lang w:val="zh-CN"/>
        </w:rPr>
        <w:t>11.3 评分主要是为比较各供应商的商务、技术</w:t>
      </w:r>
      <w:r>
        <w:rPr>
          <w:rFonts w:hint="eastAsia" w:ascii="宋体" w:hAnsi="宋体" w:eastAsia="宋体" w:cs="宋体"/>
          <w:color w:val="auto"/>
          <w:szCs w:val="24"/>
          <w:highlight w:val="none"/>
          <w:lang w:val="en-US" w:eastAsia="zh-CN"/>
        </w:rPr>
        <w:t>和</w:t>
      </w:r>
      <w:r>
        <w:rPr>
          <w:rFonts w:hint="eastAsia" w:ascii="宋体" w:hAnsi="宋体" w:eastAsia="宋体" w:cs="宋体"/>
          <w:color w:val="auto"/>
          <w:szCs w:val="24"/>
          <w:highlight w:val="none"/>
          <w:lang w:val="zh-CN"/>
        </w:rPr>
        <w:t>价格综合排序。</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委员会专家组的每一位评委根据</w:t>
      </w:r>
      <w:r>
        <w:rPr>
          <w:rFonts w:hint="eastAsia" w:ascii="宋体" w:hAnsi="宋体" w:eastAsia="宋体" w:cs="宋体"/>
          <w:color w:val="auto"/>
          <w:kern w:val="0"/>
          <w:szCs w:val="21"/>
          <w:highlight w:val="none"/>
          <w:lang w:eastAsia="zh-CN"/>
        </w:rPr>
        <w:t>询比文件</w:t>
      </w:r>
      <w:r>
        <w:rPr>
          <w:rFonts w:hint="eastAsia" w:ascii="宋体" w:hAnsi="宋体" w:eastAsia="宋体" w:cs="宋体"/>
          <w:color w:val="auto"/>
          <w:kern w:val="0"/>
          <w:szCs w:val="21"/>
          <w:highlight w:val="none"/>
        </w:rPr>
        <w:t>评分标准对</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分别评审，对有效</w:t>
      </w:r>
      <w:r>
        <w:rPr>
          <w:rFonts w:hint="eastAsia" w:ascii="宋体" w:hAnsi="宋体" w:eastAsia="宋体" w:cs="宋体"/>
          <w:color w:val="auto"/>
          <w:kern w:val="0"/>
          <w:szCs w:val="21"/>
          <w:highlight w:val="none"/>
          <w:lang w:eastAsia="zh-CN"/>
        </w:rPr>
        <w:t>供应商响应文件</w:t>
      </w:r>
      <w:r>
        <w:rPr>
          <w:rFonts w:hint="eastAsia" w:ascii="宋体" w:hAnsi="宋体" w:eastAsia="宋体" w:cs="宋体"/>
          <w:color w:val="auto"/>
          <w:kern w:val="0"/>
          <w:szCs w:val="21"/>
          <w:highlight w:val="none"/>
        </w:rPr>
        <w:t>的商务、技术、报价分别评分。</w:t>
      </w:r>
    </w:p>
    <w:p w14:paraId="47C83ECF">
      <w:pPr>
        <w:autoSpaceDE w:val="0"/>
        <w:autoSpaceDN w:val="0"/>
        <w:adjustRightInd w:val="0"/>
        <w:spacing w:line="360" w:lineRule="auto"/>
        <w:ind w:left="565" w:leftChars="-1" w:hanging="567" w:hangingChars="27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委员会首先对商务</w:t>
      </w:r>
      <w:r>
        <w:rPr>
          <w:rFonts w:hint="eastAsia" w:ascii="宋体" w:hAnsi="宋体" w:eastAsia="宋体" w:cs="宋体"/>
          <w:color w:val="auto"/>
          <w:kern w:val="0"/>
          <w:szCs w:val="21"/>
          <w:highlight w:val="none"/>
          <w:lang w:val="en-US" w:eastAsia="zh-CN"/>
        </w:rPr>
        <w:t>文件</w:t>
      </w:r>
      <w:r>
        <w:rPr>
          <w:rFonts w:hint="eastAsia" w:ascii="宋体" w:hAnsi="宋体" w:eastAsia="宋体" w:cs="宋体"/>
          <w:color w:val="auto"/>
          <w:kern w:val="0"/>
          <w:szCs w:val="21"/>
          <w:highlight w:val="none"/>
        </w:rPr>
        <w:t>进行评审，按</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标准打分后，取所有评委评分的平均值得出该</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的商务评分；</w:t>
      </w:r>
    </w:p>
    <w:p w14:paraId="30663E0E">
      <w:pPr>
        <w:autoSpaceDE w:val="0"/>
        <w:autoSpaceDN w:val="0"/>
        <w:adjustRightInd w:val="0"/>
        <w:spacing w:line="360" w:lineRule="auto"/>
        <w:ind w:left="565" w:leftChars="-1" w:hanging="567" w:hangingChars="270"/>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然后</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委员会对技术</w:t>
      </w:r>
      <w:r>
        <w:rPr>
          <w:rFonts w:hint="eastAsia" w:ascii="宋体" w:hAnsi="宋体" w:eastAsia="宋体" w:cs="宋体"/>
          <w:color w:val="auto"/>
          <w:kern w:val="0"/>
          <w:szCs w:val="21"/>
          <w:highlight w:val="none"/>
          <w:lang w:val="en-US" w:eastAsia="zh-CN"/>
        </w:rPr>
        <w:t>文件</w:t>
      </w:r>
      <w:r>
        <w:rPr>
          <w:rFonts w:hint="eastAsia" w:ascii="宋体" w:hAnsi="宋体" w:eastAsia="宋体" w:cs="宋体"/>
          <w:color w:val="auto"/>
          <w:kern w:val="0"/>
          <w:szCs w:val="21"/>
          <w:highlight w:val="none"/>
        </w:rPr>
        <w:t>进行评审，按</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标准打分后</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sz w:val="21"/>
          <w:szCs w:val="21"/>
          <w:highlight w:val="none"/>
        </w:rPr>
        <w:t>当</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委员会为五人时，在所有评委对同一份</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技术</w:t>
      </w:r>
      <w:r>
        <w:rPr>
          <w:rFonts w:hint="eastAsia" w:ascii="宋体" w:hAnsi="宋体" w:eastAsia="宋体" w:cs="宋体"/>
          <w:color w:val="auto"/>
          <w:sz w:val="21"/>
          <w:szCs w:val="21"/>
          <w:highlight w:val="none"/>
          <w:lang w:val="en-US" w:eastAsia="zh-CN"/>
        </w:rPr>
        <w:t>部分</w:t>
      </w:r>
      <w:r>
        <w:rPr>
          <w:rFonts w:hint="eastAsia" w:ascii="宋体" w:hAnsi="宋体" w:eastAsia="宋体" w:cs="宋体"/>
          <w:color w:val="auto"/>
          <w:sz w:val="21"/>
          <w:szCs w:val="21"/>
          <w:highlight w:val="none"/>
        </w:rPr>
        <w:t>评审的总评分中，去掉一个最高分和一个最低分，计算剩余总评分的算术平均值即为该</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技术</w:t>
      </w:r>
      <w:r>
        <w:rPr>
          <w:rFonts w:hint="eastAsia" w:ascii="宋体" w:hAnsi="宋体" w:eastAsia="宋体" w:cs="宋体"/>
          <w:color w:val="auto"/>
          <w:sz w:val="21"/>
          <w:szCs w:val="21"/>
          <w:highlight w:val="none"/>
          <w:lang w:val="en-US" w:eastAsia="zh-CN"/>
        </w:rPr>
        <w:t>文件</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最终综合得分</w:t>
      </w:r>
      <w:r>
        <w:rPr>
          <w:rFonts w:hint="eastAsia" w:ascii="宋体" w:hAnsi="宋体" w:eastAsia="宋体" w:cs="宋体"/>
          <w:color w:val="auto"/>
          <w:sz w:val="21"/>
          <w:szCs w:val="21"/>
          <w:highlight w:val="none"/>
        </w:rPr>
        <w:t>；当</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为七人及以上单数时，在各评委的打分中，同一评委的最高评分减去最低评分，去掉分差最大评委的所有打分（出现分差相同时，按最高评分减去次最低评分进行比较，如此类推），在所有剩余评委对同一份</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技术部分评审的总评分中，去掉一个最高分和一个最低分，计算剩余总评分的算术平均值即为该</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技术</w:t>
      </w:r>
      <w:r>
        <w:rPr>
          <w:rFonts w:hint="eastAsia" w:ascii="宋体" w:hAnsi="宋体" w:eastAsia="宋体" w:cs="宋体"/>
          <w:color w:val="auto"/>
          <w:sz w:val="21"/>
          <w:szCs w:val="21"/>
          <w:highlight w:val="none"/>
          <w:lang w:val="en-US" w:eastAsia="zh-CN"/>
        </w:rPr>
        <w:t>文件</w:t>
      </w:r>
      <w:r>
        <w:rPr>
          <w:rFonts w:hint="eastAsia" w:ascii="宋体" w:hAnsi="宋体" w:eastAsia="宋体" w:cs="宋体"/>
          <w:color w:val="auto"/>
          <w:sz w:val="21"/>
          <w:szCs w:val="21"/>
          <w:highlight w:val="none"/>
        </w:rPr>
        <w:t>的最终综合得分；若</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委员会成员对某一项按“优、中、差”区间评审</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评分因素的评分低于权重分值60%的，应在</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报告中作出说明。</w:t>
      </w:r>
    </w:p>
    <w:p w14:paraId="47071956">
      <w:pPr>
        <w:autoSpaceDE w:val="0"/>
        <w:autoSpaceDN w:val="0"/>
        <w:adjustRightInd w:val="0"/>
        <w:spacing w:line="360" w:lineRule="auto"/>
        <w:ind w:left="565" w:leftChars="-1" w:hanging="567" w:hangingChars="270"/>
        <w:rPr>
          <w:rFonts w:hint="eastAsia" w:ascii="宋体" w:hAnsi="宋体" w:eastAsia="宋体" w:cs="宋体"/>
          <w:color w:val="auto"/>
          <w:szCs w:val="24"/>
          <w:highlight w:val="none"/>
          <w:lang w:val="zh-CN"/>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最后</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委员会对报价进行评审，按</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标准计算得出该</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的报价评分。</w:t>
      </w:r>
    </w:p>
    <w:p w14:paraId="1DAED4B3">
      <w:pPr>
        <w:tabs>
          <w:tab w:val="left" w:pos="600"/>
        </w:tabs>
        <w:autoSpaceDE w:val="0"/>
        <w:autoSpaceDN w:val="0"/>
        <w:adjustRightInd w:val="0"/>
        <w:spacing w:line="360" w:lineRule="auto"/>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11.4 评审委员会打分采取记名形式。</w:t>
      </w:r>
    </w:p>
    <w:p w14:paraId="53CE03E5">
      <w:pPr>
        <w:autoSpaceDE w:val="0"/>
        <w:autoSpaceDN w:val="0"/>
        <w:adjustRightInd w:val="0"/>
        <w:spacing w:line="360" w:lineRule="auto"/>
        <w:ind w:left="565" w:leftChars="-1" w:hanging="567" w:hangingChars="27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11.5 各评委根据秘书组提供的打分表严格按照评审大纲内的评分标准独立自主打分，任何人不得要求评委统一打分或统一确定等次顺序。</w:t>
      </w:r>
    </w:p>
    <w:p w14:paraId="7623C6C5">
      <w:pPr>
        <w:autoSpaceDE w:val="0"/>
        <w:autoSpaceDN w:val="0"/>
        <w:adjustRightInd w:val="0"/>
        <w:spacing w:line="360" w:lineRule="auto"/>
        <w:ind w:left="426" w:hanging="426"/>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11.6 对打分表中的每项条款，各评委应根据响应文件、澄清材料、询比文件要求，按满足的程度给供应商打分。</w:t>
      </w:r>
    </w:p>
    <w:p w14:paraId="4441EBA2">
      <w:pPr>
        <w:tabs>
          <w:tab w:val="left" w:pos="600"/>
        </w:tabs>
        <w:autoSpaceDE w:val="0"/>
        <w:autoSpaceDN w:val="0"/>
        <w:adjustRightInd w:val="0"/>
        <w:spacing w:line="360" w:lineRule="auto"/>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11.7 评分程序</w:t>
      </w:r>
    </w:p>
    <w:p w14:paraId="29EBD862">
      <w:pPr>
        <w:tabs>
          <w:tab w:val="left" w:pos="1134"/>
        </w:tabs>
        <w:autoSpaceDE w:val="0"/>
        <w:autoSpaceDN w:val="0"/>
        <w:adjustRightInd w:val="0"/>
        <w:spacing w:line="360" w:lineRule="auto"/>
        <w:ind w:left="565" w:leftChars="-1" w:hanging="567" w:hangingChars="27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（1）就供应商的响应文件对照整理出商务、技术评审因素对比表、偏差表，并在经过校核的基础上逐项打分。</w:t>
      </w:r>
    </w:p>
    <w:p w14:paraId="05A931C5">
      <w:pPr>
        <w:tabs>
          <w:tab w:val="left" w:pos="1134"/>
        </w:tabs>
        <w:autoSpaceDE w:val="0"/>
        <w:autoSpaceDN w:val="0"/>
        <w:adjustRightInd w:val="0"/>
        <w:spacing w:line="360" w:lineRule="auto"/>
        <w:ind w:left="565" w:leftChars="-1" w:hanging="567" w:hangingChars="27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（2）各评委独立完成打分后，将统计好的评分表交给采购代理机构秘书组复核。</w:t>
      </w:r>
    </w:p>
    <w:p w14:paraId="3A3ED7C5">
      <w:pPr>
        <w:tabs>
          <w:tab w:val="left" w:pos="1134"/>
        </w:tabs>
        <w:autoSpaceDE w:val="0"/>
        <w:autoSpaceDN w:val="0"/>
        <w:adjustRightInd w:val="0"/>
        <w:spacing w:line="360" w:lineRule="auto"/>
        <w:ind w:left="565" w:leftChars="-1" w:hanging="567" w:hangingChars="27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（3）评分统计表中各供应商技术得分应为最终综合得分，商务和价格得分应为评委打分的算术平均值。</w:t>
      </w:r>
    </w:p>
    <w:p w14:paraId="6455D1A9">
      <w:pPr>
        <w:autoSpaceDE w:val="0"/>
        <w:autoSpaceDN w:val="0"/>
        <w:adjustRightInd w:val="0"/>
        <w:spacing w:line="360" w:lineRule="auto"/>
        <w:rPr>
          <w:rFonts w:hint="eastAsia" w:ascii="宋体" w:hAnsi="宋体" w:eastAsia="宋体" w:cs="宋体"/>
          <w:color w:val="auto"/>
          <w:szCs w:val="24"/>
          <w:highlight w:val="none"/>
          <w:lang w:val="zh-CN"/>
        </w:rPr>
      </w:pPr>
    </w:p>
    <w:p w14:paraId="6C71452B">
      <w:pPr>
        <w:tabs>
          <w:tab w:val="left" w:pos="1701"/>
        </w:tabs>
        <w:autoSpaceDE w:val="0"/>
        <w:autoSpaceDN w:val="0"/>
        <w:adjustRightInd w:val="0"/>
        <w:spacing w:line="360" w:lineRule="auto"/>
        <w:rPr>
          <w:rFonts w:hint="eastAsia" w:ascii="宋体" w:hAnsi="宋体" w:eastAsia="宋体" w:cs="宋体"/>
          <w:b/>
          <w:color w:val="auto"/>
          <w:szCs w:val="24"/>
          <w:highlight w:val="none"/>
          <w:lang w:val="zh-CN"/>
        </w:rPr>
      </w:pPr>
      <w:r>
        <w:rPr>
          <w:rFonts w:hint="eastAsia" w:ascii="宋体" w:hAnsi="宋体" w:eastAsia="宋体" w:cs="宋体"/>
          <w:b/>
          <w:color w:val="auto"/>
          <w:szCs w:val="24"/>
          <w:highlight w:val="none"/>
          <w:lang w:val="zh-CN"/>
        </w:rPr>
        <w:t>12、评分因素及分值</w:t>
      </w:r>
    </w:p>
    <w:tbl>
      <w:tblPr>
        <w:tblStyle w:val="36"/>
        <w:tblW w:w="103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7"/>
        <w:gridCol w:w="5173"/>
      </w:tblGrid>
      <w:tr w14:paraId="606CAB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14:paraId="5749257F">
            <w:pPr>
              <w:spacing w:line="400" w:lineRule="exact"/>
              <w:jc w:val="center"/>
              <w:rPr>
                <w:rFonts w:hint="eastAsia" w:ascii="宋体" w:hAnsi="宋体" w:eastAsia="宋体" w:cs="宋体"/>
                <w:b/>
                <w:color w:val="auto"/>
                <w:kern w:val="0"/>
                <w:sz w:val="22"/>
                <w:highlight w:val="none"/>
                <w:lang w:val="zh-CN"/>
              </w:rPr>
            </w:pPr>
            <w:r>
              <w:rPr>
                <w:rFonts w:hint="eastAsia" w:ascii="宋体" w:hAnsi="宋体" w:eastAsia="宋体" w:cs="宋体"/>
                <w:b/>
                <w:color w:val="auto"/>
                <w:kern w:val="0"/>
                <w:sz w:val="22"/>
                <w:highlight w:val="none"/>
                <w:lang w:val="zh-CN"/>
              </w:rPr>
              <w:t>评分因素</w:t>
            </w:r>
          </w:p>
        </w:tc>
        <w:tc>
          <w:tcPr>
            <w:tcW w:w="5173" w:type="dxa"/>
            <w:tcBorders>
              <w:top w:val="single" w:color="auto" w:sz="4" w:space="0"/>
              <w:left w:val="single" w:color="auto" w:sz="4" w:space="0"/>
              <w:bottom w:val="single" w:color="auto" w:sz="4" w:space="0"/>
              <w:right w:val="single" w:color="auto" w:sz="4" w:space="0"/>
            </w:tcBorders>
            <w:vAlign w:val="center"/>
          </w:tcPr>
          <w:p w14:paraId="1C76BEE6">
            <w:pPr>
              <w:spacing w:line="400" w:lineRule="exact"/>
              <w:jc w:val="center"/>
              <w:rPr>
                <w:rFonts w:hint="eastAsia" w:ascii="宋体" w:hAnsi="宋体" w:eastAsia="宋体" w:cs="宋体"/>
                <w:b/>
                <w:color w:val="auto"/>
                <w:kern w:val="0"/>
                <w:sz w:val="22"/>
                <w:highlight w:val="none"/>
                <w:lang w:val="zh-CN"/>
              </w:rPr>
            </w:pPr>
            <w:r>
              <w:rPr>
                <w:rFonts w:hint="eastAsia" w:ascii="宋体" w:hAnsi="宋体" w:eastAsia="宋体" w:cs="宋体"/>
                <w:b/>
                <w:color w:val="auto"/>
                <w:kern w:val="0"/>
                <w:sz w:val="22"/>
                <w:highlight w:val="none"/>
                <w:lang w:val="zh-CN"/>
              </w:rPr>
              <w:t>分值</w:t>
            </w:r>
          </w:p>
        </w:tc>
      </w:tr>
      <w:tr w14:paraId="15B29F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14:paraId="6C136490">
            <w:pPr>
              <w:spacing w:line="400" w:lineRule="exact"/>
              <w:jc w:val="center"/>
              <w:rPr>
                <w:rFonts w:hint="eastAsia" w:ascii="宋体" w:hAnsi="宋体" w:eastAsia="宋体" w:cs="宋体"/>
                <w:bCs/>
                <w:color w:val="auto"/>
                <w:kern w:val="0"/>
                <w:sz w:val="22"/>
                <w:highlight w:val="none"/>
                <w:lang w:val="zh-CN"/>
              </w:rPr>
            </w:pPr>
            <w:r>
              <w:rPr>
                <w:rFonts w:hint="eastAsia" w:ascii="宋体" w:hAnsi="宋体" w:eastAsia="宋体" w:cs="宋体"/>
                <w:bCs/>
                <w:color w:val="auto"/>
                <w:kern w:val="0"/>
                <w:sz w:val="22"/>
                <w:highlight w:val="none"/>
                <w:lang w:val="zh-CN"/>
              </w:rPr>
              <w:t>1、商务</w:t>
            </w:r>
          </w:p>
        </w:tc>
        <w:tc>
          <w:tcPr>
            <w:tcW w:w="5173" w:type="dxa"/>
            <w:tcBorders>
              <w:top w:val="single" w:color="auto" w:sz="4" w:space="0"/>
              <w:left w:val="single" w:color="auto" w:sz="4" w:space="0"/>
              <w:bottom w:val="single" w:color="auto" w:sz="4" w:space="0"/>
              <w:right w:val="single" w:color="auto" w:sz="4" w:space="0"/>
            </w:tcBorders>
            <w:vAlign w:val="center"/>
          </w:tcPr>
          <w:p w14:paraId="05080886">
            <w:pPr>
              <w:autoSpaceDE w:val="0"/>
              <w:autoSpaceDN w:val="0"/>
              <w:adjustRightInd w:val="0"/>
              <w:spacing w:line="400" w:lineRule="exact"/>
              <w:jc w:val="center"/>
              <w:rPr>
                <w:rFonts w:hint="eastAsia" w:ascii="宋体" w:hAnsi="宋体" w:eastAsia="宋体" w:cs="宋体"/>
                <w:bCs/>
                <w:color w:val="auto"/>
                <w:kern w:val="0"/>
                <w:sz w:val="22"/>
                <w:highlight w:val="none"/>
                <w:lang w:val="zh-CN"/>
              </w:rPr>
            </w:pPr>
            <w:r>
              <w:rPr>
                <w:rFonts w:hint="eastAsia" w:ascii="宋体" w:hAnsi="宋体" w:eastAsia="宋体" w:cs="宋体"/>
                <w:b/>
                <w:color w:val="auto"/>
                <w:szCs w:val="21"/>
                <w:highlight w:val="none"/>
                <w:lang w:val="en-US" w:eastAsia="zh-CN"/>
              </w:rPr>
              <w:t>10</w:t>
            </w:r>
            <w:r>
              <w:rPr>
                <w:rFonts w:hint="eastAsia" w:ascii="宋体" w:hAnsi="宋体" w:eastAsia="宋体" w:cs="宋体"/>
                <w:b/>
                <w:color w:val="auto"/>
                <w:szCs w:val="21"/>
                <w:highlight w:val="none"/>
                <w:lang w:val="zh-CN"/>
              </w:rPr>
              <w:t>分</w:t>
            </w:r>
          </w:p>
        </w:tc>
      </w:tr>
      <w:tr w14:paraId="43D7D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14:paraId="0DB056F3">
            <w:pPr>
              <w:spacing w:line="400" w:lineRule="exact"/>
              <w:jc w:val="center"/>
              <w:rPr>
                <w:rFonts w:hint="eastAsia" w:ascii="宋体" w:hAnsi="宋体" w:eastAsia="宋体" w:cs="宋体"/>
                <w:bCs/>
                <w:color w:val="auto"/>
                <w:kern w:val="0"/>
                <w:sz w:val="22"/>
                <w:highlight w:val="none"/>
                <w:lang w:val="en-US" w:eastAsia="zh-CN"/>
              </w:rPr>
            </w:pPr>
            <w:r>
              <w:rPr>
                <w:rFonts w:hint="eastAsia" w:ascii="宋体" w:hAnsi="宋体" w:eastAsia="宋体" w:cs="宋体"/>
                <w:bCs/>
                <w:color w:val="auto"/>
                <w:kern w:val="0"/>
                <w:sz w:val="22"/>
                <w:highlight w:val="none"/>
                <w:lang w:val="en-US" w:eastAsia="zh-CN"/>
              </w:rPr>
              <w:t>2</w:t>
            </w:r>
            <w:r>
              <w:rPr>
                <w:rFonts w:hint="eastAsia" w:ascii="宋体" w:hAnsi="宋体" w:eastAsia="宋体" w:cs="宋体"/>
                <w:bCs/>
                <w:color w:val="auto"/>
                <w:kern w:val="0"/>
                <w:sz w:val="22"/>
                <w:highlight w:val="none"/>
                <w:lang w:val="zh-CN"/>
              </w:rPr>
              <w:t>、</w:t>
            </w:r>
            <w:r>
              <w:rPr>
                <w:rFonts w:hint="eastAsia" w:ascii="宋体" w:hAnsi="宋体" w:eastAsia="宋体" w:cs="宋体"/>
                <w:bCs/>
                <w:color w:val="auto"/>
                <w:kern w:val="0"/>
                <w:sz w:val="22"/>
                <w:highlight w:val="none"/>
                <w:lang w:val="en-US" w:eastAsia="zh-CN"/>
              </w:rPr>
              <w:t>技术</w:t>
            </w:r>
          </w:p>
        </w:tc>
        <w:tc>
          <w:tcPr>
            <w:tcW w:w="5173" w:type="dxa"/>
            <w:tcBorders>
              <w:top w:val="single" w:color="auto" w:sz="4" w:space="0"/>
              <w:left w:val="single" w:color="auto" w:sz="4" w:space="0"/>
              <w:bottom w:val="single" w:color="auto" w:sz="4" w:space="0"/>
              <w:right w:val="single" w:color="auto" w:sz="4" w:space="0"/>
            </w:tcBorders>
            <w:vAlign w:val="center"/>
          </w:tcPr>
          <w:p w14:paraId="29118866">
            <w:pPr>
              <w:autoSpaceDE w:val="0"/>
              <w:autoSpaceDN w:val="0"/>
              <w:adjustRightInd w:val="0"/>
              <w:spacing w:line="400" w:lineRule="exact"/>
              <w:jc w:val="center"/>
              <w:rPr>
                <w:rFonts w:hint="eastAsia" w:ascii="宋体" w:hAnsi="宋体" w:eastAsia="宋体" w:cs="宋体"/>
                <w:bCs/>
                <w:color w:val="auto"/>
                <w:kern w:val="0"/>
                <w:sz w:val="22"/>
                <w:highlight w:val="none"/>
                <w:lang w:val="zh-CN"/>
              </w:rPr>
            </w:pPr>
            <w:r>
              <w:rPr>
                <w:rFonts w:hint="eastAsia" w:ascii="宋体" w:hAnsi="宋体" w:eastAsia="宋体" w:cs="宋体"/>
                <w:b/>
                <w:color w:val="auto"/>
                <w:szCs w:val="21"/>
                <w:highlight w:val="none"/>
                <w:lang w:val="en-US" w:eastAsia="zh-CN"/>
              </w:rPr>
              <w:t>5</w:t>
            </w:r>
            <w:r>
              <w:rPr>
                <w:rFonts w:hint="eastAsia" w:ascii="宋体" w:hAnsi="宋体" w:eastAsia="宋体" w:cs="宋体"/>
                <w:b/>
                <w:color w:val="auto"/>
                <w:szCs w:val="21"/>
                <w:highlight w:val="none"/>
                <w:lang w:val="zh-CN"/>
              </w:rPr>
              <w:t>分</w:t>
            </w:r>
          </w:p>
        </w:tc>
      </w:tr>
      <w:tr w14:paraId="1FC8B6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14:paraId="5DA93100">
            <w:pPr>
              <w:spacing w:line="400" w:lineRule="exact"/>
              <w:jc w:val="center"/>
              <w:rPr>
                <w:rFonts w:hint="eastAsia" w:ascii="宋体" w:hAnsi="宋体" w:eastAsia="宋体" w:cs="宋体"/>
                <w:bCs/>
                <w:color w:val="auto"/>
                <w:kern w:val="0"/>
                <w:sz w:val="22"/>
                <w:highlight w:val="none"/>
                <w:lang w:val="en-US" w:eastAsia="zh-CN"/>
              </w:rPr>
            </w:pPr>
            <w:bookmarkStart w:id="712" w:name="_Toc18349_WPSOffice_Level2"/>
            <w:r>
              <w:rPr>
                <w:rFonts w:hint="eastAsia" w:ascii="宋体" w:hAnsi="宋体" w:eastAsia="宋体" w:cs="宋体"/>
                <w:bCs/>
                <w:color w:val="auto"/>
                <w:kern w:val="0"/>
                <w:sz w:val="22"/>
                <w:highlight w:val="none"/>
                <w:lang w:val="en-US" w:eastAsia="zh-CN"/>
              </w:rPr>
              <w:t>3</w:t>
            </w:r>
            <w:r>
              <w:rPr>
                <w:rFonts w:hint="eastAsia" w:ascii="宋体" w:hAnsi="宋体" w:eastAsia="宋体" w:cs="宋体"/>
                <w:bCs/>
                <w:color w:val="auto"/>
                <w:kern w:val="0"/>
                <w:sz w:val="22"/>
                <w:highlight w:val="none"/>
                <w:lang w:val="zh-CN"/>
              </w:rPr>
              <w:t>、价格</w:t>
            </w:r>
          </w:p>
        </w:tc>
        <w:tc>
          <w:tcPr>
            <w:tcW w:w="5173" w:type="dxa"/>
            <w:tcBorders>
              <w:top w:val="single" w:color="auto" w:sz="4" w:space="0"/>
              <w:left w:val="single" w:color="auto" w:sz="4" w:space="0"/>
              <w:bottom w:val="single" w:color="auto" w:sz="4" w:space="0"/>
              <w:right w:val="single" w:color="auto" w:sz="4" w:space="0"/>
            </w:tcBorders>
            <w:vAlign w:val="center"/>
          </w:tcPr>
          <w:p w14:paraId="5A903065">
            <w:pPr>
              <w:autoSpaceDE w:val="0"/>
              <w:autoSpaceDN w:val="0"/>
              <w:adjustRightInd w:val="0"/>
              <w:spacing w:line="400" w:lineRule="exact"/>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85</w:t>
            </w:r>
            <w:r>
              <w:rPr>
                <w:rFonts w:hint="eastAsia" w:ascii="宋体" w:hAnsi="宋体" w:eastAsia="宋体" w:cs="宋体"/>
                <w:b/>
                <w:color w:val="auto"/>
                <w:szCs w:val="21"/>
                <w:highlight w:val="none"/>
                <w:lang w:val="zh-CN"/>
              </w:rPr>
              <w:t>分</w:t>
            </w:r>
          </w:p>
        </w:tc>
      </w:tr>
    </w:tbl>
    <w:p w14:paraId="3663F2EC">
      <w:pPr>
        <w:tabs>
          <w:tab w:val="left" w:pos="585"/>
        </w:tabs>
        <w:autoSpaceDE w:val="0"/>
        <w:autoSpaceDN w:val="0"/>
        <w:adjustRightInd w:val="0"/>
        <w:spacing w:line="360" w:lineRule="auto"/>
        <w:rPr>
          <w:rFonts w:hint="eastAsia" w:ascii="宋体" w:hAnsi="宋体" w:eastAsia="宋体" w:cs="宋体"/>
          <w:b/>
          <w:color w:val="auto"/>
          <w:szCs w:val="21"/>
          <w:highlight w:val="none"/>
        </w:rPr>
      </w:pPr>
    </w:p>
    <w:p w14:paraId="08CB6C8C">
      <w:pPr>
        <w:tabs>
          <w:tab w:val="left" w:pos="585"/>
        </w:tabs>
        <w:autoSpaceDE w:val="0"/>
        <w:autoSpaceDN w:val="0"/>
        <w:adjustRightInd w:val="0"/>
        <w:spacing w:line="360" w:lineRule="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rPr>
        <w:t>（1）</w:t>
      </w:r>
      <w:r>
        <w:rPr>
          <w:rFonts w:hint="eastAsia" w:ascii="宋体" w:hAnsi="宋体" w:eastAsia="宋体" w:cs="宋体"/>
          <w:b/>
          <w:color w:val="auto"/>
          <w:szCs w:val="21"/>
          <w:highlight w:val="none"/>
          <w:lang w:val="zh-CN"/>
        </w:rPr>
        <w:t>商务：总分</w:t>
      </w:r>
      <w:r>
        <w:rPr>
          <w:rFonts w:hint="default" w:ascii="宋体" w:hAnsi="宋体" w:eastAsia="宋体" w:cs="宋体"/>
          <w:b/>
          <w:color w:val="auto"/>
          <w:szCs w:val="21"/>
          <w:highlight w:val="none"/>
          <w:lang w:val="en-US" w:eastAsia="zh-CN"/>
        </w:rPr>
        <w:t>10</w:t>
      </w:r>
      <w:r>
        <w:rPr>
          <w:rFonts w:hint="eastAsia" w:ascii="宋体" w:hAnsi="宋体" w:eastAsia="宋体" w:cs="宋体"/>
          <w:b/>
          <w:color w:val="auto"/>
          <w:szCs w:val="21"/>
          <w:highlight w:val="none"/>
          <w:lang w:val="zh-CN"/>
        </w:rPr>
        <w:t>分</w:t>
      </w:r>
      <w:bookmarkEnd w:id="712"/>
    </w:p>
    <w:tbl>
      <w:tblPr>
        <w:tblStyle w:val="36"/>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133"/>
        <w:gridCol w:w="7657"/>
        <w:gridCol w:w="908"/>
      </w:tblGrid>
      <w:tr w14:paraId="5738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14:paraId="3E681725">
            <w:pPr>
              <w:autoSpaceDE w:val="0"/>
              <w:autoSpaceDN w:val="0"/>
              <w:adjustRightInd w:val="0"/>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1133" w:type="dxa"/>
            <w:tcBorders>
              <w:top w:val="single" w:color="auto" w:sz="4" w:space="0"/>
              <w:left w:val="single" w:color="auto" w:sz="4" w:space="0"/>
              <w:bottom w:val="single" w:color="auto" w:sz="4" w:space="0"/>
              <w:right w:val="single" w:color="auto" w:sz="4" w:space="0"/>
            </w:tcBorders>
            <w:vAlign w:val="bottom"/>
          </w:tcPr>
          <w:p w14:paraId="2ECDB6CC">
            <w:pPr>
              <w:autoSpaceDE w:val="0"/>
              <w:autoSpaceDN w:val="0"/>
              <w:adjustRightInd w:val="0"/>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szCs w:val="21"/>
                <w:highlight w:val="none"/>
                <w:lang w:val="zh-CN"/>
              </w:rPr>
              <w:t>评审内容</w:t>
            </w:r>
          </w:p>
        </w:tc>
        <w:tc>
          <w:tcPr>
            <w:tcW w:w="7657" w:type="dxa"/>
            <w:tcBorders>
              <w:top w:val="single" w:color="auto" w:sz="4" w:space="0"/>
              <w:left w:val="single" w:color="auto" w:sz="4" w:space="0"/>
              <w:bottom w:val="single" w:color="auto" w:sz="4" w:space="0"/>
              <w:right w:val="single" w:color="auto" w:sz="4" w:space="0"/>
            </w:tcBorders>
            <w:vAlign w:val="bottom"/>
          </w:tcPr>
          <w:p w14:paraId="4E887AC4">
            <w:pPr>
              <w:autoSpaceDE w:val="0"/>
              <w:autoSpaceDN w:val="0"/>
              <w:adjustRightInd w:val="0"/>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评审细则</w:t>
            </w:r>
          </w:p>
        </w:tc>
        <w:tc>
          <w:tcPr>
            <w:tcW w:w="908" w:type="dxa"/>
            <w:tcBorders>
              <w:top w:val="single" w:color="auto" w:sz="4" w:space="0"/>
              <w:left w:val="single" w:color="auto" w:sz="4" w:space="0"/>
              <w:bottom w:val="single" w:color="auto" w:sz="4" w:space="0"/>
              <w:right w:val="single" w:color="auto" w:sz="4" w:space="0"/>
            </w:tcBorders>
            <w:vAlign w:val="bottom"/>
          </w:tcPr>
          <w:p w14:paraId="4D3AE5EC">
            <w:pPr>
              <w:autoSpaceDE w:val="0"/>
              <w:autoSpaceDN w:val="0"/>
              <w:adjustRightInd w:val="0"/>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满分值</w:t>
            </w:r>
          </w:p>
        </w:tc>
      </w:tr>
      <w:tr w14:paraId="4DDE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72" w:type="dxa"/>
            <w:tcBorders>
              <w:top w:val="single" w:color="auto" w:sz="4" w:space="0"/>
              <w:left w:val="single" w:color="auto" w:sz="4" w:space="0"/>
              <w:bottom w:val="single" w:color="auto" w:sz="4" w:space="0"/>
              <w:right w:val="single" w:color="auto" w:sz="4" w:space="0"/>
            </w:tcBorders>
            <w:vAlign w:val="center"/>
          </w:tcPr>
          <w:p w14:paraId="0B157F73">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rPr>
              <w:t>1</w:t>
            </w:r>
          </w:p>
        </w:tc>
        <w:tc>
          <w:tcPr>
            <w:tcW w:w="1133" w:type="dxa"/>
            <w:tcBorders>
              <w:top w:val="single" w:color="auto" w:sz="4" w:space="0"/>
              <w:left w:val="single" w:color="auto" w:sz="4" w:space="0"/>
              <w:bottom w:val="single" w:color="auto" w:sz="4" w:space="0"/>
              <w:right w:val="single" w:color="auto" w:sz="4" w:space="0"/>
            </w:tcBorders>
            <w:vAlign w:val="center"/>
          </w:tcPr>
          <w:p w14:paraId="6C461B2C">
            <w:pPr>
              <w:keepNext w:val="0"/>
              <w:keepLines w:val="0"/>
              <w:pageBreakBefore w:val="0"/>
              <w:widowControl w:val="0"/>
              <w:suppressLineNumbers w:val="0"/>
              <w:kinsoku/>
              <w:wordWrap/>
              <w:overflowPunct/>
              <w:topLinePunct w:val="0"/>
              <w:bidi w:val="0"/>
              <w:snapToGrid w:val="0"/>
              <w:spacing w:before="0" w:beforeAutospacing="0" w:after="0" w:afterAutospacing="0" w:line="360" w:lineRule="auto"/>
              <w:ind w:left="0" w:leftChars="0" w:right="0" w:rightChars="0"/>
              <w:jc w:val="center"/>
              <w:textAlignment w:val="auto"/>
              <w:rPr>
                <w:rFonts w:hint="eastAsia" w:ascii="宋体" w:hAnsi="宋体" w:eastAsia="宋体" w:cs="宋体"/>
                <w:bCs/>
                <w:color w:val="auto"/>
                <w:kern w:val="0"/>
                <w:sz w:val="24"/>
                <w:szCs w:val="21"/>
                <w:highlight w:val="none"/>
              </w:rPr>
            </w:pPr>
            <w:r>
              <w:rPr>
                <w:rFonts w:hint="eastAsia" w:ascii="宋体" w:hAnsi="宋体" w:eastAsia="宋体" w:cs="宋体"/>
                <w:color w:val="auto"/>
                <w:sz w:val="21"/>
                <w:szCs w:val="21"/>
                <w:highlight w:val="none"/>
                <w:lang w:val="zh-CN"/>
              </w:rPr>
              <w:t>财务状况</w:t>
            </w:r>
          </w:p>
        </w:tc>
        <w:tc>
          <w:tcPr>
            <w:tcW w:w="7657" w:type="dxa"/>
            <w:tcBorders>
              <w:top w:val="single" w:color="auto" w:sz="4" w:space="0"/>
              <w:left w:val="single" w:color="auto" w:sz="4" w:space="0"/>
              <w:bottom w:val="single" w:color="auto" w:sz="4" w:space="0"/>
              <w:right w:val="single" w:color="auto" w:sz="4" w:space="0"/>
            </w:tcBorders>
            <w:vAlign w:val="center"/>
          </w:tcPr>
          <w:p w14:paraId="75891E1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年三个年度，每具有1个年度盈利的得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分，满分</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14:paraId="0356BF63">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leftChars="0" w:right="0" w:rightChars="0"/>
              <w:jc w:val="left"/>
              <w:textAlignment w:val="auto"/>
              <w:rPr>
                <w:rFonts w:hint="eastAsia" w:ascii="宋体" w:hAnsi="宋体" w:eastAsia="宋体" w:cs="宋体"/>
                <w:b/>
                <w:color w:val="auto"/>
                <w:kern w:val="0"/>
                <w:szCs w:val="21"/>
                <w:highlight w:val="none"/>
                <w:lang w:val="zh-CN"/>
              </w:rPr>
            </w:pPr>
            <w:r>
              <w:rPr>
                <w:rFonts w:hint="eastAsia" w:ascii="宋体" w:hAnsi="宋体" w:eastAsia="宋体" w:cs="宋体"/>
                <w:b/>
                <w:color w:val="auto"/>
                <w:kern w:val="0"/>
                <w:sz w:val="21"/>
                <w:szCs w:val="21"/>
                <w:highlight w:val="none"/>
                <w:lang w:val="zh-CN"/>
              </w:rPr>
              <w:t>备注：盈利指净利润为正数（非零、非负数），</w:t>
            </w:r>
            <w:r>
              <w:rPr>
                <w:rFonts w:hint="eastAsia" w:ascii="宋体" w:hAnsi="宋体" w:eastAsia="宋体" w:cs="宋体"/>
                <w:b/>
                <w:color w:val="auto"/>
                <w:kern w:val="0"/>
                <w:sz w:val="21"/>
                <w:szCs w:val="21"/>
                <w:highlight w:val="none"/>
                <w:lang w:val="en-US" w:eastAsia="zh-CN"/>
              </w:rPr>
              <w:t>供应商</w:t>
            </w:r>
            <w:r>
              <w:rPr>
                <w:rFonts w:hint="eastAsia" w:ascii="宋体" w:hAnsi="宋体" w:eastAsia="宋体" w:cs="宋体"/>
                <w:b/>
                <w:color w:val="auto"/>
                <w:kern w:val="0"/>
                <w:sz w:val="21"/>
                <w:szCs w:val="21"/>
                <w:highlight w:val="none"/>
                <w:lang w:val="zh-CN"/>
              </w:rPr>
              <w:t>应提供</w:t>
            </w:r>
            <w:r>
              <w:rPr>
                <w:rFonts w:hint="eastAsia" w:ascii="宋体" w:hAnsi="宋体" w:eastAsia="宋体" w:cs="宋体"/>
                <w:b/>
                <w:color w:val="auto"/>
                <w:kern w:val="0"/>
                <w:sz w:val="21"/>
                <w:szCs w:val="21"/>
                <w:highlight w:val="none"/>
                <w:lang w:val="zh-CN" w:eastAsia="zh-CN"/>
              </w:rPr>
              <w:t>2023</w:t>
            </w:r>
            <w:r>
              <w:rPr>
                <w:rFonts w:hint="eastAsia" w:ascii="宋体" w:hAnsi="宋体" w:eastAsia="宋体" w:cs="宋体"/>
                <w:b/>
                <w:color w:val="auto"/>
                <w:kern w:val="0"/>
                <w:sz w:val="21"/>
                <w:szCs w:val="21"/>
                <w:highlight w:val="none"/>
                <w:lang w:val="zh-CN"/>
              </w:rPr>
              <w:t>年、</w:t>
            </w:r>
            <w:r>
              <w:rPr>
                <w:rFonts w:hint="eastAsia" w:ascii="宋体" w:hAnsi="宋体" w:eastAsia="宋体" w:cs="宋体"/>
                <w:b/>
                <w:color w:val="auto"/>
                <w:kern w:val="0"/>
                <w:sz w:val="21"/>
                <w:szCs w:val="21"/>
                <w:highlight w:val="none"/>
                <w:lang w:val="zh-CN" w:eastAsia="zh-CN"/>
              </w:rPr>
              <w:t>2024</w:t>
            </w:r>
            <w:r>
              <w:rPr>
                <w:rFonts w:hint="eastAsia" w:ascii="宋体" w:hAnsi="宋体" w:eastAsia="宋体" w:cs="宋体"/>
                <w:b/>
                <w:color w:val="auto"/>
                <w:kern w:val="0"/>
                <w:sz w:val="21"/>
                <w:szCs w:val="21"/>
                <w:highlight w:val="none"/>
                <w:lang w:val="zh-CN"/>
              </w:rPr>
              <w:t>年、</w:t>
            </w:r>
            <w:r>
              <w:rPr>
                <w:rFonts w:hint="eastAsia" w:ascii="宋体" w:hAnsi="宋体" w:eastAsia="宋体" w:cs="宋体"/>
                <w:b/>
                <w:color w:val="auto"/>
                <w:kern w:val="0"/>
                <w:sz w:val="21"/>
                <w:szCs w:val="21"/>
                <w:highlight w:val="none"/>
                <w:lang w:val="zh-CN" w:eastAsia="zh-CN"/>
              </w:rPr>
              <w:t>2025</w:t>
            </w:r>
            <w:r>
              <w:rPr>
                <w:rFonts w:hint="eastAsia" w:ascii="宋体" w:hAnsi="宋体" w:eastAsia="宋体" w:cs="宋体"/>
                <w:b/>
                <w:color w:val="auto"/>
                <w:kern w:val="0"/>
                <w:sz w:val="21"/>
                <w:szCs w:val="21"/>
                <w:highlight w:val="none"/>
                <w:lang w:val="zh-CN"/>
              </w:rPr>
              <w:t>年三个年度的财务报表，净利润以对应年度经审计的财务报表为准，应提供经独立会计师事务所审计过的有效的财务报表</w:t>
            </w:r>
            <w:r>
              <w:rPr>
                <w:rFonts w:hint="eastAsia" w:ascii="宋体" w:hAnsi="宋体" w:eastAsia="宋体" w:cs="宋体"/>
                <w:b/>
                <w:color w:val="auto"/>
                <w:kern w:val="0"/>
                <w:sz w:val="21"/>
                <w:szCs w:val="21"/>
                <w:highlight w:val="none"/>
                <w:lang w:val="en-US" w:eastAsia="zh-CN"/>
              </w:rPr>
              <w:t>复印件</w:t>
            </w:r>
            <w:r>
              <w:rPr>
                <w:rFonts w:hint="eastAsia" w:ascii="宋体" w:hAnsi="宋体" w:eastAsia="宋体" w:cs="宋体"/>
                <w:b/>
                <w:color w:val="auto"/>
                <w:kern w:val="0"/>
                <w:sz w:val="21"/>
                <w:szCs w:val="21"/>
                <w:highlight w:val="none"/>
                <w:lang w:val="zh-CN"/>
              </w:rPr>
              <w:t>；未提供前述财务报表或财务报表未能反映净利润的，不得分。</w:t>
            </w:r>
          </w:p>
        </w:tc>
        <w:tc>
          <w:tcPr>
            <w:tcW w:w="908" w:type="dxa"/>
            <w:tcBorders>
              <w:top w:val="single" w:color="auto" w:sz="4" w:space="0"/>
              <w:left w:val="single" w:color="auto" w:sz="4" w:space="0"/>
              <w:bottom w:val="single" w:color="auto" w:sz="4" w:space="0"/>
              <w:right w:val="single" w:color="auto" w:sz="4" w:space="0"/>
            </w:tcBorders>
            <w:vAlign w:val="center"/>
          </w:tcPr>
          <w:p w14:paraId="27238F1E">
            <w:pPr>
              <w:keepNext w:val="0"/>
              <w:keepLines w:val="0"/>
              <w:pageBreakBefore w:val="0"/>
              <w:widowControl w:val="0"/>
              <w:suppressLineNumbers w:val="0"/>
              <w:kinsoku/>
              <w:wordWrap/>
              <w:overflowPunct/>
              <w:topLinePunct w:val="0"/>
              <w:bidi w:val="0"/>
              <w:snapToGrid w:val="0"/>
              <w:spacing w:before="0" w:beforeAutospacing="0" w:after="0" w:afterAutospacing="0" w:line="360" w:lineRule="auto"/>
              <w:ind w:left="0" w:leftChars="0" w:right="0" w:rightChars="0"/>
              <w:jc w:val="center"/>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tc>
      </w:tr>
      <w:tr w14:paraId="2E2E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jc w:val="center"/>
        </w:trPr>
        <w:tc>
          <w:tcPr>
            <w:tcW w:w="672" w:type="dxa"/>
            <w:tcBorders>
              <w:top w:val="single" w:color="auto" w:sz="4" w:space="0"/>
              <w:left w:val="single" w:color="auto" w:sz="4" w:space="0"/>
              <w:right w:val="single" w:color="auto" w:sz="4" w:space="0"/>
            </w:tcBorders>
            <w:vAlign w:val="center"/>
          </w:tcPr>
          <w:p w14:paraId="5639A50B">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宋体" w:hAnsi="宋体" w:eastAsia="宋体" w:cs="宋体"/>
                <w:color w:val="auto"/>
                <w:kern w:val="0"/>
                <w:szCs w:val="21"/>
                <w:highlight w:val="none"/>
                <w:lang w:eastAsia="zh-CN"/>
              </w:rPr>
            </w:pPr>
            <w:bookmarkStart w:id="713" w:name="_Hlk104987354"/>
            <w:r>
              <w:rPr>
                <w:rFonts w:hint="eastAsia" w:ascii="宋体" w:hAnsi="宋体" w:eastAsia="宋体" w:cs="宋体"/>
                <w:color w:val="auto"/>
                <w:kern w:val="0"/>
                <w:sz w:val="21"/>
                <w:szCs w:val="21"/>
                <w:highlight w:val="none"/>
                <w:lang w:val="en-US" w:eastAsia="zh-CN"/>
              </w:rPr>
              <w:t>2</w:t>
            </w:r>
          </w:p>
        </w:tc>
        <w:tc>
          <w:tcPr>
            <w:tcW w:w="1133" w:type="dxa"/>
            <w:tcBorders>
              <w:top w:val="single" w:color="auto" w:sz="4" w:space="0"/>
              <w:left w:val="single" w:color="auto" w:sz="4" w:space="0"/>
              <w:right w:val="single" w:color="auto" w:sz="4" w:space="0"/>
            </w:tcBorders>
            <w:vAlign w:val="center"/>
          </w:tcPr>
          <w:p w14:paraId="60064736">
            <w:pPr>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ightChars="0"/>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rPr>
              <w:t>业绩</w:t>
            </w:r>
          </w:p>
        </w:tc>
        <w:tc>
          <w:tcPr>
            <w:tcW w:w="7657" w:type="dxa"/>
            <w:tcBorders>
              <w:top w:val="single" w:color="auto" w:sz="4" w:space="0"/>
              <w:left w:val="single" w:color="auto" w:sz="4" w:space="0"/>
              <w:right w:val="single" w:color="auto" w:sz="4" w:space="0"/>
            </w:tcBorders>
            <w:vAlign w:val="center"/>
          </w:tcPr>
          <w:p w14:paraId="5F0DB265">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供应商2021</w:t>
            </w:r>
            <w:r>
              <w:rPr>
                <w:rFonts w:hint="eastAsia" w:ascii="宋体" w:hAnsi="宋体" w:eastAsia="宋体" w:cs="宋体"/>
                <w:color w:val="auto"/>
                <w:sz w:val="21"/>
                <w:szCs w:val="21"/>
                <w:highlight w:val="none"/>
                <w:lang w:val="zh-CN"/>
              </w:rPr>
              <w:t>年1月1日至今（合同签订时间为</w:t>
            </w:r>
            <w:r>
              <w:rPr>
                <w:rFonts w:hint="eastAsia" w:ascii="宋体" w:hAnsi="宋体" w:eastAsia="宋体" w:cs="宋体"/>
                <w:color w:val="auto"/>
                <w:sz w:val="21"/>
                <w:szCs w:val="21"/>
                <w:highlight w:val="none"/>
              </w:rPr>
              <w:t>2021</w:t>
            </w:r>
            <w:r>
              <w:rPr>
                <w:rFonts w:hint="eastAsia" w:ascii="宋体" w:hAnsi="宋体" w:eastAsia="宋体" w:cs="宋体"/>
                <w:color w:val="auto"/>
                <w:sz w:val="21"/>
                <w:szCs w:val="21"/>
                <w:highlight w:val="none"/>
                <w:lang w:val="zh-CN"/>
              </w:rPr>
              <w:t>年1月1日</w:t>
            </w:r>
            <w:r>
              <w:rPr>
                <w:rFonts w:hint="eastAsia" w:ascii="宋体" w:hAnsi="宋体" w:eastAsia="宋体" w:cs="宋体"/>
                <w:color w:val="auto"/>
                <w:sz w:val="21"/>
                <w:szCs w:val="21"/>
                <w:highlight w:val="none"/>
              </w:rPr>
              <w:t>或以后</w:t>
            </w:r>
            <w:r>
              <w:rPr>
                <w:rFonts w:hint="eastAsia" w:ascii="宋体" w:hAnsi="宋体" w:eastAsia="宋体" w:cs="宋体"/>
                <w:color w:val="auto"/>
                <w:sz w:val="21"/>
                <w:szCs w:val="21"/>
                <w:highlight w:val="none"/>
                <w:lang w:val="zh-CN"/>
              </w:rPr>
              <w:t>）承接过</w:t>
            </w:r>
            <w:r>
              <w:rPr>
                <w:rFonts w:hint="eastAsia" w:ascii="宋体" w:hAnsi="宋体" w:eastAsia="宋体" w:cs="宋体"/>
                <w:color w:val="auto"/>
                <w:sz w:val="21"/>
                <w:szCs w:val="21"/>
                <w:highlight w:val="none"/>
              </w:rPr>
              <w:t>废物</w:t>
            </w:r>
            <w:r>
              <w:rPr>
                <w:rFonts w:hint="eastAsia" w:ascii="宋体" w:hAnsi="宋体" w:eastAsia="宋体" w:cs="宋体"/>
                <w:color w:val="auto"/>
                <w:sz w:val="21"/>
                <w:szCs w:val="21"/>
                <w:highlight w:val="none"/>
                <w:lang w:val="zh-CN"/>
              </w:rPr>
              <w:t>处置</w:t>
            </w:r>
            <w:r>
              <w:rPr>
                <w:rFonts w:hint="eastAsia" w:ascii="宋体" w:hAnsi="宋体" w:eastAsia="宋体" w:cs="宋体"/>
                <w:color w:val="auto"/>
                <w:sz w:val="21"/>
                <w:szCs w:val="21"/>
                <w:highlight w:val="none"/>
              </w:rPr>
              <w:t>（危险废物代码为772-006-49）</w:t>
            </w:r>
            <w:r>
              <w:rPr>
                <w:rFonts w:hint="eastAsia" w:ascii="宋体" w:hAnsi="宋体" w:eastAsia="宋体" w:cs="宋体"/>
                <w:color w:val="auto"/>
                <w:sz w:val="21"/>
                <w:szCs w:val="21"/>
                <w:highlight w:val="none"/>
                <w:lang w:val="zh-CN"/>
              </w:rPr>
              <w:t>服务</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zh-CN"/>
              </w:rPr>
              <w:t>的业绩，</w:t>
            </w:r>
            <w:r>
              <w:rPr>
                <w:rFonts w:hint="eastAsia" w:ascii="宋体" w:hAnsi="宋体" w:eastAsia="宋体" w:cs="宋体"/>
                <w:color w:val="auto"/>
                <w:sz w:val="21"/>
                <w:szCs w:val="21"/>
                <w:highlight w:val="none"/>
              </w:rPr>
              <w:t>按下列情况评分，本项满分7分。</w:t>
            </w:r>
          </w:p>
          <w:p w14:paraId="394294C6">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（1）单项合同金额≥</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rPr>
              <w:t>万元的前述业绩，每项得2分。</w:t>
            </w:r>
          </w:p>
          <w:p w14:paraId="4A4482B7">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万元＜单项合同金额＜</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rPr>
              <w:t>万元的前述业绩，每项得1分。</w:t>
            </w:r>
          </w:p>
          <w:p w14:paraId="5CB704F2">
            <w:pPr>
              <w:spacing w:beforeLines="0" w:afterLines="0" w:line="36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万元</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单项合同金额</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万元的前述业绩，每项得</w:t>
            </w:r>
            <w:r>
              <w:rPr>
                <w:rFonts w:hint="default" w:ascii="宋体" w:hAnsi="宋体" w:eastAsia="宋体" w:cs="宋体"/>
                <w:color w:val="auto"/>
                <w:sz w:val="21"/>
                <w:szCs w:val="21"/>
                <w:highlight w:val="none"/>
                <w:lang w:val="en-US"/>
              </w:rPr>
              <w:t>0.5</w:t>
            </w:r>
            <w:r>
              <w:rPr>
                <w:rFonts w:hint="eastAsia" w:ascii="宋体" w:hAnsi="宋体" w:eastAsia="宋体" w:cs="宋体"/>
                <w:color w:val="auto"/>
                <w:sz w:val="21"/>
                <w:szCs w:val="21"/>
                <w:highlight w:val="none"/>
              </w:rPr>
              <w:t>分，</w:t>
            </w:r>
            <w:r>
              <w:rPr>
                <w:rFonts w:hint="eastAsia" w:ascii="宋体" w:hAnsi="宋体" w:eastAsia="宋体" w:cs="宋体"/>
                <w:b/>
                <w:color w:val="auto"/>
                <w:sz w:val="21"/>
                <w:szCs w:val="21"/>
                <w:highlight w:val="none"/>
              </w:rPr>
              <w:t>本子项满分</w:t>
            </w:r>
            <w:r>
              <w:rPr>
                <w:rFonts w:hint="default" w:ascii="宋体" w:hAnsi="宋体" w:eastAsia="宋体" w:cs="宋体"/>
                <w:b/>
                <w:color w:val="auto"/>
                <w:sz w:val="21"/>
                <w:szCs w:val="21"/>
                <w:highlight w:val="none"/>
                <w:lang w:val="en-US"/>
              </w:rPr>
              <w:t>4</w:t>
            </w:r>
            <w:r>
              <w:rPr>
                <w:rFonts w:hint="eastAsia" w:ascii="宋体" w:hAnsi="宋体" w:eastAsia="宋体" w:cs="宋体"/>
                <w:b/>
                <w:color w:val="auto"/>
                <w:sz w:val="21"/>
                <w:szCs w:val="21"/>
                <w:highlight w:val="none"/>
              </w:rPr>
              <w:t>分。</w:t>
            </w:r>
          </w:p>
          <w:p w14:paraId="235B8DDB">
            <w:pPr>
              <w:spacing w:beforeLines="0" w:afterLines="0" w:line="360" w:lineRule="auto"/>
              <w:jc w:val="left"/>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备注：</w:t>
            </w:r>
          </w:p>
          <w:p w14:paraId="47835C93">
            <w:pPr>
              <w:spacing w:beforeLines="0" w:afterLines="0"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r>
              <w:rPr>
                <w:rFonts w:hint="eastAsia" w:ascii="宋体" w:hAnsi="宋体" w:eastAsia="宋体" w:cs="宋体"/>
                <w:b/>
                <w:color w:val="auto"/>
                <w:sz w:val="21"/>
                <w:szCs w:val="21"/>
                <w:highlight w:val="none"/>
                <w:lang w:bidi="ar"/>
              </w:rPr>
              <w:t>业绩须附服务合同复印件（合同服务提供方为供应商）及每份合同提供已提供服务任意一张发票复印件（发票开具日期须在本项目询比公告发布之日前）</w:t>
            </w:r>
            <w:r>
              <w:rPr>
                <w:rFonts w:hint="eastAsia" w:ascii="宋体" w:hAnsi="宋体" w:eastAsia="宋体" w:cs="宋体"/>
                <w:b/>
                <w:color w:val="auto"/>
                <w:sz w:val="21"/>
                <w:szCs w:val="21"/>
                <w:highlight w:val="none"/>
              </w:rPr>
              <w:t>，否则不得分；</w:t>
            </w:r>
          </w:p>
          <w:p w14:paraId="7ED73B19">
            <w:pPr>
              <w:tabs>
                <w:tab w:val="left" w:pos="134"/>
              </w:tabs>
              <w:spacing w:beforeLines="0" w:afterLines="0"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（2）若合同无法反映评分条件（</w:t>
            </w:r>
            <w:r>
              <w:rPr>
                <w:rFonts w:hint="eastAsia" w:ascii="宋体" w:hAnsi="宋体" w:eastAsia="宋体" w:cs="宋体"/>
                <w:b/>
                <w:color w:val="auto"/>
                <w:sz w:val="21"/>
                <w:szCs w:val="21"/>
                <w:highlight w:val="none"/>
                <w:lang w:val="zh-CN"/>
              </w:rPr>
              <w:t>合同签订时间</w:t>
            </w:r>
            <w:r>
              <w:rPr>
                <w:rFonts w:hint="eastAsia" w:ascii="宋体" w:hAnsi="宋体" w:eastAsia="宋体" w:cs="宋体"/>
                <w:b/>
                <w:color w:val="auto"/>
                <w:sz w:val="21"/>
                <w:szCs w:val="21"/>
                <w:highlight w:val="none"/>
              </w:rPr>
              <w:t>2021</w:t>
            </w:r>
            <w:r>
              <w:rPr>
                <w:rFonts w:hint="eastAsia" w:ascii="宋体" w:hAnsi="宋体" w:eastAsia="宋体" w:cs="宋体"/>
                <w:b/>
                <w:color w:val="auto"/>
                <w:sz w:val="21"/>
                <w:szCs w:val="21"/>
                <w:highlight w:val="none"/>
                <w:lang w:val="zh-CN"/>
              </w:rPr>
              <w:t>年1月1日</w:t>
            </w:r>
            <w:r>
              <w:rPr>
                <w:rFonts w:hint="eastAsia" w:ascii="宋体" w:hAnsi="宋体" w:eastAsia="宋体" w:cs="宋体"/>
                <w:b/>
                <w:color w:val="auto"/>
                <w:sz w:val="21"/>
                <w:szCs w:val="21"/>
                <w:highlight w:val="none"/>
              </w:rPr>
              <w:t>或以后、处置服务包含危险废物代码772-006-49、该废物代码对应的处置金额）的，还需提供服务购买方出具的书面补充说明文件复印件作为辅助证明(补充说明复印件能显示服务购买方法人公章)，否则不得分；</w:t>
            </w:r>
          </w:p>
          <w:p w14:paraId="05F252A8">
            <w:pPr>
              <w:spacing w:beforeLines="0" w:afterLines="0"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（3）若合同同时涉及多项危险废物处置服务的，仅对危险废物代码772-006-49对应的处置金额予以计分，其余废物处置金额不计入评分；</w:t>
            </w:r>
          </w:p>
          <w:p w14:paraId="7DC6D604">
            <w:pPr>
              <w:spacing w:beforeLines="0" w:afterLines="0" w:line="360" w:lineRule="auto"/>
              <w:jc w:val="left"/>
              <w:rPr>
                <w:rFonts w:hint="eastAsia" w:ascii="宋体" w:hAnsi="宋体" w:eastAsia="宋体" w:cs="宋体"/>
                <w:color w:val="auto"/>
                <w:sz w:val="21"/>
                <w:szCs w:val="24"/>
                <w:highlight w:val="none"/>
              </w:rPr>
            </w:pPr>
            <w:r>
              <w:rPr>
                <w:rFonts w:hint="eastAsia" w:ascii="宋体" w:hAnsi="宋体" w:eastAsia="宋体" w:cs="宋体"/>
                <w:b/>
                <w:color w:val="auto"/>
                <w:sz w:val="21"/>
                <w:szCs w:val="21"/>
                <w:highlight w:val="none"/>
              </w:rPr>
              <w:t>（4）若业绩为框架式协议或资格入围或综合单价合同，必须同时提供合同期限内危险废物代码772-006-49处置服务的发票金额统计表及对应发票复印件，业绩评分以该类废物发票累计金额为准；</w:t>
            </w:r>
          </w:p>
          <w:p w14:paraId="7E6EBE44">
            <w:pPr>
              <w:keepNext w:val="0"/>
              <w:keepLines w:val="0"/>
              <w:pageBreakBefore w:val="0"/>
              <w:widowControl w:val="0"/>
              <w:suppressLineNumbers w:val="0"/>
              <w:kinsoku/>
              <w:wordWrap/>
              <w:overflowPunct/>
              <w:topLinePunct w:val="0"/>
              <w:bidi w:val="0"/>
              <w:adjustRightInd/>
              <w:spacing w:before="0" w:beforeAutospacing="0" w:after="0" w:afterAutospacing="0" w:line="360" w:lineRule="auto"/>
              <w:ind w:left="0" w:leftChars="0" w:right="0" w:rightChars="0"/>
              <w:jc w:val="left"/>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sz w:val="21"/>
                <w:szCs w:val="21"/>
                <w:highlight w:val="none"/>
              </w:rPr>
              <w:t>（5）</w:t>
            </w:r>
            <w:r>
              <w:rPr>
                <w:rFonts w:hint="eastAsia" w:ascii="宋体" w:hAnsi="宋体" w:eastAsia="宋体" w:cs="宋体"/>
                <w:b/>
                <w:color w:val="auto"/>
                <w:sz w:val="21"/>
                <w:szCs w:val="21"/>
                <w:highlight w:val="none"/>
                <w:lang w:val="zh-CN"/>
              </w:rPr>
              <w:t>未按上述要求提供证明材料的业绩，或所附材料无法证明填报项目符合本项评分要求的业绩，在评</w:t>
            </w:r>
            <w:r>
              <w:rPr>
                <w:rFonts w:hint="eastAsia" w:ascii="宋体" w:hAnsi="宋体" w:eastAsia="宋体" w:cs="宋体"/>
                <w:b/>
                <w:color w:val="auto"/>
                <w:sz w:val="21"/>
                <w:szCs w:val="21"/>
                <w:highlight w:val="none"/>
              </w:rPr>
              <w:t>审</w:t>
            </w:r>
            <w:r>
              <w:rPr>
                <w:rFonts w:hint="eastAsia" w:ascii="宋体" w:hAnsi="宋体" w:eastAsia="宋体" w:cs="宋体"/>
                <w:b/>
                <w:color w:val="auto"/>
                <w:sz w:val="21"/>
                <w:szCs w:val="21"/>
                <w:highlight w:val="none"/>
                <w:lang w:val="zh-CN"/>
              </w:rPr>
              <w:t>时将不予考虑</w:t>
            </w:r>
            <w:r>
              <w:rPr>
                <w:rFonts w:hint="eastAsia" w:ascii="宋体" w:hAnsi="宋体" w:eastAsia="宋体" w:cs="宋体"/>
                <w:b/>
                <w:color w:val="auto"/>
                <w:sz w:val="21"/>
                <w:szCs w:val="21"/>
                <w:highlight w:val="none"/>
              </w:rPr>
              <w:t>。</w:t>
            </w:r>
          </w:p>
        </w:tc>
        <w:tc>
          <w:tcPr>
            <w:tcW w:w="908" w:type="dxa"/>
            <w:tcBorders>
              <w:top w:val="single" w:color="auto" w:sz="4" w:space="0"/>
              <w:left w:val="single" w:color="auto" w:sz="4" w:space="0"/>
              <w:bottom w:val="single" w:color="auto" w:sz="4" w:space="0"/>
              <w:right w:val="single" w:color="auto" w:sz="4" w:space="0"/>
            </w:tcBorders>
            <w:vAlign w:val="center"/>
          </w:tcPr>
          <w:p w14:paraId="7CAC2D34">
            <w:pPr>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ightChars="0"/>
              <w:jc w:val="center"/>
              <w:textAlignment w:val="auto"/>
              <w:rPr>
                <w:rFonts w:hint="eastAsia" w:ascii="宋体" w:hAnsi="宋体" w:eastAsia="宋体" w:cs="宋体"/>
                <w:color w:val="auto"/>
                <w:szCs w:val="24"/>
                <w:highlight w:val="none"/>
                <w:lang w:val="en-US" w:eastAsia="zh-CN"/>
              </w:rPr>
            </w:pPr>
            <w:r>
              <w:rPr>
                <w:rFonts w:hint="default"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分</w:t>
            </w:r>
          </w:p>
        </w:tc>
      </w:tr>
      <w:bookmarkEnd w:id="713"/>
    </w:tbl>
    <w:p w14:paraId="3652021C">
      <w:pPr>
        <w:autoSpaceDE w:val="0"/>
        <w:autoSpaceDN w:val="0"/>
        <w:adjustRightInd w:val="0"/>
        <w:ind w:right="-26" w:firstLine="480"/>
        <w:jc w:val="center"/>
        <w:rPr>
          <w:rFonts w:hint="eastAsia" w:ascii="宋体" w:hAnsi="宋体" w:eastAsia="宋体" w:cs="宋体"/>
          <w:b/>
          <w:bCs/>
          <w:color w:val="auto"/>
          <w:kern w:val="0"/>
          <w:sz w:val="24"/>
          <w:szCs w:val="24"/>
          <w:highlight w:val="none"/>
        </w:rPr>
      </w:pPr>
      <w:bookmarkStart w:id="714" w:name="_Toc11639_WPSOffice_Level2"/>
    </w:p>
    <w:bookmarkEnd w:id="714"/>
    <w:p w14:paraId="3AD0F501">
      <w:pPr>
        <w:keepNext w:val="0"/>
        <w:keepLines w:val="0"/>
        <w:pageBreakBefore w:val="0"/>
        <w:widowControl w:val="0"/>
        <w:tabs>
          <w:tab w:val="left" w:pos="585"/>
        </w:tabs>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w:t>
      </w:r>
      <w:r>
        <w:rPr>
          <w:rFonts w:hint="eastAsia" w:ascii="宋体" w:hAnsi="宋体" w:eastAsia="宋体" w:cs="宋体"/>
          <w:b/>
          <w:color w:val="auto"/>
          <w:szCs w:val="24"/>
          <w:highlight w:val="none"/>
        </w:rPr>
        <w:t>2）</w:t>
      </w:r>
      <w:r>
        <w:rPr>
          <w:rFonts w:hint="eastAsia" w:ascii="宋体" w:hAnsi="宋体" w:eastAsia="宋体" w:cs="宋体"/>
          <w:b/>
          <w:color w:val="auto"/>
          <w:szCs w:val="24"/>
          <w:highlight w:val="none"/>
          <w:lang w:val="zh-CN"/>
        </w:rPr>
        <w:t>技术：</w:t>
      </w:r>
      <w:r>
        <w:rPr>
          <w:rFonts w:hint="eastAsia" w:ascii="宋体" w:hAnsi="宋体" w:eastAsia="宋体" w:cs="宋体"/>
          <w:b/>
          <w:color w:val="auto"/>
          <w:szCs w:val="21"/>
          <w:highlight w:val="none"/>
          <w:lang w:val="zh-CN"/>
        </w:rPr>
        <w:t>总分</w:t>
      </w:r>
      <w:r>
        <w:rPr>
          <w:rFonts w:hint="eastAsia" w:ascii="宋体" w:hAnsi="宋体" w:eastAsia="宋体" w:cs="宋体"/>
          <w:b/>
          <w:color w:val="auto"/>
          <w:szCs w:val="21"/>
          <w:highlight w:val="none"/>
          <w:lang w:val="en-US" w:eastAsia="zh-CN"/>
        </w:rPr>
        <w:t>5</w:t>
      </w:r>
      <w:r>
        <w:rPr>
          <w:rFonts w:hint="eastAsia" w:ascii="宋体" w:hAnsi="宋体" w:eastAsia="宋体" w:cs="宋体"/>
          <w:b/>
          <w:color w:val="auto"/>
          <w:szCs w:val="21"/>
          <w:highlight w:val="none"/>
          <w:lang w:val="zh-CN"/>
        </w:rPr>
        <w:t>分</w:t>
      </w:r>
    </w:p>
    <w:tbl>
      <w:tblPr>
        <w:tblStyle w:val="36"/>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133"/>
        <w:gridCol w:w="7658"/>
        <w:gridCol w:w="907"/>
      </w:tblGrid>
      <w:tr w14:paraId="355E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672" w:type="dxa"/>
            <w:tcBorders>
              <w:top w:val="single" w:color="auto" w:sz="4" w:space="0"/>
              <w:left w:val="single" w:color="auto" w:sz="4" w:space="0"/>
              <w:bottom w:val="single" w:color="auto" w:sz="4" w:space="0"/>
              <w:right w:val="single" w:color="auto" w:sz="4" w:space="0"/>
            </w:tcBorders>
            <w:vAlign w:val="center"/>
          </w:tcPr>
          <w:p w14:paraId="69B666BA">
            <w:pPr>
              <w:autoSpaceDE w:val="0"/>
              <w:autoSpaceDN w:val="0"/>
              <w:adjustRightInd w:val="0"/>
              <w:spacing w:line="360" w:lineRule="auto"/>
              <w:jc w:val="center"/>
              <w:rPr>
                <w:rFonts w:hint="eastAsia" w:ascii="宋体" w:hAnsi="宋体" w:eastAsia="宋体" w:cs="宋体"/>
                <w:b/>
                <w:color w:val="auto"/>
                <w:kern w:val="0"/>
                <w:sz w:val="21"/>
                <w:szCs w:val="21"/>
                <w:highlight w:val="none"/>
              </w:rPr>
            </w:pPr>
            <w:bookmarkStart w:id="715" w:name="_Hlk104987779"/>
            <w:r>
              <w:rPr>
                <w:rFonts w:hint="eastAsia" w:ascii="宋体" w:hAnsi="宋体" w:eastAsia="宋体" w:cs="宋体"/>
                <w:b/>
                <w:color w:val="auto"/>
                <w:kern w:val="0"/>
                <w:sz w:val="21"/>
                <w:szCs w:val="21"/>
                <w:highlight w:val="none"/>
              </w:rPr>
              <w:t>序号</w:t>
            </w:r>
          </w:p>
        </w:tc>
        <w:tc>
          <w:tcPr>
            <w:tcW w:w="1133" w:type="dxa"/>
            <w:tcBorders>
              <w:top w:val="single" w:color="auto" w:sz="4" w:space="0"/>
              <w:left w:val="single" w:color="auto" w:sz="4" w:space="0"/>
              <w:bottom w:val="single" w:color="auto" w:sz="4" w:space="0"/>
              <w:right w:val="single" w:color="auto" w:sz="4" w:space="0"/>
            </w:tcBorders>
            <w:vAlign w:val="center"/>
          </w:tcPr>
          <w:p w14:paraId="349C3A92">
            <w:pPr>
              <w:autoSpaceDE w:val="0"/>
              <w:autoSpaceDN w:val="0"/>
              <w:adjustRightInd w:val="0"/>
              <w:spacing w:line="360" w:lineRule="auto"/>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lang w:val="zh-CN"/>
              </w:rPr>
              <w:t>评审内容</w:t>
            </w:r>
          </w:p>
        </w:tc>
        <w:tc>
          <w:tcPr>
            <w:tcW w:w="7658" w:type="dxa"/>
            <w:tcBorders>
              <w:top w:val="single" w:color="auto" w:sz="4" w:space="0"/>
              <w:left w:val="single" w:color="auto" w:sz="4" w:space="0"/>
              <w:bottom w:val="single" w:color="auto" w:sz="4" w:space="0"/>
              <w:right w:val="single" w:color="auto" w:sz="4" w:space="0"/>
            </w:tcBorders>
            <w:vAlign w:val="center"/>
          </w:tcPr>
          <w:p w14:paraId="1C9DB1CF">
            <w:pPr>
              <w:autoSpaceDE w:val="0"/>
              <w:autoSpaceDN w:val="0"/>
              <w:adjustRightInd w:val="0"/>
              <w:spacing w:line="360" w:lineRule="auto"/>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评审细则</w:t>
            </w:r>
          </w:p>
        </w:tc>
        <w:tc>
          <w:tcPr>
            <w:tcW w:w="907" w:type="dxa"/>
            <w:tcBorders>
              <w:top w:val="single" w:color="auto" w:sz="4" w:space="0"/>
              <w:left w:val="single" w:color="auto" w:sz="4" w:space="0"/>
              <w:bottom w:val="single" w:color="auto" w:sz="4" w:space="0"/>
              <w:right w:val="single" w:color="auto" w:sz="4" w:space="0"/>
            </w:tcBorders>
            <w:vAlign w:val="center"/>
          </w:tcPr>
          <w:p w14:paraId="298E4510">
            <w:pPr>
              <w:autoSpaceDE w:val="0"/>
              <w:autoSpaceDN w:val="0"/>
              <w:adjustRightInd w:val="0"/>
              <w:spacing w:line="360" w:lineRule="auto"/>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满分值</w:t>
            </w:r>
          </w:p>
        </w:tc>
      </w:tr>
      <w:tr w14:paraId="3421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 w:type="dxa"/>
            <w:tcBorders>
              <w:top w:val="single" w:color="auto" w:sz="4" w:space="0"/>
              <w:left w:val="single" w:color="auto" w:sz="4" w:space="0"/>
              <w:bottom w:val="single" w:color="auto" w:sz="4" w:space="0"/>
              <w:right w:val="single" w:color="auto" w:sz="4" w:space="0"/>
            </w:tcBorders>
            <w:vAlign w:val="center"/>
          </w:tcPr>
          <w:p w14:paraId="6EC29291">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w:t>
            </w:r>
          </w:p>
        </w:tc>
        <w:tc>
          <w:tcPr>
            <w:tcW w:w="1133" w:type="dxa"/>
            <w:tcBorders>
              <w:top w:val="single" w:color="auto" w:sz="4" w:space="0"/>
              <w:left w:val="single" w:color="auto" w:sz="4" w:space="0"/>
              <w:bottom w:val="single" w:color="auto" w:sz="4" w:space="0"/>
              <w:right w:val="single" w:color="auto" w:sz="4" w:space="0"/>
            </w:tcBorders>
            <w:vAlign w:val="center"/>
          </w:tcPr>
          <w:p w14:paraId="2D3F49D6">
            <w:pPr>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ight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zh-CN"/>
              </w:rPr>
              <w:t>用户需求的响应程度</w:t>
            </w:r>
          </w:p>
        </w:tc>
        <w:tc>
          <w:tcPr>
            <w:tcW w:w="7658" w:type="dxa"/>
            <w:tcBorders>
              <w:top w:val="single" w:color="auto" w:sz="4" w:space="0"/>
              <w:left w:val="single" w:color="auto" w:sz="4" w:space="0"/>
              <w:bottom w:val="single" w:color="auto" w:sz="4" w:space="0"/>
              <w:right w:val="single" w:color="auto" w:sz="4" w:space="0"/>
            </w:tcBorders>
            <w:vAlign w:val="center"/>
          </w:tcPr>
          <w:p w14:paraId="3A632460">
            <w:pPr>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igh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zh-CN"/>
              </w:rPr>
              <w:t>对用户需求偏离表的偏离情况进行评审计分，完全满足用户需求书的要求得满分；每一处负偏离，扣</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分；同时参照其响应文件中技术资料内容进行对比，每发现一处供应商填写为无偏离或正偏离，但评审委员会评审认定其为负偏离的，每处扣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分；本项最低分为0分。</w:t>
            </w:r>
          </w:p>
        </w:tc>
        <w:tc>
          <w:tcPr>
            <w:tcW w:w="907" w:type="dxa"/>
            <w:tcBorders>
              <w:top w:val="single" w:color="auto" w:sz="4" w:space="0"/>
              <w:left w:val="single" w:color="auto" w:sz="4" w:space="0"/>
              <w:bottom w:val="single" w:color="auto" w:sz="4" w:space="0"/>
              <w:right w:val="single" w:color="auto" w:sz="4" w:space="0"/>
            </w:tcBorders>
            <w:vAlign w:val="center"/>
          </w:tcPr>
          <w:p w14:paraId="366E7E7D">
            <w:pPr>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ight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tc>
      </w:tr>
      <w:bookmarkEnd w:id="715"/>
      <w:tr w14:paraId="6A5B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 w:type="dxa"/>
            <w:vAlign w:val="center"/>
          </w:tcPr>
          <w:p w14:paraId="789C9FEC">
            <w:pPr>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igh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133" w:type="dxa"/>
            <w:vAlign w:val="center"/>
          </w:tcPr>
          <w:p w14:paraId="33616C38">
            <w:pPr>
              <w:keepNext/>
              <w:keepLines w:val="0"/>
              <w:pageBreakBefore w:val="0"/>
              <w:widowControl w:val="0"/>
              <w:suppressLineNumbers w:val="0"/>
              <w:tabs>
                <w:tab w:val="left" w:pos="585"/>
                <w:tab w:val="left" w:pos="680"/>
              </w:tabs>
              <w:kinsoku/>
              <w:wordWrap/>
              <w:overflowPunct/>
              <w:topLinePunct w:val="0"/>
              <w:autoSpaceDE/>
              <w:autoSpaceDN/>
              <w:bidi w:val="0"/>
              <w:adjustRightInd/>
              <w:spacing w:before="0" w:beforeAutospacing="0" w:after="0" w:afterAutospacing="0" w:line="360" w:lineRule="auto"/>
              <w:ind w:left="0" w:leftChars="0" w:right="0" w:rightChars="0"/>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应急预案和保障措施</w:t>
            </w:r>
          </w:p>
        </w:tc>
        <w:tc>
          <w:tcPr>
            <w:tcW w:w="7658" w:type="dxa"/>
            <w:vAlign w:val="center"/>
          </w:tcPr>
          <w:p w14:paraId="1C7EFB4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b w:val="0"/>
                <w:bCs w:val="0"/>
                <w:color w:val="auto"/>
                <w:kern w:val="2"/>
                <w:sz w:val="21"/>
                <w:szCs w:val="21"/>
                <w:highlight w:val="none"/>
                <w:lang w:eastAsia="zh-CN"/>
              </w:rPr>
            </w:pPr>
            <w:r>
              <w:rPr>
                <w:rFonts w:hint="eastAsia" w:ascii="宋体" w:hAnsi="宋体" w:eastAsia="宋体" w:cs="宋体"/>
                <w:color w:val="auto"/>
                <w:kern w:val="2"/>
                <w:sz w:val="21"/>
                <w:szCs w:val="21"/>
                <w:highlight w:val="none"/>
              </w:rPr>
              <w:t>对</w:t>
            </w:r>
            <w:r>
              <w:rPr>
                <w:rFonts w:hint="eastAsia" w:ascii="宋体" w:hAnsi="宋体" w:eastAsia="宋体" w:cs="宋体"/>
                <w:color w:val="auto"/>
                <w:sz w:val="21"/>
                <w:szCs w:val="21"/>
                <w:highlight w:val="none"/>
                <w:lang w:val="en-US" w:eastAsia="zh-CN"/>
              </w:rPr>
              <w:t>各</w:t>
            </w:r>
            <w:r>
              <w:rPr>
                <w:rFonts w:hint="eastAsia" w:ascii="宋体" w:hAnsi="宋体" w:eastAsia="宋体" w:cs="宋体"/>
                <w:color w:val="auto"/>
                <w:kern w:val="2"/>
                <w:sz w:val="21"/>
                <w:szCs w:val="21"/>
                <w:highlight w:val="none"/>
                <w:lang w:eastAsia="zh-CN"/>
              </w:rPr>
              <w:t>供应商临时废盐转移量突增</w:t>
            </w:r>
            <w:r>
              <w:rPr>
                <w:rFonts w:hint="eastAsia" w:ascii="宋体" w:hAnsi="宋体" w:eastAsia="宋体" w:cs="宋体"/>
                <w:color w:val="auto"/>
                <w:kern w:val="2"/>
                <w:sz w:val="21"/>
                <w:szCs w:val="21"/>
                <w:highlight w:val="none"/>
              </w:rPr>
              <w:t>、发生交通事故需紧</w:t>
            </w:r>
            <w:r>
              <w:rPr>
                <w:rFonts w:hint="eastAsia" w:ascii="宋体" w:hAnsi="宋体" w:eastAsia="宋体" w:cs="宋体"/>
                <w:b w:val="0"/>
                <w:bCs w:val="0"/>
                <w:color w:val="auto"/>
                <w:kern w:val="2"/>
                <w:sz w:val="21"/>
                <w:szCs w:val="21"/>
                <w:highlight w:val="none"/>
              </w:rPr>
              <w:t>急换车转</w:t>
            </w:r>
            <w:r>
              <w:rPr>
                <w:rFonts w:hint="eastAsia" w:ascii="宋体" w:hAnsi="宋体" w:eastAsia="宋体" w:cs="宋体"/>
                <w:b w:val="0"/>
                <w:bCs w:val="0"/>
                <w:color w:val="auto"/>
                <w:kern w:val="2"/>
                <w:sz w:val="21"/>
                <w:szCs w:val="21"/>
                <w:highlight w:val="none"/>
                <w:lang w:val="en-US" w:eastAsia="zh-CN"/>
              </w:rPr>
              <w:t>运</w:t>
            </w:r>
            <w:r>
              <w:rPr>
                <w:rFonts w:hint="eastAsia" w:ascii="宋体" w:hAnsi="宋体" w:eastAsia="宋体" w:cs="宋体"/>
                <w:b w:val="0"/>
                <w:bCs w:val="0"/>
                <w:color w:val="auto"/>
                <w:kern w:val="2"/>
                <w:sz w:val="21"/>
                <w:szCs w:val="21"/>
                <w:highlight w:val="none"/>
              </w:rPr>
              <w:t>及</w:t>
            </w:r>
            <w:r>
              <w:rPr>
                <w:rFonts w:hint="eastAsia" w:ascii="宋体" w:hAnsi="宋体" w:eastAsia="宋体" w:cs="宋体"/>
                <w:b w:val="0"/>
                <w:bCs w:val="0"/>
                <w:color w:val="auto"/>
                <w:kern w:val="2"/>
                <w:sz w:val="21"/>
                <w:szCs w:val="21"/>
                <w:highlight w:val="none"/>
                <w:lang w:val="en-US" w:eastAsia="zh-CN"/>
              </w:rPr>
              <w:t>废物</w:t>
            </w:r>
            <w:r>
              <w:rPr>
                <w:rFonts w:hint="eastAsia" w:ascii="宋体" w:hAnsi="宋体" w:eastAsia="宋体" w:cs="宋体"/>
                <w:b w:val="0"/>
                <w:bCs w:val="0"/>
                <w:color w:val="auto"/>
                <w:kern w:val="2"/>
                <w:sz w:val="21"/>
                <w:szCs w:val="21"/>
                <w:highlight w:val="none"/>
              </w:rPr>
              <w:t>散落</w:t>
            </w:r>
            <w:r>
              <w:rPr>
                <w:rFonts w:hint="eastAsia" w:ascii="宋体" w:hAnsi="宋体" w:eastAsia="宋体" w:cs="宋体"/>
                <w:b w:val="0"/>
                <w:bCs w:val="0"/>
                <w:color w:val="auto"/>
                <w:kern w:val="2"/>
                <w:sz w:val="21"/>
                <w:szCs w:val="21"/>
                <w:highlight w:val="none"/>
                <w:lang w:val="en-US" w:eastAsia="zh-CN"/>
              </w:rPr>
              <w:t>等情形的</w:t>
            </w:r>
            <w:r>
              <w:rPr>
                <w:rFonts w:hint="eastAsia" w:ascii="宋体" w:hAnsi="宋体" w:eastAsia="宋体" w:cs="宋体"/>
                <w:b w:val="0"/>
                <w:bCs w:val="0"/>
                <w:color w:val="auto"/>
                <w:kern w:val="2"/>
                <w:sz w:val="21"/>
                <w:szCs w:val="21"/>
                <w:highlight w:val="none"/>
              </w:rPr>
              <w:t>环境污染防治</w:t>
            </w:r>
            <w:r>
              <w:rPr>
                <w:rFonts w:hint="eastAsia" w:ascii="宋体" w:hAnsi="宋体" w:eastAsia="宋体" w:cs="宋体"/>
                <w:b w:val="0"/>
                <w:bCs w:val="0"/>
                <w:color w:val="auto"/>
                <w:kern w:val="2"/>
                <w:sz w:val="21"/>
                <w:szCs w:val="21"/>
                <w:highlight w:val="none"/>
                <w:lang w:val="en-US" w:eastAsia="zh-CN"/>
              </w:rPr>
              <w:t>应急预案及保障措施进行评审</w:t>
            </w:r>
            <w:r>
              <w:rPr>
                <w:rFonts w:hint="eastAsia" w:ascii="宋体" w:hAnsi="宋体" w:eastAsia="宋体" w:cs="宋体"/>
                <w:b w:val="0"/>
                <w:bCs w:val="0"/>
                <w:color w:val="auto"/>
                <w:kern w:val="2"/>
                <w:sz w:val="21"/>
                <w:szCs w:val="21"/>
                <w:highlight w:val="none"/>
                <w:lang w:eastAsia="zh-CN"/>
              </w:rPr>
              <w:t>：</w:t>
            </w:r>
          </w:p>
          <w:p w14:paraId="3D73639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优：应急预案详实且完整，能够全面覆盖所有可能发生的应急情况，并对每一类应急情况制定了详尽且具有操作性的保障措施，并给出了</w:t>
            </w:r>
            <w:r>
              <w:rPr>
                <w:rFonts w:hint="eastAsia" w:ascii="宋体" w:hAnsi="宋体" w:eastAsia="宋体" w:cs="宋体"/>
                <w:b w:val="0"/>
                <w:bCs w:val="0"/>
                <w:color w:val="auto"/>
                <w:sz w:val="21"/>
                <w:szCs w:val="21"/>
                <w:highlight w:val="none"/>
                <w:lang w:val="en-US" w:eastAsia="zh-CN"/>
              </w:rPr>
              <w:t>详细可行</w:t>
            </w:r>
            <w:r>
              <w:rPr>
                <w:rFonts w:hint="eastAsia" w:ascii="宋体" w:hAnsi="宋体" w:eastAsia="宋体" w:cs="宋体"/>
                <w:b w:val="0"/>
                <w:bCs w:val="0"/>
                <w:color w:val="auto"/>
                <w:sz w:val="21"/>
                <w:szCs w:val="21"/>
                <w:highlight w:val="none"/>
              </w:rPr>
              <w:t>的解决方案</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能有效指导现场处置行动，确保事故得到有效控制</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得</w:t>
            </w:r>
            <w:r>
              <w:rPr>
                <w:rFonts w:hint="eastAsia" w:ascii="宋体" w:hAnsi="宋体" w:eastAsia="宋体" w:cs="宋体"/>
                <w:b w:val="0"/>
                <w:bCs w:val="0"/>
                <w:color w:val="auto"/>
                <w:sz w:val="21"/>
                <w:szCs w:val="21"/>
                <w:highlight w:val="none"/>
                <w:lang w:val="en-US" w:eastAsia="zh-CN"/>
              </w:rPr>
              <w:t>[2,3]</w:t>
            </w:r>
            <w:r>
              <w:rPr>
                <w:rFonts w:hint="eastAsia" w:ascii="宋体" w:hAnsi="宋体" w:eastAsia="宋体" w:cs="宋体"/>
                <w:b w:val="0"/>
                <w:bCs w:val="0"/>
                <w:color w:val="auto"/>
                <w:kern w:val="2"/>
                <w:sz w:val="21"/>
                <w:szCs w:val="21"/>
                <w:highlight w:val="none"/>
                <w:lang w:val="en-US" w:eastAsia="zh-CN"/>
              </w:rPr>
              <w:t>分；</w:t>
            </w:r>
          </w:p>
          <w:p w14:paraId="70E318F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sz w:val="21"/>
                <w:szCs w:val="21"/>
                <w:highlight w:val="none"/>
              </w:rPr>
              <w:t>中：应急预案基本完整，对</w:t>
            </w:r>
            <w:r>
              <w:rPr>
                <w:rFonts w:hint="eastAsia" w:ascii="宋体" w:hAnsi="宋体" w:eastAsia="宋体" w:cs="宋体"/>
                <w:b w:val="0"/>
                <w:bCs w:val="0"/>
                <w:color w:val="auto"/>
                <w:sz w:val="21"/>
                <w:szCs w:val="21"/>
                <w:highlight w:val="none"/>
                <w:lang w:val="en-US" w:eastAsia="zh-CN"/>
              </w:rPr>
              <w:t>一般</w:t>
            </w:r>
            <w:r>
              <w:rPr>
                <w:rFonts w:hint="eastAsia" w:ascii="宋体" w:hAnsi="宋体" w:eastAsia="宋体" w:cs="宋体"/>
                <w:b w:val="0"/>
                <w:bCs w:val="0"/>
                <w:color w:val="auto"/>
                <w:sz w:val="21"/>
                <w:szCs w:val="21"/>
                <w:highlight w:val="none"/>
              </w:rPr>
              <w:t>应急情况制定了</w:t>
            </w:r>
            <w:r>
              <w:rPr>
                <w:rFonts w:hint="eastAsia" w:ascii="宋体" w:hAnsi="宋体" w:eastAsia="宋体" w:cs="宋体"/>
                <w:b w:val="0"/>
                <w:bCs w:val="0"/>
                <w:color w:val="auto"/>
                <w:sz w:val="21"/>
                <w:szCs w:val="21"/>
                <w:highlight w:val="none"/>
                <w:lang w:val="en-US" w:eastAsia="zh-CN"/>
              </w:rPr>
              <w:t>相应</w:t>
            </w:r>
            <w:r>
              <w:rPr>
                <w:rFonts w:hint="eastAsia" w:ascii="宋体" w:hAnsi="宋体" w:eastAsia="宋体" w:cs="宋体"/>
                <w:b w:val="0"/>
                <w:bCs w:val="0"/>
                <w:color w:val="auto"/>
                <w:sz w:val="21"/>
                <w:szCs w:val="21"/>
                <w:highlight w:val="none"/>
              </w:rPr>
              <w:t>的保障措施</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并给出了相应的解决方案，</w:t>
            </w:r>
            <w:r>
              <w:rPr>
                <w:rFonts w:hint="eastAsia" w:ascii="宋体" w:hAnsi="宋体" w:eastAsia="宋体" w:cs="宋体"/>
                <w:b w:val="0"/>
                <w:bCs w:val="0"/>
                <w:color w:val="auto"/>
                <w:sz w:val="21"/>
                <w:szCs w:val="21"/>
                <w:highlight w:val="none"/>
                <w:lang w:val="en-US" w:eastAsia="zh-CN"/>
              </w:rPr>
              <w:t>但解决方案</w:t>
            </w:r>
            <w:r>
              <w:rPr>
                <w:rFonts w:hint="eastAsia" w:ascii="宋体" w:hAnsi="宋体" w:eastAsia="宋体" w:cs="宋体"/>
                <w:b w:val="0"/>
                <w:bCs w:val="0"/>
                <w:color w:val="auto"/>
                <w:sz w:val="21"/>
                <w:szCs w:val="21"/>
                <w:highlight w:val="none"/>
              </w:rPr>
              <w:t>需要进一步完善以提高其</w:t>
            </w:r>
            <w:r>
              <w:rPr>
                <w:rFonts w:hint="eastAsia" w:ascii="宋体" w:hAnsi="宋体" w:eastAsia="宋体" w:cs="宋体"/>
                <w:b w:val="0"/>
                <w:bCs w:val="0"/>
                <w:color w:val="auto"/>
                <w:sz w:val="21"/>
                <w:szCs w:val="21"/>
                <w:highlight w:val="none"/>
                <w:lang w:val="en-US" w:eastAsia="zh-CN"/>
              </w:rPr>
              <w:t>指导性</w:t>
            </w:r>
            <w:r>
              <w:rPr>
                <w:rFonts w:hint="eastAsia" w:ascii="宋体" w:hAnsi="宋体" w:eastAsia="宋体" w:cs="宋体"/>
                <w:b w:val="0"/>
                <w:bCs w:val="0"/>
                <w:color w:val="auto"/>
                <w:kern w:val="2"/>
                <w:sz w:val="21"/>
                <w:szCs w:val="21"/>
                <w:highlight w:val="none"/>
                <w:lang w:val="en-US" w:eastAsia="zh-CN"/>
              </w:rPr>
              <w:t>，得</w:t>
            </w:r>
            <w:r>
              <w:rPr>
                <w:rFonts w:hint="eastAsia" w:ascii="宋体" w:hAnsi="宋体" w:eastAsia="宋体" w:cs="宋体"/>
                <w:b w:val="0"/>
                <w:bCs w:val="0"/>
                <w:color w:val="auto"/>
                <w:sz w:val="21"/>
                <w:szCs w:val="21"/>
                <w:highlight w:val="none"/>
                <w:lang w:val="en-US" w:eastAsia="zh-CN"/>
              </w:rPr>
              <w:t>[1,2)</w:t>
            </w:r>
            <w:r>
              <w:rPr>
                <w:rFonts w:hint="eastAsia" w:ascii="宋体" w:hAnsi="宋体" w:eastAsia="宋体" w:cs="宋体"/>
                <w:b w:val="0"/>
                <w:bCs w:val="0"/>
                <w:color w:val="auto"/>
                <w:kern w:val="2"/>
                <w:sz w:val="21"/>
                <w:szCs w:val="21"/>
                <w:highlight w:val="none"/>
                <w:lang w:val="en-US" w:eastAsia="zh-CN"/>
              </w:rPr>
              <w:t>分；</w:t>
            </w:r>
          </w:p>
          <w:p w14:paraId="6DA5E08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差：应急预案不完整</w:t>
            </w:r>
            <w:r>
              <w:rPr>
                <w:rFonts w:hint="eastAsia" w:ascii="宋体" w:hAnsi="宋体" w:eastAsia="宋体" w:cs="宋体"/>
                <w:b w:val="0"/>
                <w:bCs w:val="0"/>
                <w:color w:val="auto"/>
                <w:sz w:val="21"/>
                <w:szCs w:val="21"/>
                <w:highlight w:val="none"/>
                <w:lang w:val="en-US" w:eastAsia="zh-CN"/>
              </w:rPr>
              <w:t>或缺少合理性</w:t>
            </w:r>
            <w:r>
              <w:rPr>
                <w:rFonts w:hint="eastAsia" w:ascii="宋体" w:hAnsi="宋体" w:eastAsia="宋体" w:cs="宋体"/>
                <w:b w:val="0"/>
                <w:bCs w:val="0"/>
                <w:color w:val="auto"/>
                <w:sz w:val="21"/>
                <w:szCs w:val="21"/>
                <w:highlight w:val="none"/>
              </w:rPr>
              <w:t>，对各类应急情况的保障措施不够具体，</w:t>
            </w:r>
            <w:r>
              <w:rPr>
                <w:rFonts w:hint="eastAsia" w:ascii="宋体" w:hAnsi="宋体" w:eastAsia="宋体" w:cs="宋体"/>
                <w:b w:val="0"/>
                <w:bCs w:val="0"/>
                <w:color w:val="auto"/>
                <w:sz w:val="21"/>
                <w:szCs w:val="21"/>
                <w:highlight w:val="none"/>
                <w:lang w:val="en-US" w:eastAsia="zh-CN"/>
              </w:rPr>
              <w:t>无对应的</w:t>
            </w:r>
            <w:r>
              <w:rPr>
                <w:rFonts w:hint="eastAsia" w:ascii="宋体" w:hAnsi="宋体" w:eastAsia="宋体" w:cs="宋体"/>
                <w:color w:val="auto"/>
                <w:sz w:val="21"/>
                <w:szCs w:val="21"/>
                <w:highlight w:val="none"/>
                <w:lang w:val="en-US" w:eastAsia="zh-CN"/>
              </w:rPr>
              <w:t>解决方案，</w:t>
            </w:r>
            <w:r>
              <w:rPr>
                <w:rFonts w:hint="eastAsia" w:ascii="宋体" w:hAnsi="宋体" w:eastAsia="宋体" w:cs="宋体"/>
                <w:color w:val="auto"/>
                <w:sz w:val="21"/>
                <w:szCs w:val="21"/>
                <w:highlight w:val="none"/>
              </w:rPr>
              <w:t>可预判服务期间</w:t>
            </w:r>
            <w:r>
              <w:rPr>
                <w:rFonts w:hint="eastAsia" w:ascii="宋体" w:hAnsi="宋体" w:eastAsia="宋体" w:cs="宋体"/>
                <w:color w:val="auto"/>
                <w:sz w:val="21"/>
                <w:szCs w:val="21"/>
                <w:highlight w:val="none"/>
                <w:lang w:val="en-US" w:eastAsia="zh-CN"/>
              </w:rPr>
              <w:t>发生应急情况时会</w:t>
            </w:r>
            <w:r>
              <w:rPr>
                <w:rFonts w:hint="eastAsia" w:ascii="宋体" w:hAnsi="宋体" w:eastAsia="宋体" w:cs="宋体"/>
                <w:color w:val="auto"/>
                <w:sz w:val="21"/>
                <w:szCs w:val="21"/>
                <w:highlight w:val="none"/>
              </w:rPr>
              <w:t>出现频繁的负面问题</w:t>
            </w:r>
            <w:r>
              <w:rPr>
                <w:rFonts w:hint="eastAsia" w:ascii="宋体" w:hAnsi="宋体" w:eastAsia="宋体" w:cs="宋体"/>
                <w:color w:val="auto"/>
                <w:kern w:val="2"/>
                <w:sz w:val="21"/>
                <w:szCs w:val="21"/>
                <w:highlight w:val="none"/>
                <w:lang w:val="en-US" w:eastAsia="zh-CN"/>
              </w:rPr>
              <w:t>，得</w:t>
            </w:r>
            <w:r>
              <w:rPr>
                <w:rFonts w:hint="eastAsia" w:ascii="宋体" w:hAnsi="宋体" w:eastAsia="宋体" w:cs="宋体"/>
                <w:color w:val="auto"/>
                <w:sz w:val="21"/>
                <w:szCs w:val="21"/>
                <w:highlight w:val="none"/>
                <w:lang w:val="en-US" w:eastAsia="zh-CN"/>
              </w:rPr>
              <w:t>[0,1)</w:t>
            </w:r>
            <w:r>
              <w:rPr>
                <w:rFonts w:hint="eastAsia" w:ascii="宋体" w:hAnsi="宋体" w:eastAsia="宋体" w:cs="宋体"/>
                <w:color w:val="auto"/>
                <w:kern w:val="2"/>
                <w:sz w:val="21"/>
                <w:szCs w:val="21"/>
                <w:highlight w:val="none"/>
                <w:lang w:val="en-US" w:eastAsia="zh-CN"/>
              </w:rPr>
              <w:t>分。</w:t>
            </w:r>
          </w:p>
        </w:tc>
        <w:tc>
          <w:tcPr>
            <w:tcW w:w="907" w:type="dxa"/>
            <w:vAlign w:val="center"/>
          </w:tcPr>
          <w:p w14:paraId="545B8710">
            <w:pPr>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tc>
      </w:tr>
    </w:tbl>
    <w:p w14:paraId="51E6D7FB">
      <w:pPr>
        <w:autoSpaceDE w:val="0"/>
        <w:autoSpaceDN w:val="0"/>
        <w:adjustRightInd w:val="0"/>
        <w:spacing w:line="360" w:lineRule="auto"/>
        <w:ind w:left="420" w:leftChars="200" w:firstLine="420" w:firstLineChars="2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备注：</w:t>
      </w:r>
    </w:p>
    <w:p w14:paraId="6B43AC89">
      <w:pPr>
        <w:autoSpaceDE w:val="0"/>
        <w:autoSpaceDN w:val="0"/>
        <w:adjustRightInd w:val="0"/>
        <w:spacing w:line="360" w:lineRule="auto"/>
        <w:ind w:left="420" w:leftChars="200" w:firstLine="420" w:firstLineChars="2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①表中“[”代表闭区间，“]”代表闭区间，如[0，1]代表该分数段范围为大于等于0且小于等于1。表中“（”代表开区间，“]”代表闭区间，如（1，2]代表该分数段范围为大于1且小于等于2。</w:t>
      </w:r>
    </w:p>
    <w:p w14:paraId="4986B155">
      <w:pPr>
        <w:autoSpaceDE w:val="0"/>
        <w:autoSpaceDN w:val="0"/>
        <w:adjustRightInd w:val="0"/>
        <w:spacing w:line="360" w:lineRule="auto"/>
        <w:ind w:left="420" w:leftChars="200" w:firstLine="420" w:firstLineChars="2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②分数出现小数点，保留小数点后2位，从小数点后第3位四舍五入。</w:t>
      </w:r>
    </w:p>
    <w:p w14:paraId="017CEBF5">
      <w:pPr>
        <w:autoSpaceDE w:val="0"/>
        <w:autoSpaceDN w:val="0"/>
        <w:adjustRightInd w:val="0"/>
        <w:spacing w:line="360" w:lineRule="auto"/>
        <w:ind w:left="420" w:leftChars="200" w:firstLine="422" w:firstLineChars="200"/>
        <w:rPr>
          <w:rFonts w:hint="eastAsia" w:ascii="宋体" w:hAnsi="宋体" w:eastAsia="宋体" w:cs="宋体"/>
          <w:b/>
          <w:color w:val="auto"/>
          <w:szCs w:val="24"/>
          <w:highlight w:val="none"/>
          <w:lang w:val="zh-CN"/>
        </w:rPr>
      </w:pPr>
      <w:r>
        <w:rPr>
          <w:rFonts w:hint="eastAsia" w:ascii="宋体" w:hAnsi="宋体" w:eastAsia="宋体" w:cs="宋体"/>
          <w:b/>
          <w:color w:val="auto"/>
          <w:szCs w:val="24"/>
          <w:highlight w:val="none"/>
          <w:lang w:val="zh-CN"/>
        </w:rPr>
        <w:t>③上述“评分项目”中按“优、中、差”区间评审的，若低于该项满分分值60%时，评审专家需详细填写该项低分的充分理由，例如：该项目内容存在违反国家有关标准和规范或与项目实际不符等原则性问题。</w:t>
      </w:r>
    </w:p>
    <w:p w14:paraId="1FACD4E1">
      <w:pPr>
        <w:autoSpaceDE w:val="0"/>
        <w:autoSpaceDN w:val="0"/>
        <w:adjustRightInd w:val="0"/>
        <w:spacing w:line="360" w:lineRule="auto"/>
        <w:ind w:left="420" w:leftChars="200" w:firstLine="422" w:firstLineChars="200"/>
        <w:rPr>
          <w:rFonts w:hint="eastAsia" w:ascii="宋体" w:hAnsi="宋体" w:eastAsia="宋体" w:cs="宋体"/>
          <w:color w:val="auto"/>
          <w:kern w:val="0"/>
          <w:szCs w:val="21"/>
          <w:highlight w:val="none"/>
        </w:rPr>
      </w:pPr>
      <w:r>
        <w:rPr>
          <w:rFonts w:hint="eastAsia" w:ascii="宋体" w:hAnsi="宋体" w:eastAsia="宋体" w:cs="宋体"/>
          <w:b/>
          <w:color w:val="auto"/>
          <w:szCs w:val="24"/>
          <w:highlight w:val="none"/>
          <w:lang w:val="en-US" w:eastAsia="zh-CN"/>
        </w:rPr>
        <w:t>④</w:t>
      </w:r>
      <w:r>
        <w:rPr>
          <w:rFonts w:hint="eastAsia" w:ascii="宋体" w:hAnsi="宋体" w:eastAsia="宋体" w:cs="宋体"/>
          <w:b/>
          <w:color w:val="auto"/>
          <w:kern w:val="0"/>
          <w:szCs w:val="21"/>
          <w:highlight w:val="none"/>
          <w:lang w:val="zh-CN"/>
        </w:rPr>
        <w:t>对</w:t>
      </w:r>
      <w:r>
        <w:rPr>
          <w:rFonts w:hint="eastAsia" w:ascii="宋体" w:hAnsi="宋体" w:eastAsia="宋体" w:cs="宋体"/>
          <w:b/>
          <w:color w:val="auto"/>
          <w:kern w:val="0"/>
          <w:szCs w:val="21"/>
          <w:highlight w:val="none"/>
          <w:lang w:val="en-US" w:eastAsia="zh-CN"/>
        </w:rPr>
        <w:t>于各</w:t>
      </w:r>
      <w:r>
        <w:rPr>
          <w:rFonts w:hint="eastAsia" w:ascii="宋体" w:hAnsi="宋体" w:eastAsia="宋体" w:cs="宋体"/>
          <w:b/>
          <w:color w:val="auto"/>
          <w:kern w:val="0"/>
          <w:szCs w:val="21"/>
          <w:highlight w:val="none"/>
          <w:lang w:val="zh-CN"/>
        </w:rPr>
        <w:t>评审委员会成员</w:t>
      </w:r>
      <w:r>
        <w:rPr>
          <w:rFonts w:hint="eastAsia" w:ascii="宋体" w:hAnsi="宋体" w:eastAsia="宋体" w:cs="宋体"/>
          <w:b/>
          <w:color w:val="auto"/>
          <w:kern w:val="0"/>
          <w:szCs w:val="21"/>
          <w:highlight w:val="none"/>
          <w:lang w:val="en-US" w:eastAsia="zh-CN"/>
        </w:rPr>
        <w:t>存在客观分打分不一致时</w:t>
      </w:r>
      <w:r>
        <w:rPr>
          <w:rFonts w:hint="eastAsia" w:ascii="宋体" w:hAnsi="宋体" w:eastAsia="宋体" w:cs="宋体"/>
          <w:b/>
          <w:color w:val="auto"/>
          <w:kern w:val="0"/>
          <w:szCs w:val="21"/>
          <w:highlight w:val="none"/>
          <w:lang w:val="zh-CN"/>
        </w:rPr>
        <w:t>，根据少数服</w:t>
      </w:r>
      <w:r>
        <w:rPr>
          <w:rFonts w:hint="eastAsia" w:ascii="宋体" w:hAnsi="宋体" w:eastAsia="宋体" w:cs="宋体"/>
          <w:b/>
          <w:color w:val="auto"/>
          <w:kern w:val="0"/>
          <w:szCs w:val="21"/>
          <w:highlight w:val="none"/>
          <w:lang w:val="en-US" w:eastAsia="zh-CN"/>
        </w:rPr>
        <w:t>从</w:t>
      </w:r>
      <w:r>
        <w:rPr>
          <w:rFonts w:hint="eastAsia" w:ascii="宋体" w:hAnsi="宋体" w:eastAsia="宋体" w:cs="宋体"/>
          <w:b/>
          <w:color w:val="auto"/>
          <w:kern w:val="0"/>
          <w:szCs w:val="21"/>
          <w:highlight w:val="none"/>
          <w:lang w:val="zh-CN"/>
        </w:rPr>
        <w:t>多数的原则，以记名方式表决</w:t>
      </w:r>
      <w:r>
        <w:rPr>
          <w:rFonts w:hint="eastAsia" w:ascii="宋体" w:hAnsi="宋体" w:eastAsia="宋体" w:cs="宋体"/>
          <w:b/>
          <w:color w:val="auto"/>
          <w:kern w:val="0"/>
          <w:szCs w:val="21"/>
          <w:highlight w:val="none"/>
          <w:lang w:val="en-US" w:eastAsia="zh-CN"/>
        </w:rPr>
        <w:t>确定该项的评分。</w:t>
      </w:r>
    </w:p>
    <w:p w14:paraId="1F3ACA08">
      <w:pPr>
        <w:tabs>
          <w:tab w:val="left" w:pos="585"/>
        </w:tabs>
        <w:autoSpaceDE w:val="0"/>
        <w:autoSpaceDN w:val="0"/>
        <w:adjustRightInd w:val="0"/>
        <w:spacing w:line="400" w:lineRule="exact"/>
        <w:rPr>
          <w:rFonts w:hint="eastAsia" w:ascii="宋体" w:hAnsi="宋体" w:eastAsia="宋体" w:cs="宋体"/>
          <w:b/>
          <w:color w:val="auto"/>
          <w:szCs w:val="24"/>
          <w:highlight w:val="none"/>
          <w:lang w:val="zh-CN"/>
        </w:rPr>
      </w:pPr>
      <w:r>
        <w:rPr>
          <w:rFonts w:hint="eastAsia" w:ascii="宋体" w:hAnsi="宋体" w:eastAsia="宋体" w:cs="宋体"/>
          <w:b/>
          <w:color w:val="auto"/>
          <w:szCs w:val="24"/>
          <w:highlight w:val="none"/>
          <w:lang w:val="zh-CN"/>
        </w:rPr>
        <w:t>（</w:t>
      </w:r>
      <w:r>
        <w:rPr>
          <w:rFonts w:hint="eastAsia" w:ascii="宋体" w:hAnsi="宋体" w:eastAsia="宋体" w:cs="宋体"/>
          <w:b/>
          <w:color w:val="auto"/>
          <w:szCs w:val="24"/>
          <w:highlight w:val="none"/>
          <w:lang w:val="en-US" w:eastAsia="zh-CN"/>
        </w:rPr>
        <w:t>3</w:t>
      </w:r>
      <w:r>
        <w:rPr>
          <w:rFonts w:hint="eastAsia" w:ascii="宋体" w:hAnsi="宋体" w:eastAsia="宋体" w:cs="宋体"/>
          <w:b/>
          <w:color w:val="auto"/>
          <w:szCs w:val="24"/>
          <w:highlight w:val="none"/>
          <w:lang w:val="zh-CN"/>
        </w:rPr>
        <w:t>）价格评分方法</w:t>
      </w:r>
    </w:p>
    <w:p w14:paraId="09728B97">
      <w:pPr>
        <w:spacing w:line="360" w:lineRule="auto"/>
        <w:ind w:left="480" w:firstLine="211" w:firstLineChars="100"/>
        <w:rPr>
          <w:rFonts w:hint="eastAsia" w:ascii="宋体" w:hAnsi="宋体" w:eastAsia="宋体" w:cs="宋体"/>
          <w:b/>
          <w:bCs/>
          <w:color w:val="auto"/>
          <w:kern w:val="0"/>
          <w:szCs w:val="21"/>
          <w:highlight w:val="none"/>
          <w:lang w:val="zh-CN"/>
        </w:rPr>
      </w:pPr>
      <w:r>
        <w:rPr>
          <w:rFonts w:hint="eastAsia" w:ascii="宋体" w:hAnsi="宋体" w:eastAsia="宋体" w:cs="宋体"/>
          <w:b/>
          <w:bCs/>
          <w:color w:val="auto"/>
          <w:kern w:val="0"/>
          <w:szCs w:val="28"/>
          <w:highlight w:val="none"/>
          <w:lang w:val="zh-CN"/>
        </w:rPr>
        <w:t xml:space="preserve">1）经济文件的符合性审查 </w:t>
      </w:r>
    </w:p>
    <w:p w14:paraId="4752634F">
      <w:pPr>
        <w:spacing w:line="360" w:lineRule="auto"/>
        <w:ind w:left="420" w:leftChars="200"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评审委员会对合格的供应商的响应报价，进行详细分析、核准，检查其是否存在计算错误。评审委员会将按照本评审大纲的规定修正计算错误的响应报价，经供应商代表确认后，调整后的价格对供应商具有约束力。</w:t>
      </w:r>
      <w:r>
        <w:rPr>
          <w:rFonts w:hint="eastAsia" w:ascii="宋体" w:hAnsi="宋体" w:eastAsia="宋体" w:cs="宋体"/>
          <w:b/>
          <w:color w:val="auto"/>
          <w:kern w:val="0"/>
          <w:szCs w:val="21"/>
          <w:highlight w:val="none"/>
          <w:u w:val="single"/>
          <w:lang w:val="zh-CN"/>
        </w:rPr>
        <w:t>如果供应商不接受修正后的报价，则其</w:t>
      </w:r>
      <w:r>
        <w:rPr>
          <w:rFonts w:hint="eastAsia" w:ascii="宋体" w:hAnsi="宋体" w:eastAsia="宋体" w:cs="宋体"/>
          <w:b/>
          <w:bCs/>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lang w:val="zh-CN"/>
        </w:rPr>
        <w:t>将被拒绝，作为无效</w:t>
      </w:r>
      <w:r>
        <w:rPr>
          <w:rFonts w:hint="eastAsia" w:ascii="宋体" w:hAnsi="宋体" w:eastAsia="宋体" w:cs="宋体"/>
          <w:b/>
          <w:bCs/>
          <w:color w:val="auto"/>
          <w:kern w:val="0"/>
          <w:szCs w:val="21"/>
          <w:highlight w:val="none"/>
          <w:u w:val="single"/>
          <w:lang w:val="en-US" w:eastAsia="zh-CN"/>
        </w:rPr>
        <w:t>响应</w:t>
      </w:r>
      <w:r>
        <w:rPr>
          <w:rFonts w:hint="eastAsia" w:ascii="宋体" w:hAnsi="宋体" w:eastAsia="宋体" w:cs="宋体"/>
          <w:b/>
          <w:color w:val="auto"/>
          <w:kern w:val="0"/>
          <w:szCs w:val="21"/>
          <w:highlight w:val="none"/>
          <w:u w:val="single"/>
          <w:lang w:val="zh-CN"/>
        </w:rPr>
        <w:t>处理</w:t>
      </w:r>
      <w:r>
        <w:rPr>
          <w:rFonts w:hint="eastAsia" w:ascii="宋体" w:hAnsi="宋体" w:eastAsia="宋体" w:cs="宋体"/>
          <w:b/>
          <w:color w:val="auto"/>
          <w:kern w:val="0"/>
          <w:szCs w:val="21"/>
          <w:highlight w:val="none"/>
          <w:lang w:val="zh-CN"/>
        </w:rPr>
        <w:t>。</w:t>
      </w:r>
    </w:p>
    <w:p w14:paraId="0A9F5F7E">
      <w:pPr>
        <w:autoSpaceDE w:val="0"/>
        <w:autoSpaceDN w:val="0"/>
        <w:adjustRightInd w:val="0"/>
        <w:spacing w:line="360" w:lineRule="auto"/>
        <w:ind w:left="420" w:leftChars="200" w:firstLine="420" w:firstLineChars="200"/>
        <w:rPr>
          <w:rFonts w:hint="eastAsia" w:ascii="宋体" w:hAnsi="宋体" w:eastAsia="宋体" w:cs="宋体"/>
          <w:b/>
          <w:color w:val="auto"/>
          <w:szCs w:val="24"/>
          <w:highlight w:val="none"/>
          <w:u w:val="single"/>
          <w:lang w:val="zh-CN"/>
        </w:rPr>
      </w:pPr>
      <w:r>
        <w:rPr>
          <w:rFonts w:hint="eastAsia" w:ascii="宋体" w:hAnsi="宋体" w:eastAsia="宋体" w:cs="宋体"/>
          <w:color w:val="auto"/>
          <w:szCs w:val="24"/>
          <w:highlight w:val="none"/>
          <w:lang w:val="zh-CN"/>
        </w:rPr>
        <w:t>若供应商出现超低报价，</w:t>
      </w:r>
      <w:r>
        <w:rPr>
          <w:rFonts w:hint="eastAsia" w:ascii="宋体" w:hAnsi="宋体" w:eastAsia="宋体" w:cs="宋体"/>
          <w:color w:val="auto"/>
          <w:kern w:val="0"/>
          <w:szCs w:val="21"/>
          <w:highlight w:val="none"/>
        </w:rPr>
        <w:t>有可能影响服务质量和不能诚信履约的，</w:t>
      </w:r>
      <w:r>
        <w:rPr>
          <w:rFonts w:hint="eastAsia" w:ascii="宋体" w:hAnsi="宋体" w:eastAsia="宋体" w:cs="宋体"/>
          <w:color w:val="auto"/>
          <w:szCs w:val="24"/>
          <w:highlight w:val="none"/>
          <w:lang w:val="zh-CN"/>
        </w:rPr>
        <w:t>评审委员会</w:t>
      </w:r>
      <w:r>
        <w:rPr>
          <w:rFonts w:hint="eastAsia" w:ascii="宋体" w:hAnsi="宋体" w:eastAsia="宋体" w:cs="宋体"/>
          <w:color w:val="auto"/>
          <w:kern w:val="0"/>
          <w:szCs w:val="21"/>
          <w:highlight w:val="none"/>
          <w:lang w:val="zh-CN"/>
        </w:rPr>
        <w:t>将要求该供应商作出书面说明并提供相关证明材料，</w:t>
      </w:r>
      <w:r>
        <w:rPr>
          <w:rFonts w:hint="eastAsia" w:ascii="宋体" w:hAnsi="宋体" w:eastAsia="宋体" w:cs="宋体"/>
          <w:color w:val="auto"/>
          <w:szCs w:val="24"/>
          <w:highlight w:val="none"/>
          <w:lang w:val="zh-CN"/>
        </w:rPr>
        <w:t>以确定供应商是否以低于企业成本价报价。</w:t>
      </w:r>
      <w:r>
        <w:rPr>
          <w:rFonts w:hint="eastAsia" w:ascii="宋体" w:hAnsi="宋体" w:eastAsia="宋体" w:cs="宋体"/>
          <w:b/>
          <w:color w:val="auto"/>
          <w:szCs w:val="24"/>
          <w:highlight w:val="none"/>
          <w:u w:val="single"/>
          <w:lang w:val="zh-CN"/>
        </w:rPr>
        <w:t>若供应商不能合理说明或不能提供相关证明材料的，评审委员会将认定其</w:t>
      </w:r>
      <w:r>
        <w:rPr>
          <w:rFonts w:hint="eastAsia" w:ascii="宋体" w:hAnsi="宋体" w:eastAsia="宋体" w:cs="宋体"/>
          <w:b/>
          <w:bCs/>
          <w:color w:val="auto"/>
          <w:kern w:val="0"/>
          <w:szCs w:val="21"/>
          <w:highlight w:val="none"/>
          <w:u w:val="single"/>
          <w:lang w:val="en-US" w:eastAsia="zh-CN"/>
        </w:rPr>
        <w:t>响应</w:t>
      </w:r>
      <w:r>
        <w:rPr>
          <w:rFonts w:hint="eastAsia" w:ascii="宋体" w:hAnsi="宋体" w:eastAsia="宋体" w:cs="宋体"/>
          <w:b/>
          <w:color w:val="auto"/>
          <w:szCs w:val="24"/>
          <w:highlight w:val="none"/>
          <w:u w:val="single"/>
          <w:lang w:val="zh-CN"/>
        </w:rPr>
        <w:t>报价低于成本，同时否决其</w:t>
      </w:r>
      <w:r>
        <w:rPr>
          <w:rFonts w:hint="eastAsia" w:ascii="宋体" w:hAnsi="宋体" w:eastAsia="宋体" w:cs="宋体"/>
          <w:b/>
          <w:bCs/>
          <w:color w:val="auto"/>
          <w:kern w:val="0"/>
          <w:szCs w:val="21"/>
          <w:highlight w:val="none"/>
          <w:u w:val="single"/>
          <w:lang w:val="en-US" w:eastAsia="zh-CN"/>
        </w:rPr>
        <w:t>响应</w:t>
      </w:r>
      <w:r>
        <w:rPr>
          <w:rFonts w:hint="eastAsia" w:ascii="宋体" w:hAnsi="宋体" w:eastAsia="宋体" w:cs="宋体"/>
          <w:b/>
          <w:color w:val="auto"/>
          <w:szCs w:val="24"/>
          <w:highlight w:val="none"/>
          <w:u w:val="none"/>
          <w:lang w:val="zh-CN"/>
        </w:rPr>
        <w:t>。</w:t>
      </w:r>
    </w:p>
    <w:p w14:paraId="326EDD9A">
      <w:pPr>
        <w:spacing w:line="360" w:lineRule="auto"/>
        <w:ind w:left="420" w:leftChars="200" w:firstLine="422" w:firstLineChars="200"/>
        <w:rPr>
          <w:rFonts w:hint="eastAsia" w:ascii="宋体" w:hAnsi="宋体" w:eastAsia="宋体" w:cs="宋体"/>
          <w:b/>
          <w:color w:val="auto"/>
          <w:kern w:val="0"/>
          <w:szCs w:val="21"/>
          <w:highlight w:val="none"/>
          <w:lang w:val="zh-CN"/>
        </w:rPr>
      </w:pPr>
      <w:r>
        <w:rPr>
          <w:rFonts w:hint="eastAsia" w:ascii="宋体" w:hAnsi="宋体" w:eastAsia="宋体" w:cs="宋体"/>
          <w:b/>
          <w:color w:val="auto"/>
          <w:kern w:val="0"/>
          <w:szCs w:val="21"/>
          <w:highlight w:val="none"/>
          <w:lang w:val="zh-CN"/>
        </w:rPr>
        <w:t>对是否低于企业成本价报价的事宜有争议的响应文件，评审委员会成员将以记名方式表决，根据少数服</w:t>
      </w:r>
      <w:r>
        <w:rPr>
          <w:rFonts w:hint="eastAsia" w:ascii="宋体" w:hAnsi="宋体" w:eastAsia="宋体" w:cs="宋体"/>
          <w:b/>
          <w:color w:val="auto"/>
          <w:kern w:val="0"/>
          <w:szCs w:val="21"/>
          <w:highlight w:val="none"/>
          <w:lang w:val="en-US" w:eastAsia="zh-CN"/>
        </w:rPr>
        <w:t>从</w:t>
      </w:r>
      <w:r>
        <w:rPr>
          <w:rFonts w:hint="eastAsia" w:ascii="宋体" w:hAnsi="宋体" w:eastAsia="宋体" w:cs="宋体"/>
          <w:b/>
          <w:color w:val="auto"/>
          <w:kern w:val="0"/>
          <w:szCs w:val="21"/>
          <w:highlight w:val="none"/>
          <w:lang w:val="zh-CN"/>
        </w:rPr>
        <w:t>多数的原则，获多数表决通过的供应商才有资格进入下一阶段的评审，否则将按无效</w:t>
      </w:r>
      <w:r>
        <w:rPr>
          <w:rFonts w:hint="eastAsia" w:ascii="宋体" w:hAnsi="宋体" w:eastAsia="宋体" w:cs="宋体"/>
          <w:b/>
          <w:color w:val="auto"/>
          <w:kern w:val="0"/>
          <w:szCs w:val="21"/>
          <w:highlight w:val="none"/>
          <w:lang w:val="en-US" w:eastAsia="zh-CN"/>
        </w:rPr>
        <w:t>响应</w:t>
      </w:r>
      <w:r>
        <w:rPr>
          <w:rFonts w:hint="eastAsia" w:ascii="宋体" w:hAnsi="宋体" w:eastAsia="宋体" w:cs="宋体"/>
          <w:b/>
          <w:color w:val="auto"/>
          <w:kern w:val="0"/>
          <w:szCs w:val="21"/>
          <w:highlight w:val="none"/>
          <w:lang w:val="zh-CN"/>
        </w:rPr>
        <w:t>处理。</w:t>
      </w:r>
    </w:p>
    <w:p w14:paraId="0B661C32">
      <w:pPr>
        <w:spacing w:line="360" w:lineRule="auto"/>
        <w:ind w:left="420" w:leftChars="200" w:firstLine="420" w:firstLineChars="200"/>
        <w:rPr>
          <w:rFonts w:hint="eastAsia" w:ascii="宋体" w:hAnsi="宋体" w:eastAsia="宋体" w:cs="宋体"/>
          <w:color w:val="auto"/>
          <w:kern w:val="0"/>
          <w:szCs w:val="21"/>
          <w:highlight w:val="none"/>
          <w:lang w:val="zh-CN"/>
        </w:rPr>
      </w:pPr>
    </w:p>
    <w:p w14:paraId="7173831A">
      <w:pPr>
        <w:spacing w:line="360" w:lineRule="auto"/>
        <w:ind w:left="480" w:firstLine="211" w:firstLineChars="10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val="zh-CN"/>
        </w:rPr>
        <w:t>2）</w:t>
      </w:r>
      <w:r>
        <w:rPr>
          <w:rFonts w:hint="eastAsia" w:ascii="宋体" w:hAnsi="宋体" w:eastAsia="宋体" w:cs="宋体"/>
          <w:b/>
          <w:bCs/>
          <w:color w:val="auto"/>
          <w:kern w:val="0"/>
          <w:szCs w:val="28"/>
          <w:highlight w:val="none"/>
          <w:lang w:val="zh-CN"/>
        </w:rPr>
        <w:t>价格评分</w:t>
      </w:r>
      <w:r>
        <w:rPr>
          <w:rFonts w:hint="eastAsia" w:ascii="宋体" w:hAnsi="宋体" w:eastAsia="宋体" w:cs="宋体"/>
          <w:b/>
          <w:bCs/>
          <w:color w:val="auto"/>
          <w:kern w:val="0"/>
          <w:szCs w:val="21"/>
          <w:highlight w:val="none"/>
        </w:rPr>
        <w:t>：</w:t>
      </w:r>
      <w:r>
        <w:rPr>
          <w:rFonts w:hint="eastAsia" w:ascii="宋体" w:hAnsi="宋体" w:eastAsia="宋体" w:cs="宋体"/>
          <w:b/>
          <w:bCs/>
          <w:color w:val="auto"/>
          <w:kern w:val="0"/>
          <w:szCs w:val="21"/>
          <w:highlight w:val="none"/>
          <w:lang w:val="zh-CN"/>
        </w:rPr>
        <w:t>总分</w:t>
      </w:r>
      <w:r>
        <w:rPr>
          <w:rFonts w:hint="eastAsia" w:ascii="宋体" w:hAnsi="宋体" w:eastAsia="宋体" w:cs="宋体"/>
          <w:b/>
          <w:bCs/>
          <w:color w:val="auto"/>
          <w:kern w:val="0"/>
          <w:szCs w:val="21"/>
          <w:highlight w:val="none"/>
          <w:lang w:val="en-US" w:eastAsia="zh-CN"/>
        </w:rPr>
        <w:t>85</w:t>
      </w:r>
      <w:r>
        <w:rPr>
          <w:rFonts w:hint="eastAsia" w:ascii="宋体" w:hAnsi="宋体" w:eastAsia="宋体" w:cs="宋体"/>
          <w:b/>
          <w:bCs/>
          <w:color w:val="auto"/>
          <w:kern w:val="0"/>
          <w:szCs w:val="21"/>
          <w:highlight w:val="none"/>
          <w:lang w:val="zh-CN"/>
        </w:rPr>
        <w:t>分</w:t>
      </w:r>
    </w:p>
    <w:p w14:paraId="4F398B99">
      <w:pPr>
        <w:autoSpaceDN w:val="0"/>
        <w:adjustRightInd w:val="0"/>
        <w:snapToGrid w:val="0"/>
        <w:spacing w:line="360" w:lineRule="auto"/>
        <w:ind w:left="420" w:leftChars="100" w:hanging="210" w:hangingChars="100"/>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A、根据有效</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w:t>
      </w:r>
      <w:r>
        <w:rPr>
          <w:rFonts w:hint="eastAsia" w:ascii="宋体" w:hAnsi="宋体" w:eastAsia="宋体" w:cs="宋体"/>
          <w:b w:val="0"/>
          <w:bCs w:val="0"/>
          <w:color w:val="auto"/>
          <w:kern w:val="0"/>
          <w:szCs w:val="21"/>
          <w:highlight w:val="none"/>
          <w:lang w:val="en-US" w:eastAsia="zh-CN"/>
        </w:rPr>
        <w:t>响应</w:t>
      </w:r>
      <w:r>
        <w:rPr>
          <w:rFonts w:hint="eastAsia" w:ascii="宋体" w:hAnsi="宋体" w:eastAsia="宋体" w:cs="宋体"/>
          <w:color w:val="auto"/>
          <w:kern w:val="0"/>
          <w:szCs w:val="21"/>
          <w:highlight w:val="none"/>
        </w:rPr>
        <w:t>报价，最低价作为基准价（Y）。</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报价（X）等于基准价的得满分</w:t>
      </w:r>
      <w:r>
        <w:rPr>
          <w:rFonts w:hint="eastAsia" w:ascii="宋体" w:hAnsi="宋体" w:eastAsia="宋体" w:cs="宋体"/>
          <w:color w:val="auto"/>
          <w:kern w:val="0"/>
          <w:szCs w:val="21"/>
          <w:highlight w:val="none"/>
          <w:lang w:val="en-US" w:eastAsia="zh-CN"/>
        </w:rPr>
        <w:t>85</w:t>
      </w:r>
      <w:r>
        <w:rPr>
          <w:rFonts w:hint="eastAsia" w:ascii="宋体" w:hAnsi="宋体" w:eastAsia="宋体" w:cs="宋体"/>
          <w:color w:val="auto"/>
          <w:kern w:val="0"/>
          <w:szCs w:val="21"/>
          <w:highlight w:val="none"/>
        </w:rPr>
        <w:t>分，其他</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的价格得分统一按照下列公式计算：</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 xml:space="preserve">    价格得分=(基准价／</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报价)×</w:t>
      </w:r>
      <w:r>
        <w:rPr>
          <w:rFonts w:hint="eastAsia" w:ascii="宋体" w:hAnsi="宋体" w:eastAsia="宋体" w:cs="宋体"/>
          <w:color w:val="auto"/>
          <w:kern w:val="0"/>
          <w:szCs w:val="21"/>
          <w:highlight w:val="none"/>
          <w:lang w:val="en-US" w:eastAsia="zh-CN"/>
        </w:rPr>
        <w:t>85</w:t>
      </w:r>
    </w:p>
    <w:p w14:paraId="4FBAE755">
      <w:pPr>
        <w:keepNext w:val="0"/>
        <w:keepLines w:val="0"/>
        <w:pageBreakBefore w:val="0"/>
        <w:widowControl w:val="0"/>
        <w:kinsoku/>
        <w:wordWrap/>
        <w:overflowPunct/>
        <w:topLinePunct w:val="0"/>
        <w:autoSpaceDN w:val="0"/>
        <w:bidi w:val="0"/>
        <w:adjustRightInd w:val="0"/>
        <w:snapToGrid w:val="0"/>
        <w:spacing w:line="360" w:lineRule="auto"/>
        <w:ind w:firstLine="210" w:firstLineChars="1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B、分数出现小数点，保留小数点后2位，从小数点后第3位四舍五入。</w:t>
      </w:r>
    </w:p>
    <w:p w14:paraId="5A3BD145">
      <w:pPr>
        <w:keepNext w:val="0"/>
        <w:keepLines w:val="0"/>
        <w:pageBreakBefore w:val="0"/>
        <w:widowControl w:val="0"/>
        <w:tabs>
          <w:tab w:val="left" w:pos="585"/>
        </w:tabs>
        <w:kinsoku/>
        <w:wordWrap/>
        <w:overflowPunct/>
        <w:topLinePunct w:val="0"/>
        <w:autoSpaceDE w:val="0"/>
        <w:autoSpaceDN w:val="0"/>
        <w:bidi w:val="0"/>
        <w:adjustRightInd w:val="0"/>
        <w:snapToGrid/>
        <w:spacing w:line="360"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w:t>
      </w:r>
      <w:r>
        <w:rPr>
          <w:rFonts w:hint="eastAsia" w:ascii="宋体" w:hAnsi="宋体" w:eastAsia="宋体" w:cs="宋体"/>
          <w:b/>
          <w:color w:val="auto"/>
          <w:szCs w:val="21"/>
          <w:highlight w:val="none"/>
          <w:lang w:val="en-US" w:eastAsia="zh-CN"/>
        </w:rPr>
        <w:t>4</w:t>
      </w:r>
      <w:r>
        <w:rPr>
          <w:rFonts w:hint="eastAsia" w:ascii="宋体" w:hAnsi="宋体" w:eastAsia="宋体" w:cs="宋体"/>
          <w:b/>
          <w:color w:val="auto"/>
          <w:szCs w:val="21"/>
          <w:highlight w:val="none"/>
          <w:lang w:val="zh-CN"/>
        </w:rPr>
        <w:t>）综合得分</w:t>
      </w:r>
    </w:p>
    <w:p w14:paraId="1DC7CC4C">
      <w:pPr>
        <w:keepNext w:val="0"/>
        <w:keepLines w:val="0"/>
        <w:pageBreakBefore w:val="0"/>
        <w:kinsoku/>
        <w:wordWrap/>
        <w:overflowPunct/>
        <w:topLinePunct w:val="0"/>
        <w:bidi w:val="0"/>
        <w:snapToGrid/>
        <w:spacing w:line="360" w:lineRule="auto"/>
        <w:ind w:firstLine="848" w:firstLineChars="404"/>
        <w:textAlignment w:val="auto"/>
        <w:rPr>
          <w:rFonts w:hint="eastAsia" w:ascii="宋体" w:hAnsi="宋体" w:eastAsia="宋体" w:cs="宋体"/>
          <w:color w:val="auto"/>
          <w:kern w:val="0"/>
          <w:szCs w:val="28"/>
          <w:highlight w:val="none"/>
          <w:lang w:val="zh-CN"/>
        </w:rPr>
      </w:pPr>
      <w:bookmarkStart w:id="716" w:name="_Toc31624_WPSOffice_Level2"/>
      <w:r>
        <w:rPr>
          <w:rFonts w:hint="eastAsia" w:ascii="宋体" w:hAnsi="宋体" w:eastAsia="宋体" w:cs="宋体"/>
          <w:color w:val="auto"/>
          <w:kern w:val="0"/>
          <w:szCs w:val="28"/>
          <w:highlight w:val="none"/>
          <w:lang w:val="zh-CN"/>
        </w:rPr>
        <w:t>评审总得分=F1＋F2＋……+Fn</w:t>
      </w:r>
      <w:bookmarkEnd w:id="716"/>
    </w:p>
    <w:p w14:paraId="42106276">
      <w:pPr>
        <w:keepNext w:val="0"/>
        <w:keepLines w:val="0"/>
        <w:pageBreakBefore w:val="0"/>
        <w:widowControl/>
        <w:kinsoku/>
        <w:wordWrap/>
        <w:overflowPunct/>
        <w:topLinePunct w:val="0"/>
        <w:autoSpaceDE w:val="0"/>
        <w:autoSpaceDN w:val="0"/>
        <w:bidi w:val="0"/>
        <w:adjustRightInd w:val="0"/>
        <w:snapToGrid/>
        <w:spacing w:line="360" w:lineRule="auto"/>
        <w:ind w:firstLine="840" w:firstLineChars="400"/>
        <w:jc w:val="left"/>
        <w:textAlignment w:val="auto"/>
        <w:rPr>
          <w:rFonts w:hint="eastAsia" w:ascii="宋体" w:hAnsi="宋体" w:eastAsia="宋体" w:cs="宋体"/>
          <w:color w:val="auto"/>
          <w:kern w:val="0"/>
          <w:szCs w:val="21"/>
          <w:highlight w:val="none"/>
        </w:rPr>
      </w:pPr>
      <w:bookmarkStart w:id="717" w:name="_Toc13236_WPSOffice_Level2"/>
      <w:r>
        <w:rPr>
          <w:rFonts w:hint="eastAsia" w:ascii="宋体" w:hAnsi="宋体" w:eastAsia="宋体" w:cs="宋体"/>
          <w:color w:val="auto"/>
          <w:kern w:val="0"/>
          <w:szCs w:val="21"/>
          <w:highlight w:val="none"/>
        </w:rPr>
        <w:t>F1、F2、……Fn分别为各项评分因素的得分</w:t>
      </w:r>
      <w:bookmarkEnd w:id="717"/>
      <w:r>
        <w:rPr>
          <w:rFonts w:hint="eastAsia" w:ascii="宋体" w:hAnsi="宋体" w:eastAsia="宋体" w:cs="宋体"/>
          <w:color w:val="auto"/>
          <w:kern w:val="0"/>
          <w:szCs w:val="21"/>
          <w:highlight w:val="none"/>
        </w:rPr>
        <w:t>。</w:t>
      </w:r>
    </w:p>
    <w:p w14:paraId="5C767C15">
      <w:pPr>
        <w:autoSpaceDE w:val="0"/>
        <w:autoSpaceDN w:val="0"/>
        <w:adjustRightInd w:val="0"/>
        <w:spacing w:line="360" w:lineRule="auto"/>
        <w:ind w:left="564" w:leftChars="1" w:hanging="562" w:hangingChars="200"/>
        <w:rPr>
          <w:rFonts w:hint="eastAsia" w:ascii="宋体" w:hAnsi="宋体" w:eastAsia="宋体" w:cs="宋体"/>
          <w:b/>
          <w:bCs/>
          <w:color w:val="auto"/>
          <w:sz w:val="28"/>
          <w:szCs w:val="28"/>
          <w:highlight w:val="none"/>
        </w:rPr>
      </w:pPr>
    </w:p>
    <w:p w14:paraId="7DBB09E6">
      <w:pPr>
        <w:autoSpaceDE w:val="0"/>
        <w:autoSpaceDN w:val="0"/>
        <w:adjustRightInd w:val="0"/>
        <w:spacing w:line="360" w:lineRule="auto"/>
        <w:jc w:val="center"/>
        <w:rPr>
          <w:rFonts w:hint="eastAsia" w:ascii="宋体" w:hAnsi="宋体" w:eastAsia="宋体" w:cs="宋体"/>
          <w:b/>
          <w:bCs/>
          <w:color w:val="auto"/>
          <w:sz w:val="28"/>
          <w:szCs w:val="28"/>
          <w:highlight w:val="none"/>
        </w:rPr>
      </w:pPr>
      <w:bookmarkStart w:id="718" w:name="_Toc518_WPSOffice_Level1"/>
      <w:r>
        <w:rPr>
          <w:rFonts w:hint="eastAsia" w:ascii="宋体" w:hAnsi="宋体" w:eastAsia="宋体" w:cs="宋体"/>
          <w:b/>
          <w:bCs/>
          <w:color w:val="auto"/>
          <w:sz w:val="28"/>
          <w:szCs w:val="28"/>
          <w:highlight w:val="none"/>
          <w:lang w:val="zh-CN"/>
        </w:rPr>
        <w:t>五、推荐</w:t>
      </w:r>
      <w:r>
        <w:rPr>
          <w:rFonts w:hint="eastAsia" w:ascii="宋体" w:hAnsi="宋体" w:eastAsia="宋体" w:cs="宋体"/>
          <w:b/>
          <w:bCs/>
          <w:color w:val="auto"/>
          <w:sz w:val="28"/>
          <w:szCs w:val="28"/>
          <w:highlight w:val="none"/>
          <w:lang w:val="en-US" w:eastAsia="zh-CN"/>
        </w:rPr>
        <w:t>成交</w:t>
      </w:r>
      <w:r>
        <w:rPr>
          <w:rFonts w:hint="eastAsia" w:ascii="宋体" w:hAnsi="宋体" w:eastAsia="宋体" w:cs="宋体"/>
          <w:b/>
          <w:bCs/>
          <w:color w:val="auto"/>
          <w:sz w:val="28"/>
          <w:szCs w:val="28"/>
          <w:highlight w:val="none"/>
          <w:lang w:val="zh-CN"/>
        </w:rPr>
        <w:t>人</w:t>
      </w:r>
      <w:bookmarkEnd w:id="718"/>
    </w:p>
    <w:p w14:paraId="67CFB191">
      <w:pPr>
        <w:autoSpaceDE w:val="0"/>
        <w:autoSpaceDN w:val="0"/>
        <w:adjustRightInd w:val="0"/>
        <w:spacing w:line="360" w:lineRule="auto"/>
        <w:ind w:left="420" w:hanging="420" w:hanging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w:t>
      </w:r>
      <w:r>
        <w:rPr>
          <w:rFonts w:hint="eastAsia" w:ascii="宋体" w:hAnsi="宋体" w:eastAsia="宋体" w:cs="宋体"/>
          <w:color w:val="auto"/>
          <w:szCs w:val="24"/>
          <w:highlight w:val="none"/>
          <w:lang w:val="zh-CN"/>
        </w:rPr>
        <w:t>评审委员会按评审后得分由高到低顺序排列</w:t>
      </w:r>
      <w:r>
        <w:rPr>
          <w:rFonts w:hint="eastAsia" w:ascii="宋体" w:hAnsi="宋体" w:eastAsia="宋体" w:cs="宋体"/>
          <w:color w:val="auto"/>
          <w:kern w:val="0"/>
          <w:szCs w:val="21"/>
          <w:highlight w:val="none"/>
        </w:rPr>
        <w:t>，并向</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推荐最后综合得分最高的前二名</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为成交候选人（最后综合得分排名第一、第二的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分别为第一、第二成交候选人），</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将确定第一成交候选人为成交人。</w:t>
      </w:r>
    </w:p>
    <w:p w14:paraId="59060C94">
      <w:pPr>
        <w:autoSpaceDE w:val="0"/>
        <w:autoSpaceDN w:val="0"/>
        <w:adjustRightInd w:val="0"/>
        <w:spacing w:line="360" w:lineRule="auto"/>
        <w:ind w:left="420" w:leftChars="200" w:firstLine="420" w:firstLineChars="200"/>
        <w:jc w:val="left"/>
        <w:rPr>
          <w:rFonts w:hint="eastAsia" w:ascii="宋体" w:hAnsi="宋体" w:eastAsia="宋体" w:cs="宋体"/>
          <w:b w:val="0"/>
          <w:bCs w:val="0"/>
          <w:color w:val="auto"/>
          <w:kern w:val="0"/>
          <w:szCs w:val="24"/>
          <w:highlight w:val="none"/>
          <w:lang w:val="zh-CN"/>
        </w:rPr>
      </w:pPr>
      <w:r>
        <w:rPr>
          <w:rFonts w:hint="eastAsia" w:ascii="宋体" w:hAnsi="宋体" w:eastAsia="宋体" w:cs="宋体"/>
          <w:b w:val="0"/>
          <w:bCs w:val="0"/>
          <w:color w:val="auto"/>
          <w:kern w:val="0"/>
          <w:szCs w:val="21"/>
          <w:highlight w:val="none"/>
        </w:rPr>
        <w:t>如果有两个或以上的</w:t>
      </w:r>
      <w:r>
        <w:rPr>
          <w:rFonts w:hint="eastAsia" w:ascii="宋体" w:hAnsi="宋体" w:eastAsia="宋体" w:cs="宋体"/>
          <w:b w:val="0"/>
          <w:bCs w:val="0"/>
          <w:color w:val="auto"/>
          <w:kern w:val="0"/>
          <w:szCs w:val="21"/>
          <w:highlight w:val="none"/>
          <w:lang w:eastAsia="zh-CN"/>
        </w:rPr>
        <w:t>供应商</w:t>
      </w:r>
      <w:r>
        <w:rPr>
          <w:rFonts w:hint="eastAsia" w:ascii="宋体" w:hAnsi="宋体" w:eastAsia="宋体" w:cs="宋体"/>
          <w:b w:val="0"/>
          <w:bCs w:val="0"/>
          <w:color w:val="auto"/>
          <w:kern w:val="0"/>
          <w:szCs w:val="21"/>
          <w:highlight w:val="none"/>
        </w:rPr>
        <w:t>的最后综合得分相同，则在最后综合得分相同的</w:t>
      </w:r>
      <w:r>
        <w:rPr>
          <w:rFonts w:hint="eastAsia" w:ascii="宋体" w:hAnsi="宋体" w:eastAsia="宋体" w:cs="宋体"/>
          <w:b w:val="0"/>
          <w:bCs w:val="0"/>
          <w:color w:val="auto"/>
          <w:kern w:val="0"/>
          <w:szCs w:val="21"/>
          <w:highlight w:val="none"/>
          <w:lang w:eastAsia="zh-CN"/>
        </w:rPr>
        <w:t>供应商</w:t>
      </w:r>
      <w:r>
        <w:rPr>
          <w:rFonts w:hint="eastAsia" w:ascii="宋体" w:hAnsi="宋体" w:eastAsia="宋体" w:cs="宋体"/>
          <w:b w:val="0"/>
          <w:bCs w:val="0"/>
          <w:color w:val="auto"/>
          <w:kern w:val="0"/>
          <w:szCs w:val="21"/>
          <w:highlight w:val="none"/>
        </w:rPr>
        <w:t>中按</w:t>
      </w:r>
      <w:r>
        <w:rPr>
          <w:rFonts w:hint="eastAsia" w:ascii="宋体" w:hAnsi="宋体" w:eastAsia="宋体" w:cs="宋体"/>
          <w:b w:val="0"/>
          <w:bCs w:val="0"/>
          <w:color w:val="auto"/>
          <w:kern w:val="0"/>
          <w:szCs w:val="21"/>
          <w:highlight w:val="none"/>
          <w:lang w:val="en-US" w:eastAsia="zh-CN"/>
        </w:rPr>
        <w:t>响应</w:t>
      </w:r>
      <w:r>
        <w:rPr>
          <w:rFonts w:hint="eastAsia" w:ascii="宋体" w:hAnsi="宋体" w:eastAsia="宋体" w:cs="宋体"/>
          <w:b w:val="0"/>
          <w:bCs w:val="0"/>
          <w:color w:val="auto"/>
          <w:kern w:val="0"/>
          <w:szCs w:val="21"/>
          <w:highlight w:val="none"/>
        </w:rPr>
        <w:t>报价</w:t>
      </w:r>
      <w:r>
        <w:rPr>
          <w:rFonts w:hint="eastAsia" w:ascii="宋体" w:hAnsi="宋体" w:eastAsia="宋体" w:cs="宋体"/>
          <w:b w:val="0"/>
          <w:bCs w:val="0"/>
          <w:color w:val="auto"/>
          <w:kern w:val="0"/>
          <w:szCs w:val="21"/>
          <w:highlight w:val="none"/>
          <w:lang w:val="zh-CN"/>
        </w:rPr>
        <w:t>由低到高顺序排出次序，报价低的排前，报价高的排后。</w:t>
      </w:r>
      <w:r>
        <w:rPr>
          <w:rFonts w:hint="eastAsia" w:ascii="宋体" w:hAnsi="宋体" w:eastAsia="宋体" w:cs="宋体"/>
          <w:b w:val="0"/>
          <w:bCs w:val="0"/>
          <w:color w:val="auto"/>
          <w:kern w:val="0"/>
          <w:szCs w:val="21"/>
          <w:highlight w:val="none"/>
        </w:rPr>
        <w:t>如果出现</w:t>
      </w:r>
      <w:r>
        <w:rPr>
          <w:rFonts w:hint="eastAsia" w:ascii="宋体" w:hAnsi="宋体" w:eastAsia="宋体" w:cs="宋体"/>
          <w:b w:val="0"/>
          <w:bCs w:val="0"/>
          <w:color w:val="auto"/>
          <w:kern w:val="0"/>
          <w:szCs w:val="21"/>
          <w:highlight w:val="none"/>
          <w:lang w:eastAsia="zh-CN"/>
        </w:rPr>
        <w:t>供应商</w:t>
      </w:r>
      <w:r>
        <w:rPr>
          <w:rFonts w:hint="eastAsia" w:ascii="宋体" w:hAnsi="宋体" w:eastAsia="宋体" w:cs="宋体"/>
          <w:b w:val="0"/>
          <w:bCs w:val="0"/>
          <w:color w:val="auto"/>
          <w:kern w:val="0"/>
          <w:szCs w:val="21"/>
          <w:highlight w:val="none"/>
        </w:rPr>
        <w:t>的最后综合得分及</w:t>
      </w:r>
      <w:r>
        <w:rPr>
          <w:rFonts w:hint="eastAsia" w:ascii="宋体" w:hAnsi="宋体" w:eastAsia="宋体" w:cs="宋体"/>
          <w:b w:val="0"/>
          <w:bCs w:val="0"/>
          <w:color w:val="auto"/>
          <w:kern w:val="0"/>
          <w:szCs w:val="21"/>
          <w:highlight w:val="none"/>
          <w:lang w:val="en-US" w:eastAsia="zh-CN"/>
        </w:rPr>
        <w:t>响应</w:t>
      </w:r>
      <w:r>
        <w:rPr>
          <w:rFonts w:hint="eastAsia" w:ascii="宋体" w:hAnsi="宋体" w:eastAsia="宋体" w:cs="宋体"/>
          <w:b w:val="0"/>
          <w:bCs w:val="0"/>
          <w:color w:val="auto"/>
          <w:kern w:val="0"/>
          <w:szCs w:val="21"/>
          <w:highlight w:val="none"/>
        </w:rPr>
        <w:t>报价均相同时，则按技术的</w:t>
      </w:r>
      <w:r>
        <w:rPr>
          <w:rFonts w:hint="eastAsia" w:ascii="宋体" w:hAnsi="宋体" w:eastAsia="宋体" w:cs="宋体"/>
          <w:b w:val="0"/>
          <w:bCs w:val="0"/>
          <w:color w:val="auto"/>
          <w:kern w:val="0"/>
          <w:szCs w:val="21"/>
          <w:highlight w:val="none"/>
          <w:lang w:eastAsia="zh-CN"/>
        </w:rPr>
        <w:t>评审</w:t>
      </w:r>
      <w:r>
        <w:rPr>
          <w:rFonts w:hint="eastAsia" w:ascii="宋体" w:hAnsi="宋体" w:eastAsia="宋体" w:cs="宋体"/>
          <w:b w:val="0"/>
          <w:bCs w:val="0"/>
          <w:color w:val="auto"/>
          <w:kern w:val="0"/>
          <w:szCs w:val="21"/>
          <w:highlight w:val="none"/>
        </w:rPr>
        <w:t>得分高低排出次序，得分高的排前，得分低的排后。如果出现</w:t>
      </w:r>
      <w:r>
        <w:rPr>
          <w:rFonts w:hint="eastAsia" w:ascii="宋体" w:hAnsi="宋体" w:eastAsia="宋体" w:cs="宋体"/>
          <w:b w:val="0"/>
          <w:bCs w:val="0"/>
          <w:color w:val="auto"/>
          <w:kern w:val="0"/>
          <w:szCs w:val="21"/>
          <w:highlight w:val="none"/>
          <w:lang w:eastAsia="zh-CN"/>
        </w:rPr>
        <w:t>供应商</w:t>
      </w:r>
      <w:r>
        <w:rPr>
          <w:rFonts w:hint="eastAsia" w:ascii="宋体" w:hAnsi="宋体" w:eastAsia="宋体" w:cs="宋体"/>
          <w:b w:val="0"/>
          <w:bCs w:val="0"/>
          <w:color w:val="auto"/>
          <w:kern w:val="0"/>
          <w:szCs w:val="21"/>
          <w:highlight w:val="none"/>
        </w:rPr>
        <w:t>的最后综合得分、</w:t>
      </w:r>
      <w:r>
        <w:rPr>
          <w:rFonts w:hint="eastAsia" w:ascii="宋体" w:hAnsi="宋体" w:eastAsia="宋体" w:cs="宋体"/>
          <w:b w:val="0"/>
          <w:bCs w:val="0"/>
          <w:color w:val="auto"/>
          <w:kern w:val="0"/>
          <w:szCs w:val="21"/>
          <w:highlight w:val="none"/>
          <w:lang w:val="en-US" w:eastAsia="zh-CN"/>
        </w:rPr>
        <w:t>响应</w:t>
      </w:r>
      <w:r>
        <w:rPr>
          <w:rFonts w:hint="eastAsia" w:ascii="宋体" w:hAnsi="宋体" w:eastAsia="宋体" w:cs="宋体"/>
          <w:b w:val="0"/>
          <w:bCs w:val="0"/>
          <w:color w:val="auto"/>
          <w:kern w:val="0"/>
          <w:szCs w:val="21"/>
          <w:highlight w:val="none"/>
        </w:rPr>
        <w:t>报价及技术得分均相同时</w:t>
      </w: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rPr>
        <w:t>由</w:t>
      </w:r>
      <w:r>
        <w:rPr>
          <w:rFonts w:hint="eastAsia" w:ascii="宋体" w:hAnsi="宋体" w:eastAsia="宋体" w:cs="宋体"/>
          <w:b w:val="0"/>
          <w:bCs w:val="0"/>
          <w:color w:val="auto"/>
          <w:kern w:val="0"/>
          <w:szCs w:val="21"/>
          <w:highlight w:val="none"/>
          <w:lang w:eastAsia="zh-CN"/>
        </w:rPr>
        <w:t>评审</w:t>
      </w:r>
      <w:r>
        <w:rPr>
          <w:rFonts w:hint="eastAsia" w:ascii="宋体" w:hAnsi="宋体" w:eastAsia="宋体" w:cs="宋体"/>
          <w:b w:val="0"/>
          <w:bCs w:val="0"/>
          <w:color w:val="auto"/>
          <w:kern w:val="0"/>
          <w:szCs w:val="21"/>
          <w:highlight w:val="none"/>
        </w:rPr>
        <w:t>委员会进行投票，得票多的排名在先。当第一轮投票结果为</w:t>
      </w:r>
      <w:r>
        <w:rPr>
          <w:rFonts w:hint="eastAsia" w:ascii="宋体" w:hAnsi="宋体" w:eastAsia="宋体" w:cs="宋体"/>
          <w:b w:val="0"/>
          <w:bCs w:val="0"/>
          <w:color w:val="auto"/>
          <w:kern w:val="0"/>
          <w:szCs w:val="21"/>
          <w:highlight w:val="none"/>
          <w:lang w:eastAsia="zh-CN"/>
        </w:rPr>
        <w:t>供应商</w:t>
      </w:r>
      <w:r>
        <w:rPr>
          <w:rFonts w:hint="eastAsia" w:ascii="宋体" w:hAnsi="宋体" w:eastAsia="宋体" w:cs="宋体"/>
          <w:b w:val="0"/>
          <w:bCs w:val="0"/>
          <w:color w:val="auto"/>
          <w:kern w:val="0"/>
          <w:szCs w:val="21"/>
          <w:highlight w:val="none"/>
        </w:rPr>
        <w:t>得票数相同时，再次进行投票，如此类推，直到能确定排序次序为止。</w:t>
      </w:r>
    </w:p>
    <w:p w14:paraId="6781151D">
      <w:pPr>
        <w:widowControl/>
        <w:spacing w:line="360" w:lineRule="auto"/>
        <w:jc w:val="left"/>
        <w:rPr>
          <w:rFonts w:hint="eastAsia" w:ascii="宋体" w:hAnsi="宋体" w:eastAsia="宋体" w:cs="宋体"/>
          <w:color w:val="auto"/>
          <w:kern w:val="0"/>
          <w:szCs w:val="21"/>
          <w:highlight w:val="none"/>
        </w:rPr>
      </w:pPr>
    </w:p>
    <w:p w14:paraId="58DA44CA">
      <w:pPr>
        <w:autoSpaceDE w:val="0"/>
        <w:autoSpaceDN w:val="0"/>
        <w:adjustRightInd w:val="0"/>
        <w:spacing w:line="360" w:lineRule="auto"/>
        <w:ind w:left="185" w:leftChars="88" w:firstLine="3443" w:firstLineChars="1225"/>
        <w:rPr>
          <w:rFonts w:hint="eastAsia" w:ascii="宋体" w:hAnsi="宋体" w:eastAsia="宋体" w:cs="宋体"/>
          <w:b/>
          <w:bCs/>
          <w:color w:val="auto"/>
          <w:sz w:val="28"/>
          <w:szCs w:val="28"/>
          <w:highlight w:val="none"/>
          <w:lang w:val="zh-CN"/>
        </w:rPr>
      </w:pPr>
      <w:bookmarkStart w:id="719" w:name="_Toc22724_WPSOffice_Level1"/>
      <w:r>
        <w:rPr>
          <w:rFonts w:hint="eastAsia" w:ascii="宋体" w:hAnsi="宋体" w:eastAsia="宋体" w:cs="宋体"/>
          <w:b/>
          <w:bCs/>
          <w:color w:val="auto"/>
          <w:sz w:val="28"/>
          <w:szCs w:val="28"/>
          <w:highlight w:val="none"/>
          <w:lang w:val="zh-CN"/>
        </w:rPr>
        <w:t>六、编写评审报告</w:t>
      </w:r>
      <w:bookmarkEnd w:id="719"/>
    </w:p>
    <w:p w14:paraId="46DED71A">
      <w:pPr>
        <w:autoSpaceDE w:val="0"/>
        <w:autoSpaceDN w:val="0"/>
        <w:adjustRightInd w:val="0"/>
        <w:spacing w:line="360" w:lineRule="auto"/>
        <w:ind w:left="420" w:hanging="420" w:hangingChars="200"/>
        <w:jc w:val="left"/>
        <w:rPr>
          <w:rFonts w:hint="eastAsia" w:ascii="宋体" w:hAnsi="宋体" w:eastAsia="宋体" w:cs="宋体"/>
          <w:b/>
          <w:bCs/>
          <w:color w:val="auto"/>
          <w:szCs w:val="32"/>
          <w:highlight w:val="none"/>
          <w:lang w:val="zh-CN"/>
        </w:rPr>
      </w:pPr>
      <w:r>
        <w:rPr>
          <w:rFonts w:hint="eastAsia" w:ascii="宋体" w:hAnsi="宋体" w:eastAsia="宋体" w:cs="宋体"/>
          <w:color w:val="auto"/>
          <w:szCs w:val="24"/>
          <w:highlight w:val="none"/>
          <w:lang w:val="zh-CN"/>
        </w:rPr>
        <w:t>14、评审委员会根据评审结果撰写评审报告。评审报告是评审委员会根据全体评审委员会成员签字的原始评审记录和评审结果编写的报告，其主要内容包括：</w:t>
      </w:r>
    </w:p>
    <w:p w14:paraId="3065402E">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（1）开启邀请时间、开启日期和地点；</w:t>
      </w:r>
    </w:p>
    <w:p w14:paraId="79EF7692">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（2）供应商名单和评审委员会成员名单；</w:t>
      </w:r>
    </w:p>
    <w:p w14:paraId="519CA871">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（3）开启评审方法和标准；</w:t>
      </w:r>
    </w:p>
    <w:p w14:paraId="425E2DDB">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（4）开启评审记录和评审情况及说明，包括响应无效供应商名单及原因；</w:t>
      </w:r>
    </w:p>
    <w:p w14:paraId="37471455">
      <w:pPr>
        <w:autoSpaceDE w:val="0"/>
        <w:autoSpaceDN w:val="0"/>
        <w:adjustRightInd w:val="0"/>
        <w:spacing w:line="360" w:lineRule="auto"/>
        <w:jc w:val="left"/>
        <w:rPr>
          <w:rFonts w:hint="eastAsia" w:ascii="宋体" w:hAnsi="宋体" w:eastAsia="宋体" w:cs="宋体"/>
          <w:color w:val="auto"/>
          <w:kern w:val="0"/>
          <w:szCs w:val="24"/>
          <w:highlight w:val="none"/>
          <w:lang w:val="zh-CN"/>
        </w:rPr>
      </w:pPr>
      <w:r>
        <w:rPr>
          <w:rFonts w:hint="eastAsia" w:ascii="宋体" w:hAnsi="宋体" w:eastAsia="宋体" w:cs="宋体"/>
          <w:color w:val="auto"/>
          <w:kern w:val="0"/>
          <w:szCs w:val="24"/>
          <w:highlight w:val="none"/>
          <w:lang w:val="zh-CN"/>
        </w:rPr>
        <w:t>（5）评审结果和</w:t>
      </w:r>
      <w:r>
        <w:rPr>
          <w:rFonts w:hint="eastAsia" w:ascii="宋体" w:hAnsi="宋体" w:eastAsia="宋体" w:cs="宋体"/>
          <w:color w:val="auto"/>
          <w:kern w:val="0"/>
          <w:szCs w:val="21"/>
          <w:highlight w:val="none"/>
        </w:rPr>
        <w:t>成交</w:t>
      </w:r>
      <w:r>
        <w:rPr>
          <w:rFonts w:hint="eastAsia" w:ascii="宋体" w:hAnsi="宋体" w:eastAsia="宋体" w:cs="宋体"/>
          <w:color w:val="auto"/>
          <w:kern w:val="0"/>
          <w:szCs w:val="24"/>
          <w:highlight w:val="none"/>
          <w:lang w:val="zh-CN"/>
        </w:rPr>
        <w:t>候选供应商排序表；</w:t>
      </w:r>
    </w:p>
    <w:p w14:paraId="1EECC415">
      <w:pPr>
        <w:autoSpaceDE w:val="0"/>
        <w:autoSpaceDN w:val="0"/>
        <w:adjustRightInd w:val="0"/>
        <w:spacing w:line="360" w:lineRule="auto"/>
        <w:jc w:val="left"/>
        <w:rPr>
          <w:rFonts w:hint="eastAsia" w:ascii="宋体" w:hAnsi="宋体" w:eastAsia="宋体" w:cs="宋体"/>
          <w:color w:val="auto"/>
          <w:szCs w:val="24"/>
          <w:highlight w:val="none"/>
          <w:lang w:val="zh-CN"/>
        </w:rPr>
      </w:pPr>
      <w:r>
        <w:rPr>
          <w:rFonts w:hint="eastAsia" w:ascii="宋体" w:hAnsi="宋体" w:eastAsia="宋体" w:cs="宋体"/>
          <w:color w:val="auto"/>
          <w:kern w:val="0"/>
          <w:szCs w:val="24"/>
          <w:highlight w:val="none"/>
          <w:lang w:val="zh-CN"/>
        </w:rPr>
        <w:t>（6）评审委员会的推荐</w:t>
      </w:r>
      <w:r>
        <w:rPr>
          <w:rFonts w:hint="eastAsia" w:ascii="宋体" w:hAnsi="宋体" w:eastAsia="宋体" w:cs="宋体"/>
          <w:color w:val="auto"/>
          <w:szCs w:val="24"/>
          <w:highlight w:val="none"/>
          <w:lang w:val="zh-CN"/>
        </w:rPr>
        <w:t>建议。</w:t>
      </w:r>
    </w:p>
    <w:p w14:paraId="569103ED">
      <w:pPr>
        <w:autoSpaceDE w:val="0"/>
        <w:autoSpaceDN w:val="0"/>
        <w:adjustRightInd w:val="0"/>
        <w:spacing w:line="360" w:lineRule="auto"/>
        <w:jc w:val="center"/>
        <w:rPr>
          <w:rFonts w:hint="eastAsia" w:ascii="宋体" w:hAnsi="宋体" w:eastAsia="宋体" w:cs="宋体"/>
          <w:b/>
          <w:bCs/>
          <w:color w:val="auto"/>
          <w:sz w:val="28"/>
          <w:szCs w:val="28"/>
          <w:highlight w:val="none"/>
          <w:lang w:val="zh-CN"/>
        </w:rPr>
      </w:pPr>
    </w:p>
    <w:p w14:paraId="3CCC0DA1">
      <w:pPr>
        <w:autoSpaceDE w:val="0"/>
        <w:autoSpaceDN w:val="0"/>
        <w:adjustRightInd w:val="0"/>
        <w:spacing w:line="360" w:lineRule="auto"/>
        <w:jc w:val="center"/>
        <w:rPr>
          <w:rFonts w:hint="eastAsia" w:ascii="宋体" w:hAnsi="宋体" w:eastAsia="宋体" w:cs="宋体"/>
          <w:b/>
          <w:bCs/>
          <w:color w:val="auto"/>
          <w:sz w:val="30"/>
          <w:szCs w:val="30"/>
          <w:highlight w:val="none"/>
          <w:lang w:val="zh-CN"/>
        </w:rPr>
      </w:pPr>
      <w:bookmarkStart w:id="720" w:name="_Toc23773_WPSOffice_Level1"/>
      <w:r>
        <w:rPr>
          <w:rFonts w:hint="eastAsia" w:ascii="宋体" w:hAnsi="宋体" w:eastAsia="宋体" w:cs="宋体"/>
          <w:b/>
          <w:bCs/>
          <w:color w:val="auto"/>
          <w:sz w:val="28"/>
          <w:szCs w:val="28"/>
          <w:highlight w:val="none"/>
          <w:lang w:val="zh-CN"/>
        </w:rPr>
        <w:t>七、注意事项</w:t>
      </w:r>
      <w:bookmarkEnd w:id="720"/>
    </w:p>
    <w:p w14:paraId="1B895C4E">
      <w:pPr>
        <w:autoSpaceDE w:val="0"/>
        <w:autoSpaceDN w:val="0"/>
        <w:adjustRightInd w:val="0"/>
        <w:spacing w:line="360" w:lineRule="auto"/>
        <w:ind w:left="420" w:hanging="420" w:hangingChars="200"/>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15、为确保评审工作的顺利进行，防止因泄密或其它意外而造成的不良后果及影响，凡参加评审工作的人员都必须认真执行本规定：</w:t>
      </w:r>
    </w:p>
    <w:p w14:paraId="753D8046">
      <w:pPr>
        <w:autoSpaceDE w:val="0"/>
        <w:autoSpaceDN w:val="0"/>
        <w:adjustRightInd w:val="0"/>
        <w:spacing w:line="360" w:lineRule="auto"/>
        <w:ind w:left="436" w:leftChars="-59" w:hanging="560" w:hangingChars="2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（1）在评审工作期间，所有分发的响应文件、资料等仅限于在评审场所中使用，不得带往其它地方，所有的询比文件、响应文件、资料等一律编号登记；</w:t>
      </w:r>
    </w:p>
    <w:p w14:paraId="0B7B6CF7">
      <w:pPr>
        <w:autoSpaceDE w:val="0"/>
        <w:autoSpaceDN w:val="0"/>
        <w:adjustRightInd w:val="0"/>
        <w:spacing w:line="360" w:lineRule="auto"/>
        <w:ind w:left="436" w:leftChars="-59" w:hanging="560" w:hangingChars="2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（2）评审人员及工作人员不得在公共场合谈论有关评审内容；</w:t>
      </w:r>
    </w:p>
    <w:p w14:paraId="25E8ABD6">
      <w:pPr>
        <w:autoSpaceDE w:val="0"/>
        <w:autoSpaceDN w:val="0"/>
        <w:adjustRightInd w:val="0"/>
        <w:spacing w:line="360" w:lineRule="auto"/>
        <w:ind w:left="436" w:leftChars="-59" w:hanging="560" w:hangingChars="2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3）评审人员及工作人员不得以书信、电讯、口述等方式将有关评审内容（如资料、响应文件、响应报价、评审方式、评审委员会的决定、评审组织机构、评审人员名单等）披露给未参加评审的任何无关人员，包括上级领导、同级和下级人员，任何与评审无关的人员（包括亲朋好友和同事）不得进入评审场所；</w:t>
      </w:r>
    </w:p>
    <w:p w14:paraId="46998681">
      <w:pPr>
        <w:autoSpaceDE w:val="0"/>
        <w:autoSpaceDN w:val="0"/>
        <w:adjustRightInd w:val="0"/>
        <w:spacing w:line="360" w:lineRule="auto"/>
        <w:ind w:left="436" w:leftChars="-59" w:hanging="560" w:hangingChars="267"/>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（4）</w:t>
      </w:r>
      <w:r>
        <w:rPr>
          <w:rFonts w:hint="eastAsia" w:ascii="宋体" w:hAnsi="宋体" w:eastAsia="宋体" w:cs="宋体"/>
          <w:color w:val="auto"/>
          <w:szCs w:val="24"/>
          <w:highlight w:val="none"/>
          <w:lang w:val="en-US" w:eastAsia="zh-CN"/>
        </w:rPr>
        <w:t>如有需要举行</w:t>
      </w:r>
      <w:r>
        <w:rPr>
          <w:rFonts w:hint="eastAsia" w:ascii="宋体" w:hAnsi="宋体" w:eastAsia="宋体" w:cs="宋体"/>
          <w:color w:val="auto"/>
          <w:szCs w:val="24"/>
          <w:highlight w:val="none"/>
          <w:lang w:val="zh-CN"/>
        </w:rPr>
        <w:t>澄清会，在举行与各供应商的澄清会之前评审委员会应明确参加会议的人员及主谈人。任何需要供应商在澄清会上澄清的问题必须经评审委员会成员签字并由主谈人提出。在澄清期间，对于涉及本规定保密范畴的所有内容，主谈人不得向供应商透露；</w:t>
      </w:r>
    </w:p>
    <w:p w14:paraId="5F962D0B">
      <w:pPr>
        <w:widowControl/>
        <w:autoSpaceDE w:val="0"/>
        <w:autoSpaceDN w:val="0"/>
        <w:adjustRightInd w:val="0"/>
        <w:spacing w:line="360" w:lineRule="auto"/>
        <w:ind w:left="436" w:leftChars="-59" w:hanging="560" w:hangingChars="267"/>
        <w:jc w:val="left"/>
        <w:rPr>
          <w:rFonts w:hint="eastAsia" w:ascii="宋体" w:hAnsi="宋体" w:eastAsia="宋体" w:cs="宋体"/>
          <w:b/>
          <w:bCs/>
          <w:color w:val="auto"/>
          <w:kern w:val="0"/>
          <w:szCs w:val="21"/>
          <w:highlight w:val="none"/>
        </w:rPr>
      </w:pPr>
      <w:r>
        <w:rPr>
          <w:rFonts w:hint="eastAsia" w:ascii="宋体" w:hAnsi="宋体" w:eastAsia="宋体" w:cs="宋体"/>
          <w:color w:val="auto"/>
          <w:szCs w:val="24"/>
          <w:highlight w:val="none"/>
          <w:lang w:val="zh-CN"/>
        </w:rPr>
        <w:t>（5）任何评审人员和工作人员不得对外公布评审的一切内容。</w:t>
      </w:r>
    </w:p>
    <w:bookmarkEnd w:id="682"/>
    <w:bookmarkEnd w:id="683"/>
    <w:bookmarkEnd w:id="684"/>
    <w:bookmarkEnd w:id="685"/>
    <w:p w14:paraId="22906DDF">
      <w:pPr>
        <w:widowControl/>
        <w:jc w:val="left"/>
        <w:rPr>
          <w:rFonts w:hint="eastAsia" w:ascii="宋体" w:hAnsi="宋体" w:eastAsia="宋体" w:cs="宋体"/>
          <w:color w:val="auto"/>
          <w:szCs w:val="24"/>
          <w:highlight w:val="none"/>
          <w:lang w:val="zh-CN"/>
        </w:rPr>
      </w:pPr>
    </w:p>
    <w:sectPr>
      <w:pgSz w:w="12240" w:h="15840"/>
      <w:pgMar w:top="1191" w:right="1043" w:bottom="1191" w:left="1043" w:header="720" w:footer="720" w:gutter="0"/>
      <w:pgNumType w:fmt="decimal"/>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ˎ̥">
    <w:altName w:val="国标仿宋"/>
    <w:panose1 w:val="00000000000000000000"/>
    <w:charset w:val="01"/>
    <w:family w:val="roman"/>
    <w:pitch w:val="default"/>
    <w:sig w:usb0="00000000" w:usb1="00000000" w:usb2="00000000" w:usb3="00000000" w:csb0="00040001" w:csb1="00000000"/>
  </w:font>
  <w:font w:name="国标仿宋">
    <w:panose1 w:val="02000500000000000000"/>
    <w:charset w:val="86"/>
    <w:family w:val="auto"/>
    <w:pitch w:val="default"/>
    <w:sig w:usb0="A00002BF" w:usb1="38C77CFA" w:usb2="00000016" w:usb3="00000000" w:csb0="00060007"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FrutigerNext LT Light">
    <w:altName w:val="宋体"/>
    <w:panose1 w:val="00000000000000000000"/>
    <w:charset w:val="86"/>
    <w:family w:val="swiss"/>
    <w:pitch w:val="default"/>
    <w:sig w:usb0="00000000" w:usb1="00000000" w:usb2="00000010" w:usb3="00000000" w:csb0="00040001" w:csb1="00000000"/>
  </w:font>
  <w:font w:name="国标宋体">
    <w:panose1 w:val="02000500000000000000"/>
    <w:charset w:val="86"/>
    <w:family w:val="auto"/>
    <w:pitch w:val="default"/>
    <w:sig w:usb0="00000001" w:usb1="28000000" w:usb2="00000000" w:usb3="00000000" w:csb0="00060007"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98052">
    <w:pPr>
      <w:pStyle w:val="25"/>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E7525A">
                          <w:pPr>
                            <w:pStyle w:val="2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2E7525A">
                    <w:pPr>
                      <w:pStyle w:val="2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ECB76">
    <w:pPr>
      <w:widowControl w:val="0"/>
      <w:autoSpaceDE/>
      <w:autoSpaceDN/>
      <w:adjustRightInd/>
      <w:snapToGrid w:val="0"/>
      <w:rPr>
        <w:rFonts w:asciiTheme="minorHAnsi" w:hAnsiTheme="minorHAnsi" w:eastAsiaTheme="minorEastAsia" w:cstheme="minorBidi"/>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4A484">
    <w:pPr>
      <w:widowControl w:val="0"/>
      <w:autoSpaceDE/>
      <w:autoSpaceDN/>
      <w:adjustRightInd/>
      <w:snapToGrid w:val="0"/>
      <w:rPr>
        <w:rFonts w:asciiTheme="minorHAnsi" w:hAnsiTheme="minorHAnsi" w:eastAsiaTheme="minorEastAsia" w:cstheme="minorBidi"/>
        <w:kern w:val="2"/>
        <w:sz w:val="18"/>
        <w:szCs w:val="18"/>
        <w:lang w:val="en-US" w:eastAsia="zh-CN" w:bidi="ar-SA"/>
      </w:rPr>
    </w:pPr>
    <w:r>
      <w:rPr>
        <w:rFonts w:asciiTheme="minorHAnsi" w:hAnsiTheme="minorHAnsi" w:eastAsiaTheme="minorEastAsia" w:cstheme="minorBidi"/>
        <w:kern w:val="2"/>
        <w:sz w:val="18"/>
        <w:szCs w:val="18"/>
        <w:lang w:val="en-US" w:eastAsia="zh-CN"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D9F709">
                          <w:pPr>
                            <w:widowControl w:val="0"/>
                            <w:autoSpaceDE/>
                            <w:autoSpaceDN/>
                            <w:adjustRightInd/>
                            <w:snapToGrid w:val="0"/>
                            <w:rPr>
                              <w:rFonts w:asciiTheme="minorHAnsi" w:hAnsiTheme="minorHAnsi" w:eastAsiaTheme="minorEastAsia" w:cstheme="minorBidi"/>
                              <w:kern w:val="2"/>
                              <w:sz w:val="18"/>
                              <w:szCs w:val="18"/>
                              <w:lang w:val="en-US" w:eastAsia="zh-CN" w:bidi="ar-SA"/>
                            </w:rPr>
                          </w:pPr>
                          <w:r>
                            <w:rPr>
                              <w:rFonts w:cstheme="minorBidi"/>
                              <w:kern w:val="2"/>
                              <w:sz w:val="18"/>
                              <w:szCs w:val="18"/>
                              <w:lang w:val="en-US" w:eastAsia="zh-CN" w:bidi="ar-SA"/>
                            </w:rPr>
                            <w:t xml:space="preserve">第 </w:t>
                          </w:r>
                          <w:r>
                            <w:rPr>
                              <w:rFonts w:cstheme="minorBidi"/>
                              <w:kern w:val="2"/>
                              <w:sz w:val="18"/>
                              <w:szCs w:val="18"/>
                              <w:lang w:val="en-US" w:eastAsia="zh-CN" w:bidi="ar-SA"/>
                            </w:rPr>
                            <w:fldChar w:fldCharType="begin"/>
                          </w:r>
                          <w:r>
                            <w:rPr>
                              <w:rFonts w:cstheme="minorBidi"/>
                              <w:kern w:val="2"/>
                              <w:sz w:val="18"/>
                              <w:szCs w:val="18"/>
                              <w:lang w:val="en-US" w:eastAsia="zh-CN" w:bidi="ar-SA"/>
                            </w:rPr>
                            <w:instrText xml:space="preserve"> PAGE  \* MERGEFORMAT </w:instrText>
                          </w:r>
                          <w:r>
                            <w:rPr>
                              <w:rFonts w:cstheme="minorBidi"/>
                              <w:kern w:val="2"/>
                              <w:sz w:val="18"/>
                              <w:szCs w:val="18"/>
                              <w:lang w:val="en-US" w:eastAsia="zh-CN" w:bidi="ar-SA"/>
                            </w:rPr>
                            <w:fldChar w:fldCharType="separate"/>
                          </w:r>
                          <w:r>
                            <w:rPr>
                              <w:rFonts w:cstheme="minorBidi"/>
                              <w:kern w:val="2"/>
                              <w:sz w:val="18"/>
                              <w:szCs w:val="18"/>
                              <w:lang w:val="en-US" w:eastAsia="zh-CN" w:bidi="ar-SA"/>
                            </w:rPr>
                            <w:t>32</w:t>
                          </w:r>
                          <w:r>
                            <w:rPr>
                              <w:rFonts w:cstheme="minorBidi"/>
                              <w:kern w:val="2"/>
                              <w:sz w:val="18"/>
                              <w:szCs w:val="18"/>
                              <w:lang w:val="en-US" w:eastAsia="zh-CN" w:bidi="ar-SA"/>
                            </w:rPr>
                            <w:fldChar w:fldCharType="end"/>
                          </w:r>
                          <w:r>
                            <w:rPr>
                              <w:rFonts w:cstheme="minorBidi"/>
                              <w:kern w:val="2"/>
                              <w:sz w:val="18"/>
                              <w:szCs w:val="18"/>
                              <w:lang w:val="en-US" w:eastAsia="zh-CN" w:bidi="ar-SA"/>
                            </w:rPr>
                            <w:t xml:space="preserve"> 页 共 </w:t>
                          </w:r>
                          <w:r>
                            <w:rPr>
                              <w:rFonts w:cstheme="minorBidi"/>
                              <w:kern w:val="2"/>
                              <w:sz w:val="18"/>
                              <w:szCs w:val="18"/>
                              <w:lang w:val="en-US" w:eastAsia="zh-CN" w:bidi="ar-SA"/>
                            </w:rPr>
                            <w:fldChar w:fldCharType="begin"/>
                          </w:r>
                          <w:r>
                            <w:rPr>
                              <w:rFonts w:cstheme="minorBidi"/>
                              <w:kern w:val="2"/>
                              <w:sz w:val="18"/>
                              <w:szCs w:val="18"/>
                              <w:lang w:val="en-US" w:eastAsia="zh-CN" w:bidi="ar-SA"/>
                            </w:rPr>
                            <w:instrText xml:space="preserve"> NUMPAGES  \* MERGEFORMAT </w:instrText>
                          </w:r>
                          <w:r>
                            <w:rPr>
                              <w:rFonts w:cstheme="minorBidi"/>
                              <w:kern w:val="2"/>
                              <w:sz w:val="18"/>
                              <w:szCs w:val="18"/>
                              <w:lang w:val="en-US" w:eastAsia="zh-CN" w:bidi="ar-SA"/>
                            </w:rPr>
                            <w:fldChar w:fldCharType="separate"/>
                          </w:r>
                          <w:r>
                            <w:rPr>
                              <w:rFonts w:cstheme="minorBidi"/>
                              <w:kern w:val="2"/>
                              <w:sz w:val="18"/>
                              <w:szCs w:val="18"/>
                              <w:lang w:val="en-US" w:eastAsia="zh-CN" w:bidi="ar-SA"/>
                            </w:rPr>
                            <w:t>96</w:t>
                          </w:r>
                          <w:r>
                            <w:rPr>
                              <w:rFonts w:cstheme="minorBidi"/>
                              <w:kern w:val="2"/>
                              <w:sz w:val="18"/>
                              <w:szCs w:val="18"/>
                              <w:lang w:val="en-US" w:eastAsia="zh-CN" w:bidi="ar-SA"/>
                            </w:rPr>
                            <w:fldChar w:fldCharType="end"/>
                          </w:r>
                          <w:r>
                            <w:rPr>
                              <w:rFonts w:cstheme="minorBidi"/>
                              <w:kern w:val="2"/>
                              <w:sz w:val="18"/>
                              <w:szCs w:val="18"/>
                              <w:lang w:val="en-US" w:eastAsia="zh-CN" w:bidi="ar-S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78D9F709">
                    <w:pPr>
                      <w:widowControl w:val="0"/>
                      <w:autoSpaceDE/>
                      <w:autoSpaceDN/>
                      <w:adjustRightInd/>
                      <w:snapToGrid w:val="0"/>
                      <w:rPr>
                        <w:rFonts w:asciiTheme="minorHAnsi" w:hAnsiTheme="minorHAnsi" w:eastAsiaTheme="minorEastAsia" w:cstheme="minorBidi"/>
                        <w:kern w:val="2"/>
                        <w:sz w:val="18"/>
                        <w:szCs w:val="18"/>
                        <w:lang w:val="en-US" w:eastAsia="zh-CN" w:bidi="ar-SA"/>
                      </w:rPr>
                    </w:pPr>
                    <w:r>
                      <w:rPr>
                        <w:rFonts w:cstheme="minorBidi"/>
                        <w:kern w:val="2"/>
                        <w:sz w:val="18"/>
                        <w:szCs w:val="18"/>
                        <w:lang w:val="en-US" w:eastAsia="zh-CN" w:bidi="ar-SA"/>
                      </w:rPr>
                      <w:t xml:space="preserve">第 </w:t>
                    </w:r>
                    <w:r>
                      <w:rPr>
                        <w:rFonts w:cstheme="minorBidi"/>
                        <w:kern w:val="2"/>
                        <w:sz w:val="18"/>
                        <w:szCs w:val="18"/>
                        <w:lang w:val="en-US" w:eastAsia="zh-CN" w:bidi="ar-SA"/>
                      </w:rPr>
                      <w:fldChar w:fldCharType="begin"/>
                    </w:r>
                    <w:r>
                      <w:rPr>
                        <w:rFonts w:cstheme="minorBidi"/>
                        <w:kern w:val="2"/>
                        <w:sz w:val="18"/>
                        <w:szCs w:val="18"/>
                        <w:lang w:val="en-US" w:eastAsia="zh-CN" w:bidi="ar-SA"/>
                      </w:rPr>
                      <w:instrText xml:space="preserve"> PAGE  \* MERGEFORMAT </w:instrText>
                    </w:r>
                    <w:r>
                      <w:rPr>
                        <w:rFonts w:cstheme="minorBidi"/>
                        <w:kern w:val="2"/>
                        <w:sz w:val="18"/>
                        <w:szCs w:val="18"/>
                        <w:lang w:val="en-US" w:eastAsia="zh-CN" w:bidi="ar-SA"/>
                      </w:rPr>
                      <w:fldChar w:fldCharType="separate"/>
                    </w:r>
                    <w:r>
                      <w:rPr>
                        <w:rFonts w:cstheme="minorBidi"/>
                        <w:kern w:val="2"/>
                        <w:sz w:val="18"/>
                        <w:szCs w:val="18"/>
                        <w:lang w:val="en-US" w:eastAsia="zh-CN" w:bidi="ar-SA"/>
                      </w:rPr>
                      <w:t>32</w:t>
                    </w:r>
                    <w:r>
                      <w:rPr>
                        <w:rFonts w:cstheme="minorBidi"/>
                        <w:kern w:val="2"/>
                        <w:sz w:val="18"/>
                        <w:szCs w:val="18"/>
                        <w:lang w:val="en-US" w:eastAsia="zh-CN" w:bidi="ar-SA"/>
                      </w:rPr>
                      <w:fldChar w:fldCharType="end"/>
                    </w:r>
                    <w:r>
                      <w:rPr>
                        <w:rFonts w:cstheme="minorBidi"/>
                        <w:kern w:val="2"/>
                        <w:sz w:val="18"/>
                        <w:szCs w:val="18"/>
                        <w:lang w:val="en-US" w:eastAsia="zh-CN" w:bidi="ar-SA"/>
                      </w:rPr>
                      <w:t xml:space="preserve"> 页 共 </w:t>
                    </w:r>
                    <w:r>
                      <w:rPr>
                        <w:rFonts w:cstheme="minorBidi"/>
                        <w:kern w:val="2"/>
                        <w:sz w:val="18"/>
                        <w:szCs w:val="18"/>
                        <w:lang w:val="en-US" w:eastAsia="zh-CN" w:bidi="ar-SA"/>
                      </w:rPr>
                      <w:fldChar w:fldCharType="begin"/>
                    </w:r>
                    <w:r>
                      <w:rPr>
                        <w:rFonts w:cstheme="minorBidi"/>
                        <w:kern w:val="2"/>
                        <w:sz w:val="18"/>
                        <w:szCs w:val="18"/>
                        <w:lang w:val="en-US" w:eastAsia="zh-CN" w:bidi="ar-SA"/>
                      </w:rPr>
                      <w:instrText xml:space="preserve"> NUMPAGES  \* MERGEFORMAT </w:instrText>
                    </w:r>
                    <w:r>
                      <w:rPr>
                        <w:rFonts w:cstheme="minorBidi"/>
                        <w:kern w:val="2"/>
                        <w:sz w:val="18"/>
                        <w:szCs w:val="18"/>
                        <w:lang w:val="en-US" w:eastAsia="zh-CN" w:bidi="ar-SA"/>
                      </w:rPr>
                      <w:fldChar w:fldCharType="separate"/>
                    </w:r>
                    <w:r>
                      <w:rPr>
                        <w:rFonts w:cstheme="minorBidi"/>
                        <w:kern w:val="2"/>
                        <w:sz w:val="18"/>
                        <w:szCs w:val="18"/>
                        <w:lang w:val="en-US" w:eastAsia="zh-CN" w:bidi="ar-SA"/>
                      </w:rPr>
                      <w:t>96</w:t>
                    </w:r>
                    <w:r>
                      <w:rPr>
                        <w:rFonts w:cstheme="minorBidi"/>
                        <w:kern w:val="2"/>
                        <w:sz w:val="18"/>
                        <w:szCs w:val="18"/>
                        <w:lang w:val="en-US" w:eastAsia="zh-CN" w:bidi="ar-SA"/>
                      </w:rPr>
                      <w:fldChar w:fldCharType="end"/>
                    </w:r>
                    <w:r>
                      <w:rPr>
                        <w:rFonts w:cstheme="minorBidi"/>
                        <w:kern w:val="2"/>
                        <w:sz w:val="18"/>
                        <w:szCs w:val="18"/>
                        <w:lang w:val="en-US" w:eastAsia="zh-CN" w:bidi="ar-S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54E52">
    <w:pPr>
      <w:widowControl w:val="0"/>
      <w:autoSpaceDE/>
      <w:autoSpaceDN/>
      <w:adjustRightInd/>
      <w:snapToGrid w:val="0"/>
      <w:rPr>
        <w:rFonts w:asciiTheme="minorHAnsi" w:hAnsiTheme="minorHAnsi" w:eastAsiaTheme="minorEastAsia" w:cstheme="minorBidi"/>
        <w:kern w:val="2"/>
        <w:sz w:val="18"/>
        <w:szCs w:val="18"/>
        <w:lang w:val="en-US" w:eastAsia="zh-CN" w:bidi="ar-SA"/>
      </w:rPr>
    </w:pPr>
    <w:r>
      <w:rPr>
        <w:rFonts w:asciiTheme="minorHAnsi" w:hAnsiTheme="minorHAnsi" w:eastAsiaTheme="minorEastAsia" w:cstheme="minorBidi"/>
        <w:kern w:val="2"/>
        <w:sz w:val="18"/>
        <w:szCs w:val="18"/>
        <w:lang w:val="en-US" w:eastAsia="zh-CN"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A8CBAC">
                          <w:pPr>
                            <w:widowControl w:val="0"/>
                            <w:autoSpaceDE/>
                            <w:autoSpaceDN/>
                            <w:adjustRightInd/>
                            <w:snapToGrid w:val="0"/>
                            <w:rPr>
                              <w:rFonts w:asciiTheme="minorHAnsi" w:hAnsiTheme="minorHAnsi" w:eastAsiaTheme="minorEastAsia" w:cstheme="minorBidi"/>
                              <w:kern w:val="2"/>
                              <w:sz w:val="18"/>
                              <w:szCs w:val="18"/>
                              <w:lang w:val="en-US" w:eastAsia="zh-CN" w:bidi="ar-SA"/>
                            </w:rPr>
                          </w:pPr>
                          <w:r>
                            <w:rPr>
                              <w:rFonts w:asciiTheme="minorHAnsi" w:hAnsiTheme="minorHAnsi" w:eastAsiaTheme="minorEastAsia" w:cstheme="minorBidi"/>
                              <w:kern w:val="2"/>
                              <w:sz w:val="18"/>
                              <w:szCs w:val="18"/>
                              <w:lang w:val="en-US" w:eastAsia="zh-CN" w:bidi="ar-SA"/>
                            </w:rPr>
                            <w:t xml:space="preserve">第 </w:t>
                          </w:r>
                          <w:r>
                            <w:rPr>
                              <w:rFonts w:asciiTheme="minorHAnsi" w:hAnsiTheme="minorHAnsi" w:eastAsiaTheme="minorEastAsia" w:cstheme="minorBidi"/>
                              <w:kern w:val="2"/>
                              <w:sz w:val="18"/>
                              <w:szCs w:val="18"/>
                              <w:lang w:val="en-US" w:eastAsia="zh-CN" w:bidi="ar-SA"/>
                            </w:rPr>
                            <w:fldChar w:fldCharType="begin"/>
                          </w:r>
                          <w:r>
                            <w:rPr>
                              <w:rFonts w:asciiTheme="minorHAnsi" w:hAnsiTheme="minorHAnsi" w:eastAsiaTheme="minorEastAsia" w:cstheme="minorBidi"/>
                              <w:kern w:val="2"/>
                              <w:sz w:val="18"/>
                              <w:szCs w:val="18"/>
                              <w:lang w:val="en-US" w:eastAsia="zh-CN" w:bidi="ar-SA"/>
                            </w:rPr>
                            <w:instrText xml:space="preserve"> PAGE  \* MERGEFORMAT </w:instrText>
                          </w:r>
                          <w:r>
                            <w:rPr>
                              <w:rFonts w:asciiTheme="minorHAnsi" w:hAnsiTheme="minorHAnsi" w:eastAsiaTheme="minorEastAsia" w:cstheme="minorBidi"/>
                              <w:kern w:val="2"/>
                              <w:sz w:val="18"/>
                              <w:szCs w:val="18"/>
                              <w:lang w:val="en-US" w:eastAsia="zh-CN" w:bidi="ar-SA"/>
                            </w:rPr>
                            <w:fldChar w:fldCharType="separate"/>
                          </w:r>
                          <w:r>
                            <w:rPr>
                              <w:rFonts w:asciiTheme="minorHAnsi" w:hAnsiTheme="minorHAnsi" w:eastAsiaTheme="minorEastAsia" w:cstheme="minorBidi"/>
                              <w:kern w:val="2"/>
                              <w:sz w:val="18"/>
                              <w:szCs w:val="18"/>
                              <w:lang w:val="en-US" w:eastAsia="zh-CN" w:bidi="ar-SA"/>
                            </w:rPr>
                            <w:t>1</w:t>
                          </w:r>
                          <w:r>
                            <w:rPr>
                              <w:rFonts w:asciiTheme="minorHAnsi" w:hAnsiTheme="minorHAnsi" w:eastAsiaTheme="minorEastAsia" w:cstheme="minorBidi"/>
                              <w:kern w:val="2"/>
                              <w:sz w:val="18"/>
                              <w:szCs w:val="18"/>
                              <w:lang w:val="en-US" w:eastAsia="zh-CN" w:bidi="ar-SA"/>
                            </w:rPr>
                            <w:fldChar w:fldCharType="end"/>
                          </w:r>
                          <w:r>
                            <w:rPr>
                              <w:rFonts w:asciiTheme="minorHAnsi" w:hAnsiTheme="minorHAnsi" w:eastAsiaTheme="minorEastAsia" w:cstheme="minorBidi"/>
                              <w:kern w:val="2"/>
                              <w:sz w:val="18"/>
                              <w:szCs w:val="18"/>
                              <w:lang w:val="en-US" w:eastAsia="zh-CN" w:bidi="ar-SA"/>
                            </w:rPr>
                            <w:t xml:space="preserve"> 页 共 </w:t>
                          </w:r>
                          <w:r>
                            <w:rPr>
                              <w:rFonts w:hint="eastAsia" w:asciiTheme="minorHAnsi" w:hAnsiTheme="minorHAnsi" w:eastAsiaTheme="minorEastAsia" w:cstheme="minorBidi"/>
                              <w:kern w:val="2"/>
                              <w:sz w:val="18"/>
                              <w:szCs w:val="18"/>
                              <w:lang w:val="en-US" w:eastAsia="zh-CN" w:bidi="ar-SA"/>
                            </w:rPr>
                            <w:t>93</w:t>
                          </w:r>
                          <w:r>
                            <w:rPr>
                              <w:rFonts w:asciiTheme="minorHAnsi" w:hAnsiTheme="minorHAnsi" w:eastAsiaTheme="minorEastAsia" w:cstheme="minorBidi"/>
                              <w:kern w:val="2"/>
                              <w:sz w:val="18"/>
                              <w:szCs w:val="18"/>
                              <w:lang w:val="en-US" w:eastAsia="zh-CN" w:bidi="ar-S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3EA8CBAC">
                    <w:pPr>
                      <w:widowControl w:val="0"/>
                      <w:autoSpaceDE/>
                      <w:autoSpaceDN/>
                      <w:adjustRightInd/>
                      <w:snapToGrid w:val="0"/>
                      <w:rPr>
                        <w:rFonts w:asciiTheme="minorHAnsi" w:hAnsiTheme="minorHAnsi" w:eastAsiaTheme="minorEastAsia" w:cstheme="minorBidi"/>
                        <w:kern w:val="2"/>
                        <w:sz w:val="18"/>
                        <w:szCs w:val="18"/>
                        <w:lang w:val="en-US" w:eastAsia="zh-CN" w:bidi="ar-SA"/>
                      </w:rPr>
                    </w:pPr>
                    <w:r>
                      <w:rPr>
                        <w:rFonts w:asciiTheme="minorHAnsi" w:hAnsiTheme="minorHAnsi" w:eastAsiaTheme="minorEastAsia" w:cstheme="minorBidi"/>
                        <w:kern w:val="2"/>
                        <w:sz w:val="18"/>
                        <w:szCs w:val="18"/>
                        <w:lang w:val="en-US" w:eastAsia="zh-CN" w:bidi="ar-SA"/>
                      </w:rPr>
                      <w:t xml:space="preserve">第 </w:t>
                    </w:r>
                    <w:r>
                      <w:rPr>
                        <w:rFonts w:asciiTheme="minorHAnsi" w:hAnsiTheme="minorHAnsi" w:eastAsiaTheme="minorEastAsia" w:cstheme="minorBidi"/>
                        <w:kern w:val="2"/>
                        <w:sz w:val="18"/>
                        <w:szCs w:val="18"/>
                        <w:lang w:val="en-US" w:eastAsia="zh-CN" w:bidi="ar-SA"/>
                      </w:rPr>
                      <w:fldChar w:fldCharType="begin"/>
                    </w:r>
                    <w:r>
                      <w:rPr>
                        <w:rFonts w:asciiTheme="minorHAnsi" w:hAnsiTheme="minorHAnsi" w:eastAsiaTheme="minorEastAsia" w:cstheme="minorBidi"/>
                        <w:kern w:val="2"/>
                        <w:sz w:val="18"/>
                        <w:szCs w:val="18"/>
                        <w:lang w:val="en-US" w:eastAsia="zh-CN" w:bidi="ar-SA"/>
                      </w:rPr>
                      <w:instrText xml:space="preserve"> PAGE  \* MERGEFORMAT </w:instrText>
                    </w:r>
                    <w:r>
                      <w:rPr>
                        <w:rFonts w:asciiTheme="minorHAnsi" w:hAnsiTheme="minorHAnsi" w:eastAsiaTheme="minorEastAsia" w:cstheme="minorBidi"/>
                        <w:kern w:val="2"/>
                        <w:sz w:val="18"/>
                        <w:szCs w:val="18"/>
                        <w:lang w:val="en-US" w:eastAsia="zh-CN" w:bidi="ar-SA"/>
                      </w:rPr>
                      <w:fldChar w:fldCharType="separate"/>
                    </w:r>
                    <w:r>
                      <w:rPr>
                        <w:rFonts w:asciiTheme="minorHAnsi" w:hAnsiTheme="minorHAnsi" w:eastAsiaTheme="minorEastAsia" w:cstheme="minorBidi"/>
                        <w:kern w:val="2"/>
                        <w:sz w:val="18"/>
                        <w:szCs w:val="18"/>
                        <w:lang w:val="en-US" w:eastAsia="zh-CN" w:bidi="ar-SA"/>
                      </w:rPr>
                      <w:t>1</w:t>
                    </w:r>
                    <w:r>
                      <w:rPr>
                        <w:rFonts w:asciiTheme="minorHAnsi" w:hAnsiTheme="minorHAnsi" w:eastAsiaTheme="minorEastAsia" w:cstheme="minorBidi"/>
                        <w:kern w:val="2"/>
                        <w:sz w:val="18"/>
                        <w:szCs w:val="18"/>
                        <w:lang w:val="en-US" w:eastAsia="zh-CN" w:bidi="ar-SA"/>
                      </w:rPr>
                      <w:fldChar w:fldCharType="end"/>
                    </w:r>
                    <w:r>
                      <w:rPr>
                        <w:rFonts w:asciiTheme="minorHAnsi" w:hAnsiTheme="minorHAnsi" w:eastAsiaTheme="minorEastAsia" w:cstheme="minorBidi"/>
                        <w:kern w:val="2"/>
                        <w:sz w:val="18"/>
                        <w:szCs w:val="18"/>
                        <w:lang w:val="en-US" w:eastAsia="zh-CN" w:bidi="ar-SA"/>
                      </w:rPr>
                      <w:t xml:space="preserve"> 页 共 </w:t>
                    </w:r>
                    <w:r>
                      <w:rPr>
                        <w:rFonts w:hint="eastAsia" w:asciiTheme="minorHAnsi" w:hAnsiTheme="minorHAnsi" w:eastAsiaTheme="minorEastAsia" w:cstheme="minorBidi"/>
                        <w:kern w:val="2"/>
                        <w:sz w:val="18"/>
                        <w:szCs w:val="18"/>
                        <w:lang w:val="en-US" w:eastAsia="zh-CN" w:bidi="ar-SA"/>
                      </w:rPr>
                      <w:t>93</w:t>
                    </w:r>
                    <w:r>
                      <w:rPr>
                        <w:rFonts w:asciiTheme="minorHAnsi" w:hAnsiTheme="minorHAnsi" w:eastAsiaTheme="minorEastAsia" w:cstheme="minorBidi"/>
                        <w:kern w:val="2"/>
                        <w:sz w:val="18"/>
                        <w:szCs w:val="18"/>
                        <w:lang w:val="en-US" w:eastAsia="zh-CN" w:bidi="ar-S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CE0EF">
    <w:pPr>
      <w:widowControl w:val="0"/>
      <w:tabs>
        <w:tab w:val="center" w:pos="4153"/>
        <w:tab w:val="right" w:pos="8306"/>
      </w:tabs>
      <w:autoSpaceDE w:val="0"/>
      <w:autoSpaceDN w:val="0"/>
      <w:adjustRightInd w:val="0"/>
      <w:snapToGrid w:val="0"/>
      <w:jc w:val="center"/>
      <w:rPr>
        <w:rFonts w:ascii="宋体" w:hAnsi="等线" w:eastAsia="宋体" w:cs="Times New Roman"/>
        <w:kern w:val="2"/>
        <w:sz w:val="18"/>
        <w:szCs w:val="18"/>
        <w:lang w:val="en-US" w:eastAsia="zh-CN" w:bidi="ar-SA"/>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AFBF5">
                          <w:pPr>
                            <w:pStyle w:val="2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DDAFBF5">
                    <w:pPr>
                      <w:pStyle w:val="2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4063E">
    <w:pPr>
      <w:widowControl w:val="0"/>
      <w:tabs>
        <w:tab w:val="center" w:pos="4153"/>
        <w:tab w:val="right" w:pos="8306"/>
      </w:tabs>
      <w:autoSpaceDE w:val="0"/>
      <w:autoSpaceDN w:val="0"/>
      <w:adjustRightInd w:val="0"/>
      <w:snapToGrid w:val="0"/>
      <w:jc w:val="center"/>
      <w:rPr>
        <w:rFonts w:ascii="宋体" w:hAnsi="等线" w:eastAsia="宋体" w:cs="Times New Roman"/>
        <w:kern w:val="2"/>
        <w:sz w:val="18"/>
        <w:szCs w:val="18"/>
        <w:lang w:val="en-US" w:eastAsia="zh-CN" w:bidi="ar-SA"/>
      </w:rPr>
    </w:pPr>
    <w:r>
      <w:rPr>
        <w:rFonts w:ascii="宋体" w:hAnsi="等线" w:eastAsia="宋体" w:cs="Times New Roman"/>
        <w:kern w:val="2"/>
        <w:sz w:val="18"/>
        <w:szCs w:val="18"/>
        <w:lang w:val="en-US" w:eastAsia="zh-CN" w:bidi="ar-S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3CFD17">
                          <w:pPr>
                            <w:widowControl w:val="0"/>
                            <w:tabs>
                              <w:tab w:val="center" w:pos="4153"/>
                              <w:tab w:val="right" w:pos="8306"/>
                            </w:tabs>
                            <w:autoSpaceDE w:val="0"/>
                            <w:autoSpaceDN w:val="0"/>
                            <w:adjustRightInd w:val="0"/>
                            <w:snapToGrid w:val="0"/>
                            <w:jc w:val="left"/>
                            <w:rPr>
                              <w:rFonts w:ascii="宋体" w:hAnsi="等线" w:eastAsia="宋体" w:cs="Times New Roman"/>
                              <w:kern w:val="2"/>
                              <w:sz w:val="18"/>
                              <w:szCs w:val="18"/>
                              <w:lang w:val="en-US" w:eastAsia="zh-CN" w:bidi="ar-SA"/>
                            </w:rPr>
                          </w:pPr>
                          <w:r>
                            <w:rPr>
                              <w:rFonts w:ascii="宋体" w:hAnsi="等线" w:eastAsia="宋体" w:cs="Times New Roman"/>
                              <w:kern w:val="2"/>
                              <w:sz w:val="18"/>
                              <w:szCs w:val="18"/>
                              <w:lang w:val="en-US" w:eastAsia="zh-CN" w:bidi="ar-SA"/>
                            </w:rPr>
                            <w:t xml:space="preserve">第 </w:t>
                          </w:r>
                          <w:r>
                            <w:rPr>
                              <w:rFonts w:ascii="宋体" w:hAnsi="等线" w:eastAsia="宋体" w:cs="Times New Roman"/>
                              <w:kern w:val="2"/>
                              <w:sz w:val="18"/>
                              <w:szCs w:val="18"/>
                              <w:lang w:val="en-US" w:eastAsia="zh-CN" w:bidi="ar-SA"/>
                            </w:rPr>
                            <w:fldChar w:fldCharType="begin"/>
                          </w:r>
                          <w:r>
                            <w:rPr>
                              <w:rFonts w:ascii="宋体" w:hAnsi="等线" w:eastAsia="宋体" w:cs="Times New Roman"/>
                              <w:kern w:val="2"/>
                              <w:sz w:val="18"/>
                              <w:szCs w:val="18"/>
                              <w:lang w:val="en-US" w:eastAsia="zh-CN" w:bidi="ar-SA"/>
                            </w:rPr>
                            <w:instrText xml:space="preserve"> PAGE  \* MERGEFORMAT </w:instrText>
                          </w:r>
                          <w:r>
                            <w:rPr>
                              <w:rFonts w:ascii="宋体" w:hAnsi="等线" w:eastAsia="宋体" w:cs="Times New Roman"/>
                              <w:kern w:val="2"/>
                              <w:sz w:val="18"/>
                              <w:szCs w:val="18"/>
                              <w:lang w:val="en-US" w:eastAsia="zh-CN" w:bidi="ar-SA"/>
                            </w:rPr>
                            <w:fldChar w:fldCharType="separate"/>
                          </w:r>
                          <w:r>
                            <w:rPr>
                              <w:rFonts w:ascii="宋体" w:hAnsi="等线" w:eastAsia="宋体" w:cs="Times New Roman"/>
                              <w:kern w:val="2"/>
                              <w:sz w:val="18"/>
                              <w:szCs w:val="18"/>
                              <w:lang w:val="en-US" w:eastAsia="zh-CN" w:bidi="ar-SA"/>
                            </w:rPr>
                            <w:t>45</w:t>
                          </w:r>
                          <w:r>
                            <w:rPr>
                              <w:rFonts w:ascii="宋体" w:hAnsi="等线" w:eastAsia="宋体" w:cs="Times New Roman"/>
                              <w:kern w:val="2"/>
                              <w:sz w:val="18"/>
                              <w:szCs w:val="18"/>
                              <w:lang w:val="en-US" w:eastAsia="zh-CN" w:bidi="ar-SA"/>
                            </w:rPr>
                            <w:fldChar w:fldCharType="end"/>
                          </w:r>
                          <w:r>
                            <w:rPr>
                              <w:rFonts w:ascii="宋体" w:hAnsi="等线" w:eastAsia="宋体" w:cs="Times New Roman"/>
                              <w:kern w:val="2"/>
                              <w:sz w:val="18"/>
                              <w:szCs w:val="18"/>
                              <w:lang w:val="en-US" w:eastAsia="zh-CN" w:bidi="ar-SA"/>
                            </w:rPr>
                            <w:t xml:space="preserve"> 页 共 </w:t>
                          </w:r>
                          <w:r>
                            <w:rPr>
                              <w:rFonts w:ascii="宋体" w:hAnsi="等线" w:eastAsia="宋体" w:cs="Times New Roman"/>
                              <w:kern w:val="2"/>
                              <w:sz w:val="18"/>
                              <w:szCs w:val="18"/>
                              <w:lang w:val="en-US" w:eastAsia="zh-CN" w:bidi="ar-SA"/>
                            </w:rPr>
                            <w:fldChar w:fldCharType="begin"/>
                          </w:r>
                          <w:r>
                            <w:rPr>
                              <w:rFonts w:ascii="宋体" w:hAnsi="等线" w:eastAsia="宋体" w:cs="Times New Roman"/>
                              <w:kern w:val="2"/>
                              <w:sz w:val="18"/>
                              <w:szCs w:val="18"/>
                              <w:lang w:val="en-US" w:eastAsia="zh-CN" w:bidi="ar-SA"/>
                            </w:rPr>
                            <w:instrText xml:space="preserve"> NUMPAGES  \* MERGEFORMAT </w:instrText>
                          </w:r>
                          <w:r>
                            <w:rPr>
                              <w:rFonts w:ascii="宋体" w:hAnsi="等线" w:eastAsia="宋体" w:cs="Times New Roman"/>
                              <w:kern w:val="2"/>
                              <w:sz w:val="18"/>
                              <w:szCs w:val="18"/>
                              <w:lang w:val="en-US" w:eastAsia="zh-CN" w:bidi="ar-SA"/>
                            </w:rPr>
                            <w:fldChar w:fldCharType="separate"/>
                          </w:r>
                          <w:r>
                            <w:rPr>
                              <w:rFonts w:ascii="宋体" w:hAnsi="等线" w:eastAsia="宋体" w:cs="Times New Roman"/>
                              <w:kern w:val="2"/>
                              <w:sz w:val="18"/>
                              <w:szCs w:val="18"/>
                              <w:lang w:val="en-US" w:eastAsia="zh-CN" w:bidi="ar-SA"/>
                            </w:rPr>
                            <w:t>120</w:t>
                          </w:r>
                          <w:r>
                            <w:rPr>
                              <w:rFonts w:ascii="宋体" w:hAnsi="等线" w:eastAsia="宋体" w:cs="Times New Roman"/>
                              <w:kern w:val="2"/>
                              <w:sz w:val="18"/>
                              <w:szCs w:val="18"/>
                              <w:lang w:val="en-US" w:eastAsia="zh-CN" w:bidi="ar-SA"/>
                            </w:rPr>
                            <w:fldChar w:fldCharType="end"/>
                          </w:r>
                          <w:r>
                            <w:rPr>
                              <w:rFonts w:ascii="宋体" w:hAnsi="等线" w:eastAsia="宋体" w:cs="Times New Roman"/>
                              <w:kern w:val="2"/>
                              <w:sz w:val="18"/>
                              <w:szCs w:val="18"/>
                              <w:lang w:val="en-US" w:eastAsia="zh-CN" w:bidi="ar-S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373CFD17">
                    <w:pPr>
                      <w:widowControl w:val="0"/>
                      <w:tabs>
                        <w:tab w:val="center" w:pos="4153"/>
                        <w:tab w:val="right" w:pos="8306"/>
                      </w:tabs>
                      <w:autoSpaceDE w:val="0"/>
                      <w:autoSpaceDN w:val="0"/>
                      <w:adjustRightInd w:val="0"/>
                      <w:snapToGrid w:val="0"/>
                      <w:jc w:val="left"/>
                      <w:rPr>
                        <w:rFonts w:ascii="宋体" w:hAnsi="等线" w:eastAsia="宋体" w:cs="Times New Roman"/>
                        <w:kern w:val="2"/>
                        <w:sz w:val="18"/>
                        <w:szCs w:val="18"/>
                        <w:lang w:val="en-US" w:eastAsia="zh-CN" w:bidi="ar-SA"/>
                      </w:rPr>
                    </w:pPr>
                    <w:r>
                      <w:rPr>
                        <w:rFonts w:ascii="宋体" w:hAnsi="等线" w:eastAsia="宋体" w:cs="Times New Roman"/>
                        <w:kern w:val="2"/>
                        <w:sz w:val="18"/>
                        <w:szCs w:val="18"/>
                        <w:lang w:val="en-US" w:eastAsia="zh-CN" w:bidi="ar-SA"/>
                      </w:rPr>
                      <w:t xml:space="preserve">第 </w:t>
                    </w:r>
                    <w:r>
                      <w:rPr>
                        <w:rFonts w:ascii="宋体" w:hAnsi="等线" w:eastAsia="宋体" w:cs="Times New Roman"/>
                        <w:kern w:val="2"/>
                        <w:sz w:val="18"/>
                        <w:szCs w:val="18"/>
                        <w:lang w:val="en-US" w:eastAsia="zh-CN" w:bidi="ar-SA"/>
                      </w:rPr>
                      <w:fldChar w:fldCharType="begin"/>
                    </w:r>
                    <w:r>
                      <w:rPr>
                        <w:rFonts w:ascii="宋体" w:hAnsi="等线" w:eastAsia="宋体" w:cs="Times New Roman"/>
                        <w:kern w:val="2"/>
                        <w:sz w:val="18"/>
                        <w:szCs w:val="18"/>
                        <w:lang w:val="en-US" w:eastAsia="zh-CN" w:bidi="ar-SA"/>
                      </w:rPr>
                      <w:instrText xml:space="preserve"> PAGE  \* MERGEFORMAT </w:instrText>
                    </w:r>
                    <w:r>
                      <w:rPr>
                        <w:rFonts w:ascii="宋体" w:hAnsi="等线" w:eastAsia="宋体" w:cs="Times New Roman"/>
                        <w:kern w:val="2"/>
                        <w:sz w:val="18"/>
                        <w:szCs w:val="18"/>
                        <w:lang w:val="en-US" w:eastAsia="zh-CN" w:bidi="ar-SA"/>
                      </w:rPr>
                      <w:fldChar w:fldCharType="separate"/>
                    </w:r>
                    <w:r>
                      <w:rPr>
                        <w:rFonts w:ascii="宋体" w:hAnsi="等线" w:eastAsia="宋体" w:cs="Times New Roman"/>
                        <w:kern w:val="2"/>
                        <w:sz w:val="18"/>
                        <w:szCs w:val="18"/>
                        <w:lang w:val="en-US" w:eastAsia="zh-CN" w:bidi="ar-SA"/>
                      </w:rPr>
                      <w:t>45</w:t>
                    </w:r>
                    <w:r>
                      <w:rPr>
                        <w:rFonts w:ascii="宋体" w:hAnsi="等线" w:eastAsia="宋体" w:cs="Times New Roman"/>
                        <w:kern w:val="2"/>
                        <w:sz w:val="18"/>
                        <w:szCs w:val="18"/>
                        <w:lang w:val="en-US" w:eastAsia="zh-CN" w:bidi="ar-SA"/>
                      </w:rPr>
                      <w:fldChar w:fldCharType="end"/>
                    </w:r>
                    <w:r>
                      <w:rPr>
                        <w:rFonts w:ascii="宋体" w:hAnsi="等线" w:eastAsia="宋体" w:cs="Times New Roman"/>
                        <w:kern w:val="2"/>
                        <w:sz w:val="18"/>
                        <w:szCs w:val="18"/>
                        <w:lang w:val="en-US" w:eastAsia="zh-CN" w:bidi="ar-SA"/>
                      </w:rPr>
                      <w:t xml:space="preserve"> 页 共 </w:t>
                    </w:r>
                    <w:r>
                      <w:rPr>
                        <w:rFonts w:ascii="宋体" w:hAnsi="等线" w:eastAsia="宋体" w:cs="Times New Roman"/>
                        <w:kern w:val="2"/>
                        <w:sz w:val="18"/>
                        <w:szCs w:val="18"/>
                        <w:lang w:val="en-US" w:eastAsia="zh-CN" w:bidi="ar-SA"/>
                      </w:rPr>
                      <w:fldChar w:fldCharType="begin"/>
                    </w:r>
                    <w:r>
                      <w:rPr>
                        <w:rFonts w:ascii="宋体" w:hAnsi="等线" w:eastAsia="宋体" w:cs="Times New Roman"/>
                        <w:kern w:val="2"/>
                        <w:sz w:val="18"/>
                        <w:szCs w:val="18"/>
                        <w:lang w:val="en-US" w:eastAsia="zh-CN" w:bidi="ar-SA"/>
                      </w:rPr>
                      <w:instrText xml:space="preserve"> NUMPAGES  \* MERGEFORMAT </w:instrText>
                    </w:r>
                    <w:r>
                      <w:rPr>
                        <w:rFonts w:ascii="宋体" w:hAnsi="等线" w:eastAsia="宋体" w:cs="Times New Roman"/>
                        <w:kern w:val="2"/>
                        <w:sz w:val="18"/>
                        <w:szCs w:val="18"/>
                        <w:lang w:val="en-US" w:eastAsia="zh-CN" w:bidi="ar-SA"/>
                      </w:rPr>
                      <w:fldChar w:fldCharType="separate"/>
                    </w:r>
                    <w:r>
                      <w:rPr>
                        <w:rFonts w:ascii="宋体" w:hAnsi="等线" w:eastAsia="宋体" w:cs="Times New Roman"/>
                        <w:kern w:val="2"/>
                        <w:sz w:val="18"/>
                        <w:szCs w:val="18"/>
                        <w:lang w:val="en-US" w:eastAsia="zh-CN" w:bidi="ar-SA"/>
                      </w:rPr>
                      <w:t>120</w:t>
                    </w:r>
                    <w:r>
                      <w:rPr>
                        <w:rFonts w:ascii="宋体" w:hAnsi="等线" w:eastAsia="宋体" w:cs="Times New Roman"/>
                        <w:kern w:val="2"/>
                        <w:sz w:val="18"/>
                        <w:szCs w:val="18"/>
                        <w:lang w:val="en-US" w:eastAsia="zh-CN" w:bidi="ar-SA"/>
                      </w:rPr>
                      <w:fldChar w:fldCharType="end"/>
                    </w:r>
                    <w:r>
                      <w:rPr>
                        <w:rFonts w:ascii="宋体" w:hAnsi="等线" w:eastAsia="宋体" w:cs="Times New Roman"/>
                        <w:kern w:val="2"/>
                        <w:sz w:val="18"/>
                        <w:szCs w:val="18"/>
                        <w:lang w:val="en-US" w:eastAsia="zh-CN" w:bidi="ar-SA"/>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6F757">
    <w:pPr>
      <w:pStyle w:val="25"/>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5931AB">
                          <w:pPr>
                            <w:pStyle w:val="25"/>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D5931AB">
                    <w:pPr>
                      <w:pStyle w:val="25"/>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91672">
    <w:pPr>
      <w:pStyle w:val="25"/>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81B3F">
                          <w:pPr>
                            <w:pStyle w:val="25"/>
                          </w:pPr>
                          <w:r>
                            <w:t xml:space="preserve">第 </w:t>
                          </w:r>
                          <w:r>
                            <w:fldChar w:fldCharType="begin"/>
                          </w:r>
                          <w:r>
                            <w:instrText xml:space="preserve"> PAGE  \* MERGEFORMAT </w:instrText>
                          </w:r>
                          <w:r>
                            <w:fldChar w:fldCharType="separate"/>
                          </w:r>
                          <w:r>
                            <w:t>51</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CF81B3F">
                    <w:pPr>
                      <w:pStyle w:val="25"/>
                    </w:pPr>
                    <w:r>
                      <w:t xml:space="preserve">第 </w:t>
                    </w:r>
                    <w:r>
                      <w:fldChar w:fldCharType="begin"/>
                    </w:r>
                    <w:r>
                      <w:instrText xml:space="preserve"> PAGE  \* MERGEFORMAT </w:instrText>
                    </w:r>
                    <w:r>
                      <w:fldChar w:fldCharType="separate"/>
                    </w:r>
                    <w:r>
                      <w:t>51</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68B82">
    <w:pPr>
      <w:pStyle w:val="25"/>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8784C1">
                          <w:pPr>
                            <w:pStyle w:val="25"/>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B8784C1">
                    <w:pPr>
                      <w:pStyle w:val="25"/>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D5CB2">
    <w:pPr>
      <w:pStyle w:val="25"/>
      <w:jc w:val="cente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48BE4">
                          <w:pPr>
                            <w:pStyle w:val="25"/>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1F48BE4">
                    <w:pPr>
                      <w:pStyle w:val="25"/>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F5556">
    <w:pPr>
      <w:pStyle w:val="25"/>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59B04">
                          <w:pPr>
                            <w:pStyle w:val="25"/>
                          </w:pPr>
                          <w:r>
                            <w:t xml:space="preserve">第 </w:t>
                          </w:r>
                          <w:r>
                            <w:fldChar w:fldCharType="begin"/>
                          </w:r>
                          <w:r>
                            <w:instrText xml:space="preserve"> PAGE  \* MERGEFORMAT </w:instrText>
                          </w:r>
                          <w:r>
                            <w:fldChar w:fldCharType="separate"/>
                          </w:r>
                          <w:r>
                            <w:t>71</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B959B04">
                    <w:pPr>
                      <w:pStyle w:val="25"/>
                    </w:pPr>
                    <w:r>
                      <w:t xml:space="preserve">第 </w:t>
                    </w:r>
                    <w:r>
                      <w:fldChar w:fldCharType="begin"/>
                    </w:r>
                    <w:r>
                      <w:instrText xml:space="preserve"> PAGE  \* MERGEFORMAT </w:instrText>
                    </w:r>
                    <w:r>
                      <w:fldChar w:fldCharType="separate"/>
                    </w:r>
                    <w:r>
                      <w:t>71</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v:textbox>
            </v:shape>
          </w:pict>
        </mc:Fallback>
      </mc:AlternateContent>
    </w:r>
  </w:p>
  <w:p w14:paraId="08E25617">
    <w:pPr>
      <w:pStyle w:val="2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B8B7F">
    <w:pPr>
      <w:widowControl w:val="0"/>
      <w:pBdr>
        <w:top w:val="none" w:color="auto" w:sz="0" w:space="1"/>
        <w:left w:val="none" w:color="auto" w:sz="0" w:space="4"/>
        <w:bottom w:val="none" w:color="auto" w:sz="0" w:space="1"/>
        <w:right w:val="none" w:color="auto" w:sz="0" w:space="4"/>
      </w:pBdr>
      <w:autoSpaceDE w:val="0"/>
      <w:autoSpaceDN w:val="0"/>
      <w:adjustRightInd w:val="0"/>
      <w:snapToGrid w:val="0"/>
      <w:jc w:val="both"/>
      <w:rPr>
        <w:rFonts w:ascii="宋体" w:hAnsi="Times New Roman" w:eastAsia="宋体" w:cs="Times New Roman"/>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6A355">
    <w:pPr>
      <w:pStyle w:val="26"/>
      <w:pBdr>
        <w:top w:val="none" w:color="auto" w:sz="0" w:space="0"/>
        <w:left w:val="none" w:color="auto" w:sz="0" w:space="0"/>
        <w:bottom w:val="none" w:color="auto" w:sz="0" w:space="1"/>
        <w:right w:val="none" w:color="auto" w:sz="0" w:space="0"/>
        <w:between w:val="none" w:color="auto" w:sz="0" w:space="0"/>
      </w:pBdr>
      <w:rPr>
        <w:rFonts w:hint="eastAsia" w:eastAsia="宋体"/>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14A86">
    <w:pPr>
      <w:widowControl w:val="0"/>
      <w:pBdr>
        <w:top w:val="none" w:color="auto" w:sz="0" w:space="1"/>
        <w:left w:val="none" w:color="auto" w:sz="0" w:space="4"/>
        <w:bottom w:val="none" w:color="auto" w:sz="0" w:space="1"/>
        <w:right w:val="none" w:color="auto" w:sz="0" w:space="4"/>
      </w:pBdr>
      <w:autoSpaceDE w:val="0"/>
      <w:autoSpaceDN w:val="0"/>
      <w:adjustRightInd w:val="0"/>
      <w:snapToGrid w:val="0"/>
      <w:jc w:val="both"/>
      <w:rPr>
        <w:rFonts w:ascii="宋体" w:hAnsi="Times New Roman" w:eastAsia="宋体" w:cs="Times New Roman"/>
        <w:sz w:val="18"/>
        <w:szCs w:val="24"/>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92D0B4"/>
    <w:multiLevelType w:val="multilevel"/>
    <w:tmpl w:val="9092D0B4"/>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EE49D50"/>
    <w:multiLevelType w:val="multilevel"/>
    <w:tmpl w:val="0EE49D50"/>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F8D6FBB"/>
    <w:multiLevelType w:val="multilevel"/>
    <w:tmpl w:val="2F8D6FBB"/>
    <w:lvl w:ilvl="0" w:tentative="0">
      <w:start w:val="1"/>
      <w:numFmt w:val="decimal"/>
      <w:lvlText w:val="%1."/>
      <w:legacy w:legacy="1" w:legacySpace="0" w:legacyIndent="360"/>
      <w:lvlJc w:val="left"/>
      <w:rPr>
        <w:rFonts w:hint="eastAsia" w:ascii="宋体" w:hAnsi="宋体" w:eastAsia="宋体"/>
      </w:rPr>
    </w:lvl>
    <w:lvl w:ilvl="1" w:tentative="0">
      <w:start w:val="5"/>
      <w:numFmt w:val="decimal"/>
      <w:isLgl/>
      <w:lvlText w:val="%1.%2"/>
      <w:lvlJc w:val="left"/>
      <w:pPr>
        <w:tabs>
          <w:tab w:val="left" w:pos="0"/>
        </w:tabs>
        <w:ind w:left="0" w:firstLine="0"/>
      </w:pPr>
      <w:rPr>
        <w:rFonts w:hint="default"/>
      </w:rPr>
    </w:lvl>
    <w:lvl w:ilvl="2" w:tentative="0">
      <w:start w:val="1"/>
      <w:numFmt w:val="decimal"/>
      <w:isLgl/>
      <w:lvlText w:val="%1.%2.%3"/>
      <w:lvlJc w:val="left"/>
      <w:pPr>
        <w:tabs>
          <w:tab w:val="left" w:pos="0"/>
        </w:tabs>
        <w:ind w:left="0" w:firstLine="0"/>
      </w:pPr>
      <w:rPr>
        <w:rFonts w:hint="default"/>
      </w:rPr>
    </w:lvl>
    <w:lvl w:ilvl="3" w:tentative="0">
      <w:start w:val="1"/>
      <w:numFmt w:val="decimal"/>
      <w:isLgl/>
      <w:lvlText w:val="%1.%2.%3.%4"/>
      <w:lvlJc w:val="left"/>
      <w:pPr>
        <w:tabs>
          <w:tab w:val="left" w:pos="0"/>
        </w:tabs>
        <w:ind w:left="0" w:firstLine="0"/>
      </w:pPr>
      <w:rPr>
        <w:rFonts w:hint="default"/>
      </w:rPr>
    </w:lvl>
    <w:lvl w:ilvl="4" w:tentative="0">
      <w:start w:val="1"/>
      <w:numFmt w:val="decimal"/>
      <w:isLgl/>
      <w:lvlText w:val="%1.%2.%3.%4.%5"/>
      <w:lvlJc w:val="left"/>
      <w:pPr>
        <w:tabs>
          <w:tab w:val="left" w:pos="0"/>
        </w:tabs>
        <w:ind w:left="0" w:firstLine="0"/>
      </w:pPr>
      <w:rPr>
        <w:rFonts w:hint="default"/>
      </w:rPr>
    </w:lvl>
    <w:lvl w:ilvl="5" w:tentative="0">
      <w:start w:val="1"/>
      <w:numFmt w:val="decimal"/>
      <w:isLgl/>
      <w:lvlText w:val="%1.%2.%3.%4.%5.%6"/>
      <w:lvlJc w:val="left"/>
      <w:pPr>
        <w:tabs>
          <w:tab w:val="left" w:pos="0"/>
        </w:tabs>
        <w:ind w:left="0" w:firstLine="0"/>
      </w:pPr>
      <w:rPr>
        <w:rFonts w:hint="default"/>
      </w:rPr>
    </w:lvl>
    <w:lvl w:ilvl="6" w:tentative="0">
      <w:start w:val="1"/>
      <w:numFmt w:val="decimal"/>
      <w:isLgl/>
      <w:lvlText w:val="%1.%2.%3.%4.%5.%6.%7"/>
      <w:lvlJc w:val="left"/>
      <w:pPr>
        <w:tabs>
          <w:tab w:val="left" w:pos="0"/>
        </w:tabs>
        <w:ind w:left="0" w:firstLine="0"/>
      </w:pPr>
      <w:rPr>
        <w:rFonts w:hint="default"/>
      </w:rPr>
    </w:lvl>
    <w:lvl w:ilvl="7" w:tentative="0">
      <w:start w:val="1"/>
      <w:numFmt w:val="decimal"/>
      <w:isLgl/>
      <w:lvlText w:val="%1.%2.%3.%4.%5.%6.%7.%8"/>
      <w:lvlJc w:val="left"/>
      <w:pPr>
        <w:tabs>
          <w:tab w:val="left" w:pos="0"/>
        </w:tabs>
        <w:ind w:left="0" w:firstLine="0"/>
      </w:pPr>
      <w:rPr>
        <w:rFonts w:hint="default"/>
      </w:rPr>
    </w:lvl>
    <w:lvl w:ilvl="8" w:tentative="0">
      <w:start w:val="1"/>
      <w:numFmt w:val="decimal"/>
      <w:isLgl/>
      <w:lvlText w:val="%1.%2.%3.%4.%5.%6.%7.%8.%9"/>
      <w:lvlJc w:val="left"/>
      <w:pPr>
        <w:tabs>
          <w:tab w:val="left" w:pos="0"/>
        </w:tabs>
        <w:ind w:left="0" w:firstLine="0"/>
      </w:pPr>
      <w:rPr>
        <w:rFonts w:hint="default"/>
      </w:rPr>
    </w:lvl>
  </w:abstractNum>
  <w:abstractNum w:abstractNumId="3">
    <w:nsid w:val="442A3BA7"/>
    <w:multiLevelType w:val="multilevel"/>
    <w:tmpl w:val="442A3BA7"/>
    <w:lvl w:ilvl="0" w:tentative="0">
      <w:start w:val="1"/>
      <w:numFmt w:val="decimal"/>
      <w:lvlText w:val="%1"/>
      <w:lvlJc w:val="left"/>
      <w:pPr>
        <w:ind w:left="360" w:hanging="360"/>
      </w:pPr>
      <w:rPr>
        <w:rFonts w:hint="default"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CA95062"/>
    <w:multiLevelType w:val="multilevel"/>
    <w:tmpl w:val="6CA95062"/>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7384BFBF"/>
    <w:multiLevelType w:val="singleLevel"/>
    <w:tmpl w:val="7384BFBF"/>
    <w:lvl w:ilvl="0" w:tentative="0">
      <w:start w:val="1"/>
      <w:numFmt w:val="decimal"/>
      <w:suff w:val="nothing"/>
      <w:lvlText w:val="%1、"/>
      <w:lvlJc w:val="left"/>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2N2U0ZjdjYWVlODFlNzliMDZlYjI1ODI0NTc4ZDQifQ=="/>
  </w:docVars>
  <w:rsids>
    <w:rsidRoot w:val="00172A27"/>
    <w:rsid w:val="000011AE"/>
    <w:rsid w:val="00004430"/>
    <w:rsid w:val="00006AEC"/>
    <w:rsid w:val="00015A2E"/>
    <w:rsid w:val="000245A6"/>
    <w:rsid w:val="0002570D"/>
    <w:rsid w:val="00027708"/>
    <w:rsid w:val="00035595"/>
    <w:rsid w:val="00040BE6"/>
    <w:rsid w:val="00040F92"/>
    <w:rsid w:val="00046C4B"/>
    <w:rsid w:val="00052FA1"/>
    <w:rsid w:val="00054A52"/>
    <w:rsid w:val="00054D9C"/>
    <w:rsid w:val="000622F9"/>
    <w:rsid w:val="000640CD"/>
    <w:rsid w:val="000768C6"/>
    <w:rsid w:val="000770B9"/>
    <w:rsid w:val="0008097F"/>
    <w:rsid w:val="00084D8D"/>
    <w:rsid w:val="000853A8"/>
    <w:rsid w:val="00086BE3"/>
    <w:rsid w:val="00094AF8"/>
    <w:rsid w:val="000A31BD"/>
    <w:rsid w:val="000A34F7"/>
    <w:rsid w:val="000A65CD"/>
    <w:rsid w:val="000A73D7"/>
    <w:rsid w:val="000B4B09"/>
    <w:rsid w:val="000C1661"/>
    <w:rsid w:val="000C18B7"/>
    <w:rsid w:val="000C5D06"/>
    <w:rsid w:val="000C6A11"/>
    <w:rsid w:val="000D0B5D"/>
    <w:rsid w:val="000D5537"/>
    <w:rsid w:val="000D75D3"/>
    <w:rsid w:val="000E3ECA"/>
    <w:rsid w:val="000E4A4F"/>
    <w:rsid w:val="000E4D54"/>
    <w:rsid w:val="000F0A84"/>
    <w:rsid w:val="001059DC"/>
    <w:rsid w:val="0010738F"/>
    <w:rsid w:val="0011440A"/>
    <w:rsid w:val="00114519"/>
    <w:rsid w:val="001233ED"/>
    <w:rsid w:val="00127946"/>
    <w:rsid w:val="00131E91"/>
    <w:rsid w:val="001450A8"/>
    <w:rsid w:val="001523C0"/>
    <w:rsid w:val="00152F07"/>
    <w:rsid w:val="0015711A"/>
    <w:rsid w:val="001644BA"/>
    <w:rsid w:val="001647C7"/>
    <w:rsid w:val="00165203"/>
    <w:rsid w:val="00166309"/>
    <w:rsid w:val="00170004"/>
    <w:rsid w:val="00174AE6"/>
    <w:rsid w:val="001758D3"/>
    <w:rsid w:val="00177B51"/>
    <w:rsid w:val="0018078B"/>
    <w:rsid w:val="00183284"/>
    <w:rsid w:val="00183344"/>
    <w:rsid w:val="0019682B"/>
    <w:rsid w:val="001A1FCB"/>
    <w:rsid w:val="001B74B3"/>
    <w:rsid w:val="001C2086"/>
    <w:rsid w:val="001C4AC2"/>
    <w:rsid w:val="001C6FAA"/>
    <w:rsid w:val="001D00B3"/>
    <w:rsid w:val="001D5A65"/>
    <w:rsid w:val="001D6B15"/>
    <w:rsid w:val="001E4158"/>
    <w:rsid w:val="001E6227"/>
    <w:rsid w:val="001E63B6"/>
    <w:rsid w:val="001E6DD8"/>
    <w:rsid w:val="001F0290"/>
    <w:rsid w:val="001F6A01"/>
    <w:rsid w:val="00202DB9"/>
    <w:rsid w:val="002044CB"/>
    <w:rsid w:val="00215B7A"/>
    <w:rsid w:val="00223D5B"/>
    <w:rsid w:val="0022528C"/>
    <w:rsid w:val="002258BB"/>
    <w:rsid w:val="00225B7D"/>
    <w:rsid w:val="002260FC"/>
    <w:rsid w:val="002315B7"/>
    <w:rsid w:val="002347FE"/>
    <w:rsid w:val="0024360C"/>
    <w:rsid w:val="002451A7"/>
    <w:rsid w:val="00247373"/>
    <w:rsid w:val="00260C05"/>
    <w:rsid w:val="00261575"/>
    <w:rsid w:val="00262407"/>
    <w:rsid w:val="00275E0E"/>
    <w:rsid w:val="0028146F"/>
    <w:rsid w:val="002831F6"/>
    <w:rsid w:val="00290CBF"/>
    <w:rsid w:val="00294959"/>
    <w:rsid w:val="0029590E"/>
    <w:rsid w:val="002A3EB3"/>
    <w:rsid w:val="002B1734"/>
    <w:rsid w:val="002B5DBC"/>
    <w:rsid w:val="002B7423"/>
    <w:rsid w:val="002B7CA9"/>
    <w:rsid w:val="002C4A4A"/>
    <w:rsid w:val="002D0003"/>
    <w:rsid w:val="002D1442"/>
    <w:rsid w:val="002E4079"/>
    <w:rsid w:val="002F68EE"/>
    <w:rsid w:val="002F7DEF"/>
    <w:rsid w:val="003014E2"/>
    <w:rsid w:val="00302D85"/>
    <w:rsid w:val="0030753D"/>
    <w:rsid w:val="00311DA1"/>
    <w:rsid w:val="003121B1"/>
    <w:rsid w:val="0031709C"/>
    <w:rsid w:val="003223D5"/>
    <w:rsid w:val="00322AA4"/>
    <w:rsid w:val="00325EF0"/>
    <w:rsid w:val="00326230"/>
    <w:rsid w:val="00326290"/>
    <w:rsid w:val="00330DA7"/>
    <w:rsid w:val="00332C2D"/>
    <w:rsid w:val="00335872"/>
    <w:rsid w:val="003462FF"/>
    <w:rsid w:val="00347A73"/>
    <w:rsid w:val="00347CB0"/>
    <w:rsid w:val="00352495"/>
    <w:rsid w:val="00353707"/>
    <w:rsid w:val="00354BE6"/>
    <w:rsid w:val="0035524D"/>
    <w:rsid w:val="00357E51"/>
    <w:rsid w:val="003628C2"/>
    <w:rsid w:val="00364854"/>
    <w:rsid w:val="00366BB7"/>
    <w:rsid w:val="003721DF"/>
    <w:rsid w:val="003748D5"/>
    <w:rsid w:val="0037694B"/>
    <w:rsid w:val="00381E11"/>
    <w:rsid w:val="003824D1"/>
    <w:rsid w:val="00393CBD"/>
    <w:rsid w:val="00395C76"/>
    <w:rsid w:val="003A2B25"/>
    <w:rsid w:val="003A5520"/>
    <w:rsid w:val="003B077B"/>
    <w:rsid w:val="003B3342"/>
    <w:rsid w:val="003B5C9C"/>
    <w:rsid w:val="003C193B"/>
    <w:rsid w:val="003D0D72"/>
    <w:rsid w:val="003D17A4"/>
    <w:rsid w:val="003D39E2"/>
    <w:rsid w:val="003D3F68"/>
    <w:rsid w:val="003E006E"/>
    <w:rsid w:val="003E30F8"/>
    <w:rsid w:val="003E399E"/>
    <w:rsid w:val="003E6830"/>
    <w:rsid w:val="003F3875"/>
    <w:rsid w:val="003F42C0"/>
    <w:rsid w:val="003F51B0"/>
    <w:rsid w:val="004033E1"/>
    <w:rsid w:val="00405E84"/>
    <w:rsid w:val="0040607F"/>
    <w:rsid w:val="00417860"/>
    <w:rsid w:val="00420A7A"/>
    <w:rsid w:val="004235AF"/>
    <w:rsid w:val="0042558D"/>
    <w:rsid w:val="00427A89"/>
    <w:rsid w:val="0043107A"/>
    <w:rsid w:val="00432C43"/>
    <w:rsid w:val="004359C6"/>
    <w:rsid w:val="004360FC"/>
    <w:rsid w:val="004378C7"/>
    <w:rsid w:val="00437B9C"/>
    <w:rsid w:val="00437FC4"/>
    <w:rsid w:val="00441805"/>
    <w:rsid w:val="004551D1"/>
    <w:rsid w:val="0045753C"/>
    <w:rsid w:val="004577C3"/>
    <w:rsid w:val="0046038A"/>
    <w:rsid w:val="00460F3E"/>
    <w:rsid w:val="00464570"/>
    <w:rsid w:val="00475304"/>
    <w:rsid w:val="004761B2"/>
    <w:rsid w:val="00481AFA"/>
    <w:rsid w:val="0049337D"/>
    <w:rsid w:val="004B093D"/>
    <w:rsid w:val="004B604C"/>
    <w:rsid w:val="004E4ADE"/>
    <w:rsid w:val="004E5028"/>
    <w:rsid w:val="004E5F4E"/>
    <w:rsid w:val="004F2802"/>
    <w:rsid w:val="00500B9E"/>
    <w:rsid w:val="00503499"/>
    <w:rsid w:val="00506501"/>
    <w:rsid w:val="00507BC4"/>
    <w:rsid w:val="00513DB6"/>
    <w:rsid w:val="00524E92"/>
    <w:rsid w:val="00531E28"/>
    <w:rsid w:val="005344B1"/>
    <w:rsid w:val="005423E7"/>
    <w:rsid w:val="005572B4"/>
    <w:rsid w:val="0056010A"/>
    <w:rsid w:val="00563302"/>
    <w:rsid w:val="00571307"/>
    <w:rsid w:val="005743EA"/>
    <w:rsid w:val="00576F2E"/>
    <w:rsid w:val="00581210"/>
    <w:rsid w:val="00581FC3"/>
    <w:rsid w:val="005832B2"/>
    <w:rsid w:val="005851F1"/>
    <w:rsid w:val="005910B4"/>
    <w:rsid w:val="00596A23"/>
    <w:rsid w:val="005B735D"/>
    <w:rsid w:val="005C4A71"/>
    <w:rsid w:val="005C6F40"/>
    <w:rsid w:val="005D4119"/>
    <w:rsid w:val="005D66C2"/>
    <w:rsid w:val="005E2AC9"/>
    <w:rsid w:val="005E4D67"/>
    <w:rsid w:val="005F3D7C"/>
    <w:rsid w:val="00602D7E"/>
    <w:rsid w:val="00603BD0"/>
    <w:rsid w:val="0060555D"/>
    <w:rsid w:val="00606161"/>
    <w:rsid w:val="006062B3"/>
    <w:rsid w:val="00612EB1"/>
    <w:rsid w:val="0061352C"/>
    <w:rsid w:val="006165C8"/>
    <w:rsid w:val="006175B4"/>
    <w:rsid w:val="00617AAD"/>
    <w:rsid w:val="00621CDC"/>
    <w:rsid w:val="006229B2"/>
    <w:rsid w:val="00625E3D"/>
    <w:rsid w:val="00630B61"/>
    <w:rsid w:val="006402A6"/>
    <w:rsid w:val="00644B65"/>
    <w:rsid w:val="006530F8"/>
    <w:rsid w:val="006537BE"/>
    <w:rsid w:val="006654C0"/>
    <w:rsid w:val="00681997"/>
    <w:rsid w:val="0068405C"/>
    <w:rsid w:val="00691017"/>
    <w:rsid w:val="0069152C"/>
    <w:rsid w:val="006A29A5"/>
    <w:rsid w:val="006A2BD9"/>
    <w:rsid w:val="006A3C57"/>
    <w:rsid w:val="006A4F83"/>
    <w:rsid w:val="006A5072"/>
    <w:rsid w:val="006B5151"/>
    <w:rsid w:val="006C2D84"/>
    <w:rsid w:val="006C2F7D"/>
    <w:rsid w:val="006C3580"/>
    <w:rsid w:val="006C3F4D"/>
    <w:rsid w:val="006C6349"/>
    <w:rsid w:val="006D479F"/>
    <w:rsid w:val="006E2E51"/>
    <w:rsid w:val="006F6DB2"/>
    <w:rsid w:val="00704B3A"/>
    <w:rsid w:val="00710CF8"/>
    <w:rsid w:val="00711E08"/>
    <w:rsid w:val="007138FD"/>
    <w:rsid w:val="00716BB1"/>
    <w:rsid w:val="007172FD"/>
    <w:rsid w:val="007200C8"/>
    <w:rsid w:val="007215F6"/>
    <w:rsid w:val="00721BAA"/>
    <w:rsid w:val="00745968"/>
    <w:rsid w:val="00747A3E"/>
    <w:rsid w:val="007730C9"/>
    <w:rsid w:val="00775150"/>
    <w:rsid w:val="00776B48"/>
    <w:rsid w:val="0078099D"/>
    <w:rsid w:val="00787DE8"/>
    <w:rsid w:val="007942D8"/>
    <w:rsid w:val="00794983"/>
    <w:rsid w:val="00796ED7"/>
    <w:rsid w:val="007A7740"/>
    <w:rsid w:val="007B4F1D"/>
    <w:rsid w:val="007C002A"/>
    <w:rsid w:val="007C024B"/>
    <w:rsid w:val="007D408A"/>
    <w:rsid w:val="007D4A5A"/>
    <w:rsid w:val="007D6B20"/>
    <w:rsid w:val="007E0673"/>
    <w:rsid w:val="007E32FC"/>
    <w:rsid w:val="007F01A2"/>
    <w:rsid w:val="007F0378"/>
    <w:rsid w:val="007F2ABC"/>
    <w:rsid w:val="007F7FEC"/>
    <w:rsid w:val="0081027D"/>
    <w:rsid w:val="00817B3D"/>
    <w:rsid w:val="00822299"/>
    <w:rsid w:val="008270D5"/>
    <w:rsid w:val="008279A7"/>
    <w:rsid w:val="00831B7F"/>
    <w:rsid w:val="0085250F"/>
    <w:rsid w:val="008525D6"/>
    <w:rsid w:val="0085388E"/>
    <w:rsid w:val="00856F5E"/>
    <w:rsid w:val="008604D1"/>
    <w:rsid w:val="008659E9"/>
    <w:rsid w:val="0087095D"/>
    <w:rsid w:val="00871835"/>
    <w:rsid w:val="00871F12"/>
    <w:rsid w:val="00875420"/>
    <w:rsid w:val="00876184"/>
    <w:rsid w:val="00880A50"/>
    <w:rsid w:val="00884732"/>
    <w:rsid w:val="0089007C"/>
    <w:rsid w:val="008928AE"/>
    <w:rsid w:val="00893092"/>
    <w:rsid w:val="00894583"/>
    <w:rsid w:val="008A4C9B"/>
    <w:rsid w:val="008B08C5"/>
    <w:rsid w:val="008B6384"/>
    <w:rsid w:val="008B6557"/>
    <w:rsid w:val="008B74A7"/>
    <w:rsid w:val="008C02C2"/>
    <w:rsid w:val="008C1CB3"/>
    <w:rsid w:val="008C7F21"/>
    <w:rsid w:val="008D1795"/>
    <w:rsid w:val="008D4357"/>
    <w:rsid w:val="008D565D"/>
    <w:rsid w:val="008D6357"/>
    <w:rsid w:val="008E5EA1"/>
    <w:rsid w:val="008E6AB7"/>
    <w:rsid w:val="008F13C0"/>
    <w:rsid w:val="008F38EE"/>
    <w:rsid w:val="009001CB"/>
    <w:rsid w:val="009004F6"/>
    <w:rsid w:val="009077A0"/>
    <w:rsid w:val="009113DE"/>
    <w:rsid w:val="00913121"/>
    <w:rsid w:val="009171D5"/>
    <w:rsid w:val="00917709"/>
    <w:rsid w:val="00917C84"/>
    <w:rsid w:val="009220F2"/>
    <w:rsid w:val="009227C1"/>
    <w:rsid w:val="00923EDB"/>
    <w:rsid w:val="00925D9A"/>
    <w:rsid w:val="00926978"/>
    <w:rsid w:val="00932BD9"/>
    <w:rsid w:val="0094670F"/>
    <w:rsid w:val="009479D0"/>
    <w:rsid w:val="00961BA9"/>
    <w:rsid w:val="00967923"/>
    <w:rsid w:val="009701D2"/>
    <w:rsid w:val="00970774"/>
    <w:rsid w:val="00972FAE"/>
    <w:rsid w:val="0097462A"/>
    <w:rsid w:val="00986292"/>
    <w:rsid w:val="00987779"/>
    <w:rsid w:val="009A2AA5"/>
    <w:rsid w:val="009A63FB"/>
    <w:rsid w:val="009B55D4"/>
    <w:rsid w:val="009B787A"/>
    <w:rsid w:val="009B7A49"/>
    <w:rsid w:val="009B7AD9"/>
    <w:rsid w:val="009C387D"/>
    <w:rsid w:val="009C571F"/>
    <w:rsid w:val="009D0461"/>
    <w:rsid w:val="009D4188"/>
    <w:rsid w:val="009D4EFC"/>
    <w:rsid w:val="009D7FA3"/>
    <w:rsid w:val="009E216D"/>
    <w:rsid w:val="009E6283"/>
    <w:rsid w:val="009E63CA"/>
    <w:rsid w:val="009F34CB"/>
    <w:rsid w:val="009F7460"/>
    <w:rsid w:val="00A03E44"/>
    <w:rsid w:val="00A075A8"/>
    <w:rsid w:val="00A10A7B"/>
    <w:rsid w:val="00A15F6A"/>
    <w:rsid w:val="00A311C2"/>
    <w:rsid w:val="00A32233"/>
    <w:rsid w:val="00A364B9"/>
    <w:rsid w:val="00A36A24"/>
    <w:rsid w:val="00A376FB"/>
    <w:rsid w:val="00A45306"/>
    <w:rsid w:val="00A45D73"/>
    <w:rsid w:val="00A62F8C"/>
    <w:rsid w:val="00A64725"/>
    <w:rsid w:val="00A6666A"/>
    <w:rsid w:val="00A73490"/>
    <w:rsid w:val="00A819B6"/>
    <w:rsid w:val="00A91C8B"/>
    <w:rsid w:val="00A95824"/>
    <w:rsid w:val="00AB2EDC"/>
    <w:rsid w:val="00AB47F4"/>
    <w:rsid w:val="00AC136E"/>
    <w:rsid w:val="00AC1F6A"/>
    <w:rsid w:val="00AC413D"/>
    <w:rsid w:val="00AD3A9D"/>
    <w:rsid w:val="00AD79D3"/>
    <w:rsid w:val="00AE5434"/>
    <w:rsid w:val="00AE6DBF"/>
    <w:rsid w:val="00AE75DB"/>
    <w:rsid w:val="00B0092D"/>
    <w:rsid w:val="00B01C60"/>
    <w:rsid w:val="00B01D22"/>
    <w:rsid w:val="00B03A00"/>
    <w:rsid w:val="00B0445D"/>
    <w:rsid w:val="00B0447C"/>
    <w:rsid w:val="00B05E53"/>
    <w:rsid w:val="00B072AA"/>
    <w:rsid w:val="00B10650"/>
    <w:rsid w:val="00B10E08"/>
    <w:rsid w:val="00B11436"/>
    <w:rsid w:val="00B12341"/>
    <w:rsid w:val="00B25D19"/>
    <w:rsid w:val="00B359D9"/>
    <w:rsid w:val="00B35BC7"/>
    <w:rsid w:val="00B40B8B"/>
    <w:rsid w:val="00B4404D"/>
    <w:rsid w:val="00B50993"/>
    <w:rsid w:val="00B63168"/>
    <w:rsid w:val="00B63E9B"/>
    <w:rsid w:val="00B64963"/>
    <w:rsid w:val="00B70085"/>
    <w:rsid w:val="00B7099F"/>
    <w:rsid w:val="00B71873"/>
    <w:rsid w:val="00B72A5D"/>
    <w:rsid w:val="00B736B7"/>
    <w:rsid w:val="00B73C45"/>
    <w:rsid w:val="00B82E01"/>
    <w:rsid w:val="00B84DD7"/>
    <w:rsid w:val="00B91811"/>
    <w:rsid w:val="00B94460"/>
    <w:rsid w:val="00B9561A"/>
    <w:rsid w:val="00BA437F"/>
    <w:rsid w:val="00BA5C29"/>
    <w:rsid w:val="00BB6C9A"/>
    <w:rsid w:val="00BC0594"/>
    <w:rsid w:val="00BC11FC"/>
    <w:rsid w:val="00BC1F54"/>
    <w:rsid w:val="00BC4C9D"/>
    <w:rsid w:val="00BC54FC"/>
    <w:rsid w:val="00BD2118"/>
    <w:rsid w:val="00BD5092"/>
    <w:rsid w:val="00BD5997"/>
    <w:rsid w:val="00BE6F50"/>
    <w:rsid w:val="00BF1BA3"/>
    <w:rsid w:val="00BF588D"/>
    <w:rsid w:val="00C03447"/>
    <w:rsid w:val="00C07EF5"/>
    <w:rsid w:val="00C128FE"/>
    <w:rsid w:val="00C13304"/>
    <w:rsid w:val="00C1777A"/>
    <w:rsid w:val="00C212E3"/>
    <w:rsid w:val="00C22FAE"/>
    <w:rsid w:val="00C24C44"/>
    <w:rsid w:val="00C26B0C"/>
    <w:rsid w:val="00C30F18"/>
    <w:rsid w:val="00C331D1"/>
    <w:rsid w:val="00C35958"/>
    <w:rsid w:val="00C372A8"/>
    <w:rsid w:val="00C375FF"/>
    <w:rsid w:val="00C40848"/>
    <w:rsid w:val="00C50E47"/>
    <w:rsid w:val="00C562AA"/>
    <w:rsid w:val="00C574F4"/>
    <w:rsid w:val="00C747C6"/>
    <w:rsid w:val="00C756C3"/>
    <w:rsid w:val="00C80F66"/>
    <w:rsid w:val="00C84AE8"/>
    <w:rsid w:val="00C85D1B"/>
    <w:rsid w:val="00C96DDA"/>
    <w:rsid w:val="00CA7F1F"/>
    <w:rsid w:val="00CB5D3E"/>
    <w:rsid w:val="00CC4C46"/>
    <w:rsid w:val="00CC6AAB"/>
    <w:rsid w:val="00CC77FF"/>
    <w:rsid w:val="00CC7CF5"/>
    <w:rsid w:val="00CE3C5A"/>
    <w:rsid w:val="00CE59C6"/>
    <w:rsid w:val="00CE7586"/>
    <w:rsid w:val="00D03659"/>
    <w:rsid w:val="00D03EDF"/>
    <w:rsid w:val="00D10DC0"/>
    <w:rsid w:val="00D11555"/>
    <w:rsid w:val="00D13D6D"/>
    <w:rsid w:val="00D20C74"/>
    <w:rsid w:val="00D24FD7"/>
    <w:rsid w:val="00D25647"/>
    <w:rsid w:val="00D34FE4"/>
    <w:rsid w:val="00D377A7"/>
    <w:rsid w:val="00D44C95"/>
    <w:rsid w:val="00D452A7"/>
    <w:rsid w:val="00D4584F"/>
    <w:rsid w:val="00D54725"/>
    <w:rsid w:val="00D559FF"/>
    <w:rsid w:val="00D62B8C"/>
    <w:rsid w:val="00D63276"/>
    <w:rsid w:val="00D66F39"/>
    <w:rsid w:val="00D84B36"/>
    <w:rsid w:val="00D85853"/>
    <w:rsid w:val="00D936A0"/>
    <w:rsid w:val="00D97162"/>
    <w:rsid w:val="00D97CE9"/>
    <w:rsid w:val="00DA36E7"/>
    <w:rsid w:val="00DA4FC7"/>
    <w:rsid w:val="00DA550D"/>
    <w:rsid w:val="00DA7017"/>
    <w:rsid w:val="00DB13DD"/>
    <w:rsid w:val="00DB1B31"/>
    <w:rsid w:val="00DB1C27"/>
    <w:rsid w:val="00DB38EE"/>
    <w:rsid w:val="00DB7973"/>
    <w:rsid w:val="00DC13AB"/>
    <w:rsid w:val="00DC5EF2"/>
    <w:rsid w:val="00DC7EF7"/>
    <w:rsid w:val="00DD6B5E"/>
    <w:rsid w:val="00DD6BD4"/>
    <w:rsid w:val="00DE5E58"/>
    <w:rsid w:val="00DE7B46"/>
    <w:rsid w:val="00E0162C"/>
    <w:rsid w:val="00E11487"/>
    <w:rsid w:val="00E14ACC"/>
    <w:rsid w:val="00E15A8C"/>
    <w:rsid w:val="00E4144C"/>
    <w:rsid w:val="00E44F84"/>
    <w:rsid w:val="00E463C6"/>
    <w:rsid w:val="00E53121"/>
    <w:rsid w:val="00E5318E"/>
    <w:rsid w:val="00E53532"/>
    <w:rsid w:val="00E6034D"/>
    <w:rsid w:val="00E71967"/>
    <w:rsid w:val="00E754B1"/>
    <w:rsid w:val="00E801B5"/>
    <w:rsid w:val="00E905E8"/>
    <w:rsid w:val="00E93F56"/>
    <w:rsid w:val="00E952D9"/>
    <w:rsid w:val="00E96773"/>
    <w:rsid w:val="00E97CB9"/>
    <w:rsid w:val="00EB27E9"/>
    <w:rsid w:val="00EB37C9"/>
    <w:rsid w:val="00EC134E"/>
    <w:rsid w:val="00ED0445"/>
    <w:rsid w:val="00ED3C3B"/>
    <w:rsid w:val="00EE48C3"/>
    <w:rsid w:val="00EF199D"/>
    <w:rsid w:val="00EF4E12"/>
    <w:rsid w:val="00EF5326"/>
    <w:rsid w:val="00EF65F3"/>
    <w:rsid w:val="00F01510"/>
    <w:rsid w:val="00F02A6D"/>
    <w:rsid w:val="00F0424C"/>
    <w:rsid w:val="00F10495"/>
    <w:rsid w:val="00F10DA8"/>
    <w:rsid w:val="00F1168A"/>
    <w:rsid w:val="00F12A10"/>
    <w:rsid w:val="00F2391C"/>
    <w:rsid w:val="00F31E30"/>
    <w:rsid w:val="00F3326F"/>
    <w:rsid w:val="00F34781"/>
    <w:rsid w:val="00F41A5D"/>
    <w:rsid w:val="00F470A2"/>
    <w:rsid w:val="00F51F93"/>
    <w:rsid w:val="00F552E5"/>
    <w:rsid w:val="00F56AA8"/>
    <w:rsid w:val="00F67C91"/>
    <w:rsid w:val="00F723F9"/>
    <w:rsid w:val="00F82315"/>
    <w:rsid w:val="00F83D3C"/>
    <w:rsid w:val="00F840D6"/>
    <w:rsid w:val="00F8691C"/>
    <w:rsid w:val="00F900BE"/>
    <w:rsid w:val="00F97392"/>
    <w:rsid w:val="00F97DF6"/>
    <w:rsid w:val="00FA4EEC"/>
    <w:rsid w:val="00FB335B"/>
    <w:rsid w:val="00FB4EAA"/>
    <w:rsid w:val="00FC5512"/>
    <w:rsid w:val="00FC6366"/>
    <w:rsid w:val="00FD0CD9"/>
    <w:rsid w:val="00FD4970"/>
    <w:rsid w:val="00FD6927"/>
    <w:rsid w:val="00FE02D9"/>
    <w:rsid w:val="00FE14F9"/>
    <w:rsid w:val="00FF2EFF"/>
    <w:rsid w:val="00FF4843"/>
    <w:rsid w:val="00FF5EEA"/>
    <w:rsid w:val="01115B19"/>
    <w:rsid w:val="01141165"/>
    <w:rsid w:val="01671145"/>
    <w:rsid w:val="0179280E"/>
    <w:rsid w:val="018A7679"/>
    <w:rsid w:val="01F9550C"/>
    <w:rsid w:val="02F92369"/>
    <w:rsid w:val="02FF3972"/>
    <w:rsid w:val="03107D15"/>
    <w:rsid w:val="03250AC9"/>
    <w:rsid w:val="034A6D2D"/>
    <w:rsid w:val="03F11C32"/>
    <w:rsid w:val="041F7F64"/>
    <w:rsid w:val="04F419D9"/>
    <w:rsid w:val="04FA2D68"/>
    <w:rsid w:val="05805922"/>
    <w:rsid w:val="058F7720"/>
    <w:rsid w:val="05965135"/>
    <w:rsid w:val="05A750B0"/>
    <w:rsid w:val="05DE7F94"/>
    <w:rsid w:val="066C774F"/>
    <w:rsid w:val="068A3C77"/>
    <w:rsid w:val="06A75D00"/>
    <w:rsid w:val="07727AB6"/>
    <w:rsid w:val="077341C4"/>
    <w:rsid w:val="07B26B71"/>
    <w:rsid w:val="07DF1B78"/>
    <w:rsid w:val="08A05F2E"/>
    <w:rsid w:val="08C77405"/>
    <w:rsid w:val="08F06081"/>
    <w:rsid w:val="095E38C5"/>
    <w:rsid w:val="09646A02"/>
    <w:rsid w:val="09F85D00"/>
    <w:rsid w:val="0A312D88"/>
    <w:rsid w:val="0A3A3D1B"/>
    <w:rsid w:val="0A8074DF"/>
    <w:rsid w:val="0A90639B"/>
    <w:rsid w:val="0A913826"/>
    <w:rsid w:val="0AD95B4D"/>
    <w:rsid w:val="0B4B1C27"/>
    <w:rsid w:val="0C0A1AE2"/>
    <w:rsid w:val="0C105DFF"/>
    <w:rsid w:val="0C851169"/>
    <w:rsid w:val="0C9631A7"/>
    <w:rsid w:val="0CAA0BCF"/>
    <w:rsid w:val="0CC7776F"/>
    <w:rsid w:val="0D0C3638"/>
    <w:rsid w:val="0D3D114C"/>
    <w:rsid w:val="0D620861"/>
    <w:rsid w:val="0D6276FC"/>
    <w:rsid w:val="0D7A146F"/>
    <w:rsid w:val="0DC61A39"/>
    <w:rsid w:val="0DD57ECE"/>
    <w:rsid w:val="0DED7DC2"/>
    <w:rsid w:val="0DFC3E81"/>
    <w:rsid w:val="0E183015"/>
    <w:rsid w:val="0E735998"/>
    <w:rsid w:val="0E760DED"/>
    <w:rsid w:val="0EBD1511"/>
    <w:rsid w:val="0EC57F43"/>
    <w:rsid w:val="0EE02FCE"/>
    <w:rsid w:val="0F241091"/>
    <w:rsid w:val="0F3B1D5E"/>
    <w:rsid w:val="0F955B67"/>
    <w:rsid w:val="0FA27567"/>
    <w:rsid w:val="0FFF32EC"/>
    <w:rsid w:val="10521CAA"/>
    <w:rsid w:val="10BC03C7"/>
    <w:rsid w:val="10BE2E9B"/>
    <w:rsid w:val="110C1E59"/>
    <w:rsid w:val="113917C7"/>
    <w:rsid w:val="11770E5C"/>
    <w:rsid w:val="11802C61"/>
    <w:rsid w:val="11F43E37"/>
    <w:rsid w:val="12226FD5"/>
    <w:rsid w:val="124F64A1"/>
    <w:rsid w:val="125C342F"/>
    <w:rsid w:val="12696E37"/>
    <w:rsid w:val="130F4A87"/>
    <w:rsid w:val="13337B71"/>
    <w:rsid w:val="13516249"/>
    <w:rsid w:val="138C102F"/>
    <w:rsid w:val="13980163"/>
    <w:rsid w:val="14237C67"/>
    <w:rsid w:val="14496F20"/>
    <w:rsid w:val="14603640"/>
    <w:rsid w:val="14BC1DE8"/>
    <w:rsid w:val="156101D1"/>
    <w:rsid w:val="15A13C38"/>
    <w:rsid w:val="15A703A2"/>
    <w:rsid w:val="15ED29EB"/>
    <w:rsid w:val="15FE268E"/>
    <w:rsid w:val="160C6457"/>
    <w:rsid w:val="1691415F"/>
    <w:rsid w:val="16AF11D1"/>
    <w:rsid w:val="16B04812"/>
    <w:rsid w:val="16B60189"/>
    <w:rsid w:val="16DC674F"/>
    <w:rsid w:val="174006E6"/>
    <w:rsid w:val="176A0554"/>
    <w:rsid w:val="178869B1"/>
    <w:rsid w:val="179F2333"/>
    <w:rsid w:val="17D244D2"/>
    <w:rsid w:val="180E2C9E"/>
    <w:rsid w:val="18CB25F9"/>
    <w:rsid w:val="194F68C1"/>
    <w:rsid w:val="1954439D"/>
    <w:rsid w:val="19596F42"/>
    <w:rsid w:val="195E7D49"/>
    <w:rsid w:val="199D120D"/>
    <w:rsid w:val="1A2C0FB5"/>
    <w:rsid w:val="1A7005FE"/>
    <w:rsid w:val="1A794857"/>
    <w:rsid w:val="1AA57575"/>
    <w:rsid w:val="1AC11F06"/>
    <w:rsid w:val="1B0940FF"/>
    <w:rsid w:val="1B215984"/>
    <w:rsid w:val="1B8227E1"/>
    <w:rsid w:val="1BDB0DA5"/>
    <w:rsid w:val="1BEB0238"/>
    <w:rsid w:val="1C0D4CD7"/>
    <w:rsid w:val="1C30068C"/>
    <w:rsid w:val="1C317A56"/>
    <w:rsid w:val="1C80194D"/>
    <w:rsid w:val="1C962F1E"/>
    <w:rsid w:val="1CD31A7D"/>
    <w:rsid w:val="1D036806"/>
    <w:rsid w:val="1D28626C"/>
    <w:rsid w:val="1D8443E2"/>
    <w:rsid w:val="1D9840C1"/>
    <w:rsid w:val="1E4C1566"/>
    <w:rsid w:val="1E5B107D"/>
    <w:rsid w:val="1E62755C"/>
    <w:rsid w:val="1ECE4BF1"/>
    <w:rsid w:val="1F3149E3"/>
    <w:rsid w:val="1F38650F"/>
    <w:rsid w:val="1F447B10"/>
    <w:rsid w:val="1F5419C7"/>
    <w:rsid w:val="1F6A2B6C"/>
    <w:rsid w:val="1FF5BF33"/>
    <w:rsid w:val="20232ED0"/>
    <w:rsid w:val="203A2A6C"/>
    <w:rsid w:val="207A1985"/>
    <w:rsid w:val="20827A42"/>
    <w:rsid w:val="20AF5271"/>
    <w:rsid w:val="20E029BA"/>
    <w:rsid w:val="21037966"/>
    <w:rsid w:val="210617F6"/>
    <w:rsid w:val="211F0C2A"/>
    <w:rsid w:val="2133643A"/>
    <w:rsid w:val="215A451A"/>
    <w:rsid w:val="216D4A04"/>
    <w:rsid w:val="21731A80"/>
    <w:rsid w:val="22C62CF4"/>
    <w:rsid w:val="23301B60"/>
    <w:rsid w:val="233D0598"/>
    <w:rsid w:val="234026DC"/>
    <w:rsid w:val="239161EE"/>
    <w:rsid w:val="23A06120"/>
    <w:rsid w:val="23AF0F78"/>
    <w:rsid w:val="23B4377A"/>
    <w:rsid w:val="23D507D0"/>
    <w:rsid w:val="23DD1433"/>
    <w:rsid w:val="243E10FB"/>
    <w:rsid w:val="24613E12"/>
    <w:rsid w:val="24B8466F"/>
    <w:rsid w:val="24C70119"/>
    <w:rsid w:val="252E3ABD"/>
    <w:rsid w:val="256908AD"/>
    <w:rsid w:val="256C658B"/>
    <w:rsid w:val="258F2137"/>
    <w:rsid w:val="25994BBA"/>
    <w:rsid w:val="260E7FC9"/>
    <w:rsid w:val="262D4131"/>
    <w:rsid w:val="267C6969"/>
    <w:rsid w:val="26F71263"/>
    <w:rsid w:val="270A69E3"/>
    <w:rsid w:val="27383ED1"/>
    <w:rsid w:val="278542BB"/>
    <w:rsid w:val="27EC4921"/>
    <w:rsid w:val="28171D0D"/>
    <w:rsid w:val="283A50A6"/>
    <w:rsid w:val="28694D40"/>
    <w:rsid w:val="286E02B3"/>
    <w:rsid w:val="288C75E9"/>
    <w:rsid w:val="288D4E09"/>
    <w:rsid w:val="28902F18"/>
    <w:rsid w:val="28AC24C6"/>
    <w:rsid w:val="28CD7B64"/>
    <w:rsid w:val="28DA73F5"/>
    <w:rsid w:val="28F214DC"/>
    <w:rsid w:val="29236402"/>
    <w:rsid w:val="29300373"/>
    <w:rsid w:val="29411B2D"/>
    <w:rsid w:val="2953641F"/>
    <w:rsid w:val="29AE6B2F"/>
    <w:rsid w:val="29B92A03"/>
    <w:rsid w:val="29D301B2"/>
    <w:rsid w:val="2A093D3C"/>
    <w:rsid w:val="2A141CA3"/>
    <w:rsid w:val="2A3B21CA"/>
    <w:rsid w:val="2A674369"/>
    <w:rsid w:val="2A9E4307"/>
    <w:rsid w:val="2AA1140C"/>
    <w:rsid w:val="2AEE6381"/>
    <w:rsid w:val="2B2838DB"/>
    <w:rsid w:val="2B6C0DEA"/>
    <w:rsid w:val="2B881AD4"/>
    <w:rsid w:val="2BBF5FEE"/>
    <w:rsid w:val="2BD20463"/>
    <w:rsid w:val="2BD92E3B"/>
    <w:rsid w:val="2BE3221C"/>
    <w:rsid w:val="2BFA0DD4"/>
    <w:rsid w:val="2C35005E"/>
    <w:rsid w:val="2C4A09B4"/>
    <w:rsid w:val="2C5A5D16"/>
    <w:rsid w:val="2CB160FF"/>
    <w:rsid w:val="2CC7513C"/>
    <w:rsid w:val="2CEE645F"/>
    <w:rsid w:val="2CFC2BFE"/>
    <w:rsid w:val="2D2F7B08"/>
    <w:rsid w:val="2D7771AC"/>
    <w:rsid w:val="2D7965A0"/>
    <w:rsid w:val="2D7F43FE"/>
    <w:rsid w:val="2DCC2C44"/>
    <w:rsid w:val="2E232138"/>
    <w:rsid w:val="2E555FE9"/>
    <w:rsid w:val="2E615FDF"/>
    <w:rsid w:val="2EA75CC0"/>
    <w:rsid w:val="2F1C3542"/>
    <w:rsid w:val="2F2214AA"/>
    <w:rsid w:val="2F313086"/>
    <w:rsid w:val="2F6A45FD"/>
    <w:rsid w:val="2F737DDC"/>
    <w:rsid w:val="2F7470EF"/>
    <w:rsid w:val="2F754677"/>
    <w:rsid w:val="2FAEC00F"/>
    <w:rsid w:val="30206575"/>
    <w:rsid w:val="302218DD"/>
    <w:rsid w:val="30393E95"/>
    <w:rsid w:val="30C10112"/>
    <w:rsid w:val="313F77EE"/>
    <w:rsid w:val="314D028A"/>
    <w:rsid w:val="31AA1310"/>
    <w:rsid w:val="31FD78E9"/>
    <w:rsid w:val="322751B1"/>
    <w:rsid w:val="32D550FB"/>
    <w:rsid w:val="33F470F7"/>
    <w:rsid w:val="341E1D1F"/>
    <w:rsid w:val="342B17CD"/>
    <w:rsid w:val="34632E1D"/>
    <w:rsid w:val="34AA28DA"/>
    <w:rsid w:val="34AD0505"/>
    <w:rsid w:val="34F605A6"/>
    <w:rsid w:val="34FD1935"/>
    <w:rsid w:val="35133C86"/>
    <w:rsid w:val="35415CC5"/>
    <w:rsid w:val="35436BC4"/>
    <w:rsid w:val="355530AA"/>
    <w:rsid w:val="35916DD5"/>
    <w:rsid w:val="35A8649C"/>
    <w:rsid w:val="35D129A2"/>
    <w:rsid w:val="360A0F8C"/>
    <w:rsid w:val="36453EFF"/>
    <w:rsid w:val="364631D7"/>
    <w:rsid w:val="364D069A"/>
    <w:rsid w:val="36602173"/>
    <w:rsid w:val="368928C2"/>
    <w:rsid w:val="36C95800"/>
    <w:rsid w:val="36EE59D9"/>
    <w:rsid w:val="371A057C"/>
    <w:rsid w:val="373D24BC"/>
    <w:rsid w:val="376B71BB"/>
    <w:rsid w:val="376D5966"/>
    <w:rsid w:val="37850378"/>
    <w:rsid w:val="37E05B41"/>
    <w:rsid w:val="380B4369"/>
    <w:rsid w:val="3860148D"/>
    <w:rsid w:val="387B504A"/>
    <w:rsid w:val="388303A3"/>
    <w:rsid w:val="38BF323D"/>
    <w:rsid w:val="38E1597F"/>
    <w:rsid w:val="38F00B77"/>
    <w:rsid w:val="392F76D8"/>
    <w:rsid w:val="39341D7F"/>
    <w:rsid w:val="395F3352"/>
    <w:rsid w:val="39987E7E"/>
    <w:rsid w:val="39B90520"/>
    <w:rsid w:val="3A312F92"/>
    <w:rsid w:val="3A3F02FA"/>
    <w:rsid w:val="3A464B75"/>
    <w:rsid w:val="3A830B2E"/>
    <w:rsid w:val="3AAD52BC"/>
    <w:rsid w:val="3B1F29B6"/>
    <w:rsid w:val="3B233415"/>
    <w:rsid w:val="3B2B1978"/>
    <w:rsid w:val="3B665AC9"/>
    <w:rsid w:val="3B954675"/>
    <w:rsid w:val="3BAE21C2"/>
    <w:rsid w:val="3BCA117E"/>
    <w:rsid w:val="3C7B3095"/>
    <w:rsid w:val="3C7B42F3"/>
    <w:rsid w:val="3C7C75E3"/>
    <w:rsid w:val="3C936610"/>
    <w:rsid w:val="3D6B60D2"/>
    <w:rsid w:val="3D842BF3"/>
    <w:rsid w:val="3DDF0D81"/>
    <w:rsid w:val="3E126C05"/>
    <w:rsid w:val="3E6B790F"/>
    <w:rsid w:val="3E9230EE"/>
    <w:rsid w:val="3E9678A6"/>
    <w:rsid w:val="3EB70E78"/>
    <w:rsid w:val="3EC91649"/>
    <w:rsid w:val="3EE245BF"/>
    <w:rsid w:val="3F081602"/>
    <w:rsid w:val="3F5B255F"/>
    <w:rsid w:val="3F6521F3"/>
    <w:rsid w:val="40DC5A18"/>
    <w:rsid w:val="40F2216D"/>
    <w:rsid w:val="415A31C5"/>
    <w:rsid w:val="41675C4D"/>
    <w:rsid w:val="41A61D7E"/>
    <w:rsid w:val="41A76EB0"/>
    <w:rsid w:val="41F82BF3"/>
    <w:rsid w:val="421F113C"/>
    <w:rsid w:val="42772D26"/>
    <w:rsid w:val="428D5E99"/>
    <w:rsid w:val="42A31D6D"/>
    <w:rsid w:val="43486471"/>
    <w:rsid w:val="43B50E83"/>
    <w:rsid w:val="440A0CE0"/>
    <w:rsid w:val="446A7D73"/>
    <w:rsid w:val="446F7A2D"/>
    <w:rsid w:val="4475503B"/>
    <w:rsid w:val="448E3369"/>
    <w:rsid w:val="449E2B67"/>
    <w:rsid w:val="455A06DD"/>
    <w:rsid w:val="4584426D"/>
    <w:rsid w:val="458D1E80"/>
    <w:rsid w:val="45A22426"/>
    <w:rsid w:val="45C75D73"/>
    <w:rsid w:val="45EE1AFF"/>
    <w:rsid w:val="46277CE2"/>
    <w:rsid w:val="46A303B3"/>
    <w:rsid w:val="46C93D6D"/>
    <w:rsid w:val="46E5397A"/>
    <w:rsid w:val="470C31DE"/>
    <w:rsid w:val="476937DB"/>
    <w:rsid w:val="478F466E"/>
    <w:rsid w:val="47E04ECA"/>
    <w:rsid w:val="482D4A9C"/>
    <w:rsid w:val="49224837"/>
    <w:rsid w:val="495042D1"/>
    <w:rsid w:val="49A11F60"/>
    <w:rsid w:val="49AC5A24"/>
    <w:rsid w:val="49B10406"/>
    <w:rsid w:val="49EA66D4"/>
    <w:rsid w:val="4A29603A"/>
    <w:rsid w:val="4A445754"/>
    <w:rsid w:val="4A704B0B"/>
    <w:rsid w:val="4A956D36"/>
    <w:rsid w:val="4B353CD2"/>
    <w:rsid w:val="4BC8467F"/>
    <w:rsid w:val="4C420BC6"/>
    <w:rsid w:val="4C6C1338"/>
    <w:rsid w:val="4CD352EC"/>
    <w:rsid w:val="4CF60CEC"/>
    <w:rsid w:val="4CFE53E3"/>
    <w:rsid w:val="4D033B61"/>
    <w:rsid w:val="4DAB1AD6"/>
    <w:rsid w:val="4DC70ED3"/>
    <w:rsid w:val="4DD70B1D"/>
    <w:rsid w:val="4EA33D0B"/>
    <w:rsid w:val="4EB469CA"/>
    <w:rsid w:val="4ECD3CCE"/>
    <w:rsid w:val="4EE5336B"/>
    <w:rsid w:val="4EF179BD"/>
    <w:rsid w:val="4F0A4599"/>
    <w:rsid w:val="4F747DE4"/>
    <w:rsid w:val="4F834382"/>
    <w:rsid w:val="4FAC0994"/>
    <w:rsid w:val="4FB1539E"/>
    <w:rsid w:val="4FE63648"/>
    <w:rsid w:val="50183B56"/>
    <w:rsid w:val="501D513D"/>
    <w:rsid w:val="504F7091"/>
    <w:rsid w:val="506E7FDD"/>
    <w:rsid w:val="512A7F85"/>
    <w:rsid w:val="51316796"/>
    <w:rsid w:val="51335756"/>
    <w:rsid w:val="513444D8"/>
    <w:rsid w:val="514F4E6E"/>
    <w:rsid w:val="51624BA2"/>
    <w:rsid w:val="519F67B0"/>
    <w:rsid w:val="51F003FF"/>
    <w:rsid w:val="52395CCA"/>
    <w:rsid w:val="52F61E27"/>
    <w:rsid w:val="536522FF"/>
    <w:rsid w:val="537961D3"/>
    <w:rsid w:val="53B44B9D"/>
    <w:rsid w:val="53C42A66"/>
    <w:rsid w:val="53F65A75"/>
    <w:rsid w:val="5415414D"/>
    <w:rsid w:val="541A4F9D"/>
    <w:rsid w:val="543B42DA"/>
    <w:rsid w:val="548C582C"/>
    <w:rsid w:val="54992125"/>
    <w:rsid w:val="54F06565"/>
    <w:rsid w:val="553D7E00"/>
    <w:rsid w:val="55482ADB"/>
    <w:rsid w:val="55A27C63"/>
    <w:rsid w:val="55E4027B"/>
    <w:rsid w:val="5689199C"/>
    <w:rsid w:val="56B37004"/>
    <w:rsid w:val="56B60923"/>
    <w:rsid w:val="56D35BDC"/>
    <w:rsid w:val="56D96894"/>
    <w:rsid w:val="57132FCC"/>
    <w:rsid w:val="57266346"/>
    <w:rsid w:val="573F588F"/>
    <w:rsid w:val="57650F48"/>
    <w:rsid w:val="5767703C"/>
    <w:rsid w:val="57681298"/>
    <w:rsid w:val="578F06BB"/>
    <w:rsid w:val="579932E7"/>
    <w:rsid w:val="581A4428"/>
    <w:rsid w:val="58271F5F"/>
    <w:rsid w:val="583D415E"/>
    <w:rsid w:val="586C6533"/>
    <w:rsid w:val="589A0971"/>
    <w:rsid w:val="5903310E"/>
    <w:rsid w:val="59184390"/>
    <w:rsid w:val="593432C8"/>
    <w:rsid w:val="59633BAD"/>
    <w:rsid w:val="59B2004F"/>
    <w:rsid w:val="59C775EC"/>
    <w:rsid w:val="59FB128F"/>
    <w:rsid w:val="5A3D43FE"/>
    <w:rsid w:val="5A6D4479"/>
    <w:rsid w:val="5B0F634B"/>
    <w:rsid w:val="5B237E93"/>
    <w:rsid w:val="5BBE331C"/>
    <w:rsid w:val="5BC06ACA"/>
    <w:rsid w:val="5BD56530"/>
    <w:rsid w:val="5BE12FA3"/>
    <w:rsid w:val="5C4D6613"/>
    <w:rsid w:val="5C6C47A9"/>
    <w:rsid w:val="5C8C7B0E"/>
    <w:rsid w:val="5C9F4AD9"/>
    <w:rsid w:val="5CFC4066"/>
    <w:rsid w:val="5D243653"/>
    <w:rsid w:val="5D8866EC"/>
    <w:rsid w:val="5DB3770C"/>
    <w:rsid w:val="5DB449D7"/>
    <w:rsid w:val="5DC10EA2"/>
    <w:rsid w:val="5DC30B65"/>
    <w:rsid w:val="5DE51034"/>
    <w:rsid w:val="5E552D95"/>
    <w:rsid w:val="5E941380"/>
    <w:rsid w:val="5EBF421E"/>
    <w:rsid w:val="5ECA77BE"/>
    <w:rsid w:val="5EE70DDC"/>
    <w:rsid w:val="5F2142EE"/>
    <w:rsid w:val="5F45359F"/>
    <w:rsid w:val="5F4D3E2A"/>
    <w:rsid w:val="5F8232C7"/>
    <w:rsid w:val="5F8D54E0"/>
    <w:rsid w:val="600D4872"/>
    <w:rsid w:val="60233B07"/>
    <w:rsid w:val="60597AB8"/>
    <w:rsid w:val="60EC6236"/>
    <w:rsid w:val="610C0044"/>
    <w:rsid w:val="612E55C6"/>
    <w:rsid w:val="614C3E94"/>
    <w:rsid w:val="618D2D9B"/>
    <w:rsid w:val="62A74B0A"/>
    <w:rsid w:val="62B13874"/>
    <w:rsid w:val="62E414EF"/>
    <w:rsid w:val="6309501A"/>
    <w:rsid w:val="632863B5"/>
    <w:rsid w:val="633F2F95"/>
    <w:rsid w:val="636273C7"/>
    <w:rsid w:val="63672753"/>
    <w:rsid w:val="637604BF"/>
    <w:rsid w:val="638214EC"/>
    <w:rsid w:val="63A96660"/>
    <w:rsid w:val="64045830"/>
    <w:rsid w:val="640815D9"/>
    <w:rsid w:val="64D05533"/>
    <w:rsid w:val="64DF4A2F"/>
    <w:rsid w:val="652F2EC5"/>
    <w:rsid w:val="65744A4C"/>
    <w:rsid w:val="65792C4F"/>
    <w:rsid w:val="659D610C"/>
    <w:rsid w:val="65B80DDC"/>
    <w:rsid w:val="65E5006E"/>
    <w:rsid w:val="65E62E7A"/>
    <w:rsid w:val="65F27583"/>
    <w:rsid w:val="65FF6A0B"/>
    <w:rsid w:val="660F72D8"/>
    <w:rsid w:val="66606590"/>
    <w:rsid w:val="667D3FC7"/>
    <w:rsid w:val="66D02156"/>
    <w:rsid w:val="66EC7F6C"/>
    <w:rsid w:val="67287B59"/>
    <w:rsid w:val="672C1A82"/>
    <w:rsid w:val="67BB5990"/>
    <w:rsid w:val="67BE346E"/>
    <w:rsid w:val="67CE0F15"/>
    <w:rsid w:val="689F0B5F"/>
    <w:rsid w:val="690A31E2"/>
    <w:rsid w:val="69643755"/>
    <w:rsid w:val="696C43B8"/>
    <w:rsid w:val="69DF1AD7"/>
    <w:rsid w:val="69F452BC"/>
    <w:rsid w:val="6A4115E1"/>
    <w:rsid w:val="6A582B8E"/>
    <w:rsid w:val="6A7A6FA8"/>
    <w:rsid w:val="6A8D7FC1"/>
    <w:rsid w:val="6AAD178D"/>
    <w:rsid w:val="6ABF765B"/>
    <w:rsid w:val="6ACD0E86"/>
    <w:rsid w:val="6B086362"/>
    <w:rsid w:val="6B0D3978"/>
    <w:rsid w:val="6B370CF5"/>
    <w:rsid w:val="6B737C7F"/>
    <w:rsid w:val="6B9F03FA"/>
    <w:rsid w:val="6BDA3789"/>
    <w:rsid w:val="6C2A0DBB"/>
    <w:rsid w:val="6C6A357A"/>
    <w:rsid w:val="6C6A77E5"/>
    <w:rsid w:val="6CC649E7"/>
    <w:rsid w:val="6CE93F71"/>
    <w:rsid w:val="6D041C91"/>
    <w:rsid w:val="6D1679AC"/>
    <w:rsid w:val="6D4C1054"/>
    <w:rsid w:val="6D6B3B57"/>
    <w:rsid w:val="6DD67FE0"/>
    <w:rsid w:val="6DDA5CDD"/>
    <w:rsid w:val="6DDB1B0C"/>
    <w:rsid w:val="6DEA1D4F"/>
    <w:rsid w:val="6E6508B3"/>
    <w:rsid w:val="6E891568"/>
    <w:rsid w:val="6EA346F6"/>
    <w:rsid w:val="6EBF53E3"/>
    <w:rsid w:val="6ECF257D"/>
    <w:rsid w:val="6EEB5331"/>
    <w:rsid w:val="6F5E47A3"/>
    <w:rsid w:val="6F5F71DE"/>
    <w:rsid w:val="6FA67EF8"/>
    <w:rsid w:val="6FEF4B81"/>
    <w:rsid w:val="6FFF26AD"/>
    <w:rsid w:val="70135A96"/>
    <w:rsid w:val="70227EC6"/>
    <w:rsid w:val="704E27BB"/>
    <w:rsid w:val="706334D4"/>
    <w:rsid w:val="7065322D"/>
    <w:rsid w:val="70736D35"/>
    <w:rsid w:val="70DD6660"/>
    <w:rsid w:val="713029B0"/>
    <w:rsid w:val="71527940"/>
    <w:rsid w:val="716F0EE9"/>
    <w:rsid w:val="71AC01E3"/>
    <w:rsid w:val="71FC052E"/>
    <w:rsid w:val="724265FE"/>
    <w:rsid w:val="72990F7E"/>
    <w:rsid w:val="72A525AF"/>
    <w:rsid w:val="72C15774"/>
    <w:rsid w:val="73135CD1"/>
    <w:rsid w:val="731E6046"/>
    <w:rsid w:val="732F26AB"/>
    <w:rsid w:val="7384322E"/>
    <w:rsid w:val="739D6DC6"/>
    <w:rsid w:val="740F2533"/>
    <w:rsid w:val="740F5B99"/>
    <w:rsid w:val="74703570"/>
    <w:rsid w:val="747A49D5"/>
    <w:rsid w:val="74D252CE"/>
    <w:rsid w:val="751D3132"/>
    <w:rsid w:val="75555A8B"/>
    <w:rsid w:val="755C403A"/>
    <w:rsid w:val="75897582"/>
    <w:rsid w:val="76202534"/>
    <w:rsid w:val="76A35191"/>
    <w:rsid w:val="76A809F9"/>
    <w:rsid w:val="7724443B"/>
    <w:rsid w:val="77247B8D"/>
    <w:rsid w:val="77281627"/>
    <w:rsid w:val="777D5524"/>
    <w:rsid w:val="77BC31B6"/>
    <w:rsid w:val="788F00C3"/>
    <w:rsid w:val="78F9553C"/>
    <w:rsid w:val="790D22C6"/>
    <w:rsid w:val="793A2363"/>
    <w:rsid w:val="79537342"/>
    <w:rsid w:val="797A667D"/>
    <w:rsid w:val="79C37152"/>
    <w:rsid w:val="79D4321D"/>
    <w:rsid w:val="79F53F55"/>
    <w:rsid w:val="79F851D5"/>
    <w:rsid w:val="7A3525A4"/>
    <w:rsid w:val="7A3F3423"/>
    <w:rsid w:val="7A827452"/>
    <w:rsid w:val="7AD42E01"/>
    <w:rsid w:val="7AE30252"/>
    <w:rsid w:val="7B0B76CA"/>
    <w:rsid w:val="7B810197"/>
    <w:rsid w:val="7C6C3522"/>
    <w:rsid w:val="7C7956F0"/>
    <w:rsid w:val="7CD85F93"/>
    <w:rsid w:val="7CE502B1"/>
    <w:rsid w:val="7D1961AD"/>
    <w:rsid w:val="7D4D0FAF"/>
    <w:rsid w:val="7D515947"/>
    <w:rsid w:val="7D630A43"/>
    <w:rsid w:val="7D6457E7"/>
    <w:rsid w:val="7D6C2781"/>
    <w:rsid w:val="7D73373A"/>
    <w:rsid w:val="7DB87774"/>
    <w:rsid w:val="7DBB1B3C"/>
    <w:rsid w:val="7E5B2AC6"/>
    <w:rsid w:val="7EC674D2"/>
    <w:rsid w:val="7EFB79DA"/>
    <w:rsid w:val="7F0F7867"/>
    <w:rsid w:val="7F21188E"/>
    <w:rsid w:val="7F6E4383"/>
    <w:rsid w:val="7FAB0060"/>
    <w:rsid w:val="7FB9CD24"/>
    <w:rsid w:val="7FD932E3"/>
    <w:rsid w:val="7FEF0A25"/>
    <w:rsid w:val="7FFF2E5F"/>
    <w:rsid w:val="859BFF62"/>
    <w:rsid w:val="9772A463"/>
    <w:rsid w:val="9FA755F2"/>
    <w:rsid w:val="B47E340F"/>
    <w:rsid w:val="BFDBD3D3"/>
    <w:rsid w:val="CBFE4545"/>
    <w:rsid w:val="D7BEF025"/>
    <w:rsid w:val="DDAB72A4"/>
    <w:rsid w:val="DF9D7862"/>
    <w:rsid w:val="DFFFDBC6"/>
    <w:rsid w:val="E7FE8B4D"/>
    <w:rsid w:val="EF7F7F12"/>
    <w:rsid w:val="F2AF9C08"/>
    <w:rsid w:val="F7DE76E1"/>
    <w:rsid w:val="F97F4EE0"/>
    <w:rsid w:val="FDFA4FD0"/>
    <w:rsid w:val="FF9BE310"/>
    <w:rsid w:val="FFABF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48"/>
    <w:qFormat/>
    <w:uiPriority w:val="9"/>
    <w:pPr>
      <w:autoSpaceDE w:val="0"/>
      <w:autoSpaceDN w:val="0"/>
      <w:adjustRightInd w:val="0"/>
      <w:jc w:val="left"/>
      <w:outlineLvl w:val="0"/>
    </w:pPr>
    <w:rPr>
      <w:rFonts w:ascii="宋体" w:hAnsi="Calibri" w:eastAsia="宋体" w:cs="Times New Roman"/>
      <w:kern w:val="0"/>
      <w:sz w:val="24"/>
      <w:szCs w:val="24"/>
    </w:rPr>
  </w:style>
  <w:style w:type="paragraph" w:styleId="4">
    <w:name w:val="heading 2"/>
    <w:basedOn w:val="1"/>
    <w:next w:val="1"/>
    <w:link w:val="46"/>
    <w:qFormat/>
    <w:uiPriority w:val="0"/>
    <w:pPr>
      <w:autoSpaceDE w:val="0"/>
      <w:autoSpaceDN w:val="0"/>
      <w:adjustRightInd w:val="0"/>
      <w:jc w:val="left"/>
      <w:outlineLvl w:val="1"/>
    </w:pPr>
    <w:rPr>
      <w:rFonts w:ascii="宋体" w:hAnsi="Calibri" w:eastAsia="宋体" w:cs="Times New Roman"/>
      <w:kern w:val="0"/>
      <w:sz w:val="24"/>
      <w:szCs w:val="24"/>
    </w:rPr>
  </w:style>
  <w:style w:type="paragraph" w:styleId="5">
    <w:name w:val="heading 3"/>
    <w:basedOn w:val="1"/>
    <w:next w:val="1"/>
    <w:link w:val="142"/>
    <w:qFormat/>
    <w:uiPriority w:val="0"/>
    <w:pPr>
      <w:autoSpaceDE w:val="0"/>
      <w:autoSpaceDN w:val="0"/>
      <w:adjustRightInd w:val="0"/>
      <w:jc w:val="left"/>
      <w:outlineLvl w:val="2"/>
    </w:pPr>
    <w:rPr>
      <w:rFonts w:ascii="宋体" w:hAnsi="Calibri" w:eastAsia="宋体" w:cs="Times New Roman"/>
      <w:kern w:val="0"/>
      <w:sz w:val="24"/>
      <w:szCs w:val="24"/>
    </w:rPr>
  </w:style>
  <w:style w:type="paragraph" w:styleId="6">
    <w:name w:val="heading 4"/>
    <w:basedOn w:val="1"/>
    <w:next w:val="1"/>
    <w:link w:val="48"/>
    <w:qFormat/>
    <w:uiPriority w:val="9"/>
    <w:pPr>
      <w:keepNext/>
      <w:keepLines/>
      <w:autoSpaceDE w:val="0"/>
      <w:autoSpaceDN w:val="0"/>
      <w:adjustRightInd w:val="0"/>
      <w:spacing w:before="280" w:after="290" w:line="376" w:lineRule="auto"/>
      <w:jc w:val="left"/>
      <w:outlineLvl w:val="3"/>
    </w:pPr>
    <w:rPr>
      <w:rFonts w:ascii="Arial" w:hAnsi="Arial" w:eastAsia="黑体" w:cs="Times New Roman"/>
      <w:b/>
      <w:bCs/>
      <w:kern w:val="0"/>
      <w:sz w:val="28"/>
      <w:szCs w:val="28"/>
    </w:rPr>
  </w:style>
  <w:style w:type="paragraph" w:styleId="7">
    <w:name w:val="heading 5"/>
    <w:basedOn w:val="1"/>
    <w:next w:val="1"/>
    <w:link w:val="130"/>
    <w:qFormat/>
    <w:uiPriority w:val="9"/>
    <w:pPr>
      <w:keepNext/>
      <w:keepLines/>
      <w:autoSpaceDE w:val="0"/>
      <w:autoSpaceDN w:val="0"/>
      <w:adjustRightInd w:val="0"/>
      <w:spacing w:before="280" w:after="290" w:line="376" w:lineRule="auto"/>
      <w:jc w:val="left"/>
      <w:outlineLvl w:val="4"/>
    </w:pPr>
    <w:rPr>
      <w:rFonts w:ascii="宋体" w:hAnsi="Calibri" w:eastAsia="宋体" w:cs="Times New Roman"/>
      <w:b/>
      <w:bCs/>
      <w:kern w:val="0"/>
      <w:sz w:val="28"/>
      <w:szCs w:val="28"/>
    </w:rPr>
  </w:style>
  <w:style w:type="paragraph" w:styleId="8">
    <w:name w:val="heading 6"/>
    <w:basedOn w:val="1"/>
    <w:next w:val="9"/>
    <w:link w:val="140"/>
    <w:qFormat/>
    <w:uiPriority w:val="9"/>
    <w:pPr>
      <w:keepLines/>
      <w:tabs>
        <w:tab w:val="left" w:pos="1152"/>
      </w:tabs>
      <w:adjustRightInd w:val="0"/>
      <w:snapToGrid w:val="0"/>
      <w:spacing w:beforeLines="50" w:line="360" w:lineRule="auto"/>
      <w:ind w:left="1152" w:hanging="1152"/>
      <w:jc w:val="left"/>
      <w:textAlignment w:val="baseline"/>
      <w:outlineLvl w:val="5"/>
    </w:pPr>
    <w:rPr>
      <w:rFonts w:ascii="Times New Roman" w:hAnsi="Calibri" w:eastAsia="黑体" w:cs="Times New Roman"/>
      <w:b/>
      <w:bCs/>
      <w:kern w:val="0"/>
      <w:sz w:val="28"/>
      <w:szCs w:val="24"/>
    </w:rPr>
  </w:style>
  <w:style w:type="paragraph" w:styleId="10">
    <w:name w:val="heading 7"/>
    <w:basedOn w:val="1"/>
    <w:next w:val="9"/>
    <w:link w:val="51"/>
    <w:qFormat/>
    <w:uiPriority w:val="9"/>
    <w:pPr>
      <w:keepNext/>
      <w:keepLines/>
      <w:tabs>
        <w:tab w:val="left" w:pos="1296"/>
      </w:tabs>
      <w:adjustRightInd w:val="0"/>
      <w:snapToGrid w:val="0"/>
      <w:spacing w:before="240" w:after="120"/>
      <w:ind w:left="1296" w:hanging="1296"/>
      <w:textAlignment w:val="baseline"/>
      <w:outlineLvl w:val="6"/>
    </w:pPr>
    <w:rPr>
      <w:rFonts w:ascii="Times New Roman" w:hAnsi="Calibri" w:eastAsia="黑体" w:cs="Times New Roman"/>
      <w:b/>
      <w:bCs/>
      <w:kern w:val="0"/>
      <w:sz w:val="28"/>
      <w:szCs w:val="24"/>
    </w:rPr>
  </w:style>
  <w:style w:type="paragraph" w:styleId="11">
    <w:name w:val="heading 8"/>
    <w:basedOn w:val="1"/>
    <w:next w:val="9"/>
    <w:link w:val="52"/>
    <w:qFormat/>
    <w:uiPriority w:val="9"/>
    <w:pPr>
      <w:keepNext/>
      <w:keepLines/>
      <w:tabs>
        <w:tab w:val="left" w:pos="1440"/>
      </w:tabs>
      <w:snapToGrid w:val="0"/>
      <w:spacing w:before="240" w:after="120"/>
      <w:ind w:left="1440" w:hanging="1440"/>
      <w:outlineLvl w:val="7"/>
    </w:pPr>
    <w:rPr>
      <w:rFonts w:ascii="Times New Roman" w:hAnsi="Calibri" w:eastAsia="黑体" w:cs="Times New Roman"/>
      <w:b/>
      <w:kern w:val="0"/>
      <w:sz w:val="28"/>
      <w:szCs w:val="24"/>
    </w:rPr>
  </w:style>
  <w:style w:type="paragraph" w:styleId="12">
    <w:name w:val="heading 9"/>
    <w:basedOn w:val="1"/>
    <w:next w:val="9"/>
    <w:link w:val="53"/>
    <w:qFormat/>
    <w:uiPriority w:val="9"/>
    <w:pPr>
      <w:keepNext/>
      <w:keepLines/>
      <w:tabs>
        <w:tab w:val="left" w:pos="1584"/>
      </w:tabs>
      <w:snapToGrid w:val="0"/>
      <w:spacing w:before="240" w:after="120"/>
      <w:ind w:left="1584" w:hanging="1584"/>
      <w:outlineLvl w:val="8"/>
    </w:pPr>
    <w:rPr>
      <w:rFonts w:ascii="Times New Roman" w:hAnsi="Calibri" w:eastAsia="黑体" w:cs="Times New Roman"/>
      <w:b/>
      <w:kern w:val="0"/>
      <w:sz w:val="28"/>
      <w:szCs w:val="24"/>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16"/>
    <w:qFormat/>
    <w:uiPriority w:val="99"/>
    <w:pPr>
      <w:autoSpaceDE w:val="0"/>
      <w:autoSpaceDN w:val="0"/>
      <w:adjustRightInd w:val="0"/>
      <w:ind w:right="-26"/>
      <w:jc w:val="center"/>
    </w:pPr>
    <w:rPr>
      <w:rFonts w:ascii="宋体" w:eastAsia="宋体"/>
      <w:b/>
      <w:bCs/>
      <w:sz w:val="84"/>
      <w:szCs w:val="84"/>
      <w:lang w:val="zh-CN"/>
    </w:rPr>
  </w:style>
  <w:style w:type="paragraph" w:customStyle="1" w:styleId="9">
    <w:name w:val="模板正文"/>
    <w:basedOn w:val="1"/>
    <w:link w:val="92"/>
    <w:qFormat/>
    <w:uiPriority w:val="0"/>
    <w:pPr>
      <w:wordWrap w:val="0"/>
      <w:autoSpaceDE w:val="0"/>
      <w:autoSpaceDN w:val="0"/>
      <w:adjustRightInd w:val="0"/>
      <w:spacing w:beforeLines="50" w:line="360" w:lineRule="auto"/>
      <w:ind w:firstLine="200" w:firstLineChars="200"/>
      <w:jc w:val="left"/>
    </w:pPr>
    <w:rPr>
      <w:rFonts w:ascii="宋体" w:eastAsia="仿宋"/>
      <w:sz w:val="24"/>
      <w:szCs w:val="21"/>
    </w:rPr>
  </w:style>
  <w:style w:type="paragraph" w:styleId="13">
    <w:name w:val="Normal Indent"/>
    <w:basedOn w:val="1"/>
    <w:qFormat/>
    <w:uiPriority w:val="0"/>
    <w:pPr>
      <w:widowControl/>
      <w:autoSpaceDE w:val="0"/>
      <w:autoSpaceDN w:val="0"/>
      <w:adjustRightInd w:val="0"/>
      <w:ind w:firstLine="420" w:firstLineChars="200"/>
      <w:jc w:val="left"/>
    </w:pPr>
    <w:rPr>
      <w:rFonts w:ascii="宋体" w:hAnsi="Calibri" w:eastAsia="宋体" w:cs="Times New Roman"/>
      <w:kern w:val="0"/>
      <w:sz w:val="20"/>
      <w:szCs w:val="20"/>
    </w:rPr>
  </w:style>
  <w:style w:type="paragraph" w:styleId="14">
    <w:name w:val="caption"/>
    <w:basedOn w:val="1"/>
    <w:next w:val="1"/>
    <w:link w:val="81"/>
    <w:qFormat/>
    <w:uiPriority w:val="0"/>
    <w:pPr>
      <w:autoSpaceDE w:val="0"/>
      <w:autoSpaceDN w:val="0"/>
      <w:adjustRightInd w:val="0"/>
      <w:spacing w:before="152" w:after="160"/>
      <w:jc w:val="left"/>
    </w:pPr>
    <w:rPr>
      <w:rFonts w:ascii="Arial" w:hAnsi="Arial" w:eastAsia="黑体" w:cs="Arial"/>
    </w:rPr>
  </w:style>
  <w:style w:type="paragraph" w:styleId="15">
    <w:name w:val="Document Map"/>
    <w:basedOn w:val="1"/>
    <w:link w:val="114"/>
    <w:semiHidden/>
    <w:qFormat/>
    <w:uiPriority w:val="99"/>
    <w:pPr>
      <w:shd w:val="clear" w:color="auto" w:fill="000080"/>
      <w:autoSpaceDE w:val="0"/>
      <w:autoSpaceDN w:val="0"/>
      <w:adjustRightInd w:val="0"/>
      <w:jc w:val="left"/>
    </w:pPr>
    <w:rPr>
      <w:rFonts w:ascii="宋体" w:hAnsi="Times New Roman" w:eastAsia="宋体" w:cs="Times New Roman"/>
      <w:kern w:val="0"/>
      <w:sz w:val="24"/>
      <w:szCs w:val="24"/>
    </w:rPr>
  </w:style>
  <w:style w:type="paragraph" w:styleId="16">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szCs w:val="20"/>
    </w:rPr>
  </w:style>
  <w:style w:type="paragraph" w:styleId="17">
    <w:name w:val="annotation text"/>
    <w:basedOn w:val="1"/>
    <w:link w:val="161"/>
    <w:unhideWhenUsed/>
    <w:qFormat/>
    <w:uiPriority w:val="99"/>
    <w:pPr>
      <w:jc w:val="left"/>
    </w:pPr>
  </w:style>
  <w:style w:type="paragraph" w:styleId="18">
    <w:name w:val="Body Text 3"/>
    <w:basedOn w:val="1"/>
    <w:link w:val="154"/>
    <w:qFormat/>
    <w:uiPriority w:val="0"/>
    <w:pPr>
      <w:autoSpaceDE w:val="0"/>
      <w:autoSpaceDN w:val="0"/>
      <w:adjustRightInd w:val="0"/>
      <w:ind w:right="-26"/>
      <w:jc w:val="center"/>
    </w:pPr>
    <w:rPr>
      <w:rFonts w:ascii="宋体" w:hAnsi="Times New Roman" w:eastAsia="宋体" w:cs="Times New Roman"/>
      <w:b/>
      <w:bCs/>
      <w:color w:val="3366FF"/>
      <w:sz w:val="52"/>
      <w:szCs w:val="52"/>
      <w:lang w:val="zh-CN"/>
    </w:rPr>
  </w:style>
  <w:style w:type="paragraph" w:styleId="19">
    <w:name w:val="Body Text Indent"/>
    <w:basedOn w:val="1"/>
    <w:link w:val="90"/>
    <w:qFormat/>
    <w:uiPriority w:val="0"/>
    <w:pPr>
      <w:ind w:left="567" w:leftChars="270"/>
    </w:pPr>
    <w:rPr>
      <w:rFonts w:ascii="Times New Roman" w:hAnsi="Times New Roman" w:eastAsia="宋体" w:cs="Times New Roman"/>
      <w:szCs w:val="20"/>
    </w:rPr>
  </w:style>
  <w:style w:type="paragraph" w:styleId="20">
    <w:name w:val="toc 3"/>
    <w:basedOn w:val="1"/>
    <w:next w:val="1"/>
    <w:unhideWhenUsed/>
    <w:qFormat/>
    <w:uiPriority w:val="39"/>
    <w:pPr>
      <w:tabs>
        <w:tab w:val="right" w:leader="dot" w:pos="10144"/>
      </w:tabs>
      <w:ind w:left="840" w:leftChars="400"/>
    </w:pPr>
  </w:style>
  <w:style w:type="paragraph" w:styleId="21">
    <w:name w:val="Plain Text"/>
    <w:basedOn w:val="1"/>
    <w:link w:val="98"/>
    <w:qFormat/>
    <w:uiPriority w:val="0"/>
    <w:rPr>
      <w:rFonts w:ascii="宋体" w:hAnsi="Courier New" w:eastAsia="宋体"/>
    </w:rPr>
  </w:style>
  <w:style w:type="paragraph" w:styleId="22">
    <w:name w:val="Date"/>
    <w:basedOn w:val="1"/>
    <w:next w:val="1"/>
    <w:link w:val="106"/>
    <w:qFormat/>
    <w:uiPriority w:val="99"/>
    <w:pPr>
      <w:autoSpaceDE w:val="0"/>
      <w:autoSpaceDN w:val="0"/>
      <w:adjustRightInd w:val="0"/>
      <w:ind w:left="100" w:leftChars="2500"/>
      <w:jc w:val="left"/>
    </w:pPr>
    <w:rPr>
      <w:rFonts w:ascii="宋体" w:hAnsi="Times New Roman" w:eastAsia="宋体" w:cs="Times New Roman"/>
      <w:b/>
      <w:bCs/>
      <w:szCs w:val="21"/>
      <w:lang w:val="zh-CN"/>
    </w:rPr>
  </w:style>
  <w:style w:type="paragraph" w:styleId="23">
    <w:name w:val="Body Text Indent 2"/>
    <w:basedOn w:val="1"/>
    <w:link w:val="99"/>
    <w:qFormat/>
    <w:uiPriority w:val="0"/>
    <w:pPr>
      <w:tabs>
        <w:tab w:val="left" w:pos="8640"/>
      </w:tabs>
      <w:ind w:left="1260"/>
    </w:pPr>
    <w:rPr>
      <w:rFonts w:ascii="宋体" w:hAnsi="Times New Roman" w:eastAsia="宋体" w:cs="Times New Roman"/>
      <w:szCs w:val="20"/>
    </w:rPr>
  </w:style>
  <w:style w:type="paragraph" w:styleId="24">
    <w:name w:val="Balloon Text"/>
    <w:basedOn w:val="1"/>
    <w:link w:val="72"/>
    <w:qFormat/>
    <w:uiPriority w:val="0"/>
    <w:rPr>
      <w:rFonts w:ascii="Times New Roman" w:hAnsi="Times New Roman" w:eastAsia="宋体" w:cs="Times New Roman"/>
      <w:sz w:val="18"/>
      <w:szCs w:val="18"/>
    </w:rPr>
  </w:style>
  <w:style w:type="paragraph" w:styleId="25">
    <w:name w:val="footer"/>
    <w:basedOn w:val="1"/>
    <w:link w:val="76"/>
    <w:qFormat/>
    <w:uiPriority w:val="99"/>
    <w:pPr>
      <w:tabs>
        <w:tab w:val="center" w:pos="4153"/>
        <w:tab w:val="right" w:pos="8306"/>
      </w:tabs>
      <w:autoSpaceDE w:val="0"/>
      <w:autoSpaceDN w:val="0"/>
      <w:adjustRightInd w:val="0"/>
      <w:snapToGrid w:val="0"/>
      <w:jc w:val="left"/>
    </w:pPr>
    <w:rPr>
      <w:rFonts w:ascii="宋体" w:eastAsia="宋体"/>
      <w:sz w:val="18"/>
      <w:szCs w:val="18"/>
    </w:rPr>
  </w:style>
  <w:style w:type="paragraph" w:styleId="26">
    <w:name w:val="header"/>
    <w:basedOn w:val="1"/>
    <w:link w:val="118"/>
    <w:qFormat/>
    <w:uiPriority w:val="99"/>
    <w:pPr>
      <w:pBdr>
        <w:bottom w:val="single" w:color="auto" w:sz="6" w:space="1"/>
      </w:pBdr>
      <w:tabs>
        <w:tab w:val="center" w:pos="4153"/>
        <w:tab w:val="right" w:pos="8306"/>
      </w:tabs>
      <w:autoSpaceDE w:val="0"/>
      <w:autoSpaceDN w:val="0"/>
      <w:adjustRightInd w:val="0"/>
      <w:snapToGrid w:val="0"/>
      <w:jc w:val="center"/>
    </w:pPr>
    <w:rPr>
      <w:rFonts w:ascii="宋体" w:eastAsia="宋体"/>
      <w:sz w:val="18"/>
      <w:szCs w:val="18"/>
    </w:rPr>
  </w:style>
  <w:style w:type="paragraph" w:styleId="27">
    <w:name w:val="toc 1"/>
    <w:basedOn w:val="1"/>
    <w:next w:val="1"/>
    <w:unhideWhenUsed/>
    <w:qFormat/>
    <w:uiPriority w:val="39"/>
  </w:style>
  <w:style w:type="paragraph" w:styleId="28">
    <w:name w:val="List"/>
    <w:basedOn w:val="1"/>
    <w:unhideWhenUsed/>
    <w:qFormat/>
    <w:uiPriority w:val="0"/>
    <w:pPr>
      <w:autoSpaceDE w:val="0"/>
      <w:autoSpaceDN w:val="0"/>
      <w:adjustRightInd w:val="0"/>
      <w:ind w:left="200" w:hanging="200" w:hangingChars="200"/>
      <w:contextualSpacing/>
      <w:jc w:val="left"/>
    </w:pPr>
    <w:rPr>
      <w:rFonts w:ascii="宋体" w:hAnsi="Calibri" w:eastAsia="宋体" w:cs="Times New Roman"/>
      <w:kern w:val="0"/>
      <w:sz w:val="24"/>
      <w:szCs w:val="24"/>
    </w:rPr>
  </w:style>
  <w:style w:type="paragraph" w:styleId="29">
    <w:name w:val="Body Text Indent 3"/>
    <w:basedOn w:val="1"/>
    <w:link w:val="152"/>
    <w:qFormat/>
    <w:uiPriority w:val="0"/>
    <w:pPr>
      <w:autoSpaceDE w:val="0"/>
      <w:autoSpaceDN w:val="0"/>
      <w:adjustRightInd w:val="0"/>
      <w:spacing w:line="360" w:lineRule="auto"/>
      <w:ind w:firstLine="480" w:firstLineChars="200"/>
      <w:jc w:val="left"/>
    </w:pPr>
    <w:rPr>
      <w:rFonts w:ascii="宋体" w:hAnsi="Times New Roman" w:eastAsia="宋体" w:cs="Times New Roman"/>
      <w:kern w:val="0"/>
      <w:sz w:val="24"/>
      <w:szCs w:val="24"/>
    </w:rPr>
  </w:style>
  <w:style w:type="paragraph" w:styleId="30">
    <w:name w:val="Body Text 2"/>
    <w:basedOn w:val="1"/>
    <w:link w:val="141"/>
    <w:qFormat/>
    <w:uiPriority w:val="0"/>
    <w:pPr>
      <w:tabs>
        <w:tab w:val="left" w:pos="0"/>
      </w:tabs>
      <w:spacing w:line="400" w:lineRule="atLeast"/>
    </w:pPr>
    <w:rPr>
      <w:rFonts w:ascii="Arial" w:hAnsi="Arial" w:eastAsia="宋体" w:cs="Times New Roman"/>
      <w:color w:val="000000"/>
      <w:szCs w:val="24"/>
    </w:rPr>
  </w:style>
  <w:style w:type="paragraph" w:styleId="31">
    <w:name w:val="HTML Preformatted"/>
    <w:basedOn w:val="1"/>
    <w:link w:val="84"/>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eastAsia="宋体" w:cs="Arial"/>
      <w:szCs w:val="21"/>
    </w:rPr>
  </w:style>
  <w:style w:type="paragraph" w:styleId="32">
    <w:name w:val="Normal (Web)"/>
    <w:basedOn w:val="1"/>
    <w:link w:val="91"/>
    <w:qFormat/>
    <w:uiPriority w:val="0"/>
    <w:pPr>
      <w:widowControl/>
      <w:spacing w:before="100" w:beforeAutospacing="1" w:after="100" w:afterAutospacing="1"/>
      <w:jc w:val="left"/>
    </w:pPr>
    <w:rPr>
      <w:rFonts w:ascii="宋体" w:hAnsi="宋体"/>
      <w:sz w:val="15"/>
      <w:szCs w:val="15"/>
    </w:rPr>
  </w:style>
  <w:style w:type="paragraph" w:styleId="33">
    <w:name w:val="Title"/>
    <w:basedOn w:val="1"/>
    <w:next w:val="1"/>
    <w:link w:val="56"/>
    <w:qFormat/>
    <w:uiPriority w:val="10"/>
    <w:pPr>
      <w:spacing w:before="120" w:after="60" w:line="300" w:lineRule="auto"/>
      <w:jc w:val="left"/>
      <w:outlineLvl w:val="0"/>
    </w:pPr>
    <w:rPr>
      <w:rFonts w:ascii="等线 Light" w:hAnsi="等线 Light" w:eastAsia="仿宋"/>
      <w:b/>
      <w:bCs/>
      <w:sz w:val="28"/>
      <w:szCs w:val="32"/>
    </w:rPr>
  </w:style>
  <w:style w:type="paragraph" w:styleId="34">
    <w:name w:val="annotation subject"/>
    <w:basedOn w:val="17"/>
    <w:next w:val="17"/>
    <w:link w:val="108"/>
    <w:qFormat/>
    <w:uiPriority w:val="99"/>
    <w:pPr>
      <w:autoSpaceDE w:val="0"/>
      <w:autoSpaceDN w:val="0"/>
      <w:adjustRightInd w:val="0"/>
    </w:pPr>
    <w:rPr>
      <w:rFonts w:ascii="宋体" w:hAnsi="Times New Roman" w:eastAsia="宋体" w:cs="Times New Roman"/>
      <w:b/>
      <w:bCs/>
      <w:kern w:val="0"/>
      <w:sz w:val="24"/>
      <w:szCs w:val="24"/>
    </w:rPr>
  </w:style>
  <w:style w:type="paragraph" w:styleId="35">
    <w:name w:val="Body Text First Indent"/>
    <w:basedOn w:val="2"/>
    <w:link w:val="199"/>
    <w:semiHidden/>
    <w:unhideWhenUsed/>
    <w:qFormat/>
    <w:uiPriority w:val="99"/>
    <w:pPr>
      <w:autoSpaceDE/>
      <w:autoSpaceDN/>
      <w:adjustRightInd/>
      <w:spacing w:after="120"/>
      <w:ind w:right="0" w:firstLine="420" w:firstLineChars="100"/>
      <w:jc w:val="both"/>
    </w:pPr>
    <w:rPr>
      <w:rFonts w:asciiTheme="minorHAnsi" w:eastAsiaTheme="minorEastAsia"/>
      <w:b w:val="0"/>
      <w:bCs w:val="0"/>
      <w:sz w:val="21"/>
      <w:szCs w:val="22"/>
      <w:lang w:val="en-US"/>
    </w:rPr>
  </w:style>
  <w:style w:type="table" w:styleId="37">
    <w:name w:val="Table Grid"/>
    <w:basedOn w:val="36"/>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9">
    <w:name w:val="Strong"/>
    <w:qFormat/>
    <w:uiPriority w:val="0"/>
    <w:rPr>
      <w:b/>
      <w:bCs/>
    </w:rPr>
  </w:style>
  <w:style w:type="character" w:styleId="40">
    <w:name w:val="FollowedHyperlink"/>
    <w:unhideWhenUsed/>
    <w:qFormat/>
    <w:uiPriority w:val="99"/>
    <w:rPr>
      <w:color w:val="954F72"/>
      <w:u w:val="single"/>
    </w:rPr>
  </w:style>
  <w:style w:type="character" w:styleId="41">
    <w:name w:val="Emphasis"/>
    <w:qFormat/>
    <w:uiPriority w:val="0"/>
    <w:rPr>
      <w:i/>
      <w:iCs/>
    </w:rPr>
  </w:style>
  <w:style w:type="character" w:styleId="42">
    <w:name w:val="Hyperlink"/>
    <w:qFormat/>
    <w:uiPriority w:val="99"/>
    <w:rPr>
      <w:rFonts w:hint="default" w:ascii="Arial" w:hAnsi="Arial" w:cs="Arial"/>
      <w:color w:val="000000"/>
      <w:sz w:val="20"/>
      <w:szCs w:val="20"/>
      <w:u w:val="none"/>
    </w:rPr>
  </w:style>
  <w:style w:type="character" w:styleId="43">
    <w:name w:val="annotation reference"/>
    <w:qFormat/>
    <w:uiPriority w:val="99"/>
    <w:rPr>
      <w:sz w:val="21"/>
      <w:szCs w:val="21"/>
    </w:rPr>
  </w:style>
  <w:style w:type="paragraph" w:customStyle="1" w:styleId="44">
    <w:name w:val="首行缩进"/>
    <w:basedOn w:val="1"/>
    <w:qFormat/>
    <w:uiPriority w:val="0"/>
    <w:pPr>
      <w:ind w:firstLine="480" w:firstLineChars="200"/>
    </w:pPr>
    <w:rPr>
      <w:lang w:val="zh-CN"/>
    </w:rPr>
  </w:style>
  <w:style w:type="character" w:customStyle="1" w:styleId="45">
    <w:name w:val="标题 1 字符"/>
    <w:basedOn w:val="38"/>
    <w:qFormat/>
    <w:uiPriority w:val="0"/>
    <w:rPr>
      <w:b/>
      <w:bCs/>
      <w:kern w:val="44"/>
      <w:sz w:val="44"/>
      <w:szCs w:val="44"/>
    </w:rPr>
  </w:style>
  <w:style w:type="character" w:customStyle="1" w:styleId="46">
    <w:name w:val="标题 2 Char"/>
    <w:basedOn w:val="38"/>
    <w:link w:val="4"/>
    <w:qFormat/>
    <w:uiPriority w:val="0"/>
    <w:rPr>
      <w:rFonts w:ascii="宋体" w:hAnsi="Calibri" w:eastAsia="宋体" w:cs="Times New Roman"/>
      <w:kern w:val="0"/>
      <w:sz w:val="24"/>
      <w:szCs w:val="24"/>
    </w:rPr>
  </w:style>
  <w:style w:type="character" w:customStyle="1" w:styleId="47">
    <w:name w:val="标题 3 字符"/>
    <w:basedOn w:val="38"/>
    <w:qFormat/>
    <w:uiPriority w:val="0"/>
    <w:rPr>
      <w:b/>
      <w:bCs/>
      <w:sz w:val="32"/>
      <w:szCs w:val="32"/>
    </w:rPr>
  </w:style>
  <w:style w:type="character" w:customStyle="1" w:styleId="48">
    <w:name w:val="标题 4 Char1"/>
    <w:basedOn w:val="38"/>
    <w:link w:val="6"/>
    <w:qFormat/>
    <w:uiPriority w:val="9"/>
    <w:rPr>
      <w:rFonts w:ascii="Arial" w:hAnsi="Arial" w:eastAsia="黑体" w:cs="Times New Roman"/>
      <w:b/>
      <w:bCs/>
      <w:kern w:val="0"/>
      <w:sz w:val="28"/>
      <w:szCs w:val="28"/>
    </w:rPr>
  </w:style>
  <w:style w:type="character" w:customStyle="1" w:styleId="49">
    <w:name w:val="标题 5 字符"/>
    <w:basedOn w:val="38"/>
    <w:qFormat/>
    <w:uiPriority w:val="9"/>
    <w:rPr>
      <w:b/>
      <w:bCs/>
      <w:sz w:val="28"/>
      <w:szCs w:val="28"/>
    </w:rPr>
  </w:style>
  <w:style w:type="character" w:customStyle="1" w:styleId="50">
    <w:name w:val="标题 6 字符"/>
    <w:basedOn w:val="38"/>
    <w:qFormat/>
    <w:uiPriority w:val="0"/>
    <w:rPr>
      <w:rFonts w:asciiTheme="majorHAnsi" w:hAnsiTheme="majorHAnsi" w:eastAsiaTheme="majorEastAsia" w:cstheme="majorBidi"/>
      <w:b/>
      <w:bCs/>
      <w:sz w:val="24"/>
      <w:szCs w:val="24"/>
    </w:rPr>
  </w:style>
  <w:style w:type="character" w:customStyle="1" w:styleId="51">
    <w:name w:val="标题 7 Char"/>
    <w:basedOn w:val="38"/>
    <w:link w:val="10"/>
    <w:qFormat/>
    <w:uiPriority w:val="9"/>
    <w:rPr>
      <w:rFonts w:ascii="Times New Roman" w:hAnsi="Calibri" w:eastAsia="黑体" w:cs="Times New Roman"/>
      <w:b/>
      <w:bCs/>
      <w:kern w:val="0"/>
      <w:sz w:val="28"/>
      <w:szCs w:val="24"/>
    </w:rPr>
  </w:style>
  <w:style w:type="character" w:customStyle="1" w:styleId="52">
    <w:name w:val="标题 8 Char"/>
    <w:basedOn w:val="38"/>
    <w:link w:val="11"/>
    <w:qFormat/>
    <w:uiPriority w:val="9"/>
    <w:rPr>
      <w:rFonts w:ascii="Times New Roman" w:hAnsi="Calibri" w:eastAsia="黑体" w:cs="Times New Roman"/>
      <w:b/>
      <w:kern w:val="0"/>
      <w:sz w:val="28"/>
      <w:szCs w:val="24"/>
    </w:rPr>
  </w:style>
  <w:style w:type="character" w:customStyle="1" w:styleId="53">
    <w:name w:val="标题 9 Char"/>
    <w:basedOn w:val="38"/>
    <w:link w:val="12"/>
    <w:qFormat/>
    <w:uiPriority w:val="9"/>
    <w:rPr>
      <w:rFonts w:ascii="Times New Roman" w:hAnsi="Calibri" w:eastAsia="黑体" w:cs="Times New Roman"/>
      <w:b/>
      <w:kern w:val="0"/>
      <w:sz w:val="28"/>
      <w:szCs w:val="24"/>
    </w:rPr>
  </w:style>
  <w:style w:type="character" w:customStyle="1" w:styleId="54">
    <w:name w:val="正文文本缩进 字符"/>
    <w:qFormat/>
    <w:uiPriority w:val="0"/>
    <w:rPr>
      <w:rFonts w:ascii="Times New Roman" w:hAnsi="Times New Roman" w:eastAsia="宋体" w:cs="Times New Roman"/>
      <w:szCs w:val="20"/>
    </w:rPr>
  </w:style>
  <w:style w:type="character" w:customStyle="1" w:styleId="55">
    <w:name w:val="普通(网站) Char"/>
    <w:qFormat/>
    <w:locked/>
    <w:uiPriority w:val="0"/>
    <w:rPr>
      <w:rFonts w:ascii="宋体" w:hAnsi="宋体"/>
      <w:sz w:val="15"/>
      <w:szCs w:val="15"/>
    </w:rPr>
  </w:style>
  <w:style w:type="character" w:customStyle="1" w:styleId="56">
    <w:name w:val="标题 Char"/>
    <w:link w:val="33"/>
    <w:qFormat/>
    <w:uiPriority w:val="10"/>
    <w:rPr>
      <w:rFonts w:ascii="等线 Light" w:hAnsi="等线 Light" w:eastAsia="仿宋"/>
      <w:b/>
      <w:bCs/>
      <w:sz w:val="28"/>
      <w:szCs w:val="32"/>
    </w:rPr>
  </w:style>
  <w:style w:type="character" w:customStyle="1" w:styleId="57">
    <w:name w:val="日期 Char"/>
    <w:semiHidden/>
    <w:qFormat/>
    <w:uiPriority w:val="99"/>
    <w:rPr>
      <w:kern w:val="2"/>
      <w:sz w:val="21"/>
    </w:rPr>
  </w:style>
  <w:style w:type="character" w:customStyle="1" w:styleId="58">
    <w:name w:val="文档结构图 字符1"/>
    <w:semiHidden/>
    <w:qFormat/>
    <w:uiPriority w:val="99"/>
    <w:rPr>
      <w:rFonts w:ascii="Microsoft YaHei UI" w:hAnsi="Calibri" w:eastAsia="Microsoft YaHei UI" w:cs="Times New Roman"/>
      <w:kern w:val="0"/>
      <w:sz w:val="18"/>
      <w:szCs w:val="18"/>
    </w:rPr>
  </w:style>
  <w:style w:type="character" w:customStyle="1" w:styleId="59">
    <w:name w:val="批注文字 Char"/>
    <w:semiHidden/>
    <w:qFormat/>
    <w:uiPriority w:val="99"/>
    <w:rPr>
      <w:kern w:val="2"/>
      <w:sz w:val="21"/>
    </w:rPr>
  </w:style>
  <w:style w:type="character" w:customStyle="1" w:styleId="60">
    <w:name w:val="正文缩进2格 Char"/>
    <w:link w:val="61"/>
    <w:qFormat/>
    <w:uiPriority w:val="0"/>
    <w:rPr>
      <w:rFonts w:ascii="仿宋_GB2312" w:hAnsi="宋体" w:eastAsia="仿宋_GB2312"/>
      <w:sz w:val="31"/>
      <w:szCs w:val="28"/>
    </w:rPr>
  </w:style>
  <w:style w:type="paragraph" w:customStyle="1" w:styleId="61">
    <w:name w:val="正文缩进2格"/>
    <w:basedOn w:val="1"/>
    <w:link w:val="60"/>
    <w:qFormat/>
    <w:uiPriority w:val="0"/>
    <w:pPr>
      <w:spacing w:line="600" w:lineRule="exact"/>
      <w:ind w:firstLine="639" w:firstLineChars="206"/>
    </w:pPr>
    <w:rPr>
      <w:rFonts w:ascii="仿宋_GB2312" w:hAnsi="宋体" w:eastAsia="仿宋_GB2312"/>
      <w:sz w:val="31"/>
      <w:szCs w:val="28"/>
    </w:rPr>
  </w:style>
  <w:style w:type="character" w:customStyle="1" w:styleId="62">
    <w:name w:val="批注文字 字符"/>
    <w:semiHidden/>
    <w:qFormat/>
    <w:uiPriority w:val="99"/>
    <w:rPr>
      <w:rFonts w:ascii="Times New Roman" w:hAnsi="Times New Roman"/>
      <w:kern w:val="2"/>
      <w:sz w:val="24"/>
      <w:szCs w:val="24"/>
    </w:rPr>
  </w:style>
  <w:style w:type="character" w:customStyle="1" w:styleId="63">
    <w:name w:val="正文文本缩进 Char"/>
    <w:qFormat/>
    <w:uiPriority w:val="0"/>
    <w:rPr>
      <w:rFonts w:ascii="Times New Roman" w:hAnsi="Times New Roman" w:eastAsia="宋体" w:cs="Times New Roman"/>
      <w:szCs w:val="20"/>
      <w:lang w:val="en-US" w:eastAsia="zh-CN"/>
    </w:rPr>
  </w:style>
  <w:style w:type="character" w:customStyle="1" w:styleId="64">
    <w:name w:val="批注框文本 字符1"/>
    <w:semiHidden/>
    <w:qFormat/>
    <w:uiPriority w:val="99"/>
    <w:rPr>
      <w:rFonts w:ascii="宋体" w:hAnsi="Calibri" w:eastAsia="宋体" w:cs="Times New Roman"/>
      <w:kern w:val="0"/>
      <w:sz w:val="18"/>
      <w:szCs w:val="18"/>
    </w:rPr>
  </w:style>
  <w:style w:type="character" w:customStyle="1" w:styleId="65">
    <w:name w:val="List Paragraph Char"/>
    <w:link w:val="66"/>
    <w:qFormat/>
    <w:uiPriority w:val="34"/>
    <w:rPr>
      <w:rFonts w:ascii="Calibri" w:hAnsi="Calibri"/>
    </w:rPr>
  </w:style>
  <w:style w:type="paragraph" w:customStyle="1" w:styleId="66">
    <w:name w:val="列出段落1"/>
    <w:basedOn w:val="1"/>
    <w:link w:val="65"/>
    <w:qFormat/>
    <w:uiPriority w:val="34"/>
    <w:pPr>
      <w:ind w:firstLine="420" w:firstLineChars="200"/>
    </w:pPr>
    <w:rPr>
      <w:rFonts w:ascii="Calibri" w:hAnsi="Calibri"/>
    </w:rPr>
  </w:style>
  <w:style w:type="character" w:customStyle="1" w:styleId="67">
    <w:name w:val="标书正文 字符"/>
    <w:link w:val="68"/>
    <w:qFormat/>
    <w:uiPriority w:val="0"/>
    <w:rPr>
      <w:rFonts w:ascii="Calibri" w:hAnsi="Calibri" w:eastAsia="仿宋"/>
      <w:sz w:val="24"/>
      <w:szCs w:val="21"/>
    </w:rPr>
  </w:style>
  <w:style w:type="paragraph" w:customStyle="1" w:styleId="68">
    <w:name w:val="标书正文"/>
    <w:basedOn w:val="1"/>
    <w:link w:val="67"/>
    <w:qFormat/>
    <w:uiPriority w:val="0"/>
    <w:pPr>
      <w:adjustRightInd w:val="0"/>
      <w:snapToGrid w:val="0"/>
      <w:spacing w:beforeLines="50" w:line="360" w:lineRule="auto"/>
      <w:ind w:firstLine="200" w:firstLineChars="200"/>
    </w:pPr>
    <w:rPr>
      <w:rFonts w:ascii="Calibri" w:hAnsi="Calibri" w:eastAsia="仿宋"/>
      <w:sz w:val="24"/>
      <w:szCs w:val="21"/>
    </w:rPr>
  </w:style>
  <w:style w:type="character" w:customStyle="1" w:styleId="69">
    <w:name w:val="正文文本 字符"/>
    <w:semiHidden/>
    <w:qFormat/>
    <w:uiPriority w:val="99"/>
    <w:rPr>
      <w:rFonts w:ascii="Times New Roman" w:hAnsi="Times New Roman"/>
      <w:kern w:val="2"/>
      <w:sz w:val="24"/>
      <w:szCs w:val="24"/>
    </w:rPr>
  </w:style>
  <w:style w:type="character" w:customStyle="1" w:styleId="70">
    <w:name w:val="页脚 Char"/>
    <w:qFormat/>
    <w:uiPriority w:val="0"/>
    <w:rPr>
      <w:kern w:val="2"/>
      <w:sz w:val="18"/>
      <w:szCs w:val="18"/>
    </w:rPr>
  </w:style>
  <w:style w:type="character" w:customStyle="1" w:styleId="71">
    <w:name w:val="neir1"/>
    <w:qFormat/>
    <w:uiPriority w:val="0"/>
    <w:rPr>
      <w:rFonts w:hint="default" w:ascii="ˎ̥" w:hAnsi="ˎ̥"/>
      <w:color w:val="333333"/>
      <w:sz w:val="21"/>
      <w:szCs w:val="21"/>
      <w:u w:val="none"/>
    </w:rPr>
  </w:style>
  <w:style w:type="character" w:customStyle="1" w:styleId="72">
    <w:name w:val="批注框文本 Char1"/>
    <w:link w:val="24"/>
    <w:qFormat/>
    <w:uiPriority w:val="0"/>
    <w:rPr>
      <w:rFonts w:ascii="Times New Roman" w:hAnsi="Times New Roman" w:eastAsia="宋体" w:cs="Times New Roman"/>
      <w:sz w:val="18"/>
      <w:szCs w:val="18"/>
    </w:rPr>
  </w:style>
  <w:style w:type="character" w:customStyle="1" w:styleId="73">
    <w:name w:val="正文文本 3 字符1"/>
    <w:semiHidden/>
    <w:qFormat/>
    <w:uiPriority w:val="99"/>
    <w:rPr>
      <w:rFonts w:ascii="宋体" w:hAnsi="Calibri" w:eastAsia="宋体" w:cs="Times New Roman"/>
      <w:kern w:val="0"/>
      <w:sz w:val="16"/>
      <w:szCs w:val="16"/>
    </w:rPr>
  </w:style>
  <w:style w:type="character" w:customStyle="1" w:styleId="74">
    <w:name w:val="正文文本 字符3"/>
    <w:semiHidden/>
    <w:qFormat/>
    <w:uiPriority w:val="99"/>
    <w:rPr>
      <w:rFonts w:ascii="宋体" w:hAnsi="Calibri" w:eastAsia="宋体" w:cs="Times New Roman"/>
      <w:kern w:val="0"/>
      <w:sz w:val="24"/>
      <w:szCs w:val="24"/>
    </w:rPr>
  </w:style>
  <w:style w:type="character" w:customStyle="1" w:styleId="75">
    <w:name w:val="日期 字符1"/>
    <w:semiHidden/>
    <w:qFormat/>
    <w:uiPriority w:val="99"/>
    <w:rPr>
      <w:rFonts w:ascii="宋体" w:hAnsi="Calibri" w:eastAsia="宋体" w:cs="Times New Roman"/>
      <w:kern w:val="0"/>
      <w:sz w:val="24"/>
      <w:szCs w:val="24"/>
    </w:rPr>
  </w:style>
  <w:style w:type="character" w:customStyle="1" w:styleId="76">
    <w:name w:val="页脚 Char2"/>
    <w:link w:val="25"/>
    <w:qFormat/>
    <w:uiPriority w:val="99"/>
    <w:rPr>
      <w:rFonts w:ascii="宋体" w:eastAsia="宋体"/>
      <w:sz w:val="18"/>
      <w:szCs w:val="18"/>
    </w:rPr>
  </w:style>
  <w:style w:type="character" w:customStyle="1" w:styleId="77">
    <w:name w:val="吉奥正文 Char"/>
    <w:link w:val="78"/>
    <w:qFormat/>
    <w:locked/>
    <w:uiPriority w:val="0"/>
    <w:rPr>
      <w:rFonts w:eastAsia="仿宋_GB2312"/>
      <w:sz w:val="28"/>
    </w:rPr>
  </w:style>
  <w:style w:type="paragraph" w:customStyle="1" w:styleId="78">
    <w:name w:val="吉奥正文"/>
    <w:basedOn w:val="1"/>
    <w:link w:val="77"/>
    <w:qFormat/>
    <w:uiPriority w:val="0"/>
    <w:pPr>
      <w:adjustRightInd w:val="0"/>
      <w:snapToGrid w:val="0"/>
      <w:spacing w:before="120" w:line="360" w:lineRule="auto"/>
      <w:ind w:firstLine="200" w:firstLineChars="200"/>
      <w:textAlignment w:val="baseline"/>
    </w:pPr>
    <w:rPr>
      <w:rFonts w:eastAsia="仿宋_GB2312"/>
      <w:sz w:val="28"/>
    </w:rPr>
  </w:style>
  <w:style w:type="character" w:customStyle="1" w:styleId="79">
    <w:name w:val="页脚 Char1"/>
    <w:qFormat/>
    <w:uiPriority w:val="99"/>
    <w:rPr>
      <w:rFonts w:ascii="宋体" w:hAnsi="Times New Roman" w:eastAsia="宋体" w:cs="Times New Roman"/>
      <w:kern w:val="0"/>
      <w:sz w:val="18"/>
      <w:szCs w:val="18"/>
    </w:rPr>
  </w:style>
  <w:style w:type="character" w:customStyle="1" w:styleId="80">
    <w:name w:val="标题 字符"/>
    <w:qFormat/>
    <w:uiPriority w:val="10"/>
    <w:rPr>
      <w:rFonts w:ascii="Cambria" w:hAnsi="Cambria" w:eastAsia="宋体" w:cs="Times New Roman"/>
      <w:b/>
      <w:bCs/>
      <w:kern w:val="0"/>
      <w:sz w:val="32"/>
      <w:szCs w:val="32"/>
      <w:lang w:val="en-US" w:eastAsia="zh-CN"/>
    </w:rPr>
  </w:style>
  <w:style w:type="character" w:customStyle="1" w:styleId="81">
    <w:name w:val="题注 Char"/>
    <w:link w:val="14"/>
    <w:qFormat/>
    <w:uiPriority w:val="0"/>
    <w:rPr>
      <w:rFonts w:ascii="Arial" w:hAnsi="Arial" w:eastAsia="黑体" w:cs="Arial"/>
    </w:rPr>
  </w:style>
  <w:style w:type="character" w:customStyle="1" w:styleId="82">
    <w:name w:val="批注文字 字符2"/>
    <w:qFormat/>
    <w:uiPriority w:val="99"/>
    <w:rPr>
      <w:rFonts w:ascii="宋体" w:hAnsi="Times New Roman" w:eastAsia="宋体" w:cs="Times New Roman"/>
      <w:kern w:val="0"/>
      <w:sz w:val="24"/>
      <w:szCs w:val="24"/>
    </w:rPr>
  </w:style>
  <w:style w:type="character" w:customStyle="1" w:styleId="83">
    <w:name w:val="批注主题 字符1"/>
    <w:semiHidden/>
    <w:qFormat/>
    <w:uiPriority w:val="99"/>
    <w:rPr>
      <w:rFonts w:ascii="宋体" w:hAnsi="Calibri" w:eastAsia="宋体" w:cs="Times New Roman"/>
      <w:b/>
      <w:bCs/>
      <w:kern w:val="0"/>
      <w:sz w:val="24"/>
      <w:szCs w:val="24"/>
    </w:rPr>
  </w:style>
  <w:style w:type="character" w:customStyle="1" w:styleId="84">
    <w:name w:val="HTML 预设格式 Char"/>
    <w:link w:val="31"/>
    <w:qFormat/>
    <w:uiPriority w:val="99"/>
    <w:rPr>
      <w:rFonts w:ascii="Arial" w:hAnsi="Arial" w:eastAsia="宋体" w:cs="Arial"/>
      <w:szCs w:val="21"/>
    </w:rPr>
  </w:style>
  <w:style w:type="character" w:customStyle="1" w:styleId="85">
    <w:name w:val="标题 3.1 Char"/>
    <w:link w:val="86"/>
    <w:qFormat/>
    <w:uiPriority w:val="0"/>
    <w:rPr>
      <w:rFonts w:ascii="宋体" w:hAnsi="宋体"/>
      <w:b/>
      <w:bCs/>
      <w:sz w:val="32"/>
      <w:szCs w:val="32"/>
    </w:rPr>
  </w:style>
  <w:style w:type="paragraph" w:customStyle="1" w:styleId="86">
    <w:name w:val="标题 3.1"/>
    <w:basedOn w:val="5"/>
    <w:link w:val="85"/>
    <w:qFormat/>
    <w:uiPriority w:val="0"/>
    <w:pPr>
      <w:keepNext/>
      <w:keepLines/>
      <w:pageBreakBefore/>
      <w:tabs>
        <w:tab w:val="left" w:pos="1440"/>
        <w:tab w:val="left" w:pos="1620"/>
      </w:tabs>
      <w:autoSpaceDE/>
      <w:autoSpaceDN/>
      <w:adjustRightInd/>
      <w:spacing w:before="260" w:after="260" w:line="600" w:lineRule="exact"/>
      <w:jc w:val="both"/>
    </w:pPr>
    <w:rPr>
      <w:rFonts w:hAnsi="宋体" w:eastAsiaTheme="minorEastAsia" w:cstheme="minorBidi"/>
      <w:b/>
      <w:bCs/>
      <w:kern w:val="2"/>
      <w:sz w:val="32"/>
      <w:szCs w:val="32"/>
    </w:rPr>
  </w:style>
  <w:style w:type="character" w:customStyle="1" w:styleId="87">
    <w:name w:val="HTML 预设格式 Char1"/>
    <w:semiHidden/>
    <w:qFormat/>
    <w:uiPriority w:val="99"/>
    <w:rPr>
      <w:rFonts w:ascii="Courier New" w:hAnsi="Courier New" w:eastAsia="宋体" w:cs="Courier New"/>
      <w:kern w:val="0"/>
      <w:sz w:val="20"/>
      <w:szCs w:val="20"/>
    </w:rPr>
  </w:style>
  <w:style w:type="character" w:customStyle="1" w:styleId="88">
    <w:name w:val="批注文字 字符1"/>
    <w:qFormat/>
    <w:uiPriority w:val="0"/>
    <w:rPr>
      <w:rFonts w:eastAsia="宋体"/>
      <w:kern w:val="2"/>
      <w:sz w:val="24"/>
      <w:szCs w:val="24"/>
      <w:lang w:val="en-US" w:eastAsia="zh-CN" w:bidi="ar-SA"/>
    </w:rPr>
  </w:style>
  <w:style w:type="character" w:customStyle="1" w:styleId="89">
    <w:name w:val="正文文本缩进 字符2"/>
    <w:semiHidden/>
    <w:qFormat/>
    <w:uiPriority w:val="99"/>
    <w:rPr>
      <w:rFonts w:ascii="宋体" w:hAnsi="Calibri" w:eastAsia="宋体" w:cs="Times New Roman"/>
      <w:kern w:val="0"/>
      <w:sz w:val="24"/>
      <w:szCs w:val="24"/>
    </w:rPr>
  </w:style>
  <w:style w:type="character" w:customStyle="1" w:styleId="90">
    <w:name w:val="正文文本缩进 Char1"/>
    <w:link w:val="19"/>
    <w:qFormat/>
    <w:uiPriority w:val="0"/>
    <w:rPr>
      <w:rFonts w:ascii="Times New Roman" w:hAnsi="Times New Roman" w:eastAsia="宋体" w:cs="Times New Roman"/>
      <w:szCs w:val="20"/>
    </w:rPr>
  </w:style>
  <w:style w:type="character" w:customStyle="1" w:styleId="91">
    <w:name w:val="普通(网站) Char1"/>
    <w:link w:val="32"/>
    <w:qFormat/>
    <w:locked/>
    <w:uiPriority w:val="0"/>
    <w:rPr>
      <w:rFonts w:ascii="宋体" w:hAnsi="宋体"/>
      <w:sz w:val="15"/>
      <w:szCs w:val="15"/>
    </w:rPr>
  </w:style>
  <w:style w:type="character" w:customStyle="1" w:styleId="92">
    <w:name w:val="模板正文 Char"/>
    <w:link w:val="9"/>
    <w:qFormat/>
    <w:uiPriority w:val="0"/>
    <w:rPr>
      <w:rFonts w:ascii="宋体" w:eastAsia="仿宋"/>
      <w:sz w:val="24"/>
      <w:szCs w:val="21"/>
    </w:rPr>
  </w:style>
  <w:style w:type="character" w:customStyle="1" w:styleId="93">
    <w:name w:val="批注主题 Char"/>
    <w:semiHidden/>
    <w:qFormat/>
    <w:uiPriority w:val="99"/>
    <w:rPr>
      <w:b/>
      <w:bCs/>
      <w:kern w:val="2"/>
      <w:sz w:val="21"/>
    </w:rPr>
  </w:style>
  <w:style w:type="character" w:customStyle="1" w:styleId="94">
    <w:name w:val="正文文本 Char1"/>
    <w:qFormat/>
    <w:uiPriority w:val="0"/>
    <w:rPr>
      <w:rFonts w:ascii="宋体" w:hAnsi="Times New Roman" w:eastAsia="宋体" w:cs="Times New Roman"/>
      <w:kern w:val="0"/>
      <w:sz w:val="24"/>
      <w:szCs w:val="24"/>
    </w:rPr>
  </w:style>
  <w:style w:type="character" w:customStyle="1" w:styleId="95">
    <w:name w:val="正文文本 字符1"/>
    <w:qFormat/>
    <w:uiPriority w:val="99"/>
    <w:rPr>
      <w:rFonts w:ascii="宋体" w:eastAsia="宋体"/>
      <w:b/>
      <w:bCs/>
      <w:sz w:val="84"/>
      <w:szCs w:val="84"/>
      <w:lang w:val="zh-CN"/>
    </w:rPr>
  </w:style>
  <w:style w:type="character" w:customStyle="1" w:styleId="96">
    <w:name w:val="标题 1 Char"/>
    <w:qFormat/>
    <w:uiPriority w:val="9"/>
    <w:rPr>
      <w:rFonts w:ascii="宋体" w:hAnsi="Times New Roman" w:eastAsia="宋体" w:cs="Times New Roman"/>
      <w:kern w:val="0"/>
      <w:sz w:val="24"/>
      <w:szCs w:val="24"/>
    </w:rPr>
  </w:style>
  <w:style w:type="character" w:customStyle="1" w:styleId="97">
    <w:name w:val="正文文本 Char2"/>
    <w:qFormat/>
    <w:uiPriority w:val="99"/>
    <w:rPr>
      <w:rFonts w:ascii="宋体" w:eastAsia="宋体"/>
      <w:b/>
      <w:bCs/>
      <w:sz w:val="84"/>
      <w:szCs w:val="84"/>
      <w:lang w:val="zh-CN"/>
    </w:rPr>
  </w:style>
  <w:style w:type="character" w:customStyle="1" w:styleId="98">
    <w:name w:val="纯文本 Char2"/>
    <w:link w:val="21"/>
    <w:qFormat/>
    <w:uiPriority w:val="0"/>
    <w:rPr>
      <w:rFonts w:ascii="宋体" w:hAnsi="Courier New" w:eastAsia="宋体"/>
    </w:rPr>
  </w:style>
  <w:style w:type="character" w:customStyle="1" w:styleId="99">
    <w:name w:val="正文文本缩进 2 Char"/>
    <w:link w:val="23"/>
    <w:qFormat/>
    <w:uiPriority w:val="0"/>
    <w:rPr>
      <w:rFonts w:ascii="宋体" w:hAnsi="Times New Roman" w:eastAsia="宋体" w:cs="Times New Roman"/>
      <w:szCs w:val="20"/>
    </w:rPr>
  </w:style>
  <w:style w:type="character" w:customStyle="1" w:styleId="100">
    <w:name w:val="HTML Markup"/>
    <w:qFormat/>
    <w:uiPriority w:val="0"/>
    <w:rPr>
      <w:vanish/>
      <w:color w:val="FF0000"/>
    </w:rPr>
  </w:style>
  <w:style w:type="character" w:customStyle="1" w:styleId="101">
    <w:name w:val="页眉 Char1"/>
    <w:qFormat/>
    <w:uiPriority w:val="0"/>
    <w:rPr>
      <w:rFonts w:ascii="宋体" w:hAnsi="Times New Roman" w:eastAsia="宋体" w:cs="Times New Roman"/>
      <w:kern w:val="0"/>
      <w:sz w:val="18"/>
      <w:szCs w:val="18"/>
    </w:rPr>
  </w:style>
  <w:style w:type="character" w:customStyle="1" w:styleId="102">
    <w:name w:val="font11"/>
    <w:qFormat/>
    <w:uiPriority w:val="0"/>
    <w:rPr>
      <w:rFonts w:hint="eastAsia" w:ascii="宋体" w:hAnsi="宋体" w:eastAsia="宋体" w:cs="宋体"/>
      <w:color w:val="FF0000"/>
      <w:sz w:val="22"/>
      <w:szCs w:val="22"/>
      <w:u w:val="none"/>
    </w:rPr>
  </w:style>
  <w:style w:type="character" w:customStyle="1" w:styleId="103">
    <w:name w:val="style61"/>
    <w:qFormat/>
    <w:uiPriority w:val="0"/>
    <w:rPr>
      <w:b/>
      <w:bCs/>
    </w:rPr>
  </w:style>
  <w:style w:type="character" w:customStyle="1" w:styleId="104">
    <w:name w:val="表头文字 Char"/>
    <w:link w:val="105"/>
    <w:qFormat/>
    <w:uiPriority w:val="0"/>
    <w:rPr>
      <w:rFonts w:eastAsia="仿宋_GB2312"/>
      <w:b/>
      <w:sz w:val="28"/>
      <w:szCs w:val="21"/>
    </w:rPr>
  </w:style>
  <w:style w:type="paragraph" w:customStyle="1" w:styleId="105">
    <w:name w:val="表头文字"/>
    <w:basedOn w:val="1"/>
    <w:link w:val="104"/>
    <w:qFormat/>
    <w:uiPriority w:val="0"/>
    <w:pPr>
      <w:adjustRightInd w:val="0"/>
      <w:snapToGrid w:val="0"/>
      <w:spacing w:before="120" w:line="360" w:lineRule="auto"/>
      <w:jc w:val="center"/>
      <w:textAlignment w:val="baseline"/>
    </w:pPr>
    <w:rPr>
      <w:rFonts w:eastAsia="仿宋_GB2312"/>
      <w:b/>
      <w:sz w:val="28"/>
      <w:szCs w:val="21"/>
    </w:rPr>
  </w:style>
  <w:style w:type="character" w:customStyle="1" w:styleId="106">
    <w:name w:val="日期 Char1"/>
    <w:link w:val="22"/>
    <w:qFormat/>
    <w:uiPriority w:val="99"/>
    <w:rPr>
      <w:rFonts w:ascii="宋体" w:hAnsi="Times New Roman" w:eastAsia="宋体" w:cs="Times New Roman"/>
      <w:b/>
      <w:bCs/>
      <w:szCs w:val="21"/>
      <w:lang w:val="zh-CN"/>
    </w:rPr>
  </w:style>
  <w:style w:type="character" w:customStyle="1" w:styleId="107">
    <w:name w:val="纯文本 Char1"/>
    <w:qFormat/>
    <w:uiPriority w:val="0"/>
    <w:rPr>
      <w:rFonts w:ascii="宋体" w:hAnsi="Courier New" w:eastAsia="宋体" w:cs="Courier New"/>
      <w:kern w:val="0"/>
      <w:szCs w:val="21"/>
    </w:rPr>
  </w:style>
  <w:style w:type="character" w:customStyle="1" w:styleId="108">
    <w:name w:val="批注主题 Char1"/>
    <w:link w:val="34"/>
    <w:qFormat/>
    <w:uiPriority w:val="99"/>
    <w:rPr>
      <w:rFonts w:ascii="宋体" w:hAnsi="Times New Roman" w:eastAsia="宋体" w:cs="Times New Roman"/>
      <w:b/>
      <w:bCs/>
      <w:kern w:val="0"/>
      <w:sz w:val="24"/>
      <w:szCs w:val="24"/>
    </w:rPr>
  </w:style>
  <w:style w:type="character" w:customStyle="1" w:styleId="109">
    <w:name w:val="纯文本 字符"/>
    <w:qFormat/>
    <w:uiPriority w:val="99"/>
    <w:rPr>
      <w:rFonts w:ascii="宋体" w:hAnsi="Courier New" w:eastAsia="宋体" w:cs="Times New Roman"/>
      <w:szCs w:val="20"/>
      <w:lang w:val="en-US" w:eastAsia="zh-CN"/>
    </w:rPr>
  </w:style>
  <w:style w:type="character" w:customStyle="1" w:styleId="110">
    <w:name w:val="font71"/>
    <w:qFormat/>
    <w:uiPriority w:val="0"/>
    <w:rPr>
      <w:rFonts w:hint="eastAsia" w:ascii="宋体" w:hAnsi="宋体" w:eastAsia="宋体" w:cs="宋体"/>
      <w:color w:val="FF0000"/>
      <w:sz w:val="18"/>
      <w:szCs w:val="18"/>
      <w:u w:val="none"/>
    </w:rPr>
  </w:style>
  <w:style w:type="character" w:customStyle="1" w:styleId="111">
    <w:name w:val="font21"/>
    <w:qFormat/>
    <w:uiPriority w:val="0"/>
    <w:rPr>
      <w:rFonts w:hint="eastAsia" w:ascii="宋体" w:hAnsi="宋体" w:eastAsia="宋体" w:cs="宋体"/>
      <w:b/>
      <w:color w:val="000000"/>
      <w:sz w:val="21"/>
      <w:szCs w:val="21"/>
      <w:u w:val="none"/>
    </w:rPr>
  </w:style>
  <w:style w:type="character" w:customStyle="1" w:styleId="112">
    <w:name w:val="纯文本 字符3"/>
    <w:semiHidden/>
    <w:qFormat/>
    <w:uiPriority w:val="99"/>
    <w:rPr>
      <w:rFonts w:ascii="等线" w:hAnsi="Courier New" w:cs="Courier New"/>
      <w:kern w:val="0"/>
      <w:sz w:val="24"/>
      <w:szCs w:val="24"/>
    </w:rPr>
  </w:style>
  <w:style w:type="character" w:customStyle="1" w:styleId="113">
    <w:name w:val="font31"/>
    <w:qFormat/>
    <w:uiPriority w:val="0"/>
    <w:rPr>
      <w:rFonts w:hint="eastAsia" w:ascii="宋体" w:hAnsi="宋体" w:eastAsia="宋体" w:cs="宋体"/>
      <w:color w:val="000000"/>
      <w:sz w:val="18"/>
      <w:szCs w:val="18"/>
      <w:u w:val="none"/>
    </w:rPr>
  </w:style>
  <w:style w:type="character" w:customStyle="1" w:styleId="114">
    <w:name w:val="文档结构图 Char"/>
    <w:link w:val="15"/>
    <w:semiHidden/>
    <w:qFormat/>
    <w:uiPriority w:val="99"/>
    <w:rPr>
      <w:rFonts w:ascii="宋体" w:hAnsi="Times New Roman" w:eastAsia="宋体" w:cs="Times New Roman"/>
      <w:kern w:val="0"/>
      <w:sz w:val="24"/>
      <w:szCs w:val="24"/>
      <w:shd w:val="clear" w:color="auto" w:fill="000080"/>
    </w:rPr>
  </w:style>
  <w:style w:type="character" w:customStyle="1" w:styleId="115">
    <w:name w:val="普通(网站) 字符1"/>
    <w:qFormat/>
    <w:locked/>
    <w:uiPriority w:val="0"/>
    <w:rPr>
      <w:rFonts w:ascii="宋体" w:hAnsi="宋体"/>
      <w:sz w:val="15"/>
      <w:szCs w:val="15"/>
    </w:rPr>
  </w:style>
  <w:style w:type="character" w:customStyle="1" w:styleId="116">
    <w:name w:val="正文文本 Char3"/>
    <w:link w:val="2"/>
    <w:qFormat/>
    <w:uiPriority w:val="99"/>
    <w:rPr>
      <w:rFonts w:ascii="宋体" w:eastAsia="宋体"/>
      <w:b/>
      <w:bCs/>
      <w:sz w:val="84"/>
      <w:szCs w:val="84"/>
      <w:lang w:val="zh-CN"/>
    </w:rPr>
  </w:style>
  <w:style w:type="character" w:customStyle="1" w:styleId="117">
    <w:name w:val="标题 5 Char"/>
    <w:semiHidden/>
    <w:qFormat/>
    <w:uiPriority w:val="9"/>
    <w:rPr>
      <w:b/>
      <w:bCs/>
      <w:kern w:val="2"/>
      <w:sz w:val="28"/>
      <w:szCs w:val="28"/>
    </w:rPr>
  </w:style>
  <w:style w:type="character" w:customStyle="1" w:styleId="118">
    <w:name w:val="页眉 Char2"/>
    <w:link w:val="26"/>
    <w:qFormat/>
    <w:uiPriority w:val="99"/>
    <w:rPr>
      <w:rFonts w:ascii="宋体" w:eastAsia="宋体"/>
      <w:sz w:val="18"/>
      <w:szCs w:val="18"/>
    </w:rPr>
  </w:style>
  <w:style w:type="character" w:customStyle="1" w:styleId="119">
    <w:name w:val="表格文字 Char"/>
    <w:link w:val="120"/>
    <w:qFormat/>
    <w:uiPriority w:val="0"/>
    <w:rPr>
      <w:rFonts w:eastAsia="仿宋_GB2312"/>
      <w:sz w:val="28"/>
      <w:szCs w:val="24"/>
    </w:rPr>
  </w:style>
  <w:style w:type="paragraph" w:customStyle="1" w:styleId="120">
    <w:name w:val="表格文字"/>
    <w:basedOn w:val="1"/>
    <w:link w:val="119"/>
    <w:qFormat/>
    <w:uiPriority w:val="0"/>
    <w:rPr>
      <w:rFonts w:eastAsia="仿宋_GB2312"/>
      <w:sz w:val="28"/>
      <w:szCs w:val="24"/>
    </w:rPr>
  </w:style>
  <w:style w:type="character" w:customStyle="1" w:styleId="121">
    <w:name w:val="标题 字符2"/>
    <w:qFormat/>
    <w:uiPriority w:val="10"/>
    <w:rPr>
      <w:rFonts w:ascii="等线 Light" w:hAnsi="等线 Light" w:eastAsia="等线 Light" w:cs="Times New Roman"/>
      <w:b/>
      <w:bCs/>
      <w:kern w:val="0"/>
      <w:sz w:val="32"/>
      <w:szCs w:val="32"/>
    </w:rPr>
  </w:style>
  <w:style w:type="character" w:customStyle="1" w:styleId="122">
    <w:name w:val="正文缩进2格 Char Char"/>
    <w:qFormat/>
    <w:uiPriority w:val="0"/>
    <w:rPr>
      <w:rFonts w:ascii="仿宋_GB2312" w:hAnsi="宋体" w:eastAsia="仿宋_GB2312"/>
      <w:kern w:val="2"/>
      <w:sz w:val="31"/>
      <w:szCs w:val="28"/>
      <w:lang w:val="en-US" w:eastAsia="zh-CN" w:bidi="ar-SA"/>
    </w:rPr>
  </w:style>
  <w:style w:type="character" w:customStyle="1" w:styleId="123">
    <w:name w:val="小 Char"/>
    <w:qFormat/>
    <w:uiPriority w:val="0"/>
    <w:rPr>
      <w:rFonts w:ascii="宋体" w:hAnsi="Courier New" w:eastAsia="宋体"/>
      <w:kern w:val="2"/>
      <w:sz w:val="21"/>
      <w:lang w:val="en-US" w:eastAsia="zh-CN" w:bidi="ar-SA"/>
    </w:rPr>
  </w:style>
  <w:style w:type="character" w:customStyle="1" w:styleId="124">
    <w:name w:val="themebody1"/>
    <w:qFormat/>
    <w:uiPriority w:val="0"/>
    <w:rPr>
      <w:color w:val="FFFFFF"/>
    </w:rPr>
  </w:style>
  <w:style w:type="character" w:customStyle="1" w:styleId="125">
    <w:name w:val="页脚 字符1"/>
    <w:semiHidden/>
    <w:qFormat/>
    <w:uiPriority w:val="99"/>
    <w:rPr>
      <w:rFonts w:ascii="宋体" w:hAnsi="Calibri" w:eastAsia="宋体" w:cs="Times New Roman"/>
      <w:kern w:val="0"/>
      <w:sz w:val="18"/>
      <w:szCs w:val="18"/>
    </w:rPr>
  </w:style>
  <w:style w:type="character" w:customStyle="1" w:styleId="126">
    <w:name w:val="列出段落 Char"/>
    <w:link w:val="127"/>
    <w:qFormat/>
    <w:uiPriority w:val="34"/>
    <w:rPr>
      <w:kern w:val="2"/>
      <w:sz w:val="21"/>
      <w:szCs w:val="22"/>
    </w:rPr>
  </w:style>
  <w:style w:type="paragraph" w:styleId="127">
    <w:name w:val="List Paragraph"/>
    <w:basedOn w:val="1"/>
    <w:link w:val="126"/>
    <w:qFormat/>
    <w:uiPriority w:val="34"/>
    <w:pPr>
      <w:ind w:firstLine="420" w:firstLineChars="200"/>
    </w:pPr>
  </w:style>
  <w:style w:type="character" w:customStyle="1" w:styleId="128">
    <w:name w:val="正文文本 Char"/>
    <w:qFormat/>
    <w:uiPriority w:val="99"/>
    <w:rPr>
      <w:rFonts w:ascii="宋体" w:eastAsia="宋体"/>
      <w:b/>
      <w:bCs/>
      <w:sz w:val="84"/>
      <w:szCs w:val="84"/>
      <w:lang w:val="zh-CN"/>
    </w:rPr>
  </w:style>
  <w:style w:type="character" w:customStyle="1" w:styleId="129">
    <w:name w:val="页眉 字符1"/>
    <w:semiHidden/>
    <w:qFormat/>
    <w:uiPriority w:val="99"/>
    <w:rPr>
      <w:rFonts w:ascii="宋体" w:hAnsi="Calibri" w:eastAsia="宋体" w:cs="Times New Roman"/>
      <w:kern w:val="0"/>
      <w:sz w:val="18"/>
      <w:szCs w:val="18"/>
    </w:rPr>
  </w:style>
  <w:style w:type="character" w:customStyle="1" w:styleId="130">
    <w:name w:val="标题 5 Char1"/>
    <w:link w:val="7"/>
    <w:qFormat/>
    <w:uiPriority w:val="9"/>
    <w:rPr>
      <w:rFonts w:ascii="宋体" w:hAnsi="Calibri" w:eastAsia="宋体" w:cs="Times New Roman"/>
      <w:b/>
      <w:bCs/>
      <w:kern w:val="0"/>
      <w:sz w:val="28"/>
      <w:szCs w:val="28"/>
    </w:rPr>
  </w:style>
  <w:style w:type="character" w:customStyle="1" w:styleId="131">
    <w:name w:val="keyfeatures1"/>
    <w:qFormat/>
    <w:uiPriority w:val="0"/>
    <w:rPr>
      <w:rFonts w:hint="default" w:ascii="Arial" w:hAnsi="Arial" w:cs="Arial"/>
      <w:color w:val="003366"/>
      <w:sz w:val="17"/>
      <w:szCs w:val="17"/>
      <w:u w:val="none"/>
    </w:rPr>
  </w:style>
  <w:style w:type="character" w:customStyle="1" w:styleId="132">
    <w:name w:val="题注 字符"/>
    <w:qFormat/>
    <w:uiPriority w:val="0"/>
    <w:rPr>
      <w:rFonts w:ascii="宋体" w:hAnsi="宋体" w:eastAsia="黑体" w:cs="Times New Roman"/>
      <w:b/>
      <w:szCs w:val="21"/>
    </w:rPr>
  </w:style>
  <w:style w:type="character" w:customStyle="1" w:styleId="133">
    <w:name w:val="标题 4 Char"/>
    <w:qFormat/>
    <w:uiPriority w:val="0"/>
    <w:rPr>
      <w:rFonts w:ascii="宋体" w:hAnsi="宋体" w:eastAsia="宋体"/>
      <w:b/>
      <w:kern w:val="2"/>
      <w:sz w:val="21"/>
      <w:szCs w:val="24"/>
      <w:lang w:val="en-US" w:eastAsia="zh-CN" w:bidi="ar-SA"/>
    </w:rPr>
  </w:style>
  <w:style w:type="character" w:customStyle="1" w:styleId="134">
    <w:name w:val="批注文字 字符3"/>
    <w:semiHidden/>
    <w:qFormat/>
    <w:uiPriority w:val="99"/>
    <w:rPr>
      <w:rFonts w:ascii="宋体" w:hAnsi="Calibri" w:eastAsia="宋体" w:cs="Times New Roman"/>
      <w:kern w:val="0"/>
      <w:sz w:val="24"/>
      <w:szCs w:val="24"/>
    </w:rPr>
  </w:style>
  <w:style w:type="character" w:customStyle="1" w:styleId="135">
    <w:name w:val="纯文本 字符1"/>
    <w:qFormat/>
    <w:uiPriority w:val="0"/>
    <w:rPr>
      <w:rFonts w:ascii="宋体" w:hAnsi="Courier New" w:eastAsia="宋体"/>
      <w:kern w:val="2"/>
      <w:sz w:val="21"/>
      <w:szCs w:val="24"/>
      <w:lang w:val="en-US" w:eastAsia="zh-CN" w:bidi="ar-SA"/>
    </w:rPr>
  </w:style>
  <w:style w:type="character" w:customStyle="1" w:styleId="136">
    <w:name w:val="列出段落 Char1"/>
    <w:qFormat/>
    <w:uiPriority w:val="34"/>
    <w:rPr>
      <w:rFonts w:ascii="宋体"/>
      <w:sz w:val="24"/>
      <w:szCs w:val="24"/>
    </w:rPr>
  </w:style>
  <w:style w:type="character" w:customStyle="1" w:styleId="137">
    <w:name w:val="彩色列表 - 着色 1 字符"/>
    <w:link w:val="138"/>
    <w:qFormat/>
    <w:uiPriority w:val="0"/>
    <w:rPr>
      <w:rFonts w:ascii="Calibri" w:hAnsi="Calibri"/>
    </w:rPr>
  </w:style>
  <w:style w:type="paragraph" w:customStyle="1" w:styleId="138">
    <w:name w:val="彩色列表 - 着色 11"/>
    <w:basedOn w:val="1"/>
    <w:link w:val="137"/>
    <w:qFormat/>
    <w:uiPriority w:val="0"/>
    <w:pPr>
      <w:ind w:firstLine="420" w:firstLineChars="200"/>
    </w:pPr>
    <w:rPr>
      <w:rFonts w:ascii="Calibri" w:hAnsi="Calibri"/>
    </w:rPr>
  </w:style>
  <w:style w:type="character" w:customStyle="1" w:styleId="139">
    <w:name w:val="纯文本 Char"/>
    <w:qFormat/>
    <w:uiPriority w:val="0"/>
    <w:rPr>
      <w:rFonts w:ascii="宋体" w:hAnsi="Courier New" w:eastAsia="宋体" w:cs="Times New Roman"/>
      <w:szCs w:val="20"/>
    </w:rPr>
  </w:style>
  <w:style w:type="character" w:customStyle="1" w:styleId="140">
    <w:name w:val="标题 6 Char"/>
    <w:link w:val="8"/>
    <w:qFormat/>
    <w:uiPriority w:val="9"/>
    <w:rPr>
      <w:rFonts w:ascii="Times New Roman" w:hAnsi="Calibri" w:eastAsia="黑体" w:cs="Times New Roman"/>
      <w:b/>
      <w:bCs/>
      <w:kern w:val="0"/>
      <w:sz w:val="28"/>
      <w:szCs w:val="24"/>
    </w:rPr>
  </w:style>
  <w:style w:type="character" w:customStyle="1" w:styleId="141">
    <w:name w:val="正文文本 2 Char"/>
    <w:link w:val="30"/>
    <w:qFormat/>
    <w:uiPriority w:val="0"/>
    <w:rPr>
      <w:rFonts w:ascii="Arial" w:hAnsi="Arial" w:eastAsia="宋体" w:cs="Times New Roman"/>
      <w:color w:val="000000"/>
      <w:szCs w:val="24"/>
    </w:rPr>
  </w:style>
  <w:style w:type="character" w:customStyle="1" w:styleId="142">
    <w:name w:val="标题 3 Char"/>
    <w:link w:val="5"/>
    <w:qFormat/>
    <w:uiPriority w:val="0"/>
    <w:rPr>
      <w:rFonts w:ascii="宋体" w:hAnsi="Calibri" w:eastAsia="宋体" w:cs="Times New Roman"/>
      <w:kern w:val="0"/>
      <w:sz w:val="24"/>
      <w:szCs w:val="24"/>
    </w:rPr>
  </w:style>
  <w:style w:type="character" w:customStyle="1" w:styleId="143">
    <w:name w:val="正文文本缩进 2 字符1"/>
    <w:semiHidden/>
    <w:qFormat/>
    <w:uiPriority w:val="99"/>
    <w:rPr>
      <w:rFonts w:ascii="宋体" w:hAnsi="Calibri" w:eastAsia="宋体" w:cs="Times New Roman"/>
      <w:kern w:val="0"/>
      <w:sz w:val="24"/>
      <w:szCs w:val="24"/>
    </w:rPr>
  </w:style>
  <w:style w:type="character" w:customStyle="1" w:styleId="144">
    <w:name w:val="正文文本缩进 3 字符1"/>
    <w:semiHidden/>
    <w:qFormat/>
    <w:uiPriority w:val="99"/>
    <w:rPr>
      <w:rFonts w:ascii="宋体" w:hAnsi="Calibri" w:eastAsia="宋体" w:cs="Times New Roman"/>
      <w:kern w:val="0"/>
      <w:sz w:val="16"/>
      <w:szCs w:val="16"/>
    </w:rPr>
  </w:style>
  <w:style w:type="character" w:customStyle="1" w:styleId="145">
    <w:name w:val="正文文本 2 字符1"/>
    <w:semiHidden/>
    <w:qFormat/>
    <w:uiPriority w:val="99"/>
    <w:rPr>
      <w:rFonts w:ascii="宋体" w:hAnsi="Calibri" w:eastAsia="宋体" w:cs="Times New Roman"/>
      <w:kern w:val="0"/>
      <w:sz w:val="24"/>
      <w:szCs w:val="24"/>
    </w:rPr>
  </w:style>
  <w:style w:type="character" w:customStyle="1" w:styleId="146">
    <w:name w:val="eschoolnr"/>
    <w:qFormat/>
    <w:uiPriority w:val="0"/>
    <w:rPr>
      <w:sz w:val="23"/>
      <w:szCs w:val="23"/>
    </w:rPr>
  </w:style>
  <w:style w:type="character" w:customStyle="1" w:styleId="147">
    <w:name w:val="访问过的超链接1"/>
    <w:qFormat/>
    <w:uiPriority w:val="0"/>
    <w:rPr>
      <w:rFonts w:ascii="Arial" w:hAnsi="Arial" w:cs="Arial"/>
      <w:color w:val="000000"/>
      <w:sz w:val="20"/>
      <w:szCs w:val="20"/>
      <w:u w:val="none"/>
    </w:rPr>
  </w:style>
  <w:style w:type="character" w:customStyle="1" w:styleId="148">
    <w:name w:val="标题 1 Char1"/>
    <w:link w:val="3"/>
    <w:qFormat/>
    <w:uiPriority w:val="0"/>
    <w:rPr>
      <w:rFonts w:ascii="宋体" w:hAnsi="Calibri" w:eastAsia="宋体" w:cs="Times New Roman"/>
      <w:kern w:val="0"/>
      <w:sz w:val="24"/>
      <w:szCs w:val="24"/>
    </w:rPr>
  </w:style>
  <w:style w:type="character" w:customStyle="1" w:styleId="149">
    <w:name w:val="批注文字 Char1"/>
    <w:qFormat/>
    <w:uiPriority w:val="0"/>
    <w:rPr>
      <w:kern w:val="2"/>
      <w:sz w:val="21"/>
      <w:szCs w:val="24"/>
    </w:rPr>
  </w:style>
  <w:style w:type="character" w:customStyle="1" w:styleId="150">
    <w:name w:val="批注框文本 Char"/>
    <w:semiHidden/>
    <w:qFormat/>
    <w:uiPriority w:val="99"/>
    <w:rPr>
      <w:kern w:val="2"/>
      <w:sz w:val="18"/>
      <w:szCs w:val="18"/>
    </w:rPr>
  </w:style>
  <w:style w:type="character" w:customStyle="1" w:styleId="151">
    <w:name w:val="DAS正文 Char"/>
    <w:qFormat/>
    <w:uiPriority w:val="0"/>
    <w:rPr>
      <w:rFonts w:ascii="Verdana" w:hAnsi="Verdana" w:eastAsia="宋体"/>
      <w:kern w:val="2"/>
      <w:sz w:val="21"/>
      <w:szCs w:val="21"/>
      <w:lang w:val="en-US" w:eastAsia="zh-CN" w:bidi="ar-SA"/>
    </w:rPr>
  </w:style>
  <w:style w:type="character" w:customStyle="1" w:styleId="152">
    <w:name w:val="正文文本缩进 3 Char"/>
    <w:link w:val="29"/>
    <w:qFormat/>
    <w:uiPriority w:val="0"/>
    <w:rPr>
      <w:rFonts w:ascii="宋体" w:hAnsi="Times New Roman" w:eastAsia="宋体" w:cs="Times New Roman"/>
      <w:kern w:val="0"/>
      <w:sz w:val="24"/>
      <w:szCs w:val="24"/>
    </w:rPr>
  </w:style>
  <w:style w:type="character" w:customStyle="1" w:styleId="153">
    <w:name w:val="页眉 Char"/>
    <w:qFormat/>
    <w:uiPriority w:val="99"/>
    <w:rPr>
      <w:kern w:val="2"/>
      <w:sz w:val="18"/>
      <w:szCs w:val="18"/>
    </w:rPr>
  </w:style>
  <w:style w:type="character" w:customStyle="1" w:styleId="154">
    <w:name w:val="正文文本 3 Char"/>
    <w:link w:val="18"/>
    <w:qFormat/>
    <w:uiPriority w:val="0"/>
    <w:rPr>
      <w:rFonts w:ascii="宋体" w:hAnsi="Times New Roman" w:eastAsia="宋体" w:cs="Times New Roman"/>
      <w:b/>
      <w:bCs/>
      <w:color w:val="3366FF"/>
      <w:sz w:val="52"/>
      <w:szCs w:val="52"/>
      <w:lang w:val="zh-CN"/>
    </w:rPr>
  </w:style>
  <w:style w:type="character" w:customStyle="1" w:styleId="155">
    <w:name w:val="HTML 预设格式 字符1"/>
    <w:semiHidden/>
    <w:qFormat/>
    <w:uiPriority w:val="99"/>
    <w:rPr>
      <w:rFonts w:ascii="Courier New" w:hAnsi="Courier New" w:eastAsia="宋体" w:cs="Courier New"/>
      <w:kern w:val="0"/>
      <w:sz w:val="20"/>
      <w:szCs w:val="20"/>
    </w:rPr>
  </w:style>
  <w:style w:type="character" w:customStyle="1" w:styleId="156">
    <w:name w:val="彩色列表 - 强调文字颜色 1 Char"/>
    <w:link w:val="157"/>
    <w:qFormat/>
    <w:uiPriority w:val="0"/>
    <w:rPr>
      <w:rFonts w:ascii="宋体"/>
      <w:sz w:val="24"/>
      <w:szCs w:val="24"/>
    </w:rPr>
  </w:style>
  <w:style w:type="paragraph" w:customStyle="1" w:styleId="157">
    <w:name w:val="彩色列表 - 强调文字颜色 11"/>
    <w:basedOn w:val="1"/>
    <w:link w:val="156"/>
    <w:qFormat/>
    <w:uiPriority w:val="0"/>
    <w:pPr>
      <w:autoSpaceDE w:val="0"/>
      <w:autoSpaceDN w:val="0"/>
      <w:adjustRightInd w:val="0"/>
      <w:ind w:firstLine="420" w:firstLineChars="200"/>
      <w:jc w:val="left"/>
    </w:pPr>
    <w:rPr>
      <w:rFonts w:ascii="宋体"/>
      <w:sz w:val="24"/>
      <w:szCs w:val="24"/>
    </w:rPr>
  </w:style>
  <w:style w:type="character" w:customStyle="1" w:styleId="158">
    <w:name w:val="普通(网站) 字符"/>
    <w:qFormat/>
    <w:locked/>
    <w:uiPriority w:val="99"/>
    <w:rPr>
      <w:rFonts w:ascii="宋体" w:hAnsi="宋体" w:eastAsia="宋体" w:cs="Times New Roman"/>
      <w:kern w:val="0"/>
      <w:sz w:val="15"/>
      <w:szCs w:val="15"/>
      <w:lang w:val="en-US" w:eastAsia="zh-CN"/>
    </w:rPr>
  </w:style>
  <w:style w:type="paragraph" w:customStyle="1" w:styleId="159">
    <w:name w:val="_Style 123"/>
    <w:basedOn w:val="1"/>
    <w:next w:val="127"/>
    <w:qFormat/>
    <w:uiPriority w:val="34"/>
    <w:pPr>
      <w:spacing w:line="360" w:lineRule="auto"/>
      <w:ind w:firstLine="420" w:firstLineChars="200"/>
    </w:pPr>
    <w:rPr>
      <w:rFonts w:ascii="Calibri" w:hAnsi="Calibri" w:eastAsia="宋体" w:cs="Times New Roman"/>
    </w:rPr>
  </w:style>
  <w:style w:type="character" w:customStyle="1" w:styleId="160">
    <w:name w:val="纯文本 字符4"/>
    <w:basedOn w:val="38"/>
    <w:semiHidden/>
    <w:qFormat/>
    <w:uiPriority w:val="99"/>
    <w:rPr>
      <w:rFonts w:hAnsi="Courier New" w:cs="Courier New" w:asciiTheme="minorEastAsia"/>
    </w:rPr>
  </w:style>
  <w:style w:type="character" w:customStyle="1" w:styleId="161">
    <w:name w:val="批注文字 Char2"/>
    <w:basedOn w:val="38"/>
    <w:link w:val="17"/>
    <w:semiHidden/>
    <w:qFormat/>
    <w:uiPriority w:val="99"/>
  </w:style>
  <w:style w:type="character" w:customStyle="1" w:styleId="162">
    <w:name w:val="批注主题 字符2"/>
    <w:basedOn w:val="161"/>
    <w:semiHidden/>
    <w:qFormat/>
    <w:uiPriority w:val="99"/>
    <w:rPr>
      <w:b/>
      <w:bCs/>
    </w:rPr>
  </w:style>
  <w:style w:type="character" w:customStyle="1" w:styleId="163">
    <w:name w:val="标题 字符3"/>
    <w:basedOn w:val="38"/>
    <w:qFormat/>
    <w:uiPriority w:val="10"/>
    <w:rPr>
      <w:rFonts w:asciiTheme="majorHAnsi" w:hAnsiTheme="majorHAnsi" w:eastAsiaTheme="majorEastAsia" w:cstheme="majorBidi"/>
      <w:b/>
      <w:bCs/>
      <w:sz w:val="32"/>
      <w:szCs w:val="32"/>
    </w:rPr>
  </w:style>
  <w:style w:type="character" w:customStyle="1" w:styleId="164">
    <w:name w:val="正文文本缩进 字符3"/>
    <w:basedOn w:val="38"/>
    <w:semiHidden/>
    <w:qFormat/>
    <w:uiPriority w:val="99"/>
  </w:style>
  <w:style w:type="character" w:customStyle="1" w:styleId="165">
    <w:name w:val="正文文本 字符4"/>
    <w:basedOn w:val="38"/>
    <w:semiHidden/>
    <w:qFormat/>
    <w:uiPriority w:val="99"/>
  </w:style>
  <w:style w:type="character" w:customStyle="1" w:styleId="166">
    <w:name w:val="正文文本缩进 3 字符2"/>
    <w:basedOn w:val="38"/>
    <w:semiHidden/>
    <w:qFormat/>
    <w:uiPriority w:val="99"/>
    <w:rPr>
      <w:sz w:val="16"/>
      <w:szCs w:val="16"/>
    </w:rPr>
  </w:style>
  <w:style w:type="character" w:customStyle="1" w:styleId="167">
    <w:name w:val="页眉 字符2"/>
    <w:basedOn w:val="38"/>
    <w:semiHidden/>
    <w:qFormat/>
    <w:uiPriority w:val="99"/>
    <w:rPr>
      <w:sz w:val="18"/>
      <w:szCs w:val="18"/>
    </w:rPr>
  </w:style>
  <w:style w:type="character" w:customStyle="1" w:styleId="168">
    <w:name w:val="批注框文本 字符2"/>
    <w:basedOn w:val="38"/>
    <w:semiHidden/>
    <w:qFormat/>
    <w:uiPriority w:val="99"/>
    <w:rPr>
      <w:sz w:val="18"/>
      <w:szCs w:val="18"/>
    </w:rPr>
  </w:style>
  <w:style w:type="character" w:customStyle="1" w:styleId="169">
    <w:name w:val="HTML 预设格式 字符2"/>
    <w:basedOn w:val="38"/>
    <w:semiHidden/>
    <w:qFormat/>
    <w:uiPriority w:val="99"/>
    <w:rPr>
      <w:rFonts w:ascii="Courier New" w:hAnsi="Courier New" w:cs="Courier New"/>
      <w:sz w:val="20"/>
      <w:szCs w:val="20"/>
    </w:rPr>
  </w:style>
  <w:style w:type="character" w:customStyle="1" w:styleId="170">
    <w:name w:val="页脚 字符2"/>
    <w:basedOn w:val="38"/>
    <w:semiHidden/>
    <w:qFormat/>
    <w:uiPriority w:val="99"/>
    <w:rPr>
      <w:sz w:val="18"/>
      <w:szCs w:val="18"/>
    </w:rPr>
  </w:style>
  <w:style w:type="character" w:customStyle="1" w:styleId="171">
    <w:name w:val="正文文本缩进 2 字符2"/>
    <w:basedOn w:val="38"/>
    <w:semiHidden/>
    <w:qFormat/>
    <w:uiPriority w:val="99"/>
  </w:style>
  <w:style w:type="character" w:customStyle="1" w:styleId="172">
    <w:name w:val="正文文本 3 字符2"/>
    <w:basedOn w:val="38"/>
    <w:semiHidden/>
    <w:qFormat/>
    <w:uiPriority w:val="99"/>
    <w:rPr>
      <w:sz w:val="16"/>
      <w:szCs w:val="16"/>
    </w:rPr>
  </w:style>
  <w:style w:type="character" w:customStyle="1" w:styleId="173">
    <w:name w:val="正文文本 2 字符2"/>
    <w:basedOn w:val="38"/>
    <w:semiHidden/>
    <w:qFormat/>
    <w:uiPriority w:val="99"/>
  </w:style>
  <w:style w:type="paragraph" w:customStyle="1" w:styleId="174">
    <w:name w:val="WPSOffice手动目录 3"/>
    <w:qFormat/>
    <w:uiPriority w:val="0"/>
    <w:pPr>
      <w:ind w:left="400" w:leftChars="400"/>
    </w:pPr>
    <w:rPr>
      <w:rFonts w:ascii="Calibri" w:hAnsi="Calibri" w:eastAsia="宋体" w:cs="Times New Roman"/>
      <w:lang w:val="en-US" w:eastAsia="zh-CN" w:bidi="ar-SA"/>
    </w:rPr>
  </w:style>
  <w:style w:type="paragraph" w:customStyle="1" w:styleId="175">
    <w:name w:val="列表段落1"/>
    <w:basedOn w:val="1"/>
    <w:qFormat/>
    <w:uiPriority w:val="0"/>
    <w:pPr>
      <w:ind w:firstLine="420" w:firstLineChars="200"/>
    </w:pPr>
    <w:rPr>
      <w:rFonts w:ascii="Times New Roman" w:hAnsi="Times New Roman" w:eastAsia="宋体" w:cs="Times New Roman"/>
      <w:szCs w:val="20"/>
    </w:rPr>
  </w:style>
  <w:style w:type="character" w:customStyle="1" w:styleId="176">
    <w:name w:val="文档结构图 字符2"/>
    <w:basedOn w:val="38"/>
    <w:semiHidden/>
    <w:qFormat/>
    <w:uiPriority w:val="99"/>
    <w:rPr>
      <w:rFonts w:ascii="Microsoft YaHei UI" w:eastAsia="Microsoft YaHei UI"/>
      <w:sz w:val="18"/>
      <w:szCs w:val="18"/>
    </w:rPr>
  </w:style>
  <w:style w:type="character" w:customStyle="1" w:styleId="177">
    <w:name w:val="日期 字符2"/>
    <w:basedOn w:val="38"/>
    <w:semiHidden/>
    <w:qFormat/>
    <w:uiPriority w:val="99"/>
  </w:style>
  <w:style w:type="paragraph" w:customStyle="1" w:styleId="178">
    <w:name w:val="彩色底纹 - 强调文字颜色 11"/>
    <w:semiHidden/>
    <w:qFormat/>
    <w:uiPriority w:val="99"/>
    <w:rPr>
      <w:rFonts w:ascii="宋体" w:hAnsi="Calibri" w:eastAsia="宋体" w:cs="Times New Roman"/>
      <w:sz w:val="24"/>
      <w:szCs w:val="24"/>
      <w:lang w:val="en-US" w:eastAsia="zh-CN" w:bidi="ar-SA"/>
    </w:rPr>
  </w:style>
  <w:style w:type="paragraph" w:customStyle="1" w:styleId="179">
    <w:name w:val="d"/>
    <w:basedOn w:val="1"/>
    <w:qFormat/>
    <w:uiPriority w:val="0"/>
    <w:pPr>
      <w:overflowPunct w:val="0"/>
      <w:autoSpaceDE w:val="0"/>
      <w:autoSpaceDN w:val="0"/>
      <w:adjustRightInd w:val="0"/>
      <w:snapToGrid w:val="0"/>
      <w:spacing w:line="360" w:lineRule="auto"/>
      <w:ind w:firstLine="480" w:firstLineChars="200"/>
    </w:pPr>
    <w:rPr>
      <w:rFonts w:ascii="宋体" w:hAnsi="宋体" w:eastAsia="宋体" w:cs="Arial"/>
      <w:snapToGrid w:val="0"/>
      <w:kern w:val="0"/>
      <w:sz w:val="24"/>
      <w:szCs w:val="21"/>
    </w:rPr>
  </w:style>
  <w:style w:type="paragraph" w:customStyle="1" w:styleId="180">
    <w:name w:val="修订1"/>
    <w:semiHidden/>
    <w:qFormat/>
    <w:uiPriority w:val="99"/>
    <w:rPr>
      <w:rFonts w:ascii="宋体" w:hAnsi="Calibri" w:eastAsia="宋体" w:cs="Times New Roman"/>
      <w:sz w:val="24"/>
      <w:szCs w:val="24"/>
      <w:lang w:val="en-US" w:eastAsia="zh-CN" w:bidi="ar-SA"/>
    </w:rPr>
  </w:style>
  <w:style w:type="paragraph" w:customStyle="1" w:styleId="181">
    <w:name w:val="图/图注"/>
    <w:basedOn w:val="9"/>
    <w:qFormat/>
    <w:uiPriority w:val="0"/>
    <w:pPr>
      <w:wordWrap/>
      <w:autoSpaceDE/>
      <w:autoSpaceDN/>
      <w:adjustRightInd/>
      <w:spacing w:before="50"/>
      <w:ind w:firstLine="0" w:firstLineChars="0"/>
      <w:jc w:val="center"/>
    </w:pPr>
    <w:rPr>
      <w:rFonts w:ascii="Times New Roman" w:eastAsia="黑体"/>
      <w:b/>
      <w:sz w:val="21"/>
      <w:szCs w:val="22"/>
    </w:rPr>
  </w:style>
  <w:style w:type="paragraph" w:customStyle="1" w:styleId="18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83">
    <w:name w:val="A."/>
    <w:basedOn w:val="1"/>
    <w:qFormat/>
    <w:uiPriority w:val="0"/>
    <w:pPr>
      <w:widowControl/>
      <w:tabs>
        <w:tab w:val="left" w:pos="859"/>
        <w:tab w:val="left" w:pos="1200"/>
      </w:tabs>
      <w:spacing w:before="240" w:line="240" w:lineRule="atLeast"/>
      <w:ind w:left="859" w:hanging="453"/>
    </w:pPr>
    <w:rPr>
      <w:rFonts w:ascii="Times New Roman" w:hAnsi="Times New Roman" w:eastAsia="宋体" w:cs="Times New Roman"/>
      <w:sz w:val="24"/>
      <w:szCs w:val="24"/>
    </w:rPr>
  </w:style>
  <w:style w:type="paragraph" w:customStyle="1" w:styleId="184">
    <w:name w:val="Pa8"/>
    <w:basedOn w:val="1"/>
    <w:next w:val="1"/>
    <w:qFormat/>
    <w:uiPriority w:val="99"/>
    <w:pPr>
      <w:autoSpaceDE w:val="0"/>
      <w:autoSpaceDN w:val="0"/>
      <w:adjustRightInd w:val="0"/>
      <w:spacing w:line="181" w:lineRule="atLeast"/>
      <w:jc w:val="left"/>
    </w:pPr>
    <w:rPr>
      <w:rFonts w:ascii="FrutigerNext LT Light" w:hAnsi="Calibri" w:eastAsia="FrutigerNext LT Light" w:cs="Times New Roman"/>
      <w:kern w:val="0"/>
      <w:sz w:val="24"/>
      <w:szCs w:val="24"/>
    </w:rPr>
  </w:style>
  <w:style w:type="paragraph" w:customStyle="1" w:styleId="185">
    <w:name w:val="p0"/>
    <w:basedOn w:val="1"/>
    <w:qFormat/>
    <w:uiPriority w:val="0"/>
    <w:pPr>
      <w:widowControl/>
    </w:pPr>
    <w:rPr>
      <w:rFonts w:ascii="Times New Roman" w:hAnsi="Calibri" w:eastAsia="宋体" w:cs="Times New Roman"/>
      <w:kern w:val="0"/>
      <w:szCs w:val="20"/>
    </w:rPr>
  </w:style>
  <w:style w:type="paragraph" w:customStyle="1" w:styleId="186">
    <w:name w:val="Char Char Char Char Char Char"/>
    <w:basedOn w:val="1"/>
    <w:qFormat/>
    <w:uiPriority w:val="0"/>
    <w:pPr>
      <w:widowControl/>
      <w:spacing w:after="160" w:line="240" w:lineRule="exact"/>
      <w:jc w:val="left"/>
    </w:pPr>
    <w:rPr>
      <w:rFonts w:ascii="Times New Roman" w:hAnsi="Times New Roman" w:eastAsia="宋体" w:cs="Times New Roman"/>
      <w:szCs w:val="24"/>
    </w:rPr>
  </w:style>
  <w:style w:type="paragraph" w:customStyle="1" w:styleId="187">
    <w:name w:val="Char"/>
    <w:basedOn w:val="1"/>
    <w:qFormat/>
    <w:uiPriority w:val="0"/>
    <w:pPr>
      <w:widowControl/>
      <w:spacing w:after="160" w:line="240" w:lineRule="exact"/>
      <w:jc w:val="center"/>
    </w:pPr>
    <w:rPr>
      <w:rFonts w:ascii="Times New Roman" w:hAnsi="Times New Roman" w:eastAsia="宋体" w:cs="Times New Roman"/>
      <w:szCs w:val="24"/>
    </w:rPr>
  </w:style>
  <w:style w:type="paragraph" w:customStyle="1" w:styleId="188">
    <w:name w:val="网格表 32"/>
    <w:basedOn w:val="3"/>
    <w:next w:val="1"/>
    <w:qFormat/>
    <w:uiPriority w:val="39"/>
    <w:pPr>
      <w:keepNext/>
      <w:keepLines/>
      <w:widowControl/>
      <w:autoSpaceDE/>
      <w:autoSpaceDN/>
      <w:adjustRightInd/>
      <w:spacing w:before="480" w:line="276" w:lineRule="auto"/>
      <w:outlineLvl w:val="9"/>
    </w:pPr>
    <w:rPr>
      <w:rFonts w:ascii="Cambria" w:hAnsi="Cambria"/>
      <w:b/>
      <w:bCs/>
      <w:color w:val="365F91"/>
      <w:sz w:val="28"/>
      <w:szCs w:val="28"/>
    </w:rPr>
  </w:style>
  <w:style w:type="paragraph" w:customStyle="1" w:styleId="189">
    <w:name w:val="WPSOffice手动目录 1"/>
    <w:qFormat/>
    <w:uiPriority w:val="0"/>
    <w:rPr>
      <w:rFonts w:ascii="Calibri" w:hAnsi="Calibri" w:eastAsia="宋体" w:cs="Times New Roman"/>
      <w:lang w:val="en-US" w:eastAsia="zh-CN" w:bidi="ar-SA"/>
    </w:rPr>
  </w:style>
  <w:style w:type="paragraph" w:customStyle="1" w:styleId="190">
    <w:name w:val="_Style 69"/>
    <w:basedOn w:val="1"/>
    <w:next w:val="127"/>
    <w:qFormat/>
    <w:uiPriority w:val="34"/>
    <w:pPr>
      <w:spacing w:line="360" w:lineRule="auto"/>
      <w:ind w:firstLine="420" w:firstLineChars="200"/>
    </w:pPr>
    <w:rPr>
      <w:rFonts w:ascii="Calibri" w:hAnsi="Calibri" w:eastAsia="宋体" w:cs="Times New Roman"/>
    </w:rPr>
  </w:style>
  <w:style w:type="paragraph" w:customStyle="1" w:styleId="191">
    <w:name w:val="中等深浅网格 21"/>
    <w:qFormat/>
    <w:uiPriority w:val="1"/>
    <w:pPr>
      <w:widowControl w:val="0"/>
      <w:jc w:val="both"/>
    </w:pPr>
    <w:rPr>
      <w:rFonts w:ascii="Calibri" w:hAnsi="Calibri" w:eastAsia="宋体" w:cs="Times New Roman"/>
      <w:kern w:val="2"/>
      <w:sz w:val="21"/>
      <w:szCs w:val="22"/>
      <w:lang w:val="en-US" w:eastAsia="zh-CN" w:bidi="ar-SA"/>
    </w:rPr>
  </w:style>
  <w:style w:type="paragraph" w:customStyle="1" w:styleId="192">
    <w:name w:val="保留正文"/>
    <w:basedOn w:val="2"/>
    <w:qFormat/>
    <w:uiPriority w:val="0"/>
    <w:pPr>
      <w:keepNext/>
      <w:autoSpaceDE/>
      <w:autoSpaceDN/>
      <w:adjustRightInd/>
      <w:spacing w:after="160"/>
      <w:ind w:right="0"/>
      <w:jc w:val="both"/>
    </w:pPr>
    <w:rPr>
      <w:rFonts w:ascii="Times New Roman"/>
      <w:b w:val="0"/>
      <w:bCs w:val="0"/>
      <w:sz w:val="21"/>
      <w:szCs w:val="24"/>
      <w:lang w:val="en-US"/>
    </w:rPr>
  </w:style>
  <w:style w:type="paragraph" w:customStyle="1" w:styleId="193">
    <w:name w:val="彩色底纹 - 着色 11"/>
    <w:semiHidden/>
    <w:qFormat/>
    <w:uiPriority w:val="99"/>
    <w:rPr>
      <w:rFonts w:ascii="宋体" w:hAnsi="Calibri" w:eastAsia="宋体" w:cs="Times New Roman"/>
      <w:sz w:val="24"/>
      <w:szCs w:val="24"/>
      <w:lang w:val="en-US" w:eastAsia="zh-CN" w:bidi="ar-SA"/>
    </w:rPr>
  </w:style>
  <w:style w:type="paragraph" w:customStyle="1" w:styleId="194">
    <w:name w:val="WPSOffice手动目录 2"/>
    <w:qFormat/>
    <w:uiPriority w:val="0"/>
    <w:pPr>
      <w:ind w:left="200" w:leftChars="200"/>
    </w:pPr>
    <w:rPr>
      <w:rFonts w:ascii="Calibri" w:hAnsi="Calibri" w:eastAsia="宋体" w:cs="Times New Roman"/>
      <w:lang w:val="en-US" w:eastAsia="zh-CN" w:bidi="ar-SA"/>
    </w:rPr>
  </w:style>
  <w:style w:type="paragraph" w:customStyle="1" w:styleId="195">
    <w:name w:val="网格表 31"/>
    <w:basedOn w:val="3"/>
    <w:next w:val="1"/>
    <w:unhideWhenUsed/>
    <w:qFormat/>
    <w:uiPriority w:val="39"/>
    <w:pPr>
      <w:keepNext/>
      <w:keepLines/>
      <w:widowControl/>
      <w:autoSpaceDE/>
      <w:autoSpaceDN/>
      <w:adjustRightInd/>
      <w:spacing w:before="480" w:line="276" w:lineRule="auto"/>
      <w:outlineLvl w:val="9"/>
    </w:pPr>
    <w:rPr>
      <w:rFonts w:ascii="Cambria" w:hAnsi="Cambria"/>
      <w:b/>
      <w:bCs/>
      <w:color w:val="365F91"/>
      <w:sz w:val="28"/>
      <w:szCs w:val="28"/>
    </w:rPr>
  </w:style>
  <w:style w:type="paragraph" w:customStyle="1" w:styleId="196">
    <w:name w:val="表格文字居中"/>
    <w:basedOn w:val="120"/>
    <w:qFormat/>
    <w:uiPriority w:val="0"/>
    <w:pPr>
      <w:jc w:val="center"/>
    </w:pPr>
    <w:rPr>
      <w:rFonts w:cs="宋体"/>
      <w:szCs w:val="20"/>
    </w:rPr>
  </w:style>
  <w:style w:type="paragraph" w:customStyle="1" w:styleId="197">
    <w:name w:val="正文缩进4格"/>
    <w:basedOn w:val="61"/>
    <w:qFormat/>
    <w:uiPriority w:val="0"/>
    <w:pPr>
      <w:spacing w:line="360" w:lineRule="auto"/>
      <w:ind w:left="964" w:leftChars="314" w:hanging="210" w:hangingChars="100"/>
    </w:pPr>
    <w:rPr>
      <w:rFonts w:ascii="宋体" w:eastAsia="宋体"/>
      <w:sz w:val="21"/>
      <w:szCs w:val="21"/>
      <w:lang w:val="zh-CN"/>
    </w:rPr>
  </w:style>
  <w:style w:type="paragraph" w:customStyle="1" w:styleId="198">
    <w:name w:val="版本说明标题"/>
    <w:basedOn w:val="1"/>
    <w:qFormat/>
    <w:uiPriority w:val="0"/>
    <w:pPr>
      <w:adjustRightInd w:val="0"/>
      <w:snapToGrid w:val="0"/>
      <w:spacing w:beforeLines="50" w:afterLines="50"/>
      <w:ind w:firstLine="560"/>
      <w:jc w:val="center"/>
      <w:textAlignment w:val="baseline"/>
    </w:pPr>
    <w:rPr>
      <w:rFonts w:ascii="Times New Roman" w:hAnsi="Calibri" w:eastAsia="仿宋_GB2312" w:cs="Times New Roman"/>
      <w:b/>
      <w:color w:val="000000"/>
      <w:sz w:val="28"/>
      <w:szCs w:val="28"/>
    </w:rPr>
  </w:style>
  <w:style w:type="character" w:customStyle="1" w:styleId="199">
    <w:name w:val="正文首行缩进 Char"/>
    <w:basedOn w:val="116"/>
    <w:link w:val="35"/>
    <w:semiHidden/>
    <w:qFormat/>
    <w:uiPriority w:val="99"/>
    <w:rPr>
      <w:rFonts w:ascii="宋体" w:eastAsia="宋体"/>
      <w:b w:val="0"/>
      <w:bCs w:val="0"/>
      <w:sz w:val="84"/>
      <w:szCs w:val="84"/>
      <w:lang w:val="zh-CN"/>
    </w:rPr>
  </w:style>
  <w:style w:type="paragraph" w:customStyle="1" w:styleId="200">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1">
    <w:name w:val="文档正文"/>
    <w:basedOn w:val="1"/>
    <w:qFormat/>
    <w:uiPriority w:val="0"/>
    <w:pPr>
      <w:spacing w:line="360" w:lineRule="auto"/>
    </w:pPr>
    <w:rPr>
      <w:rFonts w:ascii="宋体" w:cs="Arial"/>
      <w:bCs/>
    </w:rPr>
  </w:style>
  <w:style w:type="character" w:customStyle="1" w:styleId="202">
    <w:name w:val="font51"/>
    <w:qFormat/>
    <w:uiPriority w:val="0"/>
    <w:rPr>
      <w:rFonts w:hint="eastAsia" w:ascii="宋体" w:hAnsi="宋体" w:eastAsia="宋体" w:cs="宋体"/>
      <w:color w:val="FF0000"/>
      <w:sz w:val="20"/>
      <w:szCs w:val="20"/>
      <w:u w:val="none"/>
    </w:rPr>
  </w:style>
  <w:style w:type="paragraph" w:customStyle="1" w:styleId="203">
    <w:name w:val="样式 宋体 行距: 1.5 倍行距"/>
    <w:basedOn w:val="1"/>
    <w:qFormat/>
    <w:uiPriority w:val="0"/>
    <w:pPr>
      <w:jc w:val="center"/>
    </w:pPr>
    <w:rPr>
      <w:rFonts w:ascii="Times New Roman" w:hAnsi="Times New Roman"/>
      <w:b/>
    </w:rPr>
  </w:style>
  <w:style w:type="paragraph" w:customStyle="1" w:styleId="204">
    <w:name w:val="List Paragraph1"/>
    <w:basedOn w:val="1"/>
    <w:qFormat/>
    <w:uiPriority w:val="34"/>
    <w:pPr>
      <w:ind w:firstLine="420" w:firstLineChars="200"/>
    </w:pPr>
  </w:style>
  <w:style w:type="paragraph" w:customStyle="1" w:styleId="205">
    <w:name w:val="_Style 80"/>
    <w:qFormat/>
    <w:uiPriority w:val="34"/>
    <w:pPr>
      <w:widowControl w:val="0"/>
      <w:autoSpaceDE w:val="0"/>
      <w:autoSpaceDN w:val="0"/>
      <w:adjustRightInd/>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1.xml"/><Relationship Id="rId15" Type="http://schemas.openxmlformats.org/officeDocument/2006/relationships/header" Target="header3.xml"/><Relationship Id="rId14" Type="http://schemas.openxmlformats.org/officeDocument/2006/relationships/header" Target="header2.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93</Pages>
  <Words>6516</Words>
  <Characters>6975</Characters>
  <Lines>314</Lines>
  <Paragraphs>88</Paragraphs>
  <TotalTime>11</TotalTime>
  <ScaleCrop>false</ScaleCrop>
  <LinksUpToDate>false</LinksUpToDate>
  <CharactersWithSpaces>7180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2023-07-21T18:55:00Z</dcterms:created>
  <dc:creator>HS</dc:creator>
  <cp:lastModifiedBy>公诚 雷洁</cp:lastModifiedBy>
  <cp:lastPrinted>2026-07-24T18:04:00Z</cp:lastPrinted>
  <dcterms:modified xsi:type="dcterms:W3CDTF">2026-10-20T08:34:59Z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E9689886135B4B56B9136C7570C74124_13</vt:lpwstr>
  </property>
  <property fmtid="{D5CDD505-2E9C-101B-9397-08002B2CF9AE}" pid="4" name="KSOTemplateDocerSaveRecord">
    <vt:lpwstr>eyJoZGlkIjoiZTBmZmViYjJjZWRhNzgyODJlMDllNzkwOTVlM2NiYmEiLCJ1c2VySWQiOiIzOTk1MzMwOTIifQ==</vt:lpwstr>
  </property>
</Properties>
</file>