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8695EA">
      <w:pPr>
        <w:spacing w:after="209" w:afterLines="67"/>
        <w:rPr>
          <w:rFonts w:asciiTheme="minorEastAsia" w:hAnsiTheme="minorEastAsia" w:cstheme="minorEastAsia"/>
          <w:sz w:val="28"/>
          <w:szCs w:val="28"/>
        </w:rPr>
      </w:pPr>
      <w:r>
        <w:rPr>
          <w:rFonts w:hint="eastAsia" w:asciiTheme="minorEastAsia" w:hAnsiTheme="minorEastAsia" w:cstheme="minorEastAsia"/>
          <w:sz w:val="28"/>
          <w:szCs w:val="28"/>
        </w:rPr>
        <w:t>附件2</w:t>
      </w:r>
    </w:p>
    <w:p w14:paraId="709C000E">
      <w:pPr>
        <w:spacing w:after="209" w:afterLines="67"/>
        <w:jc w:val="center"/>
        <w:rPr>
          <w:rFonts w:hint="eastAsia" w:asciiTheme="minorEastAsia" w:hAnsiTheme="minorEastAsia" w:eastAsiaTheme="minorEastAsia" w:cstheme="minorEastAsia"/>
          <w:b/>
          <w:bCs/>
          <w:sz w:val="28"/>
          <w:szCs w:val="28"/>
          <w:lang w:eastAsia="zh-CN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  <w:lang w:eastAsia="zh-CN"/>
        </w:rPr>
        <w:t>2026年IPTV应用商城优化建设项目</w:t>
      </w:r>
    </w:p>
    <w:p w14:paraId="0147AAD5">
      <w:pPr>
        <w:spacing w:after="209" w:afterLines="67"/>
        <w:jc w:val="center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8"/>
          <w:szCs w:val="28"/>
        </w:rPr>
        <w:t>市场调研报价文件格式</w:t>
      </w:r>
    </w:p>
    <w:p w14:paraId="76268D06">
      <w:pPr>
        <w:pStyle w:val="24"/>
        <w:numPr>
          <w:ilvl w:val="0"/>
          <w:numId w:val="2"/>
        </w:numPr>
        <w:spacing w:after="209" w:afterLines="67"/>
        <w:ind w:firstLineChars="0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供应商信息登记表</w:t>
      </w:r>
    </w:p>
    <w:tbl>
      <w:tblPr>
        <w:tblStyle w:val="14"/>
        <w:tblW w:w="544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339"/>
        <w:gridCol w:w="918"/>
        <w:gridCol w:w="2221"/>
        <w:gridCol w:w="1242"/>
        <w:gridCol w:w="2328"/>
      </w:tblGrid>
      <w:tr w14:paraId="72E0AB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76" w:hRule="atLeast"/>
          <w:jc w:val="center"/>
        </w:trPr>
        <w:tc>
          <w:tcPr>
            <w:tcW w:w="1293" w:type="pct"/>
            <w:vAlign w:val="center"/>
          </w:tcPr>
          <w:p w14:paraId="2079C3A4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bookmarkStart w:id="0" w:name="_Hlk199424538"/>
            <w:r>
              <w:rPr>
                <w:rFonts w:hint="eastAsia" w:hAnsi="宋体" w:cs="仿宋"/>
              </w:rPr>
              <w:t>单位名称</w:t>
            </w:r>
          </w:p>
        </w:tc>
        <w:tc>
          <w:tcPr>
            <w:tcW w:w="3706" w:type="pct"/>
            <w:gridSpan w:val="4"/>
            <w:vAlign w:val="center"/>
          </w:tcPr>
          <w:p w14:paraId="340FB6AE">
            <w:pPr>
              <w:tabs>
                <w:tab w:val="left" w:pos="202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3064E4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2" w:hRule="atLeast"/>
          <w:jc w:val="center"/>
        </w:trPr>
        <w:tc>
          <w:tcPr>
            <w:tcW w:w="1293" w:type="pct"/>
            <w:vAlign w:val="center"/>
          </w:tcPr>
          <w:p w14:paraId="0F3F2E7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注册资金</w:t>
            </w:r>
          </w:p>
        </w:tc>
        <w:tc>
          <w:tcPr>
            <w:tcW w:w="1734" w:type="pct"/>
            <w:gridSpan w:val="2"/>
            <w:vAlign w:val="center"/>
          </w:tcPr>
          <w:p w14:paraId="30757AA0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万元</w:t>
            </w:r>
          </w:p>
        </w:tc>
        <w:tc>
          <w:tcPr>
            <w:tcW w:w="686" w:type="pct"/>
            <w:vAlign w:val="center"/>
          </w:tcPr>
          <w:p w14:paraId="7D139526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成立时间</w:t>
            </w:r>
          </w:p>
        </w:tc>
        <w:tc>
          <w:tcPr>
            <w:tcW w:w="1285" w:type="pct"/>
            <w:vAlign w:val="center"/>
          </w:tcPr>
          <w:p w14:paraId="67BFBF77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  <w:r>
              <w:rPr>
                <w:rFonts w:hint="eastAsia" w:ascii="宋体" w:hAnsi="宋体" w:eastAsia="宋体" w:cs="仿宋"/>
                <w:sz w:val="24"/>
                <w:szCs w:val="24"/>
              </w:rPr>
              <w:t>年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月</w:t>
            </w:r>
            <w:r>
              <w:rPr>
                <w:rFonts w:ascii="宋体" w:hAnsi="宋体" w:eastAsia="宋体" w:cs="仿宋"/>
                <w:sz w:val="24"/>
                <w:szCs w:val="24"/>
              </w:rPr>
              <w:t xml:space="preserve">  </w:t>
            </w:r>
            <w:r>
              <w:rPr>
                <w:rFonts w:hint="eastAsia" w:ascii="宋体" w:hAnsi="宋体" w:eastAsia="宋体" w:cs="仿宋"/>
                <w:sz w:val="24"/>
                <w:szCs w:val="24"/>
              </w:rPr>
              <w:t>日</w:t>
            </w:r>
          </w:p>
        </w:tc>
      </w:tr>
      <w:tr w14:paraId="39F9F0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5" w:hRule="atLeast"/>
          <w:jc w:val="center"/>
        </w:trPr>
        <w:tc>
          <w:tcPr>
            <w:tcW w:w="1293" w:type="pct"/>
            <w:vAlign w:val="center"/>
          </w:tcPr>
          <w:p w14:paraId="623F03E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注册地址</w:t>
            </w:r>
          </w:p>
        </w:tc>
        <w:tc>
          <w:tcPr>
            <w:tcW w:w="3706" w:type="pct"/>
            <w:gridSpan w:val="4"/>
            <w:vAlign w:val="center"/>
          </w:tcPr>
          <w:p w14:paraId="31E0A9D8">
            <w:pPr>
              <w:spacing w:line="400" w:lineRule="exact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2615727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7157BDD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邮政编码</w:t>
            </w:r>
          </w:p>
        </w:tc>
        <w:tc>
          <w:tcPr>
            <w:tcW w:w="1734" w:type="pct"/>
            <w:gridSpan w:val="2"/>
            <w:vAlign w:val="center"/>
          </w:tcPr>
          <w:p w14:paraId="4FCADD05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7EB99EA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员工总数</w:t>
            </w:r>
          </w:p>
        </w:tc>
        <w:tc>
          <w:tcPr>
            <w:tcW w:w="1285" w:type="pct"/>
            <w:vAlign w:val="center"/>
          </w:tcPr>
          <w:p w14:paraId="6CCD2EBA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585943D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restart"/>
            <w:vAlign w:val="center"/>
          </w:tcPr>
          <w:p w14:paraId="4C3F393A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联系方式</w:t>
            </w:r>
          </w:p>
        </w:tc>
        <w:tc>
          <w:tcPr>
            <w:tcW w:w="507" w:type="pct"/>
            <w:vAlign w:val="center"/>
          </w:tcPr>
          <w:p w14:paraId="4FEA841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联系人</w:t>
            </w:r>
          </w:p>
        </w:tc>
        <w:tc>
          <w:tcPr>
            <w:tcW w:w="1227" w:type="pct"/>
            <w:vAlign w:val="center"/>
          </w:tcPr>
          <w:p w14:paraId="0DBD112E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1A9FB22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7D6EB6BB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37E21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6" w:hRule="atLeast"/>
          <w:jc w:val="center"/>
        </w:trPr>
        <w:tc>
          <w:tcPr>
            <w:tcW w:w="1293" w:type="pct"/>
            <w:vMerge w:val="continue"/>
            <w:vAlign w:val="center"/>
          </w:tcPr>
          <w:p w14:paraId="48EE0541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507" w:type="pct"/>
            <w:vAlign w:val="center"/>
          </w:tcPr>
          <w:p w14:paraId="03D03489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网址</w:t>
            </w:r>
          </w:p>
        </w:tc>
        <w:tc>
          <w:tcPr>
            <w:tcW w:w="1227" w:type="pct"/>
            <w:vAlign w:val="center"/>
          </w:tcPr>
          <w:p w14:paraId="3D203D52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0344DA3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传真/邮箱</w:t>
            </w:r>
          </w:p>
        </w:tc>
        <w:tc>
          <w:tcPr>
            <w:tcW w:w="1285" w:type="pct"/>
            <w:vAlign w:val="center"/>
          </w:tcPr>
          <w:p w14:paraId="10DCEAAC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3A5BD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9" w:hRule="atLeast"/>
          <w:jc w:val="center"/>
        </w:trPr>
        <w:tc>
          <w:tcPr>
            <w:tcW w:w="1293" w:type="pct"/>
            <w:vAlign w:val="center"/>
          </w:tcPr>
          <w:p w14:paraId="223151BF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法定代表人</w:t>
            </w:r>
          </w:p>
          <w:p w14:paraId="2E46A890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（单位负责人）</w:t>
            </w:r>
          </w:p>
        </w:tc>
        <w:tc>
          <w:tcPr>
            <w:tcW w:w="507" w:type="pct"/>
            <w:vAlign w:val="center"/>
          </w:tcPr>
          <w:p w14:paraId="43A0BB7D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姓名</w:t>
            </w:r>
          </w:p>
        </w:tc>
        <w:tc>
          <w:tcPr>
            <w:tcW w:w="1227" w:type="pct"/>
            <w:vAlign w:val="center"/>
          </w:tcPr>
          <w:p w14:paraId="4D346AE1">
            <w:pPr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  <w:tc>
          <w:tcPr>
            <w:tcW w:w="686" w:type="pct"/>
            <w:vAlign w:val="center"/>
          </w:tcPr>
          <w:p w14:paraId="51A678CE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电话</w:t>
            </w:r>
          </w:p>
        </w:tc>
        <w:tc>
          <w:tcPr>
            <w:tcW w:w="1285" w:type="pct"/>
            <w:vAlign w:val="center"/>
          </w:tcPr>
          <w:p w14:paraId="67092CA6">
            <w:pPr>
              <w:tabs>
                <w:tab w:val="left" w:pos="1426"/>
              </w:tabs>
              <w:spacing w:line="40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tr w14:paraId="420DB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95" w:hRule="atLeast"/>
          <w:jc w:val="center"/>
        </w:trPr>
        <w:tc>
          <w:tcPr>
            <w:tcW w:w="1293" w:type="pct"/>
            <w:vAlign w:val="center"/>
          </w:tcPr>
          <w:p w14:paraId="5AE85363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与本项目采购需求相关的资质或者认证证书</w:t>
            </w:r>
          </w:p>
        </w:tc>
        <w:tc>
          <w:tcPr>
            <w:tcW w:w="3706" w:type="pct"/>
            <w:gridSpan w:val="4"/>
            <w:vAlign w:val="center"/>
          </w:tcPr>
          <w:p w14:paraId="6819004E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如有请罗列证书名称：</w:t>
            </w:r>
          </w:p>
        </w:tc>
      </w:tr>
      <w:tr w14:paraId="41DF95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76" w:hRule="atLeast"/>
          <w:jc w:val="center"/>
        </w:trPr>
        <w:tc>
          <w:tcPr>
            <w:tcW w:w="1293" w:type="pct"/>
            <w:vAlign w:val="center"/>
          </w:tcPr>
          <w:p w14:paraId="3977BE65">
            <w:pPr>
              <w:pStyle w:val="25"/>
              <w:kinsoku w:val="0"/>
              <w:overflowPunct w:val="0"/>
              <w:spacing w:line="40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人员情况</w:t>
            </w:r>
          </w:p>
        </w:tc>
        <w:tc>
          <w:tcPr>
            <w:tcW w:w="3706" w:type="pct"/>
            <w:gridSpan w:val="4"/>
            <w:vAlign w:val="center"/>
          </w:tcPr>
          <w:p w14:paraId="383816E2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公司实有人员情况：</w:t>
            </w:r>
          </w:p>
          <w:p w14:paraId="31FC4B2E">
            <w:pPr>
              <w:pStyle w:val="25"/>
              <w:kinsoku w:val="0"/>
              <w:overflowPunct w:val="0"/>
              <w:spacing w:line="400" w:lineRule="exact"/>
              <w:ind w:firstLine="0" w:firstLineChars="0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广州地区人员情况：</w:t>
            </w:r>
          </w:p>
        </w:tc>
      </w:tr>
      <w:tr w14:paraId="5E9661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5" w:hRule="atLeast"/>
          <w:jc w:val="center"/>
        </w:trPr>
        <w:tc>
          <w:tcPr>
            <w:tcW w:w="1293" w:type="pct"/>
            <w:vAlign w:val="center"/>
          </w:tcPr>
          <w:p w14:paraId="1B2E8BF6">
            <w:pPr>
              <w:pStyle w:val="25"/>
              <w:kinsoku w:val="0"/>
              <w:overflowPunct w:val="0"/>
              <w:spacing w:line="440" w:lineRule="exact"/>
              <w:ind w:firstLine="0" w:firstLineChars="0"/>
              <w:jc w:val="center"/>
              <w:rPr>
                <w:rFonts w:hAnsi="宋体" w:cs="仿宋"/>
              </w:rPr>
            </w:pPr>
            <w:r>
              <w:rPr>
                <w:rFonts w:hint="eastAsia" w:hAnsi="宋体" w:cs="仿宋"/>
              </w:rPr>
              <w:t>备注</w:t>
            </w:r>
          </w:p>
        </w:tc>
        <w:tc>
          <w:tcPr>
            <w:tcW w:w="3706" w:type="pct"/>
            <w:gridSpan w:val="4"/>
            <w:vAlign w:val="center"/>
          </w:tcPr>
          <w:p w14:paraId="22930F2B">
            <w:pPr>
              <w:spacing w:line="440" w:lineRule="exact"/>
              <w:jc w:val="center"/>
              <w:rPr>
                <w:rFonts w:ascii="宋体" w:hAnsi="宋体" w:eastAsia="宋体" w:cs="仿宋"/>
                <w:sz w:val="24"/>
                <w:szCs w:val="24"/>
              </w:rPr>
            </w:pPr>
          </w:p>
        </w:tc>
      </w:tr>
      <w:bookmarkEnd w:id="0"/>
    </w:tbl>
    <w:p w14:paraId="1AD5A43A">
      <w:pPr>
        <w:pStyle w:val="13"/>
        <w:ind w:firstLine="0" w:firstLineChars="0"/>
      </w:pPr>
    </w:p>
    <w:p w14:paraId="7686FF84">
      <w:pP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br w:type="page"/>
      </w:r>
    </w:p>
    <w:p w14:paraId="3FF87687">
      <w:pPr>
        <w:spacing w:after="209" w:afterLines="67"/>
        <w:rPr>
          <w:rFonts w:asciiTheme="minorEastAsia" w:hAnsiTheme="minorEastAsia" w:cstheme="minorEastAsia"/>
          <w:b/>
          <w:bCs/>
          <w:sz w:val="24"/>
          <w:szCs w:val="24"/>
        </w:rPr>
      </w:pPr>
      <w:r>
        <w:rPr>
          <w:rFonts w:hint="eastAsia" w:asciiTheme="minorEastAsia" w:hAnsiTheme="minorEastAsia" w:cstheme="minorEastAsia"/>
          <w:b/>
          <w:bCs/>
          <w:sz w:val="24"/>
          <w:szCs w:val="24"/>
          <w:lang w:val="en-US" w:eastAsia="zh-CN"/>
        </w:rPr>
        <w:t>二</w:t>
      </w:r>
      <w:r>
        <w:rPr>
          <w:rFonts w:hint="eastAsia" w:asciiTheme="minorEastAsia" w:hAnsiTheme="minorEastAsia" w:cstheme="minorEastAsia"/>
          <w:b/>
          <w:bCs/>
          <w:sz w:val="24"/>
          <w:szCs w:val="24"/>
        </w:rPr>
        <w:t>、需求响应情况（加盖公章）</w:t>
      </w:r>
    </w:p>
    <w:tbl>
      <w:tblPr>
        <w:tblStyle w:val="14"/>
        <w:tblW w:w="5546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7"/>
        <w:gridCol w:w="1404"/>
        <w:gridCol w:w="5057"/>
        <w:gridCol w:w="1547"/>
        <w:gridCol w:w="1018"/>
      </w:tblGrid>
      <w:tr w14:paraId="34FC9FF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25" w:type="pct"/>
            <w:vAlign w:val="center"/>
          </w:tcPr>
          <w:p w14:paraId="0D690DEC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序号</w:t>
            </w:r>
          </w:p>
        </w:tc>
        <w:tc>
          <w:tcPr>
            <w:tcW w:w="743" w:type="pct"/>
            <w:vAlign w:val="center"/>
          </w:tcPr>
          <w:p w14:paraId="390819F1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  <w:lang w:val="en-US" w:eastAsia="zh-CN"/>
              </w:rPr>
              <w:t>需求</w:t>
            </w: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名称</w:t>
            </w:r>
          </w:p>
        </w:tc>
        <w:tc>
          <w:tcPr>
            <w:tcW w:w="2674" w:type="pct"/>
            <w:vAlign w:val="center"/>
          </w:tcPr>
          <w:p w14:paraId="3AF29F7B">
            <w:pPr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功能描述</w:t>
            </w:r>
          </w:p>
        </w:tc>
        <w:tc>
          <w:tcPr>
            <w:tcW w:w="818" w:type="pct"/>
            <w:vAlign w:val="center"/>
          </w:tcPr>
          <w:p w14:paraId="48175FD0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响应情况（完全满足/部分满足/不满足）</w:t>
            </w:r>
          </w:p>
        </w:tc>
        <w:tc>
          <w:tcPr>
            <w:tcW w:w="538" w:type="pct"/>
            <w:vAlign w:val="center"/>
          </w:tcPr>
          <w:p w14:paraId="3D9D2618">
            <w:pPr>
              <w:spacing w:line="200" w:lineRule="atLeast"/>
              <w:jc w:val="center"/>
              <w:rPr>
                <w:rFonts w:ascii="宋体" w:hAnsi="宋体" w:eastAsia="宋体" w:cs="宋体"/>
                <w:b/>
                <w:bCs/>
                <w:szCs w:val="21"/>
              </w:rPr>
            </w:pPr>
            <w:r>
              <w:rPr>
                <w:rFonts w:hint="eastAsia" w:ascii="宋体" w:hAnsi="宋体" w:eastAsia="宋体" w:cs="宋体"/>
                <w:b/>
                <w:bCs/>
                <w:szCs w:val="21"/>
              </w:rPr>
              <w:t>备注（描述偏离情况）</w:t>
            </w:r>
          </w:p>
        </w:tc>
      </w:tr>
      <w:tr w14:paraId="502AE2E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25" w:type="pct"/>
            <w:vAlign w:val="center"/>
          </w:tcPr>
          <w:p w14:paraId="2988F78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404" w:type="dxa"/>
            <w:vAlign w:val="center"/>
          </w:tcPr>
          <w:p w14:paraId="07E2DA96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强化首页内容运营体系</w:t>
            </w:r>
          </w:p>
        </w:tc>
        <w:tc>
          <w:tcPr>
            <w:tcW w:w="5057" w:type="dxa"/>
            <w:vAlign w:val="center"/>
          </w:tcPr>
          <w:p w14:paraId="671E3A4B">
            <w:pPr>
              <w:spacing w:line="200" w:lineRule="atLeast"/>
              <w:jc w:val="left"/>
              <w:rPr>
                <w:rFonts w:hint="eastAsia" w:ascii="宋体" w:hAnsi="宋体" w:eastAsia="宋体" w:cs="宋体"/>
                <w:lang w:eastAsia="zh-CN"/>
              </w:rPr>
            </w:pPr>
            <w:r>
              <w:rPr>
                <w:rFonts w:hint="eastAsia" w:ascii="宋体" w:hAnsi="宋体" w:eastAsia="宋体" w:cs="宋体"/>
              </w:rPr>
              <w:t>在商城首页引入多类型榜单、主题化专题、多元化推荐组件、全周期精选内容四大核心内容模块，新增进入与退出双场景触达能力，上线默认/儿童/长辈三模式差异化展示，全面解决用户搜索目标不明确时的应用分发痛点，提升优质内容的曝光效率与用户粘性。</w:t>
            </w:r>
          </w:p>
        </w:tc>
        <w:tc>
          <w:tcPr>
            <w:tcW w:w="818" w:type="pct"/>
            <w:vAlign w:val="center"/>
          </w:tcPr>
          <w:p w14:paraId="2714253F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38" w:type="pct"/>
            <w:vAlign w:val="center"/>
          </w:tcPr>
          <w:p w14:paraId="4A3AAA26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264AE4A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25" w:type="pct"/>
            <w:vAlign w:val="center"/>
          </w:tcPr>
          <w:p w14:paraId="2879237F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404" w:type="dxa"/>
            <w:vAlign w:val="center"/>
          </w:tcPr>
          <w:p w14:paraId="79579FAE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升级应用全链路发现体验</w:t>
            </w:r>
          </w:p>
        </w:tc>
        <w:tc>
          <w:tcPr>
            <w:tcW w:w="5057" w:type="dxa"/>
            <w:vAlign w:val="center"/>
          </w:tcPr>
          <w:p w14:paraId="36087BFE">
            <w:pPr>
              <w:spacing w:line="200" w:lineRule="atLeast"/>
              <w:jc w:val="lef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优化搜索全流程体验，扩展拼音、语音等多模态输入能力，完善热门搜索、搜索历史、结果排序等核心功能；提供应用列表页排序能力，为用户提供多维度的应用筛选路径，缩短用户的应用决策路径。</w:t>
            </w:r>
          </w:p>
        </w:tc>
        <w:tc>
          <w:tcPr>
            <w:tcW w:w="818" w:type="pct"/>
            <w:vAlign w:val="center"/>
          </w:tcPr>
          <w:p w14:paraId="4CAD99C4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38" w:type="pct"/>
            <w:vAlign w:val="center"/>
          </w:tcPr>
          <w:p w14:paraId="0C24B0EA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5392CA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25" w:type="pct"/>
            <w:vAlign w:val="center"/>
          </w:tcPr>
          <w:p w14:paraId="513F1493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404" w:type="dxa"/>
            <w:vAlign w:val="center"/>
          </w:tcPr>
          <w:p w14:paraId="1C8CA473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完善应用详情页决策支撑体系</w:t>
            </w:r>
          </w:p>
        </w:tc>
        <w:tc>
          <w:tcPr>
            <w:tcW w:w="5057" w:type="dxa"/>
            <w:vAlign w:val="center"/>
          </w:tcPr>
          <w:p w14:paraId="46555337">
            <w:pPr>
              <w:spacing w:line="200" w:lineRule="atLeast"/>
              <w:jc w:val="lef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扩展应用元数据展示维度，新增副标题、下载量、内购标识、年龄分级、隐私说明、更新日志等核心信息；搭建轻量化的用户互动体系，包括点赞、标签化评价、五星评分三大功能，构建完整的应用口碑反馈闭环，为用户提供更充分的下载决策依据。</w:t>
            </w:r>
          </w:p>
        </w:tc>
        <w:tc>
          <w:tcPr>
            <w:tcW w:w="818" w:type="pct"/>
            <w:vAlign w:val="center"/>
          </w:tcPr>
          <w:p w14:paraId="1A149DF0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38" w:type="pct"/>
            <w:vAlign w:val="center"/>
          </w:tcPr>
          <w:p w14:paraId="494F71E7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10AC51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25" w:type="pct"/>
            <w:vAlign w:val="center"/>
          </w:tcPr>
          <w:p w14:paraId="2E084238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404" w:type="dxa"/>
            <w:vAlign w:val="center"/>
          </w:tcPr>
          <w:p w14:paraId="2B50A01D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优化应用管理与推荐能力</w:t>
            </w:r>
          </w:p>
        </w:tc>
        <w:tc>
          <w:tcPr>
            <w:tcW w:w="5057" w:type="dxa"/>
            <w:vAlign w:val="center"/>
          </w:tcPr>
          <w:p w14:paraId="7E9C19B7">
            <w:pPr>
              <w:spacing w:line="200" w:lineRule="atLeast"/>
              <w:jc w:val="lef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新增待更新应用区域，支持批量一键更新与忽略更新操作，降低用户的应用维护成本；基于细化标签体系升级相似应用推荐能力，替代原有推荐逻辑，提升推荐精准度与用户转化效率。</w:t>
            </w:r>
          </w:p>
        </w:tc>
        <w:tc>
          <w:tcPr>
            <w:tcW w:w="818" w:type="pct"/>
            <w:vAlign w:val="center"/>
          </w:tcPr>
          <w:p w14:paraId="10BD85C2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38" w:type="pct"/>
            <w:vAlign w:val="center"/>
          </w:tcPr>
          <w:p w14:paraId="5B54ABBA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46C422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25" w:type="pct"/>
            <w:vAlign w:val="center"/>
          </w:tcPr>
          <w:p w14:paraId="7868D24F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404" w:type="dxa"/>
            <w:vAlign w:val="center"/>
          </w:tcPr>
          <w:p w14:paraId="4C975B5E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</w:rPr>
              <w:t>配套搭建运营后台管理能力</w:t>
            </w:r>
          </w:p>
        </w:tc>
        <w:tc>
          <w:tcPr>
            <w:tcW w:w="5057" w:type="dxa"/>
            <w:vAlign w:val="center"/>
          </w:tcPr>
          <w:p w14:paraId="716CCD2B">
            <w:pPr>
              <w:spacing w:line="200" w:lineRule="atLeast"/>
              <w:jc w:val="left"/>
              <w:rPr>
                <w:rFonts w:hint="eastAsia" w:ascii="宋体" w:hAnsi="宋体" w:eastAsia="宋体" w:cs="宋体"/>
              </w:rPr>
            </w:pPr>
            <w:r>
              <w:rPr>
                <w:rFonts w:hint="eastAsia" w:ascii="宋体" w:hAnsi="宋体" w:eastAsia="宋体" w:cs="宋体"/>
              </w:rPr>
              <w:t>配套建设与优化榜单、专题、内容运营、应用管理、互动运营五大后台管理模块，覆盖前台所有新增功能的全生命周期管理，为运营人员提供可配置、可追溯、可干预的精细化运营工具，支撑前台各项功能的稳定落地与高效迭代。</w:t>
            </w:r>
          </w:p>
        </w:tc>
        <w:tc>
          <w:tcPr>
            <w:tcW w:w="818" w:type="pct"/>
            <w:vAlign w:val="center"/>
          </w:tcPr>
          <w:p w14:paraId="419AF2B2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538" w:type="pct"/>
            <w:vAlign w:val="center"/>
          </w:tcPr>
          <w:p w14:paraId="48D35436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  <w:tr w14:paraId="2C6834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2" w:hRule="atLeast"/>
          <w:jc w:val="center"/>
        </w:trPr>
        <w:tc>
          <w:tcPr>
            <w:tcW w:w="225" w:type="pct"/>
            <w:vAlign w:val="center"/>
          </w:tcPr>
          <w:p w14:paraId="4B3F8CB5">
            <w:pPr>
              <w:numPr>
                <w:ilvl w:val="0"/>
                <w:numId w:val="3"/>
              </w:num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  <w:tc>
          <w:tcPr>
            <w:tcW w:w="1404" w:type="dxa"/>
            <w:vAlign w:val="center"/>
          </w:tcPr>
          <w:p w14:paraId="5EEEC051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系统维保服务</w:t>
            </w:r>
          </w:p>
        </w:tc>
        <w:tc>
          <w:tcPr>
            <w:tcW w:w="5057" w:type="dxa"/>
            <w:vAlign w:val="center"/>
          </w:tcPr>
          <w:p w14:paraId="145BD8E6">
            <w:pPr>
              <w:spacing w:line="200" w:lineRule="atLeast"/>
              <w:jc w:val="center"/>
              <w:rPr>
                <w:rFonts w:hint="eastAsia" w:ascii="宋体" w:hAnsi="宋体" w:eastAsia="宋体" w:cs="宋体"/>
                <w:szCs w:val="21"/>
              </w:rPr>
            </w:pPr>
            <w:r>
              <w:rPr>
                <w:rFonts w:hint="eastAsia" w:ascii="宋体" w:hAnsi="宋体" w:eastAsia="宋体" w:cs="宋体"/>
                <w:szCs w:val="21"/>
                <w:lang w:val="en-US" w:eastAsia="zh-CN"/>
              </w:rPr>
              <w:t>提供系统软件的维保服务，保障系统的稳定、高效运行，包括但不限于定期备份和恢复、异常处理和故障排除、安全防护和漏洞修复、性能优化和资源管理、紧急响应机制、定期评估和优化、环境变更等服务。</w:t>
            </w:r>
          </w:p>
        </w:tc>
        <w:tc>
          <w:tcPr>
            <w:tcW w:w="1547" w:type="dxa"/>
            <w:vAlign w:val="center"/>
          </w:tcPr>
          <w:p w14:paraId="354D4B8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ascii="宋体" w:hAnsi="宋体" w:eastAsia="宋体" w:cs="宋体"/>
                <w:szCs w:val="21"/>
              </w:rPr>
            </w:pPr>
            <w:bookmarkStart w:id="1" w:name="_GoBack"/>
            <w:bookmarkEnd w:id="1"/>
          </w:p>
        </w:tc>
        <w:tc>
          <w:tcPr>
            <w:tcW w:w="538" w:type="pct"/>
            <w:vAlign w:val="center"/>
          </w:tcPr>
          <w:p w14:paraId="552E7E78">
            <w:pPr>
              <w:spacing w:line="200" w:lineRule="atLeast"/>
              <w:jc w:val="center"/>
              <w:rPr>
                <w:rFonts w:ascii="宋体" w:hAnsi="宋体" w:eastAsia="宋体" w:cs="宋体"/>
                <w:szCs w:val="21"/>
              </w:rPr>
            </w:pPr>
          </w:p>
        </w:tc>
      </w:tr>
    </w:tbl>
    <w:p w14:paraId="1022EF27">
      <w:pPr>
        <w:spacing w:after="209" w:afterLines="67"/>
        <w:rPr>
          <w:rFonts w:asciiTheme="minorEastAsia" w:hAnsiTheme="minorEastAsia" w:cstheme="minorEastAsia"/>
          <w:sz w:val="24"/>
          <w:szCs w:val="24"/>
        </w:rPr>
      </w:pPr>
    </w:p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libri Light">
    <w:panose1 w:val="020F03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1509354303"/>
    </w:sdtPr>
    <w:sdtEndPr>
      <w:rPr>
        <w:rFonts w:asciiTheme="minorEastAsia" w:hAnsiTheme="minorEastAsia"/>
        <w:sz w:val="24"/>
        <w:szCs w:val="24"/>
      </w:rPr>
    </w:sdtEndPr>
    <w:sdtContent>
      <w:p w14:paraId="06A2B8FC">
        <w:pPr>
          <w:pStyle w:val="9"/>
          <w:jc w:val="center"/>
          <w:rPr>
            <w:rFonts w:asciiTheme="minorEastAsia" w:hAnsiTheme="minorEastAsia"/>
            <w:sz w:val="24"/>
            <w:szCs w:val="24"/>
          </w:rPr>
        </w:pPr>
        <w:r>
          <w:rPr>
            <w:rFonts w:asciiTheme="minorEastAsia" w:hAnsiTheme="minorEastAsia"/>
            <w:sz w:val="24"/>
            <w:szCs w:val="24"/>
          </w:rPr>
          <w:fldChar w:fldCharType="begin"/>
        </w:r>
        <w:r>
          <w:rPr>
            <w:rFonts w:asciiTheme="minorEastAsia" w:hAnsiTheme="minorEastAsia"/>
            <w:sz w:val="24"/>
            <w:szCs w:val="24"/>
          </w:rPr>
          <w:instrText xml:space="preserve">PAGE   \* MERGEFORMAT</w:instrText>
        </w:r>
        <w:r>
          <w:rPr>
            <w:rFonts w:asciiTheme="minorEastAsia" w:hAnsiTheme="minorEastAsia"/>
            <w:sz w:val="24"/>
            <w:szCs w:val="24"/>
          </w:rPr>
          <w:fldChar w:fldCharType="separate"/>
        </w:r>
        <w:r>
          <w:rPr>
            <w:rFonts w:asciiTheme="minorEastAsia" w:hAnsiTheme="minorEastAsia"/>
            <w:sz w:val="24"/>
            <w:szCs w:val="24"/>
            <w:lang w:val="zh-CN"/>
          </w:rPr>
          <w:t>2</w:t>
        </w:r>
        <w:r>
          <w:rPr>
            <w:rFonts w:asciiTheme="minorEastAsia" w:hAnsiTheme="minorEastAsia"/>
            <w:sz w:val="24"/>
            <w:szCs w:val="24"/>
          </w:rPr>
          <w:fldChar w:fldCharType="end"/>
        </w:r>
      </w:p>
    </w:sdtContent>
  </w:sdt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A7E4C18"/>
    <w:multiLevelType w:val="singleLevel"/>
    <w:tmpl w:val="9A7E4C18"/>
    <w:lvl w:ilvl="0" w:tentative="0">
      <w:start w:val="1"/>
      <w:numFmt w:val="decimal"/>
      <w:lvlText w:val="%1."/>
      <w:lvlJc w:val="left"/>
      <w:pPr>
        <w:ind w:left="425" w:hanging="425"/>
      </w:pPr>
      <w:rPr>
        <w:rFonts w:hint="default"/>
      </w:rPr>
    </w:lvl>
  </w:abstractNum>
  <w:abstractNum w:abstractNumId="1">
    <w:nsid w:val="26007FCA"/>
    <w:multiLevelType w:val="multilevel"/>
    <w:tmpl w:val="26007FCA"/>
    <w:lvl w:ilvl="0" w:tentative="0">
      <w:start w:val="1"/>
      <w:numFmt w:val="chineseCountingThousand"/>
      <w:pStyle w:val="2"/>
      <w:lvlText w:val="%1、"/>
      <w:lvlJc w:val="left"/>
      <w:pPr>
        <w:tabs>
          <w:tab w:val="left" w:pos="432"/>
        </w:tabs>
        <w:ind w:left="432" w:hanging="432"/>
      </w:pPr>
      <w:rPr>
        <w:rFonts w:hint="eastAsia"/>
      </w:rPr>
    </w:lvl>
    <w:lvl w:ilvl="1" w:tentative="0">
      <w:start w:val="1"/>
      <w:numFmt w:val="decimal"/>
      <w:lvlText w:val="3.%2"/>
      <w:lvlJc w:val="left"/>
      <w:pPr>
        <w:tabs>
          <w:tab w:val="left" w:pos="576"/>
        </w:tabs>
        <w:ind w:left="576" w:hanging="576"/>
      </w:pPr>
      <w:rPr>
        <w:rFonts w:hint="eastAsia"/>
      </w:rPr>
    </w:lvl>
    <w:lvl w:ilvl="2" w:tentative="0">
      <w:start w:val="1"/>
      <w:numFmt w:val="decimal"/>
      <w:lvlText w:val="3.5.%3 "/>
      <w:lvlJc w:val="left"/>
      <w:pPr>
        <w:tabs>
          <w:tab w:val="left" w:pos="720"/>
        </w:tabs>
        <w:ind w:left="720" w:hanging="720"/>
      </w:pPr>
      <w:rPr>
        <w:rFonts w:hint="eastAsia"/>
      </w:rPr>
    </w:lvl>
    <w:lvl w:ilvl="3" w:tentative="0">
      <w:start w:val="1"/>
      <w:numFmt w:val="decimal"/>
      <w:lvlText w:val="3.5.1.%4 "/>
      <w:lvlJc w:val="left"/>
      <w:pPr>
        <w:tabs>
          <w:tab w:val="left" w:pos="1440"/>
        </w:tabs>
        <w:ind w:left="1000" w:hanging="1000"/>
      </w:pPr>
      <w:rPr>
        <w:rFonts w:hint="eastAsia"/>
      </w:rPr>
    </w:lvl>
    <w:lvl w:ilvl="4" w:tentative="0">
      <w:start w:val="1"/>
      <w:numFmt w:val="decimal"/>
      <w:lvlText w:val="%1.%2.%3.%4.%5"/>
      <w:lvlJc w:val="left"/>
      <w:pPr>
        <w:tabs>
          <w:tab w:val="left" w:pos="1008"/>
        </w:tabs>
        <w:ind w:left="1008" w:hanging="1008"/>
      </w:pPr>
      <w:rPr>
        <w:rFonts w:hint="eastAsia"/>
      </w:rPr>
    </w:lvl>
    <w:lvl w:ilvl="5" w:tentative="0">
      <w:start w:val="1"/>
      <w:numFmt w:val="decimal"/>
      <w:lvlText w:val="%1.%2.%3.%4.%5.%6"/>
      <w:lvlJc w:val="left"/>
      <w:pPr>
        <w:tabs>
          <w:tab w:val="left" w:pos="1152"/>
        </w:tabs>
        <w:ind w:left="1152" w:hanging="1152"/>
      </w:pPr>
      <w:rPr>
        <w:rFonts w:hint="eastAsia"/>
      </w:rPr>
    </w:lvl>
    <w:lvl w:ilvl="6" w:tentative="0">
      <w:start w:val="1"/>
      <w:numFmt w:val="decimal"/>
      <w:lvlText w:val="%1.%2.%3.%4.%5.%6.%7"/>
      <w:lvlJc w:val="left"/>
      <w:pPr>
        <w:tabs>
          <w:tab w:val="left" w:pos="1296"/>
        </w:tabs>
        <w:ind w:left="1296" w:hanging="1296"/>
      </w:pPr>
      <w:rPr>
        <w:rFonts w:hint="eastAsia"/>
      </w:rPr>
    </w:lvl>
    <w:lvl w:ilvl="7" w:tentative="0">
      <w:start w:val="1"/>
      <w:numFmt w:val="decimal"/>
      <w:lvlText w:val="%1.%2.%3.%4.%5.%6.%7.%8"/>
      <w:lvlJc w:val="left"/>
      <w:pPr>
        <w:tabs>
          <w:tab w:val="left" w:pos="1440"/>
        </w:tabs>
        <w:ind w:left="1440" w:hanging="1440"/>
      </w:pPr>
      <w:rPr>
        <w:rFonts w:hint="eastAsia"/>
      </w:rPr>
    </w:lvl>
    <w:lvl w:ilvl="8" w:tentative="0">
      <w:start w:val="1"/>
      <w:numFmt w:val="decimal"/>
      <w:lvlText w:val="%1.%2.%3.%4.%5.%6.%7.%8.%9"/>
      <w:lvlJc w:val="left"/>
      <w:pPr>
        <w:tabs>
          <w:tab w:val="left" w:pos="1584"/>
        </w:tabs>
        <w:ind w:left="1584" w:hanging="1584"/>
      </w:pPr>
      <w:rPr>
        <w:rFonts w:hint="eastAsia"/>
      </w:rPr>
    </w:lvl>
  </w:abstractNum>
  <w:abstractNum w:abstractNumId="2">
    <w:nsid w:val="2BEE12A5"/>
    <w:multiLevelType w:val="multilevel"/>
    <w:tmpl w:val="2BEE12A5"/>
    <w:lvl w:ilvl="0" w:tentative="0">
      <w:start w:val="1"/>
      <w:numFmt w:val="japaneseCounting"/>
      <w:lvlText w:val="%1、"/>
      <w:lvlJc w:val="left"/>
      <w:pPr>
        <w:ind w:left="495" w:hanging="495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7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ODdkNmU4ZTA0YjI0Zjg3NjA5OWQ4ZDUyMWVkYjZkNzIifQ=="/>
  </w:docVars>
  <w:rsids>
    <w:rsidRoot w:val="509C3417"/>
    <w:rsid w:val="000912E9"/>
    <w:rsid w:val="001B31A9"/>
    <w:rsid w:val="005E15D2"/>
    <w:rsid w:val="00687B51"/>
    <w:rsid w:val="006E3F95"/>
    <w:rsid w:val="00706D87"/>
    <w:rsid w:val="007F4EBD"/>
    <w:rsid w:val="00943FEC"/>
    <w:rsid w:val="00B419DF"/>
    <w:rsid w:val="00B71228"/>
    <w:rsid w:val="00B73413"/>
    <w:rsid w:val="00C106C7"/>
    <w:rsid w:val="00CB7498"/>
    <w:rsid w:val="00DF1D82"/>
    <w:rsid w:val="00EC18DF"/>
    <w:rsid w:val="01544C76"/>
    <w:rsid w:val="019B1834"/>
    <w:rsid w:val="02AE1145"/>
    <w:rsid w:val="036C34DA"/>
    <w:rsid w:val="03A4265D"/>
    <w:rsid w:val="04B35139"/>
    <w:rsid w:val="050A1AB6"/>
    <w:rsid w:val="069521F9"/>
    <w:rsid w:val="0730481F"/>
    <w:rsid w:val="078D3A1F"/>
    <w:rsid w:val="08601134"/>
    <w:rsid w:val="0AC97464"/>
    <w:rsid w:val="0B3E3F0C"/>
    <w:rsid w:val="0BBA6DAD"/>
    <w:rsid w:val="0BF20AD4"/>
    <w:rsid w:val="0CEA556C"/>
    <w:rsid w:val="10CE4387"/>
    <w:rsid w:val="11A150AB"/>
    <w:rsid w:val="11EA0E33"/>
    <w:rsid w:val="123956DC"/>
    <w:rsid w:val="13C857F6"/>
    <w:rsid w:val="14B35F82"/>
    <w:rsid w:val="18491716"/>
    <w:rsid w:val="1A03020C"/>
    <w:rsid w:val="1AD47E27"/>
    <w:rsid w:val="1CCE3EDB"/>
    <w:rsid w:val="1EF65EF6"/>
    <w:rsid w:val="21FD7606"/>
    <w:rsid w:val="220420C6"/>
    <w:rsid w:val="258B383C"/>
    <w:rsid w:val="25B33FCA"/>
    <w:rsid w:val="25EE55BB"/>
    <w:rsid w:val="262730A1"/>
    <w:rsid w:val="27C63FD7"/>
    <w:rsid w:val="280A3BE6"/>
    <w:rsid w:val="2A050591"/>
    <w:rsid w:val="2BA43D81"/>
    <w:rsid w:val="2E2B5035"/>
    <w:rsid w:val="2E9322F5"/>
    <w:rsid w:val="30E12562"/>
    <w:rsid w:val="31EA74FC"/>
    <w:rsid w:val="324A4137"/>
    <w:rsid w:val="343706EB"/>
    <w:rsid w:val="35750372"/>
    <w:rsid w:val="35F745D6"/>
    <w:rsid w:val="360712B0"/>
    <w:rsid w:val="38B40117"/>
    <w:rsid w:val="3B52171B"/>
    <w:rsid w:val="3CAB670C"/>
    <w:rsid w:val="3FD057F7"/>
    <w:rsid w:val="402B55A8"/>
    <w:rsid w:val="426A1DB3"/>
    <w:rsid w:val="450F36EA"/>
    <w:rsid w:val="45F750AA"/>
    <w:rsid w:val="46384F0C"/>
    <w:rsid w:val="476C2E05"/>
    <w:rsid w:val="4CAC5CC3"/>
    <w:rsid w:val="4EAB089F"/>
    <w:rsid w:val="4EE243ED"/>
    <w:rsid w:val="50792C6A"/>
    <w:rsid w:val="509C3417"/>
    <w:rsid w:val="51E87E4E"/>
    <w:rsid w:val="52EE0219"/>
    <w:rsid w:val="5A4B1C58"/>
    <w:rsid w:val="5EC75FCE"/>
    <w:rsid w:val="5F660EF9"/>
    <w:rsid w:val="61FEF1DB"/>
    <w:rsid w:val="62F010AB"/>
    <w:rsid w:val="630B0E65"/>
    <w:rsid w:val="63C27722"/>
    <w:rsid w:val="640B3432"/>
    <w:rsid w:val="671609C5"/>
    <w:rsid w:val="68E83A44"/>
    <w:rsid w:val="6B590552"/>
    <w:rsid w:val="6C115677"/>
    <w:rsid w:val="6CA53D7D"/>
    <w:rsid w:val="6CEC4715"/>
    <w:rsid w:val="6D185599"/>
    <w:rsid w:val="715156A2"/>
    <w:rsid w:val="76343069"/>
    <w:rsid w:val="76D94382"/>
    <w:rsid w:val="779605E4"/>
    <w:rsid w:val="77BB3365"/>
    <w:rsid w:val="7AAF67FA"/>
    <w:rsid w:val="7CB00608"/>
    <w:rsid w:val="7E6064F7"/>
    <w:rsid w:val="F7FFB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semiHidden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qFormat="1" w:uiPriority="99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name="annotation text"/>
    <w:lsdException w:qFormat="1"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3"/>
    <w:qFormat/>
    <w:uiPriority w:val="0"/>
    <w:pPr>
      <w:keepNext/>
      <w:keepLines/>
      <w:pageBreakBefore/>
      <w:numPr>
        <w:ilvl w:val="0"/>
        <w:numId w:val="1"/>
      </w:numPr>
      <w:spacing w:before="340" w:afterLines="50" w:line="578" w:lineRule="auto"/>
      <w:outlineLvl w:val="0"/>
    </w:pPr>
    <w:rPr>
      <w:rFonts w:eastAsia="黑体" w:cs="Times New Roman"/>
      <w:b/>
      <w:bCs/>
      <w:spacing w:val="20"/>
      <w:kern w:val="44"/>
      <w:sz w:val="36"/>
      <w:szCs w:val="44"/>
    </w:rPr>
  </w:style>
  <w:style w:type="paragraph" w:styleId="4">
    <w:name w:val="heading 2"/>
    <w:basedOn w:val="1"/>
    <w:next w:val="5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2E75B6" w:themeColor="accent1" w:themeShade="BF"/>
      <w:sz w:val="32"/>
      <w:szCs w:val="32"/>
    </w:rPr>
  </w:style>
  <w:style w:type="paragraph" w:styleId="6">
    <w:name w:val="heading 3"/>
    <w:basedOn w:val="1"/>
    <w:next w:val="5"/>
    <w:unhideWhenUsed/>
    <w:qFormat/>
    <w:uiPriority w:val="9"/>
    <w:pPr>
      <w:keepNext/>
      <w:keepLines/>
      <w:spacing w:before="160" w:after="80"/>
      <w:outlineLvl w:val="2"/>
    </w:pPr>
    <w:rPr>
      <w:rFonts w:eastAsiaTheme="majorEastAsia" w:cstheme="majorBidi"/>
      <w:color w:val="2E75B6" w:themeColor="accent1" w:themeShade="BF"/>
      <w:sz w:val="28"/>
      <w:szCs w:val="28"/>
    </w:rPr>
  </w:style>
  <w:style w:type="character" w:default="1" w:styleId="16">
    <w:name w:val="Default Paragraph Font"/>
    <w:semiHidden/>
    <w:unhideWhenUsed/>
    <w:qFormat/>
    <w:uiPriority w:val="1"/>
  </w:style>
  <w:style w:type="table" w:default="1" w:styleId="1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Indent"/>
    <w:basedOn w:val="1"/>
    <w:qFormat/>
    <w:uiPriority w:val="0"/>
    <w:pPr>
      <w:spacing w:afterLines="50" w:line="360" w:lineRule="auto"/>
      <w:ind w:firstLine="420" w:firstLineChars="200"/>
    </w:pPr>
    <w:rPr>
      <w:rFonts w:ascii="Times New Roman" w:hAnsi="Times New Roman" w:eastAsia="宋体" w:cs="Times New Roman"/>
      <w:szCs w:val="24"/>
    </w:rPr>
  </w:style>
  <w:style w:type="paragraph" w:styleId="5">
    <w:name w:val="Body Text"/>
    <w:basedOn w:val="1"/>
    <w:qFormat/>
    <w:uiPriority w:val="99"/>
    <w:pPr>
      <w:spacing w:after="120"/>
    </w:pPr>
  </w:style>
  <w:style w:type="paragraph" w:styleId="7">
    <w:name w:val="annotation text"/>
    <w:basedOn w:val="1"/>
    <w:semiHidden/>
    <w:qFormat/>
    <w:uiPriority w:val="0"/>
    <w:pPr>
      <w:jc w:val="left"/>
    </w:pPr>
  </w:style>
  <w:style w:type="paragraph" w:styleId="8">
    <w:name w:val="Balloon Text"/>
    <w:basedOn w:val="1"/>
    <w:link w:val="19"/>
    <w:qFormat/>
    <w:uiPriority w:val="0"/>
    <w:rPr>
      <w:sz w:val="18"/>
      <w:szCs w:val="18"/>
    </w:rPr>
  </w:style>
  <w:style w:type="paragraph" w:styleId="9">
    <w:name w:val="footer"/>
    <w:basedOn w:val="1"/>
    <w:link w:val="18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12">
    <w:name w:val="index 1"/>
    <w:basedOn w:val="1"/>
    <w:next w:val="1"/>
    <w:unhideWhenUsed/>
    <w:qFormat/>
    <w:uiPriority w:val="99"/>
    <w:pPr>
      <w:spacing w:line="200" w:lineRule="atLeast"/>
      <w:jc w:val="center"/>
    </w:pPr>
    <w:rPr>
      <w:rFonts w:ascii="宋体" w:hAnsi="宋体"/>
    </w:rPr>
  </w:style>
  <w:style w:type="paragraph" w:styleId="13">
    <w:name w:val="Body Text First Indent"/>
    <w:basedOn w:val="5"/>
    <w:qFormat/>
    <w:uiPriority w:val="0"/>
    <w:pPr>
      <w:ind w:firstLine="420" w:firstLineChars="100"/>
    </w:pPr>
    <w:rPr>
      <w:szCs w:val="24"/>
    </w:rPr>
  </w:style>
  <w:style w:type="table" w:styleId="15">
    <w:name w:val="Table Grid"/>
    <w:basedOn w:val="14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17">
    <w:name w:val="页眉 Char"/>
    <w:basedOn w:val="16"/>
    <w:link w:val="10"/>
    <w:qFormat/>
    <w:uiPriority w:val="0"/>
    <w:rPr>
      <w:kern w:val="2"/>
      <w:sz w:val="18"/>
      <w:szCs w:val="18"/>
    </w:rPr>
  </w:style>
  <w:style w:type="character" w:customStyle="1" w:styleId="18">
    <w:name w:val="页脚 Char"/>
    <w:basedOn w:val="16"/>
    <w:link w:val="9"/>
    <w:qFormat/>
    <w:uiPriority w:val="99"/>
    <w:rPr>
      <w:kern w:val="2"/>
      <w:sz w:val="18"/>
      <w:szCs w:val="18"/>
    </w:rPr>
  </w:style>
  <w:style w:type="character" w:customStyle="1" w:styleId="19">
    <w:name w:val="批注框文本 Char"/>
    <w:basedOn w:val="16"/>
    <w:link w:val="8"/>
    <w:qFormat/>
    <w:uiPriority w:val="0"/>
    <w:rPr>
      <w:kern w:val="2"/>
      <w:sz w:val="18"/>
      <w:szCs w:val="18"/>
    </w:rPr>
  </w:style>
  <w:style w:type="character" w:customStyle="1" w:styleId="20">
    <w:name w:val="font31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21">
    <w:name w:val="font01"/>
    <w:qFormat/>
    <w:uiPriority w:val="0"/>
    <w:rPr>
      <w:rFonts w:hint="default" w:ascii="Arial" w:hAnsi="Arial" w:cs="Arial"/>
      <w:color w:val="000000"/>
      <w:sz w:val="20"/>
      <w:szCs w:val="20"/>
      <w:u w:val="none"/>
    </w:rPr>
  </w:style>
  <w:style w:type="paragraph" w:customStyle="1" w:styleId="22">
    <w:name w:val="Table Text"/>
    <w:basedOn w:val="1"/>
    <w:semiHidden/>
    <w:qFormat/>
    <w:uiPriority w:val="0"/>
    <w:rPr>
      <w:rFonts w:ascii="宋体" w:hAnsi="宋体" w:eastAsia="宋体" w:cs="宋体"/>
      <w:sz w:val="20"/>
      <w:szCs w:val="20"/>
      <w:lang w:eastAsia="en-US"/>
    </w:rPr>
  </w:style>
  <w:style w:type="table" w:customStyle="1" w:styleId="23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24">
    <w:name w:val="List Paragraph"/>
    <w:basedOn w:val="1"/>
    <w:qFormat/>
    <w:uiPriority w:val="99"/>
    <w:pPr>
      <w:ind w:firstLine="420" w:firstLineChars="200"/>
    </w:pPr>
  </w:style>
  <w:style w:type="paragraph" w:customStyle="1" w:styleId="25">
    <w:name w:val="Table Paragraph"/>
    <w:basedOn w:val="1"/>
    <w:qFormat/>
    <w:uiPriority w:val="1"/>
    <w:pPr>
      <w:autoSpaceDE w:val="0"/>
      <w:autoSpaceDN w:val="0"/>
      <w:adjustRightInd w:val="0"/>
      <w:spacing w:line="360" w:lineRule="auto"/>
      <w:ind w:firstLine="200" w:firstLineChars="200"/>
    </w:pPr>
    <w:rPr>
      <w:rFonts w:ascii="宋体" w:hAnsi="Times New Roman" w:eastAsia="宋体" w:cs="宋体"/>
      <w:kern w:val="0"/>
      <w:sz w:val="24"/>
      <w:szCs w:val="24"/>
    </w:rPr>
  </w:style>
  <w:style w:type="paragraph" w:customStyle="1" w:styleId="26">
    <w:name w:val="First Paragraph"/>
    <w:basedOn w:val="5"/>
    <w:next w:val="5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813</Words>
  <Characters>825</Characters>
  <Lines>12</Lines>
  <Paragraphs>3</Paragraphs>
  <TotalTime>0</TotalTime>
  <ScaleCrop>false</ScaleCrop>
  <LinksUpToDate>false</LinksUpToDate>
  <CharactersWithSpaces>830</CharactersWithSpaces>
  <Application>WPS Office_12.1.0.22525_F1E327BC-269C-435d-A152-05C5408002CA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2025-05-29T07:26:00Z</dcterms:created>
  <dc:creator>ZFCG</dc:creator>
  <cp:lastModifiedBy>gc</cp:lastModifiedBy>
  <dcterms:modified xsi:type="dcterms:W3CDTF">2026-05-25T08:26:58Z</dcterms:modified>
  <cp:revision>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2052-12.1.0.22525</vt:lpwstr>
  </property>
  <property fmtid="{D5CDD505-2E9C-101B-9397-08002B2CF9AE}" pid="3" name="ICV">
    <vt:lpwstr>6AC327FFED434BA592769BFDA256A8DE</vt:lpwstr>
  </property>
  <property fmtid="{D5CDD505-2E9C-101B-9397-08002B2CF9AE}" pid="4" name="KSOTemplateDocerSaveRecord">
    <vt:lpwstr>eyJoZGlkIjoiNzg5M2RhNDE3ZjYzZmU1MTk2Yzc0ZjQ5NWVkMGNjNmUiLCJ1c2VySWQiOiI2MjU5ODg1NTIifQ==</vt:lpwstr>
  </property>
</Properties>
</file>