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FA76FD">
      <w:pPr>
        <w:spacing w:before="480" w:after="480" w:line="288" w:lineRule="auto"/>
        <w:rPr>
          <w:rFonts w:hint="eastAsia" w:ascii="宋体" w:hAnsi="宋体" w:eastAsia="宋体" w:cs="宋体"/>
        </w:rPr>
      </w:pPr>
      <w:r>
        <w:rPr>
          <w:rFonts w:hint="eastAsia" w:ascii="宋体" w:hAnsi="宋体" w:eastAsia="宋体" w:cs="宋体"/>
          <w:b/>
          <w:sz w:val="52"/>
        </w:rPr>
        <w:t>2026年IPTV应用商城优化建设项目</w:t>
      </w:r>
    </w:p>
    <w:p w14:paraId="74B37204">
      <w:pPr>
        <w:spacing w:before="380" w:after="140" w:line="288" w:lineRule="auto"/>
        <w:outlineLvl w:val="0"/>
        <w:rPr>
          <w:rFonts w:hint="eastAsia" w:ascii="宋体" w:hAnsi="宋体" w:eastAsia="宋体" w:cs="宋体"/>
          <w:lang w:val="en-US" w:eastAsia="zh-CN"/>
        </w:rPr>
      </w:pPr>
      <w:bookmarkStart w:id="0" w:name="heading_0"/>
      <w:r>
        <w:rPr>
          <w:rFonts w:hint="eastAsia" w:ascii="宋体" w:hAnsi="宋体" w:eastAsia="宋体" w:cs="宋体"/>
          <w:color w:val="3370FF"/>
          <w:sz w:val="36"/>
        </w:rPr>
        <w:t xml:space="preserve">1. </w:t>
      </w:r>
      <w:bookmarkEnd w:id="0"/>
      <w:r>
        <w:rPr>
          <w:rFonts w:hint="eastAsia" w:ascii="宋体" w:hAnsi="宋体" w:eastAsia="宋体" w:cs="宋体"/>
          <w:color w:val="auto"/>
          <w:sz w:val="36"/>
          <w:lang w:val="en-US" w:eastAsia="zh-CN"/>
        </w:rPr>
        <w:t>背景</w:t>
      </w:r>
    </w:p>
    <w:p w14:paraId="232A06CE">
      <w:pPr>
        <w:spacing w:before="120" w:after="120" w:line="288" w:lineRule="auto"/>
        <w:rPr>
          <w:rFonts w:hint="eastAsia" w:ascii="宋体" w:hAnsi="宋体" w:eastAsia="宋体" w:cs="宋体"/>
        </w:rPr>
      </w:pPr>
      <w:r>
        <w:rPr>
          <w:rFonts w:hint="eastAsia" w:ascii="宋体" w:hAnsi="宋体" w:eastAsia="宋体" w:cs="宋体"/>
          <w:lang w:val="en-US" w:eastAsia="zh-CN"/>
        </w:rPr>
        <w:t>在前期建设了一套IPTV应用商城，</w:t>
      </w:r>
      <w:r>
        <w:rPr>
          <w:rFonts w:hint="eastAsia" w:ascii="宋体" w:hAnsi="宋体" w:eastAsia="宋体" w:cs="宋体"/>
        </w:rPr>
        <w:t>现已具备应用管理、展示、下载、运行等核心服务能力。随着用户规模持续扩大与业务精细化运营需求的不断提升，计划</w:t>
      </w:r>
      <w:bookmarkStart w:id="66" w:name="_GoBack"/>
      <w:r>
        <w:rPr>
          <w:rFonts w:hint="eastAsia" w:ascii="宋体" w:hAnsi="宋体" w:eastAsia="宋体" w:cs="宋体"/>
        </w:rPr>
        <w:t>在现有IPTV应用商城系统的基础上</w:t>
      </w:r>
      <w:r>
        <w:rPr>
          <w:rFonts w:hint="eastAsia" w:ascii="宋体" w:hAnsi="宋体" w:eastAsia="宋体" w:cs="宋体"/>
          <w:lang w:val="en-US" w:eastAsia="zh-CN"/>
        </w:rPr>
        <w:t>进行扩容优化，扩容后需兼容原有系统的功能，不能影响现有功能的使用</w:t>
      </w:r>
      <w:bookmarkEnd w:id="66"/>
      <w:r>
        <w:rPr>
          <w:rFonts w:hint="eastAsia" w:ascii="宋体" w:hAnsi="宋体" w:eastAsia="宋体" w:cs="宋体"/>
          <w:lang w:val="en-US" w:eastAsia="zh-CN"/>
        </w:rPr>
        <w:t>。</w:t>
      </w:r>
    </w:p>
    <w:p w14:paraId="106CB310">
      <w:pPr>
        <w:spacing w:before="380" w:after="140" w:line="288" w:lineRule="auto"/>
        <w:outlineLvl w:val="0"/>
        <w:rPr>
          <w:rFonts w:hint="eastAsia" w:ascii="宋体" w:hAnsi="宋体" w:eastAsia="宋体" w:cs="宋体"/>
        </w:rPr>
      </w:pPr>
      <w:bookmarkStart w:id="1" w:name="heading_1"/>
      <w:r>
        <w:rPr>
          <w:rFonts w:hint="eastAsia" w:ascii="宋体" w:hAnsi="宋体" w:eastAsia="宋体" w:cs="宋体"/>
          <w:color w:val="3370FF"/>
          <w:sz w:val="36"/>
        </w:rPr>
        <w:t xml:space="preserve">2. </w:t>
      </w:r>
      <w:r>
        <w:rPr>
          <w:rFonts w:hint="eastAsia" w:ascii="宋体" w:hAnsi="宋体" w:eastAsia="宋体" w:cs="宋体"/>
          <w:b/>
          <w:sz w:val="36"/>
        </w:rPr>
        <w:t>需求概述</w:t>
      </w:r>
      <w:bookmarkEnd w:id="1"/>
    </w:p>
    <w:p w14:paraId="351E204A">
      <w:pPr>
        <w:spacing w:before="120" w:after="120" w:line="288" w:lineRule="auto"/>
        <w:rPr>
          <w:rFonts w:hint="eastAsia" w:ascii="宋体" w:hAnsi="宋体" w:eastAsia="宋体" w:cs="宋体"/>
        </w:rPr>
      </w:pPr>
      <w:r>
        <w:rPr>
          <w:rFonts w:hint="eastAsia" w:ascii="宋体" w:hAnsi="宋体" w:eastAsia="宋体" w:cs="宋体"/>
        </w:rPr>
        <w:t>本期项目以提升用户应用发现体验与平台精细化运营效率为核心目标，围绕前端功能优化与运营管理后台建设两条主线展开，具体包括以下核心方向：</w:t>
      </w:r>
    </w:p>
    <w:p w14:paraId="5FC9888E">
      <w:pPr>
        <w:numPr>
          <w:ilvl w:val="0"/>
          <w:numId w:val="3"/>
        </w:numPr>
        <w:spacing w:before="120" w:after="120" w:line="288" w:lineRule="auto"/>
        <w:rPr>
          <w:rFonts w:hint="eastAsia" w:ascii="宋体" w:hAnsi="宋体" w:eastAsia="宋体" w:cs="宋体"/>
        </w:rPr>
      </w:pPr>
      <w:r>
        <w:rPr>
          <w:rFonts w:hint="eastAsia" w:ascii="宋体" w:hAnsi="宋体" w:eastAsia="宋体" w:cs="宋体"/>
          <w:b/>
        </w:rPr>
        <w:t>强化首页内容运营体系</w:t>
      </w:r>
    </w:p>
    <w:p w14:paraId="518888FA">
      <w:pPr>
        <w:spacing w:before="120" w:after="120" w:line="288" w:lineRule="auto"/>
        <w:rPr>
          <w:rFonts w:hint="eastAsia" w:ascii="宋体" w:hAnsi="宋体" w:eastAsia="宋体" w:cs="宋体"/>
        </w:rPr>
      </w:pPr>
      <w:r>
        <w:rPr>
          <w:rFonts w:hint="eastAsia" w:ascii="宋体" w:hAnsi="宋体" w:eastAsia="宋体" w:cs="宋体"/>
        </w:rPr>
        <w:t>在商城首页引入多类型榜单、主题化专题、多元化推荐组件、全周期精选内容四大核心内容模块，新增进入与退出双场景触达能力，上线默认/儿童/长辈三模式差异化展示，全面解决用户搜索目标不明确时的应用分发痛点，提升优质内容的曝光效率与用户粘性。</w:t>
      </w:r>
    </w:p>
    <w:p w14:paraId="7DFBAD0B">
      <w:pPr>
        <w:numPr>
          <w:ilvl w:val="0"/>
          <w:numId w:val="4"/>
        </w:numPr>
        <w:spacing w:before="120" w:after="120" w:line="288" w:lineRule="auto"/>
        <w:rPr>
          <w:rFonts w:hint="eastAsia" w:ascii="宋体" w:hAnsi="宋体" w:eastAsia="宋体" w:cs="宋体"/>
        </w:rPr>
      </w:pPr>
      <w:r>
        <w:rPr>
          <w:rFonts w:hint="eastAsia" w:ascii="宋体" w:hAnsi="宋体" w:eastAsia="宋体" w:cs="宋体"/>
          <w:b/>
        </w:rPr>
        <w:t>升级应用全链路发现体验</w:t>
      </w:r>
    </w:p>
    <w:p w14:paraId="3B2A711D">
      <w:pPr>
        <w:spacing w:before="120" w:after="120" w:line="288" w:lineRule="auto"/>
        <w:rPr>
          <w:rFonts w:hint="eastAsia" w:ascii="宋体" w:hAnsi="宋体" w:eastAsia="宋体" w:cs="宋体"/>
        </w:rPr>
      </w:pPr>
      <w:r>
        <w:rPr>
          <w:rFonts w:hint="eastAsia" w:ascii="宋体" w:hAnsi="宋体" w:eastAsia="宋体" w:cs="宋体"/>
        </w:rPr>
        <w:t>优化搜索全流程体验，扩展拼音、语音等多模态输入能力，完善热门搜索、搜索历史、结果排序等核心功能；提供应用列表页排序能力，为用户提供多维度的应用筛选路径，缩短用户的应用决策路径。</w:t>
      </w:r>
    </w:p>
    <w:p w14:paraId="66423196">
      <w:pPr>
        <w:numPr>
          <w:ilvl w:val="0"/>
          <w:numId w:val="5"/>
        </w:numPr>
        <w:spacing w:before="120" w:after="120" w:line="288" w:lineRule="auto"/>
        <w:rPr>
          <w:rFonts w:hint="eastAsia" w:ascii="宋体" w:hAnsi="宋体" w:eastAsia="宋体" w:cs="宋体"/>
        </w:rPr>
      </w:pPr>
      <w:r>
        <w:rPr>
          <w:rFonts w:hint="eastAsia" w:ascii="宋体" w:hAnsi="宋体" w:eastAsia="宋体" w:cs="宋体"/>
          <w:b/>
        </w:rPr>
        <w:t>完善应用详情页决策支撑体系</w:t>
      </w:r>
    </w:p>
    <w:p w14:paraId="14752F59">
      <w:pPr>
        <w:spacing w:before="120" w:after="120" w:line="288" w:lineRule="auto"/>
        <w:rPr>
          <w:rFonts w:hint="eastAsia" w:ascii="宋体" w:hAnsi="宋体" w:eastAsia="宋体" w:cs="宋体"/>
        </w:rPr>
      </w:pPr>
      <w:r>
        <w:rPr>
          <w:rFonts w:hint="eastAsia" w:ascii="宋体" w:hAnsi="宋体" w:eastAsia="宋体" w:cs="宋体"/>
        </w:rPr>
        <w:t>扩展应用元数据展示维度，新增副标题、下载量、内购标识、年龄分级、隐私说明、更新日志等核心信息；搭建轻量化的用户互动体系，包括点赞、标签化评价、五星评分三大功能，构建完整的应用口碑反馈闭环，为用户提供更充分的下载决策依据。</w:t>
      </w:r>
    </w:p>
    <w:p w14:paraId="6EA6135D">
      <w:pPr>
        <w:numPr>
          <w:ilvl w:val="0"/>
          <w:numId w:val="6"/>
        </w:numPr>
        <w:spacing w:before="120" w:after="120" w:line="288" w:lineRule="auto"/>
        <w:rPr>
          <w:rFonts w:hint="eastAsia" w:ascii="宋体" w:hAnsi="宋体" w:eastAsia="宋体" w:cs="宋体"/>
        </w:rPr>
      </w:pPr>
      <w:r>
        <w:rPr>
          <w:rFonts w:hint="eastAsia" w:ascii="宋体" w:hAnsi="宋体" w:eastAsia="宋体" w:cs="宋体"/>
          <w:b/>
        </w:rPr>
        <w:t>优化应用管理与推荐能力</w:t>
      </w:r>
    </w:p>
    <w:p w14:paraId="7441D32A">
      <w:pPr>
        <w:spacing w:before="120" w:after="120" w:line="288" w:lineRule="auto"/>
        <w:rPr>
          <w:rFonts w:hint="eastAsia" w:ascii="宋体" w:hAnsi="宋体" w:eastAsia="宋体" w:cs="宋体"/>
        </w:rPr>
      </w:pPr>
      <w:r>
        <w:rPr>
          <w:rFonts w:hint="eastAsia" w:ascii="宋体" w:hAnsi="宋体" w:eastAsia="宋体" w:cs="宋体"/>
        </w:rPr>
        <w:t>新增待更新应用区域，支持批量一键更新与忽略更新操作，降低用户的应用维护成本；基于细化标签体系升级相似应用推荐能力，替代原有推荐逻辑，提升推荐精准度与用户转化效率。</w:t>
      </w:r>
    </w:p>
    <w:p w14:paraId="1C4EE02E">
      <w:pPr>
        <w:numPr>
          <w:ilvl w:val="0"/>
          <w:numId w:val="7"/>
        </w:numPr>
        <w:spacing w:before="120" w:after="120" w:line="288" w:lineRule="auto"/>
        <w:rPr>
          <w:rFonts w:hint="eastAsia" w:ascii="宋体" w:hAnsi="宋体" w:eastAsia="宋体" w:cs="宋体"/>
        </w:rPr>
      </w:pPr>
      <w:r>
        <w:rPr>
          <w:rFonts w:hint="eastAsia" w:ascii="宋体" w:hAnsi="宋体" w:eastAsia="宋体" w:cs="宋体"/>
          <w:b/>
        </w:rPr>
        <w:t>配套搭建运营后台管理能力</w:t>
      </w:r>
    </w:p>
    <w:p w14:paraId="18FB0A2C">
      <w:pPr>
        <w:spacing w:before="120" w:after="120" w:line="288" w:lineRule="auto"/>
        <w:rPr>
          <w:rFonts w:hint="eastAsia" w:ascii="宋体" w:hAnsi="宋体" w:eastAsia="宋体" w:cs="宋体"/>
        </w:rPr>
      </w:pPr>
      <w:r>
        <w:rPr>
          <w:rFonts w:hint="eastAsia" w:ascii="宋体" w:hAnsi="宋体" w:eastAsia="宋体" w:cs="宋体"/>
        </w:rPr>
        <w:t>配套建设与优化榜单、专题、内容运营、应用管理、互动运营五大后台管理模块，覆盖前台所有新增功能的全生命周期管理，为运营人员提供可配置、可追溯、可干预的精细化运营工具，支撑前台各项功能的稳定落地与高效迭代。</w:t>
      </w:r>
    </w:p>
    <w:p w14:paraId="7FA03ACC">
      <w:pPr>
        <w:spacing w:before="380" w:after="140" w:line="288" w:lineRule="auto"/>
        <w:outlineLvl w:val="0"/>
        <w:rPr>
          <w:rFonts w:hint="eastAsia" w:ascii="宋体" w:hAnsi="宋体" w:eastAsia="宋体" w:cs="宋体"/>
        </w:rPr>
      </w:pPr>
      <w:bookmarkStart w:id="2" w:name="heading_2"/>
      <w:r>
        <w:rPr>
          <w:rFonts w:hint="eastAsia" w:ascii="宋体" w:hAnsi="宋体" w:eastAsia="宋体" w:cs="宋体"/>
          <w:color w:val="3370FF"/>
          <w:sz w:val="36"/>
        </w:rPr>
        <w:t xml:space="preserve">3. </w:t>
      </w:r>
      <w:r>
        <w:rPr>
          <w:rFonts w:hint="eastAsia" w:ascii="宋体" w:hAnsi="宋体" w:eastAsia="宋体" w:cs="宋体"/>
          <w:b/>
          <w:sz w:val="36"/>
        </w:rPr>
        <w:t>详细需求描述</w:t>
      </w:r>
      <w:bookmarkEnd w:id="2"/>
    </w:p>
    <w:p w14:paraId="6D7820D4">
      <w:pPr>
        <w:spacing w:before="320" w:after="120" w:line="288" w:lineRule="auto"/>
        <w:outlineLvl w:val="1"/>
        <w:rPr>
          <w:rFonts w:hint="eastAsia" w:ascii="宋体" w:hAnsi="宋体" w:eastAsia="宋体" w:cs="宋体"/>
        </w:rPr>
      </w:pPr>
      <w:bookmarkStart w:id="3" w:name="heading_3"/>
      <w:r>
        <w:rPr>
          <w:rFonts w:hint="eastAsia" w:ascii="宋体" w:hAnsi="宋体" w:eastAsia="宋体" w:cs="宋体"/>
          <w:color w:val="3370FF"/>
          <w:sz w:val="32"/>
        </w:rPr>
        <w:t xml:space="preserve">3.1 </w:t>
      </w:r>
      <w:r>
        <w:rPr>
          <w:rFonts w:hint="eastAsia" w:ascii="宋体" w:hAnsi="宋体" w:eastAsia="宋体" w:cs="宋体"/>
          <w:b/>
          <w:sz w:val="32"/>
        </w:rPr>
        <w:t>整体架构</w:t>
      </w:r>
      <w:bookmarkEnd w:id="3"/>
    </w:p>
    <w:p w14:paraId="34905196">
      <w:pPr>
        <w:spacing w:before="120" w:after="120" w:line="288" w:lineRule="auto"/>
        <w:rPr>
          <w:rFonts w:hint="eastAsia" w:ascii="宋体" w:hAnsi="宋体" w:eastAsia="宋体" w:cs="宋体"/>
        </w:rPr>
      </w:pPr>
      <w:r>
        <w:rPr>
          <w:rFonts w:hint="eastAsia" w:ascii="宋体" w:hAnsi="宋体" w:eastAsia="宋体" w:cs="宋体"/>
        </w:rPr>
        <w:t>IPTV应用商城采用统一中心、分域建设模式，目前已建成中心域、移动域、联通域，实现IPTV应用的管理、展示、下载、运行等核心功能。平台目前拥有管理后台、应用接口、数据服务、下载服务、应用商城APK等关键功能模块，通过与IPTV运营平台、可视化桌面等系统对接，实现覆盖IPTV业务的应用管理全流程业务场景。</w:t>
      </w:r>
    </w:p>
    <w:p w14:paraId="1F96C8FA">
      <w:pPr>
        <w:spacing w:before="120" w:after="120" w:line="288" w:lineRule="auto"/>
        <w:rPr>
          <w:rFonts w:hint="eastAsia" w:ascii="宋体" w:hAnsi="宋体" w:eastAsia="宋体" w:cs="宋体"/>
        </w:rPr>
      </w:pPr>
      <w:r>
        <w:rPr>
          <w:rFonts w:hint="eastAsia" w:ascii="宋体" w:hAnsi="宋体" w:eastAsia="宋体" w:cs="宋体"/>
          <w:lang w:val="en-US" w:eastAsia="zh-CN"/>
        </w:rPr>
        <w:t>本期项目</w:t>
      </w:r>
      <w:r>
        <w:rPr>
          <w:rFonts w:hint="eastAsia" w:ascii="宋体" w:hAnsi="宋体" w:eastAsia="宋体" w:cs="宋体"/>
        </w:rPr>
        <w:t>在原有的IPTV应用商城系统的基础上，对系统的功能进行扩展优化，以符合业务的发展需求。将计划对前端展示层、运营管理层的对应模块进行功能扩展和优化，确保前台用户体验升级与后台运营能力支撑的双向匹配。</w:t>
      </w:r>
    </w:p>
    <w:p w14:paraId="76A8DE5B">
      <w:pPr>
        <w:spacing w:before="320" w:after="120" w:line="288" w:lineRule="auto"/>
        <w:outlineLvl w:val="1"/>
        <w:rPr>
          <w:rFonts w:hint="eastAsia" w:ascii="宋体" w:hAnsi="宋体" w:eastAsia="宋体" w:cs="宋体"/>
        </w:rPr>
      </w:pPr>
      <w:bookmarkStart w:id="4" w:name="heading_4"/>
      <w:r>
        <w:rPr>
          <w:rFonts w:hint="eastAsia" w:ascii="宋体" w:hAnsi="宋体" w:eastAsia="宋体" w:cs="宋体"/>
          <w:color w:val="3370FF"/>
          <w:sz w:val="32"/>
        </w:rPr>
        <w:t xml:space="preserve">3.2 </w:t>
      </w:r>
      <w:r>
        <w:rPr>
          <w:rFonts w:hint="eastAsia" w:ascii="宋体" w:hAnsi="宋体" w:eastAsia="宋体" w:cs="宋体"/>
          <w:b/>
          <w:sz w:val="32"/>
        </w:rPr>
        <w:t>前端功能优化</w:t>
      </w:r>
      <w:bookmarkEnd w:id="4"/>
    </w:p>
    <w:p w14:paraId="47674A76">
      <w:pPr>
        <w:spacing w:before="300" w:after="120" w:line="288" w:lineRule="auto"/>
        <w:outlineLvl w:val="2"/>
        <w:rPr>
          <w:rFonts w:hint="eastAsia" w:ascii="宋体" w:hAnsi="宋体" w:eastAsia="宋体" w:cs="宋体"/>
        </w:rPr>
      </w:pPr>
      <w:bookmarkStart w:id="5" w:name="heading_5"/>
      <w:r>
        <w:rPr>
          <w:rFonts w:hint="eastAsia" w:ascii="宋体" w:hAnsi="宋体" w:eastAsia="宋体" w:cs="宋体"/>
          <w:color w:val="3370FF"/>
          <w:sz w:val="30"/>
        </w:rPr>
        <w:t xml:space="preserve">3.2.1 </w:t>
      </w:r>
      <w:r>
        <w:rPr>
          <w:rFonts w:hint="eastAsia" w:ascii="宋体" w:hAnsi="宋体" w:eastAsia="宋体" w:cs="宋体"/>
          <w:b/>
          <w:sz w:val="30"/>
        </w:rPr>
        <w:t>商城首页</w:t>
      </w:r>
      <w:bookmarkEnd w:id="5"/>
    </w:p>
    <w:p w14:paraId="60A05F04">
      <w:pPr>
        <w:spacing w:before="120" w:after="120" w:line="288" w:lineRule="auto"/>
        <w:rPr>
          <w:rFonts w:hint="eastAsia" w:ascii="宋体" w:hAnsi="宋体" w:eastAsia="宋体" w:cs="宋体"/>
        </w:rPr>
      </w:pPr>
      <w:r>
        <w:rPr>
          <w:rFonts w:hint="eastAsia" w:ascii="宋体" w:hAnsi="宋体" w:eastAsia="宋体" w:cs="宋体"/>
        </w:rPr>
        <w:t>商城首页作为用户触达应用的核心枢纽，是流量转化的关键页面。本次优化旨在通过构建多维度的内容运营体系，解决用户搜索目标不明确时的分发痛点，提升优质内容的曝光效率与分发深度，从而强化商城的导流能力与用户活跃度。</w:t>
      </w:r>
    </w:p>
    <w:p w14:paraId="036A079B">
      <w:pPr>
        <w:spacing w:before="260" w:after="120" w:line="288" w:lineRule="auto"/>
        <w:outlineLvl w:val="3"/>
        <w:rPr>
          <w:rFonts w:hint="eastAsia" w:ascii="宋体" w:hAnsi="宋体" w:eastAsia="宋体" w:cs="宋体"/>
        </w:rPr>
      </w:pPr>
      <w:bookmarkStart w:id="6" w:name="heading_6"/>
      <w:r>
        <w:rPr>
          <w:rFonts w:hint="eastAsia" w:ascii="宋体" w:hAnsi="宋体" w:eastAsia="宋体" w:cs="宋体"/>
          <w:color w:val="3370FF"/>
          <w:sz w:val="28"/>
        </w:rPr>
        <w:t xml:space="preserve">3.2.1.1 </w:t>
      </w:r>
      <w:r>
        <w:rPr>
          <w:rFonts w:hint="eastAsia" w:ascii="宋体" w:hAnsi="宋体" w:eastAsia="宋体" w:cs="宋体"/>
          <w:b/>
          <w:sz w:val="28"/>
        </w:rPr>
        <w:t>榜单展示</w:t>
      </w:r>
      <w:bookmarkEnd w:id="6"/>
    </w:p>
    <w:p w14:paraId="15B26F0C">
      <w:pPr>
        <w:spacing w:before="120" w:after="120" w:line="288" w:lineRule="auto"/>
        <w:rPr>
          <w:rFonts w:hint="eastAsia" w:ascii="宋体" w:hAnsi="宋体" w:eastAsia="宋体" w:cs="宋体"/>
        </w:rPr>
      </w:pPr>
      <w:r>
        <w:rPr>
          <w:rFonts w:hint="eastAsia" w:ascii="宋体" w:hAnsi="宋体" w:eastAsia="宋体" w:cs="宋体"/>
        </w:rPr>
        <w:t>在首页及分类页引入多类型榜单，帮助目标不明确的用户快速发现热门优质应用，是提升应用曝光与用户发现效率的核心功能模块。</w:t>
      </w:r>
    </w:p>
    <w:p w14:paraId="795AD980">
      <w:pPr>
        <w:spacing w:before="120" w:after="120" w:line="288" w:lineRule="auto"/>
        <w:rPr>
          <w:rFonts w:hint="eastAsia" w:ascii="宋体" w:hAnsi="宋体" w:eastAsia="宋体" w:cs="宋体"/>
        </w:rPr>
      </w:pPr>
      <w:r>
        <w:rPr>
          <w:rFonts w:hint="eastAsia" w:ascii="宋体" w:hAnsi="宋体" w:eastAsia="宋体" w:cs="宋体"/>
        </w:rPr>
        <w:t>【功能要求】</w:t>
      </w:r>
    </w:p>
    <w:p w14:paraId="2D5701E8">
      <w:pPr>
        <w:numPr>
          <w:ilvl w:val="0"/>
          <w:numId w:val="8"/>
        </w:numPr>
        <w:spacing w:before="120" w:after="120" w:line="288" w:lineRule="auto"/>
        <w:rPr>
          <w:rFonts w:hint="eastAsia" w:ascii="宋体" w:hAnsi="宋体" w:eastAsia="宋体" w:cs="宋体"/>
        </w:rPr>
      </w:pPr>
      <w:r>
        <w:rPr>
          <w:rFonts w:hint="eastAsia" w:ascii="宋体" w:hAnsi="宋体" w:eastAsia="宋体" w:cs="宋体"/>
        </w:rPr>
        <w:t>榜单入口展示：在商城首页以横向滑动卡片或导航形式露出榜单入口，支持一键进入榜单一级列表页；同时支持在各分类页内展示对应分类的子榜单（如在"游戏"分类下展示游戏应用榜），实现分类场景下的优质内容触达。</w:t>
      </w:r>
    </w:p>
    <w:p w14:paraId="7DF0E53D">
      <w:pPr>
        <w:numPr>
          <w:ilvl w:val="0"/>
          <w:numId w:val="9"/>
        </w:numPr>
        <w:spacing w:before="120" w:after="120" w:line="288" w:lineRule="auto"/>
        <w:rPr>
          <w:rFonts w:hint="eastAsia" w:ascii="宋体" w:hAnsi="宋体" w:eastAsia="宋体" w:cs="宋体"/>
        </w:rPr>
      </w:pPr>
      <w:r>
        <w:rPr>
          <w:rFonts w:hint="eastAsia" w:ascii="宋体" w:hAnsi="宋体" w:eastAsia="宋体" w:cs="宋体"/>
        </w:rPr>
        <w:t>榜单类型支持：初期覆盖热门下载榜、游戏应用榜、影视应用榜等核心类型，后续可支持新品上架榜、好评应用榜等扩展类型，满足不同场景的用户需求。</w:t>
      </w:r>
    </w:p>
    <w:p w14:paraId="1D974BB3">
      <w:pPr>
        <w:numPr>
          <w:ilvl w:val="0"/>
          <w:numId w:val="10"/>
        </w:numPr>
        <w:spacing w:before="120" w:after="120" w:line="288" w:lineRule="auto"/>
        <w:rPr>
          <w:rFonts w:hint="eastAsia" w:ascii="宋体" w:hAnsi="宋体" w:eastAsia="宋体" w:cs="宋体"/>
        </w:rPr>
      </w:pPr>
      <w:r>
        <w:rPr>
          <w:rFonts w:hint="eastAsia" w:ascii="宋体" w:hAnsi="宋体" w:eastAsia="宋体" w:cs="宋体"/>
        </w:rPr>
        <w:t>榜单内容展示：每个榜单需展示应用排名序号、应用图标、名称、简介、评分、下载量等核心信息；支持排名变化趋势标识（如"↑3"、"↓1"、"NEW"），并标注榜单数据更新周期（如"每日更新"、"每周更新"）。</w:t>
      </w:r>
    </w:p>
    <w:p w14:paraId="503FD324">
      <w:pPr>
        <w:numPr>
          <w:ilvl w:val="0"/>
          <w:numId w:val="11"/>
        </w:numPr>
        <w:spacing w:before="120" w:after="120" w:line="288" w:lineRule="auto"/>
        <w:rPr>
          <w:rFonts w:hint="eastAsia" w:ascii="宋体" w:hAnsi="宋体" w:eastAsia="宋体" w:cs="宋体"/>
        </w:rPr>
      </w:pPr>
      <w:r>
        <w:rPr>
          <w:rFonts w:hint="eastAsia" w:ascii="宋体" w:hAnsi="宋体" w:eastAsia="宋体" w:cs="宋体"/>
        </w:rPr>
        <w:t>榜单交互逻辑：榜单列表默认展示Top 5应用，底部提供"查看完整榜单"入口，点击后跳转榜单二级列表页，展示所有上榜应用；榜单中每个应用的操作按钮根据应用状态自适应展示，如未安装应用提供下载按钮、已安装非最新版本提供更新按钮、已安装最新版本提供打开按钮等。</w:t>
      </w:r>
    </w:p>
    <w:p w14:paraId="3B93E000">
      <w:pPr>
        <w:numPr>
          <w:ilvl w:val="0"/>
          <w:numId w:val="12"/>
        </w:numPr>
        <w:spacing w:before="120" w:after="120" w:line="288" w:lineRule="auto"/>
        <w:rPr>
          <w:rFonts w:hint="eastAsia" w:ascii="宋体" w:hAnsi="宋体" w:eastAsia="宋体" w:cs="宋体"/>
        </w:rPr>
      </w:pPr>
      <w:r>
        <w:rPr>
          <w:rFonts w:hint="eastAsia" w:ascii="宋体" w:hAnsi="宋体" w:eastAsia="宋体" w:cs="宋体"/>
        </w:rPr>
        <w:t>异常状态处理：榜单数据请求失败时展示错误提示，提供"重新加载"按钮；无数据时展示友好的空状态提示，确保用户体验的完整性。</w:t>
      </w:r>
    </w:p>
    <w:p w14:paraId="33052443">
      <w:pPr>
        <w:spacing w:before="260" w:after="120" w:line="288" w:lineRule="auto"/>
        <w:outlineLvl w:val="3"/>
        <w:rPr>
          <w:rFonts w:hint="eastAsia" w:ascii="宋体" w:hAnsi="宋体" w:eastAsia="宋体" w:cs="宋体"/>
        </w:rPr>
      </w:pPr>
      <w:bookmarkStart w:id="7" w:name="heading_7"/>
      <w:r>
        <w:rPr>
          <w:rFonts w:hint="eastAsia" w:ascii="宋体" w:hAnsi="宋体" w:eastAsia="宋体" w:cs="宋体"/>
          <w:color w:val="3370FF"/>
          <w:sz w:val="28"/>
        </w:rPr>
        <w:t xml:space="preserve">3.2.1.2 </w:t>
      </w:r>
      <w:r>
        <w:rPr>
          <w:rFonts w:hint="eastAsia" w:ascii="宋体" w:hAnsi="宋体" w:eastAsia="宋体" w:cs="宋体"/>
          <w:b/>
          <w:sz w:val="28"/>
        </w:rPr>
        <w:t>专题展示</w:t>
      </w:r>
      <w:bookmarkEnd w:id="7"/>
    </w:p>
    <w:p w14:paraId="674CE405">
      <w:pPr>
        <w:spacing w:before="120" w:after="120" w:line="288" w:lineRule="auto"/>
        <w:rPr>
          <w:rFonts w:hint="eastAsia" w:ascii="宋体" w:hAnsi="宋体" w:eastAsia="宋体" w:cs="宋体"/>
        </w:rPr>
      </w:pPr>
      <w:r>
        <w:rPr>
          <w:rFonts w:hint="eastAsia" w:ascii="宋体" w:hAnsi="宋体" w:eastAsia="宋体" w:cs="宋体"/>
        </w:rPr>
        <w:t>在首页提供主题化应用合集入口，通过编辑精选引导用户发现特定场景下的应用组合，实现场景化的内容聚合与用户引导。</w:t>
      </w:r>
    </w:p>
    <w:p w14:paraId="0BD4912D">
      <w:pPr>
        <w:spacing w:before="120" w:after="120" w:line="288" w:lineRule="auto"/>
        <w:rPr>
          <w:rFonts w:hint="eastAsia" w:ascii="宋体" w:hAnsi="宋体" w:eastAsia="宋体" w:cs="宋体"/>
        </w:rPr>
      </w:pPr>
      <w:r>
        <w:rPr>
          <w:rFonts w:hint="eastAsia" w:ascii="宋体" w:hAnsi="宋体" w:eastAsia="宋体" w:cs="宋体"/>
        </w:rPr>
        <w:t>【功能要求】</w:t>
      </w:r>
    </w:p>
    <w:p w14:paraId="74D21A66">
      <w:pPr>
        <w:numPr>
          <w:ilvl w:val="0"/>
          <w:numId w:val="13"/>
        </w:numPr>
        <w:spacing w:before="120" w:after="120" w:line="288" w:lineRule="auto"/>
        <w:rPr>
          <w:rFonts w:hint="eastAsia" w:ascii="宋体" w:hAnsi="宋体" w:eastAsia="宋体" w:cs="宋体"/>
        </w:rPr>
      </w:pPr>
      <w:r>
        <w:rPr>
          <w:rFonts w:hint="eastAsia" w:ascii="宋体" w:hAnsi="宋体" w:eastAsia="宋体" w:cs="宋体"/>
        </w:rPr>
        <w:t>专题入口配置：商城首页支持配置专题入口，以卡片形式展示多个专题入口，支持如"节日推荐"、"编辑精选"、"本周上新"等自建专题，满足不同运营场景的需求。</w:t>
      </w:r>
    </w:p>
    <w:p w14:paraId="3B4BBDF4">
      <w:pPr>
        <w:numPr>
          <w:ilvl w:val="0"/>
          <w:numId w:val="14"/>
        </w:numPr>
        <w:spacing w:before="120" w:after="120" w:line="288" w:lineRule="auto"/>
        <w:rPr>
          <w:rFonts w:hint="eastAsia" w:ascii="宋体" w:hAnsi="宋体" w:eastAsia="宋体" w:cs="宋体"/>
        </w:rPr>
      </w:pPr>
      <w:r>
        <w:rPr>
          <w:rFonts w:hint="eastAsia" w:ascii="宋体" w:hAnsi="宋体" w:eastAsia="宋体" w:cs="宋体"/>
        </w:rPr>
        <w:t>专题内容展示：专题页面支持展示应用卡片，应用卡片需展示每个应用的图标、名称；应用卡片数量超过一屏时支持横向滑动浏览，焦点在应用间切换时，背景支持同步展示聚焦应用的详情信息，包括应用名称、简介、评分、海报等，提升用户的内容感知效率。</w:t>
      </w:r>
    </w:p>
    <w:p w14:paraId="63C32011">
      <w:pPr>
        <w:numPr>
          <w:ilvl w:val="0"/>
          <w:numId w:val="15"/>
        </w:numPr>
        <w:spacing w:before="120" w:after="120" w:line="288" w:lineRule="auto"/>
        <w:rPr>
          <w:rFonts w:hint="eastAsia" w:ascii="宋体" w:hAnsi="宋体" w:eastAsia="宋体" w:cs="宋体"/>
        </w:rPr>
      </w:pPr>
      <w:r>
        <w:rPr>
          <w:rFonts w:hint="eastAsia" w:ascii="宋体" w:hAnsi="宋体" w:eastAsia="宋体" w:cs="宋体"/>
        </w:rPr>
        <w:t>专题交互逻辑：点击应用卡片，若应用未安装则直接启动下载；若应用已安装，则跳转至应用详情页，实现用户决策路径的最短化。</w:t>
      </w:r>
    </w:p>
    <w:p w14:paraId="4FB211A1">
      <w:pPr>
        <w:numPr>
          <w:ilvl w:val="0"/>
          <w:numId w:val="16"/>
        </w:numPr>
        <w:spacing w:before="120" w:after="120" w:line="288" w:lineRule="auto"/>
        <w:rPr>
          <w:rFonts w:hint="eastAsia" w:ascii="宋体" w:hAnsi="宋体" w:eastAsia="宋体" w:cs="宋体"/>
        </w:rPr>
      </w:pPr>
      <w:r>
        <w:rPr>
          <w:rFonts w:hint="eastAsia" w:ascii="宋体" w:hAnsi="宋体" w:eastAsia="宋体" w:cs="宋体"/>
        </w:rPr>
        <w:t>异常状态处理：专题数据请求失败时展示错误提示；专题内无应用时展示友好的空状态提示，确保页面体验的一致性。</w:t>
      </w:r>
    </w:p>
    <w:p w14:paraId="7D5B2513">
      <w:pPr>
        <w:spacing w:before="260" w:after="120" w:line="288" w:lineRule="auto"/>
        <w:outlineLvl w:val="3"/>
        <w:rPr>
          <w:rFonts w:hint="eastAsia" w:ascii="宋体" w:hAnsi="宋体" w:eastAsia="宋体" w:cs="宋体"/>
        </w:rPr>
      </w:pPr>
      <w:bookmarkStart w:id="8" w:name="heading_8"/>
      <w:r>
        <w:rPr>
          <w:rFonts w:hint="eastAsia" w:ascii="宋体" w:hAnsi="宋体" w:eastAsia="宋体" w:cs="宋体"/>
          <w:color w:val="3370FF"/>
          <w:sz w:val="28"/>
        </w:rPr>
        <w:t xml:space="preserve">3.2.1.3 </w:t>
      </w:r>
      <w:r>
        <w:rPr>
          <w:rFonts w:hint="eastAsia" w:ascii="宋体" w:hAnsi="宋体" w:eastAsia="宋体" w:cs="宋体"/>
          <w:b/>
          <w:sz w:val="28"/>
        </w:rPr>
        <w:t>组件样式多元化</w:t>
      </w:r>
      <w:bookmarkEnd w:id="8"/>
    </w:p>
    <w:p w14:paraId="2CAA5712">
      <w:pPr>
        <w:spacing w:before="120" w:after="120" w:line="288" w:lineRule="auto"/>
        <w:rPr>
          <w:rFonts w:hint="eastAsia" w:ascii="宋体" w:hAnsi="宋体" w:eastAsia="宋体" w:cs="宋体"/>
        </w:rPr>
      </w:pPr>
      <w:r>
        <w:rPr>
          <w:rFonts w:hint="eastAsia" w:ascii="宋体" w:hAnsi="宋体" w:eastAsia="宋体" w:cs="宋体"/>
        </w:rPr>
        <w:t>提供更多元化的应用推荐组件样式，针对不同场景、不同类型的应用进行差异化的推荐展示，提升首页的视觉丰富度与应用推荐效率。</w:t>
      </w:r>
    </w:p>
    <w:p w14:paraId="1DDB091C">
      <w:pPr>
        <w:spacing w:before="120" w:after="120" w:line="288" w:lineRule="auto"/>
        <w:rPr>
          <w:rFonts w:hint="eastAsia" w:ascii="宋体" w:hAnsi="宋体" w:eastAsia="宋体" w:cs="宋体"/>
        </w:rPr>
      </w:pPr>
      <w:r>
        <w:rPr>
          <w:rFonts w:hint="eastAsia" w:ascii="宋体" w:hAnsi="宋体" w:eastAsia="宋体" w:cs="宋体"/>
        </w:rPr>
        <w:t>【功能要求】</w:t>
      </w:r>
    </w:p>
    <w:p w14:paraId="76F93A28">
      <w:pPr>
        <w:numPr>
          <w:ilvl w:val="0"/>
          <w:numId w:val="17"/>
        </w:numPr>
        <w:spacing w:before="120" w:after="120" w:line="288" w:lineRule="auto"/>
        <w:rPr>
          <w:rFonts w:hint="eastAsia" w:ascii="宋体" w:hAnsi="宋体" w:eastAsia="宋体" w:cs="宋体"/>
        </w:rPr>
      </w:pPr>
      <w:r>
        <w:rPr>
          <w:rFonts w:hint="eastAsia" w:ascii="宋体" w:hAnsi="宋体" w:eastAsia="宋体" w:cs="宋体"/>
        </w:rPr>
        <w:t>全宽-单应用-3详情海报组件：全宽布局展示单个应用，配套3张详情海报，突出应用的核心功能与视觉亮点，适用于重点主推的头部应用。</w:t>
      </w:r>
    </w:p>
    <w:p w14:paraId="5238F935">
      <w:pPr>
        <w:numPr>
          <w:ilvl w:val="0"/>
          <w:numId w:val="18"/>
        </w:numPr>
        <w:spacing w:before="120" w:after="120" w:line="288" w:lineRule="auto"/>
        <w:rPr>
          <w:rFonts w:hint="eastAsia" w:ascii="宋体" w:hAnsi="宋体" w:eastAsia="宋体" w:cs="宋体"/>
        </w:rPr>
      </w:pPr>
      <w:r>
        <w:rPr>
          <w:rFonts w:hint="eastAsia" w:ascii="宋体" w:hAnsi="宋体" w:eastAsia="宋体" w:cs="宋体"/>
        </w:rPr>
        <w:t>一行两列应用组件：左侧展示应用图标、名称、评分、简介，右侧配套1张海报图，兼顾应用信息展示与视觉吸引力，适用于常规优质应用的推荐。</w:t>
      </w:r>
    </w:p>
    <w:p w14:paraId="6EBD36A6">
      <w:pPr>
        <w:numPr>
          <w:ilvl w:val="0"/>
          <w:numId w:val="19"/>
        </w:numPr>
        <w:spacing w:before="120" w:after="120" w:line="288" w:lineRule="auto"/>
        <w:rPr>
          <w:rFonts w:hint="eastAsia" w:ascii="宋体" w:hAnsi="宋体" w:eastAsia="宋体" w:cs="宋体"/>
        </w:rPr>
      </w:pPr>
      <w:r>
        <w:rPr>
          <w:rFonts w:hint="eastAsia" w:ascii="宋体" w:hAnsi="宋体" w:eastAsia="宋体" w:cs="宋体"/>
        </w:rPr>
        <w:t>沉浸式4图推荐组件：展示应用图标、背景图、应用名称、评分、简介，沉浸式视觉设计提升用户的浏览体验，适用于影视、游戏类强视觉属性的应用推荐。</w:t>
      </w:r>
    </w:p>
    <w:p w14:paraId="6BE67AAF">
      <w:pPr>
        <w:numPr>
          <w:ilvl w:val="0"/>
          <w:numId w:val="20"/>
        </w:numPr>
        <w:spacing w:before="120" w:after="120" w:line="288" w:lineRule="auto"/>
        <w:rPr>
          <w:rFonts w:hint="eastAsia" w:ascii="宋体" w:hAnsi="宋体" w:eastAsia="宋体" w:cs="宋体"/>
        </w:rPr>
      </w:pPr>
      <w:r>
        <w:rPr>
          <w:rFonts w:hint="eastAsia" w:ascii="宋体" w:hAnsi="宋体" w:eastAsia="宋体" w:cs="宋体"/>
        </w:rPr>
        <w:t>左轮播图右侧列表组件：左侧为应用轮播海报，右侧为应用列表，兼顾视觉冲击与多应用展示，适用于主题化的多应用合集推荐。</w:t>
      </w:r>
    </w:p>
    <w:p w14:paraId="03FD797F">
      <w:pPr>
        <w:numPr>
          <w:ilvl w:val="0"/>
          <w:numId w:val="21"/>
        </w:numPr>
        <w:spacing w:before="120" w:after="120" w:line="288" w:lineRule="auto"/>
        <w:rPr>
          <w:rFonts w:hint="eastAsia" w:ascii="宋体" w:hAnsi="宋体" w:eastAsia="宋体" w:cs="宋体"/>
        </w:rPr>
      </w:pPr>
      <w:r>
        <w:rPr>
          <w:rFonts w:hint="eastAsia" w:ascii="宋体" w:hAnsi="宋体" w:eastAsia="宋体" w:cs="宋体"/>
        </w:rPr>
        <w:t>一大二小×2，6图推荐组件：采用"1个大尺寸卡片+2个小尺寸卡片"为一组，共2组6个应用的布局，兼顾主推应用与次推应用的展示权重，适用于多应用的分层推荐。</w:t>
      </w:r>
    </w:p>
    <w:p w14:paraId="2E2AC299">
      <w:pPr>
        <w:numPr>
          <w:ilvl w:val="0"/>
          <w:numId w:val="22"/>
        </w:numPr>
        <w:spacing w:before="120" w:after="120" w:line="288" w:lineRule="auto"/>
        <w:rPr>
          <w:rFonts w:hint="eastAsia" w:ascii="宋体" w:hAnsi="宋体" w:eastAsia="宋体" w:cs="宋体"/>
        </w:rPr>
      </w:pPr>
      <w:r>
        <w:rPr>
          <w:rFonts w:hint="eastAsia" w:ascii="宋体" w:hAnsi="宋体" w:eastAsia="宋体" w:cs="宋体"/>
        </w:rPr>
        <w:t>一行6竖图组件：一行展示6个竖版应用海报，适用于同类型、同主题的多应用批量展示，提升应用的曝光密度。</w:t>
      </w:r>
    </w:p>
    <w:p w14:paraId="397829AB">
      <w:pPr>
        <w:spacing w:before="260" w:after="120" w:line="288" w:lineRule="auto"/>
        <w:outlineLvl w:val="3"/>
        <w:rPr>
          <w:rFonts w:hint="eastAsia" w:ascii="宋体" w:hAnsi="宋体" w:eastAsia="宋体" w:cs="宋体"/>
        </w:rPr>
      </w:pPr>
      <w:bookmarkStart w:id="9" w:name="heading_9"/>
      <w:r>
        <w:rPr>
          <w:rFonts w:hint="eastAsia" w:ascii="宋体" w:hAnsi="宋体" w:eastAsia="宋体" w:cs="宋体"/>
          <w:color w:val="3370FF"/>
          <w:sz w:val="28"/>
        </w:rPr>
        <w:t xml:space="preserve">3.2.1.4 </w:t>
      </w:r>
      <w:r>
        <w:rPr>
          <w:rFonts w:hint="eastAsia" w:ascii="宋体" w:hAnsi="宋体" w:eastAsia="宋体" w:cs="宋体"/>
          <w:b/>
          <w:sz w:val="28"/>
        </w:rPr>
        <w:t>应用曝光增强</w:t>
      </w:r>
      <w:bookmarkEnd w:id="9"/>
    </w:p>
    <w:p w14:paraId="51E366E7">
      <w:pPr>
        <w:spacing w:before="120" w:after="120" w:line="288" w:lineRule="auto"/>
        <w:rPr>
          <w:rFonts w:hint="eastAsia" w:ascii="宋体" w:hAnsi="宋体" w:eastAsia="宋体" w:cs="宋体"/>
        </w:rPr>
      </w:pPr>
      <w:r>
        <w:rPr>
          <w:rFonts w:hint="eastAsia" w:ascii="宋体" w:hAnsi="宋体" w:eastAsia="宋体" w:cs="宋体"/>
        </w:rPr>
        <w:t>新增进入推荐与退出挽留两个核心触达场景，在用户进入与退出商城的关键节点进行应用推荐，最大化提升应用的曝光机会与用户转化效率。</w:t>
      </w:r>
    </w:p>
    <w:p w14:paraId="1BEF8755">
      <w:pPr>
        <w:spacing w:before="120" w:after="120" w:line="288" w:lineRule="auto"/>
        <w:rPr>
          <w:rFonts w:hint="eastAsia" w:ascii="宋体" w:hAnsi="宋体" w:eastAsia="宋体" w:cs="宋体"/>
        </w:rPr>
      </w:pPr>
      <w:r>
        <w:rPr>
          <w:rFonts w:hint="eastAsia" w:ascii="宋体" w:hAnsi="宋体" w:eastAsia="宋体" w:cs="宋体"/>
        </w:rPr>
        <w:t>【功能要求】</w:t>
      </w:r>
    </w:p>
    <w:p w14:paraId="4F27926F">
      <w:pPr>
        <w:numPr>
          <w:ilvl w:val="0"/>
          <w:numId w:val="23"/>
        </w:numPr>
        <w:spacing w:before="120" w:after="120" w:line="288" w:lineRule="auto"/>
        <w:rPr>
          <w:rFonts w:hint="eastAsia" w:ascii="宋体" w:hAnsi="宋体" w:eastAsia="宋体" w:cs="宋体"/>
        </w:rPr>
      </w:pPr>
      <w:r>
        <w:rPr>
          <w:rFonts w:hint="eastAsia" w:ascii="宋体" w:hAnsi="宋体" w:eastAsia="宋体" w:cs="宋体"/>
        </w:rPr>
        <w:t>进入推荐场景：用户进入应用商城时，自动弹出全屏弹窗展示近期热门应用，支持一键下载功能；该弹窗的展示间隔周期支持后台配置，避免对用户造成频繁打扰。</w:t>
      </w:r>
    </w:p>
    <w:p w14:paraId="3C297BE6">
      <w:pPr>
        <w:numPr>
          <w:ilvl w:val="0"/>
          <w:numId w:val="24"/>
        </w:numPr>
        <w:spacing w:before="120" w:after="120" w:line="288" w:lineRule="auto"/>
        <w:rPr>
          <w:rFonts w:hint="eastAsia" w:ascii="宋体" w:hAnsi="宋体" w:eastAsia="宋体" w:cs="宋体"/>
        </w:rPr>
      </w:pPr>
      <w:r>
        <w:rPr>
          <w:rFonts w:hint="eastAsia" w:ascii="宋体" w:hAnsi="宋体" w:eastAsia="宋体" w:cs="宋体"/>
        </w:rPr>
        <w:t>退出挽留场景：用户触发退出商城操作时，弹出挽留弹窗推荐相关优质应用，为用户提供额外的应用发现入口，延长用户的使用路径，增加应用曝光机会。</w:t>
      </w:r>
    </w:p>
    <w:p w14:paraId="1E82FCA6">
      <w:pPr>
        <w:numPr>
          <w:ilvl w:val="0"/>
          <w:numId w:val="25"/>
        </w:numPr>
        <w:spacing w:before="120" w:after="120" w:line="288" w:lineRule="auto"/>
        <w:rPr>
          <w:rFonts w:hint="eastAsia" w:ascii="宋体" w:hAnsi="宋体" w:eastAsia="宋体" w:cs="宋体"/>
        </w:rPr>
      </w:pPr>
      <w:r>
        <w:rPr>
          <w:rFonts w:hint="eastAsia" w:ascii="宋体" w:hAnsi="宋体" w:eastAsia="宋体" w:cs="宋体"/>
        </w:rPr>
        <w:t>弹窗内容配置：两个场景的弹窗均支持后台配置展示的应用列表、循环周期、展示素材、生效时间等，满足不同运营阶段的差异化需求。</w:t>
      </w:r>
    </w:p>
    <w:p w14:paraId="22233AD5">
      <w:pPr>
        <w:numPr>
          <w:ilvl w:val="0"/>
          <w:numId w:val="26"/>
        </w:numPr>
        <w:spacing w:before="120" w:after="120" w:line="288" w:lineRule="auto"/>
        <w:rPr>
          <w:rFonts w:hint="eastAsia" w:ascii="宋体" w:hAnsi="宋体" w:eastAsia="宋体" w:cs="宋体"/>
        </w:rPr>
      </w:pPr>
      <w:r>
        <w:rPr>
          <w:rFonts w:hint="eastAsia" w:ascii="宋体" w:hAnsi="宋体" w:eastAsia="宋体" w:cs="宋体"/>
        </w:rPr>
        <w:t>交互逻辑：弹窗支持一键关闭，点击推荐应用可直接跳转至应用详情页，确保用户操作路径的顺畅。</w:t>
      </w:r>
    </w:p>
    <w:p w14:paraId="3C94BEA4">
      <w:pPr>
        <w:spacing w:before="260" w:after="120" w:line="288" w:lineRule="auto"/>
        <w:outlineLvl w:val="3"/>
        <w:rPr>
          <w:rFonts w:hint="eastAsia" w:ascii="宋体" w:hAnsi="宋体" w:eastAsia="宋体" w:cs="宋体"/>
        </w:rPr>
      </w:pPr>
      <w:bookmarkStart w:id="10" w:name="heading_10"/>
      <w:r>
        <w:rPr>
          <w:rFonts w:hint="eastAsia" w:ascii="宋体" w:hAnsi="宋体" w:eastAsia="宋体" w:cs="宋体"/>
          <w:color w:val="3370FF"/>
          <w:sz w:val="28"/>
        </w:rPr>
        <w:t xml:space="preserve">3.2.1.5 </w:t>
      </w:r>
      <w:r>
        <w:rPr>
          <w:rFonts w:hint="eastAsia" w:ascii="宋体" w:hAnsi="宋体" w:eastAsia="宋体" w:cs="宋体"/>
          <w:b/>
          <w:sz w:val="28"/>
        </w:rPr>
        <w:t>多模式切换</w:t>
      </w:r>
      <w:bookmarkEnd w:id="10"/>
    </w:p>
    <w:p w14:paraId="31627B70">
      <w:pPr>
        <w:spacing w:before="120" w:after="120" w:line="288" w:lineRule="auto"/>
        <w:rPr>
          <w:rFonts w:hint="eastAsia" w:ascii="宋体" w:hAnsi="宋体" w:eastAsia="宋体" w:cs="宋体"/>
        </w:rPr>
      </w:pPr>
      <w:r>
        <w:rPr>
          <w:rFonts w:hint="eastAsia" w:ascii="宋体" w:hAnsi="宋体" w:eastAsia="宋体" w:cs="宋体"/>
        </w:rPr>
        <w:t>支持默认、儿童、长辈三种使用模式，不同模式下首页内容策略、布局等针对目标用户群体进行差异化呈现，满足全年龄段用户的使用需求。</w:t>
      </w:r>
    </w:p>
    <w:p w14:paraId="2A2633B5">
      <w:pPr>
        <w:spacing w:before="120" w:after="120" w:line="288" w:lineRule="auto"/>
        <w:rPr>
          <w:rFonts w:hint="eastAsia" w:ascii="宋体" w:hAnsi="宋体" w:eastAsia="宋体" w:cs="宋体"/>
        </w:rPr>
      </w:pPr>
      <w:r>
        <w:rPr>
          <w:rFonts w:hint="eastAsia" w:ascii="宋体" w:hAnsi="宋体" w:eastAsia="宋体" w:cs="宋体"/>
        </w:rPr>
        <w:t>【功能要求】</w:t>
      </w:r>
    </w:p>
    <w:p w14:paraId="169A6D30">
      <w:pPr>
        <w:numPr>
          <w:ilvl w:val="0"/>
          <w:numId w:val="27"/>
        </w:numPr>
        <w:spacing w:before="120" w:after="120" w:line="288" w:lineRule="auto"/>
        <w:rPr>
          <w:rFonts w:hint="eastAsia" w:ascii="宋体" w:hAnsi="宋体" w:eastAsia="宋体" w:cs="宋体"/>
        </w:rPr>
      </w:pPr>
      <w:r>
        <w:rPr>
          <w:rFonts w:hint="eastAsia" w:ascii="宋体" w:hAnsi="宋体" w:eastAsia="宋体" w:cs="宋体"/>
        </w:rPr>
        <w:t>模式切换入口：在商城首页设置模式切换入口，支持用户一键切换默认、儿童、长辈三种使用模式，切换后页面内容与样式即时生效。</w:t>
      </w:r>
    </w:p>
    <w:p w14:paraId="3D5B9A63">
      <w:pPr>
        <w:numPr>
          <w:ilvl w:val="0"/>
          <w:numId w:val="28"/>
        </w:numPr>
        <w:spacing w:before="120" w:after="120" w:line="288" w:lineRule="auto"/>
        <w:rPr>
          <w:rFonts w:hint="eastAsia" w:ascii="宋体" w:hAnsi="宋体" w:eastAsia="宋体" w:cs="宋体"/>
        </w:rPr>
      </w:pPr>
      <w:r>
        <w:rPr>
          <w:rFonts w:hint="eastAsia" w:ascii="宋体" w:hAnsi="宋体" w:eastAsia="宋体" w:cs="宋体"/>
        </w:rPr>
        <w:t>内容策略差异化：三种模式分别支持独立的首页内容配置，包括各模式的页面结构、模板布局、推荐位关联的应用列表等，针对不同用户群体的需求进行精准内容匹配。</w:t>
      </w:r>
    </w:p>
    <w:p w14:paraId="7E3E9A88">
      <w:pPr>
        <w:numPr>
          <w:ilvl w:val="0"/>
          <w:numId w:val="29"/>
        </w:numPr>
        <w:spacing w:before="120" w:after="120" w:line="288" w:lineRule="auto"/>
        <w:rPr>
          <w:rFonts w:hint="eastAsia" w:ascii="宋体" w:hAnsi="宋体" w:eastAsia="宋体" w:cs="宋体"/>
        </w:rPr>
      </w:pPr>
      <w:r>
        <w:rPr>
          <w:rFonts w:hint="eastAsia" w:ascii="宋体" w:hAnsi="宋体" w:eastAsia="宋体" w:cs="宋体"/>
        </w:rPr>
        <w:t>视觉样式差异化：针对儿童、长辈模式，提供不同的页面布局，提升页面的可读性与可操作性，适配不同年龄段用户的使用习惯。</w:t>
      </w:r>
    </w:p>
    <w:p w14:paraId="42BB5A0D">
      <w:pPr>
        <w:numPr>
          <w:ilvl w:val="0"/>
          <w:numId w:val="30"/>
        </w:numPr>
        <w:spacing w:before="120" w:after="120" w:line="288" w:lineRule="auto"/>
        <w:rPr>
          <w:rFonts w:hint="eastAsia" w:ascii="宋体" w:hAnsi="宋体" w:eastAsia="宋体" w:cs="宋体"/>
        </w:rPr>
      </w:pPr>
      <w:r>
        <w:rPr>
          <w:rFonts w:hint="eastAsia" w:ascii="宋体" w:hAnsi="宋体" w:eastAsia="宋体" w:cs="宋体"/>
        </w:rPr>
        <w:t>模式配置能力：各模式的内容策略支持后台灵活配置。</w:t>
      </w:r>
    </w:p>
    <w:p w14:paraId="287A8E4C">
      <w:pPr>
        <w:spacing w:before="260" w:after="120" w:line="288" w:lineRule="auto"/>
        <w:outlineLvl w:val="3"/>
        <w:rPr>
          <w:rFonts w:hint="eastAsia" w:ascii="宋体" w:hAnsi="宋体" w:eastAsia="宋体" w:cs="宋体"/>
        </w:rPr>
      </w:pPr>
      <w:bookmarkStart w:id="11" w:name="heading_11"/>
      <w:r>
        <w:rPr>
          <w:rFonts w:hint="eastAsia" w:ascii="宋体" w:hAnsi="宋体" w:eastAsia="宋体" w:cs="宋体"/>
          <w:color w:val="3370FF"/>
          <w:sz w:val="28"/>
        </w:rPr>
        <w:t xml:space="preserve">3.2.1.6 </w:t>
      </w:r>
      <w:r>
        <w:rPr>
          <w:rFonts w:hint="eastAsia" w:ascii="宋体" w:hAnsi="宋体" w:eastAsia="宋体" w:cs="宋体"/>
          <w:b/>
          <w:sz w:val="28"/>
        </w:rPr>
        <w:t>每日/周/年度精选</w:t>
      </w:r>
      <w:bookmarkEnd w:id="11"/>
    </w:p>
    <w:p w14:paraId="00B1D0D5">
      <w:pPr>
        <w:spacing w:before="120" w:after="120" w:line="288" w:lineRule="auto"/>
        <w:rPr>
          <w:rFonts w:hint="eastAsia" w:ascii="宋体" w:hAnsi="宋体" w:eastAsia="宋体" w:cs="宋体"/>
        </w:rPr>
      </w:pPr>
      <w:r>
        <w:rPr>
          <w:rFonts w:hint="eastAsia" w:ascii="宋体" w:hAnsi="宋体" w:eastAsia="宋体" w:cs="宋体"/>
        </w:rPr>
        <w:t>新增每日/周/年度精选栏位，由运营人员在后台提前预编排内容，系统按周期自动循环更新展示，为用户提供持续新鲜的优质应用发现入口。</w:t>
      </w:r>
    </w:p>
    <w:p w14:paraId="40A518FA">
      <w:pPr>
        <w:spacing w:before="120" w:after="120" w:line="288" w:lineRule="auto"/>
        <w:rPr>
          <w:rFonts w:hint="eastAsia" w:ascii="宋体" w:hAnsi="宋体" w:eastAsia="宋体" w:cs="宋体"/>
        </w:rPr>
      </w:pPr>
      <w:r>
        <w:rPr>
          <w:rFonts w:hint="eastAsia" w:ascii="宋体" w:hAnsi="宋体" w:eastAsia="宋体" w:cs="宋体"/>
        </w:rPr>
        <w:t>【功能要求】</w:t>
      </w:r>
    </w:p>
    <w:p w14:paraId="18BBFEFF">
      <w:pPr>
        <w:numPr>
          <w:ilvl w:val="0"/>
          <w:numId w:val="31"/>
        </w:numPr>
        <w:spacing w:before="120" w:after="120" w:line="288" w:lineRule="auto"/>
        <w:rPr>
          <w:rFonts w:hint="eastAsia" w:ascii="宋体" w:hAnsi="宋体" w:eastAsia="宋体" w:cs="宋体"/>
        </w:rPr>
      </w:pPr>
      <w:r>
        <w:rPr>
          <w:rFonts w:hint="eastAsia" w:ascii="宋体" w:hAnsi="宋体" w:eastAsia="宋体" w:cs="宋体"/>
        </w:rPr>
        <w:t>精选栏位展示：在商城首页配置每日/周/年度精选栏位，以卡片形式展示对应周期内的精选应用合集。</w:t>
      </w:r>
    </w:p>
    <w:p w14:paraId="7F324936">
      <w:pPr>
        <w:numPr>
          <w:ilvl w:val="0"/>
          <w:numId w:val="32"/>
        </w:numPr>
        <w:spacing w:before="120" w:after="120" w:line="288" w:lineRule="auto"/>
        <w:rPr>
          <w:rFonts w:hint="eastAsia" w:ascii="宋体" w:hAnsi="宋体" w:eastAsia="宋体" w:cs="宋体"/>
        </w:rPr>
      </w:pPr>
      <w:r>
        <w:rPr>
          <w:rFonts w:hint="eastAsia" w:ascii="宋体" w:hAnsi="宋体" w:eastAsia="宋体" w:cs="宋体"/>
        </w:rPr>
        <w:t>内容预编排能力：支持运营人员按日历视图提前预编排各周期的精选内容，设置每个周期对应的应用列表、展示素材、文案内容，系统到期自动切换展示，无需人工实时干预。</w:t>
      </w:r>
    </w:p>
    <w:p w14:paraId="472F8EE2">
      <w:pPr>
        <w:numPr>
          <w:ilvl w:val="0"/>
          <w:numId w:val="33"/>
        </w:numPr>
        <w:spacing w:before="120" w:after="120" w:line="288" w:lineRule="auto"/>
        <w:rPr>
          <w:rFonts w:hint="eastAsia" w:ascii="宋体" w:hAnsi="宋体" w:eastAsia="宋体" w:cs="宋体"/>
        </w:rPr>
      </w:pPr>
      <w:r>
        <w:rPr>
          <w:rFonts w:hint="eastAsia" w:ascii="宋体" w:hAnsi="宋体" w:eastAsia="宋体" w:cs="宋体"/>
        </w:rPr>
        <w:t>交互逻辑：支持聚焦应用卡片并切换，点击单个应用支持跳转详情页，操作逻辑与首页其他推荐位保持一致。</w:t>
      </w:r>
    </w:p>
    <w:p w14:paraId="06894E18">
      <w:pPr>
        <w:spacing w:before="300" w:after="120" w:line="288" w:lineRule="auto"/>
        <w:outlineLvl w:val="2"/>
        <w:rPr>
          <w:rFonts w:hint="eastAsia" w:ascii="宋体" w:hAnsi="宋体" w:eastAsia="宋体" w:cs="宋体"/>
        </w:rPr>
      </w:pPr>
      <w:bookmarkStart w:id="12" w:name="heading_12"/>
      <w:r>
        <w:rPr>
          <w:rFonts w:hint="eastAsia" w:ascii="宋体" w:hAnsi="宋体" w:eastAsia="宋体" w:cs="宋体"/>
          <w:color w:val="3370FF"/>
          <w:sz w:val="30"/>
        </w:rPr>
        <w:t xml:space="preserve">3.2.2 </w:t>
      </w:r>
      <w:r>
        <w:rPr>
          <w:rFonts w:hint="eastAsia" w:ascii="宋体" w:hAnsi="宋体" w:eastAsia="宋体" w:cs="宋体"/>
          <w:b/>
          <w:sz w:val="30"/>
        </w:rPr>
        <w:t>搜索功能</w:t>
      </w:r>
      <w:bookmarkEnd w:id="12"/>
    </w:p>
    <w:p w14:paraId="5C85A7F6">
      <w:pPr>
        <w:spacing w:before="120" w:after="120" w:line="288" w:lineRule="auto"/>
        <w:rPr>
          <w:rFonts w:hint="eastAsia" w:ascii="宋体" w:hAnsi="宋体" w:eastAsia="宋体" w:cs="宋体"/>
        </w:rPr>
      </w:pPr>
      <w:r>
        <w:rPr>
          <w:rFonts w:hint="eastAsia" w:ascii="宋体" w:hAnsi="宋体" w:eastAsia="宋体" w:cs="宋体"/>
        </w:rPr>
        <w:t>搜索功能是用户精准定位目标应用的核心入口，本次优化旨在通过扩展多模态输入能力、优化搜索全流程体验，降低用户的搜索成本，提升应用的精准匹配效率。</w:t>
      </w:r>
    </w:p>
    <w:p w14:paraId="0E897FE2">
      <w:pPr>
        <w:spacing w:before="260" w:after="120" w:line="288" w:lineRule="auto"/>
        <w:outlineLvl w:val="3"/>
        <w:rPr>
          <w:rFonts w:hint="eastAsia" w:ascii="宋体" w:hAnsi="宋体" w:eastAsia="宋体" w:cs="宋体"/>
        </w:rPr>
      </w:pPr>
      <w:bookmarkStart w:id="13" w:name="heading_13"/>
      <w:r>
        <w:rPr>
          <w:rFonts w:hint="eastAsia" w:ascii="宋体" w:hAnsi="宋体" w:eastAsia="宋体" w:cs="宋体"/>
          <w:color w:val="3370FF"/>
          <w:sz w:val="28"/>
        </w:rPr>
        <w:t xml:space="preserve">3.2.2.1 </w:t>
      </w:r>
      <w:r>
        <w:rPr>
          <w:rFonts w:hint="eastAsia" w:ascii="宋体" w:hAnsi="宋体" w:eastAsia="宋体" w:cs="宋体"/>
          <w:b/>
          <w:sz w:val="28"/>
        </w:rPr>
        <w:t>输入侧能力扩展</w:t>
      </w:r>
      <w:bookmarkEnd w:id="13"/>
    </w:p>
    <w:p w14:paraId="4BFBA9B6">
      <w:pPr>
        <w:spacing w:before="120" w:after="120" w:line="288" w:lineRule="auto"/>
        <w:rPr>
          <w:rFonts w:hint="eastAsia" w:ascii="宋体" w:hAnsi="宋体" w:eastAsia="宋体" w:cs="宋体"/>
        </w:rPr>
      </w:pPr>
      <w:r>
        <w:rPr>
          <w:rFonts w:hint="eastAsia" w:ascii="宋体" w:hAnsi="宋体" w:eastAsia="宋体" w:cs="宋体"/>
        </w:rPr>
        <w:t>扩展搜索的输入方式，支持全拼拼音搜索与语音输入（需第三方配合），适配电视大屏端的用户输入习惯，降低用户的输入门槛。</w:t>
      </w:r>
    </w:p>
    <w:p w14:paraId="10AA9631">
      <w:pPr>
        <w:spacing w:before="120" w:after="120" w:line="288" w:lineRule="auto"/>
        <w:rPr>
          <w:rFonts w:hint="eastAsia" w:ascii="宋体" w:hAnsi="宋体" w:eastAsia="宋体" w:cs="宋体"/>
        </w:rPr>
      </w:pPr>
      <w:r>
        <w:rPr>
          <w:rFonts w:hint="eastAsia" w:ascii="宋体" w:hAnsi="宋体" w:eastAsia="宋体" w:cs="宋体"/>
        </w:rPr>
        <w:t>【功能要求】</w:t>
      </w:r>
    </w:p>
    <w:p w14:paraId="7B509EED">
      <w:pPr>
        <w:numPr>
          <w:ilvl w:val="0"/>
          <w:numId w:val="34"/>
        </w:numPr>
        <w:spacing w:before="120" w:after="120" w:line="288" w:lineRule="auto"/>
        <w:rPr>
          <w:rFonts w:hint="eastAsia" w:ascii="宋体" w:hAnsi="宋体" w:eastAsia="宋体" w:cs="宋体"/>
        </w:rPr>
      </w:pPr>
      <w:r>
        <w:rPr>
          <w:rFonts w:hint="eastAsia" w:ascii="宋体" w:hAnsi="宋体" w:eastAsia="宋体" w:cs="宋体"/>
        </w:rPr>
        <w:t>全拼拼音搜索：支持用户输入全拼拼音进行应用搜索，系统自动将拼音与应用名称进行匹配，返回对应的搜索结果，适配电视端的输入场景。</w:t>
      </w:r>
    </w:p>
    <w:p w14:paraId="5EEDF517">
      <w:pPr>
        <w:numPr>
          <w:ilvl w:val="0"/>
          <w:numId w:val="35"/>
        </w:numPr>
        <w:spacing w:before="120" w:after="120" w:line="288" w:lineRule="auto"/>
        <w:rPr>
          <w:rFonts w:hint="eastAsia" w:ascii="宋体" w:hAnsi="宋体" w:eastAsia="宋体" w:cs="宋体"/>
        </w:rPr>
      </w:pPr>
      <w:r>
        <w:rPr>
          <w:rFonts w:hint="eastAsia" w:ascii="宋体" w:hAnsi="宋体" w:eastAsia="宋体" w:cs="宋体"/>
        </w:rPr>
        <w:t>语音输入能力：支持对接第三方语音助手，接收语音输入转换后的文本结果，自动执行应用搜索匹配，为用户提供免手动输入的快捷搜索方式。</w:t>
      </w:r>
    </w:p>
    <w:p w14:paraId="69E04B18">
      <w:pPr>
        <w:numPr>
          <w:ilvl w:val="0"/>
          <w:numId w:val="36"/>
        </w:numPr>
        <w:spacing w:before="120" w:after="120" w:line="288" w:lineRule="auto"/>
        <w:rPr>
          <w:rFonts w:hint="eastAsia" w:ascii="宋体" w:hAnsi="宋体" w:eastAsia="宋体" w:cs="宋体"/>
        </w:rPr>
      </w:pPr>
      <w:r>
        <w:rPr>
          <w:rFonts w:hint="eastAsia" w:ascii="宋体" w:hAnsi="宋体" w:eastAsia="宋体" w:cs="宋体"/>
        </w:rPr>
        <w:t>输入匹配逻辑：拼音搜索与语音输入均支持精确匹配与模糊匹配两级逻辑，优先返回完全匹配的应用结果，无精确匹配时返回相关度最高的模糊匹配结果，确保搜索结果的精准度与召回率。</w:t>
      </w:r>
    </w:p>
    <w:p w14:paraId="5CADCC75">
      <w:pPr>
        <w:spacing w:before="260" w:after="120" w:line="288" w:lineRule="auto"/>
        <w:outlineLvl w:val="3"/>
        <w:rPr>
          <w:rFonts w:hint="eastAsia" w:ascii="宋体" w:hAnsi="宋体" w:eastAsia="宋体" w:cs="宋体"/>
        </w:rPr>
      </w:pPr>
      <w:bookmarkStart w:id="14" w:name="heading_14"/>
      <w:r>
        <w:rPr>
          <w:rFonts w:hint="eastAsia" w:ascii="宋体" w:hAnsi="宋体" w:eastAsia="宋体" w:cs="宋体"/>
          <w:color w:val="3370FF"/>
          <w:sz w:val="28"/>
        </w:rPr>
        <w:t xml:space="preserve">3.2.2.2 </w:t>
      </w:r>
      <w:r>
        <w:rPr>
          <w:rFonts w:hint="eastAsia" w:ascii="宋体" w:hAnsi="宋体" w:eastAsia="宋体" w:cs="宋体"/>
          <w:b/>
          <w:sz w:val="28"/>
        </w:rPr>
        <w:t>搜索体验优化</w:t>
      </w:r>
      <w:bookmarkEnd w:id="14"/>
    </w:p>
    <w:p w14:paraId="12897E32">
      <w:pPr>
        <w:spacing w:before="120" w:after="120" w:line="288" w:lineRule="auto"/>
        <w:rPr>
          <w:rFonts w:hint="eastAsia" w:ascii="宋体" w:hAnsi="宋体" w:eastAsia="宋体" w:cs="宋体"/>
        </w:rPr>
      </w:pPr>
      <w:r>
        <w:rPr>
          <w:rFonts w:hint="eastAsia" w:ascii="宋体" w:hAnsi="宋体" w:eastAsia="宋体" w:cs="宋体"/>
        </w:rPr>
        <w:t>优化搜索全流程的用户体验，新增热门搜索词推荐、搜索历史展示、搜索结果多维度排序功能，提升用户的搜索效率与结果满意度。</w:t>
      </w:r>
    </w:p>
    <w:p w14:paraId="3FBB07E6">
      <w:pPr>
        <w:spacing w:before="120" w:after="120" w:line="288" w:lineRule="auto"/>
        <w:rPr>
          <w:rFonts w:hint="eastAsia" w:ascii="宋体" w:hAnsi="宋体" w:eastAsia="宋体" w:cs="宋体"/>
        </w:rPr>
      </w:pPr>
      <w:r>
        <w:rPr>
          <w:rFonts w:hint="eastAsia" w:ascii="宋体" w:hAnsi="宋体" w:eastAsia="宋体" w:cs="宋体"/>
        </w:rPr>
        <w:t>【功能要求】</w:t>
      </w:r>
    </w:p>
    <w:p w14:paraId="052AE431">
      <w:pPr>
        <w:numPr>
          <w:ilvl w:val="0"/>
          <w:numId w:val="37"/>
        </w:numPr>
        <w:spacing w:before="120" w:after="120" w:line="288" w:lineRule="auto"/>
        <w:rPr>
          <w:rFonts w:hint="eastAsia" w:ascii="宋体" w:hAnsi="宋体" w:eastAsia="宋体" w:cs="宋体"/>
        </w:rPr>
      </w:pPr>
      <w:r>
        <w:rPr>
          <w:rFonts w:hint="eastAsia" w:ascii="宋体" w:hAnsi="宋体" w:eastAsia="宋体" w:cs="宋体"/>
        </w:rPr>
        <w:t>热门搜索词推荐：在搜索页面展示热门搜索词列表，由运营人员在后台人工维护排序与上下架状态，用户点击热门搜索词可直接执行搜索，降低用户的输入成本，同时引导用户发现热门应用。</w:t>
      </w:r>
    </w:p>
    <w:p w14:paraId="5980D2EA">
      <w:pPr>
        <w:numPr>
          <w:ilvl w:val="0"/>
          <w:numId w:val="38"/>
        </w:numPr>
        <w:spacing w:before="120" w:after="120" w:line="288" w:lineRule="auto"/>
        <w:rPr>
          <w:rFonts w:hint="eastAsia" w:ascii="宋体" w:hAnsi="宋体" w:eastAsia="宋体" w:cs="宋体"/>
        </w:rPr>
      </w:pPr>
      <w:r>
        <w:rPr>
          <w:rFonts w:hint="eastAsia" w:ascii="宋体" w:hAnsi="宋体" w:eastAsia="宋体" w:cs="宋体"/>
        </w:rPr>
        <w:t>搜索历史展示：自动记录用户的历史搜索记录，在搜索页面展示，用户点击历史搜索词可快速重复执行搜索，同时支持一键清空搜索历史，保护用户的隐私。</w:t>
      </w:r>
    </w:p>
    <w:p w14:paraId="3E282DCE">
      <w:pPr>
        <w:numPr>
          <w:ilvl w:val="0"/>
          <w:numId w:val="39"/>
        </w:numPr>
        <w:spacing w:before="120" w:after="120" w:line="288" w:lineRule="auto"/>
        <w:rPr>
          <w:rFonts w:hint="eastAsia" w:ascii="宋体" w:hAnsi="宋体" w:eastAsia="宋体" w:cs="宋体"/>
        </w:rPr>
      </w:pPr>
      <w:r>
        <w:rPr>
          <w:rFonts w:hint="eastAsia" w:ascii="宋体" w:hAnsi="宋体" w:eastAsia="宋体" w:cs="宋体"/>
        </w:rPr>
        <w:t>搜索结果排序：搜索结果页支持用户自主选择排序方式，提供默认、评分从高到低、下载量从高到低三种排序维度，用户可根据自身需求切换排序方式，快速找到符合预期的应用。</w:t>
      </w:r>
    </w:p>
    <w:p w14:paraId="267206AA">
      <w:pPr>
        <w:spacing w:before="300" w:after="120" w:line="288" w:lineRule="auto"/>
        <w:outlineLvl w:val="2"/>
        <w:rPr>
          <w:rFonts w:hint="eastAsia" w:ascii="宋体" w:hAnsi="宋体" w:eastAsia="宋体" w:cs="宋体"/>
        </w:rPr>
      </w:pPr>
      <w:bookmarkStart w:id="15" w:name="heading_15"/>
      <w:r>
        <w:rPr>
          <w:rFonts w:hint="eastAsia" w:ascii="宋体" w:hAnsi="宋体" w:eastAsia="宋体" w:cs="宋体"/>
          <w:color w:val="3370FF"/>
          <w:sz w:val="30"/>
        </w:rPr>
        <w:t xml:space="preserve">3.2.3 </w:t>
      </w:r>
      <w:r>
        <w:rPr>
          <w:rFonts w:hint="eastAsia" w:ascii="宋体" w:hAnsi="宋体" w:eastAsia="宋体" w:cs="宋体"/>
          <w:b/>
          <w:sz w:val="30"/>
        </w:rPr>
        <w:t>应用列表页</w:t>
      </w:r>
      <w:bookmarkEnd w:id="15"/>
    </w:p>
    <w:p w14:paraId="7F765E87">
      <w:pPr>
        <w:spacing w:before="120" w:after="120" w:line="288" w:lineRule="auto"/>
        <w:rPr>
          <w:rFonts w:hint="eastAsia" w:ascii="宋体" w:hAnsi="宋体" w:eastAsia="宋体" w:cs="宋体"/>
        </w:rPr>
      </w:pPr>
      <w:r>
        <w:rPr>
          <w:rFonts w:hint="eastAsia" w:ascii="宋体" w:hAnsi="宋体" w:eastAsia="宋体" w:cs="宋体"/>
        </w:rPr>
        <w:t>应用列表页是用户按分类浏览应用的核心页面，本次优化旨在通过升级列表排序能力，为用户提供多维度的应用筛选路径，提升用户的应用浏览与发现效率。</w:t>
      </w:r>
    </w:p>
    <w:p w14:paraId="7B1558C6">
      <w:pPr>
        <w:spacing w:before="260" w:after="120" w:line="288" w:lineRule="auto"/>
        <w:outlineLvl w:val="3"/>
        <w:rPr>
          <w:rFonts w:hint="eastAsia" w:ascii="宋体" w:hAnsi="宋体" w:eastAsia="宋体" w:cs="宋体"/>
        </w:rPr>
      </w:pPr>
      <w:bookmarkStart w:id="16" w:name="heading_16"/>
      <w:r>
        <w:rPr>
          <w:rFonts w:hint="eastAsia" w:ascii="宋体" w:hAnsi="宋体" w:eastAsia="宋体" w:cs="宋体"/>
          <w:color w:val="3370FF"/>
          <w:sz w:val="28"/>
        </w:rPr>
        <w:t xml:space="preserve">3.2.3.1 </w:t>
      </w:r>
      <w:r>
        <w:rPr>
          <w:rFonts w:hint="eastAsia" w:ascii="宋体" w:hAnsi="宋体" w:eastAsia="宋体" w:cs="宋体"/>
          <w:b/>
          <w:sz w:val="28"/>
        </w:rPr>
        <w:t>列表排序</w:t>
      </w:r>
      <w:bookmarkEnd w:id="16"/>
    </w:p>
    <w:p w14:paraId="7CFBAE2B">
      <w:pPr>
        <w:spacing w:before="120" w:after="120" w:line="288" w:lineRule="auto"/>
        <w:rPr>
          <w:rFonts w:hint="eastAsia" w:ascii="宋体" w:hAnsi="宋体" w:eastAsia="宋体" w:cs="宋体"/>
        </w:rPr>
      </w:pPr>
      <w:r>
        <w:rPr>
          <w:rFonts w:hint="eastAsia" w:ascii="宋体" w:hAnsi="宋体" w:eastAsia="宋体" w:cs="宋体"/>
        </w:rPr>
        <w:t>支持用户自主选择排序方式，提供多维度的排序选项，让用户按自身偏好筛选应用，满足不同用户的应用浏览需求。</w:t>
      </w:r>
    </w:p>
    <w:p w14:paraId="5E55ACC4">
      <w:pPr>
        <w:spacing w:before="120" w:after="120" w:line="288" w:lineRule="auto"/>
        <w:rPr>
          <w:rFonts w:hint="eastAsia" w:ascii="宋体" w:hAnsi="宋体" w:eastAsia="宋体" w:cs="宋体"/>
        </w:rPr>
      </w:pPr>
      <w:r>
        <w:rPr>
          <w:rFonts w:hint="eastAsia" w:ascii="宋体" w:hAnsi="宋体" w:eastAsia="宋体" w:cs="宋体"/>
        </w:rPr>
        <w:t>【功能要求】</w:t>
      </w:r>
    </w:p>
    <w:p w14:paraId="17D1D2DE">
      <w:pPr>
        <w:numPr>
          <w:ilvl w:val="0"/>
          <w:numId w:val="40"/>
        </w:numPr>
        <w:spacing w:before="120" w:after="120" w:line="288" w:lineRule="auto"/>
        <w:rPr>
          <w:rFonts w:hint="eastAsia" w:ascii="宋体" w:hAnsi="宋体" w:eastAsia="宋体" w:cs="宋体"/>
        </w:rPr>
      </w:pPr>
      <w:r>
        <w:rPr>
          <w:rFonts w:hint="eastAsia" w:ascii="宋体" w:hAnsi="宋体" w:eastAsia="宋体" w:cs="宋体"/>
        </w:rPr>
        <w:t>排序维度支持：提供默认、评分从高到低、下载量从高到低、发布时间从新到旧四种排序维度，覆盖用户最常用的应用筛选场景。</w:t>
      </w:r>
    </w:p>
    <w:p w14:paraId="67934532">
      <w:pPr>
        <w:numPr>
          <w:ilvl w:val="0"/>
          <w:numId w:val="41"/>
        </w:numPr>
        <w:spacing w:before="120" w:after="120" w:line="288" w:lineRule="auto"/>
        <w:rPr>
          <w:rFonts w:hint="eastAsia" w:ascii="宋体" w:hAnsi="宋体" w:eastAsia="宋体" w:cs="宋体"/>
        </w:rPr>
      </w:pPr>
      <w:r>
        <w:rPr>
          <w:rFonts w:hint="eastAsia" w:ascii="宋体" w:hAnsi="宋体" w:eastAsia="宋体" w:cs="宋体"/>
        </w:rPr>
        <w:t>排序切换逻辑：在应用列表页顶部设置排序切换入口，用户点击即可切换排序方式，切换后列表内容实时刷新，无需重新加载页面，确保操作的流畅性。</w:t>
      </w:r>
    </w:p>
    <w:p w14:paraId="17D271FF">
      <w:pPr>
        <w:numPr>
          <w:ilvl w:val="0"/>
          <w:numId w:val="42"/>
        </w:numPr>
        <w:spacing w:before="120" w:after="120" w:line="288" w:lineRule="auto"/>
        <w:rPr>
          <w:rFonts w:hint="eastAsia" w:ascii="宋体" w:hAnsi="宋体" w:eastAsia="宋体" w:cs="宋体"/>
        </w:rPr>
      </w:pPr>
      <w:r>
        <w:rPr>
          <w:rFonts w:hint="eastAsia" w:ascii="宋体" w:hAnsi="宋体" w:eastAsia="宋体" w:cs="宋体"/>
        </w:rPr>
        <w:t>排序状态展示：当前选中的排序方式高亮展示，让用户清晰知晓当前的排序规则，满足用户的差异化需求。</w:t>
      </w:r>
    </w:p>
    <w:p w14:paraId="7F6C0D83">
      <w:pPr>
        <w:numPr>
          <w:ilvl w:val="0"/>
          <w:numId w:val="43"/>
        </w:numPr>
        <w:spacing w:before="120" w:after="120" w:line="288" w:lineRule="auto"/>
        <w:rPr>
          <w:rFonts w:hint="eastAsia" w:ascii="宋体" w:hAnsi="宋体" w:eastAsia="宋体" w:cs="宋体"/>
        </w:rPr>
      </w:pPr>
      <w:r>
        <w:rPr>
          <w:rFonts w:hint="eastAsia" w:ascii="宋体" w:hAnsi="宋体" w:eastAsia="宋体" w:cs="宋体"/>
        </w:rPr>
        <w:t>排序性能优化：确保多维度排序的响应速度，即使在应用数量较多的分类下，也能实现快速的排序切换与列表刷新，保证用户的浏览体验。</w:t>
      </w:r>
    </w:p>
    <w:p w14:paraId="6F4F5E89">
      <w:pPr>
        <w:spacing w:before="300" w:after="120" w:line="288" w:lineRule="auto"/>
        <w:outlineLvl w:val="2"/>
        <w:rPr>
          <w:rFonts w:hint="eastAsia" w:ascii="宋体" w:hAnsi="宋体" w:eastAsia="宋体" w:cs="宋体"/>
        </w:rPr>
      </w:pPr>
      <w:bookmarkStart w:id="17" w:name="heading_17"/>
      <w:r>
        <w:rPr>
          <w:rFonts w:hint="eastAsia" w:ascii="宋体" w:hAnsi="宋体" w:eastAsia="宋体" w:cs="宋体"/>
          <w:color w:val="3370FF"/>
          <w:sz w:val="30"/>
        </w:rPr>
        <w:t xml:space="preserve">3.2.4 </w:t>
      </w:r>
      <w:r>
        <w:rPr>
          <w:rFonts w:hint="eastAsia" w:ascii="宋体" w:hAnsi="宋体" w:eastAsia="宋体" w:cs="宋体"/>
          <w:b/>
          <w:sz w:val="30"/>
        </w:rPr>
        <w:t>应用详情页</w:t>
      </w:r>
      <w:bookmarkEnd w:id="17"/>
    </w:p>
    <w:p w14:paraId="52EAA907">
      <w:pPr>
        <w:spacing w:before="120" w:after="120" w:line="288" w:lineRule="auto"/>
        <w:rPr>
          <w:rFonts w:hint="eastAsia" w:ascii="宋体" w:hAnsi="宋体" w:eastAsia="宋体" w:cs="宋体"/>
        </w:rPr>
      </w:pPr>
      <w:r>
        <w:rPr>
          <w:rFonts w:hint="eastAsia" w:ascii="宋体" w:hAnsi="宋体" w:eastAsia="宋体" w:cs="宋体"/>
        </w:rPr>
        <w:t>应用详情页是用户转化与决策的核心闭环，本次优化旨在通过全维度扩展应用元数据、搭建轻量化的用户互动体系，为用户提供更充分的下载决策依据，缩短用户的决策路径，提升应用的下载转化率。</w:t>
      </w:r>
    </w:p>
    <w:p w14:paraId="0F6343BE">
      <w:pPr>
        <w:spacing w:before="260" w:after="120" w:line="288" w:lineRule="auto"/>
        <w:outlineLvl w:val="3"/>
        <w:rPr>
          <w:rFonts w:hint="eastAsia" w:ascii="宋体" w:hAnsi="宋体" w:eastAsia="宋体" w:cs="宋体"/>
        </w:rPr>
      </w:pPr>
      <w:bookmarkStart w:id="18" w:name="heading_18"/>
      <w:r>
        <w:rPr>
          <w:rFonts w:hint="eastAsia" w:ascii="宋体" w:hAnsi="宋体" w:eastAsia="宋体" w:cs="宋体"/>
          <w:color w:val="3370FF"/>
          <w:sz w:val="28"/>
        </w:rPr>
        <w:t xml:space="preserve">3.2.4.1 </w:t>
      </w:r>
      <w:r>
        <w:rPr>
          <w:rFonts w:hint="eastAsia" w:ascii="宋体" w:hAnsi="宋体" w:eastAsia="宋体" w:cs="宋体"/>
          <w:b/>
          <w:sz w:val="28"/>
        </w:rPr>
        <w:t>应用元数据扩展</w:t>
      </w:r>
      <w:bookmarkEnd w:id="18"/>
    </w:p>
    <w:p w14:paraId="6E2A8D76">
      <w:pPr>
        <w:spacing w:before="120" w:after="120" w:line="288" w:lineRule="auto"/>
        <w:rPr>
          <w:rFonts w:hint="eastAsia" w:ascii="宋体" w:hAnsi="宋体" w:eastAsia="宋体" w:cs="宋体"/>
        </w:rPr>
      </w:pPr>
      <w:r>
        <w:rPr>
          <w:rFonts w:hint="eastAsia" w:ascii="宋体" w:hAnsi="宋体" w:eastAsia="宋体" w:cs="宋体"/>
        </w:rPr>
        <w:t>完善更多维度的应用信息展示，新增多项核心应用属性，帮助用户在下载前获得更完整的决策参考依据，降低用户的决策成本。</w:t>
      </w:r>
    </w:p>
    <w:p w14:paraId="7181E5F8">
      <w:pPr>
        <w:spacing w:before="120" w:after="120" w:line="288" w:lineRule="auto"/>
        <w:rPr>
          <w:rFonts w:hint="eastAsia" w:ascii="宋体" w:hAnsi="宋体" w:eastAsia="宋体" w:cs="宋体"/>
        </w:rPr>
      </w:pPr>
      <w:r>
        <w:rPr>
          <w:rFonts w:hint="eastAsia" w:ascii="宋体" w:hAnsi="宋体" w:eastAsia="宋体" w:cs="宋体"/>
        </w:rPr>
        <w:t>【功能要求】</w:t>
      </w:r>
    </w:p>
    <w:p w14:paraId="1F604FE9">
      <w:pPr>
        <w:numPr>
          <w:ilvl w:val="0"/>
          <w:numId w:val="44"/>
        </w:numPr>
        <w:spacing w:before="120" w:after="120" w:line="288" w:lineRule="auto"/>
        <w:rPr>
          <w:rFonts w:hint="eastAsia" w:ascii="宋体" w:hAnsi="宋体" w:eastAsia="宋体" w:cs="宋体"/>
        </w:rPr>
      </w:pPr>
      <w:r>
        <w:rPr>
          <w:rFonts w:hint="eastAsia" w:ascii="宋体" w:hAnsi="宋体" w:eastAsia="宋体" w:cs="宋体"/>
        </w:rPr>
        <w:t>新增信息维度：在应用详情页新增以下核心信息展示：副标题（一句话看点）、累计下载量、应用细化标签、是否含内购标识、年龄分级、隐私数据说明、版本更新日志，全面覆盖用户下载决策所需的核心信息。</w:t>
      </w:r>
    </w:p>
    <w:p w14:paraId="4CE65803">
      <w:pPr>
        <w:numPr>
          <w:ilvl w:val="0"/>
          <w:numId w:val="45"/>
        </w:numPr>
        <w:spacing w:before="120" w:after="120" w:line="288" w:lineRule="auto"/>
        <w:rPr>
          <w:rFonts w:hint="eastAsia" w:ascii="宋体" w:hAnsi="宋体" w:eastAsia="宋体" w:cs="宋体"/>
        </w:rPr>
      </w:pPr>
      <w:r>
        <w:rPr>
          <w:rFonts w:hint="eastAsia" w:ascii="宋体" w:hAnsi="宋体" w:eastAsia="宋体" w:cs="宋体"/>
        </w:rPr>
        <w:t>信息展示规则：</w:t>
      </w:r>
    </w:p>
    <w:p w14:paraId="3BCB5809">
      <w:pPr>
        <w:numPr>
          <w:ilvl w:val="0"/>
          <w:numId w:val="46"/>
        </w:numPr>
        <w:spacing w:before="120" w:after="120" w:line="288" w:lineRule="auto"/>
        <w:ind w:left="453"/>
        <w:rPr>
          <w:rFonts w:hint="eastAsia" w:ascii="宋体" w:hAnsi="宋体" w:eastAsia="宋体" w:cs="宋体"/>
        </w:rPr>
      </w:pPr>
      <w:r>
        <w:rPr>
          <w:rFonts w:hint="eastAsia" w:ascii="宋体" w:hAnsi="宋体" w:eastAsia="宋体" w:cs="宋体"/>
        </w:rPr>
        <w:t>副标题：展示在应用名称下方，以一句话提炼应用的核心亮点，帮助用户快速了解应用定位；</w:t>
      </w:r>
    </w:p>
    <w:p w14:paraId="02FD2F29">
      <w:pPr>
        <w:numPr>
          <w:ilvl w:val="0"/>
          <w:numId w:val="47"/>
        </w:numPr>
        <w:spacing w:before="120" w:after="120" w:line="288" w:lineRule="auto"/>
        <w:ind w:left="453"/>
        <w:rPr>
          <w:rFonts w:hint="eastAsia" w:ascii="宋体" w:hAnsi="宋体" w:eastAsia="宋体" w:cs="宋体"/>
        </w:rPr>
      </w:pPr>
      <w:r>
        <w:rPr>
          <w:rFonts w:hint="eastAsia" w:ascii="宋体" w:hAnsi="宋体" w:eastAsia="宋体" w:cs="宋体"/>
        </w:rPr>
        <w:t>累计下载量：展示格式化的累计下载数值，不足1万显示具体数字，超过1万显示"X万+"，超过1亿显示"1亿+"，为应用提供热度背书；</w:t>
      </w:r>
    </w:p>
    <w:p w14:paraId="4606DBDC">
      <w:pPr>
        <w:numPr>
          <w:ilvl w:val="0"/>
          <w:numId w:val="48"/>
        </w:numPr>
        <w:spacing w:before="120" w:after="120" w:line="288" w:lineRule="auto"/>
        <w:ind w:left="453"/>
        <w:rPr>
          <w:rFonts w:hint="eastAsia" w:ascii="宋体" w:hAnsi="宋体" w:eastAsia="宋体" w:cs="宋体"/>
        </w:rPr>
      </w:pPr>
      <w:r>
        <w:rPr>
          <w:rFonts w:hint="eastAsia" w:ascii="宋体" w:hAnsi="宋体" w:eastAsia="宋体" w:cs="宋体"/>
        </w:rPr>
        <w:t>应用细化标签：展示该应用对应的多维度细化标签，帮助用户快速了解应用的场景、特点；</w:t>
      </w:r>
    </w:p>
    <w:p w14:paraId="102D67F6">
      <w:pPr>
        <w:numPr>
          <w:ilvl w:val="0"/>
          <w:numId w:val="49"/>
        </w:numPr>
        <w:spacing w:before="120" w:after="120" w:line="288" w:lineRule="auto"/>
        <w:ind w:left="453"/>
        <w:rPr>
          <w:rFonts w:hint="eastAsia" w:ascii="宋体" w:hAnsi="宋体" w:eastAsia="宋体" w:cs="宋体"/>
        </w:rPr>
      </w:pPr>
      <w:r>
        <w:rPr>
          <w:rFonts w:hint="eastAsia" w:ascii="宋体" w:hAnsi="宋体" w:eastAsia="宋体" w:cs="宋体"/>
        </w:rPr>
        <w:t>内购标识：明确标注该应用是否包含内购内容，让用户提前知晓应用的付费模式；</w:t>
      </w:r>
    </w:p>
    <w:p w14:paraId="38F9F51A">
      <w:pPr>
        <w:numPr>
          <w:ilvl w:val="0"/>
          <w:numId w:val="50"/>
        </w:numPr>
        <w:spacing w:before="120" w:after="120" w:line="288" w:lineRule="auto"/>
        <w:ind w:left="453"/>
        <w:rPr>
          <w:rFonts w:hint="eastAsia" w:ascii="宋体" w:hAnsi="宋体" w:eastAsia="宋体" w:cs="宋体"/>
        </w:rPr>
      </w:pPr>
      <w:r>
        <w:rPr>
          <w:rFonts w:hint="eastAsia" w:ascii="宋体" w:hAnsi="宋体" w:eastAsia="宋体" w:cs="宋体"/>
        </w:rPr>
        <w:t>年龄分级：展示应用对应的年龄分级，为家长提供儿童使用的参考依据；</w:t>
      </w:r>
    </w:p>
    <w:p w14:paraId="683CAAC7">
      <w:pPr>
        <w:numPr>
          <w:ilvl w:val="0"/>
          <w:numId w:val="51"/>
        </w:numPr>
        <w:spacing w:before="120" w:after="120" w:line="288" w:lineRule="auto"/>
        <w:ind w:left="453"/>
        <w:rPr>
          <w:rFonts w:hint="eastAsia" w:ascii="宋体" w:hAnsi="宋体" w:eastAsia="宋体" w:cs="宋体"/>
        </w:rPr>
      </w:pPr>
      <w:r>
        <w:rPr>
          <w:rFonts w:hint="eastAsia" w:ascii="宋体" w:hAnsi="宋体" w:eastAsia="宋体" w:cs="宋体"/>
        </w:rPr>
        <w:t>隐私数据说明：提供该应用的隐私数据收集与使用说明，满足用户的隐私知情权；</w:t>
      </w:r>
    </w:p>
    <w:p w14:paraId="7A70874E">
      <w:pPr>
        <w:numPr>
          <w:ilvl w:val="0"/>
          <w:numId w:val="52"/>
        </w:numPr>
        <w:spacing w:before="120" w:after="120" w:line="288" w:lineRule="auto"/>
        <w:ind w:left="453"/>
        <w:rPr>
          <w:rFonts w:hint="eastAsia" w:ascii="宋体" w:hAnsi="宋体" w:eastAsia="宋体" w:cs="宋体"/>
        </w:rPr>
      </w:pPr>
      <w:r>
        <w:rPr>
          <w:rFonts w:hint="eastAsia" w:ascii="宋体" w:hAnsi="宋体" w:eastAsia="宋体" w:cs="宋体"/>
        </w:rPr>
        <w:t>版本更新日志：展示该应用最新版本的更新内容，让用户了解版本的优化点与新增功能。</w:t>
      </w:r>
    </w:p>
    <w:p w14:paraId="4A03B492">
      <w:pPr>
        <w:numPr>
          <w:ilvl w:val="0"/>
          <w:numId w:val="53"/>
        </w:numPr>
        <w:spacing w:before="120" w:after="120" w:line="288" w:lineRule="auto"/>
        <w:rPr>
          <w:rFonts w:hint="eastAsia" w:ascii="宋体" w:hAnsi="宋体" w:eastAsia="宋体" w:cs="宋体"/>
        </w:rPr>
      </w:pPr>
      <w:r>
        <w:rPr>
          <w:rFonts w:hint="eastAsia" w:ascii="宋体" w:hAnsi="宋体" w:eastAsia="宋体" w:cs="宋体"/>
        </w:rPr>
        <w:t>信息布局优化：将新增的元数据按逻辑优先级进行页面布局，核心信息展示在页面上方，辅助信息按模块分区展示，确保页面的可读性与信息层级的清晰性。</w:t>
      </w:r>
    </w:p>
    <w:p w14:paraId="0B331AD6">
      <w:pPr>
        <w:numPr>
          <w:ilvl w:val="0"/>
          <w:numId w:val="54"/>
        </w:numPr>
        <w:spacing w:before="120" w:after="120" w:line="288" w:lineRule="auto"/>
        <w:rPr>
          <w:rFonts w:hint="eastAsia" w:ascii="宋体" w:hAnsi="宋体" w:eastAsia="宋体" w:cs="宋体"/>
        </w:rPr>
      </w:pPr>
      <w:r>
        <w:rPr>
          <w:rFonts w:hint="eastAsia" w:ascii="宋体" w:hAnsi="宋体" w:eastAsia="宋体" w:cs="宋体"/>
        </w:rPr>
        <w:t>数据同步机制：确保详情页展示的所有元数据与应用管理后台的信息保持同步，保证数据的准确性与权威性。</w:t>
      </w:r>
    </w:p>
    <w:p w14:paraId="42993665">
      <w:pPr>
        <w:spacing w:before="260" w:after="120" w:line="288" w:lineRule="auto"/>
        <w:outlineLvl w:val="3"/>
        <w:rPr>
          <w:rFonts w:hint="eastAsia" w:ascii="宋体" w:hAnsi="宋体" w:eastAsia="宋体" w:cs="宋体"/>
        </w:rPr>
      </w:pPr>
      <w:bookmarkStart w:id="19" w:name="heading_19"/>
      <w:r>
        <w:rPr>
          <w:rFonts w:hint="eastAsia" w:ascii="宋体" w:hAnsi="宋体" w:eastAsia="宋体" w:cs="宋体"/>
          <w:color w:val="3370FF"/>
          <w:sz w:val="28"/>
        </w:rPr>
        <w:t xml:space="preserve">3.2.4.2 </w:t>
      </w:r>
      <w:r>
        <w:rPr>
          <w:rFonts w:hint="eastAsia" w:ascii="宋体" w:hAnsi="宋体" w:eastAsia="宋体" w:cs="宋体"/>
          <w:b/>
          <w:sz w:val="28"/>
        </w:rPr>
        <w:t>点赞</w:t>
      </w:r>
      <w:bookmarkEnd w:id="19"/>
    </w:p>
    <w:p w14:paraId="0AC89271">
      <w:pPr>
        <w:spacing w:before="120" w:after="120" w:line="288" w:lineRule="auto"/>
        <w:rPr>
          <w:rFonts w:hint="eastAsia" w:ascii="宋体" w:hAnsi="宋体" w:eastAsia="宋体" w:cs="宋体"/>
        </w:rPr>
      </w:pPr>
      <w:r>
        <w:rPr>
          <w:rFonts w:hint="eastAsia" w:ascii="宋体" w:hAnsi="宋体" w:eastAsia="宋体" w:cs="宋体"/>
        </w:rPr>
        <w:t>为用户提供轻量化的快速表态入口，沉淀应用的正向口碑数据，在详情页构建直观的应用口碑维度，辅助其他用户的下载决策。</w:t>
      </w:r>
    </w:p>
    <w:p w14:paraId="4BA6B30B">
      <w:pPr>
        <w:spacing w:before="120" w:after="120" w:line="288" w:lineRule="auto"/>
        <w:rPr>
          <w:rFonts w:hint="eastAsia" w:ascii="宋体" w:hAnsi="宋体" w:eastAsia="宋体" w:cs="宋体"/>
        </w:rPr>
      </w:pPr>
      <w:r>
        <w:rPr>
          <w:rFonts w:hint="eastAsia" w:ascii="宋体" w:hAnsi="宋体" w:eastAsia="宋体" w:cs="宋体"/>
        </w:rPr>
        <w:t>【功能要求】</w:t>
      </w:r>
    </w:p>
    <w:p w14:paraId="552F9D76">
      <w:pPr>
        <w:numPr>
          <w:ilvl w:val="0"/>
          <w:numId w:val="55"/>
        </w:numPr>
        <w:spacing w:before="120" w:after="120" w:line="288" w:lineRule="auto"/>
        <w:rPr>
          <w:rFonts w:hint="eastAsia" w:ascii="宋体" w:hAnsi="宋体" w:eastAsia="宋体" w:cs="宋体"/>
        </w:rPr>
      </w:pPr>
      <w:r>
        <w:rPr>
          <w:rFonts w:hint="eastAsia" w:ascii="宋体" w:hAnsi="宋体" w:eastAsia="宋体" w:cs="宋体"/>
        </w:rPr>
        <w:t>点赞入口展示：在应用详情页设置独立的"点赞"按钮，搭配点赞数值展示，位置醒目，操作便捷，适配电视大屏端的遥控器操作。</w:t>
      </w:r>
    </w:p>
    <w:p w14:paraId="1EB8AA5C">
      <w:pPr>
        <w:numPr>
          <w:ilvl w:val="0"/>
          <w:numId w:val="56"/>
        </w:numPr>
        <w:spacing w:before="120" w:after="120" w:line="288" w:lineRule="auto"/>
        <w:rPr>
          <w:rFonts w:hint="eastAsia" w:ascii="宋体" w:hAnsi="宋体" w:eastAsia="宋体" w:cs="宋体"/>
        </w:rPr>
      </w:pPr>
      <w:r>
        <w:rPr>
          <w:rFonts w:hint="eastAsia" w:ascii="宋体" w:hAnsi="宋体" w:eastAsia="宋体" w:cs="宋体"/>
        </w:rPr>
        <w:t>即时点击响应：用户点击点赞按钮后，对应数值实时累加并触发动效反馈，前端数值立即更新，无需等待后台确认，确保交互的绝对流畅。</w:t>
      </w:r>
    </w:p>
    <w:p w14:paraId="2D6C53E1">
      <w:pPr>
        <w:numPr>
          <w:ilvl w:val="0"/>
          <w:numId w:val="57"/>
        </w:numPr>
        <w:spacing w:before="120" w:after="120" w:line="288" w:lineRule="auto"/>
        <w:rPr>
          <w:rFonts w:hint="eastAsia" w:ascii="宋体" w:hAnsi="宋体" w:eastAsia="宋体" w:cs="宋体"/>
        </w:rPr>
      </w:pPr>
      <w:r>
        <w:rPr>
          <w:rFonts w:hint="eastAsia" w:ascii="宋体" w:hAnsi="宋体" w:eastAsia="宋体" w:cs="宋体"/>
        </w:rPr>
        <w:t>表态逻辑规则：不限制单个用户/设备的点击次数，允许重复点击，系统仅做数值的简单增量处理，降低用户的表态门槛，最大化沉淀正向口碑数据。</w:t>
      </w:r>
    </w:p>
    <w:p w14:paraId="2FDAAB04">
      <w:pPr>
        <w:numPr>
          <w:ilvl w:val="0"/>
          <w:numId w:val="58"/>
        </w:numPr>
        <w:spacing w:before="120" w:after="120" w:line="288" w:lineRule="auto"/>
        <w:rPr>
          <w:rFonts w:hint="eastAsia" w:ascii="宋体" w:hAnsi="宋体" w:eastAsia="宋体" w:cs="宋体"/>
        </w:rPr>
      </w:pPr>
      <w:r>
        <w:rPr>
          <w:rFonts w:hint="eastAsia" w:ascii="宋体" w:hAnsi="宋体" w:eastAsia="宋体" w:cs="宋体"/>
        </w:rPr>
        <w:t>数据底量叠加：后台支持为应用预设点赞初始底量，解决功能/应用初上线时数值为 0 的展示问题；前端展示总数为预设底量 + 真实用户点赞数，底量可灵活调整且不影响真实数据沉淀。</w:t>
      </w:r>
    </w:p>
    <w:p w14:paraId="72DF8ED8">
      <w:pPr>
        <w:spacing w:before="260" w:after="120" w:line="288" w:lineRule="auto"/>
        <w:outlineLvl w:val="3"/>
        <w:rPr>
          <w:rFonts w:hint="eastAsia" w:ascii="宋体" w:hAnsi="宋体" w:eastAsia="宋体" w:cs="宋体"/>
        </w:rPr>
      </w:pPr>
      <w:bookmarkStart w:id="20" w:name="heading_20"/>
      <w:r>
        <w:rPr>
          <w:rFonts w:hint="eastAsia" w:ascii="宋体" w:hAnsi="宋体" w:eastAsia="宋体" w:cs="宋体"/>
          <w:color w:val="3370FF"/>
          <w:sz w:val="28"/>
        </w:rPr>
        <w:t xml:space="preserve">3.2.4.3 </w:t>
      </w:r>
      <w:r>
        <w:rPr>
          <w:rFonts w:hint="eastAsia" w:ascii="宋体" w:hAnsi="宋体" w:eastAsia="宋体" w:cs="宋体"/>
          <w:b/>
          <w:sz w:val="28"/>
        </w:rPr>
        <w:t>用户评价</w:t>
      </w:r>
      <w:bookmarkEnd w:id="20"/>
    </w:p>
    <w:p w14:paraId="0577DEDF">
      <w:pPr>
        <w:spacing w:before="120" w:after="120" w:line="288" w:lineRule="auto"/>
        <w:rPr>
          <w:rFonts w:hint="eastAsia" w:ascii="宋体" w:hAnsi="宋体" w:eastAsia="宋体" w:cs="宋体"/>
        </w:rPr>
      </w:pPr>
      <w:r>
        <w:rPr>
          <w:rFonts w:hint="eastAsia" w:ascii="宋体" w:hAnsi="宋体" w:eastAsia="宋体" w:cs="宋体"/>
        </w:rPr>
        <w:t>以预设标签替代文字输入，让已安装用户在TV端快速完成应用点评，解决电视端文字输入不便的痛点，同时将非结构化的评价转化为高价值的热度数据。</w:t>
      </w:r>
    </w:p>
    <w:p w14:paraId="62ADC1CA">
      <w:pPr>
        <w:spacing w:before="120" w:after="120" w:line="288" w:lineRule="auto"/>
        <w:rPr>
          <w:rFonts w:hint="eastAsia" w:ascii="宋体" w:hAnsi="宋体" w:eastAsia="宋体" w:cs="宋体"/>
        </w:rPr>
      </w:pPr>
      <w:r>
        <w:rPr>
          <w:rFonts w:hint="eastAsia" w:ascii="宋体" w:hAnsi="宋体" w:eastAsia="宋体" w:cs="宋体"/>
        </w:rPr>
        <w:t>【功能要求】</w:t>
      </w:r>
    </w:p>
    <w:p w14:paraId="3EF045BD">
      <w:pPr>
        <w:numPr>
          <w:ilvl w:val="0"/>
          <w:numId w:val="59"/>
        </w:numPr>
        <w:spacing w:before="120" w:after="120" w:line="288" w:lineRule="auto"/>
        <w:rPr>
          <w:rFonts w:hint="eastAsia" w:ascii="宋体" w:hAnsi="宋体" w:eastAsia="宋体" w:cs="宋体"/>
        </w:rPr>
      </w:pPr>
      <w:r>
        <w:rPr>
          <w:rFonts w:hint="eastAsia" w:ascii="宋体" w:hAnsi="宋体" w:eastAsia="宋体" w:cs="宋体"/>
        </w:rPr>
        <w:t>零输入交互设计：点评环节不支持自定义文字输入，仅提供系统预设标签，用户仅需选择对应标签即可完成点评，适配电视大屏端的操作习惯，降低用户的评价门槛。</w:t>
      </w:r>
    </w:p>
    <w:p w14:paraId="22B037F5">
      <w:pPr>
        <w:numPr>
          <w:ilvl w:val="0"/>
          <w:numId w:val="60"/>
        </w:numPr>
        <w:spacing w:before="120" w:after="120" w:line="288" w:lineRule="auto"/>
        <w:rPr>
          <w:rFonts w:hint="eastAsia" w:ascii="宋体" w:hAnsi="宋体" w:eastAsia="宋体" w:cs="宋体"/>
        </w:rPr>
      </w:pPr>
      <w:r>
        <w:rPr>
          <w:rFonts w:hint="eastAsia" w:ascii="宋体" w:hAnsi="宋体" w:eastAsia="宋体" w:cs="宋体"/>
        </w:rPr>
        <w:t>标签库差异化配置：后台支持按应用分类独立维护评价标签库，不同分类（如游戏、影视、工具等）可配置各自专属的标签集合，避免标签语义与应用类型不符，确保评价的精准度。</w:t>
      </w:r>
    </w:p>
    <w:p w14:paraId="5D5F72BE">
      <w:pPr>
        <w:numPr>
          <w:ilvl w:val="0"/>
          <w:numId w:val="61"/>
        </w:numPr>
        <w:spacing w:before="120" w:after="120" w:line="288" w:lineRule="auto"/>
        <w:rPr>
          <w:rFonts w:hint="eastAsia" w:ascii="宋体" w:hAnsi="宋体" w:eastAsia="宋体" w:cs="宋体"/>
        </w:rPr>
      </w:pPr>
      <w:r>
        <w:rPr>
          <w:rFonts w:hint="eastAsia" w:ascii="宋体" w:hAnsi="宋体" w:eastAsia="宋体" w:cs="宋体"/>
        </w:rPr>
        <w:t>评价展示逻辑：详情页评价区域呈现各评价标签，展示各标签被选择的总频次（如"界面流畅 99+"），让未下载用户直观了解该应用的用户口碑。</w:t>
      </w:r>
    </w:p>
    <w:p w14:paraId="31C1BA77">
      <w:pPr>
        <w:numPr>
          <w:ilvl w:val="0"/>
          <w:numId w:val="62"/>
        </w:numPr>
        <w:spacing w:before="120" w:after="120" w:line="288" w:lineRule="auto"/>
        <w:rPr>
          <w:rFonts w:hint="eastAsia" w:ascii="宋体" w:hAnsi="宋体" w:eastAsia="宋体" w:cs="宋体"/>
        </w:rPr>
      </w:pPr>
      <w:r>
        <w:rPr>
          <w:rFonts w:hint="eastAsia" w:ascii="宋体" w:hAnsi="宋体" w:eastAsia="宋体" w:cs="宋体"/>
        </w:rPr>
        <w:t>点评操作流程：用户点击评价按钮后弹出标签选择面板，支持多选（最多选择3个标签），点击确定后完成点评；提交点评后，详情页对应的标签数值即时增加，并给出"评价成功"的反馈。</w:t>
      </w:r>
    </w:p>
    <w:p w14:paraId="701B4018">
      <w:pPr>
        <w:numPr>
          <w:ilvl w:val="0"/>
          <w:numId w:val="63"/>
        </w:numPr>
        <w:spacing w:before="120" w:after="120" w:line="288" w:lineRule="auto"/>
        <w:rPr>
          <w:rFonts w:hint="eastAsia" w:ascii="宋体" w:hAnsi="宋体" w:eastAsia="宋体" w:cs="宋体"/>
        </w:rPr>
      </w:pPr>
      <w:r>
        <w:rPr>
          <w:rFonts w:hint="eastAsia" w:ascii="宋体" w:hAnsi="宋体" w:eastAsia="宋体" w:cs="宋体"/>
        </w:rPr>
        <w:t>权限校验规则：仅限已安装的用户参与点评，防止未体验用户干扰数据真实性，确保评价数据的参考价值。</w:t>
      </w:r>
    </w:p>
    <w:p w14:paraId="6076C2E4">
      <w:pPr>
        <w:spacing w:before="260" w:after="120" w:line="288" w:lineRule="auto"/>
        <w:outlineLvl w:val="3"/>
        <w:rPr>
          <w:rFonts w:hint="eastAsia" w:ascii="宋体" w:hAnsi="宋体" w:eastAsia="宋体" w:cs="宋体"/>
        </w:rPr>
      </w:pPr>
      <w:bookmarkStart w:id="21" w:name="heading_21"/>
      <w:r>
        <w:rPr>
          <w:rFonts w:hint="eastAsia" w:ascii="宋体" w:hAnsi="宋体" w:eastAsia="宋体" w:cs="宋体"/>
          <w:color w:val="3370FF"/>
          <w:sz w:val="28"/>
        </w:rPr>
        <w:t xml:space="preserve">3.2.4.4 </w:t>
      </w:r>
      <w:r>
        <w:rPr>
          <w:rFonts w:hint="eastAsia" w:ascii="宋体" w:hAnsi="宋体" w:eastAsia="宋体" w:cs="宋体"/>
          <w:b/>
          <w:sz w:val="28"/>
        </w:rPr>
        <w:t>应用评分</w:t>
      </w:r>
      <w:bookmarkEnd w:id="21"/>
    </w:p>
    <w:p w14:paraId="471F8D81">
      <w:pPr>
        <w:spacing w:before="120" w:after="120" w:line="288" w:lineRule="auto"/>
        <w:rPr>
          <w:rFonts w:hint="eastAsia" w:ascii="宋体" w:hAnsi="宋体" w:eastAsia="宋体" w:cs="宋体"/>
        </w:rPr>
      </w:pPr>
      <w:r>
        <w:rPr>
          <w:rFonts w:hint="eastAsia" w:ascii="宋体" w:hAnsi="宋体" w:eastAsia="宋体" w:cs="宋体"/>
        </w:rPr>
        <w:t>为已安装用户提供五星评分入口，通过综合均值为其他用户的下载决策提供核心参考依据，建立标准化的应用质量评价体系。</w:t>
      </w:r>
    </w:p>
    <w:p w14:paraId="20845E30">
      <w:pPr>
        <w:spacing w:before="120" w:after="120" w:line="288" w:lineRule="auto"/>
        <w:rPr>
          <w:rFonts w:hint="eastAsia" w:ascii="宋体" w:hAnsi="宋体" w:eastAsia="宋体" w:cs="宋体"/>
        </w:rPr>
      </w:pPr>
      <w:r>
        <w:rPr>
          <w:rFonts w:hint="eastAsia" w:ascii="宋体" w:hAnsi="宋体" w:eastAsia="宋体" w:cs="宋体"/>
        </w:rPr>
        <w:t>【功能要求】</w:t>
      </w:r>
    </w:p>
    <w:p w14:paraId="111E267D">
      <w:pPr>
        <w:numPr>
          <w:ilvl w:val="0"/>
          <w:numId w:val="64"/>
        </w:numPr>
        <w:spacing w:before="120" w:after="120" w:line="288" w:lineRule="auto"/>
        <w:rPr>
          <w:rFonts w:hint="eastAsia" w:ascii="宋体" w:hAnsi="宋体" w:eastAsia="宋体" w:cs="宋体"/>
        </w:rPr>
      </w:pPr>
      <w:r>
        <w:rPr>
          <w:rFonts w:hint="eastAsia" w:ascii="宋体" w:hAnsi="宋体" w:eastAsia="宋体" w:cs="宋体"/>
        </w:rPr>
        <w:t>阶梯式评分机制：用户可根据使用体验对应用进行1~5星级评价，1星代表不推荐，5星代表强烈推荐，支持半星评价，满足用户的精细化评分需求。</w:t>
      </w:r>
    </w:p>
    <w:p w14:paraId="4CB75516">
      <w:pPr>
        <w:numPr>
          <w:ilvl w:val="0"/>
          <w:numId w:val="65"/>
        </w:numPr>
        <w:spacing w:before="120" w:after="120" w:line="288" w:lineRule="auto"/>
        <w:rPr>
          <w:rFonts w:hint="eastAsia" w:ascii="宋体" w:hAnsi="宋体" w:eastAsia="宋体" w:cs="宋体"/>
        </w:rPr>
      </w:pPr>
      <w:r>
        <w:rPr>
          <w:rFonts w:hint="eastAsia" w:ascii="宋体" w:hAnsi="宋体" w:eastAsia="宋体" w:cs="宋体"/>
        </w:rPr>
        <w:t>评分数据展示：详情页实时展示该应用的综合评分均值（保留一位小数）以及参与评价的总人数，同时展示1至5星各档位的评分人数分布与占比，让用户全面了解该应用的评分情况。</w:t>
      </w:r>
    </w:p>
    <w:p w14:paraId="3048185E">
      <w:pPr>
        <w:numPr>
          <w:ilvl w:val="0"/>
          <w:numId w:val="66"/>
        </w:numPr>
        <w:spacing w:before="120" w:after="120" w:line="288" w:lineRule="auto"/>
        <w:rPr>
          <w:rFonts w:hint="eastAsia" w:ascii="宋体" w:hAnsi="宋体" w:eastAsia="宋体" w:cs="宋体"/>
        </w:rPr>
      </w:pPr>
      <w:r>
        <w:rPr>
          <w:rFonts w:hint="eastAsia" w:ascii="宋体" w:hAnsi="宋体" w:eastAsia="宋体" w:cs="宋体"/>
        </w:rPr>
        <w:t>评分资格限制：仅对已下载并安装该应用的用户开放评分权限，未下载用户仅可查看评分结果，无法参与评分，确保评分数据的真实性与参考价值。</w:t>
      </w:r>
    </w:p>
    <w:p w14:paraId="58DB8CCA">
      <w:pPr>
        <w:numPr>
          <w:ilvl w:val="0"/>
          <w:numId w:val="67"/>
        </w:numPr>
        <w:spacing w:before="120" w:after="120" w:line="288" w:lineRule="auto"/>
        <w:rPr>
          <w:rFonts w:hint="eastAsia" w:ascii="宋体" w:hAnsi="宋体" w:eastAsia="宋体" w:cs="宋体"/>
        </w:rPr>
      </w:pPr>
      <w:r>
        <w:rPr>
          <w:rFonts w:hint="eastAsia" w:ascii="宋体" w:hAnsi="宋体" w:eastAsia="宋体" w:cs="宋体"/>
        </w:rPr>
        <w:t>数据综合计算：系统自动对所有评分进行综合计算，实时更新应用的综合评分均值，确保评分数据的实时性与准确性。</w:t>
      </w:r>
    </w:p>
    <w:p w14:paraId="79B4F586">
      <w:pPr>
        <w:spacing w:before="260" w:after="120" w:line="288" w:lineRule="auto"/>
        <w:outlineLvl w:val="3"/>
        <w:rPr>
          <w:rFonts w:hint="eastAsia" w:ascii="宋体" w:hAnsi="宋体" w:eastAsia="宋体" w:cs="宋体"/>
        </w:rPr>
      </w:pPr>
      <w:bookmarkStart w:id="22" w:name="heading_22"/>
      <w:r>
        <w:rPr>
          <w:rFonts w:hint="eastAsia" w:ascii="宋体" w:hAnsi="宋体" w:eastAsia="宋体" w:cs="宋体"/>
          <w:color w:val="3370FF"/>
          <w:sz w:val="28"/>
        </w:rPr>
        <w:t xml:space="preserve">3.2.4.5 </w:t>
      </w:r>
      <w:r>
        <w:rPr>
          <w:rFonts w:hint="eastAsia" w:ascii="宋体" w:hAnsi="宋体" w:eastAsia="宋体" w:cs="宋体"/>
          <w:b/>
          <w:sz w:val="28"/>
        </w:rPr>
        <w:t>相似推荐强化</w:t>
      </w:r>
      <w:bookmarkEnd w:id="22"/>
    </w:p>
    <w:p w14:paraId="2E3C1536">
      <w:pPr>
        <w:spacing w:before="120" w:after="120" w:line="288" w:lineRule="auto"/>
        <w:rPr>
          <w:rFonts w:hint="eastAsia" w:ascii="宋体" w:hAnsi="宋体" w:eastAsia="宋体" w:cs="宋体"/>
        </w:rPr>
      </w:pPr>
      <w:r>
        <w:rPr>
          <w:rFonts w:hint="eastAsia" w:ascii="宋体" w:hAnsi="宋体" w:eastAsia="宋体" w:cs="宋体"/>
        </w:rPr>
        <w:t>通过细化应用标签体系，基于标签相似度提升详情页相似应用推荐的精准度，为用户提供更符合需求的应用推荐，提升用户的应用发现效率与二次转化概率。</w:t>
      </w:r>
    </w:p>
    <w:p w14:paraId="520671F0">
      <w:pPr>
        <w:spacing w:before="120" w:after="120" w:line="288" w:lineRule="auto"/>
        <w:rPr>
          <w:rFonts w:hint="eastAsia" w:ascii="宋体" w:hAnsi="宋体" w:eastAsia="宋体" w:cs="宋体"/>
        </w:rPr>
      </w:pPr>
      <w:r>
        <w:rPr>
          <w:rFonts w:hint="eastAsia" w:ascii="宋体" w:hAnsi="宋体" w:eastAsia="宋体" w:cs="宋体"/>
        </w:rPr>
        <w:t>【功能要求】</w:t>
      </w:r>
    </w:p>
    <w:p w14:paraId="5C4DDC4D">
      <w:pPr>
        <w:numPr>
          <w:ilvl w:val="0"/>
          <w:numId w:val="68"/>
        </w:numPr>
        <w:spacing w:before="120" w:after="120" w:line="288" w:lineRule="auto"/>
        <w:rPr>
          <w:rFonts w:hint="eastAsia" w:ascii="宋体" w:hAnsi="宋体" w:eastAsia="宋体" w:cs="宋体"/>
        </w:rPr>
      </w:pPr>
      <w:r>
        <w:rPr>
          <w:rFonts w:hint="eastAsia" w:ascii="宋体" w:hAnsi="宋体" w:eastAsia="宋体" w:cs="宋体"/>
        </w:rPr>
        <w:t>细化标签体系支撑：基于后台维护的全局细化标签库，为每个应用配置多维度的细化标签，包括应用类型、使用场景、核心功能、用户群体等，作为相似推荐算法的基础数据输入。</w:t>
      </w:r>
    </w:p>
    <w:p w14:paraId="32096731">
      <w:pPr>
        <w:numPr>
          <w:ilvl w:val="0"/>
          <w:numId w:val="69"/>
        </w:numPr>
        <w:spacing w:before="120" w:after="120" w:line="288" w:lineRule="auto"/>
        <w:rPr>
          <w:rFonts w:hint="eastAsia" w:ascii="宋体" w:hAnsi="宋体" w:eastAsia="宋体" w:cs="宋体"/>
        </w:rPr>
      </w:pPr>
      <w:r>
        <w:rPr>
          <w:rFonts w:hint="eastAsia" w:ascii="宋体" w:hAnsi="宋体" w:eastAsia="宋体" w:cs="宋体"/>
        </w:rPr>
        <w:t>相似度匹配算法优化：替代原有的分类匹配逻辑，采用基于多维度标签的相似度计算算法，优先推荐与当前应用标签重合度最高的应用，大幅提升推荐结果的精准度。</w:t>
      </w:r>
    </w:p>
    <w:p w14:paraId="2DC887E3">
      <w:pPr>
        <w:numPr>
          <w:ilvl w:val="0"/>
          <w:numId w:val="70"/>
        </w:numPr>
        <w:spacing w:before="120" w:after="120" w:line="288" w:lineRule="auto"/>
        <w:rPr>
          <w:rFonts w:hint="eastAsia" w:ascii="宋体" w:hAnsi="宋体" w:eastAsia="宋体" w:cs="宋体"/>
        </w:rPr>
      </w:pPr>
      <w:r>
        <w:rPr>
          <w:rFonts w:hint="eastAsia" w:ascii="宋体" w:hAnsi="宋体" w:eastAsia="宋体" w:cs="宋体"/>
        </w:rPr>
        <w:t>推荐结果刷新：底部推荐栏侧边提供"换一换"按钮，用户点击后系统从推荐池中即时调取另一组相似应用进行覆盖式刷新，每次刷新展示6至10个应用，满足用户的更多发现需求。</w:t>
      </w:r>
    </w:p>
    <w:p w14:paraId="0111D514">
      <w:pPr>
        <w:numPr>
          <w:ilvl w:val="0"/>
          <w:numId w:val="71"/>
        </w:numPr>
        <w:spacing w:before="120" w:after="120" w:line="288" w:lineRule="auto"/>
        <w:rPr>
          <w:rFonts w:hint="eastAsia" w:ascii="宋体" w:hAnsi="宋体" w:eastAsia="宋体" w:cs="宋体"/>
        </w:rPr>
      </w:pPr>
      <w:r>
        <w:rPr>
          <w:rFonts w:hint="eastAsia" w:ascii="宋体" w:hAnsi="宋体" w:eastAsia="宋体" w:cs="宋体"/>
        </w:rPr>
        <w:t>推荐池运营配置：支持后台按应用分类配置差异化的推荐池，为算法划定推荐的合规范围，同时可配置推荐结果的展示优先级，实现对推荐结果的人工兜底与精细化管控，确保推荐内容符合业务运营要求。</w:t>
      </w:r>
    </w:p>
    <w:p w14:paraId="242809EE">
      <w:pPr>
        <w:spacing w:before="300" w:after="120" w:line="288" w:lineRule="auto"/>
        <w:outlineLvl w:val="2"/>
        <w:rPr>
          <w:rFonts w:hint="eastAsia" w:ascii="宋体" w:hAnsi="宋体" w:eastAsia="宋体" w:cs="宋体"/>
        </w:rPr>
      </w:pPr>
      <w:bookmarkStart w:id="23" w:name="heading_23"/>
      <w:r>
        <w:rPr>
          <w:rFonts w:hint="eastAsia" w:ascii="宋体" w:hAnsi="宋体" w:eastAsia="宋体" w:cs="宋体"/>
          <w:color w:val="3370FF"/>
          <w:sz w:val="30"/>
        </w:rPr>
        <w:t xml:space="preserve">3.2.5 </w:t>
      </w:r>
      <w:r>
        <w:rPr>
          <w:rFonts w:hint="eastAsia" w:ascii="宋体" w:hAnsi="宋体" w:eastAsia="宋体" w:cs="宋体"/>
          <w:b/>
          <w:sz w:val="30"/>
        </w:rPr>
        <w:t>我的应用页</w:t>
      </w:r>
      <w:bookmarkEnd w:id="23"/>
    </w:p>
    <w:p w14:paraId="2F11A2A4">
      <w:pPr>
        <w:spacing w:before="120" w:after="120" w:line="288" w:lineRule="auto"/>
        <w:rPr>
          <w:rFonts w:hint="eastAsia" w:ascii="宋体" w:hAnsi="宋体" w:eastAsia="宋体" w:cs="宋体"/>
        </w:rPr>
      </w:pPr>
      <w:r>
        <w:rPr>
          <w:rFonts w:hint="eastAsia" w:ascii="宋体" w:hAnsi="宋体" w:eastAsia="宋体" w:cs="宋体"/>
        </w:rPr>
        <w:t>我的应用页是用户管理已安装应用的核心入口，本次优化旨在通过升级应用更新管理能力，降低用户的应用维护成本。</w:t>
      </w:r>
    </w:p>
    <w:p w14:paraId="52992EE1">
      <w:pPr>
        <w:spacing w:before="260" w:after="120" w:line="288" w:lineRule="auto"/>
        <w:outlineLvl w:val="3"/>
        <w:rPr>
          <w:rFonts w:hint="eastAsia" w:ascii="宋体" w:hAnsi="宋体" w:eastAsia="宋体" w:cs="宋体"/>
        </w:rPr>
      </w:pPr>
      <w:bookmarkStart w:id="24" w:name="heading_24"/>
      <w:r>
        <w:rPr>
          <w:rFonts w:hint="eastAsia" w:ascii="宋体" w:hAnsi="宋体" w:eastAsia="宋体" w:cs="宋体"/>
          <w:color w:val="3370FF"/>
          <w:sz w:val="28"/>
        </w:rPr>
        <w:t xml:space="preserve">3.2.5.1 </w:t>
      </w:r>
      <w:r>
        <w:rPr>
          <w:rFonts w:hint="eastAsia" w:ascii="宋体" w:hAnsi="宋体" w:eastAsia="宋体" w:cs="宋体"/>
          <w:b/>
          <w:sz w:val="28"/>
        </w:rPr>
        <w:t>更新提示优化</w:t>
      </w:r>
      <w:bookmarkEnd w:id="24"/>
    </w:p>
    <w:p w14:paraId="59A83FE5">
      <w:pPr>
        <w:spacing w:before="120" w:after="120" w:line="288" w:lineRule="auto"/>
        <w:rPr>
          <w:rFonts w:hint="eastAsia" w:ascii="宋体" w:hAnsi="宋体" w:eastAsia="宋体" w:cs="宋体"/>
        </w:rPr>
      </w:pPr>
      <w:r>
        <w:rPr>
          <w:rFonts w:hint="eastAsia" w:ascii="宋体" w:hAnsi="宋体" w:eastAsia="宋体" w:cs="宋体"/>
        </w:rPr>
        <w:t>在我的应用页新增待更新应用区域，支持批量一键更新与忽略更新操作，减少用户逐一处理的操作成本，提升用户的应用版本维护效率。</w:t>
      </w:r>
    </w:p>
    <w:p w14:paraId="26A827BC">
      <w:pPr>
        <w:spacing w:before="120" w:after="120" w:line="288" w:lineRule="auto"/>
        <w:rPr>
          <w:rFonts w:hint="eastAsia" w:ascii="宋体" w:hAnsi="宋体" w:eastAsia="宋体" w:cs="宋体"/>
        </w:rPr>
      </w:pPr>
      <w:r>
        <w:rPr>
          <w:rFonts w:hint="eastAsia" w:ascii="宋体" w:hAnsi="宋体" w:eastAsia="宋体" w:cs="宋体"/>
        </w:rPr>
        <w:t>【功能要求】</w:t>
      </w:r>
    </w:p>
    <w:p w14:paraId="1C090E39">
      <w:pPr>
        <w:numPr>
          <w:ilvl w:val="0"/>
          <w:numId w:val="72"/>
        </w:numPr>
        <w:spacing w:before="120" w:after="120" w:line="288" w:lineRule="auto"/>
        <w:rPr>
          <w:rFonts w:hint="eastAsia" w:ascii="宋体" w:hAnsi="宋体" w:eastAsia="宋体" w:cs="宋体"/>
        </w:rPr>
      </w:pPr>
      <w:r>
        <w:rPr>
          <w:rFonts w:hint="eastAsia" w:ascii="宋体" w:hAnsi="宋体" w:eastAsia="宋体" w:cs="宋体"/>
        </w:rPr>
        <w:t>待更新区域展示：在我的应用页增加固定的待更新应用区域，集中展示所有可升级的应用，展示应用图标、名称、最新版本等核心信息，让用户对设备应用的更新状态一目了然。</w:t>
      </w:r>
    </w:p>
    <w:p w14:paraId="227359A8">
      <w:pPr>
        <w:numPr>
          <w:ilvl w:val="0"/>
          <w:numId w:val="73"/>
        </w:numPr>
        <w:spacing w:before="120" w:after="120" w:line="288" w:lineRule="auto"/>
        <w:rPr>
          <w:rFonts w:hint="eastAsia" w:ascii="宋体" w:hAnsi="宋体" w:eastAsia="宋体" w:cs="宋体"/>
        </w:rPr>
      </w:pPr>
      <w:r>
        <w:rPr>
          <w:rFonts w:hint="eastAsia" w:ascii="宋体" w:hAnsi="宋体" w:eastAsia="宋体" w:cs="宋体"/>
        </w:rPr>
        <w:t>批量更新操作：支持用户一键全选所有待更新应用，点击"一键更新"按钮即可批量完成所有应用的升级操作，无需逐一进入应用详情页处理，大幅降低用户的操作成本。</w:t>
      </w:r>
    </w:p>
    <w:p w14:paraId="3E43374E">
      <w:pPr>
        <w:numPr>
          <w:ilvl w:val="0"/>
          <w:numId w:val="74"/>
        </w:numPr>
        <w:spacing w:before="120" w:after="120" w:line="288" w:lineRule="auto"/>
        <w:rPr>
          <w:rFonts w:hint="eastAsia" w:ascii="宋体" w:hAnsi="宋体" w:eastAsia="宋体" w:cs="宋体"/>
        </w:rPr>
      </w:pPr>
      <w:r>
        <w:rPr>
          <w:rFonts w:hint="eastAsia" w:ascii="宋体" w:hAnsi="宋体" w:eastAsia="宋体" w:cs="宋体"/>
        </w:rPr>
        <w:t>忽略更新功能：支持用户对单个应用设置"忽略更新"，被忽略的应用将不再出现在待更新区域中。</w:t>
      </w:r>
    </w:p>
    <w:p w14:paraId="33AD8ACC">
      <w:pPr>
        <w:numPr>
          <w:ilvl w:val="0"/>
          <w:numId w:val="75"/>
        </w:numPr>
        <w:spacing w:before="120" w:after="120" w:line="288" w:lineRule="auto"/>
        <w:rPr>
          <w:rFonts w:hint="eastAsia" w:ascii="宋体" w:hAnsi="宋体" w:eastAsia="宋体" w:cs="宋体"/>
        </w:rPr>
      </w:pPr>
      <w:r>
        <w:rPr>
          <w:rFonts w:hint="eastAsia" w:ascii="宋体" w:hAnsi="宋体" w:eastAsia="宋体" w:cs="宋体"/>
        </w:rPr>
        <w:t>更新状态展示：待更新区域实时展示每个应用的更新进度，包括下载中、安装中、更新完成等状态，更新完成后该应用自动从待更新区域移除，确保用户实时掌握更新进度。</w:t>
      </w:r>
    </w:p>
    <w:p w14:paraId="23B27752">
      <w:pPr>
        <w:numPr>
          <w:ilvl w:val="0"/>
          <w:numId w:val="76"/>
        </w:numPr>
        <w:spacing w:before="120" w:after="120" w:line="288" w:lineRule="auto"/>
        <w:rPr>
          <w:rFonts w:hint="eastAsia" w:ascii="宋体" w:hAnsi="宋体" w:eastAsia="宋体" w:cs="宋体"/>
        </w:rPr>
      </w:pPr>
      <w:r>
        <w:rPr>
          <w:rFonts w:hint="eastAsia" w:ascii="宋体" w:hAnsi="宋体" w:eastAsia="宋体" w:cs="宋体"/>
        </w:rPr>
        <w:t>安装策略分流：系统需预先识别应用权限。支持静默安装的应用在后台静默执行；不支持的应用，在下载完成后自动弹出系统安装界面，引导用户点击“确认安装”。</w:t>
      </w:r>
    </w:p>
    <w:p w14:paraId="10985C02">
      <w:pPr>
        <w:spacing w:before="320" w:after="120" w:line="288" w:lineRule="auto"/>
        <w:outlineLvl w:val="1"/>
        <w:rPr>
          <w:rFonts w:hint="eastAsia" w:ascii="宋体" w:hAnsi="宋体" w:eastAsia="宋体" w:cs="宋体"/>
        </w:rPr>
      </w:pPr>
      <w:bookmarkStart w:id="25" w:name="heading_25"/>
      <w:r>
        <w:rPr>
          <w:rFonts w:hint="eastAsia" w:ascii="宋体" w:hAnsi="宋体" w:eastAsia="宋体" w:cs="宋体"/>
          <w:color w:val="3370FF"/>
          <w:sz w:val="32"/>
        </w:rPr>
        <w:t xml:space="preserve">3.3 </w:t>
      </w:r>
      <w:r>
        <w:rPr>
          <w:rFonts w:hint="eastAsia" w:ascii="宋体" w:hAnsi="宋体" w:eastAsia="宋体" w:cs="宋体"/>
          <w:b/>
          <w:sz w:val="32"/>
        </w:rPr>
        <w:t>管理后台功能优化</w:t>
      </w:r>
      <w:bookmarkEnd w:id="25"/>
    </w:p>
    <w:p w14:paraId="400E7CB0">
      <w:pPr>
        <w:spacing w:before="300" w:after="120" w:line="288" w:lineRule="auto"/>
        <w:outlineLvl w:val="2"/>
        <w:rPr>
          <w:rFonts w:hint="eastAsia" w:ascii="宋体" w:hAnsi="宋体" w:eastAsia="宋体" w:cs="宋体"/>
        </w:rPr>
      </w:pPr>
      <w:bookmarkStart w:id="26" w:name="heading_26"/>
      <w:r>
        <w:rPr>
          <w:rFonts w:hint="eastAsia" w:ascii="宋体" w:hAnsi="宋体" w:eastAsia="宋体" w:cs="宋体"/>
          <w:color w:val="3370FF"/>
          <w:sz w:val="30"/>
        </w:rPr>
        <w:t xml:space="preserve">3.3.1 </w:t>
      </w:r>
      <w:r>
        <w:rPr>
          <w:rFonts w:hint="eastAsia" w:ascii="宋体" w:hAnsi="宋体" w:eastAsia="宋体" w:cs="宋体"/>
          <w:b/>
          <w:sz w:val="30"/>
        </w:rPr>
        <w:t>榜单管理</w:t>
      </w:r>
      <w:bookmarkEnd w:id="26"/>
    </w:p>
    <w:p w14:paraId="06D23C1D">
      <w:pPr>
        <w:spacing w:before="120" w:after="120" w:line="288" w:lineRule="auto"/>
        <w:rPr>
          <w:rFonts w:hint="eastAsia" w:ascii="宋体" w:hAnsi="宋体" w:eastAsia="宋体" w:cs="宋体"/>
        </w:rPr>
      </w:pPr>
      <w:r>
        <w:rPr>
          <w:rFonts w:hint="eastAsia" w:ascii="宋体" w:hAnsi="宋体" w:eastAsia="宋体" w:cs="宋体"/>
        </w:rPr>
        <w:t>榜单管理模块作为前端榜单体系的核心数据支撑，负责承接榜单的全生命周期管理。通过灵活的生成策略与人工干预机制，兼顾数据客观性与运营灵活性，确保前端用户在首页及分类页始终获取到准确、优质的榜单内容。</w:t>
      </w:r>
    </w:p>
    <w:p w14:paraId="4A58E5A6">
      <w:pPr>
        <w:spacing w:before="120" w:after="120" w:line="288" w:lineRule="auto"/>
        <w:rPr>
          <w:rFonts w:hint="eastAsia" w:ascii="宋体" w:hAnsi="宋体" w:eastAsia="宋体" w:cs="宋体"/>
        </w:rPr>
      </w:pPr>
      <w:r>
        <w:rPr>
          <w:rFonts w:hint="eastAsia" w:ascii="宋体" w:hAnsi="宋体" w:eastAsia="宋体" w:cs="宋体"/>
        </w:rPr>
        <w:t>【功能要求】</w:t>
      </w:r>
    </w:p>
    <w:p w14:paraId="4F6EE539">
      <w:pPr>
        <w:numPr>
          <w:ilvl w:val="0"/>
          <w:numId w:val="77"/>
        </w:numPr>
        <w:spacing w:before="120" w:after="120" w:line="288" w:lineRule="auto"/>
        <w:rPr>
          <w:rFonts w:hint="eastAsia" w:ascii="宋体" w:hAnsi="宋体" w:eastAsia="宋体" w:cs="宋体"/>
        </w:rPr>
      </w:pPr>
      <w:r>
        <w:rPr>
          <w:rFonts w:hint="eastAsia" w:ascii="宋体" w:hAnsi="宋体" w:eastAsia="宋体" w:cs="宋体"/>
        </w:rPr>
        <w:t>榜单基础配置：支持运营人员新建、编辑、删除榜单。创建榜单时需填写榜单名称、所属分类、榜单简介；支持配置榜单的生成策略，分为自动计算与手动排序两种模式：</w:t>
      </w:r>
    </w:p>
    <w:p w14:paraId="6C5CA654">
      <w:pPr>
        <w:numPr>
          <w:ilvl w:val="0"/>
          <w:numId w:val="78"/>
        </w:numPr>
        <w:spacing w:before="120" w:after="120" w:line="288" w:lineRule="auto"/>
        <w:ind w:left="453"/>
        <w:rPr>
          <w:rFonts w:hint="eastAsia" w:ascii="宋体" w:hAnsi="宋体" w:eastAsia="宋体" w:cs="宋体"/>
        </w:rPr>
      </w:pPr>
      <w:r>
        <w:rPr>
          <w:rFonts w:hint="eastAsia" w:ascii="宋体" w:hAnsi="宋体" w:eastAsia="宋体" w:cs="宋体"/>
        </w:rPr>
        <w:t>自动计算模式：系统依据所选指标自动排序，支持选择下载量、用户评分、应用分类三种维度，支持组合加权配置（如限制只有影视类应用，下载量权重60%、评分权重40%）；</w:t>
      </w:r>
    </w:p>
    <w:p w14:paraId="3965D090">
      <w:pPr>
        <w:numPr>
          <w:ilvl w:val="0"/>
          <w:numId w:val="79"/>
        </w:numPr>
        <w:spacing w:before="120" w:after="120" w:line="288" w:lineRule="auto"/>
        <w:ind w:left="453"/>
        <w:rPr>
          <w:rFonts w:hint="eastAsia" w:ascii="宋体" w:hAnsi="宋体" w:eastAsia="宋体" w:cs="宋体"/>
        </w:rPr>
      </w:pPr>
      <w:r>
        <w:rPr>
          <w:rFonts w:hint="eastAsia" w:ascii="宋体" w:hAnsi="宋体" w:eastAsia="宋体" w:cs="宋体"/>
        </w:rPr>
        <w:t>手动排序模式：由运营人员完全手动维护榜单内应用的排列顺序，适用于节日推荐、编辑精选等主题性榜单场景。</w:t>
      </w:r>
    </w:p>
    <w:p w14:paraId="11FEFB4F">
      <w:pPr>
        <w:numPr>
          <w:ilvl w:val="0"/>
          <w:numId w:val="80"/>
        </w:numPr>
        <w:spacing w:before="120" w:after="120" w:line="288" w:lineRule="auto"/>
        <w:rPr>
          <w:rFonts w:hint="eastAsia" w:ascii="宋体" w:hAnsi="宋体" w:eastAsia="宋体" w:cs="宋体"/>
        </w:rPr>
      </w:pPr>
      <w:r>
        <w:rPr>
          <w:rFonts w:hint="eastAsia" w:ascii="宋体" w:hAnsi="宋体" w:eastAsia="宋体" w:cs="宋体"/>
        </w:rPr>
        <w:t>人工干预机制：在自动计算模式下，支持运营人员对系统生成的榜单进行二次干预，干预操作包括：</w:t>
      </w:r>
    </w:p>
    <w:p w14:paraId="7DFBB4C0">
      <w:pPr>
        <w:numPr>
          <w:ilvl w:val="0"/>
          <w:numId w:val="81"/>
        </w:numPr>
        <w:spacing w:before="120" w:after="120" w:line="288" w:lineRule="auto"/>
        <w:ind w:left="453"/>
        <w:rPr>
          <w:rFonts w:hint="eastAsia" w:ascii="宋体" w:hAnsi="宋体" w:eastAsia="宋体" w:cs="宋体"/>
        </w:rPr>
      </w:pPr>
      <w:r>
        <w:rPr>
          <w:rFonts w:hint="eastAsia" w:ascii="宋体" w:hAnsi="宋体" w:eastAsia="宋体" w:cs="宋体"/>
        </w:rPr>
        <w:t>置顶：将指定应用强制锁定在榜单特定名次（如固定排名第一），不受自动计算结果影响；</w:t>
      </w:r>
    </w:p>
    <w:p w14:paraId="3C522CA6">
      <w:pPr>
        <w:numPr>
          <w:ilvl w:val="0"/>
          <w:numId w:val="82"/>
        </w:numPr>
        <w:spacing w:before="120" w:after="120" w:line="288" w:lineRule="auto"/>
        <w:ind w:left="453"/>
        <w:rPr>
          <w:rFonts w:hint="eastAsia" w:ascii="宋体" w:hAnsi="宋体" w:eastAsia="宋体" w:cs="宋体"/>
        </w:rPr>
      </w:pPr>
      <w:r>
        <w:rPr>
          <w:rFonts w:hint="eastAsia" w:ascii="宋体" w:hAnsi="宋体" w:eastAsia="宋体" w:cs="宋体"/>
        </w:rPr>
        <w:t>插入：在指定位置手动插入某个应用，已有应用依次后移；</w:t>
      </w:r>
    </w:p>
    <w:p w14:paraId="3787C2BC">
      <w:pPr>
        <w:numPr>
          <w:ilvl w:val="0"/>
          <w:numId w:val="83"/>
        </w:numPr>
        <w:spacing w:before="120" w:after="120" w:line="288" w:lineRule="auto"/>
        <w:ind w:left="453"/>
        <w:rPr>
          <w:rFonts w:hint="eastAsia" w:ascii="宋体" w:hAnsi="宋体" w:eastAsia="宋体" w:cs="宋体"/>
        </w:rPr>
      </w:pPr>
      <w:r>
        <w:rPr>
          <w:rFonts w:hint="eastAsia" w:ascii="宋体" w:hAnsi="宋体" w:eastAsia="宋体" w:cs="宋体"/>
        </w:rPr>
        <w:t>下架：将特定应用从榜单中下架，被下架的应用在当前榜单中不可见，其他应用自动补位。</w:t>
      </w:r>
    </w:p>
    <w:p w14:paraId="6E466562">
      <w:pPr>
        <w:spacing w:before="120" w:after="120" w:line="288" w:lineRule="auto"/>
        <w:ind w:left="453"/>
        <w:rPr>
          <w:rFonts w:hint="eastAsia" w:ascii="宋体" w:hAnsi="宋体" w:eastAsia="宋体" w:cs="宋体"/>
        </w:rPr>
      </w:pPr>
      <w:r>
        <w:rPr>
          <w:rFonts w:hint="eastAsia" w:ascii="宋体" w:hAnsi="宋体" w:eastAsia="宋体" w:cs="宋体"/>
        </w:rPr>
        <w:t>每次人工干预操作需记录操作人、操作时间及干预原因（选填），便于后续审计追溯。</w:t>
      </w:r>
    </w:p>
    <w:p w14:paraId="1DAC5E8F">
      <w:pPr>
        <w:numPr>
          <w:ilvl w:val="0"/>
          <w:numId w:val="84"/>
        </w:numPr>
        <w:spacing w:before="120" w:after="120" w:line="288" w:lineRule="auto"/>
        <w:rPr>
          <w:rFonts w:hint="eastAsia" w:ascii="宋体" w:hAnsi="宋体" w:eastAsia="宋体" w:cs="宋体"/>
        </w:rPr>
      </w:pPr>
      <w:r>
        <w:rPr>
          <w:rFonts w:hint="eastAsia" w:ascii="宋体" w:hAnsi="宋体" w:eastAsia="宋体" w:cs="宋体"/>
        </w:rPr>
        <w:t>更新周期设置：自动计算榜单支持独立配置数据刷新频率，提供每日更新、每周更新、手动更新三种更新周期选项。选择定时更新时，需设置具体的触发时间点（如每日凌晨2:00）；榜单每次更新完成后，系统自动记录本次更新时间及更新前后的数据快照，供运营人员对比核查。</w:t>
      </w:r>
    </w:p>
    <w:p w14:paraId="78B45476">
      <w:pPr>
        <w:numPr>
          <w:ilvl w:val="0"/>
          <w:numId w:val="85"/>
        </w:numPr>
        <w:spacing w:before="120" w:after="120" w:line="288" w:lineRule="auto"/>
        <w:rPr>
          <w:rFonts w:hint="eastAsia" w:ascii="宋体" w:hAnsi="宋体" w:eastAsia="宋体" w:cs="宋体"/>
        </w:rPr>
      </w:pPr>
      <w:r>
        <w:rPr>
          <w:rFonts w:hint="eastAsia" w:ascii="宋体" w:hAnsi="宋体" w:eastAsia="宋体" w:cs="宋体"/>
        </w:rPr>
        <w:t>榜单上限配置：支持为每个榜单单独设置前端最大展示数量上限，默认值为20条，可配置范围为5至50条。该数量同时限制榜单二级列表页的应用总数，防止在低性能终端设备上因渲染列表过长导致的性能问题。</w:t>
      </w:r>
    </w:p>
    <w:p w14:paraId="39191BC4">
      <w:pPr>
        <w:numPr>
          <w:ilvl w:val="0"/>
          <w:numId w:val="86"/>
        </w:numPr>
        <w:spacing w:before="120" w:after="120" w:line="288" w:lineRule="auto"/>
        <w:rPr>
          <w:rFonts w:hint="eastAsia" w:ascii="宋体" w:hAnsi="宋体" w:eastAsia="宋体" w:cs="宋体"/>
        </w:rPr>
      </w:pPr>
      <w:r>
        <w:rPr>
          <w:rFonts w:hint="eastAsia" w:ascii="宋体" w:hAnsi="宋体" w:eastAsia="宋体" w:cs="宋体"/>
        </w:rPr>
        <w:t>榜单状态管理：榜单支持"待上线"、"已上线"、"已下线"三种状态。运营人员可手动切换上线/下线状态。</w:t>
      </w:r>
    </w:p>
    <w:p w14:paraId="134B136F">
      <w:pPr>
        <w:numPr>
          <w:ilvl w:val="0"/>
          <w:numId w:val="87"/>
        </w:numPr>
        <w:spacing w:before="120" w:after="120" w:line="288" w:lineRule="auto"/>
        <w:rPr>
          <w:rFonts w:hint="eastAsia" w:ascii="宋体" w:hAnsi="宋体" w:eastAsia="宋体" w:cs="宋体"/>
        </w:rPr>
      </w:pPr>
      <w:r>
        <w:rPr>
          <w:rFonts w:hint="eastAsia" w:ascii="宋体" w:hAnsi="宋体" w:eastAsia="宋体" w:cs="宋体"/>
        </w:rPr>
        <w:t>页面关联配置：支持将榜单绑定至前端页面中的对应推荐位，包括：首页、各分类页子榜单区，实现榜单内容的精准触达。</w:t>
      </w:r>
    </w:p>
    <w:p w14:paraId="42354C03">
      <w:pPr>
        <w:spacing w:before="300" w:after="120" w:line="288" w:lineRule="auto"/>
        <w:outlineLvl w:val="2"/>
        <w:rPr>
          <w:rFonts w:hint="eastAsia" w:ascii="宋体" w:hAnsi="宋体" w:eastAsia="宋体" w:cs="宋体"/>
        </w:rPr>
      </w:pPr>
      <w:bookmarkStart w:id="27" w:name="heading_27"/>
      <w:r>
        <w:rPr>
          <w:rFonts w:hint="eastAsia" w:ascii="宋体" w:hAnsi="宋体" w:eastAsia="宋体" w:cs="宋体"/>
          <w:color w:val="3370FF"/>
          <w:sz w:val="30"/>
        </w:rPr>
        <w:t xml:space="preserve">3.3.2 </w:t>
      </w:r>
      <w:r>
        <w:rPr>
          <w:rFonts w:hint="eastAsia" w:ascii="宋体" w:hAnsi="宋体" w:eastAsia="宋体" w:cs="宋体"/>
          <w:b/>
          <w:sz w:val="30"/>
        </w:rPr>
        <w:t>专题管理</w:t>
      </w:r>
      <w:bookmarkEnd w:id="27"/>
    </w:p>
    <w:p w14:paraId="11B1DBE5">
      <w:pPr>
        <w:spacing w:before="120" w:after="120" w:line="288" w:lineRule="auto"/>
        <w:rPr>
          <w:rFonts w:hint="eastAsia" w:ascii="宋体" w:hAnsi="宋体" w:eastAsia="宋体" w:cs="宋体"/>
        </w:rPr>
      </w:pPr>
      <w:r>
        <w:rPr>
          <w:rFonts w:hint="eastAsia" w:ascii="宋体" w:hAnsi="宋体" w:eastAsia="宋体" w:cs="宋体"/>
        </w:rPr>
        <w:t>专题管理模块为前端"主题化内容聚合"提供完整的内容编排与发布能力。运营人员可围绕节日热点、场景需求或编辑视角，自由组合应用内容并配置视觉素材，通过灵活的排期与位置管理，使得前端首页专题入口始终呈现高质量、强时效性的主题内容。</w:t>
      </w:r>
    </w:p>
    <w:p w14:paraId="6F4D9AA2">
      <w:pPr>
        <w:spacing w:before="120" w:after="120" w:line="288" w:lineRule="auto"/>
        <w:rPr>
          <w:rFonts w:hint="eastAsia" w:ascii="宋体" w:hAnsi="宋体" w:eastAsia="宋体" w:cs="宋体"/>
        </w:rPr>
      </w:pPr>
      <w:r>
        <w:rPr>
          <w:rFonts w:hint="eastAsia" w:ascii="宋体" w:hAnsi="宋体" w:eastAsia="宋体" w:cs="宋体"/>
        </w:rPr>
        <w:t>【功能要求】</w:t>
      </w:r>
    </w:p>
    <w:p w14:paraId="0F322CC5">
      <w:pPr>
        <w:numPr>
          <w:ilvl w:val="0"/>
          <w:numId w:val="88"/>
        </w:numPr>
        <w:spacing w:before="120" w:after="120" w:line="288" w:lineRule="auto"/>
        <w:rPr>
          <w:rFonts w:hint="eastAsia" w:ascii="宋体" w:hAnsi="宋体" w:eastAsia="宋体" w:cs="宋体"/>
        </w:rPr>
      </w:pPr>
      <w:r>
        <w:rPr>
          <w:rFonts w:hint="eastAsia" w:ascii="宋体" w:hAnsi="宋体" w:eastAsia="宋体" w:cs="宋体"/>
        </w:rPr>
        <w:t>专题策划与编排：支持运营人员新建、编辑、删除专题。创建时需填写专题名称、专题简介，并绑定动态专题模板；支持将已上线的专题绑定至首页专题入口推荐位。</w:t>
      </w:r>
    </w:p>
    <w:p w14:paraId="12EC350C">
      <w:pPr>
        <w:numPr>
          <w:ilvl w:val="0"/>
          <w:numId w:val="89"/>
        </w:numPr>
        <w:spacing w:before="120" w:after="120" w:line="288" w:lineRule="auto"/>
        <w:rPr>
          <w:rFonts w:hint="eastAsia" w:ascii="宋体" w:hAnsi="宋体" w:eastAsia="宋体" w:cs="宋体"/>
        </w:rPr>
      </w:pPr>
      <w:r>
        <w:rPr>
          <w:rFonts w:hint="eastAsia" w:ascii="宋体" w:hAnsi="宋体" w:eastAsia="宋体" w:cs="宋体"/>
        </w:rPr>
        <w:t>素材管理：后台支持为专题内每个应用单独配置展示素材，包括应用海报、详情图、文案等；若某应用未单独配置专题素材，则自动回退使用该应用已有的详情页图。</w:t>
      </w:r>
    </w:p>
    <w:p w14:paraId="0ABBB8AC">
      <w:pPr>
        <w:numPr>
          <w:ilvl w:val="0"/>
          <w:numId w:val="90"/>
        </w:numPr>
        <w:spacing w:before="120" w:after="120" w:line="288" w:lineRule="auto"/>
        <w:rPr>
          <w:rFonts w:hint="eastAsia" w:ascii="宋体" w:hAnsi="宋体" w:eastAsia="宋体" w:cs="宋体"/>
        </w:rPr>
      </w:pPr>
      <w:r>
        <w:rPr>
          <w:rFonts w:hint="eastAsia" w:ascii="宋体" w:hAnsi="宋体" w:eastAsia="宋体" w:cs="宋体"/>
        </w:rPr>
        <w:t>应用维护：支持运营人员通过搜索或分类浏览的方式向专题中添加应用，每个专题内展示的应用数量受模板限制；支持将已添加的应用从专题中移除，调整应用的展示顺序，实现专题内容的灵活编排。</w:t>
      </w:r>
    </w:p>
    <w:p w14:paraId="5EA85182">
      <w:pPr>
        <w:numPr>
          <w:ilvl w:val="0"/>
          <w:numId w:val="91"/>
        </w:numPr>
        <w:spacing w:before="120" w:after="120" w:line="288" w:lineRule="auto"/>
        <w:rPr>
          <w:rFonts w:hint="eastAsia" w:ascii="宋体" w:hAnsi="宋体" w:eastAsia="宋体" w:cs="宋体"/>
        </w:rPr>
      </w:pPr>
      <w:r>
        <w:rPr>
          <w:rFonts w:hint="eastAsia" w:ascii="宋体" w:hAnsi="宋体" w:eastAsia="宋体" w:cs="宋体"/>
        </w:rPr>
        <w:t>专题状态管理：专题状态分为待上线、已上线、已下线，列表页可直观展示当前状态；下线后的专题内容与配置完整保留，支持重新编辑后再次排期上线，降低重复运营成本。</w:t>
      </w:r>
    </w:p>
    <w:p w14:paraId="7A4BDCD0">
      <w:pPr>
        <w:spacing w:before="300" w:after="120" w:line="288" w:lineRule="auto"/>
        <w:outlineLvl w:val="2"/>
        <w:rPr>
          <w:rFonts w:hint="eastAsia" w:ascii="宋体" w:hAnsi="宋体" w:eastAsia="宋体" w:cs="宋体"/>
        </w:rPr>
      </w:pPr>
      <w:bookmarkStart w:id="28" w:name="heading_28"/>
      <w:r>
        <w:rPr>
          <w:rFonts w:hint="eastAsia" w:ascii="宋体" w:hAnsi="宋体" w:eastAsia="宋体" w:cs="宋体"/>
          <w:color w:val="3370FF"/>
          <w:sz w:val="30"/>
        </w:rPr>
        <w:t xml:space="preserve">3.3.3 </w:t>
      </w:r>
      <w:r>
        <w:rPr>
          <w:rFonts w:hint="eastAsia" w:ascii="宋体" w:hAnsi="宋体" w:eastAsia="宋体" w:cs="宋体"/>
          <w:b/>
          <w:sz w:val="30"/>
        </w:rPr>
        <w:t>内容运营优化</w:t>
      </w:r>
      <w:bookmarkEnd w:id="28"/>
    </w:p>
    <w:p w14:paraId="4B6309AE">
      <w:pPr>
        <w:spacing w:before="120" w:after="120" w:line="288" w:lineRule="auto"/>
        <w:rPr>
          <w:rFonts w:hint="eastAsia" w:ascii="宋体" w:hAnsi="宋体" w:eastAsia="宋体" w:cs="宋体"/>
        </w:rPr>
      </w:pPr>
      <w:r>
        <w:rPr>
          <w:rFonts w:hint="eastAsia" w:ascii="宋体" w:hAnsi="宋体" w:eastAsia="宋体" w:cs="宋体"/>
        </w:rPr>
        <w:t>内容运营优化模块为前端首页扩展的内容运营能力提供全场景的后台配置支撑，覆盖弹窗触达、精选内容排期、多模式页面配置三大核心运营场景，为运营人员提供灵活、高效的内容运营工具。</w:t>
      </w:r>
    </w:p>
    <w:p w14:paraId="31772444">
      <w:pPr>
        <w:spacing w:before="260" w:after="120" w:line="288" w:lineRule="auto"/>
        <w:outlineLvl w:val="3"/>
        <w:rPr>
          <w:rFonts w:hint="eastAsia" w:ascii="宋体" w:hAnsi="宋体" w:eastAsia="宋体" w:cs="宋体"/>
        </w:rPr>
      </w:pPr>
      <w:bookmarkStart w:id="29" w:name="heading_29"/>
      <w:r>
        <w:rPr>
          <w:rFonts w:hint="eastAsia" w:ascii="宋体" w:hAnsi="宋体" w:eastAsia="宋体" w:cs="宋体"/>
          <w:color w:val="3370FF"/>
          <w:sz w:val="28"/>
        </w:rPr>
        <w:t xml:space="preserve">3.3.3.1 </w:t>
      </w:r>
      <w:r>
        <w:rPr>
          <w:rFonts w:hint="eastAsia" w:ascii="宋体" w:hAnsi="宋体" w:eastAsia="宋体" w:cs="宋体"/>
          <w:b/>
          <w:sz w:val="28"/>
        </w:rPr>
        <w:t>弹窗触达配置</w:t>
      </w:r>
      <w:bookmarkEnd w:id="29"/>
    </w:p>
    <w:p w14:paraId="42B70631">
      <w:pPr>
        <w:spacing w:before="120" w:after="120" w:line="288" w:lineRule="auto"/>
        <w:rPr>
          <w:rFonts w:hint="eastAsia" w:ascii="宋体" w:hAnsi="宋体" w:eastAsia="宋体" w:cs="宋体"/>
        </w:rPr>
      </w:pPr>
      <w:r>
        <w:rPr>
          <w:rFonts w:hint="eastAsia" w:ascii="宋体" w:hAnsi="宋体" w:eastAsia="宋体" w:cs="宋体"/>
        </w:rPr>
        <w:t>配置前端「进入推荐弹窗」和「退出挽留弹窗」的全维度展示规则，实现双场景触达能力的灵活运营管控。</w:t>
      </w:r>
    </w:p>
    <w:p w14:paraId="02755634">
      <w:pPr>
        <w:spacing w:before="120" w:after="120" w:line="288" w:lineRule="auto"/>
        <w:rPr>
          <w:rFonts w:hint="eastAsia" w:ascii="宋体" w:hAnsi="宋体" w:eastAsia="宋体" w:cs="宋体"/>
        </w:rPr>
      </w:pPr>
      <w:r>
        <w:rPr>
          <w:rFonts w:hint="eastAsia" w:ascii="宋体" w:hAnsi="宋体" w:eastAsia="宋体" w:cs="宋体"/>
        </w:rPr>
        <w:t>【功能要求】</w:t>
      </w:r>
    </w:p>
    <w:p w14:paraId="6A78B88B">
      <w:pPr>
        <w:numPr>
          <w:ilvl w:val="0"/>
          <w:numId w:val="92"/>
        </w:numPr>
        <w:spacing w:before="120" w:after="120" w:line="288" w:lineRule="auto"/>
        <w:rPr>
          <w:rFonts w:hint="eastAsia" w:ascii="宋体" w:hAnsi="宋体" w:eastAsia="宋体" w:cs="宋体"/>
        </w:rPr>
      </w:pPr>
      <w:r>
        <w:rPr>
          <w:rFonts w:hint="eastAsia" w:ascii="宋体" w:hAnsi="宋体" w:eastAsia="宋体" w:cs="宋体"/>
        </w:rPr>
        <w:t>弹窗基础配置：支持分别为进入推荐弹窗、退出挽留弹窗配置独立的展示规则，包括弹窗标题、展示文案、背景素材等视觉内容，确保弹窗的视觉效果符合运营需求。</w:t>
      </w:r>
    </w:p>
    <w:p w14:paraId="344C9A6B">
      <w:pPr>
        <w:numPr>
          <w:ilvl w:val="0"/>
          <w:numId w:val="93"/>
        </w:numPr>
        <w:spacing w:before="120" w:after="120" w:line="288" w:lineRule="auto"/>
        <w:rPr>
          <w:rFonts w:hint="eastAsia" w:ascii="宋体" w:hAnsi="宋体" w:eastAsia="宋体" w:cs="宋体"/>
        </w:rPr>
      </w:pPr>
      <w:r>
        <w:rPr>
          <w:rFonts w:hint="eastAsia" w:ascii="宋体" w:hAnsi="宋体" w:eastAsia="宋体" w:cs="宋体"/>
        </w:rPr>
        <w:t>展示规则配置：支持配置弹窗的触发规则、弹出间隔周期、生效时间范围等核心规则，避免对用户造成频繁打扰，同时确保推荐内容的时效性。</w:t>
      </w:r>
    </w:p>
    <w:p w14:paraId="79CCD741">
      <w:pPr>
        <w:numPr>
          <w:ilvl w:val="0"/>
          <w:numId w:val="94"/>
        </w:numPr>
        <w:spacing w:before="120" w:after="120" w:line="288" w:lineRule="auto"/>
        <w:rPr>
          <w:rFonts w:hint="eastAsia" w:ascii="宋体" w:hAnsi="宋体" w:eastAsia="宋体" w:cs="宋体"/>
        </w:rPr>
      </w:pPr>
      <w:r>
        <w:rPr>
          <w:rFonts w:hint="eastAsia" w:ascii="宋体" w:hAnsi="宋体" w:eastAsia="宋体" w:cs="宋体"/>
        </w:rPr>
        <w:t>应用列表配置：支持手动配置弹窗内展示的应用列表，设置应用的展示顺序、优先级，支持配置应用的一键下载或跳转详情页等操作逻辑。</w:t>
      </w:r>
    </w:p>
    <w:p w14:paraId="426AD764">
      <w:pPr>
        <w:numPr>
          <w:ilvl w:val="0"/>
          <w:numId w:val="95"/>
        </w:numPr>
        <w:spacing w:before="120" w:after="120" w:line="288" w:lineRule="auto"/>
        <w:rPr>
          <w:rFonts w:hint="eastAsia" w:ascii="宋体" w:hAnsi="宋体" w:eastAsia="宋体" w:cs="宋体"/>
        </w:rPr>
      </w:pPr>
      <w:r>
        <w:rPr>
          <w:rFonts w:hint="eastAsia" w:ascii="宋体" w:hAnsi="宋体" w:eastAsia="宋体" w:cs="宋体"/>
        </w:rPr>
        <w:t>状态管理：支持弹窗的已上线、已下线等状态管理，可手动切换上下线状态，确保运营的灵活性。</w:t>
      </w:r>
    </w:p>
    <w:p w14:paraId="17D5FE0F">
      <w:pPr>
        <w:spacing w:before="260" w:after="120" w:line="288" w:lineRule="auto"/>
        <w:outlineLvl w:val="3"/>
        <w:rPr>
          <w:rFonts w:hint="eastAsia" w:ascii="宋体" w:hAnsi="宋体" w:eastAsia="宋体" w:cs="宋体"/>
        </w:rPr>
      </w:pPr>
      <w:bookmarkStart w:id="30" w:name="heading_30"/>
      <w:r>
        <w:rPr>
          <w:rFonts w:hint="eastAsia" w:ascii="宋体" w:hAnsi="宋体" w:eastAsia="宋体" w:cs="宋体"/>
          <w:color w:val="3370FF"/>
          <w:sz w:val="28"/>
        </w:rPr>
        <w:t xml:space="preserve">3.3.3.2 </w:t>
      </w:r>
      <w:r>
        <w:rPr>
          <w:rFonts w:hint="eastAsia" w:ascii="宋体" w:hAnsi="宋体" w:eastAsia="宋体" w:cs="宋体"/>
          <w:b/>
          <w:sz w:val="28"/>
        </w:rPr>
        <w:t>精选内容排期</w:t>
      </w:r>
      <w:bookmarkEnd w:id="30"/>
    </w:p>
    <w:p w14:paraId="07803A0D">
      <w:pPr>
        <w:spacing w:before="120" w:after="120" w:line="288" w:lineRule="auto"/>
        <w:rPr>
          <w:rFonts w:hint="eastAsia" w:ascii="宋体" w:hAnsi="宋体" w:eastAsia="宋体" w:cs="宋体"/>
        </w:rPr>
      </w:pPr>
      <w:r>
        <w:rPr>
          <w:rFonts w:hint="eastAsia" w:ascii="宋体" w:hAnsi="宋体" w:eastAsia="宋体" w:cs="宋体"/>
        </w:rPr>
        <w:t>支持运营人员提前预编排每日/周/年度精选内容，系统按配置的周期规则自动循环更新展示，降低日常运营成本。</w:t>
      </w:r>
    </w:p>
    <w:p w14:paraId="5D3FCBD4">
      <w:pPr>
        <w:spacing w:before="120" w:after="120" w:line="288" w:lineRule="auto"/>
        <w:rPr>
          <w:rFonts w:hint="eastAsia" w:ascii="宋体" w:hAnsi="宋体" w:eastAsia="宋体" w:cs="宋体"/>
        </w:rPr>
      </w:pPr>
      <w:r>
        <w:rPr>
          <w:rFonts w:hint="eastAsia" w:ascii="宋体" w:hAnsi="宋体" w:eastAsia="宋体" w:cs="宋体"/>
        </w:rPr>
        <w:t>【功能要求】</w:t>
      </w:r>
    </w:p>
    <w:p w14:paraId="737B6C50">
      <w:pPr>
        <w:numPr>
          <w:ilvl w:val="0"/>
          <w:numId w:val="96"/>
        </w:numPr>
        <w:spacing w:before="120" w:after="120" w:line="288" w:lineRule="auto"/>
        <w:rPr>
          <w:rFonts w:hint="eastAsia" w:ascii="宋体" w:hAnsi="宋体" w:eastAsia="宋体" w:cs="宋体"/>
        </w:rPr>
      </w:pPr>
      <w:r>
        <w:rPr>
          <w:rFonts w:hint="eastAsia" w:ascii="宋体" w:hAnsi="宋体" w:eastAsia="宋体" w:cs="宋体"/>
        </w:rPr>
        <w:t>精选栏目编排：支持运营人员新建、编辑精选栏目，每个栏目可独立配置应用列表与展示顺序，支持批量复制、上下线操作。</w:t>
      </w:r>
    </w:p>
    <w:p w14:paraId="60F73345">
      <w:pPr>
        <w:numPr>
          <w:ilvl w:val="0"/>
          <w:numId w:val="97"/>
        </w:numPr>
        <w:spacing w:before="120" w:after="120" w:line="288" w:lineRule="auto"/>
        <w:rPr>
          <w:rFonts w:hint="eastAsia" w:ascii="宋体" w:hAnsi="宋体" w:eastAsia="宋体" w:cs="宋体"/>
        </w:rPr>
      </w:pPr>
      <w:r>
        <w:rPr>
          <w:rFonts w:hint="eastAsia" w:ascii="宋体" w:hAnsi="宋体" w:eastAsia="宋体" w:cs="宋体"/>
        </w:rPr>
        <w:t>周期配置：支持为栏目设置每日精选、每周精选、年度精选三种展示周期，系统按对应周期规则自动调度展示内容，无需人工实时干预。</w:t>
      </w:r>
    </w:p>
    <w:p w14:paraId="0676C1CD">
      <w:pPr>
        <w:numPr>
          <w:ilvl w:val="0"/>
          <w:numId w:val="98"/>
        </w:numPr>
        <w:spacing w:before="120" w:after="120" w:line="288" w:lineRule="auto"/>
        <w:rPr>
          <w:rFonts w:hint="eastAsia" w:ascii="宋体" w:hAnsi="宋体" w:eastAsia="宋体" w:cs="宋体"/>
        </w:rPr>
      </w:pPr>
      <w:r>
        <w:rPr>
          <w:rFonts w:hint="eastAsia" w:ascii="宋体" w:hAnsi="宋体" w:eastAsia="宋体" w:cs="宋体"/>
        </w:rPr>
        <w:t>自动轮换：系统根据运营人员配置的栏目顺序与周期规则，自动完成精选内容的定期切换，确保前台精选栏位持续展示有效内容。</w:t>
      </w:r>
    </w:p>
    <w:p w14:paraId="14F57FE3">
      <w:pPr>
        <w:numPr>
          <w:ilvl w:val="0"/>
          <w:numId w:val="99"/>
        </w:numPr>
        <w:spacing w:before="120" w:after="120" w:line="288" w:lineRule="auto"/>
        <w:rPr>
          <w:rFonts w:hint="eastAsia" w:ascii="宋体" w:hAnsi="宋体" w:eastAsia="宋体" w:cs="宋体"/>
        </w:rPr>
      </w:pPr>
      <w:r>
        <w:rPr>
          <w:rFonts w:hint="eastAsia" w:ascii="宋体" w:hAnsi="宋体" w:eastAsia="宋体" w:cs="宋体"/>
        </w:rPr>
        <w:t>灵活调整：支持运营人员随时调整栏目内的展示顺序及上下线状态，调整后系统自动按最新配置执行展示。</w:t>
      </w:r>
    </w:p>
    <w:p w14:paraId="2937D399">
      <w:pPr>
        <w:spacing w:before="260" w:after="120" w:line="288" w:lineRule="auto"/>
        <w:outlineLvl w:val="3"/>
        <w:rPr>
          <w:rFonts w:hint="eastAsia" w:ascii="宋体" w:hAnsi="宋体" w:eastAsia="宋体" w:cs="宋体"/>
        </w:rPr>
      </w:pPr>
      <w:bookmarkStart w:id="31" w:name="heading_31"/>
      <w:r>
        <w:rPr>
          <w:rFonts w:hint="eastAsia" w:ascii="宋体" w:hAnsi="宋体" w:eastAsia="宋体" w:cs="宋体"/>
          <w:color w:val="3370FF"/>
          <w:sz w:val="28"/>
        </w:rPr>
        <w:t xml:space="preserve">3.3.3.3 </w:t>
      </w:r>
      <w:r>
        <w:rPr>
          <w:rFonts w:hint="eastAsia" w:ascii="宋体" w:hAnsi="宋体" w:eastAsia="宋体" w:cs="宋体"/>
          <w:b/>
          <w:sz w:val="28"/>
        </w:rPr>
        <w:t>多模式页面配置</w:t>
      </w:r>
      <w:bookmarkEnd w:id="31"/>
    </w:p>
    <w:p w14:paraId="5DBD6DE5">
      <w:pPr>
        <w:spacing w:before="120" w:after="120" w:line="288" w:lineRule="auto"/>
        <w:rPr>
          <w:rFonts w:hint="eastAsia" w:ascii="宋体" w:hAnsi="宋体" w:eastAsia="宋体" w:cs="宋体"/>
        </w:rPr>
      </w:pPr>
      <w:r>
        <w:rPr>
          <w:rFonts w:hint="eastAsia" w:ascii="宋体" w:hAnsi="宋体" w:eastAsia="宋体" w:cs="宋体"/>
        </w:rPr>
        <w:t>支持为前端「默认/儿童/长辈」三种使用模式分别配置独立的首页内容策略，实现不同模式的差异化内容运营。</w:t>
      </w:r>
    </w:p>
    <w:p w14:paraId="472DD7D0">
      <w:pPr>
        <w:spacing w:before="120" w:after="120" w:line="288" w:lineRule="auto"/>
        <w:rPr>
          <w:rFonts w:hint="eastAsia" w:ascii="宋体" w:hAnsi="宋体" w:eastAsia="宋体" w:cs="宋体"/>
        </w:rPr>
      </w:pPr>
      <w:r>
        <w:rPr>
          <w:rFonts w:hint="eastAsia" w:ascii="宋体" w:hAnsi="宋体" w:eastAsia="宋体" w:cs="宋体"/>
          <w:b/>
        </w:rPr>
        <w:t>【功能要求】</w:t>
      </w:r>
    </w:p>
    <w:p w14:paraId="44BD1670">
      <w:pPr>
        <w:numPr>
          <w:ilvl w:val="0"/>
          <w:numId w:val="100"/>
        </w:numPr>
        <w:spacing w:before="120" w:after="120" w:line="288" w:lineRule="auto"/>
        <w:rPr>
          <w:rFonts w:hint="eastAsia" w:ascii="宋体" w:hAnsi="宋体" w:eastAsia="宋体" w:cs="宋体"/>
        </w:rPr>
      </w:pPr>
      <w:r>
        <w:rPr>
          <w:rFonts w:hint="eastAsia" w:ascii="宋体" w:hAnsi="宋体" w:eastAsia="宋体" w:cs="宋体"/>
          <w:b/>
        </w:rPr>
        <w:t>模式内容配置：</w:t>
      </w:r>
      <w:r>
        <w:rPr>
          <w:rFonts w:hint="eastAsia" w:ascii="宋体" w:hAnsi="宋体" w:eastAsia="宋体" w:cs="宋体"/>
        </w:rPr>
        <w:t xml:space="preserve"> 支持分别为默认、儿童、长辈三种模式独立配置首页页面内容，包括组件、推荐位及关联的应用列表等，针对不同用户群体进行差异化内容展示。</w:t>
      </w:r>
    </w:p>
    <w:p w14:paraId="2512924B">
      <w:pPr>
        <w:numPr>
          <w:ilvl w:val="0"/>
          <w:numId w:val="101"/>
        </w:numPr>
        <w:spacing w:before="120" w:after="120" w:line="288" w:lineRule="auto"/>
        <w:rPr>
          <w:rFonts w:hint="eastAsia" w:ascii="宋体" w:hAnsi="宋体" w:eastAsia="宋体" w:cs="宋体"/>
        </w:rPr>
      </w:pPr>
      <w:r>
        <w:rPr>
          <w:rFonts w:hint="eastAsia" w:ascii="宋体" w:hAnsi="宋体" w:eastAsia="宋体" w:cs="宋体"/>
          <w:b/>
        </w:rPr>
        <w:t>配置修改与发布：</w:t>
      </w:r>
      <w:r>
        <w:rPr>
          <w:rFonts w:hint="eastAsia" w:ascii="宋体" w:hAnsi="宋体" w:eastAsia="宋体" w:cs="宋体"/>
        </w:rPr>
        <w:t xml:space="preserve"> 支持对各模式的页面内容进行修改，修改后可发布上线，前端实时生效。</w:t>
      </w:r>
    </w:p>
    <w:p w14:paraId="54830549">
      <w:pPr>
        <w:spacing w:before="300" w:after="120" w:line="288" w:lineRule="auto"/>
        <w:outlineLvl w:val="2"/>
        <w:rPr>
          <w:rFonts w:hint="eastAsia" w:ascii="宋体" w:hAnsi="宋体" w:eastAsia="宋体" w:cs="宋体"/>
        </w:rPr>
      </w:pPr>
      <w:bookmarkStart w:id="32" w:name="heading_32"/>
      <w:r>
        <w:rPr>
          <w:rFonts w:hint="eastAsia" w:ascii="宋体" w:hAnsi="宋体" w:eastAsia="宋体" w:cs="宋体"/>
          <w:color w:val="3370FF"/>
          <w:sz w:val="30"/>
        </w:rPr>
        <w:t xml:space="preserve">3.3.4 </w:t>
      </w:r>
      <w:r>
        <w:rPr>
          <w:rFonts w:hint="eastAsia" w:ascii="宋体" w:hAnsi="宋体" w:eastAsia="宋体" w:cs="宋体"/>
          <w:b/>
          <w:sz w:val="30"/>
        </w:rPr>
        <w:t>应用管理优化</w:t>
      </w:r>
      <w:bookmarkEnd w:id="32"/>
    </w:p>
    <w:p w14:paraId="416EAAA5">
      <w:pPr>
        <w:spacing w:before="120" w:after="120" w:line="288" w:lineRule="auto"/>
        <w:rPr>
          <w:rFonts w:hint="eastAsia" w:ascii="宋体" w:hAnsi="宋体" w:eastAsia="宋体" w:cs="宋体"/>
        </w:rPr>
      </w:pPr>
      <w:r>
        <w:rPr>
          <w:rFonts w:hint="eastAsia" w:ascii="宋体" w:hAnsi="宋体" w:eastAsia="宋体" w:cs="宋体"/>
        </w:rPr>
        <w:t>为前端应用全维度元数据展示、细化标签体系、版本更新日志提供完整的后台管理支撑，是前端应用信息展示的核心数据来源。</w:t>
      </w:r>
    </w:p>
    <w:p w14:paraId="4D954FB6">
      <w:pPr>
        <w:spacing w:before="260" w:after="120" w:line="288" w:lineRule="auto"/>
        <w:outlineLvl w:val="3"/>
        <w:rPr>
          <w:rFonts w:hint="eastAsia" w:ascii="宋体" w:hAnsi="宋体" w:eastAsia="宋体" w:cs="宋体"/>
        </w:rPr>
      </w:pPr>
      <w:bookmarkStart w:id="33" w:name="heading_33"/>
      <w:r>
        <w:rPr>
          <w:rFonts w:hint="eastAsia" w:ascii="宋体" w:hAnsi="宋体" w:eastAsia="宋体" w:cs="宋体"/>
          <w:color w:val="3370FF"/>
          <w:sz w:val="28"/>
        </w:rPr>
        <w:t xml:space="preserve">3.3.4.1 </w:t>
      </w:r>
      <w:r>
        <w:rPr>
          <w:rFonts w:hint="eastAsia" w:ascii="宋体" w:hAnsi="宋体" w:eastAsia="宋体" w:cs="宋体"/>
          <w:b/>
          <w:sz w:val="28"/>
        </w:rPr>
        <w:t>应用元数据扩展</w:t>
      </w:r>
      <w:bookmarkEnd w:id="33"/>
    </w:p>
    <w:p w14:paraId="741FD5CD">
      <w:pPr>
        <w:spacing w:before="120" w:after="120" w:line="288" w:lineRule="auto"/>
        <w:rPr>
          <w:rFonts w:hint="eastAsia" w:ascii="宋体" w:hAnsi="宋体" w:eastAsia="宋体" w:cs="宋体"/>
        </w:rPr>
      </w:pPr>
      <w:r>
        <w:rPr>
          <w:rFonts w:hint="eastAsia" w:ascii="宋体" w:hAnsi="宋体" w:eastAsia="宋体" w:cs="宋体"/>
        </w:rPr>
        <w:t>在现有应用录入/编辑页补充新增的元数据字段，实现前端应用详情页所有新增信息的后台配置与管理。</w:t>
      </w:r>
    </w:p>
    <w:p w14:paraId="045A0DC4">
      <w:pPr>
        <w:spacing w:before="120" w:after="120" w:line="288" w:lineRule="auto"/>
        <w:rPr>
          <w:rFonts w:hint="eastAsia" w:ascii="宋体" w:hAnsi="宋体" w:eastAsia="宋体" w:cs="宋体"/>
        </w:rPr>
      </w:pPr>
      <w:r>
        <w:rPr>
          <w:rFonts w:hint="eastAsia" w:ascii="宋体" w:hAnsi="宋体" w:eastAsia="宋体" w:cs="宋体"/>
        </w:rPr>
        <w:t>【功能要求】</w:t>
      </w:r>
    </w:p>
    <w:p w14:paraId="0DCEC816">
      <w:pPr>
        <w:numPr>
          <w:ilvl w:val="0"/>
          <w:numId w:val="102"/>
        </w:numPr>
        <w:spacing w:before="120" w:after="120" w:line="288" w:lineRule="auto"/>
        <w:rPr>
          <w:rFonts w:hint="eastAsia" w:ascii="宋体" w:hAnsi="宋体" w:eastAsia="宋体" w:cs="宋体"/>
        </w:rPr>
      </w:pPr>
      <w:r>
        <w:rPr>
          <w:rFonts w:hint="eastAsia" w:ascii="宋体" w:hAnsi="宋体" w:eastAsia="宋体" w:cs="宋体"/>
        </w:rPr>
        <w:t>新增字段配置：在应用录入/编辑页新增以下可配置字段：副标题（一句话看点）、应用细化标签（多选）、是否含内购、年龄分级、隐私数据说明，所有字段均支持在应用新增、编辑时进行填写与修改。</w:t>
      </w:r>
    </w:p>
    <w:p w14:paraId="50DEAA17">
      <w:pPr>
        <w:numPr>
          <w:ilvl w:val="0"/>
          <w:numId w:val="103"/>
        </w:numPr>
        <w:spacing w:before="120" w:after="120" w:line="288" w:lineRule="auto"/>
        <w:rPr>
          <w:rFonts w:hint="eastAsia" w:ascii="宋体" w:hAnsi="宋体" w:eastAsia="宋体" w:cs="宋体"/>
        </w:rPr>
      </w:pPr>
      <w:r>
        <w:rPr>
          <w:rFonts w:hint="eastAsia" w:ascii="宋体" w:hAnsi="宋体" w:eastAsia="宋体" w:cs="宋体"/>
        </w:rPr>
        <w:t>字段规则配置：为每个新增字段设置对应的配置规则，包括：</w:t>
      </w:r>
    </w:p>
    <w:p w14:paraId="093013BE">
      <w:pPr>
        <w:numPr>
          <w:ilvl w:val="0"/>
          <w:numId w:val="104"/>
        </w:numPr>
        <w:spacing w:before="120" w:after="120" w:line="288" w:lineRule="auto"/>
        <w:ind w:left="453"/>
        <w:rPr>
          <w:rFonts w:hint="eastAsia" w:ascii="宋体" w:hAnsi="宋体" w:eastAsia="宋体" w:cs="宋体"/>
        </w:rPr>
      </w:pPr>
      <w:r>
        <w:rPr>
          <w:rFonts w:hint="eastAsia" w:ascii="宋体" w:hAnsi="宋体" w:eastAsia="宋体" w:cs="宋体"/>
        </w:rPr>
        <w:t>副标题：设置字数上限，用于提炼应用核心亮点；</w:t>
      </w:r>
    </w:p>
    <w:p w14:paraId="14721C45">
      <w:pPr>
        <w:numPr>
          <w:ilvl w:val="0"/>
          <w:numId w:val="105"/>
        </w:numPr>
        <w:spacing w:before="120" w:after="120" w:line="288" w:lineRule="auto"/>
        <w:ind w:left="453"/>
        <w:rPr>
          <w:rFonts w:hint="eastAsia" w:ascii="宋体" w:hAnsi="宋体" w:eastAsia="宋体" w:cs="宋体"/>
        </w:rPr>
      </w:pPr>
      <w:r>
        <w:rPr>
          <w:rFonts w:hint="eastAsia" w:ascii="宋体" w:hAnsi="宋体" w:eastAsia="宋体" w:cs="宋体"/>
        </w:rPr>
        <w:t>应用细化标签：支持为应用配置多维度标签；</w:t>
      </w:r>
    </w:p>
    <w:p w14:paraId="78B3380A">
      <w:pPr>
        <w:numPr>
          <w:ilvl w:val="0"/>
          <w:numId w:val="106"/>
        </w:numPr>
        <w:spacing w:before="120" w:after="120" w:line="288" w:lineRule="auto"/>
        <w:ind w:left="453"/>
        <w:rPr>
          <w:rFonts w:hint="eastAsia" w:ascii="宋体" w:hAnsi="宋体" w:eastAsia="宋体" w:cs="宋体"/>
        </w:rPr>
      </w:pPr>
      <w:r>
        <w:rPr>
          <w:rFonts w:hint="eastAsia" w:ascii="宋体" w:hAnsi="宋体" w:eastAsia="宋体" w:cs="宋体"/>
        </w:rPr>
        <w:t>是否含内购：设置单选开关，标注应用是否包含内购内容；</w:t>
      </w:r>
    </w:p>
    <w:p w14:paraId="0E79C196">
      <w:pPr>
        <w:numPr>
          <w:ilvl w:val="0"/>
          <w:numId w:val="107"/>
        </w:numPr>
        <w:spacing w:before="120" w:after="120" w:line="288" w:lineRule="auto"/>
        <w:ind w:left="453"/>
        <w:rPr>
          <w:rFonts w:hint="eastAsia" w:ascii="宋体" w:hAnsi="宋体" w:eastAsia="宋体" w:cs="宋体"/>
        </w:rPr>
      </w:pPr>
      <w:r>
        <w:rPr>
          <w:rFonts w:hint="eastAsia" w:ascii="宋体" w:hAnsi="宋体" w:eastAsia="宋体" w:cs="宋体"/>
        </w:rPr>
        <w:t>年龄分级：设置下拉选项，支持选择对应的年龄分级标准；</w:t>
      </w:r>
    </w:p>
    <w:p w14:paraId="700444D2">
      <w:pPr>
        <w:numPr>
          <w:ilvl w:val="0"/>
          <w:numId w:val="108"/>
        </w:numPr>
        <w:spacing w:before="120" w:after="120" w:line="288" w:lineRule="auto"/>
        <w:ind w:left="453"/>
        <w:rPr>
          <w:rFonts w:hint="eastAsia" w:ascii="宋体" w:hAnsi="宋体" w:eastAsia="宋体" w:cs="宋体"/>
        </w:rPr>
      </w:pPr>
      <w:r>
        <w:rPr>
          <w:rFonts w:hint="eastAsia" w:ascii="宋体" w:hAnsi="宋体" w:eastAsia="宋体" w:cs="宋体"/>
        </w:rPr>
        <w:t>隐私数据说明：支持长文本编辑，用于填写应用的隐私数据收集与使用说明。</w:t>
      </w:r>
    </w:p>
    <w:p w14:paraId="6ED1285E">
      <w:pPr>
        <w:numPr>
          <w:ilvl w:val="0"/>
          <w:numId w:val="109"/>
        </w:numPr>
        <w:spacing w:before="120" w:after="120" w:line="288" w:lineRule="auto"/>
        <w:rPr>
          <w:rFonts w:hint="eastAsia" w:ascii="宋体" w:hAnsi="宋体" w:eastAsia="宋体" w:cs="宋体"/>
        </w:rPr>
      </w:pPr>
      <w:r>
        <w:rPr>
          <w:rFonts w:hint="eastAsia" w:ascii="宋体" w:hAnsi="宋体" w:eastAsia="宋体" w:cs="宋体"/>
        </w:rPr>
        <w:t>数据同步机制：所有字段的配置内容同步至前端应用详情页，确保前端展示的信息与后台配置保持一致。</w:t>
      </w:r>
    </w:p>
    <w:p w14:paraId="6906968E">
      <w:pPr>
        <w:spacing w:before="260" w:after="120" w:line="288" w:lineRule="auto"/>
        <w:outlineLvl w:val="3"/>
        <w:rPr>
          <w:rFonts w:hint="eastAsia" w:ascii="宋体" w:hAnsi="宋体" w:eastAsia="宋体" w:cs="宋体"/>
        </w:rPr>
      </w:pPr>
      <w:bookmarkStart w:id="34" w:name="heading_34"/>
      <w:r>
        <w:rPr>
          <w:rFonts w:hint="eastAsia" w:ascii="宋体" w:hAnsi="宋体" w:eastAsia="宋体" w:cs="宋体"/>
          <w:color w:val="3370FF"/>
          <w:sz w:val="28"/>
        </w:rPr>
        <w:t xml:space="preserve">3.3.4.2 </w:t>
      </w:r>
      <w:r>
        <w:rPr>
          <w:rFonts w:hint="eastAsia" w:ascii="宋体" w:hAnsi="宋体" w:eastAsia="宋体" w:cs="宋体"/>
          <w:b/>
          <w:sz w:val="28"/>
        </w:rPr>
        <w:t>应用标签体系管理</w:t>
      </w:r>
      <w:bookmarkEnd w:id="34"/>
    </w:p>
    <w:p w14:paraId="3CCAC1E4">
      <w:pPr>
        <w:spacing w:before="120" w:after="120" w:line="288" w:lineRule="auto"/>
        <w:rPr>
          <w:rFonts w:hint="eastAsia" w:ascii="宋体" w:hAnsi="宋体" w:eastAsia="宋体" w:cs="宋体"/>
        </w:rPr>
      </w:pPr>
      <w:r>
        <w:rPr>
          <w:rFonts w:hint="eastAsia" w:ascii="宋体" w:hAnsi="宋体" w:eastAsia="宋体" w:cs="宋体"/>
        </w:rPr>
        <w:t>维护全局细化标签库，支持标签的全生命周期管理，为应用配置多维度标签提供选项池，同时作为相似推荐算法的基础数据输入。</w:t>
      </w:r>
    </w:p>
    <w:p w14:paraId="497D2EC8">
      <w:pPr>
        <w:spacing w:before="120" w:after="120" w:line="288" w:lineRule="auto"/>
        <w:rPr>
          <w:rFonts w:hint="eastAsia" w:ascii="宋体" w:hAnsi="宋体" w:eastAsia="宋体" w:cs="宋体"/>
        </w:rPr>
      </w:pPr>
      <w:r>
        <w:rPr>
          <w:rFonts w:hint="eastAsia" w:ascii="宋体" w:hAnsi="宋体" w:eastAsia="宋体" w:cs="宋体"/>
        </w:rPr>
        <w:t>【功能要求】</w:t>
      </w:r>
    </w:p>
    <w:p w14:paraId="62787829">
      <w:pPr>
        <w:numPr>
          <w:ilvl w:val="0"/>
          <w:numId w:val="110"/>
        </w:numPr>
        <w:spacing w:before="120" w:after="120" w:line="288" w:lineRule="auto"/>
        <w:rPr>
          <w:rFonts w:hint="eastAsia" w:ascii="宋体" w:hAnsi="宋体" w:eastAsia="宋体" w:cs="宋体"/>
        </w:rPr>
      </w:pPr>
      <w:r>
        <w:rPr>
          <w:rFonts w:hint="eastAsia" w:ascii="宋体" w:hAnsi="宋体" w:eastAsia="宋体" w:cs="宋体"/>
        </w:rPr>
        <w:t>标签库基础管理：支持运营人员新建、编辑、删除标签，实现标签的规范化管理。</w:t>
      </w:r>
    </w:p>
    <w:p w14:paraId="42A69E00">
      <w:pPr>
        <w:numPr>
          <w:ilvl w:val="0"/>
          <w:numId w:val="111"/>
        </w:numPr>
        <w:spacing w:before="120" w:after="120" w:line="288" w:lineRule="auto"/>
        <w:rPr>
          <w:rFonts w:hint="eastAsia" w:ascii="宋体" w:hAnsi="宋体" w:eastAsia="宋体" w:cs="宋体"/>
        </w:rPr>
      </w:pPr>
      <w:r>
        <w:rPr>
          <w:rFonts w:hint="eastAsia" w:ascii="宋体" w:hAnsi="宋体" w:eastAsia="宋体" w:cs="宋体"/>
        </w:rPr>
        <w:t>标签分类归组：支持将标签按应用类型、使用场景等维度进行分类归组，创建多级标签分类体系，便于运营人员快速筛选与管理标签，同时提升应用标签配置的效率。</w:t>
      </w:r>
    </w:p>
    <w:p w14:paraId="0D084F6D">
      <w:pPr>
        <w:numPr>
          <w:ilvl w:val="0"/>
          <w:numId w:val="112"/>
        </w:numPr>
        <w:spacing w:before="120" w:after="120" w:line="288" w:lineRule="auto"/>
        <w:rPr>
          <w:rFonts w:hint="eastAsia" w:ascii="宋体" w:hAnsi="宋体" w:eastAsia="宋体" w:cs="宋体"/>
        </w:rPr>
      </w:pPr>
      <w:r>
        <w:rPr>
          <w:rFonts w:hint="eastAsia" w:ascii="宋体" w:hAnsi="宋体" w:eastAsia="宋体" w:cs="宋体"/>
        </w:rPr>
        <w:t>标签状态管理：标签支持"已启用"、"已禁用"两种状态，已禁用的标签将不再出现在应用标签配置的选项池中，同时不影响已关联该标签的应用数据，确保标签体系的灵活管控。</w:t>
      </w:r>
    </w:p>
    <w:p w14:paraId="12DBD1E1">
      <w:pPr>
        <w:spacing w:before="260" w:after="120" w:line="288" w:lineRule="auto"/>
        <w:outlineLvl w:val="3"/>
        <w:rPr>
          <w:rFonts w:hint="eastAsia" w:ascii="宋体" w:hAnsi="宋体" w:eastAsia="宋体" w:cs="宋体"/>
        </w:rPr>
      </w:pPr>
      <w:bookmarkStart w:id="35" w:name="heading_35"/>
      <w:r>
        <w:rPr>
          <w:rFonts w:hint="eastAsia" w:ascii="宋体" w:hAnsi="宋体" w:eastAsia="宋体" w:cs="宋体"/>
          <w:color w:val="3370FF"/>
          <w:sz w:val="28"/>
        </w:rPr>
        <w:t xml:space="preserve">3.3.4.3 </w:t>
      </w:r>
      <w:r>
        <w:rPr>
          <w:rFonts w:hint="eastAsia" w:ascii="宋体" w:hAnsi="宋体" w:eastAsia="宋体" w:cs="宋体"/>
          <w:b/>
          <w:sz w:val="28"/>
        </w:rPr>
        <w:t>升级管理</w:t>
      </w:r>
      <w:bookmarkEnd w:id="35"/>
    </w:p>
    <w:p w14:paraId="160F70F1">
      <w:pPr>
        <w:spacing w:before="120" w:after="120" w:line="288" w:lineRule="auto"/>
        <w:rPr>
          <w:rFonts w:hint="eastAsia" w:ascii="宋体" w:hAnsi="宋体" w:eastAsia="宋体" w:cs="宋体"/>
        </w:rPr>
      </w:pPr>
      <w:r>
        <w:rPr>
          <w:rFonts w:hint="eastAsia" w:ascii="宋体" w:hAnsi="宋体" w:eastAsia="宋体" w:cs="宋体"/>
        </w:rPr>
        <w:t>在应用升级管理中新增更新日志字段的配置与管理，实现前端应用详情页版本更新日志的自动同步展示。</w:t>
      </w:r>
    </w:p>
    <w:p w14:paraId="696C9CF9">
      <w:pPr>
        <w:spacing w:before="120" w:after="120" w:line="288" w:lineRule="auto"/>
        <w:rPr>
          <w:rFonts w:hint="eastAsia" w:ascii="宋体" w:hAnsi="宋体" w:eastAsia="宋体" w:cs="宋体"/>
        </w:rPr>
      </w:pPr>
      <w:r>
        <w:rPr>
          <w:rFonts w:hint="eastAsia" w:ascii="宋体" w:hAnsi="宋体" w:eastAsia="宋体" w:cs="宋体"/>
        </w:rPr>
        <w:t>【功能要求】</w:t>
      </w:r>
    </w:p>
    <w:p w14:paraId="06CEEAFB">
      <w:pPr>
        <w:numPr>
          <w:ilvl w:val="0"/>
          <w:numId w:val="113"/>
        </w:numPr>
        <w:spacing w:before="120" w:after="120" w:line="288" w:lineRule="auto"/>
        <w:rPr>
          <w:rFonts w:hint="eastAsia" w:ascii="宋体" w:hAnsi="宋体" w:eastAsia="宋体" w:cs="宋体"/>
        </w:rPr>
      </w:pPr>
      <w:r>
        <w:rPr>
          <w:rFonts w:hint="eastAsia" w:ascii="宋体" w:hAnsi="宋体" w:eastAsia="宋体" w:cs="宋体"/>
        </w:rPr>
        <w:t>更新日志字段配置：在应用上传安装包、填写版本号的升级表单里，新增"更新日志"字段，支持运营人员在发布应用新版本时，填写该版本的更新内容、优化点、新增功能等信息。</w:t>
      </w:r>
    </w:p>
    <w:p w14:paraId="4B194F96">
      <w:pPr>
        <w:numPr>
          <w:ilvl w:val="0"/>
          <w:numId w:val="114"/>
        </w:numPr>
        <w:spacing w:before="120" w:after="120" w:line="288" w:lineRule="auto"/>
        <w:rPr>
          <w:rFonts w:hint="eastAsia" w:ascii="宋体" w:hAnsi="宋体" w:eastAsia="宋体" w:cs="宋体"/>
        </w:rPr>
      </w:pPr>
      <w:r>
        <w:rPr>
          <w:rFonts w:hint="eastAsia" w:ascii="宋体" w:hAnsi="宋体" w:eastAsia="宋体" w:cs="宋体"/>
        </w:rPr>
        <w:t>前端同步机制：应用新版本发布上线后，前台应用详情页可直接读取已发布最新版本的更新日志进行展示，确保更新日志的实时性与准确性。</w:t>
      </w:r>
    </w:p>
    <w:p w14:paraId="250F145F">
      <w:pPr>
        <w:spacing w:before="300" w:after="120" w:line="288" w:lineRule="auto"/>
        <w:outlineLvl w:val="2"/>
        <w:rPr>
          <w:rFonts w:hint="eastAsia" w:ascii="宋体" w:hAnsi="宋体" w:eastAsia="宋体" w:cs="宋体"/>
        </w:rPr>
      </w:pPr>
      <w:bookmarkStart w:id="36" w:name="heading_36"/>
      <w:r>
        <w:rPr>
          <w:rFonts w:hint="eastAsia" w:ascii="宋体" w:hAnsi="宋体" w:eastAsia="宋体" w:cs="宋体"/>
          <w:color w:val="3370FF"/>
          <w:sz w:val="30"/>
        </w:rPr>
        <w:t xml:space="preserve">3.3.5 </w:t>
      </w:r>
      <w:r>
        <w:rPr>
          <w:rFonts w:hint="eastAsia" w:ascii="宋体" w:hAnsi="宋体" w:eastAsia="宋体" w:cs="宋体"/>
          <w:b/>
          <w:sz w:val="30"/>
        </w:rPr>
        <w:t>互动运营优化</w:t>
      </w:r>
      <w:bookmarkEnd w:id="36"/>
    </w:p>
    <w:p w14:paraId="4E8D430C">
      <w:pPr>
        <w:spacing w:before="120" w:after="120" w:line="288" w:lineRule="auto"/>
        <w:rPr>
          <w:rFonts w:hint="eastAsia" w:ascii="宋体" w:hAnsi="宋体" w:eastAsia="宋体" w:cs="宋体"/>
        </w:rPr>
      </w:pPr>
      <w:r>
        <w:rPr>
          <w:rFonts w:hint="eastAsia" w:ascii="宋体" w:hAnsi="宋体" w:eastAsia="宋体" w:cs="宋体"/>
        </w:rPr>
        <w:t>互动运营优化模块为前端搜索、评价体系等用户互动功能提供后台管理支撑，覆盖热门搜索词管理、评价管理两大核心场景，实现用户互动数据的全生命周期管控。</w:t>
      </w:r>
    </w:p>
    <w:p w14:paraId="1C520897">
      <w:pPr>
        <w:spacing w:before="260" w:after="120" w:line="288" w:lineRule="auto"/>
        <w:outlineLvl w:val="3"/>
        <w:rPr>
          <w:rFonts w:hint="eastAsia" w:ascii="宋体" w:hAnsi="宋体" w:eastAsia="宋体" w:cs="宋体"/>
        </w:rPr>
      </w:pPr>
      <w:bookmarkStart w:id="37" w:name="heading_37"/>
      <w:r>
        <w:rPr>
          <w:rFonts w:hint="eastAsia" w:ascii="宋体" w:hAnsi="宋体" w:eastAsia="宋体" w:cs="宋体"/>
          <w:color w:val="3370FF"/>
          <w:sz w:val="28"/>
        </w:rPr>
        <w:t xml:space="preserve">3.3.5.1 </w:t>
      </w:r>
      <w:r>
        <w:rPr>
          <w:rFonts w:hint="eastAsia" w:ascii="宋体" w:hAnsi="宋体" w:eastAsia="宋体" w:cs="宋体"/>
          <w:b/>
          <w:sz w:val="28"/>
        </w:rPr>
        <w:t>热门搜索词管理</w:t>
      </w:r>
      <w:bookmarkEnd w:id="37"/>
    </w:p>
    <w:p w14:paraId="12204B8B">
      <w:pPr>
        <w:spacing w:before="120" w:after="120" w:line="288" w:lineRule="auto"/>
        <w:rPr>
          <w:rFonts w:hint="eastAsia" w:ascii="宋体" w:hAnsi="宋体" w:eastAsia="宋体" w:cs="宋体"/>
        </w:rPr>
      </w:pPr>
      <w:r>
        <w:rPr>
          <w:rFonts w:hint="eastAsia" w:ascii="宋体" w:hAnsi="宋体" w:eastAsia="宋体" w:cs="宋体"/>
        </w:rPr>
        <w:t>支持人工维护搜索热词列表，实现前端热门搜索词的灵活运营管控，引导用户发现热门应用，提升平台的应用分发效率。</w:t>
      </w:r>
    </w:p>
    <w:p w14:paraId="7BFEE04B">
      <w:pPr>
        <w:spacing w:before="120" w:after="120" w:line="288" w:lineRule="auto"/>
        <w:rPr>
          <w:rFonts w:hint="eastAsia" w:ascii="宋体" w:hAnsi="宋体" w:eastAsia="宋体" w:cs="宋体"/>
        </w:rPr>
      </w:pPr>
      <w:r>
        <w:rPr>
          <w:rFonts w:hint="eastAsia" w:ascii="宋体" w:hAnsi="宋体" w:eastAsia="宋体" w:cs="宋体"/>
        </w:rPr>
        <w:t>【功能要求】</w:t>
      </w:r>
    </w:p>
    <w:p w14:paraId="7BEFA46A">
      <w:pPr>
        <w:numPr>
          <w:ilvl w:val="0"/>
          <w:numId w:val="115"/>
        </w:numPr>
        <w:spacing w:before="120" w:after="120" w:line="288" w:lineRule="auto"/>
        <w:rPr>
          <w:rFonts w:hint="eastAsia" w:ascii="宋体" w:hAnsi="宋体" w:eastAsia="宋体" w:cs="宋体"/>
        </w:rPr>
      </w:pPr>
      <w:r>
        <w:rPr>
          <w:rFonts w:hint="eastAsia" w:ascii="宋体" w:hAnsi="宋体" w:eastAsia="宋体" w:cs="宋体"/>
        </w:rPr>
        <w:t>热词基础管理：支持运营人员新建、编辑、删除热门搜索词，实现热词的规范化管理。</w:t>
      </w:r>
    </w:p>
    <w:p w14:paraId="33836A6C">
      <w:pPr>
        <w:numPr>
          <w:ilvl w:val="0"/>
          <w:numId w:val="116"/>
        </w:numPr>
        <w:spacing w:before="120" w:after="120" w:line="288" w:lineRule="auto"/>
        <w:rPr>
          <w:rFonts w:hint="eastAsia" w:ascii="宋体" w:hAnsi="宋体" w:eastAsia="宋体" w:cs="宋体"/>
        </w:rPr>
      </w:pPr>
      <w:r>
        <w:rPr>
          <w:rFonts w:hint="eastAsia" w:ascii="宋体" w:hAnsi="宋体" w:eastAsia="宋体" w:cs="宋体"/>
        </w:rPr>
        <w:t>排序与上下架管理：支持手动调整热门搜索词的展示排序，优先级高的热词在前端搜索页面优先展示；支持热词的上下线操作，确保运营的灵活性。</w:t>
      </w:r>
    </w:p>
    <w:p w14:paraId="53968B13">
      <w:pPr>
        <w:numPr>
          <w:ilvl w:val="0"/>
          <w:numId w:val="117"/>
        </w:numPr>
        <w:spacing w:before="120" w:after="120" w:line="288" w:lineRule="auto"/>
        <w:rPr>
          <w:rFonts w:hint="eastAsia" w:ascii="宋体" w:hAnsi="宋体" w:eastAsia="宋体" w:cs="宋体"/>
        </w:rPr>
      </w:pPr>
      <w:r>
        <w:rPr>
          <w:rFonts w:hint="eastAsia" w:ascii="宋体" w:hAnsi="宋体" w:eastAsia="宋体" w:cs="宋体"/>
        </w:rPr>
        <w:t>批量操作：支持热门搜索词的批量上下线操作，提升热词的管理效率。</w:t>
      </w:r>
    </w:p>
    <w:p w14:paraId="51622993">
      <w:pPr>
        <w:spacing w:before="260" w:after="120" w:line="288" w:lineRule="auto"/>
        <w:outlineLvl w:val="3"/>
        <w:rPr>
          <w:rFonts w:hint="eastAsia" w:ascii="宋体" w:hAnsi="宋体" w:eastAsia="宋体" w:cs="宋体"/>
        </w:rPr>
      </w:pPr>
      <w:bookmarkStart w:id="38" w:name="heading_38"/>
      <w:r>
        <w:rPr>
          <w:rFonts w:hint="eastAsia" w:ascii="宋体" w:hAnsi="宋体" w:eastAsia="宋体" w:cs="宋体"/>
          <w:color w:val="3370FF"/>
          <w:sz w:val="28"/>
        </w:rPr>
        <w:t xml:space="preserve">3.3.5.2 </w:t>
      </w:r>
      <w:r>
        <w:rPr>
          <w:rFonts w:hint="eastAsia" w:ascii="宋体" w:hAnsi="宋体" w:eastAsia="宋体" w:cs="宋体"/>
          <w:b/>
          <w:sz w:val="28"/>
        </w:rPr>
        <w:t>评价管理</w:t>
      </w:r>
      <w:bookmarkEnd w:id="38"/>
    </w:p>
    <w:p w14:paraId="3DE1C5CB">
      <w:pPr>
        <w:spacing w:before="120" w:after="120" w:line="288" w:lineRule="auto"/>
        <w:rPr>
          <w:rFonts w:hint="eastAsia" w:ascii="宋体" w:hAnsi="宋体" w:eastAsia="宋体" w:cs="宋体"/>
        </w:rPr>
      </w:pPr>
      <w:r>
        <w:rPr>
          <w:rFonts w:hint="eastAsia" w:ascii="宋体" w:hAnsi="宋体" w:eastAsia="宋体" w:cs="宋体"/>
        </w:rPr>
        <w:t>评价管理模块为前端用户评价体系提供完整的数据支撑与质量保障能力，通过标签库的灵活配置、评分数据的集中查看、异常数据的识别处置，确保前端评价体系的数据质量。</w:t>
      </w:r>
    </w:p>
    <w:p w14:paraId="196DCAF9">
      <w:pPr>
        <w:spacing w:before="120" w:after="120" w:line="288" w:lineRule="auto"/>
        <w:rPr>
          <w:rFonts w:hint="eastAsia" w:ascii="宋体" w:hAnsi="宋体" w:eastAsia="宋体" w:cs="宋体"/>
        </w:rPr>
      </w:pPr>
      <w:r>
        <w:rPr>
          <w:rFonts w:hint="eastAsia" w:ascii="宋体" w:hAnsi="宋体" w:eastAsia="宋体" w:cs="宋体"/>
        </w:rPr>
        <w:t>【功能要求】</w:t>
      </w:r>
    </w:p>
    <w:p w14:paraId="24107E36">
      <w:pPr>
        <w:numPr>
          <w:ilvl w:val="0"/>
          <w:numId w:val="118"/>
        </w:numPr>
        <w:spacing w:before="120" w:after="120" w:line="288" w:lineRule="auto"/>
        <w:rPr>
          <w:rFonts w:hint="eastAsia" w:ascii="宋体" w:hAnsi="宋体" w:eastAsia="宋体" w:cs="宋体"/>
        </w:rPr>
      </w:pPr>
      <w:r>
        <w:rPr>
          <w:rFonts w:hint="eastAsia" w:ascii="宋体" w:hAnsi="宋体" w:eastAsia="宋体" w:cs="宋体"/>
        </w:rPr>
        <w:t>评价标签库管理：</w:t>
      </w:r>
    </w:p>
    <w:p w14:paraId="27C6A999">
      <w:pPr>
        <w:numPr>
          <w:ilvl w:val="0"/>
          <w:numId w:val="119"/>
        </w:numPr>
        <w:spacing w:before="120" w:after="120" w:line="288" w:lineRule="auto"/>
        <w:ind w:left="453"/>
        <w:rPr>
          <w:rFonts w:hint="eastAsia" w:ascii="宋体" w:hAnsi="宋体" w:eastAsia="宋体" w:cs="宋体"/>
        </w:rPr>
      </w:pPr>
      <w:r>
        <w:rPr>
          <w:rFonts w:hint="eastAsia" w:ascii="宋体" w:hAnsi="宋体" w:eastAsia="宋体" w:cs="宋体"/>
        </w:rPr>
        <w:t>支持按应用分类独立维护评价标签库，不同分类（如游戏、影视、工具等）可配置各自专属的标签集合，避免标签语义与应用类型不符；</w:t>
      </w:r>
    </w:p>
    <w:p w14:paraId="0B650D1B">
      <w:pPr>
        <w:numPr>
          <w:ilvl w:val="0"/>
          <w:numId w:val="120"/>
        </w:numPr>
        <w:spacing w:before="120" w:after="120" w:line="288" w:lineRule="auto"/>
        <w:ind w:left="453"/>
        <w:rPr>
          <w:rFonts w:hint="eastAsia" w:ascii="宋体" w:hAnsi="宋体" w:eastAsia="宋体" w:cs="宋体"/>
        </w:rPr>
      </w:pPr>
      <w:r>
        <w:rPr>
          <w:rFonts w:hint="eastAsia" w:ascii="宋体" w:hAnsi="宋体" w:eastAsia="宋体" w:cs="宋体"/>
        </w:rPr>
        <w:t>每条标签支持新增、编辑标签文案及删除操作，删除已被用户选择过的标签时，系统需弹出确认提示，说明删除后该标签的历史频次数据将同步清除且不可恢复；</w:t>
      </w:r>
    </w:p>
    <w:p w14:paraId="3EB472F7">
      <w:pPr>
        <w:numPr>
          <w:ilvl w:val="0"/>
          <w:numId w:val="121"/>
        </w:numPr>
        <w:spacing w:before="120" w:after="120" w:line="288" w:lineRule="auto"/>
        <w:ind w:left="453"/>
        <w:rPr>
          <w:rFonts w:hint="eastAsia" w:ascii="宋体" w:hAnsi="宋体" w:eastAsia="宋体" w:cs="宋体"/>
        </w:rPr>
      </w:pPr>
      <w:r>
        <w:rPr>
          <w:rFonts w:hint="eastAsia" w:ascii="宋体" w:hAnsi="宋体" w:eastAsia="宋体" w:cs="宋体"/>
        </w:rPr>
        <w:t>标签库支持设置标签的展示顺序，支持自动排序（按用户选择频次从高到低）、手动排序。</w:t>
      </w:r>
    </w:p>
    <w:p w14:paraId="2BAB4360">
      <w:pPr>
        <w:numPr>
          <w:ilvl w:val="0"/>
          <w:numId w:val="122"/>
        </w:numPr>
        <w:spacing w:before="120" w:after="120" w:line="288" w:lineRule="auto"/>
        <w:rPr>
          <w:rFonts w:hint="eastAsia" w:ascii="宋体" w:hAnsi="宋体" w:eastAsia="宋体" w:cs="宋体"/>
        </w:rPr>
      </w:pPr>
      <w:r>
        <w:rPr>
          <w:rFonts w:hint="eastAsia" w:ascii="宋体" w:hAnsi="宋体" w:eastAsia="宋体" w:cs="宋体"/>
        </w:rPr>
        <w:t>评分数据查看：</w:t>
      </w:r>
    </w:p>
    <w:p w14:paraId="644484F4">
      <w:pPr>
        <w:numPr>
          <w:ilvl w:val="0"/>
          <w:numId w:val="123"/>
        </w:numPr>
        <w:spacing w:before="120" w:after="120" w:line="288" w:lineRule="auto"/>
        <w:ind w:left="453"/>
        <w:rPr>
          <w:rFonts w:hint="eastAsia" w:ascii="宋体" w:hAnsi="宋体" w:eastAsia="宋体" w:cs="宋体"/>
        </w:rPr>
      </w:pPr>
      <w:r>
        <w:rPr>
          <w:rFonts w:hint="eastAsia" w:ascii="宋体" w:hAnsi="宋体" w:eastAsia="宋体" w:cs="宋体"/>
        </w:rPr>
        <w:t>提供以应用为维度的评分数据看板，运营人员可查看每个应用的综合评分均值（保留一位小数）、参与评分的总人数，以及1至5星各档位的评分人数分布与占比；</w:t>
      </w:r>
    </w:p>
    <w:p w14:paraId="33AD5EA1">
      <w:pPr>
        <w:numPr>
          <w:ilvl w:val="0"/>
          <w:numId w:val="124"/>
        </w:numPr>
        <w:spacing w:before="120" w:after="120" w:line="288" w:lineRule="auto"/>
        <w:ind w:left="453"/>
        <w:rPr>
          <w:rFonts w:hint="eastAsia" w:ascii="宋体" w:hAnsi="宋体" w:eastAsia="宋体" w:cs="宋体"/>
        </w:rPr>
      </w:pPr>
      <w:r>
        <w:rPr>
          <w:rFonts w:hint="eastAsia" w:ascii="宋体" w:hAnsi="宋体" w:eastAsia="宋体" w:cs="宋体"/>
        </w:rPr>
        <w:t>支持按综合评分、评分人数进行应用排序，帮助运营人员快速定位口碑异常或亟需关注的应用。</w:t>
      </w:r>
    </w:p>
    <w:p w14:paraId="1D142619">
      <w:pPr>
        <w:numPr>
          <w:ilvl w:val="0"/>
          <w:numId w:val="125"/>
        </w:numPr>
        <w:spacing w:before="120" w:after="120" w:line="288" w:lineRule="auto"/>
        <w:rPr>
          <w:rFonts w:hint="eastAsia" w:ascii="宋体" w:hAnsi="宋体" w:eastAsia="宋体" w:cs="宋体"/>
        </w:rPr>
      </w:pPr>
      <w:r>
        <w:rPr>
          <w:rFonts w:hint="eastAsia" w:ascii="宋体" w:hAnsi="宋体" w:eastAsia="宋体" w:cs="宋体"/>
        </w:rPr>
        <w:t>评价数据导出：支持导出为Excel文件，便于运营人员进行深度的用户口碑分析与管理优化。</w:t>
      </w:r>
    </w:p>
    <w:p w14:paraId="29065E3B">
      <w:pPr>
        <w:numPr>
          <w:ilvl w:val="0"/>
          <w:numId w:val="126"/>
        </w:numPr>
        <w:spacing w:before="120" w:after="120" w:line="288" w:lineRule="auto"/>
        <w:rPr>
          <w:rFonts w:hint="eastAsia" w:ascii="宋体" w:hAnsi="宋体" w:eastAsia="宋体" w:cs="宋体"/>
        </w:rPr>
      </w:pPr>
      <w:r>
        <w:rPr>
          <w:rFonts w:hint="eastAsia" w:ascii="宋体" w:hAnsi="宋体" w:eastAsia="宋体" w:cs="宋体"/>
        </w:rPr>
        <w:t>异常评价处置： 系统对点赞、评价及评分行为进行异常检测，被标记为异常的数据默认不纳入前端综合评分均值及标签频次的统计计算，确保前端展示数据的真实性。</w:t>
      </w:r>
    </w:p>
    <w:p w14:paraId="0F1681B5">
      <w:pPr>
        <w:pStyle w:val="2"/>
        <w:spacing w:before="0" w:after="0" w:line="360" w:lineRule="auto"/>
        <w:rPr>
          <w:rFonts w:hint="eastAsia" w:ascii="宋体" w:hAnsi="宋体" w:eastAsia="宋体" w:cs="宋体"/>
          <w:sz w:val="21"/>
          <w:szCs w:val="21"/>
        </w:rPr>
      </w:pPr>
      <w:r>
        <w:rPr>
          <w:rFonts w:hint="eastAsia" w:ascii="宋体" w:hAnsi="宋体" w:eastAsia="宋体" w:cs="宋体"/>
          <w:bCs/>
          <w:sz w:val="21"/>
          <w:szCs w:val="21"/>
        </w:rPr>
        <w:t>三、技术要求</w:t>
      </w:r>
    </w:p>
    <w:p w14:paraId="7C10467F">
      <w:pPr>
        <w:pStyle w:val="3"/>
        <w:numPr>
          <w:ilvl w:val="2"/>
          <w:numId w:val="0"/>
        </w:numPr>
        <w:rPr>
          <w:rFonts w:hint="eastAsia" w:ascii="宋体" w:hAnsi="宋体" w:eastAsia="宋体" w:cs="宋体"/>
          <w:sz w:val="21"/>
          <w:szCs w:val="21"/>
        </w:rPr>
      </w:pPr>
      <w:bookmarkStart w:id="39" w:name="_Toc84604516"/>
      <w:bookmarkStart w:id="40" w:name="_Toc8191"/>
      <w:bookmarkStart w:id="41" w:name="_Toc81934799"/>
      <w:bookmarkStart w:id="42" w:name="_Toc81487437"/>
      <w:r>
        <w:rPr>
          <w:rFonts w:hint="eastAsia" w:ascii="宋体" w:hAnsi="宋体" w:eastAsia="宋体" w:cs="宋体"/>
          <w:sz w:val="21"/>
          <w:szCs w:val="21"/>
          <w:lang w:val="en-US" w:eastAsia="zh-CN"/>
        </w:rPr>
        <w:t>4</w:t>
      </w:r>
      <w:r>
        <w:rPr>
          <w:rFonts w:hint="eastAsia" w:ascii="宋体" w:hAnsi="宋体" w:eastAsia="宋体" w:cs="宋体"/>
          <w:sz w:val="21"/>
          <w:szCs w:val="21"/>
        </w:rPr>
        <w:t>.1、兼容性要求</w:t>
      </w:r>
      <w:bookmarkEnd w:id="39"/>
      <w:bookmarkEnd w:id="40"/>
      <w:bookmarkEnd w:id="41"/>
      <w:bookmarkEnd w:id="42"/>
    </w:p>
    <w:p w14:paraId="6262FD2B">
      <w:pPr>
        <w:snapToGrid w:val="0"/>
        <w:spacing w:line="360" w:lineRule="auto"/>
        <w:ind w:firstLine="420" w:firstLineChars="200"/>
        <w:rPr>
          <w:rFonts w:hint="eastAsia" w:ascii="宋体" w:hAnsi="宋体" w:eastAsia="宋体" w:cs="宋体"/>
          <w:bCs/>
          <w:sz w:val="21"/>
          <w:szCs w:val="21"/>
        </w:rPr>
      </w:pPr>
      <w:bookmarkStart w:id="43" w:name="_Toc81934800"/>
      <w:bookmarkStart w:id="44" w:name="_Toc84604517"/>
      <w:bookmarkStart w:id="45" w:name="_Toc81487438"/>
      <w:r>
        <w:rPr>
          <w:rFonts w:hint="eastAsia" w:ascii="宋体" w:hAnsi="宋体" w:eastAsia="宋体" w:cs="宋体"/>
          <w:bCs/>
          <w:sz w:val="21"/>
          <w:szCs w:val="21"/>
        </w:rPr>
        <w:t>1、兼容南方新媒体的广东IPTV的机顶盒，需要通过南方新媒体兼容性测试。</w:t>
      </w:r>
    </w:p>
    <w:p w14:paraId="0A4BEBCB">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2、平台需支持IPV4及IPV6接入。</w:t>
      </w:r>
    </w:p>
    <w:p w14:paraId="36728DBC">
      <w:pPr>
        <w:snapToGrid w:val="0"/>
        <w:spacing w:line="360" w:lineRule="auto"/>
        <w:ind w:firstLine="420" w:firstLineChars="200"/>
        <w:rPr>
          <w:rFonts w:hint="eastAsia" w:ascii="宋体" w:hAnsi="宋体" w:eastAsia="宋体" w:cs="宋体"/>
          <w:bCs/>
          <w:sz w:val="21"/>
          <w:szCs w:val="21"/>
          <w:lang w:eastAsia="zh-CN"/>
        </w:rPr>
      </w:pPr>
      <w:r>
        <w:rPr>
          <w:rFonts w:hint="eastAsia" w:ascii="宋体" w:hAnsi="宋体" w:eastAsia="宋体" w:cs="宋体"/>
          <w:bCs/>
          <w:sz w:val="21"/>
          <w:szCs w:val="21"/>
        </w:rPr>
        <w:t>3、本期项目扩容功能需兼容平台已有功能，不能影响现有功能的使用</w:t>
      </w:r>
      <w:r>
        <w:rPr>
          <w:rFonts w:hint="eastAsia" w:ascii="宋体" w:hAnsi="宋体" w:eastAsia="宋体" w:cs="宋体"/>
          <w:bCs/>
          <w:sz w:val="21"/>
          <w:szCs w:val="21"/>
          <w:lang w:eastAsia="zh-CN"/>
        </w:rPr>
        <w:t>。</w:t>
      </w:r>
    </w:p>
    <w:p w14:paraId="13DE69EE">
      <w:pPr>
        <w:pStyle w:val="3"/>
        <w:numPr>
          <w:ilvl w:val="1"/>
          <w:numId w:val="0"/>
        </w:numPr>
        <w:spacing w:after="120" w:line="360" w:lineRule="auto"/>
        <w:rPr>
          <w:rFonts w:hint="eastAsia" w:ascii="宋体" w:hAnsi="宋体" w:eastAsia="宋体" w:cs="宋体"/>
          <w:sz w:val="21"/>
          <w:szCs w:val="21"/>
        </w:rPr>
      </w:pPr>
      <w:bookmarkStart w:id="46" w:name="_Toc6599"/>
      <w:r>
        <w:rPr>
          <w:rFonts w:hint="eastAsia" w:ascii="宋体" w:hAnsi="宋体" w:eastAsia="宋体" w:cs="宋体"/>
          <w:sz w:val="21"/>
          <w:szCs w:val="21"/>
          <w:lang w:val="en-US" w:eastAsia="zh-CN"/>
        </w:rPr>
        <w:t>4</w:t>
      </w:r>
      <w:r>
        <w:rPr>
          <w:rFonts w:hint="eastAsia" w:ascii="宋体" w:hAnsi="宋体" w:eastAsia="宋体" w:cs="宋体"/>
          <w:sz w:val="21"/>
          <w:szCs w:val="21"/>
        </w:rPr>
        <w:t>.2、性能及部署要求</w:t>
      </w:r>
      <w:bookmarkEnd w:id="43"/>
      <w:bookmarkEnd w:id="44"/>
      <w:bookmarkEnd w:id="45"/>
      <w:bookmarkEnd w:id="46"/>
    </w:p>
    <w:p w14:paraId="61C7A4BC">
      <w:pPr>
        <w:pStyle w:val="13"/>
        <w:ind w:firstLine="420"/>
        <w:jc w:val="both"/>
        <w:rPr>
          <w:rFonts w:hint="eastAsia" w:ascii="宋体" w:hAnsi="宋体" w:eastAsia="宋体" w:cs="宋体"/>
          <w:sz w:val="21"/>
          <w:szCs w:val="21"/>
          <w:lang w:eastAsia="zh-CN"/>
        </w:rPr>
      </w:pPr>
      <w:r>
        <w:rPr>
          <w:rFonts w:hint="eastAsia" w:ascii="宋体" w:hAnsi="宋体" w:eastAsia="宋体" w:cs="宋体"/>
          <w:sz w:val="21"/>
          <w:szCs w:val="21"/>
          <w:lang w:eastAsia="zh-CN"/>
        </w:rPr>
        <w:t>1、可用性：为保证用户的正常使用，中标人应保证系统可用性，保证系统月度在99.9%的时间内能够正常运作。</w:t>
      </w:r>
    </w:p>
    <w:p w14:paraId="58846329">
      <w:pPr>
        <w:pStyle w:val="13"/>
        <w:ind w:firstLine="420"/>
        <w:jc w:val="both"/>
        <w:rPr>
          <w:rFonts w:hint="eastAsia" w:ascii="宋体" w:hAnsi="宋体" w:eastAsia="宋体" w:cs="宋体"/>
          <w:sz w:val="21"/>
          <w:szCs w:val="21"/>
        </w:rPr>
      </w:pPr>
      <w:r>
        <w:rPr>
          <w:rFonts w:hint="eastAsia" w:ascii="宋体" w:hAnsi="宋体" w:eastAsia="宋体" w:cs="宋体"/>
          <w:sz w:val="21"/>
          <w:szCs w:val="21"/>
          <w:lang w:eastAsia="zh-CN"/>
        </w:rPr>
        <w:t>2、机顶盒用户访问</w:t>
      </w:r>
      <w:r>
        <w:rPr>
          <w:rFonts w:hint="eastAsia" w:ascii="宋体" w:hAnsi="宋体" w:eastAsia="宋体" w:cs="宋体"/>
          <w:sz w:val="21"/>
          <w:szCs w:val="21"/>
        </w:rPr>
        <w:t>系统性能要求：</w:t>
      </w:r>
    </w:p>
    <w:p w14:paraId="23775ADC">
      <w:pPr>
        <w:tabs>
          <w:tab w:val="left" w:pos="864"/>
          <w:tab w:val="left" w:pos="1680"/>
        </w:tabs>
        <w:spacing w:line="360" w:lineRule="auto"/>
        <w:ind w:firstLine="420" w:firstLineChars="200"/>
        <w:rPr>
          <w:rFonts w:hint="eastAsia" w:ascii="宋体" w:hAnsi="宋体" w:eastAsia="宋体" w:cs="宋体"/>
          <w:color w:val="000000"/>
          <w:kern w:val="0"/>
          <w:sz w:val="21"/>
          <w:szCs w:val="21"/>
        </w:rPr>
      </w:pPr>
      <w:r>
        <w:rPr>
          <w:rFonts w:hint="eastAsia" w:ascii="宋体" w:hAnsi="宋体" w:eastAsia="宋体" w:cs="宋体"/>
          <w:sz w:val="21"/>
          <w:szCs w:val="21"/>
        </w:rPr>
        <w:t>（1）</w:t>
      </w:r>
      <w:r>
        <w:rPr>
          <w:rFonts w:hint="eastAsia" w:ascii="宋体" w:hAnsi="宋体" w:eastAsia="宋体" w:cs="宋体"/>
          <w:color w:val="000000"/>
          <w:kern w:val="0"/>
          <w:sz w:val="21"/>
          <w:szCs w:val="21"/>
        </w:rPr>
        <w:t>系统建设后的服务能力需可支撑广东IPTV 2000万用户的服务能力。</w:t>
      </w:r>
    </w:p>
    <w:p w14:paraId="76BF8298">
      <w:pPr>
        <w:pStyle w:val="13"/>
        <w:ind w:firstLine="420"/>
        <w:jc w:val="both"/>
        <w:rPr>
          <w:rFonts w:hint="eastAsia" w:ascii="宋体" w:hAnsi="宋体" w:eastAsia="宋体" w:cs="宋体"/>
          <w:sz w:val="21"/>
          <w:szCs w:val="21"/>
          <w:lang w:eastAsia="zh-CN"/>
        </w:rPr>
      </w:pPr>
      <w:r>
        <w:rPr>
          <w:rFonts w:hint="eastAsia" w:ascii="宋体" w:hAnsi="宋体" w:eastAsia="宋体" w:cs="宋体"/>
          <w:sz w:val="21"/>
          <w:szCs w:val="21"/>
        </w:rPr>
        <w:t>（2）响应时间应满足如下要求</w:t>
      </w:r>
      <w:r>
        <w:rPr>
          <w:rFonts w:hint="eastAsia" w:ascii="宋体" w:hAnsi="宋体" w:eastAsia="宋体" w:cs="宋体"/>
          <w:sz w:val="21"/>
          <w:szCs w:val="21"/>
          <w:lang w:eastAsia="zh-CN"/>
        </w:rPr>
        <w:t>：</w:t>
      </w:r>
    </w:p>
    <w:tbl>
      <w:tblPr>
        <w:tblStyle w:val="10"/>
        <w:tblW w:w="0" w:type="auto"/>
        <w:tblInd w:w="63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26"/>
        <w:gridCol w:w="4823"/>
      </w:tblGrid>
      <w:tr w14:paraId="38DBF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rPr>
        <w:tc>
          <w:tcPr>
            <w:tcW w:w="3026" w:type="dxa"/>
          </w:tcPr>
          <w:p w14:paraId="744132B1">
            <w:pPr>
              <w:rPr>
                <w:rFonts w:hint="eastAsia" w:ascii="宋体" w:hAnsi="宋体" w:eastAsia="宋体" w:cs="宋体"/>
                <w:b/>
                <w:bCs/>
                <w:sz w:val="21"/>
                <w:szCs w:val="21"/>
              </w:rPr>
            </w:pPr>
            <w:r>
              <w:rPr>
                <w:rFonts w:hint="eastAsia" w:ascii="宋体" w:hAnsi="宋体" w:eastAsia="宋体" w:cs="宋体"/>
                <w:b/>
                <w:bCs/>
                <w:sz w:val="21"/>
                <w:szCs w:val="21"/>
              </w:rPr>
              <w:t>功能模块</w:t>
            </w:r>
          </w:p>
        </w:tc>
        <w:tc>
          <w:tcPr>
            <w:tcW w:w="4823" w:type="dxa"/>
          </w:tcPr>
          <w:p w14:paraId="7B29B5E9">
            <w:pPr>
              <w:rPr>
                <w:rFonts w:hint="eastAsia" w:ascii="宋体" w:hAnsi="宋体" w:eastAsia="宋体" w:cs="宋体"/>
                <w:b/>
                <w:bCs/>
                <w:sz w:val="21"/>
                <w:szCs w:val="21"/>
              </w:rPr>
            </w:pPr>
            <w:r>
              <w:rPr>
                <w:rFonts w:hint="eastAsia" w:ascii="宋体" w:hAnsi="宋体" w:eastAsia="宋体" w:cs="宋体"/>
                <w:b/>
                <w:bCs/>
                <w:sz w:val="21"/>
                <w:szCs w:val="21"/>
              </w:rPr>
              <w:t>平均响应时间</w:t>
            </w:r>
          </w:p>
        </w:tc>
      </w:tr>
      <w:tr w14:paraId="2BB3B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rPr>
        <w:tc>
          <w:tcPr>
            <w:tcW w:w="3026" w:type="dxa"/>
          </w:tcPr>
          <w:p w14:paraId="258B2308">
            <w:pP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应用商城EPG</w:t>
            </w:r>
          </w:p>
        </w:tc>
        <w:tc>
          <w:tcPr>
            <w:tcW w:w="4823" w:type="dxa"/>
          </w:tcPr>
          <w:p w14:paraId="3467DECB">
            <w:pPr>
              <w:rPr>
                <w:rFonts w:hint="eastAsia" w:ascii="宋体" w:hAnsi="宋体" w:eastAsia="宋体" w:cs="宋体"/>
                <w:sz w:val="21"/>
                <w:szCs w:val="21"/>
              </w:rPr>
            </w:pPr>
            <w:r>
              <w:rPr>
                <w:rFonts w:hint="eastAsia" w:ascii="宋体" w:hAnsi="宋体" w:eastAsia="宋体" w:cs="宋体"/>
                <w:sz w:val="21"/>
                <w:szCs w:val="21"/>
              </w:rPr>
              <w:t>≤500ms</w:t>
            </w:r>
          </w:p>
        </w:tc>
      </w:tr>
      <w:tr w14:paraId="62031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rPr>
        <w:tc>
          <w:tcPr>
            <w:tcW w:w="3026" w:type="dxa"/>
          </w:tcPr>
          <w:p w14:paraId="3C53E912">
            <w:pP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应用下载并发</w:t>
            </w:r>
          </w:p>
        </w:tc>
        <w:tc>
          <w:tcPr>
            <w:tcW w:w="4823" w:type="dxa"/>
          </w:tcPr>
          <w:p w14:paraId="6ACFF210">
            <w:pP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≥3000qps</w:t>
            </w:r>
          </w:p>
        </w:tc>
      </w:tr>
    </w:tbl>
    <w:p w14:paraId="2E7AEB14">
      <w:pPr>
        <w:pStyle w:val="13"/>
        <w:jc w:val="both"/>
        <w:rPr>
          <w:rFonts w:hint="eastAsia" w:ascii="宋体" w:hAnsi="宋体" w:eastAsia="宋体" w:cs="宋体"/>
          <w:sz w:val="21"/>
          <w:szCs w:val="21"/>
        </w:rPr>
      </w:pPr>
    </w:p>
    <w:p w14:paraId="5D89B81D">
      <w:pPr>
        <w:pStyle w:val="13"/>
        <w:jc w:val="both"/>
        <w:rPr>
          <w:rFonts w:hint="eastAsia" w:ascii="宋体" w:hAnsi="宋体" w:eastAsia="宋体" w:cs="宋体"/>
          <w:sz w:val="21"/>
          <w:szCs w:val="21"/>
        </w:rPr>
      </w:pPr>
    </w:p>
    <w:p w14:paraId="196AF45F">
      <w:pPr>
        <w:pStyle w:val="13"/>
        <w:ind w:firstLine="420"/>
        <w:jc w:val="both"/>
        <w:rPr>
          <w:rFonts w:hint="eastAsia" w:ascii="宋体" w:hAnsi="宋体" w:eastAsia="宋体" w:cs="宋体"/>
          <w:sz w:val="21"/>
          <w:szCs w:val="21"/>
        </w:rPr>
      </w:pPr>
      <w:r>
        <w:rPr>
          <w:rFonts w:hint="eastAsia" w:ascii="宋体" w:hAnsi="宋体" w:eastAsia="宋体" w:cs="宋体"/>
          <w:sz w:val="21"/>
          <w:szCs w:val="21"/>
          <w:lang w:eastAsia="zh-CN"/>
        </w:rPr>
        <w:t>3、</w:t>
      </w:r>
      <w:r>
        <w:rPr>
          <w:rFonts w:hint="eastAsia" w:ascii="宋体" w:hAnsi="宋体" w:eastAsia="宋体" w:cs="宋体"/>
          <w:sz w:val="21"/>
          <w:szCs w:val="21"/>
        </w:rPr>
        <w:t>后台管理系统性能要求：</w:t>
      </w:r>
    </w:p>
    <w:p w14:paraId="5FDDBADC">
      <w:pPr>
        <w:pStyle w:val="13"/>
        <w:ind w:firstLine="420"/>
        <w:jc w:val="both"/>
        <w:rPr>
          <w:rFonts w:hint="eastAsia" w:ascii="宋体" w:hAnsi="宋体" w:eastAsia="宋体" w:cs="宋体"/>
          <w:sz w:val="21"/>
          <w:szCs w:val="21"/>
        </w:rPr>
      </w:pPr>
      <w:r>
        <w:rPr>
          <w:rFonts w:hint="eastAsia" w:ascii="宋体" w:hAnsi="宋体" w:eastAsia="宋体" w:cs="宋体"/>
          <w:sz w:val="21"/>
          <w:szCs w:val="21"/>
        </w:rPr>
        <w:t>（1）</w:t>
      </w:r>
      <w:r>
        <w:rPr>
          <w:rFonts w:hint="eastAsia" w:ascii="宋体" w:hAnsi="宋体" w:eastAsia="宋体" w:cs="宋体"/>
          <w:sz w:val="21"/>
          <w:szCs w:val="21"/>
          <w:lang w:eastAsia="zh-CN"/>
        </w:rPr>
        <w:t>同时</w:t>
      </w:r>
      <w:r>
        <w:rPr>
          <w:rFonts w:hint="eastAsia" w:ascii="宋体" w:hAnsi="宋体" w:eastAsia="宋体" w:cs="宋体"/>
          <w:sz w:val="21"/>
          <w:szCs w:val="21"/>
        </w:rPr>
        <w:t>在线用户数量≥</w:t>
      </w:r>
      <w:r>
        <w:rPr>
          <w:rFonts w:hint="eastAsia" w:ascii="宋体" w:hAnsi="宋体" w:eastAsia="宋体" w:cs="宋体"/>
          <w:sz w:val="21"/>
          <w:szCs w:val="21"/>
          <w:lang w:eastAsia="zh-CN"/>
        </w:rPr>
        <w:t>50</w:t>
      </w:r>
      <w:r>
        <w:rPr>
          <w:rFonts w:hint="eastAsia" w:ascii="宋体" w:hAnsi="宋体" w:eastAsia="宋体" w:cs="宋体"/>
          <w:sz w:val="21"/>
          <w:szCs w:val="21"/>
        </w:rPr>
        <w:t>；</w:t>
      </w:r>
    </w:p>
    <w:p w14:paraId="67BAE337">
      <w:pPr>
        <w:pStyle w:val="13"/>
        <w:ind w:firstLine="420"/>
        <w:jc w:val="both"/>
        <w:rPr>
          <w:rFonts w:hint="eastAsia" w:ascii="宋体" w:hAnsi="宋体" w:eastAsia="宋体" w:cs="宋体"/>
          <w:sz w:val="21"/>
          <w:szCs w:val="21"/>
        </w:rPr>
      </w:pPr>
      <w:r>
        <w:rPr>
          <w:rFonts w:hint="eastAsia" w:ascii="宋体" w:hAnsi="宋体" w:eastAsia="宋体" w:cs="宋体"/>
          <w:sz w:val="21"/>
          <w:szCs w:val="21"/>
        </w:rPr>
        <w:t>（2）简单查询页面平均时间≤</w:t>
      </w:r>
      <w:r>
        <w:rPr>
          <w:rFonts w:hint="eastAsia" w:ascii="宋体" w:hAnsi="宋体" w:eastAsia="宋体" w:cs="宋体"/>
          <w:sz w:val="21"/>
          <w:szCs w:val="21"/>
          <w:lang w:eastAsia="zh-CN"/>
        </w:rPr>
        <w:t>1</w:t>
      </w:r>
      <w:r>
        <w:rPr>
          <w:rFonts w:hint="eastAsia" w:ascii="宋体" w:hAnsi="宋体" w:eastAsia="宋体" w:cs="宋体"/>
          <w:sz w:val="21"/>
          <w:szCs w:val="21"/>
        </w:rPr>
        <w:t>秒，复杂查询和报表页面≤</w:t>
      </w:r>
      <w:r>
        <w:rPr>
          <w:rFonts w:hint="eastAsia" w:ascii="宋体" w:hAnsi="宋体" w:eastAsia="宋体" w:cs="宋体"/>
          <w:sz w:val="21"/>
          <w:szCs w:val="21"/>
          <w:lang w:eastAsia="zh-CN"/>
        </w:rPr>
        <w:t>3</w:t>
      </w:r>
      <w:r>
        <w:rPr>
          <w:rFonts w:hint="eastAsia" w:ascii="宋体" w:hAnsi="宋体" w:eastAsia="宋体" w:cs="宋体"/>
          <w:sz w:val="21"/>
          <w:szCs w:val="21"/>
        </w:rPr>
        <w:t>秒。</w:t>
      </w:r>
    </w:p>
    <w:p w14:paraId="126881B0">
      <w:pPr>
        <w:pStyle w:val="13"/>
        <w:ind w:firstLine="420"/>
        <w:jc w:val="both"/>
        <w:rPr>
          <w:rFonts w:hint="eastAsia" w:ascii="宋体" w:hAnsi="宋体" w:eastAsia="宋体" w:cs="宋体"/>
          <w:sz w:val="21"/>
          <w:szCs w:val="21"/>
        </w:rPr>
      </w:pPr>
      <w:r>
        <w:rPr>
          <w:rFonts w:hint="eastAsia" w:ascii="宋体" w:hAnsi="宋体" w:eastAsia="宋体" w:cs="宋体"/>
          <w:sz w:val="21"/>
          <w:szCs w:val="21"/>
        </w:rPr>
        <w:t>注：简单页面查询是指涉及单个条件的严格匹配查询；复杂页面查询是指涉及多个条件，或者使用模糊匹配的查询及统计。</w:t>
      </w:r>
    </w:p>
    <w:p w14:paraId="3695611D">
      <w:pPr>
        <w:pStyle w:val="3"/>
        <w:numPr>
          <w:ilvl w:val="1"/>
          <w:numId w:val="0"/>
        </w:numPr>
        <w:spacing w:after="120" w:line="360" w:lineRule="auto"/>
        <w:rPr>
          <w:rFonts w:hint="eastAsia" w:ascii="宋体" w:hAnsi="宋体" w:eastAsia="宋体" w:cs="宋体"/>
          <w:sz w:val="21"/>
          <w:szCs w:val="21"/>
        </w:rPr>
      </w:pPr>
      <w:bookmarkStart w:id="47" w:name="_Toc79422084"/>
      <w:bookmarkStart w:id="48" w:name="_Toc138666592"/>
      <w:bookmarkStart w:id="49" w:name="_Toc84604515"/>
      <w:bookmarkStart w:id="50" w:name="_Toc225170334"/>
      <w:r>
        <w:rPr>
          <w:rFonts w:hint="eastAsia" w:ascii="宋体" w:hAnsi="宋体" w:eastAsia="宋体" w:cs="宋体"/>
          <w:sz w:val="21"/>
          <w:szCs w:val="21"/>
          <w:lang w:val="en-US" w:eastAsia="zh-CN"/>
        </w:rPr>
        <w:t>4</w:t>
      </w:r>
      <w:r>
        <w:rPr>
          <w:rFonts w:hint="eastAsia" w:ascii="宋体" w:hAnsi="宋体" w:eastAsia="宋体" w:cs="宋体"/>
          <w:sz w:val="21"/>
          <w:szCs w:val="21"/>
        </w:rPr>
        <w:t>.4技术指标及服务要求</w:t>
      </w:r>
      <w:bookmarkEnd w:id="47"/>
      <w:bookmarkEnd w:id="48"/>
      <w:bookmarkEnd w:id="49"/>
      <w:bookmarkEnd w:id="50"/>
    </w:p>
    <w:p w14:paraId="1B7B2108">
      <w:pPr>
        <w:rPr>
          <w:rFonts w:hint="eastAsia" w:ascii="宋体" w:hAnsi="宋体" w:eastAsia="宋体" w:cs="宋体"/>
          <w:sz w:val="21"/>
          <w:szCs w:val="21"/>
        </w:rPr>
      </w:pPr>
    </w:p>
    <w:p w14:paraId="69C59110">
      <w:pPr>
        <w:adjustRightInd w:val="0"/>
        <w:snapToGrid w:val="0"/>
        <w:spacing w:after="120" w:line="300" w:lineRule="auto"/>
        <w:outlineLvl w:val="2"/>
        <w:rPr>
          <w:rFonts w:hint="eastAsia" w:ascii="宋体" w:hAnsi="宋体" w:eastAsia="宋体" w:cs="宋体"/>
          <w:b/>
          <w:sz w:val="21"/>
          <w:szCs w:val="21"/>
        </w:rPr>
      </w:pPr>
      <w:bookmarkStart w:id="51" w:name="_Toc138666593"/>
      <w:bookmarkStart w:id="52" w:name="_Toc225170335"/>
      <w:r>
        <w:rPr>
          <w:rFonts w:hint="eastAsia" w:ascii="宋体" w:hAnsi="宋体" w:eastAsia="宋体" w:cs="宋体"/>
          <w:b/>
          <w:sz w:val="21"/>
          <w:szCs w:val="21"/>
          <w:lang w:val="en-US" w:eastAsia="zh-CN"/>
        </w:rPr>
        <w:t>4</w:t>
      </w:r>
      <w:r>
        <w:rPr>
          <w:rFonts w:hint="eastAsia" w:ascii="宋体" w:hAnsi="宋体" w:eastAsia="宋体" w:cs="宋体"/>
          <w:b/>
          <w:sz w:val="21"/>
          <w:szCs w:val="21"/>
        </w:rPr>
        <w:t>.4.1性能指标要求</w:t>
      </w:r>
      <w:bookmarkEnd w:id="51"/>
      <w:bookmarkEnd w:id="52"/>
    </w:p>
    <w:p w14:paraId="684BEDD2">
      <w:pPr>
        <w:pStyle w:val="14"/>
        <w:ind w:firstLine="420"/>
        <w:rPr>
          <w:rFonts w:hint="eastAsia" w:ascii="宋体" w:hAnsi="宋体" w:eastAsia="宋体" w:cs="宋体"/>
          <w:sz w:val="21"/>
          <w:szCs w:val="21"/>
        </w:rPr>
      </w:pPr>
      <w:r>
        <w:rPr>
          <w:rFonts w:hint="eastAsia" w:ascii="宋体" w:hAnsi="宋体" w:eastAsia="宋体" w:cs="宋体"/>
          <w:sz w:val="21"/>
          <w:szCs w:val="21"/>
        </w:rPr>
        <w:t>系统可以模向扩容、集群化部署，可以根据业务重要级别进行多机房部署，支持机房多活、冗余的部署模式。</w:t>
      </w:r>
    </w:p>
    <w:p w14:paraId="28166188">
      <w:pPr>
        <w:adjustRightInd w:val="0"/>
        <w:snapToGrid w:val="0"/>
        <w:spacing w:after="120" w:line="300" w:lineRule="auto"/>
        <w:outlineLvl w:val="2"/>
        <w:rPr>
          <w:rFonts w:hint="eastAsia" w:ascii="宋体" w:hAnsi="宋体" w:eastAsia="宋体" w:cs="宋体"/>
          <w:b/>
          <w:sz w:val="21"/>
          <w:szCs w:val="21"/>
        </w:rPr>
      </w:pPr>
      <w:bookmarkStart w:id="53" w:name="_Toc81934801"/>
      <w:bookmarkStart w:id="54" w:name="_Toc84604518"/>
      <w:bookmarkStart w:id="55" w:name="_Toc138666595"/>
      <w:bookmarkStart w:id="56" w:name="_Toc225170336"/>
      <w:bookmarkStart w:id="57" w:name="_Toc81487439"/>
      <w:r>
        <w:rPr>
          <w:rFonts w:hint="eastAsia" w:ascii="宋体" w:hAnsi="宋体" w:eastAsia="宋体" w:cs="宋体"/>
          <w:b/>
          <w:sz w:val="21"/>
          <w:szCs w:val="21"/>
          <w:lang w:val="en-US" w:eastAsia="zh-CN"/>
        </w:rPr>
        <w:t>4</w:t>
      </w:r>
      <w:r>
        <w:rPr>
          <w:rFonts w:hint="eastAsia" w:ascii="宋体" w:hAnsi="宋体" w:eastAsia="宋体" w:cs="宋体"/>
          <w:b/>
          <w:sz w:val="21"/>
          <w:szCs w:val="21"/>
        </w:rPr>
        <w:t>.4.2 系统完备性要求</w:t>
      </w:r>
      <w:bookmarkEnd w:id="53"/>
      <w:bookmarkEnd w:id="54"/>
      <w:bookmarkEnd w:id="55"/>
      <w:bookmarkEnd w:id="56"/>
      <w:bookmarkEnd w:id="57"/>
    </w:p>
    <w:p w14:paraId="6EE988C8">
      <w:pPr>
        <w:pStyle w:val="15"/>
        <w:numPr>
          <w:ilvl w:val="0"/>
          <w:numId w:val="127"/>
        </w:numPr>
        <w:spacing w:line="360" w:lineRule="auto"/>
        <w:ind w:firstLineChars="0"/>
        <w:rPr>
          <w:rFonts w:hint="eastAsia" w:ascii="宋体" w:hAnsi="宋体" w:eastAsia="宋体" w:cs="宋体"/>
          <w:bCs/>
          <w:sz w:val="21"/>
          <w:szCs w:val="21"/>
        </w:rPr>
      </w:pPr>
      <w:bookmarkStart w:id="58" w:name="_Toc81487440"/>
      <w:bookmarkStart w:id="59" w:name="_Toc81934802"/>
      <w:r>
        <w:rPr>
          <w:rFonts w:hint="eastAsia" w:ascii="宋体" w:hAnsi="宋体" w:eastAsia="宋体" w:cs="宋体"/>
          <w:bCs/>
          <w:sz w:val="21"/>
          <w:szCs w:val="21"/>
        </w:rPr>
        <w:t>系统应提供有效的安全保密措施，确保系统和数据资源的安全，防止对系统资源的非法侵入。</w:t>
      </w:r>
    </w:p>
    <w:p w14:paraId="46AC36C4">
      <w:pPr>
        <w:pStyle w:val="15"/>
        <w:numPr>
          <w:ilvl w:val="0"/>
          <w:numId w:val="127"/>
        </w:numPr>
        <w:spacing w:line="360" w:lineRule="auto"/>
        <w:ind w:firstLineChars="0"/>
        <w:rPr>
          <w:rFonts w:hint="eastAsia" w:ascii="宋体" w:hAnsi="宋体" w:eastAsia="宋体" w:cs="宋体"/>
          <w:bCs/>
          <w:sz w:val="21"/>
          <w:szCs w:val="21"/>
        </w:rPr>
      </w:pPr>
      <w:r>
        <w:rPr>
          <w:rFonts w:hint="eastAsia" w:ascii="宋体" w:hAnsi="宋体" w:eastAsia="宋体" w:cs="宋体"/>
          <w:bCs/>
          <w:sz w:val="21"/>
          <w:szCs w:val="21"/>
        </w:rPr>
        <w:t>系统必须提供联机的数据备份能力，关键数据的传输必须支持采用可靠的加密方式，保证关键数据的完整性与安全性。</w:t>
      </w:r>
    </w:p>
    <w:p w14:paraId="5E62AC4F">
      <w:pPr>
        <w:pStyle w:val="15"/>
        <w:numPr>
          <w:ilvl w:val="0"/>
          <w:numId w:val="127"/>
        </w:numPr>
        <w:spacing w:line="360" w:lineRule="auto"/>
        <w:ind w:firstLineChars="0"/>
        <w:rPr>
          <w:rFonts w:hint="eastAsia" w:ascii="宋体" w:hAnsi="宋体" w:eastAsia="宋体" w:cs="宋体"/>
          <w:bCs/>
          <w:sz w:val="21"/>
          <w:szCs w:val="21"/>
        </w:rPr>
      </w:pPr>
      <w:r>
        <w:rPr>
          <w:rFonts w:hint="eastAsia" w:ascii="宋体" w:hAnsi="宋体" w:eastAsia="宋体" w:cs="宋体"/>
          <w:bCs/>
          <w:sz w:val="21"/>
          <w:szCs w:val="21"/>
        </w:rPr>
        <w:t>不同的操作员具有不同的数据访问权限和功能操作权限，系统管理员应能对各操作员的权限进行配置和管理。</w:t>
      </w:r>
    </w:p>
    <w:p w14:paraId="7B1B923A">
      <w:pPr>
        <w:pStyle w:val="14"/>
        <w:numPr>
          <w:ilvl w:val="0"/>
          <w:numId w:val="127"/>
        </w:numPr>
        <w:ind w:firstLineChars="0"/>
        <w:rPr>
          <w:rFonts w:hint="eastAsia" w:ascii="宋体" w:hAnsi="宋体" w:eastAsia="宋体" w:cs="宋体"/>
          <w:bCs/>
          <w:sz w:val="21"/>
          <w:szCs w:val="21"/>
        </w:rPr>
      </w:pPr>
      <w:r>
        <w:rPr>
          <w:rFonts w:hint="eastAsia" w:ascii="宋体" w:hAnsi="宋体" w:eastAsia="宋体" w:cs="宋体"/>
          <w:bCs/>
          <w:sz w:val="21"/>
          <w:szCs w:val="21"/>
        </w:rPr>
        <w:t>系统在运行过程中所发生的任何错误都应该有明确的错误编号，并能在系统的相应维护手册中查到错误的处理方法与步骤。</w:t>
      </w:r>
    </w:p>
    <w:p w14:paraId="6C4F99A8">
      <w:pPr>
        <w:pStyle w:val="15"/>
        <w:numPr>
          <w:ilvl w:val="0"/>
          <w:numId w:val="127"/>
        </w:numPr>
        <w:spacing w:line="360" w:lineRule="auto"/>
        <w:ind w:firstLineChars="0"/>
        <w:rPr>
          <w:rFonts w:hint="eastAsia" w:ascii="宋体" w:hAnsi="宋体" w:eastAsia="宋体" w:cs="宋体"/>
          <w:bCs/>
          <w:sz w:val="21"/>
          <w:szCs w:val="21"/>
        </w:rPr>
      </w:pPr>
      <w:r>
        <w:rPr>
          <w:rFonts w:hint="eastAsia" w:ascii="宋体" w:hAnsi="宋体" w:eastAsia="宋体" w:cs="宋体"/>
          <w:bCs/>
          <w:sz w:val="21"/>
          <w:szCs w:val="21"/>
        </w:rPr>
        <w:t>系统必须支持对系统运行所必须的用户名与密码周期性更改的要求，符合等保等相关规范要求。</w:t>
      </w:r>
    </w:p>
    <w:p w14:paraId="58D1AFA2">
      <w:pPr>
        <w:pStyle w:val="15"/>
        <w:numPr>
          <w:ilvl w:val="0"/>
          <w:numId w:val="127"/>
        </w:numPr>
        <w:spacing w:line="360" w:lineRule="auto"/>
        <w:ind w:firstLineChars="0"/>
        <w:rPr>
          <w:rFonts w:hint="eastAsia" w:ascii="宋体" w:hAnsi="宋体" w:eastAsia="宋体" w:cs="宋体"/>
          <w:bCs/>
          <w:sz w:val="21"/>
          <w:szCs w:val="21"/>
        </w:rPr>
      </w:pPr>
      <w:r>
        <w:rPr>
          <w:rFonts w:hint="eastAsia" w:ascii="宋体" w:hAnsi="宋体" w:eastAsia="宋体" w:cs="宋体"/>
          <w:bCs/>
          <w:sz w:val="21"/>
          <w:szCs w:val="21"/>
        </w:rPr>
        <w:t>有关操作员对于系统的所有的业务操作，系统都能以明细操作日志的方式全部记录，并为系统管理员提供操作记录的查询和审计功能。</w:t>
      </w:r>
      <w:bookmarkEnd w:id="58"/>
      <w:bookmarkEnd w:id="59"/>
      <w:r>
        <w:rPr>
          <w:rFonts w:hint="eastAsia" w:ascii="宋体" w:hAnsi="宋体" w:eastAsia="宋体" w:cs="宋体"/>
          <w:bCs/>
          <w:sz w:val="21"/>
          <w:szCs w:val="21"/>
        </w:rPr>
        <w:t>系统需要提供重要日志的创建、添加、清除等功能，并提供多种方式帮助管理员方便地浏览和检索日志信息。系统中的各设备都需建立自己的日志文件，支持定期传递给上级网管系统的日志管理。</w:t>
      </w:r>
    </w:p>
    <w:p w14:paraId="2AE58A97">
      <w:pPr>
        <w:adjustRightInd w:val="0"/>
        <w:snapToGrid w:val="0"/>
        <w:spacing w:after="120" w:line="300" w:lineRule="auto"/>
        <w:outlineLvl w:val="2"/>
        <w:rPr>
          <w:rFonts w:hint="eastAsia" w:ascii="宋体" w:hAnsi="宋体" w:eastAsia="宋体" w:cs="宋体"/>
          <w:b/>
          <w:sz w:val="21"/>
          <w:szCs w:val="21"/>
        </w:rPr>
      </w:pPr>
      <w:bookmarkStart w:id="60" w:name="_Toc138666596"/>
      <w:bookmarkStart w:id="61" w:name="_Toc225170337"/>
      <w:r>
        <w:rPr>
          <w:rFonts w:hint="eastAsia" w:ascii="宋体" w:hAnsi="宋体" w:eastAsia="宋体" w:cs="宋体"/>
          <w:b/>
          <w:sz w:val="21"/>
          <w:szCs w:val="21"/>
          <w:lang w:val="en-US" w:eastAsia="zh-CN"/>
        </w:rPr>
        <w:t>4</w:t>
      </w:r>
      <w:r>
        <w:rPr>
          <w:rFonts w:hint="eastAsia" w:ascii="宋体" w:hAnsi="宋体" w:eastAsia="宋体" w:cs="宋体"/>
          <w:b/>
          <w:sz w:val="21"/>
          <w:szCs w:val="21"/>
        </w:rPr>
        <w:t>.4.3 安全要求</w:t>
      </w:r>
      <w:bookmarkEnd w:id="60"/>
      <w:bookmarkEnd w:id="61"/>
    </w:p>
    <w:p w14:paraId="69F37D89">
      <w:pPr>
        <w:pStyle w:val="5"/>
        <w:spacing w:after="120" w:line="360" w:lineRule="auto"/>
        <w:rPr>
          <w:rFonts w:hint="eastAsia" w:ascii="宋体" w:hAnsi="宋体" w:eastAsia="宋体" w:cs="宋体"/>
          <w:sz w:val="21"/>
          <w:szCs w:val="21"/>
        </w:rPr>
      </w:pPr>
      <w:r>
        <w:rPr>
          <w:rFonts w:hint="eastAsia" w:ascii="宋体" w:hAnsi="宋体" w:eastAsia="宋体" w:cs="宋体"/>
          <w:sz w:val="21"/>
          <w:szCs w:val="21"/>
        </w:rPr>
        <w:t>1、所投系统需符合相关信息安全规范标准、需符合用户隐私保护相关法律法规、需确保数据处理安全、用户隐私可控、需符合国家等保三级或以上的要求，需服从国家、监管单位及招标人关于系统播出安全、信息安全、节目内容安全等方面的管理要求。中标人需配合招标人对所投系统进行等保三级评测或以上的整改工作，需定期对存在的安全漏洞进行整改及修复、对系统的安全基线进行优化加固，包含不限于操作系统、数据库、中间件、软件系统等。在质保期内需持续保证系统的安全和稳定。</w:t>
      </w:r>
    </w:p>
    <w:p w14:paraId="51F0EF8D">
      <w:pPr>
        <w:pStyle w:val="13"/>
        <w:ind w:firstLine="420"/>
        <w:jc w:val="both"/>
        <w:rPr>
          <w:rFonts w:hint="eastAsia" w:ascii="宋体" w:hAnsi="宋体" w:eastAsia="宋体" w:cs="宋体"/>
          <w:color w:val="000000"/>
          <w:sz w:val="21"/>
          <w:szCs w:val="21"/>
          <w:lang w:eastAsia="zh-CN"/>
        </w:rPr>
      </w:pPr>
      <w:r>
        <w:rPr>
          <w:rFonts w:hint="eastAsia" w:ascii="宋体" w:hAnsi="宋体" w:eastAsia="宋体" w:cs="宋体"/>
          <w:sz w:val="21"/>
          <w:szCs w:val="21"/>
          <w:lang w:eastAsia="zh-CN"/>
        </w:rPr>
        <w:t>2、</w:t>
      </w:r>
      <w:r>
        <w:rPr>
          <w:rFonts w:hint="eastAsia" w:ascii="宋体" w:hAnsi="宋体" w:eastAsia="宋体" w:cs="宋体"/>
          <w:sz w:val="21"/>
          <w:szCs w:val="21"/>
        </w:rPr>
        <w:t>中标人需严格落实数据安全保护相关要求，保障数据安全。</w:t>
      </w:r>
    </w:p>
    <w:p w14:paraId="01A34667">
      <w:pPr>
        <w:spacing w:line="360" w:lineRule="auto"/>
        <w:ind w:firstLine="420"/>
        <w:rPr>
          <w:rFonts w:hint="eastAsia" w:ascii="宋体" w:hAnsi="宋体" w:eastAsia="宋体" w:cs="宋体"/>
          <w:sz w:val="21"/>
          <w:szCs w:val="21"/>
        </w:rPr>
      </w:pPr>
      <w:r>
        <w:rPr>
          <w:rFonts w:hint="eastAsia" w:ascii="宋体" w:hAnsi="宋体" w:eastAsia="宋体" w:cs="宋体"/>
          <w:sz w:val="21"/>
          <w:szCs w:val="21"/>
        </w:rPr>
        <w:t>3、数据库应定期备份，敏感数据需要加密存储、传输，用户页面要脱敏展示。</w:t>
      </w:r>
    </w:p>
    <w:p w14:paraId="2F281327">
      <w:pPr>
        <w:spacing w:line="360" w:lineRule="auto"/>
        <w:ind w:firstLine="420"/>
        <w:rPr>
          <w:rFonts w:hint="eastAsia" w:ascii="宋体" w:hAnsi="宋体" w:eastAsia="宋体" w:cs="宋体"/>
          <w:sz w:val="21"/>
          <w:szCs w:val="21"/>
        </w:rPr>
      </w:pPr>
      <w:r>
        <w:rPr>
          <w:rFonts w:hint="eastAsia" w:ascii="宋体" w:hAnsi="宋体" w:eastAsia="宋体" w:cs="宋体"/>
          <w:sz w:val="21"/>
          <w:szCs w:val="21"/>
        </w:rPr>
        <w:t>4、按照国家规定，该项目如未通过国家网络安全审查，则该项目合同失效，中标人要退回招标人已支付的合同款且剩余合同金额不再支付。</w:t>
      </w:r>
    </w:p>
    <w:p w14:paraId="062E1258">
      <w:pPr>
        <w:adjustRightInd w:val="0"/>
        <w:snapToGrid w:val="0"/>
        <w:spacing w:after="120" w:line="300" w:lineRule="auto"/>
        <w:outlineLvl w:val="2"/>
        <w:rPr>
          <w:rFonts w:hint="eastAsia" w:ascii="宋体" w:hAnsi="宋体" w:eastAsia="宋体" w:cs="宋体"/>
          <w:b/>
          <w:sz w:val="21"/>
          <w:szCs w:val="21"/>
        </w:rPr>
      </w:pPr>
      <w:bookmarkStart w:id="62" w:name="_Toc225170339"/>
      <w:r>
        <w:rPr>
          <w:rFonts w:hint="eastAsia" w:ascii="宋体" w:hAnsi="宋体" w:eastAsia="宋体" w:cs="宋体"/>
          <w:b/>
          <w:sz w:val="21"/>
          <w:szCs w:val="21"/>
          <w:lang w:val="en-US" w:eastAsia="zh-CN"/>
        </w:rPr>
        <w:t>4</w:t>
      </w:r>
      <w:r>
        <w:rPr>
          <w:rFonts w:hint="eastAsia" w:ascii="宋体" w:hAnsi="宋体" w:eastAsia="宋体" w:cs="宋体"/>
          <w:b/>
          <w:sz w:val="21"/>
          <w:szCs w:val="21"/>
        </w:rPr>
        <w:t>.4.4 系统维护要求</w:t>
      </w:r>
      <w:bookmarkEnd w:id="62"/>
    </w:p>
    <w:p w14:paraId="5B929DC3">
      <w:pPr>
        <w:pStyle w:val="15"/>
        <w:numPr>
          <w:ilvl w:val="0"/>
          <w:numId w:val="128"/>
        </w:numPr>
        <w:spacing w:line="360" w:lineRule="auto"/>
        <w:ind w:firstLineChars="0"/>
        <w:rPr>
          <w:rFonts w:hint="eastAsia" w:ascii="宋体" w:hAnsi="宋体" w:eastAsia="宋体" w:cs="宋体"/>
          <w:sz w:val="21"/>
          <w:szCs w:val="21"/>
        </w:rPr>
      </w:pPr>
      <w:r>
        <w:rPr>
          <w:rFonts w:hint="eastAsia" w:ascii="宋体" w:hAnsi="宋体" w:eastAsia="宋体" w:cs="宋体"/>
          <w:sz w:val="21"/>
          <w:szCs w:val="21"/>
        </w:rPr>
        <w:t>定期备份和恢复：定期对服务器、数据库和关键数据进行备份，并且制定恢复策略，确保数据的完整性和可用性。</w:t>
      </w:r>
    </w:p>
    <w:p w14:paraId="74B1BBBB">
      <w:pPr>
        <w:pStyle w:val="15"/>
        <w:numPr>
          <w:ilvl w:val="0"/>
          <w:numId w:val="128"/>
        </w:numPr>
        <w:spacing w:line="360" w:lineRule="auto"/>
        <w:ind w:firstLineChars="0"/>
        <w:rPr>
          <w:rFonts w:hint="eastAsia" w:ascii="宋体" w:hAnsi="宋体" w:eastAsia="宋体" w:cs="宋体"/>
          <w:sz w:val="21"/>
          <w:szCs w:val="21"/>
        </w:rPr>
      </w:pPr>
      <w:r>
        <w:rPr>
          <w:rFonts w:hint="eastAsia" w:ascii="宋体" w:hAnsi="宋体" w:eastAsia="宋体" w:cs="宋体"/>
          <w:sz w:val="21"/>
          <w:szCs w:val="21"/>
        </w:rPr>
        <w:t>异常处理和故障排除：对于系统异常、故障或其他问题，及时响应并进行有效的排查和修复，确保系统的可用性和稳定性。</w:t>
      </w:r>
    </w:p>
    <w:p w14:paraId="7437962B">
      <w:pPr>
        <w:pStyle w:val="15"/>
        <w:numPr>
          <w:ilvl w:val="0"/>
          <w:numId w:val="128"/>
        </w:numPr>
        <w:spacing w:line="360" w:lineRule="auto"/>
        <w:ind w:firstLineChars="0"/>
        <w:rPr>
          <w:rFonts w:hint="eastAsia" w:ascii="宋体" w:hAnsi="宋体" w:eastAsia="宋体" w:cs="宋体"/>
          <w:sz w:val="21"/>
          <w:szCs w:val="21"/>
        </w:rPr>
      </w:pPr>
      <w:r>
        <w:rPr>
          <w:rFonts w:hint="eastAsia" w:ascii="宋体" w:hAnsi="宋体" w:eastAsia="宋体" w:cs="宋体"/>
          <w:sz w:val="21"/>
          <w:szCs w:val="21"/>
        </w:rPr>
        <w:t>安全防护和漏洞修复：通过定期进行安全漏洞扫描和修复，保障系统的安全性，减少潜在风险。</w:t>
      </w:r>
    </w:p>
    <w:p w14:paraId="35EA48D8">
      <w:pPr>
        <w:pStyle w:val="15"/>
        <w:numPr>
          <w:ilvl w:val="0"/>
          <w:numId w:val="128"/>
        </w:numPr>
        <w:spacing w:line="360" w:lineRule="auto"/>
        <w:ind w:firstLineChars="0"/>
        <w:rPr>
          <w:rFonts w:hint="eastAsia" w:ascii="宋体" w:hAnsi="宋体" w:eastAsia="宋体" w:cs="宋体"/>
          <w:sz w:val="21"/>
          <w:szCs w:val="21"/>
        </w:rPr>
      </w:pPr>
      <w:r>
        <w:rPr>
          <w:rFonts w:hint="eastAsia" w:ascii="宋体" w:hAnsi="宋体" w:eastAsia="宋体" w:cs="宋体"/>
          <w:sz w:val="21"/>
          <w:szCs w:val="21"/>
        </w:rPr>
        <w:t>性能优化和资源管理：监控系统的性能指标，及时进行性能优化和资源调整，提高系统的响应速度和用户体验。</w:t>
      </w:r>
    </w:p>
    <w:p w14:paraId="2BDE9720">
      <w:pPr>
        <w:pStyle w:val="15"/>
        <w:numPr>
          <w:ilvl w:val="0"/>
          <w:numId w:val="128"/>
        </w:numPr>
        <w:spacing w:line="360" w:lineRule="auto"/>
        <w:ind w:firstLineChars="0"/>
        <w:rPr>
          <w:rFonts w:hint="eastAsia" w:ascii="宋体" w:hAnsi="宋体" w:eastAsia="宋体" w:cs="宋体"/>
          <w:sz w:val="21"/>
          <w:szCs w:val="21"/>
        </w:rPr>
      </w:pPr>
      <w:r>
        <w:rPr>
          <w:rFonts w:hint="eastAsia" w:ascii="宋体" w:hAnsi="宋体" w:eastAsia="宋体" w:cs="宋体"/>
          <w:sz w:val="21"/>
          <w:szCs w:val="21"/>
        </w:rPr>
        <w:t>紧急响应机制：建立紧急响应机制，对重要事件和故障进行及时响应和处置，减少对业务的影响。</w:t>
      </w:r>
    </w:p>
    <w:p w14:paraId="6909FBE6">
      <w:pPr>
        <w:pStyle w:val="15"/>
        <w:numPr>
          <w:ilvl w:val="0"/>
          <w:numId w:val="128"/>
        </w:numPr>
        <w:spacing w:line="360" w:lineRule="auto"/>
        <w:ind w:firstLineChars="0"/>
        <w:rPr>
          <w:rFonts w:hint="eastAsia" w:ascii="宋体" w:hAnsi="宋体" w:eastAsia="宋体" w:cs="宋体"/>
          <w:sz w:val="21"/>
          <w:szCs w:val="21"/>
        </w:rPr>
      </w:pPr>
      <w:r>
        <w:rPr>
          <w:rFonts w:hint="eastAsia" w:ascii="宋体" w:hAnsi="宋体" w:eastAsia="宋体" w:cs="宋体"/>
          <w:sz w:val="21"/>
          <w:szCs w:val="21"/>
        </w:rPr>
        <w:t>定期评估和优化：定期评估运维服务的质量和效果，并根据评估结果进行优化和改进，提供更好的服务质量。</w:t>
      </w:r>
    </w:p>
    <w:p w14:paraId="5CF8C2DB">
      <w:pPr>
        <w:pStyle w:val="15"/>
        <w:numPr>
          <w:ilvl w:val="0"/>
          <w:numId w:val="128"/>
        </w:numPr>
        <w:spacing w:line="360" w:lineRule="auto"/>
        <w:ind w:firstLineChars="0"/>
        <w:rPr>
          <w:rFonts w:hint="eastAsia" w:ascii="宋体" w:hAnsi="宋体" w:eastAsia="宋体" w:cs="宋体"/>
          <w:sz w:val="21"/>
          <w:szCs w:val="21"/>
        </w:rPr>
      </w:pPr>
      <w:r>
        <w:rPr>
          <w:rFonts w:hint="eastAsia" w:ascii="宋体" w:hAnsi="宋体" w:eastAsia="宋体" w:cs="宋体"/>
          <w:sz w:val="21"/>
          <w:szCs w:val="21"/>
        </w:rPr>
        <w:t>环境变更：配合完成机房搬迁、服务器设备老旧更换工作，配合系统安装、业务切换、网络调试等运维工作，确保业务在切换期及切换后能平滑过渡。</w:t>
      </w:r>
    </w:p>
    <w:p w14:paraId="37F27B00">
      <w:pPr>
        <w:pStyle w:val="4"/>
        <w:numPr>
          <w:ilvl w:val="2"/>
          <w:numId w:val="0"/>
        </w:numPr>
        <w:rPr>
          <w:rFonts w:hint="eastAsia" w:ascii="宋体" w:hAnsi="宋体" w:eastAsia="宋体" w:cs="宋体"/>
          <w:sz w:val="21"/>
          <w:szCs w:val="21"/>
        </w:rPr>
      </w:pPr>
      <w:bookmarkStart w:id="63" w:name="_Toc8430"/>
      <w:r>
        <w:rPr>
          <w:rFonts w:hint="eastAsia" w:ascii="宋体" w:hAnsi="宋体" w:eastAsia="宋体" w:cs="宋体"/>
          <w:sz w:val="21"/>
          <w:szCs w:val="21"/>
          <w:lang w:val="en-US" w:eastAsia="zh-CN"/>
        </w:rPr>
        <w:t>4</w:t>
      </w:r>
      <w:r>
        <w:rPr>
          <w:rFonts w:hint="eastAsia" w:ascii="宋体" w:hAnsi="宋体" w:eastAsia="宋体" w:cs="宋体"/>
          <w:sz w:val="21"/>
          <w:szCs w:val="21"/>
        </w:rPr>
        <w:t>.3.5国产化环境适配</w:t>
      </w:r>
    </w:p>
    <w:p w14:paraId="41A8FA1C">
      <w:pPr>
        <w:snapToGrid w:val="0"/>
        <w:spacing w:line="360" w:lineRule="auto"/>
        <w:outlineLvl w:val="0"/>
        <w:rPr>
          <w:rFonts w:hint="eastAsia" w:ascii="宋体" w:hAnsi="宋体" w:cs="宋体"/>
          <w:sz w:val="21"/>
          <w:szCs w:val="21"/>
        </w:rPr>
      </w:pPr>
      <w:r>
        <w:rPr>
          <w:rFonts w:hint="eastAsia" w:ascii="宋体" w:hAnsi="宋体" w:cs="宋体"/>
          <w:sz w:val="21"/>
          <w:szCs w:val="21"/>
        </w:rPr>
        <w:t>系统应用需支持适配信创服务器，可在信创服务器进行部署</w:t>
      </w:r>
    </w:p>
    <w:p w14:paraId="074253D6">
      <w:pPr>
        <w:snapToGrid w:val="0"/>
        <w:spacing w:line="360" w:lineRule="auto"/>
        <w:outlineLvl w:val="0"/>
        <w:rPr>
          <w:rFonts w:hint="eastAsia" w:ascii="宋体" w:hAnsi="宋体" w:eastAsia="宋体" w:cs="宋体"/>
          <w:b/>
          <w:sz w:val="21"/>
          <w:szCs w:val="21"/>
        </w:rPr>
      </w:pPr>
      <w:r>
        <w:rPr>
          <w:rFonts w:hint="eastAsia" w:ascii="宋体" w:hAnsi="宋体" w:eastAsia="宋体" w:cs="宋体"/>
          <w:b/>
          <w:sz w:val="21"/>
          <w:szCs w:val="21"/>
        </w:rPr>
        <w:t>四、伴随服务要求</w:t>
      </w:r>
      <w:bookmarkEnd w:id="63"/>
    </w:p>
    <w:p w14:paraId="35CA7936">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1、对采购人人员提供技术培训。培训的目的是让受训人员能够独立进行日常的运行维护工作，并能鉴定和处理系统硬件和软件的一般性故障。培训教材应由中标人提供，培训课程应针对本项目所涉及到的所有软硬件和整个系统。</w:t>
      </w:r>
    </w:p>
    <w:p w14:paraId="34879807">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2、技术服务费、安装材料费、培训服务费等费用包含在报价总价中，采购人不再额外支付任何费用。</w:t>
      </w:r>
    </w:p>
    <w:p w14:paraId="1E475B10">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3、中标人应根据本招标需求书提出的功能要求，在应答中提出实现所有系统功能所需的软件清单，包括系统软件和用户端软件。</w:t>
      </w:r>
    </w:p>
    <w:p w14:paraId="3E99EA39">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4、所开发的系统软件，在系统验收之前，中标人须根据采购人的要求及时做出设计修改，以保证系统功能的完整性和可靠性。</w:t>
      </w:r>
    </w:p>
    <w:p w14:paraId="73116301">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5、中标人自行开发的软件，须拥有自主知识版权。软件具有灵活的配置文件，方便维护。</w:t>
      </w:r>
    </w:p>
    <w:p w14:paraId="1FF49B68">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6、中标人根据采购人的需求开发的软件系统，未经过采购人书面认可，采购人的需求设计、软件代码和文档不得提供给第三方或本项目以外使用。</w:t>
      </w:r>
    </w:p>
    <w:p w14:paraId="43F7216A">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7、中标人提供的产品中的第三方产品，若出现技术上或法律上的纠纷，应由中标人全权解决，并承担全部责任。</w:t>
      </w:r>
    </w:p>
    <w:p w14:paraId="3CA8A9EB">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8、技术服务包含但不限于操作系统、数据库、应用系统的安装、调测、运维维护及漏洞隐患修复等工作。</w:t>
      </w:r>
    </w:p>
    <w:p w14:paraId="17AC1E5A">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9、所投系统需符合相关信息安全规范标准、需符合国家信息系统安全等级保护三级或以上的要求，需服从国家及采购方关于系统播出安全、信息安全、节目内容安全等方面的管理要求，中标方需配合采购方对所投系统进行信息系统安全等级保护三级评测或以上和整改工作，在质保期内需持续保证系统的安全和稳定。</w:t>
      </w:r>
    </w:p>
    <w:p w14:paraId="47011BE8">
      <w:pPr>
        <w:snapToGrid w:val="0"/>
        <w:spacing w:line="360" w:lineRule="auto"/>
        <w:ind w:firstLine="420" w:firstLineChars="200"/>
        <w:rPr>
          <w:rFonts w:hint="eastAsia" w:ascii="宋体" w:hAnsi="宋体" w:eastAsia="宋体" w:cs="宋体"/>
          <w:bCs/>
          <w:color w:val="000000"/>
          <w:sz w:val="21"/>
          <w:szCs w:val="21"/>
        </w:rPr>
      </w:pPr>
      <w:r>
        <w:rPr>
          <w:rFonts w:hint="eastAsia" w:ascii="宋体" w:hAnsi="宋体" w:eastAsia="宋体" w:cs="宋体"/>
          <w:bCs/>
          <w:sz w:val="21"/>
          <w:szCs w:val="21"/>
        </w:rPr>
        <w:t>10、如因中标人内部架构调整、人员或团队变更等经营原因导致的服务执行受阻、无法执行合同约束条款的，中标人需采用包括但不限于源代码移交、协助采购人接手平台维护等解决方式保证采购人的平台和业务稳定。同时，因中标人</w:t>
      </w:r>
      <w:r>
        <w:rPr>
          <w:rFonts w:hint="eastAsia" w:ascii="宋体" w:hAnsi="宋体" w:eastAsia="宋体" w:cs="宋体"/>
          <w:bCs/>
          <w:color w:val="000000"/>
          <w:sz w:val="21"/>
          <w:szCs w:val="21"/>
        </w:rPr>
        <w:t>内部原因导致采购人遭受的现网故障引发的损失，由中标人负责。</w:t>
      </w:r>
    </w:p>
    <w:p w14:paraId="5128BD7F">
      <w:pPr>
        <w:snapToGrid w:val="0"/>
        <w:spacing w:line="360" w:lineRule="auto"/>
        <w:outlineLvl w:val="0"/>
        <w:rPr>
          <w:rFonts w:hint="eastAsia" w:ascii="宋体" w:hAnsi="宋体" w:eastAsia="宋体" w:cs="宋体"/>
          <w:b/>
          <w:color w:val="000000"/>
          <w:sz w:val="21"/>
          <w:szCs w:val="21"/>
        </w:rPr>
      </w:pPr>
      <w:bookmarkStart w:id="64" w:name="_Toc14428"/>
      <w:r>
        <w:rPr>
          <w:rFonts w:hint="eastAsia" w:ascii="宋体" w:hAnsi="宋体" w:eastAsia="宋体" w:cs="宋体"/>
          <w:b/>
          <w:color w:val="000000"/>
          <w:sz w:val="21"/>
          <w:szCs w:val="21"/>
        </w:rPr>
        <w:t>五、售后服务要求</w:t>
      </w:r>
      <w:bookmarkEnd w:id="64"/>
    </w:p>
    <w:p w14:paraId="7B3E6DF7">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1、中标人应具有专业的技术力量，有良好的研发条件及队伍，能为采购人提供优质的服务和技术支持，有能力不断扩展、开发新的业务，能对采购人提供及时周到的、长期的系统技术支持。</w:t>
      </w:r>
    </w:p>
    <w:p w14:paraId="4B0A416B">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2、质保期：系统质保期至少</w:t>
      </w:r>
      <w:r>
        <w:rPr>
          <w:rFonts w:hint="eastAsia" w:ascii="宋体" w:hAnsi="宋体" w:eastAsia="宋体" w:cs="宋体"/>
          <w:color w:val="000000"/>
          <w:sz w:val="21"/>
          <w:szCs w:val="21"/>
        </w:rPr>
        <w:t>[</w:t>
      </w:r>
      <w:r>
        <w:rPr>
          <w:rFonts w:hint="eastAsia" w:ascii="宋体" w:hAnsi="宋体" w:eastAsia="宋体" w:cs="宋体"/>
          <w:color w:val="000000"/>
          <w:sz w:val="21"/>
          <w:szCs w:val="21"/>
          <w:u w:val="single"/>
        </w:rPr>
        <w:t xml:space="preserve">  12  </w:t>
      </w:r>
      <w:r>
        <w:rPr>
          <w:rFonts w:hint="eastAsia" w:ascii="宋体" w:hAnsi="宋体" w:eastAsia="宋体" w:cs="宋体"/>
          <w:color w:val="000000"/>
          <w:sz w:val="21"/>
          <w:szCs w:val="21"/>
        </w:rPr>
        <w:t>]</w:t>
      </w:r>
      <w:r>
        <w:rPr>
          <w:rFonts w:hint="eastAsia" w:ascii="宋体" w:hAnsi="宋体" w:eastAsia="宋体" w:cs="宋体"/>
          <w:bCs/>
          <w:sz w:val="21"/>
          <w:szCs w:val="21"/>
        </w:rPr>
        <w:t>个月或以上（中标人应详细标明质保期），自买卖双方共同签署验收（终验）文件之日起计算。在系统质保期内，中标人须提供软件缺陷修复、故障处理、安全漏洞修复、日常运行维护等技术服务，由此产生的一切费用均由中标人承担，采购人无需额外支付任何费用。</w:t>
      </w:r>
    </w:p>
    <w:p w14:paraId="6C592A94">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4、在质保期内，如果中标人对该投标系统产品的运行、维护、保证方面进行了技术改进，中标人应积极向采购人推广。中标人应免费向采购人提供与这些技术改进有关的详细技术资料。中标人对于增加硬件或投标系统设备功能所做的技术改进，具体费用问题须经双方进一步协商确定。一旦达成协议，采购人将按照买卖双方约定的统一交易条件与中标人签订补充协议。</w:t>
      </w:r>
    </w:p>
    <w:p w14:paraId="307B773B">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5、如果采购人要求另外订购与投标系统具有相同或更优性能的产品、材料，中标人和采购人将就另外订购的条件达成共识。新的交易条件对采购人与中标人在本项目项下其后签署的所有采购合同均适用。</w:t>
      </w:r>
    </w:p>
    <w:p w14:paraId="3D916E3F">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6、质保期满后，如果出现特殊和紧急情况，在采购人要求下，中标人承诺将派遣其工程技术人员到现场进行对投标系统设备检查和维修。</w:t>
      </w:r>
    </w:p>
    <w:p w14:paraId="6E898404">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7、针对本项目，中标人应组织专门的技术支持小组，并指定项目负责人，为采购人建立长期、稳定的技术支持队伍。技术支持小组应由技术强、业务精的高素质专业人员组成。</w:t>
      </w:r>
    </w:p>
    <w:p w14:paraId="08EA62EA">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8、在质保期内，若国家、行业、国际上发表了相关新建议或标准，中标人应按采购人的要求在一定时间内（具体时间由双方商定）配合采购人免费对产品进行升级，中标人须说明升级时间周期，并不得以任何借口拒绝服务。</w:t>
      </w:r>
    </w:p>
    <w:p w14:paraId="74ED20DD">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9、针对以上要求，中标人应提供详细的售后服务方案。</w:t>
      </w:r>
    </w:p>
    <w:p w14:paraId="20B7C1B9">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10、中标人未达到相应的售后服务标准，将予以处罚直至取消服务资格。</w:t>
      </w:r>
    </w:p>
    <w:p w14:paraId="1DD0F3B3">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11、服务响应时间：在质保期内，中标人应确保能为采购人提供7*24小时技术支持，采购人在产品使用中不论何种原因造成的故障，不论责任原因，中标人在接到采购人要求修复的通知后，应按照采购人的要求排除故障、及时修复。在质保期内，如果采购人提出要求，中标人应派技术人员在采购人指定现场进行支持服务。故障级别及相应解决时间如下：</w:t>
      </w:r>
    </w:p>
    <w:p w14:paraId="4425F2C8">
      <w:pPr>
        <w:snapToGrid w:val="0"/>
        <w:spacing w:line="360" w:lineRule="auto"/>
        <w:ind w:firstLine="420" w:firstLineChars="200"/>
        <w:rPr>
          <w:rFonts w:hint="eastAsia" w:ascii="宋体" w:hAnsi="宋体" w:eastAsia="宋体" w:cs="宋体"/>
          <w:bCs/>
          <w:sz w:val="21"/>
          <w:szCs w:val="21"/>
        </w:rPr>
      </w:pPr>
    </w:p>
    <w:tbl>
      <w:tblPr>
        <w:tblStyle w:val="10"/>
        <w:tblW w:w="86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71"/>
        <w:gridCol w:w="4375"/>
        <w:gridCol w:w="1428"/>
        <w:gridCol w:w="1718"/>
      </w:tblGrid>
      <w:tr w14:paraId="1E70D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1171" w:type="dxa"/>
            <w:tcBorders>
              <w:top w:val="single" w:color="auto" w:sz="4" w:space="0"/>
              <w:left w:val="single" w:color="auto" w:sz="4" w:space="0"/>
              <w:bottom w:val="single" w:color="auto" w:sz="4" w:space="0"/>
              <w:right w:val="single" w:color="auto" w:sz="4" w:space="0"/>
            </w:tcBorders>
            <w:vAlign w:val="center"/>
          </w:tcPr>
          <w:p w14:paraId="24BB919C">
            <w:pPr>
              <w:widowControl/>
              <w:spacing w:line="360" w:lineRule="auto"/>
              <w:jc w:val="left"/>
              <w:rPr>
                <w:rFonts w:hint="eastAsia" w:ascii="宋体" w:hAnsi="宋体" w:eastAsia="宋体" w:cs="宋体"/>
                <w:b/>
                <w:color w:val="000000"/>
                <w:kern w:val="0"/>
                <w:sz w:val="21"/>
                <w:szCs w:val="21"/>
              </w:rPr>
            </w:pPr>
            <w:r>
              <w:rPr>
                <w:rFonts w:hint="eastAsia" w:ascii="宋体" w:hAnsi="宋体" w:eastAsia="宋体" w:cs="宋体"/>
                <w:sz w:val="21"/>
                <w:szCs w:val="21"/>
                <w:lang w:bidi="ar"/>
              </w:rPr>
              <w:t>故障级别</w:t>
            </w:r>
          </w:p>
        </w:tc>
        <w:tc>
          <w:tcPr>
            <w:tcW w:w="4375" w:type="dxa"/>
            <w:tcBorders>
              <w:top w:val="single" w:color="auto" w:sz="4" w:space="0"/>
              <w:left w:val="nil"/>
              <w:bottom w:val="single" w:color="auto" w:sz="4" w:space="0"/>
              <w:right w:val="single" w:color="auto" w:sz="4" w:space="0"/>
            </w:tcBorders>
            <w:vAlign w:val="center"/>
          </w:tcPr>
          <w:p w14:paraId="3A2C98C1">
            <w:pPr>
              <w:widowControl/>
              <w:spacing w:line="360" w:lineRule="auto"/>
              <w:jc w:val="left"/>
              <w:rPr>
                <w:rFonts w:hint="eastAsia" w:ascii="宋体" w:hAnsi="宋体" w:eastAsia="宋体" w:cs="宋体"/>
                <w:b/>
                <w:color w:val="000000"/>
                <w:kern w:val="0"/>
                <w:sz w:val="21"/>
                <w:szCs w:val="21"/>
              </w:rPr>
            </w:pPr>
            <w:r>
              <w:rPr>
                <w:rFonts w:hint="eastAsia" w:ascii="宋体" w:hAnsi="宋体" w:eastAsia="宋体" w:cs="宋体"/>
                <w:sz w:val="21"/>
                <w:szCs w:val="21"/>
                <w:lang w:bidi="ar"/>
              </w:rPr>
              <w:t>定义</w:t>
            </w:r>
          </w:p>
        </w:tc>
        <w:tc>
          <w:tcPr>
            <w:tcW w:w="1428" w:type="dxa"/>
            <w:tcBorders>
              <w:top w:val="single" w:color="auto" w:sz="4" w:space="0"/>
              <w:left w:val="nil"/>
              <w:bottom w:val="single" w:color="auto" w:sz="4" w:space="0"/>
              <w:right w:val="single" w:color="auto" w:sz="4" w:space="0"/>
            </w:tcBorders>
            <w:vAlign w:val="center"/>
          </w:tcPr>
          <w:p w14:paraId="0E77E2D9">
            <w:pPr>
              <w:widowControl/>
              <w:spacing w:line="360" w:lineRule="auto"/>
              <w:jc w:val="left"/>
              <w:rPr>
                <w:rFonts w:hint="eastAsia" w:ascii="宋体" w:hAnsi="宋体" w:eastAsia="宋体" w:cs="宋体"/>
                <w:b/>
                <w:color w:val="000000"/>
                <w:kern w:val="0"/>
                <w:sz w:val="21"/>
                <w:szCs w:val="21"/>
              </w:rPr>
            </w:pPr>
            <w:r>
              <w:rPr>
                <w:rFonts w:hint="eastAsia" w:ascii="宋体" w:hAnsi="宋体" w:eastAsia="宋体" w:cs="宋体"/>
                <w:sz w:val="21"/>
                <w:szCs w:val="21"/>
                <w:lang w:bidi="ar"/>
              </w:rPr>
              <w:t>响应时间</w:t>
            </w:r>
          </w:p>
        </w:tc>
        <w:tc>
          <w:tcPr>
            <w:tcW w:w="1718" w:type="dxa"/>
            <w:tcBorders>
              <w:top w:val="single" w:color="auto" w:sz="4" w:space="0"/>
              <w:left w:val="nil"/>
              <w:bottom w:val="single" w:color="auto" w:sz="4" w:space="0"/>
              <w:right w:val="single" w:color="auto" w:sz="4" w:space="0"/>
            </w:tcBorders>
            <w:vAlign w:val="center"/>
          </w:tcPr>
          <w:p w14:paraId="03D6FFF4">
            <w:pPr>
              <w:widowControl/>
              <w:spacing w:line="360" w:lineRule="auto"/>
              <w:jc w:val="left"/>
              <w:rPr>
                <w:rFonts w:hint="eastAsia" w:ascii="宋体" w:hAnsi="宋体" w:eastAsia="宋体" w:cs="宋体"/>
                <w:b/>
                <w:color w:val="000000"/>
                <w:kern w:val="0"/>
                <w:sz w:val="21"/>
                <w:szCs w:val="21"/>
              </w:rPr>
            </w:pPr>
            <w:r>
              <w:rPr>
                <w:rFonts w:hint="eastAsia" w:ascii="宋体" w:hAnsi="宋体" w:eastAsia="宋体" w:cs="宋体"/>
                <w:sz w:val="21"/>
                <w:szCs w:val="21"/>
                <w:lang w:bidi="ar"/>
              </w:rPr>
              <w:t>解决/恢复时间</w:t>
            </w:r>
          </w:p>
        </w:tc>
      </w:tr>
      <w:tr w14:paraId="323683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1" w:type="dxa"/>
            <w:tcBorders>
              <w:top w:val="single" w:color="auto" w:sz="4" w:space="0"/>
              <w:left w:val="single" w:color="auto" w:sz="4" w:space="0"/>
              <w:bottom w:val="single" w:color="auto" w:sz="4" w:space="0"/>
              <w:right w:val="single" w:color="auto" w:sz="4" w:space="0"/>
            </w:tcBorders>
            <w:vAlign w:val="center"/>
          </w:tcPr>
          <w:p w14:paraId="1CBB1BBD">
            <w:pPr>
              <w:widowControl/>
              <w:spacing w:line="360" w:lineRule="auto"/>
              <w:jc w:val="left"/>
              <w:rPr>
                <w:rFonts w:hint="eastAsia" w:ascii="宋体" w:hAnsi="宋体" w:eastAsia="宋体" w:cs="宋体"/>
                <w:color w:val="000000"/>
                <w:kern w:val="0"/>
                <w:sz w:val="21"/>
                <w:szCs w:val="21"/>
              </w:rPr>
            </w:pPr>
            <w:r>
              <w:rPr>
                <w:rFonts w:hint="eastAsia" w:ascii="宋体" w:hAnsi="宋体" w:eastAsia="宋体" w:cs="宋体"/>
                <w:sz w:val="21"/>
                <w:szCs w:val="21"/>
                <w:lang w:bidi="ar"/>
              </w:rPr>
              <w:t>P1 致命</w:t>
            </w:r>
          </w:p>
        </w:tc>
        <w:tc>
          <w:tcPr>
            <w:tcW w:w="4375" w:type="dxa"/>
            <w:tcBorders>
              <w:top w:val="single" w:color="auto" w:sz="4" w:space="0"/>
              <w:left w:val="nil"/>
              <w:bottom w:val="single" w:color="auto" w:sz="4" w:space="0"/>
              <w:right w:val="single" w:color="auto" w:sz="4" w:space="0"/>
            </w:tcBorders>
            <w:vAlign w:val="center"/>
          </w:tcPr>
          <w:p w14:paraId="731E3441">
            <w:pPr>
              <w:widowControl/>
              <w:spacing w:line="360" w:lineRule="auto"/>
              <w:jc w:val="left"/>
              <w:rPr>
                <w:rFonts w:hint="eastAsia" w:ascii="宋体" w:hAnsi="宋体" w:eastAsia="宋体" w:cs="宋体"/>
                <w:color w:val="000000"/>
                <w:kern w:val="0"/>
                <w:sz w:val="21"/>
                <w:szCs w:val="21"/>
              </w:rPr>
            </w:pPr>
            <w:r>
              <w:rPr>
                <w:rFonts w:hint="eastAsia" w:ascii="宋体" w:hAnsi="宋体" w:eastAsia="宋体" w:cs="宋体"/>
                <w:kern w:val="0"/>
                <w:sz w:val="21"/>
                <w:szCs w:val="21"/>
                <w:lang w:bidi="ar"/>
              </w:rPr>
              <w:t>对业务有重大影响的故障，如平台全面不可用或发生系统崩溃</w:t>
            </w:r>
          </w:p>
        </w:tc>
        <w:tc>
          <w:tcPr>
            <w:tcW w:w="1428" w:type="dxa"/>
            <w:tcBorders>
              <w:top w:val="single" w:color="auto" w:sz="4" w:space="0"/>
              <w:left w:val="nil"/>
              <w:bottom w:val="single" w:color="auto" w:sz="4" w:space="0"/>
              <w:right w:val="single" w:color="auto" w:sz="4" w:space="0"/>
            </w:tcBorders>
            <w:vAlign w:val="center"/>
          </w:tcPr>
          <w:p w14:paraId="0CAE06DD">
            <w:pPr>
              <w:widowControl/>
              <w:jc w:val="left"/>
              <w:rPr>
                <w:rFonts w:hint="eastAsia" w:ascii="宋体" w:hAnsi="宋体" w:eastAsia="宋体" w:cs="宋体"/>
                <w:color w:val="000000"/>
                <w:kern w:val="0"/>
                <w:sz w:val="21"/>
                <w:szCs w:val="21"/>
              </w:rPr>
            </w:pPr>
            <w:r>
              <w:rPr>
                <w:rFonts w:hint="eastAsia" w:ascii="宋体" w:hAnsi="宋体" w:eastAsia="宋体" w:cs="宋体"/>
                <w:sz w:val="21"/>
                <w:szCs w:val="21"/>
                <w:lang w:bidi="ar"/>
              </w:rPr>
              <w:t>≤ 5分钟</w:t>
            </w:r>
          </w:p>
        </w:tc>
        <w:tc>
          <w:tcPr>
            <w:tcW w:w="1718" w:type="dxa"/>
            <w:tcBorders>
              <w:top w:val="single" w:color="auto" w:sz="4" w:space="0"/>
              <w:left w:val="nil"/>
              <w:bottom w:val="single" w:color="auto" w:sz="4" w:space="0"/>
              <w:right w:val="single" w:color="auto" w:sz="4" w:space="0"/>
            </w:tcBorders>
            <w:vAlign w:val="center"/>
          </w:tcPr>
          <w:p w14:paraId="011694A2">
            <w:pPr>
              <w:widowControl/>
              <w:jc w:val="left"/>
              <w:rPr>
                <w:rFonts w:hint="eastAsia" w:ascii="宋体" w:hAnsi="宋体" w:eastAsia="宋体" w:cs="宋体"/>
                <w:color w:val="000000"/>
                <w:kern w:val="0"/>
                <w:sz w:val="21"/>
                <w:szCs w:val="21"/>
              </w:rPr>
            </w:pPr>
            <w:r>
              <w:rPr>
                <w:rFonts w:hint="eastAsia" w:ascii="宋体" w:hAnsi="宋体" w:eastAsia="宋体" w:cs="宋体"/>
                <w:sz w:val="21"/>
                <w:szCs w:val="21"/>
                <w:lang w:bidi="ar"/>
              </w:rPr>
              <w:t>≤ 30分钟</w:t>
            </w:r>
          </w:p>
        </w:tc>
      </w:tr>
      <w:tr w14:paraId="1FF98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1" w:type="dxa"/>
            <w:tcBorders>
              <w:top w:val="single" w:color="auto" w:sz="4" w:space="0"/>
              <w:left w:val="single" w:color="auto" w:sz="4" w:space="0"/>
              <w:bottom w:val="single" w:color="auto" w:sz="4" w:space="0"/>
              <w:right w:val="single" w:color="auto" w:sz="4" w:space="0"/>
            </w:tcBorders>
            <w:vAlign w:val="center"/>
          </w:tcPr>
          <w:p w14:paraId="4E3B44FC">
            <w:pPr>
              <w:widowControl/>
              <w:spacing w:line="360" w:lineRule="auto"/>
              <w:jc w:val="left"/>
              <w:rPr>
                <w:rFonts w:hint="eastAsia" w:ascii="宋体" w:hAnsi="宋体" w:eastAsia="宋体" w:cs="宋体"/>
                <w:color w:val="000000"/>
                <w:kern w:val="0"/>
                <w:sz w:val="21"/>
                <w:szCs w:val="21"/>
              </w:rPr>
            </w:pPr>
            <w:r>
              <w:rPr>
                <w:rFonts w:hint="eastAsia" w:ascii="宋体" w:hAnsi="宋体" w:eastAsia="宋体" w:cs="宋体"/>
                <w:sz w:val="21"/>
                <w:szCs w:val="21"/>
                <w:lang w:bidi="ar"/>
              </w:rPr>
              <w:t>P2 严重</w:t>
            </w:r>
          </w:p>
        </w:tc>
        <w:tc>
          <w:tcPr>
            <w:tcW w:w="4375" w:type="dxa"/>
            <w:tcBorders>
              <w:top w:val="single" w:color="auto" w:sz="4" w:space="0"/>
              <w:left w:val="nil"/>
              <w:bottom w:val="single" w:color="auto" w:sz="4" w:space="0"/>
              <w:right w:val="single" w:color="auto" w:sz="4" w:space="0"/>
            </w:tcBorders>
            <w:vAlign w:val="center"/>
          </w:tcPr>
          <w:p w14:paraId="2728D9B9">
            <w:pPr>
              <w:widowControl/>
              <w:jc w:val="left"/>
              <w:rPr>
                <w:rFonts w:hint="eastAsia" w:ascii="宋体" w:hAnsi="宋体" w:eastAsia="宋体" w:cs="宋体"/>
                <w:color w:val="000000"/>
                <w:kern w:val="0"/>
                <w:sz w:val="21"/>
                <w:szCs w:val="21"/>
              </w:rPr>
            </w:pPr>
            <w:r>
              <w:rPr>
                <w:rFonts w:hint="eastAsia" w:ascii="宋体" w:hAnsi="宋体" w:eastAsia="宋体" w:cs="宋体"/>
                <w:kern w:val="0"/>
                <w:sz w:val="21"/>
                <w:szCs w:val="21"/>
                <w:lang w:bidi="ar"/>
              </w:rPr>
              <w:t>对业务有较大影响的故障，如部分功能失效、系统运行不稳定，影响到某些用户或某些功能</w:t>
            </w:r>
          </w:p>
        </w:tc>
        <w:tc>
          <w:tcPr>
            <w:tcW w:w="1428" w:type="dxa"/>
            <w:tcBorders>
              <w:top w:val="single" w:color="auto" w:sz="4" w:space="0"/>
              <w:left w:val="nil"/>
              <w:bottom w:val="single" w:color="auto" w:sz="4" w:space="0"/>
              <w:right w:val="single" w:color="auto" w:sz="4" w:space="0"/>
            </w:tcBorders>
            <w:vAlign w:val="center"/>
          </w:tcPr>
          <w:p w14:paraId="4F9FFD36">
            <w:pPr>
              <w:widowControl/>
              <w:jc w:val="left"/>
              <w:rPr>
                <w:rFonts w:hint="eastAsia" w:ascii="宋体" w:hAnsi="宋体" w:eastAsia="宋体" w:cs="宋体"/>
                <w:color w:val="000000"/>
                <w:kern w:val="0"/>
                <w:sz w:val="21"/>
                <w:szCs w:val="21"/>
              </w:rPr>
            </w:pPr>
            <w:r>
              <w:rPr>
                <w:rFonts w:hint="eastAsia" w:ascii="宋体" w:hAnsi="宋体" w:eastAsia="宋体" w:cs="宋体"/>
                <w:sz w:val="21"/>
                <w:szCs w:val="21"/>
                <w:lang w:bidi="ar"/>
              </w:rPr>
              <w:t>≤ 10分钟</w:t>
            </w:r>
          </w:p>
        </w:tc>
        <w:tc>
          <w:tcPr>
            <w:tcW w:w="1718" w:type="dxa"/>
            <w:tcBorders>
              <w:top w:val="single" w:color="auto" w:sz="4" w:space="0"/>
              <w:left w:val="nil"/>
              <w:bottom w:val="single" w:color="auto" w:sz="4" w:space="0"/>
              <w:right w:val="single" w:color="auto" w:sz="4" w:space="0"/>
            </w:tcBorders>
            <w:vAlign w:val="center"/>
          </w:tcPr>
          <w:p w14:paraId="75577FC7">
            <w:pPr>
              <w:widowControl/>
              <w:spacing w:line="360" w:lineRule="auto"/>
              <w:jc w:val="left"/>
              <w:rPr>
                <w:rFonts w:hint="eastAsia" w:ascii="宋体" w:hAnsi="宋体" w:eastAsia="宋体" w:cs="宋体"/>
                <w:color w:val="000000"/>
                <w:kern w:val="0"/>
                <w:sz w:val="21"/>
                <w:szCs w:val="21"/>
              </w:rPr>
            </w:pPr>
            <w:r>
              <w:rPr>
                <w:rFonts w:hint="eastAsia" w:ascii="宋体" w:hAnsi="宋体" w:eastAsia="宋体" w:cs="宋体"/>
                <w:sz w:val="21"/>
                <w:szCs w:val="21"/>
                <w:lang w:bidi="ar"/>
              </w:rPr>
              <w:t>≤ 1小时</w:t>
            </w:r>
          </w:p>
        </w:tc>
      </w:tr>
      <w:tr w14:paraId="626A0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1" w:type="dxa"/>
            <w:tcBorders>
              <w:top w:val="single" w:color="auto" w:sz="4" w:space="0"/>
              <w:left w:val="single" w:color="auto" w:sz="4" w:space="0"/>
              <w:bottom w:val="single" w:color="auto" w:sz="4" w:space="0"/>
              <w:right w:val="single" w:color="auto" w:sz="4" w:space="0"/>
            </w:tcBorders>
            <w:vAlign w:val="center"/>
          </w:tcPr>
          <w:p w14:paraId="23C77DF4">
            <w:pPr>
              <w:widowControl/>
              <w:spacing w:line="360" w:lineRule="auto"/>
              <w:jc w:val="left"/>
              <w:rPr>
                <w:rFonts w:hint="eastAsia" w:ascii="宋体" w:hAnsi="宋体" w:eastAsia="宋体" w:cs="宋体"/>
                <w:sz w:val="21"/>
                <w:szCs w:val="21"/>
                <w:lang w:bidi="ar"/>
              </w:rPr>
            </w:pPr>
            <w:r>
              <w:rPr>
                <w:rFonts w:hint="eastAsia" w:ascii="宋体" w:hAnsi="宋体" w:eastAsia="宋体" w:cs="宋体"/>
                <w:sz w:val="21"/>
                <w:szCs w:val="21"/>
                <w:lang w:bidi="ar"/>
              </w:rPr>
              <w:t>P3 一般</w:t>
            </w:r>
          </w:p>
        </w:tc>
        <w:tc>
          <w:tcPr>
            <w:tcW w:w="4375" w:type="dxa"/>
            <w:tcBorders>
              <w:top w:val="single" w:color="auto" w:sz="4" w:space="0"/>
              <w:left w:val="nil"/>
              <w:bottom w:val="single" w:color="auto" w:sz="4" w:space="0"/>
              <w:right w:val="single" w:color="auto" w:sz="4" w:space="0"/>
            </w:tcBorders>
            <w:vAlign w:val="center"/>
          </w:tcPr>
          <w:p w14:paraId="7F6117D1">
            <w:pPr>
              <w:widowControl/>
              <w:spacing w:line="360" w:lineRule="auto"/>
              <w:jc w:val="left"/>
              <w:rPr>
                <w:rFonts w:hint="eastAsia" w:ascii="宋体" w:hAnsi="宋体" w:eastAsia="宋体" w:cs="宋体"/>
                <w:color w:val="000000"/>
                <w:kern w:val="0"/>
                <w:sz w:val="21"/>
                <w:szCs w:val="21"/>
              </w:rPr>
            </w:pPr>
            <w:r>
              <w:rPr>
                <w:rFonts w:hint="eastAsia" w:ascii="宋体" w:hAnsi="宋体" w:eastAsia="宋体" w:cs="宋体"/>
                <w:kern w:val="0"/>
                <w:sz w:val="21"/>
                <w:szCs w:val="21"/>
                <w:lang w:bidi="ar"/>
              </w:rPr>
              <w:t>对业务有一般影响的故障，如个别用户遇到问题、部分功能延迟</w:t>
            </w:r>
          </w:p>
        </w:tc>
        <w:tc>
          <w:tcPr>
            <w:tcW w:w="1428" w:type="dxa"/>
            <w:tcBorders>
              <w:top w:val="single" w:color="auto" w:sz="4" w:space="0"/>
              <w:left w:val="nil"/>
              <w:bottom w:val="single" w:color="auto" w:sz="4" w:space="0"/>
              <w:right w:val="single" w:color="auto" w:sz="4" w:space="0"/>
            </w:tcBorders>
            <w:vAlign w:val="center"/>
          </w:tcPr>
          <w:p w14:paraId="5C378E88">
            <w:pPr>
              <w:widowControl/>
              <w:spacing w:line="360" w:lineRule="auto"/>
              <w:jc w:val="left"/>
              <w:rPr>
                <w:rFonts w:hint="eastAsia" w:ascii="宋体" w:hAnsi="宋体" w:eastAsia="宋体" w:cs="宋体"/>
                <w:color w:val="000000"/>
                <w:kern w:val="0"/>
                <w:sz w:val="21"/>
                <w:szCs w:val="21"/>
              </w:rPr>
            </w:pPr>
            <w:r>
              <w:rPr>
                <w:rFonts w:hint="eastAsia" w:ascii="宋体" w:hAnsi="宋体" w:eastAsia="宋体" w:cs="宋体"/>
                <w:sz w:val="21"/>
                <w:szCs w:val="21"/>
                <w:lang w:bidi="ar"/>
              </w:rPr>
              <w:t>≤ 15分钟</w:t>
            </w:r>
          </w:p>
        </w:tc>
        <w:tc>
          <w:tcPr>
            <w:tcW w:w="1718" w:type="dxa"/>
            <w:tcBorders>
              <w:top w:val="single" w:color="auto" w:sz="4" w:space="0"/>
              <w:left w:val="nil"/>
              <w:bottom w:val="single" w:color="auto" w:sz="4" w:space="0"/>
              <w:right w:val="single" w:color="auto" w:sz="4" w:space="0"/>
            </w:tcBorders>
            <w:vAlign w:val="center"/>
          </w:tcPr>
          <w:p w14:paraId="5F3B68E6">
            <w:pPr>
              <w:widowControl/>
              <w:spacing w:line="360" w:lineRule="auto"/>
              <w:jc w:val="left"/>
              <w:rPr>
                <w:rFonts w:hint="eastAsia" w:ascii="宋体" w:hAnsi="宋体" w:eastAsia="宋体" w:cs="宋体"/>
                <w:sz w:val="21"/>
                <w:szCs w:val="21"/>
                <w:lang w:bidi="ar"/>
              </w:rPr>
            </w:pPr>
            <w:r>
              <w:rPr>
                <w:rFonts w:hint="eastAsia" w:ascii="宋体" w:hAnsi="宋体" w:eastAsia="宋体" w:cs="宋体"/>
                <w:sz w:val="21"/>
                <w:szCs w:val="21"/>
                <w:lang w:bidi="ar"/>
              </w:rPr>
              <w:t>≤ 4小时</w:t>
            </w:r>
          </w:p>
        </w:tc>
      </w:tr>
      <w:tr w14:paraId="3CF5F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1" w:type="dxa"/>
            <w:tcBorders>
              <w:top w:val="single" w:color="auto" w:sz="4" w:space="0"/>
              <w:left w:val="single" w:color="auto" w:sz="4" w:space="0"/>
              <w:bottom w:val="single" w:color="auto" w:sz="4" w:space="0"/>
              <w:right w:val="single" w:color="auto" w:sz="4" w:space="0"/>
            </w:tcBorders>
            <w:vAlign w:val="center"/>
          </w:tcPr>
          <w:p w14:paraId="3D2EBB32">
            <w:pPr>
              <w:widowControl/>
              <w:spacing w:line="360" w:lineRule="auto"/>
              <w:jc w:val="left"/>
              <w:rPr>
                <w:rFonts w:hint="eastAsia" w:ascii="宋体" w:hAnsi="宋体" w:eastAsia="宋体" w:cs="宋体"/>
                <w:sz w:val="21"/>
                <w:szCs w:val="21"/>
                <w:lang w:bidi="ar"/>
              </w:rPr>
            </w:pPr>
            <w:r>
              <w:rPr>
                <w:rFonts w:hint="eastAsia" w:ascii="宋体" w:hAnsi="宋体" w:eastAsia="宋体" w:cs="宋体"/>
                <w:sz w:val="21"/>
                <w:szCs w:val="21"/>
                <w:lang w:bidi="ar"/>
              </w:rPr>
              <w:t>P4 轻微</w:t>
            </w:r>
          </w:p>
        </w:tc>
        <w:tc>
          <w:tcPr>
            <w:tcW w:w="4375" w:type="dxa"/>
            <w:tcBorders>
              <w:top w:val="single" w:color="auto" w:sz="4" w:space="0"/>
              <w:left w:val="nil"/>
              <w:bottom w:val="single" w:color="auto" w:sz="4" w:space="0"/>
              <w:right w:val="single" w:color="auto" w:sz="4" w:space="0"/>
            </w:tcBorders>
            <w:vAlign w:val="center"/>
          </w:tcPr>
          <w:p w14:paraId="3EFD592C">
            <w:pPr>
              <w:widowControl/>
              <w:spacing w:line="360" w:lineRule="auto"/>
              <w:jc w:val="left"/>
              <w:rPr>
                <w:rFonts w:hint="eastAsia" w:ascii="宋体" w:hAnsi="宋体" w:eastAsia="宋体" w:cs="宋体"/>
                <w:color w:val="000000"/>
                <w:kern w:val="0"/>
                <w:sz w:val="21"/>
                <w:szCs w:val="21"/>
              </w:rPr>
            </w:pPr>
            <w:r>
              <w:rPr>
                <w:rFonts w:hint="eastAsia" w:ascii="宋体" w:hAnsi="宋体" w:eastAsia="宋体" w:cs="宋体"/>
                <w:sz w:val="21"/>
                <w:szCs w:val="21"/>
                <w:lang w:bidi="ar"/>
              </w:rPr>
              <w:t>边缘功能异常，不影响用户正常使用</w:t>
            </w:r>
          </w:p>
        </w:tc>
        <w:tc>
          <w:tcPr>
            <w:tcW w:w="1428" w:type="dxa"/>
            <w:tcBorders>
              <w:top w:val="single" w:color="auto" w:sz="4" w:space="0"/>
              <w:left w:val="nil"/>
              <w:bottom w:val="single" w:color="auto" w:sz="4" w:space="0"/>
              <w:right w:val="single" w:color="auto" w:sz="4" w:space="0"/>
            </w:tcBorders>
            <w:vAlign w:val="center"/>
          </w:tcPr>
          <w:p w14:paraId="0D2B466B">
            <w:pPr>
              <w:widowControl/>
              <w:spacing w:line="360" w:lineRule="auto"/>
              <w:jc w:val="left"/>
              <w:rPr>
                <w:rFonts w:hint="eastAsia" w:ascii="宋体" w:hAnsi="宋体" w:eastAsia="宋体" w:cs="宋体"/>
                <w:color w:val="000000"/>
                <w:kern w:val="0"/>
                <w:sz w:val="21"/>
                <w:szCs w:val="21"/>
              </w:rPr>
            </w:pPr>
            <w:r>
              <w:rPr>
                <w:rFonts w:hint="eastAsia" w:ascii="宋体" w:hAnsi="宋体" w:eastAsia="宋体" w:cs="宋体"/>
                <w:sz w:val="21"/>
                <w:szCs w:val="21"/>
                <w:lang w:bidi="ar"/>
              </w:rPr>
              <w:t>≤ 20分钟</w:t>
            </w:r>
          </w:p>
        </w:tc>
        <w:tc>
          <w:tcPr>
            <w:tcW w:w="1718" w:type="dxa"/>
            <w:tcBorders>
              <w:top w:val="single" w:color="auto" w:sz="4" w:space="0"/>
              <w:left w:val="nil"/>
              <w:bottom w:val="single" w:color="auto" w:sz="4" w:space="0"/>
              <w:right w:val="single" w:color="auto" w:sz="4" w:space="0"/>
            </w:tcBorders>
            <w:vAlign w:val="center"/>
          </w:tcPr>
          <w:p w14:paraId="6916A691">
            <w:pPr>
              <w:widowControl/>
              <w:spacing w:line="360" w:lineRule="auto"/>
              <w:jc w:val="left"/>
              <w:rPr>
                <w:rFonts w:hint="eastAsia" w:ascii="宋体" w:hAnsi="宋体" w:eastAsia="宋体" w:cs="宋体"/>
                <w:sz w:val="21"/>
                <w:szCs w:val="21"/>
                <w:lang w:bidi="ar"/>
              </w:rPr>
            </w:pPr>
            <w:r>
              <w:rPr>
                <w:rFonts w:hint="eastAsia" w:ascii="宋体" w:hAnsi="宋体" w:eastAsia="宋体" w:cs="宋体"/>
                <w:sz w:val="21"/>
                <w:szCs w:val="21"/>
                <w:lang w:bidi="ar"/>
              </w:rPr>
              <w:t>≤ 24小时</w:t>
            </w:r>
          </w:p>
        </w:tc>
      </w:tr>
    </w:tbl>
    <w:p w14:paraId="554A573D">
      <w:pPr>
        <w:rPr>
          <w:rFonts w:hint="eastAsia" w:ascii="宋体" w:hAnsi="宋体" w:eastAsia="宋体" w:cs="宋体"/>
          <w:sz w:val="21"/>
          <w:szCs w:val="21"/>
        </w:rPr>
      </w:pPr>
    </w:p>
    <w:p w14:paraId="6658F072">
      <w:pPr>
        <w:snapToGrid w:val="0"/>
        <w:spacing w:line="360" w:lineRule="auto"/>
        <w:outlineLvl w:val="0"/>
        <w:rPr>
          <w:rFonts w:hint="eastAsia" w:ascii="宋体" w:hAnsi="宋体" w:eastAsia="宋体" w:cs="宋体"/>
          <w:b/>
          <w:sz w:val="21"/>
          <w:szCs w:val="21"/>
        </w:rPr>
      </w:pPr>
      <w:r>
        <w:rPr>
          <w:rFonts w:hint="eastAsia" w:ascii="宋体" w:hAnsi="宋体" w:eastAsia="宋体" w:cs="宋体"/>
          <w:b/>
          <w:sz w:val="21"/>
          <w:szCs w:val="21"/>
        </w:rPr>
        <w:t>六、知识产权归属</w:t>
      </w:r>
    </w:p>
    <w:p w14:paraId="5F705B6C">
      <w:pPr>
        <w:widowControl/>
        <w:numPr>
          <w:ilvl w:val="0"/>
          <w:numId w:val="129"/>
        </w:numPr>
        <w:spacing w:line="360" w:lineRule="auto"/>
        <w:rPr>
          <w:rFonts w:hint="eastAsia" w:ascii="宋体" w:hAnsi="宋体" w:eastAsia="宋体" w:cs="宋体"/>
          <w:bCs/>
          <w:sz w:val="21"/>
          <w:szCs w:val="21"/>
        </w:rPr>
      </w:pPr>
      <w:r>
        <w:rPr>
          <w:rFonts w:hint="eastAsia" w:ascii="宋体" w:hAnsi="宋体" w:eastAsia="宋体" w:cs="宋体"/>
          <w:bCs/>
          <w:sz w:val="21"/>
          <w:szCs w:val="21"/>
        </w:rPr>
        <w:t>系统软件、通用软件必须具有在中国境内的合法使用权或版权的正版软件。涉及到第三方提出侵权或知识产权的起诉及支付版税等费用由中标人承担所有责任及费用。</w:t>
      </w:r>
    </w:p>
    <w:p w14:paraId="5AFEC1C9">
      <w:pPr>
        <w:widowControl/>
        <w:numPr>
          <w:ilvl w:val="0"/>
          <w:numId w:val="129"/>
        </w:numPr>
        <w:spacing w:line="360" w:lineRule="auto"/>
        <w:rPr>
          <w:rFonts w:hint="eastAsia" w:ascii="宋体" w:hAnsi="宋体" w:eastAsia="宋体" w:cs="宋体"/>
          <w:sz w:val="21"/>
          <w:szCs w:val="21"/>
        </w:rPr>
      </w:pPr>
      <w:r>
        <w:rPr>
          <w:rFonts w:hint="eastAsia" w:ascii="宋体" w:hAnsi="宋体" w:eastAsia="宋体" w:cs="宋体"/>
          <w:bCs/>
          <w:sz w:val="21"/>
          <w:szCs w:val="21"/>
        </w:rPr>
        <w:t>系统上线运行后生产的数据所有权归属采购人，系统部署后中标人需提供系统设计说明、API接口说明、操作手册、算法说明等说明文档。</w:t>
      </w:r>
      <w:r>
        <w:rPr>
          <w:rFonts w:hint="eastAsia" w:ascii="宋体" w:hAnsi="宋体" w:eastAsia="宋体" w:cs="宋体"/>
          <w:bCs/>
          <w:sz w:val="21"/>
          <w:szCs w:val="21"/>
        </w:rPr>
        <w:tab/>
      </w:r>
    </w:p>
    <w:p w14:paraId="77B3BAB7">
      <w:pPr>
        <w:pStyle w:val="2"/>
        <w:rPr>
          <w:rFonts w:hint="eastAsia" w:ascii="宋体" w:hAnsi="宋体" w:eastAsia="宋体" w:cs="宋体"/>
          <w:sz w:val="21"/>
          <w:szCs w:val="21"/>
        </w:rPr>
      </w:pPr>
      <w:r>
        <w:rPr>
          <w:rFonts w:hint="eastAsia" w:ascii="宋体" w:hAnsi="宋体" w:eastAsia="宋体" w:cs="宋体"/>
          <w:sz w:val="21"/>
          <w:szCs w:val="21"/>
        </w:rPr>
        <w:t>七、交付要求</w:t>
      </w:r>
    </w:p>
    <w:p w14:paraId="13B43533">
      <w:pPr>
        <w:widowControl/>
        <w:adjustRightInd w:val="0"/>
        <w:snapToGrid w:val="0"/>
        <w:spacing w:line="360" w:lineRule="auto"/>
        <w:ind w:firstLine="420" w:firstLineChars="20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1、服务期：签订合同后</w:t>
      </w:r>
      <w:r>
        <w:rPr>
          <w:rFonts w:hint="eastAsia" w:ascii="宋体" w:hAnsi="宋体" w:eastAsia="宋体" w:cs="宋体"/>
          <w:color w:val="000000"/>
          <w:kern w:val="0"/>
          <w:sz w:val="21"/>
          <w:szCs w:val="21"/>
          <w:lang w:val="en-US" w:eastAsia="zh-CN"/>
        </w:rPr>
        <w:t>180</w:t>
      </w:r>
      <w:r>
        <w:rPr>
          <w:rFonts w:hint="eastAsia" w:ascii="宋体" w:hAnsi="宋体" w:eastAsia="宋体" w:cs="宋体"/>
          <w:color w:val="000000"/>
          <w:kern w:val="0"/>
          <w:sz w:val="21"/>
          <w:szCs w:val="21"/>
        </w:rPr>
        <w:t>个</w:t>
      </w:r>
      <w:r>
        <w:rPr>
          <w:rFonts w:hint="eastAsia" w:ascii="宋体" w:hAnsi="宋体" w:eastAsia="宋体" w:cs="宋体"/>
          <w:color w:val="000000"/>
          <w:kern w:val="0"/>
          <w:sz w:val="21"/>
          <w:szCs w:val="21"/>
          <w:lang w:val="en-US" w:eastAsia="zh-CN"/>
        </w:rPr>
        <w:t>日历日</w:t>
      </w:r>
      <w:r>
        <w:rPr>
          <w:rFonts w:hint="eastAsia" w:ascii="宋体" w:hAnsi="宋体" w:eastAsia="宋体" w:cs="宋体"/>
          <w:color w:val="000000"/>
          <w:kern w:val="0"/>
          <w:sz w:val="21"/>
          <w:szCs w:val="21"/>
        </w:rPr>
        <w:t>内完成交付；</w:t>
      </w:r>
    </w:p>
    <w:p w14:paraId="7F110A45">
      <w:pPr>
        <w:widowControl/>
        <w:adjustRightInd w:val="0"/>
        <w:snapToGrid w:val="0"/>
        <w:spacing w:line="360" w:lineRule="auto"/>
        <w:ind w:firstLine="420" w:firstLineChars="20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 xml:space="preserve">2、服务地点：广东南方新媒体股份有限公司。 </w:t>
      </w:r>
    </w:p>
    <w:p w14:paraId="526BB396">
      <w:pPr>
        <w:snapToGrid w:val="0"/>
        <w:spacing w:line="360" w:lineRule="auto"/>
        <w:outlineLvl w:val="0"/>
        <w:rPr>
          <w:rFonts w:hint="eastAsia" w:ascii="宋体" w:hAnsi="宋体" w:eastAsia="宋体" w:cs="宋体"/>
          <w:b/>
          <w:color w:val="000000"/>
          <w:sz w:val="21"/>
          <w:szCs w:val="21"/>
        </w:rPr>
      </w:pPr>
      <w:bookmarkStart w:id="65" w:name="_Toc29441"/>
      <w:r>
        <w:rPr>
          <w:rFonts w:hint="eastAsia" w:ascii="宋体" w:hAnsi="宋体" w:eastAsia="宋体" w:cs="宋体"/>
          <w:b/>
          <w:color w:val="000000"/>
          <w:sz w:val="21"/>
          <w:szCs w:val="21"/>
        </w:rPr>
        <w:t>八、验收要求</w:t>
      </w:r>
      <w:bookmarkEnd w:id="65"/>
    </w:p>
    <w:p w14:paraId="17CC1CCA">
      <w:pPr>
        <w:widowControl/>
        <w:spacing w:line="360" w:lineRule="auto"/>
        <w:ind w:firstLine="422" w:firstLineChars="200"/>
        <w:rPr>
          <w:rFonts w:hint="eastAsia" w:ascii="宋体" w:hAnsi="宋体" w:eastAsia="宋体" w:cs="宋体"/>
          <w:b/>
          <w:sz w:val="21"/>
          <w:szCs w:val="21"/>
        </w:rPr>
      </w:pPr>
      <w:r>
        <w:rPr>
          <w:rFonts w:hint="eastAsia" w:ascii="宋体" w:hAnsi="宋体" w:eastAsia="宋体" w:cs="宋体"/>
          <w:b/>
          <w:sz w:val="21"/>
          <w:szCs w:val="21"/>
        </w:rPr>
        <w:t>7.1总体要求</w:t>
      </w:r>
    </w:p>
    <w:p w14:paraId="51BF7FEA">
      <w:pPr>
        <w:widowControl/>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中标人需通过采购人及其聘请的第三方监理公平、公正的项目各阶段验收，如无法通过，采购人有权要求整改及追究相应赔偿，情节严重可追究相关法律责任。</w:t>
      </w:r>
      <w:r>
        <w:rPr>
          <w:rFonts w:hint="eastAsia" w:ascii="宋体" w:hAnsi="宋体" w:eastAsia="宋体" w:cs="宋体"/>
          <w:sz w:val="21"/>
          <w:szCs w:val="21"/>
        </w:rPr>
        <w:t>应遵循下列标准：</w:t>
      </w:r>
    </w:p>
    <w:p w14:paraId="1CB0EAAD">
      <w:pPr>
        <w:widowControl/>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1、实现合同、招标文件和根据招标文件所编写的投标文件中列举的全部内容。</w:t>
      </w:r>
    </w:p>
    <w:p w14:paraId="6088C415">
      <w:pPr>
        <w:widowControl/>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2、项目验收包括按照合同、招标文件和根据招标文件所编写的投标文件中相关的技术文档、培训教材、使用说明书及采购人相关验收管理办法所要求的全部文档。</w:t>
      </w:r>
    </w:p>
    <w:p w14:paraId="194C149F">
      <w:pPr>
        <w:widowControl/>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3、中标人需无条件按采购人要求移交系统所有管理员权限。</w:t>
      </w:r>
    </w:p>
    <w:p w14:paraId="7054174E">
      <w:pPr>
        <w:widowControl/>
        <w:spacing w:line="360" w:lineRule="auto"/>
        <w:ind w:firstLine="422" w:firstLineChars="200"/>
        <w:rPr>
          <w:rFonts w:hint="eastAsia" w:ascii="宋体" w:hAnsi="宋体" w:eastAsia="宋体" w:cs="宋体"/>
          <w:b/>
          <w:bCs/>
          <w:color w:val="000000"/>
          <w:sz w:val="21"/>
          <w:szCs w:val="21"/>
        </w:rPr>
      </w:pPr>
      <w:r>
        <w:rPr>
          <w:rFonts w:hint="eastAsia" w:ascii="宋体" w:hAnsi="宋体" w:eastAsia="宋体" w:cs="宋体"/>
          <w:b/>
          <w:bCs/>
          <w:color w:val="000000"/>
          <w:sz w:val="21"/>
          <w:szCs w:val="21"/>
        </w:rPr>
        <w:t>7.2 验收流程</w:t>
      </w:r>
    </w:p>
    <w:p w14:paraId="7EA2D1BD">
      <w:pPr>
        <w:widowControl/>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验收由采购人组织，中标人配合进行：</w:t>
      </w:r>
    </w:p>
    <w:p w14:paraId="70007FD1">
      <w:pPr>
        <w:widowControl/>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1、中标人必须依照招标文件的要求和投标文件的承诺，将系统安装并调试至正常运行的最佳状态。系统平台正常并连续运行[</w:t>
      </w:r>
      <w:r>
        <w:rPr>
          <w:rFonts w:hint="eastAsia" w:ascii="宋体" w:hAnsi="宋体" w:eastAsia="宋体" w:cs="宋体"/>
          <w:color w:val="000000"/>
          <w:sz w:val="21"/>
          <w:szCs w:val="21"/>
          <w:u w:val="single"/>
        </w:rPr>
        <w:t xml:space="preserve">  1  </w:t>
      </w:r>
      <w:r>
        <w:rPr>
          <w:rFonts w:hint="eastAsia" w:ascii="宋体" w:hAnsi="宋体" w:eastAsia="宋体" w:cs="宋体"/>
          <w:color w:val="000000"/>
          <w:sz w:val="21"/>
          <w:szCs w:val="21"/>
        </w:rPr>
        <w:t>]个月无异常，同时中标人项目组按照招标文件要求完成功能自测后由项目经理正式提交初验申请。采购人需在接到中标人初验申请组织进行初验工作。只有采购人确认系统功能指标和性能指标达到要求、所提交的技术文档和说明文档齐全、规范，才可视为验收合格，采购人才允许在验收报告上签字和盖章，确认初验通过。</w:t>
      </w:r>
    </w:p>
    <w:p w14:paraId="1BB684D4">
      <w:pPr>
        <w:widowControl/>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2、初验通过后进入[</w:t>
      </w:r>
      <w:r>
        <w:rPr>
          <w:rFonts w:hint="eastAsia" w:ascii="宋体" w:hAnsi="宋体" w:eastAsia="宋体" w:cs="宋体"/>
          <w:color w:val="000000"/>
          <w:sz w:val="21"/>
          <w:szCs w:val="21"/>
          <w:u w:val="single"/>
        </w:rPr>
        <w:t xml:space="preserve">  3  </w:t>
      </w:r>
      <w:r>
        <w:rPr>
          <w:rFonts w:hint="eastAsia" w:ascii="宋体" w:hAnsi="宋体" w:eastAsia="宋体" w:cs="宋体"/>
          <w:color w:val="000000"/>
          <w:sz w:val="21"/>
          <w:szCs w:val="21"/>
        </w:rPr>
        <w:t>]个月试运行期。试运行期中，因中标人平台系统存在重大缺陷而引起的技术要求不满足，中标人应完成平台系统的缺陷修复后，重新进入试运行阶段。</w:t>
      </w:r>
    </w:p>
    <w:p w14:paraId="2025BEF3">
      <w:pPr>
        <w:widowControl/>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3、试运行期圆满完成后，由中标人项目经理正式提交终验申请。采购人需在接到中标人终验申请后组织进行终验工作，确认每个设备和整个系统是否已达到招标文件的各项功能要求。如果全部符合要求，双方共同签署终验报告。</w:t>
      </w:r>
    </w:p>
    <w:p w14:paraId="35C56226">
      <w:pPr>
        <w:widowControl/>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4、质保期结束后，由中标人项目经理正式提交申请质保期验收，采购人需在接到中标人质保期验收申请后组织进行验收工作，验收通过后双方共同签署质保期的验收报告。</w:t>
      </w:r>
    </w:p>
    <w:p w14:paraId="0F0BDA05">
      <w:pPr>
        <w:widowControl/>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5、每年维保期届满后，由中标人项目经理正式提交申请维保验收，采购人需在接到中标人维保验收申请后组织进行验收工作，验收通过后双方共同签署维保验收报告。</w:t>
      </w:r>
    </w:p>
    <w:p w14:paraId="14F62785">
      <w:pPr>
        <w:widowControl/>
        <w:spacing w:line="360" w:lineRule="auto"/>
        <w:ind w:firstLine="420" w:firstLineChars="200"/>
        <w:rPr>
          <w:rFonts w:hint="eastAsia" w:ascii="宋体" w:hAnsi="宋体" w:eastAsia="宋体" w:cs="宋体"/>
          <w:sz w:val="21"/>
          <w:szCs w:val="21"/>
        </w:rPr>
      </w:pPr>
      <w:r>
        <w:rPr>
          <w:rFonts w:hint="eastAsia" w:ascii="宋体" w:hAnsi="宋体" w:eastAsia="宋体" w:cs="宋体"/>
          <w:color w:val="000000"/>
          <w:sz w:val="21"/>
          <w:szCs w:val="21"/>
        </w:rPr>
        <w:t>6、采购人或其代表有权检验或测试货物，以确认货物及系统平台是否符合投标文件及合同规格的要求，并且不承担额外的费用。</w:t>
      </w:r>
    </w:p>
    <w:p w14:paraId="4F9543B0">
      <w:pPr>
        <w:pStyle w:val="2"/>
        <w:rPr>
          <w:rFonts w:hint="eastAsia" w:ascii="宋体" w:hAnsi="宋体" w:eastAsia="宋体" w:cs="宋体"/>
          <w:sz w:val="21"/>
          <w:szCs w:val="21"/>
        </w:rPr>
      </w:pPr>
      <w:r>
        <w:rPr>
          <w:rFonts w:hint="eastAsia" w:ascii="宋体" w:hAnsi="宋体" w:eastAsia="宋体" w:cs="宋体"/>
          <w:sz w:val="21"/>
          <w:szCs w:val="21"/>
        </w:rPr>
        <w:t>九、付款方式</w:t>
      </w:r>
    </w:p>
    <w:p w14:paraId="64541F90">
      <w:pPr>
        <w:spacing w:line="360" w:lineRule="auto"/>
        <w:ind w:firstLine="316" w:firstLineChars="150"/>
        <w:rPr>
          <w:rFonts w:hint="eastAsia" w:ascii="宋体" w:hAnsi="宋体" w:eastAsia="宋体" w:cs="宋体"/>
          <w:color w:val="000000"/>
          <w:sz w:val="21"/>
          <w:szCs w:val="21"/>
        </w:rPr>
      </w:pPr>
      <w:r>
        <w:rPr>
          <w:rFonts w:hint="eastAsia" w:ascii="宋体" w:hAnsi="宋体" w:eastAsia="宋体" w:cs="宋体"/>
          <w:b/>
          <w:bCs/>
          <w:color w:val="000000"/>
          <w:sz w:val="21"/>
          <w:szCs w:val="21"/>
        </w:rPr>
        <w:t>合同款支付按如下方式分期支付：</w:t>
      </w:r>
    </w:p>
    <w:p w14:paraId="072EC484">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1、合同签署生效后，中标人从合同总金额中扣除维保费用，按扣除维保费用后剩余合同金额的30%开具等额正式发票，采购人收到正式发票后20个工作日内支付款项作为合同预付款。</w:t>
      </w:r>
    </w:p>
    <w:p w14:paraId="2835ADC8">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2、初验合格后，根据服务评分结果，中标人从合同总金额中扣除维保费用，按扣除维保费用后剩余合同金额的不超过30%开具等额正式发票，采购人收到正式发票后20个工作日内支付款项给中标人。</w:t>
      </w:r>
    </w:p>
    <w:p w14:paraId="2E58A37B">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项目初验时，由采购人项目负责人/经办人综合各个使用部门的意见，进行服务评分，服务评分总分100分。初验通过并且最终服务得分大于等于90分，则本次付款支付扣除维保费用外剩余合同金额的30%给中标人；初验通过并且最终得分小于90分大于等于80分，则本次付款支付除维保费用外剩余合同金额的20%给中标人；初验通过并且最终得分小于80分，则本次付款支付除维保费用外剩余合同金额的10%给中标人。本次最高可支付金额跟本次实际支付的金额之间的差额将不再支付，具体服务评分标准详见《项目服务考核评分表》。</w:t>
      </w:r>
    </w:p>
    <w:p w14:paraId="198466A6">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3、终验合格后，根据服务评分结果，中标人从合同总金额中扣除维保费用，按扣除维保费用后剩余合同金额的不超过35%开具等额正式发票，采购人收到正式发票后20个工作日内支付款项给中标人。</w:t>
      </w:r>
    </w:p>
    <w:p w14:paraId="0762B44B">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项目终验时，由采购人项目负责人/经办人综合各个使用部门的意见，进行服务评分，服务评分总分100分。终验通过并且最终服务得分大于等于90分，则本次付款支付除维保费用外剩余合同金额的35%给中标人；终验通过并且最终得分小于90分大于等于80分，则本次付款支付除维保费用外剩余合同金额的25%给中标人；终验通过并且最终得分小于80分，则本次付款支付除维保费用外剩余合同金额的15%给中标人。本次最高可支付金额跟本次实际支付的金额之间的差额将不再支付，具体服务评分标准详见《项目服务考核评分表》。</w:t>
      </w:r>
    </w:p>
    <w:p w14:paraId="70AB4762">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4、质保期验收合格后，中标人从合同总金额中扣除维保费用，按扣除维保费用后剩余合同金额的5%开具等额正式发票，采购人收到正式发票后20个工作日内支付款项给中标人。</w:t>
      </w:r>
    </w:p>
    <w:p w14:paraId="75DE65E5">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5、维保费按维保期年限分期支付，每年支付一次。每年维保期届满后，根据维保服务评分考核结果，验收合格后，中标方开具一年维保费用项等额正式发票，采购人收到正式发票后20个工作日内支付款项给中标人,具体服务评分标准详见《维保服务考核评分表》。</w:t>
      </w:r>
    </w:p>
    <w:p w14:paraId="6FF80696">
      <w:pPr>
        <w:snapToGrid w:val="0"/>
        <w:spacing w:line="360" w:lineRule="auto"/>
        <w:ind w:firstLine="420"/>
        <w:rPr>
          <w:rFonts w:hint="eastAsia" w:ascii="宋体" w:hAnsi="宋体" w:eastAsia="宋体" w:cs="宋体"/>
          <w:bCs/>
          <w:sz w:val="21"/>
          <w:szCs w:val="21"/>
        </w:rPr>
      </w:pPr>
      <w:r>
        <w:rPr>
          <w:rFonts w:hint="eastAsia" w:ascii="宋体" w:hAnsi="宋体" w:eastAsia="宋体" w:cs="宋体"/>
          <w:bCs/>
          <w:sz w:val="21"/>
          <w:szCs w:val="21"/>
        </w:rPr>
        <w:t>中标人每年提供年度维保总结、巡检报告等证明文件，采购人考核验收通过后，支付维保服务费用。维保服务得分大于等于90分时，则支付维保价格的100%；服务得分小于90分大于等于80分，则支付维保价格的90%；服务得分小于80分大于等于60分，则支付维保价格的75%；服务得分小于60分，则支付维保价格的50%。最高可支付金额跟本次实际支付的金额之间的差额将不再支付，具体服务评分标准详见《维保服务考核评分表》。</w:t>
      </w:r>
    </w:p>
    <w:p w14:paraId="1921A733">
      <w:pPr>
        <w:snapToGrid w:val="0"/>
        <w:spacing w:line="360" w:lineRule="auto"/>
        <w:ind w:firstLine="420"/>
        <w:rPr>
          <w:rFonts w:hint="eastAsia" w:ascii="宋体" w:hAnsi="宋体" w:eastAsia="宋体" w:cs="宋体"/>
          <w:bCs/>
          <w:sz w:val="21"/>
          <w:szCs w:val="21"/>
        </w:rPr>
      </w:pPr>
      <w:r>
        <w:rPr>
          <w:rFonts w:hint="eastAsia" w:ascii="宋体" w:hAnsi="宋体" w:eastAsia="宋体" w:cs="宋体"/>
          <w:bCs/>
          <w:sz w:val="21"/>
          <w:szCs w:val="21"/>
        </w:rPr>
        <w:t>6、付款方式：银行汇付（含电汇）形式或银行承兑汇票形式。</w:t>
      </w:r>
    </w:p>
    <w:p w14:paraId="3B1808FF">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7、中标人向采购人开具的发票为增值税专用发票。</w:t>
      </w:r>
    </w:p>
    <w:p w14:paraId="241E04B1">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8、中标人确认，上述服务评分方式为双方就验收、结算及付款所作出的特别约定，采购人作出服务评分后，中标人均予以认可，中标人不对本条款约定的效力或上述评分方式、评分过程、评分结果提出任何异议。</w:t>
      </w:r>
    </w:p>
    <w:p w14:paraId="48B16F2F">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9、若采购人中标人双方任何一方有存在违反合同约定而造成罚款的，应该在付款确认函中写明，并确认本期最终的付款金额，双方加盖公章。如果本期双方未有违约行为，按照合同约定的金额进行付款的，也需要提供付款确认函证明，并双方加盖公章。</w:t>
      </w:r>
    </w:p>
    <w:p w14:paraId="5C258193">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10、项目服务考核评分表</w:t>
      </w:r>
    </w:p>
    <w:p w14:paraId="0A222423">
      <w:pPr>
        <w:pStyle w:val="9"/>
        <w:ind w:firstLine="0" w:firstLineChars="0"/>
        <w:rPr>
          <w:rFonts w:hint="eastAsia" w:ascii="宋体" w:hAnsi="宋体" w:eastAsia="宋体" w:cs="宋体"/>
          <w:bCs/>
          <w:sz w:val="21"/>
          <w:szCs w:val="21"/>
        </w:rPr>
      </w:pPr>
    </w:p>
    <w:p w14:paraId="6147FB5C">
      <w:pPr>
        <w:snapToGrid w:val="0"/>
        <w:spacing w:line="360" w:lineRule="auto"/>
        <w:jc w:val="center"/>
        <w:rPr>
          <w:rFonts w:hint="eastAsia" w:ascii="宋体" w:hAnsi="宋体" w:eastAsia="宋体" w:cs="宋体"/>
          <w:b/>
          <w:sz w:val="21"/>
          <w:szCs w:val="21"/>
        </w:rPr>
      </w:pPr>
      <w:r>
        <w:rPr>
          <w:rFonts w:hint="eastAsia" w:ascii="宋体" w:hAnsi="宋体" w:eastAsia="宋体" w:cs="宋体"/>
          <w:b/>
          <w:sz w:val="21"/>
          <w:szCs w:val="21"/>
        </w:rPr>
        <w:t>项目服务考核评分表</w:t>
      </w:r>
    </w:p>
    <w:tbl>
      <w:tblPr>
        <w:tblStyle w:val="10"/>
        <w:tblW w:w="5000" w:type="pct"/>
        <w:tblInd w:w="0" w:type="dxa"/>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Layout w:type="autofit"/>
        <w:tblCellMar>
          <w:top w:w="15" w:type="dxa"/>
          <w:left w:w="15" w:type="dxa"/>
          <w:bottom w:w="15" w:type="dxa"/>
          <w:right w:w="15" w:type="dxa"/>
        </w:tblCellMar>
      </w:tblPr>
      <w:tblGrid>
        <w:gridCol w:w="1042"/>
        <w:gridCol w:w="1559"/>
        <w:gridCol w:w="4909"/>
        <w:gridCol w:w="825"/>
      </w:tblGrid>
      <w:tr w14:paraId="590A373E">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000" w:type="pct"/>
            <w:gridSpan w:val="4"/>
            <w:tcBorders>
              <w:top w:val="single" w:color="000000" w:sz="6" w:space="0"/>
              <w:left w:val="single" w:color="000000" w:sz="6" w:space="0"/>
              <w:bottom w:val="single" w:color="000000" w:sz="6" w:space="0"/>
              <w:right w:val="single" w:color="000000" w:sz="6" w:space="0"/>
            </w:tcBorders>
            <w:shd w:val="clear" w:color="auto" w:fill="FFFFFF"/>
            <w:vAlign w:val="center"/>
          </w:tcPr>
          <w:p w14:paraId="6BC4FBEA">
            <w:pPr>
              <w:widowControl/>
              <w:spacing w:line="360" w:lineRule="auto"/>
              <w:rPr>
                <w:rFonts w:hint="eastAsia" w:ascii="宋体" w:hAnsi="宋体" w:eastAsia="宋体" w:cs="宋体"/>
                <w:kern w:val="0"/>
                <w:sz w:val="21"/>
                <w:szCs w:val="21"/>
              </w:rPr>
            </w:pPr>
            <w:r>
              <w:rPr>
                <w:rFonts w:hint="eastAsia" w:ascii="宋体" w:hAnsi="宋体" w:eastAsia="宋体" w:cs="宋体"/>
                <w:kern w:val="0"/>
                <w:sz w:val="21"/>
                <w:szCs w:val="21"/>
              </w:rPr>
              <w:t>项目名称：XXXX项目</w:t>
            </w:r>
          </w:p>
        </w:tc>
      </w:tr>
      <w:tr w14:paraId="74095ADD">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PrEx>
        <w:trPr>
          <w:trHeight w:val="330" w:hRule="atLeast"/>
        </w:trPr>
        <w:tc>
          <w:tcPr>
            <w:tcW w:w="5000" w:type="pct"/>
            <w:gridSpan w:val="4"/>
            <w:tcBorders>
              <w:top w:val="single" w:color="000000" w:sz="6" w:space="0"/>
              <w:left w:val="single" w:color="000000" w:sz="6" w:space="0"/>
              <w:bottom w:val="single" w:color="000000" w:sz="6" w:space="0"/>
              <w:right w:val="single" w:color="000000" w:sz="6" w:space="0"/>
            </w:tcBorders>
            <w:shd w:val="clear" w:color="auto" w:fill="FFFFFF"/>
            <w:vAlign w:val="center"/>
          </w:tcPr>
          <w:p w14:paraId="3CBAB609">
            <w:pPr>
              <w:widowControl/>
              <w:spacing w:line="360" w:lineRule="auto"/>
              <w:rPr>
                <w:rFonts w:hint="eastAsia" w:ascii="宋体" w:hAnsi="宋体" w:eastAsia="宋体" w:cs="宋体"/>
                <w:kern w:val="0"/>
                <w:sz w:val="21"/>
                <w:szCs w:val="21"/>
              </w:rPr>
            </w:pPr>
            <w:r>
              <w:rPr>
                <w:rFonts w:hint="eastAsia" w:ascii="宋体" w:hAnsi="宋体" w:eastAsia="宋体" w:cs="宋体"/>
                <w:kern w:val="0"/>
                <w:sz w:val="21"/>
                <w:szCs w:val="21"/>
              </w:rPr>
              <w:t>建设单位（甲方）：广东南方新媒体股份有限公司</w:t>
            </w:r>
          </w:p>
        </w:tc>
      </w:tr>
      <w:tr w14:paraId="5DA418C8">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000" w:type="pct"/>
            <w:gridSpan w:val="4"/>
            <w:tcBorders>
              <w:top w:val="single" w:color="000000" w:sz="6" w:space="0"/>
              <w:left w:val="single" w:color="000000" w:sz="6" w:space="0"/>
              <w:bottom w:val="single" w:color="000000" w:sz="6" w:space="0"/>
              <w:right w:val="single" w:color="000000" w:sz="6" w:space="0"/>
            </w:tcBorders>
            <w:shd w:val="clear" w:color="auto" w:fill="FFFFFF"/>
            <w:vAlign w:val="center"/>
          </w:tcPr>
          <w:p w14:paraId="7DE7C303">
            <w:pPr>
              <w:widowControl/>
              <w:spacing w:line="360" w:lineRule="auto"/>
              <w:rPr>
                <w:rFonts w:hint="eastAsia" w:ascii="宋体" w:hAnsi="宋体" w:eastAsia="宋体" w:cs="宋体"/>
                <w:kern w:val="0"/>
                <w:sz w:val="21"/>
                <w:szCs w:val="21"/>
              </w:rPr>
            </w:pPr>
            <w:r>
              <w:rPr>
                <w:rFonts w:hint="eastAsia" w:ascii="宋体" w:hAnsi="宋体" w:eastAsia="宋体" w:cs="宋体"/>
                <w:kern w:val="0"/>
                <w:sz w:val="21"/>
                <w:szCs w:val="21"/>
              </w:rPr>
              <w:t xml:space="preserve">承建单位（乙方）：xxxx                      </w:t>
            </w:r>
          </w:p>
        </w:tc>
      </w:tr>
      <w:tr w14:paraId="600A56DA">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000" w:type="pct"/>
            <w:gridSpan w:val="4"/>
            <w:tcBorders>
              <w:top w:val="single" w:color="000000" w:sz="6" w:space="0"/>
              <w:left w:val="single" w:color="000000" w:sz="6" w:space="0"/>
              <w:bottom w:val="single" w:color="000000" w:sz="6" w:space="0"/>
              <w:right w:val="single" w:color="000000" w:sz="6" w:space="0"/>
            </w:tcBorders>
            <w:shd w:val="clear" w:color="auto" w:fill="FFFFFF"/>
            <w:vAlign w:val="center"/>
          </w:tcPr>
          <w:p w14:paraId="7644B221">
            <w:pPr>
              <w:widowControl/>
              <w:spacing w:line="360" w:lineRule="auto"/>
              <w:rPr>
                <w:rFonts w:hint="eastAsia" w:ascii="宋体" w:hAnsi="宋体" w:eastAsia="宋体" w:cs="宋体"/>
                <w:kern w:val="0"/>
                <w:sz w:val="21"/>
                <w:szCs w:val="21"/>
              </w:rPr>
            </w:pPr>
            <w:r>
              <w:rPr>
                <w:rFonts w:hint="eastAsia" w:ascii="宋体" w:hAnsi="宋体" w:eastAsia="宋体" w:cs="宋体"/>
                <w:kern w:val="0"/>
                <w:sz w:val="21"/>
                <w:szCs w:val="21"/>
              </w:rPr>
              <w:t>考核时期：初验/终验</w:t>
            </w:r>
          </w:p>
        </w:tc>
      </w:tr>
      <w:tr w14:paraId="2F76D1BA">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25" w:type="pct"/>
            <w:tcBorders>
              <w:top w:val="single" w:color="000000" w:sz="6" w:space="0"/>
              <w:left w:val="single" w:color="000000" w:sz="6" w:space="0"/>
              <w:bottom w:val="single" w:color="000000" w:sz="6" w:space="0"/>
              <w:right w:val="single" w:color="000000" w:sz="6" w:space="0"/>
            </w:tcBorders>
            <w:shd w:val="clear" w:color="auto" w:fill="FFFFFF"/>
            <w:vAlign w:val="center"/>
          </w:tcPr>
          <w:p w14:paraId="7A5E2A1F">
            <w:pPr>
              <w:spacing w:line="360" w:lineRule="auto"/>
              <w:jc w:val="center"/>
              <w:rPr>
                <w:rFonts w:hint="eastAsia" w:ascii="宋体" w:hAnsi="宋体" w:eastAsia="宋体" w:cs="宋体"/>
                <w:b/>
                <w:sz w:val="21"/>
                <w:szCs w:val="21"/>
              </w:rPr>
            </w:pPr>
            <w:r>
              <w:rPr>
                <w:rFonts w:hint="eastAsia" w:ascii="宋体" w:hAnsi="宋体" w:eastAsia="宋体" w:cs="宋体"/>
                <w:b/>
                <w:sz w:val="21"/>
                <w:szCs w:val="21"/>
              </w:rPr>
              <w:t>考核项目</w:t>
            </w:r>
          </w:p>
        </w:tc>
        <w:tc>
          <w:tcPr>
            <w:tcW w:w="935" w:type="pct"/>
            <w:tcBorders>
              <w:top w:val="single" w:color="000000" w:sz="6" w:space="0"/>
              <w:left w:val="nil"/>
              <w:bottom w:val="single" w:color="000000" w:sz="6" w:space="0"/>
              <w:right w:val="single" w:color="000000" w:sz="6" w:space="0"/>
            </w:tcBorders>
            <w:shd w:val="clear" w:color="auto" w:fill="FFFFFF"/>
            <w:vAlign w:val="center"/>
          </w:tcPr>
          <w:p w14:paraId="6BB1DFC7">
            <w:pPr>
              <w:spacing w:line="360" w:lineRule="auto"/>
              <w:jc w:val="center"/>
              <w:rPr>
                <w:rFonts w:hint="eastAsia" w:ascii="宋体" w:hAnsi="宋体" w:eastAsia="宋体" w:cs="宋体"/>
                <w:b/>
                <w:sz w:val="21"/>
                <w:szCs w:val="21"/>
              </w:rPr>
            </w:pPr>
            <w:r>
              <w:rPr>
                <w:rFonts w:hint="eastAsia" w:ascii="宋体" w:hAnsi="宋体" w:eastAsia="宋体" w:cs="宋体"/>
                <w:b/>
                <w:sz w:val="21"/>
                <w:szCs w:val="21"/>
              </w:rPr>
              <w:t>考核内容</w:t>
            </w:r>
          </w:p>
        </w:tc>
        <w:tc>
          <w:tcPr>
            <w:tcW w:w="2945" w:type="pct"/>
            <w:tcBorders>
              <w:top w:val="single" w:color="000000" w:sz="6" w:space="0"/>
              <w:left w:val="nil"/>
              <w:bottom w:val="single" w:color="000000" w:sz="6" w:space="0"/>
              <w:right w:val="single" w:color="000000" w:sz="6" w:space="0"/>
            </w:tcBorders>
            <w:shd w:val="clear" w:color="auto" w:fill="FFFFFF"/>
            <w:vAlign w:val="center"/>
          </w:tcPr>
          <w:p w14:paraId="2729B9A7">
            <w:pPr>
              <w:spacing w:line="360" w:lineRule="auto"/>
              <w:jc w:val="center"/>
              <w:rPr>
                <w:rFonts w:hint="eastAsia" w:ascii="宋体" w:hAnsi="宋体" w:eastAsia="宋体" w:cs="宋体"/>
                <w:b/>
                <w:sz w:val="21"/>
                <w:szCs w:val="21"/>
              </w:rPr>
            </w:pPr>
            <w:r>
              <w:rPr>
                <w:rFonts w:hint="eastAsia" w:ascii="宋体" w:hAnsi="宋体" w:eastAsia="宋体" w:cs="宋体"/>
                <w:b/>
                <w:sz w:val="21"/>
                <w:szCs w:val="21"/>
              </w:rPr>
              <w:t>考核标准</w:t>
            </w:r>
          </w:p>
        </w:tc>
        <w:tc>
          <w:tcPr>
            <w:tcW w:w="494" w:type="pct"/>
            <w:tcBorders>
              <w:top w:val="single" w:color="000000" w:sz="6" w:space="0"/>
              <w:left w:val="nil"/>
              <w:bottom w:val="single" w:color="000000" w:sz="6" w:space="0"/>
              <w:right w:val="single" w:color="000000" w:sz="6" w:space="0"/>
            </w:tcBorders>
            <w:shd w:val="clear" w:color="auto" w:fill="FFFFFF"/>
            <w:vAlign w:val="center"/>
          </w:tcPr>
          <w:p w14:paraId="16C838C4">
            <w:pPr>
              <w:spacing w:line="360" w:lineRule="auto"/>
              <w:jc w:val="center"/>
              <w:rPr>
                <w:rFonts w:hint="eastAsia" w:ascii="宋体" w:hAnsi="宋体" w:eastAsia="宋体" w:cs="宋体"/>
                <w:b/>
                <w:sz w:val="21"/>
                <w:szCs w:val="21"/>
              </w:rPr>
            </w:pPr>
            <w:r>
              <w:rPr>
                <w:rFonts w:hint="eastAsia" w:ascii="宋体" w:hAnsi="宋体" w:eastAsia="宋体" w:cs="宋体"/>
                <w:b/>
                <w:sz w:val="21"/>
                <w:szCs w:val="21"/>
              </w:rPr>
              <w:t>考核分</w:t>
            </w:r>
          </w:p>
        </w:tc>
      </w:tr>
      <w:tr w14:paraId="76A749E4">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25" w:type="pct"/>
            <w:vMerge w:val="restart"/>
            <w:tcBorders>
              <w:top w:val="single" w:color="000000" w:sz="6" w:space="0"/>
              <w:left w:val="single" w:color="000000" w:sz="6" w:space="0"/>
              <w:right w:val="single" w:color="000000" w:sz="6" w:space="0"/>
            </w:tcBorders>
            <w:shd w:val="clear" w:color="auto" w:fill="FFFFFF"/>
            <w:vAlign w:val="center"/>
          </w:tcPr>
          <w:p w14:paraId="5D842658">
            <w:pPr>
              <w:spacing w:line="360" w:lineRule="auto"/>
              <w:jc w:val="center"/>
              <w:rPr>
                <w:rFonts w:hint="eastAsia" w:ascii="宋体" w:hAnsi="宋体" w:eastAsia="宋体" w:cs="宋体"/>
                <w:sz w:val="21"/>
                <w:szCs w:val="21"/>
              </w:rPr>
            </w:pPr>
            <w:r>
              <w:rPr>
                <w:rFonts w:hint="eastAsia" w:ascii="宋体" w:hAnsi="宋体" w:eastAsia="宋体" w:cs="宋体"/>
                <w:sz w:val="21"/>
                <w:szCs w:val="21"/>
              </w:rPr>
              <w:t>需求响应程度（30分）</w:t>
            </w:r>
          </w:p>
        </w:tc>
        <w:tc>
          <w:tcPr>
            <w:tcW w:w="935" w:type="pct"/>
            <w:tcBorders>
              <w:top w:val="single" w:color="000000" w:sz="6" w:space="0"/>
              <w:left w:val="nil"/>
              <w:bottom w:val="single" w:color="000000" w:sz="6" w:space="0"/>
              <w:right w:val="single" w:color="000000" w:sz="6" w:space="0"/>
            </w:tcBorders>
            <w:shd w:val="clear" w:color="auto" w:fill="FFFFFF"/>
            <w:vAlign w:val="center"/>
          </w:tcPr>
          <w:p w14:paraId="0C64938D">
            <w:pPr>
              <w:spacing w:line="360" w:lineRule="auto"/>
              <w:jc w:val="center"/>
              <w:rPr>
                <w:rFonts w:hint="eastAsia" w:ascii="宋体" w:hAnsi="宋体" w:eastAsia="宋体" w:cs="宋体"/>
                <w:sz w:val="21"/>
                <w:szCs w:val="21"/>
              </w:rPr>
            </w:pPr>
            <w:r>
              <w:rPr>
                <w:rFonts w:hint="eastAsia" w:ascii="宋体" w:hAnsi="宋体" w:eastAsia="宋体" w:cs="宋体"/>
                <w:sz w:val="21"/>
                <w:szCs w:val="21"/>
              </w:rPr>
              <w:t>1.对项目需求的理解程度和响应速度</w:t>
            </w:r>
          </w:p>
        </w:tc>
        <w:tc>
          <w:tcPr>
            <w:tcW w:w="2945" w:type="pct"/>
            <w:tcBorders>
              <w:top w:val="single" w:color="000000" w:sz="6" w:space="0"/>
              <w:left w:val="nil"/>
              <w:bottom w:val="single" w:color="000000" w:sz="6" w:space="0"/>
              <w:right w:val="single" w:color="000000" w:sz="6" w:space="0"/>
            </w:tcBorders>
            <w:shd w:val="clear" w:color="auto" w:fill="FFFFFF"/>
            <w:vAlign w:val="center"/>
          </w:tcPr>
          <w:p w14:paraId="58040C3D">
            <w:pPr>
              <w:pStyle w:val="9"/>
              <w:spacing w:after="0"/>
              <w:ind w:firstLine="0" w:firstLineChars="0"/>
              <w:rPr>
                <w:rFonts w:hint="eastAsia" w:ascii="宋体" w:hAnsi="宋体" w:eastAsia="宋体" w:cs="宋体"/>
                <w:sz w:val="21"/>
                <w:szCs w:val="21"/>
              </w:rPr>
            </w:pPr>
            <w:r>
              <w:rPr>
                <w:rFonts w:hint="eastAsia" w:ascii="宋体" w:hAnsi="宋体" w:eastAsia="宋体" w:cs="宋体"/>
                <w:sz w:val="21"/>
                <w:szCs w:val="21"/>
              </w:rPr>
              <w:t>1）迅速且准确理解需求，积极响应并给出合理建议。（10分）</w:t>
            </w:r>
          </w:p>
          <w:p w14:paraId="5DDD6AB5">
            <w:pPr>
              <w:pStyle w:val="9"/>
              <w:spacing w:after="0"/>
              <w:ind w:firstLine="0" w:firstLineChars="0"/>
              <w:rPr>
                <w:rFonts w:hint="eastAsia" w:ascii="宋体" w:hAnsi="宋体" w:eastAsia="宋体" w:cs="宋体"/>
                <w:sz w:val="21"/>
                <w:szCs w:val="21"/>
              </w:rPr>
            </w:pPr>
            <w:r>
              <w:rPr>
                <w:rFonts w:hint="eastAsia" w:ascii="宋体" w:hAnsi="宋体" w:eastAsia="宋体" w:cs="宋体"/>
                <w:sz w:val="21"/>
                <w:szCs w:val="21"/>
              </w:rPr>
              <w:t>2）响应速度慢或未响应，每次扣1分；</w:t>
            </w:r>
          </w:p>
          <w:p w14:paraId="68BC4033">
            <w:pPr>
              <w:pStyle w:val="9"/>
              <w:spacing w:after="0"/>
              <w:ind w:firstLine="0" w:firstLineChars="0"/>
              <w:rPr>
                <w:rFonts w:hint="eastAsia" w:ascii="宋体" w:hAnsi="宋体" w:eastAsia="宋体" w:cs="宋体"/>
                <w:sz w:val="21"/>
                <w:szCs w:val="21"/>
              </w:rPr>
            </w:pPr>
            <w:r>
              <w:rPr>
                <w:rFonts w:hint="eastAsia" w:ascii="宋体" w:hAnsi="宋体" w:eastAsia="宋体" w:cs="宋体"/>
                <w:sz w:val="21"/>
                <w:szCs w:val="21"/>
              </w:rPr>
              <w:t>3）需求理解有误，每次扣2分；</w:t>
            </w:r>
          </w:p>
          <w:p w14:paraId="1E7EBF64">
            <w:pPr>
              <w:pStyle w:val="9"/>
              <w:spacing w:after="0"/>
              <w:ind w:firstLine="0" w:firstLineChars="0"/>
              <w:rPr>
                <w:rFonts w:hint="eastAsia" w:ascii="宋体" w:hAnsi="宋体" w:eastAsia="宋体" w:cs="宋体"/>
                <w:sz w:val="21"/>
                <w:szCs w:val="21"/>
              </w:rPr>
            </w:pPr>
            <w:r>
              <w:rPr>
                <w:rFonts w:hint="eastAsia" w:ascii="宋体" w:hAnsi="宋体" w:eastAsia="宋体" w:cs="宋体"/>
                <w:sz w:val="21"/>
                <w:szCs w:val="21"/>
              </w:rPr>
              <w:t>4）无响应或完全不理解需求，每次扣5分。</w:t>
            </w:r>
          </w:p>
          <w:p w14:paraId="79FF7BEA">
            <w:pPr>
              <w:pStyle w:val="9"/>
              <w:spacing w:after="0"/>
              <w:ind w:firstLine="0" w:firstLineChars="0"/>
              <w:rPr>
                <w:rFonts w:hint="eastAsia" w:ascii="宋体" w:hAnsi="宋体" w:eastAsia="宋体" w:cs="宋体"/>
                <w:sz w:val="21"/>
                <w:szCs w:val="21"/>
              </w:rPr>
            </w:pPr>
            <w:r>
              <w:rPr>
                <w:rFonts w:hint="eastAsia" w:ascii="宋体" w:hAnsi="宋体" w:eastAsia="宋体" w:cs="宋体"/>
                <w:sz w:val="21"/>
                <w:szCs w:val="21"/>
              </w:rPr>
              <w:t>采购人代表</w:t>
            </w:r>
            <w:r>
              <w:rPr>
                <w:rFonts w:hint="eastAsia" w:ascii="宋体" w:hAnsi="宋体" w:eastAsia="宋体" w:cs="宋体"/>
                <w:kern w:val="0"/>
                <w:sz w:val="21"/>
                <w:szCs w:val="21"/>
              </w:rPr>
              <w:t>记录处理情况和扣分记录抄送采购人和中标人项目负责人。</w:t>
            </w:r>
          </w:p>
        </w:tc>
        <w:tc>
          <w:tcPr>
            <w:tcW w:w="494" w:type="pct"/>
            <w:tcBorders>
              <w:top w:val="single" w:color="000000" w:sz="6" w:space="0"/>
              <w:left w:val="nil"/>
              <w:bottom w:val="single" w:color="000000" w:sz="6" w:space="0"/>
              <w:right w:val="single" w:color="000000" w:sz="6" w:space="0"/>
            </w:tcBorders>
            <w:shd w:val="clear" w:color="auto" w:fill="FFFFFF"/>
            <w:vAlign w:val="center"/>
          </w:tcPr>
          <w:p w14:paraId="10313B25">
            <w:pPr>
              <w:widowControl/>
              <w:spacing w:line="360" w:lineRule="auto"/>
              <w:jc w:val="center"/>
              <w:rPr>
                <w:rFonts w:hint="eastAsia" w:ascii="宋体" w:hAnsi="宋体" w:eastAsia="宋体" w:cs="宋体"/>
                <w:kern w:val="0"/>
                <w:sz w:val="21"/>
                <w:szCs w:val="21"/>
              </w:rPr>
            </w:pPr>
          </w:p>
        </w:tc>
      </w:tr>
      <w:tr w14:paraId="3DE4D4BF">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25" w:type="pct"/>
            <w:vMerge w:val="continue"/>
            <w:tcBorders>
              <w:left w:val="single" w:color="000000" w:sz="6" w:space="0"/>
              <w:right w:val="single" w:color="000000" w:sz="6" w:space="0"/>
            </w:tcBorders>
            <w:shd w:val="clear" w:color="auto" w:fill="FFFFFF"/>
            <w:vAlign w:val="center"/>
          </w:tcPr>
          <w:p w14:paraId="1F407BBA">
            <w:pPr>
              <w:spacing w:line="360" w:lineRule="auto"/>
              <w:jc w:val="center"/>
              <w:rPr>
                <w:rFonts w:hint="eastAsia" w:ascii="宋体" w:hAnsi="宋体" w:eastAsia="宋体" w:cs="宋体"/>
                <w:sz w:val="21"/>
                <w:szCs w:val="21"/>
              </w:rPr>
            </w:pPr>
          </w:p>
        </w:tc>
        <w:tc>
          <w:tcPr>
            <w:tcW w:w="935" w:type="pct"/>
            <w:tcBorders>
              <w:top w:val="single" w:color="000000" w:sz="6" w:space="0"/>
              <w:left w:val="nil"/>
              <w:bottom w:val="single" w:color="000000" w:sz="6" w:space="0"/>
              <w:right w:val="single" w:color="000000" w:sz="6" w:space="0"/>
            </w:tcBorders>
            <w:shd w:val="clear" w:color="auto" w:fill="FFFFFF"/>
            <w:vAlign w:val="center"/>
          </w:tcPr>
          <w:p w14:paraId="5153FF6A">
            <w:pPr>
              <w:spacing w:line="360" w:lineRule="auto"/>
              <w:jc w:val="center"/>
              <w:rPr>
                <w:rFonts w:hint="eastAsia" w:ascii="宋体" w:hAnsi="宋体" w:eastAsia="宋体" w:cs="宋体"/>
                <w:sz w:val="21"/>
                <w:szCs w:val="21"/>
              </w:rPr>
            </w:pPr>
            <w:r>
              <w:rPr>
                <w:rFonts w:hint="eastAsia" w:ascii="宋体" w:hAnsi="宋体" w:eastAsia="宋体" w:cs="宋体"/>
                <w:sz w:val="21"/>
                <w:szCs w:val="21"/>
              </w:rPr>
              <w:t>2.需求变更时的灵活性和配合度</w:t>
            </w:r>
          </w:p>
        </w:tc>
        <w:tc>
          <w:tcPr>
            <w:tcW w:w="2945" w:type="pct"/>
            <w:tcBorders>
              <w:top w:val="single" w:color="000000" w:sz="6" w:space="0"/>
              <w:left w:val="nil"/>
              <w:bottom w:val="single" w:color="000000" w:sz="6" w:space="0"/>
              <w:right w:val="single" w:color="000000" w:sz="6" w:space="0"/>
            </w:tcBorders>
            <w:shd w:val="clear" w:color="auto" w:fill="FFFFFF"/>
            <w:vAlign w:val="center"/>
          </w:tcPr>
          <w:p w14:paraId="10E0F14C">
            <w:pPr>
              <w:pStyle w:val="9"/>
              <w:spacing w:after="0"/>
              <w:ind w:firstLine="0" w:firstLineChars="0"/>
              <w:rPr>
                <w:rFonts w:hint="eastAsia" w:ascii="宋体" w:hAnsi="宋体" w:eastAsia="宋体" w:cs="宋体"/>
                <w:sz w:val="21"/>
                <w:szCs w:val="21"/>
              </w:rPr>
            </w:pPr>
            <w:r>
              <w:rPr>
                <w:rFonts w:hint="eastAsia" w:ascii="宋体" w:hAnsi="宋体" w:eastAsia="宋体" w:cs="宋体"/>
                <w:kern w:val="0"/>
                <w:sz w:val="21"/>
                <w:szCs w:val="21"/>
              </w:rPr>
              <w:t>1）</w:t>
            </w:r>
            <w:r>
              <w:rPr>
                <w:rFonts w:hint="eastAsia" w:ascii="宋体" w:hAnsi="宋体" w:eastAsia="宋体" w:cs="宋体"/>
                <w:sz w:val="21"/>
                <w:szCs w:val="21"/>
              </w:rPr>
              <w:t>能够灵活应对需求变更，积极与采购方沟通配合。（10分）</w:t>
            </w:r>
          </w:p>
          <w:p w14:paraId="489B2681">
            <w:pPr>
              <w:pStyle w:val="9"/>
              <w:spacing w:after="0"/>
              <w:ind w:firstLine="0" w:firstLineChars="0"/>
              <w:rPr>
                <w:rFonts w:hint="eastAsia" w:ascii="宋体" w:hAnsi="宋体" w:eastAsia="宋体" w:cs="宋体"/>
                <w:sz w:val="21"/>
                <w:szCs w:val="21"/>
              </w:rPr>
            </w:pPr>
            <w:r>
              <w:rPr>
                <w:rFonts w:hint="eastAsia" w:ascii="宋体" w:hAnsi="宋体" w:eastAsia="宋体" w:cs="宋体"/>
                <w:sz w:val="21"/>
                <w:szCs w:val="21"/>
              </w:rPr>
              <w:t>2）对需求变更反应迟缓，每次扣1分；</w:t>
            </w:r>
          </w:p>
          <w:p w14:paraId="54BCF88D">
            <w:pPr>
              <w:pStyle w:val="9"/>
              <w:spacing w:after="0"/>
              <w:ind w:firstLine="0" w:firstLineChars="0"/>
              <w:rPr>
                <w:rFonts w:hint="eastAsia" w:ascii="宋体" w:hAnsi="宋体" w:eastAsia="宋体" w:cs="宋体"/>
                <w:sz w:val="21"/>
                <w:szCs w:val="21"/>
              </w:rPr>
            </w:pPr>
            <w:r>
              <w:rPr>
                <w:rFonts w:hint="eastAsia" w:ascii="宋体" w:hAnsi="宋体" w:eastAsia="宋体" w:cs="宋体"/>
                <w:sz w:val="21"/>
                <w:szCs w:val="21"/>
              </w:rPr>
              <w:t>3）变更配合度不够，每次扣2分；</w:t>
            </w:r>
          </w:p>
          <w:p w14:paraId="40B6F1B6">
            <w:pPr>
              <w:pStyle w:val="9"/>
              <w:spacing w:after="0"/>
              <w:ind w:firstLine="0" w:firstLineChars="0"/>
              <w:rPr>
                <w:rFonts w:hint="eastAsia" w:ascii="宋体" w:hAnsi="宋体" w:eastAsia="宋体" w:cs="宋体"/>
                <w:sz w:val="21"/>
                <w:szCs w:val="21"/>
              </w:rPr>
            </w:pPr>
            <w:r>
              <w:rPr>
                <w:rFonts w:hint="eastAsia" w:ascii="宋体" w:hAnsi="宋体" w:eastAsia="宋体" w:cs="宋体"/>
                <w:sz w:val="21"/>
                <w:szCs w:val="21"/>
              </w:rPr>
              <w:t>4）拒绝配合需求变更，每次扣5分。</w:t>
            </w:r>
          </w:p>
          <w:p w14:paraId="5C26D040">
            <w:pPr>
              <w:pStyle w:val="9"/>
              <w:spacing w:after="0"/>
              <w:ind w:firstLine="0" w:firstLineChars="0"/>
              <w:rPr>
                <w:rFonts w:hint="eastAsia" w:ascii="宋体" w:hAnsi="宋体" w:eastAsia="宋体" w:cs="宋体"/>
                <w:sz w:val="21"/>
                <w:szCs w:val="21"/>
              </w:rPr>
            </w:pPr>
            <w:r>
              <w:rPr>
                <w:rFonts w:hint="eastAsia" w:ascii="宋体" w:hAnsi="宋体" w:eastAsia="宋体" w:cs="宋体"/>
                <w:sz w:val="21"/>
                <w:szCs w:val="21"/>
              </w:rPr>
              <w:t>采购人代表</w:t>
            </w:r>
            <w:r>
              <w:rPr>
                <w:rFonts w:hint="eastAsia" w:ascii="宋体" w:hAnsi="宋体" w:eastAsia="宋体" w:cs="宋体"/>
                <w:kern w:val="0"/>
                <w:sz w:val="21"/>
                <w:szCs w:val="21"/>
              </w:rPr>
              <w:t>记录处理情况和扣分记录抄送采购人和中标人项目负责人。</w:t>
            </w:r>
          </w:p>
        </w:tc>
        <w:tc>
          <w:tcPr>
            <w:tcW w:w="494" w:type="pct"/>
            <w:tcBorders>
              <w:top w:val="single" w:color="000000" w:sz="6" w:space="0"/>
              <w:left w:val="nil"/>
              <w:bottom w:val="single" w:color="000000" w:sz="6" w:space="0"/>
              <w:right w:val="single" w:color="000000" w:sz="6" w:space="0"/>
            </w:tcBorders>
            <w:shd w:val="clear" w:color="auto" w:fill="FFFFFF"/>
            <w:vAlign w:val="center"/>
          </w:tcPr>
          <w:p w14:paraId="02AAFF9F">
            <w:pPr>
              <w:widowControl/>
              <w:spacing w:line="360" w:lineRule="auto"/>
              <w:jc w:val="center"/>
              <w:rPr>
                <w:rFonts w:hint="eastAsia" w:ascii="宋体" w:hAnsi="宋体" w:eastAsia="宋体" w:cs="宋体"/>
                <w:kern w:val="0"/>
                <w:sz w:val="21"/>
                <w:szCs w:val="21"/>
              </w:rPr>
            </w:pPr>
          </w:p>
        </w:tc>
      </w:tr>
      <w:tr w14:paraId="6B806E6D">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25" w:type="pct"/>
            <w:vMerge w:val="continue"/>
            <w:tcBorders>
              <w:left w:val="single" w:color="000000" w:sz="6" w:space="0"/>
              <w:right w:val="single" w:color="000000" w:sz="6" w:space="0"/>
            </w:tcBorders>
            <w:shd w:val="clear" w:color="auto" w:fill="FFFFFF"/>
            <w:vAlign w:val="center"/>
          </w:tcPr>
          <w:p w14:paraId="340B78E8">
            <w:pPr>
              <w:spacing w:line="360" w:lineRule="auto"/>
              <w:jc w:val="center"/>
              <w:rPr>
                <w:rFonts w:hint="eastAsia" w:ascii="宋体" w:hAnsi="宋体" w:eastAsia="宋体" w:cs="宋体"/>
                <w:sz w:val="21"/>
                <w:szCs w:val="21"/>
              </w:rPr>
            </w:pPr>
          </w:p>
        </w:tc>
        <w:tc>
          <w:tcPr>
            <w:tcW w:w="935" w:type="pct"/>
            <w:tcBorders>
              <w:top w:val="single" w:color="000000" w:sz="6" w:space="0"/>
              <w:left w:val="nil"/>
              <w:bottom w:val="single" w:color="000000" w:sz="6" w:space="0"/>
              <w:right w:val="single" w:color="000000" w:sz="6" w:space="0"/>
            </w:tcBorders>
            <w:shd w:val="clear" w:color="auto" w:fill="FFFFFF"/>
            <w:vAlign w:val="center"/>
          </w:tcPr>
          <w:p w14:paraId="34227B79">
            <w:pPr>
              <w:spacing w:line="360" w:lineRule="auto"/>
              <w:jc w:val="center"/>
              <w:rPr>
                <w:rFonts w:hint="eastAsia" w:ascii="宋体" w:hAnsi="宋体" w:eastAsia="宋体" w:cs="宋体"/>
                <w:sz w:val="21"/>
                <w:szCs w:val="21"/>
              </w:rPr>
            </w:pPr>
            <w:r>
              <w:rPr>
                <w:rFonts w:hint="eastAsia" w:ascii="宋体" w:hAnsi="宋体" w:eastAsia="宋体" w:cs="宋体"/>
                <w:sz w:val="21"/>
                <w:szCs w:val="21"/>
              </w:rPr>
              <w:t>3.需求实现的完整性和准确性</w:t>
            </w:r>
          </w:p>
        </w:tc>
        <w:tc>
          <w:tcPr>
            <w:tcW w:w="2945" w:type="pct"/>
            <w:tcBorders>
              <w:top w:val="single" w:color="000000" w:sz="6" w:space="0"/>
              <w:left w:val="nil"/>
              <w:bottom w:val="single" w:color="000000" w:sz="6" w:space="0"/>
              <w:right w:val="single" w:color="000000" w:sz="6" w:space="0"/>
            </w:tcBorders>
            <w:shd w:val="clear" w:color="auto" w:fill="FFFFFF"/>
            <w:vAlign w:val="center"/>
          </w:tcPr>
          <w:p w14:paraId="0C5186BA">
            <w:pPr>
              <w:pStyle w:val="9"/>
              <w:spacing w:after="0"/>
              <w:ind w:firstLine="0" w:firstLineChars="0"/>
              <w:rPr>
                <w:rFonts w:hint="eastAsia" w:ascii="宋体" w:hAnsi="宋体" w:eastAsia="宋体" w:cs="宋体"/>
                <w:sz w:val="21"/>
                <w:szCs w:val="21"/>
              </w:rPr>
            </w:pPr>
            <w:r>
              <w:rPr>
                <w:rFonts w:hint="eastAsia" w:ascii="宋体" w:hAnsi="宋体" w:eastAsia="宋体" w:cs="宋体"/>
                <w:kern w:val="0"/>
                <w:sz w:val="21"/>
                <w:szCs w:val="21"/>
              </w:rPr>
              <w:t>1）实现需求无遗漏，结果符合预期要求（10分）</w:t>
            </w:r>
          </w:p>
          <w:p w14:paraId="05AC8570">
            <w:pPr>
              <w:pStyle w:val="9"/>
              <w:spacing w:after="0"/>
              <w:ind w:firstLine="0" w:firstLineChars="0"/>
              <w:rPr>
                <w:rFonts w:hint="eastAsia" w:ascii="宋体" w:hAnsi="宋体" w:eastAsia="宋体" w:cs="宋体"/>
                <w:kern w:val="0"/>
                <w:sz w:val="21"/>
                <w:szCs w:val="21"/>
              </w:rPr>
            </w:pPr>
            <w:r>
              <w:rPr>
                <w:rFonts w:hint="eastAsia" w:ascii="宋体" w:hAnsi="宋体" w:eastAsia="宋体" w:cs="宋体"/>
                <w:kern w:val="0"/>
                <w:sz w:val="21"/>
                <w:szCs w:val="21"/>
              </w:rPr>
              <w:t>2）部分实现需求，有遗漏，每次扣3分；</w:t>
            </w:r>
          </w:p>
          <w:p w14:paraId="01CE1C02">
            <w:pPr>
              <w:pStyle w:val="9"/>
              <w:spacing w:after="0"/>
              <w:ind w:firstLine="0" w:firstLineChars="0"/>
              <w:rPr>
                <w:rFonts w:hint="eastAsia" w:ascii="宋体" w:hAnsi="宋体" w:eastAsia="宋体" w:cs="宋体"/>
                <w:kern w:val="0"/>
                <w:sz w:val="21"/>
                <w:szCs w:val="21"/>
              </w:rPr>
            </w:pPr>
            <w:r>
              <w:rPr>
                <w:rFonts w:hint="eastAsia" w:ascii="宋体" w:hAnsi="宋体" w:eastAsia="宋体" w:cs="宋体"/>
                <w:kern w:val="0"/>
                <w:sz w:val="21"/>
                <w:szCs w:val="21"/>
              </w:rPr>
              <w:t>3）完全未实现或实现错误，每次扣10分。</w:t>
            </w:r>
          </w:p>
          <w:p w14:paraId="38572468">
            <w:pPr>
              <w:pStyle w:val="9"/>
              <w:spacing w:after="0"/>
              <w:ind w:firstLine="0" w:firstLineChars="0"/>
              <w:rPr>
                <w:rFonts w:hint="eastAsia" w:ascii="宋体" w:hAnsi="宋体" w:eastAsia="宋体" w:cs="宋体"/>
                <w:sz w:val="21"/>
                <w:szCs w:val="21"/>
              </w:rPr>
            </w:pPr>
            <w:r>
              <w:rPr>
                <w:rFonts w:hint="eastAsia" w:ascii="宋体" w:hAnsi="宋体" w:eastAsia="宋体" w:cs="宋体"/>
                <w:sz w:val="21"/>
                <w:szCs w:val="21"/>
              </w:rPr>
              <w:t>采购人代表</w:t>
            </w:r>
            <w:r>
              <w:rPr>
                <w:rFonts w:hint="eastAsia" w:ascii="宋体" w:hAnsi="宋体" w:eastAsia="宋体" w:cs="宋体"/>
                <w:kern w:val="0"/>
                <w:sz w:val="21"/>
                <w:szCs w:val="21"/>
              </w:rPr>
              <w:t>记录处理情况和扣分记录抄送采购人和中标人项目负责人。</w:t>
            </w:r>
          </w:p>
        </w:tc>
        <w:tc>
          <w:tcPr>
            <w:tcW w:w="494" w:type="pct"/>
            <w:tcBorders>
              <w:top w:val="single" w:color="000000" w:sz="6" w:space="0"/>
              <w:left w:val="nil"/>
              <w:bottom w:val="single" w:color="000000" w:sz="6" w:space="0"/>
              <w:right w:val="single" w:color="000000" w:sz="6" w:space="0"/>
            </w:tcBorders>
            <w:shd w:val="clear" w:color="auto" w:fill="FFFFFF"/>
            <w:vAlign w:val="center"/>
          </w:tcPr>
          <w:p w14:paraId="614B6C5C">
            <w:pPr>
              <w:widowControl/>
              <w:spacing w:line="360" w:lineRule="auto"/>
              <w:jc w:val="center"/>
              <w:rPr>
                <w:rFonts w:hint="eastAsia" w:ascii="宋体" w:hAnsi="宋体" w:eastAsia="宋体" w:cs="宋体"/>
                <w:kern w:val="0"/>
                <w:sz w:val="21"/>
                <w:szCs w:val="21"/>
              </w:rPr>
            </w:pPr>
          </w:p>
        </w:tc>
      </w:tr>
      <w:tr w14:paraId="5D2E669A">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25" w:type="pct"/>
            <w:vMerge w:val="restart"/>
            <w:tcBorders>
              <w:top w:val="single" w:color="000000" w:sz="6" w:space="0"/>
              <w:left w:val="single" w:color="000000" w:sz="6" w:space="0"/>
              <w:right w:val="single" w:color="000000" w:sz="6" w:space="0"/>
            </w:tcBorders>
            <w:shd w:val="clear" w:color="auto" w:fill="FFFFFF"/>
            <w:vAlign w:val="center"/>
          </w:tcPr>
          <w:p w14:paraId="33CBB96A">
            <w:pPr>
              <w:spacing w:line="360" w:lineRule="auto"/>
              <w:jc w:val="center"/>
              <w:rPr>
                <w:rFonts w:hint="eastAsia" w:ascii="宋体" w:hAnsi="宋体" w:eastAsia="宋体" w:cs="宋体"/>
                <w:sz w:val="21"/>
                <w:szCs w:val="21"/>
              </w:rPr>
            </w:pPr>
            <w:r>
              <w:rPr>
                <w:rFonts w:hint="eastAsia" w:ascii="宋体" w:hAnsi="宋体" w:eastAsia="宋体" w:cs="宋体"/>
                <w:sz w:val="21"/>
                <w:szCs w:val="21"/>
              </w:rPr>
              <w:t>提交项目质量（30分）</w:t>
            </w:r>
          </w:p>
        </w:tc>
        <w:tc>
          <w:tcPr>
            <w:tcW w:w="935" w:type="pct"/>
            <w:tcBorders>
              <w:top w:val="single" w:color="000000" w:sz="6" w:space="0"/>
              <w:left w:val="nil"/>
              <w:bottom w:val="single" w:color="000000" w:sz="6" w:space="0"/>
              <w:right w:val="single" w:color="000000" w:sz="6" w:space="0"/>
            </w:tcBorders>
            <w:shd w:val="clear" w:color="auto" w:fill="FFFFFF"/>
            <w:vAlign w:val="center"/>
          </w:tcPr>
          <w:p w14:paraId="46905BF0">
            <w:pPr>
              <w:spacing w:line="360" w:lineRule="auto"/>
              <w:jc w:val="center"/>
              <w:rPr>
                <w:rFonts w:hint="eastAsia" w:ascii="宋体" w:hAnsi="宋体" w:eastAsia="宋体" w:cs="宋体"/>
                <w:sz w:val="21"/>
                <w:szCs w:val="21"/>
              </w:rPr>
            </w:pPr>
            <w:r>
              <w:rPr>
                <w:rFonts w:hint="eastAsia" w:ascii="宋体" w:hAnsi="宋体" w:eastAsia="宋体" w:cs="宋体"/>
                <w:sz w:val="21"/>
                <w:szCs w:val="21"/>
              </w:rPr>
              <w:t>1.项目交付物的准确性和规范性</w:t>
            </w:r>
          </w:p>
        </w:tc>
        <w:tc>
          <w:tcPr>
            <w:tcW w:w="2945" w:type="pct"/>
            <w:tcBorders>
              <w:top w:val="single" w:color="000000" w:sz="6" w:space="0"/>
              <w:left w:val="nil"/>
              <w:bottom w:val="single" w:color="000000" w:sz="6" w:space="0"/>
              <w:right w:val="single" w:color="000000" w:sz="6" w:space="0"/>
            </w:tcBorders>
            <w:shd w:val="clear" w:color="auto" w:fill="FFFFFF"/>
            <w:vAlign w:val="center"/>
          </w:tcPr>
          <w:p w14:paraId="0DEDC27B">
            <w:pPr>
              <w:pStyle w:val="9"/>
              <w:spacing w:after="0"/>
              <w:ind w:firstLine="0" w:firstLineChars="0"/>
              <w:rPr>
                <w:rFonts w:hint="eastAsia" w:ascii="宋体" w:hAnsi="宋体" w:eastAsia="宋体" w:cs="宋体"/>
                <w:sz w:val="21"/>
                <w:szCs w:val="21"/>
              </w:rPr>
            </w:pPr>
            <w:r>
              <w:rPr>
                <w:rFonts w:hint="eastAsia" w:ascii="宋体" w:hAnsi="宋体" w:eastAsia="宋体" w:cs="宋体"/>
                <w:kern w:val="0"/>
                <w:sz w:val="21"/>
                <w:szCs w:val="21"/>
              </w:rPr>
              <w:t>1）交付物准确，</w:t>
            </w:r>
            <w:r>
              <w:rPr>
                <w:rFonts w:hint="eastAsia" w:ascii="宋体" w:hAnsi="宋体" w:eastAsia="宋体" w:cs="宋体"/>
                <w:sz w:val="21"/>
                <w:szCs w:val="21"/>
              </w:rPr>
              <w:t>符合招标文件及相关需求标准和规范。（10分）</w:t>
            </w:r>
          </w:p>
          <w:p w14:paraId="13D7C430">
            <w:pPr>
              <w:pStyle w:val="9"/>
              <w:spacing w:after="0"/>
              <w:ind w:firstLine="0" w:firstLineChars="0"/>
              <w:rPr>
                <w:rFonts w:hint="eastAsia" w:ascii="宋体" w:hAnsi="宋体" w:eastAsia="宋体" w:cs="宋体"/>
                <w:kern w:val="0"/>
                <w:sz w:val="21"/>
                <w:szCs w:val="21"/>
              </w:rPr>
            </w:pPr>
            <w:r>
              <w:rPr>
                <w:rFonts w:hint="eastAsia" w:ascii="宋体" w:hAnsi="宋体" w:eastAsia="宋体" w:cs="宋体"/>
                <w:kern w:val="0"/>
                <w:sz w:val="21"/>
                <w:szCs w:val="21"/>
              </w:rPr>
              <w:t>2）</w:t>
            </w:r>
            <w:r>
              <w:rPr>
                <w:rFonts w:hint="eastAsia" w:ascii="宋体" w:hAnsi="宋体" w:eastAsia="宋体" w:cs="宋体"/>
                <w:sz w:val="21"/>
                <w:szCs w:val="21"/>
              </w:rPr>
              <w:t>交付物存在小</w:t>
            </w:r>
            <w:r>
              <w:rPr>
                <w:rFonts w:hint="eastAsia" w:ascii="宋体" w:hAnsi="宋体" w:eastAsia="宋体" w:cs="宋体"/>
                <w:kern w:val="0"/>
                <w:sz w:val="21"/>
                <w:szCs w:val="21"/>
              </w:rPr>
              <w:t>错误或不规范，每次扣2分；</w:t>
            </w:r>
          </w:p>
          <w:p w14:paraId="137D710C">
            <w:pPr>
              <w:pStyle w:val="9"/>
              <w:spacing w:after="0"/>
              <w:ind w:firstLine="0" w:firstLineChars="0"/>
              <w:rPr>
                <w:rFonts w:hint="eastAsia" w:ascii="宋体" w:hAnsi="宋体" w:eastAsia="宋体" w:cs="宋体"/>
                <w:sz w:val="21"/>
                <w:szCs w:val="21"/>
              </w:rPr>
            </w:pPr>
            <w:r>
              <w:rPr>
                <w:rFonts w:hint="eastAsia" w:ascii="宋体" w:hAnsi="宋体" w:eastAsia="宋体" w:cs="宋体"/>
                <w:kern w:val="0"/>
                <w:sz w:val="21"/>
                <w:szCs w:val="21"/>
              </w:rPr>
              <w:t>3）交付物</w:t>
            </w:r>
            <w:r>
              <w:rPr>
                <w:rFonts w:hint="eastAsia" w:ascii="宋体" w:hAnsi="宋体" w:eastAsia="宋体" w:cs="宋体"/>
                <w:sz w:val="21"/>
                <w:szCs w:val="21"/>
              </w:rPr>
              <w:t>存在</w:t>
            </w:r>
            <w:r>
              <w:rPr>
                <w:rFonts w:hint="eastAsia" w:ascii="宋体" w:hAnsi="宋体" w:eastAsia="宋体" w:cs="宋体"/>
                <w:kern w:val="0"/>
                <w:sz w:val="21"/>
                <w:szCs w:val="21"/>
              </w:rPr>
              <w:t>重大错误，每次</w:t>
            </w:r>
            <w:r>
              <w:rPr>
                <w:rFonts w:hint="eastAsia" w:ascii="宋体" w:hAnsi="宋体" w:eastAsia="宋体" w:cs="宋体"/>
                <w:sz w:val="21"/>
                <w:szCs w:val="21"/>
              </w:rPr>
              <w:t>视情况扣5分至10分。</w:t>
            </w:r>
          </w:p>
          <w:p w14:paraId="7FE5A350">
            <w:pPr>
              <w:pStyle w:val="9"/>
              <w:spacing w:after="0"/>
              <w:ind w:firstLine="0" w:firstLineChars="0"/>
              <w:rPr>
                <w:rFonts w:hint="eastAsia" w:ascii="宋体" w:hAnsi="宋体" w:eastAsia="宋体" w:cs="宋体"/>
                <w:sz w:val="21"/>
                <w:szCs w:val="21"/>
              </w:rPr>
            </w:pPr>
            <w:r>
              <w:rPr>
                <w:rFonts w:hint="eastAsia" w:ascii="宋体" w:hAnsi="宋体" w:eastAsia="宋体" w:cs="宋体"/>
                <w:sz w:val="21"/>
                <w:szCs w:val="21"/>
              </w:rPr>
              <w:t>采购人代表</w:t>
            </w:r>
            <w:r>
              <w:rPr>
                <w:rFonts w:hint="eastAsia" w:ascii="宋体" w:hAnsi="宋体" w:eastAsia="宋体" w:cs="宋体"/>
                <w:kern w:val="0"/>
                <w:sz w:val="21"/>
                <w:szCs w:val="21"/>
              </w:rPr>
              <w:t>记录处理情况和扣分记录抄送采购人和中标人项目负责人。</w:t>
            </w:r>
          </w:p>
        </w:tc>
        <w:tc>
          <w:tcPr>
            <w:tcW w:w="494" w:type="pct"/>
            <w:tcBorders>
              <w:top w:val="single" w:color="000000" w:sz="6" w:space="0"/>
              <w:left w:val="nil"/>
              <w:bottom w:val="single" w:color="000000" w:sz="6" w:space="0"/>
              <w:right w:val="single" w:color="000000" w:sz="6" w:space="0"/>
            </w:tcBorders>
            <w:shd w:val="clear" w:color="auto" w:fill="FFFFFF"/>
            <w:vAlign w:val="center"/>
          </w:tcPr>
          <w:p w14:paraId="5B8BC337">
            <w:pPr>
              <w:widowControl/>
              <w:spacing w:line="360" w:lineRule="auto"/>
              <w:jc w:val="center"/>
              <w:rPr>
                <w:rFonts w:hint="eastAsia" w:ascii="宋体" w:hAnsi="宋体" w:eastAsia="宋体" w:cs="宋体"/>
                <w:kern w:val="0"/>
                <w:sz w:val="21"/>
                <w:szCs w:val="21"/>
              </w:rPr>
            </w:pPr>
          </w:p>
        </w:tc>
      </w:tr>
      <w:tr w14:paraId="1D5B59BC">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25" w:type="pct"/>
            <w:vMerge w:val="continue"/>
            <w:tcBorders>
              <w:left w:val="single" w:color="000000" w:sz="6" w:space="0"/>
              <w:right w:val="single" w:color="000000" w:sz="6" w:space="0"/>
            </w:tcBorders>
            <w:shd w:val="clear" w:color="auto" w:fill="FFFFFF"/>
            <w:vAlign w:val="center"/>
          </w:tcPr>
          <w:p w14:paraId="2811006B">
            <w:pPr>
              <w:spacing w:line="360" w:lineRule="auto"/>
              <w:jc w:val="center"/>
              <w:rPr>
                <w:rFonts w:hint="eastAsia" w:ascii="宋体" w:hAnsi="宋体" w:eastAsia="宋体" w:cs="宋体"/>
                <w:sz w:val="21"/>
                <w:szCs w:val="21"/>
              </w:rPr>
            </w:pPr>
          </w:p>
        </w:tc>
        <w:tc>
          <w:tcPr>
            <w:tcW w:w="935" w:type="pct"/>
            <w:tcBorders>
              <w:top w:val="single" w:color="000000" w:sz="6" w:space="0"/>
              <w:left w:val="nil"/>
              <w:bottom w:val="single" w:color="000000" w:sz="6" w:space="0"/>
              <w:right w:val="single" w:color="000000" w:sz="6" w:space="0"/>
            </w:tcBorders>
            <w:shd w:val="clear" w:color="auto" w:fill="FFFFFF"/>
            <w:vAlign w:val="center"/>
          </w:tcPr>
          <w:p w14:paraId="7431C795">
            <w:pPr>
              <w:spacing w:line="360" w:lineRule="auto"/>
              <w:jc w:val="center"/>
              <w:rPr>
                <w:rFonts w:hint="eastAsia" w:ascii="宋体" w:hAnsi="宋体" w:eastAsia="宋体" w:cs="宋体"/>
                <w:sz w:val="21"/>
                <w:szCs w:val="21"/>
              </w:rPr>
            </w:pPr>
            <w:r>
              <w:rPr>
                <w:rFonts w:hint="eastAsia" w:ascii="宋体" w:hAnsi="宋体" w:eastAsia="宋体" w:cs="宋体"/>
                <w:sz w:val="21"/>
                <w:szCs w:val="21"/>
              </w:rPr>
              <w:t>2.项目过程中的质量控制</w:t>
            </w:r>
          </w:p>
        </w:tc>
        <w:tc>
          <w:tcPr>
            <w:tcW w:w="2945" w:type="pct"/>
            <w:tcBorders>
              <w:top w:val="single" w:color="000000" w:sz="6" w:space="0"/>
              <w:left w:val="nil"/>
              <w:bottom w:val="single" w:color="000000" w:sz="6" w:space="0"/>
              <w:right w:val="single" w:color="000000" w:sz="6" w:space="0"/>
            </w:tcBorders>
            <w:shd w:val="clear" w:color="auto" w:fill="FFFFFF"/>
            <w:vAlign w:val="center"/>
          </w:tcPr>
          <w:p w14:paraId="6E03D7A0">
            <w:pPr>
              <w:pStyle w:val="9"/>
              <w:spacing w:after="0"/>
              <w:ind w:firstLine="0" w:firstLineChars="0"/>
              <w:rPr>
                <w:rFonts w:hint="eastAsia" w:ascii="宋体" w:hAnsi="宋体" w:eastAsia="宋体" w:cs="宋体"/>
                <w:kern w:val="0"/>
                <w:sz w:val="21"/>
                <w:szCs w:val="21"/>
              </w:rPr>
            </w:pPr>
            <w:r>
              <w:rPr>
                <w:rFonts w:hint="eastAsia" w:ascii="宋体" w:hAnsi="宋体" w:eastAsia="宋体" w:cs="宋体"/>
                <w:kern w:val="0"/>
                <w:sz w:val="21"/>
                <w:szCs w:val="21"/>
              </w:rPr>
              <w:t>1）项目</w:t>
            </w:r>
            <w:r>
              <w:rPr>
                <w:rFonts w:hint="eastAsia" w:ascii="宋体" w:hAnsi="宋体" w:eastAsia="宋体" w:cs="宋体"/>
                <w:sz w:val="21"/>
                <w:szCs w:val="21"/>
              </w:rPr>
              <w:t>过程</w:t>
            </w:r>
            <w:r>
              <w:rPr>
                <w:rFonts w:hint="eastAsia" w:ascii="宋体" w:hAnsi="宋体" w:eastAsia="宋体" w:cs="宋体"/>
                <w:kern w:val="0"/>
                <w:sz w:val="21"/>
                <w:szCs w:val="21"/>
              </w:rPr>
              <w:t>中严格控制质量，无重大质量问题。（10分）</w:t>
            </w:r>
          </w:p>
          <w:p w14:paraId="46309EDF">
            <w:pPr>
              <w:pStyle w:val="9"/>
              <w:spacing w:after="0"/>
              <w:ind w:firstLine="0" w:firstLineChars="0"/>
              <w:rPr>
                <w:rFonts w:hint="eastAsia" w:ascii="宋体" w:hAnsi="宋体" w:eastAsia="宋体" w:cs="宋体"/>
                <w:sz w:val="21"/>
                <w:szCs w:val="21"/>
              </w:rPr>
            </w:pPr>
            <w:r>
              <w:rPr>
                <w:rFonts w:hint="eastAsia" w:ascii="宋体" w:hAnsi="宋体" w:eastAsia="宋体" w:cs="宋体"/>
                <w:sz w:val="21"/>
                <w:szCs w:val="21"/>
              </w:rPr>
              <w:t>2）过程中出现可控质量问题，每次扣2分；</w:t>
            </w:r>
          </w:p>
          <w:p w14:paraId="7A4076AE">
            <w:pPr>
              <w:pStyle w:val="9"/>
              <w:spacing w:after="0"/>
              <w:ind w:firstLine="0" w:firstLineChars="0"/>
              <w:rPr>
                <w:rFonts w:hint="eastAsia" w:ascii="宋体" w:hAnsi="宋体" w:eastAsia="宋体" w:cs="宋体"/>
                <w:sz w:val="21"/>
                <w:szCs w:val="21"/>
              </w:rPr>
            </w:pPr>
            <w:r>
              <w:rPr>
                <w:rFonts w:hint="eastAsia" w:ascii="宋体" w:hAnsi="宋体" w:eastAsia="宋体" w:cs="宋体"/>
                <w:sz w:val="21"/>
                <w:szCs w:val="21"/>
              </w:rPr>
              <w:t>3）出现重大质量问题，每次视情况扣5分至10分。</w:t>
            </w:r>
          </w:p>
          <w:p w14:paraId="0277A363">
            <w:pPr>
              <w:pStyle w:val="9"/>
              <w:spacing w:after="0"/>
              <w:ind w:firstLine="0" w:firstLineChars="0"/>
              <w:rPr>
                <w:rFonts w:hint="eastAsia" w:ascii="宋体" w:hAnsi="宋体" w:eastAsia="宋体" w:cs="宋体"/>
                <w:sz w:val="21"/>
                <w:szCs w:val="21"/>
              </w:rPr>
            </w:pPr>
            <w:r>
              <w:rPr>
                <w:rFonts w:hint="eastAsia" w:ascii="宋体" w:hAnsi="宋体" w:eastAsia="宋体" w:cs="宋体"/>
                <w:sz w:val="21"/>
                <w:szCs w:val="21"/>
              </w:rPr>
              <w:t>采购人代表</w:t>
            </w:r>
            <w:r>
              <w:rPr>
                <w:rFonts w:hint="eastAsia" w:ascii="宋体" w:hAnsi="宋体" w:eastAsia="宋体" w:cs="宋体"/>
                <w:kern w:val="0"/>
                <w:sz w:val="21"/>
                <w:szCs w:val="21"/>
              </w:rPr>
              <w:t>记录处理情况和扣分记录抄送采购人和中标人项目负责人。</w:t>
            </w:r>
          </w:p>
        </w:tc>
        <w:tc>
          <w:tcPr>
            <w:tcW w:w="494" w:type="pct"/>
            <w:tcBorders>
              <w:top w:val="single" w:color="000000" w:sz="6" w:space="0"/>
              <w:left w:val="nil"/>
              <w:bottom w:val="single" w:color="000000" w:sz="6" w:space="0"/>
              <w:right w:val="single" w:color="000000" w:sz="6" w:space="0"/>
            </w:tcBorders>
            <w:shd w:val="clear" w:color="auto" w:fill="FFFFFF"/>
            <w:vAlign w:val="center"/>
          </w:tcPr>
          <w:p w14:paraId="492E091F">
            <w:pPr>
              <w:widowControl/>
              <w:spacing w:line="360" w:lineRule="auto"/>
              <w:jc w:val="center"/>
              <w:rPr>
                <w:rFonts w:hint="eastAsia" w:ascii="宋体" w:hAnsi="宋体" w:eastAsia="宋体" w:cs="宋体"/>
                <w:kern w:val="0"/>
                <w:sz w:val="21"/>
                <w:szCs w:val="21"/>
              </w:rPr>
            </w:pPr>
          </w:p>
        </w:tc>
      </w:tr>
      <w:tr w14:paraId="4AA49959">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25" w:type="pct"/>
            <w:vMerge w:val="continue"/>
            <w:tcBorders>
              <w:left w:val="single" w:color="000000" w:sz="6" w:space="0"/>
              <w:bottom w:val="single" w:color="000000" w:sz="6" w:space="0"/>
              <w:right w:val="single" w:color="000000" w:sz="6" w:space="0"/>
            </w:tcBorders>
            <w:shd w:val="clear" w:color="auto" w:fill="FFFFFF"/>
            <w:vAlign w:val="center"/>
          </w:tcPr>
          <w:p w14:paraId="315DC42F">
            <w:pPr>
              <w:spacing w:line="360" w:lineRule="auto"/>
              <w:jc w:val="center"/>
              <w:rPr>
                <w:rFonts w:hint="eastAsia" w:ascii="宋体" w:hAnsi="宋体" w:eastAsia="宋体" w:cs="宋体"/>
                <w:sz w:val="21"/>
                <w:szCs w:val="21"/>
              </w:rPr>
            </w:pPr>
          </w:p>
        </w:tc>
        <w:tc>
          <w:tcPr>
            <w:tcW w:w="935" w:type="pct"/>
            <w:tcBorders>
              <w:top w:val="single" w:color="000000" w:sz="6" w:space="0"/>
              <w:left w:val="nil"/>
              <w:bottom w:val="single" w:color="000000" w:sz="6" w:space="0"/>
              <w:right w:val="single" w:color="000000" w:sz="6" w:space="0"/>
            </w:tcBorders>
            <w:shd w:val="clear" w:color="auto" w:fill="FFFFFF"/>
            <w:vAlign w:val="center"/>
          </w:tcPr>
          <w:p w14:paraId="036A3437">
            <w:pPr>
              <w:spacing w:line="360" w:lineRule="auto"/>
              <w:jc w:val="center"/>
              <w:rPr>
                <w:rFonts w:hint="eastAsia" w:ascii="宋体" w:hAnsi="宋体" w:eastAsia="宋体" w:cs="宋体"/>
                <w:sz w:val="21"/>
                <w:szCs w:val="21"/>
              </w:rPr>
            </w:pPr>
            <w:r>
              <w:rPr>
                <w:rFonts w:hint="eastAsia" w:ascii="宋体" w:hAnsi="宋体" w:eastAsia="宋体" w:cs="宋体"/>
                <w:sz w:val="21"/>
                <w:szCs w:val="21"/>
              </w:rPr>
              <w:t>3.项目成果的可用性和稳定性</w:t>
            </w:r>
          </w:p>
        </w:tc>
        <w:tc>
          <w:tcPr>
            <w:tcW w:w="2945" w:type="pct"/>
            <w:tcBorders>
              <w:top w:val="single" w:color="000000" w:sz="6" w:space="0"/>
              <w:left w:val="nil"/>
              <w:bottom w:val="single" w:color="000000" w:sz="6" w:space="0"/>
              <w:right w:val="single" w:color="000000" w:sz="6" w:space="0"/>
            </w:tcBorders>
            <w:shd w:val="clear" w:color="auto" w:fill="FFFFFF"/>
            <w:vAlign w:val="center"/>
          </w:tcPr>
          <w:p w14:paraId="489795FF">
            <w:pPr>
              <w:widowControl/>
              <w:spacing w:line="360" w:lineRule="auto"/>
              <w:rPr>
                <w:rFonts w:hint="eastAsia" w:ascii="宋体" w:hAnsi="宋体" w:eastAsia="宋体" w:cs="宋体"/>
                <w:kern w:val="0"/>
                <w:sz w:val="21"/>
                <w:szCs w:val="21"/>
              </w:rPr>
            </w:pPr>
            <w:r>
              <w:rPr>
                <w:rFonts w:hint="eastAsia" w:ascii="宋体" w:hAnsi="宋体" w:eastAsia="宋体" w:cs="宋体"/>
                <w:kern w:val="0"/>
                <w:sz w:val="21"/>
                <w:szCs w:val="21"/>
              </w:rPr>
              <w:t>1）项目成果稳定可靠，满足使用要求（10分）</w:t>
            </w:r>
          </w:p>
          <w:p w14:paraId="134CD210">
            <w:pPr>
              <w:pStyle w:val="9"/>
              <w:spacing w:after="0"/>
              <w:ind w:firstLine="0" w:firstLineChars="0"/>
              <w:rPr>
                <w:rFonts w:hint="eastAsia" w:ascii="宋体" w:hAnsi="宋体" w:eastAsia="宋体" w:cs="宋体"/>
                <w:sz w:val="21"/>
                <w:szCs w:val="21"/>
              </w:rPr>
            </w:pPr>
            <w:r>
              <w:rPr>
                <w:rFonts w:hint="eastAsia" w:ascii="宋体" w:hAnsi="宋体" w:eastAsia="宋体" w:cs="宋体"/>
                <w:sz w:val="21"/>
                <w:szCs w:val="21"/>
              </w:rPr>
              <w:t>2）成果存在小问题，但基本可用，每次扣2分</w:t>
            </w:r>
          </w:p>
          <w:p w14:paraId="6E895E28">
            <w:pPr>
              <w:pStyle w:val="9"/>
              <w:spacing w:after="0"/>
              <w:ind w:firstLine="0" w:firstLineChars="0"/>
              <w:rPr>
                <w:rFonts w:hint="eastAsia" w:ascii="宋体" w:hAnsi="宋体" w:eastAsia="宋体" w:cs="宋体"/>
                <w:sz w:val="21"/>
                <w:szCs w:val="21"/>
              </w:rPr>
            </w:pPr>
            <w:r>
              <w:rPr>
                <w:rFonts w:hint="eastAsia" w:ascii="宋体" w:hAnsi="宋体" w:eastAsia="宋体" w:cs="宋体"/>
                <w:sz w:val="21"/>
                <w:szCs w:val="21"/>
              </w:rPr>
              <w:t>3）成果存在大问题，影响使用，每次视情况扣5分至10分。</w:t>
            </w:r>
          </w:p>
          <w:p w14:paraId="101E976F">
            <w:pPr>
              <w:pStyle w:val="9"/>
              <w:spacing w:after="0"/>
              <w:ind w:firstLine="0" w:firstLineChars="0"/>
              <w:rPr>
                <w:rFonts w:hint="eastAsia" w:ascii="宋体" w:hAnsi="宋体" w:eastAsia="宋体" w:cs="宋体"/>
                <w:sz w:val="21"/>
                <w:szCs w:val="21"/>
              </w:rPr>
            </w:pPr>
            <w:r>
              <w:rPr>
                <w:rFonts w:hint="eastAsia" w:ascii="宋体" w:hAnsi="宋体" w:eastAsia="宋体" w:cs="宋体"/>
                <w:sz w:val="21"/>
                <w:szCs w:val="21"/>
              </w:rPr>
              <w:t>采购人代表</w:t>
            </w:r>
            <w:r>
              <w:rPr>
                <w:rFonts w:hint="eastAsia" w:ascii="宋体" w:hAnsi="宋体" w:eastAsia="宋体" w:cs="宋体"/>
                <w:kern w:val="0"/>
                <w:sz w:val="21"/>
                <w:szCs w:val="21"/>
              </w:rPr>
              <w:t>记录处理情况和扣分记录抄送采购人和中标人项目负责人。</w:t>
            </w:r>
          </w:p>
        </w:tc>
        <w:tc>
          <w:tcPr>
            <w:tcW w:w="494" w:type="pct"/>
            <w:tcBorders>
              <w:top w:val="single" w:color="000000" w:sz="6" w:space="0"/>
              <w:left w:val="nil"/>
              <w:bottom w:val="single" w:color="000000" w:sz="6" w:space="0"/>
              <w:right w:val="single" w:color="000000" w:sz="6" w:space="0"/>
            </w:tcBorders>
            <w:shd w:val="clear" w:color="auto" w:fill="FFFFFF"/>
            <w:vAlign w:val="center"/>
          </w:tcPr>
          <w:p w14:paraId="4C84209D">
            <w:pPr>
              <w:widowControl/>
              <w:spacing w:line="360" w:lineRule="auto"/>
              <w:jc w:val="center"/>
              <w:rPr>
                <w:rFonts w:hint="eastAsia" w:ascii="宋体" w:hAnsi="宋体" w:eastAsia="宋体" w:cs="宋体"/>
                <w:kern w:val="0"/>
                <w:sz w:val="21"/>
                <w:szCs w:val="21"/>
              </w:rPr>
            </w:pPr>
          </w:p>
        </w:tc>
      </w:tr>
      <w:tr w14:paraId="68810390">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15" w:type="dxa"/>
            <w:left w:w="15" w:type="dxa"/>
            <w:bottom w:w="15" w:type="dxa"/>
            <w:right w:w="15" w:type="dxa"/>
          </w:tblCellMar>
        </w:tblPrEx>
        <w:tc>
          <w:tcPr>
            <w:tcW w:w="625" w:type="pct"/>
            <w:tcBorders>
              <w:top w:val="single" w:color="000000" w:sz="6" w:space="0"/>
              <w:left w:val="single" w:color="000000" w:sz="6" w:space="0"/>
              <w:bottom w:val="single" w:color="000000" w:sz="6" w:space="0"/>
              <w:right w:val="single" w:color="000000" w:sz="6" w:space="0"/>
            </w:tcBorders>
            <w:shd w:val="clear" w:color="auto" w:fill="FFFFFF"/>
            <w:vAlign w:val="center"/>
          </w:tcPr>
          <w:p w14:paraId="71DBC725">
            <w:pPr>
              <w:spacing w:line="360" w:lineRule="auto"/>
              <w:jc w:val="center"/>
              <w:rPr>
                <w:rFonts w:hint="eastAsia" w:ascii="宋体" w:hAnsi="宋体" w:eastAsia="宋体" w:cs="宋体"/>
                <w:sz w:val="21"/>
                <w:szCs w:val="21"/>
              </w:rPr>
            </w:pPr>
            <w:r>
              <w:rPr>
                <w:rFonts w:hint="eastAsia" w:ascii="宋体" w:hAnsi="宋体" w:eastAsia="宋体" w:cs="宋体"/>
                <w:sz w:val="21"/>
                <w:szCs w:val="21"/>
              </w:rPr>
              <w:t>故障处理效率（20分）</w:t>
            </w:r>
          </w:p>
        </w:tc>
        <w:tc>
          <w:tcPr>
            <w:tcW w:w="935" w:type="pct"/>
            <w:tcBorders>
              <w:top w:val="single" w:color="000000" w:sz="6" w:space="0"/>
              <w:left w:val="nil"/>
              <w:bottom w:val="single" w:color="000000" w:sz="6" w:space="0"/>
              <w:right w:val="single" w:color="000000" w:sz="6" w:space="0"/>
            </w:tcBorders>
            <w:shd w:val="clear" w:color="auto" w:fill="FFFFFF"/>
            <w:vAlign w:val="center"/>
          </w:tcPr>
          <w:p w14:paraId="1AFBE638">
            <w:pPr>
              <w:spacing w:line="360" w:lineRule="auto"/>
              <w:jc w:val="center"/>
              <w:rPr>
                <w:rFonts w:hint="eastAsia" w:ascii="宋体" w:hAnsi="宋体" w:eastAsia="宋体" w:cs="宋体"/>
                <w:sz w:val="21"/>
                <w:szCs w:val="21"/>
              </w:rPr>
            </w:pPr>
            <w:r>
              <w:rPr>
                <w:rFonts w:hint="eastAsia" w:ascii="宋体" w:hAnsi="宋体" w:eastAsia="宋体" w:cs="宋体"/>
                <w:sz w:val="21"/>
                <w:szCs w:val="21"/>
              </w:rPr>
              <w:t>是否能及时处理故障，保障业务稳定运行</w:t>
            </w:r>
          </w:p>
        </w:tc>
        <w:tc>
          <w:tcPr>
            <w:tcW w:w="2945" w:type="pct"/>
            <w:tcBorders>
              <w:top w:val="single" w:color="000000" w:sz="6" w:space="0"/>
              <w:left w:val="nil"/>
              <w:bottom w:val="single" w:color="000000" w:sz="6" w:space="0"/>
              <w:right w:val="single" w:color="000000" w:sz="6" w:space="0"/>
            </w:tcBorders>
            <w:shd w:val="clear" w:color="auto" w:fill="FFFFFF"/>
            <w:vAlign w:val="center"/>
          </w:tcPr>
          <w:p w14:paraId="1F5F4C21">
            <w:pPr>
              <w:pStyle w:val="9"/>
              <w:spacing w:after="0"/>
              <w:ind w:firstLine="0" w:firstLineChars="0"/>
              <w:rPr>
                <w:rFonts w:hint="eastAsia" w:ascii="宋体" w:hAnsi="宋体" w:eastAsia="宋体" w:cs="宋体"/>
                <w:kern w:val="0"/>
                <w:sz w:val="21"/>
                <w:szCs w:val="21"/>
              </w:rPr>
            </w:pPr>
            <w:r>
              <w:rPr>
                <w:rFonts w:hint="eastAsia" w:ascii="宋体" w:hAnsi="宋体" w:eastAsia="宋体" w:cs="宋体"/>
                <w:kern w:val="0"/>
                <w:sz w:val="21"/>
                <w:szCs w:val="21"/>
              </w:rPr>
              <w:t>1）考核期间没有发生影响业务的故障，给予满分20分；</w:t>
            </w:r>
          </w:p>
          <w:p w14:paraId="361BFD33">
            <w:pPr>
              <w:pStyle w:val="9"/>
              <w:spacing w:after="0"/>
              <w:ind w:firstLine="0" w:firstLineChars="0"/>
              <w:rPr>
                <w:rFonts w:hint="eastAsia" w:ascii="宋体" w:hAnsi="宋体" w:eastAsia="宋体" w:cs="宋体"/>
                <w:kern w:val="0"/>
                <w:sz w:val="21"/>
                <w:szCs w:val="21"/>
              </w:rPr>
            </w:pPr>
            <w:r>
              <w:rPr>
                <w:rFonts w:hint="eastAsia" w:ascii="宋体" w:hAnsi="宋体" w:eastAsia="宋体" w:cs="宋体"/>
                <w:kern w:val="0"/>
                <w:sz w:val="21"/>
                <w:szCs w:val="21"/>
              </w:rPr>
              <w:t>2）每次故障</w:t>
            </w:r>
            <w:r>
              <w:rPr>
                <w:rFonts w:hint="eastAsia" w:ascii="宋体" w:hAnsi="宋体" w:eastAsia="宋体" w:cs="宋体"/>
                <w:sz w:val="21"/>
                <w:szCs w:val="21"/>
              </w:rPr>
              <w:t>处理</w:t>
            </w:r>
            <w:r>
              <w:rPr>
                <w:rFonts w:hint="eastAsia" w:ascii="宋体" w:hAnsi="宋体" w:eastAsia="宋体" w:cs="宋体"/>
                <w:kern w:val="0"/>
                <w:sz w:val="21"/>
                <w:szCs w:val="21"/>
              </w:rPr>
              <w:t>效率是否能达到甲方要求，一次不满足扣除5分，直到该项目全部分值被扣完为止。</w:t>
            </w:r>
          </w:p>
          <w:p w14:paraId="3EF82A78">
            <w:pPr>
              <w:pStyle w:val="9"/>
              <w:spacing w:after="0"/>
              <w:ind w:firstLine="0" w:firstLineChars="0"/>
              <w:rPr>
                <w:rFonts w:hint="eastAsia" w:ascii="宋体" w:hAnsi="宋体" w:eastAsia="宋体" w:cs="宋体"/>
                <w:kern w:val="0"/>
                <w:sz w:val="21"/>
                <w:szCs w:val="21"/>
              </w:rPr>
            </w:pPr>
            <w:r>
              <w:rPr>
                <w:rFonts w:hint="eastAsia" w:ascii="宋体" w:hAnsi="宋体" w:eastAsia="宋体" w:cs="宋体"/>
                <w:kern w:val="0"/>
                <w:sz w:val="21"/>
                <w:szCs w:val="21"/>
              </w:rPr>
              <w:t>采购人代表记录故障处理情况和扣分记录抄送采购人和</w:t>
            </w:r>
            <w:r>
              <w:rPr>
                <w:rFonts w:hint="eastAsia" w:ascii="宋体" w:hAnsi="宋体" w:eastAsia="宋体" w:cs="宋体"/>
                <w:sz w:val="21"/>
                <w:szCs w:val="21"/>
              </w:rPr>
              <w:t>中标方</w:t>
            </w:r>
            <w:r>
              <w:rPr>
                <w:rFonts w:hint="eastAsia" w:ascii="宋体" w:hAnsi="宋体" w:eastAsia="宋体" w:cs="宋体"/>
                <w:kern w:val="0"/>
                <w:sz w:val="21"/>
                <w:szCs w:val="21"/>
              </w:rPr>
              <w:t>项目负责人。</w:t>
            </w:r>
          </w:p>
        </w:tc>
        <w:tc>
          <w:tcPr>
            <w:tcW w:w="494" w:type="pct"/>
            <w:tcBorders>
              <w:top w:val="single" w:color="000000" w:sz="6" w:space="0"/>
              <w:left w:val="nil"/>
              <w:bottom w:val="single" w:color="000000" w:sz="6" w:space="0"/>
              <w:right w:val="single" w:color="000000" w:sz="6" w:space="0"/>
            </w:tcBorders>
            <w:shd w:val="clear" w:color="auto" w:fill="FFFFFF"/>
            <w:vAlign w:val="center"/>
          </w:tcPr>
          <w:p w14:paraId="257E1EE0">
            <w:pPr>
              <w:widowControl/>
              <w:spacing w:line="360" w:lineRule="auto"/>
              <w:jc w:val="center"/>
              <w:rPr>
                <w:rFonts w:hint="eastAsia" w:ascii="宋体" w:hAnsi="宋体" w:eastAsia="宋体" w:cs="宋体"/>
                <w:kern w:val="0"/>
                <w:sz w:val="21"/>
                <w:szCs w:val="21"/>
              </w:rPr>
            </w:pPr>
          </w:p>
        </w:tc>
      </w:tr>
      <w:tr w14:paraId="760F3DCB">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25" w:type="pct"/>
            <w:tcBorders>
              <w:top w:val="single" w:color="000000" w:sz="6" w:space="0"/>
              <w:left w:val="single" w:color="000000" w:sz="6" w:space="0"/>
              <w:bottom w:val="single" w:color="000000" w:sz="6" w:space="0"/>
              <w:right w:val="single" w:color="000000" w:sz="6" w:space="0"/>
            </w:tcBorders>
            <w:shd w:val="clear" w:color="auto" w:fill="FFFFFF"/>
            <w:vAlign w:val="center"/>
          </w:tcPr>
          <w:p w14:paraId="2F864A94">
            <w:pPr>
              <w:spacing w:line="360" w:lineRule="auto"/>
              <w:jc w:val="center"/>
              <w:rPr>
                <w:rFonts w:hint="eastAsia" w:ascii="宋体" w:hAnsi="宋体" w:eastAsia="宋体" w:cs="宋体"/>
                <w:sz w:val="21"/>
                <w:szCs w:val="21"/>
              </w:rPr>
            </w:pPr>
            <w:r>
              <w:rPr>
                <w:rFonts w:hint="eastAsia" w:ascii="宋体" w:hAnsi="宋体" w:eastAsia="宋体" w:cs="宋体"/>
                <w:sz w:val="21"/>
                <w:szCs w:val="21"/>
              </w:rPr>
              <w:t>文档质量</w:t>
            </w:r>
          </w:p>
          <w:p w14:paraId="24EA8707">
            <w:pPr>
              <w:spacing w:line="360" w:lineRule="auto"/>
              <w:jc w:val="center"/>
              <w:rPr>
                <w:rFonts w:hint="eastAsia" w:ascii="宋体" w:hAnsi="宋体" w:eastAsia="宋体" w:cs="宋体"/>
                <w:sz w:val="21"/>
                <w:szCs w:val="21"/>
              </w:rPr>
            </w:pPr>
            <w:r>
              <w:rPr>
                <w:rFonts w:hint="eastAsia" w:ascii="宋体" w:hAnsi="宋体" w:eastAsia="宋体" w:cs="宋体"/>
                <w:sz w:val="21"/>
                <w:szCs w:val="21"/>
              </w:rPr>
              <w:t>（10分）</w:t>
            </w:r>
          </w:p>
        </w:tc>
        <w:tc>
          <w:tcPr>
            <w:tcW w:w="935" w:type="pct"/>
            <w:tcBorders>
              <w:top w:val="single" w:color="000000" w:sz="6" w:space="0"/>
              <w:left w:val="nil"/>
              <w:bottom w:val="single" w:color="000000" w:sz="6" w:space="0"/>
              <w:right w:val="single" w:color="000000" w:sz="6" w:space="0"/>
            </w:tcBorders>
            <w:shd w:val="clear" w:color="auto" w:fill="FFFFFF"/>
            <w:vAlign w:val="center"/>
          </w:tcPr>
          <w:p w14:paraId="4B75F4B8">
            <w:pPr>
              <w:spacing w:line="360" w:lineRule="auto"/>
              <w:jc w:val="center"/>
              <w:rPr>
                <w:rFonts w:hint="eastAsia" w:ascii="宋体" w:hAnsi="宋体" w:eastAsia="宋体" w:cs="宋体"/>
                <w:sz w:val="21"/>
                <w:szCs w:val="21"/>
              </w:rPr>
            </w:pPr>
            <w:r>
              <w:rPr>
                <w:rFonts w:hint="eastAsia" w:ascii="宋体" w:hAnsi="宋体" w:eastAsia="宋体" w:cs="宋体"/>
                <w:sz w:val="21"/>
                <w:szCs w:val="21"/>
              </w:rPr>
              <w:t>是否及时提供文档和及时更新文档，文档质量是否符合要求</w:t>
            </w:r>
          </w:p>
        </w:tc>
        <w:tc>
          <w:tcPr>
            <w:tcW w:w="2945" w:type="pct"/>
            <w:tcBorders>
              <w:top w:val="single" w:color="000000" w:sz="6" w:space="0"/>
              <w:left w:val="nil"/>
              <w:bottom w:val="single" w:color="000000" w:sz="6" w:space="0"/>
              <w:right w:val="single" w:color="000000" w:sz="6" w:space="0"/>
            </w:tcBorders>
            <w:shd w:val="clear" w:color="auto" w:fill="FFFFFF"/>
            <w:vAlign w:val="center"/>
          </w:tcPr>
          <w:p w14:paraId="0AF38311">
            <w:pPr>
              <w:pStyle w:val="9"/>
              <w:spacing w:after="0"/>
              <w:ind w:firstLine="0" w:firstLineChars="0"/>
              <w:rPr>
                <w:rFonts w:hint="eastAsia" w:ascii="宋体" w:hAnsi="宋体" w:eastAsia="宋体" w:cs="宋体"/>
                <w:kern w:val="0"/>
                <w:sz w:val="21"/>
                <w:szCs w:val="21"/>
              </w:rPr>
            </w:pPr>
            <w:r>
              <w:rPr>
                <w:rFonts w:hint="eastAsia" w:ascii="宋体" w:hAnsi="宋体" w:eastAsia="宋体" w:cs="宋体"/>
                <w:kern w:val="0"/>
                <w:sz w:val="21"/>
                <w:szCs w:val="21"/>
              </w:rPr>
              <w:t>1）考核期间能及时提供采购人需要的文档并及时更新，符合采购人要求，给予满分10分；</w:t>
            </w:r>
          </w:p>
          <w:p w14:paraId="158464B3">
            <w:pPr>
              <w:pStyle w:val="9"/>
              <w:spacing w:after="0"/>
              <w:ind w:firstLine="0" w:firstLineChars="0"/>
              <w:rPr>
                <w:rFonts w:hint="eastAsia" w:ascii="宋体" w:hAnsi="宋体" w:eastAsia="宋体" w:cs="宋体"/>
                <w:kern w:val="0"/>
                <w:sz w:val="21"/>
                <w:szCs w:val="21"/>
              </w:rPr>
            </w:pPr>
            <w:r>
              <w:rPr>
                <w:rFonts w:hint="eastAsia" w:ascii="宋体" w:hAnsi="宋体" w:eastAsia="宋体" w:cs="宋体"/>
                <w:kern w:val="0"/>
                <w:sz w:val="21"/>
                <w:szCs w:val="21"/>
              </w:rPr>
              <w:t>2）提供的文档不符合要求，每次扣取2分，直到该项目全部</w:t>
            </w:r>
            <w:r>
              <w:rPr>
                <w:rFonts w:hint="eastAsia" w:ascii="宋体" w:hAnsi="宋体" w:eastAsia="宋体" w:cs="宋体"/>
                <w:sz w:val="21"/>
                <w:szCs w:val="21"/>
              </w:rPr>
              <w:t>分值</w:t>
            </w:r>
            <w:r>
              <w:rPr>
                <w:rFonts w:hint="eastAsia" w:ascii="宋体" w:hAnsi="宋体" w:eastAsia="宋体" w:cs="宋体"/>
                <w:kern w:val="0"/>
                <w:sz w:val="21"/>
                <w:szCs w:val="21"/>
              </w:rPr>
              <w:t>被扣完为止。</w:t>
            </w:r>
          </w:p>
          <w:p w14:paraId="622E3460">
            <w:pPr>
              <w:pStyle w:val="9"/>
              <w:spacing w:after="0"/>
              <w:ind w:firstLine="0" w:firstLineChars="0"/>
              <w:rPr>
                <w:rFonts w:hint="eastAsia" w:ascii="宋体" w:hAnsi="宋体" w:eastAsia="宋体" w:cs="宋体"/>
                <w:kern w:val="0"/>
                <w:sz w:val="21"/>
                <w:szCs w:val="21"/>
              </w:rPr>
            </w:pPr>
            <w:r>
              <w:rPr>
                <w:rFonts w:hint="eastAsia" w:ascii="宋体" w:hAnsi="宋体" w:eastAsia="宋体" w:cs="宋体"/>
                <w:kern w:val="0"/>
                <w:sz w:val="21"/>
                <w:szCs w:val="21"/>
              </w:rPr>
              <w:t>采购人代表记录文档提交情况和扣分记录抄送采购人和中标方项目负责人。</w:t>
            </w:r>
          </w:p>
        </w:tc>
        <w:tc>
          <w:tcPr>
            <w:tcW w:w="494" w:type="pct"/>
            <w:tcBorders>
              <w:top w:val="single" w:color="000000" w:sz="6" w:space="0"/>
              <w:left w:val="nil"/>
              <w:bottom w:val="single" w:color="000000" w:sz="6" w:space="0"/>
              <w:right w:val="single" w:color="000000" w:sz="6" w:space="0"/>
            </w:tcBorders>
            <w:shd w:val="clear" w:color="auto" w:fill="FFFFFF"/>
            <w:vAlign w:val="center"/>
          </w:tcPr>
          <w:p w14:paraId="5C32ECA9">
            <w:pPr>
              <w:widowControl/>
              <w:spacing w:line="360" w:lineRule="auto"/>
              <w:jc w:val="center"/>
              <w:rPr>
                <w:rFonts w:hint="eastAsia" w:ascii="宋体" w:hAnsi="宋体" w:eastAsia="宋体" w:cs="宋体"/>
                <w:kern w:val="0"/>
                <w:sz w:val="21"/>
                <w:szCs w:val="21"/>
              </w:rPr>
            </w:pPr>
          </w:p>
        </w:tc>
      </w:tr>
      <w:tr w14:paraId="0C95CFB5">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25" w:type="pct"/>
            <w:tcBorders>
              <w:top w:val="single" w:color="000000" w:sz="6" w:space="0"/>
              <w:left w:val="single" w:color="000000" w:sz="6" w:space="0"/>
              <w:bottom w:val="single" w:color="000000" w:sz="6" w:space="0"/>
              <w:right w:val="single" w:color="000000" w:sz="6" w:space="0"/>
            </w:tcBorders>
            <w:shd w:val="clear" w:color="auto" w:fill="FFFFFF"/>
            <w:vAlign w:val="center"/>
          </w:tcPr>
          <w:p w14:paraId="5739A75E">
            <w:pPr>
              <w:spacing w:line="360" w:lineRule="auto"/>
              <w:jc w:val="center"/>
              <w:rPr>
                <w:rFonts w:hint="eastAsia" w:ascii="宋体" w:hAnsi="宋体" w:eastAsia="宋体" w:cs="宋体"/>
                <w:sz w:val="21"/>
                <w:szCs w:val="21"/>
              </w:rPr>
            </w:pPr>
            <w:r>
              <w:rPr>
                <w:rFonts w:hint="eastAsia" w:ascii="宋体" w:hAnsi="宋体" w:eastAsia="宋体" w:cs="宋体"/>
                <w:sz w:val="21"/>
                <w:szCs w:val="21"/>
              </w:rPr>
              <w:t>信息系统安全响应程度</w:t>
            </w:r>
          </w:p>
          <w:p w14:paraId="59007B25">
            <w:pPr>
              <w:spacing w:line="360" w:lineRule="auto"/>
              <w:jc w:val="center"/>
              <w:rPr>
                <w:rFonts w:hint="eastAsia" w:ascii="宋体" w:hAnsi="宋体" w:eastAsia="宋体" w:cs="宋体"/>
                <w:sz w:val="21"/>
                <w:szCs w:val="21"/>
              </w:rPr>
            </w:pPr>
            <w:r>
              <w:rPr>
                <w:rFonts w:hint="eastAsia" w:ascii="宋体" w:hAnsi="宋体" w:eastAsia="宋体" w:cs="宋体"/>
                <w:sz w:val="21"/>
                <w:szCs w:val="21"/>
              </w:rPr>
              <w:t>（10分）</w:t>
            </w:r>
          </w:p>
        </w:tc>
        <w:tc>
          <w:tcPr>
            <w:tcW w:w="935" w:type="pct"/>
            <w:tcBorders>
              <w:top w:val="single" w:color="000000" w:sz="6" w:space="0"/>
              <w:left w:val="nil"/>
              <w:bottom w:val="single" w:color="000000" w:sz="6" w:space="0"/>
              <w:right w:val="single" w:color="000000" w:sz="6" w:space="0"/>
            </w:tcBorders>
            <w:shd w:val="clear" w:color="auto" w:fill="FFFFFF"/>
            <w:vAlign w:val="center"/>
          </w:tcPr>
          <w:p w14:paraId="17083FB7">
            <w:pPr>
              <w:spacing w:line="360" w:lineRule="auto"/>
              <w:jc w:val="center"/>
              <w:rPr>
                <w:rFonts w:hint="eastAsia" w:ascii="宋体" w:hAnsi="宋体" w:eastAsia="宋体" w:cs="宋体"/>
                <w:sz w:val="21"/>
                <w:szCs w:val="21"/>
              </w:rPr>
            </w:pPr>
            <w:r>
              <w:rPr>
                <w:rFonts w:hint="eastAsia" w:ascii="宋体" w:hAnsi="宋体" w:eastAsia="宋体" w:cs="宋体"/>
                <w:sz w:val="21"/>
                <w:szCs w:val="21"/>
              </w:rPr>
              <w:t>是否及时响应信息安全要求</w:t>
            </w:r>
          </w:p>
        </w:tc>
        <w:tc>
          <w:tcPr>
            <w:tcW w:w="2945" w:type="pct"/>
            <w:tcBorders>
              <w:top w:val="single" w:color="000000" w:sz="6" w:space="0"/>
              <w:left w:val="nil"/>
              <w:bottom w:val="single" w:color="000000" w:sz="6" w:space="0"/>
              <w:right w:val="single" w:color="000000" w:sz="6" w:space="0"/>
            </w:tcBorders>
            <w:shd w:val="clear" w:color="auto" w:fill="FFFFFF"/>
            <w:vAlign w:val="center"/>
          </w:tcPr>
          <w:p w14:paraId="7649224B">
            <w:pPr>
              <w:pStyle w:val="9"/>
              <w:spacing w:after="0"/>
              <w:ind w:firstLine="0" w:firstLineChars="0"/>
              <w:rPr>
                <w:rFonts w:hint="eastAsia" w:ascii="宋体" w:hAnsi="宋体" w:eastAsia="宋体" w:cs="宋体"/>
                <w:kern w:val="0"/>
                <w:sz w:val="21"/>
                <w:szCs w:val="21"/>
              </w:rPr>
            </w:pPr>
            <w:r>
              <w:rPr>
                <w:rFonts w:hint="eastAsia" w:ascii="宋体" w:hAnsi="宋体" w:eastAsia="宋体" w:cs="宋体"/>
                <w:kern w:val="0"/>
                <w:sz w:val="21"/>
                <w:szCs w:val="21"/>
              </w:rPr>
              <w:t>1）能及时响应信息安全要求，并完满解决，给予满分10分；</w:t>
            </w:r>
          </w:p>
          <w:p w14:paraId="78F9036C">
            <w:pPr>
              <w:pStyle w:val="9"/>
              <w:spacing w:after="0"/>
              <w:ind w:firstLine="0" w:firstLineChars="0"/>
              <w:rPr>
                <w:rFonts w:hint="eastAsia" w:ascii="宋体" w:hAnsi="宋体" w:eastAsia="宋体" w:cs="宋体"/>
                <w:kern w:val="0"/>
                <w:sz w:val="21"/>
                <w:szCs w:val="21"/>
              </w:rPr>
            </w:pPr>
            <w:r>
              <w:rPr>
                <w:rFonts w:hint="eastAsia" w:ascii="宋体" w:hAnsi="宋体" w:eastAsia="宋体" w:cs="宋体"/>
                <w:kern w:val="0"/>
                <w:sz w:val="21"/>
                <w:szCs w:val="21"/>
              </w:rPr>
              <w:t>2）没有及时响应信息安全要求，每次扣取5分，直到该项目全部分值被扣完为止。</w:t>
            </w:r>
          </w:p>
          <w:p w14:paraId="63F36029">
            <w:pPr>
              <w:pStyle w:val="9"/>
              <w:spacing w:after="0"/>
              <w:ind w:firstLine="0" w:firstLineChars="0"/>
              <w:rPr>
                <w:rFonts w:hint="eastAsia" w:ascii="宋体" w:hAnsi="宋体" w:eastAsia="宋体" w:cs="宋体"/>
                <w:kern w:val="0"/>
                <w:sz w:val="21"/>
                <w:szCs w:val="21"/>
              </w:rPr>
            </w:pPr>
            <w:r>
              <w:rPr>
                <w:rFonts w:hint="eastAsia" w:ascii="宋体" w:hAnsi="宋体" w:eastAsia="宋体" w:cs="宋体"/>
                <w:kern w:val="0"/>
                <w:sz w:val="21"/>
                <w:szCs w:val="21"/>
              </w:rPr>
              <w:t>采购人代表记处理情况和扣分记录抄送采购人和中标方项目负责人。</w:t>
            </w:r>
          </w:p>
        </w:tc>
        <w:tc>
          <w:tcPr>
            <w:tcW w:w="494" w:type="pct"/>
            <w:tcBorders>
              <w:top w:val="single" w:color="000000" w:sz="6" w:space="0"/>
              <w:left w:val="nil"/>
              <w:bottom w:val="single" w:color="000000" w:sz="6" w:space="0"/>
              <w:right w:val="single" w:color="000000" w:sz="6" w:space="0"/>
            </w:tcBorders>
            <w:shd w:val="clear" w:color="auto" w:fill="FFFFFF"/>
            <w:vAlign w:val="center"/>
          </w:tcPr>
          <w:p w14:paraId="542B8161">
            <w:pPr>
              <w:widowControl/>
              <w:spacing w:line="360" w:lineRule="auto"/>
              <w:jc w:val="center"/>
              <w:rPr>
                <w:rFonts w:hint="eastAsia" w:ascii="宋体" w:hAnsi="宋体" w:eastAsia="宋体" w:cs="宋体"/>
                <w:kern w:val="0"/>
                <w:sz w:val="21"/>
                <w:szCs w:val="21"/>
              </w:rPr>
            </w:pPr>
          </w:p>
        </w:tc>
      </w:tr>
      <w:tr w14:paraId="3A976EFA">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15" w:type="dxa"/>
            <w:left w:w="15" w:type="dxa"/>
            <w:bottom w:w="15" w:type="dxa"/>
            <w:right w:w="15" w:type="dxa"/>
          </w:tblCellMar>
        </w:tblPrEx>
        <w:trPr>
          <w:trHeight w:val="630" w:hRule="atLeast"/>
        </w:trPr>
        <w:tc>
          <w:tcPr>
            <w:tcW w:w="625" w:type="pct"/>
            <w:tcBorders>
              <w:top w:val="single" w:color="000000" w:sz="6" w:space="0"/>
              <w:left w:val="single" w:color="000000" w:sz="6" w:space="0"/>
              <w:bottom w:val="single" w:color="000000" w:sz="6" w:space="0"/>
              <w:right w:val="single" w:color="000000" w:sz="6" w:space="0"/>
            </w:tcBorders>
            <w:shd w:val="clear" w:color="auto" w:fill="FFFFFF"/>
            <w:vAlign w:val="center"/>
          </w:tcPr>
          <w:p w14:paraId="27613EA5">
            <w:pPr>
              <w:widowControl/>
              <w:spacing w:line="360" w:lineRule="auto"/>
              <w:ind w:firstLine="482"/>
              <w:rPr>
                <w:rFonts w:hint="eastAsia" w:ascii="宋体" w:hAnsi="宋体" w:eastAsia="宋体" w:cs="宋体"/>
                <w:kern w:val="0"/>
                <w:sz w:val="21"/>
                <w:szCs w:val="21"/>
              </w:rPr>
            </w:pPr>
            <w:r>
              <w:rPr>
                <w:rFonts w:hint="eastAsia" w:ascii="宋体" w:hAnsi="宋体" w:eastAsia="宋体" w:cs="宋体"/>
                <w:b/>
                <w:bCs/>
                <w:kern w:val="0"/>
                <w:sz w:val="21"/>
                <w:szCs w:val="21"/>
              </w:rPr>
              <w:t>总分：</w:t>
            </w:r>
          </w:p>
        </w:tc>
        <w:tc>
          <w:tcPr>
            <w:tcW w:w="4374" w:type="pct"/>
            <w:gridSpan w:val="3"/>
            <w:tcBorders>
              <w:top w:val="single" w:color="000000" w:sz="6" w:space="0"/>
              <w:left w:val="nil"/>
              <w:bottom w:val="single" w:color="000000" w:sz="6" w:space="0"/>
              <w:right w:val="single" w:color="000000" w:sz="6" w:space="0"/>
            </w:tcBorders>
            <w:shd w:val="clear" w:color="auto" w:fill="FFFFFF"/>
            <w:vAlign w:val="center"/>
          </w:tcPr>
          <w:p w14:paraId="360C7127">
            <w:pPr>
              <w:widowControl/>
              <w:spacing w:line="360" w:lineRule="auto"/>
              <w:jc w:val="center"/>
              <w:rPr>
                <w:rFonts w:hint="eastAsia" w:ascii="宋体" w:hAnsi="宋体" w:eastAsia="宋体" w:cs="宋体"/>
                <w:kern w:val="0"/>
                <w:sz w:val="21"/>
                <w:szCs w:val="21"/>
              </w:rPr>
            </w:pPr>
          </w:p>
        </w:tc>
      </w:tr>
      <w:tr w14:paraId="557D723C">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15" w:type="dxa"/>
            <w:left w:w="15" w:type="dxa"/>
            <w:bottom w:w="15" w:type="dxa"/>
            <w:right w:w="15" w:type="dxa"/>
          </w:tblCellMar>
        </w:tblPrEx>
        <w:trPr>
          <w:trHeight w:val="1050" w:hRule="atLeast"/>
        </w:trPr>
        <w:tc>
          <w:tcPr>
            <w:tcW w:w="5000" w:type="pct"/>
            <w:gridSpan w:val="4"/>
            <w:tcBorders>
              <w:top w:val="single" w:color="000000" w:sz="6" w:space="0"/>
              <w:left w:val="single" w:color="000000" w:sz="6" w:space="0"/>
              <w:bottom w:val="single" w:color="000000" w:sz="6" w:space="0"/>
              <w:right w:val="single" w:color="000000" w:sz="6" w:space="0"/>
            </w:tcBorders>
            <w:shd w:val="clear" w:color="auto" w:fill="FFFFFF"/>
            <w:vAlign w:val="center"/>
          </w:tcPr>
          <w:p w14:paraId="1D6F89FB">
            <w:pPr>
              <w:spacing w:after="156" w:line="360" w:lineRule="auto"/>
              <w:rPr>
                <w:rFonts w:hint="eastAsia" w:ascii="宋体" w:hAnsi="宋体" w:eastAsia="宋体" w:cs="宋体"/>
                <w:sz w:val="21"/>
                <w:szCs w:val="21"/>
                <w:u w:val="single"/>
              </w:rPr>
            </w:pPr>
            <w:r>
              <w:rPr>
                <w:rFonts w:hint="eastAsia" w:ascii="宋体" w:hAnsi="宋体" w:eastAsia="宋体" w:cs="宋体"/>
                <w:sz w:val="21"/>
                <w:szCs w:val="21"/>
              </w:rPr>
              <w:t>项目负责人/经办人签字：</w:t>
            </w:r>
            <w:r>
              <w:rPr>
                <w:rFonts w:hint="eastAsia" w:ascii="宋体" w:hAnsi="宋体" w:eastAsia="宋体" w:cs="宋体"/>
                <w:sz w:val="21"/>
                <w:szCs w:val="21"/>
                <w:u w:val="single"/>
              </w:rPr>
              <w:t xml:space="preserve">              </w:t>
            </w:r>
          </w:p>
          <w:p w14:paraId="3AD9CD2F">
            <w:pPr>
              <w:widowControl/>
              <w:spacing w:line="360" w:lineRule="auto"/>
              <w:rPr>
                <w:rFonts w:hint="eastAsia" w:ascii="宋体" w:hAnsi="宋体" w:eastAsia="宋体" w:cs="宋体"/>
                <w:kern w:val="0"/>
                <w:sz w:val="21"/>
                <w:szCs w:val="21"/>
              </w:rPr>
            </w:pPr>
            <w:r>
              <w:rPr>
                <w:rFonts w:hint="eastAsia" w:ascii="宋体" w:hAnsi="宋体" w:eastAsia="宋体" w:cs="宋体"/>
                <w:sz w:val="21"/>
                <w:szCs w:val="21"/>
              </w:rPr>
              <w:t>考核时间：    年    月    日</w:t>
            </w:r>
          </w:p>
        </w:tc>
      </w:tr>
    </w:tbl>
    <w:p w14:paraId="5A3EB784">
      <w:pPr>
        <w:rPr>
          <w:rFonts w:hint="eastAsia" w:ascii="宋体" w:hAnsi="宋体" w:eastAsia="宋体" w:cs="宋体"/>
          <w:sz w:val="21"/>
          <w:szCs w:val="21"/>
        </w:rPr>
      </w:pPr>
    </w:p>
    <w:p w14:paraId="1DDC136B">
      <w:pPr>
        <w:rPr>
          <w:rFonts w:hint="eastAsia" w:ascii="宋体" w:hAnsi="宋体" w:eastAsia="宋体" w:cs="宋体"/>
          <w:sz w:val="21"/>
          <w:szCs w:val="21"/>
        </w:rPr>
      </w:pPr>
    </w:p>
    <w:p w14:paraId="57C5CC5B">
      <w:pPr>
        <w:rPr>
          <w:rFonts w:hint="eastAsia" w:ascii="宋体" w:hAnsi="宋体" w:eastAsia="宋体" w:cs="宋体"/>
          <w:bCs/>
          <w:sz w:val="21"/>
          <w:szCs w:val="21"/>
        </w:rPr>
      </w:pPr>
      <w:r>
        <w:rPr>
          <w:rFonts w:hint="eastAsia" w:ascii="宋体" w:hAnsi="宋体" w:eastAsia="宋体" w:cs="宋体"/>
          <w:bCs/>
          <w:sz w:val="21"/>
          <w:szCs w:val="21"/>
        </w:rPr>
        <w:br w:type="page"/>
      </w:r>
    </w:p>
    <w:p w14:paraId="1D8E8289">
      <w:pPr>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11、维保服务考核评分表</w:t>
      </w:r>
    </w:p>
    <w:p w14:paraId="44230181">
      <w:pPr>
        <w:rPr>
          <w:rFonts w:hint="eastAsia" w:ascii="宋体" w:hAnsi="宋体" w:eastAsia="宋体" w:cs="宋体"/>
          <w:sz w:val="21"/>
          <w:szCs w:val="21"/>
        </w:rPr>
      </w:pPr>
    </w:p>
    <w:p w14:paraId="437EF831">
      <w:pPr>
        <w:spacing w:line="360" w:lineRule="auto"/>
        <w:jc w:val="center"/>
        <w:rPr>
          <w:rFonts w:hint="eastAsia" w:ascii="宋体" w:hAnsi="宋体" w:eastAsia="宋体" w:cs="宋体"/>
          <w:b/>
          <w:bCs/>
          <w:sz w:val="21"/>
          <w:szCs w:val="21"/>
        </w:rPr>
      </w:pPr>
      <w:r>
        <w:rPr>
          <w:rFonts w:hint="eastAsia" w:ascii="宋体" w:hAnsi="宋体" w:eastAsia="宋体" w:cs="宋体"/>
          <w:b/>
          <w:bCs/>
          <w:sz w:val="21"/>
          <w:szCs w:val="21"/>
        </w:rPr>
        <w:t>维保服务考核评分表</w:t>
      </w:r>
    </w:p>
    <w:tbl>
      <w:tblPr>
        <w:tblStyle w:val="10"/>
        <w:tblW w:w="0" w:type="auto"/>
        <w:tblInd w:w="228" w:type="dxa"/>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Layout w:type="autofit"/>
        <w:tblCellMar>
          <w:top w:w="0" w:type="dxa"/>
          <w:left w:w="108" w:type="dxa"/>
          <w:bottom w:w="0" w:type="dxa"/>
          <w:right w:w="108" w:type="dxa"/>
        </w:tblCellMar>
      </w:tblPr>
      <w:tblGrid>
        <w:gridCol w:w="1251"/>
        <w:gridCol w:w="1329"/>
        <w:gridCol w:w="4701"/>
        <w:gridCol w:w="826"/>
      </w:tblGrid>
      <w:tr w14:paraId="56287C69">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108" w:type="dxa"/>
            <w:gridSpan w:val="4"/>
            <w:tcBorders>
              <w:top w:val="single" w:color="000000" w:sz="6" w:space="0"/>
              <w:left w:val="single" w:color="000000" w:sz="6" w:space="0"/>
              <w:bottom w:val="single" w:color="000000" w:sz="6" w:space="0"/>
              <w:right w:val="single" w:color="000000" w:sz="6" w:space="0"/>
            </w:tcBorders>
            <w:shd w:val="clear" w:color="auto" w:fill="FFFFFF"/>
            <w:tcMar>
              <w:top w:w="15" w:type="dxa"/>
              <w:left w:w="15" w:type="dxa"/>
              <w:bottom w:w="15" w:type="dxa"/>
              <w:right w:w="15" w:type="dxa"/>
            </w:tcMar>
            <w:vAlign w:val="center"/>
          </w:tcPr>
          <w:p w14:paraId="5CA042CA">
            <w:pPr>
              <w:spacing w:line="360" w:lineRule="auto"/>
              <w:jc w:val="left"/>
              <w:rPr>
                <w:rFonts w:hint="eastAsia" w:ascii="宋体" w:hAnsi="宋体" w:eastAsia="宋体" w:cs="宋体"/>
                <w:b/>
                <w:bCs/>
                <w:sz w:val="21"/>
                <w:szCs w:val="21"/>
              </w:rPr>
            </w:pPr>
            <w:r>
              <w:rPr>
                <w:rFonts w:hint="eastAsia" w:ascii="宋体" w:hAnsi="宋体" w:eastAsia="宋体" w:cs="宋体"/>
                <w:kern w:val="0"/>
                <w:sz w:val="21"/>
                <w:szCs w:val="21"/>
              </w:rPr>
              <w:t>项目名称：XXXX项目</w:t>
            </w:r>
          </w:p>
        </w:tc>
      </w:tr>
      <w:tr w14:paraId="2AF45041">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108" w:type="dxa"/>
            <w:gridSpan w:val="4"/>
            <w:tcBorders>
              <w:top w:val="single" w:color="000000" w:sz="6" w:space="0"/>
              <w:left w:val="single" w:color="000000" w:sz="6" w:space="0"/>
              <w:bottom w:val="single" w:color="000000" w:sz="6" w:space="0"/>
              <w:right w:val="single" w:color="000000" w:sz="6" w:space="0"/>
            </w:tcBorders>
            <w:shd w:val="clear" w:color="auto" w:fill="FFFFFF"/>
            <w:tcMar>
              <w:top w:w="15" w:type="dxa"/>
              <w:left w:w="15" w:type="dxa"/>
              <w:bottom w:w="15" w:type="dxa"/>
              <w:right w:w="15" w:type="dxa"/>
            </w:tcMar>
            <w:vAlign w:val="center"/>
          </w:tcPr>
          <w:p w14:paraId="425B618C">
            <w:pPr>
              <w:spacing w:line="360" w:lineRule="auto"/>
              <w:jc w:val="left"/>
              <w:rPr>
                <w:rFonts w:hint="eastAsia" w:ascii="宋体" w:hAnsi="宋体" w:eastAsia="宋体" w:cs="宋体"/>
                <w:b/>
                <w:bCs/>
                <w:sz w:val="21"/>
                <w:szCs w:val="21"/>
              </w:rPr>
            </w:pPr>
            <w:r>
              <w:rPr>
                <w:rFonts w:hint="eastAsia" w:ascii="宋体" w:hAnsi="宋体" w:eastAsia="宋体" w:cs="宋体"/>
                <w:kern w:val="0"/>
                <w:sz w:val="21"/>
                <w:szCs w:val="21"/>
              </w:rPr>
              <w:t>建设单位（甲方）：广东南方新媒体股份有限公司</w:t>
            </w:r>
          </w:p>
        </w:tc>
      </w:tr>
      <w:tr w14:paraId="491133E5">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108" w:type="dxa"/>
            <w:gridSpan w:val="4"/>
            <w:tcBorders>
              <w:top w:val="single" w:color="000000" w:sz="6" w:space="0"/>
              <w:left w:val="single" w:color="000000" w:sz="6" w:space="0"/>
              <w:bottom w:val="single" w:color="000000" w:sz="6" w:space="0"/>
              <w:right w:val="single" w:color="000000" w:sz="6" w:space="0"/>
            </w:tcBorders>
            <w:shd w:val="clear" w:color="auto" w:fill="FFFFFF"/>
            <w:tcMar>
              <w:top w:w="15" w:type="dxa"/>
              <w:left w:w="15" w:type="dxa"/>
              <w:bottom w:w="15" w:type="dxa"/>
              <w:right w:w="15" w:type="dxa"/>
            </w:tcMar>
            <w:vAlign w:val="center"/>
          </w:tcPr>
          <w:p w14:paraId="6D9280D8">
            <w:pPr>
              <w:spacing w:line="360" w:lineRule="auto"/>
              <w:jc w:val="left"/>
              <w:rPr>
                <w:rFonts w:hint="eastAsia" w:ascii="宋体" w:hAnsi="宋体" w:eastAsia="宋体" w:cs="宋体"/>
                <w:b/>
                <w:bCs/>
                <w:sz w:val="21"/>
                <w:szCs w:val="21"/>
              </w:rPr>
            </w:pPr>
            <w:r>
              <w:rPr>
                <w:rFonts w:hint="eastAsia" w:ascii="宋体" w:hAnsi="宋体" w:eastAsia="宋体" w:cs="宋体"/>
                <w:kern w:val="0"/>
                <w:sz w:val="21"/>
                <w:szCs w:val="21"/>
              </w:rPr>
              <w:t xml:space="preserve">维保单位（乙方）：xxxx  </w:t>
            </w:r>
          </w:p>
        </w:tc>
      </w:tr>
      <w:tr w14:paraId="394DDB6A">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108" w:type="dxa"/>
            <w:gridSpan w:val="4"/>
            <w:tcBorders>
              <w:top w:val="single" w:color="000000" w:sz="6" w:space="0"/>
              <w:left w:val="single" w:color="000000" w:sz="6" w:space="0"/>
              <w:bottom w:val="single" w:color="000000" w:sz="6" w:space="0"/>
              <w:right w:val="single" w:color="000000" w:sz="6" w:space="0"/>
            </w:tcBorders>
            <w:shd w:val="clear" w:color="auto" w:fill="FFFFFF"/>
            <w:tcMar>
              <w:top w:w="15" w:type="dxa"/>
              <w:left w:w="15" w:type="dxa"/>
              <w:bottom w:w="15" w:type="dxa"/>
              <w:right w:w="15" w:type="dxa"/>
            </w:tcMar>
            <w:vAlign w:val="center"/>
          </w:tcPr>
          <w:p w14:paraId="4A154755">
            <w:pPr>
              <w:spacing w:line="360" w:lineRule="auto"/>
              <w:jc w:val="left"/>
              <w:rPr>
                <w:rFonts w:hint="eastAsia" w:ascii="宋体" w:hAnsi="宋体" w:eastAsia="宋体" w:cs="宋体"/>
                <w:b/>
                <w:bCs/>
                <w:sz w:val="21"/>
                <w:szCs w:val="21"/>
              </w:rPr>
            </w:pPr>
            <w:r>
              <w:rPr>
                <w:rFonts w:hint="eastAsia" w:ascii="宋体" w:hAnsi="宋体" w:eastAsia="宋体" w:cs="宋体"/>
                <w:kern w:val="0"/>
                <w:sz w:val="21"/>
                <w:szCs w:val="21"/>
              </w:rPr>
              <w:t>考核时期：xxxx</w:t>
            </w:r>
          </w:p>
        </w:tc>
      </w:tr>
      <w:tr w14:paraId="737963DD">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251" w:type="dxa"/>
            <w:tcBorders>
              <w:top w:val="single" w:color="000000" w:sz="6" w:space="0"/>
              <w:left w:val="single" w:color="000000" w:sz="6" w:space="0"/>
              <w:bottom w:val="single" w:color="000000" w:sz="6" w:space="0"/>
              <w:right w:val="single" w:color="000000" w:sz="6" w:space="0"/>
            </w:tcBorders>
            <w:shd w:val="clear" w:color="auto" w:fill="FFFFFF"/>
            <w:tcMar>
              <w:top w:w="15" w:type="dxa"/>
              <w:left w:w="15" w:type="dxa"/>
              <w:bottom w:w="15" w:type="dxa"/>
              <w:right w:w="15" w:type="dxa"/>
            </w:tcMar>
            <w:vAlign w:val="center"/>
          </w:tcPr>
          <w:p w14:paraId="2172830C">
            <w:pPr>
              <w:spacing w:line="360" w:lineRule="auto"/>
              <w:jc w:val="center"/>
              <w:rPr>
                <w:rFonts w:hint="eastAsia" w:ascii="宋体" w:hAnsi="宋体" w:eastAsia="宋体" w:cs="宋体"/>
                <w:b/>
                <w:bCs/>
                <w:sz w:val="21"/>
                <w:szCs w:val="21"/>
              </w:rPr>
            </w:pPr>
            <w:r>
              <w:rPr>
                <w:rFonts w:hint="eastAsia" w:ascii="宋体" w:hAnsi="宋体" w:eastAsia="宋体" w:cs="宋体"/>
                <w:b/>
                <w:bCs/>
                <w:sz w:val="21"/>
                <w:szCs w:val="21"/>
              </w:rPr>
              <w:t>考核项目</w:t>
            </w:r>
          </w:p>
        </w:tc>
        <w:tc>
          <w:tcPr>
            <w:tcW w:w="1329" w:type="dxa"/>
            <w:tcBorders>
              <w:top w:val="single" w:color="000000" w:sz="6" w:space="0"/>
              <w:left w:val="nil"/>
              <w:bottom w:val="single" w:color="000000" w:sz="6" w:space="0"/>
              <w:right w:val="single" w:color="000000" w:sz="6" w:space="0"/>
            </w:tcBorders>
            <w:shd w:val="clear" w:color="auto" w:fill="FFFFFF"/>
            <w:tcMar>
              <w:top w:w="15" w:type="dxa"/>
              <w:left w:w="15" w:type="dxa"/>
              <w:bottom w:w="15" w:type="dxa"/>
              <w:right w:w="15" w:type="dxa"/>
            </w:tcMar>
            <w:vAlign w:val="center"/>
          </w:tcPr>
          <w:p w14:paraId="2EA3AB5F">
            <w:pPr>
              <w:spacing w:line="360" w:lineRule="auto"/>
              <w:jc w:val="center"/>
              <w:rPr>
                <w:rFonts w:hint="eastAsia" w:ascii="宋体" w:hAnsi="宋体" w:eastAsia="宋体" w:cs="宋体"/>
                <w:b/>
                <w:bCs/>
                <w:sz w:val="21"/>
                <w:szCs w:val="21"/>
              </w:rPr>
            </w:pPr>
            <w:r>
              <w:rPr>
                <w:rFonts w:hint="eastAsia" w:ascii="宋体" w:hAnsi="宋体" w:eastAsia="宋体" w:cs="宋体"/>
                <w:b/>
                <w:bCs/>
                <w:sz w:val="21"/>
                <w:szCs w:val="21"/>
              </w:rPr>
              <w:t>考核内容</w:t>
            </w:r>
          </w:p>
        </w:tc>
        <w:tc>
          <w:tcPr>
            <w:tcW w:w="4702" w:type="dxa"/>
            <w:tcBorders>
              <w:top w:val="single" w:color="000000" w:sz="6" w:space="0"/>
              <w:left w:val="nil"/>
              <w:bottom w:val="single" w:color="000000" w:sz="6" w:space="0"/>
              <w:right w:val="single" w:color="000000" w:sz="6" w:space="0"/>
            </w:tcBorders>
            <w:shd w:val="clear" w:color="auto" w:fill="FFFFFF"/>
            <w:tcMar>
              <w:top w:w="15" w:type="dxa"/>
              <w:left w:w="15" w:type="dxa"/>
              <w:bottom w:w="15" w:type="dxa"/>
              <w:right w:w="15" w:type="dxa"/>
            </w:tcMar>
            <w:vAlign w:val="center"/>
          </w:tcPr>
          <w:p w14:paraId="7CC4E247">
            <w:pPr>
              <w:spacing w:line="360" w:lineRule="auto"/>
              <w:jc w:val="center"/>
              <w:rPr>
                <w:rFonts w:hint="eastAsia" w:ascii="宋体" w:hAnsi="宋体" w:eastAsia="宋体" w:cs="宋体"/>
                <w:b/>
                <w:bCs/>
                <w:sz w:val="21"/>
                <w:szCs w:val="21"/>
              </w:rPr>
            </w:pPr>
            <w:r>
              <w:rPr>
                <w:rFonts w:hint="eastAsia" w:ascii="宋体" w:hAnsi="宋体" w:eastAsia="宋体" w:cs="宋体"/>
                <w:b/>
                <w:bCs/>
                <w:sz w:val="21"/>
                <w:szCs w:val="21"/>
              </w:rPr>
              <w:t>考核标准</w:t>
            </w:r>
          </w:p>
        </w:tc>
        <w:tc>
          <w:tcPr>
            <w:tcW w:w="826" w:type="dxa"/>
            <w:tcBorders>
              <w:top w:val="single" w:color="000000" w:sz="6" w:space="0"/>
              <w:left w:val="nil"/>
              <w:bottom w:val="single" w:color="000000" w:sz="6" w:space="0"/>
              <w:right w:val="single" w:color="000000" w:sz="6" w:space="0"/>
            </w:tcBorders>
            <w:shd w:val="clear" w:color="auto" w:fill="FFFFFF"/>
            <w:tcMar>
              <w:top w:w="15" w:type="dxa"/>
              <w:left w:w="15" w:type="dxa"/>
              <w:bottom w:w="15" w:type="dxa"/>
              <w:right w:w="15" w:type="dxa"/>
            </w:tcMar>
            <w:vAlign w:val="center"/>
          </w:tcPr>
          <w:p w14:paraId="31E32CB5">
            <w:pPr>
              <w:spacing w:line="360" w:lineRule="auto"/>
              <w:jc w:val="center"/>
              <w:rPr>
                <w:rFonts w:hint="eastAsia" w:ascii="宋体" w:hAnsi="宋体" w:eastAsia="宋体" w:cs="宋体"/>
                <w:b/>
                <w:bCs/>
                <w:sz w:val="21"/>
                <w:szCs w:val="21"/>
              </w:rPr>
            </w:pPr>
            <w:r>
              <w:rPr>
                <w:rFonts w:hint="eastAsia" w:ascii="宋体" w:hAnsi="宋体" w:eastAsia="宋体" w:cs="宋体"/>
                <w:b/>
                <w:bCs/>
                <w:sz w:val="21"/>
                <w:szCs w:val="21"/>
              </w:rPr>
              <w:t>考核分</w:t>
            </w:r>
          </w:p>
        </w:tc>
      </w:tr>
      <w:tr w14:paraId="0BEA1A6A">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251" w:type="dxa"/>
            <w:tcBorders>
              <w:top w:val="single" w:color="000000" w:sz="6" w:space="0"/>
              <w:left w:val="single" w:color="000000" w:sz="6" w:space="0"/>
              <w:bottom w:val="single" w:color="000000" w:sz="6" w:space="0"/>
              <w:right w:val="single" w:color="000000" w:sz="6" w:space="0"/>
            </w:tcBorders>
            <w:shd w:val="clear" w:color="auto" w:fill="FFFFFF"/>
            <w:tcMar>
              <w:top w:w="15" w:type="dxa"/>
              <w:left w:w="15" w:type="dxa"/>
              <w:bottom w:w="15" w:type="dxa"/>
              <w:right w:w="15" w:type="dxa"/>
            </w:tcMar>
            <w:vAlign w:val="center"/>
          </w:tcPr>
          <w:p w14:paraId="41F0E1F2">
            <w:pPr>
              <w:spacing w:line="360" w:lineRule="auto"/>
              <w:jc w:val="center"/>
              <w:rPr>
                <w:rFonts w:hint="eastAsia" w:ascii="宋体" w:hAnsi="宋体" w:eastAsia="宋体" w:cs="宋体"/>
                <w:sz w:val="21"/>
                <w:szCs w:val="21"/>
              </w:rPr>
            </w:pPr>
            <w:r>
              <w:rPr>
                <w:rFonts w:hint="eastAsia" w:ascii="宋体" w:hAnsi="宋体" w:eastAsia="宋体" w:cs="宋体"/>
                <w:sz w:val="21"/>
                <w:szCs w:val="21"/>
              </w:rPr>
              <w:t>需求响应程度（30分）</w:t>
            </w:r>
          </w:p>
        </w:tc>
        <w:tc>
          <w:tcPr>
            <w:tcW w:w="1329" w:type="dxa"/>
            <w:tcBorders>
              <w:top w:val="single" w:color="000000" w:sz="6" w:space="0"/>
              <w:left w:val="nil"/>
              <w:bottom w:val="single" w:color="000000" w:sz="6" w:space="0"/>
              <w:right w:val="single" w:color="000000" w:sz="6" w:space="0"/>
            </w:tcBorders>
            <w:shd w:val="clear" w:color="auto" w:fill="FFFFFF"/>
            <w:tcMar>
              <w:top w:w="15" w:type="dxa"/>
              <w:left w:w="15" w:type="dxa"/>
              <w:bottom w:w="15" w:type="dxa"/>
              <w:right w:w="15" w:type="dxa"/>
            </w:tcMar>
            <w:vAlign w:val="center"/>
          </w:tcPr>
          <w:p w14:paraId="207AD5DB">
            <w:pPr>
              <w:spacing w:line="360" w:lineRule="auto"/>
              <w:jc w:val="center"/>
              <w:rPr>
                <w:rFonts w:hint="eastAsia" w:ascii="宋体" w:hAnsi="宋体" w:eastAsia="宋体" w:cs="宋体"/>
                <w:sz w:val="21"/>
                <w:szCs w:val="21"/>
              </w:rPr>
            </w:pPr>
            <w:r>
              <w:rPr>
                <w:rFonts w:hint="eastAsia" w:ascii="宋体" w:hAnsi="宋体" w:eastAsia="宋体" w:cs="宋体"/>
                <w:sz w:val="21"/>
                <w:szCs w:val="21"/>
              </w:rPr>
              <w:t>是否能及时响应服务请求并满足需求</w:t>
            </w:r>
          </w:p>
        </w:tc>
        <w:tc>
          <w:tcPr>
            <w:tcW w:w="4702" w:type="dxa"/>
            <w:tcBorders>
              <w:top w:val="single" w:color="000000" w:sz="6" w:space="0"/>
              <w:left w:val="nil"/>
              <w:bottom w:val="single" w:color="000000" w:sz="6" w:space="0"/>
              <w:right w:val="single" w:color="000000" w:sz="6" w:space="0"/>
            </w:tcBorders>
            <w:shd w:val="clear" w:color="auto" w:fill="FFFFFF"/>
            <w:tcMar>
              <w:top w:w="15" w:type="dxa"/>
              <w:left w:w="15" w:type="dxa"/>
              <w:bottom w:w="15" w:type="dxa"/>
              <w:right w:w="15" w:type="dxa"/>
            </w:tcMar>
            <w:vAlign w:val="center"/>
          </w:tcPr>
          <w:p w14:paraId="594A08F0">
            <w:pPr>
              <w:widowControl/>
              <w:spacing w:line="360" w:lineRule="auto"/>
              <w:jc w:val="left"/>
              <w:rPr>
                <w:rFonts w:hint="eastAsia" w:ascii="宋体" w:hAnsi="宋体" w:eastAsia="宋体" w:cs="宋体"/>
                <w:kern w:val="0"/>
                <w:sz w:val="21"/>
                <w:szCs w:val="21"/>
              </w:rPr>
            </w:pPr>
            <w:r>
              <w:rPr>
                <w:rFonts w:hint="eastAsia" w:ascii="宋体" w:hAnsi="宋体" w:eastAsia="宋体" w:cs="宋体"/>
                <w:kern w:val="0"/>
                <w:sz w:val="21"/>
                <w:szCs w:val="21"/>
              </w:rPr>
              <w:t>1）对服务请求均能及时响应，沟通主动、顺畅，配合度高。给予满分30分；</w:t>
            </w:r>
          </w:p>
          <w:p w14:paraId="45455868">
            <w:pPr>
              <w:widowControl/>
              <w:spacing w:line="360" w:lineRule="auto"/>
              <w:jc w:val="left"/>
              <w:rPr>
                <w:rFonts w:hint="eastAsia" w:ascii="宋体" w:hAnsi="宋体" w:eastAsia="宋体" w:cs="宋体"/>
                <w:kern w:val="0"/>
                <w:sz w:val="21"/>
                <w:szCs w:val="21"/>
              </w:rPr>
            </w:pPr>
            <w:r>
              <w:rPr>
                <w:rFonts w:hint="eastAsia" w:ascii="宋体" w:hAnsi="宋体" w:eastAsia="宋体" w:cs="宋体"/>
                <w:kern w:val="0"/>
                <w:sz w:val="21"/>
                <w:szCs w:val="21"/>
              </w:rPr>
              <w:t>2）对于服务请求每次出现响应不及时每次扣除5分，直到该项全部分值被扣完为止。</w:t>
            </w:r>
          </w:p>
        </w:tc>
        <w:tc>
          <w:tcPr>
            <w:tcW w:w="826" w:type="dxa"/>
            <w:tcBorders>
              <w:top w:val="single" w:color="000000" w:sz="6" w:space="0"/>
              <w:left w:val="nil"/>
              <w:bottom w:val="single" w:color="000000" w:sz="6" w:space="0"/>
              <w:right w:val="single" w:color="000000" w:sz="6" w:space="0"/>
            </w:tcBorders>
            <w:shd w:val="clear" w:color="auto" w:fill="FFFFFF"/>
            <w:tcMar>
              <w:top w:w="15" w:type="dxa"/>
              <w:left w:w="15" w:type="dxa"/>
              <w:bottom w:w="15" w:type="dxa"/>
              <w:right w:w="15" w:type="dxa"/>
            </w:tcMar>
            <w:vAlign w:val="center"/>
          </w:tcPr>
          <w:p w14:paraId="323675F0">
            <w:pPr>
              <w:widowControl/>
              <w:spacing w:line="360" w:lineRule="auto"/>
              <w:jc w:val="center"/>
              <w:rPr>
                <w:rFonts w:hint="eastAsia" w:ascii="宋体" w:hAnsi="宋体" w:eastAsia="宋体" w:cs="宋体"/>
                <w:kern w:val="0"/>
                <w:sz w:val="21"/>
                <w:szCs w:val="21"/>
              </w:rPr>
            </w:pPr>
          </w:p>
        </w:tc>
      </w:tr>
      <w:tr w14:paraId="26CE2B01">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251" w:type="dxa"/>
            <w:tcBorders>
              <w:top w:val="single" w:color="000000" w:sz="6" w:space="0"/>
              <w:left w:val="single" w:color="000000" w:sz="6" w:space="0"/>
              <w:bottom w:val="single" w:color="000000" w:sz="6" w:space="0"/>
              <w:right w:val="single" w:color="000000" w:sz="6" w:space="0"/>
            </w:tcBorders>
            <w:shd w:val="clear" w:color="auto" w:fill="FFFFFF"/>
            <w:tcMar>
              <w:top w:w="15" w:type="dxa"/>
              <w:left w:w="15" w:type="dxa"/>
              <w:bottom w:w="15" w:type="dxa"/>
              <w:right w:w="15" w:type="dxa"/>
            </w:tcMar>
            <w:vAlign w:val="center"/>
          </w:tcPr>
          <w:p w14:paraId="33AE8651">
            <w:pPr>
              <w:spacing w:line="360" w:lineRule="auto"/>
              <w:jc w:val="center"/>
              <w:rPr>
                <w:rFonts w:hint="eastAsia" w:ascii="宋体" w:hAnsi="宋体" w:eastAsia="宋体" w:cs="宋体"/>
                <w:sz w:val="21"/>
                <w:szCs w:val="21"/>
              </w:rPr>
            </w:pPr>
            <w:r>
              <w:rPr>
                <w:rFonts w:hint="eastAsia" w:ascii="宋体" w:hAnsi="宋体" w:eastAsia="宋体" w:cs="宋体"/>
                <w:sz w:val="21"/>
                <w:szCs w:val="21"/>
              </w:rPr>
              <w:t>服务质量（30分）</w:t>
            </w:r>
          </w:p>
        </w:tc>
        <w:tc>
          <w:tcPr>
            <w:tcW w:w="1329" w:type="dxa"/>
            <w:tcBorders>
              <w:top w:val="single" w:color="000000" w:sz="6" w:space="0"/>
              <w:left w:val="nil"/>
              <w:bottom w:val="single" w:color="000000" w:sz="6" w:space="0"/>
              <w:right w:val="single" w:color="000000" w:sz="6" w:space="0"/>
            </w:tcBorders>
            <w:shd w:val="clear" w:color="auto" w:fill="FFFFFF"/>
            <w:tcMar>
              <w:top w:w="15" w:type="dxa"/>
              <w:left w:w="15" w:type="dxa"/>
              <w:bottom w:w="15" w:type="dxa"/>
              <w:right w:w="15" w:type="dxa"/>
            </w:tcMar>
            <w:vAlign w:val="center"/>
          </w:tcPr>
          <w:p w14:paraId="41008122">
            <w:pPr>
              <w:spacing w:line="360" w:lineRule="auto"/>
              <w:jc w:val="center"/>
              <w:rPr>
                <w:rFonts w:hint="eastAsia" w:ascii="宋体" w:hAnsi="宋体" w:eastAsia="宋体" w:cs="宋体"/>
                <w:sz w:val="21"/>
                <w:szCs w:val="21"/>
              </w:rPr>
            </w:pPr>
            <w:r>
              <w:rPr>
                <w:rFonts w:hint="eastAsia" w:ascii="宋体" w:hAnsi="宋体" w:eastAsia="宋体" w:cs="宋体"/>
                <w:sz w:val="21"/>
                <w:szCs w:val="21"/>
              </w:rPr>
              <w:t>服务过程是否专业、规范</w:t>
            </w:r>
          </w:p>
        </w:tc>
        <w:tc>
          <w:tcPr>
            <w:tcW w:w="4702" w:type="dxa"/>
            <w:tcBorders>
              <w:top w:val="single" w:color="000000" w:sz="6" w:space="0"/>
              <w:left w:val="nil"/>
              <w:bottom w:val="single" w:color="000000" w:sz="6" w:space="0"/>
              <w:right w:val="single" w:color="000000" w:sz="6" w:space="0"/>
            </w:tcBorders>
            <w:shd w:val="clear" w:color="auto" w:fill="FFFFFF"/>
            <w:tcMar>
              <w:top w:w="15" w:type="dxa"/>
              <w:left w:w="15" w:type="dxa"/>
              <w:bottom w:w="15" w:type="dxa"/>
              <w:right w:w="15" w:type="dxa"/>
            </w:tcMar>
            <w:vAlign w:val="center"/>
          </w:tcPr>
          <w:p w14:paraId="25017037">
            <w:pPr>
              <w:widowControl/>
              <w:spacing w:line="360" w:lineRule="auto"/>
              <w:jc w:val="left"/>
              <w:rPr>
                <w:rFonts w:hint="eastAsia" w:ascii="宋体" w:hAnsi="宋体" w:eastAsia="宋体" w:cs="宋体"/>
                <w:kern w:val="0"/>
                <w:sz w:val="21"/>
                <w:szCs w:val="21"/>
              </w:rPr>
            </w:pPr>
            <w:r>
              <w:rPr>
                <w:rFonts w:hint="eastAsia" w:ascii="宋体" w:hAnsi="宋体" w:eastAsia="宋体" w:cs="宋体"/>
                <w:kern w:val="0"/>
                <w:sz w:val="21"/>
                <w:szCs w:val="21"/>
              </w:rPr>
              <w:t>1）指派人员专业匹配度高，对接人稳定，系统配置信息准确、操作规范，给予满分30分；</w:t>
            </w:r>
          </w:p>
          <w:p w14:paraId="312ED135">
            <w:pPr>
              <w:widowControl/>
              <w:spacing w:line="360" w:lineRule="auto"/>
              <w:jc w:val="left"/>
              <w:rPr>
                <w:rFonts w:hint="eastAsia" w:ascii="宋体" w:hAnsi="宋体" w:eastAsia="宋体" w:cs="宋体"/>
                <w:kern w:val="0"/>
                <w:sz w:val="21"/>
                <w:szCs w:val="21"/>
              </w:rPr>
            </w:pPr>
            <w:r>
              <w:rPr>
                <w:rFonts w:hint="eastAsia" w:ascii="宋体" w:hAnsi="宋体" w:eastAsia="宋体" w:cs="宋体"/>
                <w:kern w:val="0"/>
                <w:sz w:val="21"/>
                <w:szCs w:val="21"/>
              </w:rPr>
              <w:t>2）拒绝或违反安全和操作规定，每出现一次，扣除5分，直到该项目全部分值被扣完为止。</w:t>
            </w:r>
          </w:p>
        </w:tc>
        <w:tc>
          <w:tcPr>
            <w:tcW w:w="826" w:type="dxa"/>
            <w:tcBorders>
              <w:top w:val="single" w:color="000000" w:sz="6" w:space="0"/>
              <w:left w:val="nil"/>
              <w:bottom w:val="single" w:color="000000" w:sz="6" w:space="0"/>
              <w:right w:val="single" w:color="000000" w:sz="6" w:space="0"/>
            </w:tcBorders>
            <w:shd w:val="clear" w:color="auto" w:fill="FFFFFF"/>
            <w:tcMar>
              <w:top w:w="15" w:type="dxa"/>
              <w:left w:w="15" w:type="dxa"/>
              <w:bottom w:w="15" w:type="dxa"/>
              <w:right w:w="15" w:type="dxa"/>
            </w:tcMar>
            <w:vAlign w:val="center"/>
          </w:tcPr>
          <w:p w14:paraId="48290606">
            <w:pPr>
              <w:widowControl/>
              <w:spacing w:line="360" w:lineRule="auto"/>
              <w:jc w:val="center"/>
              <w:rPr>
                <w:rFonts w:hint="eastAsia" w:ascii="宋体" w:hAnsi="宋体" w:eastAsia="宋体" w:cs="宋体"/>
                <w:kern w:val="0"/>
                <w:sz w:val="21"/>
                <w:szCs w:val="21"/>
              </w:rPr>
            </w:pPr>
          </w:p>
        </w:tc>
      </w:tr>
      <w:tr w14:paraId="6851A7F7">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251" w:type="dxa"/>
            <w:tcBorders>
              <w:top w:val="single" w:color="000000" w:sz="6" w:space="0"/>
              <w:left w:val="single" w:color="000000" w:sz="6" w:space="0"/>
              <w:bottom w:val="single" w:color="000000" w:sz="6" w:space="0"/>
              <w:right w:val="single" w:color="000000" w:sz="6" w:space="0"/>
            </w:tcBorders>
            <w:shd w:val="clear" w:color="auto" w:fill="FFFFFF"/>
            <w:tcMar>
              <w:top w:w="15" w:type="dxa"/>
              <w:left w:w="15" w:type="dxa"/>
              <w:bottom w:w="15" w:type="dxa"/>
              <w:right w:w="15" w:type="dxa"/>
            </w:tcMar>
            <w:vAlign w:val="center"/>
          </w:tcPr>
          <w:p w14:paraId="26987624">
            <w:pPr>
              <w:spacing w:line="360" w:lineRule="auto"/>
              <w:jc w:val="center"/>
              <w:rPr>
                <w:rFonts w:hint="eastAsia" w:ascii="宋体" w:hAnsi="宋体" w:eastAsia="宋体" w:cs="宋体"/>
                <w:sz w:val="21"/>
                <w:szCs w:val="21"/>
              </w:rPr>
            </w:pPr>
            <w:r>
              <w:rPr>
                <w:rFonts w:hint="eastAsia" w:ascii="宋体" w:hAnsi="宋体" w:eastAsia="宋体" w:cs="宋体"/>
                <w:sz w:val="21"/>
                <w:szCs w:val="21"/>
              </w:rPr>
              <w:t>故障处理效率（30分）</w:t>
            </w:r>
          </w:p>
        </w:tc>
        <w:tc>
          <w:tcPr>
            <w:tcW w:w="1329" w:type="dxa"/>
            <w:tcBorders>
              <w:top w:val="single" w:color="000000" w:sz="6" w:space="0"/>
              <w:left w:val="nil"/>
              <w:bottom w:val="single" w:color="000000" w:sz="6" w:space="0"/>
              <w:right w:val="single" w:color="000000" w:sz="6" w:space="0"/>
            </w:tcBorders>
            <w:shd w:val="clear" w:color="auto" w:fill="FFFFFF"/>
            <w:tcMar>
              <w:top w:w="15" w:type="dxa"/>
              <w:left w:w="15" w:type="dxa"/>
              <w:bottom w:w="15" w:type="dxa"/>
              <w:right w:w="15" w:type="dxa"/>
            </w:tcMar>
            <w:vAlign w:val="center"/>
          </w:tcPr>
          <w:p w14:paraId="04BC9B7C">
            <w:pPr>
              <w:spacing w:line="360" w:lineRule="auto"/>
              <w:jc w:val="center"/>
              <w:rPr>
                <w:rFonts w:hint="eastAsia" w:ascii="宋体" w:hAnsi="宋体" w:eastAsia="宋体" w:cs="宋体"/>
                <w:sz w:val="21"/>
                <w:szCs w:val="21"/>
              </w:rPr>
            </w:pPr>
            <w:r>
              <w:rPr>
                <w:rFonts w:hint="eastAsia" w:ascii="宋体" w:hAnsi="宋体" w:eastAsia="宋体" w:cs="宋体"/>
                <w:sz w:val="21"/>
                <w:szCs w:val="21"/>
              </w:rPr>
              <w:t>是否能及时处理故障，保障业务稳定运行</w:t>
            </w:r>
          </w:p>
        </w:tc>
        <w:tc>
          <w:tcPr>
            <w:tcW w:w="4702" w:type="dxa"/>
            <w:tcBorders>
              <w:top w:val="single" w:color="000000" w:sz="6" w:space="0"/>
              <w:left w:val="nil"/>
              <w:bottom w:val="single" w:color="000000" w:sz="6" w:space="0"/>
              <w:right w:val="single" w:color="000000" w:sz="6" w:space="0"/>
            </w:tcBorders>
            <w:shd w:val="clear" w:color="auto" w:fill="FFFFFF"/>
            <w:tcMar>
              <w:top w:w="15" w:type="dxa"/>
              <w:left w:w="15" w:type="dxa"/>
              <w:bottom w:w="15" w:type="dxa"/>
              <w:right w:w="15" w:type="dxa"/>
            </w:tcMar>
            <w:vAlign w:val="center"/>
          </w:tcPr>
          <w:p w14:paraId="174BC2DF">
            <w:pPr>
              <w:widowControl/>
              <w:spacing w:line="360" w:lineRule="auto"/>
              <w:jc w:val="left"/>
              <w:rPr>
                <w:rFonts w:hint="eastAsia" w:ascii="宋体" w:hAnsi="宋体" w:eastAsia="宋体" w:cs="宋体"/>
                <w:kern w:val="0"/>
                <w:sz w:val="21"/>
                <w:szCs w:val="21"/>
              </w:rPr>
            </w:pPr>
            <w:r>
              <w:rPr>
                <w:rFonts w:hint="eastAsia" w:ascii="宋体" w:hAnsi="宋体" w:eastAsia="宋体" w:cs="宋体"/>
                <w:kern w:val="0"/>
                <w:sz w:val="21"/>
                <w:szCs w:val="21"/>
              </w:rPr>
              <w:t>1）考核期间故障处理及时，能在约定时间内解决，设备运行稳定，给予满分20分；</w:t>
            </w:r>
          </w:p>
          <w:p w14:paraId="3563DFEE">
            <w:pPr>
              <w:widowControl/>
              <w:spacing w:line="360" w:lineRule="auto"/>
              <w:jc w:val="left"/>
              <w:rPr>
                <w:rFonts w:hint="eastAsia" w:ascii="宋体" w:hAnsi="宋体" w:eastAsia="宋体" w:cs="宋体"/>
                <w:kern w:val="0"/>
                <w:sz w:val="21"/>
                <w:szCs w:val="21"/>
              </w:rPr>
            </w:pPr>
            <w:r>
              <w:rPr>
                <w:rFonts w:hint="eastAsia" w:ascii="宋体" w:hAnsi="宋体" w:eastAsia="宋体" w:cs="宋体"/>
                <w:kern w:val="0"/>
                <w:sz w:val="21"/>
                <w:szCs w:val="21"/>
              </w:rPr>
              <w:t>2）每次故障处理效率是否能达到要求，一次不满足扣除5分，直到该项目全部分值被扣完为止。</w:t>
            </w:r>
          </w:p>
        </w:tc>
        <w:tc>
          <w:tcPr>
            <w:tcW w:w="826" w:type="dxa"/>
            <w:tcBorders>
              <w:top w:val="single" w:color="000000" w:sz="6" w:space="0"/>
              <w:left w:val="nil"/>
              <w:bottom w:val="single" w:color="000000" w:sz="6" w:space="0"/>
              <w:right w:val="single" w:color="000000" w:sz="6" w:space="0"/>
            </w:tcBorders>
            <w:shd w:val="clear" w:color="auto" w:fill="FFFFFF"/>
            <w:tcMar>
              <w:top w:w="15" w:type="dxa"/>
              <w:left w:w="15" w:type="dxa"/>
              <w:bottom w:w="15" w:type="dxa"/>
              <w:right w:w="15" w:type="dxa"/>
            </w:tcMar>
            <w:vAlign w:val="center"/>
          </w:tcPr>
          <w:p w14:paraId="61FB2DA1">
            <w:pPr>
              <w:widowControl/>
              <w:spacing w:line="360" w:lineRule="auto"/>
              <w:jc w:val="center"/>
              <w:rPr>
                <w:rFonts w:hint="eastAsia" w:ascii="宋体" w:hAnsi="宋体" w:eastAsia="宋体" w:cs="宋体"/>
                <w:kern w:val="0"/>
                <w:sz w:val="21"/>
                <w:szCs w:val="21"/>
              </w:rPr>
            </w:pPr>
          </w:p>
        </w:tc>
      </w:tr>
      <w:tr w14:paraId="11A8C7C4">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251" w:type="dxa"/>
            <w:tcBorders>
              <w:top w:val="single" w:color="000000" w:sz="6" w:space="0"/>
              <w:left w:val="single" w:color="000000" w:sz="6" w:space="0"/>
              <w:bottom w:val="single" w:color="000000" w:sz="6" w:space="0"/>
              <w:right w:val="single" w:color="000000" w:sz="6" w:space="0"/>
            </w:tcBorders>
            <w:shd w:val="clear" w:color="auto" w:fill="FFFFFF"/>
            <w:tcMar>
              <w:top w:w="15" w:type="dxa"/>
              <w:left w:w="15" w:type="dxa"/>
              <w:bottom w:w="15" w:type="dxa"/>
              <w:right w:w="15" w:type="dxa"/>
            </w:tcMar>
            <w:vAlign w:val="center"/>
          </w:tcPr>
          <w:p w14:paraId="022E69AB">
            <w:pPr>
              <w:spacing w:line="360" w:lineRule="auto"/>
              <w:jc w:val="center"/>
              <w:rPr>
                <w:rFonts w:hint="eastAsia" w:ascii="宋体" w:hAnsi="宋体" w:eastAsia="宋体" w:cs="宋体"/>
                <w:sz w:val="21"/>
                <w:szCs w:val="21"/>
              </w:rPr>
            </w:pPr>
            <w:r>
              <w:rPr>
                <w:rFonts w:hint="eastAsia" w:ascii="宋体" w:hAnsi="宋体" w:eastAsia="宋体" w:cs="宋体"/>
                <w:sz w:val="21"/>
                <w:szCs w:val="21"/>
              </w:rPr>
              <w:t>服务态度与沟通</w:t>
            </w:r>
          </w:p>
          <w:p w14:paraId="48918917">
            <w:pPr>
              <w:spacing w:line="360" w:lineRule="auto"/>
              <w:jc w:val="center"/>
              <w:rPr>
                <w:rFonts w:hint="eastAsia" w:ascii="宋体" w:hAnsi="宋体" w:eastAsia="宋体" w:cs="宋体"/>
                <w:sz w:val="21"/>
                <w:szCs w:val="21"/>
              </w:rPr>
            </w:pPr>
            <w:r>
              <w:rPr>
                <w:rFonts w:hint="eastAsia" w:ascii="宋体" w:hAnsi="宋体" w:eastAsia="宋体" w:cs="宋体"/>
                <w:sz w:val="21"/>
                <w:szCs w:val="21"/>
              </w:rPr>
              <w:t>（10分）</w:t>
            </w:r>
          </w:p>
        </w:tc>
        <w:tc>
          <w:tcPr>
            <w:tcW w:w="1329" w:type="dxa"/>
            <w:tcBorders>
              <w:top w:val="single" w:color="000000" w:sz="6" w:space="0"/>
              <w:left w:val="nil"/>
              <w:bottom w:val="single" w:color="000000" w:sz="6" w:space="0"/>
              <w:right w:val="single" w:color="000000" w:sz="6" w:space="0"/>
            </w:tcBorders>
            <w:shd w:val="clear" w:color="auto" w:fill="FFFFFF"/>
            <w:tcMar>
              <w:top w:w="15" w:type="dxa"/>
              <w:left w:w="15" w:type="dxa"/>
              <w:bottom w:w="15" w:type="dxa"/>
              <w:right w:w="15" w:type="dxa"/>
            </w:tcMar>
            <w:vAlign w:val="center"/>
          </w:tcPr>
          <w:p w14:paraId="53412C81">
            <w:pPr>
              <w:spacing w:line="360" w:lineRule="auto"/>
              <w:jc w:val="center"/>
              <w:rPr>
                <w:rFonts w:hint="eastAsia" w:ascii="宋体" w:hAnsi="宋体" w:eastAsia="宋体" w:cs="宋体"/>
                <w:sz w:val="21"/>
                <w:szCs w:val="21"/>
              </w:rPr>
            </w:pPr>
            <w:r>
              <w:rPr>
                <w:rFonts w:hint="eastAsia" w:ascii="宋体" w:hAnsi="宋体" w:eastAsia="宋体" w:cs="宋体"/>
                <w:sz w:val="21"/>
                <w:szCs w:val="21"/>
              </w:rPr>
              <w:t>是否具备良好服务意识</w:t>
            </w:r>
          </w:p>
        </w:tc>
        <w:tc>
          <w:tcPr>
            <w:tcW w:w="4702" w:type="dxa"/>
            <w:tcBorders>
              <w:top w:val="single" w:color="000000" w:sz="6" w:space="0"/>
              <w:left w:val="nil"/>
              <w:bottom w:val="single" w:color="000000" w:sz="6" w:space="0"/>
              <w:right w:val="single" w:color="000000" w:sz="6" w:space="0"/>
            </w:tcBorders>
            <w:shd w:val="clear" w:color="auto" w:fill="FFFFFF"/>
            <w:tcMar>
              <w:top w:w="15" w:type="dxa"/>
              <w:left w:w="15" w:type="dxa"/>
              <w:bottom w:w="15" w:type="dxa"/>
              <w:right w:w="15" w:type="dxa"/>
            </w:tcMar>
            <w:vAlign w:val="center"/>
          </w:tcPr>
          <w:p w14:paraId="37E45A2F">
            <w:pPr>
              <w:widowControl/>
              <w:spacing w:line="360" w:lineRule="auto"/>
              <w:jc w:val="left"/>
              <w:rPr>
                <w:rFonts w:hint="eastAsia" w:ascii="宋体" w:hAnsi="宋体" w:eastAsia="宋体" w:cs="宋体"/>
                <w:kern w:val="0"/>
                <w:sz w:val="21"/>
                <w:szCs w:val="21"/>
              </w:rPr>
            </w:pPr>
            <w:r>
              <w:rPr>
                <w:rFonts w:hint="eastAsia" w:ascii="宋体" w:hAnsi="宋体" w:eastAsia="宋体" w:cs="宋体"/>
                <w:kern w:val="0"/>
                <w:sz w:val="21"/>
                <w:szCs w:val="21"/>
              </w:rPr>
              <w:t>1）服务态度良好，有礼貌，具备专业性，能妥善解决问题。给予满分10分；</w:t>
            </w:r>
          </w:p>
          <w:p w14:paraId="5CD70AD5">
            <w:pPr>
              <w:widowControl/>
              <w:spacing w:line="360" w:lineRule="auto"/>
              <w:jc w:val="left"/>
              <w:rPr>
                <w:rFonts w:hint="eastAsia" w:ascii="宋体" w:hAnsi="宋体" w:eastAsia="宋体" w:cs="宋体"/>
                <w:kern w:val="0"/>
                <w:sz w:val="21"/>
                <w:szCs w:val="21"/>
              </w:rPr>
            </w:pPr>
            <w:r>
              <w:rPr>
                <w:rFonts w:hint="eastAsia" w:ascii="宋体" w:hAnsi="宋体" w:eastAsia="宋体" w:cs="宋体"/>
                <w:kern w:val="0"/>
                <w:sz w:val="21"/>
                <w:szCs w:val="21"/>
              </w:rPr>
              <w:t>2）每次没有及时响应信息安全要求，每次扣取2分，直到该项目全部分值被扣完为止。</w:t>
            </w:r>
          </w:p>
        </w:tc>
        <w:tc>
          <w:tcPr>
            <w:tcW w:w="826" w:type="dxa"/>
            <w:tcBorders>
              <w:top w:val="single" w:color="000000" w:sz="6" w:space="0"/>
              <w:left w:val="nil"/>
              <w:bottom w:val="single" w:color="000000" w:sz="6" w:space="0"/>
              <w:right w:val="single" w:color="000000" w:sz="6" w:space="0"/>
            </w:tcBorders>
            <w:shd w:val="clear" w:color="auto" w:fill="FFFFFF"/>
            <w:tcMar>
              <w:top w:w="15" w:type="dxa"/>
              <w:left w:w="15" w:type="dxa"/>
              <w:bottom w:w="15" w:type="dxa"/>
              <w:right w:w="15" w:type="dxa"/>
            </w:tcMar>
            <w:vAlign w:val="center"/>
          </w:tcPr>
          <w:p w14:paraId="17575CA8">
            <w:pPr>
              <w:widowControl/>
              <w:spacing w:line="360" w:lineRule="auto"/>
              <w:jc w:val="center"/>
              <w:rPr>
                <w:rFonts w:hint="eastAsia" w:ascii="宋体" w:hAnsi="宋体" w:eastAsia="宋体" w:cs="宋体"/>
                <w:kern w:val="0"/>
                <w:sz w:val="21"/>
                <w:szCs w:val="21"/>
              </w:rPr>
            </w:pPr>
          </w:p>
        </w:tc>
      </w:tr>
      <w:tr w14:paraId="64A7D186">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1251" w:type="dxa"/>
            <w:tcBorders>
              <w:top w:val="single" w:color="000000" w:sz="6" w:space="0"/>
              <w:left w:val="single" w:color="000000" w:sz="6" w:space="0"/>
              <w:bottom w:val="single" w:color="000000" w:sz="6" w:space="0"/>
              <w:right w:val="single" w:color="000000" w:sz="6" w:space="0"/>
            </w:tcBorders>
            <w:shd w:val="clear" w:color="auto" w:fill="FFFFFF"/>
            <w:tcMar>
              <w:top w:w="15" w:type="dxa"/>
              <w:left w:w="15" w:type="dxa"/>
              <w:bottom w:w="15" w:type="dxa"/>
              <w:right w:w="15" w:type="dxa"/>
            </w:tcMar>
            <w:vAlign w:val="center"/>
          </w:tcPr>
          <w:p w14:paraId="1D541964">
            <w:pPr>
              <w:widowControl/>
              <w:spacing w:line="360" w:lineRule="auto"/>
              <w:jc w:val="center"/>
              <w:rPr>
                <w:rFonts w:hint="eastAsia" w:ascii="宋体" w:hAnsi="宋体" w:eastAsia="宋体" w:cs="宋体"/>
                <w:kern w:val="0"/>
                <w:sz w:val="21"/>
                <w:szCs w:val="21"/>
              </w:rPr>
            </w:pPr>
            <w:r>
              <w:rPr>
                <w:rFonts w:hint="eastAsia" w:ascii="宋体" w:hAnsi="宋体" w:eastAsia="宋体" w:cs="宋体"/>
                <w:b/>
                <w:bCs/>
                <w:kern w:val="0"/>
                <w:sz w:val="21"/>
                <w:szCs w:val="21"/>
              </w:rPr>
              <w:t>总分：</w:t>
            </w:r>
          </w:p>
        </w:tc>
        <w:tc>
          <w:tcPr>
            <w:tcW w:w="6857" w:type="dxa"/>
            <w:gridSpan w:val="3"/>
            <w:tcBorders>
              <w:top w:val="single" w:color="000000" w:sz="6" w:space="0"/>
              <w:left w:val="nil"/>
              <w:bottom w:val="single" w:color="000000" w:sz="6" w:space="0"/>
              <w:right w:val="single" w:color="000000" w:sz="6" w:space="0"/>
            </w:tcBorders>
            <w:shd w:val="clear" w:color="auto" w:fill="FFFFFF"/>
            <w:tcMar>
              <w:top w:w="15" w:type="dxa"/>
              <w:left w:w="15" w:type="dxa"/>
              <w:bottom w:w="15" w:type="dxa"/>
              <w:right w:w="15" w:type="dxa"/>
            </w:tcMar>
            <w:vAlign w:val="center"/>
          </w:tcPr>
          <w:p w14:paraId="0A912DF9">
            <w:pPr>
              <w:widowControl/>
              <w:spacing w:line="360" w:lineRule="auto"/>
              <w:jc w:val="center"/>
              <w:rPr>
                <w:rFonts w:hint="eastAsia" w:ascii="宋体" w:hAnsi="宋体" w:eastAsia="宋体" w:cs="宋体"/>
                <w:kern w:val="0"/>
                <w:sz w:val="21"/>
                <w:szCs w:val="21"/>
              </w:rPr>
            </w:pPr>
          </w:p>
        </w:tc>
      </w:tr>
    </w:tbl>
    <w:p w14:paraId="52EEA00F">
      <w:pPr>
        <w:rPr>
          <w:rFonts w:hint="eastAsia" w:ascii="宋体" w:hAnsi="宋体" w:eastAsia="宋体" w:cs="宋体"/>
          <w:sz w:val="21"/>
          <w:szCs w:val="21"/>
        </w:rPr>
      </w:pPr>
    </w:p>
    <w:p w14:paraId="5B4203D3">
      <w:pPr>
        <w:rPr>
          <w:rFonts w:hint="eastAsia" w:ascii="宋体" w:hAnsi="宋体" w:eastAsia="宋体" w:cs="宋体"/>
          <w:sz w:val="21"/>
          <w:szCs w:val="21"/>
        </w:rPr>
      </w:pPr>
    </w:p>
    <w:p w14:paraId="58D6EDE3">
      <w:pPr>
        <w:rPr>
          <w:rFonts w:hint="eastAsia" w:ascii="宋体" w:hAnsi="宋体" w:eastAsia="宋体" w:cs="宋体"/>
        </w:rPr>
      </w:pPr>
    </w:p>
    <w:p w14:paraId="1A7E97E7">
      <w:pPr>
        <w:spacing w:before="120" w:after="120" w:line="288" w:lineRule="auto"/>
        <w:rPr>
          <w:rFonts w:hint="eastAsia" w:ascii="宋体" w:hAnsi="宋体" w:eastAsia="宋体" w:cs="宋体"/>
        </w:rPr>
      </w:pPr>
    </w:p>
    <w:sectPr>
      <w:headerReference r:id="rId5" w:type="default"/>
      <w:footerReference r:id="rId6" w:type="default"/>
      <w:pgSz w:w="11905" w:h="16840"/>
      <w:pgMar w:top="1440" w:right="1800" w:bottom="1440" w:left="1800" w:header="72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Tahoma">
    <w:panose1 w:val="020B0604030504040204"/>
    <w:charset w:val="00"/>
    <w:family w:val="auto"/>
    <w:pitch w:val="default"/>
    <w:sig w:usb0="E1002EFF" w:usb1="C000605B" w:usb2="00000029" w:usb3="00000000" w:csb0="200101FF" w:csb1="2028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25DE9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72C65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BBF4170"/>
    <w:multiLevelType w:val="singleLevel"/>
    <w:tmpl w:val="BBBF4170"/>
    <w:lvl w:ilvl="0" w:tentative="0">
      <w:start w:val="1"/>
      <w:numFmt w:val="decimal"/>
      <w:pStyle w:val="4"/>
      <w:lvlText w:val="%1."/>
      <w:lvlJc w:val="left"/>
      <w:pPr>
        <w:ind w:left="425" w:hanging="425"/>
      </w:pPr>
      <w:rPr>
        <w:rFonts w:hint="default"/>
      </w:rPr>
    </w:lvl>
  </w:abstractNum>
  <w:abstractNum w:abstractNumId="1">
    <w:nsid w:val="BFE6FB82"/>
    <w:multiLevelType w:val="singleLevel"/>
    <w:tmpl w:val="BFE6FB82"/>
    <w:lvl w:ilvl="0" w:tentative="0">
      <w:start w:val="1"/>
      <w:numFmt w:val="decimal"/>
      <w:pStyle w:val="3"/>
      <w:lvlText w:val="%1."/>
      <w:lvlJc w:val="left"/>
      <w:pPr>
        <w:ind w:left="425" w:hanging="425"/>
      </w:pPr>
      <w:rPr>
        <w:rFonts w:hint="default"/>
      </w:rPr>
    </w:lvl>
  </w:abstractNum>
  <w:abstractNum w:abstractNumId="2">
    <w:nsid w:val="001543AD"/>
    <w:multiLevelType w:val="multilevel"/>
    <w:tmpl w:val="001543AD"/>
    <w:lvl w:ilvl="0" w:tentative="0">
      <w:start w:val="1"/>
      <w:numFmt w:val="decimal"/>
      <w:suff w:val="nothing"/>
      <w:lvlText w:val="%1、"/>
      <w:lvlJc w:val="left"/>
      <w:pPr>
        <w:ind w:left="0" w:firstLine="0"/>
      </w:pPr>
      <w:rPr>
        <w:rFonts w:hint="default" w:ascii="Times New Roman" w:hAnsi="Times New Roman" w:cs="Times New Roman"/>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3">
    <w:nsid w:val="01164C46"/>
    <w:multiLevelType w:val="multilevel"/>
    <w:tmpl w:val="01164C46"/>
    <w:lvl w:ilvl="0" w:tentative="0">
      <w:start w:val="0"/>
      <w:numFmt w:val="bullet"/>
      <w:lvlText w:val="￮"/>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4">
    <w:nsid w:val="01925B52"/>
    <w:multiLevelType w:val="multilevel"/>
    <w:tmpl w:val="01925B52"/>
    <w:lvl w:ilvl="0" w:tentative="0">
      <w:start w:val="2"/>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5">
    <w:nsid w:val="024531EB"/>
    <w:multiLevelType w:val="multilevel"/>
    <w:tmpl w:val="024531EB"/>
    <w:lvl w:ilvl="0" w:tentative="0">
      <w:start w:val="1"/>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6">
    <w:nsid w:val="02B467CE"/>
    <w:multiLevelType w:val="multilevel"/>
    <w:tmpl w:val="02B467CE"/>
    <w:lvl w:ilvl="0" w:tentative="0">
      <w:start w:val="4"/>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7">
    <w:nsid w:val="03433FF5"/>
    <w:multiLevelType w:val="multilevel"/>
    <w:tmpl w:val="03433FF5"/>
    <w:lvl w:ilvl="0" w:tentative="0">
      <w:start w:val="1"/>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8">
    <w:nsid w:val="04240131"/>
    <w:multiLevelType w:val="multilevel"/>
    <w:tmpl w:val="04240131"/>
    <w:lvl w:ilvl="0" w:tentative="0">
      <w:start w:val="1"/>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9">
    <w:nsid w:val="044740FD"/>
    <w:multiLevelType w:val="multilevel"/>
    <w:tmpl w:val="044740FD"/>
    <w:lvl w:ilvl="0" w:tentative="0">
      <w:start w:val="1"/>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0">
    <w:nsid w:val="04916DBB"/>
    <w:multiLevelType w:val="multilevel"/>
    <w:tmpl w:val="04916DBB"/>
    <w:lvl w:ilvl="0" w:tentative="0">
      <w:start w:val="0"/>
      <w:numFmt w:val="bullet"/>
      <w:lvlText w:val="￮"/>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1">
    <w:nsid w:val="06011692"/>
    <w:multiLevelType w:val="multilevel"/>
    <w:tmpl w:val="06011692"/>
    <w:lvl w:ilvl="0" w:tentative="0">
      <w:start w:val="2"/>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2">
    <w:nsid w:val="062725A4"/>
    <w:multiLevelType w:val="multilevel"/>
    <w:tmpl w:val="062725A4"/>
    <w:lvl w:ilvl="0" w:tentative="0">
      <w:start w:val="2"/>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3">
    <w:nsid w:val="07D76800"/>
    <w:multiLevelType w:val="multilevel"/>
    <w:tmpl w:val="07D76800"/>
    <w:lvl w:ilvl="0" w:tentative="0">
      <w:start w:val="1"/>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4">
    <w:nsid w:val="07E46834"/>
    <w:multiLevelType w:val="multilevel"/>
    <w:tmpl w:val="07E46834"/>
    <w:lvl w:ilvl="0" w:tentative="0">
      <w:start w:val="4"/>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5">
    <w:nsid w:val="083E7641"/>
    <w:multiLevelType w:val="multilevel"/>
    <w:tmpl w:val="083E7641"/>
    <w:lvl w:ilvl="0" w:tentative="0">
      <w:start w:val="4"/>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6">
    <w:nsid w:val="085F4758"/>
    <w:multiLevelType w:val="multilevel"/>
    <w:tmpl w:val="085F4758"/>
    <w:lvl w:ilvl="0" w:tentative="0">
      <w:start w:val="2"/>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7">
    <w:nsid w:val="087648F7"/>
    <w:multiLevelType w:val="multilevel"/>
    <w:tmpl w:val="087648F7"/>
    <w:lvl w:ilvl="0" w:tentative="0">
      <w:start w:val="2"/>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8">
    <w:nsid w:val="092D3905"/>
    <w:multiLevelType w:val="multilevel"/>
    <w:tmpl w:val="092D3905"/>
    <w:lvl w:ilvl="0" w:tentative="0">
      <w:start w:val="3"/>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9">
    <w:nsid w:val="0B13115E"/>
    <w:multiLevelType w:val="multilevel"/>
    <w:tmpl w:val="0B13115E"/>
    <w:lvl w:ilvl="0" w:tentative="0">
      <w:start w:val="3"/>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20">
    <w:nsid w:val="0B1F5621"/>
    <w:multiLevelType w:val="multilevel"/>
    <w:tmpl w:val="0B1F5621"/>
    <w:lvl w:ilvl="0" w:tentative="0">
      <w:start w:val="1"/>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21">
    <w:nsid w:val="0B5B6640"/>
    <w:multiLevelType w:val="multilevel"/>
    <w:tmpl w:val="0B5B6640"/>
    <w:lvl w:ilvl="0" w:tentative="0">
      <w:start w:val="3"/>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22">
    <w:nsid w:val="0BF7358E"/>
    <w:multiLevelType w:val="multilevel"/>
    <w:tmpl w:val="0BF7358E"/>
    <w:lvl w:ilvl="0" w:tentative="0">
      <w:start w:val="5"/>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23">
    <w:nsid w:val="0DE52F6B"/>
    <w:multiLevelType w:val="multilevel"/>
    <w:tmpl w:val="0DE52F6B"/>
    <w:lvl w:ilvl="0" w:tentative="0">
      <w:start w:val="5"/>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24">
    <w:nsid w:val="0E145986"/>
    <w:multiLevelType w:val="multilevel"/>
    <w:tmpl w:val="0E145986"/>
    <w:lvl w:ilvl="0" w:tentative="0">
      <w:start w:val="3"/>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25">
    <w:nsid w:val="0F5C6FCC"/>
    <w:multiLevelType w:val="multilevel"/>
    <w:tmpl w:val="0F5C6FCC"/>
    <w:lvl w:ilvl="0" w:tentative="0">
      <w:start w:val="2"/>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26">
    <w:nsid w:val="103D3611"/>
    <w:multiLevelType w:val="multilevel"/>
    <w:tmpl w:val="103D3611"/>
    <w:lvl w:ilvl="0" w:tentative="0">
      <w:start w:val="0"/>
      <w:numFmt w:val="bullet"/>
      <w:lvlText w:val="￮"/>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27">
    <w:nsid w:val="12033CB0"/>
    <w:multiLevelType w:val="multilevel"/>
    <w:tmpl w:val="12033CB0"/>
    <w:lvl w:ilvl="0" w:tentative="0">
      <w:start w:val="2"/>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28">
    <w:nsid w:val="12D06DE0"/>
    <w:multiLevelType w:val="multilevel"/>
    <w:tmpl w:val="12D06DE0"/>
    <w:lvl w:ilvl="0" w:tentative="0">
      <w:start w:val="4"/>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29">
    <w:nsid w:val="146C1983"/>
    <w:multiLevelType w:val="multilevel"/>
    <w:tmpl w:val="146C1983"/>
    <w:lvl w:ilvl="0" w:tentative="0">
      <w:start w:val="4"/>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30">
    <w:nsid w:val="14830947"/>
    <w:multiLevelType w:val="multilevel"/>
    <w:tmpl w:val="14830947"/>
    <w:lvl w:ilvl="0" w:tentative="0">
      <w:start w:val="5"/>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31">
    <w:nsid w:val="16A27DB3"/>
    <w:multiLevelType w:val="multilevel"/>
    <w:tmpl w:val="16A27DB3"/>
    <w:lvl w:ilvl="0" w:tentative="0">
      <w:start w:val="0"/>
      <w:numFmt w:val="bullet"/>
      <w:lvlText w:val="￮"/>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32">
    <w:nsid w:val="16AF6F7F"/>
    <w:multiLevelType w:val="multilevel"/>
    <w:tmpl w:val="16AF6F7F"/>
    <w:lvl w:ilvl="0" w:tentative="0">
      <w:start w:val="3"/>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33">
    <w:nsid w:val="180E0E01"/>
    <w:multiLevelType w:val="multilevel"/>
    <w:tmpl w:val="180E0E01"/>
    <w:lvl w:ilvl="0" w:tentative="0">
      <w:start w:val="2"/>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34">
    <w:nsid w:val="1A184C2E"/>
    <w:multiLevelType w:val="multilevel"/>
    <w:tmpl w:val="1A184C2E"/>
    <w:lvl w:ilvl="0" w:tentative="0">
      <w:start w:val="1"/>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35">
    <w:nsid w:val="1B106DDC"/>
    <w:multiLevelType w:val="multilevel"/>
    <w:tmpl w:val="1B106DDC"/>
    <w:lvl w:ilvl="0" w:tentative="0">
      <w:start w:val="0"/>
      <w:numFmt w:val="bullet"/>
      <w:lvlText w:val="￮"/>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36">
    <w:nsid w:val="1B1365E0"/>
    <w:multiLevelType w:val="multilevel"/>
    <w:tmpl w:val="1B1365E0"/>
    <w:lvl w:ilvl="0" w:tentative="0">
      <w:start w:val="2"/>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37">
    <w:nsid w:val="1B401C4C"/>
    <w:multiLevelType w:val="multilevel"/>
    <w:tmpl w:val="1B401C4C"/>
    <w:lvl w:ilvl="0" w:tentative="0">
      <w:start w:val="4"/>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38">
    <w:nsid w:val="23E371E9"/>
    <w:multiLevelType w:val="multilevel"/>
    <w:tmpl w:val="23E371E9"/>
    <w:lvl w:ilvl="0" w:tentative="0">
      <w:start w:val="6"/>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39">
    <w:nsid w:val="255D0992"/>
    <w:multiLevelType w:val="multilevel"/>
    <w:tmpl w:val="255D0992"/>
    <w:lvl w:ilvl="0" w:tentative="0">
      <w:start w:val="4"/>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40">
    <w:nsid w:val="264152FE"/>
    <w:multiLevelType w:val="multilevel"/>
    <w:tmpl w:val="264152FE"/>
    <w:lvl w:ilvl="0" w:tentative="0">
      <w:start w:val="1"/>
      <w:numFmt w:val="decimal"/>
      <w:lvlText w:val="%1、"/>
      <w:lvlJc w:val="left"/>
      <w:pPr>
        <w:ind w:left="559" w:hanging="360"/>
      </w:pPr>
      <w:rPr>
        <w:rFonts w:hint="default"/>
      </w:rPr>
    </w:lvl>
    <w:lvl w:ilvl="1" w:tentative="0">
      <w:start w:val="1"/>
      <w:numFmt w:val="lowerLetter"/>
      <w:lvlText w:val="%2)"/>
      <w:lvlJc w:val="left"/>
      <w:pPr>
        <w:ind w:left="1039" w:hanging="420"/>
      </w:pPr>
    </w:lvl>
    <w:lvl w:ilvl="2" w:tentative="0">
      <w:start w:val="1"/>
      <w:numFmt w:val="lowerRoman"/>
      <w:lvlText w:val="%3."/>
      <w:lvlJc w:val="right"/>
      <w:pPr>
        <w:ind w:left="1459" w:hanging="420"/>
      </w:pPr>
    </w:lvl>
    <w:lvl w:ilvl="3" w:tentative="0">
      <w:start w:val="1"/>
      <w:numFmt w:val="decimal"/>
      <w:lvlText w:val="%4."/>
      <w:lvlJc w:val="left"/>
      <w:pPr>
        <w:ind w:left="1879" w:hanging="420"/>
      </w:pPr>
    </w:lvl>
    <w:lvl w:ilvl="4" w:tentative="0">
      <w:start w:val="1"/>
      <w:numFmt w:val="lowerLetter"/>
      <w:lvlText w:val="%5)"/>
      <w:lvlJc w:val="left"/>
      <w:pPr>
        <w:ind w:left="2299" w:hanging="420"/>
      </w:pPr>
    </w:lvl>
    <w:lvl w:ilvl="5" w:tentative="0">
      <w:start w:val="1"/>
      <w:numFmt w:val="lowerRoman"/>
      <w:lvlText w:val="%6."/>
      <w:lvlJc w:val="right"/>
      <w:pPr>
        <w:ind w:left="2719" w:hanging="420"/>
      </w:pPr>
    </w:lvl>
    <w:lvl w:ilvl="6" w:tentative="0">
      <w:start w:val="1"/>
      <w:numFmt w:val="decimal"/>
      <w:lvlText w:val="%7."/>
      <w:lvlJc w:val="left"/>
      <w:pPr>
        <w:ind w:left="3139" w:hanging="420"/>
      </w:pPr>
    </w:lvl>
    <w:lvl w:ilvl="7" w:tentative="0">
      <w:start w:val="1"/>
      <w:numFmt w:val="lowerLetter"/>
      <w:lvlText w:val="%8)"/>
      <w:lvlJc w:val="left"/>
      <w:pPr>
        <w:ind w:left="3559" w:hanging="420"/>
      </w:pPr>
    </w:lvl>
    <w:lvl w:ilvl="8" w:tentative="0">
      <w:start w:val="1"/>
      <w:numFmt w:val="lowerRoman"/>
      <w:lvlText w:val="%9."/>
      <w:lvlJc w:val="right"/>
      <w:pPr>
        <w:ind w:left="3979" w:hanging="420"/>
      </w:pPr>
    </w:lvl>
  </w:abstractNum>
  <w:abstractNum w:abstractNumId="41">
    <w:nsid w:val="27C85052"/>
    <w:multiLevelType w:val="multilevel"/>
    <w:tmpl w:val="27C85052"/>
    <w:lvl w:ilvl="0" w:tentative="0">
      <w:start w:val="0"/>
      <w:numFmt w:val="bullet"/>
      <w:lvlText w:val="￮"/>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42">
    <w:nsid w:val="2A0D64DA"/>
    <w:multiLevelType w:val="multilevel"/>
    <w:tmpl w:val="2A0D64DA"/>
    <w:lvl w:ilvl="0" w:tentative="0">
      <w:start w:val="1"/>
      <w:numFmt w:val="decimal"/>
      <w:lvlText w:val="%1."/>
      <w:lvlJc w:val="left"/>
      <w:pPr>
        <w:ind w:left="420" w:hanging="420"/>
      </w:pPr>
      <w:rPr>
        <w:rFonts w:hint="default"/>
        <w:sz w:val="24"/>
        <w:szCs w:val="24"/>
      </w:rPr>
    </w:lvl>
    <w:lvl w:ilvl="1" w:tentative="0">
      <w:start w:val="1"/>
      <w:numFmt w:val="bullet"/>
      <w:lvlText w:val=""/>
      <w:lvlJc w:val="left"/>
      <w:pPr>
        <w:ind w:left="1200" w:hanging="420"/>
      </w:pPr>
      <w:rPr>
        <w:rFonts w:hint="default" w:ascii="Wingdings" w:hAnsi="Wingdings"/>
      </w:rPr>
    </w:lvl>
    <w:lvl w:ilvl="2" w:tentative="0">
      <w:start w:val="1"/>
      <w:numFmt w:val="bullet"/>
      <w:lvlText w:val=""/>
      <w:lvlJc w:val="left"/>
      <w:pPr>
        <w:ind w:left="1620" w:hanging="420"/>
      </w:pPr>
      <w:rPr>
        <w:rFonts w:hint="default" w:ascii="Wingdings" w:hAnsi="Wingdings"/>
      </w:rPr>
    </w:lvl>
    <w:lvl w:ilvl="3" w:tentative="0">
      <w:start w:val="1"/>
      <w:numFmt w:val="bullet"/>
      <w:lvlText w:val=""/>
      <w:lvlJc w:val="left"/>
      <w:pPr>
        <w:ind w:left="2040" w:hanging="420"/>
      </w:pPr>
      <w:rPr>
        <w:rFonts w:hint="default" w:ascii="Wingdings" w:hAnsi="Wingdings"/>
      </w:rPr>
    </w:lvl>
    <w:lvl w:ilvl="4" w:tentative="0">
      <w:start w:val="1"/>
      <w:numFmt w:val="bullet"/>
      <w:lvlText w:val=""/>
      <w:lvlJc w:val="left"/>
      <w:pPr>
        <w:ind w:left="2460" w:hanging="420"/>
      </w:pPr>
      <w:rPr>
        <w:rFonts w:hint="default" w:ascii="Wingdings" w:hAnsi="Wingdings"/>
      </w:rPr>
    </w:lvl>
    <w:lvl w:ilvl="5" w:tentative="0">
      <w:start w:val="1"/>
      <w:numFmt w:val="bullet"/>
      <w:lvlText w:val=""/>
      <w:lvlJc w:val="left"/>
      <w:pPr>
        <w:ind w:left="2880" w:hanging="420"/>
      </w:pPr>
      <w:rPr>
        <w:rFonts w:hint="default" w:ascii="Wingdings" w:hAnsi="Wingdings"/>
      </w:rPr>
    </w:lvl>
    <w:lvl w:ilvl="6" w:tentative="0">
      <w:start w:val="1"/>
      <w:numFmt w:val="bullet"/>
      <w:lvlText w:val=""/>
      <w:lvlJc w:val="left"/>
      <w:pPr>
        <w:ind w:left="3300" w:hanging="420"/>
      </w:pPr>
      <w:rPr>
        <w:rFonts w:hint="default" w:ascii="Wingdings" w:hAnsi="Wingdings"/>
      </w:rPr>
    </w:lvl>
    <w:lvl w:ilvl="7" w:tentative="0">
      <w:start w:val="1"/>
      <w:numFmt w:val="bullet"/>
      <w:lvlText w:val=""/>
      <w:lvlJc w:val="left"/>
      <w:pPr>
        <w:ind w:left="3720" w:hanging="420"/>
      </w:pPr>
      <w:rPr>
        <w:rFonts w:hint="default" w:ascii="Wingdings" w:hAnsi="Wingdings"/>
      </w:rPr>
    </w:lvl>
    <w:lvl w:ilvl="8" w:tentative="0">
      <w:start w:val="1"/>
      <w:numFmt w:val="bullet"/>
      <w:lvlText w:val=""/>
      <w:lvlJc w:val="left"/>
      <w:pPr>
        <w:ind w:left="4140" w:hanging="420"/>
      </w:pPr>
      <w:rPr>
        <w:rFonts w:hint="default" w:ascii="Wingdings" w:hAnsi="Wingdings"/>
      </w:rPr>
    </w:lvl>
  </w:abstractNum>
  <w:abstractNum w:abstractNumId="43">
    <w:nsid w:val="2C3A7A36"/>
    <w:multiLevelType w:val="multilevel"/>
    <w:tmpl w:val="2C3A7A36"/>
    <w:lvl w:ilvl="0" w:tentative="0">
      <w:start w:val="1"/>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44">
    <w:nsid w:val="2CF20A82"/>
    <w:multiLevelType w:val="multilevel"/>
    <w:tmpl w:val="2CF20A82"/>
    <w:lvl w:ilvl="0" w:tentative="0">
      <w:start w:val="3"/>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45">
    <w:nsid w:val="2D5B3EDF"/>
    <w:multiLevelType w:val="multilevel"/>
    <w:tmpl w:val="2D5B3EDF"/>
    <w:lvl w:ilvl="0" w:tentative="0">
      <w:start w:val="3"/>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46">
    <w:nsid w:val="2FBD0F50"/>
    <w:multiLevelType w:val="multilevel"/>
    <w:tmpl w:val="2FBD0F50"/>
    <w:lvl w:ilvl="0" w:tentative="0">
      <w:start w:val="3"/>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47">
    <w:nsid w:val="30A01F04"/>
    <w:multiLevelType w:val="multilevel"/>
    <w:tmpl w:val="30A01F04"/>
    <w:lvl w:ilvl="0" w:tentative="0">
      <w:start w:val="0"/>
      <w:numFmt w:val="bullet"/>
      <w:lvlText w:val="￮"/>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48">
    <w:nsid w:val="31F837B9"/>
    <w:multiLevelType w:val="multilevel"/>
    <w:tmpl w:val="31F837B9"/>
    <w:lvl w:ilvl="0" w:tentative="0">
      <w:start w:val="1"/>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49">
    <w:nsid w:val="35CF144B"/>
    <w:multiLevelType w:val="multilevel"/>
    <w:tmpl w:val="35CF144B"/>
    <w:lvl w:ilvl="0" w:tentative="0">
      <w:start w:val="5"/>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50">
    <w:nsid w:val="36260C99"/>
    <w:multiLevelType w:val="multilevel"/>
    <w:tmpl w:val="36260C99"/>
    <w:lvl w:ilvl="0" w:tentative="0">
      <w:start w:val="1"/>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51">
    <w:nsid w:val="375A3CC7"/>
    <w:multiLevelType w:val="multilevel"/>
    <w:tmpl w:val="375A3CC7"/>
    <w:lvl w:ilvl="0" w:tentative="0">
      <w:start w:val="3"/>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52">
    <w:nsid w:val="378B173E"/>
    <w:multiLevelType w:val="multilevel"/>
    <w:tmpl w:val="378B173E"/>
    <w:lvl w:ilvl="0" w:tentative="0">
      <w:start w:val="1"/>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53">
    <w:nsid w:val="39693FDE"/>
    <w:multiLevelType w:val="multilevel"/>
    <w:tmpl w:val="39693FDE"/>
    <w:lvl w:ilvl="0" w:tentative="0">
      <w:start w:val="2"/>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54">
    <w:nsid w:val="39D135F6"/>
    <w:multiLevelType w:val="multilevel"/>
    <w:tmpl w:val="39D135F6"/>
    <w:lvl w:ilvl="0" w:tentative="0">
      <w:start w:val="4"/>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55">
    <w:nsid w:val="3A981254"/>
    <w:multiLevelType w:val="multilevel"/>
    <w:tmpl w:val="3A981254"/>
    <w:lvl w:ilvl="0" w:tentative="0">
      <w:start w:val="2"/>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56">
    <w:nsid w:val="3B9A5369"/>
    <w:multiLevelType w:val="multilevel"/>
    <w:tmpl w:val="3B9A5369"/>
    <w:lvl w:ilvl="0" w:tentative="0">
      <w:start w:val="3"/>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57">
    <w:nsid w:val="3BAE3DA8"/>
    <w:multiLevelType w:val="multilevel"/>
    <w:tmpl w:val="3BAE3DA8"/>
    <w:lvl w:ilvl="0" w:tentative="0">
      <w:start w:val="6"/>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58">
    <w:nsid w:val="3CC33DEF"/>
    <w:multiLevelType w:val="multilevel"/>
    <w:tmpl w:val="3CC33DEF"/>
    <w:lvl w:ilvl="0" w:tentative="0">
      <w:start w:val="1"/>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59">
    <w:nsid w:val="408A2169"/>
    <w:multiLevelType w:val="multilevel"/>
    <w:tmpl w:val="408A2169"/>
    <w:lvl w:ilvl="0" w:tentative="0">
      <w:start w:val="2"/>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60">
    <w:nsid w:val="414D7943"/>
    <w:multiLevelType w:val="multilevel"/>
    <w:tmpl w:val="414D7943"/>
    <w:lvl w:ilvl="0" w:tentative="0">
      <w:start w:val="2"/>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61">
    <w:nsid w:val="41D84C07"/>
    <w:multiLevelType w:val="multilevel"/>
    <w:tmpl w:val="41D84C07"/>
    <w:lvl w:ilvl="0" w:tentative="0">
      <w:start w:val="2"/>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62">
    <w:nsid w:val="4461779E"/>
    <w:multiLevelType w:val="multilevel"/>
    <w:tmpl w:val="4461779E"/>
    <w:lvl w:ilvl="0" w:tentative="0">
      <w:start w:val="1"/>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63">
    <w:nsid w:val="45CA0CA1"/>
    <w:multiLevelType w:val="multilevel"/>
    <w:tmpl w:val="45CA0CA1"/>
    <w:lvl w:ilvl="0" w:tentative="0">
      <w:start w:val="2"/>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64">
    <w:nsid w:val="45DF3556"/>
    <w:multiLevelType w:val="multilevel"/>
    <w:tmpl w:val="45DF3556"/>
    <w:lvl w:ilvl="0" w:tentative="0">
      <w:start w:val="1"/>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65">
    <w:nsid w:val="47037633"/>
    <w:multiLevelType w:val="multilevel"/>
    <w:tmpl w:val="47037633"/>
    <w:lvl w:ilvl="0" w:tentative="0">
      <w:start w:val="2"/>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66">
    <w:nsid w:val="49AC1967"/>
    <w:multiLevelType w:val="multilevel"/>
    <w:tmpl w:val="49AC1967"/>
    <w:lvl w:ilvl="0" w:tentative="0">
      <w:start w:val="4"/>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67">
    <w:nsid w:val="49FE5267"/>
    <w:multiLevelType w:val="multilevel"/>
    <w:tmpl w:val="49FE5267"/>
    <w:lvl w:ilvl="0" w:tentative="0">
      <w:start w:val="1"/>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68">
    <w:nsid w:val="4A2108AC"/>
    <w:multiLevelType w:val="multilevel"/>
    <w:tmpl w:val="4A2108AC"/>
    <w:lvl w:ilvl="0" w:tentative="0">
      <w:start w:val="2"/>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69">
    <w:nsid w:val="4B6945B5"/>
    <w:multiLevelType w:val="multilevel"/>
    <w:tmpl w:val="4B6945B5"/>
    <w:lvl w:ilvl="0" w:tentative="0">
      <w:start w:val="3"/>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70">
    <w:nsid w:val="4C9534BE"/>
    <w:multiLevelType w:val="multilevel"/>
    <w:tmpl w:val="4C9534BE"/>
    <w:lvl w:ilvl="0" w:tentative="0">
      <w:start w:val="0"/>
      <w:numFmt w:val="bullet"/>
      <w:lvlText w:val="￮"/>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71">
    <w:nsid w:val="4CE11482"/>
    <w:multiLevelType w:val="multilevel"/>
    <w:tmpl w:val="4CE11482"/>
    <w:lvl w:ilvl="0" w:tentative="0">
      <w:start w:val="1"/>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72">
    <w:nsid w:val="50B33401"/>
    <w:multiLevelType w:val="multilevel"/>
    <w:tmpl w:val="50B33401"/>
    <w:lvl w:ilvl="0" w:tentative="0">
      <w:start w:val="0"/>
      <w:numFmt w:val="bullet"/>
      <w:lvlText w:val="￮"/>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73">
    <w:nsid w:val="52444A1B"/>
    <w:multiLevelType w:val="multilevel"/>
    <w:tmpl w:val="52444A1B"/>
    <w:lvl w:ilvl="0" w:tentative="0">
      <w:start w:val="3"/>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74">
    <w:nsid w:val="52525C61"/>
    <w:multiLevelType w:val="multilevel"/>
    <w:tmpl w:val="52525C61"/>
    <w:lvl w:ilvl="0" w:tentative="0">
      <w:start w:val="1"/>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75">
    <w:nsid w:val="52AA7C98"/>
    <w:multiLevelType w:val="multilevel"/>
    <w:tmpl w:val="52AA7C98"/>
    <w:lvl w:ilvl="0" w:tentative="0">
      <w:start w:val="2"/>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76">
    <w:nsid w:val="54917927"/>
    <w:multiLevelType w:val="multilevel"/>
    <w:tmpl w:val="54917927"/>
    <w:lvl w:ilvl="0" w:tentative="0">
      <w:start w:val="0"/>
      <w:numFmt w:val="bullet"/>
      <w:lvlText w:val="￮"/>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77">
    <w:nsid w:val="54AC1237"/>
    <w:multiLevelType w:val="multilevel"/>
    <w:tmpl w:val="54AC1237"/>
    <w:lvl w:ilvl="0" w:tentative="0">
      <w:start w:val="2"/>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78">
    <w:nsid w:val="56BC22BE"/>
    <w:multiLevelType w:val="multilevel"/>
    <w:tmpl w:val="56BC22BE"/>
    <w:lvl w:ilvl="0" w:tentative="0">
      <w:start w:val="3"/>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79">
    <w:nsid w:val="57E24DF9"/>
    <w:multiLevelType w:val="multilevel"/>
    <w:tmpl w:val="57E24DF9"/>
    <w:lvl w:ilvl="0" w:tentative="0">
      <w:start w:val="0"/>
      <w:numFmt w:val="bullet"/>
      <w:lvlText w:val="￮"/>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80">
    <w:nsid w:val="58D53A42"/>
    <w:multiLevelType w:val="multilevel"/>
    <w:tmpl w:val="58D53A42"/>
    <w:lvl w:ilvl="0" w:tentative="0">
      <w:start w:val="0"/>
      <w:numFmt w:val="bullet"/>
      <w:lvlText w:val="￮"/>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81">
    <w:nsid w:val="58F9220E"/>
    <w:multiLevelType w:val="multilevel"/>
    <w:tmpl w:val="58F9220E"/>
    <w:lvl w:ilvl="0" w:tentative="0">
      <w:start w:val="1"/>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82">
    <w:nsid w:val="59DE5F2A"/>
    <w:multiLevelType w:val="multilevel"/>
    <w:tmpl w:val="59DE5F2A"/>
    <w:lvl w:ilvl="0" w:tentative="0">
      <w:start w:val="0"/>
      <w:numFmt w:val="bullet"/>
      <w:lvlText w:val="￮"/>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83">
    <w:nsid w:val="5AC331B1"/>
    <w:multiLevelType w:val="multilevel"/>
    <w:tmpl w:val="5AC331B1"/>
    <w:lvl w:ilvl="0" w:tentative="0">
      <w:start w:val="1"/>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84">
    <w:nsid w:val="5B370A44"/>
    <w:multiLevelType w:val="multilevel"/>
    <w:tmpl w:val="5B370A44"/>
    <w:lvl w:ilvl="0" w:tentative="0">
      <w:start w:val="3"/>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85">
    <w:nsid w:val="5C225FF4"/>
    <w:multiLevelType w:val="multilevel"/>
    <w:tmpl w:val="5C225FF4"/>
    <w:lvl w:ilvl="0" w:tentative="0">
      <w:start w:val="0"/>
      <w:numFmt w:val="bullet"/>
      <w:lvlText w:val="￮"/>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86">
    <w:nsid w:val="5F644449"/>
    <w:multiLevelType w:val="multilevel"/>
    <w:tmpl w:val="5F644449"/>
    <w:lvl w:ilvl="0" w:tentative="0">
      <w:start w:val="3"/>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87">
    <w:nsid w:val="61890999"/>
    <w:multiLevelType w:val="multilevel"/>
    <w:tmpl w:val="61890999"/>
    <w:lvl w:ilvl="0" w:tentative="0">
      <w:start w:val="4"/>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88">
    <w:nsid w:val="61A25786"/>
    <w:multiLevelType w:val="multilevel"/>
    <w:tmpl w:val="61A25786"/>
    <w:lvl w:ilvl="0" w:tentative="0">
      <w:start w:val="1"/>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89">
    <w:nsid w:val="61DB5F6D"/>
    <w:multiLevelType w:val="multilevel"/>
    <w:tmpl w:val="61DB5F6D"/>
    <w:lvl w:ilvl="0" w:tentative="0">
      <w:start w:val="3"/>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90">
    <w:nsid w:val="620520D6"/>
    <w:multiLevelType w:val="multilevel"/>
    <w:tmpl w:val="620520D6"/>
    <w:lvl w:ilvl="0" w:tentative="0">
      <w:start w:val="1"/>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91">
    <w:nsid w:val="62A92DB3"/>
    <w:multiLevelType w:val="multilevel"/>
    <w:tmpl w:val="62A92DB3"/>
    <w:lvl w:ilvl="0" w:tentative="0">
      <w:start w:val="0"/>
      <w:numFmt w:val="bullet"/>
      <w:lvlText w:val="￮"/>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92">
    <w:nsid w:val="643E73BF"/>
    <w:multiLevelType w:val="multilevel"/>
    <w:tmpl w:val="643E73BF"/>
    <w:lvl w:ilvl="0" w:tentative="0">
      <w:start w:val="3"/>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93">
    <w:nsid w:val="64C815E1"/>
    <w:multiLevelType w:val="multilevel"/>
    <w:tmpl w:val="64C815E1"/>
    <w:lvl w:ilvl="0" w:tentative="0">
      <w:start w:val="3"/>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94">
    <w:nsid w:val="65077989"/>
    <w:multiLevelType w:val="multilevel"/>
    <w:tmpl w:val="65077989"/>
    <w:lvl w:ilvl="0" w:tentative="0">
      <w:start w:val="4"/>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95">
    <w:nsid w:val="65D3270B"/>
    <w:multiLevelType w:val="multilevel"/>
    <w:tmpl w:val="65D3270B"/>
    <w:lvl w:ilvl="0" w:tentative="0">
      <w:start w:val="2"/>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96">
    <w:nsid w:val="67E16278"/>
    <w:multiLevelType w:val="multilevel"/>
    <w:tmpl w:val="67E16278"/>
    <w:lvl w:ilvl="0" w:tentative="0">
      <w:start w:val="4"/>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97">
    <w:nsid w:val="68167359"/>
    <w:multiLevelType w:val="multilevel"/>
    <w:tmpl w:val="68167359"/>
    <w:lvl w:ilvl="0" w:tentative="0">
      <w:start w:val="2"/>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98">
    <w:nsid w:val="68EC01AC"/>
    <w:multiLevelType w:val="multilevel"/>
    <w:tmpl w:val="68EC01AC"/>
    <w:lvl w:ilvl="0" w:tentative="0">
      <w:start w:val="0"/>
      <w:numFmt w:val="bullet"/>
      <w:lvlText w:val="￮"/>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99">
    <w:nsid w:val="6A04619D"/>
    <w:multiLevelType w:val="multilevel"/>
    <w:tmpl w:val="6A04619D"/>
    <w:lvl w:ilvl="0" w:tentative="0">
      <w:start w:val="2"/>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00">
    <w:nsid w:val="6A9F3633"/>
    <w:multiLevelType w:val="multilevel"/>
    <w:tmpl w:val="6A9F3633"/>
    <w:lvl w:ilvl="0" w:tentative="0">
      <w:start w:val="5"/>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01">
    <w:nsid w:val="6AD131E0"/>
    <w:multiLevelType w:val="multilevel"/>
    <w:tmpl w:val="6AD131E0"/>
    <w:lvl w:ilvl="0" w:tentative="0">
      <w:start w:val="0"/>
      <w:numFmt w:val="bullet"/>
      <w:lvlText w:val="￮"/>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02">
    <w:nsid w:val="6D8600D3"/>
    <w:multiLevelType w:val="multilevel"/>
    <w:tmpl w:val="6D8600D3"/>
    <w:lvl w:ilvl="0" w:tentative="0">
      <w:start w:val="2"/>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03">
    <w:nsid w:val="6E270B6A"/>
    <w:multiLevelType w:val="multilevel"/>
    <w:tmpl w:val="6E270B6A"/>
    <w:lvl w:ilvl="0" w:tentative="0">
      <w:start w:val="0"/>
      <w:numFmt w:val="bullet"/>
      <w:lvlText w:val="￮"/>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04">
    <w:nsid w:val="6FCF3493"/>
    <w:multiLevelType w:val="multilevel"/>
    <w:tmpl w:val="6FCF3493"/>
    <w:lvl w:ilvl="0" w:tentative="0">
      <w:start w:val="1"/>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05">
    <w:nsid w:val="724F2113"/>
    <w:multiLevelType w:val="multilevel"/>
    <w:tmpl w:val="724F2113"/>
    <w:lvl w:ilvl="0" w:tentative="0">
      <w:start w:val="4"/>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06">
    <w:nsid w:val="735E3987"/>
    <w:multiLevelType w:val="multilevel"/>
    <w:tmpl w:val="735E3987"/>
    <w:lvl w:ilvl="0" w:tentative="0">
      <w:start w:val="2"/>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07">
    <w:nsid w:val="736C484D"/>
    <w:multiLevelType w:val="multilevel"/>
    <w:tmpl w:val="736C484D"/>
    <w:lvl w:ilvl="0" w:tentative="0">
      <w:start w:val="0"/>
      <w:numFmt w:val="bullet"/>
      <w:lvlText w:val="￮"/>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08">
    <w:nsid w:val="736C5376"/>
    <w:multiLevelType w:val="multilevel"/>
    <w:tmpl w:val="736C5376"/>
    <w:lvl w:ilvl="0" w:tentative="0">
      <w:start w:val="3"/>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09">
    <w:nsid w:val="745E1BC0"/>
    <w:multiLevelType w:val="multilevel"/>
    <w:tmpl w:val="745E1BC0"/>
    <w:lvl w:ilvl="0" w:tentative="0">
      <w:start w:val="5"/>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10">
    <w:nsid w:val="75311B44"/>
    <w:multiLevelType w:val="multilevel"/>
    <w:tmpl w:val="75311B44"/>
    <w:lvl w:ilvl="0" w:tentative="0">
      <w:start w:val="4"/>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11">
    <w:nsid w:val="761005FC"/>
    <w:multiLevelType w:val="multilevel"/>
    <w:tmpl w:val="761005FC"/>
    <w:lvl w:ilvl="0" w:tentative="0">
      <w:start w:val="0"/>
      <w:numFmt w:val="bullet"/>
      <w:lvlText w:val="￮"/>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12">
    <w:nsid w:val="7666705D"/>
    <w:multiLevelType w:val="multilevel"/>
    <w:tmpl w:val="7666705D"/>
    <w:lvl w:ilvl="0" w:tentative="0">
      <w:start w:val="0"/>
      <w:numFmt w:val="bullet"/>
      <w:lvlText w:val="￮"/>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13">
    <w:nsid w:val="76712E8F"/>
    <w:multiLevelType w:val="multilevel"/>
    <w:tmpl w:val="76712E8F"/>
    <w:lvl w:ilvl="0" w:tentative="0">
      <w:start w:val="4"/>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14">
    <w:nsid w:val="7A195BDB"/>
    <w:multiLevelType w:val="multilevel"/>
    <w:tmpl w:val="7A195BDB"/>
    <w:lvl w:ilvl="0" w:tentative="0">
      <w:start w:val="3"/>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15">
    <w:nsid w:val="7AD62FCD"/>
    <w:multiLevelType w:val="multilevel"/>
    <w:tmpl w:val="7AD62FCD"/>
    <w:lvl w:ilvl="0" w:tentative="0">
      <w:start w:val="0"/>
      <w:numFmt w:val="bullet"/>
      <w:lvlText w:val="￮"/>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16">
    <w:nsid w:val="7B0E0AE1"/>
    <w:multiLevelType w:val="multilevel"/>
    <w:tmpl w:val="7B0E0AE1"/>
    <w:lvl w:ilvl="0" w:tentative="0">
      <w:start w:val="3"/>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17">
    <w:nsid w:val="7D075517"/>
    <w:multiLevelType w:val="multilevel"/>
    <w:tmpl w:val="7D075517"/>
    <w:lvl w:ilvl="0" w:tentative="0">
      <w:start w:val="1"/>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18">
    <w:nsid w:val="7D795065"/>
    <w:multiLevelType w:val="multilevel"/>
    <w:tmpl w:val="7D795065"/>
    <w:lvl w:ilvl="0" w:tentative="0">
      <w:start w:val="4"/>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19">
    <w:nsid w:val="7D9C0C28"/>
    <w:multiLevelType w:val="multilevel"/>
    <w:tmpl w:val="7D9C0C28"/>
    <w:lvl w:ilvl="0" w:tentative="0">
      <w:start w:val="1"/>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20">
    <w:nsid w:val="7DE331E4"/>
    <w:multiLevelType w:val="multilevel"/>
    <w:tmpl w:val="7DE331E4"/>
    <w:lvl w:ilvl="0" w:tentative="0">
      <w:start w:val="4"/>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21">
    <w:nsid w:val="7DFD25ED"/>
    <w:multiLevelType w:val="multilevel"/>
    <w:tmpl w:val="7DFD25ED"/>
    <w:lvl w:ilvl="0" w:tentative="0">
      <w:start w:val="3"/>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22">
    <w:nsid w:val="7EB658CA"/>
    <w:multiLevelType w:val="multilevel"/>
    <w:tmpl w:val="7EB658CA"/>
    <w:lvl w:ilvl="0" w:tentative="0">
      <w:start w:val="3"/>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23">
    <w:nsid w:val="7ED349A6"/>
    <w:multiLevelType w:val="multilevel"/>
    <w:tmpl w:val="7ED349A6"/>
    <w:lvl w:ilvl="0" w:tentative="0">
      <w:start w:val="4"/>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24">
    <w:nsid w:val="7EFF47D8"/>
    <w:multiLevelType w:val="multilevel"/>
    <w:tmpl w:val="7EFF47D8"/>
    <w:lvl w:ilvl="0" w:tentative="0">
      <w:start w:val="3"/>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25">
    <w:nsid w:val="7F2A4E6B"/>
    <w:multiLevelType w:val="multilevel"/>
    <w:tmpl w:val="7F2A4E6B"/>
    <w:lvl w:ilvl="0" w:tentative="0">
      <w:start w:val="1"/>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26">
    <w:nsid w:val="7F621D38"/>
    <w:multiLevelType w:val="multilevel"/>
    <w:tmpl w:val="7F621D38"/>
    <w:lvl w:ilvl="0" w:tentative="0">
      <w:start w:val="1"/>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27">
    <w:nsid w:val="7FEE1AB4"/>
    <w:multiLevelType w:val="multilevel"/>
    <w:tmpl w:val="7FEE1AB4"/>
    <w:lvl w:ilvl="0" w:tentative="0">
      <w:start w:val="2"/>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28">
    <w:nsid w:val="7FFC33AB"/>
    <w:multiLevelType w:val="multilevel"/>
    <w:tmpl w:val="7FFC33AB"/>
    <w:lvl w:ilvl="0" w:tentative="0">
      <w:start w:val="2"/>
      <w:numFmt w:val="decimal"/>
      <w:lvlText w:val="%1."/>
      <w:lvlJc w:val="left"/>
      <w:rPr>
        <w:color w:val="3370FF"/>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num w:numId="1">
    <w:abstractNumId w:val="1"/>
  </w:num>
  <w:num w:numId="2">
    <w:abstractNumId w:val="0"/>
  </w:num>
  <w:num w:numId="3">
    <w:abstractNumId w:val="74"/>
  </w:num>
  <w:num w:numId="4">
    <w:abstractNumId w:val="17"/>
  </w:num>
  <w:num w:numId="5">
    <w:abstractNumId w:val="46"/>
  </w:num>
  <w:num w:numId="6">
    <w:abstractNumId w:val="29"/>
  </w:num>
  <w:num w:numId="7">
    <w:abstractNumId w:val="23"/>
  </w:num>
  <w:num w:numId="8">
    <w:abstractNumId w:val="81"/>
  </w:num>
  <w:num w:numId="9">
    <w:abstractNumId w:val="11"/>
  </w:num>
  <w:num w:numId="10">
    <w:abstractNumId w:val="73"/>
  </w:num>
  <w:num w:numId="11">
    <w:abstractNumId w:val="14"/>
  </w:num>
  <w:num w:numId="12">
    <w:abstractNumId w:val="109"/>
  </w:num>
  <w:num w:numId="13">
    <w:abstractNumId w:val="67"/>
  </w:num>
  <w:num w:numId="14">
    <w:abstractNumId w:val="75"/>
  </w:num>
  <w:num w:numId="15">
    <w:abstractNumId w:val="69"/>
  </w:num>
  <w:num w:numId="16">
    <w:abstractNumId w:val="39"/>
  </w:num>
  <w:num w:numId="17">
    <w:abstractNumId w:val="64"/>
  </w:num>
  <w:num w:numId="18">
    <w:abstractNumId w:val="36"/>
  </w:num>
  <w:num w:numId="19">
    <w:abstractNumId w:val="122"/>
  </w:num>
  <w:num w:numId="20">
    <w:abstractNumId w:val="110"/>
  </w:num>
  <w:num w:numId="21">
    <w:abstractNumId w:val="30"/>
  </w:num>
  <w:num w:numId="22">
    <w:abstractNumId w:val="38"/>
  </w:num>
  <w:num w:numId="23">
    <w:abstractNumId w:val="117"/>
  </w:num>
  <w:num w:numId="24">
    <w:abstractNumId w:val="95"/>
  </w:num>
  <w:num w:numId="25">
    <w:abstractNumId w:val="32"/>
  </w:num>
  <w:num w:numId="26">
    <w:abstractNumId w:val="113"/>
  </w:num>
  <w:num w:numId="27">
    <w:abstractNumId w:val="126"/>
  </w:num>
  <w:num w:numId="28">
    <w:abstractNumId w:val="63"/>
  </w:num>
  <w:num w:numId="29">
    <w:abstractNumId w:val="93"/>
  </w:num>
  <w:num w:numId="30">
    <w:abstractNumId w:val="6"/>
  </w:num>
  <w:num w:numId="31">
    <w:abstractNumId w:val="125"/>
  </w:num>
  <w:num w:numId="32">
    <w:abstractNumId w:val="97"/>
  </w:num>
  <w:num w:numId="33">
    <w:abstractNumId w:val="45"/>
  </w:num>
  <w:num w:numId="34">
    <w:abstractNumId w:val="48"/>
  </w:num>
  <w:num w:numId="35">
    <w:abstractNumId w:val="65"/>
  </w:num>
  <w:num w:numId="36">
    <w:abstractNumId w:val="121"/>
  </w:num>
  <w:num w:numId="37">
    <w:abstractNumId w:val="5"/>
  </w:num>
  <w:num w:numId="38">
    <w:abstractNumId w:val="128"/>
  </w:num>
  <w:num w:numId="39">
    <w:abstractNumId w:val="108"/>
  </w:num>
  <w:num w:numId="40">
    <w:abstractNumId w:val="62"/>
  </w:num>
  <w:num w:numId="41">
    <w:abstractNumId w:val="127"/>
  </w:num>
  <w:num w:numId="42">
    <w:abstractNumId w:val="124"/>
  </w:num>
  <w:num w:numId="43">
    <w:abstractNumId w:val="66"/>
  </w:num>
  <w:num w:numId="44">
    <w:abstractNumId w:val="34"/>
  </w:num>
  <w:num w:numId="45">
    <w:abstractNumId w:val="59"/>
  </w:num>
  <w:num w:numId="46">
    <w:abstractNumId w:val="70"/>
  </w:num>
  <w:num w:numId="47">
    <w:abstractNumId w:val="111"/>
  </w:num>
  <w:num w:numId="48">
    <w:abstractNumId w:val="41"/>
  </w:num>
  <w:num w:numId="49">
    <w:abstractNumId w:val="47"/>
  </w:num>
  <w:num w:numId="50">
    <w:abstractNumId w:val="91"/>
  </w:num>
  <w:num w:numId="51">
    <w:abstractNumId w:val="103"/>
  </w:num>
  <w:num w:numId="52">
    <w:abstractNumId w:val="31"/>
  </w:num>
  <w:num w:numId="53">
    <w:abstractNumId w:val="116"/>
  </w:num>
  <w:num w:numId="54">
    <w:abstractNumId w:val="15"/>
  </w:num>
  <w:num w:numId="55">
    <w:abstractNumId w:val="13"/>
  </w:num>
  <w:num w:numId="56">
    <w:abstractNumId w:val="25"/>
  </w:num>
  <w:num w:numId="57">
    <w:abstractNumId w:val="86"/>
  </w:num>
  <w:num w:numId="58">
    <w:abstractNumId w:val="118"/>
  </w:num>
  <w:num w:numId="59">
    <w:abstractNumId w:val="90"/>
  </w:num>
  <w:num w:numId="60">
    <w:abstractNumId w:val="102"/>
  </w:num>
  <w:num w:numId="61">
    <w:abstractNumId w:val="24"/>
  </w:num>
  <w:num w:numId="62">
    <w:abstractNumId w:val="123"/>
  </w:num>
  <w:num w:numId="63">
    <w:abstractNumId w:val="49"/>
  </w:num>
  <w:num w:numId="64">
    <w:abstractNumId w:val="9"/>
  </w:num>
  <w:num w:numId="65">
    <w:abstractNumId w:val="68"/>
  </w:num>
  <w:num w:numId="66">
    <w:abstractNumId w:val="78"/>
  </w:num>
  <w:num w:numId="67">
    <w:abstractNumId w:val="54"/>
  </w:num>
  <w:num w:numId="68">
    <w:abstractNumId w:val="8"/>
  </w:num>
  <w:num w:numId="69">
    <w:abstractNumId w:val="106"/>
  </w:num>
  <w:num w:numId="70">
    <w:abstractNumId w:val="92"/>
  </w:num>
  <w:num w:numId="71">
    <w:abstractNumId w:val="94"/>
  </w:num>
  <w:num w:numId="72">
    <w:abstractNumId w:val="119"/>
  </w:num>
  <w:num w:numId="73">
    <w:abstractNumId w:val="61"/>
  </w:num>
  <w:num w:numId="74">
    <w:abstractNumId w:val="18"/>
  </w:num>
  <w:num w:numId="75">
    <w:abstractNumId w:val="96"/>
  </w:num>
  <w:num w:numId="76">
    <w:abstractNumId w:val="22"/>
  </w:num>
  <w:num w:numId="77">
    <w:abstractNumId w:val="52"/>
  </w:num>
  <w:num w:numId="78">
    <w:abstractNumId w:val="101"/>
  </w:num>
  <w:num w:numId="79">
    <w:abstractNumId w:val="80"/>
  </w:num>
  <w:num w:numId="80">
    <w:abstractNumId w:val="53"/>
  </w:num>
  <w:num w:numId="81">
    <w:abstractNumId w:val="10"/>
  </w:num>
  <w:num w:numId="82">
    <w:abstractNumId w:val="98"/>
  </w:num>
  <w:num w:numId="83">
    <w:abstractNumId w:val="72"/>
  </w:num>
  <w:num w:numId="84">
    <w:abstractNumId w:val="44"/>
  </w:num>
  <w:num w:numId="85">
    <w:abstractNumId w:val="37"/>
  </w:num>
  <w:num w:numId="86">
    <w:abstractNumId w:val="100"/>
  </w:num>
  <w:num w:numId="87">
    <w:abstractNumId w:val="57"/>
  </w:num>
  <w:num w:numId="88">
    <w:abstractNumId w:val="43"/>
  </w:num>
  <w:num w:numId="89">
    <w:abstractNumId w:val="12"/>
  </w:num>
  <w:num w:numId="90">
    <w:abstractNumId w:val="21"/>
  </w:num>
  <w:num w:numId="91">
    <w:abstractNumId w:val="28"/>
  </w:num>
  <w:num w:numId="92">
    <w:abstractNumId w:val="88"/>
  </w:num>
  <w:num w:numId="93">
    <w:abstractNumId w:val="4"/>
  </w:num>
  <w:num w:numId="94">
    <w:abstractNumId w:val="56"/>
  </w:num>
  <w:num w:numId="95">
    <w:abstractNumId w:val="87"/>
  </w:num>
  <w:num w:numId="96">
    <w:abstractNumId w:val="71"/>
  </w:num>
  <w:num w:numId="97">
    <w:abstractNumId w:val="55"/>
  </w:num>
  <w:num w:numId="98">
    <w:abstractNumId w:val="89"/>
  </w:num>
  <w:num w:numId="99">
    <w:abstractNumId w:val="120"/>
  </w:num>
  <w:num w:numId="100">
    <w:abstractNumId w:val="58"/>
  </w:num>
  <w:num w:numId="101">
    <w:abstractNumId w:val="16"/>
  </w:num>
  <w:num w:numId="102">
    <w:abstractNumId w:val="20"/>
  </w:num>
  <w:num w:numId="103">
    <w:abstractNumId w:val="77"/>
  </w:num>
  <w:num w:numId="104">
    <w:abstractNumId w:val="79"/>
  </w:num>
  <w:num w:numId="105">
    <w:abstractNumId w:val="35"/>
  </w:num>
  <w:num w:numId="106">
    <w:abstractNumId w:val="85"/>
  </w:num>
  <w:num w:numId="107">
    <w:abstractNumId w:val="76"/>
  </w:num>
  <w:num w:numId="108">
    <w:abstractNumId w:val="82"/>
  </w:num>
  <w:num w:numId="109">
    <w:abstractNumId w:val="51"/>
  </w:num>
  <w:num w:numId="110">
    <w:abstractNumId w:val="104"/>
  </w:num>
  <w:num w:numId="111">
    <w:abstractNumId w:val="33"/>
  </w:num>
  <w:num w:numId="112">
    <w:abstractNumId w:val="84"/>
  </w:num>
  <w:num w:numId="113">
    <w:abstractNumId w:val="7"/>
  </w:num>
  <w:num w:numId="114">
    <w:abstractNumId w:val="99"/>
  </w:num>
  <w:num w:numId="115">
    <w:abstractNumId w:val="83"/>
  </w:num>
  <w:num w:numId="116">
    <w:abstractNumId w:val="27"/>
  </w:num>
  <w:num w:numId="117">
    <w:abstractNumId w:val="114"/>
  </w:num>
  <w:num w:numId="118">
    <w:abstractNumId w:val="50"/>
  </w:num>
  <w:num w:numId="119">
    <w:abstractNumId w:val="112"/>
  </w:num>
  <w:num w:numId="120">
    <w:abstractNumId w:val="26"/>
  </w:num>
  <w:num w:numId="121">
    <w:abstractNumId w:val="3"/>
  </w:num>
  <w:num w:numId="122">
    <w:abstractNumId w:val="60"/>
  </w:num>
  <w:num w:numId="123">
    <w:abstractNumId w:val="107"/>
  </w:num>
  <w:num w:numId="124">
    <w:abstractNumId w:val="115"/>
  </w:num>
  <w:num w:numId="125">
    <w:abstractNumId w:val="19"/>
  </w:num>
  <w:num w:numId="126">
    <w:abstractNumId w:val="105"/>
  </w:num>
  <w:num w:numId="127">
    <w:abstractNumId w:val="40"/>
  </w:num>
  <w:num w:numId="128">
    <w:abstractNumId w:val="42"/>
  </w:num>
  <w:num w:numId="12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7"/>
  <w:bordersDoNotSurroundHeader w:val="1"/>
  <w:bordersDoNotSurroundFooter w:val="1"/>
  <w:documentProtection w:enforcement="0"/>
  <w:defaultTabStop w:val="420"/>
  <w:characterSpacingControl w:val="doNotCompress"/>
  <w:footnotePr>
    <w:footnote w:id="0"/>
    <w:footnote w:id="1"/>
  </w:footnotePr>
  <w:endnotePr>
    <w:endnote w:id="0"/>
    <w:endnote w:id="1"/>
  </w:endnotePr>
  <w:compat>
    <w:useFELayout/>
    <w:compatSetting w:name="compatibilityMode" w:uri="http://schemas.microsoft.com/office/word" w:val="12"/>
  </w:compat>
  <w:rsids>
    <w:rsidRoot w:val="00A035E5"/>
    <w:rsid w:val="00107F2B"/>
    <w:rsid w:val="009B40E9"/>
    <w:rsid w:val="00A035E5"/>
    <w:rsid w:val="00EB677E"/>
    <w:rsid w:val="041E651A"/>
    <w:rsid w:val="06043E9E"/>
    <w:rsid w:val="11875983"/>
    <w:rsid w:val="122F67F7"/>
    <w:rsid w:val="133833D9"/>
    <w:rsid w:val="19CC487B"/>
    <w:rsid w:val="1F136AA8"/>
    <w:rsid w:val="20983EB6"/>
    <w:rsid w:val="212C5047"/>
    <w:rsid w:val="26722306"/>
    <w:rsid w:val="2934401A"/>
    <w:rsid w:val="2A6308E4"/>
    <w:rsid w:val="32081D71"/>
    <w:rsid w:val="39CD170A"/>
    <w:rsid w:val="3D2866AF"/>
    <w:rsid w:val="45C41DF0"/>
    <w:rsid w:val="49303C2F"/>
    <w:rsid w:val="57BD5228"/>
    <w:rsid w:val="69CF4986"/>
    <w:rsid w:val="70027824"/>
    <w:rsid w:val="710D2A63"/>
    <w:rsid w:val="78656BA2"/>
    <w:rsid w:val="7C3A65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styleId="2">
    <w:name w:val="heading 1"/>
    <w:basedOn w:val="1"/>
    <w:next w:val="1"/>
    <w:qFormat/>
    <w:uiPriority w:val="0"/>
    <w:pPr>
      <w:keepNext/>
      <w:keepLines/>
      <w:spacing w:before="340" w:after="330" w:line="576" w:lineRule="auto"/>
      <w:outlineLvl w:val="0"/>
    </w:pPr>
    <w:rPr>
      <w:b/>
      <w:kern w:val="44"/>
      <w:sz w:val="44"/>
    </w:rPr>
  </w:style>
  <w:style w:type="paragraph" w:styleId="3">
    <w:name w:val="heading 2"/>
    <w:basedOn w:val="1"/>
    <w:next w:val="1"/>
    <w:unhideWhenUsed/>
    <w:qFormat/>
    <w:uiPriority w:val="0"/>
    <w:pPr>
      <w:keepNext/>
      <w:keepLines/>
      <w:numPr>
        <w:ilvl w:val="0"/>
        <w:numId w:val="1"/>
      </w:numPr>
      <w:spacing w:before="260" w:after="260" w:line="413" w:lineRule="auto"/>
      <w:outlineLvl w:val="1"/>
    </w:pPr>
    <w:rPr>
      <w:rFonts w:ascii="Arial" w:hAnsi="Arial" w:eastAsia="黑体"/>
      <w:b/>
      <w:sz w:val="32"/>
    </w:rPr>
  </w:style>
  <w:style w:type="paragraph" w:styleId="4">
    <w:name w:val="heading 3"/>
    <w:basedOn w:val="1"/>
    <w:next w:val="1"/>
    <w:unhideWhenUsed/>
    <w:qFormat/>
    <w:uiPriority w:val="0"/>
    <w:pPr>
      <w:keepNext/>
      <w:keepLines/>
      <w:numPr>
        <w:ilvl w:val="0"/>
        <w:numId w:val="2"/>
      </w:numPr>
      <w:spacing w:before="260" w:after="260" w:line="413" w:lineRule="auto"/>
      <w:outlineLvl w:val="2"/>
    </w:pPr>
    <w:rPr>
      <w:b/>
      <w:sz w:val="32"/>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5">
    <w:name w:val="Normal Indent"/>
    <w:basedOn w:val="1"/>
    <w:qFormat/>
    <w:uiPriority w:val="0"/>
    <w:pPr>
      <w:spacing w:before="100" w:beforeAutospacing="1" w:after="100" w:afterAutospacing="1" w:line="320" w:lineRule="atLeast"/>
      <w:ind w:firstLine="420"/>
    </w:pPr>
    <w:rPr>
      <w:rFonts w:ascii="Calibri" w:hAnsi="Calibri" w:cs="Times New Roman"/>
      <w:szCs w:val="20"/>
    </w:rPr>
  </w:style>
  <w:style w:type="paragraph" w:styleId="6">
    <w:name w:val="Body Text"/>
    <w:basedOn w:val="1"/>
    <w:next w:val="1"/>
    <w:qFormat/>
    <w:uiPriority w:val="0"/>
    <w:pPr>
      <w:widowControl/>
      <w:spacing w:before="100" w:beforeAutospacing="1" w:after="100" w:afterAutospacing="1"/>
      <w:jc w:val="left"/>
    </w:pPr>
    <w:rPr>
      <w:rFonts w:ascii="宋体" w:hAnsi="宋体"/>
      <w:kern w:val="0"/>
    </w:rPr>
  </w:style>
  <w:style w:type="paragraph" w:styleId="7">
    <w:name w:val="footer"/>
    <w:basedOn w:val="1"/>
    <w:qFormat/>
    <w:uiPriority w:val="0"/>
    <w:pPr>
      <w:tabs>
        <w:tab w:val="center" w:pos="4153"/>
        <w:tab w:val="right" w:pos="8306"/>
      </w:tabs>
      <w:snapToGrid w:val="0"/>
      <w:jc w:val="left"/>
    </w:pPr>
    <w:rPr>
      <w:sz w:val="18"/>
    </w:rPr>
  </w:style>
  <w:style w:type="paragraph" w:styleId="8">
    <w:name w:val="Normal (Web)"/>
    <w:basedOn w:val="1"/>
    <w:qFormat/>
    <w:uiPriority w:val="0"/>
    <w:pPr>
      <w:spacing w:beforeAutospacing="1" w:afterAutospacing="1"/>
      <w:jc w:val="left"/>
    </w:pPr>
    <w:rPr>
      <w:rFonts w:cs="Times New Roman"/>
      <w:kern w:val="0"/>
      <w:sz w:val="24"/>
    </w:rPr>
  </w:style>
  <w:style w:type="paragraph" w:styleId="9">
    <w:name w:val="Body Text First Indent"/>
    <w:basedOn w:val="6"/>
    <w:qFormat/>
    <w:uiPriority w:val="0"/>
    <w:pPr>
      <w:widowControl w:val="0"/>
      <w:spacing w:before="0" w:beforeAutospacing="0" w:after="120" w:afterAutospacing="0"/>
      <w:ind w:firstLine="420" w:firstLineChars="100"/>
      <w:jc w:val="both"/>
    </w:pPr>
    <w:rPr>
      <w:rFonts w:ascii="Tahoma" w:hAnsi="Tahoma"/>
      <w:kern w:val="2"/>
    </w:rPr>
  </w:style>
  <w:style w:type="table" w:styleId="11">
    <w:name w:val="Table Grid"/>
    <w:basedOn w:val="10"/>
    <w:qFormat/>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3">
    <w:name w:val="null3"/>
    <w:hidden/>
    <w:qFormat/>
    <w:uiPriority w:val="0"/>
    <w:rPr>
      <w:rFonts w:hint="eastAsia" w:asciiTheme="minorHAnsi" w:hAnsiTheme="minorHAnsi" w:eastAsiaTheme="minorEastAsia" w:cstheme="minorBidi"/>
      <w:lang w:val="en-US" w:eastAsia="zh-Hans" w:bidi="ar-SA"/>
    </w:rPr>
  </w:style>
  <w:style w:type="paragraph" w:customStyle="1" w:styleId="14">
    <w:name w:val="！正文"/>
    <w:basedOn w:val="1"/>
    <w:qFormat/>
    <w:uiPriority w:val="0"/>
    <w:pPr>
      <w:spacing w:line="360" w:lineRule="auto"/>
      <w:ind w:firstLine="200" w:firstLineChars="200"/>
    </w:pPr>
    <w:rPr>
      <w:rFonts w:ascii="Calibri" w:hAnsi="Calibri" w:cs="Times New Roman"/>
      <w:sz w:val="28"/>
      <w:szCs w:val="20"/>
    </w:rPr>
  </w:style>
  <w:style w:type="paragraph" w:styleId="15">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theme>
</file>

<file path=docProps/app.xml><?xml version="1.0" encoding="utf-8"?>
<Properties xmlns="http://schemas.openxmlformats.org/officeDocument/2006/extended-properties" xmlns:vt="http://schemas.openxmlformats.org/officeDocument/2006/docPropsVTypes">
  <Template>Normal.dotm</Template>
  <Pages>25</Pages>
  <Words>11287</Words>
  <Characters>11584</Characters>
  <Lines>92</Lines>
  <Paragraphs>26</Paragraphs>
  <TotalTime>180</TotalTime>
  <ScaleCrop>false</ScaleCrop>
  <LinksUpToDate>false</LinksUpToDate>
  <CharactersWithSpaces>11634</CharactersWithSpaces>
  <Application>WPS Office_12.1.0.22525_F1E327BC-269C-435d-A152-05C5408002CA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2026-05-12T06:05:00Z</dcterms:created>
  <dc:creator>Apache POI</dc:creator>
  <cp:lastModifiedBy>gc</cp:lastModifiedBy>
  <dcterms:modified xsi:type="dcterms:W3CDTF">2026-05-25T07:43:31Z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eyJoZGlkIjoiNzg5M2RhNDE3ZjYzZmU1MTk2Yzc0ZjQ5NWVkMGNjNmUiLCJ1c2VySWQiOiI2MjU5ODg1NTIifQ==</vt:lpwstr>
  </property>
  <property fmtid="{D5CDD505-2E9C-101B-9397-08002B2CF9AE}" pid="3" name="KSOProductBuildVer">
    <vt:lpwstr>2052-12.1.0.22525</vt:lpwstr>
  </property>
  <property fmtid="{D5CDD505-2E9C-101B-9397-08002B2CF9AE}" pid="4" name="ICV">
    <vt:lpwstr>5977ADDF28A24705B3C9660645043FD7_12</vt:lpwstr>
  </property>
</Properties>
</file>