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FCA10F">
      <w:pPr>
        <w:pStyle w:val="3"/>
        <w:jc w:val="center"/>
        <w:rPr>
          <w:rFonts w:ascii="宋体" w:hAnsi="宋体"/>
        </w:rPr>
      </w:pPr>
      <w:r>
        <w:rPr>
          <w:rFonts w:hint="eastAsia" w:ascii="宋体" w:hAnsi="宋体"/>
        </w:rPr>
        <w:t>用户需求书</w:t>
      </w:r>
    </w:p>
    <w:p w14:paraId="320081B2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项目背景</w:t>
      </w:r>
    </w:p>
    <w:p w14:paraId="4EF4DF24">
      <w:pPr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eastAsia="宋体" w:cs="Arial"/>
          <w:sz w:val="24"/>
          <w:lang w:val="en-US" w:eastAsia="zh-CN"/>
        </w:rPr>
        <w:t>广东南方新媒体股份有限公司</w:t>
      </w:r>
      <w:r>
        <w:rPr>
          <w:rFonts w:hint="eastAsia" w:ascii="宋体" w:hAnsi="宋体"/>
          <w:sz w:val="24"/>
        </w:rPr>
        <w:t>在2021年采购了一套用户画像推荐系统，由神策网络科技（北京）有限公司进行建设，包含了用户标签画像和规则推荐的能力。系统基于深度学习的推荐算法，结合当前采集的丰富的用户行为数据和内容数据，建立准确的用户画像以及标签，自动化地帮助运营人员判别用户需求和喜好，及时主动地为不同用户推荐其喜欢的节目，配合EPG瀑布流呈现方式提供更强大更精准的个性化推荐，从而达到提升用户收视时长，避免用户流失，最终实现增加增值收入的目的。本期项目对该套系统采购维保服务。</w:t>
      </w:r>
      <w:bookmarkStart w:id="0" w:name="_GoBack"/>
      <w:bookmarkEnd w:id="0"/>
    </w:p>
    <w:p w14:paraId="10BBB90F">
      <w:pPr>
        <w:pStyle w:val="4"/>
        <w:numPr>
          <w:ilvl w:val="0"/>
          <w:numId w:val="2"/>
        </w:numPr>
        <w:rPr>
          <w:rFonts w:hint="eastAsia" w:ascii="宋体" w:hAnsi="宋体"/>
        </w:rPr>
      </w:pPr>
      <w:r>
        <w:rPr>
          <w:rFonts w:hint="eastAsia" w:ascii="宋体" w:hAnsi="宋体"/>
        </w:rPr>
        <w:t>维保系统清单</w:t>
      </w:r>
    </w:p>
    <w:tbl>
      <w:tblPr>
        <w:tblStyle w:val="12"/>
        <w:tblW w:w="5000" w:type="pct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4"/>
        <w:gridCol w:w="5363"/>
        <w:gridCol w:w="1089"/>
      </w:tblGrid>
      <w:tr w14:paraId="4E2EF21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12" w:type="pct"/>
            <w:vAlign w:val="center"/>
          </w:tcPr>
          <w:p w14:paraId="30B9DFCF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系统名称</w:t>
            </w:r>
          </w:p>
        </w:tc>
        <w:tc>
          <w:tcPr>
            <w:tcW w:w="3149" w:type="pct"/>
            <w:vAlign w:val="center"/>
          </w:tcPr>
          <w:p w14:paraId="65CBC869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服务描述</w:t>
            </w:r>
          </w:p>
        </w:tc>
        <w:tc>
          <w:tcPr>
            <w:tcW w:w="639" w:type="pct"/>
            <w:vAlign w:val="center"/>
          </w:tcPr>
          <w:p w14:paraId="55D45788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ascii="宋体" w:hAnsi="宋体"/>
                <w:b/>
                <w:bCs/>
                <w:sz w:val="24"/>
              </w:rPr>
              <w:t>维保服务期</w:t>
            </w:r>
          </w:p>
        </w:tc>
      </w:tr>
      <w:tr w14:paraId="64C0346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12" w:type="pct"/>
            <w:vAlign w:val="center"/>
          </w:tcPr>
          <w:p w14:paraId="2C21482B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用户画像推荐系统软件</w:t>
            </w:r>
          </w:p>
          <w:p w14:paraId="29730FF7"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/>
                <w:sz w:val="24"/>
              </w:rPr>
              <w:t>（标签系统</w:t>
            </w:r>
            <w:r>
              <w:rPr>
                <w:rFonts w:hint="eastAsia" w:ascii="宋体" w:hAnsi="宋体"/>
                <w:sz w:val="24"/>
                <w:lang w:eastAsia="zh-CN"/>
              </w:rPr>
              <w:t>和</w:t>
            </w:r>
            <w:r>
              <w:rPr>
                <w:rFonts w:hint="eastAsia" w:ascii="宋体" w:hAnsi="宋体"/>
                <w:sz w:val="24"/>
              </w:rPr>
              <w:t>规则推荐系统）</w:t>
            </w:r>
          </w:p>
        </w:tc>
        <w:tc>
          <w:tcPr>
            <w:tcW w:w="3149" w:type="pct"/>
            <w:vAlign w:val="center"/>
          </w:tcPr>
          <w:p w14:paraId="494A2E56">
            <w:pPr>
              <w:rPr>
                <w:rFonts w:hint="eastAsia" w:ascii="宋体" w:hAnsi="宋体" w:cs="Arial"/>
                <w:sz w:val="24"/>
              </w:rPr>
            </w:pPr>
            <w:r>
              <w:rPr>
                <w:rFonts w:hint="eastAsia" w:ascii="宋体" w:hAnsi="宋体" w:cs="Arial"/>
                <w:sz w:val="24"/>
              </w:rPr>
              <w:t>提供系统软件的维保服务，保障系统的稳定、高效运行，包括但不限于应用系统、相关组件及保证应用系统正常可用的周边配置服务，例如除服务器硬件设备以外的操作系统、网络配置、中间件和应用软件的整体运维保障</w:t>
            </w:r>
          </w:p>
        </w:tc>
        <w:tc>
          <w:tcPr>
            <w:tcW w:w="639" w:type="pct"/>
            <w:vAlign w:val="center"/>
          </w:tcPr>
          <w:p w14:paraId="3DE06645">
            <w:pPr>
              <w:jc w:val="center"/>
              <w:rPr>
                <w:rFonts w:hint="eastAsia" w:ascii="宋体" w:hAnsi="宋体" w:cs="Arial"/>
                <w:sz w:val="24"/>
              </w:rPr>
            </w:pPr>
            <w:r>
              <w:rPr>
                <w:rFonts w:hint="eastAsia" w:ascii="宋体" w:hAnsi="宋体" w:cs="Arial"/>
                <w:sz w:val="24"/>
                <w:lang w:val="en-US" w:eastAsia="zh-CN"/>
              </w:rPr>
              <w:t>合同签订起3</w:t>
            </w:r>
            <w:r>
              <w:rPr>
                <w:rFonts w:hint="eastAsia" w:ascii="宋体" w:hAnsi="宋体" w:cs="Arial"/>
                <w:sz w:val="24"/>
              </w:rPr>
              <w:t>年</w:t>
            </w:r>
          </w:p>
        </w:tc>
      </w:tr>
    </w:tbl>
    <w:p w14:paraId="09DB36B0">
      <w:pPr>
        <w:adjustRightInd w:val="0"/>
        <w:snapToGrid w:val="0"/>
        <w:spacing w:line="360" w:lineRule="auto"/>
        <w:rPr>
          <w:rFonts w:hint="eastAsia" w:ascii="宋体" w:hAnsi="宋体" w:cs="宋体"/>
          <w:color w:val="000000"/>
          <w:sz w:val="28"/>
          <w:szCs w:val="28"/>
        </w:rPr>
      </w:pPr>
    </w:p>
    <w:p w14:paraId="05945F9C">
      <w:pPr>
        <w:pStyle w:val="4"/>
        <w:numPr>
          <w:ilvl w:val="0"/>
          <w:numId w:val="2"/>
        </w:numPr>
        <w:rPr>
          <w:rFonts w:hint="eastAsia" w:ascii="宋体" w:hAnsi="宋体"/>
        </w:rPr>
      </w:pPr>
      <w:r>
        <w:rPr>
          <w:rFonts w:hint="eastAsia" w:ascii="宋体" w:hAnsi="宋体"/>
        </w:rPr>
        <w:t>服务要求</w:t>
      </w:r>
    </w:p>
    <w:p w14:paraId="1C43BCFC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1.1维保服务要求</w:t>
      </w:r>
    </w:p>
    <w:p w14:paraId="6DB5DBE5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提供7×24服务响应级别。</w:t>
      </w:r>
    </w:p>
    <w:p w14:paraId="74C1E3E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(1)服务时间：7×24小时。</w:t>
      </w:r>
    </w:p>
    <w:p w14:paraId="4D516E6F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(2)响应时间：要求乙方即时响应，并在接到报修后30分钟内向甲方提出故障处理方案。</w:t>
      </w:r>
    </w:p>
    <w:p w14:paraId="48067DD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(3)到场时间：要求乙方在规定时间内远程接入提供维护服务，如需要到现场，乙方需在规定时间内到达甲方指定现场提供维护服务。</w:t>
      </w:r>
    </w:p>
    <w:p w14:paraId="3C16F2C1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(4)故障恢复时间：要求乙方在规定时间内恢复故障，并在故障恢复后1个工作日内提供故障报告。</w:t>
      </w:r>
    </w:p>
    <w:p w14:paraId="576BB8CB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(5)响应时间及服务响应时间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2551"/>
        <w:gridCol w:w="1105"/>
        <w:gridCol w:w="1347"/>
        <w:gridCol w:w="1092"/>
        <w:gridCol w:w="1603"/>
      </w:tblGrid>
      <w:tr w14:paraId="66B74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06B24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故障级别</w:t>
            </w:r>
          </w:p>
        </w:tc>
        <w:tc>
          <w:tcPr>
            <w:tcW w:w="149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CB372C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故障级别说明</w:t>
            </w:r>
          </w:p>
        </w:tc>
        <w:tc>
          <w:tcPr>
            <w:tcW w:w="64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310467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电话响应时间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6BEE8A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远程接入响应时间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AAFD8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现场响应时间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CCCBE7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恢复系统正常运行时间</w:t>
            </w:r>
          </w:p>
        </w:tc>
      </w:tr>
      <w:tr w14:paraId="43BA2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FD84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严重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F7C9C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影响业务系统全部或部分交易故障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1045F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C0A4A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15分钟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78CC4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42336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2小时恢复系统正常运行</w:t>
            </w:r>
          </w:p>
        </w:tc>
      </w:tr>
      <w:tr w14:paraId="41E3E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98EB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重要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B4ABD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业务系统全部或部分交易运行缓慢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2313B2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B673F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20分钟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8CE60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60DBF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5小时恢复系统正常运行</w:t>
            </w:r>
          </w:p>
        </w:tc>
      </w:tr>
      <w:tr w14:paraId="4CA44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0D22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一般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4BB1ED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一般报警信息，对交易系统正常运行没有影响；系统参数调整等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99B4E4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163B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30小时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F965E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80CE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24小时恢复系统正常运行</w:t>
            </w:r>
          </w:p>
        </w:tc>
      </w:tr>
    </w:tbl>
    <w:p w14:paraId="4C3FE0DB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1.2软件更新服务</w:t>
      </w:r>
    </w:p>
    <w:p w14:paraId="49A2094D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软件BUG的定位和修复服务，发现产品中疑似BUG，向乙方进行反馈，乙方根据甲方的反馈现象进行测试验证，如果是产品BUG，乙方排期进行软件BUG修复，发布版本之后，对甲方的系统进行修复，包括但不限于产品自身软件BUG、产品所依赖的操作系统、中间件、数据库等各组件所发现的漏洞修复。</w:t>
      </w:r>
    </w:p>
    <w:p w14:paraId="684B9D58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1.3运维保障服务</w:t>
      </w:r>
    </w:p>
    <w:p w14:paraId="37E03906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提供7*24小时应急响应及保障服务，保证系统的稳定可靠运行，包括电话、远程、现场方式。</w:t>
      </w:r>
    </w:p>
    <w:p w14:paraId="2FF85EEB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1.3.1提供7*24小时应急响应及保障服务，确保系统稳定可靠运行；</w:t>
      </w:r>
    </w:p>
    <w:p w14:paraId="665E18A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1.3.2提供现场升级、维护服务；</w:t>
      </w:r>
    </w:p>
    <w:p w14:paraId="42E4190E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1.3.3运维保障服务包括但不限于应用系统、相关组件及保证应用系统正常可用的周边配置服务，例如除服务器硬件设备以外的操作系统、网络配置、中间件和应用软件的整体运维保障；</w:t>
      </w:r>
    </w:p>
    <w:p w14:paraId="43A200E2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1.4系统巡检服务</w:t>
      </w:r>
    </w:p>
    <w:p w14:paraId="3908ACED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对甲方环境进行全面诊断、巡检，发现存在的问题或风险点，并对存在的问题进行整改。</w:t>
      </w:r>
    </w:p>
    <w:p w14:paraId="1CDEDD3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1.4.1包含系统资源使用分析、原系统产品组件检查、大数据组件检查、数据导入检查等服务内容，服务范围包含：系统整体健康状态检查、指出存在的风险和隐患，及建议的处理方式，包括问题处理、风险规避及相关优化服务。</w:t>
      </w:r>
    </w:p>
    <w:p w14:paraId="2CDA182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1.4.2提供巡检和现场重点保障（春节两会、国庆两个重保期前的巡检）。</w:t>
      </w:r>
    </w:p>
    <w:p w14:paraId="45DE0D80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1.4.3每年不超过一次临时特殊保障期的巡检检查和重点保障。</w:t>
      </w:r>
    </w:p>
    <w:p w14:paraId="72B8C635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1.5产品技术支持服务</w:t>
      </w:r>
    </w:p>
    <w:p w14:paraId="3598CFDF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</w:t>
      </w:r>
      <w:r>
        <w:rPr>
          <w:rFonts w:hint="eastAsia" w:ascii="宋体" w:hAnsi="宋体"/>
          <w:sz w:val="24"/>
          <w:lang w:val="en-US" w:eastAsia="zh-CN"/>
        </w:rPr>
        <w:t>7</w:t>
      </w:r>
      <w:r>
        <w:rPr>
          <w:rFonts w:hint="eastAsia" w:ascii="宋体" w:hAnsi="宋体"/>
          <w:sz w:val="24"/>
        </w:rPr>
        <w:t>*</w:t>
      </w:r>
      <w:r>
        <w:rPr>
          <w:rFonts w:hint="eastAsia" w:ascii="宋体" w:hAnsi="宋体"/>
          <w:sz w:val="24"/>
          <w:lang w:val="en-US" w:eastAsia="zh-CN"/>
        </w:rPr>
        <w:t>24</w:t>
      </w:r>
      <w:r>
        <w:rPr>
          <w:rFonts w:hint="eastAsia" w:ascii="宋体" w:hAnsi="宋体"/>
          <w:sz w:val="24"/>
        </w:rPr>
        <w:t>小时产品技术支持服务，包括电话、远程、现场方式，提供产品使用、产品异常问题诊断等服务。</w:t>
      </w:r>
    </w:p>
    <w:p w14:paraId="426B78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1.5.1产品使用答疑：提供产品使用方面的咨询答疑和基于产品功能的逻辑答疑；</w:t>
      </w:r>
    </w:p>
    <w:p w14:paraId="2FED375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1.5.2异常诊断</w:t>
      </w:r>
    </w:p>
    <w:p w14:paraId="3A71409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1）数据差异性诊断：包括原系统自身业务系统内数据差异，给出统计口径的分析和答复；</w:t>
      </w:r>
    </w:p>
    <w:p w14:paraId="25C823A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2）产品提示异常或者访问异常诊断：根据产品提示的异常，诊断出异常的原因，并告知方法；</w:t>
      </w:r>
    </w:p>
    <w:p w14:paraId="0A0D3B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3）系统性能的问题诊断：分析系统使用现状，诊断出现有系统使用的瓶颈，提供建议。</w:t>
      </w:r>
    </w:p>
    <w:p w14:paraId="38A30D74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1.6业务扩容、迁移及割接</w:t>
      </w:r>
    </w:p>
    <w:p w14:paraId="6247DD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协助甲方完成迁移前的评估、新环境资源评估、新环境部署、系统扩容、老环境版本升级、实施迁移、迁移后的验证、迁移后的注意事项通知、数据导入、数据导出等工作。</w:t>
      </w:r>
    </w:p>
    <w:p w14:paraId="79FBFBFA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1.7业务验证及应急演练服务</w:t>
      </w:r>
    </w:p>
    <w:p w14:paraId="52FEABB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若甲方的环境进行调整，如网络调整、机房调整、上下游等环境进行调整，需配合甲方进行调整以及系统运行状态确认和业务验证；</w:t>
      </w:r>
    </w:p>
    <w:p w14:paraId="0F0E7C1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为保证系统的可靠运行，检验应急响应中协同反应水平和实战能力、评估应急响应预案的实用性、可行性、可靠性，依据应急预案，需对系统进行可靠性、应急演练，需提供演练方案和安排安全人员进行演练，并做好总结和问题修复。</w:t>
      </w:r>
    </w:p>
    <w:p w14:paraId="39BBA526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1.8信息安全服务</w:t>
      </w:r>
    </w:p>
    <w:p w14:paraId="3E7E675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系统平台需符合相关安全规范要求，包含与系统平台相关的组件的漏洞修复和安全策略加固。每年配合甲方完成等保的测评，对等保测评、渗透、扫描及相关安全检查等发现的安全问题、公布的安全漏洞等进行整改及安全策略加固，包含不限于操作系统、中间件、应用软件等层面漏洞修复和安全策略加固。</w:t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方正仿宋_GBK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5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6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1">
    <w:nsid w:val="419A7D25"/>
    <w:multiLevelType w:val="multilevel"/>
    <w:tmpl w:val="419A7D25"/>
    <w:lvl w:ilvl="0" w:tentative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2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08C4"/>
    <w:rsid w:val="00011891"/>
    <w:rsid w:val="00022FF5"/>
    <w:rsid w:val="0004540A"/>
    <w:rsid w:val="000C3C23"/>
    <w:rsid w:val="000D00B4"/>
    <w:rsid w:val="000E3CDE"/>
    <w:rsid w:val="000E5757"/>
    <w:rsid w:val="00120158"/>
    <w:rsid w:val="00124BD4"/>
    <w:rsid w:val="00125576"/>
    <w:rsid w:val="00125A6F"/>
    <w:rsid w:val="00132F66"/>
    <w:rsid w:val="00133EA3"/>
    <w:rsid w:val="00135D72"/>
    <w:rsid w:val="00153D94"/>
    <w:rsid w:val="00187358"/>
    <w:rsid w:val="00191300"/>
    <w:rsid w:val="001A518E"/>
    <w:rsid w:val="001E06BC"/>
    <w:rsid w:val="00210478"/>
    <w:rsid w:val="00211A26"/>
    <w:rsid w:val="00212BE2"/>
    <w:rsid w:val="0022168B"/>
    <w:rsid w:val="002374EA"/>
    <w:rsid w:val="002515C5"/>
    <w:rsid w:val="002615EA"/>
    <w:rsid w:val="0026238A"/>
    <w:rsid w:val="00262BEC"/>
    <w:rsid w:val="00273B73"/>
    <w:rsid w:val="002844E3"/>
    <w:rsid w:val="00287342"/>
    <w:rsid w:val="002A71A4"/>
    <w:rsid w:val="002D79F7"/>
    <w:rsid w:val="00315890"/>
    <w:rsid w:val="00321875"/>
    <w:rsid w:val="00346D20"/>
    <w:rsid w:val="003541A7"/>
    <w:rsid w:val="003767BA"/>
    <w:rsid w:val="00383C81"/>
    <w:rsid w:val="003845C3"/>
    <w:rsid w:val="003900AC"/>
    <w:rsid w:val="003A0EC8"/>
    <w:rsid w:val="003A2946"/>
    <w:rsid w:val="003E2A29"/>
    <w:rsid w:val="0040459A"/>
    <w:rsid w:val="0042517B"/>
    <w:rsid w:val="00464CB9"/>
    <w:rsid w:val="004807B6"/>
    <w:rsid w:val="00493611"/>
    <w:rsid w:val="004B33F8"/>
    <w:rsid w:val="004C231E"/>
    <w:rsid w:val="004E0B83"/>
    <w:rsid w:val="004E1ECE"/>
    <w:rsid w:val="004E5C68"/>
    <w:rsid w:val="00503372"/>
    <w:rsid w:val="00505D68"/>
    <w:rsid w:val="00510F70"/>
    <w:rsid w:val="00523C21"/>
    <w:rsid w:val="0052593B"/>
    <w:rsid w:val="00557F30"/>
    <w:rsid w:val="00557F7C"/>
    <w:rsid w:val="00571237"/>
    <w:rsid w:val="00580C2E"/>
    <w:rsid w:val="005827C6"/>
    <w:rsid w:val="00583349"/>
    <w:rsid w:val="00593220"/>
    <w:rsid w:val="005A0BF7"/>
    <w:rsid w:val="005A6AC6"/>
    <w:rsid w:val="005A6C45"/>
    <w:rsid w:val="005B26FB"/>
    <w:rsid w:val="005B5D5E"/>
    <w:rsid w:val="005C4CDB"/>
    <w:rsid w:val="005E08F1"/>
    <w:rsid w:val="005E18F1"/>
    <w:rsid w:val="005E34DE"/>
    <w:rsid w:val="005E5EE8"/>
    <w:rsid w:val="005F02D3"/>
    <w:rsid w:val="005F1F18"/>
    <w:rsid w:val="005F3946"/>
    <w:rsid w:val="00601A44"/>
    <w:rsid w:val="006122F6"/>
    <w:rsid w:val="006145CF"/>
    <w:rsid w:val="006321F9"/>
    <w:rsid w:val="00641C96"/>
    <w:rsid w:val="00662F9D"/>
    <w:rsid w:val="00671D1C"/>
    <w:rsid w:val="006739A5"/>
    <w:rsid w:val="00680B08"/>
    <w:rsid w:val="00680BBF"/>
    <w:rsid w:val="00680DA4"/>
    <w:rsid w:val="0068592C"/>
    <w:rsid w:val="00692C9A"/>
    <w:rsid w:val="006E4B9A"/>
    <w:rsid w:val="007014EB"/>
    <w:rsid w:val="007348A6"/>
    <w:rsid w:val="00735AB6"/>
    <w:rsid w:val="007457D5"/>
    <w:rsid w:val="007664B9"/>
    <w:rsid w:val="00773EE8"/>
    <w:rsid w:val="007809A0"/>
    <w:rsid w:val="00783E90"/>
    <w:rsid w:val="007953C6"/>
    <w:rsid w:val="007A1039"/>
    <w:rsid w:val="007A23EE"/>
    <w:rsid w:val="007B0A8C"/>
    <w:rsid w:val="007B3CA6"/>
    <w:rsid w:val="007B6F74"/>
    <w:rsid w:val="007D0487"/>
    <w:rsid w:val="007E2EAE"/>
    <w:rsid w:val="007E3B54"/>
    <w:rsid w:val="007E4ECF"/>
    <w:rsid w:val="007F7935"/>
    <w:rsid w:val="0081182F"/>
    <w:rsid w:val="0081482D"/>
    <w:rsid w:val="00826775"/>
    <w:rsid w:val="00830FF6"/>
    <w:rsid w:val="0083643B"/>
    <w:rsid w:val="0084144D"/>
    <w:rsid w:val="0084228E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2786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84636"/>
    <w:rsid w:val="00AD291C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C5E"/>
    <w:rsid w:val="00C802D3"/>
    <w:rsid w:val="00C80F42"/>
    <w:rsid w:val="00C81132"/>
    <w:rsid w:val="00C938E0"/>
    <w:rsid w:val="00CA2DFA"/>
    <w:rsid w:val="00CF6DF1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4215A"/>
    <w:rsid w:val="00E6609E"/>
    <w:rsid w:val="00E72778"/>
    <w:rsid w:val="00E8628D"/>
    <w:rsid w:val="00E86F01"/>
    <w:rsid w:val="00E96046"/>
    <w:rsid w:val="00EA1D9A"/>
    <w:rsid w:val="00EB3AD8"/>
    <w:rsid w:val="00EB3B60"/>
    <w:rsid w:val="00EC593F"/>
    <w:rsid w:val="00ED4F8E"/>
    <w:rsid w:val="00F132C0"/>
    <w:rsid w:val="00F72EBF"/>
    <w:rsid w:val="00F7461C"/>
    <w:rsid w:val="00F92EF8"/>
    <w:rsid w:val="00F9566E"/>
    <w:rsid w:val="00FB70C8"/>
    <w:rsid w:val="00FC031E"/>
    <w:rsid w:val="00FC7509"/>
    <w:rsid w:val="00FD3128"/>
    <w:rsid w:val="00FD5E13"/>
    <w:rsid w:val="00FE09E4"/>
    <w:rsid w:val="00FF0681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6FD74B9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831180"/>
    <w:rsid w:val="44A111E4"/>
    <w:rsid w:val="44CC6814"/>
    <w:rsid w:val="44DA4E02"/>
    <w:rsid w:val="44FA7C3F"/>
    <w:rsid w:val="453F40FA"/>
    <w:rsid w:val="45656E01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9FFD90"/>
    <w:rsid w:val="6FC34322"/>
    <w:rsid w:val="702A41E4"/>
    <w:rsid w:val="702D2D33"/>
    <w:rsid w:val="70C01D60"/>
    <w:rsid w:val="711073F6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E755B7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906FB393"/>
    <w:rsid w:val="D15E40CB"/>
    <w:rsid w:val="DDCEB554"/>
    <w:rsid w:val="F7F3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5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7">
    <w:name w:val="Normal Indent"/>
    <w:basedOn w:val="1"/>
    <w:link w:val="24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8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99"/>
    <w:pPr>
      <w:autoSpaceDE w:val="0"/>
      <w:autoSpaceDN w:val="0"/>
      <w:spacing w:beforeAutospacing="1" w:afterAutospacing="1"/>
      <w:jc w:val="left"/>
    </w:pPr>
    <w:rPr>
      <w:rFonts w:ascii="宋体" w:hAnsi="宋体"/>
      <w:kern w:val="0"/>
      <w:sz w:val="24"/>
      <w:szCs w:val="22"/>
    </w:rPr>
  </w:style>
  <w:style w:type="table" w:styleId="13">
    <w:name w:val="Table Grid"/>
    <w:basedOn w:val="12"/>
    <w:qFormat/>
    <w:uiPriority w:val="3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5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6">
    <w:name w:val="标题 1 字符"/>
    <w:basedOn w:val="14"/>
    <w:link w:val="3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7">
    <w:name w:val="List Paragraph"/>
    <w:basedOn w:val="1"/>
    <w:link w:val="25"/>
    <w:qFormat/>
    <w:uiPriority w:val="34"/>
    <w:pPr>
      <w:ind w:firstLine="420" w:firstLineChars="200"/>
    </w:pPr>
  </w:style>
  <w:style w:type="paragraph" w:customStyle="1" w:styleId="18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9">
    <w:name w:val="正文360首行缩进"/>
    <w:basedOn w:val="1"/>
    <w:link w:val="20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20">
    <w:name w:val="正文360首行缩进 Char"/>
    <w:link w:val="19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21">
    <w:name w:val="标题 2 字符"/>
    <w:basedOn w:val="14"/>
    <w:link w:val="4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2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3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4">
    <w:name w:val="正文缩进 字符"/>
    <w:link w:val="7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5">
    <w:name w:val="列表段落 字符"/>
    <w:link w:val="17"/>
    <w:qFormat/>
    <w:uiPriority w:val="34"/>
    <w:rPr>
      <w:kern w:val="2"/>
      <w:sz w:val="21"/>
      <w:szCs w:val="24"/>
    </w:rPr>
  </w:style>
  <w:style w:type="character" w:customStyle="1" w:styleId="26">
    <w:name w:val="批注框文本 字符"/>
    <w:basedOn w:val="14"/>
    <w:link w:val="8"/>
    <w:semiHidden/>
    <w:uiPriority w:val="99"/>
    <w:rPr>
      <w:kern w:val="2"/>
      <w:sz w:val="18"/>
      <w:szCs w:val="18"/>
    </w:rPr>
  </w:style>
  <w:style w:type="paragraph" w:customStyle="1" w:styleId="27">
    <w:name w:val="shortdesc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8">
    <w:name w:val="ph"/>
    <w:basedOn w:val="1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1841</Words>
  <Characters>1934</Characters>
  <Lines>14</Lines>
  <Paragraphs>4</Paragraphs>
  <TotalTime>0</TotalTime>
  <ScaleCrop>false</ScaleCrop>
  <LinksUpToDate>false</LinksUpToDate>
  <CharactersWithSpaces>1934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2021-09-04T04:16:00Z</dcterms:created>
  <dc:creator>Office365</dc:creator>
  <cp:lastModifiedBy>gc</cp:lastModifiedBy>
  <dcterms:modified xsi:type="dcterms:W3CDTF">2026-02-10T03:17:20Z</dcterms:modified>
  <cp:revision>154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2052-12.1.0.22525</vt:lpwstr>
  </property>
  <property fmtid="{D5CDD505-2E9C-101B-9397-08002B2CF9AE}" pid="4" name="ICV">
    <vt:lpwstr>44CCC08E4FBF43C5B2688493399D2F41_13</vt:lpwstr>
  </property>
  <property fmtid="{D5CDD505-2E9C-101B-9397-08002B2CF9AE}" pid="5" name="KSOTemplateDocerSaveRecord">
    <vt:lpwstr>eyJoZGlkIjoiNzg5M2RhNDE3ZjYzZmU1MTk2Yzc0ZjQ5NWVkMGNjNmUiLCJ1c2VySWQiOiI2MjU5ODg1NTIifQ==</vt:lpwstr>
  </property>
</Properties>
</file>