
<file path=[Content_Types].xml><?xml version="1.0" encoding="utf-8"?>
<Types xmlns="http://schemas.openxmlformats.org/package/2006/content-types">
  <Default Extension="xml" ContentType="application/xml"/>
  <Default Extension="rels" ContentType="application/vnd.openxmlformats-package.relationships+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docProps/core.xml" ContentType="application/vnd.openxmlformats-package.core-properties+xml"/>
  <Override PartName="/word/document.xml" ContentType="application/vnd.openxmlformats-officedocument.wordprocessingml.document.main+xml"/>
  <Override PartName="/word/header1.xml" ContentType="application/vnd.openxmlformats-officedocument.wordprocessingml.header+xml"/>
  <Override PartName="/customXml/itemProps1.xml" ContentType="application/vnd.openxmlformats-officedocument.customXmlProperties+xml"/>
  <Override PartName="/word/numbering.xml" ContentType="application/vnd.openxmlformats-officedocument.wordprocessingml.numbering+xml"/>
  <Override PartName="/word/settings.xml" ContentType="application/vnd.openxmlformats-officedocument.wordprocessingml.settings+xml"/>
  <Override PartName="/docProps/custom.xml" ContentType="application/vnd.openxmlformats-officedocument.custom-properties+xml"/>
  <Override PartName="/word/styles.xml" ContentType="application/vnd.openxmlformats-officedocument.wordprocessingml.styles+xml"/>
  <Override PartName="/docProps/app.xml" ContentType="application/vnd.openxmlformats-officedocument.extended-properties+xml"/>
</Types>
</file>

<file path=_rels/.rels><?xml version="1.0" encoding="UTF-8"?>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 Id="rId4" Type="http://schemas.openxmlformats.org/officeDocument/2006/relationships/custom-properties" Target="docProps/custom.xml"/></Relationships>
</file>

<file path=word/document.xml><?xml version="1.0" encoding="utf-8"?>
<w:document xmlns:w="http://schemas.openxmlformats.org/wordprocessingml/2006/main" xmlns:wp="http://schemas.openxmlformats.org/drawingml/2006/wordprocessingDrawing" xmlns:r="http://schemas.openxmlformats.org/officeDocument/2006/relationships" xmlns:v="urn:schemas-microsoft-com:vml" xmlns:w10="urn:schemas-microsoft-com:office:word" xmlns:o="urn:schemas-microsoft-com:office:office" xmlns:wp14="http://schemas.microsoft.com/office/word/2010/wordprocessingDrawing" xmlns:w14="http://schemas.microsoft.com/office/word/2010/wordml" xmlns:mc="http://schemas.openxmlformats.org/markup-compatibility/2006" xmlns:m="http://schemas.openxmlformats.org/officeDocument/2006/math" xmlns:wps="http://schemas.microsoft.com/office/word/2010/wordprocessingShape" xmlns:wpg="http://schemas.microsoft.com/office/word/2010/wordprocessingGroup" xmlns:wpi="http://schemas.microsoft.com/office/word/2010/wordprocessingInk" xmlns:wpc="http://schemas.microsoft.com/office/word/2010/wordprocessingCanvas" xmlns:wpsCustomData="http://www.wps.cn/officeDocument/2013/wpsCustomData" mc:Ignorable="w14 wp14">
  <w:body>
    <w:p w14:paraId="0D66E148">
      <w:pPr>
        <w:pStyle w:val="style0"/>
        <w:rPr>
          <w:rFonts w:ascii="宋体" w:cs="宋体" w:hAnsi="宋体"/>
          <w:sz w:val="22"/>
          <w:szCs w:val="22"/>
        </w:rPr>
      </w:pPr>
    </w:p>
    <w:p w14:paraId="5DBBC23D">
      <w:pPr>
        <w:pStyle w:val="style0"/>
        <w:spacing w:lineRule="auto" w:line="360"/>
        <w:rPr>
          <w:rFonts w:ascii="宋体" w:cs="宋体" w:hAnsi="宋体"/>
          <w:sz w:val="24"/>
        </w:rPr>
      </w:pPr>
      <w:r>
        <w:rPr>
          <w:rFonts w:ascii="宋体" w:cs="宋体" w:eastAsia="宋体" w:hAnsi="宋体" w:hint="eastAsia"/>
          <w:kern w:val="0"/>
          <w:sz w:val="24"/>
        </w:rPr>
        <w:t>附件：</w:t>
      </w:r>
      <w:r>
        <w:rPr>
          <w:rFonts w:ascii="宋体" w:cs="宋体" w:eastAsia="宋体" w:hAnsi="宋体" w:hint="eastAsia"/>
          <w:sz w:val="24"/>
        </w:rPr>
        <w:t>全自动药品分包核对一体机及配套项目</w:t>
      </w:r>
      <w:r>
        <w:rPr>
          <w:rFonts w:ascii="宋体" w:cs="宋体" w:hAnsi="宋体" w:hint="eastAsia"/>
          <w:sz w:val="24"/>
        </w:rPr>
        <w:t>需求</w:t>
      </w:r>
    </w:p>
    <w:p w14:paraId="7C121E63">
      <w:pPr>
        <w:pStyle w:val="style0"/>
        <w:numPr>
          <w:ilvl w:val="0"/>
          <w:numId w:val="3"/>
        </w:numPr>
        <w:spacing w:lineRule="auto" w:line="360"/>
        <w:rPr>
          <w:sz w:val="20"/>
          <w:szCs w:val="28"/>
        </w:rPr>
      </w:pPr>
      <w:r>
        <w:rPr>
          <w:rFonts w:ascii="宋体" w:cs="宋体" w:hAnsi="宋体" w:hint="eastAsia"/>
          <w:sz w:val="24"/>
        </w:rPr>
        <w:t>配置清单。</w:t>
      </w:r>
    </w:p>
    <w:tbl>
      <w:tblPr>
        <w:tblStyle w:val="style154"/>
        <w:tblW w:w="811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87"/>
        <w:gridCol w:w="4552"/>
        <w:gridCol w:w="2280"/>
      </w:tblGrid>
      <w:tr w14:paraId="69174B7B">
        <w:trPr/>
        <w:tc>
          <w:tcPr>
            <w:tcW w:w="1287" w:type="dxa"/>
            <w:tcBorders/>
            <w:shd w:val="clear" w:color="auto" w:fill="auto"/>
            <w:vAlign w:val="center"/>
          </w:tcPr>
          <w:p w14:paraId="1A9B42A6">
            <w:pPr>
              <w:pStyle w:val="style0"/>
              <w:spacing w:lineRule="auto" w:line="360"/>
              <w:jc w:val="center"/>
              <w:rPr>
                <w:rFonts w:ascii="宋体" w:hAnsi="宋体"/>
                <w:sz w:val="22"/>
                <w:szCs w:val="22"/>
              </w:rPr>
            </w:pPr>
            <w:r>
              <w:rPr>
                <w:rFonts w:ascii="宋体" w:hAnsi="宋体" w:hint="eastAsia"/>
                <w:sz w:val="22"/>
                <w:szCs w:val="22"/>
              </w:rPr>
              <w:t>序号</w:t>
            </w:r>
          </w:p>
        </w:tc>
        <w:tc>
          <w:tcPr>
            <w:tcW w:w="4552" w:type="dxa"/>
            <w:tcBorders/>
            <w:shd w:val="clear" w:color="auto" w:fill="auto"/>
          </w:tcPr>
          <w:p w14:paraId="059539BE">
            <w:pPr>
              <w:pStyle w:val="style0"/>
              <w:spacing w:lineRule="auto" w:line="360"/>
              <w:jc w:val="center"/>
              <w:rPr>
                <w:rFonts w:ascii="宋体" w:hAnsi="宋体"/>
                <w:sz w:val="22"/>
                <w:szCs w:val="22"/>
              </w:rPr>
            </w:pPr>
            <w:r>
              <w:rPr>
                <w:rFonts w:ascii="宋体" w:hAnsi="宋体" w:hint="eastAsia"/>
                <w:sz w:val="22"/>
                <w:szCs w:val="22"/>
              </w:rPr>
              <w:t>类目</w:t>
            </w:r>
          </w:p>
        </w:tc>
        <w:tc>
          <w:tcPr>
            <w:tcW w:w="2280" w:type="dxa"/>
            <w:tcBorders/>
            <w:shd w:val="clear" w:color="auto" w:fill="auto"/>
          </w:tcPr>
          <w:p w14:paraId="35BA3475">
            <w:pPr>
              <w:pStyle w:val="style0"/>
              <w:spacing w:lineRule="auto" w:line="360"/>
              <w:jc w:val="center"/>
              <w:rPr>
                <w:rFonts w:ascii="宋体" w:hAnsi="宋体"/>
                <w:color w:val="000000"/>
                <w:sz w:val="22"/>
                <w:szCs w:val="22"/>
              </w:rPr>
            </w:pPr>
            <w:r>
              <w:rPr>
                <w:rFonts w:ascii="宋体" w:hAnsi="宋体" w:hint="eastAsia"/>
                <w:color w:val="000000"/>
                <w:sz w:val="22"/>
                <w:szCs w:val="22"/>
              </w:rPr>
              <w:t>数量</w:t>
            </w:r>
          </w:p>
        </w:tc>
      </w:tr>
      <w:tr w14:paraId="3A504DE9">
        <w:tblPrEx/>
        <w:trPr/>
        <w:tc>
          <w:tcPr>
            <w:tcW w:w="1287" w:type="dxa"/>
            <w:tcBorders/>
            <w:shd w:val="clear" w:color="auto" w:fill="auto"/>
            <w:vAlign w:val="center"/>
          </w:tcPr>
          <w:p w14:paraId="14B7B2C1">
            <w:pPr>
              <w:pStyle w:val="style0"/>
              <w:spacing w:lineRule="auto" w:line="360"/>
              <w:jc w:val="center"/>
              <w:rPr>
                <w:rFonts w:ascii="宋体" w:hAnsi="宋体"/>
                <w:sz w:val="22"/>
                <w:szCs w:val="22"/>
              </w:rPr>
            </w:pPr>
            <w:r>
              <w:rPr>
                <w:rFonts w:ascii="宋体" w:hAnsi="宋体" w:hint="eastAsia"/>
                <w:sz w:val="22"/>
                <w:szCs w:val="22"/>
              </w:rPr>
              <w:t>1</w:t>
            </w:r>
          </w:p>
        </w:tc>
        <w:tc>
          <w:tcPr>
            <w:tcW w:w="4552" w:type="dxa"/>
            <w:tcBorders/>
            <w:shd w:val="clear" w:color="auto" w:fill="auto"/>
            <w:vAlign w:val="center"/>
          </w:tcPr>
          <w:p w14:paraId="13FA058B">
            <w:pPr>
              <w:pStyle w:val="style0"/>
              <w:spacing w:lineRule="auto" w:line="360"/>
              <w:jc w:val="center"/>
              <w:rPr>
                <w:rFonts w:ascii="宋体" w:hAnsi="宋体"/>
                <w:sz w:val="22"/>
                <w:szCs w:val="22"/>
              </w:rPr>
            </w:pPr>
            <w:r>
              <w:rPr>
                <w:rFonts w:ascii="宋体" w:hAnsi="宋体" w:hint="eastAsia"/>
                <w:sz w:val="22"/>
                <w:szCs w:val="22"/>
              </w:rPr>
              <w:t>全自动药品分包核对一体机</w:t>
            </w:r>
          </w:p>
        </w:tc>
        <w:tc>
          <w:tcPr>
            <w:tcW w:w="2280" w:type="dxa"/>
            <w:tcBorders/>
            <w:shd w:val="clear" w:color="auto" w:fill="auto"/>
            <w:vAlign w:val="center"/>
          </w:tcPr>
          <w:p w14:paraId="1E8F9DA1">
            <w:pPr>
              <w:pStyle w:val="style0"/>
              <w:spacing w:lineRule="auto" w:line="360"/>
              <w:jc w:val="center"/>
              <w:rPr>
                <w:rFonts w:ascii="宋体" w:hAnsi="宋体"/>
                <w:color w:val="000000"/>
                <w:sz w:val="22"/>
                <w:szCs w:val="22"/>
              </w:rPr>
            </w:pPr>
            <w:r>
              <w:rPr>
                <w:rFonts w:ascii="宋体" w:hAnsi="宋体" w:hint="eastAsia"/>
                <w:color w:val="000000"/>
                <w:sz w:val="22"/>
                <w:szCs w:val="22"/>
              </w:rPr>
              <w:t>1台</w:t>
            </w:r>
          </w:p>
        </w:tc>
      </w:tr>
      <w:tr w14:paraId="0F830603">
        <w:tblPrEx/>
        <w:trPr/>
        <w:tc>
          <w:tcPr>
            <w:tcW w:w="1287" w:type="dxa"/>
            <w:tcBorders/>
            <w:shd w:val="clear" w:color="auto" w:fill="auto"/>
            <w:vAlign w:val="center"/>
          </w:tcPr>
          <w:p w14:paraId="4DF2004D">
            <w:pPr>
              <w:pStyle w:val="style0"/>
              <w:spacing w:lineRule="auto" w:line="360"/>
              <w:jc w:val="center"/>
              <w:rPr>
                <w:rFonts w:ascii="宋体" w:hAnsi="宋体"/>
                <w:sz w:val="22"/>
                <w:szCs w:val="22"/>
              </w:rPr>
            </w:pPr>
            <w:r>
              <w:rPr>
                <w:rFonts w:ascii="宋体" w:hAnsi="宋体" w:hint="eastAsia"/>
                <w:sz w:val="22"/>
                <w:szCs w:val="22"/>
              </w:rPr>
              <w:t>2</w:t>
            </w:r>
          </w:p>
        </w:tc>
        <w:tc>
          <w:tcPr>
            <w:tcW w:w="4552" w:type="dxa"/>
            <w:tcBorders/>
            <w:shd w:val="clear" w:color="auto" w:fill="auto"/>
            <w:vAlign w:val="center"/>
          </w:tcPr>
          <w:p w14:paraId="137D7EE4">
            <w:pPr>
              <w:pStyle w:val="style0"/>
              <w:spacing w:lineRule="auto" w:line="360"/>
              <w:jc w:val="center"/>
              <w:rPr>
                <w:rFonts w:ascii="宋体" w:hAnsi="宋体"/>
                <w:sz w:val="22"/>
                <w:szCs w:val="22"/>
              </w:rPr>
            </w:pPr>
            <w:r>
              <w:rPr>
                <w:rFonts w:ascii="宋体" w:hAnsi="宋体" w:hint="eastAsia"/>
                <w:sz w:val="22"/>
                <w:szCs w:val="22"/>
              </w:rPr>
              <w:t>数粒机</w:t>
            </w:r>
          </w:p>
        </w:tc>
        <w:tc>
          <w:tcPr>
            <w:tcW w:w="2280" w:type="dxa"/>
            <w:tcBorders/>
            <w:shd w:val="clear" w:color="auto" w:fill="auto"/>
            <w:vAlign w:val="center"/>
          </w:tcPr>
          <w:p w14:paraId="0CE2F101">
            <w:pPr>
              <w:pStyle w:val="style0"/>
              <w:spacing w:lineRule="auto" w:line="360"/>
              <w:jc w:val="center"/>
              <w:rPr>
                <w:rFonts w:ascii="宋体" w:hAnsi="宋体"/>
                <w:sz w:val="22"/>
                <w:szCs w:val="22"/>
              </w:rPr>
            </w:pPr>
            <w:r>
              <w:rPr>
                <w:rFonts w:ascii="宋体" w:hAnsi="宋体" w:hint="eastAsia"/>
                <w:color w:val="000000"/>
                <w:sz w:val="22"/>
                <w:szCs w:val="22"/>
              </w:rPr>
              <w:t>1台</w:t>
            </w:r>
          </w:p>
        </w:tc>
      </w:tr>
      <w:tr w14:paraId="24CA30AE">
        <w:tblPrEx/>
        <w:trPr/>
        <w:tc>
          <w:tcPr>
            <w:tcW w:w="1287" w:type="dxa"/>
            <w:tcBorders/>
            <w:shd w:val="clear" w:color="auto" w:fill="auto"/>
            <w:vAlign w:val="center"/>
          </w:tcPr>
          <w:p w14:paraId="0BD37EA0">
            <w:pPr>
              <w:pStyle w:val="style0"/>
              <w:spacing w:lineRule="auto" w:line="360"/>
              <w:jc w:val="center"/>
              <w:rPr>
                <w:rFonts w:ascii="宋体" w:hAnsi="宋体"/>
                <w:sz w:val="22"/>
                <w:szCs w:val="22"/>
              </w:rPr>
            </w:pPr>
            <w:r>
              <w:rPr>
                <w:rFonts w:ascii="宋体" w:hAnsi="宋体" w:hint="eastAsia"/>
                <w:sz w:val="22"/>
                <w:szCs w:val="22"/>
              </w:rPr>
              <w:t>3</w:t>
            </w:r>
          </w:p>
        </w:tc>
        <w:tc>
          <w:tcPr>
            <w:tcW w:w="4552" w:type="dxa"/>
            <w:tcBorders/>
            <w:shd w:val="clear" w:color="auto" w:fill="auto"/>
            <w:vAlign w:val="center"/>
          </w:tcPr>
          <w:p w14:paraId="544CEF18">
            <w:pPr>
              <w:pStyle w:val="style0"/>
              <w:spacing w:lineRule="auto" w:line="360"/>
              <w:jc w:val="center"/>
              <w:rPr>
                <w:rFonts w:ascii="宋体" w:hAnsi="宋体"/>
                <w:sz w:val="22"/>
                <w:szCs w:val="22"/>
              </w:rPr>
            </w:pPr>
            <w:r>
              <w:rPr>
                <w:rFonts w:ascii="宋体" w:hAnsi="宋体" w:hint="eastAsia"/>
                <w:sz w:val="22"/>
                <w:szCs w:val="22"/>
              </w:rPr>
              <w:t>剥药机</w:t>
            </w:r>
          </w:p>
        </w:tc>
        <w:tc>
          <w:tcPr>
            <w:tcW w:w="2280" w:type="dxa"/>
            <w:tcBorders/>
            <w:shd w:val="clear" w:color="auto" w:fill="auto"/>
            <w:vAlign w:val="center"/>
          </w:tcPr>
          <w:p w14:paraId="748744D9">
            <w:pPr>
              <w:pStyle w:val="style0"/>
              <w:spacing w:lineRule="auto" w:line="360"/>
              <w:jc w:val="center"/>
              <w:rPr>
                <w:rFonts w:ascii="宋体" w:hAnsi="宋体"/>
                <w:sz w:val="22"/>
                <w:szCs w:val="22"/>
              </w:rPr>
            </w:pPr>
            <w:r>
              <w:rPr>
                <w:rFonts w:ascii="宋体" w:hAnsi="宋体" w:hint="eastAsia"/>
                <w:color w:val="000000"/>
                <w:sz w:val="22"/>
                <w:szCs w:val="22"/>
              </w:rPr>
              <w:t>1台</w:t>
            </w:r>
          </w:p>
        </w:tc>
      </w:tr>
      <w:tr w14:paraId="506FD217">
        <w:tblPrEx/>
        <w:trPr/>
        <w:tc>
          <w:tcPr>
            <w:tcW w:w="1287" w:type="dxa"/>
            <w:tcBorders/>
            <w:shd w:val="clear" w:color="auto" w:fill="auto"/>
            <w:vAlign w:val="center"/>
          </w:tcPr>
          <w:p w14:paraId="36609146">
            <w:pPr>
              <w:pStyle w:val="style0"/>
              <w:spacing w:lineRule="auto" w:line="360"/>
              <w:jc w:val="center"/>
              <w:rPr>
                <w:rFonts w:ascii="宋体" w:hAnsi="宋体"/>
                <w:sz w:val="22"/>
                <w:szCs w:val="22"/>
              </w:rPr>
            </w:pPr>
            <w:r>
              <w:rPr>
                <w:rFonts w:ascii="宋体" w:hAnsi="宋体" w:hint="eastAsia"/>
                <w:sz w:val="22"/>
                <w:szCs w:val="22"/>
              </w:rPr>
              <w:t>4</w:t>
            </w:r>
          </w:p>
        </w:tc>
        <w:tc>
          <w:tcPr>
            <w:tcW w:w="4552" w:type="dxa"/>
            <w:tcBorders/>
            <w:shd w:val="clear" w:color="auto" w:fill="auto"/>
            <w:vAlign w:val="center"/>
          </w:tcPr>
          <w:p w14:paraId="1AF2E32B">
            <w:pPr>
              <w:pStyle w:val="style0"/>
              <w:spacing w:lineRule="auto" w:line="360"/>
              <w:jc w:val="center"/>
              <w:rPr>
                <w:rFonts w:ascii="宋体" w:hAnsi="宋体"/>
                <w:sz w:val="22"/>
                <w:szCs w:val="22"/>
              </w:rPr>
            </w:pPr>
            <w:r>
              <w:rPr>
                <w:rFonts w:ascii="宋体" w:hAnsi="宋体" w:hint="eastAsia"/>
                <w:sz w:val="22"/>
                <w:szCs w:val="22"/>
              </w:rPr>
              <w:t>智能药盒</w:t>
            </w:r>
          </w:p>
        </w:tc>
        <w:tc>
          <w:tcPr>
            <w:tcW w:w="2280" w:type="dxa"/>
            <w:tcBorders/>
            <w:shd w:val="clear" w:color="auto" w:fill="auto"/>
            <w:vAlign w:val="center"/>
          </w:tcPr>
          <w:p w14:paraId="6CAC2A41">
            <w:pPr>
              <w:pStyle w:val="style0"/>
              <w:spacing w:lineRule="auto" w:line="360"/>
              <w:jc w:val="center"/>
              <w:rPr>
                <w:rFonts w:ascii="宋体" w:hAnsi="宋体"/>
                <w:sz w:val="22"/>
                <w:szCs w:val="22"/>
              </w:rPr>
            </w:pPr>
            <w:r>
              <w:rPr>
                <w:rFonts w:ascii="宋体" w:hAnsi="宋体" w:hint="eastAsia"/>
                <w:sz w:val="22"/>
                <w:szCs w:val="22"/>
              </w:rPr>
              <w:t>360个</w:t>
            </w:r>
          </w:p>
        </w:tc>
      </w:tr>
      <w:tr w14:paraId="31DB0F10">
        <w:tblPrEx/>
        <w:trPr/>
        <w:tc>
          <w:tcPr>
            <w:tcW w:w="1287" w:type="dxa"/>
            <w:tcBorders/>
            <w:shd w:val="clear" w:color="auto" w:fill="auto"/>
            <w:vAlign w:val="center"/>
          </w:tcPr>
          <w:p w14:paraId="2B17240D">
            <w:pPr>
              <w:pStyle w:val="style0"/>
              <w:spacing w:lineRule="auto" w:line="360"/>
              <w:jc w:val="center"/>
              <w:rPr>
                <w:rFonts w:ascii="宋体" w:hAnsi="宋体"/>
                <w:sz w:val="22"/>
                <w:szCs w:val="22"/>
              </w:rPr>
            </w:pPr>
            <w:r>
              <w:rPr>
                <w:rFonts w:ascii="宋体" w:hAnsi="宋体" w:hint="eastAsia"/>
                <w:sz w:val="22"/>
                <w:szCs w:val="22"/>
              </w:rPr>
              <w:t>5</w:t>
            </w:r>
          </w:p>
        </w:tc>
        <w:tc>
          <w:tcPr>
            <w:tcW w:w="4552" w:type="dxa"/>
            <w:tcBorders/>
            <w:shd w:val="clear" w:color="auto" w:fill="auto"/>
            <w:vAlign w:val="center"/>
          </w:tcPr>
          <w:p w14:paraId="21BF1C05">
            <w:pPr>
              <w:pStyle w:val="style0"/>
              <w:spacing w:lineRule="auto" w:line="360"/>
              <w:jc w:val="center"/>
              <w:rPr>
                <w:rFonts w:ascii="宋体" w:hAnsi="宋体"/>
                <w:sz w:val="22"/>
                <w:szCs w:val="22"/>
              </w:rPr>
            </w:pPr>
            <w:r>
              <w:rPr>
                <w:rFonts w:ascii="宋体" w:cs="宋体" w:hAnsi="宋体" w:hint="eastAsia"/>
                <w:sz w:val="22"/>
                <w:szCs w:val="22"/>
              </w:rPr>
              <w:t>智能非机储药槽</w:t>
            </w:r>
          </w:p>
        </w:tc>
        <w:tc>
          <w:tcPr>
            <w:tcW w:w="2280" w:type="dxa"/>
            <w:tcBorders/>
            <w:shd w:val="clear" w:color="auto" w:fill="auto"/>
            <w:vAlign w:val="center"/>
          </w:tcPr>
          <w:p w14:paraId="78DBB3FC">
            <w:pPr>
              <w:pStyle w:val="style0"/>
              <w:spacing w:lineRule="auto" w:line="360"/>
              <w:jc w:val="center"/>
              <w:rPr>
                <w:rFonts w:ascii="宋体" w:hAnsi="宋体"/>
                <w:sz w:val="22"/>
                <w:szCs w:val="22"/>
              </w:rPr>
            </w:pPr>
            <w:r>
              <w:rPr>
                <w:rFonts w:ascii="宋体" w:hAnsi="宋体" w:hint="eastAsia"/>
                <w:sz w:val="22"/>
                <w:szCs w:val="22"/>
              </w:rPr>
              <w:t>1套</w:t>
            </w:r>
          </w:p>
        </w:tc>
      </w:tr>
      <w:tr w14:paraId="4824697A">
        <w:tblPrEx/>
        <w:trPr/>
        <w:tc>
          <w:tcPr>
            <w:tcW w:w="1287" w:type="dxa"/>
            <w:tcBorders/>
            <w:shd w:val="clear" w:color="auto" w:fill="auto"/>
            <w:vAlign w:val="center"/>
          </w:tcPr>
          <w:p w14:paraId="5BA3546F">
            <w:pPr>
              <w:pStyle w:val="style0"/>
              <w:spacing w:lineRule="auto" w:line="360"/>
              <w:jc w:val="center"/>
              <w:rPr>
                <w:rFonts w:ascii="宋体" w:hAnsi="宋体"/>
                <w:sz w:val="22"/>
                <w:szCs w:val="22"/>
              </w:rPr>
            </w:pPr>
            <w:r>
              <w:rPr>
                <w:rFonts w:ascii="宋体" w:hAnsi="宋体" w:hint="eastAsia"/>
                <w:sz w:val="22"/>
                <w:szCs w:val="22"/>
              </w:rPr>
              <w:t>6</w:t>
            </w:r>
          </w:p>
        </w:tc>
        <w:tc>
          <w:tcPr>
            <w:tcW w:w="4552" w:type="dxa"/>
            <w:tcBorders/>
            <w:shd w:val="clear" w:color="auto" w:fill="auto"/>
            <w:vAlign w:val="center"/>
          </w:tcPr>
          <w:p w14:paraId="3BE8E08A">
            <w:pPr>
              <w:pStyle w:val="style0"/>
              <w:spacing w:lineRule="auto" w:line="360"/>
              <w:jc w:val="center"/>
              <w:rPr>
                <w:rFonts w:ascii="宋体" w:hAnsi="宋体"/>
                <w:sz w:val="22"/>
                <w:szCs w:val="22"/>
              </w:rPr>
            </w:pPr>
            <w:r>
              <w:rPr>
                <w:rFonts w:ascii="宋体" w:cs="宋体" w:hAnsi="宋体" w:hint="eastAsia"/>
                <w:sz w:val="22"/>
                <w:szCs w:val="22"/>
              </w:rPr>
              <w:t>核对控制面板</w:t>
            </w:r>
          </w:p>
        </w:tc>
        <w:tc>
          <w:tcPr>
            <w:tcW w:w="2280" w:type="dxa"/>
            <w:tcBorders/>
            <w:shd w:val="clear" w:color="auto" w:fill="auto"/>
            <w:vAlign w:val="center"/>
          </w:tcPr>
          <w:p w14:paraId="03C1FC8A">
            <w:pPr>
              <w:pStyle w:val="style0"/>
              <w:spacing w:lineRule="auto" w:line="360"/>
              <w:jc w:val="center"/>
              <w:rPr>
                <w:rFonts w:ascii="宋体" w:hAnsi="宋体"/>
                <w:sz w:val="22"/>
                <w:szCs w:val="22"/>
              </w:rPr>
            </w:pPr>
            <w:r>
              <w:rPr>
                <w:rFonts w:ascii="宋体" w:hAnsi="宋体" w:hint="eastAsia"/>
                <w:sz w:val="22"/>
                <w:szCs w:val="22"/>
              </w:rPr>
              <w:t>1套</w:t>
            </w:r>
          </w:p>
        </w:tc>
      </w:tr>
      <w:tr w14:paraId="766B0DD2">
        <w:tblPrEx/>
        <w:trPr/>
        <w:tc>
          <w:tcPr>
            <w:tcW w:w="1287" w:type="dxa"/>
            <w:tcBorders/>
            <w:shd w:val="clear" w:color="auto" w:fill="auto"/>
            <w:vAlign w:val="center"/>
          </w:tcPr>
          <w:p w14:paraId="6B392F47">
            <w:pPr>
              <w:pStyle w:val="style0"/>
              <w:spacing w:lineRule="auto" w:line="360"/>
              <w:jc w:val="center"/>
              <w:rPr>
                <w:rFonts w:ascii="宋体" w:hAnsi="宋体"/>
                <w:sz w:val="22"/>
                <w:szCs w:val="22"/>
              </w:rPr>
            </w:pPr>
            <w:r>
              <w:rPr>
                <w:rFonts w:ascii="宋体" w:hAnsi="宋体" w:hint="eastAsia"/>
                <w:sz w:val="22"/>
                <w:szCs w:val="22"/>
              </w:rPr>
              <w:t>7</w:t>
            </w:r>
          </w:p>
        </w:tc>
        <w:tc>
          <w:tcPr>
            <w:tcW w:w="4552" w:type="dxa"/>
            <w:tcBorders/>
            <w:shd w:val="clear" w:color="auto" w:fill="auto"/>
            <w:vAlign w:val="center"/>
          </w:tcPr>
          <w:p w14:paraId="3DE60B7E">
            <w:pPr>
              <w:pStyle w:val="style0"/>
              <w:spacing w:lineRule="auto" w:line="360"/>
              <w:jc w:val="center"/>
              <w:rPr>
                <w:rFonts w:ascii="宋体" w:hAnsi="宋体"/>
                <w:sz w:val="22"/>
                <w:szCs w:val="22"/>
              </w:rPr>
            </w:pPr>
            <w:r>
              <w:rPr>
                <w:rFonts w:ascii="宋体" w:hAnsi="宋体" w:hint="eastAsia"/>
                <w:sz w:val="22"/>
                <w:szCs w:val="22"/>
              </w:rPr>
              <w:t>分包</w:t>
            </w:r>
            <w:r>
              <w:rPr>
                <w:rFonts w:ascii="宋体" w:cs="宋体" w:hAnsi="宋体" w:hint="eastAsia"/>
                <w:sz w:val="22"/>
                <w:szCs w:val="22"/>
              </w:rPr>
              <w:t>控制面板</w:t>
            </w:r>
          </w:p>
        </w:tc>
        <w:tc>
          <w:tcPr>
            <w:tcW w:w="2280" w:type="dxa"/>
            <w:tcBorders/>
            <w:shd w:val="clear" w:color="auto" w:fill="auto"/>
            <w:vAlign w:val="center"/>
          </w:tcPr>
          <w:p w14:paraId="5744C909">
            <w:pPr>
              <w:pStyle w:val="style0"/>
              <w:spacing w:lineRule="auto" w:line="360"/>
              <w:jc w:val="center"/>
              <w:rPr>
                <w:rFonts w:ascii="宋体" w:hAnsi="宋体"/>
                <w:sz w:val="22"/>
                <w:szCs w:val="22"/>
              </w:rPr>
            </w:pPr>
            <w:r>
              <w:rPr>
                <w:rFonts w:ascii="宋体" w:hAnsi="宋体" w:hint="eastAsia"/>
                <w:sz w:val="22"/>
                <w:szCs w:val="22"/>
              </w:rPr>
              <w:t>1套</w:t>
            </w:r>
          </w:p>
        </w:tc>
      </w:tr>
      <w:tr w14:paraId="02D3AAFD">
        <w:tblPrEx/>
        <w:trPr/>
        <w:tc>
          <w:tcPr>
            <w:tcW w:w="1287" w:type="dxa"/>
            <w:tcBorders/>
            <w:shd w:val="clear" w:color="auto" w:fill="auto"/>
            <w:vAlign w:val="center"/>
          </w:tcPr>
          <w:p w14:paraId="26A83D47">
            <w:pPr>
              <w:pStyle w:val="style0"/>
              <w:spacing w:lineRule="auto" w:line="360"/>
              <w:jc w:val="center"/>
              <w:rPr>
                <w:rFonts w:ascii="宋体" w:hAnsi="宋体"/>
                <w:sz w:val="22"/>
                <w:szCs w:val="22"/>
              </w:rPr>
            </w:pPr>
            <w:r>
              <w:rPr>
                <w:rFonts w:ascii="宋体" w:hAnsi="宋体" w:hint="eastAsia"/>
                <w:sz w:val="22"/>
                <w:szCs w:val="22"/>
              </w:rPr>
              <w:t>8</w:t>
            </w:r>
          </w:p>
        </w:tc>
        <w:tc>
          <w:tcPr>
            <w:tcW w:w="4552" w:type="dxa"/>
            <w:tcBorders/>
            <w:shd w:val="clear" w:color="auto" w:fill="auto"/>
            <w:vAlign w:val="center"/>
          </w:tcPr>
          <w:p w14:paraId="0B61FD43">
            <w:pPr>
              <w:pStyle w:val="style0"/>
              <w:spacing w:lineRule="auto" w:line="360"/>
              <w:jc w:val="center"/>
              <w:rPr>
                <w:rFonts w:ascii="宋体" w:hAnsi="宋体"/>
                <w:sz w:val="22"/>
                <w:szCs w:val="22"/>
              </w:rPr>
            </w:pPr>
            <w:r>
              <w:rPr>
                <w:rFonts w:ascii="宋体" w:hAnsi="宋体" w:hint="eastAsia"/>
                <w:sz w:val="22"/>
                <w:szCs w:val="22"/>
              </w:rPr>
              <w:t>移动液晶平板电脑</w:t>
            </w:r>
          </w:p>
        </w:tc>
        <w:tc>
          <w:tcPr>
            <w:tcW w:w="2280" w:type="dxa"/>
            <w:tcBorders/>
            <w:shd w:val="clear" w:color="auto" w:fill="auto"/>
            <w:vAlign w:val="center"/>
          </w:tcPr>
          <w:p w14:paraId="6628B6BE">
            <w:pPr>
              <w:pStyle w:val="style0"/>
              <w:spacing w:lineRule="auto" w:line="360"/>
              <w:jc w:val="center"/>
              <w:rPr>
                <w:rFonts w:ascii="宋体" w:hAnsi="宋体"/>
                <w:sz w:val="22"/>
                <w:szCs w:val="22"/>
              </w:rPr>
            </w:pPr>
            <w:r>
              <w:rPr>
                <w:rFonts w:ascii="宋体" w:hAnsi="宋体" w:hint="eastAsia"/>
                <w:sz w:val="22"/>
                <w:szCs w:val="22"/>
              </w:rPr>
              <w:t>1个</w:t>
            </w:r>
          </w:p>
        </w:tc>
      </w:tr>
      <w:tr w14:paraId="426AF435">
        <w:tblPrEx/>
        <w:trPr/>
        <w:tc>
          <w:tcPr>
            <w:tcW w:w="1287" w:type="dxa"/>
            <w:tcBorders/>
            <w:shd w:val="clear" w:color="auto" w:fill="auto"/>
            <w:vAlign w:val="center"/>
          </w:tcPr>
          <w:p w14:paraId="3CF68AAB">
            <w:pPr>
              <w:pStyle w:val="style0"/>
              <w:spacing w:lineRule="auto" w:line="360"/>
              <w:jc w:val="center"/>
              <w:rPr>
                <w:rFonts w:ascii="宋体" w:hAnsi="宋体"/>
                <w:sz w:val="22"/>
                <w:szCs w:val="22"/>
              </w:rPr>
            </w:pPr>
            <w:r>
              <w:rPr>
                <w:rFonts w:ascii="宋体" w:hAnsi="宋体" w:hint="eastAsia"/>
                <w:sz w:val="22"/>
                <w:szCs w:val="22"/>
              </w:rPr>
              <w:t>9</w:t>
            </w:r>
          </w:p>
        </w:tc>
        <w:tc>
          <w:tcPr>
            <w:tcW w:w="4552" w:type="dxa"/>
            <w:tcBorders/>
            <w:shd w:val="clear" w:color="auto" w:fill="auto"/>
            <w:vAlign w:val="center"/>
          </w:tcPr>
          <w:p w14:paraId="1A267D51">
            <w:pPr>
              <w:pStyle w:val="style0"/>
              <w:spacing w:lineRule="auto" w:line="360"/>
              <w:jc w:val="center"/>
              <w:rPr>
                <w:rFonts w:ascii="宋体" w:hAnsi="宋体"/>
                <w:sz w:val="22"/>
                <w:szCs w:val="22"/>
              </w:rPr>
            </w:pPr>
            <w:r>
              <w:rPr>
                <w:rFonts w:ascii="宋体" w:cs="宋体" w:hAnsi="宋体" w:hint="eastAsia"/>
                <w:sz w:val="22"/>
                <w:szCs w:val="22"/>
              </w:rPr>
              <w:t>AI人工智能核对系统</w:t>
            </w:r>
          </w:p>
        </w:tc>
        <w:tc>
          <w:tcPr>
            <w:tcW w:w="2280" w:type="dxa"/>
            <w:tcBorders/>
            <w:shd w:val="clear" w:color="auto" w:fill="auto"/>
            <w:vAlign w:val="center"/>
          </w:tcPr>
          <w:p w14:paraId="78DCBA62">
            <w:pPr>
              <w:pStyle w:val="style0"/>
              <w:spacing w:lineRule="auto" w:line="360"/>
              <w:jc w:val="center"/>
              <w:rPr>
                <w:rFonts w:ascii="宋体" w:hAnsi="宋体"/>
                <w:sz w:val="22"/>
                <w:szCs w:val="22"/>
              </w:rPr>
            </w:pPr>
            <w:r>
              <w:rPr>
                <w:rFonts w:ascii="宋体" w:hAnsi="宋体" w:hint="eastAsia"/>
                <w:sz w:val="22"/>
                <w:szCs w:val="22"/>
              </w:rPr>
              <w:t>1套</w:t>
            </w:r>
          </w:p>
        </w:tc>
      </w:tr>
      <w:tr w14:paraId="5EC122C3">
        <w:tblPrEx/>
        <w:trPr/>
        <w:tc>
          <w:tcPr>
            <w:tcW w:w="1287" w:type="dxa"/>
            <w:tcBorders/>
            <w:shd w:val="clear" w:color="auto" w:fill="auto"/>
            <w:vAlign w:val="center"/>
          </w:tcPr>
          <w:p w14:paraId="54D947DE">
            <w:pPr>
              <w:pStyle w:val="style0"/>
              <w:spacing w:lineRule="auto" w:line="360"/>
              <w:jc w:val="center"/>
              <w:rPr>
                <w:rFonts w:ascii="宋体" w:hAnsi="宋体"/>
                <w:sz w:val="22"/>
                <w:szCs w:val="22"/>
              </w:rPr>
            </w:pPr>
            <w:r>
              <w:rPr>
                <w:rFonts w:ascii="宋体" w:hAnsi="宋体" w:hint="eastAsia"/>
                <w:sz w:val="22"/>
                <w:szCs w:val="22"/>
              </w:rPr>
              <w:t>10</w:t>
            </w:r>
          </w:p>
        </w:tc>
        <w:tc>
          <w:tcPr>
            <w:tcW w:w="4552" w:type="dxa"/>
            <w:tcBorders/>
            <w:shd w:val="clear" w:color="auto" w:fill="auto"/>
            <w:vAlign w:val="center"/>
          </w:tcPr>
          <w:p w14:paraId="117AF46E">
            <w:pPr>
              <w:pStyle w:val="style0"/>
              <w:spacing w:lineRule="auto" w:line="360"/>
              <w:jc w:val="center"/>
              <w:rPr>
                <w:rFonts w:ascii="宋体" w:hAnsi="宋体"/>
                <w:sz w:val="22"/>
                <w:szCs w:val="22"/>
              </w:rPr>
            </w:pPr>
            <w:r>
              <w:rPr>
                <w:rFonts w:ascii="宋体" w:cs="宋体" w:hAnsi="宋体" w:hint="eastAsia"/>
                <w:sz w:val="22"/>
                <w:szCs w:val="22"/>
              </w:rPr>
              <w:t>分包机操控软件系统</w:t>
            </w:r>
          </w:p>
        </w:tc>
        <w:tc>
          <w:tcPr>
            <w:tcW w:w="2280" w:type="dxa"/>
            <w:tcBorders/>
            <w:shd w:val="clear" w:color="auto" w:fill="auto"/>
            <w:vAlign w:val="center"/>
          </w:tcPr>
          <w:p w14:paraId="5BA1724F">
            <w:pPr>
              <w:pStyle w:val="style0"/>
              <w:spacing w:lineRule="auto" w:line="360"/>
              <w:jc w:val="center"/>
              <w:rPr>
                <w:rFonts w:ascii="宋体" w:hAnsi="宋体"/>
                <w:sz w:val="22"/>
                <w:szCs w:val="22"/>
              </w:rPr>
            </w:pPr>
            <w:r>
              <w:rPr>
                <w:rFonts w:ascii="宋体" w:hAnsi="宋体" w:hint="eastAsia"/>
                <w:sz w:val="22"/>
                <w:szCs w:val="22"/>
              </w:rPr>
              <w:t>1套</w:t>
            </w:r>
          </w:p>
        </w:tc>
      </w:tr>
      <w:tr w14:paraId="1AFF7411">
        <w:tblPrEx/>
        <w:trPr/>
        <w:tc>
          <w:tcPr>
            <w:tcW w:w="1287" w:type="dxa"/>
            <w:tcBorders/>
            <w:shd w:val="clear" w:color="auto" w:fill="auto"/>
            <w:vAlign w:val="center"/>
          </w:tcPr>
          <w:p w14:paraId="4F32161B">
            <w:pPr>
              <w:pStyle w:val="style0"/>
              <w:spacing w:lineRule="auto" w:line="360"/>
              <w:jc w:val="center"/>
              <w:rPr>
                <w:rFonts w:ascii="宋体" w:hAnsi="宋体"/>
                <w:sz w:val="22"/>
                <w:szCs w:val="22"/>
              </w:rPr>
            </w:pPr>
            <w:r>
              <w:rPr>
                <w:rFonts w:ascii="宋体" w:hAnsi="宋体" w:hint="eastAsia"/>
                <w:sz w:val="22"/>
                <w:szCs w:val="22"/>
              </w:rPr>
              <w:t>11</w:t>
            </w:r>
          </w:p>
        </w:tc>
        <w:tc>
          <w:tcPr>
            <w:tcW w:w="4552" w:type="dxa"/>
            <w:tcBorders/>
            <w:shd w:val="clear" w:color="auto" w:fill="auto"/>
            <w:vAlign w:val="center"/>
          </w:tcPr>
          <w:p w14:paraId="310F5144">
            <w:pPr>
              <w:pStyle w:val="style0"/>
              <w:spacing w:lineRule="auto" w:line="360"/>
              <w:jc w:val="center"/>
              <w:rPr>
                <w:rFonts w:ascii="宋体" w:hAnsi="宋体"/>
                <w:sz w:val="22"/>
                <w:szCs w:val="22"/>
              </w:rPr>
            </w:pPr>
            <w:r>
              <w:rPr>
                <w:rFonts w:ascii="宋体" w:hAnsi="宋体" w:hint="eastAsia"/>
                <w:sz w:val="22"/>
                <w:szCs w:val="22"/>
              </w:rPr>
              <w:t>包药机接口分发软件</w:t>
            </w:r>
          </w:p>
        </w:tc>
        <w:tc>
          <w:tcPr>
            <w:tcW w:w="2280" w:type="dxa"/>
            <w:tcBorders/>
            <w:shd w:val="clear" w:color="auto" w:fill="auto"/>
            <w:vAlign w:val="center"/>
          </w:tcPr>
          <w:p w14:paraId="3486C00E">
            <w:pPr>
              <w:pStyle w:val="style0"/>
              <w:spacing w:lineRule="auto" w:line="360"/>
              <w:jc w:val="center"/>
              <w:rPr>
                <w:rFonts w:ascii="宋体" w:hAnsi="宋体"/>
                <w:sz w:val="22"/>
                <w:szCs w:val="22"/>
              </w:rPr>
            </w:pPr>
            <w:r>
              <w:rPr>
                <w:rFonts w:ascii="宋体" w:hAnsi="宋体" w:hint="eastAsia"/>
                <w:sz w:val="22"/>
                <w:szCs w:val="22"/>
              </w:rPr>
              <w:t>1套</w:t>
            </w:r>
          </w:p>
        </w:tc>
      </w:tr>
      <w:tr w14:paraId="47AF59CE">
        <w:tblPrEx/>
        <w:trPr/>
        <w:tc>
          <w:tcPr>
            <w:tcW w:w="1287" w:type="dxa"/>
            <w:tcBorders/>
            <w:shd w:val="clear" w:color="auto" w:fill="auto"/>
            <w:vAlign w:val="center"/>
          </w:tcPr>
          <w:p w14:paraId="6EA761BA">
            <w:pPr>
              <w:pStyle w:val="style0"/>
              <w:spacing w:lineRule="auto" w:line="360"/>
              <w:jc w:val="center"/>
              <w:rPr>
                <w:rFonts w:ascii="宋体" w:hAnsi="宋体"/>
                <w:sz w:val="22"/>
                <w:szCs w:val="22"/>
              </w:rPr>
            </w:pPr>
            <w:r>
              <w:rPr>
                <w:rFonts w:ascii="宋体" w:hAnsi="宋体" w:hint="eastAsia"/>
                <w:sz w:val="22"/>
                <w:szCs w:val="22"/>
              </w:rPr>
              <w:t>12</w:t>
            </w:r>
          </w:p>
        </w:tc>
        <w:tc>
          <w:tcPr>
            <w:tcW w:w="4552" w:type="dxa"/>
            <w:tcBorders/>
            <w:shd w:val="clear" w:color="auto" w:fill="auto"/>
            <w:vAlign w:val="center"/>
          </w:tcPr>
          <w:p w14:paraId="1654AC76">
            <w:pPr>
              <w:pStyle w:val="style0"/>
              <w:spacing w:lineRule="auto" w:line="360"/>
              <w:jc w:val="center"/>
              <w:rPr>
                <w:rFonts w:ascii="宋体" w:hAnsi="宋体"/>
                <w:sz w:val="22"/>
                <w:szCs w:val="22"/>
              </w:rPr>
            </w:pPr>
            <w:r>
              <w:rPr>
                <w:rFonts w:ascii="宋体" w:hAnsi="宋体" w:hint="eastAsia"/>
                <w:sz w:val="22"/>
                <w:szCs w:val="22"/>
              </w:rPr>
              <w:t>基础维修工具包</w:t>
            </w:r>
          </w:p>
        </w:tc>
        <w:tc>
          <w:tcPr>
            <w:tcW w:w="2280" w:type="dxa"/>
            <w:tcBorders/>
            <w:shd w:val="clear" w:color="auto" w:fill="auto"/>
            <w:vAlign w:val="center"/>
          </w:tcPr>
          <w:p w14:paraId="6D865800">
            <w:pPr>
              <w:pStyle w:val="style0"/>
              <w:spacing w:lineRule="auto" w:line="360"/>
              <w:jc w:val="center"/>
              <w:rPr>
                <w:rFonts w:ascii="宋体" w:hAnsi="宋体"/>
                <w:sz w:val="22"/>
                <w:szCs w:val="22"/>
              </w:rPr>
            </w:pPr>
            <w:r>
              <w:rPr>
                <w:rFonts w:ascii="宋体" w:hAnsi="宋体" w:hint="eastAsia"/>
                <w:sz w:val="22"/>
                <w:szCs w:val="22"/>
              </w:rPr>
              <w:t>1套</w:t>
            </w:r>
          </w:p>
        </w:tc>
      </w:tr>
      <w:tr w14:paraId="7051B01F">
        <w:tblPrEx/>
        <w:trPr/>
        <w:tc>
          <w:tcPr>
            <w:tcW w:w="1287" w:type="dxa"/>
            <w:tcBorders/>
            <w:shd w:val="clear" w:color="auto" w:fill="auto"/>
            <w:vAlign w:val="center"/>
          </w:tcPr>
          <w:p w14:paraId="29F33BDF">
            <w:pPr>
              <w:pStyle w:val="style0"/>
              <w:spacing w:lineRule="auto" w:line="360"/>
              <w:jc w:val="center"/>
              <w:rPr>
                <w:rFonts w:ascii="宋体" w:hAnsi="宋体"/>
                <w:sz w:val="22"/>
                <w:szCs w:val="22"/>
              </w:rPr>
            </w:pPr>
            <w:r>
              <w:rPr>
                <w:rFonts w:ascii="宋体" w:hAnsi="宋体" w:hint="eastAsia"/>
                <w:sz w:val="22"/>
                <w:szCs w:val="22"/>
              </w:rPr>
              <w:t>13</w:t>
            </w:r>
          </w:p>
        </w:tc>
        <w:tc>
          <w:tcPr>
            <w:tcW w:w="4552" w:type="dxa"/>
            <w:tcBorders/>
            <w:shd w:val="clear" w:color="auto" w:fill="auto"/>
            <w:vAlign w:val="center"/>
          </w:tcPr>
          <w:p w14:paraId="1FEECE53">
            <w:pPr>
              <w:pStyle w:val="style0"/>
              <w:spacing w:lineRule="auto" w:line="360"/>
              <w:jc w:val="center"/>
              <w:rPr>
                <w:rFonts w:ascii="宋体" w:hAnsi="宋体"/>
                <w:sz w:val="22"/>
                <w:szCs w:val="22"/>
              </w:rPr>
            </w:pPr>
            <w:r>
              <w:rPr>
                <w:rFonts w:ascii="宋体" w:hAnsi="宋体" w:hint="eastAsia"/>
                <w:sz w:val="22"/>
                <w:szCs w:val="22"/>
              </w:rPr>
              <w:t>使用说明书/操作手册</w:t>
            </w:r>
          </w:p>
        </w:tc>
        <w:tc>
          <w:tcPr>
            <w:tcW w:w="2280" w:type="dxa"/>
            <w:tcBorders/>
            <w:shd w:val="clear" w:color="auto" w:fill="auto"/>
            <w:vAlign w:val="center"/>
          </w:tcPr>
          <w:p w14:paraId="119B6FD4">
            <w:pPr>
              <w:pStyle w:val="style0"/>
              <w:spacing w:lineRule="auto" w:line="360"/>
              <w:jc w:val="center"/>
              <w:rPr>
                <w:rFonts w:ascii="宋体" w:hAnsi="宋体"/>
                <w:sz w:val="22"/>
                <w:szCs w:val="22"/>
              </w:rPr>
            </w:pPr>
            <w:r>
              <w:rPr>
                <w:rFonts w:ascii="宋体" w:hAnsi="宋体" w:hint="eastAsia"/>
                <w:sz w:val="22"/>
                <w:szCs w:val="22"/>
              </w:rPr>
              <w:t>1套</w:t>
            </w:r>
          </w:p>
        </w:tc>
      </w:tr>
    </w:tbl>
    <w:p w14:paraId="230C08A1">
      <w:pPr>
        <w:pStyle w:val="style0"/>
        <w:spacing w:lineRule="auto" w:line="360"/>
        <w:rPr>
          <w:rFonts w:ascii="宋体" w:cs="宋体" w:hAnsi="宋体"/>
          <w:sz w:val="22"/>
          <w:szCs w:val="22"/>
        </w:rPr>
      </w:pPr>
    </w:p>
    <w:p w14:paraId="0E36401C">
      <w:pPr>
        <w:pStyle w:val="style0"/>
        <w:spacing w:lineRule="auto" w:line="360"/>
        <w:rPr>
          <w:rFonts w:ascii="宋体" w:cs="宋体" w:hAnsi="宋体"/>
          <w:sz w:val="24"/>
        </w:rPr>
      </w:pPr>
      <w:r>
        <w:rPr>
          <w:rFonts w:ascii="宋体" w:cs="宋体" w:hAnsi="宋体" w:hint="eastAsia"/>
          <w:sz w:val="24"/>
        </w:rPr>
        <w:t>二、</w:t>
      </w:r>
      <w:r>
        <w:rPr>
          <w:rFonts w:ascii="宋体" w:cs="宋体" w:hAnsi="宋体" w:hint="eastAsia"/>
          <w:sz w:val="24"/>
        </w:rPr>
        <w:t>分包机</w:t>
      </w:r>
      <w:r>
        <w:rPr>
          <w:rFonts w:ascii="宋体" w:cs="宋体" w:hAnsi="宋体" w:hint="eastAsia"/>
          <w:sz w:val="24"/>
        </w:rPr>
        <w:t>技术参数要求</w:t>
      </w:r>
    </w:p>
    <w:p w14:paraId="0D27D6BB">
      <w:pPr>
        <w:pStyle w:val="style0"/>
        <w:rPr/>
      </w:pPr>
      <w:r>
        <w:rPr>
          <w:rFonts w:hint="eastAsia"/>
        </w:rPr>
        <w:t>1.</w:t>
      </w:r>
      <w:r>
        <w:rPr>
          <w:rFonts w:hint="eastAsia"/>
        </w:rPr>
        <w:t>基本要求</w:t>
      </w:r>
    </w:p>
    <w:p w14:paraId="06B87F12">
      <w:pPr>
        <w:pStyle w:val="style0"/>
        <w:rPr/>
      </w:pPr>
      <w:r>
        <w:rPr>
          <w:rFonts w:hint="eastAsia"/>
        </w:rPr>
        <w:t>1.1</w:t>
      </w:r>
      <w:r>
        <w:rPr>
          <w:rFonts w:hint="eastAsia"/>
        </w:rPr>
        <w:tab/>
      </w:r>
      <w:r>
        <w:rPr>
          <w:rFonts w:hint="eastAsia"/>
        </w:rPr>
        <w:t>★全自动药品分包核对一体机具备分包、核对功能，且为一体机。分包核对实时进行，核对无需占用单独的时间及场地。</w:t>
      </w:r>
    </w:p>
    <w:p w14:paraId="22686FDF">
      <w:pPr>
        <w:pStyle w:val="style0"/>
        <w:rPr/>
      </w:pPr>
      <w:r>
        <w:rPr>
          <w:rFonts w:hint="eastAsia"/>
        </w:rPr>
        <w:t>1.2</w:t>
      </w:r>
      <w:r>
        <w:rPr>
          <w:rFonts w:hint="eastAsia"/>
        </w:rPr>
        <w:tab/>
      </w:r>
      <w:r>
        <w:rPr>
          <w:rFonts w:hint="eastAsia"/>
        </w:rPr>
        <w:t>全自动药品分包核对一体机与医院</w:t>
      </w:r>
      <w:r>
        <w:rPr>
          <w:rFonts w:hint="eastAsia"/>
        </w:rPr>
        <w:t>HIS</w:t>
      </w:r>
      <w:r>
        <w:rPr>
          <w:rFonts w:hint="eastAsia"/>
        </w:rPr>
        <w:t>系统无缝连接，实时接收</w:t>
      </w:r>
      <w:r>
        <w:rPr>
          <w:rFonts w:hint="eastAsia"/>
        </w:rPr>
        <w:t>HIS</w:t>
      </w:r>
      <w:r>
        <w:rPr>
          <w:rFonts w:hint="eastAsia"/>
        </w:rPr>
        <w:t>传过来的医嘱用药信息，实现口服药品自动核对与分包。</w:t>
      </w:r>
    </w:p>
    <w:p w14:paraId="76E18D61">
      <w:pPr>
        <w:pStyle w:val="style0"/>
        <w:rPr/>
      </w:pPr>
      <w:r>
        <w:rPr>
          <w:rFonts w:hint="eastAsia"/>
        </w:rPr>
        <w:t>1.3</w:t>
      </w:r>
      <w:r>
        <w:rPr>
          <w:rFonts w:hint="eastAsia"/>
        </w:rPr>
        <w:tab/>
      </w:r>
      <w:r>
        <w:rPr>
          <w:rFonts w:hint="eastAsia"/>
        </w:rPr>
        <w:t>▲设备高度≤</w:t>
      </w:r>
      <w:r>
        <w:rPr>
          <w:rFonts w:hint="eastAsia"/>
        </w:rPr>
        <w:t xml:space="preserve">2100mm </w:t>
      </w:r>
      <w:r>
        <w:rPr>
          <w:rFonts w:hint="eastAsia"/>
        </w:rPr>
        <w:t>，设备占地面积≤</w:t>
      </w:r>
      <w:r>
        <w:rPr>
          <w:rFonts w:hint="eastAsia"/>
        </w:rPr>
        <w:t>0.8 m2</w:t>
      </w:r>
      <w:r>
        <w:rPr>
          <w:rFonts w:hint="eastAsia"/>
        </w:rPr>
        <w:t>（提供产品设备说明书、彩页或技术白皮书作为证明材料）。</w:t>
      </w:r>
    </w:p>
    <w:p w14:paraId="265CE6FD">
      <w:pPr>
        <w:pStyle w:val="style0"/>
        <w:rPr/>
      </w:pPr>
      <w:r>
        <w:rPr>
          <w:rFonts w:hint="eastAsia"/>
        </w:rPr>
        <w:t>1.4</w:t>
      </w:r>
      <w:r>
        <w:rPr>
          <w:rFonts w:hint="eastAsia"/>
        </w:rPr>
        <w:tab/>
      </w:r>
      <w:r>
        <w:rPr>
          <w:rFonts w:hint="eastAsia"/>
        </w:rPr>
        <w:t>电源：</w:t>
      </w:r>
      <w:r>
        <w:rPr>
          <w:rFonts w:hint="eastAsia"/>
        </w:rPr>
        <w:t>AC220V</w:t>
      </w:r>
      <w:r>
        <w:rPr>
          <w:rFonts w:hint="eastAsia"/>
        </w:rPr>
        <w:t>±</w:t>
      </w:r>
      <w:r>
        <w:rPr>
          <w:rFonts w:hint="eastAsia"/>
        </w:rPr>
        <w:t>10%  50~60HZ</w:t>
      </w:r>
      <w:r>
        <w:rPr>
          <w:rFonts w:hint="eastAsia"/>
        </w:rPr>
        <w:t>。</w:t>
      </w:r>
    </w:p>
    <w:p w14:paraId="363EA6E3">
      <w:pPr>
        <w:pStyle w:val="style0"/>
        <w:rPr/>
      </w:pPr>
      <w:r>
        <w:rPr>
          <w:rFonts w:hint="eastAsia"/>
        </w:rPr>
        <w:t>1.5</w:t>
      </w:r>
      <w:r>
        <w:rPr>
          <w:rFonts w:hint="eastAsia"/>
        </w:rPr>
        <w:tab/>
      </w:r>
      <w:r>
        <w:rPr>
          <w:rFonts w:hint="eastAsia"/>
        </w:rPr>
        <w:t>合同签订后交货时间</w:t>
      </w:r>
      <w:r>
        <w:rPr>
          <w:rFonts w:hint="eastAsia"/>
        </w:rPr>
        <w:t>30</w:t>
      </w:r>
      <w:r>
        <w:rPr>
          <w:rFonts w:hint="eastAsia"/>
        </w:rPr>
        <w:t>个工作日内。</w:t>
      </w:r>
    </w:p>
    <w:p w14:paraId="69595ACA">
      <w:pPr>
        <w:pStyle w:val="style0"/>
        <w:rPr/>
      </w:pPr>
      <w:r>
        <w:rPr>
          <w:rFonts w:hint="eastAsia"/>
        </w:rPr>
        <w:t>1.6</w:t>
      </w:r>
      <w:r>
        <w:rPr>
          <w:rFonts w:hint="eastAsia"/>
        </w:rPr>
        <w:tab/>
      </w:r>
      <w:r>
        <w:rPr>
          <w:rFonts w:hint="eastAsia"/>
        </w:rPr>
        <w:t>设备到货后</w:t>
      </w:r>
      <w:r>
        <w:rPr>
          <w:rFonts w:hint="eastAsia"/>
        </w:rPr>
        <w:t>7</w:t>
      </w:r>
      <w:r>
        <w:rPr>
          <w:rFonts w:hint="eastAsia"/>
        </w:rPr>
        <w:t>个工作日内完成安装。</w:t>
      </w:r>
    </w:p>
    <w:p w14:paraId="2A87A299">
      <w:pPr>
        <w:pStyle w:val="style0"/>
        <w:rPr/>
      </w:pPr>
      <w:r>
        <w:rPr>
          <w:rFonts w:hint="eastAsia"/>
        </w:rPr>
        <w:t>1.7</w:t>
      </w:r>
      <w:r>
        <w:rPr>
          <w:rFonts w:hint="eastAsia"/>
        </w:rPr>
        <w:tab/>
      </w:r>
      <w:r>
        <w:rPr>
          <w:rFonts w:hint="eastAsia"/>
        </w:rPr>
        <w:t>投标设备必须满足采购人现场安装要求，投标人可自行前往采购人住院药房现场勘查，并在投标文件中出具体安装方案，结合采购人实际情况，拟出上线</w:t>
      </w:r>
      <w:r>
        <w:rPr>
          <w:rFonts w:hint="eastAsia"/>
        </w:rPr>
        <w:t>后合理</w:t>
      </w:r>
      <w:r>
        <w:rPr>
          <w:rFonts w:hint="eastAsia"/>
        </w:rPr>
        <w:t>的发药流程图。项目实施必须组建实施团队，并确定项目负责人，保证项目按采购人的进度要求高质量完成。</w:t>
      </w:r>
    </w:p>
    <w:p w14:paraId="525610B6">
      <w:pPr>
        <w:pStyle w:val="style0"/>
        <w:rPr/>
      </w:pPr>
      <w:r>
        <w:rPr>
          <w:rFonts w:hint="eastAsia"/>
        </w:rPr>
        <w:t>1.8</w:t>
      </w:r>
      <w:r>
        <w:rPr>
          <w:rFonts w:hint="eastAsia"/>
        </w:rPr>
        <w:tab/>
      </w:r>
      <w:r>
        <w:rPr>
          <w:rFonts w:hint="eastAsia"/>
        </w:rPr>
        <w:t>质保期内全免费维修服务，免费安装调试合格，按国家有关产品“三包”规定执行“三包”。</w:t>
      </w:r>
    </w:p>
    <w:p w14:paraId="5A51E96D">
      <w:pPr>
        <w:pStyle w:val="style0"/>
        <w:rPr/>
      </w:pPr>
      <w:r>
        <w:rPr>
          <w:rFonts w:hint="eastAsia"/>
        </w:rPr>
        <w:t>1.9</w:t>
      </w:r>
      <w:r>
        <w:rPr>
          <w:rFonts w:hint="eastAsia"/>
        </w:rPr>
        <w:tab/>
      </w:r>
      <w:r>
        <w:rPr>
          <w:rFonts w:hint="eastAsia"/>
        </w:rPr>
        <w:t>全自动药品分包核对一体机产品的生产厂家具备质量管理体系认证证书和环境管理体系认证证书认证资质</w:t>
      </w:r>
      <w:r>
        <w:rPr>
          <w:rFonts w:hint="eastAsia"/>
        </w:rPr>
        <w:t>(</w:t>
      </w:r>
      <w:r>
        <w:rPr>
          <w:rFonts w:hint="eastAsia"/>
        </w:rPr>
        <w:t>提供佐证材料</w:t>
      </w:r>
      <w:r>
        <w:rPr>
          <w:rFonts w:hint="eastAsia"/>
        </w:rPr>
        <w:t>)</w:t>
      </w:r>
      <w:r>
        <w:rPr>
          <w:rFonts w:hint="eastAsia"/>
        </w:rPr>
        <w:t>。</w:t>
      </w:r>
    </w:p>
    <w:p w14:paraId="7C1F72AF">
      <w:pPr>
        <w:pStyle w:val="style0"/>
        <w:rPr/>
      </w:pPr>
      <w:r>
        <w:rPr>
          <w:rFonts w:hint="eastAsia"/>
        </w:rPr>
        <w:t>1.10</w:t>
      </w:r>
      <w:r>
        <w:rPr>
          <w:rFonts w:hint="eastAsia"/>
        </w:rPr>
        <w:t>▲为保证设备安全可靠，实施服务能力强，所投产品在广东省内不少于</w:t>
      </w:r>
      <w:r>
        <w:rPr>
          <w:rFonts w:hint="eastAsia"/>
        </w:rPr>
        <w:t>10</w:t>
      </w:r>
      <w:r>
        <w:rPr>
          <w:rFonts w:hint="eastAsia"/>
        </w:rPr>
        <w:t>家医院客户</w:t>
      </w:r>
      <w:r>
        <w:rPr>
          <w:rFonts w:hint="eastAsia"/>
        </w:rPr>
        <w:t>[</w:t>
      </w:r>
      <w:r>
        <w:rPr>
          <w:rFonts w:hint="eastAsia"/>
        </w:rPr>
        <w:t>投标时提供</w:t>
      </w:r>
      <w:r>
        <w:rPr>
          <w:rFonts w:hint="eastAsia"/>
        </w:rPr>
        <w:t>2023</w:t>
      </w:r>
      <w:r>
        <w:rPr>
          <w:rFonts w:hint="eastAsia"/>
        </w:rPr>
        <w:t>年</w:t>
      </w:r>
      <w:r>
        <w:rPr>
          <w:rFonts w:hint="eastAsia"/>
        </w:rPr>
        <w:t>1</w:t>
      </w:r>
      <w:r>
        <w:rPr>
          <w:rFonts w:hint="eastAsia"/>
        </w:rPr>
        <w:t>月</w:t>
      </w:r>
      <w:r>
        <w:rPr>
          <w:rFonts w:hint="eastAsia"/>
        </w:rPr>
        <w:t>1</w:t>
      </w:r>
      <w:r>
        <w:rPr>
          <w:rFonts w:hint="eastAsia"/>
        </w:rPr>
        <w:t>日至今同类业绩的佐证材料，至少同时提供合同</w:t>
      </w:r>
      <w:r>
        <w:rPr>
          <w:rFonts w:hint="eastAsia"/>
        </w:rPr>
        <w:t>(</w:t>
      </w:r>
      <w:r>
        <w:rPr>
          <w:rFonts w:hint="eastAsia"/>
        </w:rPr>
        <w:t>或中标通知书</w:t>
      </w:r>
      <w:r>
        <w:rPr>
          <w:rFonts w:hint="eastAsia"/>
        </w:rPr>
        <w:t>)</w:t>
      </w:r>
      <w:r>
        <w:rPr>
          <w:rFonts w:hint="eastAsia"/>
        </w:rPr>
        <w:t>复印件及使用案例现场照片带水印</w:t>
      </w:r>
      <w:r>
        <w:rPr>
          <w:rFonts w:hint="eastAsia"/>
        </w:rPr>
        <w:t>(</w:t>
      </w:r>
      <w:r>
        <w:rPr>
          <w:rFonts w:hint="eastAsia"/>
        </w:rPr>
        <w:t>照片水印含拍摄地点和日期</w:t>
      </w:r>
      <w:r>
        <w:rPr>
          <w:rFonts w:hint="eastAsia"/>
        </w:rPr>
        <w:t>)</w:t>
      </w:r>
      <w:r>
        <w:rPr>
          <w:rFonts w:hint="eastAsia"/>
        </w:rPr>
        <w:t>、验收报告作为证明材料</w:t>
      </w:r>
      <w:r>
        <w:rPr>
          <w:rFonts w:hint="eastAsia"/>
        </w:rPr>
        <w:t>]</w:t>
      </w:r>
    </w:p>
    <w:p w14:paraId="571FB1CC">
      <w:pPr>
        <w:pStyle w:val="style0"/>
        <w:rPr/>
      </w:pPr>
    </w:p>
    <w:p w14:paraId="16E21D8A">
      <w:pPr>
        <w:pStyle w:val="style0"/>
        <w:rPr/>
      </w:pPr>
      <w:r>
        <w:rPr>
          <w:rFonts w:hint="eastAsia"/>
        </w:rPr>
        <w:t>2.</w:t>
      </w:r>
      <w:r>
        <w:rPr>
          <w:rFonts w:hint="eastAsia"/>
        </w:rPr>
        <w:t>结构要求</w:t>
      </w:r>
    </w:p>
    <w:p w14:paraId="66848C39">
      <w:pPr>
        <w:pStyle w:val="style0"/>
        <w:rPr/>
      </w:pPr>
      <w:r>
        <w:rPr>
          <w:rFonts w:hint="eastAsia"/>
        </w:rPr>
        <w:t>2.1</w:t>
      </w:r>
      <w:r>
        <w:rPr>
          <w:rFonts w:hint="eastAsia"/>
        </w:rPr>
        <w:tab/>
      </w:r>
      <w:r>
        <w:rPr>
          <w:rFonts w:hint="eastAsia"/>
        </w:rPr>
        <w:t>▲整机药柜采用电动抽屉式结构，且抽屉列数</w:t>
      </w:r>
      <w:r>
        <w:rPr>
          <w:rFonts w:hint="eastAsia"/>
        </w:rPr>
        <w:t>3</w:t>
      </w:r>
      <w:r>
        <w:rPr>
          <w:rFonts w:hint="eastAsia"/>
        </w:rPr>
        <w:t>列，满足药品集中管理、减少找药距离的要求，每个药柜采用独立智能一键开关控制触摸显示器。（需提供满足本参数要求功能的用户现场实际使用水印照片，水印照片需显示时间地点及用户名称作为证明</w:t>
      </w:r>
      <w:r>
        <w:rPr>
          <w:rFonts w:hint="eastAsia"/>
        </w:rPr>
        <w:t>材料。）</w:t>
      </w:r>
    </w:p>
    <w:p w14:paraId="6EDAC9D3">
      <w:pPr>
        <w:pStyle w:val="style0"/>
        <w:rPr/>
      </w:pPr>
      <w:r>
        <w:rPr>
          <w:rFonts w:hint="eastAsia"/>
        </w:rPr>
        <w:t>2.2</w:t>
      </w:r>
      <w:r>
        <w:rPr>
          <w:rFonts w:hint="eastAsia"/>
        </w:rPr>
        <w:tab/>
      </w:r>
      <w:r>
        <w:rPr>
          <w:rFonts w:hint="eastAsia"/>
        </w:rPr>
        <w:t>所有的药柜和下部结构实现电动动力，一键打开和关闭的操作，并且用软件控制避免</w:t>
      </w:r>
      <w:r>
        <w:rPr>
          <w:rFonts w:hint="eastAsia"/>
        </w:rPr>
        <w:t>1</w:t>
      </w:r>
      <w:r>
        <w:rPr>
          <w:rFonts w:hint="eastAsia"/>
        </w:rPr>
        <w:t>个以上药</w:t>
      </w:r>
      <w:r>
        <w:rPr>
          <w:rFonts w:hint="eastAsia"/>
        </w:rPr>
        <w:t>柜同时</w:t>
      </w:r>
      <w:r>
        <w:rPr>
          <w:rFonts w:hint="eastAsia"/>
        </w:rPr>
        <w:t>打开，完全避免设备倾斜倒塌。</w:t>
      </w:r>
    </w:p>
    <w:p w14:paraId="6795D421">
      <w:pPr>
        <w:pStyle w:val="style0"/>
        <w:rPr/>
      </w:pPr>
      <w:r>
        <w:rPr>
          <w:rFonts w:hint="eastAsia"/>
        </w:rPr>
        <w:t>2.3</w:t>
      </w:r>
      <w:r>
        <w:rPr>
          <w:rFonts w:hint="eastAsia"/>
        </w:rPr>
        <w:tab/>
      </w:r>
      <w:r>
        <w:rPr>
          <w:rFonts w:hint="eastAsia"/>
        </w:rPr>
        <w:t>▲药柜显示器配备温度、湿度显示功能。（需提供满足本参数要求功能的用户现场实际使用水印照片，显示时间地点及用户名称作为证明材料。）</w:t>
      </w:r>
    </w:p>
    <w:p w14:paraId="2F8F011D">
      <w:pPr>
        <w:pStyle w:val="style0"/>
        <w:rPr/>
      </w:pPr>
      <w:r>
        <w:rPr>
          <w:rFonts w:hint="eastAsia"/>
        </w:rPr>
        <w:t>2.4</w:t>
      </w:r>
      <w:r>
        <w:rPr>
          <w:rFonts w:hint="eastAsia"/>
        </w:rPr>
        <w:tab/>
      </w:r>
      <w:r>
        <w:rPr>
          <w:rFonts w:hint="eastAsia"/>
        </w:rPr>
        <w:t>储药部可视性强，打开任意一个抽拉柜（或抽屉）可直接观察到的该抽拉柜（或抽屉）中药盒数量≥</w:t>
      </w:r>
      <w:r>
        <w:rPr>
          <w:rFonts w:hint="eastAsia"/>
        </w:rPr>
        <w:t>100</w:t>
      </w:r>
      <w:r>
        <w:rPr>
          <w:rFonts w:hint="eastAsia"/>
        </w:rPr>
        <w:t>个。（需提供满足本参数要求功能的用户现场实际使用水印照片，显示时间地点及用户名称作为证明材料。）</w:t>
      </w:r>
    </w:p>
    <w:p w14:paraId="2C62C3F4">
      <w:pPr>
        <w:pStyle w:val="style0"/>
        <w:rPr/>
      </w:pPr>
      <w:r>
        <w:rPr>
          <w:rFonts w:hint="eastAsia"/>
        </w:rPr>
        <w:t>2.5</w:t>
      </w:r>
      <w:r>
        <w:rPr>
          <w:rFonts w:hint="eastAsia"/>
        </w:rPr>
        <w:tab/>
      </w:r>
      <w:r>
        <w:rPr>
          <w:rFonts w:hint="eastAsia"/>
        </w:rPr>
        <w:t>▲设备下部结构，实现电动动力一键开关模式，方便药师工作。（需提供满足本参数要求功能的用户现场实际使用照片作为证明材料。）</w:t>
      </w:r>
    </w:p>
    <w:p w14:paraId="6B238715">
      <w:pPr>
        <w:pStyle w:val="style0"/>
        <w:rPr/>
      </w:pPr>
      <w:r>
        <w:rPr>
          <w:rFonts w:hint="eastAsia"/>
        </w:rPr>
        <w:t>2.6</w:t>
      </w:r>
      <w:r>
        <w:rPr>
          <w:rFonts w:hint="eastAsia"/>
        </w:rPr>
        <w:tab/>
      </w:r>
      <w:r>
        <w:rPr>
          <w:rFonts w:hint="eastAsia"/>
        </w:rPr>
        <w:t>非机储药品</w:t>
      </w:r>
      <w:r>
        <w:rPr>
          <w:rFonts w:hint="eastAsia"/>
        </w:rPr>
        <w:t>种类≥</w:t>
      </w:r>
      <w:r>
        <w:rPr>
          <w:rFonts w:hint="eastAsia"/>
        </w:rPr>
        <w:t>30</w:t>
      </w:r>
      <w:r>
        <w:rPr>
          <w:rFonts w:hint="eastAsia"/>
        </w:rPr>
        <w:t>种。</w:t>
      </w:r>
    </w:p>
    <w:p w14:paraId="73981A8F">
      <w:pPr>
        <w:pStyle w:val="style0"/>
        <w:rPr/>
      </w:pPr>
      <w:r>
        <w:rPr>
          <w:rFonts w:hint="eastAsia"/>
        </w:rPr>
        <w:t>2.7</w:t>
      </w:r>
      <w:r>
        <w:rPr>
          <w:rFonts w:hint="eastAsia"/>
        </w:rPr>
        <w:tab/>
      </w:r>
      <w:r>
        <w:rPr>
          <w:rFonts w:hint="eastAsia"/>
        </w:rPr>
        <w:t>配备可移动智能平板电脑，便捷操控及监控机器，实现移动办公。</w:t>
      </w:r>
    </w:p>
    <w:p w14:paraId="3F0CD16B">
      <w:pPr>
        <w:pStyle w:val="style0"/>
        <w:rPr/>
      </w:pPr>
      <w:r>
        <w:rPr>
          <w:rFonts w:hint="eastAsia"/>
        </w:rPr>
        <w:t>2.8</w:t>
      </w:r>
      <w:r>
        <w:rPr>
          <w:rFonts w:hint="eastAsia"/>
        </w:rPr>
        <w:tab/>
      </w:r>
      <w:r>
        <w:rPr>
          <w:rFonts w:hint="eastAsia"/>
        </w:rPr>
        <w:t>▲可放置智能药盒≥</w:t>
      </w:r>
      <w:r>
        <w:rPr>
          <w:rFonts w:hint="eastAsia"/>
        </w:rPr>
        <w:t>300</w:t>
      </w:r>
      <w:r>
        <w:rPr>
          <w:rFonts w:hint="eastAsia"/>
        </w:rPr>
        <w:t>个，随意摆放，正确识别对应药盒准确发药功能。</w:t>
      </w:r>
    </w:p>
    <w:p w14:paraId="0D6C63DD">
      <w:pPr>
        <w:pStyle w:val="style0"/>
        <w:rPr/>
      </w:pPr>
      <w:r>
        <w:rPr>
          <w:rFonts w:hint="eastAsia"/>
        </w:rPr>
        <w:t>2.9</w:t>
      </w:r>
      <w:r>
        <w:rPr>
          <w:rFonts w:hint="eastAsia"/>
        </w:rPr>
        <w:tab/>
      </w:r>
      <w:r>
        <w:rPr>
          <w:rFonts w:hint="eastAsia"/>
        </w:rPr>
        <w:t>根据用户需求新增或替换药盒，定制药盒速度：≤</w:t>
      </w:r>
      <w:r>
        <w:rPr>
          <w:rFonts w:hint="eastAsia"/>
        </w:rPr>
        <w:t>7</w:t>
      </w:r>
      <w:r>
        <w:rPr>
          <w:rFonts w:hint="eastAsia"/>
        </w:rPr>
        <w:t>天。</w:t>
      </w:r>
    </w:p>
    <w:p w14:paraId="78916817">
      <w:pPr>
        <w:pStyle w:val="style0"/>
        <w:rPr/>
      </w:pPr>
      <w:r>
        <w:rPr>
          <w:rFonts w:hint="eastAsia"/>
        </w:rPr>
        <w:t>2.10</w:t>
      </w:r>
      <w:r>
        <w:rPr>
          <w:rFonts w:hint="eastAsia"/>
        </w:rPr>
        <w:tab/>
      </w:r>
      <w:r>
        <w:rPr>
          <w:rFonts w:hint="eastAsia"/>
        </w:rPr>
        <w:t>药盒规格≥</w:t>
      </w:r>
      <w:r>
        <w:rPr>
          <w:rFonts w:hint="eastAsia"/>
        </w:rPr>
        <w:t>3</w:t>
      </w:r>
      <w:r>
        <w:rPr>
          <w:rFonts w:hint="eastAsia"/>
        </w:rPr>
        <w:t>种。并具有药盒延长装置，可根据用药量大的药品，增加药盒体积，以适应用药的频率波动变化。</w:t>
      </w:r>
    </w:p>
    <w:p w14:paraId="543EE34D">
      <w:pPr>
        <w:pStyle w:val="style0"/>
        <w:rPr/>
      </w:pPr>
      <w:r>
        <w:rPr>
          <w:rFonts w:hint="eastAsia"/>
        </w:rPr>
        <w:t>2.11</w:t>
      </w:r>
      <w:r>
        <w:rPr>
          <w:rFonts w:hint="eastAsia"/>
        </w:rPr>
        <w:tab/>
      </w:r>
      <w:r>
        <w:rPr>
          <w:rFonts w:hint="eastAsia"/>
        </w:rPr>
        <w:t>药盒为透明、避光设计，具有防潮、防尘、防紫外线功能，可清洗可拆卸。</w:t>
      </w:r>
    </w:p>
    <w:p w14:paraId="4E4D78A7">
      <w:pPr>
        <w:pStyle w:val="style0"/>
        <w:rPr/>
      </w:pPr>
      <w:r>
        <w:rPr>
          <w:rFonts w:hint="eastAsia"/>
        </w:rPr>
        <w:t>2.12</w:t>
      </w:r>
      <w:r>
        <w:rPr>
          <w:rFonts w:hint="eastAsia"/>
        </w:rPr>
        <w:tab/>
      </w:r>
      <w:r>
        <w:rPr>
          <w:rFonts w:hint="eastAsia"/>
        </w:rPr>
        <w:t>▲配备万能药盒、半粒药盒，不限定数量。万能药盒可减少</w:t>
      </w:r>
      <w:r>
        <w:rPr>
          <w:rFonts w:hint="eastAsia"/>
        </w:rPr>
        <w:t>非机储药品</w:t>
      </w:r>
      <w:r>
        <w:rPr>
          <w:rFonts w:hint="eastAsia"/>
        </w:rPr>
        <w:t>，作为临时更换药品替代方案，半片、异形片剂等新招标药品的快速上机，提高药师工作效率。（需提供满足本参数要求功能的用户现场实际使用水印照片，显示时间地点及用户名称作为证明材料。）</w:t>
      </w:r>
    </w:p>
    <w:p w14:paraId="2001DD90">
      <w:pPr>
        <w:pStyle w:val="style0"/>
        <w:rPr/>
      </w:pPr>
      <w:r>
        <w:rPr>
          <w:rFonts w:hint="eastAsia"/>
        </w:rPr>
        <w:t>2.13</w:t>
      </w:r>
      <w:r>
        <w:rPr>
          <w:rFonts w:hint="eastAsia"/>
        </w:rPr>
        <w:tab/>
      </w:r>
      <w:r>
        <w:rPr>
          <w:rFonts w:hint="eastAsia"/>
        </w:rPr>
        <w:t>药盒上具有药物品名、药物样品等信息，方便工作人员加药时核对避免加药差错。</w:t>
      </w:r>
    </w:p>
    <w:p w14:paraId="14E7EFD3">
      <w:pPr>
        <w:pStyle w:val="style0"/>
        <w:rPr/>
      </w:pPr>
      <w:r>
        <w:rPr>
          <w:rFonts w:hint="eastAsia"/>
        </w:rPr>
        <w:t>2.14</w:t>
      </w:r>
      <w:r>
        <w:rPr>
          <w:rFonts w:hint="eastAsia"/>
        </w:rPr>
        <w:tab/>
      </w:r>
      <w:r>
        <w:rPr>
          <w:rFonts w:hint="eastAsia"/>
        </w:rPr>
        <w:t>药盒可适用大型药粒药品，适用药品最长直径≥</w:t>
      </w:r>
      <w:r>
        <w:rPr>
          <w:rFonts w:hint="eastAsia"/>
        </w:rPr>
        <w:t>22mm</w:t>
      </w:r>
      <w:r>
        <w:rPr>
          <w:rFonts w:hint="eastAsia"/>
        </w:rPr>
        <w:t>。</w:t>
      </w:r>
    </w:p>
    <w:p w14:paraId="746D2BFE">
      <w:pPr>
        <w:pStyle w:val="style0"/>
        <w:rPr/>
      </w:pPr>
      <w:r>
        <w:rPr>
          <w:rFonts w:hint="eastAsia"/>
        </w:rPr>
        <w:t>2.15</w:t>
      </w:r>
      <w:r>
        <w:rPr>
          <w:rFonts w:hint="eastAsia"/>
        </w:rPr>
        <w:tab/>
      </w:r>
      <w:r>
        <w:rPr>
          <w:rFonts w:hint="eastAsia"/>
        </w:rPr>
        <w:t>具有附属药盒功能</w:t>
      </w:r>
      <w:r>
        <w:rPr>
          <w:rFonts w:hint="eastAsia"/>
        </w:rPr>
        <w:t>(</w:t>
      </w:r>
      <w:r>
        <w:rPr>
          <w:rFonts w:hint="eastAsia"/>
        </w:rPr>
        <w:t>也称子母药盒</w:t>
      </w:r>
      <w:r>
        <w:rPr>
          <w:rFonts w:hint="eastAsia"/>
        </w:rPr>
        <w:t>)</w:t>
      </w:r>
      <w:r>
        <w:rPr>
          <w:rFonts w:hint="eastAsia"/>
        </w:rPr>
        <w:t>，当某一种药用量特别大时，不同药盒可放置同一种药品，系统自动分配并准确发药。</w:t>
      </w:r>
    </w:p>
    <w:p w14:paraId="745993AC">
      <w:pPr>
        <w:pStyle w:val="style0"/>
        <w:rPr/>
      </w:pPr>
      <w:r>
        <w:rPr>
          <w:rFonts w:hint="eastAsia"/>
        </w:rPr>
        <w:t>2.16</w:t>
      </w:r>
      <w:r>
        <w:rPr>
          <w:rFonts w:hint="eastAsia"/>
        </w:rPr>
        <w:tab/>
      </w:r>
      <w:r>
        <w:rPr>
          <w:rFonts w:hint="eastAsia"/>
        </w:rPr>
        <w:t>▲外挂用核对电脑一体显示器，外挂电脑信息显示系统液晶触摸屏，显示器可以自由调节角度，方便药师操作。（需提供满足本参数要求功能的用户现场实际使用不同仰角的照片，作为证明材料。）</w:t>
      </w:r>
    </w:p>
    <w:p w14:paraId="37AD0B9A">
      <w:pPr>
        <w:pStyle w:val="style0"/>
        <w:rPr/>
      </w:pPr>
      <w:r>
        <w:rPr>
          <w:rFonts w:hint="eastAsia"/>
        </w:rPr>
        <w:t>2.17</w:t>
      </w:r>
      <w:r>
        <w:rPr>
          <w:rFonts w:hint="eastAsia"/>
        </w:rPr>
        <w:tab/>
      </w:r>
      <w:r>
        <w:rPr>
          <w:rFonts w:hint="eastAsia"/>
        </w:rPr>
        <w:t>▲配备可移动平板电脑，实现移动办公。具备电动药柜，每个电动药柜触摸液晶显示屏，显示温度、湿度、直观、智能、方便操作。（需提供满足本参数要求功能的用户现场实际使用照片作为证明材料。）</w:t>
      </w:r>
    </w:p>
    <w:p w14:paraId="14944FF0">
      <w:pPr>
        <w:pStyle w:val="style0"/>
        <w:rPr/>
      </w:pPr>
    </w:p>
    <w:p w14:paraId="318334BD">
      <w:pPr>
        <w:pStyle w:val="style0"/>
        <w:rPr/>
      </w:pPr>
      <w:r>
        <w:rPr>
          <w:rFonts w:hint="eastAsia"/>
        </w:rPr>
        <w:t>3.</w:t>
      </w:r>
      <w:r>
        <w:rPr>
          <w:rFonts w:hint="eastAsia"/>
        </w:rPr>
        <w:t>功能要求</w:t>
      </w:r>
    </w:p>
    <w:p w14:paraId="76EE3FBF">
      <w:pPr>
        <w:pStyle w:val="style0"/>
        <w:rPr/>
      </w:pPr>
      <w:r>
        <w:rPr>
          <w:rFonts w:hint="eastAsia"/>
        </w:rPr>
        <w:t>3.1</w:t>
      </w:r>
      <w:r>
        <w:rPr>
          <w:rFonts w:hint="eastAsia"/>
        </w:rPr>
        <w:tab/>
      </w:r>
      <w:r>
        <w:rPr>
          <w:rFonts w:hint="eastAsia"/>
        </w:rPr>
        <w:t>全自动药品分包核对一体机实时核对确保分发药品安全。</w:t>
      </w:r>
    </w:p>
    <w:p w14:paraId="2C659716">
      <w:pPr>
        <w:pStyle w:val="style0"/>
        <w:rPr/>
      </w:pPr>
      <w:r>
        <w:rPr>
          <w:rFonts w:hint="eastAsia"/>
        </w:rPr>
        <w:t>3.2</w:t>
      </w:r>
      <w:r>
        <w:rPr>
          <w:rFonts w:hint="eastAsia"/>
        </w:rPr>
        <w:tab/>
      </w:r>
      <w:r>
        <w:rPr>
          <w:rFonts w:hint="eastAsia"/>
        </w:rPr>
        <w:t>▲核对系统无需占用单独的核对时间，分包核对实时进行，确保可追溯安全分包最高效率。（需提供满足本参数要求功能的用户现场实际使用照片作为证明材料。）</w:t>
      </w:r>
    </w:p>
    <w:p w14:paraId="68BE6BF7">
      <w:pPr>
        <w:pStyle w:val="style0"/>
        <w:rPr/>
      </w:pPr>
      <w:r>
        <w:rPr>
          <w:rFonts w:hint="eastAsia"/>
        </w:rPr>
        <w:t>3.3</w:t>
      </w:r>
      <w:r>
        <w:rPr>
          <w:rFonts w:hint="eastAsia"/>
        </w:rPr>
        <w:tab/>
      </w:r>
      <w:r>
        <w:rPr>
          <w:rFonts w:hint="eastAsia"/>
        </w:rPr>
        <w:t>▲分包药品可视化，一次显示≥</w:t>
      </w:r>
      <w:r>
        <w:rPr>
          <w:rFonts w:hint="eastAsia"/>
        </w:rPr>
        <w:t>4</w:t>
      </w:r>
      <w:r>
        <w:rPr>
          <w:rFonts w:hint="eastAsia"/>
        </w:rPr>
        <w:t>包（需提供满足本参数要求功能的用户现场实际使用照片作为证明材料。）</w:t>
      </w:r>
    </w:p>
    <w:p w14:paraId="68512DAD">
      <w:pPr>
        <w:pStyle w:val="style0"/>
        <w:rPr/>
      </w:pPr>
      <w:r>
        <w:rPr>
          <w:rFonts w:hint="eastAsia"/>
        </w:rPr>
        <w:t>3.4</w:t>
      </w:r>
      <w:r>
        <w:rPr>
          <w:rFonts w:hint="eastAsia"/>
        </w:rPr>
        <w:tab/>
      </w:r>
      <w:r>
        <w:rPr>
          <w:rFonts w:hint="eastAsia"/>
        </w:rPr>
        <w:t>分发药品自动拍摄照片，可自动保存所拍摄的药品照片，分发药品可追溯，保存期不低于</w:t>
      </w:r>
      <w:r>
        <w:rPr>
          <w:rFonts w:hint="eastAsia"/>
        </w:rPr>
        <w:t>6</w:t>
      </w:r>
      <w:r>
        <w:rPr>
          <w:rFonts w:hint="eastAsia"/>
        </w:rPr>
        <w:t>个月。</w:t>
      </w:r>
    </w:p>
    <w:p w14:paraId="3C3E1B32">
      <w:pPr>
        <w:pStyle w:val="style0"/>
        <w:rPr/>
      </w:pPr>
      <w:r>
        <w:rPr>
          <w:rFonts w:hint="eastAsia"/>
        </w:rPr>
        <w:t>3.5</w:t>
      </w:r>
      <w:r>
        <w:rPr>
          <w:rFonts w:hint="eastAsia"/>
        </w:rPr>
        <w:tab/>
      </w:r>
      <w:r>
        <w:rPr>
          <w:rFonts w:hint="eastAsia"/>
        </w:rPr>
        <w:t>最高核对分包速度≥</w:t>
      </w:r>
      <w:r>
        <w:rPr>
          <w:rFonts w:hint="eastAsia"/>
        </w:rPr>
        <w:t>50</w:t>
      </w:r>
      <w:r>
        <w:rPr>
          <w:rFonts w:hint="eastAsia"/>
        </w:rPr>
        <w:t>包</w:t>
      </w:r>
      <w:r>
        <w:rPr>
          <w:rFonts w:hint="eastAsia"/>
        </w:rPr>
        <w:t>/</w:t>
      </w:r>
      <w:r>
        <w:rPr>
          <w:rFonts w:hint="eastAsia"/>
        </w:rPr>
        <w:t>分。</w:t>
      </w:r>
    </w:p>
    <w:p w14:paraId="61297E14">
      <w:pPr>
        <w:pStyle w:val="style0"/>
        <w:rPr/>
      </w:pPr>
      <w:r>
        <w:rPr>
          <w:rFonts w:hint="eastAsia"/>
        </w:rPr>
        <w:t>3.6</w:t>
      </w:r>
      <w:r>
        <w:rPr>
          <w:rFonts w:hint="eastAsia"/>
        </w:rPr>
        <w:tab/>
      </w:r>
      <w:r>
        <w:rPr>
          <w:rFonts w:hint="eastAsia"/>
        </w:rPr>
        <w:t>80</w:t>
      </w:r>
      <w:r>
        <w:rPr>
          <w:rFonts w:hint="eastAsia"/>
        </w:rPr>
        <w:t>度以下低温热封包，减少机器余热。</w:t>
      </w:r>
    </w:p>
    <w:p w14:paraId="1A38378A">
      <w:pPr>
        <w:pStyle w:val="style0"/>
        <w:rPr/>
      </w:pPr>
      <w:r>
        <w:rPr>
          <w:rFonts w:hint="eastAsia"/>
        </w:rPr>
        <w:t>3.7</w:t>
      </w:r>
      <w:r>
        <w:rPr>
          <w:rFonts w:hint="eastAsia"/>
        </w:rPr>
        <w:tab/>
      </w:r>
      <w:r>
        <w:rPr>
          <w:rFonts w:hint="eastAsia"/>
        </w:rPr>
        <w:t>具备一个医嘱单剂量药品数量及品种过多时，可自动拆分成两包或多包的功能。</w:t>
      </w:r>
    </w:p>
    <w:p w14:paraId="07174E7A">
      <w:pPr>
        <w:pStyle w:val="style0"/>
        <w:rPr/>
      </w:pPr>
      <w:r>
        <w:rPr>
          <w:rFonts w:hint="eastAsia"/>
        </w:rPr>
        <w:t>3.8</w:t>
      </w:r>
      <w:r>
        <w:rPr>
          <w:rFonts w:hint="eastAsia"/>
        </w:rPr>
        <w:tab/>
      </w:r>
      <w:r>
        <w:rPr>
          <w:rFonts w:hint="eastAsia"/>
        </w:rPr>
        <w:t>具备自动核对自动纠错功能，发现错包时在</w:t>
      </w:r>
      <w:r>
        <w:rPr>
          <w:rFonts w:hint="eastAsia"/>
        </w:rPr>
        <w:t>不</w:t>
      </w:r>
      <w:r>
        <w:rPr>
          <w:rFonts w:hint="eastAsia"/>
        </w:rPr>
        <w:t>停机的情况下有自动分补、自动分包或人工选择分包功能。</w:t>
      </w:r>
    </w:p>
    <w:p w14:paraId="7A8D19DB">
      <w:pPr>
        <w:pStyle w:val="style0"/>
        <w:rPr/>
      </w:pPr>
      <w:r>
        <w:rPr>
          <w:rFonts w:hint="eastAsia"/>
        </w:rPr>
        <w:t>3.9</w:t>
      </w:r>
      <w:r>
        <w:rPr>
          <w:rFonts w:hint="eastAsia"/>
        </w:rPr>
        <w:tab/>
      </w:r>
      <w:r>
        <w:rPr>
          <w:rFonts w:hint="eastAsia"/>
        </w:rPr>
        <w:t>▲在添加</w:t>
      </w:r>
      <w:r>
        <w:rPr>
          <w:rFonts w:hint="eastAsia"/>
        </w:rPr>
        <w:t>非机储药品</w:t>
      </w:r>
      <w:r>
        <w:rPr>
          <w:rFonts w:hint="eastAsia"/>
        </w:rPr>
        <w:t>时，系统应能自动弹出对应</w:t>
      </w:r>
      <w:r>
        <w:rPr>
          <w:rFonts w:hint="eastAsia"/>
        </w:rPr>
        <w:t>外摆药盘并</w:t>
      </w:r>
      <w:r>
        <w:rPr>
          <w:rFonts w:hint="eastAsia"/>
        </w:rPr>
        <w:t>点亮</w:t>
      </w:r>
      <w:r>
        <w:rPr>
          <w:rFonts w:hint="eastAsia"/>
        </w:rPr>
        <w:t>LED</w:t>
      </w:r>
      <w:r>
        <w:rPr>
          <w:rFonts w:hint="eastAsia"/>
        </w:rPr>
        <w:t>指示灯，同时支持</w:t>
      </w:r>
      <w:r>
        <w:rPr>
          <w:rFonts w:hint="eastAsia"/>
        </w:rPr>
        <w:t>不</w:t>
      </w:r>
      <w:r>
        <w:rPr>
          <w:rFonts w:hint="eastAsia"/>
        </w:rPr>
        <w:t>停机预摆药，且无需打印纸张，药师直接通过移动智能平板或设备自带触摸屏核对药品名称、剂量及摆放位置后对照指示灯加药，从而提升效率与准确率、实现绿色办公；为此需提供满足上述全部功能的用户现场实际使用照片（作为自动弹出、</w:t>
      </w:r>
      <w:r>
        <w:rPr>
          <w:rFonts w:hint="eastAsia"/>
        </w:rPr>
        <w:t>LED</w:t>
      </w:r>
      <w:r>
        <w:rPr>
          <w:rFonts w:hint="eastAsia"/>
        </w:rPr>
        <w:t>及预</w:t>
      </w:r>
      <w:r>
        <w:rPr>
          <w:rFonts w:hint="eastAsia"/>
        </w:rPr>
        <w:t>摆功能</w:t>
      </w:r>
      <w:r>
        <w:rPr>
          <w:rFonts w:hint="eastAsia"/>
        </w:rPr>
        <w:t>的证明材料），以及包含时间、地点及用户名称的水印照片（作为无纸化触屏核对功能的证明材料）。</w:t>
      </w:r>
    </w:p>
    <w:p w14:paraId="7F880D06">
      <w:pPr>
        <w:pStyle w:val="style0"/>
        <w:rPr/>
      </w:pPr>
      <w:r>
        <w:rPr>
          <w:rFonts w:hint="eastAsia"/>
        </w:rPr>
        <w:t>3.10</w:t>
      </w:r>
      <w:r>
        <w:rPr>
          <w:rFonts w:hint="eastAsia"/>
        </w:rPr>
        <w:tab/>
      </w:r>
      <w:r>
        <w:rPr>
          <w:rFonts w:hint="eastAsia"/>
        </w:rPr>
        <w:t>具备可以多病人、多处方集中添加</w:t>
      </w:r>
      <w:r>
        <w:rPr>
          <w:rFonts w:hint="eastAsia"/>
        </w:rPr>
        <w:t>非机储药品</w:t>
      </w:r>
      <w:r>
        <w:rPr>
          <w:rFonts w:hint="eastAsia"/>
        </w:rPr>
        <w:t>，可根据处方信息在外摆药盘中提前准备需要添加的</w:t>
      </w:r>
      <w:r>
        <w:rPr>
          <w:rFonts w:hint="eastAsia"/>
        </w:rPr>
        <w:t>非机储药品</w:t>
      </w:r>
      <w:r>
        <w:rPr>
          <w:rFonts w:hint="eastAsia"/>
        </w:rPr>
        <w:t>，能够提高分包工作效率</w:t>
      </w:r>
    </w:p>
    <w:p w14:paraId="64D89849">
      <w:pPr>
        <w:pStyle w:val="style0"/>
        <w:rPr/>
      </w:pPr>
      <w:r>
        <w:rPr>
          <w:rFonts w:hint="eastAsia"/>
        </w:rPr>
        <w:t>3.11</w:t>
      </w:r>
      <w:r>
        <w:rPr>
          <w:rFonts w:hint="eastAsia"/>
        </w:rPr>
        <w:tab/>
      </w:r>
      <w:r>
        <w:rPr>
          <w:rFonts w:hint="eastAsia"/>
        </w:rPr>
        <w:t>具有单品种片剂或胶囊（门诊协定处方）的分包的功能。</w:t>
      </w:r>
    </w:p>
    <w:p w14:paraId="3FCB5864">
      <w:pPr>
        <w:pStyle w:val="style0"/>
        <w:rPr/>
      </w:pPr>
      <w:r>
        <w:rPr>
          <w:rFonts w:hint="eastAsia"/>
        </w:rPr>
        <w:t>3.12</w:t>
      </w:r>
      <w:r>
        <w:rPr>
          <w:rFonts w:hint="eastAsia"/>
        </w:rPr>
        <w:tab/>
      </w:r>
      <w:r>
        <w:rPr>
          <w:rFonts w:hint="eastAsia"/>
        </w:rPr>
        <w:t>具备药品种类、数量显示，可设置最低药量和药品种类预警值。</w:t>
      </w:r>
    </w:p>
    <w:p w14:paraId="03F5A7EB">
      <w:pPr>
        <w:pStyle w:val="style0"/>
        <w:rPr/>
      </w:pPr>
      <w:r>
        <w:rPr>
          <w:rFonts w:hint="eastAsia"/>
        </w:rPr>
        <w:t>3.13</w:t>
      </w:r>
      <w:r>
        <w:rPr>
          <w:rFonts w:hint="eastAsia"/>
        </w:rPr>
        <w:tab/>
      </w:r>
      <w:r>
        <w:rPr>
          <w:rFonts w:hint="eastAsia"/>
        </w:rPr>
        <w:t>具备操作界面为中文图文显示。</w:t>
      </w:r>
    </w:p>
    <w:p w14:paraId="69A22240">
      <w:pPr>
        <w:pStyle w:val="style0"/>
        <w:rPr/>
      </w:pPr>
      <w:r>
        <w:rPr>
          <w:rFonts w:hint="eastAsia"/>
        </w:rPr>
        <w:t>3.14</w:t>
      </w:r>
      <w:r>
        <w:rPr>
          <w:rFonts w:hint="eastAsia"/>
        </w:rPr>
        <w:tab/>
      </w:r>
      <w:r>
        <w:rPr>
          <w:rFonts w:hint="eastAsia"/>
        </w:rPr>
        <w:t>具备图示、中文语音提示更换包药纸、色带、加药、报警功能。</w:t>
      </w:r>
    </w:p>
    <w:p w14:paraId="0E1FE2CC">
      <w:pPr>
        <w:pStyle w:val="style0"/>
        <w:rPr/>
      </w:pPr>
      <w:r>
        <w:rPr>
          <w:rFonts w:hint="eastAsia"/>
        </w:rPr>
        <w:t>3.15</w:t>
      </w:r>
      <w:r>
        <w:rPr>
          <w:rFonts w:hint="eastAsia"/>
        </w:rPr>
        <w:tab/>
      </w:r>
      <w:r>
        <w:rPr>
          <w:rFonts w:hint="eastAsia"/>
        </w:rPr>
        <w:t>具备包药状态，已完成包</w:t>
      </w:r>
      <w:r>
        <w:rPr>
          <w:rFonts w:hint="eastAsia"/>
        </w:rPr>
        <w:t>药状态</w:t>
      </w:r>
      <w:r>
        <w:rPr>
          <w:rFonts w:hint="eastAsia"/>
        </w:rPr>
        <w:t>查询功能。</w:t>
      </w:r>
    </w:p>
    <w:p w14:paraId="25FC2D8E">
      <w:pPr>
        <w:pStyle w:val="style0"/>
        <w:rPr/>
      </w:pPr>
      <w:r>
        <w:rPr>
          <w:rFonts w:hint="eastAsia"/>
        </w:rPr>
        <w:t>3.16</w:t>
      </w:r>
      <w:r>
        <w:rPr>
          <w:rFonts w:hint="eastAsia"/>
        </w:rPr>
        <w:tab/>
      </w:r>
      <w:r>
        <w:rPr>
          <w:rFonts w:hint="eastAsia"/>
        </w:rPr>
        <w:t>具备具体故障图示、中文语音报警功能。</w:t>
      </w:r>
    </w:p>
    <w:p w14:paraId="6D53057F">
      <w:pPr>
        <w:pStyle w:val="style0"/>
        <w:rPr/>
      </w:pPr>
      <w:r>
        <w:rPr>
          <w:rFonts w:hint="eastAsia"/>
        </w:rPr>
        <w:t>3.17</w:t>
      </w:r>
      <w:r>
        <w:rPr>
          <w:rFonts w:hint="eastAsia"/>
        </w:rPr>
        <w:tab/>
      </w:r>
      <w:r>
        <w:rPr>
          <w:rFonts w:hint="eastAsia"/>
        </w:rPr>
        <w:t>▲核对界面中，可在显示器上标识出药品具体错误情况，如通过药片上打“√”，错误药片上打“×”并显示醒目的红色背景色。（需提供满足本参数要求功能的用户现场实际使用照片作为证明材料。）</w:t>
      </w:r>
    </w:p>
    <w:p w14:paraId="780F7193">
      <w:pPr>
        <w:pStyle w:val="style0"/>
        <w:rPr/>
      </w:pPr>
      <w:r>
        <w:rPr>
          <w:rFonts w:hint="eastAsia"/>
        </w:rPr>
        <w:t>3.18</w:t>
      </w:r>
      <w:r>
        <w:rPr>
          <w:rFonts w:hint="eastAsia"/>
        </w:rPr>
        <w:tab/>
      </w:r>
      <w:r>
        <w:rPr>
          <w:rFonts w:hint="eastAsia"/>
        </w:rPr>
        <w:t>可从多种元素将拍摄图样与药样数据</w:t>
      </w:r>
      <w:r>
        <w:rPr>
          <w:rFonts w:hint="eastAsia"/>
        </w:rPr>
        <w:t>做对</w:t>
      </w:r>
      <w:r>
        <w:rPr>
          <w:rFonts w:hint="eastAsia"/>
        </w:rPr>
        <w:t>比。（包括：形状、颜色、数量、圆度、颜色偏差、长度、宽度、异物等）并可通过近红外通道比对轮廓。</w:t>
      </w:r>
    </w:p>
    <w:p w14:paraId="5CD5E07B">
      <w:pPr>
        <w:pStyle w:val="style0"/>
        <w:rPr/>
      </w:pPr>
      <w:r>
        <w:rPr>
          <w:rFonts w:hint="eastAsia"/>
        </w:rPr>
        <w:t>3.19</w:t>
      </w:r>
      <w:r>
        <w:rPr>
          <w:rFonts w:hint="eastAsia"/>
        </w:rPr>
        <w:tab/>
      </w:r>
      <w:r>
        <w:rPr>
          <w:rFonts w:hint="eastAsia"/>
        </w:rPr>
        <w:t>▲配备内置高清、高速相机，视觉核对模块。（需提供满足本参数要求功能的用户现场实际使用水印照片，显示时间地点及用户名称作为证明材料。）</w:t>
      </w:r>
    </w:p>
    <w:p w14:paraId="2123AC8D">
      <w:pPr>
        <w:pStyle w:val="style0"/>
        <w:rPr/>
      </w:pPr>
      <w:r>
        <w:rPr>
          <w:rFonts w:hint="eastAsia"/>
        </w:rPr>
        <w:t>3.20</w:t>
      </w:r>
      <w:r>
        <w:rPr>
          <w:rFonts w:hint="eastAsia"/>
        </w:rPr>
        <w:tab/>
      </w:r>
      <w:r>
        <w:rPr>
          <w:rFonts w:hint="eastAsia"/>
        </w:rPr>
        <w:t>具备核对系统操作界面，药品照片显示、药品数量显示、错包显示。</w:t>
      </w:r>
    </w:p>
    <w:p w14:paraId="2F8B4AD0">
      <w:pPr>
        <w:pStyle w:val="style0"/>
        <w:rPr/>
      </w:pPr>
      <w:r>
        <w:rPr>
          <w:rFonts w:hint="eastAsia"/>
        </w:rPr>
        <w:t>3.21</w:t>
      </w:r>
      <w:r>
        <w:rPr>
          <w:rFonts w:hint="eastAsia"/>
        </w:rPr>
        <w:tab/>
      </w:r>
      <w:r>
        <w:rPr>
          <w:rFonts w:hint="eastAsia"/>
        </w:rPr>
        <w:t>▲配备内置智能视觉核对系统，新增药品无需人工拍照录入，设备可一键式拍照录入功能。（需提供满足本参数要求功能的用户现场实际使用水印照片，显示时间地点及用户名称作为证明材料。）</w:t>
      </w:r>
    </w:p>
    <w:p w14:paraId="0A09B7A8">
      <w:pPr>
        <w:pStyle w:val="style0"/>
        <w:rPr/>
      </w:pPr>
      <w:r>
        <w:rPr>
          <w:rFonts w:hint="eastAsia"/>
        </w:rPr>
        <w:t>3.22</w:t>
      </w:r>
      <w:r>
        <w:rPr>
          <w:rFonts w:hint="eastAsia"/>
        </w:rPr>
        <w:tab/>
      </w:r>
      <w:r>
        <w:rPr>
          <w:rFonts w:hint="eastAsia"/>
        </w:rPr>
        <w:t>能识别药品碎裂、异物、颜色异常，自动标记可疑药包，并且报指定颜色的错误提醒。</w:t>
      </w:r>
    </w:p>
    <w:p w14:paraId="675DBF10">
      <w:pPr>
        <w:pStyle w:val="style0"/>
        <w:rPr/>
      </w:pPr>
      <w:r>
        <w:rPr>
          <w:rFonts w:hint="eastAsia"/>
        </w:rPr>
        <w:t>3.23</w:t>
      </w:r>
      <w:r>
        <w:rPr>
          <w:rFonts w:hint="eastAsia"/>
        </w:rPr>
        <w:tab/>
      </w:r>
      <w:r>
        <w:rPr>
          <w:rFonts w:hint="eastAsia"/>
        </w:rPr>
        <w:t>支持紧急需求的“插队”包药，临时医嘱可按照需求时间包药</w:t>
      </w:r>
    </w:p>
    <w:p w14:paraId="5FC32DF1">
      <w:pPr>
        <w:pStyle w:val="style0"/>
        <w:rPr/>
      </w:pPr>
      <w:r>
        <w:rPr>
          <w:rFonts w:hint="eastAsia"/>
        </w:rPr>
        <w:t>3.24</w:t>
      </w:r>
      <w:r>
        <w:rPr>
          <w:rFonts w:hint="eastAsia"/>
        </w:rPr>
        <w:tab/>
      </w:r>
      <w:r>
        <w:rPr>
          <w:rFonts w:hint="eastAsia"/>
        </w:rPr>
        <w:t>具备包装纸少纸报警提示及色带缺少、药盒缺药、药柜门、中部结构、下部结构，异常打开、开机设备自动预热，温度不高报警提示。</w:t>
      </w:r>
    </w:p>
    <w:p w14:paraId="2071739F">
      <w:pPr>
        <w:pStyle w:val="style0"/>
        <w:rPr/>
      </w:pPr>
      <w:r>
        <w:rPr>
          <w:rFonts w:hint="eastAsia"/>
        </w:rPr>
        <w:t>3.25</w:t>
      </w:r>
      <w:r>
        <w:rPr>
          <w:rFonts w:hint="eastAsia"/>
        </w:rPr>
        <w:tab/>
      </w:r>
      <w:r>
        <w:rPr>
          <w:rFonts w:hint="eastAsia"/>
        </w:rPr>
        <w:t>具备全中文操作系统，支持一维条码和二维条码的识别。</w:t>
      </w:r>
    </w:p>
    <w:p w14:paraId="176EE5F8">
      <w:pPr>
        <w:pStyle w:val="style0"/>
        <w:rPr/>
      </w:pPr>
      <w:r>
        <w:rPr>
          <w:rFonts w:hint="eastAsia"/>
        </w:rPr>
        <w:t>3.26</w:t>
      </w:r>
      <w:r>
        <w:rPr>
          <w:rFonts w:hint="eastAsia"/>
        </w:rPr>
        <w:tab/>
      </w:r>
      <w:r>
        <w:rPr>
          <w:rFonts w:hint="eastAsia"/>
        </w:rPr>
        <w:t>具备药品实时盘点，药品消耗统计，药品种类、存量、用量、批次等信息管理</w:t>
      </w:r>
    </w:p>
    <w:p w14:paraId="16FC66CC">
      <w:pPr>
        <w:pStyle w:val="style0"/>
        <w:rPr/>
      </w:pPr>
      <w:r>
        <w:rPr>
          <w:rFonts w:hint="eastAsia"/>
        </w:rPr>
        <w:t>3.27</w:t>
      </w:r>
      <w:r>
        <w:rPr>
          <w:rFonts w:hint="eastAsia"/>
        </w:rPr>
        <w:tab/>
      </w:r>
      <w:r>
        <w:rPr>
          <w:rFonts w:hint="eastAsia"/>
        </w:rPr>
        <w:t>具有某时间段内已分包药品种类、数量的报表功能，单种药品的包药流向直观图表功能，病区用药汇总、排序功能。</w:t>
      </w:r>
    </w:p>
    <w:p w14:paraId="75EE3D19">
      <w:pPr>
        <w:pStyle w:val="style0"/>
        <w:rPr/>
      </w:pPr>
      <w:r>
        <w:rPr>
          <w:rFonts w:hint="eastAsia"/>
        </w:rPr>
        <w:t>3.28</w:t>
      </w:r>
      <w:r>
        <w:rPr>
          <w:rFonts w:hint="eastAsia"/>
        </w:rPr>
        <w:tab/>
      </w:r>
      <w:r>
        <w:rPr>
          <w:rFonts w:hint="eastAsia"/>
        </w:rPr>
        <w:t>具备开机自检功能，开机自动弹出每日缺少药品添加信息（可选打印）。</w:t>
      </w:r>
    </w:p>
    <w:p w14:paraId="79BE3906">
      <w:pPr>
        <w:pStyle w:val="style0"/>
        <w:rPr/>
      </w:pPr>
      <w:r>
        <w:rPr>
          <w:rFonts w:hint="eastAsia"/>
        </w:rPr>
        <w:t>3.29</w:t>
      </w:r>
      <w:r>
        <w:rPr>
          <w:rFonts w:hint="eastAsia"/>
        </w:rPr>
        <w:tab/>
      </w:r>
      <w:r>
        <w:rPr>
          <w:rFonts w:hint="eastAsia"/>
        </w:rPr>
        <w:t>具备单品种片剂或胶囊分包的功能，分包药品信息进行自动登记、记忆分配，打印信息可编辑，并具有拆零分包统计功能。</w:t>
      </w:r>
    </w:p>
    <w:p w14:paraId="747AA5A6">
      <w:pPr>
        <w:pStyle w:val="style0"/>
        <w:rPr/>
      </w:pPr>
      <w:r>
        <w:rPr>
          <w:rFonts w:hint="eastAsia"/>
        </w:rPr>
        <w:t>3.30</w:t>
      </w:r>
      <w:r>
        <w:rPr>
          <w:rFonts w:hint="eastAsia"/>
        </w:rPr>
        <w:tab/>
      </w:r>
      <w:r>
        <w:rPr>
          <w:rFonts w:hint="eastAsia"/>
        </w:rPr>
        <w:t>具备医嘱信息、患者信息、药品信息等可永久保存于数据库，便于日后查询。</w:t>
      </w:r>
    </w:p>
    <w:p w14:paraId="399D5B27">
      <w:pPr>
        <w:pStyle w:val="style0"/>
        <w:rPr/>
      </w:pPr>
      <w:r>
        <w:rPr>
          <w:rFonts w:hint="eastAsia"/>
        </w:rPr>
        <w:t>3.31</w:t>
      </w:r>
      <w:r>
        <w:rPr>
          <w:rFonts w:hint="eastAsia"/>
        </w:rPr>
        <w:tab/>
      </w:r>
      <w:r>
        <w:rPr>
          <w:rFonts w:hint="eastAsia"/>
        </w:rPr>
        <w:t>具有安全用药，拍照留档，分包药品可追溯功能。</w:t>
      </w:r>
    </w:p>
    <w:p w14:paraId="6EA535F9">
      <w:pPr>
        <w:pStyle w:val="style0"/>
        <w:rPr/>
      </w:pPr>
      <w:r>
        <w:rPr>
          <w:rFonts w:hint="eastAsia"/>
        </w:rPr>
        <w:t>3.32</w:t>
      </w:r>
      <w:r>
        <w:rPr>
          <w:rFonts w:hint="eastAsia"/>
        </w:rPr>
        <w:tab/>
      </w:r>
      <w:r>
        <w:rPr>
          <w:rFonts w:hint="eastAsia"/>
        </w:rPr>
        <w:t>核对药品录入信息操作简单一键式录入，同一个系统不用重复对接。</w:t>
      </w:r>
    </w:p>
    <w:p w14:paraId="02EB0E1D">
      <w:pPr>
        <w:pStyle w:val="style0"/>
        <w:rPr/>
      </w:pPr>
      <w:r>
        <w:rPr>
          <w:rFonts w:hint="eastAsia"/>
        </w:rPr>
        <w:t>3.33</w:t>
      </w:r>
      <w:r>
        <w:rPr>
          <w:rFonts w:hint="eastAsia"/>
        </w:rPr>
        <w:tab/>
      </w:r>
      <w:r>
        <w:rPr>
          <w:rFonts w:hint="eastAsia"/>
        </w:rPr>
        <w:t>可通过远程升级以及设备诊断。</w:t>
      </w:r>
    </w:p>
    <w:p w14:paraId="5A34B9CC">
      <w:pPr>
        <w:pStyle w:val="style0"/>
        <w:rPr/>
      </w:pPr>
    </w:p>
    <w:p w14:paraId="0EEE6B50">
      <w:pPr>
        <w:pStyle w:val="style0"/>
        <w:rPr/>
      </w:pPr>
    </w:p>
    <w:p w14:paraId="5DFAA70B">
      <w:pPr>
        <w:pStyle w:val="style0"/>
        <w:rPr/>
      </w:pPr>
      <w:r>
        <w:rPr>
          <w:rFonts w:hint="eastAsia"/>
        </w:rPr>
        <w:t>三、配套设备设施参数：</w:t>
      </w:r>
    </w:p>
    <w:tbl>
      <w:tblPr>
        <w:tblStyle w:val="style154"/>
        <w:tblW w:w="1019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2"/>
        <w:gridCol w:w="2694"/>
        <w:gridCol w:w="6938"/>
      </w:tblGrid>
      <w:tr w14:paraId="03BC39FC">
        <w:trPr/>
        <w:tc>
          <w:tcPr>
            <w:tcW w:w="562" w:type="dxa"/>
            <w:tcBorders/>
          </w:tcPr>
          <w:p w14:paraId="124A65FE">
            <w:pPr>
              <w:pStyle w:val="style0"/>
              <w:spacing w:lineRule="auto" w:line="360"/>
              <w:jc w:val="center"/>
              <w:rPr>
                <w:rFonts w:hint="eastAsia"/>
              </w:rPr>
            </w:pPr>
            <w:r>
              <w:rPr>
                <w:rFonts w:hint="eastAsia"/>
              </w:rPr>
              <w:t>序号</w:t>
            </w:r>
          </w:p>
        </w:tc>
        <w:tc>
          <w:tcPr>
            <w:tcW w:w="2694" w:type="dxa"/>
            <w:tcBorders/>
            <w:shd w:val="clear" w:color="auto" w:fill="auto"/>
            <w:vAlign w:val="center"/>
          </w:tcPr>
          <w:p w14:paraId="4B376C48">
            <w:pPr>
              <w:pStyle w:val="style0"/>
              <w:spacing w:lineRule="auto" w:line="360"/>
              <w:jc w:val="center"/>
              <w:rPr>
                <w:rFonts w:hint="eastAsia"/>
              </w:rPr>
            </w:pPr>
            <w:r>
              <w:rPr>
                <w:rFonts w:hint="eastAsia"/>
              </w:rPr>
              <w:t>配套设备</w:t>
            </w:r>
            <w:r>
              <w:rPr>
                <w:rFonts w:hint="eastAsia"/>
              </w:rPr>
              <w:t>/</w:t>
            </w:r>
            <w:r>
              <w:rPr>
                <w:rFonts w:hint="eastAsia"/>
              </w:rPr>
              <w:t>设施</w:t>
            </w:r>
          </w:p>
        </w:tc>
        <w:tc>
          <w:tcPr>
            <w:tcW w:w="6938" w:type="dxa"/>
            <w:tcBorders/>
          </w:tcPr>
          <w:p w14:paraId="2841EA0A">
            <w:pPr>
              <w:pStyle w:val="style0"/>
              <w:spacing w:lineRule="auto" w:line="360"/>
              <w:jc w:val="center"/>
              <w:rPr>
                <w:rFonts w:hint="eastAsia"/>
              </w:rPr>
            </w:pPr>
            <w:r>
              <w:rPr>
                <w:rFonts w:hint="eastAsia"/>
              </w:rPr>
              <w:t>参数要求</w:t>
            </w:r>
          </w:p>
        </w:tc>
      </w:tr>
      <w:tr w14:paraId="75450A20">
        <w:tblPrEx/>
        <w:trPr/>
        <w:tc>
          <w:tcPr>
            <w:tcW w:w="562" w:type="dxa"/>
            <w:tcBorders/>
          </w:tcPr>
          <w:p w14:paraId="7D042346">
            <w:pPr>
              <w:pStyle w:val="style0"/>
              <w:spacing w:lineRule="auto" w:line="360"/>
              <w:jc w:val="center"/>
              <w:rPr>
                <w:rFonts w:hint="eastAsia"/>
              </w:rPr>
            </w:pPr>
          </w:p>
        </w:tc>
        <w:tc>
          <w:tcPr>
            <w:tcW w:w="2694" w:type="dxa"/>
            <w:tcBorders/>
            <w:shd w:val="clear" w:color="auto" w:fill="auto"/>
            <w:vAlign w:val="center"/>
          </w:tcPr>
          <w:p w14:paraId="68F40A89">
            <w:pPr>
              <w:pStyle w:val="style0"/>
              <w:spacing w:lineRule="auto" w:line="360"/>
              <w:jc w:val="center"/>
              <w:rPr/>
            </w:pPr>
            <w:r>
              <w:rPr>
                <w:rFonts w:hint="eastAsia"/>
              </w:rPr>
              <w:t>数粒机</w:t>
            </w:r>
          </w:p>
        </w:tc>
        <w:tc>
          <w:tcPr>
            <w:tcW w:w="6938" w:type="dxa"/>
            <w:tcBorders/>
          </w:tcPr>
          <w:p w14:paraId="3CB42D2F">
            <w:pPr>
              <w:pStyle w:val="style0"/>
              <w:spacing w:lineRule="auto" w:line="360"/>
              <w:jc w:val="center"/>
              <w:rPr>
                <w:rFonts w:hint="eastAsia"/>
              </w:rPr>
            </w:pPr>
            <w:r>
              <w:rPr>
                <w:rFonts w:hint="eastAsia"/>
              </w:rPr>
              <w:t>具备</w:t>
            </w:r>
            <w:r>
              <w:rPr>
                <w:rFonts w:hint="eastAsia"/>
              </w:rPr>
              <w:t>计数</w:t>
            </w:r>
            <w:r>
              <w:rPr>
                <w:rFonts w:hint="eastAsia"/>
              </w:rPr>
              <w:t>数粒功能</w:t>
            </w:r>
            <w:r>
              <w:rPr>
                <w:rFonts w:hint="eastAsia"/>
              </w:rPr>
              <w:t>，</w:t>
            </w:r>
            <w:r>
              <w:rPr>
                <w:rFonts w:hint="eastAsia"/>
              </w:rPr>
              <w:t>3</w:t>
            </w:r>
            <w:r>
              <w:t>0</w:t>
            </w:r>
            <w:bookmarkStart w:id="0" w:name="_GoBack"/>
            <w:bookmarkEnd w:id="0"/>
            <w:r>
              <w:rPr>
                <w:rFonts w:hint="eastAsia"/>
              </w:rPr>
              <w:t xml:space="preserve">0-450 </w:t>
            </w:r>
            <w:r>
              <w:rPr>
                <w:rFonts w:hint="eastAsia"/>
              </w:rPr>
              <w:t>颗</w:t>
            </w:r>
            <w:r>
              <w:rPr>
                <w:rFonts w:hint="eastAsia"/>
              </w:rPr>
              <w:t>/</w:t>
            </w:r>
            <w:r>
              <w:rPr>
                <w:rFonts w:hint="eastAsia"/>
              </w:rPr>
              <w:t>分钟，盘点自动上传数据。</w:t>
            </w:r>
          </w:p>
        </w:tc>
      </w:tr>
      <w:tr w14:paraId="14008AED">
        <w:tblPrEx/>
        <w:trPr/>
        <w:tc>
          <w:tcPr>
            <w:tcW w:w="562" w:type="dxa"/>
            <w:tcBorders/>
          </w:tcPr>
          <w:p w14:paraId="3FD0F95D">
            <w:pPr>
              <w:pStyle w:val="style0"/>
              <w:spacing w:lineRule="auto" w:line="360"/>
              <w:jc w:val="center"/>
              <w:rPr>
                <w:rFonts w:hint="eastAsia"/>
              </w:rPr>
            </w:pPr>
            <w:r>
              <w:rPr>
                <w:rFonts w:hint="eastAsia"/>
              </w:rPr>
              <w:t>1</w:t>
            </w:r>
          </w:p>
        </w:tc>
        <w:tc>
          <w:tcPr>
            <w:tcW w:w="2694" w:type="dxa"/>
            <w:tcBorders/>
            <w:shd w:val="clear" w:color="auto" w:fill="auto"/>
            <w:vAlign w:val="center"/>
          </w:tcPr>
          <w:p w14:paraId="74A25E17">
            <w:pPr>
              <w:pStyle w:val="style0"/>
              <w:spacing w:lineRule="auto" w:line="360"/>
              <w:jc w:val="center"/>
              <w:rPr/>
            </w:pPr>
            <w:r>
              <w:rPr>
                <w:rFonts w:hint="eastAsia"/>
              </w:rPr>
              <w:t>剥药机</w:t>
            </w:r>
          </w:p>
        </w:tc>
        <w:tc>
          <w:tcPr>
            <w:tcW w:w="6938" w:type="dxa"/>
            <w:tcBorders/>
            <w:vAlign w:val="center"/>
          </w:tcPr>
          <w:p w14:paraId="26D26D1B">
            <w:pPr>
              <w:pStyle w:val="style0"/>
              <w:spacing w:lineRule="auto" w:line="360"/>
              <w:jc w:val="center"/>
              <w:rPr>
                <w:rFonts w:hint="eastAsia"/>
              </w:rPr>
            </w:pPr>
            <w:r>
              <w:rPr>
                <w:rFonts w:hint="eastAsia"/>
              </w:rPr>
              <w:t>具备药品厚度调节功能，可将</w:t>
            </w:r>
            <w:r>
              <w:rPr>
                <w:rFonts w:hint="eastAsia"/>
              </w:rPr>
              <w:t xml:space="preserve"> PTP </w:t>
            </w:r>
            <w:r>
              <w:rPr>
                <w:rFonts w:hint="eastAsia"/>
              </w:rPr>
              <w:t>药板中的片剂和胶囊快速剥除。</w:t>
            </w:r>
          </w:p>
        </w:tc>
      </w:tr>
      <w:tr w14:paraId="32927FEC">
        <w:tblPrEx/>
        <w:trPr/>
        <w:tc>
          <w:tcPr>
            <w:tcW w:w="562" w:type="dxa"/>
            <w:tcBorders/>
          </w:tcPr>
          <w:p w14:paraId="174AF58D">
            <w:pPr>
              <w:pStyle w:val="style0"/>
              <w:spacing w:lineRule="auto" w:line="360"/>
              <w:jc w:val="center"/>
              <w:rPr>
                <w:rFonts w:hint="eastAsia"/>
              </w:rPr>
            </w:pPr>
            <w:r>
              <w:rPr>
                <w:rFonts w:hint="eastAsia"/>
              </w:rPr>
              <w:t>2</w:t>
            </w:r>
          </w:p>
        </w:tc>
        <w:tc>
          <w:tcPr>
            <w:tcW w:w="2694" w:type="dxa"/>
            <w:tcBorders/>
            <w:shd w:val="clear" w:color="auto" w:fill="auto"/>
            <w:vAlign w:val="center"/>
          </w:tcPr>
          <w:p w14:paraId="73DE4F3B">
            <w:pPr>
              <w:pStyle w:val="style0"/>
              <w:spacing w:lineRule="auto" w:line="360"/>
              <w:jc w:val="center"/>
              <w:rPr/>
            </w:pPr>
            <w:r>
              <w:rPr>
                <w:rFonts w:hint="eastAsia"/>
              </w:rPr>
              <w:t>智能药盒</w:t>
            </w:r>
          </w:p>
        </w:tc>
        <w:tc>
          <w:tcPr>
            <w:tcW w:w="6938" w:type="dxa"/>
            <w:tcBorders/>
          </w:tcPr>
          <w:p w14:paraId="01BDE0EF">
            <w:pPr>
              <w:pStyle w:val="style0"/>
              <w:spacing w:lineRule="auto" w:line="360"/>
              <w:jc w:val="left"/>
              <w:rPr>
                <w:rFonts w:hint="eastAsia"/>
              </w:rPr>
            </w:pPr>
            <w:r>
              <w:rPr>
                <w:rFonts w:hint="eastAsia"/>
              </w:rPr>
              <w:t>药盒为透明、避光设计，具有防潮、防尘、防紫外线功能，可清洗可拆卸。</w:t>
            </w:r>
          </w:p>
          <w:p w14:paraId="6C6AE160">
            <w:pPr>
              <w:pStyle w:val="style0"/>
              <w:spacing w:lineRule="auto" w:line="360"/>
              <w:jc w:val="left"/>
              <w:rPr>
                <w:rFonts w:hint="eastAsia"/>
              </w:rPr>
            </w:pPr>
            <w:r>
              <w:rPr>
                <w:rFonts w:hint="eastAsia"/>
              </w:rPr>
              <w:t>药盒上具有药物品名、药物样品等信息，方便工作人员加药时核对避免加药差错。</w:t>
            </w:r>
          </w:p>
          <w:p w14:paraId="5B5514B0">
            <w:pPr>
              <w:pStyle w:val="style0"/>
              <w:spacing w:lineRule="auto" w:line="360"/>
              <w:jc w:val="left"/>
              <w:rPr>
                <w:rFonts w:hint="eastAsia"/>
              </w:rPr>
            </w:pPr>
            <w:r>
              <w:rPr>
                <w:rFonts w:hint="eastAsia"/>
              </w:rPr>
              <w:t>药盒可适用大型药粒药品，适用药品最长直径≥</w:t>
            </w:r>
            <w:r>
              <w:rPr>
                <w:rFonts w:hint="eastAsia"/>
              </w:rPr>
              <w:t>22mm</w:t>
            </w:r>
            <w:r>
              <w:rPr>
                <w:rFonts w:hint="eastAsia"/>
              </w:rPr>
              <w:t>。</w:t>
            </w:r>
          </w:p>
          <w:p w14:paraId="1631CEF1">
            <w:pPr>
              <w:pStyle w:val="style0"/>
              <w:spacing w:lineRule="auto" w:line="360"/>
              <w:jc w:val="left"/>
              <w:rPr>
                <w:rFonts w:hint="eastAsia"/>
              </w:rPr>
            </w:pPr>
            <w:r>
              <w:rPr>
                <w:rFonts w:hint="eastAsia"/>
              </w:rPr>
              <w:t>具有附属药盒功能</w:t>
            </w:r>
            <w:r>
              <w:rPr>
                <w:rFonts w:hint="eastAsia"/>
              </w:rPr>
              <w:t>(</w:t>
            </w:r>
            <w:r>
              <w:rPr>
                <w:rFonts w:hint="eastAsia"/>
              </w:rPr>
              <w:t>也称子母药盒</w:t>
            </w:r>
            <w:r>
              <w:rPr>
                <w:rFonts w:hint="eastAsia"/>
              </w:rPr>
              <w:t>)</w:t>
            </w:r>
            <w:r>
              <w:rPr>
                <w:rFonts w:hint="eastAsia"/>
              </w:rPr>
              <w:t>，当某一种药用量特别大时，不同药盒可放置同一种药品，系统自动分配并准确发药。</w:t>
            </w:r>
          </w:p>
        </w:tc>
      </w:tr>
      <w:tr w14:paraId="4085977D">
        <w:tblPrEx/>
        <w:trPr/>
        <w:tc>
          <w:tcPr>
            <w:tcW w:w="562" w:type="dxa"/>
            <w:tcBorders/>
          </w:tcPr>
          <w:p w14:paraId="683D5ED8">
            <w:pPr>
              <w:pStyle w:val="style0"/>
              <w:spacing w:lineRule="auto" w:line="360"/>
              <w:jc w:val="center"/>
              <w:rPr>
                <w:rFonts w:hint="eastAsia"/>
              </w:rPr>
            </w:pPr>
            <w:r>
              <w:rPr>
                <w:rFonts w:hint="eastAsia"/>
              </w:rPr>
              <w:t>3</w:t>
            </w:r>
          </w:p>
        </w:tc>
        <w:tc>
          <w:tcPr>
            <w:tcW w:w="2694" w:type="dxa"/>
            <w:tcBorders/>
            <w:shd w:val="clear" w:color="auto" w:fill="auto"/>
            <w:vAlign w:val="center"/>
          </w:tcPr>
          <w:p w14:paraId="39425362">
            <w:pPr>
              <w:pStyle w:val="style0"/>
              <w:spacing w:lineRule="auto" w:line="360"/>
              <w:jc w:val="center"/>
              <w:rPr/>
            </w:pPr>
            <w:r>
              <w:rPr>
                <w:rFonts w:hint="eastAsia"/>
              </w:rPr>
              <w:t>智能非机储药槽</w:t>
            </w:r>
          </w:p>
        </w:tc>
        <w:tc>
          <w:tcPr>
            <w:tcW w:w="6938" w:type="dxa"/>
            <w:tcBorders/>
          </w:tcPr>
          <w:p w14:paraId="22B51E8A">
            <w:pPr>
              <w:pStyle w:val="style0"/>
              <w:spacing w:lineRule="auto" w:line="360"/>
              <w:jc w:val="center"/>
              <w:rPr>
                <w:rFonts w:hint="eastAsia"/>
              </w:rPr>
            </w:pPr>
            <w:r>
              <w:rPr>
                <w:rFonts w:hint="eastAsia"/>
              </w:rPr>
              <w:t>用于摆放外摆药等非</w:t>
            </w:r>
            <w:r>
              <w:rPr>
                <w:rFonts w:hint="eastAsia"/>
              </w:rPr>
              <w:t>机储药</w:t>
            </w:r>
          </w:p>
        </w:tc>
      </w:tr>
      <w:tr w14:paraId="19C6C502">
        <w:tblPrEx/>
        <w:trPr/>
        <w:tc>
          <w:tcPr>
            <w:tcW w:w="562" w:type="dxa"/>
            <w:tcBorders/>
          </w:tcPr>
          <w:p w14:paraId="7B1CDAD7">
            <w:pPr>
              <w:pStyle w:val="style0"/>
              <w:spacing w:lineRule="auto" w:line="360"/>
              <w:jc w:val="center"/>
              <w:rPr>
                <w:rFonts w:hint="eastAsia"/>
              </w:rPr>
            </w:pPr>
            <w:r>
              <w:rPr>
                <w:rFonts w:hint="eastAsia"/>
              </w:rPr>
              <w:t>4</w:t>
            </w:r>
          </w:p>
        </w:tc>
        <w:tc>
          <w:tcPr>
            <w:tcW w:w="2694" w:type="dxa"/>
            <w:tcBorders/>
            <w:shd w:val="clear" w:color="auto" w:fill="auto"/>
            <w:vAlign w:val="center"/>
          </w:tcPr>
          <w:p w14:paraId="60117BC9">
            <w:pPr>
              <w:pStyle w:val="style0"/>
              <w:spacing w:lineRule="auto" w:line="360"/>
              <w:jc w:val="center"/>
              <w:rPr/>
            </w:pPr>
            <w:r>
              <w:rPr>
                <w:rFonts w:hint="eastAsia"/>
              </w:rPr>
              <w:t>核对控制面板</w:t>
            </w:r>
          </w:p>
        </w:tc>
        <w:tc>
          <w:tcPr>
            <w:tcW w:w="6938" w:type="dxa"/>
            <w:tcBorders/>
          </w:tcPr>
          <w:p w14:paraId="471E59A6">
            <w:pPr>
              <w:pStyle w:val="style0"/>
              <w:spacing w:lineRule="auto" w:line="360"/>
              <w:jc w:val="center"/>
              <w:rPr>
                <w:rFonts w:hint="eastAsia"/>
              </w:rPr>
            </w:pPr>
            <w:r>
              <w:rPr>
                <w:rFonts w:hint="eastAsia"/>
              </w:rPr>
              <w:t>外挂用核对电脑一体显示器，外挂电脑信息显示系统液晶触摸屏，显示器可以自由调节角度，方便药师操作。</w:t>
            </w:r>
          </w:p>
        </w:tc>
      </w:tr>
      <w:tr w14:paraId="56DEAC13">
        <w:tblPrEx/>
        <w:trPr/>
        <w:tc>
          <w:tcPr>
            <w:tcW w:w="562" w:type="dxa"/>
            <w:tcBorders/>
          </w:tcPr>
          <w:p w14:paraId="4C1919C3">
            <w:pPr>
              <w:pStyle w:val="style0"/>
              <w:spacing w:lineRule="auto" w:line="360"/>
              <w:jc w:val="center"/>
              <w:rPr>
                <w:rFonts w:hint="eastAsia"/>
              </w:rPr>
            </w:pPr>
            <w:r>
              <w:t>5</w:t>
            </w:r>
          </w:p>
        </w:tc>
        <w:tc>
          <w:tcPr>
            <w:tcW w:w="2694" w:type="dxa"/>
            <w:tcBorders/>
            <w:shd w:val="clear" w:color="auto" w:fill="auto"/>
            <w:vAlign w:val="center"/>
          </w:tcPr>
          <w:p w14:paraId="7980A248">
            <w:pPr>
              <w:pStyle w:val="style0"/>
              <w:spacing w:lineRule="auto" w:line="360"/>
              <w:jc w:val="center"/>
              <w:rPr/>
            </w:pPr>
            <w:r>
              <w:rPr>
                <w:rFonts w:hint="eastAsia"/>
              </w:rPr>
              <w:t>分包控制面板</w:t>
            </w:r>
          </w:p>
        </w:tc>
        <w:tc>
          <w:tcPr>
            <w:tcW w:w="6938" w:type="dxa"/>
            <w:tcBorders/>
          </w:tcPr>
          <w:p w14:paraId="38DFF99C">
            <w:pPr>
              <w:pStyle w:val="style0"/>
              <w:spacing w:lineRule="auto" w:line="360"/>
              <w:jc w:val="center"/>
              <w:rPr>
                <w:rFonts w:hint="eastAsia"/>
              </w:rPr>
            </w:pPr>
            <w:r>
              <w:rPr>
                <w:rFonts w:hint="eastAsia"/>
              </w:rPr>
              <w:t>可用于控制药品分包种类，科室等</w:t>
            </w:r>
          </w:p>
        </w:tc>
      </w:tr>
      <w:tr w14:paraId="34F9DF97">
        <w:tblPrEx/>
        <w:trPr/>
        <w:tc>
          <w:tcPr>
            <w:tcW w:w="562" w:type="dxa"/>
            <w:tcBorders/>
          </w:tcPr>
          <w:p w14:paraId="24F4BF04">
            <w:pPr>
              <w:pStyle w:val="style0"/>
              <w:spacing w:lineRule="auto" w:line="360"/>
              <w:jc w:val="center"/>
              <w:rPr>
                <w:rFonts w:hint="eastAsia"/>
              </w:rPr>
            </w:pPr>
            <w:r>
              <w:t>6</w:t>
            </w:r>
          </w:p>
        </w:tc>
        <w:tc>
          <w:tcPr>
            <w:tcW w:w="2694" w:type="dxa"/>
            <w:tcBorders/>
            <w:shd w:val="clear" w:color="auto" w:fill="auto"/>
            <w:vAlign w:val="center"/>
          </w:tcPr>
          <w:p w14:paraId="377C41ED">
            <w:pPr>
              <w:pStyle w:val="style0"/>
              <w:spacing w:lineRule="auto" w:line="360"/>
              <w:jc w:val="center"/>
              <w:rPr/>
            </w:pPr>
            <w:r>
              <w:rPr>
                <w:rFonts w:hint="eastAsia"/>
              </w:rPr>
              <w:t>移动液晶平板电脑</w:t>
            </w:r>
          </w:p>
        </w:tc>
        <w:tc>
          <w:tcPr>
            <w:tcW w:w="6938" w:type="dxa"/>
            <w:tcBorders/>
          </w:tcPr>
          <w:p w14:paraId="2349F29B">
            <w:pPr>
              <w:pStyle w:val="style0"/>
              <w:spacing w:lineRule="auto" w:line="360"/>
              <w:jc w:val="center"/>
              <w:rPr>
                <w:rFonts w:hint="eastAsia"/>
              </w:rPr>
            </w:pPr>
            <w:r>
              <w:rPr>
                <w:rFonts w:hint="eastAsia"/>
              </w:rPr>
              <w:t>配备可移动平板电脑，实现移动办公。具备电动药柜，每个电动药柜触摸液晶显示屏，显示温度、湿度、直观、智能、方便操作。</w:t>
            </w:r>
          </w:p>
        </w:tc>
      </w:tr>
      <w:tr w14:paraId="2B08C939">
        <w:tblPrEx/>
        <w:trPr/>
        <w:tc>
          <w:tcPr>
            <w:tcW w:w="562" w:type="dxa"/>
            <w:tcBorders/>
          </w:tcPr>
          <w:p w14:paraId="21B02A26">
            <w:pPr>
              <w:pStyle w:val="style0"/>
              <w:spacing w:lineRule="auto" w:line="360"/>
              <w:jc w:val="center"/>
              <w:rPr>
                <w:rFonts w:hint="eastAsia"/>
              </w:rPr>
            </w:pPr>
            <w:r>
              <w:rPr>
                <w:rFonts w:hint="eastAsia"/>
              </w:rPr>
              <w:t>7</w:t>
            </w:r>
          </w:p>
        </w:tc>
        <w:tc>
          <w:tcPr>
            <w:tcW w:w="2694" w:type="dxa"/>
            <w:tcBorders/>
            <w:shd w:val="clear" w:color="auto" w:fill="auto"/>
            <w:vAlign w:val="center"/>
          </w:tcPr>
          <w:p w14:paraId="71036A10">
            <w:pPr>
              <w:pStyle w:val="style0"/>
              <w:spacing w:lineRule="auto" w:line="360"/>
              <w:jc w:val="center"/>
              <w:rPr/>
            </w:pPr>
            <w:r>
              <w:rPr>
                <w:rFonts w:hint="eastAsia"/>
              </w:rPr>
              <w:t>AI</w:t>
            </w:r>
            <w:r>
              <w:rPr>
                <w:rFonts w:hint="eastAsia"/>
              </w:rPr>
              <w:t>人工智能核对系统</w:t>
            </w:r>
          </w:p>
        </w:tc>
        <w:tc>
          <w:tcPr>
            <w:tcW w:w="6938" w:type="dxa"/>
            <w:tcBorders/>
          </w:tcPr>
          <w:p w14:paraId="2AEA9FFB">
            <w:pPr>
              <w:pStyle w:val="style0"/>
              <w:spacing w:lineRule="auto" w:line="360"/>
              <w:jc w:val="center"/>
              <w:rPr>
                <w:rFonts w:hint="eastAsia"/>
              </w:rPr>
            </w:pPr>
            <w:r>
              <w:rPr>
                <w:rFonts w:hint="eastAsia"/>
              </w:rPr>
              <w:t>配备内置智能视觉核对系统，新增药品无需人工拍照录入，设备可一键式拍照录入功能。</w:t>
            </w:r>
          </w:p>
        </w:tc>
      </w:tr>
      <w:tr w14:paraId="570DAAF3">
        <w:tblPrEx/>
        <w:trPr/>
        <w:tc>
          <w:tcPr>
            <w:tcW w:w="562" w:type="dxa"/>
            <w:tcBorders/>
          </w:tcPr>
          <w:p w14:paraId="059E353E">
            <w:pPr>
              <w:pStyle w:val="style0"/>
              <w:spacing w:lineRule="auto" w:line="360"/>
              <w:jc w:val="center"/>
              <w:rPr>
                <w:rFonts w:hint="eastAsia"/>
              </w:rPr>
            </w:pPr>
            <w:r>
              <w:rPr>
                <w:rFonts w:hint="eastAsia"/>
              </w:rPr>
              <w:t>8</w:t>
            </w:r>
          </w:p>
        </w:tc>
        <w:tc>
          <w:tcPr>
            <w:tcW w:w="2694" w:type="dxa"/>
            <w:tcBorders/>
            <w:shd w:val="clear" w:color="auto" w:fill="auto"/>
            <w:vAlign w:val="center"/>
          </w:tcPr>
          <w:p w14:paraId="0B1C4848">
            <w:pPr>
              <w:pStyle w:val="style0"/>
              <w:spacing w:lineRule="auto" w:line="360"/>
              <w:jc w:val="center"/>
              <w:rPr/>
            </w:pPr>
            <w:r>
              <w:rPr>
                <w:rFonts w:hint="eastAsia"/>
              </w:rPr>
              <w:t>分包机操控软件系统</w:t>
            </w:r>
          </w:p>
        </w:tc>
        <w:tc>
          <w:tcPr>
            <w:tcW w:w="6938" w:type="dxa"/>
            <w:tcBorders/>
          </w:tcPr>
          <w:p w14:paraId="590342BE">
            <w:pPr>
              <w:pStyle w:val="style0"/>
              <w:spacing w:lineRule="auto" w:line="360"/>
              <w:jc w:val="left"/>
              <w:rPr/>
            </w:pPr>
            <w:r>
              <w:rPr>
                <w:rFonts w:hint="eastAsia"/>
              </w:rPr>
              <w:t>设备内自带操作软件</w:t>
            </w:r>
          </w:p>
          <w:p w14:paraId="64B1E8FC">
            <w:pPr>
              <w:pStyle w:val="style0"/>
              <w:spacing w:lineRule="auto" w:line="360"/>
              <w:jc w:val="left"/>
              <w:rPr>
                <w:rFonts w:hint="eastAsia"/>
              </w:rPr>
            </w:pPr>
            <w:r>
              <w:rPr>
                <w:rFonts w:hint="eastAsia"/>
              </w:rPr>
              <w:t>具备全中文操作系统，支持一维条码和二维条码的识别。</w:t>
            </w:r>
          </w:p>
          <w:p w14:paraId="02CF5F11">
            <w:pPr>
              <w:pStyle w:val="style0"/>
              <w:spacing w:lineRule="auto" w:line="360"/>
              <w:jc w:val="left"/>
              <w:rPr>
                <w:rFonts w:hint="eastAsia"/>
              </w:rPr>
            </w:pPr>
            <w:r>
              <w:rPr>
                <w:rFonts w:hint="eastAsia"/>
              </w:rPr>
              <w:t>具备药品实时盘点，药品消耗统计，药品种类、存量、用量、批次等信息管理</w:t>
            </w:r>
          </w:p>
        </w:tc>
      </w:tr>
      <w:tr w14:paraId="1639914F">
        <w:tblPrEx/>
        <w:trPr/>
        <w:tc>
          <w:tcPr>
            <w:tcW w:w="562" w:type="dxa"/>
            <w:tcBorders/>
          </w:tcPr>
          <w:p w14:paraId="794A1B52">
            <w:pPr>
              <w:pStyle w:val="style0"/>
              <w:spacing w:lineRule="auto" w:line="360"/>
              <w:jc w:val="center"/>
              <w:rPr>
                <w:rFonts w:hint="eastAsia"/>
              </w:rPr>
            </w:pPr>
            <w:r>
              <w:rPr>
                <w:rFonts w:hint="eastAsia"/>
              </w:rPr>
              <w:t>9</w:t>
            </w:r>
          </w:p>
        </w:tc>
        <w:tc>
          <w:tcPr>
            <w:tcW w:w="2694" w:type="dxa"/>
            <w:tcBorders/>
            <w:shd w:val="clear" w:color="auto" w:fill="auto"/>
            <w:vAlign w:val="center"/>
          </w:tcPr>
          <w:p w14:paraId="42642057">
            <w:pPr>
              <w:pStyle w:val="style0"/>
              <w:spacing w:lineRule="auto" w:line="360"/>
              <w:jc w:val="center"/>
              <w:rPr/>
            </w:pPr>
            <w:r>
              <w:rPr>
                <w:rFonts w:hint="eastAsia"/>
              </w:rPr>
              <w:t>包药机接口分发软件</w:t>
            </w:r>
          </w:p>
        </w:tc>
        <w:tc>
          <w:tcPr>
            <w:tcW w:w="6938" w:type="dxa"/>
            <w:tcBorders/>
          </w:tcPr>
          <w:p w14:paraId="5FB9AC77">
            <w:pPr>
              <w:pStyle w:val="style0"/>
              <w:spacing w:lineRule="auto" w:line="360"/>
              <w:jc w:val="center"/>
              <w:rPr>
                <w:rFonts w:hint="eastAsia"/>
              </w:rPr>
            </w:pPr>
            <w:r>
              <w:rPr>
                <w:rFonts w:hint="eastAsia"/>
              </w:rPr>
              <w:t>具备医嘱信息、患者信息、药品信息</w:t>
            </w:r>
            <w:r>
              <w:rPr>
                <w:rFonts w:hint="eastAsia"/>
              </w:rPr>
              <w:t>传输分发功能</w:t>
            </w:r>
            <w:r>
              <w:rPr>
                <w:rFonts w:hint="eastAsia"/>
              </w:rPr>
              <w:t>等可永久保存于数据库</w:t>
            </w:r>
          </w:p>
        </w:tc>
      </w:tr>
      <w:tr w14:paraId="3BF87128">
        <w:tblPrEx/>
        <w:trPr/>
        <w:tc>
          <w:tcPr>
            <w:tcW w:w="562" w:type="dxa"/>
            <w:tcBorders/>
          </w:tcPr>
          <w:p w14:paraId="49F4DE6B">
            <w:pPr>
              <w:pStyle w:val="style0"/>
              <w:spacing w:lineRule="auto" w:line="360"/>
              <w:jc w:val="center"/>
              <w:rPr>
                <w:rFonts w:hint="eastAsia"/>
              </w:rPr>
            </w:pPr>
            <w:r>
              <w:t>10</w:t>
            </w:r>
          </w:p>
        </w:tc>
        <w:tc>
          <w:tcPr>
            <w:tcW w:w="2694" w:type="dxa"/>
            <w:tcBorders/>
            <w:shd w:val="clear" w:color="auto" w:fill="auto"/>
            <w:vAlign w:val="center"/>
          </w:tcPr>
          <w:p w14:paraId="39884629">
            <w:pPr>
              <w:pStyle w:val="style0"/>
              <w:spacing w:lineRule="auto" w:line="360"/>
              <w:jc w:val="center"/>
              <w:rPr/>
            </w:pPr>
            <w:r>
              <w:rPr>
                <w:rFonts w:hint="eastAsia"/>
              </w:rPr>
              <w:t>基础维修工具包</w:t>
            </w:r>
          </w:p>
        </w:tc>
        <w:tc>
          <w:tcPr>
            <w:tcW w:w="6938" w:type="dxa"/>
            <w:tcBorders/>
          </w:tcPr>
          <w:p w14:paraId="1599B034">
            <w:pPr>
              <w:pStyle w:val="style0"/>
              <w:spacing w:lineRule="auto" w:line="360"/>
              <w:jc w:val="center"/>
              <w:rPr>
                <w:rFonts w:hint="eastAsia"/>
              </w:rPr>
            </w:pPr>
            <w:r>
              <w:rPr>
                <w:rFonts w:ascii="宋体" w:cs="宋体" w:hAnsi="宋体" w:hint="eastAsia"/>
                <w:bCs/>
                <w:szCs w:val="21"/>
              </w:rPr>
              <w:t>分包核对一体机日常基础维修工具包</w:t>
            </w:r>
            <w:r>
              <w:rPr>
                <w:rFonts w:ascii="宋体" w:cs="宋体" w:hAnsi="宋体" w:hint="eastAsia"/>
                <w:bCs/>
                <w:szCs w:val="21"/>
              </w:rPr>
              <w:t>，能覆盖日常小型维修工作</w:t>
            </w:r>
          </w:p>
        </w:tc>
      </w:tr>
      <w:tr w14:paraId="0AA72009">
        <w:tblPrEx/>
        <w:trPr>
          <w:trHeight w:val="70" w:hRule="atLeast"/>
        </w:trPr>
        <w:tc>
          <w:tcPr>
            <w:tcW w:w="562" w:type="dxa"/>
            <w:tcBorders/>
          </w:tcPr>
          <w:p w14:paraId="3854EB8F">
            <w:pPr>
              <w:pStyle w:val="style0"/>
              <w:spacing w:lineRule="auto" w:line="360"/>
              <w:jc w:val="center"/>
              <w:rPr>
                <w:rFonts w:hint="eastAsia"/>
              </w:rPr>
            </w:pPr>
            <w:r>
              <w:rPr>
                <w:rFonts w:hint="eastAsia"/>
              </w:rPr>
              <w:t>1</w:t>
            </w:r>
            <w:r>
              <w:t>1</w:t>
            </w:r>
          </w:p>
        </w:tc>
        <w:tc>
          <w:tcPr>
            <w:tcW w:w="2694" w:type="dxa"/>
            <w:tcBorders/>
            <w:shd w:val="clear" w:color="auto" w:fill="auto"/>
            <w:vAlign w:val="center"/>
          </w:tcPr>
          <w:p w14:paraId="4519D257">
            <w:pPr>
              <w:pStyle w:val="style0"/>
              <w:spacing w:lineRule="auto" w:line="360"/>
              <w:jc w:val="center"/>
              <w:rPr/>
            </w:pPr>
            <w:r>
              <w:rPr>
                <w:rFonts w:hint="eastAsia"/>
              </w:rPr>
              <w:t>使用说明书</w:t>
            </w:r>
            <w:r>
              <w:rPr>
                <w:rFonts w:hint="eastAsia"/>
              </w:rPr>
              <w:t>/</w:t>
            </w:r>
            <w:r>
              <w:rPr>
                <w:rFonts w:hint="eastAsia"/>
              </w:rPr>
              <w:t>操作手册</w:t>
            </w:r>
          </w:p>
        </w:tc>
        <w:tc>
          <w:tcPr>
            <w:tcW w:w="6938" w:type="dxa"/>
            <w:tcBorders/>
          </w:tcPr>
          <w:p w14:paraId="3A0110A1">
            <w:pPr>
              <w:pStyle w:val="style0"/>
              <w:spacing w:lineRule="auto" w:line="360"/>
              <w:jc w:val="center"/>
              <w:rPr>
                <w:rFonts w:hint="eastAsia"/>
              </w:rPr>
            </w:pPr>
            <w:r>
              <w:rPr>
                <w:rFonts w:ascii="宋体" w:cs="宋体" w:hAnsi="宋体" w:hint="eastAsia"/>
                <w:bCs/>
                <w:szCs w:val="21"/>
              </w:rPr>
              <w:t>分包核对一体机使用说明书/操作手册</w:t>
            </w:r>
            <w:r>
              <w:rPr>
                <w:rFonts w:ascii="宋体" w:cs="宋体" w:hAnsi="宋体" w:hint="eastAsia"/>
                <w:bCs/>
                <w:szCs w:val="21"/>
              </w:rPr>
              <w:t>，要求能按手册指引完成设备的使用操作。</w:t>
            </w:r>
          </w:p>
        </w:tc>
      </w:tr>
    </w:tbl>
    <w:p w14:paraId="11D9BB53">
      <w:pPr>
        <w:pStyle w:val="style0"/>
        <w:rPr>
          <w:rFonts w:hint="eastAsia"/>
        </w:rPr>
      </w:pPr>
    </w:p>
    <w:p w14:paraId="0B681AEF">
      <w:pPr>
        <w:pStyle w:val="style0"/>
        <w:rPr/>
      </w:pPr>
    </w:p>
    <w:sectPr>
      <w:headerReference w:type="even" r:id="rId2"/>
      <w:headerReference w:type="default" r:id="rId3"/>
      <w:pgSz w:w="11906" w:h="16838" w:orient="portrait"/>
      <w:pgMar w:top="567" w:right="851" w:bottom="561" w:left="851"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altName w:val="Times New Roman"/>
    <w:panose1 w:val="02020603050004020304"/>
    <w:charset w:val="00"/>
    <w:family w:val="roman"/>
    <w:pitch w:val="variable"/>
    <w:sig w:usb0="E0002EFF" w:usb1="C000785B" w:usb2="00000009" w:usb3="00000000" w:csb0="000001FF" w:csb1="00000000"/>
  </w:font>
  <w:font w:name="宋体">
    <w:altName w:val="SimSun"/>
    <w:panose1 w:val="02010600030001010101"/>
    <w:charset w:val="86"/>
    <w:family w:val="auto"/>
    <w:pitch w:val="variable"/>
    <w:sig w:usb0="00000203" w:usb1="288F0000" w:usb2="00000016" w:usb3="00000000" w:csb0="00040001" w:csb1="00000000"/>
  </w:font>
  <w:font w:name="Vrinda">
    <w:altName w:val="Courier New"/>
    <w:panose1 w:val="00000400000000000000"/>
    <w:charset w:val="00"/>
    <w:family w:val="swiss"/>
    <w:pitch w:val="default"/>
    <w:sig w:usb0="00000000" w:usb1="00000000" w:usb2="00000000" w:usb3="00000000" w:csb0="00000001" w:csb1="00000000"/>
  </w:font>
  <w:font w:name="仿宋">
    <w:altName w:val="仿宋"/>
    <w:panose1 w:val="02010609060001010101"/>
    <w:charset w:val="86"/>
    <w:family w:val="modern"/>
    <w:pitch w:val="fixed"/>
    <w:sig w:usb0="800002BF" w:usb1="38CF7CFA" w:usb2="00000016" w:usb3="00000000" w:csb0="00040001" w:csb1="00000000"/>
  </w:font>
  <w:font w:name="Cambria">
    <w:altName w:val="Cambria"/>
    <w:panose1 w:val="02040503050004030204"/>
    <w:charset w:val="00"/>
    <w:family w:val="roman"/>
    <w:pitch w:val="variable"/>
    <w:sig w:usb0="E00006FF" w:usb1="420024FF" w:usb2="02000000" w:usb3="00000000" w:csb0="0000019F" w:csb1="00000000"/>
  </w:font>
  <w:font w:name="Calibri">
    <w:altName w:val="Calibri"/>
    <w:panose1 w:val="020f0502020002030204"/>
    <w:charset w:val="00"/>
    <w:family w:val="swiss"/>
    <w:pitch w:val="variable"/>
    <w:sig w:usb0="E4002EFF" w:usb1="C000247B" w:usb2="00000009" w:usb3="00000000" w:csb0="000001FF" w:csb1="00000000"/>
  </w:font>
  <w:font w:name="??">
    <w:altName w:val="Times New Roman"/>
    <w:panose1 w:val="00000000000000000000"/>
    <w:charset w:val="00"/>
    <w:family w:val="roman"/>
    <w:pitch w:val="default"/>
    <w:sig w:usb0="00000000" w:usb1="00000000" w:usb2="00000000" w:usb3="00000000" w:csb0="00000001" w:csb1="00000000"/>
  </w:font>
</w:fonts>
</file>

<file path=word/header1.xml><?xml version="1.0" encoding="utf-8"?>
<w:hdr xmlns:w="http://schemas.openxmlformats.org/wordprocessingml/2006/main" xmlns:wp="http://schemas.openxmlformats.org/drawingml/2006/wordprocessingDrawing" xmlns:r="http://schemas.openxmlformats.org/officeDocument/2006/relationships" xmlns:v="urn:schemas-microsoft-com:vml" xmlns:w10="urn:schemas-microsoft-com:office:word" xmlns:o="urn:schemas-microsoft-com:office:office" xmlns:wp14="http://schemas.microsoft.com/office/word/2010/wordprocessingDrawing" xmlns:w14="http://schemas.microsoft.com/office/word/2010/wordml" xmlns:mc="http://schemas.openxmlformats.org/markup-compatibility/2006" xmlns:m="http://schemas.openxmlformats.org/officeDocument/2006/math" xmlns:wps="http://schemas.microsoft.com/office/word/2010/wordprocessingShape" xmlns:wpg="http://schemas.microsoft.com/office/word/2010/wordprocessingGroup" xmlns:wpi="http://schemas.microsoft.com/office/word/2010/wordprocessingInk" xmlns:wpc="http://schemas.microsoft.com/office/word/2010/wordprocessingCanvas" xmlns:wpsCustomData="http://www.wps.cn/officeDocument/2013/wpsCustomData" mc:Ignorable="w14 wp14">
  <w:p w14:paraId="266B6A1C">
    <w:pPr>
      <w:pStyle w:val="style31"/>
      <w:pBdr>
        <w:bottom w:val="none" w:sz="0" w:space="0" w:color="auto"/>
      </w:pBdr>
      <w:rPr/>
    </w:pPr>
  </w:p>
</w:hdr>
</file>

<file path=word/header2.xml><?xml version="1.0" encoding="utf-8"?>
<w:hdr xmlns:w="http://schemas.openxmlformats.org/wordprocessingml/2006/main" xmlns:wp="http://schemas.openxmlformats.org/drawingml/2006/wordprocessingDrawing" xmlns:r="http://schemas.openxmlformats.org/officeDocument/2006/relationships" xmlns:v="urn:schemas-microsoft-com:vml" xmlns:w10="urn:schemas-microsoft-com:office:word" xmlns:o="urn:schemas-microsoft-com:office:office" xmlns:wp14="http://schemas.microsoft.com/office/word/2010/wordprocessingDrawing" xmlns:w14="http://schemas.microsoft.com/office/word/2010/wordml" xmlns:mc="http://schemas.openxmlformats.org/markup-compatibility/2006" xmlns:m="http://schemas.openxmlformats.org/officeDocument/2006/math" xmlns:wps="http://schemas.microsoft.com/office/word/2010/wordprocessingShape" xmlns:wpg="http://schemas.microsoft.com/office/word/2010/wordprocessingGroup" xmlns:wpi="http://schemas.microsoft.com/office/word/2010/wordprocessingInk" xmlns:wpc="http://schemas.microsoft.com/office/word/2010/wordprocessingCanvas" xmlns:wpsCustomData="http://www.wps.cn/officeDocument/2013/wpsCustomData" mc:Ignorable="w14 wp14">
  <w:p w14:paraId="3E264337">
    <w:pPr>
      <w:pStyle w:val="style31"/>
      <w:pBdr>
        <w:bottom w:val="none" w:sz="0" w:space="0" w:color="auto"/>
      </w:pBdr>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package/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0"/>
    <w:multiLevelType w:val="multilevel"/>
    <w:tmpl w:val="00000001"/>
    <w:lvl w:ilvl="0">
      <w:start w:val="1"/>
      <w:numFmt w:val="chineseCountingThousand"/>
      <w:lvlText w:val="%1、"/>
      <w:lvlJc w:val="left"/>
      <w:pPr>
        <w:tabs>
          <w:tab w:val="left" w:leader="none" w:pos="420"/>
        </w:tabs>
        <w:ind w:left="420" w:hanging="420"/>
      </w:pPr>
      <w:rPr>
        <w:rFonts w:cs="Times New Roman"/>
      </w:rPr>
    </w:lvl>
    <w:lvl w:ilvl="1">
      <w:start w:val="1"/>
      <w:numFmt w:val="decimal"/>
      <w:pStyle w:val="style2"/>
      <w:lvlText w:val="%1.%2"/>
      <w:lvlJc w:val="left"/>
      <w:pPr>
        <w:ind w:left="718" w:hanging="576"/>
      </w:pPr>
      <w:rPr>
        <w:rFonts w:cs="Times New Roman"/>
        <w:b w:val="false"/>
        <w:bCs w:val="false"/>
        <w:i w:val="false"/>
        <w:iCs w:val="false"/>
        <w:caps w:val="false"/>
        <w:smallCaps w:val="false"/>
        <w:color w:val="000000"/>
        <w:spacing w:val="0"/>
        <w:position w:val="0"/>
        <w:u w:val="none"/>
      </w:rPr>
    </w:lvl>
    <w:lvl w:ilvl="2">
      <w:start w:val="1"/>
      <w:numFmt w:val="decimal"/>
      <w:lvlText w:val="%3."/>
      <w:lvlJc w:val="left"/>
      <w:pPr>
        <w:tabs>
          <w:tab w:val="left" w:leader="none" w:pos="420"/>
        </w:tabs>
        <w:ind w:left="420" w:hanging="420"/>
      </w:pPr>
      <w:rPr>
        <w:rFonts w:cs="Times New Roman"/>
      </w:rPr>
    </w:lvl>
    <w:lvl w:ilvl="3">
      <w:start w:val="1"/>
      <w:numFmt w:val="decimal"/>
      <w:pStyle w:val="style4"/>
      <w:lvlText w:val="%1.%2.%3.%4"/>
      <w:lvlJc w:val="left"/>
      <w:pPr>
        <w:ind w:left="864" w:hanging="864"/>
      </w:pPr>
      <w:rPr>
        <w:rFonts w:cs="Times New Roman"/>
      </w:rPr>
    </w:lvl>
    <w:lvl w:ilvl="4">
      <w:start w:val="1"/>
      <w:numFmt w:val="decimal"/>
      <w:pStyle w:val="style5"/>
      <w:lvlText w:val="%1.%2.%3.%4.%5"/>
      <w:lvlJc w:val="left"/>
      <w:pPr>
        <w:ind w:left="1008" w:hanging="1008"/>
      </w:pPr>
      <w:rPr>
        <w:rFonts w:cs="Times New Roman"/>
      </w:rPr>
    </w:lvl>
    <w:lvl w:ilvl="5">
      <w:start w:val="1"/>
      <w:numFmt w:val="decimal"/>
      <w:pStyle w:val="style6"/>
      <w:lvlText w:val="%1.%2.%3.%4.%5.%6"/>
      <w:lvlJc w:val="left"/>
      <w:pPr>
        <w:ind w:left="1152" w:hanging="1152"/>
      </w:pPr>
      <w:rPr>
        <w:rFonts w:cs="Times New Roman"/>
      </w:rPr>
    </w:lvl>
    <w:lvl w:ilvl="6">
      <w:start w:val="1"/>
      <w:numFmt w:val="decimal"/>
      <w:pStyle w:val="style7"/>
      <w:lvlText w:val="%1.%2.%3.%4.%5.%6.%7"/>
      <w:lvlJc w:val="left"/>
      <w:pPr>
        <w:ind w:left="1296" w:hanging="1296"/>
      </w:pPr>
      <w:rPr>
        <w:rFonts w:cs="Times New Roman"/>
      </w:rPr>
    </w:lvl>
    <w:lvl w:ilvl="7">
      <w:start w:val="1"/>
      <w:numFmt w:val="decimal"/>
      <w:pStyle w:val="style8"/>
      <w:lvlText w:val="%1.%2.%3.%4.%5.%6.%7.%8"/>
      <w:lvlJc w:val="left"/>
      <w:pPr>
        <w:ind w:left="1440" w:hanging="1440"/>
      </w:pPr>
      <w:rPr>
        <w:rFonts w:cs="Times New Roman"/>
      </w:rPr>
    </w:lvl>
    <w:lvl w:ilvl="8">
      <w:start w:val="1"/>
      <w:numFmt w:val="decimal"/>
      <w:pStyle w:val="style9"/>
      <w:lvlText w:val="%1.%2.%3.%4.%5.%6.%7.%8.%9"/>
      <w:lvlJc w:val="left"/>
      <w:pPr>
        <w:ind w:left="1584" w:hanging="1584"/>
      </w:pPr>
      <w:rPr>
        <w:rFonts w:cs="Times New Roman"/>
      </w:rPr>
    </w:lvl>
  </w:abstractNum>
  <w:abstractNum w:abstractNumId="1">
    <w:nsid w:val="00000001"/>
    <w:multiLevelType w:val="multilevel"/>
    <w:tmpl w:val="0053208E"/>
    <w:lvl w:ilvl="0">
      <w:start w:val="1"/>
      <w:numFmt w:val="japaneseCounting"/>
      <w:pStyle w:val="style1"/>
      <w:lvlText w:val="%1、"/>
      <w:lvlJc w:val="left"/>
      <w:pPr>
        <w:ind w:left="750" w:hanging="750"/>
      </w:pPr>
      <w:rPr>
        <w:rFonts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2">
    <w:nsid w:val="00000002"/>
    <w:multiLevelType w:val="singleLevel"/>
    <w:tmpl w:val="013B9619"/>
    <w:lvl w:ilvl="0">
      <w:start w:val="1"/>
      <w:numFmt w:val="chineseCounting"/>
      <w:suff w:val="nothing"/>
      <w:lvlText w:val="%1、"/>
      <w:lvlJc w:val="left"/>
      <w:pPr/>
      <w:rPr>
        <w:rFonts w:hint="eastAsia"/>
      </w:rPr>
    </w:lvl>
  </w:abstractNum>
  <w:num w:numId="1">
    <w:abstractNumId w:val="1"/>
  </w:num>
  <w:num w:numId="2">
    <w:abstractNumId w:val="0"/>
  </w:num>
  <w:num w:numId="3">
    <w:abstractNumId w:val="2"/>
  </w:num>
</w:numbering>
</file>

<file path=word/settings.xml><?xml version="1.0" encoding="utf-8"?>
<w:settings xmlns:w="http://schemas.openxmlformats.org/wordprocessingml/2006/main" xmlns:r="http://schemas.openxmlformats.org/officeDocument/2006/relationships" xmlns:m="http://schemas.openxmlformats.org/officeDocument/2006/math">
  <w:zoom w:percent="100"/>
  <w:bordersDoNotSurroundHeader/>
  <w:bordersDoNotSurroundFooter/>
  <w:proofState w:spelling="clean" w:grammar="clean"/>
  <w:stylePaneFormatFilter w:val="5024" w:allStyles="0" w:customStyles="0" w:latentStyles="1" w:stylesInUse="0" w:headingStyles="1" w:numberingStyles="0" w:tableStyles="0" w:directFormattingOnRuns="0" w:directFormattingOnParagraphs="0" w:directFormattingOnNumbering="0" w:directFormattingOnTables="0" w:clearFormatting="1" w:top3HeadingStyles="0" w:visibleStyles="1" w:alternateStyleNames="0"/>
  <w:stylePaneSortMethod w:val="0001"/>
  <w:defaultTabStop w:val="420"/>
  <w:drawingGridHorizontalSpacing w:val="90"/>
  <w:drawingGridVerticalSpacing w:val="156"/>
  <w:noPunctuationKerning/>
  <w:characterSpacingControl w:val="compressPunctuation"/>
  <w:noLineBreaksAfter w:lang="zh-CN" w:val="$([{£¥·‘“〈《「『【〔〖〝﹙﹛﹝＄（．［｛￡￥"/>
  <w:noLineBreaksBefore w:lang="zh-CN" w:val="!%),.:;&gt;?]}¢¨°·ˇˉ―‖’”…‰′″›℃∶、。〃〉》」』】〕〗〞︶︺︾﹀﹄﹚﹜﹞！＂％＇），．：；？］｀｜｝～￠"/>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AutoCompressPictures/>
  <w:decimalSymbol w:val="."/>
  <w:listSeparator w:val=","/>
</w:settings>
</file>

<file path=word/styles.xml><?xml version="1.0" encoding="utf-8"?>
<w:styles xmlns:mc="http://schemas.openxmlformats.org/markup-compatibility/2006" xmlns:w="http://schemas.openxmlformats.org/wordprocessingml/2006/main" xmlns:w14="http://schemas.microsoft.com/office/word/2010/wordml" mc:Ignorable="w14">
  <w:docDefaults>
    <w:rPrDefault>
      <w:rPr>
        <w:rFonts w:ascii="Times New Roman" w:cs="Times New Roman" w:eastAsia="宋体" w:hAnsi="Times New Roman"/>
        <w:lang w:val="en-US" w:bidi="ar-SA" w:eastAsia="zh-CN"/>
      </w:rPr>
    </w:rPrDefault>
    <w:pPrDefault>
      <w:pPr/>
    </w:pPrDefault>
  </w:docDefaults>
  <w:style w:type="paragraph" w:default="1" w:styleId="style0">
    <w:name w:val="Normal"/>
    <w:next w:val="style0"/>
    <w:qFormat/>
    <w:pPr>
      <w:widowControl w:val="false"/>
      <w:jc w:val="both"/>
    </w:pPr>
    <w:rPr>
      <w:rFonts w:ascii="Vrinda" w:hAnsi="Vrinda"/>
      <w:kern w:val="2"/>
      <w:sz w:val="18"/>
      <w:szCs w:val="24"/>
    </w:rPr>
  </w:style>
  <w:style w:type="paragraph" w:styleId="style1">
    <w:name w:val="heading 1"/>
    <w:basedOn w:val="style0"/>
    <w:next w:val="style0"/>
    <w:link w:val="style4101"/>
    <w:qFormat/>
    <w:uiPriority w:val="99"/>
    <w:pPr>
      <w:keepNext/>
      <w:keepLines/>
      <w:numPr>
        <w:ilvl w:val="0"/>
        <w:numId w:val="1"/>
      </w:numPr>
      <w:spacing w:before="340" w:after="330" w:lineRule="auto" w:line="578"/>
      <w:outlineLvl w:val="0"/>
    </w:pPr>
    <w:rPr>
      <w:rFonts w:ascii="仿宋" w:eastAsia="仿宋" w:hAnsi="仿宋"/>
      <w:b/>
      <w:bCs/>
      <w:kern w:val="44"/>
      <w:sz w:val="36"/>
      <w:szCs w:val="36"/>
    </w:rPr>
  </w:style>
  <w:style w:type="paragraph" w:styleId="style2">
    <w:name w:val="heading 2"/>
    <w:basedOn w:val="style0"/>
    <w:next w:val="style0"/>
    <w:link w:val="style4102"/>
    <w:qFormat/>
    <w:uiPriority w:val="99"/>
    <w:pPr>
      <w:keepNext/>
      <w:keepLines/>
      <w:numPr>
        <w:ilvl w:val="1"/>
        <w:numId w:val="2"/>
      </w:numPr>
      <w:tabs>
        <w:tab w:val="left" w:leader="none" w:pos="420"/>
      </w:tabs>
      <w:spacing w:before="260" w:after="260" w:lineRule="auto" w:line="416"/>
      <w:outlineLvl w:val="1"/>
    </w:pPr>
    <w:rPr>
      <w:rFonts w:ascii="Cambria" w:hAnsi="Cambria"/>
      <w:b/>
      <w:bCs/>
      <w:sz w:val="32"/>
      <w:szCs w:val="32"/>
    </w:rPr>
  </w:style>
  <w:style w:type="paragraph" w:styleId="style3">
    <w:name w:val="heading 3"/>
    <w:basedOn w:val="style0"/>
    <w:next w:val="style0"/>
    <w:link w:val="style4103"/>
    <w:qFormat/>
    <w:uiPriority w:val="99"/>
    <w:pPr>
      <w:keepNext/>
      <w:keepLines/>
      <w:spacing w:before="260" w:after="260" w:lineRule="auto" w:line="416"/>
      <w:outlineLvl w:val="2"/>
    </w:pPr>
    <w:rPr>
      <w:b/>
      <w:bCs/>
      <w:sz w:val="32"/>
      <w:szCs w:val="32"/>
    </w:rPr>
  </w:style>
  <w:style w:type="paragraph" w:styleId="style4">
    <w:name w:val="heading 4"/>
    <w:basedOn w:val="style0"/>
    <w:next w:val="style0"/>
    <w:link w:val="style4104"/>
    <w:qFormat/>
    <w:uiPriority w:val="99"/>
    <w:pPr>
      <w:keepNext/>
      <w:keepLines/>
      <w:numPr>
        <w:ilvl w:val="3"/>
        <w:numId w:val="2"/>
      </w:numPr>
      <w:tabs>
        <w:tab w:val="left" w:leader="none" w:pos="420"/>
      </w:tabs>
      <w:spacing w:before="280" w:after="290" w:lineRule="auto" w:line="376"/>
      <w:outlineLvl w:val="3"/>
    </w:pPr>
    <w:rPr>
      <w:rFonts w:ascii="Cambria" w:hAnsi="Cambria"/>
      <w:b/>
      <w:bCs/>
      <w:sz w:val="28"/>
      <w:szCs w:val="28"/>
    </w:rPr>
  </w:style>
  <w:style w:type="paragraph" w:styleId="style5">
    <w:name w:val="heading 5"/>
    <w:basedOn w:val="style0"/>
    <w:next w:val="style0"/>
    <w:link w:val="style4105"/>
    <w:qFormat/>
    <w:uiPriority w:val="99"/>
    <w:pPr>
      <w:keepNext/>
      <w:keepLines/>
      <w:numPr>
        <w:ilvl w:val="4"/>
        <w:numId w:val="2"/>
      </w:numPr>
      <w:tabs>
        <w:tab w:val="left" w:leader="none" w:pos="420"/>
      </w:tabs>
      <w:spacing w:before="280" w:after="290" w:lineRule="auto" w:line="376"/>
      <w:outlineLvl w:val="4"/>
    </w:pPr>
    <w:rPr>
      <w:b/>
      <w:bCs/>
      <w:sz w:val="28"/>
      <w:szCs w:val="28"/>
    </w:rPr>
  </w:style>
  <w:style w:type="paragraph" w:styleId="style6">
    <w:name w:val="heading 6"/>
    <w:basedOn w:val="style0"/>
    <w:next w:val="style0"/>
    <w:link w:val="style4106"/>
    <w:qFormat/>
    <w:uiPriority w:val="99"/>
    <w:pPr>
      <w:keepNext/>
      <w:keepLines/>
      <w:numPr>
        <w:ilvl w:val="5"/>
        <w:numId w:val="2"/>
      </w:numPr>
      <w:tabs>
        <w:tab w:val="left" w:leader="none" w:pos="420"/>
      </w:tabs>
      <w:spacing w:before="240" w:after="64" w:lineRule="auto" w:line="320"/>
      <w:outlineLvl w:val="5"/>
    </w:pPr>
    <w:rPr>
      <w:rFonts w:ascii="Cambria" w:hAnsi="Cambria"/>
      <w:b/>
      <w:bCs/>
      <w:sz w:val="24"/>
    </w:rPr>
  </w:style>
  <w:style w:type="paragraph" w:styleId="style7">
    <w:name w:val="heading 7"/>
    <w:basedOn w:val="style0"/>
    <w:next w:val="style0"/>
    <w:link w:val="style4107"/>
    <w:qFormat/>
    <w:uiPriority w:val="99"/>
    <w:pPr>
      <w:keepNext/>
      <w:keepLines/>
      <w:numPr>
        <w:ilvl w:val="6"/>
        <w:numId w:val="2"/>
      </w:numPr>
      <w:tabs>
        <w:tab w:val="left" w:leader="none" w:pos="420"/>
      </w:tabs>
      <w:spacing w:before="240" w:after="64" w:lineRule="auto" w:line="320"/>
      <w:outlineLvl w:val="6"/>
    </w:pPr>
    <w:rPr>
      <w:b/>
      <w:bCs/>
      <w:sz w:val="24"/>
    </w:rPr>
  </w:style>
  <w:style w:type="paragraph" w:styleId="style8">
    <w:name w:val="heading 8"/>
    <w:basedOn w:val="style0"/>
    <w:next w:val="style0"/>
    <w:link w:val="style4108"/>
    <w:qFormat/>
    <w:uiPriority w:val="99"/>
    <w:pPr>
      <w:keepNext/>
      <w:keepLines/>
      <w:numPr>
        <w:ilvl w:val="7"/>
        <w:numId w:val="2"/>
      </w:numPr>
      <w:tabs>
        <w:tab w:val="left" w:leader="none" w:pos="420"/>
      </w:tabs>
      <w:spacing w:before="240" w:after="64" w:lineRule="auto" w:line="320"/>
      <w:outlineLvl w:val="7"/>
    </w:pPr>
    <w:rPr>
      <w:rFonts w:ascii="Cambria" w:hAnsi="Cambria"/>
      <w:sz w:val="24"/>
    </w:rPr>
  </w:style>
  <w:style w:type="paragraph" w:styleId="style9">
    <w:name w:val="heading 9"/>
    <w:basedOn w:val="style0"/>
    <w:next w:val="style0"/>
    <w:link w:val="style4109"/>
    <w:qFormat/>
    <w:uiPriority w:val="99"/>
    <w:pPr>
      <w:keepNext/>
      <w:keepLines/>
      <w:numPr>
        <w:ilvl w:val="8"/>
        <w:numId w:val="2"/>
      </w:numPr>
      <w:tabs>
        <w:tab w:val="left" w:leader="none" w:pos="420"/>
      </w:tabs>
      <w:spacing w:before="240" w:after="64" w:lineRule="auto" w:line="320"/>
      <w:outlineLvl w:val="8"/>
    </w:pPr>
    <w:rPr>
      <w:rFonts w:ascii="Cambria" w:hAnsi="Cambria"/>
      <w:sz w:val="21"/>
      <w:szCs w:val="21"/>
    </w:rPr>
  </w:style>
  <w:style w:type="character" w:default="1" w:styleId="style65">
    <w:name w:val="Default Paragraph Font"/>
    <w:next w:val="style65"/>
    <w:uiPriority w:val="1"/>
  </w:style>
  <w:style w:type="table" w:default="1" w:styleId="style105">
    <w:name w:val="Normal Table"/>
    <w:next w:val="style105"/>
    <w:uiPriority w:val="99"/>
    <w:pPr/>
    <w:rPr/>
    <w:tblPr>
      <w:tblInd w:w="0" w:type="dxa"/>
      <w:tblCellMar>
        <w:top w:w="0" w:type="dxa"/>
        <w:left w:w="108" w:type="dxa"/>
        <w:bottom w:w="0" w:type="dxa"/>
        <w:right w:w="108" w:type="dxa"/>
      </w:tblCellMar>
    </w:tblPr>
    <w:tcPr>
      <w:tcBorders/>
    </w:tcPr>
  </w:style>
  <w:style w:type="numbering" w:default="1" w:styleId="style107">
    <w:name w:val="No List"/>
    <w:next w:val="style107"/>
    <w:uiPriority w:val="99"/>
    <w:pPr/>
  </w:style>
  <w:style w:type="paragraph" w:styleId="style25">
    <w:name w:val="toc 7"/>
    <w:basedOn w:val="style0"/>
    <w:next w:val="style0"/>
    <w:qFormat/>
    <w:uiPriority w:val="39"/>
    <w:pPr>
      <w:ind w:left="900"/>
      <w:jc w:val="left"/>
    </w:pPr>
    <w:rPr>
      <w:rFonts w:ascii="Calibri" w:hAnsi="Calibri"/>
      <w:sz w:val="20"/>
      <w:szCs w:val="20"/>
    </w:rPr>
  </w:style>
  <w:style w:type="paragraph" w:styleId="style28">
    <w:name w:val="Normal Indent"/>
    <w:basedOn w:val="style0"/>
    <w:next w:val="style28"/>
    <w:qFormat/>
    <w:pPr>
      <w:ind w:firstLine="420"/>
    </w:pPr>
    <w:rPr>
      <w:rFonts w:ascii="Times New Roman" w:hAnsi="Times New Roman"/>
      <w:sz w:val="21"/>
      <w:szCs w:val="20"/>
    </w:rPr>
  </w:style>
  <w:style w:type="paragraph" w:styleId="style89">
    <w:name w:val="Document Map"/>
    <w:basedOn w:val="style0"/>
    <w:next w:val="style89"/>
    <w:link w:val="style4116"/>
    <w:qFormat/>
    <w:uiPriority w:val="99"/>
    <w:pPr>
      <w:shd w:val="clear" w:color="auto" w:fill="000080"/>
    </w:pPr>
    <w:rPr/>
  </w:style>
  <w:style w:type="paragraph" w:styleId="style23">
    <w:name w:val="toc 5"/>
    <w:basedOn w:val="style0"/>
    <w:next w:val="style0"/>
    <w:qFormat/>
    <w:uiPriority w:val="39"/>
    <w:pPr>
      <w:ind w:left="540"/>
      <w:jc w:val="left"/>
    </w:pPr>
    <w:rPr>
      <w:rFonts w:ascii="Calibri" w:hAnsi="Calibri"/>
      <w:sz w:val="20"/>
      <w:szCs w:val="20"/>
    </w:rPr>
  </w:style>
  <w:style w:type="paragraph" w:styleId="style21">
    <w:name w:val="toc 3"/>
    <w:basedOn w:val="style0"/>
    <w:next w:val="style0"/>
    <w:qFormat/>
    <w:uiPriority w:val="39"/>
    <w:pPr>
      <w:ind w:left="180"/>
      <w:jc w:val="left"/>
    </w:pPr>
    <w:rPr>
      <w:rFonts w:ascii="Calibri" w:hAnsi="Calibri"/>
      <w:sz w:val="20"/>
      <w:szCs w:val="20"/>
    </w:rPr>
  </w:style>
  <w:style w:type="paragraph" w:styleId="style26">
    <w:name w:val="toc 8"/>
    <w:basedOn w:val="style0"/>
    <w:next w:val="style0"/>
    <w:qFormat/>
    <w:uiPriority w:val="39"/>
    <w:pPr>
      <w:ind w:left="1080"/>
      <w:jc w:val="left"/>
    </w:pPr>
    <w:rPr>
      <w:rFonts w:ascii="Calibri" w:hAnsi="Calibri"/>
      <w:sz w:val="20"/>
      <w:szCs w:val="20"/>
    </w:rPr>
  </w:style>
  <w:style w:type="paragraph" w:styleId="style82">
    <w:name w:val="Body Text Indent 2"/>
    <w:basedOn w:val="style0"/>
    <w:next w:val="style82"/>
    <w:qFormat/>
    <w:uiPriority w:val="99"/>
    <w:pPr>
      <w:spacing w:after="120" w:lineRule="auto" w:line="480"/>
      <w:ind w:left="420" w:leftChars="200"/>
    </w:pPr>
    <w:rPr/>
  </w:style>
  <w:style w:type="paragraph" w:styleId="style153">
    <w:name w:val="Balloon Text"/>
    <w:basedOn w:val="style0"/>
    <w:next w:val="style153"/>
    <w:link w:val="style4114"/>
    <w:qFormat/>
    <w:uiPriority w:val="99"/>
    <w:pPr/>
    <w:rPr>
      <w:szCs w:val="18"/>
    </w:rPr>
  </w:style>
  <w:style w:type="paragraph" w:styleId="style32">
    <w:name w:val="footer"/>
    <w:basedOn w:val="style0"/>
    <w:next w:val="style32"/>
    <w:link w:val="style4111"/>
    <w:qFormat/>
    <w:uiPriority w:val="99"/>
    <w:pPr>
      <w:tabs>
        <w:tab w:val="center" w:leader="none" w:pos="4153"/>
        <w:tab w:val="right" w:leader="none" w:pos="8306"/>
      </w:tabs>
      <w:snapToGrid w:val="false"/>
      <w:jc w:val="left"/>
    </w:pPr>
    <w:rPr>
      <w:szCs w:val="18"/>
    </w:rPr>
  </w:style>
  <w:style w:type="paragraph" w:styleId="style31">
    <w:name w:val="header"/>
    <w:basedOn w:val="style0"/>
    <w:next w:val="style31"/>
    <w:link w:val="style4110"/>
    <w:qFormat/>
    <w:uiPriority w:val="99"/>
    <w:pPr>
      <w:pBdr>
        <w:bottom w:val="single" w:sz="6" w:space="1" w:color="auto"/>
      </w:pBdr>
      <w:tabs>
        <w:tab w:val="center" w:leader="none" w:pos="4153"/>
        <w:tab w:val="right" w:leader="none" w:pos="8306"/>
      </w:tabs>
      <w:snapToGrid w:val="false"/>
      <w:jc w:val="center"/>
    </w:pPr>
    <w:rPr>
      <w:szCs w:val="18"/>
    </w:rPr>
  </w:style>
  <w:style w:type="paragraph" w:styleId="style19">
    <w:name w:val="toc 1"/>
    <w:basedOn w:val="style0"/>
    <w:next w:val="style0"/>
    <w:qFormat/>
    <w:uiPriority w:val="39"/>
    <w:pPr>
      <w:spacing w:before="360"/>
      <w:jc w:val="left"/>
    </w:pPr>
    <w:rPr>
      <w:rFonts w:ascii="Cambria" w:hAnsi="Cambria"/>
      <w:b/>
      <w:bCs/>
      <w:caps/>
      <w:sz w:val="24"/>
    </w:rPr>
  </w:style>
  <w:style w:type="paragraph" w:styleId="style22">
    <w:name w:val="toc 4"/>
    <w:basedOn w:val="style0"/>
    <w:next w:val="style0"/>
    <w:qFormat/>
    <w:uiPriority w:val="39"/>
    <w:pPr>
      <w:ind w:left="360"/>
      <w:jc w:val="left"/>
    </w:pPr>
    <w:rPr>
      <w:rFonts w:ascii="Calibri" w:hAnsi="Calibri"/>
      <w:sz w:val="20"/>
      <w:szCs w:val="20"/>
    </w:rPr>
  </w:style>
  <w:style w:type="paragraph" w:styleId="style74">
    <w:name w:val="Subtitle"/>
    <w:basedOn w:val="style0"/>
    <w:next w:val="style0"/>
    <w:link w:val="style4113"/>
    <w:qFormat/>
    <w:pPr>
      <w:spacing w:before="240" w:after="60" w:lineRule="auto" w:line="312"/>
      <w:jc w:val="center"/>
      <w:outlineLvl w:val="1"/>
    </w:pPr>
    <w:rPr>
      <w:rFonts w:ascii="Cambria" w:hAnsi="Cambria"/>
      <w:b/>
      <w:bCs/>
      <w:kern w:val="28"/>
      <w:sz w:val="32"/>
      <w:szCs w:val="32"/>
    </w:rPr>
  </w:style>
  <w:style w:type="paragraph" w:styleId="style24">
    <w:name w:val="toc 6"/>
    <w:basedOn w:val="style0"/>
    <w:next w:val="style0"/>
    <w:qFormat/>
    <w:uiPriority w:val="39"/>
    <w:pPr>
      <w:ind w:left="720"/>
      <w:jc w:val="left"/>
    </w:pPr>
    <w:rPr>
      <w:rFonts w:ascii="Calibri" w:hAnsi="Calibri"/>
      <w:sz w:val="20"/>
      <w:szCs w:val="20"/>
    </w:rPr>
  </w:style>
  <w:style w:type="paragraph" w:styleId="style20">
    <w:name w:val="toc 2"/>
    <w:basedOn w:val="style0"/>
    <w:next w:val="style0"/>
    <w:qFormat/>
    <w:uiPriority w:val="39"/>
    <w:pPr>
      <w:spacing w:before="240"/>
      <w:jc w:val="left"/>
    </w:pPr>
    <w:rPr>
      <w:rFonts w:ascii="Calibri" w:hAnsi="Calibri"/>
      <w:b/>
      <w:bCs/>
      <w:sz w:val="20"/>
      <w:szCs w:val="20"/>
    </w:rPr>
  </w:style>
  <w:style w:type="paragraph" w:styleId="style27">
    <w:name w:val="toc 9"/>
    <w:basedOn w:val="style0"/>
    <w:next w:val="style0"/>
    <w:qFormat/>
    <w:uiPriority w:val="39"/>
    <w:pPr>
      <w:ind w:left="1260"/>
      <w:jc w:val="left"/>
    </w:pPr>
    <w:rPr>
      <w:rFonts w:ascii="Calibri" w:hAnsi="Calibri"/>
      <w:sz w:val="20"/>
      <w:szCs w:val="20"/>
    </w:rPr>
  </w:style>
  <w:style w:type="paragraph" w:styleId="style94">
    <w:name w:val="Normal (Web)"/>
    <w:basedOn w:val="style0"/>
    <w:next w:val="style94"/>
    <w:qFormat/>
    <w:uiPriority w:val="99"/>
    <w:pPr>
      <w:widowControl/>
      <w:spacing w:before="100" w:beforeAutospacing="true" w:after="100" w:afterAutospacing="true"/>
      <w:jc w:val="left"/>
    </w:pPr>
    <w:rPr>
      <w:rFonts w:ascii="??" w:cs="宋体" w:hAnsi="??"/>
      <w:color w:val="000000"/>
      <w:kern w:val="0"/>
      <w:sz w:val="22"/>
      <w:szCs w:val="22"/>
    </w:rPr>
  </w:style>
  <w:style w:type="paragraph" w:styleId="style62">
    <w:name w:val="Title"/>
    <w:basedOn w:val="style0"/>
    <w:next w:val="style0"/>
    <w:link w:val="style4112"/>
    <w:qFormat/>
    <w:uiPriority w:val="99"/>
    <w:pPr>
      <w:spacing w:before="240" w:after="60"/>
      <w:jc w:val="center"/>
      <w:outlineLvl w:val="0"/>
    </w:pPr>
    <w:rPr>
      <w:rFonts w:ascii="Cambria" w:hAnsi="Cambria"/>
      <w:b/>
      <w:bCs/>
      <w:sz w:val="32"/>
      <w:szCs w:val="32"/>
    </w:rPr>
  </w:style>
  <w:style w:type="table" w:styleId="style154">
    <w:name w:val="Table Grid"/>
    <w:basedOn w:val="style105"/>
    <w:next w:val="style154"/>
    <w:qFormat/>
    <w:uiPriority w:val="99"/>
    <w:pPr/>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tcPr>
      <w:tcBorders/>
    </w:tcPr>
  </w:style>
  <w:style w:type="table" w:styleId="style232">
    <w:name w:val="Light Shading Accent 5"/>
    <w:basedOn w:val="style105"/>
    <w:next w:val="style232"/>
    <w:qFormat/>
    <w:uiPriority w:val="99"/>
    <w:pPr/>
    <w:rPr>
      <w:color w:val="31849b"/>
    </w:rPr>
    <w:tblPr>
      <w:tblBorders>
        <w:top w:val="single" w:sz="8" w:space="0" w:color="4bacc6"/>
        <w:bottom w:val="single" w:sz="8" w:space="0" w:color="4bacc6"/>
      </w:tblBorders>
    </w:tblPr>
    <w:tblStylePr w:type="firstRow">
      <w:pPr>
        <w:spacing w:before="0" w:after="0"/>
      </w:pPr>
      <w:rPr>
        <w:rFonts w:cs="Times New Roman"/>
        <w:b/>
        <w:bCs/>
      </w:rPr>
      <w:tblPr/>
      <w:tcPr>
        <w:tcBorders>
          <w:tl2br w:val="nil"/>
          <w:tr2bl w:val="nil"/>
          <w:top w:val="single" w:sz="8" w:space="0" w:color="4bacc6"/>
          <w:left w:val="nil"/>
          <w:bottom w:val="single" w:sz="8" w:space="0" w:color="4bacc6"/>
          <w:right w:val="nil"/>
          <w:insideH w:val="nil"/>
          <w:insideV w:val="nil"/>
        </w:tcBorders>
      </w:tcPr>
    </w:tblStylePr>
    <w:tblStylePr w:type="lastRow">
      <w:pPr>
        <w:spacing w:before="0" w:after="0"/>
      </w:pPr>
      <w:rPr>
        <w:rFonts w:cs="Times New Roman"/>
        <w:b/>
        <w:bCs/>
      </w:rPr>
      <w:tblPr/>
      <w:tcPr>
        <w:tcBorders>
          <w:tl2br w:val="nil"/>
          <w:tr2bl w:val="nil"/>
          <w:top w:val="single" w:sz="8" w:space="0" w:color="4bacc6"/>
          <w:left w:val="nil"/>
          <w:bottom w:val="single" w:sz="8" w:space="0" w:color="4bacc6"/>
          <w:right w:val="nil"/>
          <w:insideH w:val="nil"/>
          <w:insideV w:val="nil"/>
        </w:tcBorders>
      </w:tcPr>
    </w:tblStylePr>
    <w:tblStylePr w:type="band1Horz">
      <w:pPr/>
      <w:rPr>
        <w:rFonts w:cs="Times New Roman"/>
      </w:rPr>
      <w:tblPr/>
      <w:tcPr>
        <w:tcBorders>
          <w:tl2br w:val="nil"/>
          <w:tr2bl w:val="nil"/>
          <w:top w:val="nil"/>
          <w:left w:val="nil"/>
          <w:bottom w:val="nil"/>
          <w:right w:val="nil"/>
          <w:insideH w:val="nil"/>
          <w:insideV w:val="nil"/>
        </w:tcBorders>
        <w:shd w:val="clear" w:color="auto" w:fill="d2eaf1"/>
      </w:tcPr>
    </w:tblStylePr>
    <w:tblStylePr w:type="firstCol">
      <w:pPr/>
      <w:rPr>
        <w:rFonts w:cs="Times New Roman"/>
        <w:b/>
        <w:bCs/>
      </w:rPr>
      <w:tcPr>
        <w:tcBorders/>
      </w:tcPr>
    </w:tblStylePr>
    <w:tblStylePr w:type="lastCol">
      <w:pPr/>
      <w:rPr>
        <w:rFonts w:cs="Times New Roman"/>
        <w:b/>
        <w:bCs/>
      </w:rPr>
      <w:tcPr>
        <w:tcBorders/>
      </w:tcPr>
    </w:tblStylePr>
    <w:tblStylePr w:type="band1Vert">
      <w:pPr/>
      <w:rPr>
        <w:rFonts w:cs="Times New Roman"/>
      </w:rPr>
      <w:tblPr/>
      <w:tcPr>
        <w:tcBorders>
          <w:tl2br w:val="nil"/>
          <w:tr2bl w:val="nil"/>
          <w:top w:val="nil"/>
          <w:left w:val="nil"/>
          <w:bottom w:val="nil"/>
          <w:right w:val="nil"/>
          <w:insideH w:val="nil"/>
          <w:insideV w:val="nil"/>
        </w:tcBorders>
        <w:shd w:val="clear" w:color="auto" w:fill="d2eaf1"/>
      </w:tcPr>
    </w:tblStylePr>
    <w:tcPr>
      <w:tcBorders/>
    </w:tcPr>
  </w:style>
  <w:style w:type="table" w:styleId="style220">
    <w:name w:val="Light Grid Accent 4"/>
    <w:basedOn w:val="style105"/>
    <w:next w:val="style220"/>
    <w:qFormat/>
    <w:uiPriority w:val="99"/>
    <w:pPr/>
    <w:rPr/>
    <w:tblPr>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blStylePr w:type="firstRow">
      <w:pPr>
        <w:spacing w:before="0" w:after="0"/>
      </w:pPr>
      <w:rPr>
        <w:rFonts w:ascii="Cambria" w:cs="Times New Roman" w:eastAsia="宋体" w:hAnsi="Cambria"/>
        <w:b/>
        <w:bCs/>
      </w:rPr>
      <w:tblPr/>
      <w:tcPr>
        <w:tcBorders>
          <w:tl2br w:val="nil"/>
          <w:tr2bl w:val="nil"/>
          <w:top w:val="single" w:sz="8" w:space="0" w:color="8064a2"/>
          <w:left w:val="single" w:sz="8" w:space="0" w:color="8064a2"/>
          <w:bottom w:val="single" w:sz="18" w:space="0" w:color="8064a2"/>
          <w:right w:val="single" w:sz="8" w:space="0" w:color="8064a2"/>
          <w:insideH w:val="nil"/>
          <w:insideV w:val="nil"/>
        </w:tcBorders>
      </w:tcPr>
    </w:tblStylePr>
    <w:tblStylePr w:type="lastRow">
      <w:pPr>
        <w:spacing w:before="0" w:after="0"/>
      </w:pPr>
      <w:rPr>
        <w:rFonts w:ascii="Cambria" w:cs="Times New Roman" w:eastAsia="宋体" w:hAnsi="Cambria"/>
        <w:b/>
        <w:bCs/>
      </w:rPr>
      <w:tblPr/>
      <w:tcPr>
        <w:tcBorders>
          <w:tl2br w:val="nil"/>
          <w:tr2bl w:val="nil"/>
          <w:top w:val="double" w:sz="6" w:space="0" w:color="8064a2"/>
          <w:left w:val="single" w:sz="8" w:space="0" w:color="8064a2"/>
          <w:bottom w:val="single" w:sz="8" w:space="0" w:color="8064a2"/>
          <w:right w:val="single" w:sz="8" w:space="0" w:color="8064a2"/>
          <w:insideH w:val="nil"/>
          <w:insideV w:val="nil"/>
        </w:tcBorders>
      </w:tcPr>
    </w:tblStylePr>
    <w:tblStylePr w:type="band1Horz">
      <w:pPr/>
      <w:rPr>
        <w:rFonts w:cs="Times New Roman"/>
      </w:rPr>
      <w:tblPr/>
      <w:tcPr>
        <w:tcBorders>
          <w:tl2br w:val="nil"/>
          <w:tr2bl w:val="nil"/>
          <w:top w:val="single" w:sz="8" w:space="0" w:color="8064a2"/>
          <w:left w:val="single" w:sz="8" w:space="0" w:color="8064a2"/>
          <w:bottom w:val="single" w:sz="8" w:space="0" w:color="8064a2"/>
          <w:right w:val="single" w:sz="8" w:space="0" w:color="8064a2"/>
          <w:insideH w:val="nil"/>
          <w:insideV w:val="nil"/>
        </w:tcBorders>
        <w:shd w:val="clear" w:color="auto" w:fill="dfd8e8"/>
      </w:tcPr>
    </w:tblStylePr>
    <w:tblStylePr w:type="band2Horz">
      <w:pPr/>
      <w:rPr>
        <w:rFonts w:cs="Times New Roman"/>
      </w:rPr>
      <w:tblPr/>
      <w:tcPr>
        <w:tcBorders>
          <w:tl2br w:val="nil"/>
          <w:tr2bl w:val="nil"/>
          <w:top w:val="single" w:sz="8" w:space="0" w:color="8064a2"/>
          <w:left w:val="single" w:sz="8" w:space="0" w:color="8064a2"/>
          <w:bottom w:val="single" w:sz="8" w:space="0" w:color="8064a2"/>
          <w:right w:val="single" w:sz="8" w:space="0" w:color="8064a2"/>
          <w:insideH w:val="nil"/>
          <w:insideV w:val="nil"/>
        </w:tcBorders>
      </w:tcPr>
    </w:tblStylePr>
    <w:tblStylePr w:type="firstCol">
      <w:pPr/>
      <w:rPr>
        <w:rFonts w:ascii="Cambria" w:cs="Times New Roman" w:eastAsia="宋体" w:hAnsi="Cambria"/>
        <w:b/>
        <w:bCs/>
      </w:rPr>
      <w:tcPr>
        <w:tcBorders/>
      </w:tcPr>
    </w:tblStylePr>
    <w:tblStylePr w:type="lastCol">
      <w:pPr/>
      <w:rPr>
        <w:rFonts w:ascii="Cambria" w:cs="Times New Roman" w:eastAsia="宋体" w:hAnsi="Cambria"/>
        <w:b/>
        <w:bCs/>
      </w:rPr>
      <w:tblPr/>
      <w:tcPr>
        <w:tcBorders>
          <w:tl2br w:val="nil"/>
          <w:tr2bl w:val="nil"/>
          <w:top w:val="single" w:sz="8" w:space="0" w:color="8064a2"/>
          <w:left w:val="single" w:sz="8" w:space="0" w:color="8064a2"/>
          <w:bottom w:val="single" w:sz="8" w:space="0" w:color="8064a2"/>
          <w:right w:val="single" w:sz="8" w:space="0" w:color="8064a2"/>
          <w:insideH w:val="nil"/>
          <w:insideV w:val="nil"/>
        </w:tcBorders>
      </w:tcPr>
    </w:tblStylePr>
    <w:tblStylePr w:type="band1Vert">
      <w:pPr/>
      <w:rPr>
        <w:rFonts w:cs="Times New Roman"/>
      </w:rPr>
      <w:tblPr/>
      <w:tcPr>
        <w:tcBorders>
          <w:tl2br w:val="nil"/>
          <w:tr2bl w:val="nil"/>
          <w:top w:val="single" w:sz="8" w:space="0" w:color="8064a2"/>
          <w:left w:val="single" w:sz="8" w:space="0" w:color="8064a2"/>
          <w:bottom w:val="single" w:sz="8" w:space="0" w:color="8064a2"/>
          <w:right w:val="single" w:sz="8" w:space="0" w:color="8064a2"/>
          <w:insideH w:val="nil"/>
          <w:insideV w:val="nil"/>
        </w:tcBorders>
        <w:shd w:val="clear" w:color="auto" w:fill="dfd8e8"/>
      </w:tcPr>
    </w:tblStylePr>
    <w:tcPr>
      <w:tcBorders/>
    </w:tcPr>
  </w:style>
  <w:style w:type="table" w:styleId="style235">
    <w:name w:val="Medium Shading 1 Accent 5"/>
    <w:basedOn w:val="style105"/>
    <w:next w:val="style235"/>
    <w:qFormat/>
    <w:uiPriority w:val="99"/>
    <w:pPr/>
    <w:rPr/>
    <w:tblPr>
      <w:tblBorders>
        <w:top w:val="single" w:sz="8" w:space="0" w:color="78c0d4"/>
        <w:left w:val="single" w:sz="8" w:space="0" w:color="78c0d4"/>
        <w:bottom w:val="single" w:sz="8" w:space="0" w:color="78c0d4"/>
        <w:right w:val="single" w:sz="8" w:space="0" w:color="78c0d4"/>
        <w:insideH w:val="single" w:sz="8" w:space="0" w:color="78c0d4"/>
      </w:tblBorders>
    </w:tblPr>
    <w:tblStylePr w:type="firstRow">
      <w:pPr>
        <w:spacing w:before="0" w:after="0"/>
      </w:pPr>
      <w:rPr>
        <w:rFonts w:cs="Times New Roman"/>
        <w:b/>
        <w:bCs/>
        <w:color w:val="ffffff"/>
      </w:rPr>
      <w:tblPr/>
      <w:tcPr>
        <w:tcBorders>
          <w:tl2br w:val="nil"/>
          <w:tr2bl w:val="nil"/>
          <w:top w:val="single" w:sz="8" w:space="0" w:color="78c0d4"/>
          <w:left w:val="single" w:sz="8" w:space="0" w:color="78c0d4"/>
          <w:bottom w:val="single" w:sz="8" w:space="0" w:color="78c0d4"/>
          <w:right w:val="single" w:sz="8" w:space="0" w:color="78c0d4"/>
          <w:insideH w:val="nil"/>
          <w:insideV w:val="nil"/>
        </w:tcBorders>
        <w:shd w:val="clear" w:color="auto" w:fill="4bacc6"/>
      </w:tcPr>
    </w:tblStylePr>
    <w:tblStylePr w:type="lastRow">
      <w:pPr>
        <w:spacing w:before="0" w:after="0"/>
      </w:pPr>
      <w:rPr>
        <w:rFonts w:cs="Times New Roman"/>
        <w:b/>
        <w:bCs/>
      </w:rPr>
      <w:tblPr/>
      <w:tcPr>
        <w:tcBorders>
          <w:tl2br w:val="nil"/>
          <w:tr2bl w:val="nil"/>
          <w:top w:val="double" w:sz="6" w:space="0" w:color="78c0d4"/>
          <w:left w:val="single" w:sz="8" w:space="0" w:color="78c0d4"/>
          <w:bottom w:val="single" w:sz="8" w:space="0" w:color="78c0d4"/>
          <w:right w:val="single" w:sz="8" w:space="0" w:color="78c0d4"/>
          <w:insideH w:val="nil"/>
          <w:insideV w:val="nil"/>
        </w:tcBorders>
      </w:tcPr>
    </w:tblStylePr>
    <w:tblStylePr w:type="band1Horz">
      <w:pPr/>
      <w:rPr>
        <w:rFonts w:cs="Times New Roman"/>
      </w:rPr>
      <w:tblPr/>
      <w:tcPr>
        <w:tcBorders/>
        <w:shd w:val="clear" w:color="auto" w:fill="d2eaf1"/>
      </w:tcPr>
    </w:tblStylePr>
    <w:tblStylePr w:type="band2Horz">
      <w:pPr/>
      <w:rPr>
        <w:rFonts w:cs="Times New Roman"/>
      </w:rPr>
      <w:tcPr>
        <w:tcBorders/>
      </w:tcPr>
    </w:tblStylePr>
    <w:tblStylePr w:type="firstCol">
      <w:pPr/>
      <w:rPr>
        <w:rFonts w:cs="Times New Roman"/>
        <w:b/>
        <w:bCs/>
      </w:rPr>
      <w:tcPr>
        <w:tcBorders/>
      </w:tcPr>
    </w:tblStylePr>
    <w:tblStylePr w:type="lastCol">
      <w:pPr/>
      <w:rPr>
        <w:rFonts w:cs="Times New Roman"/>
        <w:b/>
        <w:bCs/>
      </w:rPr>
      <w:tcPr>
        <w:tcBorders/>
      </w:tcPr>
    </w:tblStylePr>
    <w:tblStylePr w:type="band1Vert">
      <w:pPr/>
      <w:rPr>
        <w:rFonts w:cs="Times New Roman"/>
      </w:rPr>
      <w:tblPr/>
      <w:tcPr>
        <w:tcBorders/>
        <w:shd w:val="clear" w:color="auto" w:fill="d2eaf1"/>
      </w:tcPr>
    </w:tblStylePr>
    <w:tcPr>
      <w:tcBorders/>
    </w:tcPr>
  </w:style>
  <w:style w:type="table" w:styleId="style208">
    <w:name w:val="Medium Shading 2 Accent 3"/>
    <w:basedOn w:val="style105"/>
    <w:next w:val="style208"/>
    <w:qFormat/>
    <w:uiPriority w:val="99"/>
    <w:pPr/>
    <w:rPr/>
    <w:tblPr>
      <w:tblBorders>
        <w:top w:val="single" w:sz="18" w:space="0" w:color="auto"/>
        <w:bottom w:val="single" w:sz="18" w:space="0" w:color="auto"/>
      </w:tblBorders>
    </w:tblPr>
    <w:tblStylePr w:type="firstRow">
      <w:pPr>
        <w:spacing w:before="0" w:after="0"/>
      </w:pPr>
      <w:rPr>
        <w:rFonts w:cs="Times New Roman"/>
        <w:b/>
        <w:bCs/>
        <w:color w:val="ffffff"/>
      </w:rPr>
      <w:tblPr/>
      <w:tcPr>
        <w:tcBorders>
          <w:tl2br w:val="nil"/>
          <w:tr2bl w:val="nil"/>
          <w:top w:val="single" w:sz="18" w:space="0" w:color="auto"/>
          <w:left w:val="nil"/>
          <w:bottom w:val="single" w:sz="18" w:space="0" w:color="auto"/>
          <w:right w:val="nil"/>
          <w:insideH w:val="nil"/>
          <w:insideV w:val="nil"/>
        </w:tcBorders>
        <w:shd w:val="clear" w:color="auto" w:fill="9bbb59"/>
      </w:tcPr>
    </w:tblStylePr>
    <w:tblStylePr w:type="lastRow">
      <w:pPr>
        <w:spacing w:before="0" w:after="0"/>
      </w:pPr>
      <w:rPr>
        <w:rFonts w:cs="Times New Roman"/>
        <w:color w:val="auto"/>
      </w:rPr>
      <w:tblPr/>
      <w:tcPr>
        <w:tcBorders>
          <w:tl2br w:val="nil"/>
          <w:tr2bl w:val="nil"/>
          <w:top w:val="double" w:sz="6" w:space="0" w:color="auto"/>
          <w:left w:val="nil"/>
          <w:bottom w:val="single" w:sz="18" w:space="0" w:color="auto"/>
          <w:right w:val="nil"/>
          <w:insideH w:val="nil"/>
          <w:insideV w:val="nil"/>
        </w:tcBorders>
        <w:shd w:val="clear" w:color="auto" w:fill="ffffff"/>
      </w:tcPr>
    </w:tblStylePr>
    <w:tblStylePr w:type="band1Horz">
      <w:pPr/>
      <w:rPr>
        <w:rFonts w:cs="Times New Roman"/>
      </w:rPr>
      <w:tblPr/>
      <w:tcPr>
        <w:tcBorders/>
        <w:shd w:val="clear" w:color="auto" w:fill="d8d8d8"/>
      </w:tcPr>
    </w:tblStylePr>
    <w:tblStylePr w:type="firstCol">
      <w:pPr/>
      <w:rPr>
        <w:rFonts w:cs="Times New Roman"/>
        <w:b/>
        <w:bCs/>
        <w:color w:val="ffffff"/>
      </w:rPr>
      <w:tblPr/>
      <w:tcPr>
        <w:tcBorders>
          <w:tl2br w:val="nil"/>
          <w:tr2bl w:val="nil"/>
          <w:top w:val="nil"/>
          <w:left w:val="nil"/>
          <w:bottom w:val="single" w:sz="18" w:space="0" w:color="auto"/>
          <w:right w:val="nil"/>
          <w:insideH w:val="nil"/>
          <w:insideV w:val="nil"/>
        </w:tcBorders>
        <w:shd w:val="clear" w:color="auto" w:fill="9bbb59"/>
      </w:tcPr>
    </w:tblStylePr>
    <w:tblStylePr w:type="lastCol">
      <w:pPr/>
      <w:rPr>
        <w:rFonts w:cs="Times New Roman"/>
        <w:b/>
        <w:bCs/>
        <w:color w:val="ffffff"/>
      </w:rPr>
      <w:tblPr/>
      <w:tcPr>
        <w:tcBorders>
          <w:tl2br w:val="nil"/>
          <w:tr2bl w:val="nil"/>
          <w:top w:val="nil"/>
          <w:left w:val="nil"/>
          <w:bottom w:val="nil"/>
          <w:right w:val="nil"/>
          <w:insideH w:val="nil"/>
          <w:insideV w:val="nil"/>
        </w:tcBorders>
        <w:shd w:val="clear" w:color="auto" w:fill="9bbb59"/>
      </w:tcPr>
    </w:tblStylePr>
    <w:tblStylePr w:type="band1Vert">
      <w:pPr/>
      <w:rPr>
        <w:rFonts w:cs="Times New Roman"/>
      </w:rPr>
      <w:tblPr/>
      <w:tcPr>
        <w:tcBorders>
          <w:tl2br w:val="nil"/>
          <w:tr2bl w:val="nil"/>
          <w:top w:val="nil"/>
          <w:left w:val="nil"/>
          <w:bottom w:val="nil"/>
          <w:right w:val="nil"/>
          <w:insideH w:val="nil"/>
          <w:insideV w:val="nil"/>
        </w:tcBorders>
        <w:shd w:val="clear" w:color="auto" w:fill="d8d8d8"/>
      </w:tcPr>
    </w:tblStylePr>
    <w:tblStylePr w:type="neCell">
      <w:pPr/>
      <w:rPr>
        <w:rFonts w:cs="Times New Roman"/>
      </w:rPr>
      <w:tblPr/>
      <w:tcPr>
        <w:tcBorders>
          <w:tl2br w:val="nil"/>
          <w:tr2bl w:val="nil"/>
          <w:top w:val="single" w:sz="18" w:space="0" w:color="auto"/>
          <w:left w:val="nil"/>
          <w:bottom w:val="single" w:sz="18" w:space="0" w:color="auto"/>
          <w:right w:val="nil"/>
          <w:insideH w:val="nil"/>
          <w:insideV w:val="nil"/>
        </w:tcBorders>
      </w:tcPr>
    </w:tblStylePr>
    <w:tblStylePr w:type="nwCell">
      <w:pPr/>
      <w:rPr>
        <w:rFonts w:cs="Times New Roman"/>
        <w:color w:val="ffffff"/>
      </w:rPr>
      <w:tblPr/>
      <w:tcPr>
        <w:tcBorders>
          <w:tl2br w:val="nil"/>
          <w:tr2bl w:val="nil"/>
          <w:top w:val="single" w:sz="18" w:space="0" w:color="auto"/>
          <w:left w:val="nil"/>
          <w:bottom w:val="single" w:sz="18" w:space="0" w:color="auto"/>
          <w:right w:val="nil"/>
          <w:insideH w:val="nil"/>
          <w:insideV w:val="nil"/>
        </w:tcBorders>
      </w:tcPr>
    </w:tblStylePr>
    <w:tcPr>
      <w:tcBorders/>
    </w:tcPr>
  </w:style>
  <w:style w:type="table" w:styleId="style222">
    <w:name w:val="Medium Shading 2 Accent 4"/>
    <w:basedOn w:val="style105"/>
    <w:next w:val="style222"/>
    <w:qFormat/>
    <w:uiPriority w:val="99"/>
    <w:pPr/>
    <w:rPr/>
    <w:tblPr>
      <w:tblBorders>
        <w:top w:val="single" w:sz="18" w:space="0" w:color="auto"/>
        <w:bottom w:val="single" w:sz="18" w:space="0" w:color="auto"/>
      </w:tblBorders>
    </w:tblPr>
    <w:tblStylePr w:type="firstRow">
      <w:pPr>
        <w:spacing w:before="0" w:after="0"/>
      </w:pPr>
      <w:rPr>
        <w:rFonts w:cs="Times New Roman"/>
        <w:b/>
        <w:bCs/>
        <w:color w:val="ffffff"/>
      </w:rPr>
      <w:tblPr/>
      <w:tcPr>
        <w:tcBorders>
          <w:tl2br w:val="nil"/>
          <w:tr2bl w:val="nil"/>
          <w:top w:val="single" w:sz="18" w:space="0" w:color="auto"/>
          <w:left w:val="nil"/>
          <w:bottom w:val="single" w:sz="18" w:space="0" w:color="auto"/>
          <w:right w:val="nil"/>
          <w:insideH w:val="nil"/>
          <w:insideV w:val="nil"/>
        </w:tcBorders>
        <w:shd w:val="clear" w:color="auto" w:fill="8064a2"/>
      </w:tcPr>
    </w:tblStylePr>
    <w:tblStylePr w:type="lastRow">
      <w:pPr>
        <w:spacing w:before="0" w:after="0"/>
      </w:pPr>
      <w:rPr>
        <w:rFonts w:cs="Times New Roman"/>
        <w:color w:val="auto"/>
      </w:rPr>
      <w:tblPr/>
      <w:tcPr>
        <w:tcBorders>
          <w:tl2br w:val="nil"/>
          <w:tr2bl w:val="nil"/>
          <w:top w:val="double" w:sz="6" w:space="0" w:color="auto"/>
          <w:left w:val="nil"/>
          <w:bottom w:val="single" w:sz="18" w:space="0" w:color="auto"/>
          <w:right w:val="nil"/>
          <w:insideH w:val="nil"/>
          <w:insideV w:val="nil"/>
        </w:tcBorders>
        <w:shd w:val="clear" w:color="auto" w:fill="ffffff"/>
      </w:tcPr>
    </w:tblStylePr>
    <w:tblStylePr w:type="band1Horz">
      <w:pPr/>
      <w:rPr>
        <w:rFonts w:cs="Times New Roman"/>
      </w:rPr>
      <w:tblPr/>
      <w:tcPr>
        <w:tcBorders/>
        <w:shd w:val="clear" w:color="auto" w:fill="d8d8d8"/>
      </w:tcPr>
    </w:tblStylePr>
    <w:tblStylePr w:type="firstCol">
      <w:pPr/>
      <w:rPr>
        <w:rFonts w:cs="Times New Roman"/>
        <w:b/>
        <w:bCs/>
        <w:color w:val="ffffff"/>
      </w:rPr>
      <w:tblPr/>
      <w:tcPr>
        <w:tcBorders>
          <w:tl2br w:val="nil"/>
          <w:tr2bl w:val="nil"/>
          <w:top w:val="nil"/>
          <w:left w:val="nil"/>
          <w:bottom w:val="single" w:sz="18" w:space="0" w:color="auto"/>
          <w:right w:val="nil"/>
          <w:insideH w:val="nil"/>
          <w:insideV w:val="nil"/>
        </w:tcBorders>
        <w:shd w:val="clear" w:color="auto" w:fill="8064a2"/>
      </w:tcPr>
    </w:tblStylePr>
    <w:tblStylePr w:type="lastCol">
      <w:pPr/>
      <w:rPr>
        <w:rFonts w:cs="Times New Roman"/>
        <w:b/>
        <w:bCs/>
        <w:color w:val="ffffff"/>
      </w:rPr>
      <w:tblPr/>
      <w:tcPr>
        <w:tcBorders>
          <w:tl2br w:val="nil"/>
          <w:tr2bl w:val="nil"/>
          <w:top w:val="nil"/>
          <w:left w:val="nil"/>
          <w:bottom w:val="nil"/>
          <w:right w:val="nil"/>
          <w:insideH w:val="nil"/>
          <w:insideV w:val="nil"/>
        </w:tcBorders>
        <w:shd w:val="clear" w:color="auto" w:fill="8064a2"/>
      </w:tcPr>
    </w:tblStylePr>
    <w:tblStylePr w:type="band1Vert">
      <w:pPr/>
      <w:rPr>
        <w:rFonts w:cs="Times New Roman"/>
      </w:rPr>
      <w:tblPr/>
      <w:tcPr>
        <w:tcBorders>
          <w:tl2br w:val="nil"/>
          <w:tr2bl w:val="nil"/>
          <w:top w:val="nil"/>
          <w:left w:val="nil"/>
          <w:bottom w:val="nil"/>
          <w:right w:val="nil"/>
          <w:insideH w:val="nil"/>
          <w:insideV w:val="nil"/>
        </w:tcBorders>
        <w:shd w:val="clear" w:color="auto" w:fill="d8d8d8"/>
      </w:tcPr>
    </w:tblStylePr>
    <w:tblStylePr w:type="neCell">
      <w:pPr/>
      <w:rPr>
        <w:rFonts w:cs="Times New Roman"/>
      </w:rPr>
      <w:tblPr/>
      <w:tcPr>
        <w:tcBorders>
          <w:tl2br w:val="nil"/>
          <w:tr2bl w:val="nil"/>
          <w:top w:val="single" w:sz="18" w:space="0" w:color="auto"/>
          <w:left w:val="nil"/>
          <w:bottom w:val="single" w:sz="18" w:space="0" w:color="auto"/>
          <w:right w:val="nil"/>
          <w:insideH w:val="nil"/>
          <w:insideV w:val="nil"/>
        </w:tcBorders>
      </w:tcPr>
    </w:tblStylePr>
    <w:tblStylePr w:type="nwCell">
      <w:pPr/>
      <w:rPr>
        <w:rFonts w:cs="Times New Roman"/>
        <w:color w:val="ffffff"/>
      </w:rPr>
      <w:tblPr/>
      <w:tcPr>
        <w:tcBorders>
          <w:tl2br w:val="nil"/>
          <w:tr2bl w:val="nil"/>
          <w:top w:val="single" w:sz="18" w:space="0" w:color="auto"/>
          <w:left w:val="nil"/>
          <w:bottom w:val="single" w:sz="18" w:space="0" w:color="auto"/>
          <w:right w:val="nil"/>
          <w:insideH w:val="nil"/>
          <w:insideV w:val="nil"/>
        </w:tcBorders>
      </w:tcPr>
    </w:tblStylePr>
    <w:tcPr>
      <w:tcBorders/>
    </w:tcPr>
  </w:style>
  <w:style w:type="table" w:styleId="style250">
    <w:name w:val="Medium Shading 2 Accent 6"/>
    <w:basedOn w:val="style105"/>
    <w:next w:val="style250"/>
    <w:qFormat/>
    <w:uiPriority w:val="99"/>
    <w:pPr/>
    <w:rPr/>
    <w:tblPr>
      <w:tblBorders>
        <w:top w:val="single" w:sz="18" w:space="0" w:color="auto"/>
        <w:bottom w:val="single" w:sz="18" w:space="0" w:color="auto"/>
      </w:tblBorders>
    </w:tblPr>
    <w:tblStylePr w:type="firstRow">
      <w:pPr>
        <w:spacing w:before="0" w:after="0"/>
      </w:pPr>
      <w:rPr>
        <w:rFonts w:cs="Times New Roman"/>
        <w:b/>
        <w:bCs/>
        <w:color w:val="ffffff"/>
      </w:rPr>
      <w:tblPr/>
      <w:tcPr>
        <w:tcBorders>
          <w:tl2br w:val="nil"/>
          <w:tr2bl w:val="nil"/>
          <w:top w:val="single" w:sz="18" w:space="0" w:color="auto"/>
          <w:left w:val="nil"/>
          <w:bottom w:val="single" w:sz="18" w:space="0" w:color="auto"/>
          <w:right w:val="nil"/>
          <w:insideH w:val="nil"/>
          <w:insideV w:val="nil"/>
        </w:tcBorders>
        <w:shd w:val="clear" w:color="auto" w:fill="f79646"/>
      </w:tcPr>
    </w:tblStylePr>
    <w:tblStylePr w:type="lastRow">
      <w:pPr>
        <w:spacing w:before="0" w:after="0"/>
      </w:pPr>
      <w:rPr>
        <w:rFonts w:cs="Times New Roman"/>
        <w:color w:val="auto"/>
      </w:rPr>
      <w:tblPr/>
      <w:tcPr>
        <w:tcBorders>
          <w:tl2br w:val="nil"/>
          <w:tr2bl w:val="nil"/>
          <w:top w:val="double" w:sz="6" w:space="0" w:color="auto"/>
          <w:left w:val="nil"/>
          <w:bottom w:val="single" w:sz="18" w:space="0" w:color="auto"/>
          <w:right w:val="nil"/>
          <w:insideH w:val="nil"/>
          <w:insideV w:val="nil"/>
        </w:tcBorders>
        <w:shd w:val="clear" w:color="auto" w:fill="ffffff"/>
      </w:tcPr>
    </w:tblStylePr>
    <w:tblStylePr w:type="band1Horz">
      <w:pPr/>
      <w:rPr>
        <w:rFonts w:cs="Times New Roman"/>
      </w:rPr>
      <w:tblPr/>
      <w:tcPr>
        <w:tcBorders/>
        <w:shd w:val="clear" w:color="auto" w:fill="d8d8d8"/>
      </w:tcPr>
    </w:tblStylePr>
    <w:tblStylePr w:type="firstCol">
      <w:pPr/>
      <w:rPr>
        <w:rFonts w:cs="Times New Roman"/>
        <w:b/>
        <w:bCs/>
        <w:color w:val="ffffff"/>
      </w:rPr>
      <w:tblPr/>
      <w:tcPr>
        <w:tcBorders>
          <w:tl2br w:val="nil"/>
          <w:tr2bl w:val="nil"/>
          <w:top w:val="nil"/>
          <w:left w:val="nil"/>
          <w:bottom w:val="single" w:sz="18" w:space="0" w:color="auto"/>
          <w:right w:val="nil"/>
          <w:insideH w:val="nil"/>
          <w:insideV w:val="nil"/>
        </w:tcBorders>
        <w:shd w:val="clear" w:color="auto" w:fill="f79646"/>
      </w:tcPr>
    </w:tblStylePr>
    <w:tblStylePr w:type="lastCol">
      <w:pPr/>
      <w:rPr>
        <w:rFonts w:cs="Times New Roman"/>
        <w:b/>
        <w:bCs/>
        <w:color w:val="ffffff"/>
      </w:rPr>
      <w:tblPr/>
      <w:tcPr>
        <w:tcBorders>
          <w:tl2br w:val="nil"/>
          <w:tr2bl w:val="nil"/>
          <w:top w:val="nil"/>
          <w:left w:val="nil"/>
          <w:bottom w:val="nil"/>
          <w:right w:val="nil"/>
          <w:insideH w:val="nil"/>
          <w:insideV w:val="nil"/>
        </w:tcBorders>
        <w:shd w:val="clear" w:color="auto" w:fill="f79646"/>
      </w:tcPr>
    </w:tblStylePr>
    <w:tblStylePr w:type="band1Vert">
      <w:pPr/>
      <w:rPr>
        <w:rFonts w:cs="Times New Roman"/>
      </w:rPr>
      <w:tblPr/>
      <w:tcPr>
        <w:tcBorders>
          <w:tl2br w:val="nil"/>
          <w:tr2bl w:val="nil"/>
          <w:top w:val="nil"/>
          <w:left w:val="nil"/>
          <w:bottom w:val="nil"/>
          <w:right w:val="nil"/>
          <w:insideH w:val="nil"/>
          <w:insideV w:val="nil"/>
        </w:tcBorders>
        <w:shd w:val="clear" w:color="auto" w:fill="d8d8d8"/>
      </w:tcPr>
    </w:tblStylePr>
    <w:tblStylePr w:type="neCell">
      <w:pPr/>
      <w:rPr>
        <w:rFonts w:cs="Times New Roman"/>
      </w:rPr>
      <w:tblPr/>
      <w:tcPr>
        <w:tcBorders>
          <w:tl2br w:val="nil"/>
          <w:tr2bl w:val="nil"/>
          <w:top w:val="single" w:sz="18" w:space="0" w:color="auto"/>
          <w:left w:val="nil"/>
          <w:bottom w:val="single" w:sz="18" w:space="0" w:color="auto"/>
          <w:right w:val="nil"/>
          <w:insideH w:val="nil"/>
          <w:insideV w:val="nil"/>
        </w:tcBorders>
      </w:tcPr>
    </w:tblStylePr>
    <w:tblStylePr w:type="nwCell">
      <w:pPr/>
      <w:rPr>
        <w:rFonts w:cs="Times New Roman"/>
        <w:color w:val="ffffff"/>
      </w:rPr>
      <w:tblPr/>
      <w:tcPr>
        <w:tcBorders>
          <w:tl2br w:val="nil"/>
          <w:tr2bl w:val="nil"/>
          <w:top w:val="single" w:sz="18" w:space="0" w:color="auto"/>
          <w:left w:val="nil"/>
          <w:bottom w:val="single" w:sz="18" w:space="0" w:color="auto"/>
          <w:right w:val="nil"/>
          <w:insideH w:val="nil"/>
          <w:insideV w:val="nil"/>
        </w:tcBorders>
      </w:tcPr>
    </w:tblStylePr>
    <w:tcPr>
      <w:tcBorders/>
    </w:tcPr>
  </w:style>
  <w:style w:type="table" w:styleId="style183">
    <w:name w:val="Medium Grid 1 Accent 1"/>
    <w:basedOn w:val="style105"/>
    <w:next w:val="style183"/>
    <w:qFormat/>
    <w:uiPriority w:val="99"/>
    <w:pPr/>
    <w:rPr/>
    <w:tblPr>
      <w:tblBorders>
        <w:top w:val="single" w:sz="8" w:space="0" w:color="7ba0cd"/>
        <w:left w:val="single" w:sz="8" w:space="0" w:color="7ba0cd"/>
        <w:bottom w:val="single" w:sz="8" w:space="0" w:color="7ba0cd"/>
        <w:right w:val="single" w:sz="8" w:space="0" w:color="7ba0cd"/>
        <w:insideH w:val="single" w:sz="8" w:space="0" w:color="7ba0cd"/>
        <w:insideV w:val="single" w:sz="8" w:space="0" w:color="7ba0cd"/>
      </w:tblBorders>
      <w:shd w:val="clear" w:color="auto" w:fill="d3dfee"/>
    </w:tblPr>
    <w:tblStylePr w:type="firstRow">
      <w:pPr/>
      <w:rPr>
        <w:rFonts w:cs="Times New Roman"/>
        <w:b/>
        <w:bCs/>
      </w:rPr>
      <w:tcPr>
        <w:tcBorders/>
      </w:tcPr>
    </w:tblStylePr>
    <w:tblStylePr w:type="lastRow">
      <w:pPr/>
      <w:rPr>
        <w:rFonts w:cs="Times New Roman"/>
        <w:b/>
        <w:bCs/>
      </w:rPr>
      <w:tblPr/>
      <w:tcPr>
        <w:tcBorders>
          <w:tl2br w:val="nil"/>
          <w:tr2bl w:val="nil"/>
          <w:top w:val="single" w:sz="18" w:space="0" w:color="7ba0cd"/>
          <w:left w:val="nil"/>
          <w:bottom w:val="nil"/>
          <w:right w:val="nil"/>
          <w:insideH w:val="nil"/>
          <w:insideV w:val="nil"/>
        </w:tcBorders>
      </w:tcPr>
    </w:tblStylePr>
    <w:tblStylePr w:type="band1Horz">
      <w:pPr/>
      <w:rPr>
        <w:rFonts w:cs="Times New Roman"/>
      </w:rPr>
      <w:tblPr/>
      <w:tcPr>
        <w:tcBorders/>
        <w:shd w:val="clear" w:color="auto" w:fill="a7bfde"/>
      </w:tcPr>
    </w:tblStylePr>
    <w:tblStylePr w:type="firstCol">
      <w:pPr/>
      <w:rPr>
        <w:rFonts w:cs="Times New Roman"/>
        <w:b/>
        <w:bCs/>
      </w:rPr>
      <w:tcPr>
        <w:tcBorders/>
      </w:tcPr>
    </w:tblStylePr>
    <w:tblStylePr w:type="lastCol">
      <w:pPr/>
      <w:rPr>
        <w:rFonts w:cs="Times New Roman"/>
        <w:b/>
        <w:bCs/>
      </w:rPr>
      <w:tcPr>
        <w:tcBorders/>
      </w:tcPr>
    </w:tblStylePr>
    <w:tblStylePr w:type="band1Vert">
      <w:pPr/>
      <w:rPr>
        <w:rFonts w:cs="Times New Roman"/>
      </w:rPr>
      <w:tblPr/>
      <w:tcPr>
        <w:tcBorders/>
        <w:shd w:val="clear" w:color="auto" w:fill="a7bfde"/>
      </w:tcPr>
    </w:tblStylePr>
    <w:tcPr>
      <w:tcBorders/>
      <w:shd w:val="clear" w:color="auto" w:fill="d3dfee"/>
    </w:tcPr>
  </w:style>
  <w:style w:type="table" w:styleId="style211">
    <w:name w:val="Medium Grid 1 Accent 3"/>
    <w:basedOn w:val="style105"/>
    <w:next w:val="style211"/>
    <w:qFormat/>
    <w:uiPriority w:val="99"/>
    <w:pPr/>
    <w:rPr/>
    <w:tblPr>
      <w:tblBorders>
        <w:top w:val="single" w:sz="8" w:space="0" w:color="b3cc82"/>
        <w:left w:val="single" w:sz="8" w:space="0" w:color="b3cc82"/>
        <w:bottom w:val="single" w:sz="8" w:space="0" w:color="b3cc82"/>
        <w:right w:val="single" w:sz="8" w:space="0" w:color="b3cc82"/>
        <w:insideH w:val="single" w:sz="8" w:space="0" w:color="b3cc82"/>
        <w:insideV w:val="single" w:sz="8" w:space="0" w:color="b3cc82"/>
      </w:tblBorders>
      <w:shd w:val="clear" w:color="auto" w:fill="e6eed5"/>
    </w:tblPr>
    <w:tblStylePr w:type="firstRow">
      <w:pPr/>
      <w:rPr>
        <w:rFonts w:cs="Times New Roman"/>
        <w:b/>
        <w:bCs/>
      </w:rPr>
      <w:tcPr>
        <w:tcBorders/>
      </w:tcPr>
    </w:tblStylePr>
    <w:tblStylePr w:type="lastRow">
      <w:pPr/>
      <w:rPr>
        <w:rFonts w:cs="Times New Roman"/>
        <w:b/>
        <w:bCs/>
      </w:rPr>
      <w:tblPr/>
      <w:tcPr>
        <w:tcBorders>
          <w:tl2br w:val="nil"/>
          <w:tr2bl w:val="nil"/>
          <w:top w:val="single" w:sz="18" w:space="0" w:color="b3cc82"/>
          <w:left w:val="nil"/>
          <w:bottom w:val="nil"/>
          <w:right w:val="nil"/>
          <w:insideH w:val="nil"/>
          <w:insideV w:val="nil"/>
        </w:tcBorders>
      </w:tcPr>
    </w:tblStylePr>
    <w:tblStylePr w:type="band1Horz">
      <w:pPr/>
      <w:rPr>
        <w:rFonts w:cs="Times New Roman"/>
      </w:rPr>
      <w:tblPr/>
      <w:tcPr>
        <w:tcBorders/>
        <w:shd w:val="clear" w:color="auto" w:fill="cdddac"/>
      </w:tcPr>
    </w:tblStylePr>
    <w:tblStylePr w:type="firstCol">
      <w:pPr/>
      <w:rPr>
        <w:rFonts w:cs="Times New Roman"/>
        <w:b/>
        <w:bCs/>
      </w:rPr>
      <w:tcPr>
        <w:tcBorders/>
      </w:tcPr>
    </w:tblStylePr>
    <w:tblStylePr w:type="lastCol">
      <w:pPr/>
      <w:rPr>
        <w:rFonts w:cs="Times New Roman"/>
        <w:b/>
        <w:bCs/>
      </w:rPr>
      <w:tcPr>
        <w:tcBorders/>
      </w:tcPr>
    </w:tblStylePr>
    <w:tblStylePr w:type="band1Vert">
      <w:pPr/>
      <w:rPr>
        <w:rFonts w:cs="Times New Roman"/>
      </w:rPr>
      <w:tblPr/>
      <w:tcPr>
        <w:tcBorders/>
        <w:shd w:val="clear" w:color="auto" w:fill="cdddac"/>
      </w:tcPr>
    </w:tblStylePr>
    <w:tcPr>
      <w:tcBorders/>
      <w:shd w:val="clear" w:color="auto" w:fill="e6eed5"/>
    </w:tcPr>
  </w:style>
  <w:style w:type="table" w:styleId="style225">
    <w:name w:val="Medium Grid 1 Accent 4"/>
    <w:basedOn w:val="style105"/>
    <w:next w:val="style225"/>
    <w:qFormat/>
    <w:uiPriority w:val="99"/>
    <w:pPr/>
    <w:rPr/>
    <w:tblPr>
      <w:tblBorders>
        <w:top w:val="single" w:sz="8" w:space="0" w:color="9f8ab9"/>
        <w:left w:val="single" w:sz="8" w:space="0" w:color="9f8ab9"/>
        <w:bottom w:val="single" w:sz="8" w:space="0" w:color="9f8ab9"/>
        <w:right w:val="single" w:sz="8" w:space="0" w:color="9f8ab9"/>
        <w:insideH w:val="single" w:sz="8" w:space="0" w:color="9f8ab9"/>
        <w:insideV w:val="single" w:sz="8" w:space="0" w:color="9f8ab9"/>
      </w:tblBorders>
      <w:shd w:val="clear" w:color="auto" w:fill="dfd8e8"/>
    </w:tblPr>
    <w:tblStylePr w:type="firstRow">
      <w:pPr/>
      <w:rPr>
        <w:rFonts w:cs="Times New Roman"/>
        <w:b/>
        <w:bCs/>
      </w:rPr>
      <w:tcPr>
        <w:tcBorders/>
      </w:tcPr>
    </w:tblStylePr>
    <w:tblStylePr w:type="lastRow">
      <w:pPr/>
      <w:rPr>
        <w:rFonts w:cs="Times New Roman"/>
        <w:b/>
        <w:bCs/>
      </w:rPr>
      <w:tblPr/>
      <w:tcPr>
        <w:tcBorders>
          <w:tl2br w:val="nil"/>
          <w:tr2bl w:val="nil"/>
          <w:top w:val="single" w:sz="18" w:space="0" w:color="9f8ab9"/>
          <w:left w:val="nil"/>
          <w:bottom w:val="nil"/>
          <w:right w:val="nil"/>
          <w:insideH w:val="nil"/>
          <w:insideV w:val="nil"/>
        </w:tcBorders>
      </w:tcPr>
    </w:tblStylePr>
    <w:tblStylePr w:type="band1Horz">
      <w:pPr/>
      <w:rPr>
        <w:rFonts w:cs="Times New Roman"/>
      </w:rPr>
      <w:tblPr/>
      <w:tcPr>
        <w:tcBorders/>
        <w:shd w:val="clear" w:color="auto" w:fill="bfb1d0"/>
      </w:tcPr>
    </w:tblStylePr>
    <w:tblStylePr w:type="firstCol">
      <w:pPr/>
      <w:rPr>
        <w:rFonts w:cs="Times New Roman"/>
        <w:b/>
        <w:bCs/>
      </w:rPr>
      <w:tcPr>
        <w:tcBorders/>
      </w:tcPr>
    </w:tblStylePr>
    <w:tblStylePr w:type="lastCol">
      <w:pPr/>
      <w:rPr>
        <w:rFonts w:cs="Times New Roman"/>
        <w:b/>
        <w:bCs/>
      </w:rPr>
      <w:tcPr>
        <w:tcBorders/>
      </w:tcPr>
    </w:tblStylePr>
    <w:tblStylePr w:type="band1Vert">
      <w:pPr/>
      <w:rPr>
        <w:rFonts w:cs="Times New Roman"/>
      </w:rPr>
      <w:tblPr/>
      <w:tcPr>
        <w:tcBorders/>
        <w:shd w:val="clear" w:color="auto" w:fill="bfb1d0"/>
      </w:tcPr>
    </w:tblStylePr>
    <w:tcPr>
      <w:tcBorders/>
      <w:shd w:val="clear" w:color="auto" w:fill="dfd8e8"/>
    </w:tcPr>
  </w:style>
  <w:style w:type="table" w:styleId="style239">
    <w:name w:val="Medium Grid 1 Accent 5"/>
    <w:basedOn w:val="style105"/>
    <w:next w:val="style239"/>
    <w:qFormat/>
    <w:uiPriority w:val="99"/>
    <w:pPr/>
    <w:rPr/>
    <w:tblPr>
      <w:tblBorders>
        <w:top w:val="single" w:sz="8" w:space="0" w:color="78c0d4"/>
        <w:left w:val="single" w:sz="8" w:space="0" w:color="78c0d4"/>
        <w:bottom w:val="single" w:sz="8" w:space="0" w:color="78c0d4"/>
        <w:right w:val="single" w:sz="8" w:space="0" w:color="78c0d4"/>
        <w:insideH w:val="single" w:sz="8" w:space="0" w:color="78c0d4"/>
        <w:insideV w:val="single" w:sz="8" w:space="0" w:color="78c0d4"/>
      </w:tblBorders>
      <w:shd w:val="clear" w:color="auto" w:fill="d2eaf1"/>
    </w:tblPr>
    <w:tblStylePr w:type="firstRow">
      <w:pPr/>
      <w:rPr>
        <w:rFonts w:cs="Times New Roman"/>
        <w:b/>
        <w:bCs/>
      </w:rPr>
      <w:tcPr>
        <w:tcBorders/>
      </w:tcPr>
    </w:tblStylePr>
    <w:tblStylePr w:type="lastRow">
      <w:pPr/>
      <w:rPr>
        <w:rFonts w:cs="Times New Roman"/>
        <w:b/>
        <w:bCs/>
      </w:rPr>
      <w:tblPr/>
      <w:tcPr>
        <w:tcBorders>
          <w:tl2br w:val="nil"/>
          <w:tr2bl w:val="nil"/>
          <w:top w:val="single" w:sz="18" w:space="0" w:color="78c0d4"/>
          <w:left w:val="nil"/>
          <w:bottom w:val="nil"/>
          <w:right w:val="nil"/>
          <w:insideH w:val="nil"/>
          <w:insideV w:val="nil"/>
        </w:tcBorders>
      </w:tcPr>
    </w:tblStylePr>
    <w:tblStylePr w:type="band1Horz">
      <w:pPr/>
      <w:rPr>
        <w:rFonts w:cs="Times New Roman"/>
      </w:rPr>
      <w:tblPr/>
      <w:tcPr>
        <w:tcBorders/>
        <w:shd w:val="clear" w:color="auto" w:fill="a5d5e2"/>
      </w:tcPr>
    </w:tblStylePr>
    <w:tblStylePr w:type="firstCol">
      <w:pPr/>
      <w:rPr>
        <w:rFonts w:cs="Times New Roman"/>
        <w:b/>
        <w:bCs/>
      </w:rPr>
      <w:tcPr>
        <w:tcBorders/>
      </w:tcPr>
    </w:tblStylePr>
    <w:tblStylePr w:type="lastCol">
      <w:pPr/>
      <w:rPr>
        <w:rFonts w:cs="Times New Roman"/>
        <w:b/>
        <w:bCs/>
      </w:rPr>
      <w:tcPr>
        <w:tcBorders/>
      </w:tcPr>
    </w:tblStylePr>
    <w:tblStylePr w:type="band1Vert">
      <w:pPr/>
      <w:rPr>
        <w:rFonts w:cs="Times New Roman"/>
      </w:rPr>
      <w:tblPr/>
      <w:tcPr>
        <w:tcBorders/>
        <w:shd w:val="clear" w:color="auto" w:fill="a5d5e2"/>
      </w:tcPr>
    </w:tblStylePr>
    <w:tcPr>
      <w:tcBorders/>
      <w:shd w:val="clear" w:color="auto" w:fill="d2eaf1"/>
    </w:tcPr>
  </w:style>
  <w:style w:type="table" w:styleId="style185">
    <w:name w:val="Medium Grid 3 Accent 1"/>
    <w:basedOn w:val="style105"/>
    <w:next w:val="style185"/>
    <w:qFormat/>
    <w:uiPriority w:val="99"/>
    <w:pPr/>
    <w:rPr/>
    <w:tblPr>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shd w:val="clear" w:color="auto" w:fill="d3dfee"/>
    </w:tblPr>
    <w:tblStylePr w:type="firstRow">
      <w:pPr/>
      <w:rPr>
        <w:rFonts w:cs="Times New Roman"/>
        <w:b/>
        <w:bCs/>
        <w:i w:val="false"/>
        <w:iCs w:val="false"/>
        <w:color w:val="ffffff"/>
      </w:rPr>
      <w:tblPr/>
      <w:tcPr>
        <w:tcBorders>
          <w:tl2br w:val="nil"/>
          <w:tr2bl w:val="nil"/>
          <w:top w:val="single" w:sz="8" w:space="0" w:color="ffffff"/>
          <w:left w:val="single" w:sz="8" w:space="0" w:color="ffffff"/>
          <w:bottom w:val="single" w:sz="24" w:space="0" w:color="ffffff"/>
          <w:right w:val="single" w:sz="8" w:space="0" w:color="ffffff"/>
          <w:insideH w:val="nil"/>
          <w:insideV w:val="nil"/>
        </w:tcBorders>
        <w:shd w:val="clear" w:color="auto" w:fill="4f81bd"/>
      </w:tcPr>
    </w:tblStylePr>
    <w:tblStylePr w:type="lastRow">
      <w:pPr/>
      <w:rPr>
        <w:rFonts w:cs="Times New Roman"/>
        <w:b/>
        <w:bCs/>
        <w:i w:val="false"/>
        <w:iCs w:val="false"/>
        <w:color w:val="ffffff"/>
      </w:rPr>
      <w:tblPr/>
      <w:tcPr>
        <w:tcBorders>
          <w:tl2br w:val="nil"/>
          <w:tr2bl w:val="nil"/>
          <w:top w:val="single" w:sz="24" w:space="0" w:color="ffffff"/>
          <w:left w:val="single" w:sz="8" w:space="0" w:color="ffffff"/>
          <w:bottom w:val="single" w:sz="8" w:space="0" w:color="ffffff"/>
          <w:right w:val="single" w:sz="8" w:space="0" w:color="ffffff"/>
          <w:insideH w:val="nil"/>
          <w:insideV w:val="nil"/>
        </w:tcBorders>
        <w:shd w:val="clear" w:color="auto" w:fill="4f81bd"/>
      </w:tcPr>
    </w:tblStylePr>
    <w:tblStylePr w:type="band1Horz">
      <w:pPr/>
      <w:rPr>
        <w:rFonts w:cs="Times New Roman"/>
      </w:rPr>
      <w:tblPr/>
      <w:tcPr>
        <w:tcBorders>
          <w:tl2br w:val="nil"/>
          <w:tr2bl w:val="nil"/>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firstCol">
      <w:pPr/>
      <w:rPr>
        <w:rFonts w:cs="Times New Roman"/>
        <w:b/>
        <w:bCs/>
        <w:i w:val="false"/>
        <w:iCs w:val="false"/>
        <w:color w:val="ffffff"/>
      </w:rPr>
      <w:tblPr/>
      <w:tcPr>
        <w:tcBorders>
          <w:tl2br w:val="nil"/>
          <w:tr2bl w:val="nil"/>
          <w:top w:val="nil"/>
          <w:left w:val="single" w:sz="8" w:space="0" w:color="ffffff"/>
          <w:bottom w:val="nil"/>
          <w:right w:val="single" w:sz="24" w:space="0" w:color="ffffff"/>
          <w:insideH w:val="nil"/>
          <w:insideV w:val="nil"/>
        </w:tcBorders>
        <w:shd w:val="clear" w:color="auto" w:fill="4f81bd"/>
      </w:tcPr>
    </w:tblStylePr>
    <w:tblStylePr w:type="lastCol">
      <w:pPr/>
      <w:rPr>
        <w:rFonts w:cs="Times New Roman"/>
        <w:b/>
        <w:bCs/>
        <w:i w:val="false"/>
        <w:iCs w:val="false"/>
        <w:color w:val="ffffff"/>
      </w:rPr>
      <w:tblPr/>
      <w:tcPr>
        <w:tcBorders>
          <w:tl2br w:val="nil"/>
          <w:tr2bl w:val="nil"/>
          <w:top w:val="nil"/>
          <w:left w:val="single" w:sz="24" w:space="0" w:color="ffffff"/>
          <w:bottom w:val="nil"/>
          <w:right w:val="nil"/>
          <w:insideH w:val="nil"/>
          <w:insideV w:val="nil"/>
        </w:tcBorders>
        <w:shd w:val="clear" w:color="auto" w:fill="4f81bd"/>
      </w:tcPr>
    </w:tblStylePr>
    <w:tblStylePr w:type="band1Vert">
      <w:pPr/>
      <w:rPr>
        <w:rFonts w:cs="Times New Roman"/>
      </w:rPr>
      <w:tblPr/>
      <w:tcPr>
        <w:tcBorders>
          <w:tl2br w:val="nil"/>
          <w:tr2bl w:val="nil"/>
          <w:top w:val="single" w:sz="8" w:space="0" w:color="ffffff"/>
          <w:left w:val="single" w:sz="8" w:space="0" w:color="ffffff"/>
          <w:bottom w:val="single" w:sz="8" w:space="0" w:color="ffffff"/>
          <w:right w:val="single" w:sz="8" w:space="0" w:color="ffffff"/>
          <w:insideH w:val="nil"/>
          <w:insideV w:val="nil"/>
        </w:tcBorders>
        <w:shd w:val="clear" w:color="auto" w:fill="a7bfde"/>
      </w:tcPr>
    </w:tblStylePr>
    <w:tcPr>
      <w:tcBorders/>
      <w:shd w:val="clear" w:color="auto" w:fill="d3dfee"/>
    </w:tcPr>
  </w:style>
  <w:style w:type="table" w:styleId="style213">
    <w:name w:val="Medium Grid 3 Accent 3"/>
    <w:basedOn w:val="style105"/>
    <w:next w:val="style213"/>
    <w:qFormat/>
    <w:uiPriority w:val="99"/>
    <w:pPr/>
    <w:rPr/>
    <w:tblPr>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shd w:val="clear" w:color="auto" w:fill="e6eed5"/>
    </w:tblPr>
    <w:tblStylePr w:type="firstRow">
      <w:pPr/>
      <w:rPr>
        <w:rFonts w:cs="Times New Roman"/>
        <w:b/>
        <w:bCs/>
        <w:i w:val="false"/>
        <w:iCs w:val="false"/>
        <w:color w:val="ffffff"/>
      </w:rPr>
      <w:tblPr/>
      <w:tcPr>
        <w:tcBorders>
          <w:tl2br w:val="nil"/>
          <w:tr2bl w:val="nil"/>
          <w:top w:val="single" w:sz="8" w:space="0" w:color="ffffff"/>
          <w:left w:val="single" w:sz="8" w:space="0" w:color="ffffff"/>
          <w:bottom w:val="single" w:sz="24" w:space="0" w:color="ffffff"/>
          <w:right w:val="single" w:sz="8" w:space="0" w:color="ffffff"/>
          <w:insideH w:val="nil"/>
          <w:insideV w:val="nil"/>
        </w:tcBorders>
        <w:shd w:val="clear" w:color="auto" w:fill="9bbb59"/>
      </w:tcPr>
    </w:tblStylePr>
    <w:tblStylePr w:type="lastRow">
      <w:pPr/>
      <w:rPr>
        <w:rFonts w:cs="Times New Roman"/>
        <w:b/>
        <w:bCs/>
        <w:i w:val="false"/>
        <w:iCs w:val="false"/>
        <w:color w:val="ffffff"/>
      </w:rPr>
      <w:tblPr/>
      <w:tcPr>
        <w:tcBorders>
          <w:tl2br w:val="nil"/>
          <w:tr2bl w:val="nil"/>
          <w:top w:val="single" w:sz="24" w:space="0" w:color="ffffff"/>
          <w:left w:val="single" w:sz="8" w:space="0" w:color="ffffff"/>
          <w:bottom w:val="single" w:sz="8" w:space="0" w:color="ffffff"/>
          <w:right w:val="single" w:sz="8" w:space="0" w:color="ffffff"/>
          <w:insideH w:val="nil"/>
          <w:insideV w:val="nil"/>
        </w:tcBorders>
        <w:shd w:val="clear" w:color="auto" w:fill="9bbb59"/>
      </w:tcPr>
    </w:tblStylePr>
    <w:tblStylePr w:type="band1Horz">
      <w:pPr/>
      <w:rPr>
        <w:rFonts w:cs="Times New Roman"/>
      </w:rPr>
      <w:tblPr/>
      <w:tcPr>
        <w:tcBorders>
          <w:tl2br w:val="nil"/>
          <w:tr2bl w:val="nil"/>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firstCol">
      <w:pPr/>
      <w:rPr>
        <w:rFonts w:cs="Times New Roman"/>
        <w:b/>
        <w:bCs/>
        <w:i w:val="false"/>
        <w:iCs w:val="false"/>
        <w:color w:val="ffffff"/>
      </w:rPr>
      <w:tblPr/>
      <w:tcPr>
        <w:tcBorders>
          <w:tl2br w:val="nil"/>
          <w:tr2bl w:val="nil"/>
          <w:top w:val="nil"/>
          <w:left w:val="single" w:sz="8" w:space="0" w:color="ffffff"/>
          <w:bottom w:val="nil"/>
          <w:right w:val="single" w:sz="24" w:space="0" w:color="ffffff"/>
          <w:insideH w:val="nil"/>
          <w:insideV w:val="nil"/>
        </w:tcBorders>
        <w:shd w:val="clear" w:color="auto" w:fill="9bbb59"/>
      </w:tcPr>
    </w:tblStylePr>
    <w:tblStylePr w:type="lastCol">
      <w:pPr/>
      <w:rPr>
        <w:rFonts w:cs="Times New Roman"/>
        <w:b/>
        <w:bCs/>
        <w:i w:val="false"/>
        <w:iCs w:val="false"/>
        <w:color w:val="ffffff"/>
      </w:rPr>
      <w:tblPr/>
      <w:tcPr>
        <w:tcBorders>
          <w:tl2br w:val="nil"/>
          <w:tr2bl w:val="nil"/>
          <w:top w:val="nil"/>
          <w:left w:val="single" w:sz="24" w:space="0" w:color="ffffff"/>
          <w:bottom w:val="nil"/>
          <w:right w:val="nil"/>
          <w:insideH w:val="nil"/>
          <w:insideV w:val="nil"/>
        </w:tcBorders>
        <w:shd w:val="clear" w:color="auto" w:fill="9bbb59"/>
      </w:tcPr>
    </w:tblStylePr>
    <w:tblStylePr w:type="band1Vert">
      <w:pPr/>
      <w:rPr>
        <w:rFonts w:cs="Times New Roman"/>
      </w:rPr>
      <w:tblPr/>
      <w:tcPr>
        <w:tcBorders>
          <w:tl2br w:val="nil"/>
          <w:tr2bl w:val="nil"/>
          <w:top w:val="single" w:sz="8" w:space="0" w:color="ffffff"/>
          <w:left w:val="single" w:sz="8" w:space="0" w:color="ffffff"/>
          <w:bottom w:val="single" w:sz="8" w:space="0" w:color="ffffff"/>
          <w:right w:val="single" w:sz="8" w:space="0" w:color="ffffff"/>
          <w:insideH w:val="nil"/>
          <w:insideV w:val="nil"/>
        </w:tcBorders>
        <w:shd w:val="clear" w:color="auto" w:fill="cdddac"/>
      </w:tcPr>
    </w:tblStylePr>
    <w:tcPr>
      <w:tcBorders/>
      <w:shd w:val="clear" w:color="auto" w:fill="e6eed5"/>
    </w:tcPr>
  </w:style>
  <w:style w:type="table" w:styleId="style227">
    <w:name w:val="Medium Grid 3 Accent 4"/>
    <w:basedOn w:val="style105"/>
    <w:next w:val="style227"/>
    <w:qFormat/>
    <w:uiPriority w:val="99"/>
    <w:pPr/>
    <w:rPr/>
    <w:tblPr>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shd w:val="clear" w:color="auto" w:fill="dfd8e8"/>
    </w:tblPr>
    <w:tblStylePr w:type="firstRow">
      <w:pPr/>
      <w:rPr>
        <w:rFonts w:cs="Times New Roman"/>
        <w:b/>
        <w:bCs/>
        <w:i w:val="false"/>
        <w:iCs w:val="false"/>
        <w:color w:val="ffffff"/>
      </w:rPr>
      <w:tblPr/>
      <w:tcPr>
        <w:tcBorders>
          <w:tl2br w:val="nil"/>
          <w:tr2bl w:val="nil"/>
          <w:top w:val="single" w:sz="8" w:space="0" w:color="ffffff"/>
          <w:left w:val="single" w:sz="8" w:space="0" w:color="ffffff"/>
          <w:bottom w:val="single" w:sz="24" w:space="0" w:color="ffffff"/>
          <w:right w:val="single" w:sz="8" w:space="0" w:color="ffffff"/>
          <w:insideH w:val="nil"/>
          <w:insideV w:val="nil"/>
        </w:tcBorders>
        <w:shd w:val="clear" w:color="auto" w:fill="8064a2"/>
      </w:tcPr>
    </w:tblStylePr>
    <w:tblStylePr w:type="lastRow">
      <w:pPr/>
      <w:rPr>
        <w:rFonts w:cs="Times New Roman"/>
        <w:b/>
        <w:bCs/>
        <w:i w:val="false"/>
        <w:iCs w:val="false"/>
        <w:color w:val="ffffff"/>
      </w:rPr>
      <w:tblPr/>
      <w:tcPr>
        <w:tcBorders>
          <w:tl2br w:val="nil"/>
          <w:tr2bl w:val="nil"/>
          <w:top w:val="single" w:sz="24" w:space="0" w:color="ffffff"/>
          <w:left w:val="single" w:sz="8" w:space="0" w:color="ffffff"/>
          <w:bottom w:val="single" w:sz="8" w:space="0" w:color="ffffff"/>
          <w:right w:val="single" w:sz="8" w:space="0" w:color="ffffff"/>
          <w:insideH w:val="nil"/>
          <w:insideV w:val="nil"/>
        </w:tcBorders>
        <w:shd w:val="clear" w:color="auto" w:fill="8064a2"/>
      </w:tcPr>
    </w:tblStylePr>
    <w:tblStylePr w:type="band1Horz">
      <w:pPr/>
      <w:rPr>
        <w:rFonts w:cs="Times New Roman"/>
      </w:rPr>
      <w:tblPr/>
      <w:tcPr>
        <w:tcBorders>
          <w:tl2br w:val="nil"/>
          <w:tr2bl w:val="nil"/>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firstCol">
      <w:pPr/>
      <w:rPr>
        <w:rFonts w:cs="Times New Roman"/>
        <w:b/>
        <w:bCs/>
        <w:i w:val="false"/>
        <w:iCs w:val="false"/>
        <w:color w:val="ffffff"/>
      </w:rPr>
      <w:tblPr/>
      <w:tcPr>
        <w:tcBorders>
          <w:tl2br w:val="nil"/>
          <w:tr2bl w:val="nil"/>
          <w:top w:val="nil"/>
          <w:left w:val="single" w:sz="8" w:space="0" w:color="ffffff"/>
          <w:bottom w:val="nil"/>
          <w:right w:val="single" w:sz="24" w:space="0" w:color="ffffff"/>
          <w:insideH w:val="nil"/>
          <w:insideV w:val="nil"/>
        </w:tcBorders>
        <w:shd w:val="clear" w:color="auto" w:fill="8064a2"/>
      </w:tcPr>
    </w:tblStylePr>
    <w:tblStylePr w:type="lastCol">
      <w:pPr/>
      <w:rPr>
        <w:rFonts w:cs="Times New Roman"/>
        <w:b/>
        <w:bCs/>
        <w:i w:val="false"/>
        <w:iCs w:val="false"/>
        <w:color w:val="ffffff"/>
      </w:rPr>
      <w:tblPr/>
      <w:tcPr>
        <w:tcBorders>
          <w:tl2br w:val="nil"/>
          <w:tr2bl w:val="nil"/>
          <w:top w:val="nil"/>
          <w:left w:val="single" w:sz="24" w:space="0" w:color="ffffff"/>
          <w:bottom w:val="nil"/>
          <w:right w:val="nil"/>
          <w:insideH w:val="nil"/>
          <w:insideV w:val="nil"/>
        </w:tcBorders>
        <w:shd w:val="clear" w:color="auto" w:fill="8064a2"/>
      </w:tcPr>
    </w:tblStylePr>
    <w:tblStylePr w:type="band1Vert">
      <w:pPr/>
      <w:rPr>
        <w:rFonts w:cs="Times New Roman"/>
      </w:rPr>
      <w:tblPr/>
      <w:tcPr>
        <w:tcBorders>
          <w:tl2br w:val="nil"/>
          <w:tr2bl w:val="nil"/>
          <w:top w:val="single" w:sz="8" w:space="0" w:color="ffffff"/>
          <w:left w:val="single" w:sz="8" w:space="0" w:color="ffffff"/>
          <w:bottom w:val="single" w:sz="8" w:space="0" w:color="ffffff"/>
          <w:right w:val="single" w:sz="8" w:space="0" w:color="ffffff"/>
          <w:insideH w:val="nil"/>
          <w:insideV w:val="nil"/>
        </w:tcBorders>
        <w:shd w:val="clear" w:color="auto" w:fill="bfb1d0"/>
      </w:tcPr>
    </w:tblStylePr>
    <w:tcPr>
      <w:tcBorders/>
      <w:shd w:val="clear" w:color="auto" w:fill="dfd8e8"/>
    </w:tcPr>
  </w:style>
  <w:style w:type="table" w:styleId="style241">
    <w:name w:val="Medium Grid 3 Accent 5"/>
    <w:basedOn w:val="style105"/>
    <w:next w:val="style241"/>
    <w:qFormat/>
    <w:uiPriority w:val="99"/>
    <w:pPr/>
    <w:rPr/>
    <w:tblPr>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shd w:val="clear" w:color="auto" w:fill="d2eaf1"/>
    </w:tblPr>
    <w:tblStylePr w:type="firstRow">
      <w:pPr/>
      <w:rPr>
        <w:rFonts w:cs="Times New Roman"/>
        <w:b/>
        <w:bCs/>
        <w:i w:val="false"/>
        <w:iCs w:val="false"/>
        <w:color w:val="ffffff"/>
      </w:rPr>
      <w:tblPr/>
      <w:tcPr>
        <w:tcBorders>
          <w:tl2br w:val="nil"/>
          <w:tr2bl w:val="nil"/>
          <w:top w:val="single" w:sz="8" w:space="0" w:color="ffffff"/>
          <w:left w:val="single" w:sz="8" w:space="0" w:color="ffffff"/>
          <w:bottom w:val="single" w:sz="24" w:space="0" w:color="ffffff"/>
          <w:right w:val="single" w:sz="8" w:space="0" w:color="ffffff"/>
          <w:insideH w:val="nil"/>
          <w:insideV w:val="nil"/>
        </w:tcBorders>
        <w:shd w:val="clear" w:color="auto" w:fill="4bacc6"/>
      </w:tcPr>
    </w:tblStylePr>
    <w:tblStylePr w:type="lastRow">
      <w:pPr/>
      <w:rPr>
        <w:rFonts w:cs="Times New Roman"/>
        <w:b/>
        <w:bCs/>
        <w:i w:val="false"/>
        <w:iCs w:val="false"/>
        <w:color w:val="ffffff"/>
      </w:rPr>
      <w:tblPr/>
      <w:tcPr>
        <w:tcBorders>
          <w:tl2br w:val="nil"/>
          <w:tr2bl w:val="nil"/>
          <w:top w:val="single" w:sz="24" w:space="0" w:color="ffffff"/>
          <w:left w:val="single" w:sz="8" w:space="0" w:color="ffffff"/>
          <w:bottom w:val="single" w:sz="8" w:space="0" w:color="ffffff"/>
          <w:right w:val="single" w:sz="8" w:space="0" w:color="ffffff"/>
          <w:insideH w:val="nil"/>
          <w:insideV w:val="nil"/>
        </w:tcBorders>
        <w:shd w:val="clear" w:color="auto" w:fill="4bacc6"/>
      </w:tcPr>
    </w:tblStylePr>
    <w:tblStylePr w:type="band1Horz">
      <w:pPr/>
      <w:rPr>
        <w:rFonts w:cs="Times New Roman"/>
      </w:rPr>
      <w:tblPr/>
      <w:tcPr>
        <w:tcBorders>
          <w:tl2br w:val="nil"/>
          <w:tr2bl w:val="nil"/>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firstCol">
      <w:pPr/>
      <w:rPr>
        <w:rFonts w:cs="Times New Roman"/>
        <w:b/>
        <w:bCs/>
        <w:i w:val="false"/>
        <w:iCs w:val="false"/>
        <w:color w:val="ffffff"/>
      </w:rPr>
      <w:tblPr/>
      <w:tcPr>
        <w:tcBorders>
          <w:tl2br w:val="nil"/>
          <w:tr2bl w:val="nil"/>
          <w:top w:val="nil"/>
          <w:left w:val="single" w:sz="8" w:space="0" w:color="ffffff"/>
          <w:bottom w:val="nil"/>
          <w:right w:val="single" w:sz="24" w:space="0" w:color="ffffff"/>
          <w:insideH w:val="nil"/>
          <w:insideV w:val="nil"/>
        </w:tcBorders>
        <w:shd w:val="clear" w:color="auto" w:fill="4bacc6"/>
      </w:tcPr>
    </w:tblStylePr>
    <w:tblStylePr w:type="lastCol">
      <w:pPr/>
      <w:rPr>
        <w:rFonts w:cs="Times New Roman"/>
        <w:b/>
        <w:bCs/>
        <w:i w:val="false"/>
        <w:iCs w:val="false"/>
        <w:color w:val="ffffff"/>
      </w:rPr>
      <w:tblPr/>
      <w:tcPr>
        <w:tcBorders>
          <w:tl2br w:val="nil"/>
          <w:tr2bl w:val="nil"/>
          <w:top w:val="nil"/>
          <w:left w:val="single" w:sz="24" w:space="0" w:color="ffffff"/>
          <w:bottom w:val="nil"/>
          <w:right w:val="nil"/>
          <w:insideH w:val="nil"/>
          <w:insideV w:val="nil"/>
        </w:tcBorders>
        <w:shd w:val="clear" w:color="auto" w:fill="4bacc6"/>
      </w:tcPr>
    </w:tblStylePr>
    <w:tblStylePr w:type="band1Vert">
      <w:pPr/>
      <w:rPr>
        <w:rFonts w:cs="Times New Roman"/>
      </w:rPr>
      <w:tblPr/>
      <w:tcPr>
        <w:tcBorders>
          <w:tl2br w:val="nil"/>
          <w:tr2bl w:val="nil"/>
          <w:top w:val="single" w:sz="8" w:space="0" w:color="ffffff"/>
          <w:left w:val="single" w:sz="8" w:space="0" w:color="ffffff"/>
          <w:bottom w:val="single" w:sz="8" w:space="0" w:color="ffffff"/>
          <w:right w:val="single" w:sz="8" w:space="0" w:color="ffffff"/>
          <w:insideH w:val="nil"/>
          <w:insideV w:val="nil"/>
        </w:tcBorders>
        <w:shd w:val="clear" w:color="auto" w:fill="a5d5e2"/>
      </w:tcPr>
    </w:tblStylePr>
    <w:tcPr>
      <w:tcBorders/>
      <w:shd w:val="clear" w:color="auto" w:fill="d2eaf1"/>
    </w:tcPr>
  </w:style>
  <w:style w:type="table" w:styleId="style186">
    <w:name w:val="Dark List Accent 1"/>
    <w:basedOn w:val="style105"/>
    <w:next w:val="style186"/>
    <w:qFormat/>
    <w:uiPriority w:val="99"/>
    <w:pPr/>
    <w:rPr>
      <w:color w:val="ffffff"/>
    </w:rPr>
    <w:tblPr>
      <w:tblStyleRowBandSize w:val="1"/>
      <w:tblStyleColBandSize w:val="1"/>
      <w:shd w:val="clear" w:color="auto" w:fill="4f81bd"/>
    </w:tblPr>
    <w:tblStylePr w:type="firstRow">
      <w:pPr/>
      <w:rPr>
        <w:rFonts w:cs="Times New Roman"/>
        <w:b/>
        <w:bCs/>
      </w:rPr>
      <w:tblPr/>
      <w:tcPr>
        <w:tcBorders>
          <w:tl2br w:val="nil"/>
          <w:tr2bl w:val="nil"/>
          <w:top w:val="nil"/>
          <w:left w:val="nil"/>
          <w:bottom w:val="single" w:sz="18" w:space="0" w:color="ffffff"/>
          <w:right w:val="nil"/>
          <w:insideH w:val="nil"/>
          <w:insideV w:val="nil"/>
        </w:tcBorders>
        <w:shd w:val="clear" w:color="auto" w:fill="000000"/>
      </w:tcPr>
    </w:tblStylePr>
    <w:tblStylePr w:type="lastRow">
      <w:pPr/>
      <w:rPr>
        <w:rFonts w:cs="Times New Roman"/>
      </w:rPr>
      <w:tblPr/>
      <w:tcPr>
        <w:tcBorders>
          <w:tl2br w:val="nil"/>
          <w:tr2bl w:val="nil"/>
          <w:top w:val="single" w:sz="18" w:space="0" w:color="ffffff"/>
          <w:left w:val="nil"/>
          <w:bottom w:val="nil"/>
          <w:right w:val="nil"/>
          <w:insideH w:val="nil"/>
          <w:insideV w:val="nil"/>
        </w:tcBorders>
        <w:shd w:val="clear" w:color="auto" w:fill="243f60"/>
      </w:tcPr>
    </w:tblStylePr>
    <w:tblStylePr w:type="band1Horz">
      <w:pPr/>
      <w:rPr>
        <w:rFonts w:cs="Times New Roman"/>
      </w:rPr>
      <w:tblPr/>
      <w:tcPr>
        <w:tcBorders>
          <w:tl2br w:val="nil"/>
          <w:tr2bl w:val="nil"/>
          <w:top w:val="nil"/>
          <w:left w:val="nil"/>
          <w:bottom w:val="nil"/>
          <w:right w:val="nil"/>
          <w:insideH w:val="nil"/>
          <w:insideV w:val="nil"/>
        </w:tcBorders>
        <w:shd w:val="clear" w:color="auto" w:fill="365f91"/>
      </w:tcPr>
    </w:tblStylePr>
    <w:tblStylePr w:type="firstCol">
      <w:pPr/>
      <w:rPr>
        <w:rFonts w:cs="Times New Roman"/>
      </w:rPr>
      <w:tblPr/>
      <w:tcPr>
        <w:tcBorders>
          <w:tl2br w:val="nil"/>
          <w:tr2bl w:val="nil"/>
          <w:top w:val="nil"/>
          <w:left w:val="nil"/>
          <w:bottom w:val="nil"/>
          <w:right w:val="single" w:sz="18" w:space="0" w:color="ffffff"/>
          <w:insideH w:val="nil"/>
          <w:insideV w:val="nil"/>
        </w:tcBorders>
        <w:shd w:val="clear" w:color="auto" w:fill="365f91"/>
      </w:tcPr>
    </w:tblStylePr>
    <w:tblStylePr w:type="lastCol">
      <w:pPr/>
      <w:rPr>
        <w:rFonts w:cs="Times New Roman"/>
      </w:rPr>
      <w:tblPr/>
      <w:tcPr>
        <w:tcBorders>
          <w:tl2br w:val="nil"/>
          <w:tr2bl w:val="nil"/>
          <w:top w:val="nil"/>
          <w:left w:val="single" w:sz="18" w:space="0" w:color="ffffff"/>
          <w:bottom w:val="nil"/>
          <w:right w:val="nil"/>
          <w:insideH w:val="nil"/>
          <w:insideV w:val="nil"/>
        </w:tcBorders>
        <w:shd w:val="clear" w:color="auto" w:fill="365f91"/>
      </w:tcPr>
    </w:tblStylePr>
    <w:tblStylePr w:type="band1Vert">
      <w:pPr/>
      <w:rPr>
        <w:rFonts w:cs="Times New Roman"/>
      </w:rPr>
      <w:tblPr/>
      <w:tcPr>
        <w:tcBorders>
          <w:tl2br w:val="nil"/>
          <w:tr2bl w:val="nil"/>
          <w:top w:val="nil"/>
          <w:left w:val="nil"/>
          <w:bottom w:val="nil"/>
          <w:right w:val="nil"/>
          <w:insideH w:val="nil"/>
          <w:insideV w:val="nil"/>
        </w:tcBorders>
        <w:shd w:val="clear" w:color="auto" w:fill="365f91"/>
      </w:tcPr>
    </w:tblStylePr>
    <w:tcPr>
      <w:tcBorders/>
      <w:shd w:val="clear" w:color="auto" w:fill="4f81bd"/>
    </w:tcPr>
  </w:style>
  <w:style w:type="table" w:styleId="style214">
    <w:name w:val="Dark List Accent 3"/>
    <w:basedOn w:val="style105"/>
    <w:next w:val="style214"/>
    <w:qFormat/>
    <w:uiPriority w:val="99"/>
    <w:pPr/>
    <w:rPr>
      <w:color w:val="ffffff"/>
    </w:rPr>
    <w:tblPr>
      <w:tblStyleRowBandSize w:val="1"/>
      <w:tblStyleColBandSize w:val="1"/>
      <w:shd w:val="clear" w:color="auto" w:fill="9bbb59"/>
    </w:tblPr>
    <w:tblStylePr w:type="firstRow">
      <w:pPr/>
      <w:rPr>
        <w:rFonts w:cs="Times New Roman"/>
        <w:b/>
        <w:bCs/>
      </w:rPr>
      <w:tblPr/>
      <w:tcPr>
        <w:tcBorders>
          <w:tl2br w:val="nil"/>
          <w:tr2bl w:val="nil"/>
          <w:top w:val="nil"/>
          <w:left w:val="nil"/>
          <w:bottom w:val="single" w:sz="18" w:space="0" w:color="ffffff"/>
          <w:right w:val="nil"/>
          <w:insideH w:val="nil"/>
          <w:insideV w:val="nil"/>
        </w:tcBorders>
        <w:shd w:val="clear" w:color="auto" w:fill="000000"/>
      </w:tcPr>
    </w:tblStylePr>
    <w:tblStylePr w:type="lastRow">
      <w:pPr/>
      <w:rPr>
        <w:rFonts w:cs="Times New Roman"/>
      </w:rPr>
      <w:tblPr/>
      <w:tcPr>
        <w:tcBorders>
          <w:tl2br w:val="nil"/>
          <w:tr2bl w:val="nil"/>
          <w:top w:val="single" w:sz="18" w:space="0" w:color="ffffff"/>
          <w:left w:val="nil"/>
          <w:bottom w:val="nil"/>
          <w:right w:val="nil"/>
          <w:insideH w:val="nil"/>
          <w:insideV w:val="nil"/>
        </w:tcBorders>
        <w:shd w:val="clear" w:color="auto" w:fill="4e6128"/>
      </w:tcPr>
    </w:tblStylePr>
    <w:tblStylePr w:type="band1Horz">
      <w:pPr/>
      <w:rPr>
        <w:rFonts w:cs="Times New Roman"/>
      </w:rPr>
      <w:tblPr/>
      <w:tcPr>
        <w:tcBorders>
          <w:tl2br w:val="nil"/>
          <w:tr2bl w:val="nil"/>
          <w:top w:val="nil"/>
          <w:left w:val="nil"/>
          <w:bottom w:val="nil"/>
          <w:right w:val="nil"/>
          <w:insideH w:val="nil"/>
          <w:insideV w:val="nil"/>
        </w:tcBorders>
        <w:shd w:val="clear" w:color="auto" w:fill="76923c"/>
      </w:tcPr>
    </w:tblStylePr>
    <w:tblStylePr w:type="firstCol">
      <w:pPr/>
      <w:rPr>
        <w:rFonts w:cs="Times New Roman"/>
      </w:rPr>
      <w:tblPr/>
      <w:tcPr>
        <w:tcBorders>
          <w:tl2br w:val="nil"/>
          <w:tr2bl w:val="nil"/>
          <w:top w:val="nil"/>
          <w:left w:val="nil"/>
          <w:bottom w:val="nil"/>
          <w:right w:val="single" w:sz="18" w:space="0" w:color="ffffff"/>
          <w:insideH w:val="nil"/>
          <w:insideV w:val="nil"/>
        </w:tcBorders>
        <w:shd w:val="clear" w:color="auto" w:fill="76923c"/>
      </w:tcPr>
    </w:tblStylePr>
    <w:tblStylePr w:type="lastCol">
      <w:pPr/>
      <w:rPr>
        <w:rFonts w:cs="Times New Roman"/>
      </w:rPr>
      <w:tblPr/>
      <w:tcPr>
        <w:tcBorders>
          <w:tl2br w:val="nil"/>
          <w:tr2bl w:val="nil"/>
          <w:top w:val="nil"/>
          <w:left w:val="single" w:sz="18" w:space="0" w:color="ffffff"/>
          <w:bottom w:val="nil"/>
          <w:right w:val="nil"/>
          <w:insideH w:val="nil"/>
          <w:insideV w:val="nil"/>
        </w:tcBorders>
        <w:shd w:val="clear" w:color="auto" w:fill="76923c"/>
      </w:tcPr>
    </w:tblStylePr>
    <w:tblStylePr w:type="band1Vert">
      <w:pPr/>
      <w:rPr>
        <w:rFonts w:cs="Times New Roman"/>
      </w:rPr>
      <w:tblPr/>
      <w:tcPr>
        <w:tcBorders>
          <w:tl2br w:val="nil"/>
          <w:tr2bl w:val="nil"/>
          <w:top w:val="nil"/>
          <w:left w:val="nil"/>
          <w:bottom w:val="nil"/>
          <w:right w:val="nil"/>
          <w:insideH w:val="nil"/>
          <w:insideV w:val="nil"/>
        </w:tcBorders>
        <w:shd w:val="clear" w:color="auto" w:fill="76923c"/>
      </w:tcPr>
    </w:tblStylePr>
    <w:tcPr>
      <w:tcBorders/>
      <w:shd w:val="clear" w:color="auto" w:fill="9bbb59"/>
    </w:tcPr>
  </w:style>
  <w:style w:type="table" w:styleId="style258">
    <w:name w:val="Colorful List Accent 6"/>
    <w:basedOn w:val="style105"/>
    <w:next w:val="style258"/>
    <w:qFormat/>
    <w:uiPriority w:val="99"/>
    <w:pPr/>
    <w:rPr>
      <w:color w:val="000000"/>
    </w:rPr>
    <w:tblPr>
      <w:tblStyleRowBandSize w:val="1"/>
      <w:tblStyleColBandSize w:val="1"/>
      <w:shd w:val="clear" w:color="auto" w:fill="fef4ec"/>
    </w:tblPr>
    <w:tblStylePr w:type="firstRow">
      <w:pPr/>
      <w:rPr>
        <w:rFonts w:cs="Times New Roman"/>
        <w:b/>
        <w:bCs/>
        <w:color w:val="ffffff"/>
      </w:rPr>
      <w:tblPr/>
      <w:tcPr>
        <w:tcBorders>
          <w:tl2br w:val="nil"/>
          <w:tr2bl w:val="nil"/>
          <w:top w:val="nil"/>
          <w:left w:val="nil"/>
          <w:bottom w:val="single" w:sz="12" w:space="0" w:color="ffffff"/>
          <w:right w:val="nil"/>
          <w:insideH w:val="nil"/>
          <w:insideV w:val="nil"/>
        </w:tcBorders>
        <w:shd w:val="clear" w:color="auto" w:fill="348da5"/>
      </w:tcPr>
    </w:tblStylePr>
    <w:tblStylePr w:type="lastRow">
      <w:pPr/>
      <w:rPr>
        <w:rFonts w:cs="Times New Roman"/>
        <w:b/>
        <w:bCs/>
        <w:color w:val="348da5"/>
      </w:rPr>
      <w:tblPr/>
      <w:tcPr>
        <w:tcBorders>
          <w:tl2br w:val="nil"/>
          <w:tr2bl w:val="nil"/>
          <w:top w:val="single" w:sz="12" w:space="0" w:color="000000"/>
          <w:left w:val="nil"/>
          <w:bottom w:val="nil"/>
          <w:right w:val="nil"/>
          <w:insideH w:val="nil"/>
          <w:insideV w:val="nil"/>
        </w:tcBorders>
        <w:shd w:val="clear" w:color="auto" w:fill="ffffff"/>
      </w:tcPr>
    </w:tblStylePr>
    <w:tblStylePr w:type="band1Horz">
      <w:pPr/>
      <w:rPr>
        <w:rFonts w:cs="Times New Roman"/>
      </w:rPr>
      <w:tblPr/>
      <w:tcPr>
        <w:tcBorders/>
        <w:shd w:val="clear" w:color="auto" w:fill="fde9d9"/>
      </w:tcPr>
    </w:tblStylePr>
    <w:tblStylePr w:type="firstCol">
      <w:pPr/>
      <w:rPr>
        <w:rFonts w:cs="Times New Roman"/>
        <w:b/>
        <w:bCs/>
      </w:rPr>
      <w:tcPr>
        <w:tcBorders/>
      </w:tcPr>
    </w:tblStylePr>
    <w:tblStylePr w:type="lastCol">
      <w:pPr/>
      <w:rPr>
        <w:rFonts w:cs="Times New Roman"/>
        <w:b/>
        <w:bCs/>
      </w:rPr>
      <w:tcPr>
        <w:tcBorders/>
      </w:tcPr>
    </w:tblStylePr>
    <w:tblStylePr w:type="band1Vert">
      <w:pPr/>
      <w:rPr>
        <w:rFonts w:cs="Times New Roman"/>
      </w:rPr>
      <w:tblPr/>
      <w:tcPr>
        <w:tcBorders>
          <w:tl2br w:val="nil"/>
          <w:tr2bl w:val="nil"/>
          <w:top w:val="nil"/>
          <w:left w:val="nil"/>
          <w:bottom w:val="nil"/>
          <w:right w:val="nil"/>
          <w:insideH w:val="nil"/>
          <w:insideV w:val="nil"/>
        </w:tcBorders>
        <w:shd w:val="clear" w:color="auto" w:fill="fde4d0"/>
      </w:tcPr>
    </w:tblStylePr>
    <w:tcPr>
      <w:tcBorders/>
      <w:shd w:val="clear" w:color="auto" w:fill="fef4ec"/>
    </w:tcPr>
  </w:style>
  <w:style w:type="character" w:styleId="style87">
    <w:name w:val="Strong"/>
    <w:basedOn w:val="style65"/>
    <w:next w:val="style87"/>
    <w:qFormat/>
    <w:uiPriority w:val="99"/>
    <w:rPr>
      <w:rFonts w:cs="Times New Roman"/>
      <w:b/>
    </w:rPr>
  </w:style>
  <w:style w:type="character" w:styleId="style86">
    <w:name w:val="FollowedHyperlink"/>
    <w:basedOn w:val="style65"/>
    <w:next w:val="style86"/>
    <w:qFormat/>
    <w:rPr>
      <w:color w:val="800080"/>
      <w:u w:val="single"/>
    </w:rPr>
  </w:style>
  <w:style w:type="character" w:styleId="style88">
    <w:name w:val="Emphasis"/>
    <w:basedOn w:val="style65"/>
    <w:next w:val="style88"/>
    <w:qFormat/>
    <w:uiPriority w:val="99"/>
    <w:rPr>
      <w:rFonts w:cs="Times New Roman"/>
      <w:i/>
    </w:rPr>
  </w:style>
  <w:style w:type="character" w:styleId="style85">
    <w:name w:val="Hyperlink"/>
    <w:basedOn w:val="style65"/>
    <w:next w:val="style85"/>
    <w:qFormat/>
    <w:uiPriority w:val="99"/>
    <w:rPr>
      <w:rFonts w:cs="Times New Roman"/>
      <w:color w:val="0000ff"/>
      <w:sz w:val="20"/>
      <w:u w:val="single"/>
      <w:lang w:val="zh-CN"/>
    </w:rPr>
  </w:style>
  <w:style w:type="paragraph" w:customStyle="1" w:styleId="style4097">
    <w:name w:val="列出段落1"/>
    <w:basedOn w:val="style0"/>
    <w:next w:val="style4097"/>
    <w:qFormat/>
    <w:uiPriority w:val="99"/>
    <w:pPr>
      <w:ind w:firstLine="420" w:firstLineChars="200"/>
    </w:pPr>
    <w:rPr/>
  </w:style>
  <w:style w:type="paragraph" w:customStyle="1" w:styleId="style4098">
    <w:name w:val="bodytext"/>
    <w:basedOn w:val="style0"/>
    <w:next w:val="style4098"/>
    <w:qFormat/>
    <w:uiPriority w:val="99"/>
    <w:pPr>
      <w:widowControl/>
      <w:spacing w:before="100" w:beforeAutospacing="true" w:after="100" w:afterAutospacing="true"/>
      <w:jc w:val="left"/>
    </w:pPr>
    <w:rPr>
      <w:rFonts w:ascii="宋体" w:hAnsi="宋体"/>
      <w:kern w:val="0"/>
      <w:sz w:val="24"/>
    </w:rPr>
  </w:style>
  <w:style w:type="paragraph" w:customStyle="1" w:styleId="style4099">
    <w:name w:val="无间隔1"/>
    <w:next w:val="style4099"/>
    <w:qFormat/>
    <w:uiPriority w:val="99"/>
    <w:pPr>
      <w:widowControl w:val="false"/>
      <w:jc w:val="both"/>
    </w:pPr>
    <w:rPr>
      <w:rFonts w:ascii="Vrinda" w:hAnsi="Vrinda"/>
      <w:kern w:val="2"/>
      <w:sz w:val="18"/>
      <w:szCs w:val="24"/>
    </w:rPr>
  </w:style>
  <w:style w:type="paragraph" w:customStyle="1" w:styleId="style4100">
    <w:name w:val="列出段落11"/>
    <w:basedOn w:val="style0"/>
    <w:next w:val="style4100"/>
    <w:qFormat/>
    <w:uiPriority w:val="99"/>
    <w:pPr>
      <w:ind w:firstLine="420" w:firstLineChars="200"/>
    </w:pPr>
    <w:rPr>
      <w:rFonts w:ascii="Calibri" w:hAnsi="Calibri"/>
      <w:sz w:val="21"/>
      <w:szCs w:val="22"/>
    </w:rPr>
  </w:style>
  <w:style w:type="character" w:customStyle="1" w:styleId="style4101">
    <w:name w:val="标题 1 字符"/>
    <w:basedOn w:val="style65"/>
    <w:next w:val="style4101"/>
    <w:link w:val="style1"/>
    <w:qFormat/>
    <w:uiPriority w:val="99"/>
    <w:rPr>
      <w:rFonts w:ascii="仿宋" w:eastAsia="仿宋" w:hAnsi="仿宋"/>
      <w:b/>
      <w:bCs/>
      <w:kern w:val="44"/>
      <w:sz w:val="36"/>
      <w:szCs w:val="36"/>
    </w:rPr>
  </w:style>
  <w:style w:type="character" w:customStyle="1" w:styleId="style4102">
    <w:name w:val="标题 2 字符"/>
    <w:basedOn w:val="style65"/>
    <w:next w:val="style4102"/>
    <w:link w:val="style2"/>
    <w:qFormat/>
    <w:uiPriority w:val="99"/>
    <w:rPr>
      <w:rFonts w:ascii="Cambria" w:hAnsi="Cambria"/>
      <w:b/>
      <w:bCs/>
      <w:kern w:val="2"/>
      <w:sz w:val="32"/>
      <w:szCs w:val="32"/>
    </w:rPr>
  </w:style>
  <w:style w:type="character" w:customStyle="1" w:styleId="style4103">
    <w:name w:val="标题 3 字符"/>
    <w:basedOn w:val="style65"/>
    <w:next w:val="style4103"/>
    <w:link w:val="style3"/>
    <w:qFormat/>
    <w:uiPriority w:val="99"/>
    <w:rPr>
      <w:rFonts w:ascii="Vrinda" w:hAnsi="Vrinda"/>
      <w:b/>
      <w:kern w:val="2"/>
      <w:sz w:val="32"/>
    </w:rPr>
  </w:style>
  <w:style w:type="character" w:customStyle="1" w:styleId="style4104">
    <w:name w:val="标题 4 字符"/>
    <w:basedOn w:val="style65"/>
    <w:next w:val="style4104"/>
    <w:link w:val="style4"/>
    <w:qFormat/>
    <w:uiPriority w:val="99"/>
    <w:rPr>
      <w:rFonts w:ascii="Cambria" w:hAnsi="Cambria"/>
      <w:b/>
      <w:bCs/>
      <w:kern w:val="2"/>
      <w:sz w:val="28"/>
      <w:szCs w:val="28"/>
    </w:rPr>
  </w:style>
  <w:style w:type="character" w:customStyle="1" w:styleId="style4105">
    <w:name w:val="标题 5 字符"/>
    <w:basedOn w:val="style65"/>
    <w:next w:val="style4105"/>
    <w:link w:val="style5"/>
    <w:qFormat/>
    <w:uiPriority w:val="99"/>
    <w:rPr>
      <w:rFonts w:ascii="Vrinda" w:hAnsi="Vrinda"/>
      <w:b/>
      <w:bCs/>
      <w:kern w:val="2"/>
      <w:sz w:val="28"/>
      <w:szCs w:val="28"/>
    </w:rPr>
  </w:style>
  <w:style w:type="character" w:customStyle="1" w:styleId="style4106">
    <w:name w:val="标题 6 字符"/>
    <w:basedOn w:val="style65"/>
    <w:next w:val="style4106"/>
    <w:link w:val="style6"/>
    <w:qFormat/>
    <w:uiPriority w:val="99"/>
    <w:rPr>
      <w:rFonts w:ascii="Cambria" w:hAnsi="Cambria"/>
      <w:b/>
      <w:bCs/>
      <w:kern w:val="2"/>
      <w:sz w:val="24"/>
      <w:szCs w:val="24"/>
    </w:rPr>
  </w:style>
  <w:style w:type="character" w:customStyle="1" w:styleId="style4107">
    <w:name w:val="标题 7 字符"/>
    <w:basedOn w:val="style65"/>
    <w:next w:val="style4107"/>
    <w:link w:val="style7"/>
    <w:qFormat/>
    <w:uiPriority w:val="99"/>
    <w:rPr>
      <w:rFonts w:ascii="Vrinda" w:hAnsi="Vrinda"/>
      <w:b/>
      <w:bCs/>
      <w:kern w:val="2"/>
      <w:sz w:val="24"/>
      <w:szCs w:val="24"/>
    </w:rPr>
  </w:style>
  <w:style w:type="character" w:customStyle="1" w:styleId="style4108">
    <w:name w:val="标题 8 字符"/>
    <w:basedOn w:val="style65"/>
    <w:next w:val="style4108"/>
    <w:link w:val="style8"/>
    <w:qFormat/>
    <w:uiPriority w:val="99"/>
    <w:rPr>
      <w:rFonts w:ascii="Cambria" w:hAnsi="Cambria"/>
      <w:kern w:val="2"/>
      <w:sz w:val="24"/>
      <w:szCs w:val="24"/>
    </w:rPr>
  </w:style>
  <w:style w:type="character" w:customStyle="1" w:styleId="style4109">
    <w:name w:val="标题 9 字符"/>
    <w:basedOn w:val="style65"/>
    <w:next w:val="style4109"/>
    <w:link w:val="style9"/>
    <w:qFormat/>
    <w:uiPriority w:val="99"/>
    <w:rPr>
      <w:rFonts w:ascii="Cambria" w:hAnsi="Cambria"/>
      <w:kern w:val="2"/>
      <w:sz w:val="21"/>
      <w:szCs w:val="21"/>
    </w:rPr>
  </w:style>
  <w:style w:type="character" w:customStyle="1" w:styleId="style4110">
    <w:name w:val="页眉 字符"/>
    <w:basedOn w:val="style65"/>
    <w:next w:val="style4110"/>
    <w:link w:val="style31"/>
    <w:qFormat/>
    <w:uiPriority w:val="99"/>
    <w:rPr>
      <w:rFonts w:ascii="Vrinda" w:hAnsi="Vrinda"/>
      <w:sz w:val="18"/>
      <w:szCs w:val="18"/>
    </w:rPr>
  </w:style>
  <w:style w:type="character" w:customStyle="1" w:styleId="style4111">
    <w:name w:val="页脚 字符"/>
    <w:basedOn w:val="style65"/>
    <w:next w:val="style4111"/>
    <w:link w:val="style32"/>
    <w:qFormat/>
    <w:uiPriority w:val="99"/>
    <w:rPr>
      <w:rFonts w:ascii="Vrinda" w:hAnsi="Vrinda"/>
      <w:kern w:val="2"/>
      <w:sz w:val="18"/>
    </w:rPr>
  </w:style>
  <w:style w:type="character" w:customStyle="1" w:styleId="style4112">
    <w:name w:val="标题 字符"/>
    <w:basedOn w:val="style65"/>
    <w:next w:val="style4112"/>
    <w:link w:val="style62"/>
    <w:qFormat/>
    <w:uiPriority w:val="99"/>
    <w:rPr>
      <w:rFonts w:ascii="Cambria" w:hAnsi="Cambria"/>
      <w:b/>
      <w:kern w:val="2"/>
      <w:sz w:val="32"/>
    </w:rPr>
  </w:style>
  <w:style w:type="character" w:customStyle="1" w:styleId="style4113">
    <w:name w:val="副标题 字符"/>
    <w:basedOn w:val="style65"/>
    <w:next w:val="style4113"/>
    <w:link w:val="style74"/>
    <w:qFormat/>
    <w:rPr>
      <w:rFonts w:ascii="Cambria" w:hAnsi="Cambria"/>
      <w:b/>
      <w:kern w:val="28"/>
      <w:sz w:val="32"/>
    </w:rPr>
  </w:style>
  <w:style w:type="character" w:customStyle="1" w:styleId="style4114">
    <w:name w:val="批注框文本 字符"/>
    <w:basedOn w:val="style65"/>
    <w:next w:val="style4114"/>
    <w:link w:val="style153"/>
    <w:qFormat/>
    <w:uiPriority w:val="99"/>
    <w:rPr>
      <w:rFonts w:ascii="Vrinda" w:hAnsi="Vrinda"/>
      <w:kern w:val="2"/>
      <w:sz w:val="18"/>
    </w:rPr>
  </w:style>
  <w:style w:type="character" w:customStyle="1" w:styleId="style4115">
    <w:name w:val="l_1501"/>
    <w:basedOn w:val="style65"/>
    <w:next w:val="style4115"/>
    <w:qFormat/>
    <w:rPr>
      <w:rFonts w:cs="Times New Roman"/>
    </w:rPr>
  </w:style>
  <w:style w:type="character" w:customStyle="1" w:styleId="style4116">
    <w:name w:val="文档结构图 字符"/>
    <w:basedOn w:val="style65"/>
    <w:next w:val="style4116"/>
    <w:link w:val="style89"/>
    <w:qFormat/>
    <w:uiPriority w:val="99"/>
    <w:rPr>
      <w:sz w:val="16"/>
      <w:szCs w:val="16"/>
    </w:rPr>
  </w:style>
  <w:style w:type="table" w:customStyle="1" w:styleId="style4117">
    <w:name w:val="中等深浅底纹 2 - 强调文字颜色 11"/>
    <w:next w:val="style4117"/>
    <w:qFormat/>
    <w:uiPriority w:val="99"/>
    <w:pPr/>
    <w:rPr/>
    <w:tblPr>
      <w:tblBorders>
        <w:top w:val="single" w:sz="18" w:space="0" w:color="auto"/>
        <w:bottom w:val="single" w:sz="18" w:space="0" w:color="auto"/>
      </w:tblBorders>
      <w:tblCellMar>
        <w:top w:w="0" w:type="dxa"/>
        <w:left w:w="108" w:type="dxa"/>
        <w:bottom w:w="0" w:type="dxa"/>
        <w:right w:w="108" w:type="dxa"/>
      </w:tblCellMar>
    </w:tblPr>
    <w:tcPr>
      <w:tcBorders/>
    </w:tcPr>
  </w:style>
  <w:style w:type="table" w:customStyle="1" w:styleId="style4118">
    <w:name w:val="浅色网格 - 强调文字颜色 11"/>
    <w:next w:val="style4118"/>
    <w:qFormat/>
    <w:uiPriority w:val="99"/>
    <w:pPr/>
    <w:rPr/>
    <w:tblPr>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CellMar>
        <w:top w:w="0" w:type="dxa"/>
        <w:left w:w="108" w:type="dxa"/>
        <w:bottom w:w="0" w:type="dxa"/>
        <w:right w:w="108" w:type="dxa"/>
      </w:tblCellMar>
    </w:tblPr>
    <w:tcPr>
      <w:tcBorders/>
    </w:tcPr>
  </w:style>
  <w:style w:type="table" w:customStyle="1" w:styleId="style4119">
    <w:name w:val="浅色底纹1"/>
    <w:next w:val="style4119"/>
    <w:qFormat/>
    <w:uiPriority w:val="99"/>
    <w:pPr/>
    <w:rPr>
      <w:color w:val="000000"/>
      <w:sz w:val="28"/>
      <w:szCs w:val="28"/>
    </w:rPr>
    <w:tblPr>
      <w:tblBorders>
        <w:top w:val="single" w:sz="8" w:space="0" w:color="000000"/>
        <w:bottom w:val="single" w:sz="8" w:space="0" w:color="000000"/>
      </w:tblBorders>
      <w:tblCellMar>
        <w:top w:w="0" w:type="dxa"/>
        <w:left w:w="108" w:type="dxa"/>
        <w:bottom w:w="0" w:type="dxa"/>
        <w:right w:w="108" w:type="dxa"/>
      </w:tblCellMar>
    </w:tblPr>
    <w:tcPr>
      <w:tcBorders/>
    </w:tcPr>
  </w:style>
  <w:style w:type="character" w:customStyle="1" w:styleId="style4120">
    <w:name w:val="不明显强调1"/>
    <w:basedOn w:val="style65"/>
    <w:next w:val="style4120"/>
    <w:qFormat/>
    <w:uiPriority w:val="19"/>
    <w:rPr>
      <w:i/>
      <w:iCs/>
      <w:color w:val="808080"/>
    </w:rPr>
  </w:style>
  <w:style w:type="paragraph" w:customStyle="1" w:styleId="style4121">
    <w:name w:val="TOC 标题1"/>
    <w:basedOn w:val="style1"/>
    <w:next w:val="style0"/>
    <w:qFormat/>
    <w:uiPriority w:val="39"/>
    <w:pPr>
      <w:widowControl/>
      <w:numPr>
        <w:ilvl w:val="0"/>
        <w:numId w:val="0"/>
      </w:numPr>
      <w:spacing w:before="480" w:after="0" w:lineRule="auto" w:line="276"/>
      <w:jc w:val="left"/>
      <w:outlineLvl w:val="9"/>
    </w:pPr>
    <w:rPr>
      <w:rFonts w:ascii="Cambria" w:cs="宋体" w:eastAsia="宋体" w:hAnsi="Cambria"/>
      <w:color w:val="365f91"/>
      <w:kern w:val="0"/>
      <w:sz w:val="28"/>
      <w:szCs w:val="28"/>
    </w:rPr>
  </w:style>
  <w:style w:type="paragraph" w:styleId="style179">
    <w:name w:val="List Paragraph"/>
    <w:basedOn w:val="style0"/>
    <w:next w:val="style179"/>
    <w:qFormat/>
    <w:uiPriority w:val="99"/>
    <w:pPr>
      <w:ind w:firstLine="420" w:firstLineChars="200"/>
    </w:pPr>
    <w:rPr/>
  </w:style>
</w:styles>
</file>

<file path=word/_rels/document.xml.rels><?xml version="1.0" encoding="UTF-8"?>
<Relationships xmlns="http://schemas.openxmlformats.org/package/2006/relationships"><Relationship Id="rId1" Type="http://schemas.openxmlformats.org/officeDocument/2006/relationships/numbering" Target="numbering.xml"/><Relationship Id="rId2" Type="http://schemas.openxmlformats.org/officeDocument/2006/relationships/header" Target="header1.xml"/><Relationship Id="rId3" Type="http://schemas.openxmlformats.org/officeDocument/2006/relationships/header" Target="header2.xml"/><Relationship Id="rId4" Type="http://schemas.openxmlformats.org/officeDocument/2006/relationships/styles" Target="styles.xml"/><Relationship Id="rId5" Type="http://schemas.openxmlformats.org/officeDocument/2006/relationships/fontTable" Target="fontTable.xml"/><Relationship Id="rId6" Type="http://schemas.openxmlformats.org/officeDocument/2006/relationships/settings" Target="settings.xml"/><Relationship Id="rId7" Type="http://schemas.openxmlformats.org/officeDocument/2006/relationships/theme" Target="theme/theme1.xml"/><Relationship Id="rId8" Type="http://schemas.openxmlformats.org/officeDocument/2006/relationships/customXml" Target="../customXml/item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9B092DC6-6323-464D-B562-5E16E08A91D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34</TotalTime>
  <Words>3844</Words>
  <Pages>4</Pages>
  <Characters>4065</Characters>
  <Application>WPS Office</Application>
  <DocSecurity>0</DocSecurity>
  <Paragraphs>192</Paragraphs>
  <ScaleCrop>false</ScaleCrop>
  <Company>广州医药有限公司</Company>
  <LinksUpToDate>false</LinksUpToDate>
  <CharactersWithSpaces>4131</CharactersWithSpaces>
  <SharedDoc>false</SharedDoc>
  <HyperlinksChanged>false</HyperlinksChanged>
  <AppVersion>16.000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2022-07-26T03:49:00Z</dcterms:created>
  <dc:creator>Administrator</dc:creator>
  <lastModifiedBy>ALN-AL80</lastModifiedBy>
  <lastPrinted>2025-06-09T06:56:00Z</lastPrinted>
  <dcterms:modified xsi:type="dcterms:W3CDTF">2026-07-02T07:25:18Z</dcterms:modified>
  <revision>103</revision>
  <dc:title>多宝街需求解决方案</dc:title>
</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2052-12.1.0.26375</vt:lpwstr>
  </property>
  <property fmtid="{D5CDD505-2E9C-101B-9397-08002B2CF9AE}" pid="3" name="ICV">
    <vt:lpwstr>9899f0e041864d39af681ac56834d78e_23</vt:lpwstr>
  </property>
  <property fmtid="{D5CDD505-2E9C-101B-9397-08002B2CF9AE}" pid="4" name="KSOTemplateDocerSaveRecord">
    <vt:lpwstr>eyJoZGlkIjoiMTZjY2E1NTAwMTdiYjhiYzExNjVlYjZmZjM1NzMyMzMiLCJ1c2VySWQiOiI0ODAzMTk3NzAifQ==</vt:lpwstr>
  </property>
</Properties>
</file>