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8695EA">
      <w:pPr>
        <w:spacing w:after="209" w:afterLines="67"/>
        <w:rPr>
          <w:rFonts w:asciiTheme="minorEastAsia" w:hAnsiTheme="minorEastAsia" w:cstheme="minorEastAsia"/>
          <w:sz w:val="28"/>
          <w:szCs w:val="28"/>
        </w:rPr>
      </w:pPr>
      <w:r>
        <w:rPr>
          <w:rFonts w:hint="eastAsia" w:asciiTheme="minorEastAsia" w:hAnsiTheme="minorEastAsia" w:cstheme="minorEastAsia"/>
          <w:sz w:val="28"/>
          <w:szCs w:val="28"/>
        </w:rPr>
        <w:t>附件2</w:t>
      </w:r>
    </w:p>
    <w:p w14:paraId="709C000E">
      <w:pPr>
        <w:spacing w:after="209" w:afterLines="67"/>
        <w:jc w:val="center"/>
        <w:rPr>
          <w:rFonts w:hint="eastAsia" w:asciiTheme="minorEastAsia" w:hAnsiTheme="minorEastAsia" w:eastAsiaTheme="minorEastAsia" w:cstheme="minorEastAsia"/>
          <w:b/>
          <w:bCs/>
          <w:sz w:val="28"/>
          <w:szCs w:val="28"/>
          <w:lang w:eastAsia="zh-CN"/>
        </w:rPr>
      </w:pPr>
      <w:r>
        <w:rPr>
          <w:rFonts w:hint="eastAsia" w:asciiTheme="minorEastAsia" w:hAnsiTheme="minorEastAsia" w:cstheme="minorEastAsia"/>
          <w:b/>
          <w:bCs/>
          <w:sz w:val="28"/>
          <w:szCs w:val="28"/>
          <w:lang w:eastAsia="zh-CN"/>
        </w:rPr>
        <w:t>2026年人民北核心机房维保服务采购项目</w:t>
      </w:r>
    </w:p>
    <w:p w14:paraId="0147AAD5">
      <w:pPr>
        <w:spacing w:after="209" w:afterLines="67"/>
        <w:jc w:val="center"/>
        <w:rPr>
          <w:rFonts w:asciiTheme="minorEastAsia" w:hAnsiTheme="minorEastAsia" w:cstheme="minorEastAsia"/>
          <w:b/>
          <w:bCs/>
          <w:sz w:val="24"/>
          <w:szCs w:val="24"/>
        </w:rPr>
      </w:pPr>
      <w:r>
        <w:rPr>
          <w:rFonts w:hint="eastAsia" w:asciiTheme="minorEastAsia" w:hAnsiTheme="minorEastAsia" w:cstheme="minorEastAsia"/>
          <w:b/>
          <w:bCs/>
          <w:sz w:val="28"/>
          <w:szCs w:val="28"/>
        </w:rPr>
        <w:t>市场调研报价文件格式</w:t>
      </w:r>
    </w:p>
    <w:p w14:paraId="76268D06">
      <w:pPr>
        <w:pStyle w:val="24"/>
        <w:numPr>
          <w:ilvl w:val="0"/>
          <w:numId w:val="2"/>
        </w:numPr>
        <w:spacing w:after="209" w:afterLines="67"/>
        <w:ind w:firstLineChars="0"/>
        <w:rPr>
          <w:rFonts w:asciiTheme="minorEastAsia" w:hAnsiTheme="minorEastAsia" w:cstheme="minorEastAsia"/>
          <w:b/>
          <w:bCs/>
          <w:sz w:val="24"/>
          <w:szCs w:val="24"/>
        </w:rPr>
      </w:pPr>
      <w:r>
        <w:rPr>
          <w:rFonts w:hint="eastAsia" w:asciiTheme="minorEastAsia" w:hAnsiTheme="minorEastAsia" w:cstheme="minorEastAsia"/>
          <w:b/>
          <w:bCs/>
          <w:sz w:val="24"/>
          <w:szCs w:val="24"/>
        </w:rPr>
        <w:t>供应商信息登记表</w:t>
      </w:r>
    </w:p>
    <w:tbl>
      <w:tblPr>
        <w:tblStyle w:val="14"/>
        <w:tblW w:w="544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339"/>
        <w:gridCol w:w="918"/>
        <w:gridCol w:w="2221"/>
        <w:gridCol w:w="1242"/>
        <w:gridCol w:w="2328"/>
      </w:tblGrid>
      <w:tr w14:paraId="72E0A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6" w:hRule="atLeast"/>
          <w:jc w:val="center"/>
        </w:trPr>
        <w:tc>
          <w:tcPr>
            <w:tcW w:w="1293" w:type="pct"/>
            <w:vAlign w:val="center"/>
          </w:tcPr>
          <w:p w14:paraId="2079C3A4">
            <w:pPr>
              <w:pStyle w:val="25"/>
              <w:kinsoku w:val="0"/>
              <w:overflowPunct w:val="0"/>
              <w:spacing w:line="400" w:lineRule="exact"/>
              <w:ind w:firstLine="0" w:firstLineChars="0"/>
              <w:jc w:val="center"/>
              <w:rPr>
                <w:rFonts w:hAnsi="宋体" w:cs="仿宋"/>
              </w:rPr>
            </w:pPr>
            <w:bookmarkStart w:id="0" w:name="_Hlk199424538"/>
            <w:r>
              <w:rPr>
                <w:rFonts w:hint="eastAsia" w:hAnsi="宋体" w:cs="仿宋"/>
              </w:rPr>
              <w:t>单位名称</w:t>
            </w:r>
          </w:p>
        </w:tc>
        <w:tc>
          <w:tcPr>
            <w:tcW w:w="3706" w:type="pct"/>
            <w:gridSpan w:val="4"/>
            <w:vAlign w:val="center"/>
          </w:tcPr>
          <w:p w14:paraId="340FB6AE">
            <w:pPr>
              <w:tabs>
                <w:tab w:val="left" w:pos="202"/>
              </w:tabs>
              <w:spacing w:line="400" w:lineRule="exact"/>
              <w:jc w:val="center"/>
              <w:rPr>
                <w:rFonts w:ascii="宋体" w:hAnsi="宋体" w:eastAsia="宋体" w:cs="仿宋"/>
                <w:sz w:val="24"/>
                <w:szCs w:val="24"/>
              </w:rPr>
            </w:pPr>
          </w:p>
        </w:tc>
      </w:tr>
      <w:tr w14:paraId="33064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2" w:hRule="atLeast"/>
          <w:jc w:val="center"/>
        </w:trPr>
        <w:tc>
          <w:tcPr>
            <w:tcW w:w="1293" w:type="pct"/>
            <w:vAlign w:val="center"/>
          </w:tcPr>
          <w:p w14:paraId="0F3F2E76">
            <w:pPr>
              <w:pStyle w:val="25"/>
              <w:kinsoku w:val="0"/>
              <w:overflowPunct w:val="0"/>
              <w:spacing w:line="400" w:lineRule="exact"/>
              <w:ind w:firstLine="0" w:firstLineChars="0"/>
              <w:jc w:val="center"/>
              <w:rPr>
                <w:rFonts w:hAnsi="宋体" w:cs="仿宋"/>
              </w:rPr>
            </w:pPr>
            <w:r>
              <w:rPr>
                <w:rFonts w:hint="eastAsia" w:hAnsi="宋体" w:cs="仿宋"/>
              </w:rPr>
              <w:t>注册资金</w:t>
            </w:r>
          </w:p>
        </w:tc>
        <w:tc>
          <w:tcPr>
            <w:tcW w:w="1734" w:type="pct"/>
            <w:gridSpan w:val="2"/>
            <w:vAlign w:val="center"/>
          </w:tcPr>
          <w:p w14:paraId="30757AA0">
            <w:pPr>
              <w:spacing w:line="400" w:lineRule="exact"/>
              <w:jc w:val="center"/>
              <w:rPr>
                <w:rFonts w:ascii="宋体" w:hAnsi="宋体" w:eastAsia="宋体" w:cs="仿宋"/>
                <w:sz w:val="24"/>
                <w:szCs w:val="24"/>
              </w:rPr>
            </w:pPr>
            <w:r>
              <w:rPr>
                <w:rFonts w:hint="eastAsia" w:ascii="宋体" w:hAnsi="宋体" w:eastAsia="宋体" w:cs="仿宋"/>
                <w:sz w:val="24"/>
                <w:szCs w:val="24"/>
              </w:rPr>
              <w:t>万元</w:t>
            </w:r>
          </w:p>
        </w:tc>
        <w:tc>
          <w:tcPr>
            <w:tcW w:w="686" w:type="pct"/>
            <w:vAlign w:val="center"/>
          </w:tcPr>
          <w:p w14:paraId="7D139526">
            <w:pPr>
              <w:pStyle w:val="25"/>
              <w:kinsoku w:val="0"/>
              <w:overflowPunct w:val="0"/>
              <w:spacing w:line="400" w:lineRule="exact"/>
              <w:ind w:firstLine="0" w:firstLineChars="0"/>
              <w:jc w:val="center"/>
              <w:rPr>
                <w:rFonts w:hAnsi="宋体" w:cs="仿宋"/>
              </w:rPr>
            </w:pPr>
            <w:r>
              <w:rPr>
                <w:rFonts w:hint="eastAsia" w:hAnsi="宋体" w:cs="仿宋"/>
              </w:rPr>
              <w:t>成立时间</w:t>
            </w:r>
          </w:p>
        </w:tc>
        <w:tc>
          <w:tcPr>
            <w:tcW w:w="1285" w:type="pct"/>
            <w:vAlign w:val="center"/>
          </w:tcPr>
          <w:p w14:paraId="67BFBF77">
            <w:pPr>
              <w:spacing w:line="400" w:lineRule="exact"/>
              <w:jc w:val="center"/>
              <w:rPr>
                <w:rFonts w:ascii="宋体" w:hAnsi="宋体" w:eastAsia="宋体" w:cs="仿宋"/>
                <w:sz w:val="24"/>
                <w:szCs w:val="24"/>
              </w:rPr>
            </w:pPr>
            <w:r>
              <w:rPr>
                <w:rFonts w:hint="eastAsia" w:ascii="宋体" w:hAnsi="宋体" w:eastAsia="宋体" w:cs="仿宋"/>
                <w:sz w:val="24"/>
                <w:szCs w:val="24"/>
              </w:rPr>
              <w:t>年</w:t>
            </w:r>
            <w:r>
              <w:rPr>
                <w:rFonts w:ascii="宋体" w:hAnsi="宋体" w:eastAsia="宋体" w:cs="仿宋"/>
                <w:sz w:val="24"/>
                <w:szCs w:val="24"/>
              </w:rPr>
              <w:t xml:space="preserve">   </w:t>
            </w:r>
            <w:r>
              <w:rPr>
                <w:rFonts w:hint="eastAsia" w:ascii="宋体" w:hAnsi="宋体" w:eastAsia="宋体" w:cs="仿宋"/>
                <w:sz w:val="24"/>
                <w:szCs w:val="24"/>
              </w:rPr>
              <w:t>月</w:t>
            </w:r>
            <w:r>
              <w:rPr>
                <w:rFonts w:ascii="宋体" w:hAnsi="宋体" w:eastAsia="宋体" w:cs="仿宋"/>
                <w:sz w:val="24"/>
                <w:szCs w:val="24"/>
              </w:rPr>
              <w:t xml:space="preserve">  </w:t>
            </w:r>
            <w:r>
              <w:rPr>
                <w:rFonts w:hint="eastAsia" w:ascii="宋体" w:hAnsi="宋体" w:eastAsia="宋体" w:cs="仿宋"/>
                <w:sz w:val="24"/>
                <w:szCs w:val="24"/>
              </w:rPr>
              <w:t>日</w:t>
            </w:r>
          </w:p>
        </w:tc>
      </w:tr>
      <w:tr w14:paraId="39F9F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15" w:hRule="atLeast"/>
          <w:jc w:val="center"/>
        </w:trPr>
        <w:tc>
          <w:tcPr>
            <w:tcW w:w="1293" w:type="pct"/>
            <w:vAlign w:val="center"/>
          </w:tcPr>
          <w:p w14:paraId="623F03E0">
            <w:pPr>
              <w:pStyle w:val="25"/>
              <w:kinsoku w:val="0"/>
              <w:overflowPunct w:val="0"/>
              <w:spacing w:line="400" w:lineRule="exact"/>
              <w:ind w:firstLine="0" w:firstLineChars="0"/>
              <w:jc w:val="center"/>
              <w:rPr>
                <w:rFonts w:hAnsi="宋体" w:cs="仿宋"/>
              </w:rPr>
            </w:pPr>
            <w:r>
              <w:rPr>
                <w:rFonts w:hint="eastAsia" w:hAnsi="宋体" w:cs="仿宋"/>
              </w:rPr>
              <w:t>注册地址</w:t>
            </w:r>
          </w:p>
        </w:tc>
        <w:tc>
          <w:tcPr>
            <w:tcW w:w="3706" w:type="pct"/>
            <w:gridSpan w:val="4"/>
            <w:vAlign w:val="center"/>
          </w:tcPr>
          <w:p w14:paraId="31E0A9D8">
            <w:pPr>
              <w:spacing w:line="400" w:lineRule="exact"/>
              <w:rPr>
                <w:rFonts w:ascii="宋体" w:hAnsi="宋体" w:eastAsia="宋体" w:cs="仿宋"/>
                <w:sz w:val="24"/>
                <w:szCs w:val="24"/>
              </w:rPr>
            </w:pPr>
          </w:p>
        </w:tc>
      </w:tr>
      <w:tr w14:paraId="26157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7157BDD5">
            <w:pPr>
              <w:pStyle w:val="25"/>
              <w:kinsoku w:val="0"/>
              <w:overflowPunct w:val="0"/>
              <w:spacing w:line="400" w:lineRule="exact"/>
              <w:ind w:firstLine="0" w:firstLineChars="0"/>
              <w:jc w:val="center"/>
              <w:rPr>
                <w:rFonts w:hAnsi="宋体" w:cs="仿宋"/>
              </w:rPr>
            </w:pPr>
            <w:r>
              <w:rPr>
                <w:rFonts w:hint="eastAsia" w:hAnsi="宋体" w:cs="仿宋"/>
              </w:rPr>
              <w:t>邮政编码</w:t>
            </w:r>
          </w:p>
        </w:tc>
        <w:tc>
          <w:tcPr>
            <w:tcW w:w="1734" w:type="pct"/>
            <w:gridSpan w:val="2"/>
            <w:vAlign w:val="center"/>
          </w:tcPr>
          <w:p w14:paraId="4FCADD05">
            <w:pPr>
              <w:spacing w:line="400" w:lineRule="exact"/>
              <w:jc w:val="center"/>
              <w:rPr>
                <w:rFonts w:ascii="宋体" w:hAnsi="宋体" w:eastAsia="宋体" w:cs="仿宋"/>
                <w:sz w:val="24"/>
                <w:szCs w:val="24"/>
              </w:rPr>
            </w:pPr>
          </w:p>
        </w:tc>
        <w:tc>
          <w:tcPr>
            <w:tcW w:w="686" w:type="pct"/>
            <w:vAlign w:val="center"/>
          </w:tcPr>
          <w:p w14:paraId="7EB99EAE">
            <w:pPr>
              <w:pStyle w:val="25"/>
              <w:kinsoku w:val="0"/>
              <w:overflowPunct w:val="0"/>
              <w:spacing w:line="400" w:lineRule="exact"/>
              <w:ind w:firstLine="0" w:firstLineChars="0"/>
              <w:jc w:val="center"/>
              <w:rPr>
                <w:rFonts w:hAnsi="宋体" w:cs="仿宋"/>
              </w:rPr>
            </w:pPr>
            <w:r>
              <w:rPr>
                <w:rFonts w:hint="eastAsia" w:hAnsi="宋体" w:cs="仿宋"/>
              </w:rPr>
              <w:t>员工总数</w:t>
            </w:r>
          </w:p>
        </w:tc>
        <w:tc>
          <w:tcPr>
            <w:tcW w:w="1285" w:type="pct"/>
            <w:vAlign w:val="center"/>
          </w:tcPr>
          <w:p w14:paraId="6CCD2EBA">
            <w:pPr>
              <w:spacing w:line="400" w:lineRule="exact"/>
              <w:jc w:val="center"/>
              <w:rPr>
                <w:rFonts w:ascii="宋体" w:hAnsi="宋体" w:eastAsia="宋体" w:cs="仿宋"/>
                <w:sz w:val="24"/>
                <w:szCs w:val="24"/>
              </w:rPr>
            </w:pPr>
          </w:p>
        </w:tc>
      </w:tr>
      <w:tr w14:paraId="58594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restart"/>
            <w:vAlign w:val="center"/>
          </w:tcPr>
          <w:p w14:paraId="4C3F393A">
            <w:pPr>
              <w:pStyle w:val="25"/>
              <w:kinsoku w:val="0"/>
              <w:overflowPunct w:val="0"/>
              <w:spacing w:line="400" w:lineRule="exact"/>
              <w:ind w:firstLine="0" w:firstLineChars="0"/>
              <w:jc w:val="center"/>
              <w:rPr>
                <w:rFonts w:hAnsi="宋体" w:cs="仿宋"/>
              </w:rPr>
            </w:pPr>
            <w:r>
              <w:rPr>
                <w:rFonts w:hint="eastAsia" w:hAnsi="宋体" w:cs="仿宋"/>
              </w:rPr>
              <w:t>联系方式</w:t>
            </w:r>
          </w:p>
        </w:tc>
        <w:tc>
          <w:tcPr>
            <w:tcW w:w="507" w:type="pct"/>
            <w:vAlign w:val="center"/>
          </w:tcPr>
          <w:p w14:paraId="4FEA8412">
            <w:pPr>
              <w:pStyle w:val="25"/>
              <w:kinsoku w:val="0"/>
              <w:overflowPunct w:val="0"/>
              <w:spacing w:line="400" w:lineRule="exact"/>
              <w:ind w:firstLine="0" w:firstLineChars="0"/>
              <w:jc w:val="center"/>
              <w:rPr>
                <w:rFonts w:hAnsi="宋体" w:cs="仿宋"/>
              </w:rPr>
            </w:pPr>
            <w:r>
              <w:rPr>
                <w:rFonts w:hint="eastAsia" w:hAnsi="宋体" w:cs="仿宋"/>
              </w:rPr>
              <w:t>联系人</w:t>
            </w:r>
          </w:p>
        </w:tc>
        <w:tc>
          <w:tcPr>
            <w:tcW w:w="1227" w:type="pct"/>
            <w:vAlign w:val="center"/>
          </w:tcPr>
          <w:p w14:paraId="0DBD112E">
            <w:pPr>
              <w:spacing w:line="400" w:lineRule="exact"/>
              <w:jc w:val="center"/>
              <w:rPr>
                <w:rFonts w:ascii="宋体" w:hAnsi="宋体" w:eastAsia="宋体" w:cs="仿宋"/>
                <w:sz w:val="24"/>
                <w:szCs w:val="24"/>
              </w:rPr>
            </w:pPr>
          </w:p>
        </w:tc>
        <w:tc>
          <w:tcPr>
            <w:tcW w:w="686" w:type="pct"/>
            <w:vAlign w:val="center"/>
          </w:tcPr>
          <w:p w14:paraId="01A9FB22">
            <w:pPr>
              <w:pStyle w:val="25"/>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7D6EB6BB">
            <w:pPr>
              <w:spacing w:line="400" w:lineRule="exact"/>
              <w:jc w:val="center"/>
              <w:rPr>
                <w:rFonts w:ascii="宋体" w:hAnsi="宋体" w:eastAsia="宋体" w:cs="仿宋"/>
                <w:sz w:val="24"/>
                <w:szCs w:val="24"/>
              </w:rPr>
            </w:pPr>
          </w:p>
        </w:tc>
      </w:tr>
      <w:tr w14:paraId="437E2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6" w:hRule="atLeast"/>
          <w:jc w:val="center"/>
        </w:trPr>
        <w:tc>
          <w:tcPr>
            <w:tcW w:w="1293" w:type="pct"/>
            <w:vMerge w:val="continue"/>
            <w:vAlign w:val="center"/>
          </w:tcPr>
          <w:p w14:paraId="48EE0541">
            <w:pPr>
              <w:spacing w:line="400" w:lineRule="exact"/>
              <w:jc w:val="center"/>
              <w:rPr>
                <w:rFonts w:ascii="宋体" w:hAnsi="宋体" w:eastAsia="宋体" w:cs="仿宋"/>
                <w:sz w:val="24"/>
                <w:szCs w:val="24"/>
              </w:rPr>
            </w:pPr>
          </w:p>
        </w:tc>
        <w:tc>
          <w:tcPr>
            <w:tcW w:w="507" w:type="pct"/>
            <w:vAlign w:val="center"/>
          </w:tcPr>
          <w:p w14:paraId="03D03489">
            <w:pPr>
              <w:pStyle w:val="25"/>
              <w:kinsoku w:val="0"/>
              <w:overflowPunct w:val="0"/>
              <w:spacing w:line="400" w:lineRule="exact"/>
              <w:ind w:firstLine="0" w:firstLineChars="0"/>
              <w:jc w:val="center"/>
              <w:rPr>
                <w:rFonts w:hAnsi="宋体" w:cs="仿宋"/>
              </w:rPr>
            </w:pPr>
            <w:r>
              <w:rPr>
                <w:rFonts w:hint="eastAsia" w:hAnsi="宋体" w:cs="仿宋"/>
              </w:rPr>
              <w:t>网址</w:t>
            </w:r>
          </w:p>
        </w:tc>
        <w:tc>
          <w:tcPr>
            <w:tcW w:w="1227" w:type="pct"/>
            <w:vAlign w:val="center"/>
          </w:tcPr>
          <w:p w14:paraId="3D203D52">
            <w:pPr>
              <w:spacing w:line="400" w:lineRule="exact"/>
              <w:jc w:val="center"/>
              <w:rPr>
                <w:rFonts w:ascii="宋体" w:hAnsi="宋体" w:eastAsia="宋体" w:cs="仿宋"/>
                <w:sz w:val="24"/>
                <w:szCs w:val="24"/>
              </w:rPr>
            </w:pPr>
          </w:p>
        </w:tc>
        <w:tc>
          <w:tcPr>
            <w:tcW w:w="686" w:type="pct"/>
            <w:vAlign w:val="center"/>
          </w:tcPr>
          <w:p w14:paraId="0344DA35">
            <w:pPr>
              <w:pStyle w:val="25"/>
              <w:kinsoku w:val="0"/>
              <w:overflowPunct w:val="0"/>
              <w:spacing w:line="400" w:lineRule="exact"/>
              <w:ind w:firstLine="0" w:firstLineChars="0"/>
              <w:jc w:val="center"/>
              <w:rPr>
                <w:rFonts w:hAnsi="宋体" w:cs="仿宋"/>
              </w:rPr>
            </w:pPr>
            <w:r>
              <w:rPr>
                <w:rFonts w:hint="eastAsia" w:hAnsi="宋体" w:cs="仿宋"/>
              </w:rPr>
              <w:t>传真/邮箱</w:t>
            </w:r>
          </w:p>
        </w:tc>
        <w:tc>
          <w:tcPr>
            <w:tcW w:w="1285" w:type="pct"/>
            <w:vAlign w:val="center"/>
          </w:tcPr>
          <w:p w14:paraId="10DCEAAC">
            <w:pPr>
              <w:spacing w:line="400" w:lineRule="exact"/>
              <w:jc w:val="center"/>
              <w:rPr>
                <w:rFonts w:ascii="宋体" w:hAnsi="宋体" w:eastAsia="宋体" w:cs="仿宋"/>
                <w:sz w:val="24"/>
                <w:szCs w:val="24"/>
              </w:rPr>
            </w:pPr>
          </w:p>
        </w:tc>
      </w:tr>
      <w:tr w14:paraId="3A5BD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9" w:hRule="atLeast"/>
          <w:jc w:val="center"/>
        </w:trPr>
        <w:tc>
          <w:tcPr>
            <w:tcW w:w="1293" w:type="pct"/>
            <w:vAlign w:val="center"/>
          </w:tcPr>
          <w:p w14:paraId="223151BF">
            <w:pPr>
              <w:pStyle w:val="25"/>
              <w:kinsoku w:val="0"/>
              <w:overflowPunct w:val="0"/>
              <w:spacing w:line="400" w:lineRule="exact"/>
              <w:ind w:firstLine="0" w:firstLineChars="0"/>
              <w:jc w:val="center"/>
              <w:rPr>
                <w:rFonts w:hAnsi="宋体" w:cs="仿宋"/>
              </w:rPr>
            </w:pPr>
            <w:r>
              <w:rPr>
                <w:rFonts w:hint="eastAsia" w:hAnsi="宋体" w:cs="仿宋"/>
              </w:rPr>
              <w:t>法定代表人</w:t>
            </w:r>
          </w:p>
          <w:p w14:paraId="2E46A890">
            <w:pPr>
              <w:pStyle w:val="25"/>
              <w:kinsoku w:val="0"/>
              <w:overflowPunct w:val="0"/>
              <w:spacing w:line="400" w:lineRule="exact"/>
              <w:ind w:firstLine="0" w:firstLineChars="0"/>
              <w:jc w:val="center"/>
              <w:rPr>
                <w:rFonts w:hAnsi="宋体" w:cs="仿宋"/>
              </w:rPr>
            </w:pPr>
            <w:r>
              <w:rPr>
                <w:rFonts w:hint="eastAsia" w:hAnsi="宋体" w:cs="仿宋"/>
              </w:rPr>
              <w:t>（单位负责人）</w:t>
            </w:r>
          </w:p>
        </w:tc>
        <w:tc>
          <w:tcPr>
            <w:tcW w:w="507" w:type="pct"/>
            <w:vAlign w:val="center"/>
          </w:tcPr>
          <w:p w14:paraId="43A0BB7D">
            <w:pPr>
              <w:pStyle w:val="25"/>
              <w:kinsoku w:val="0"/>
              <w:overflowPunct w:val="0"/>
              <w:spacing w:line="400" w:lineRule="exact"/>
              <w:ind w:firstLine="0" w:firstLineChars="0"/>
              <w:jc w:val="center"/>
              <w:rPr>
                <w:rFonts w:hAnsi="宋体" w:cs="仿宋"/>
              </w:rPr>
            </w:pPr>
            <w:r>
              <w:rPr>
                <w:rFonts w:hint="eastAsia" w:hAnsi="宋体" w:cs="仿宋"/>
              </w:rPr>
              <w:t>姓名</w:t>
            </w:r>
          </w:p>
        </w:tc>
        <w:tc>
          <w:tcPr>
            <w:tcW w:w="1227" w:type="pct"/>
            <w:vAlign w:val="center"/>
          </w:tcPr>
          <w:p w14:paraId="4D346AE1">
            <w:pPr>
              <w:spacing w:line="400" w:lineRule="exact"/>
              <w:jc w:val="center"/>
              <w:rPr>
                <w:rFonts w:ascii="宋体" w:hAnsi="宋体" w:eastAsia="宋体" w:cs="仿宋"/>
                <w:sz w:val="24"/>
                <w:szCs w:val="24"/>
              </w:rPr>
            </w:pPr>
          </w:p>
        </w:tc>
        <w:tc>
          <w:tcPr>
            <w:tcW w:w="686" w:type="pct"/>
            <w:vAlign w:val="center"/>
          </w:tcPr>
          <w:p w14:paraId="51A678CE">
            <w:pPr>
              <w:pStyle w:val="25"/>
              <w:kinsoku w:val="0"/>
              <w:overflowPunct w:val="0"/>
              <w:spacing w:line="400" w:lineRule="exact"/>
              <w:ind w:firstLine="0" w:firstLineChars="0"/>
              <w:jc w:val="center"/>
              <w:rPr>
                <w:rFonts w:hAnsi="宋体" w:cs="仿宋"/>
              </w:rPr>
            </w:pPr>
            <w:r>
              <w:rPr>
                <w:rFonts w:hint="eastAsia" w:hAnsi="宋体" w:cs="仿宋"/>
              </w:rPr>
              <w:t>电话</w:t>
            </w:r>
          </w:p>
        </w:tc>
        <w:tc>
          <w:tcPr>
            <w:tcW w:w="1285" w:type="pct"/>
            <w:vAlign w:val="center"/>
          </w:tcPr>
          <w:p w14:paraId="67092CA6">
            <w:pPr>
              <w:tabs>
                <w:tab w:val="left" w:pos="1426"/>
              </w:tabs>
              <w:spacing w:line="400" w:lineRule="exact"/>
              <w:jc w:val="center"/>
              <w:rPr>
                <w:rFonts w:ascii="宋体" w:hAnsi="宋体" w:eastAsia="宋体" w:cs="仿宋"/>
                <w:sz w:val="24"/>
                <w:szCs w:val="24"/>
              </w:rPr>
            </w:pPr>
          </w:p>
        </w:tc>
      </w:tr>
      <w:tr w14:paraId="420DB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95" w:hRule="atLeast"/>
          <w:jc w:val="center"/>
        </w:trPr>
        <w:tc>
          <w:tcPr>
            <w:tcW w:w="1293" w:type="pct"/>
            <w:vAlign w:val="center"/>
          </w:tcPr>
          <w:p w14:paraId="5AE85363">
            <w:pPr>
              <w:pStyle w:val="25"/>
              <w:kinsoku w:val="0"/>
              <w:overflowPunct w:val="0"/>
              <w:spacing w:line="400" w:lineRule="exact"/>
              <w:ind w:firstLine="0" w:firstLineChars="0"/>
              <w:jc w:val="center"/>
              <w:rPr>
                <w:rFonts w:hAnsi="宋体" w:cs="仿宋"/>
              </w:rPr>
            </w:pPr>
            <w:r>
              <w:rPr>
                <w:rFonts w:hint="eastAsia" w:hAnsi="宋体" w:cs="仿宋"/>
              </w:rPr>
              <w:t>与本项目采购需求相关的资质或者认证证书</w:t>
            </w:r>
          </w:p>
        </w:tc>
        <w:tc>
          <w:tcPr>
            <w:tcW w:w="3706" w:type="pct"/>
            <w:gridSpan w:val="4"/>
            <w:vAlign w:val="center"/>
          </w:tcPr>
          <w:p w14:paraId="6819004E">
            <w:pPr>
              <w:pStyle w:val="25"/>
              <w:kinsoku w:val="0"/>
              <w:overflowPunct w:val="0"/>
              <w:spacing w:line="400" w:lineRule="exact"/>
              <w:ind w:firstLine="0" w:firstLineChars="0"/>
              <w:rPr>
                <w:rFonts w:hAnsi="宋体" w:cs="仿宋"/>
              </w:rPr>
            </w:pPr>
            <w:r>
              <w:rPr>
                <w:rFonts w:hint="eastAsia" w:hAnsi="宋体" w:cs="仿宋"/>
              </w:rPr>
              <w:t>如有请罗列证书名称：</w:t>
            </w:r>
          </w:p>
        </w:tc>
      </w:tr>
      <w:tr w14:paraId="41DF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76" w:hRule="atLeast"/>
          <w:jc w:val="center"/>
        </w:trPr>
        <w:tc>
          <w:tcPr>
            <w:tcW w:w="1293" w:type="pct"/>
            <w:vAlign w:val="center"/>
          </w:tcPr>
          <w:p w14:paraId="3977BE65">
            <w:pPr>
              <w:pStyle w:val="25"/>
              <w:kinsoku w:val="0"/>
              <w:overflowPunct w:val="0"/>
              <w:spacing w:line="400" w:lineRule="exact"/>
              <w:ind w:firstLine="0" w:firstLineChars="0"/>
              <w:jc w:val="center"/>
              <w:rPr>
                <w:rFonts w:hAnsi="宋体" w:cs="仿宋"/>
              </w:rPr>
            </w:pPr>
            <w:r>
              <w:rPr>
                <w:rFonts w:hint="eastAsia" w:hAnsi="宋体" w:cs="仿宋"/>
              </w:rPr>
              <w:t>人员情况</w:t>
            </w:r>
          </w:p>
        </w:tc>
        <w:tc>
          <w:tcPr>
            <w:tcW w:w="3706" w:type="pct"/>
            <w:gridSpan w:val="4"/>
            <w:vAlign w:val="center"/>
          </w:tcPr>
          <w:p w14:paraId="383816E2">
            <w:pPr>
              <w:pStyle w:val="25"/>
              <w:kinsoku w:val="0"/>
              <w:overflowPunct w:val="0"/>
              <w:spacing w:line="400" w:lineRule="exact"/>
              <w:ind w:firstLine="0" w:firstLineChars="0"/>
              <w:rPr>
                <w:rFonts w:hAnsi="宋体" w:cs="仿宋"/>
              </w:rPr>
            </w:pPr>
            <w:r>
              <w:rPr>
                <w:rFonts w:hint="eastAsia" w:hAnsi="宋体" w:cs="仿宋"/>
              </w:rPr>
              <w:t>公司实有人员情况：</w:t>
            </w:r>
          </w:p>
          <w:p w14:paraId="31FC4B2E">
            <w:pPr>
              <w:pStyle w:val="25"/>
              <w:kinsoku w:val="0"/>
              <w:overflowPunct w:val="0"/>
              <w:spacing w:line="400" w:lineRule="exact"/>
              <w:ind w:firstLine="0" w:firstLineChars="0"/>
              <w:rPr>
                <w:rFonts w:hAnsi="宋体" w:cs="仿宋"/>
              </w:rPr>
            </w:pPr>
            <w:r>
              <w:rPr>
                <w:rFonts w:hint="eastAsia" w:hAnsi="宋体" w:cs="仿宋"/>
              </w:rPr>
              <w:t>广州地区人员情况：</w:t>
            </w:r>
          </w:p>
        </w:tc>
      </w:tr>
      <w:tr w14:paraId="5E966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85" w:hRule="atLeast"/>
          <w:jc w:val="center"/>
        </w:trPr>
        <w:tc>
          <w:tcPr>
            <w:tcW w:w="1293" w:type="pct"/>
            <w:vAlign w:val="center"/>
          </w:tcPr>
          <w:p w14:paraId="1B2E8BF6">
            <w:pPr>
              <w:pStyle w:val="25"/>
              <w:kinsoku w:val="0"/>
              <w:overflowPunct w:val="0"/>
              <w:spacing w:line="440" w:lineRule="exact"/>
              <w:ind w:firstLine="0" w:firstLineChars="0"/>
              <w:jc w:val="center"/>
              <w:rPr>
                <w:rFonts w:hAnsi="宋体" w:cs="仿宋"/>
              </w:rPr>
            </w:pPr>
            <w:r>
              <w:rPr>
                <w:rFonts w:hint="eastAsia" w:hAnsi="宋体" w:cs="仿宋"/>
              </w:rPr>
              <w:t>备注</w:t>
            </w:r>
          </w:p>
        </w:tc>
        <w:tc>
          <w:tcPr>
            <w:tcW w:w="3706" w:type="pct"/>
            <w:gridSpan w:val="4"/>
            <w:vAlign w:val="center"/>
          </w:tcPr>
          <w:p w14:paraId="22930F2B">
            <w:pPr>
              <w:spacing w:line="440" w:lineRule="exact"/>
              <w:jc w:val="center"/>
              <w:rPr>
                <w:rFonts w:ascii="宋体" w:hAnsi="宋体" w:eastAsia="宋体" w:cs="仿宋"/>
                <w:sz w:val="24"/>
                <w:szCs w:val="24"/>
              </w:rPr>
            </w:pPr>
          </w:p>
        </w:tc>
      </w:tr>
      <w:bookmarkEnd w:id="0"/>
    </w:tbl>
    <w:p w14:paraId="1AD5A43A">
      <w:pPr>
        <w:pStyle w:val="13"/>
        <w:ind w:firstLine="0" w:firstLineChars="0"/>
      </w:pPr>
    </w:p>
    <w:p w14:paraId="7686FF84">
      <w:pPr>
        <w:rPr>
          <w:rFonts w:hint="eastAsia" w:asciiTheme="minorEastAsia" w:hAnsiTheme="minorEastAsia" w:cstheme="minorEastAsia"/>
          <w:b/>
          <w:bCs/>
          <w:sz w:val="24"/>
          <w:szCs w:val="24"/>
          <w:lang w:val="en-US" w:eastAsia="zh-CN"/>
        </w:rPr>
      </w:pPr>
      <w:r>
        <w:rPr>
          <w:rFonts w:hint="eastAsia" w:asciiTheme="minorEastAsia" w:hAnsiTheme="minorEastAsia" w:cstheme="minorEastAsia"/>
          <w:b/>
          <w:bCs/>
          <w:sz w:val="24"/>
          <w:szCs w:val="24"/>
          <w:lang w:val="en-US" w:eastAsia="zh-CN"/>
        </w:rPr>
        <w:br w:type="page"/>
      </w:r>
    </w:p>
    <w:p w14:paraId="3FF87687">
      <w:pPr>
        <w:spacing w:after="209" w:afterLines="67"/>
        <w:rPr>
          <w:rFonts w:asciiTheme="minorEastAsia" w:hAnsiTheme="minorEastAsia" w:cstheme="minorEastAsia"/>
          <w:b/>
          <w:bCs/>
          <w:sz w:val="24"/>
          <w:szCs w:val="24"/>
        </w:rPr>
      </w:pPr>
      <w:r>
        <w:rPr>
          <w:rFonts w:hint="eastAsia" w:asciiTheme="minorEastAsia" w:hAnsiTheme="minorEastAsia" w:cstheme="minorEastAsia"/>
          <w:b/>
          <w:bCs/>
          <w:sz w:val="24"/>
          <w:szCs w:val="24"/>
          <w:lang w:val="en-US" w:eastAsia="zh-CN"/>
        </w:rPr>
        <w:t>二</w:t>
      </w:r>
      <w:r>
        <w:rPr>
          <w:rFonts w:hint="eastAsia" w:asciiTheme="minorEastAsia" w:hAnsiTheme="minorEastAsia" w:cstheme="minorEastAsia"/>
          <w:b/>
          <w:bCs/>
          <w:sz w:val="24"/>
          <w:szCs w:val="24"/>
        </w:rPr>
        <w:t>、需求响应情况（加盖公章）</w:t>
      </w:r>
    </w:p>
    <w:tbl>
      <w:tblPr>
        <w:tblStyle w:val="14"/>
        <w:tblW w:w="524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5"/>
        <w:gridCol w:w="1144"/>
        <w:gridCol w:w="4801"/>
        <w:gridCol w:w="1568"/>
        <w:gridCol w:w="985"/>
      </w:tblGrid>
      <w:tr w14:paraId="34FC9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Align w:val="center"/>
          </w:tcPr>
          <w:p w14:paraId="0D690DEC">
            <w:pPr>
              <w:spacing w:line="200" w:lineRule="atLeast"/>
              <w:jc w:val="center"/>
              <w:rPr>
                <w:rFonts w:ascii="宋体" w:hAnsi="宋体" w:eastAsia="宋体" w:cs="宋体"/>
                <w:b/>
                <w:bCs/>
                <w:szCs w:val="21"/>
              </w:rPr>
            </w:pPr>
            <w:r>
              <w:rPr>
                <w:rFonts w:hint="eastAsia" w:ascii="宋体" w:hAnsi="宋体" w:eastAsia="宋体" w:cs="宋体"/>
                <w:b/>
                <w:bCs/>
                <w:szCs w:val="21"/>
              </w:rPr>
              <w:t>序号</w:t>
            </w:r>
          </w:p>
        </w:tc>
        <w:tc>
          <w:tcPr>
            <w:tcW w:w="640" w:type="pct"/>
            <w:vAlign w:val="center"/>
          </w:tcPr>
          <w:p w14:paraId="390819F1">
            <w:pPr>
              <w:jc w:val="center"/>
              <w:rPr>
                <w:rFonts w:ascii="宋体" w:hAnsi="宋体" w:eastAsia="宋体" w:cs="宋体"/>
                <w:b/>
                <w:bCs/>
                <w:szCs w:val="21"/>
              </w:rPr>
            </w:pPr>
            <w:r>
              <w:rPr>
                <w:rFonts w:hint="eastAsia" w:ascii="宋体" w:hAnsi="宋体" w:eastAsia="宋体" w:cs="宋体"/>
                <w:b/>
                <w:bCs/>
                <w:szCs w:val="21"/>
                <w:lang w:val="en-US" w:eastAsia="zh-CN"/>
              </w:rPr>
              <w:t>服务需求</w:t>
            </w:r>
            <w:r>
              <w:rPr>
                <w:rFonts w:hint="eastAsia" w:ascii="宋体" w:hAnsi="宋体" w:eastAsia="宋体" w:cs="宋体"/>
                <w:b/>
                <w:bCs/>
                <w:szCs w:val="21"/>
              </w:rPr>
              <w:t>名称</w:t>
            </w:r>
          </w:p>
        </w:tc>
        <w:tc>
          <w:tcPr>
            <w:tcW w:w="2686" w:type="pct"/>
            <w:vAlign w:val="center"/>
          </w:tcPr>
          <w:p w14:paraId="3AF29F7B">
            <w:pPr>
              <w:jc w:val="center"/>
              <w:rPr>
                <w:rFonts w:hint="default" w:ascii="宋体" w:hAnsi="宋体" w:eastAsia="宋体" w:cs="宋体"/>
                <w:b/>
                <w:bCs/>
                <w:szCs w:val="21"/>
                <w:lang w:val="en-US" w:eastAsia="zh-CN"/>
              </w:rPr>
            </w:pPr>
            <w:r>
              <w:rPr>
                <w:rFonts w:hint="eastAsia" w:ascii="宋体" w:hAnsi="宋体" w:eastAsia="宋体" w:cs="宋体"/>
                <w:b/>
                <w:bCs/>
                <w:szCs w:val="21"/>
                <w:lang w:val="en-US" w:eastAsia="zh-CN"/>
              </w:rPr>
              <w:t>服务需求内容</w:t>
            </w:r>
          </w:p>
        </w:tc>
        <w:tc>
          <w:tcPr>
            <w:tcW w:w="877" w:type="pct"/>
            <w:vAlign w:val="center"/>
          </w:tcPr>
          <w:p w14:paraId="48175FD0">
            <w:pPr>
              <w:spacing w:line="200" w:lineRule="atLeast"/>
              <w:jc w:val="center"/>
              <w:rPr>
                <w:rFonts w:ascii="宋体" w:hAnsi="宋体" w:eastAsia="宋体" w:cs="宋体"/>
                <w:b/>
                <w:bCs/>
                <w:szCs w:val="21"/>
              </w:rPr>
            </w:pPr>
            <w:r>
              <w:rPr>
                <w:rFonts w:hint="eastAsia" w:ascii="宋体" w:hAnsi="宋体" w:eastAsia="宋体" w:cs="宋体"/>
                <w:b/>
                <w:bCs/>
                <w:szCs w:val="21"/>
              </w:rPr>
              <w:t>响应情况（完全满足/部分满足/不满足）</w:t>
            </w:r>
          </w:p>
        </w:tc>
        <w:tc>
          <w:tcPr>
            <w:tcW w:w="551" w:type="pct"/>
            <w:vAlign w:val="center"/>
          </w:tcPr>
          <w:p w14:paraId="3D9D2618">
            <w:pPr>
              <w:spacing w:line="200" w:lineRule="atLeast"/>
              <w:jc w:val="center"/>
              <w:rPr>
                <w:rFonts w:ascii="宋体" w:hAnsi="宋体" w:eastAsia="宋体" w:cs="宋体"/>
                <w:b/>
                <w:bCs/>
                <w:szCs w:val="21"/>
              </w:rPr>
            </w:pPr>
            <w:r>
              <w:rPr>
                <w:rFonts w:hint="eastAsia" w:ascii="宋体" w:hAnsi="宋体" w:eastAsia="宋体" w:cs="宋体"/>
                <w:b/>
                <w:bCs/>
                <w:szCs w:val="21"/>
              </w:rPr>
              <w:t>备注（描述偏离情况）</w:t>
            </w:r>
          </w:p>
        </w:tc>
      </w:tr>
      <w:tr w14:paraId="502AE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restart"/>
            <w:vAlign w:val="center"/>
          </w:tcPr>
          <w:p w14:paraId="2988F788">
            <w:pPr>
              <w:numPr>
                <w:ilvl w:val="0"/>
                <w:numId w:val="3"/>
              </w:numPr>
              <w:spacing w:line="200" w:lineRule="atLeast"/>
              <w:jc w:val="center"/>
              <w:rPr>
                <w:rFonts w:ascii="宋体" w:hAnsi="宋体" w:eastAsia="宋体" w:cs="宋体"/>
                <w:szCs w:val="21"/>
              </w:rPr>
            </w:pPr>
          </w:p>
        </w:tc>
        <w:tc>
          <w:tcPr>
            <w:tcW w:w="640" w:type="pct"/>
            <w:vMerge w:val="restart"/>
            <w:vAlign w:val="center"/>
          </w:tcPr>
          <w:p w14:paraId="07E2DA96">
            <w:pPr>
              <w:spacing w:line="200" w:lineRule="atLeas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基础服务</w:t>
            </w:r>
          </w:p>
        </w:tc>
        <w:tc>
          <w:tcPr>
            <w:tcW w:w="2686" w:type="pct"/>
            <w:vAlign w:val="top"/>
          </w:tcPr>
          <w:p w14:paraId="671E3A4B">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技术支持热线服务</w:t>
            </w:r>
          </w:p>
        </w:tc>
        <w:tc>
          <w:tcPr>
            <w:tcW w:w="877" w:type="pct"/>
            <w:vAlign w:val="center"/>
          </w:tcPr>
          <w:p w14:paraId="2714253F">
            <w:pPr>
              <w:spacing w:line="200" w:lineRule="atLeast"/>
              <w:jc w:val="center"/>
              <w:rPr>
                <w:rFonts w:ascii="宋体" w:hAnsi="宋体" w:eastAsia="宋体" w:cs="宋体"/>
                <w:szCs w:val="21"/>
              </w:rPr>
            </w:pPr>
          </w:p>
        </w:tc>
        <w:tc>
          <w:tcPr>
            <w:tcW w:w="551" w:type="pct"/>
            <w:vAlign w:val="center"/>
          </w:tcPr>
          <w:p w14:paraId="4A3AAA26">
            <w:pPr>
              <w:spacing w:line="200" w:lineRule="atLeast"/>
              <w:jc w:val="center"/>
              <w:rPr>
                <w:rFonts w:ascii="宋体" w:hAnsi="宋体" w:eastAsia="宋体" w:cs="宋体"/>
                <w:szCs w:val="21"/>
              </w:rPr>
            </w:pPr>
          </w:p>
        </w:tc>
      </w:tr>
      <w:tr w14:paraId="264AE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2879237F">
            <w:pPr>
              <w:spacing w:line="200" w:lineRule="atLeast"/>
              <w:jc w:val="center"/>
              <w:rPr>
                <w:rFonts w:ascii="宋体" w:hAnsi="宋体" w:eastAsia="宋体" w:cs="宋体"/>
                <w:szCs w:val="21"/>
              </w:rPr>
            </w:pPr>
          </w:p>
        </w:tc>
        <w:tc>
          <w:tcPr>
            <w:tcW w:w="640" w:type="pct"/>
            <w:vMerge w:val="continue"/>
            <w:vAlign w:val="center"/>
          </w:tcPr>
          <w:p w14:paraId="79579FAE">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36087BFE">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定期巡检与预防性维护</w:t>
            </w:r>
          </w:p>
        </w:tc>
        <w:tc>
          <w:tcPr>
            <w:tcW w:w="877" w:type="pct"/>
            <w:vAlign w:val="center"/>
          </w:tcPr>
          <w:p w14:paraId="4CAD99C4">
            <w:pPr>
              <w:spacing w:line="200" w:lineRule="atLeast"/>
              <w:jc w:val="center"/>
              <w:rPr>
                <w:rFonts w:ascii="宋体" w:hAnsi="宋体" w:eastAsia="宋体" w:cs="宋体"/>
                <w:szCs w:val="21"/>
              </w:rPr>
            </w:pPr>
          </w:p>
        </w:tc>
        <w:tc>
          <w:tcPr>
            <w:tcW w:w="551" w:type="pct"/>
            <w:vAlign w:val="center"/>
          </w:tcPr>
          <w:p w14:paraId="0C24B0EA">
            <w:pPr>
              <w:spacing w:line="200" w:lineRule="atLeast"/>
              <w:jc w:val="center"/>
              <w:rPr>
                <w:rFonts w:ascii="宋体" w:hAnsi="宋体" w:eastAsia="宋体" w:cs="宋体"/>
                <w:szCs w:val="21"/>
              </w:rPr>
            </w:pPr>
          </w:p>
        </w:tc>
      </w:tr>
      <w:tr w14:paraId="5392C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513F1493">
            <w:pPr>
              <w:spacing w:line="200" w:lineRule="atLeast"/>
              <w:jc w:val="center"/>
              <w:rPr>
                <w:rFonts w:ascii="宋体" w:hAnsi="宋体" w:eastAsia="宋体" w:cs="宋体"/>
                <w:szCs w:val="21"/>
              </w:rPr>
            </w:pPr>
          </w:p>
        </w:tc>
        <w:tc>
          <w:tcPr>
            <w:tcW w:w="640" w:type="pct"/>
            <w:vMerge w:val="continue"/>
            <w:vAlign w:val="center"/>
          </w:tcPr>
          <w:p w14:paraId="1C8CA473">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46555337">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现场故障响应解决服务</w:t>
            </w:r>
          </w:p>
        </w:tc>
        <w:tc>
          <w:tcPr>
            <w:tcW w:w="877" w:type="pct"/>
            <w:vAlign w:val="center"/>
          </w:tcPr>
          <w:p w14:paraId="1A149DF0">
            <w:pPr>
              <w:spacing w:line="200" w:lineRule="atLeast"/>
              <w:jc w:val="center"/>
              <w:rPr>
                <w:rFonts w:ascii="宋体" w:hAnsi="宋体" w:eastAsia="宋体" w:cs="宋体"/>
                <w:szCs w:val="21"/>
              </w:rPr>
            </w:pPr>
          </w:p>
        </w:tc>
        <w:tc>
          <w:tcPr>
            <w:tcW w:w="551" w:type="pct"/>
            <w:vAlign w:val="center"/>
          </w:tcPr>
          <w:p w14:paraId="494F71E7">
            <w:pPr>
              <w:spacing w:line="200" w:lineRule="atLeast"/>
              <w:jc w:val="center"/>
              <w:rPr>
                <w:rFonts w:ascii="宋体" w:hAnsi="宋体" w:eastAsia="宋体" w:cs="宋体"/>
                <w:szCs w:val="21"/>
              </w:rPr>
            </w:pPr>
          </w:p>
        </w:tc>
      </w:tr>
      <w:tr w14:paraId="10AC5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2E084238">
            <w:pPr>
              <w:spacing w:line="200" w:lineRule="atLeast"/>
              <w:jc w:val="center"/>
              <w:rPr>
                <w:rFonts w:ascii="宋体" w:hAnsi="宋体" w:eastAsia="宋体" w:cs="宋体"/>
                <w:szCs w:val="21"/>
              </w:rPr>
            </w:pPr>
          </w:p>
        </w:tc>
        <w:tc>
          <w:tcPr>
            <w:tcW w:w="640" w:type="pct"/>
            <w:vMerge w:val="continue"/>
            <w:vAlign w:val="center"/>
          </w:tcPr>
          <w:p w14:paraId="2B50A01D">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68D0AD2C">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重要时段电话支持服务</w:t>
            </w:r>
          </w:p>
        </w:tc>
        <w:tc>
          <w:tcPr>
            <w:tcW w:w="877" w:type="pct"/>
            <w:vAlign w:val="center"/>
          </w:tcPr>
          <w:p w14:paraId="10BD85C2">
            <w:pPr>
              <w:spacing w:line="200" w:lineRule="atLeast"/>
              <w:jc w:val="center"/>
              <w:rPr>
                <w:rFonts w:ascii="宋体" w:hAnsi="宋体" w:eastAsia="宋体" w:cs="宋体"/>
                <w:szCs w:val="21"/>
              </w:rPr>
            </w:pPr>
          </w:p>
        </w:tc>
        <w:tc>
          <w:tcPr>
            <w:tcW w:w="551" w:type="pct"/>
            <w:vAlign w:val="center"/>
          </w:tcPr>
          <w:p w14:paraId="5B54ABBA">
            <w:pPr>
              <w:spacing w:line="200" w:lineRule="atLeast"/>
              <w:jc w:val="center"/>
              <w:rPr>
                <w:rFonts w:ascii="宋体" w:hAnsi="宋体" w:eastAsia="宋体" w:cs="宋体"/>
                <w:szCs w:val="21"/>
              </w:rPr>
            </w:pPr>
          </w:p>
        </w:tc>
      </w:tr>
      <w:tr w14:paraId="46C42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restart"/>
            <w:vAlign w:val="center"/>
          </w:tcPr>
          <w:p w14:paraId="7868D24F">
            <w:pPr>
              <w:numPr>
                <w:ilvl w:val="0"/>
                <w:numId w:val="3"/>
              </w:numPr>
              <w:spacing w:line="200" w:lineRule="atLeast"/>
              <w:jc w:val="center"/>
              <w:rPr>
                <w:rFonts w:ascii="宋体" w:hAnsi="宋体" w:eastAsia="宋体" w:cs="宋体"/>
                <w:szCs w:val="21"/>
              </w:rPr>
            </w:pPr>
          </w:p>
        </w:tc>
        <w:tc>
          <w:tcPr>
            <w:tcW w:w="640" w:type="pct"/>
            <w:vMerge w:val="restart"/>
            <w:vAlign w:val="center"/>
          </w:tcPr>
          <w:p w14:paraId="4C975B5E">
            <w:pPr>
              <w:spacing w:line="200" w:lineRule="atLeas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系统增值服务</w:t>
            </w:r>
          </w:p>
        </w:tc>
        <w:tc>
          <w:tcPr>
            <w:tcW w:w="2686" w:type="pct"/>
            <w:vAlign w:val="top"/>
          </w:tcPr>
          <w:p w14:paraId="4F634ED8">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技术交流服务</w:t>
            </w:r>
          </w:p>
        </w:tc>
        <w:tc>
          <w:tcPr>
            <w:tcW w:w="877" w:type="pct"/>
            <w:vAlign w:val="center"/>
          </w:tcPr>
          <w:p w14:paraId="419AF2B2">
            <w:pPr>
              <w:spacing w:line="200" w:lineRule="atLeast"/>
              <w:jc w:val="center"/>
              <w:rPr>
                <w:rFonts w:ascii="宋体" w:hAnsi="宋体" w:eastAsia="宋体" w:cs="宋体"/>
                <w:szCs w:val="21"/>
              </w:rPr>
            </w:pPr>
          </w:p>
        </w:tc>
        <w:tc>
          <w:tcPr>
            <w:tcW w:w="551" w:type="pct"/>
            <w:vAlign w:val="center"/>
          </w:tcPr>
          <w:p w14:paraId="48D35436">
            <w:pPr>
              <w:spacing w:line="200" w:lineRule="atLeast"/>
              <w:jc w:val="center"/>
              <w:rPr>
                <w:rFonts w:ascii="宋体" w:hAnsi="宋体" w:eastAsia="宋体" w:cs="宋体"/>
                <w:szCs w:val="21"/>
              </w:rPr>
            </w:pPr>
          </w:p>
        </w:tc>
      </w:tr>
      <w:tr w14:paraId="2C683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4B3F8CB5">
            <w:pPr>
              <w:spacing w:line="200" w:lineRule="atLeast"/>
              <w:jc w:val="center"/>
              <w:rPr>
                <w:rFonts w:ascii="宋体" w:hAnsi="宋体" w:eastAsia="宋体" w:cs="宋体"/>
                <w:szCs w:val="21"/>
              </w:rPr>
            </w:pPr>
          </w:p>
        </w:tc>
        <w:tc>
          <w:tcPr>
            <w:tcW w:w="640" w:type="pct"/>
            <w:vMerge w:val="continue"/>
            <w:vAlign w:val="center"/>
          </w:tcPr>
          <w:p w14:paraId="5EEEC051">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5607DAD3">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高可靠性技术支持服务</w:t>
            </w:r>
          </w:p>
        </w:tc>
        <w:tc>
          <w:tcPr>
            <w:tcW w:w="877" w:type="pct"/>
            <w:vAlign w:val="center"/>
          </w:tcPr>
          <w:p w14:paraId="354D4B8C">
            <w:pPr>
              <w:spacing w:line="200" w:lineRule="atLeast"/>
              <w:jc w:val="center"/>
              <w:rPr>
                <w:rFonts w:ascii="宋体" w:hAnsi="宋体" w:eastAsia="宋体" w:cs="宋体"/>
                <w:szCs w:val="21"/>
              </w:rPr>
            </w:pPr>
          </w:p>
        </w:tc>
        <w:tc>
          <w:tcPr>
            <w:tcW w:w="551" w:type="pct"/>
            <w:vAlign w:val="center"/>
          </w:tcPr>
          <w:p w14:paraId="552E7E78">
            <w:pPr>
              <w:spacing w:line="200" w:lineRule="atLeast"/>
              <w:jc w:val="center"/>
              <w:rPr>
                <w:rFonts w:ascii="宋体" w:hAnsi="宋体" w:eastAsia="宋体" w:cs="宋体"/>
                <w:szCs w:val="21"/>
              </w:rPr>
            </w:pPr>
          </w:p>
        </w:tc>
      </w:tr>
      <w:tr w14:paraId="4369F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229DB050">
            <w:pPr>
              <w:spacing w:line="200" w:lineRule="atLeast"/>
              <w:jc w:val="center"/>
              <w:rPr>
                <w:rFonts w:ascii="宋体" w:hAnsi="宋体" w:eastAsia="宋体" w:cs="宋体"/>
                <w:szCs w:val="21"/>
              </w:rPr>
            </w:pPr>
          </w:p>
        </w:tc>
        <w:tc>
          <w:tcPr>
            <w:tcW w:w="640" w:type="pct"/>
            <w:vMerge w:val="continue"/>
            <w:vAlign w:val="center"/>
          </w:tcPr>
          <w:p w14:paraId="266C3B3C">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7DE6E3FC">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应急处理服务</w:t>
            </w:r>
          </w:p>
        </w:tc>
        <w:tc>
          <w:tcPr>
            <w:tcW w:w="877" w:type="pct"/>
            <w:vAlign w:val="center"/>
          </w:tcPr>
          <w:p w14:paraId="56014464">
            <w:pPr>
              <w:spacing w:line="200" w:lineRule="atLeast"/>
              <w:jc w:val="center"/>
              <w:rPr>
                <w:rFonts w:ascii="宋体" w:hAnsi="宋体" w:eastAsia="宋体" w:cs="宋体"/>
                <w:szCs w:val="21"/>
              </w:rPr>
            </w:pPr>
          </w:p>
        </w:tc>
        <w:tc>
          <w:tcPr>
            <w:tcW w:w="551" w:type="pct"/>
            <w:vAlign w:val="center"/>
          </w:tcPr>
          <w:p w14:paraId="5A1ABD1A">
            <w:pPr>
              <w:spacing w:line="200" w:lineRule="atLeast"/>
              <w:jc w:val="center"/>
              <w:rPr>
                <w:rFonts w:ascii="宋体" w:hAnsi="宋体" w:eastAsia="宋体" w:cs="宋体"/>
                <w:szCs w:val="21"/>
              </w:rPr>
            </w:pPr>
          </w:p>
        </w:tc>
      </w:tr>
      <w:tr w14:paraId="3A432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5D7689B4">
            <w:pPr>
              <w:spacing w:line="200" w:lineRule="atLeast"/>
              <w:jc w:val="center"/>
              <w:rPr>
                <w:rFonts w:ascii="宋体" w:hAnsi="宋体" w:eastAsia="宋体" w:cs="宋体"/>
                <w:szCs w:val="21"/>
              </w:rPr>
            </w:pPr>
          </w:p>
        </w:tc>
        <w:tc>
          <w:tcPr>
            <w:tcW w:w="640" w:type="pct"/>
            <w:vMerge w:val="continue"/>
            <w:vAlign w:val="center"/>
          </w:tcPr>
          <w:p w14:paraId="75F6D0D6">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75901A4E">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系统技术支持服务</w:t>
            </w:r>
          </w:p>
        </w:tc>
        <w:tc>
          <w:tcPr>
            <w:tcW w:w="877" w:type="pct"/>
            <w:vAlign w:val="center"/>
          </w:tcPr>
          <w:p w14:paraId="5C53725A">
            <w:pPr>
              <w:spacing w:line="200" w:lineRule="atLeast"/>
              <w:jc w:val="center"/>
              <w:rPr>
                <w:rFonts w:ascii="宋体" w:hAnsi="宋体" w:eastAsia="宋体" w:cs="宋体"/>
                <w:szCs w:val="21"/>
              </w:rPr>
            </w:pPr>
          </w:p>
        </w:tc>
        <w:tc>
          <w:tcPr>
            <w:tcW w:w="551" w:type="pct"/>
            <w:vAlign w:val="center"/>
          </w:tcPr>
          <w:p w14:paraId="674553EA">
            <w:pPr>
              <w:spacing w:line="200" w:lineRule="atLeast"/>
              <w:jc w:val="center"/>
              <w:rPr>
                <w:rFonts w:ascii="宋体" w:hAnsi="宋体" w:eastAsia="宋体" w:cs="宋体"/>
                <w:szCs w:val="21"/>
              </w:rPr>
            </w:pPr>
          </w:p>
        </w:tc>
      </w:tr>
      <w:tr w14:paraId="387BC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restart"/>
            <w:vAlign w:val="center"/>
          </w:tcPr>
          <w:p w14:paraId="5B0020D6">
            <w:pPr>
              <w:numPr>
                <w:ilvl w:val="0"/>
                <w:numId w:val="3"/>
              </w:numPr>
              <w:spacing w:line="200" w:lineRule="atLeast"/>
              <w:jc w:val="center"/>
              <w:rPr>
                <w:rFonts w:ascii="宋体" w:hAnsi="宋体" w:eastAsia="宋体" w:cs="宋体"/>
                <w:szCs w:val="21"/>
              </w:rPr>
            </w:pPr>
          </w:p>
        </w:tc>
        <w:tc>
          <w:tcPr>
            <w:tcW w:w="640" w:type="pct"/>
            <w:vMerge w:val="restart"/>
            <w:vAlign w:val="center"/>
          </w:tcPr>
          <w:p w14:paraId="0F172FD1">
            <w:pPr>
              <w:spacing w:line="200" w:lineRule="atLeast"/>
              <w:jc w:val="center"/>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定制服务</w:t>
            </w:r>
          </w:p>
        </w:tc>
        <w:tc>
          <w:tcPr>
            <w:tcW w:w="2686" w:type="pct"/>
            <w:vAlign w:val="top"/>
          </w:tcPr>
          <w:p w14:paraId="503D5728">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现场备件保障服务</w:t>
            </w:r>
          </w:p>
        </w:tc>
        <w:tc>
          <w:tcPr>
            <w:tcW w:w="877" w:type="pct"/>
            <w:vAlign w:val="center"/>
          </w:tcPr>
          <w:p w14:paraId="4443B842">
            <w:pPr>
              <w:spacing w:line="200" w:lineRule="atLeast"/>
              <w:jc w:val="center"/>
              <w:rPr>
                <w:rFonts w:ascii="宋体" w:hAnsi="宋体" w:eastAsia="宋体" w:cs="宋体"/>
                <w:szCs w:val="21"/>
              </w:rPr>
            </w:pPr>
          </w:p>
        </w:tc>
        <w:tc>
          <w:tcPr>
            <w:tcW w:w="551" w:type="pct"/>
            <w:vAlign w:val="center"/>
          </w:tcPr>
          <w:p w14:paraId="6B6B22A4">
            <w:pPr>
              <w:spacing w:line="200" w:lineRule="atLeast"/>
              <w:jc w:val="center"/>
              <w:rPr>
                <w:rFonts w:ascii="宋体" w:hAnsi="宋体" w:eastAsia="宋体" w:cs="宋体"/>
                <w:szCs w:val="21"/>
              </w:rPr>
            </w:pPr>
          </w:p>
        </w:tc>
      </w:tr>
      <w:tr w14:paraId="2F627A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79932071">
            <w:pPr>
              <w:spacing w:line="200" w:lineRule="atLeast"/>
              <w:jc w:val="center"/>
              <w:rPr>
                <w:rFonts w:ascii="宋体" w:hAnsi="宋体" w:eastAsia="宋体" w:cs="宋体"/>
                <w:szCs w:val="21"/>
              </w:rPr>
            </w:pPr>
          </w:p>
        </w:tc>
        <w:tc>
          <w:tcPr>
            <w:tcW w:w="640" w:type="pct"/>
            <w:vMerge w:val="continue"/>
            <w:vAlign w:val="center"/>
          </w:tcPr>
          <w:p w14:paraId="152E890E">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0F98D387">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重大生产变更支持服务</w:t>
            </w:r>
          </w:p>
        </w:tc>
        <w:tc>
          <w:tcPr>
            <w:tcW w:w="877" w:type="pct"/>
            <w:vAlign w:val="center"/>
          </w:tcPr>
          <w:p w14:paraId="6EC4186C">
            <w:pPr>
              <w:spacing w:line="200" w:lineRule="atLeast"/>
              <w:jc w:val="center"/>
              <w:rPr>
                <w:rFonts w:ascii="宋体" w:hAnsi="宋体" w:eastAsia="宋体" w:cs="宋体"/>
                <w:szCs w:val="21"/>
              </w:rPr>
            </w:pPr>
          </w:p>
        </w:tc>
        <w:tc>
          <w:tcPr>
            <w:tcW w:w="551" w:type="pct"/>
            <w:vAlign w:val="center"/>
          </w:tcPr>
          <w:p w14:paraId="6A0BBEAF">
            <w:pPr>
              <w:spacing w:line="200" w:lineRule="atLeast"/>
              <w:jc w:val="center"/>
              <w:rPr>
                <w:rFonts w:ascii="宋体" w:hAnsi="宋体" w:eastAsia="宋体" w:cs="宋体"/>
                <w:szCs w:val="21"/>
              </w:rPr>
            </w:pPr>
          </w:p>
        </w:tc>
      </w:tr>
      <w:tr w14:paraId="43D72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4A3B405F">
            <w:pPr>
              <w:spacing w:line="200" w:lineRule="atLeast"/>
              <w:jc w:val="center"/>
              <w:rPr>
                <w:rFonts w:ascii="宋体" w:hAnsi="宋体" w:eastAsia="宋体" w:cs="宋体"/>
                <w:szCs w:val="21"/>
              </w:rPr>
            </w:pPr>
          </w:p>
        </w:tc>
        <w:tc>
          <w:tcPr>
            <w:tcW w:w="640" w:type="pct"/>
            <w:vMerge w:val="continue"/>
            <w:vAlign w:val="center"/>
          </w:tcPr>
          <w:p w14:paraId="349CB753">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14C80876">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重要时段现场保障服务</w:t>
            </w:r>
          </w:p>
        </w:tc>
        <w:tc>
          <w:tcPr>
            <w:tcW w:w="877" w:type="pct"/>
            <w:vAlign w:val="center"/>
          </w:tcPr>
          <w:p w14:paraId="19E30BA1">
            <w:pPr>
              <w:spacing w:line="200" w:lineRule="atLeast"/>
              <w:jc w:val="center"/>
              <w:rPr>
                <w:rFonts w:ascii="宋体" w:hAnsi="宋体" w:eastAsia="宋体" w:cs="宋体"/>
                <w:szCs w:val="21"/>
              </w:rPr>
            </w:pPr>
          </w:p>
        </w:tc>
        <w:tc>
          <w:tcPr>
            <w:tcW w:w="551" w:type="pct"/>
            <w:vAlign w:val="center"/>
          </w:tcPr>
          <w:p w14:paraId="16C2A943">
            <w:pPr>
              <w:spacing w:line="200" w:lineRule="atLeast"/>
              <w:jc w:val="center"/>
              <w:rPr>
                <w:rFonts w:ascii="宋体" w:hAnsi="宋体" w:eastAsia="宋体" w:cs="宋体"/>
                <w:szCs w:val="21"/>
              </w:rPr>
            </w:pPr>
          </w:p>
        </w:tc>
      </w:tr>
      <w:tr w14:paraId="3010D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45FBC1BE">
            <w:pPr>
              <w:spacing w:line="200" w:lineRule="atLeast"/>
              <w:jc w:val="center"/>
              <w:rPr>
                <w:rFonts w:ascii="宋体" w:hAnsi="宋体" w:eastAsia="宋体" w:cs="宋体"/>
                <w:szCs w:val="21"/>
              </w:rPr>
            </w:pPr>
          </w:p>
        </w:tc>
        <w:tc>
          <w:tcPr>
            <w:tcW w:w="640" w:type="pct"/>
            <w:vMerge w:val="continue"/>
            <w:vAlign w:val="center"/>
          </w:tcPr>
          <w:p w14:paraId="530888D8">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65A3C728">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关键业务系统恢复服务</w:t>
            </w:r>
          </w:p>
        </w:tc>
        <w:tc>
          <w:tcPr>
            <w:tcW w:w="877" w:type="pct"/>
            <w:vAlign w:val="center"/>
          </w:tcPr>
          <w:p w14:paraId="2D7744FD">
            <w:pPr>
              <w:spacing w:line="200" w:lineRule="atLeast"/>
              <w:jc w:val="center"/>
              <w:rPr>
                <w:rFonts w:ascii="宋体" w:hAnsi="宋体" w:eastAsia="宋体" w:cs="宋体"/>
                <w:szCs w:val="21"/>
              </w:rPr>
            </w:pPr>
          </w:p>
        </w:tc>
        <w:tc>
          <w:tcPr>
            <w:tcW w:w="551" w:type="pct"/>
            <w:vAlign w:val="center"/>
          </w:tcPr>
          <w:p w14:paraId="0F89CEC7">
            <w:pPr>
              <w:spacing w:line="200" w:lineRule="atLeast"/>
              <w:jc w:val="center"/>
              <w:rPr>
                <w:rFonts w:ascii="宋体" w:hAnsi="宋体" w:eastAsia="宋体" w:cs="宋体"/>
                <w:szCs w:val="21"/>
              </w:rPr>
            </w:pPr>
          </w:p>
        </w:tc>
      </w:tr>
      <w:tr w14:paraId="5C0CC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23E4974C">
            <w:pPr>
              <w:spacing w:line="200" w:lineRule="atLeast"/>
              <w:jc w:val="center"/>
              <w:rPr>
                <w:rFonts w:ascii="宋体" w:hAnsi="宋体" w:eastAsia="宋体" w:cs="宋体"/>
                <w:szCs w:val="21"/>
              </w:rPr>
            </w:pPr>
          </w:p>
        </w:tc>
        <w:tc>
          <w:tcPr>
            <w:tcW w:w="640" w:type="pct"/>
            <w:vMerge w:val="continue"/>
            <w:vAlign w:val="center"/>
          </w:tcPr>
          <w:p w14:paraId="5D24FC51">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4404EEA0">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系统高级技术支持服务</w:t>
            </w:r>
          </w:p>
        </w:tc>
        <w:tc>
          <w:tcPr>
            <w:tcW w:w="877" w:type="pct"/>
            <w:vAlign w:val="center"/>
          </w:tcPr>
          <w:p w14:paraId="38B48B53">
            <w:pPr>
              <w:spacing w:line="200" w:lineRule="atLeast"/>
              <w:jc w:val="center"/>
              <w:rPr>
                <w:rFonts w:ascii="宋体" w:hAnsi="宋体" w:eastAsia="宋体" w:cs="宋体"/>
                <w:szCs w:val="21"/>
              </w:rPr>
            </w:pPr>
          </w:p>
        </w:tc>
        <w:tc>
          <w:tcPr>
            <w:tcW w:w="551" w:type="pct"/>
            <w:vAlign w:val="center"/>
          </w:tcPr>
          <w:p w14:paraId="7C250456">
            <w:pPr>
              <w:spacing w:line="200" w:lineRule="atLeast"/>
              <w:jc w:val="center"/>
              <w:rPr>
                <w:rFonts w:ascii="宋体" w:hAnsi="宋体" w:eastAsia="宋体" w:cs="宋体"/>
                <w:szCs w:val="21"/>
              </w:rPr>
            </w:pPr>
          </w:p>
        </w:tc>
      </w:tr>
      <w:tr w14:paraId="196E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244" w:type="pct"/>
            <w:vMerge w:val="continue"/>
            <w:vAlign w:val="center"/>
          </w:tcPr>
          <w:p w14:paraId="61F21C03">
            <w:pPr>
              <w:spacing w:line="200" w:lineRule="atLeast"/>
              <w:jc w:val="center"/>
              <w:rPr>
                <w:rFonts w:ascii="宋体" w:hAnsi="宋体" w:eastAsia="宋体" w:cs="宋体"/>
                <w:szCs w:val="21"/>
              </w:rPr>
            </w:pPr>
          </w:p>
        </w:tc>
        <w:tc>
          <w:tcPr>
            <w:tcW w:w="640" w:type="pct"/>
            <w:vMerge w:val="continue"/>
            <w:vAlign w:val="center"/>
          </w:tcPr>
          <w:p w14:paraId="24B3F1F8">
            <w:pPr>
              <w:spacing w:line="200" w:lineRule="atLeast"/>
              <w:jc w:val="center"/>
              <w:rPr>
                <w:rFonts w:hint="eastAsia" w:asciiTheme="minorEastAsia" w:hAnsiTheme="minorEastAsia" w:eastAsiaTheme="minorEastAsia" w:cstheme="minorEastAsia"/>
                <w:sz w:val="21"/>
                <w:szCs w:val="21"/>
              </w:rPr>
            </w:pPr>
          </w:p>
        </w:tc>
        <w:tc>
          <w:tcPr>
            <w:tcW w:w="2686" w:type="pct"/>
            <w:vAlign w:val="top"/>
          </w:tcPr>
          <w:p w14:paraId="2247ED5B">
            <w:pPr>
              <w:pStyle w:val="27"/>
              <w:spacing w:after="156" w:line="240" w:lineRule="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auto"/>
                <w:sz w:val="21"/>
                <w:szCs w:val="21"/>
                <w:highlight w:val="none"/>
              </w:rPr>
              <w:t>技术培训服务</w:t>
            </w:r>
          </w:p>
        </w:tc>
        <w:tc>
          <w:tcPr>
            <w:tcW w:w="877" w:type="pct"/>
            <w:vAlign w:val="center"/>
          </w:tcPr>
          <w:p w14:paraId="1FD6B927">
            <w:pPr>
              <w:spacing w:line="200" w:lineRule="atLeast"/>
              <w:jc w:val="center"/>
              <w:rPr>
                <w:rFonts w:ascii="宋体" w:hAnsi="宋体" w:eastAsia="宋体" w:cs="宋体"/>
                <w:szCs w:val="21"/>
              </w:rPr>
            </w:pPr>
          </w:p>
        </w:tc>
        <w:tc>
          <w:tcPr>
            <w:tcW w:w="551" w:type="pct"/>
            <w:vAlign w:val="center"/>
          </w:tcPr>
          <w:p w14:paraId="2B85120F">
            <w:pPr>
              <w:spacing w:line="200" w:lineRule="atLeast"/>
              <w:jc w:val="center"/>
              <w:rPr>
                <w:rFonts w:ascii="宋体" w:hAnsi="宋体" w:eastAsia="宋体" w:cs="宋体"/>
                <w:szCs w:val="21"/>
              </w:rPr>
            </w:pPr>
          </w:p>
        </w:tc>
      </w:tr>
    </w:tbl>
    <w:p w14:paraId="7D2A79A9">
      <w:pPr>
        <w:spacing w:after="209" w:afterLines="67"/>
        <w:rPr>
          <w:rFonts w:asciiTheme="minorEastAsia" w:hAnsiTheme="minorEastAsia" w:cstheme="minorEastAsia"/>
          <w:sz w:val="24"/>
          <w:szCs w:val="24"/>
        </w:rPr>
      </w:pPr>
    </w:p>
    <w:tbl>
      <w:tblPr>
        <w:tblStyle w:val="14"/>
        <w:tblW w:w="5698" w:type="pct"/>
        <w:tblInd w:w="-7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43"/>
        <w:gridCol w:w="758"/>
        <w:gridCol w:w="6052"/>
        <w:gridCol w:w="1483"/>
        <w:gridCol w:w="976"/>
      </w:tblGrid>
      <w:tr w14:paraId="135AF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1246074B">
            <w:pPr>
              <w:jc w:val="center"/>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序号</w:t>
            </w:r>
          </w:p>
        </w:tc>
        <w:tc>
          <w:tcPr>
            <w:tcW w:w="390" w:type="pct"/>
            <w:vAlign w:val="center"/>
          </w:tcPr>
          <w:p w14:paraId="45EEE73F">
            <w:pPr>
              <w:jc w:val="center"/>
              <w:rPr>
                <w:rFonts w:hint="eastAsia" w:ascii="宋体" w:hAnsi="宋体" w:eastAsia="宋体" w:cs="宋体"/>
                <w:b/>
                <w:bCs/>
                <w:szCs w:val="21"/>
              </w:rPr>
            </w:pPr>
            <w:r>
              <w:rPr>
                <w:rFonts w:hint="eastAsia" w:ascii="宋体" w:hAnsi="宋体" w:eastAsia="宋体" w:cs="宋体"/>
                <w:b/>
                <w:bCs/>
                <w:szCs w:val="21"/>
              </w:rPr>
              <w:t>项目</w:t>
            </w:r>
          </w:p>
        </w:tc>
        <w:tc>
          <w:tcPr>
            <w:tcW w:w="3114" w:type="pct"/>
            <w:vAlign w:val="center"/>
          </w:tcPr>
          <w:p w14:paraId="792A42C3">
            <w:pPr>
              <w:jc w:val="center"/>
              <w:rPr>
                <w:rFonts w:hint="eastAsia" w:ascii="宋体" w:hAnsi="宋体" w:eastAsia="宋体" w:cs="宋体"/>
                <w:b/>
                <w:bCs/>
                <w:szCs w:val="21"/>
              </w:rPr>
            </w:pPr>
            <w:r>
              <w:rPr>
                <w:rFonts w:hint="eastAsia" w:ascii="宋体" w:hAnsi="宋体" w:eastAsia="宋体" w:cs="宋体"/>
                <w:b/>
                <w:bCs/>
                <w:szCs w:val="21"/>
              </w:rPr>
              <w:t>服务内容</w:t>
            </w:r>
          </w:p>
        </w:tc>
        <w:tc>
          <w:tcPr>
            <w:tcW w:w="763" w:type="pct"/>
            <w:vAlign w:val="center"/>
          </w:tcPr>
          <w:p w14:paraId="3EBCF40A">
            <w:pPr>
              <w:spacing w:line="200" w:lineRule="atLeast"/>
              <w:jc w:val="center"/>
              <w:rPr>
                <w:rFonts w:hint="eastAsia" w:ascii="宋体" w:hAnsi="宋体" w:eastAsia="宋体" w:cs="宋体"/>
                <w:b/>
                <w:bCs/>
                <w:szCs w:val="21"/>
              </w:rPr>
            </w:pPr>
            <w:r>
              <w:rPr>
                <w:rFonts w:hint="eastAsia" w:ascii="宋体" w:hAnsi="宋体" w:eastAsia="宋体" w:cs="宋体"/>
                <w:b/>
                <w:bCs/>
                <w:szCs w:val="21"/>
              </w:rPr>
              <w:t>响应情况（完全满足/部分满足/不满足）</w:t>
            </w:r>
          </w:p>
        </w:tc>
        <w:tc>
          <w:tcPr>
            <w:tcW w:w="502" w:type="pct"/>
            <w:vAlign w:val="center"/>
          </w:tcPr>
          <w:p w14:paraId="43BECD14">
            <w:pPr>
              <w:spacing w:line="200" w:lineRule="atLeast"/>
              <w:jc w:val="center"/>
              <w:rPr>
                <w:rFonts w:hint="eastAsia" w:ascii="宋体" w:hAnsi="宋体" w:eastAsia="宋体" w:cs="宋体"/>
                <w:b/>
                <w:bCs/>
                <w:szCs w:val="21"/>
              </w:rPr>
            </w:pPr>
            <w:r>
              <w:rPr>
                <w:rFonts w:hint="eastAsia" w:ascii="宋体" w:hAnsi="宋体" w:eastAsia="宋体" w:cs="宋体"/>
                <w:b/>
                <w:bCs/>
                <w:szCs w:val="21"/>
              </w:rPr>
              <w:t>备注（描述偏离情况）</w:t>
            </w:r>
          </w:p>
        </w:tc>
      </w:tr>
      <w:tr w14:paraId="40235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6BC4A571">
            <w:pPr>
              <w:spacing w:after="120"/>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1</w:t>
            </w:r>
          </w:p>
        </w:tc>
        <w:tc>
          <w:tcPr>
            <w:tcW w:w="758" w:type="dxa"/>
            <w:vAlign w:val="center"/>
          </w:tcPr>
          <w:p w14:paraId="4D4506E3">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技术服务</w:t>
            </w:r>
          </w:p>
        </w:tc>
        <w:tc>
          <w:tcPr>
            <w:tcW w:w="6052" w:type="dxa"/>
            <w:vAlign w:val="center"/>
          </w:tcPr>
          <w:p w14:paraId="2FE186B5">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提供技术响应和技术咨询服务，7×24小时技术服务热线电话。</w:t>
            </w:r>
          </w:p>
          <w:p w14:paraId="51A9655F">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提供 7×24小时故障应急响应和维护服务，免费提供所需的所有配件和消耗品。</w:t>
            </w:r>
          </w:p>
          <w:p w14:paraId="3C1956F8">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根据需要在重大安全保障期、应急演练、新系统上线等重要时段提供现场保障和技术支持服务。</w:t>
            </w:r>
          </w:p>
          <w:p w14:paraId="23EE8BD1">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根据需要为相关的技术人员提供技能培训或集中的高级技能培训、技术交流会。</w:t>
            </w:r>
          </w:p>
          <w:p w14:paraId="1C16F7DA">
            <w:pPr>
              <w:pStyle w:val="24"/>
              <w:keepNext w:val="0"/>
              <w:keepLines w:val="0"/>
              <w:pageBreakBefore w:val="0"/>
              <w:widowControl/>
              <w:numPr>
                <w:ilvl w:val="0"/>
                <w:numId w:val="4"/>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包括但不限于提供相关系统技术文档、技术服务网站等。</w:t>
            </w:r>
          </w:p>
        </w:tc>
        <w:tc>
          <w:tcPr>
            <w:tcW w:w="763" w:type="pct"/>
            <w:vAlign w:val="center"/>
          </w:tcPr>
          <w:p w14:paraId="3EDC9C5F">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8AA7369">
            <w:pPr>
              <w:pStyle w:val="24"/>
              <w:widowControl/>
              <w:numPr>
                <w:ilvl w:val="0"/>
                <w:numId w:val="4"/>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49DF3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6BF1D859">
            <w:pPr>
              <w:spacing w:after="120"/>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2</w:t>
            </w:r>
          </w:p>
        </w:tc>
        <w:tc>
          <w:tcPr>
            <w:tcW w:w="758" w:type="dxa"/>
            <w:vAlign w:val="center"/>
          </w:tcPr>
          <w:p w14:paraId="5224D2BC">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故障响应处理</w:t>
            </w:r>
          </w:p>
        </w:tc>
        <w:tc>
          <w:tcPr>
            <w:tcW w:w="6052" w:type="dxa"/>
            <w:vAlign w:val="center"/>
          </w:tcPr>
          <w:p w14:paraId="4E85CC30">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当主要设备（如UPS、配电、空调）发生任何影响业务正常运作的紧急故障，服务商应在15分钟时间内响应，2小时内到达故障现场进行处理。</w:t>
            </w:r>
          </w:p>
          <w:p w14:paraId="1AE8B3A2">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除上面列出的以外其余系统，任何影响业务正常运作的严重故障，服务商应在15分钟时间内响应，2小时内到达故障现场进行处理。到达故障现场后，立即进行设备维护或通过更换设备零配件来保障设备恢复正常运行。当有设备发生暂时不影响机房业务正常运作的一般故障，服务商应在15分钟时间内响应，2小时内到达故障现场进行处理。到达故障现场后，立即进行设备维护或通过更换设备零配件来保障设备恢复正常运行。</w:t>
            </w:r>
          </w:p>
          <w:p w14:paraId="7DB7CBB9">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设备故障排除和维修期间，根据设备稳定运行的要求，服务商提供现场技术支持和保障。</w:t>
            </w:r>
          </w:p>
          <w:p w14:paraId="5F23A882">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故障发生后，如果48小时内不能排除处理故障，客户方有权请任何第三方进行解决，由此而产生的一切费用，由服务商支付。</w:t>
            </w:r>
          </w:p>
          <w:p w14:paraId="4D023BE4">
            <w:pPr>
              <w:pStyle w:val="24"/>
              <w:keepNext w:val="0"/>
              <w:keepLines w:val="0"/>
              <w:pageBreakBefore w:val="0"/>
              <w:widowControl/>
              <w:numPr>
                <w:ilvl w:val="0"/>
                <w:numId w:val="5"/>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服务商应在故障排除处理后2个工作日内提交《故障应急处理报告》，故障级别对照表见附表2。</w:t>
            </w:r>
          </w:p>
        </w:tc>
        <w:tc>
          <w:tcPr>
            <w:tcW w:w="763" w:type="pct"/>
            <w:vAlign w:val="center"/>
          </w:tcPr>
          <w:p w14:paraId="67FF2CA5">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3F1CB9C3">
            <w:pPr>
              <w:pStyle w:val="24"/>
              <w:widowControl/>
              <w:numPr>
                <w:ilvl w:val="0"/>
                <w:numId w:val="5"/>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10FE8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1D693DD4">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3</w:t>
            </w:r>
          </w:p>
        </w:tc>
        <w:tc>
          <w:tcPr>
            <w:tcW w:w="758" w:type="dxa"/>
            <w:vAlign w:val="center"/>
          </w:tcPr>
          <w:p w14:paraId="366B1E2D">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维保服务安排</w:t>
            </w:r>
          </w:p>
        </w:tc>
        <w:tc>
          <w:tcPr>
            <w:tcW w:w="6052" w:type="dxa"/>
            <w:vAlign w:val="center"/>
          </w:tcPr>
          <w:p w14:paraId="55E03022">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现场保障服务期间，根据项目服务要求，服务商对所委托的服务范围内的机房维护设备进行巡检维护工作，每月定期巡查设备，每半年UPS电池放电测试，每年4次季度巡检维护保养，做好记录，并将巡检情况告知机房管理人员。巡检发现异常情况时，服务商须采取措施及时处理，并及时通知机房管理人员。</w:t>
            </w:r>
          </w:p>
          <w:p w14:paraId="78583EB8">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服务商所进行的所有工作（故障抢修、日常巡检等）应遵循机房相关规章制度，需报机房管理人员批准同意后执行。</w:t>
            </w:r>
          </w:p>
          <w:p w14:paraId="19607DDC">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服务商指派专门的服务人员，对所委托的服务范围内的机房环境设备按照维修保养项目和维修保养计划定期进行检修；按照计划进行季度和年度的保养。每次维护结束后5个工作日内，提交相关维护报告。</w:t>
            </w:r>
          </w:p>
          <w:p w14:paraId="53CDB9A0">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每年服务商都要安排UPS和空调的品牌厂家或厂家授权的技术服务单位，在现场对机房管理人员进行一次全面的维护技术培训，同时做好该次培训记录文档。</w:t>
            </w:r>
          </w:p>
          <w:p w14:paraId="48E2418B">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每年度结束，服务商都要对系统运行状况和性能进行全面分析并做年终总结，在每年度维护周期后5个工作日内，提交年终总结。</w:t>
            </w:r>
          </w:p>
          <w:p w14:paraId="46A25696">
            <w:pPr>
              <w:pStyle w:val="24"/>
              <w:keepNext w:val="0"/>
              <w:keepLines w:val="0"/>
              <w:pageBreakBefore w:val="0"/>
              <w:widowControl/>
              <w:numPr>
                <w:ilvl w:val="0"/>
                <w:numId w:val="6"/>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为保证服务质量，在机房管理人员要求时免费提供原设备厂家维护服务和技术专家支持。</w:t>
            </w:r>
          </w:p>
        </w:tc>
        <w:tc>
          <w:tcPr>
            <w:tcW w:w="763" w:type="pct"/>
            <w:vAlign w:val="center"/>
          </w:tcPr>
          <w:p w14:paraId="7BE2F79A">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09BF6B85">
            <w:pPr>
              <w:pStyle w:val="24"/>
              <w:widowControl/>
              <w:numPr>
                <w:ilvl w:val="0"/>
                <w:numId w:val="6"/>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71513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4FB1841E">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4</w:t>
            </w:r>
          </w:p>
        </w:tc>
        <w:tc>
          <w:tcPr>
            <w:tcW w:w="758" w:type="dxa"/>
            <w:vAlign w:val="center"/>
          </w:tcPr>
          <w:p w14:paraId="2F260E1E">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技术培训要求</w:t>
            </w:r>
          </w:p>
        </w:tc>
        <w:tc>
          <w:tcPr>
            <w:tcW w:w="6052" w:type="dxa"/>
            <w:vAlign w:val="center"/>
          </w:tcPr>
          <w:p w14:paraId="61F8563C">
            <w:pPr>
              <w:pStyle w:val="24"/>
              <w:keepNext w:val="0"/>
              <w:keepLines w:val="0"/>
              <w:pageBreakBefore w:val="0"/>
              <w:widowControl/>
              <w:numPr>
                <w:ilvl w:val="0"/>
                <w:numId w:val="7"/>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服务商需提供详细的培训教材和技术资料，负责对机房管理人员进行运维技术培训，以便机房管理人员在培训后能熟练地掌握设备软件及硬件维护工作，并能及时排除大部分的设备现场能应急处理的能力。其中，每年服务商都要安排UPS和空调的品牌厂家或厂家授权的服务单位，在现场对机房管理人员进行一次全面的使用培训，一年不少于一次。</w:t>
            </w:r>
          </w:p>
        </w:tc>
        <w:tc>
          <w:tcPr>
            <w:tcW w:w="763" w:type="pct"/>
            <w:vAlign w:val="center"/>
          </w:tcPr>
          <w:p w14:paraId="6466953E">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4AD3546">
            <w:pPr>
              <w:pStyle w:val="24"/>
              <w:widowControl/>
              <w:numPr>
                <w:ilvl w:val="0"/>
                <w:numId w:val="7"/>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65BBF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18BECBA1">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5</w:t>
            </w:r>
          </w:p>
        </w:tc>
        <w:tc>
          <w:tcPr>
            <w:tcW w:w="758" w:type="dxa"/>
            <w:vAlign w:val="center"/>
          </w:tcPr>
          <w:p w14:paraId="1FB6C606">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维护保障需求</w:t>
            </w:r>
          </w:p>
        </w:tc>
        <w:tc>
          <w:tcPr>
            <w:tcW w:w="6052" w:type="dxa"/>
            <w:vAlign w:val="center"/>
          </w:tcPr>
          <w:p w14:paraId="01952834">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sz w:val="21"/>
                <w:szCs w:val="21"/>
              </w:rPr>
              <w:t>★</w:t>
            </w:r>
            <w:r>
              <w:rPr>
                <w:rFonts w:hint="eastAsia" w:ascii="宋体" w:hAnsi="宋体" w:eastAsia="宋体" w:cs="宋体"/>
                <w:color w:val="000000"/>
                <w:sz w:val="21"/>
                <w:szCs w:val="21"/>
                <w:lang w:bidi="ar"/>
              </w:rPr>
              <w:t xml:space="preserve">服务期内服务商提供7*24小时故障响应，上门服务2小时内到达现场做故障排查，软硬件出问题做报修处理，修复时间视故障严重性分为一般故障8小时完成，严重故障24小时完成，重大故障48小时完成。 </w:t>
            </w:r>
          </w:p>
          <w:p w14:paraId="5924CCA3">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应在广州市设有本地化服务机构和备件库，配有专职维护维修的人员，备充足备品备件、配有广州本地车牌号的专用服务车辆。维护设备出现故障影响正常运转时，维护商应在接到用户维修请求12小时内，带足维修配件赶到现场进行维修，且必须在24小时内设备系统恢复正常工作或提供解决处理方法。</w:t>
            </w:r>
          </w:p>
          <w:p w14:paraId="3A624C90">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服务商应具备“电子与智能化工程专业承包资质”和具备空调行业“中国设备维修安装企业能力等级证书（类别等级:制冷空调A类II级和D类I级）” 来提供服务。</w:t>
            </w:r>
          </w:p>
          <w:p w14:paraId="4BCE6E54">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服务商应提供完整的售后服务计划及措施（应包含公司简介、维修人员情况、应急维修时间安排、技术保障、定期巡检保养、主要零配件价格及其它服务承诺等内容）。</w:t>
            </w:r>
          </w:p>
          <w:p w14:paraId="79EFBC7E">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sz w:val="21"/>
                <w:szCs w:val="21"/>
              </w:rPr>
              <w:t>★</w:t>
            </w:r>
            <w:r>
              <w:rPr>
                <w:rFonts w:hint="eastAsia" w:ascii="宋体" w:hAnsi="宋体" w:eastAsia="宋体" w:cs="宋体"/>
                <w:color w:val="000000"/>
                <w:sz w:val="21"/>
                <w:szCs w:val="21"/>
                <w:lang w:bidi="ar"/>
              </w:rPr>
              <w:t>非UPS和空调的设备品牌原厂家服务商的提供维护服务时，服务商需提供本项目的原厂家维护服务保证书或项目支持授权书。</w:t>
            </w:r>
          </w:p>
          <w:p w14:paraId="68E571DF">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sz w:val="21"/>
                <w:szCs w:val="21"/>
              </w:rPr>
              <w:t>★</w:t>
            </w:r>
            <w:r>
              <w:rPr>
                <w:rFonts w:hint="eastAsia" w:ascii="宋体" w:hAnsi="宋体" w:eastAsia="宋体" w:cs="宋体"/>
                <w:color w:val="000000"/>
                <w:sz w:val="21"/>
                <w:szCs w:val="21"/>
                <w:lang w:bidi="ar"/>
              </w:rPr>
              <w:t>服务商的UPS和空调服务人员需经原厂家技术培训，并能提供有原厂家的服务技术认证的证书或服务授证书，人员数量不少于3名。需提供7*24小时应急响应，2小时间到场的服务，一年提供4次维护保养服务。</w:t>
            </w:r>
          </w:p>
          <w:p w14:paraId="249BDB4E">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sz w:val="21"/>
                <w:szCs w:val="21"/>
              </w:rPr>
              <w:t>★若涉及UPS、精密空调、强电配电柜等关键设备的更换，其维保费用应依据该设备</w:t>
            </w:r>
            <w:r>
              <w:rPr>
                <w:rFonts w:hint="eastAsia" w:ascii="宋体" w:hAnsi="宋体" w:eastAsia="宋体" w:cs="宋体"/>
                <w:b/>
                <w:bCs/>
                <w:sz w:val="21"/>
                <w:szCs w:val="21"/>
              </w:rPr>
              <w:t>实际享受维保服务的时长</w:t>
            </w:r>
            <w:r>
              <w:rPr>
                <w:rFonts w:hint="eastAsia" w:ascii="宋体" w:hAnsi="宋体" w:eastAsia="宋体" w:cs="宋体"/>
                <w:sz w:val="21"/>
                <w:szCs w:val="21"/>
              </w:rPr>
              <w:t>进行核算与结算。</w:t>
            </w:r>
            <w:r>
              <w:rPr>
                <w:rFonts w:hint="eastAsia" w:ascii="宋体" w:hAnsi="宋体" w:eastAsia="宋体" w:cs="宋体"/>
                <w:color w:val="000000"/>
                <w:sz w:val="21"/>
                <w:szCs w:val="21"/>
                <w:lang w:bidi="ar"/>
              </w:rPr>
              <w:t xml:space="preserve"> </w:t>
            </w:r>
          </w:p>
          <w:p w14:paraId="7646C4C7">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sz w:val="21"/>
                <w:szCs w:val="21"/>
                <w:lang w:bidi="ar"/>
              </w:rPr>
              <w:t>服务商在本项目中标后设立广州自有备件库</w:t>
            </w:r>
            <w:r>
              <w:rPr>
                <w:rFonts w:hint="eastAsia" w:ascii="宋体" w:hAnsi="宋体" w:eastAsia="宋体" w:cs="宋体"/>
                <w:color w:val="000000"/>
                <w:sz w:val="21"/>
                <w:szCs w:val="21"/>
                <w:lang w:bidi="ar"/>
              </w:rPr>
              <w:t>（不小于15㎡，需提供地址及图片），按设备的维护保养服务要求，为项目提供设备维修维护和应急时所需的设备配件和消耗品（不含UPS电容电池），重要设备备件响应到位时间为4小时内。</w:t>
            </w:r>
          </w:p>
          <w:p w14:paraId="44C17F2F">
            <w:pPr>
              <w:pStyle w:val="24"/>
              <w:keepNext w:val="0"/>
              <w:keepLines w:val="0"/>
              <w:pageBreakBefore w:val="0"/>
              <w:widowControl/>
              <w:numPr>
                <w:ilvl w:val="0"/>
                <w:numId w:val="8"/>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服务商存放部分普通耗材备件至项目现场，以进一步提高服务响应的及时性，具体的维护保障备件清单见附表3。</w:t>
            </w:r>
          </w:p>
        </w:tc>
        <w:tc>
          <w:tcPr>
            <w:tcW w:w="763" w:type="pct"/>
            <w:vAlign w:val="center"/>
          </w:tcPr>
          <w:p w14:paraId="2D63B985">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6439DCA0">
            <w:pPr>
              <w:pStyle w:val="24"/>
              <w:widowControl/>
              <w:numPr>
                <w:ilvl w:val="0"/>
                <w:numId w:val="8"/>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35073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2FC78B6D">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6</w:t>
            </w:r>
          </w:p>
        </w:tc>
        <w:tc>
          <w:tcPr>
            <w:tcW w:w="758" w:type="dxa"/>
            <w:vAlign w:val="center"/>
          </w:tcPr>
          <w:p w14:paraId="627646D3">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维护团队要求</w:t>
            </w:r>
          </w:p>
        </w:tc>
        <w:tc>
          <w:tcPr>
            <w:tcW w:w="6052" w:type="dxa"/>
            <w:vAlign w:val="center"/>
          </w:tcPr>
          <w:p w14:paraId="14D7E915">
            <w:pPr>
              <w:pStyle w:val="24"/>
              <w:keepNext w:val="0"/>
              <w:keepLines w:val="0"/>
              <w:pageBreakBefore w:val="0"/>
              <w:widowControl/>
              <w:numPr>
                <w:ilvl w:val="0"/>
                <w:numId w:val="9"/>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服务商须指派项目管理负责人协调与维护服务相关的事宜，提供（7×24 小时，含节假日）有效的支持服务电话。</w:t>
            </w:r>
          </w:p>
          <w:p w14:paraId="3EA5A448">
            <w:pPr>
              <w:pStyle w:val="24"/>
              <w:keepNext w:val="0"/>
              <w:keepLines w:val="0"/>
              <w:pageBreakBefore w:val="0"/>
              <w:widowControl/>
              <w:numPr>
                <w:ilvl w:val="0"/>
                <w:numId w:val="9"/>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维护服务人员需具备相关资质证明，其中UPS和配电维护人员需具备中华人民共和国特种作业操作证（操作项目：低压电工作业），空调维护服人员需具备中华人民共和国特种作业操作证（操作项目：制冷与空调设备运行操作作业）。</w:t>
            </w:r>
          </w:p>
          <w:p w14:paraId="0D620318">
            <w:pPr>
              <w:pStyle w:val="24"/>
              <w:keepNext w:val="0"/>
              <w:keepLines w:val="0"/>
              <w:pageBreakBefore w:val="0"/>
              <w:widowControl/>
              <w:numPr>
                <w:ilvl w:val="0"/>
                <w:numId w:val="9"/>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其它服务人员需有五年以上IT机房维护经验（UPS、精密空调配电系统的维护经验），所有服务人员（厂家服务人员除外）需提交相关资质证明资料。</w:t>
            </w:r>
          </w:p>
        </w:tc>
        <w:tc>
          <w:tcPr>
            <w:tcW w:w="763" w:type="pct"/>
            <w:vAlign w:val="center"/>
          </w:tcPr>
          <w:p w14:paraId="338DB3BA">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4664629C">
            <w:pPr>
              <w:pStyle w:val="24"/>
              <w:widowControl/>
              <w:numPr>
                <w:ilvl w:val="0"/>
                <w:numId w:val="10"/>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19594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4339AC2A">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7</w:t>
            </w:r>
          </w:p>
        </w:tc>
        <w:tc>
          <w:tcPr>
            <w:tcW w:w="758" w:type="dxa"/>
            <w:vAlign w:val="center"/>
          </w:tcPr>
          <w:p w14:paraId="2BDB8CC1">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UPS 维护要求</w:t>
            </w:r>
          </w:p>
        </w:tc>
        <w:tc>
          <w:tcPr>
            <w:tcW w:w="6052" w:type="dxa"/>
            <w:vAlign w:val="center"/>
          </w:tcPr>
          <w:p w14:paraId="3435C7EF">
            <w:pPr>
              <w:pStyle w:val="24"/>
              <w:keepNext w:val="0"/>
              <w:keepLines w:val="0"/>
              <w:pageBreakBefore w:val="0"/>
              <w:widowControl/>
              <w:numPr>
                <w:ilvl w:val="0"/>
                <w:numId w:val="10"/>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设备品牌原厂家提供 7×24小时故障应急响应和维护服务，免费提供所需的所有配件和消耗品（不含UPS电容电池）。</w:t>
            </w:r>
          </w:p>
          <w:p w14:paraId="20A53BE2">
            <w:pPr>
              <w:pStyle w:val="24"/>
              <w:keepNext w:val="0"/>
              <w:keepLines w:val="0"/>
              <w:pageBreakBefore w:val="0"/>
              <w:widowControl/>
              <w:numPr>
                <w:ilvl w:val="0"/>
                <w:numId w:val="10"/>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设备品牌原厂家应建有备件库，为项目提供设备维护和应急时所需的设备、配件和消耗品，并确保备件随时可用。</w:t>
            </w:r>
          </w:p>
          <w:p w14:paraId="79DB406A">
            <w:pPr>
              <w:pStyle w:val="24"/>
              <w:keepNext w:val="0"/>
              <w:keepLines w:val="0"/>
              <w:pageBreakBefore w:val="0"/>
              <w:widowControl/>
              <w:numPr>
                <w:ilvl w:val="0"/>
                <w:numId w:val="10"/>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所供备件必须为原厂家或原厂家认可的正品。</w:t>
            </w:r>
          </w:p>
        </w:tc>
        <w:tc>
          <w:tcPr>
            <w:tcW w:w="763" w:type="pct"/>
            <w:vAlign w:val="center"/>
          </w:tcPr>
          <w:p w14:paraId="27E533A4">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B74048D">
            <w:pPr>
              <w:pStyle w:val="24"/>
              <w:widowControl/>
              <w:numPr>
                <w:ilvl w:val="0"/>
                <w:numId w:val="11"/>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027A1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53C67892">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8</w:t>
            </w:r>
          </w:p>
        </w:tc>
        <w:tc>
          <w:tcPr>
            <w:tcW w:w="758" w:type="dxa"/>
            <w:vAlign w:val="center"/>
          </w:tcPr>
          <w:p w14:paraId="155E27D2">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空调维护要求</w:t>
            </w:r>
          </w:p>
        </w:tc>
        <w:tc>
          <w:tcPr>
            <w:tcW w:w="6052" w:type="dxa"/>
            <w:vAlign w:val="center"/>
          </w:tcPr>
          <w:p w14:paraId="43DBD54A">
            <w:pPr>
              <w:pStyle w:val="24"/>
              <w:keepNext w:val="0"/>
              <w:keepLines w:val="0"/>
              <w:pageBreakBefore w:val="0"/>
              <w:widowControl/>
              <w:numPr>
                <w:ilvl w:val="0"/>
                <w:numId w:val="11"/>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设备品牌原厂家提供 7×24小时故障应急响应和维护服务，免费提供所需的所有配件和消耗品。</w:t>
            </w:r>
          </w:p>
          <w:p w14:paraId="3EF11D16">
            <w:pPr>
              <w:pStyle w:val="24"/>
              <w:keepNext w:val="0"/>
              <w:keepLines w:val="0"/>
              <w:pageBreakBefore w:val="0"/>
              <w:widowControl/>
              <w:numPr>
                <w:ilvl w:val="0"/>
                <w:numId w:val="11"/>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服务商需在建有备件库内应存放部分项目的精密空调备件，以进一步提高服务响应的及时性，备件设备响应到位时间为4小时内。</w:t>
            </w:r>
          </w:p>
          <w:p w14:paraId="5F640104">
            <w:pPr>
              <w:pStyle w:val="24"/>
              <w:keepNext w:val="0"/>
              <w:keepLines w:val="0"/>
              <w:pageBreakBefore w:val="0"/>
              <w:widowControl/>
              <w:numPr>
                <w:ilvl w:val="0"/>
                <w:numId w:val="11"/>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所供备件必须为原厂家或原厂家认可的正品。</w:t>
            </w:r>
          </w:p>
        </w:tc>
        <w:tc>
          <w:tcPr>
            <w:tcW w:w="763" w:type="pct"/>
            <w:vAlign w:val="center"/>
          </w:tcPr>
          <w:p w14:paraId="20534FC6">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F10C6E4">
            <w:pPr>
              <w:pStyle w:val="24"/>
              <w:widowControl/>
              <w:numPr>
                <w:ilvl w:val="0"/>
                <w:numId w:val="12"/>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761E8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5AC4FA6F">
            <w:pPr>
              <w:spacing w:after="156"/>
              <w:jc w:val="left"/>
              <w:textAlignment w:val="center"/>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9</w:t>
            </w:r>
          </w:p>
        </w:tc>
        <w:tc>
          <w:tcPr>
            <w:tcW w:w="758" w:type="dxa"/>
            <w:vAlign w:val="center"/>
          </w:tcPr>
          <w:p w14:paraId="7FD8C89E">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巡检要求</w:t>
            </w:r>
          </w:p>
        </w:tc>
        <w:tc>
          <w:tcPr>
            <w:tcW w:w="6052" w:type="dxa"/>
            <w:vAlign w:val="center"/>
          </w:tcPr>
          <w:p w14:paraId="7AAD7A81">
            <w:pPr>
              <w:pStyle w:val="24"/>
              <w:keepNext w:val="0"/>
              <w:keepLines w:val="0"/>
              <w:pageBreakBefore w:val="0"/>
              <w:widowControl/>
              <w:numPr>
                <w:ilvl w:val="0"/>
                <w:numId w:val="12"/>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针对维保设备和系统提供每月定期巡查服务，每年4次季度巡检服务，根据巡检结果对故障处理和系统优化；</w:t>
            </w:r>
          </w:p>
          <w:p w14:paraId="552E6BA5">
            <w:pPr>
              <w:pStyle w:val="24"/>
              <w:keepNext w:val="0"/>
              <w:keepLines w:val="0"/>
              <w:pageBreakBefore w:val="0"/>
              <w:widowControl/>
              <w:numPr>
                <w:ilvl w:val="0"/>
                <w:numId w:val="12"/>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月度巡查、季度巡检，完成后5个工作日内提供书面报告；</w:t>
            </w:r>
          </w:p>
          <w:p w14:paraId="240752D2">
            <w:pPr>
              <w:pStyle w:val="24"/>
              <w:keepNext w:val="0"/>
              <w:keepLines w:val="0"/>
              <w:pageBreakBefore w:val="0"/>
              <w:widowControl/>
              <w:numPr>
                <w:ilvl w:val="0"/>
                <w:numId w:val="12"/>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年度服务完成后，提供详细的年度总结报告。</w:t>
            </w:r>
          </w:p>
        </w:tc>
        <w:tc>
          <w:tcPr>
            <w:tcW w:w="763" w:type="pct"/>
            <w:vAlign w:val="center"/>
          </w:tcPr>
          <w:p w14:paraId="39153212">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137E0C32">
            <w:pPr>
              <w:pStyle w:val="24"/>
              <w:widowControl/>
              <w:numPr>
                <w:ilvl w:val="0"/>
                <w:numId w:val="13"/>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23EB5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41DD65C0">
            <w:pPr>
              <w:spacing w:after="156"/>
              <w:jc w:val="left"/>
              <w:textAlignment w:val="center"/>
              <w:rPr>
                <w:rFonts w:hint="default"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10</w:t>
            </w:r>
          </w:p>
        </w:tc>
        <w:tc>
          <w:tcPr>
            <w:tcW w:w="758" w:type="dxa"/>
            <w:vAlign w:val="center"/>
          </w:tcPr>
          <w:p w14:paraId="46A6EA4D">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备件要求</w:t>
            </w:r>
          </w:p>
        </w:tc>
        <w:tc>
          <w:tcPr>
            <w:tcW w:w="6052" w:type="dxa"/>
            <w:vAlign w:val="center"/>
          </w:tcPr>
          <w:p w14:paraId="7B47B074">
            <w:pPr>
              <w:pStyle w:val="24"/>
              <w:keepNext w:val="0"/>
              <w:keepLines w:val="0"/>
              <w:pageBreakBefore w:val="0"/>
              <w:widowControl/>
              <w:numPr>
                <w:ilvl w:val="0"/>
                <w:numId w:val="13"/>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服务商需根据我司提出的重要生产设备的关键部件清单预存备件。</w:t>
            </w:r>
          </w:p>
          <w:p w14:paraId="6DD21977">
            <w:pPr>
              <w:pStyle w:val="24"/>
              <w:keepNext w:val="0"/>
              <w:keepLines w:val="0"/>
              <w:pageBreakBefore w:val="0"/>
              <w:widowControl/>
              <w:numPr>
                <w:ilvl w:val="0"/>
                <w:numId w:val="13"/>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服务商所供备件必须通过正当渠道采购，为原厂或原厂家认可正品。</w:t>
            </w:r>
          </w:p>
          <w:p w14:paraId="12ACE95F">
            <w:pPr>
              <w:pStyle w:val="24"/>
              <w:keepNext w:val="0"/>
              <w:keepLines w:val="0"/>
              <w:pageBreakBefore w:val="0"/>
              <w:widowControl/>
              <w:numPr>
                <w:ilvl w:val="0"/>
                <w:numId w:val="13"/>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如故障设备在8小时内不能修复，且严重影响业务运行，服务商在故障确认后12小时内向我司免费提供应急设备。</w:t>
            </w:r>
          </w:p>
        </w:tc>
        <w:tc>
          <w:tcPr>
            <w:tcW w:w="763" w:type="pct"/>
            <w:vAlign w:val="center"/>
          </w:tcPr>
          <w:p w14:paraId="1913E73D">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3572A370">
            <w:pPr>
              <w:pStyle w:val="24"/>
              <w:widowControl/>
              <w:numPr>
                <w:ilvl w:val="0"/>
                <w:numId w:val="13"/>
              </w:numPr>
              <w:spacing w:after="0" w:line="240" w:lineRule="auto"/>
              <w:contextualSpacing w:val="0"/>
              <w:textAlignment w:val="center"/>
              <w:rPr>
                <w:rFonts w:hint="eastAsia" w:ascii="宋体" w:hAnsi="宋体" w:eastAsia="宋体" w:cs="宋体"/>
                <w:color w:val="auto"/>
                <w:sz w:val="21"/>
                <w:szCs w:val="21"/>
                <w:highlight w:val="none"/>
                <w:lang w:bidi="ar"/>
              </w:rPr>
            </w:pPr>
          </w:p>
        </w:tc>
      </w:tr>
      <w:tr w14:paraId="21D35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vAlign w:val="center"/>
          </w:tcPr>
          <w:p w14:paraId="51099C0A">
            <w:pPr>
              <w:spacing w:after="156"/>
              <w:jc w:val="left"/>
              <w:textAlignment w:val="center"/>
              <w:rPr>
                <w:rFonts w:hint="default"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11</w:t>
            </w:r>
          </w:p>
        </w:tc>
        <w:tc>
          <w:tcPr>
            <w:tcW w:w="758" w:type="dxa"/>
            <w:vAlign w:val="center"/>
          </w:tcPr>
          <w:p w14:paraId="2CB19D4A">
            <w:pPr>
              <w:spacing w:after="120"/>
              <w:jc w:val="left"/>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文档要求</w:t>
            </w:r>
          </w:p>
        </w:tc>
        <w:tc>
          <w:tcPr>
            <w:tcW w:w="6052" w:type="dxa"/>
            <w:vAlign w:val="center"/>
          </w:tcPr>
          <w:p w14:paraId="6F2E17EF">
            <w:pPr>
              <w:pStyle w:val="24"/>
              <w:keepNext w:val="0"/>
              <w:keepLines w:val="0"/>
              <w:pageBreakBefore w:val="0"/>
              <w:widowControl/>
              <w:numPr>
                <w:ilvl w:val="0"/>
                <w:numId w:val="14"/>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《故障应急处理报告》，内容包括：故障设备、故障报障和响应记录、故障现象、故障处理过程、故障处理结果。</w:t>
            </w:r>
          </w:p>
          <w:p w14:paraId="162E3ACC">
            <w:pPr>
              <w:pStyle w:val="24"/>
              <w:keepNext w:val="0"/>
              <w:keepLines w:val="0"/>
              <w:pageBreakBefore w:val="0"/>
              <w:widowControl/>
              <w:numPr>
                <w:ilvl w:val="0"/>
                <w:numId w:val="14"/>
              </w:numPr>
              <w:kinsoku/>
              <w:wordWrap/>
              <w:overflowPunct/>
              <w:topLinePunct w:val="0"/>
              <w:autoSpaceDE/>
              <w:autoSpaceDN/>
              <w:bidi w:val="0"/>
              <w:adjustRightInd/>
              <w:snapToGrid/>
              <w:spacing w:after="0" w:line="240" w:lineRule="auto"/>
              <w:ind w:left="0" w:firstLine="0" w:firstLineChars="0"/>
              <w:contextualSpacing w:val="0"/>
              <w:textAlignment w:val="center"/>
              <w:rPr>
                <w:rFonts w:hint="eastAsia" w:ascii="宋体" w:hAnsi="宋体" w:eastAsia="宋体" w:cs="宋体"/>
                <w:color w:val="000000"/>
                <w:sz w:val="21"/>
                <w:szCs w:val="21"/>
                <w:lang w:bidi="ar"/>
              </w:rPr>
            </w:pPr>
            <w:r>
              <w:rPr>
                <w:rFonts w:hint="eastAsia" w:ascii="宋体" w:hAnsi="宋体" w:eastAsia="宋体" w:cs="宋体"/>
                <w:color w:val="000000"/>
                <w:sz w:val="21"/>
                <w:szCs w:val="21"/>
                <w:lang w:bidi="ar"/>
              </w:rPr>
              <w:t>《故障分析报告》，内容包括：故障设备、故障发生时间、故障现象、故障原因分析、故障解决方案、故障预防措施。</w:t>
            </w:r>
          </w:p>
          <w:p w14:paraId="35054593">
            <w:pPr>
              <w:pStyle w:val="24"/>
              <w:keepNext w:val="0"/>
              <w:keepLines w:val="0"/>
              <w:pageBreakBefore w:val="0"/>
              <w:widowControl/>
              <w:numPr>
                <w:ilvl w:val="0"/>
                <w:numId w:val="14"/>
              </w:numPr>
              <w:kinsoku/>
              <w:wordWrap/>
              <w:overflowPunct/>
              <w:topLinePunct w:val="0"/>
              <w:autoSpaceDE/>
              <w:autoSpaceDN/>
              <w:bidi w:val="0"/>
              <w:adjustRightInd/>
              <w:snapToGrid/>
              <w:spacing w:after="0" w:line="240" w:lineRule="auto"/>
              <w:ind w:left="0" w:leftChars="0" w:firstLine="0" w:firstLineChars="0"/>
              <w:contextualSpacing w:val="0"/>
              <w:textAlignment w:val="center"/>
              <w:rPr>
                <w:rFonts w:hint="eastAsia" w:ascii="宋体" w:hAnsi="宋体" w:eastAsia="宋体" w:cs="宋体"/>
                <w:color w:val="auto"/>
                <w:sz w:val="21"/>
                <w:szCs w:val="21"/>
                <w:highlight w:val="none"/>
                <w:lang w:bidi="ar"/>
              </w:rPr>
            </w:pPr>
            <w:r>
              <w:rPr>
                <w:rFonts w:hint="eastAsia" w:ascii="宋体" w:hAnsi="宋体" w:eastAsia="宋体" w:cs="宋体"/>
                <w:color w:val="000000"/>
                <w:sz w:val="21"/>
                <w:szCs w:val="21"/>
                <w:lang w:bidi="ar"/>
              </w:rPr>
              <w:t>《维护保修服务技术档案》，内容包括：维保设备信息、故障时间、报告人员、故障类型、故障原因、维护方法、维护质量、预防措施、维护时间和维护人员、提交件等信息。</w:t>
            </w:r>
          </w:p>
        </w:tc>
        <w:tc>
          <w:tcPr>
            <w:tcW w:w="763" w:type="pct"/>
            <w:vAlign w:val="center"/>
          </w:tcPr>
          <w:p w14:paraId="7961450C">
            <w:pPr>
              <w:pStyle w:val="24"/>
              <w:keepNext w:val="0"/>
              <w:keepLines w:val="0"/>
              <w:pageBreakBefore w:val="0"/>
              <w:widowControl/>
              <w:numPr>
                <w:ilvl w:val="0"/>
                <w:numId w:val="0"/>
              </w:numPr>
              <w:kinsoku/>
              <w:wordWrap/>
              <w:overflowPunct/>
              <w:topLinePunct w:val="0"/>
              <w:autoSpaceDE/>
              <w:autoSpaceDN/>
              <w:bidi w:val="0"/>
              <w:adjustRightInd/>
              <w:snapToGrid/>
              <w:spacing w:after="0" w:line="240" w:lineRule="auto"/>
              <w:ind w:leftChars="0"/>
              <w:contextualSpacing w:val="0"/>
              <w:jc w:val="both"/>
              <w:textAlignment w:val="center"/>
              <w:rPr>
                <w:rFonts w:hint="eastAsia" w:ascii="宋体" w:hAnsi="宋体" w:eastAsia="宋体" w:cs="宋体"/>
                <w:color w:val="auto"/>
                <w:sz w:val="21"/>
                <w:szCs w:val="21"/>
                <w:highlight w:val="none"/>
                <w:lang w:bidi="ar"/>
              </w:rPr>
            </w:pPr>
          </w:p>
        </w:tc>
        <w:tc>
          <w:tcPr>
            <w:tcW w:w="502" w:type="pct"/>
            <w:vAlign w:val="center"/>
          </w:tcPr>
          <w:p w14:paraId="3C885E6F">
            <w:pPr>
              <w:pStyle w:val="24"/>
              <w:widowControl/>
              <w:numPr>
                <w:ilvl w:val="0"/>
                <w:numId w:val="13"/>
              </w:numPr>
              <w:spacing w:after="0" w:line="240" w:lineRule="auto"/>
              <w:contextualSpacing w:val="0"/>
              <w:textAlignment w:val="center"/>
              <w:rPr>
                <w:rFonts w:hint="eastAsia" w:ascii="宋体" w:hAnsi="宋体" w:eastAsia="宋体" w:cs="宋体"/>
                <w:color w:val="auto"/>
                <w:sz w:val="21"/>
                <w:szCs w:val="21"/>
                <w:highlight w:val="none"/>
                <w:lang w:bidi="ar"/>
              </w:rPr>
            </w:pPr>
          </w:p>
        </w:tc>
      </w:tr>
    </w:tbl>
    <w:p w14:paraId="2B165B07">
      <w:pPr>
        <w:spacing w:after="209" w:afterLines="67"/>
        <w:rPr>
          <w:rFonts w:asciiTheme="minorEastAsia" w:hAnsiTheme="minorEastAsia" w:cstheme="minorEastAsia"/>
          <w:sz w:val="24"/>
          <w:szCs w:val="24"/>
        </w:rPr>
      </w:pPr>
      <w:bookmarkStart w:id="1" w:name="_GoBack"/>
      <w:bookmarkEnd w:id="1"/>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09354303"/>
    </w:sdtPr>
    <w:sdtEndPr>
      <w:rPr>
        <w:rFonts w:asciiTheme="minorEastAsia" w:hAnsiTheme="minorEastAsia"/>
        <w:sz w:val="24"/>
        <w:szCs w:val="24"/>
      </w:rPr>
    </w:sdtEndPr>
    <w:sdtContent>
      <w:p w14:paraId="06A2B8FC">
        <w:pPr>
          <w:pStyle w:val="9"/>
          <w:jc w:val="center"/>
          <w:rPr>
            <w:rFonts w:asciiTheme="minorEastAsia" w:hAnsiTheme="minorEastAsia"/>
            <w:sz w:val="24"/>
            <w:szCs w:val="24"/>
          </w:rPr>
        </w:pPr>
        <w:r>
          <w:rPr>
            <w:rFonts w:asciiTheme="minorEastAsia" w:hAnsiTheme="minorEastAsia"/>
            <w:sz w:val="24"/>
            <w:szCs w:val="24"/>
          </w:rPr>
          <w:fldChar w:fldCharType="begin"/>
        </w:r>
        <w:r>
          <w:rPr>
            <w:rFonts w:asciiTheme="minorEastAsia" w:hAnsiTheme="minorEastAsia"/>
            <w:sz w:val="24"/>
            <w:szCs w:val="24"/>
          </w:rPr>
          <w:instrText xml:space="preserve">PAGE   \* MERGEFORMAT</w:instrText>
        </w:r>
        <w:r>
          <w:rPr>
            <w:rFonts w:asciiTheme="minorEastAsia" w:hAnsiTheme="minorEastAsia"/>
            <w:sz w:val="24"/>
            <w:szCs w:val="24"/>
          </w:rPr>
          <w:fldChar w:fldCharType="separate"/>
        </w:r>
        <w:r>
          <w:rPr>
            <w:rFonts w:asciiTheme="minorEastAsia" w:hAnsiTheme="minorEastAsia"/>
            <w:sz w:val="24"/>
            <w:szCs w:val="24"/>
            <w:lang w:val="zh-CN"/>
          </w:rPr>
          <w:t>2</w:t>
        </w:r>
        <w:r>
          <w:rPr>
            <w:rFonts w:asciiTheme="minorEastAsia" w:hAnsiTheme="minorEastAsia"/>
            <w:sz w:val="24"/>
            <w:szCs w:val="24"/>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7E4C18"/>
    <w:multiLevelType w:val="singleLevel"/>
    <w:tmpl w:val="9A7E4C18"/>
    <w:lvl w:ilvl="0" w:tentative="0">
      <w:start w:val="1"/>
      <w:numFmt w:val="decimal"/>
      <w:lvlText w:val="%1."/>
      <w:lvlJc w:val="left"/>
      <w:pPr>
        <w:ind w:left="425" w:hanging="425"/>
      </w:pPr>
      <w:rPr>
        <w:rFonts w:hint="default"/>
      </w:rPr>
    </w:lvl>
  </w:abstractNum>
  <w:abstractNum w:abstractNumId="1">
    <w:nsid w:val="01AC5135"/>
    <w:multiLevelType w:val="multilevel"/>
    <w:tmpl w:val="01AC513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
    <w:nsid w:val="1A0E43EA"/>
    <w:multiLevelType w:val="multilevel"/>
    <w:tmpl w:val="1A0E43E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26007FCA"/>
    <w:multiLevelType w:val="multilevel"/>
    <w:tmpl w:val="26007FCA"/>
    <w:lvl w:ilvl="0" w:tentative="0">
      <w:start w:val="1"/>
      <w:numFmt w:val="chineseCountingThousand"/>
      <w:pStyle w:val="2"/>
      <w:lvlText w:val="%1、"/>
      <w:lvlJc w:val="left"/>
      <w:pPr>
        <w:tabs>
          <w:tab w:val="left" w:pos="432"/>
        </w:tabs>
        <w:ind w:left="432" w:hanging="432"/>
      </w:pPr>
      <w:rPr>
        <w:rFonts w:hint="eastAsia"/>
      </w:rPr>
    </w:lvl>
    <w:lvl w:ilvl="1" w:tentative="0">
      <w:start w:val="1"/>
      <w:numFmt w:val="decimal"/>
      <w:lvlText w:val="3.%2"/>
      <w:lvlJc w:val="left"/>
      <w:pPr>
        <w:tabs>
          <w:tab w:val="left" w:pos="576"/>
        </w:tabs>
        <w:ind w:left="576" w:hanging="576"/>
      </w:pPr>
      <w:rPr>
        <w:rFonts w:hint="eastAsia"/>
      </w:rPr>
    </w:lvl>
    <w:lvl w:ilvl="2" w:tentative="0">
      <w:start w:val="1"/>
      <w:numFmt w:val="decimal"/>
      <w:lvlText w:val="3.5.%3 "/>
      <w:lvlJc w:val="left"/>
      <w:pPr>
        <w:tabs>
          <w:tab w:val="left" w:pos="720"/>
        </w:tabs>
        <w:ind w:left="720" w:hanging="720"/>
      </w:pPr>
      <w:rPr>
        <w:rFonts w:hint="eastAsia"/>
      </w:rPr>
    </w:lvl>
    <w:lvl w:ilvl="3" w:tentative="0">
      <w:start w:val="1"/>
      <w:numFmt w:val="decimal"/>
      <w:lvlText w:val="3.5.1.%4 "/>
      <w:lvlJc w:val="left"/>
      <w:pPr>
        <w:tabs>
          <w:tab w:val="left" w:pos="1440"/>
        </w:tabs>
        <w:ind w:left="1000" w:hanging="1000"/>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4">
    <w:nsid w:val="2BEE12A5"/>
    <w:multiLevelType w:val="multilevel"/>
    <w:tmpl w:val="2BEE12A5"/>
    <w:lvl w:ilvl="0" w:tentative="0">
      <w:start w:val="1"/>
      <w:numFmt w:val="japaneseCounting"/>
      <w:lvlText w:val="%1、"/>
      <w:lvlJc w:val="left"/>
      <w:pPr>
        <w:ind w:left="495" w:hanging="49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DD90F40"/>
    <w:multiLevelType w:val="multilevel"/>
    <w:tmpl w:val="2DD90F40"/>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6">
    <w:nsid w:val="2F9C253E"/>
    <w:multiLevelType w:val="multilevel"/>
    <w:tmpl w:val="2F9C253E"/>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7">
    <w:nsid w:val="3A5D3AC3"/>
    <w:multiLevelType w:val="multilevel"/>
    <w:tmpl w:val="3A5D3AC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8">
    <w:nsid w:val="42B258F4"/>
    <w:multiLevelType w:val="multilevel"/>
    <w:tmpl w:val="42B258F4"/>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9">
    <w:nsid w:val="49C42653"/>
    <w:multiLevelType w:val="multilevel"/>
    <w:tmpl w:val="49C42653"/>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0">
    <w:nsid w:val="49EF0800"/>
    <w:multiLevelType w:val="multilevel"/>
    <w:tmpl w:val="49EF0800"/>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1">
    <w:nsid w:val="5E3F6FBA"/>
    <w:multiLevelType w:val="multilevel"/>
    <w:tmpl w:val="5E3F6FBA"/>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2">
    <w:nsid w:val="63186C05"/>
    <w:multiLevelType w:val="multilevel"/>
    <w:tmpl w:val="63186C0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3">
    <w:nsid w:val="71B86F15"/>
    <w:multiLevelType w:val="multilevel"/>
    <w:tmpl w:val="71B86F15"/>
    <w:lvl w:ilvl="0" w:tentative="0">
      <w:start w:val="1"/>
      <w:numFmt w:val="decimal"/>
      <w:lvlText w:val="%1)"/>
      <w:lvlJc w:val="left"/>
      <w:pPr>
        <w:ind w:left="420" w:hanging="420"/>
      </w:pPr>
      <w:rPr>
        <w:rFonts w:hint="default"/>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3"/>
  </w:num>
  <w:num w:numId="2">
    <w:abstractNumId w:val="4"/>
  </w:num>
  <w:num w:numId="3">
    <w:abstractNumId w:val="0"/>
  </w:num>
  <w:num w:numId="4">
    <w:abstractNumId w:val="13"/>
  </w:num>
  <w:num w:numId="5">
    <w:abstractNumId w:val="8"/>
  </w:num>
  <w:num w:numId="6">
    <w:abstractNumId w:val="11"/>
  </w:num>
  <w:num w:numId="7">
    <w:abstractNumId w:val="6"/>
  </w:num>
  <w:num w:numId="8">
    <w:abstractNumId w:val="12"/>
  </w:num>
  <w:num w:numId="9">
    <w:abstractNumId w:val="5"/>
  </w:num>
  <w:num w:numId="10">
    <w:abstractNumId w:val="2"/>
  </w:num>
  <w:num w:numId="11">
    <w:abstractNumId w:val="9"/>
  </w:num>
  <w:num w:numId="12">
    <w:abstractNumId w:val="1"/>
  </w:num>
  <w:num w:numId="13">
    <w:abstractNumId w:val="7"/>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7"/>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dkNmU4ZTA0YjI0Zjg3NjA5OWQ4ZDUyMWVkYjZkNzIifQ=="/>
  </w:docVars>
  <w:rsids>
    <w:rsidRoot w:val="509C3417"/>
    <w:rsid w:val="000912E9"/>
    <w:rsid w:val="001B31A9"/>
    <w:rsid w:val="005E15D2"/>
    <w:rsid w:val="00687B51"/>
    <w:rsid w:val="006E3F95"/>
    <w:rsid w:val="00706D87"/>
    <w:rsid w:val="007F4EBD"/>
    <w:rsid w:val="00943FEC"/>
    <w:rsid w:val="00B419DF"/>
    <w:rsid w:val="00B71228"/>
    <w:rsid w:val="00B73413"/>
    <w:rsid w:val="00C106C7"/>
    <w:rsid w:val="00CB7498"/>
    <w:rsid w:val="00DF1D82"/>
    <w:rsid w:val="00EC18DF"/>
    <w:rsid w:val="01544C76"/>
    <w:rsid w:val="019B1834"/>
    <w:rsid w:val="02AE1145"/>
    <w:rsid w:val="036C34DA"/>
    <w:rsid w:val="03A4265D"/>
    <w:rsid w:val="04B35139"/>
    <w:rsid w:val="050A1AB6"/>
    <w:rsid w:val="069521F9"/>
    <w:rsid w:val="0730481F"/>
    <w:rsid w:val="078D3A1F"/>
    <w:rsid w:val="08601134"/>
    <w:rsid w:val="0AC97464"/>
    <w:rsid w:val="0BBA6DAD"/>
    <w:rsid w:val="0BF20AD4"/>
    <w:rsid w:val="0CEA556C"/>
    <w:rsid w:val="10CE4387"/>
    <w:rsid w:val="11A150AB"/>
    <w:rsid w:val="11EA0E33"/>
    <w:rsid w:val="123956DC"/>
    <w:rsid w:val="13C857F6"/>
    <w:rsid w:val="14B35F82"/>
    <w:rsid w:val="18491716"/>
    <w:rsid w:val="1A03020C"/>
    <w:rsid w:val="1AD47E27"/>
    <w:rsid w:val="1CCE3EDB"/>
    <w:rsid w:val="1EF65EF6"/>
    <w:rsid w:val="21FD7606"/>
    <w:rsid w:val="220420C6"/>
    <w:rsid w:val="258B383C"/>
    <w:rsid w:val="25B33FCA"/>
    <w:rsid w:val="25EE55BB"/>
    <w:rsid w:val="262730A1"/>
    <w:rsid w:val="27C63FD7"/>
    <w:rsid w:val="280A3BE6"/>
    <w:rsid w:val="2A050591"/>
    <w:rsid w:val="2BA43D81"/>
    <w:rsid w:val="2E2B5035"/>
    <w:rsid w:val="2E9322F5"/>
    <w:rsid w:val="30E12562"/>
    <w:rsid w:val="31EA74FC"/>
    <w:rsid w:val="324A4137"/>
    <w:rsid w:val="343706EB"/>
    <w:rsid w:val="34634494"/>
    <w:rsid w:val="35750372"/>
    <w:rsid w:val="35F745D6"/>
    <w:rsid w:val="360712B0"/>
    <w:rsid w:val="38B40117"/>
    <w:rsid w:val="3B52171B"/>
    <w:rsid w:val="3CAB670C"/>
    <w:rsid w:val="3FD057F7"/>
    <w:rsid w:val="402B55A8"/>
    <w:rsid w:val="426A1DB3"/>
    <w:rsid w:val="450F36EA"/>
    <w:rsid w:val="45F750AA"/>
    <w:rsid w:val="46384F0C"/>
    <w:rsid w:val="476C2E05"/>
    <w:rsid w:val="4CAC5CC3"/>
    <w:rsid w:val="4EAB089F"/>
    <w:rsid w:val="4EE243ED"/>
    <w:rsid w:val="50792C6A"/>
    <w:rsid w:val="509C3417"/>
    <w:rsid w:val="51E87E4E"/>
    <w:rsid w:val="52EE0219"/>
    <w:rsid w:val="5A4B1C58"/>
    <w:rsid w:val="5EC75FCE"/>
    <w:rsid w:val="5F660EF9"/>
    <w:rsid w:val="61FEF1DB"/>
    <w:rsid w:val="62F010AB"/>
    <w:rsid w:val="630B0E65"/>
    <w:rsid w:val="63C27722"/>
    <w:rsid w:val="640B3432"/>
    <w:rsid w:val="66FF620C"/>
    <w:rsid w:val="671609C5"/>
    <w:rsid w:val="68E83A44"/>
    <w:rsid w:val="6B590552"/>
    <w:rsid w:val="6C115677"/>
    <w:rsid w:val="6CA53D7D"/>
    <w:rsid w:val="6D185599"/>
    <w:rsid w:val="715156A2"/>
    <w:rsid w:val="76343069"/>
    <w:rsid w:val="76D94382"/>
    <w:rsid w:val="779605E4"/>
    <w:rsid w:val="77BB3365"/>
    <w:rsid w:val="7AAF67FA"/>
    <w:rsid w:val="7CB00608"/>
    <w:rsid w:val="7E6064F7"/>
    <w:rsid w:val="F7FFBC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3"/>
    <w:qFormat/>
    <w:uiPriority w:val="0"/>
    <w:pPr>
      <w:keepNext/>
      <w:keepLines/>
      <w:pageBreakBefore/>
      <w:numPr>
        <w:ilvl w:val="0"/>
        <w:numId w:val="1"/>
      </w:numPr>
      <w:spacing w:before="340" w:afterLines="50" w:line="578" w:lineRule="auto"/>
      <w:outlineLvl w:val="0"/>
    </w:pPr>
    <w:rPr>
      <w:rFonts w:eastAsia="黑体" w:cs="Times New Roman"/>
      <w:b/>
      <w:bCs/>
      <w:spacing w:val="20"/>
      <w:kern w:val="44"/>
      <w:sz w:val="36"/>
      <w:szCs w:val="44"/>
    </w:rPr>
  </w:style>
  <w:style w:type="paragraph" w:styleId="4">
    <w:name w:val="heading 2"/>
    <w:basedOn w:val="1"/>
    <w:next w:val="5"/>
    <w:unhideWhenUsed/>
    <w:qFormat/>
    <w:uiPriority w:val="9"/>
    <w:pPr>
      <w:keepNext/>
      <w:keepLines/>
      <w:spacing w:before="160" w:after="80"/>
      <w:outlineLvl w:val="1"/>
    </w:pPr>
    <w:rPr>
      <w:rFonts w:asciiTheme="majorHAnsi" w:hAnsiTheme="majorHAnsi" w:eastAsiaTheme="majorEastAsia" w:cstheme="majorBidi"/>
      <w:color w:val="2E75B6" w:themeColor="accent1" w:themeShade="BF"/>
      <w:sz w:val="32"/>
      <w:szCs w:val="32"/>
    </w:rPr>
  </w:style>
  <w:style w:type="paragraph" w:styleId="6">
    <w:name w:val="heading 3"/>
    <w:basedOn w:val="1"/>
    <w:next w:val="5"/>
    <w:unhideWhenUsed/>
    <w:qFormat/>
    <w:uiPriority w:val="9"/>
    <w:pPr>
      <w:keepNext/>
      <w:keepLines/>
      <w:spacing w:before="160" w:after="80"/>
      <w:outlineLvl w:val="2"/>
    </w:pPr>
    <w:rPr>
      <w:rFonts w:eastAsiaTheme="majorEastAsia" w:cstheme="majorBidi"/>
      <w:color w:val="2E75B6" w:themeColor="accent1" w:themeShade="BF"/>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spacing w:afterLines="50" w:line="360" w:lineRule="auto"/>
      <w:ind w:firstLine="420" w:firstLineChars="200"/>
    </w:pPr>
    <w:rPr>
      <w:rFonts w:ascii="Times New Roman" w:hAnsi="Times New Roman" w:eastAsia="宋体" w:cs="Times New Roman"/>
      <w:szCs w:val="24"/>
    </w:rPr>
  </w:style>
  <w:style w:type="paragraph" w:styleId="5">
    <w:name w:val="Body Text"/>
    <w:basedOn w:val="1"/>
    <w:qFormat/>
    <w:uiPriority w:val="99"/>
    <w:pPr>
      <w:spacing w:after="120"/>
    </w:pPr>
  </w:style>
  <w:style w:type="paragraph" w:styleId="7">
    <w:name w:val="annotation text"/>
    <w:basedOn w:val="1"/>
    <w:semiHidden/>
    <w:qFormat/>
    <w:uiPriority w:val="0"/>
    <w:pPr>
      <w:jc w:val="left"/>
    </w:pPr>
  </w:style>
  <w:style w:type="paragraph" w:styleId="8">
    <w:name w:val="Balloon Text"/>
    <w:basedOn w:val="1"/>
    <w:link w:val="19"/>
    <w:qFormat/>
    <w:uiPriority w:val="0"/>
    <w:rPr>
      <w:sz w:val="18"/>
      <w:szCs w:val="18"/>
    </w:rPr>
  </w:style>
  <w:style w:type="paragraph" w:styleId="9">
    <w:name w:val="footer"/>
    <w:basedOn w:val="1"/>
    <w:link w:val="18"/>
    <w:qFormat/>
    <w:uiPriority w:val="99"/>
    <w:pPr>
      <w:tabs>
        <w:tab w:val="center" w:pos="4153"/>
        <w:tab w:val="right" w:pos="8306"/>
      </w:tabs>
      <w:snapToGrid w:val="0"/>
      <w:jc w:val="left"/>
    </w:pPr>
    <w:rPr>
      <w:sz w:val="18"/>
      <w:szCs w:val="18"/>
    </w:rPr>
  </w:style>
  <w:style w:type="paragraph" w:styleId="10">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0"/>
    <w:pPr>
      <w:spacing w:beforeAutospacing="1" w:afterAutospacing="1"/>
      <w:jc w:val="left"/>
    </w:pPr>
    <w:rPr>
      <w:rFonts w:cs="Times New Roman"/>
      <w:kern w:val="0"/>
      <w:sz w:val="24"/>
    </w:rPr>
  </w:style>
  <w:style w:type="paragraph" w:styleId="12">
    <w:name w:val="index 1"/>
    <w:basedOn w:val="1"/>
    <w:next w:val="1"/>
    <w:unhideWhenUsed/>
    <w:qFormat/>
    <w:uiPriority w:val="99"/>
    <w:pPr>
      <w:spacing w:line="200" w:lineRule="atLeast"/>
      <w:jc w:val="center"/>
    </w:pPr>
    <w:rPr>
      <w:rFonts w:ascii="宋体" w:hAnsi="宋体"/>
    </w:rPr>
  </w:style>
  <w:style w:type="paragraph" w:styleId="13">
    <w:name w:val="Body Text First Indent"/>
    <w:basedOn w:val="5"/>
    <w:qFormat/>
    <w:uiPriority w:val="0"/>
    <w:pPr>
      <w:ind w:firstLine="420" w:firstLineChars="100"/>
    </w:pPr>
    <w:rPr>
      <w:szCs w:val="24"/>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7">
    <w:name w:val="页眉 Char"/>
    <w:basedOn w:val="16"/>
    <w:link w:val="10"/>
    <w:qFormat/>
    <w:uiPriority w:val="0"/>
    <w:rPr>
      <w:kern w:val="2"/>
      <w:sz w:val="18"/>
      <w:szCs w:val="18"/>
    </w:rPr>
  </w:style>
  <w:style w:type="character" w:customStyle="1" w:styleId="18">
    <w:name w:val="页脚 Char"/>
    <w:basedOn w:val="16"/>
    <w:link w:val="9"/>
    <w:qFormat/>
    <w:uiPriority w:val="99"/>
    <w:rPr>
      <w:kern w:val="2"/>
      <w:sz w:val="18"/>
      <w:szCs w:val="18"/>
    </w:rPr>
  </w:style>
  <w:style w:type="character" w:customStyle="1" w:styleId="19">
    <w:name w:val="批注框文本 Char"/>
    <w:basedOn w:val="16"/>
    <w:link w:val="8"/>
    <w:qFormat/>
    <w:uiPriority w:val="0"/>
    <w:rPr>
      <w:kern w:val="2"/>
      <w:sz w:val="18"/>
      <w:szCs w:val="18"/>
    </w:rPr>
  </w:style>
  <w:style w:type="character" w:customStyle="1" w:styleId="20">
    <w:name w:val="font31"/>
    <w:qFormat/>
    <w:uiPriority w:val="0"/>
    <w:rPr>
      <w:rFonts w:hint="eastAsia" w:ascii="宋体" w:hAnsi="宋体" w:eastAsia="宋体" w:cs="宋体"/>
      <w:color w:val="000000"/>
      <w:sz w:val="20"/>
      <w:szCs w:val="20"/>
      <w:u w:val="none"/>
    </w:rPr>
  </w:style>
  <w:style w:type="character" w:customStyle="1" w:styleId="21">
    <w:name w:val="font01"/>
    <w:qFormat/>
    <w:uiPriority w:val="0"/>
    <w:rPr>
      <w:rFonts w:hint="default" w:ascii="Arial" w:hAnsi="Arial" w:cs="Arial"/>
      <w:color w:val="000000"/>
      <w:sz w:val="20"/>
      <w:szCs w:val="20"/>
      <w:u w:val="none"/>
    </w:rPr>
  </w:style>
  <w:style w:type="paragraph" w:customStyle="1" w:styleId="22">
    <w:name w:val="Table Text"/>
    <w:basedOn w:val="1"/>
    <w:semiHidden/>
    <w:qFormat/>
    <w:uiPriority w:val="0"/>
    <w:rPr>
      <w:rFonts w:ascii="宋体" w:hAnsi="宋体" w:eastAsia="宋体" w:cs="宋体"/>
      <w:sz w:val="20"/>
      <w:szCs w:val="20"/>
      <w:lang w:eastAsia="en-US"/>
    </w:rPr>
  </w:style>
  <w:style w:type="table" w:customStyle="1" w:styleId="23">
    <w:name w:val="Table Normal"/>
    <w:semiHidden/>
    <w:unhideWhenUsed/>
    <w:qFormat/>
    <w:uiPriority w:val="0"/>
    <w:tblPr>
      <w:tblCellMar>
        <w:top w:w="0" w:type="dxa"/>
        <w:left w:w="0" w:type="dxa"/>
        <w:bottom w:w="0" w:type="dxa"/>
        <w:right w:w="0" w:type="dxa"/>
      </w:tblCellMar>
    </w:tblPr>
  </w:style>
  <w:style w:type="paragraph" w:styleId="24">
    <w:name w:val="List Paragraph"/>
    <w:basedOn w:val="1"/>
    <w:qFormat/>
    <w:uiPriority w:val="99"/>
    <w:pPr>
      <w:ind w:firstLine="420" w:firstLineChars="200"/>
    </w:pPr>
  </w:style>
  <w:style w:type="paragraph" w:customStyle="1" w:styleId="25">
    <w:name w:val="Table Paragraph"/>
    <w:basedOn w:val="1"/>
    <w:qFormat/>
    <w:uiPriority w:val="1"/>
    <w:pPr>
      <w:autoSpaceDE w:val="0"/>
      <w:autoSpaceDN w:val="0"/>
      <w:adjustRightInd w:val="0"/>
      <w:spacing w:line="360" w:lineRule="auto"/>
      <w:ind w:firstLine="200" w:firstLineChars="200"/>
    </w:pPr>
    <w:rPr>
      <w:rFonts w:ascii="宋体" w:hAnsi="Times New Roman" w:eastAsia="宋体" w:cs="宋体"/>
      <w:kern w:val="0"/>
      <w:sz w:val="24"/>
      <w:szCs w:val="24"/>
    </w:rPr>
  </w:style>
  <w:style w:type="paragraph" w:customStyle="1" w:styleId="26">
    <w:name w:val="First Paragraph"/>
    <w:basedOn w:val="5"/>
    <w:next w:val="5"/>
    <w:qFormat/>
    <w:uiPriority w:val="0"/>
  </w:style>
  <w:style w:type="paragraph" w:styleId="27">
    <w:name w:val="No Spacing"/>
    <w:qFormat/>
    <w:uiPriority w:val="1"/>
    <w:pPr>
      <w:widowControl w:val="0"/>
      <w:adjustRightInd w:val="0"/>
      <w:snapToGrid w:val="0"/>
      <w:spacing w:after="0" w:line="360" w:lineRule="auto"/>
    </w:pPr>
    <w:rPr>
      <w:rFonts w:ascii="Times New Roman" w:hAnsi="Times New Roman" w:eastAsia="宋体" w:cs="Times New Roman"/>
      <w:kern w:val="2"/>
      <w:sz w:val="21"/>
      <w:szCs w:val="21"/>
      <w:lang w:val="en-US" w:eastAsia="zh-CN" w:bidi="ar-SA"/>
      <w14:ligatures w14:val="standardContextua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2337</Words>
  <Characters>2377</Characters>
  <Lines>12</Lines>
  <Paragraphs>3</Paragraphs>
  <TotalTime>0</TotalTime>
  <ScaleCrop>false</ScaleCrop>
  <LinksUpToDate>false</LinksUpToDate>
  <CharactersWithSpaces>2388</CharactersWithSpaces>
  <Application>WPS Office_12.1.0.22525_F1E327BC-269C-435d-A152-05C5408002CA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2025-05-29T07:26:00Z</dcterms:created>
  <dc:creator>ZFCG</dc:creator>
  <cp:lastModifiedBy>gc</cp:lastModifiedBy>
  <dcterms:modified xsi:type="dcterms:W3CDTF">2026-05-08T12:05:22Z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2052-12.1.0.22525</vt:lpwstr>
  </property>
  <property fmtid="{D5CDD505-2E9C-101B-9397-08002B2CF9AE}" pid="3" name="ICV">
    <vt:lpwstr>6AC327FFED434BA592769BFDA256A8DE</vt:lpwstr>
  </property>
  <property fmtid="{D5CDD505-2E9C-101B-9397-08002B2CF9AE}" pid="4" name="KSOTemplateDocerSaveRecord">
    <vt:lpwstr>eyJoZGlkIjoiNzg5M2RhNDE3ZjYzZmU1MTk2Yzc0ZjQ5NWVkMGNjNmUiLCJ1c2VySWQiOiI2MjU5ODg1NTIifQ==</vt:lpwstr>
  </property>
</Properties>
</file>