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695EA">
      <w:pPr>
        <w:spacing w:after="209" w:afterLines="67"/>
        <w:rPr>
          <w:rFonts w:asciiTheme="minorEastAsia" w:hAnsiTheme="minorEastAsia" w:cstheme="minorEastAsia"/>
          <w:sz w:val="28"/>
          <w:szCs w:val="28"/>
        </w:rPr>
      </w:pPr>
      <w:r>
        <w:rPr>
          <w:rFonts w:hint="eastAsia" w:asciiTheme="minorEastAsia" w:hAnsiTheme="minorEastAsia" w:cstheme="minorEastAsia"/>
          <w:sz w:val="28"/>
          <w:szCs w:val="28"/>
        </w:rPr>
        <w:t>附件2</w:t>
      </w:r>
    </w:p>
    <w:p w14:paraId="709C000E">
      <w:pPr>
        <w:spacing w:after="209" w:afterLines="67"/>
        <w:jc w:val="center"/>
        <w:rPr>
          <w:rFonts w:hint="eastAsia" w:asciiTheme="minorEastAsia" w:hAnsiTheme="minorEastAsia" w:eastAsiaTheme="minorEastAsia" w:cstheme="minorEastAsia"/>
          <w:b/>
          <w:bCs/>
          <w:sz w:val="28"/>
          <w:szCs w:val="28"/>
          <w:lang w:eastAsia="zh-CN"/>
        </w:rPr>
      </w:pPr>
      <w:r>
        <w:rPr>
          <w:rFonts w:hint="eastAsia" w:asciiTheme="minorEastAsia" w:hAnsiTheme="minorEastAsia" w:cstheme="minorEastAsia"/>
          <w:b/>
          <w:bCs/>
          <w:sz w:val="28"/>
          <w:szCs w:val="28"/>
          <w:lang w:eastAsia="zh-CN"/>
        </w:rPr>
        <w:t>2026年人民北核心机房维保服务采购项目</w:t>
      </w:r>
    </w:p>
    <w:p w14:paraId="0147AAD5">
      <w:pPr>
        <w:spacing w:after="209" w:afterLines="67"/>
        <w:jc w:val="center"/>
        <w:rPr>
          <w:rFonts w:asciiTheme="minorEastAsia" w:hAnsiTheme="minorEastAsia" w:cstheme="minorEastAsia"/>
          <w:b/>
          <w:bCs/>
          <w:sz w:val="24"/>
          <w:szCs w:val="24"/>
        </w:rPr>
      </w:pPr>
      <w:r>
        <w:rPr>
          <w:rFonts w:hint="eastAsia" w:asciiTheme="minorEastAsia" w:hAnsiTheme="minorEastAsia" w:cstheme="minorEastAsia"/>
          <w:b/>
          <w:bCs/>
          <w:sz w:val="28"/>
          <w:szCs w:val="28"/>
        </w:rPr>
        <w:t>市场调研报价文件格式</w:t>
      </w:r>
    </w:p>
    <w:p w14:paraId="76268D06">
      <w:pPr>
        <w:pStyle w:val="24"/>
        <w:numPr>
          <w:ilvl w:val="0"/>
          <w:numId w:val="2"/>
        </w:numPr>
        <w:spacing w:after="209" w:afterLines="67"/>
        <w:ind w:firstLineChars="0"/>
        <w:rPr>
          <w:rFonts w:asciiTheme="minorEastAsia" w:hAnsiTheme="minorEastAsia" w:cstheme="minorEastAsia"/>
          <w:b/>
          <w:bCs/>
          <w:sz w:val="24"/>
          <w:szCs w:val="24"/>
        </w:rPr>
      </w:pPr>
      <w:r>
        <w:rPr>
          <w:rFonts w:hint="eastAsia" w:asciiTheme="minorEastAsia" w:hAnsiTheme="minorEastAsia" w:cstheme="minorEastAsia"/>
          <w:b/>
          <w:bCs/>
          <w:sz w:val="24"/>
          <w:szCs w:val="24"/>
        </w:rPr>
        <w:t>供应商信息登记表</w:t>
      </w:r>
    </w:p>
    <w:tbl>
      <w:tblPr>
        <w:tblStyle w:val="14"/>
        <w:tblW w:w="54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39"/>
        <w:gridCol w:w="918"/>
        <w:gridCol w:w="2221"/>
        <w:gridCol w:w="1242"/>
        <w:gridCol w:w="2328"/>
      </w:tblGrid>
      <w:tr w14:paraId="72E0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1293" w:type="pct"/>
            <w:vAlign w:val="center"/>
          </w:tcPr>
          <w:p w14:paraId="2079C3A4">
            <w:pPr>
              <w:pStyle w:val="25"/>
              <w:kinsoku w:val="0"/>
              <w:overflowPunct w:val="0"/>
              <w:spacing w:line="400" w:lineRule="exact"/>
              <w:ind w:firstLine="0" w:firstLineChars="0"/>
              <w:jc w:val="center"/>
              <w:rPr>
                <w:rFonts w:hAnsi="宋体" w:cs="仿宋"/>
              </w:rPr>
            </w:pPr>
            <w:bookmarkStart w:id="0" w:name="_Hlk199424538"/>
            <w:r>
              <w:rPr>
                <w:rFonts w:hint="eastAsia" w:hAnsi="宋体" w:cs="仿宋"/>
              </w:rPr>
              <w:t>单位名称</w:t>
            </w:r>
          </w:p>
        </w:tc>
        <w:tc>
          <w:tcPr>
            <w:tcW w:w="3706" w:type="pct"/>
            <w:gridSpan w:val="4"/>
            <w:vAlign w:val="center"/>
          </w:tcPr>
          <w:p w14:paraId="340FB6AE">
            <w:pPr>
              <w:tabs>
                <w:tab w:val="left" w:pos="202"/>
              </w:tabs>
              <w:spacing w:line="400" w:lineRule="exact"/>
              <w:jc w:val="center"/>
              <w:rPr>
                <w:rFonts w:ascii="宋体" w:hAnsi="宋体" w:eastAsia="宋体" w:cs="仿宋"/>
                <w:sz w:val="24"/>
                <w:szCs w:val="24"/>
              </w:rPr>
            </w:pPr>
          </w:p>
        </w:tc>
      </w:tr>
      <w:tr w14:paraId="33064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2" w:hRule="atLeast"/>
          <w:jc w:val="center"/>
        </w:trPr>
        <w:tc>
          <w:tcPr>
            <w:tcW w:w="1293" w:type="pct"/>
            <w:vAlign w:val="center"/>
          </w:tcPr>
          <w:p w14:paraId="0F3F2E76">
            <w:pPr>
              <w:pStyle w:val="25"/>
              <w:kinsoku w:val="0"/>
              <w:overflowPunct w:val="0"/>
              <w:spacing w:line="400" w:lineRule="exact"/>
              <w:ind w:firstLine="0" w:firstLineChars="0"/>
              <w:jc w:val="center"/>
              <w:rPr>
                <w:rFonts w:hAnsi="宋体" w:cs="仿宋"/>
              </w:rPr>
            </w:pPr>
            <w:r>
              <w:rPr>
                <w:rFonts w:hint="eastAsia" w:hAnsi="宋体" w:cs="仿宋"/>
              </w:rPr>
              <w:t>注册资金</w:t>
            </w:r>
          </w:p>
        </w:tc>
        <w:tc>
          <w:tcPr>
            <w:tcW w:w="1734" w:type="pct"/>
            <w:gridSpan w:val="2"/>
            <w:vAlign w:val="center"/>
          </w:tcPr>
          <w:p w14:paraId="30757AA0">
            <w:pPr>
              <w:spacing w:line="400" w:lineRule="exact"/>
              <w:jc w:val="center"/>
              <w:rPr>
                <w:rFonts w:ascii="宋体" w:hAnsi="宋体" w:eastAsia="宋体" w:cs="仿宋"/>
                <w:sz w:val="24"/>
                <w:szCs w:val="24"/>
              </w:rPr>
            </w:pPr>
            <w:r>
              <w:rPr>
                <w:rFonts w:hint="eastAsia" w:ascii="宋体" w:hAnsi="宋体" w:eastAsia="宋体" w:cs="仿宋"/>
                <w:sz w:val="24"/>
                <w:szCs w:val="24"/>
              </w:rPr>
              <w:t>万元</w:t>
            </w:r>
          </w:p>
        </w:tc>
        <w:tc>
          <w:tcPr>
            <w:tcW w:w="686" w:type="pct"/>
            <w:vAlign w:val="center"/>
          </w:tcPr>
          <w:p w14:paraId="7D139526">
            <w:pPr>
              <w:pStyle w:val="25"/>
              <w:kinsoku w:val="0"/>
              <w:overflowPunct w:val="0"/>
              <w:spacing w:line="400" w:lineRule="exact"/>
              <w:ind w:firstLine="0" w:firstLineChars="0"/>
              <w:jc w:val="center"/>
              <w:rPr>
                <w:rFonts w:hAnsi="宋体" w:cs="仿宋"/>
              </w:rPr>
            </w:pPr>
            <w:r>
              <w:rPr>
                <w:rFonts w:hint="eastAsia" w:hAnsi="宋体" w:cs="仿宋"/>
              </w:rPr>
              <w:t>成立时间</w:t>
            </w:r>
          </w:p>
        </w:tc>
        <w:tc>
          <w:tcPr>
            <w:tcW w:w="1285" w:type="pct"/>
            <w:vAlign w:val="center"/>
          </w:tcPr>
          <w:p w14:paraId="67BFBF77">
            <w:pPr>
              <w:spacing w:line="400" w:lineRule="exact"/>
              <w:jc w:val="center"/>
              <w:rPr>
                <w:rFonts w:ascii="宋体" w:hAnsi="宋体" w:eastAsia="宋体" w:cs="仿宋"/>
                <w:sz w:val="24"/>
                <w:szCs w:val="24"/>
              </w:rPr>
            </w:pPr>
            <w:r>
              <w:rPr>
                <w:rFonts w:hint="eastAsia" w:ascii="宋体" w:hAnsi="宋体" w:eastAsia="宋体" w:cs="仿宋"/>
                <w:sz w:val="24"/>
                <w:szCs w:val="24"/>
              </w:rPr>
              <w:t>年</w:t>
            </w:r>
            <w:r>
              <w:rPr>
                <w:rFonts w:ascii="宋体" w:hAnsi="宋体" w:eastAsia="宋体" w:cs="仿宋"/>
                <w:sz w:val="24"/>
                <w:szCs w:val="24"/>
              </w:rPr>
              <w:t xml:space="preserve">   </w:t>
            </w:r>
            <w:r>
              <w:rPr>
                <w:rFonts w:hint="eastAsia" w:ascii="宋体" w:hAnsi="宋体" w:eastAsia="宋体" w:cs="仿宋"/>
                <w:sz w:val="24"/>
                <w:szCs w:val="24"/>
              </w:rPr>
              <w:t>月</w:t>
            </w:r>
            <w:r>
              <w:rPr>
                <w:rFonts w:ascii="宋体" w:hAnsi="宋体" w:eastAsia="宋体" w:cs="仿宋"/>
                <w:sz w:val="24"/>
                <w:szCs w:val="24"/>
              </w:rPr>
              <w:t xml:space="preserve">  </w:t>
            </w:r>
            <w:r>
              <w:rPr>
                <w:rFonts w:hint="eastAsia" w:ascii="宋体" w:hAnsi="宋体" w:eastAsia="宋体" w:cs="仿宋"/>
                <w:sz w:val="24"/>
                <w:szCs w:val="24"/>
              </w:rPr>
              <w:t>日</w:t>
            </w:r>
          </w:p>
        </w:tc>
      </w:tr>
      <w:tr w14:paraId="39F9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5" w:hRule="atLeast"/>
          <w:jc w:val="center"/>
        </w:trPr>
        <w:tc>
          <w:tcPr>
            <w:tcW w:w="1293" w:type="pct"/>
            <w:vAlign w:val="center"/>
          </w:tcPr>
          <w:p w14:paraId="623F03E0">
            <w:pPr>
              <w:pStyle w:val="25"/>
              <w:kinsoku w:val="0"/>
              <w:overflowPunct w:val="0"/>
              <w:spacing w:line="400" w:lineRule="exact"/>
              <w:ind w:firstLine="0" w:firstLineChars="0"/>
              <w:jc w:val="center"/>
              <w:rPr>
                <w:rFonts w:hAnsi="宋体" w:cs="仿宋"/>
              </w:rPr>
            </w:pPr>
            <w:r>
              <w:rPr>
                <w:rFonts w:hint="eastAsia" w:hAnsi="宋体" w:cs="仿宋"/>
              </w:rPr>
              <w:t>注册地址</w:t>
            </w:r>
          </w:p>
        </w:tc>
        <w:tc>
          <w:tcPr>
            <w:tcW w:w="3706" w:type="pct"/>
            <w:gridSpan w:val="4"/>
            <w:vAlign w:val="center"/>
          </w:tcPr>
          <w:p w14:paraId="31E0A9D8">
            <w:pPr>
              <w:spacing w:line="400" w:lineRule="exact"/>
              <w:rPr>
                <w:rFonts w:ascii="宋体" w:hAnsi="宋体" w:eastAsia="宋体" w:cs="仿宋"/>
                <w:sz w:val="24"/>
                <w:szCs w:val="24"/>
              </w:rPr>
            </w:pPr>
          </w:p>
        </w:tc>
      </w:tr>
      <w:tr w14:paraId="2615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9" w:hRule="atLeast"/>
          <w:jc w:val="center"/>
        </w:trPr>
        <w:tc>
          <w:tcPr>
            <w:tcW w:w="1293" w:type="pct"/>
            <w:vAlign w:val="center"/>
          </w:tcPr>
          <w:p w14:paraId="7157BDD5">
            <w:pPr>
              <w:pStyle w:val="25"/>
              <w:kinsoku w:val="0"/>
              <w:overflowPunct w:val="0"/>
              <w:spacing w:line="400" w:lineRule="exact"/>
              <w:ind w:firstLine="0" w:firstLineChars="0"/>
              <w:jc w:val="center"/>
              <w:rPr>
                <w:rFonts w:hAnsi="宋体" w:cs="仿宋"/>
              </w:rPr>
            </w:pPr>
            <w:r>
              <w:rPr>
                <w:rFonts w:hint="eastAsia" w:hAnsi="宋体" w:cs="仿宋"/>
              </w:rPr>
              <w:t>邮政编码</w:t>
            </w:r>
          </w:p>
        </w:tc>
        <w:tc>
          <w:tcPr>
            <w:tcW w:w="1734" w:type="pct"/>
            <w:gridSpan w:val="2"/>
            <w:vAlign w:val="center"/>
          </w:tcPr>
          <w:p w14:paraId="4FCADD05">
            <w:pPr>
              <w:spacing w:line="400" w:lineRule="exact"/>
              <w:jc w:val="center"/>
              <w:rPr>
                <w:rFonts w:ascii="宋体" w:hAnsi="宋体" w:eastAsia="宋体" w:cs="仿宋"/>
                <w:sz w:val="24"/>
                <w:szCs w:val="24"/>
              </w:rPr>
            </w:pPr>
          </w:p>
        </w:tc>
        <w:tc>
          <w:tcPr>
            <w:tcW w:w="686" w:type="pct"/>
            <w:vAlign w:val="center"/>
          </w:tcPr>
          <w:p w14:paraId="7EB99EAE">
            <w:pPr>
              <w:pStyle w:val="25"/>
              <w:kinsoku w:val="0"/>
              <w:overflowPunct w:val="0"/>
              <w:spacing w:line="400" w:lineRule="exact"/>
              <w:ind w:firstLine="0" w:firstLineChars="0"/>
              <w:jc w:val="center"/>
              <w:rPr>
                <w:rFonts w:hAnsi="宋体" w:cs="仿宋"/>
              </w:rPr>
            </w:pPr>
            <w:r>
              <w:rPr>
                <w:rFonts w:hint="eastAsia" w:hAnsi="宋体" w:cs="仿宋"/>
              </w:rPr>
              <w:t>员工总数</w:t>
            </w:r>
          </w:p>
        </w:tc>
        <w:tc>
          <w:tcPr>
            <w:tcW w:w="1285" w:type="pct"/>
            <w:vAlign w:val="center"/>
          </w:tcPr>
          <w:p w14:paraId="6CCD2EBA">
            <w:pPr>
              <w:spacing w:line="400" w:lineRule="exact"/>
              <w:jc w:val="center"/>
              <w:rPr>
                <w:rFonts w:ascii="宋体" w:hAnsi="宋体" w:eastAsia="宋体" w:cs="仿宋"/>
                <w:sz w:val="24"/>
                <w:szCs w:val="24"/>
              </w:rPr>
            </w:pPr>
          </w:p>
        </w:tc>
      </w:tr>
      <w:tr w14:paraId="58594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1293" w:type="pct"/>
            <w:vMerge w:val="restart"/>
            <w:vAlign w:val="center"/>
          </w:tcPr>
          <w:p w14:paraId="4C3F393A">
            <w:pPr>
              <w:pStyle w:val="25"/>
              <w:kinsoku w:val="0"/>
              <w:overflowPunct w:val="0"/>
              <w:spacing w:line="400" w:lineRule="exact"/>
              <w:ind w:firstLine="0" w:firstLineChars="0"/>
              <w:jc w:val="center"/>
              <w:rPr>
                <w:rFonts w:hAnsi="宋体" w:cs="仿宋"/>
              </w:rPr>
            </w:pPr>
            <w:r>
              <w:rPr>
                <w:rFonts w:hint="eastAsia" w:hAnsi="宋体" w:cs="仿宋"/>
              </w:rPr>
              <w:t>联系方式</w:t>
            </w:r>
          </w:p>
        </w:tc>
        <w:tc>
          <w:tcPr>
            <w:tcW w:w="507" w:type="pct"/>
            <w:vAlign w:val="center"/>
          </w:tcPr>
          <w:p w14:paraId="4FEA8412">
            <w:pPr>
              <w:pStyle w:val="25"/>
              <w:kinsoku w:val="0"/>
              <w:overflowPunct w:val="0"/>
              <w:spacing w:line="400" w:lineRule="exact"/>
              <w:ind w:firstLine="0" w:firstLineChars="0"/>
              <w:jc w:val="center"/>
              <w:rPr>
                <w:rFonts w:hAnsi="宋体" w:cs="仿宋"/>
              </w:rPr>
            </w:pPr>
            <w:r>
              <w:rPr>
                <w:rFonts w:hint="eastAsia" w:hAnsi="宋体" w:cs="仿宋"/>
              </w:rPr>
              <w:t>联系人</w:t>
            </w:r>
          </w:p>
        </w:tc>
        <w:tc>
          <w:tcPr>
            <w:tcW w:w="1227" w:type="pct"/>
            <w:vAlign w:val="center"/>
          </w:tcPr>
          <w:p w14:paraId="0DBD112E">
            <w:pPr>
              <w:spacing w:line="400" w:lineRule="exact"/>
              <w:jc w:val="center"/>
              <w:rPr>
                <w:rFonts w:ascii="宋体" w:hAnsi="宋体" w:eastAsia="宋体" w:cs="仿宋"/>
                <w:sz w:val="24"/>
                <w:szCs w:val="24"/>
              </w:rPr>
            </w:pPr>
          </w:p>
        </w:tc>
        <w:tc>
          <w:tcPr>
            <w:tcW w:w="686" w:type="pct"/>
            <w:vAlign w:val="center"/>
          </w:tcPr>
          <w:p w14:paraId="01A9FB22">
            <w:pPr>
              <w:pStyle w:val="25"/>
              <w:kinsoku w:val="0"/>
              <w:overflowPunct w:val="0"/>
              <w:spacing w:line="400" w:lineRule="exact"/>
              <w:ind w:firstLine="0" w:firstLineChars="0"/>
              <w:jc w:val="center"/>
              <w:rPr>
                <w:rFonts w:hAnsi="宋体" w:cs="仿宋"/>
              </w:rPr>
            </w:pPr>
            <w:r>
              <w:rPr>
                <w:rFonts w:hint="eastAsia" w:hAnsi="宋体" w:cs="仿宋"/>
              </w:rPr>
              <w:t>电话</w:t>
            </w:r>
          </w:p>
        </w:tc>
        <w:tc>
          <w:tcPr>
            <w:tcW w:w="1285" w:type="pct"/>
            <w:vAlign w:val="center"/>
          </w:tcPr>
          <w:p w14:paraId="7D6EB6BB">
            <w:pPr>
              <w:spacing w:line="400" w:lineRule="exact"/>
              <w:jc w:val="center"/>
              <w:rPr>
                <w:rFonts w:ascii="宋体" w:hAnsi="宋体" w:eastAsia="宋体" w:cs="仿宋"/>
                <w:sz w:val="24"/>
                <w:szCs w:val="24"/>
              </w:rPr>
            </w:pPr>
          </w:p>
        </w:tc>
      </w:tr>
      <w:tr w14:paraId="437E2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1293" w:type="pct"/>
            <w:vMerge w:val="continue"/>
            <w:vAlign w:val="center"/>
          </w:tcPr>
          <w:p w14:paraId="48EE0541">
            <w:pPr>
              <w:spacing w:line="400" w:lineRule="exact"/>
              <w:jc w:val="center"/>
              <w:rPr>
                <w:rFonts w:ascii="宋体" w:hAnsi="宋体" w:eastAsia="宋体" w:cs="仿宋"/>
                <w:sz w:val="24"/>
                <w:szCs w:val="24"/>
              </w:rPr>
            </w:pPr>
          </w:p>
        </w:tc>
        <w:tc>
          <w:tcPr>
            <w:tcW w:w="507" w:type="pct"/>
            <w:vAlign w:val="center"/>
          </w:tcPr>
          <w:p w14:paraId="03D03489">
            <w:pPr>
              <w:pStyle w:val="25"/>
              <w:kinsoku w:val="0"/>
              <w:overflowPunct w:val="0"/>
              <w:spacing w:line="400" w:lineRule="exact"/>
              <w:ind w:firstLine="0" w:firstLineChars="0"/>
              <w:jc w:val="center"/>
              <w:rPr>
                <w:rFonts w:hAnsi="宋体" w:cs="仿宋"/>
              </w:rPr>
            </w:pPr>
            <w:r>
              <w:rPr>
                <w:rFonts w:hint="eastAsia" w:hAnsi="宋体" w:cs="仿宋"/>
              </w:rPr>
              <w:t>网址</w:t>
            </w:r>
          </w:p>
        </w:tc>
        <w:tc>
          <w:tcPr>
            <w:tcW w:w="1227" w:type="pct"/>
            <w:vAlign w:val="center"/>
          </w:tcPr>
          <w:p w14:paraId="3D203D52">
            <w:pPr>
              <w:spacing w:line="400" w:lineRule="exact"/>
              <w:jc w:val="center"/>
              <w:rPr>
                <w:rFonts w:ascii="宋体" w:hAnsi="宋体" w:eastAsia="宋体" w:cs="仿宋"/>
                <w:sz w:val="24"/>
                <w:szCs w:val="24"/>
              </w:rPr>
            </w:pPr>
          </w:p>
        </w:tc>
        <w:tc>
          <w:tcPr>
            <w:tcW w:w="686" w:type="pct"/>
            <w:vAlign w:val="center"/>
          </w:tcPr>
          <w:p w14:paraId="0344DA35">
            <w:pPr>
              <w:pStyle w:val="25"/>
              <w:kinsoku w:val="0"/>
              <w:overflowPunct w:val="0"/>
              <w:spacing w:line="400" w:lineRule="exact"/>
              <w:ind w:firstLine="0" w:firstLineChars="0"/>
              <w:jc w:val="center"/>
              <w:rPr>
                <w:rFonts w:hAnsi="宋体" w:cs="仿宋"/>
              </w:rPr>
            </w:pPr>
            <w:r>
              <w:rPr>
                <w:rFonts w:hint="eastAsia" w:hAnsi="宋体" w:cs="仿宋"/>
              </w:rPr>
              <w:t>传真/邮箱</w:t>
            </w:r>
          </w:p>
        </w:tc>
        <w:tc>
          <w:tcPr>
            <w:tcW w:w="1285" w:type="pct"/>
            <w:vAlign w:val="center"/>
          </w:tcPr>
          <w:p w14:paraId="10DCEAAC">
            <w:pPr>
              <w:spacing w:line="400" w:lineRule="exact"/>
              <w:jc w:val="center"/>
              <w:rPr>
                <w:rFonts w:ascii="宋体" w:hAnsi="宋体" w:eastAsia="宋体" w:cs="仿宋"/>
                <w:sz w:val="24"/>
                <w:szCs w:val="24"/>
              </w:rPr>
            </w:pPr>
          </w:p>
        </w:tc>
      </w:tr>
      <w:tr w14:paraId="3A5B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9" w:hRule="atLeast"/>
          <w:jc w:val="center"/>
        </w:trPr>
        <w:tc>
          <w:tcPr>
            <w:tcW w:w="1293" w:type="pct"/>
            <w:vAlign w:val="center"/>
          </w:tcPr>
          <w:p w14:paraId="223151BF">
            <w:pPr>
              <w:pStyle w:val="25"/>
              <w:kinsoku w:val="0"/>
              <w:overflowPunct w:val="0"/>
              <w:spacing w:line="400" w:lineRule="exact"/>
              <w:ind w:firstLine="0" w:firstLineChars="0"/>
              <w:jc w:val="center"/>
              <w:rPr>
                <w:rFonts w:hAnsi="宋体" w:cs="仿宋"/>
              </w:rPr>
            </w:pPr>
            <w:r>
              <w:rPr>
                <w:rFonts w:hint="eastAsia" w:hAnsi="宋体" w:cs="仿宋"/>
              </w:rPr>
              <w:t>法定代表人</w:t>
            </w:r>
          </w:p>
          <w:p w14:paraId="2E46A890">
            <w:pPr>
              <w:pStyle w:val="25"/>
              <w:kinsoku w:val="0"/>
              <w:overflowPunct w:val="0"/>
              <w:spacing w:line="400" w:lineRule="exact"/>
              <w:ind w:firstLine="0" w:firstLineChars="0"/>
              <w:jc w:val="center"/>
              <w:rPr>
                <w:rFonts w:hAnsi="宋体" w:cs="仿宋"/>
              </w:rPr>
            </w:pPr>
            <w:r>
              <w:rPr>
                <w:rFonts w:hint="eastAsia" w:hAnsi="宋体" w:cs="仿宋"/>
              </w:rPr>
              <w:t>（单位负责人）</w:t>
            </w:r>
          </w:p>
        </w:tc>
        <w:tc>
          <w:tcPr>
            <w:tcW w:w="507" w:type="pct"/>
            <w:vAlign w:val="center"/>
          </w:tcPr>
          <w:p w14:paraId="43A0BB7D">
            <w:pPr>
              <w:pStyle w:val="25"/>
              <w:kinsoku w:val="0"/>
              <w:overflowPunct w:val="0"/>
              <w:spacing w:line="400" w:lineRule="exact"/>
              <w:ind w:firstLine="0" w:firstLineChars="0"/>
              <w:jc w:val="center"/>
              <w:rPr>
                <w:rFonts w:hAnsi="宋体" w:cs="仿宋"/>
              </w:rPr>
            </w:pPr>
            <w:r>
              <w:rPr>
                <w:rFonts w:hint="eastAsia" w:hAnsi="宋体" w:cs="仿宋"/>
              </w:rPr>
              <w:t>姓名</w:t>
            </w:r>
          </w:p>
        </w:tc>
        <w:tc>
          <w:tcPr>
            <w:tcW w:w="1227" w:type="pct"/>
            <w:vAlign w:val="center"/>
          </w:tcPr>
          <w:p w14:paraId="4D346AE1">
            <w:pPr>
              <w:spacing w:line="400" w:lineRule="exact"/>
              <w:jc w:val="center"/>
              <w:rPr>
                <w:rFonts w:ascii="宋体" w:hAnsi="宋体" w:eastAsia="宋体" w:cs="仿宋"/>
                <w:sz w:val="24"/>
                <w:szCs w:val="24"/>
              </w:rPr>
            </w:pPr>
          </w:p>
        </w:tc>
        <w:tc>
          <w:tcPr>
            <w:tcW w:w="686" w:type="pct"/>
            <w:vAlign w:val="center"/>
          </w:tcPr>
          <w:p w14:paraId="51A678CE">
            <w:pPr>
              <w:pStyle w:val="25"/>
              <w:kinsoku w:val="0"/>
              <w:overflowPunct w:val="0"/>
              <w:spacing w:line="400" w:lineRule="exact"/>
              <w:ind w:firstLine="0" w:firstLineChars="0"/>
              <w:jc w:val="center"/>
              <w:rPr>
                <w:rFonts w:hAnsi="宋体" w:cs="仿宋"/>
              </w:rPr>
            </w:pPr>
            <w:r>
              <w:rPr>
                <w:rFonts w:hint="eastAsia" w:hAnsi="宋体" w:cs="仿宋"/>
              </w:rPr>
              <w:t>电话</w:t>
            </w:r>
          </w:p>
        </w:tc>
        <w:tc>
          <w:tcPr>
            <w:tcW w:w="1285" w:type="pct"/>
            <w:vAlign w:val="center"/>
          </w:tcPr>
          <w:p w14:paraId="67092CA6">
            <w:pPr>
              <w:tabs>
                <w:tab w:val="left" w:pos="1426"/>
              </w:tabs>
              <w:spacing w:line="400" w:lineRule="exact"/>
              <w:jc w:val="center"/>
              <w:rPr>
                <w:rFonts w:ascii="宋体" w:hAnsi="宋体" w:eastAsia="宋体" w:cs="仿宋"/>
                <w:sz w:val="24"/>
                <w:szCs w:val="24"/>
              </w:rPr>
            </w:pPr>
          </w:p>
        </w:tc>
      </w:tr>
      <w:tr w14:paraId="420DB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5" w:hRule="atLeast"/>
          <w:jc w:val="center"/>
        </w:trPr>
        <w:tc>
          <w:tcPr>
            <w:tcW w:w="1293" w:type="pct"/>
            <w:vAlign w:val="center"/>
          </w:tcPr>
          <w:p w14:paraId="5AE85363">
            <w:pPr>
              <w:pStyle w:val="25"/>
              <w:kinsoku w:val="0"/>
              <w:overflowPunct w:val="0"/>
              <w:spacing w:line="400" w:lineRule="exact"/>
              <w:ind w:firstLine="0" w:firstLineChars="0"/>
              <w:jc w:val="center"/>
              <w:rPr>
                <w:rFonts w:hAnsi="宋体" w:cs="仿宋"/>
              </w:rPr>
            </w:pPr>
            <w:r>
              <w:rPr>
                <w:rFonts w:hint="eastAsia" w:hAnsi="宋体" w:cs="仿宋"/>
              </w:rPr>
              <w:t>与本项目采购需求相关的资质或者认证证书</w:t>
            </w:r>
          </w:p>
        </w:tc>
        <w:tc>
          <w:tcPr>
            <w:tcW w:w="3706" w:type="pct"/>
            <w:gridSpan w:val="4"/>
            <w:vAlign w:val="center"/>
          </w:tcPr>
          <w:p w14:paraId="6819004E">
            <w:pPr>
              <w:pStyle w:val="25"/>
              <w:kinsoku w:val="0"/>
              <w:overflowPunct w:val="0"/>
              <w:spacing w:line="400" w:lineRule="exact"/>
              <w:ind w:firstLine="0" w:firstLineChars="0"/>
              <w:rPr>
                <w:rFonts w:hAnsi="宋体" w:cs="仿宋"/>
              </w:rPr>
            </w:pPr>
            <w:r>
              <w:rPr>
                <w:rFonts w:hint="eastAsia" w:hAnsi="宋体" w:cs="仿宋"/>
              </w:rPr>
              <w:t>如有请罗列证书名称：</w:t>
            </w:r>
          </w:p>
        </w:tc>
      </w:tr>
      <w:tr w14:paraId="41DF9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6" w:hRule="atLeast"/>
          <w:jc w:val="center"/>
        </w:trPr>
        <w:tc>
          <w:tcPr>
            <w:tcW w:w="1293" w:type="pct"/>
            <w:vAlign w:val="center"/>
          </w:tcPr>
          <w:p w14:paraId="3977BE65">
            <w:pPr>
              <w:pStyle w:val="25"/>
              <w:kinsoku w:val="0"/>
              <w:overflowPunct w:val="0"/>
              <w:spacing w:line="400" w:lineRule="exact"/>
              <w:ind w:firstLine="0" w:firstLineChars="0"/>
              <w:jc w:val="center"/>
              <w:rPr>
                <w:rFonts w:hAnsi="宋体" w:cs="仿宋"/>
              </w:rPr>
            </w:pPr>
            <w:r>
              <w:rPr>
                <w:rFonts w:hint="eastAsia" w:hAnsi="宋体" w:cs="仿宋"/>
              </w:rPr>
              <w:t>人员情况</w:t>
            </w:r>
          </w:p>
        </w:tc>
        <w:tc>
          <w:tcPr>
            <w:tcW w:w="3706" w:type="pct"/>
            <w:gridSpan w:val="4"/>
            <w:vAlign w:val="center"/>
          </w:tcPr>
          <w:p w14:paraId="383816E2">
            <w:pPr>
              <w:pStyle w:val="25"/>
              <w:kinsoku w:val="0"/>
              <w:overflowPunct w:val="0"/>
              <w:spacing w:line="400" w:lineRule="exact"/>
              <w:ind w:firstLine="0" w:firstLineChars="0"/>
              <w:rPr>
                <w:rFonts w:hAnsi="宋体" w:cs="仿宋"/>
              </w:rPr>
            </w:pPr>
            <w:r>
              <w:rPr>
                <w:rFonts w:hint="eastAsia" w:hAnsi="宋体" w:cs="仿宋"/>
              </w:rPr>
              <w:t>公司实有人员情况：</w:t>
            </w:r>
          </w:p>
          <w:p w14:paraId="31FC4B2E">
            <w:pPr>
              <w:pStyle w:val="25"/>
              <w:kinsoku w:val="0"/>
              <w:overflowPunct w:val="0"/>
              <w:spacing w:line="400" w:lineRule="exact"/>
              <w:ind w:firstLine="0" w:firstLineChars="0"/>
              <w:rPr>
                <w:rFonts w:hAnsi="宋体" w:cs="仿宋"/>
              </w:rPr>
            </w:pPr>
            <w:r>
              <w:rPr>
                <w:rFonts w:hint="eastAsia" w:hAnsi="宋体" w:cs="仿宋"/>
              </w:rPr>
              <w:t>广州地区人员情况：</w:t>
            </w:r>
          </w:p>
        </w:tc>
      </w:tr>
      <w:tr w14:paraId="5E966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5" w:hRule="atLeast"/>
          <w:jc w:val="center"/>
        </w:trPr>
        <w:tc>
          <w:tcPr>
            <w:tcW w:w="1293" w:type="pct"/>
            <w:vAlign w:val="center"/>
          </w:tcPr>
          <w:p w14:paraId="1B2E8BF6">
            <w:pPr>
              <w:pStyle w:val="25"/>
              <w:kinsoku w:val="0"/>
              <w:overflowPunct w:val="0"/>
              <w:spacing w:line="440" w:lineRule="exact"/>
              <w:ind w:firstLine="0" w:firstLineChars="0"/>
              <w:jc w:val="center"/>
              <w:rPr>
                <w:rFonts w:hAnsi="宋体" w:cs="仿宋"/>
              </w:rPr>
            </w:pPr>
            <w:r>
              <w:rPr>
                <w:rFonts w:hint="eastAsia" w:hAnsi="宋体" w:cs="仿宋"/>
              </w:rPr>
              <w:t>备注</w:t>
            </w:r>
          </w:p>
        </w:tc>
        <w:tc>
          <w:tcPr>
            <w:tcW w:w="3706" w:type="pct"/>
            <w:gridSpan w:val="4"/>
            <w:vAlign w:val="center"/>
          </w:tcPr>
          <w:p w14:paraId="22930F2B">
            <w:pPr>
              <w:spacing w:line="440" w:lineRule="exact"/>
              <w:jc w:val="center"/>
              <w:rPr>
                <w:rFonts w:ascii="宋体" w:hAnsi="宋体" w:eastAsia="宋体" w:cs="仿宋"/>
                <w:sz w:val="24"/>
                <w:szCs w:val="24"/>
              </w:rPr>
            </w:pPr>
          </w:p>
        </w:tc>
      </w:tr>
      <w:bookmarkEnd w:id="0"/>
    </w:tbl>
    <w:p w14:paraId="1AD5A43A">
      <w:pPr>
        <w:pStyle w:val="13"/>
        <w:ind w:firstLine="0" w:firstLineChars="0"/>
      </w:pPr>
    </w:p>
    <w:p w14:paraId="7686FF84">
      <w:pPr>
        <w:rPr>
          <w:rFonts w:hint="eastAsia" w:asciiTheme="minorEastAsia" w:hAnsi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br w:type="page"/>
      </w:r>
    </w:p>
    <w:p w14:paraId="3FF87687">
      <w:pPr>
        <w:spacing w:after="209" w:afterLines="67"/>
        <w:rPr>
          <w:rFonts w:asciiTheme="minorEastAsia" w:hAnsiTheme="minorEastAsia" w:cstheme="minorEastAsia"/>
          <w:b/>
          <w:bCs/>
          <w:sz w:val="24"/>
          <w:szCs w:val="24"/>
        </w:rPr>
      </w:pPr>
      <w:r>
        <w:rPr>
          <w:rFonts w:hint="eastAsia" w:asciiTheme="minorEastAsia" w:hAnsiTheme="minorEastAsia" w:cstheme="minorEastAsia"/>
          <w:b/>
          <w:bCs/>
          <w:sz w:val="24"/>
          <w:szCs w:val="24"/>
          <w:lang w:val="en-US" w:eastAsia="zh-CN"/>
        </w:rPr>
        <w:t>二</w:t>
      </w:r>
      <w:r>
        <w:rPr>
          <w:rFonts w:hint="eastAsia" w:asciiTheme="minorEastAsia" w:hAnsiTheme="minorEastAsia" w:cstheme="minorEastAsia"/>
          <w:b/>
          <w:bCs/>
          <w:sz w:val="24"/>
          <w:szCs w:val="24"/>
        </w:rPr>
        <w:t>、需求响应情况（加盖公章）</w:t>
      </w:r>
    </w:p>
    <w:tbl>
      <w:tblPr>
        <w:tblStyle w:val="14"/>
        <w:tblW w:w="52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
        <w:gridCol w:w="1144"/>
        <w:gridCol w:w="4801"/>
        <w:gridCol w:w="1568"/>
        <w:gridCol w:w="985"/>
      </w:tblGrid>
      <w:tr w14:paraId="34FC9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Align w:val="center"/>
          </w:tcPr>
          <w:p w14:paraId="0D690DEC">
            <w:pPr>
              <w:spacing w:line="200" w:lineRule="atLeast"/>
              <w:jc w:val="center"/>
              <w:rPr>
                <w:rFonts w:ascii="宋体" w:hAnsi="宋体" w:eastAsia="宋体" w:cs="宋体"/>
                <w:b/>
                <w:bCs/>
                <w:szCs w:val="21"/>
              </w:rPr>
            </w:pPr>
            <w:r>
              <w:rPr>
                <w:rFonts w:hint="eastAsia" w:ascii="宋体" w:hAnsi="宋体" w:eastAsia="宋体" w:cs="宋体"/>
                <w:b/>
                <w:bCs/>
                <w:szCs w:val="21"/>
              </w:rPr>
              <w:t>序号</w:t>
            </w:r>
          </w:p>
        </w:tc>
        <w:tc>
          <w:tcPr>
            <w:tcW w:w="640" w:type="pct"/>
            <w:vAlign w:val="center"/>
          </w:tcPr>
          <w:p w14:paraId="390819F1">
            <w:pPr>
              <w:jc w:val="center"/>
              <w:rPr>
                <w:rFonts w:ascii="宋体" w:hAnsi="宋体" w:eastAsia="宋体" w:cs="宋体"/>
                <w:b/>
                <w:bCs/>
                <w:szCs w:val="21"/>
              </w:rPr>
            </w:pPr>
            <w:r>
              <w:rPr>
                <w:rFonts w:hint="eastAsia" w:ascii="宋体" w:hAnsi="宋体" w:eastAsia="宋体" w:cs="宋体"/>
                <w:b/>
                <w:bCs/>
                <w:szCs w:val="21"/>
                <w:lang w:val="en-US" w:eastAsia="zh-CN"/>
              </w:rPr>
              <w:t>服务需求</w:t>
            </w:r>
            <w:r>
              <w:rPr>
                <w:rFonts w:hint="eastAsia" w:ascii="宋体" w:hAnsi="宋体" w:eastAsia="宋体" w:cs="宋体"/>
                <w:b/>
                <w:bCs/>
                <w:szCs w:val="21"/>
              </w:rPr>
              <w:t>名称</w:t>
            </w:r>
          </w:p>
        </w:tc>
        <w:tc>
          <w:tcPr>
            <w:tcW w:w="2686" w:type="pct"/>
            <w:vAlign w:val="center"/>
          </w:tcPr>
          <w:p w14:paraId="3AF29F7B">
            <w:pPr>
              <w:jc w:val="center"/>
              <w:rPr>
                <w:rFonts w:hint="default" w:ascii="宋体" w:hAnsi="宋体" w:eastAsia="宋体" w:cs="宋体"/>
                <w:b/>
                <w:bCs/>
                <w:szCs w:val="21"/>
                <w:lang w:val="en-US" w:eastAsia="zh-CN"/>
              </w:rPr>
            </w:pPr>
            <w:r>
              <w:rPr>
                <w:rFonts w:hint="eastAsia" w:ascii="宋体" w:hAnsi="宋体" w:eastAsia="宋体" w:cs="宋体"/>
                <w:b/>
                <w:bCs/>
                <w:szCs w:val="21"/>
                <w:lang w:val="en-US" w:eastAsia="zh-CN"/>
              </w:rPr>
              <w:t>服务需求内容</w:t>
            </w:r>
          </w:p>
        </w:tc>
        <w:tc>
          <w:tcPr>
            <w:tcW w:w="877" w:type="pct"/>
            <w:vAlign w:val="center"/>
          </w:tcPr>
          <w:p w14:paraId="48175FD0">
            <w:pPr>
              <w:spacing w:line="200" w:lineRule="atLeast"/>
              <w:jc w:val="center"/>
              <w:rPr>
                <w:rFonts w:ascii="宋体" w:hAnsi="宋体" w:eastAsia="宋体" w:cs="宋体"/>
                <w:b/>
                <w:bCs/>
                <w:szCs w:val="21"/>
              </w:rPr>
            </w:pPr>
            <w:r>
              <w:rPr>
                <w:rFonts w:hint="eastAsia" w:ascii="宋体" w:hAnsi="宋体" w:eastAsia="宋体" w:cs="宋体"/>
                <w:b/>
                <w:bCs/>
                <w:szCs w:val="21"/>
              </w:rPr>
              <w:t>响应情况（完全满足/部分满足/不满足）</w:t>
            </w:r>
          </w:p>
        </w:tc>
        <w:tc>
          <w:tcPr>
            <w:tcW w:w="551" w:type="pct"/>
            <w:vAlign w:val="center"/>
          </w:tcPr>
          <w:p w14:paraId="3D9D2618">
            <w:pPr>
              <w:spacing w:line="200" w:lineRule="atLeast"/>
              <w:jc w:val="center"/>
              <w:rPr>
                <w:rFonts w:ascii="宋体" w:hAnsi="宋体" w:eastAsia="宋体" w:cs="宋体"/>
                <w:b/>
                <w:bCs/>
                <w:szCs w:val="21"/>
              </w:rPr>
            </w:pPr>
            <w:r>
              <w:rPr>
                <w:rFonts w:hint="eastAsia" w:ascii="宋体" w:hAnsi="宋体" w:eastAsia="宋体" w:cs="宋体"/>
                <w:b/>
                <w:bCs/>
                <w:szCs w:val="21"/>
              </w:rPr>
              <w:t>备注（描述偏离情况）</w:t>
            </w:r>
          </w:p>
        </w:tc>
      </w:tr>
      <w:tr w14:paraId="502AE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restart"/>
            <w:vAlign w:val="center"/>
          </w:tcPr>
          <w:p w14:paraId="2988F788">
            <w:pPr>
              <w:numPr>
                <w:ilvl w:val="0"/>
                <w:numId w:val="3"/>
              </w:numPr>
              <w:spacing w:line="200" w:lineRule="atLeast"/>
              <w:jc w:val="center"/>
              <w:rPr>
                <w:rFonts w:ascii="宋体" w:hAnsi="宋体" w:eastAsia="宋体" w:cs="宋体"/>
                <w:szCs w:val="21"/>
              </w:rPr>
            </w:pPr>
          </w:p>
        </w:tc>
        <w:tc>
          <w:tcPr>
            <w:tcW w:w="640" w:type="pct"/>
            <w:vMerge w:val="restart"/>
            <w:vAlign w:val="center"/>
          </w:tcPr>
          <w:p w14:paraId="07E2DA96">
            <w:pPr>
              <w:spacing w:line="200" w:lineRule="atLeas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基础服务</w:t>
            </w:r>
          </w:p>
        </w:tc>
        <w:tc>
          <w:tcPr>
            <w:tcW w:w="2686" w:type="pct"/>
            <w:vAlign w:val="top"/>
          </w:tcPr>
          <w:p w14:paraId="671E3A4B">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技术支持热线服务</w:t>
            </w:r>
          </w:p>
        </w:tc>
        <w:tc>
          <w:tcPr>
            <w:tcW w:w="877" w:type="pct"/>
            <w:vAlign w:val="center"/>
          </w:tcPr>
          <w:p w14:paraId="2714253F">
            <w:pPr>
              <w:spacing w:line="200" w:lineRule="atLeast"/>
              <w:jc w:val="center"/>
              <w:rPr>
                <w:rFonts w:ascii="宋体" w:hAnsi="宋体" w:eastAsia="宋体" w:cs="宋体"/>
                <w:szCs w:val="21"/>
              </w:rPr>
            </w:pPr>
          </w:p>
        </w:tc>
        <w:tc>
          <w:tcPr>
            <w:tcW w:w="551" w:type="pct"/>
            <w:vAlign w:val="center"/>
          </w:tcPr>
          <w:p w14:paraId="4A3AAA26">
            <w:pPr>
              <w:spacing w:line="200" w:lineRule="atLeast"/>
              <w:jc w:val="center"/>
              <w:rPr>
                <w:rFonts w:ascii="宋体" w:hAnsi="宋体" w:eastAsia="宋体" w:cs="宋体"/>
                <w:szCs w:val="21"/>
              </w:rPr>
            </w:pPr>
          </w:p>
        </w:tc>
      </w:tr>
      <w:tr w14:paraId="264AE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continue"/>
            <w:vAlign w:val="center"/>
          </w:tcPr>
          <w:p w14:paraId="2879237F">
            <w:pPr>
              <w:spacing w:line="200" w:lineRule="atLeast"/>
              <w:jc w:val="center"/>
              <w:rPr>
                <w:rFonts w:ascii="宋体" w:hAnsi="宋体" w:eastAsia="宋体" w:cs="宋体"/>
                <w:szCs w:val="21"/>
              </w:rPr>
            </w:pPr>
          </w:p>
        </w:tc>
        <w:tc>
          <w:tcPr>
            <w:tcW w:w="640" w:type="pct"/>
            <w:vMerge w:val="continue"/>
            <w:vAlign w:val="center"/>
          </w:tcPr>
          <w:p w14:paraId="79579FAE">
            <w:pPr>
              <w:spacing w:line="200" w:lineRule="atLeast"/>
              <w:jc w:val="center"/>
              <w:rPr>
                <w:rFonts w:hint="eastAsia" w:asciiTheme="minorEastAsia" w:hAnsiTheme="minorEastAsia" w:eastAsiaTheme="minorEastAsia" w:cstheme="minorEastAsia"/>
                <w:sz w:val="21"/>
                <w:szCs w:val="21"/>
              </w:rPr>
            </w:pPr>
          </w:p>
        </w:tc>
        <w:tc>
          <w:tcPr>
            <w:tcW w:w="2686" w:type="pct"/>
            <w:vAlign w:val="top"/>
          </w:tcPr>
          <w:p w14:paraId="36087BFE">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定期巡检与预防性维护</w:t>
            </w:r>
          </w:p>
        </w:tc>
        <w:tc>
          <w:tcPr>
            <w:tcW w:w="877" w:type="pct"/>
            <w:vAlign w:val="center"/>
          </w:tcPr>
          <w:p w14:paraId="4CAD99C4">
            <w:pPr>
              <w:spacing w:line="200" w:lineRule="atLeast"/>
              <w:jc w:val="center"/>
              <w:rPr>
                <w:rFonts w:ascii="宋体" w:hAnsi="宋体" w:eastAsia="宋体" w:cs="宋体"/>
                <w:szCs w:val="21"/>
              </w:rPr>
            </w:pPr>
          </w:p>
        </w:tc>
        <w:tc>
          <w:tcPr>
            <w:tcW w:w="551" w:type="pct"/>
            <w:vAlign w:val="center"/>
          </w:tcPr>
          <w:p w14:paraId="0C24B0EA">
            <w:pPr>
              <w:spacing w:line="200" w:lineRule="atLeast"/>
              <w:jc w:val="center"/>
              <w:rPr>
                <w:rFonts w:ascii="宋体" w:hAnsi="宋体" w:eastAsia="宋体" w:cs="宋体"/>
                <w:szCs w:val="21"/>
              </w:rPr>
            </w:pPr>
          </w:p>
        </w:tc>
      </w:tr>
      <w:tr w14:paraId="5392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continue"/>
            <w:vAlign w:val="center"/>
          </w:tcPr>
          <w:p w14:paraId="513F1493">
            <w:pPr>
              <w:spacing w:line="200" w:lineRule="atLeast"/>
              <w:jc w:val="center"/>
              <w:rPr>
                <w:rFonts w:ascii="宋体" w:hAnsi="宋体" w:eastAsia="宋体" w:cs="宋体"/>
                <w:szCs w:val="21"/>
              </w:rPr>
            </w:pPr>
          </w:p>
        </w:tc>
        <w:tc>
          <w:tcPr>
            <w:tcW w:w="640" w:type="pct"/>
            <w:vMerge w:val="continue"/>
            <w:vAlign w:val="center"/>
          </w:tcPr>
          <w:p w14:paraId="1C8CA473">
            <w:pPr>
              <w:spacing w:line="200" w:lineRule="atLeast"/>
              <w:jc w:val="center"/>
              <w:rPr>
                <w:rFonts w:hint="eastAsia" w:asciiTheme="minorEastAsia" w:hAnsiTheme="minorEastAsia" w:eastAsiaTheme="minorEastAsia" w:cstheme="minorEastAsia"/>
                <w:sz w:val="21"/>
                <w:szCs w:val="21"/>
              </w:rPr>
            </w:pPr>
          </w:p>
        </w:tc>
        <w:tc>
          <w:tcPr>
            <w:tcW w:w="2686" w:type="pct"/>
            <w:vAlign w:val="top"/>
          </w:tcPr>
          <w:p w14:paraId="46555337">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现场故障响应解决服务</w:t>
            </w:r>
          </w:p>
        </w:tc>
        <w:tc>
          <w:tcPr>
            <w:tcW w:w="877" w:type="pct"/>
            <w:vAlign w:val="center"/>
          </w:tcPr>
          <w:p w14:paraId="1A149DF0">
            <w:pPr>
              <w:spacing w:line="200" w:lineRule="atLeast"/>
              <w:jc w:val="center"/>
              <w:rPr>
                <w:rFonts w:ascii="宋体" w:hAnsi="宋体" w:eastAsia="宋体" w:cs="宋体"/>
                <w:szCs w:val="21"/>
              </w:rPr>
            </w:pPr>
          </w:p>
        </w:tc>
        <w:tc>
          <w:tcPr>
            <w:tcW w:w="551" w:type="pct"/>
            <w:vAlign w:val="center"/>
          </w:tcPr>
          <w:p w14:paraId="494F71E7">
            <w:pPr>
              <w:spacing w:line="200" w:lineRule="atLeast"/>
              <w:jc w:val="center"/>
              <w:rPr>
                <w:rFonts w:ascii="宋体" w:hAnsi="宋体" w:eastAsia="宋体" w:cs="宋体"/>
                <w:szCs w:val="21"/>
              </w:rPr>
            </w:pPr>
          </w:p>
        </w:tc>
      </w:tr>
      <w:tr w14:paraId="10AC5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continue"/>
            <w:vAlign w:val="center"/>
          </w:tcPr>
          <w:p w14:paraId="2E084238">
            <w:pPr>
              <w:spacing w:line="200" w:lineRule="atLeast"/>
              <w:jc w:val="center"/>
              <w:rPr>
                <w:rFonts w:ascii="宋体" w:hAnsi="宋体" w:eastAsia="宋体" w:cs="宋体"/>
                <w:szCs w:val="21"/>
              </w:rPr>
            </w:pPr>
          </w:p>
        </w:tc>
        <w:tc>
          <w:tcPr>
            <w:tcW w:w="640" w:type="pct"/>
            <w:vMerge w:val="continue"/>
            <w:vAlign w:val="center"/>
          </w:tcPr>
          <w:p w14:paraId="2B50A01D">
            <w:pPr>
              <w:spacing w:line="200" w:lineRule="atLeast"/>
              <w:jc w:val="center"/>
              <w:rPr>
                <w:rFonts w:hint="eastAsia" w:asciiTheme="minorEastAsia" w:hAnsiTheme="minorEastAsia" w:eastAsiaTheme="minorEastAsia" w:cstheme="minorEastAsia"/>
                <w:sz w:val="21"/>
                <w:szCs w:val="21"/>
              </w:rPr>
            </w:pPr>
          </w:p>
        </w:tc>
        <w:tc>
          <w:tcPr>
            <w:tcW w:w="2686" w:type="pct"/>
            <w:vAlign w:val="top"/>
          </w:tcPr>
          <w:p w14:paraId="68D0AD2C">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重要时段电话支持服务</w:t>
            </w:r>
          </w:p>
        </w:tc>
        <w:tc>
          <w:tcPr>
            <w:tcW w:w="877" w:type="pct"/>
            <w:vAlign w:val="center"/>
          </w:tcPr>
          <w:p w14:paraId="10BD85C2">
            <w:pPr>
              <w:spacing w:line="200" w:lineRule="atLeast"/>
              <w:jc w:val="center"/>
              <w:rPr>
                <w:rFonts w:ascii="宋体" w:hAnsi="宋体" w:eastAsia="宋体" w:cs="宋体"/>
                <w:szCs w:val="21"/>
              </w:rPr>
            </w:pPr>
          </w:p>
        </w:tc>
        <w:tc>
          <w:tcPr>
            <w:tcW w:w="551" w:type="pct"/>
            <w:vAlign w:val="center"/>
          </w:tcPr>
          <w:p w14:paraId="5B54ABBA">
            <w:pPr>
              <w:spacing w:line="200" w:lineRule="atLeast"/>
              <w:jc w:val="center"/>
              <w:rPr>
                <w:rFonts w:ascii="宋体" w:hAnsi="宋体" w:eastAsia="宋体" w:cs="宋体"/>
                <w:szCs w:val="21"/>
              </w:rPr>
            </w:pPr>
          </w:p>
        </w:tc>
      </w:tr>
      <w:tr w14:paraId="46C42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restart"/>
            <w:vAlign w:val="center"/>
          </w:tcPr>
          <w:p w14:paraId="7868D24F">
            <w:pPr>
              <w:numPr>
                <w:ilvl w:val="0"/>
                <w:numId w:val="3"/>
              </w:numPr>
              <w:spacing w:line="200" w:lineRule="atLeast"/>
              <w:jc w:val="center"/>
              <w:rPr>
                <w:rFonts w:ascii="宋体" w:hAnsi="宋体" w:eastAsia="宋体" w:cs="宋体"/>
                <w:szCs w:val="21"/>
              </w:rPr>
            </w:pPr>
          </w:p>
        </w:tc>
        <w:tc>
          <w:tcPr>
            <w:tcW w:w="640" w:type="pct"/>
            <w:vMerge w:val="restart"/>
            <w:vAlign w:val="center"/>
          </w:tcPr>
          <w:p w14:paraId="4C975B5E">
            <w:pPr>
              <w:spacing w:line="200" w:lineRule="atLeas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系统增值服务</w:t>
            </w:r>
          </w:p>
        </w:tc>
        <w:tc>
          <w:tcPr>
            <w:tcW w:w="2686" w:type="pct"/>
            <w:vAlign w:val="top"/>
          </w:tcPr>
          <w:p w14:paraId="4F634ED8">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技术交流服务</w:t>
            </w:r>
          </w:p>
        </w:tc>
        <w:tc>
          <w:tcPr>
            <w:tcW w:w="877" w:type="pct"/>
            <w:vAlign w:val="center"/>
          </w:tcPr>
          <w:p w14:paraId="419AF2B2">
            <w:pPr>
              <w:spacing w:line="200" w:lineRule="atLeast"/>
              <w:jc w:val="center"/>
              <w:rPr>
                <w:rFonts w:ascii="宋体" w:hAnsi="宋体" w:eastAsia="宋体" w:cs="宋体"/>
                <w:szCs w:val="21"/>
              </w:rPr>
            </w:pPr>
          </w:p>
        </w:tc>
        <w:tc>
          <w:tcPr>
            <w:tcW w:w="551" w:type="pct"/>
            <w:vAlign w:val="center"/>
          </w:tcPr>
          <w:p w14:paraId="48D35436">
            <w:pPr>
              <w:spacing w:line="200" w:lineRule="atLeast"/>
              <w:jc w:val="center"/>
              <w:rPr>
                <w:rFonts w:ascii="宋体" w:hAnsi="宋体" w:eastAsia="宋体" w:cs="宋体"/>
                <w:szCs w:val="21"/>
              </w:rPr>
            </w:pPr>
          </w:p>
        </w:tc>
      </w:tr>
      <w:tr w14:paraId="2C683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continue"/>
            <w:vAlign w:val="center"/>
          </w:tcPr>
          <w:p w14:paraId="4B3F8CB5">
            <w:pPr>
              <w:spacing w:line="200" w:lineRule="atLeast"/>
              <w:jc w:val="center"/>
              <w:rPr>
                <w:rFonts w:ascii="宋体" w:hAnsi="宋体" w:eastAsia="宋体" w:cs="宋体"/>
                <w:szCs w:val="21"/>
              </w:rPr>
            </w:pPr>
          </w:p>
        </w:tc>
        <w:tc>
          <w:tcPr>
            <w:tcW w:w="640" w:type="pct"/>
            <w:vMerge w:val="continue"/>
            <w:vAlign w:val="center"/>
          </w:tcPr>
          <w:p w14:paraId="5EEEC051">
            <w:pPr>
              <w:spacing w:line="200" w:lineRule="atLeast"/>
              <w:jc w:val="center"/>
              <w:rPr>
                <w:rFonts w:hint="eastAsia" w:asciiTheme="minorEastAsia" w:hAnsiTheme="minorEastAsia" w:eastAsiaTheme="minorEastAsia" w:cstheme="minorEastAsia"/>
                <w:sz w:val="21"/>
                <w:szCs w:val="21"/>
              </w:rPr>
            </w:pPr>
          </w:p>
        </w:tc>
        <w:tc>
          <w:tcPr>
            <w:tcW w:w="2686" w:type="pct"/>
            <w:vAlign w:val="top"/>
          </w:tcPr>
          <w:p w14:paraId="5607DAD3">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高可靠性技术支持服务</w:t>
            </w:r>
          </w:p>
        </w:tc>
        <w:tc>
          <w:tcPr>
            <w:tcW w:w="877" w:type="pct"/>
            <w:vAlign w:val="center"/>
          </w:tcPr>
          <w:p w14:paraId="354D4B8C">
            <w:pPr>
              <w:spacing w:line="200" w:lineRule="atLeast"/>
              <w:jc w:val="center"/>
              <w:rPr>
                <w:rFonts w:ascii="宋体" w:hAnsi="宋体" w:eastAsia="宋体" w:cs="宋体"/>
                <w:szCs w:val="21"/>
              </w:rPr>
            </w:pPr>
          </w:p>
        </w:tc>
        <w:tc>
          <w:tcPr>
            <w:tcW w:w="551" w:type="pct"/>
            <w:vAlign w:val="center"/>
          </w:tcPr>
          <w:p w14:paraId="552E7E78">
            <w:pPr>
              <w:spacing w:line="200" w:lineRule="atLeast"/>
              <w:jc w:val="center"/>
              <w:rPr>
                <w:rFonts w:ascii="宋体" w:hAnsi="宋体" w:eastAsia="宋体" w:cs="宋体"/>
                <w:szCs w:val="21"/>
              </w:rPr>
            </w:pPr>
          </w:p>
        </w:tc>
      </w:tr>
      <w:tr w14:paraId="4369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continue"/>
            <w:vAlign w:val="center"/>
          </w:tcPr>
          <w:p w14:paraId="229DB050">
            <w:pPr>
              <w:spacing w:line="200" w:lineRule="atLeast"/>
              <w:jc w:val="center"/>
              <w:rPr>
                <w:rFonts w:ascii="宋体" w:hAnsi="宋体" w:eastAsia="宋体" w:cs="宋体"/>
                <w:szCs w:val="21"/>
              </w:rPr>
            </w:pPr>
          </w:p>
        </w:tc>
        <w:tc>
          <w:tcPr>
            <w:tcW w:w="640" w:type="pct"/>
            <w:vMerge w:val="continue"/>
            <w:vAlign w:val="center"/>
          </w:tcPr>
          <w:p w14:paraId="266C3B3C">
            <w:pPr>
              <w:spacing w:line="200" w:lineRule="atLeast"/>
              <w:jc w:val="center"/>
              <w:rPr>
                <w:rFonts w:hint="eastAsia" w:asciiTheme="minorEastAsia" w:hAnsiTheme="minorEastAsia" w:eastAsiaTheme="minorEastAsia" w:cstheme="minorEastAsia"/>
                <w:sz w:val="21"/>
                <w:szCs w:val="21"/>
              </w:rPr>
            </w:pPr>
          </w:p>
        </w:tc>
        <w:tc>
          <w:tcPr>
            <w:tcW w:w="2686" w:type="pct"/>
            <w:vAlign w:val="top"/>
          </w:tcPr>
          <w:p w14:paraId="7DE6E3FC">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应急处理服务</w:t>
            </w:r>
          </w:p>
        </w:tc>
        <w:tc>
          <w:tcPr>
            <w:tcW w:w="877" w:type="pct"/>
            <w:vAlign w:val="center"/>
          </w:tcPr>
          <w:p w14:paraId="56014464">
            <w:pPr>
              <w:spacing w:line="200" w:lineRule="atLeast"/>
              <w:jc w:val="center"/>
              <w:rPr>
                <w:rFonts w:ascii="宋体" w:hAnsi="宋体" w:eastAsia="宋体" w:cs="宋体"/>
                <w:szCs w:val="21"/>
              </w:rPr>
            </w:pPr>
          </w:p>
        </w:tc>
        <w:tc>
          <w:tcPr>
            <w:tcW w:w="551" w:type="pct"/>
            <w:vAlign w:val="center"/>
          </w:tcPr>
          <w:p w14:paraId="5A1ABD1A">
            <w:pPr>
              <w:spacing w:line="200" w:lineRule="atLeast"/>
              <w:jc w:val="center"/>
              <w:rPr>
                <w:rFonts w:ascii="宋体" w:hAnsi="宋体" w:eastAsia="宋体" w:cs="宋体"/>
                <w:szCs w:val="21"/>
              </w:rPr>
            </w:pPr>
          </w:p>
        </w:tc>
      </w:tr>
      <w:tr w14:paraId="3A432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continue"/>
            <w:vAlign w:val="center"/>
          </w:tcPr>
          <w:p w14:paraId="5D7689B4">
            <w:pPr>
              <w:spacing w:line="200" w:lineRule="atLeast"/>
              <w:jc w:val="center"/>
              <w:rPr>
                <w:rFonts w:ascii="宋体" w:hAnsi="宋体" w:eastAsia="宋体" w:cs="宋体"/>
                <w:szCs w:val="21"/>
              </w:rPr>
            </w:pPr>
          </w:p>
        </w:tc>
        <w:tc>
          <w:tcPr>
            <w:tcW w:w="640" w:type="pct"/>
            <w:vMerge w:val="continue"/>
            <w:vAlign w:val="center"/>
          </w:tcPr>
          <w:p w14:paraId="75F6D0D6">
            <w:pPr>
              <w:spacing w:line="200" w:lineRule="atLeast"/>
              <w:jc w:val="center"/>
              <w:rPr>
                <w:rFonts w:hint="eastAsia" w:asciiTheme="minorEastAsia" w:hAnsiTheme="minorEastAsia" w:eastAsiaTheme="minorEastAsia" w:cstheme="minorEastAsia"/>
                <w:sz w:val="21"/>
                <w:szCs w:val="21"/>
              </w:rPr>
            </w:pPr>
          </w:p>
        </w:tc>
        <w:tc>
          <w:tcPr>
            <w:tcW w:w="2686" w:type="pct"/>
            <w:vAlign w:val="top"/>
          </w:tcPr>
          <w:p w14:paraId="75901A4E">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系统技术支持服务</w:t>
            </w:r>
          </w:p>
        </w:tc>
        <w:tc>
          <w:tcPr>
            <w:tcW w:w="877" w:type="pct"/>
            <w:vAlign w:val="center"/>
          </w:tcPr>
          <w:p w14:paraId="5C53725A">
            <w:pPr>
              <w:spacing w:line="200" w:lineRule="atLeast"/>
              <w:jc w:val="center"/>
              <w:rPr>
                <w:rFonts w:ascii="宋体" w:hAnsi="宋体" w:eastAsia="宋体" w:cs="宋体"/>
                <w:szCs w:val="21"/>
              </w:rPr>
            </w:pPr>
          </w:p>
        </w:tc>
        <w:tc>
          <w:tcPr>
            <w:tcW w:w="551" w:type="pct"/>
            <w:vAlign w:val="center"/>
          </w:tcPr>
          <w:p w14:paraId="674553EA">
            <w:pPr>
              <w:spacing w:line="200" w:lineRule="atLeast"/>
              <w:jc w:val="center"/>
              <w:rPr>
                <w:rFonts w:ascii="宋体" w:hAnsi="宋体" w:eastAsia="宋体" w:cs="宋体"/>
                <w:szCs w:val="21"/>
              </w:rPr>
            </w:pPr>
          </w:p>
        </w:tc>
      </w:tr>
      <w:tr w14:paraId="387B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restart"/>
            <w:vAlign w:val="center"/>
          </w:tcPr>
          <w:p w14:paraId="5B0020D6">
            <w:pPr>
              <w:numPr>
                <w:ilvl w:val="0"/>
                <w:numId w:val="3"/>
              </w:numPr>
              <w:spacing w:line="200" w:lineRule="atLeast"/>
              <w:jc w:val="center"/>
              <w:rPr>
                <w:rFonts w:ascii="宋体" w:hAnsi="宋体" w:eastAsia="宋体" w:cs="宋体"/>
                <w:szCs w:val="21"/>
              </w:rPr>
            </w:pPr>
          </w:p>
        </w:tc>
        <w:tc>
          <w:tcPr>
            <w:tcW w:w="640" w:type="pct"/>
            <w:vMerge w:val="restart"/>
            <w:vAlign w:val="center"/>
          </w:tcPr>
          <w:p w14:paraId="0F172FD1">
            <w:pPr>
              <w:spacing w:line="200" w:lineRule="atLeas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定制服务</w:t>
            </w:r>
          </w:p>
        </w:tc>
        <w:tc>
          <w:tcPr>
            <w:tcW w:w="2686" w:type="pct"/>
            <w:vAlign w:val="top"/>
          </w:tcPr>
          <w:p w14:paraId="503D5728">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现场备件保障服务</w:t>
            </w:r>
          </w:p>
        </w:tc>
        <w:tc>
          <w:tcPr>
            <w:tcW w:w="877" w:type="pct"/>
            <w:vAlign w:val="center"/>
          </w:tcPr>
          <w:p w14:paraId="4443B842">
            <w:pPr>
              <w:spacing w:line="200" w:lineRule="atLeast"/>
              <w:jc w:val="center"/>
              <w:rPr>
                <w:rFonts w:ascii="宋体" w:hAnsi="宋体" w:eastAsia="宋体" w:cs="宋体"/>
                <w:szCs w:val="21"/>
              </w:rPr>
            </w:pPr>
          </w:p>
        </w:tc>
        <w:tc>
          <w:tcPr>
            <w:tcW w:w="551" w:type="pct"/>
            <w:vAlign w:val="center"/>
          </w:tcPr>
          <w:p w14:paraId="6B6B22A4">
            <w:pPr>
              <w:spacing w:line="200" w:lineRule="atLeast"/>
              <w:jc w:val="center"/>
              <w:rPr>
                <w:rFonts w:ascii="宋体" w:hAnsi="宋体" w:eastAsia="宋体" w:cs="宋体"/>
                <w:szCs w:val="21"/>
              </w:rPr>
            </w:pPr>
          </w:p>
        </w:tc>
      </w:tr>
      <w:tr w14:paraId="2F62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continue"/>
            <w:vAlign w:val="center"/>
          </w:tcPr>
          <w:p w14:paraId="79932071">
            <w:pPr>
              <w:spacing w:line="200" w:lineRule="atLeast"/>
              <w:jc w:val="center"/>
              <w:rPr>
                <w:rFonts w:ascii="宋体" w:hAnsi="宋体" w:eastAsia="宋体" w:cs="宋体"/>
                <w:szCs w:val="21"/>
              </w:rPr>
            </w:pPr>
          </w:p>
        </w:tc>
        <w:tc>
          <w:tcPr>
            <w:tcW w:w="640" w:type="pct"/>
            <w:vMerge w:val="continue"/>
            <w:vAlign w:val="center"/>
          </w:tcPr>
          <w:p w14:paraId="152E890E">
            <w:pPr>
              <w:spacing w:line="200" w:lineRule="atLeast"/>
              <w:jc w:val="center"/>
              <w:rPr>
                <w:rFonts w:hint="eastAsia" w:asciiTheme="minorEastAsia" w:hAnsiTheme="minorEastAsia" w:eastAsiaTheme="minorEastAsia" w:cstheme="minorEastAsia"/>
                <w:sz w:val="21"/>
                <w:szCs w:val="21"/>
              </w:rPr>
            </w:pPr>
          </w:p>
        </w:tc>
        <w:tc>
          <w:tcPr>
            <w:tcW w:w="2686" w:type="pct"/>
            <w:vAlign w:val="top"/>
          </w:tcPr>
          <w:p w14:paraId="0F98D387">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重大生产变更支持服务</w:t>
            </w:r>
          </w:p>
        </w:tc>
        <w:tc>
          <w:tcPr>
            <w:tcW w:w="877" w:type="pct"/>
            <w:vAlign w:val="center"/>
          </w:tcPr>
          <w:p w14:paraId="6EC4186C">
            <w:pPr>
              <w:spacing w:line="200" w:lineRule="atLeast"/>
              <w:jc w:val="center"/>
              <w:rPr>
                <w:rFonts w:ascii="宋体" w:hAnsi="宋体" w:eastAsia="宋体" w:cs="宋体"/>
                <w:szCs w:val="21"/>
              </w:rPr>
            </w:pPr>
          </w:p>
        </w:tc>
        <w:tc>
          <w:tcPr>
            <w:tcW w:w="551" w:type="pct"/>
            <w:vAlign w:val="center"/>
          </w:tcPr>
          <w:p w14:paraId="6A0BBEAF">
            <w:pPr>
              <w:spacing w:line="200" w:lineRule="atLeast"/>
              <w:jc w:val="center"/>
              <w:rPr>
                <w:rFonts w:ascii="宋体" w:hAnsi="宋体" w:eastAsia="宋体" w:cs="宋体"/>
                <w:szCs w:val="21"/>
              </w:rPr>
            </w:pPr>
          </w:p>
        </w:tc>
      </w:tr>
      <w:tr w14:paraId="43D72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continue"/>
            <w:vAlign w:val="center"/>
          </w:tcPr>
          <w:p w14:paraId="4A3B405F">
            <w:pPr>
              <w:spacing w:line="200" w:lineRule="atLeast"/>
              <w:jc w:val="center"/>
              <w:rPr>
                <w:rFonts w:ascii="宋体" w:hAnsi="宋体" w:eastAsia="宋体" w:cs="宋体"/>
                <w:szCs w:val="21"/>
              </w:rPr>
            </w:pPr>
          </w:p>
        </w:tc>
        <w:tc>
          <w:tcPr>
            <w:tcW w:w="640" w:type="pct"/>
            <w:vMerge w:val="continue"/>
            <w:vAlign w:val="center"/>
          </w:tcPr>
          <w:p w14:paraId="349CB753">
            <w:pPr>
              <w:spacing w:line="200" w:lineRule="atLeast"/>
              <w:jc w:val="center"/>
              <w:rPr>
                <w:rFonts w:hint="eastAsia" w:asciiTheme="minorEastAsia" w:hAnsiTheme="minorEastAsia" w:eastAsiaTheme="minorEastAsia" w:cstheme="minorEastAsia"/>
                <w:sz w:val="21"/>
                <w:szCs w:val="21"/>
              </w:rPr>
            </w:pPr>
          </w:p>
        </w:tc>
        <w:tc>
          <w:tcPr>
            <w:tcW w:w="2686" w:type="pct"/>
            <w:vAlign w:val="top"/>
          </w:tcPr>
          <w:p w14:paraId="14C80876">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重要时段现场保障服务</w:t>
            </w:r>
          </w:p>
        </w:tc>
        <w:tc>
          <w:tcPr>
            <w:tcW w:w="877" w:type="pct"/>
            <w:vAlign w:val="center"/>
          </w:tcPr>
          <w:p w14:paraId="19E30BA1">
            <w:pPr>
              <w:spacing w:line="200" w:lineRule="atLeast"/>
              <w:jc w:val="center"/>
              <w:rPr>
                <w:rFonts w:ascii="宋体" w:hAnsi="宋体" w:eastAsia="宋体" w:cs="宋体"/>
                <w:szCs w:val="21"/>
              </w:rPr>
            </w:pPr>
          </w:p>
        </w:tc>
        <w:tc>
          <w:tcPr>
            <w:tcW w:w="551" w:type="pct"/>
            <w:vAlign w:val="center"/>
          </w:tcPr>
          <w:p w14:paraId="16C2A943">
            <w:pPr>
              <w:spacing w:line="200" w:lineRule="atLeast"/>
              <w:jc w:val="center"/>
              <w:rPr>
                <w:rFonts w:ascii="宋体" w:hAnsi="宋体" w:eastAsia="宋体" w:cs="宋体"/>
                <w:szCs w:val="21"/>
              </w:rPr>
            </w:pPr>
          </w:p>
        </w:tc>
      </w:tr>
      <w:tr w14:paraId="3010D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continue"/>
            <w:vAlign w:val="center"/>
          </w:tcPr>
          <w:p w14:paraId="45FBC1BE">
            <w:pPr>
              <w:spacing w:line="200" w:lineRule="atLeast"/>
              <w:jc w:val="center"/>
              <w:rPr>
                <w:rFonts w:ascii="宋体" w:hAnsi="宋体" w:eastAsia="宋体" w:cs="宋体"/>
                <w:szCs w:val="21"/>
              </w:rPr>
            </w:pPr>
          </w:p>
        </w:tc>
        <w:tc>
          <w:tcPr>
            <w:tcW w:w="640" w:type="pct"/>
            <w:vMerge w:val="continue"/>
            <w:vAlign w:val="center"/>
          </w:tcPr>
          <w:p w14:paraId="530888D8">
            <w:pPr>
              <w:spacing w:line="200" w:lineRule="atLeast"/>
              <w:jc w:val="center"/>
              <w:rPr>
                <w:rFonts w:hint="eastAsia" w:asciiTheme="minorEastAsia" w:hAnsiTheme="minorEastAsia" w:eastAsiaTheme="minorEastAsia" w:cstheme="minorEastAsia"/>
                <w:sz w:val="21"/>
                <w:szCs w:val="21"/>
              </w:rPr>
            </w:pPr>
          </w:p>
        </w:tc>
        <w:tc>
          <w:tcPr>
            <w:tcW w:w="2686" w:type="pct"/>
            <w:vAlign w:val="top"/>
          </w:tcPr>
          <w:p w14:paraId="65A3C728">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关键业务系统恢复服务</w:t>
            </w:r>
          </w:p>
        </w:tc>
        <w:tc>
          <w:tcPr>
            <w:tcW w:w="877" w:type="pct"/>
            <w:vAlign w:val="center"/>
          </w:tcPr>
          <w:p w14:paraId="2D7744FD">
            <w:pPr>
              <w:spacing w:line="200" w:lineRule="atLeast"/>
              <w:jc w:val="center"/>
              <w:rPr>
                <w:rFonts w:ascii="宋体" w:hAnsi="宋体" w:eastAsia="宋体" w:cs="宋体"/>
                <w:szCs w:val="21"/>
              </w:rPr>
            </w:pPr>
          </w:p>
        </w:tc>
        <w:tc>
          <w:tcPr>
            <w:tcW w:w="551" w:type="pct"/>
            <w:vAlign w:val="center"/>
          </w:tcPr>
          <w:p w14:paraId="0F89CEC7">
            <w:pPr>
              <w:spacing w:line="200" w:lineRule="atLeast"/>
              <w:jc w:val="center"/>
              <w:rPr>
                <w:rFonts w:ascii="宋体" w:hAnsi="宋体" w:eastAsia="宋体" w:cs="宋体"/>
                <w:szCs w:val="21"/>
              </w:rPr>
            </w:pPr>
          </w:p>
        </w:tc>
      </w:tr>
      <w:tr w14:paraId="5C0CC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continue"/>
            <w:vAlign w:val="center"/>
          </w:tcPr>
          <w:p w14:paraId="23E4974C">
            <w:pPr>
              <w:spacing w:line="200" w:lineRule="atLeast"/>
              <w:jc w:val="center"/>
              <w:rPr>
                <w:rFonts w:ascii="宋体" w:hAnsi="宋体" w:eastAsia="宋体" w:cs="宋体"/>
                <w:szCs w:val="21"/>
              </w:rPr>
            </w:pPr>
          </w:p>
        </w:tc>
        <w:tc>
          <w:tcPr>
            <w:tcW w:w="640" w:type="pct"/>
            <w:vMerge w:val="continue"/>
            <w:vAlign w:val="center"/>
          </w:tcPr>
          <w:p w14:paraId="5D24FC51">
            <w:pPr>
              <w:spacing w:line="200" w:lineRule="atLeast"/>
              <w:jc w:val="center"/>
              <w:rPr>
                <w:rFonts w:hint="eastAsia" w:asciiTheme="minorEastAsia" w:hAnsiTheme="minorEastAsia" w:eastAsiaTheme="minorEastAsia" w:cstheme="minorEastAsia"/>
                <w:sz w:val="21"/>
                <w:szCs w:val="21"/>
              </w:rPr>
            </w:pPr>
          </w:p>
        </w:tc>
        <w:tc>
          <w:tcPr>
            <w:tcW w:w="2686" w:type="pct"/>
            <w:vAlign w:val="top"/>
          </w:tcPr>
          <w:p w14:paraId="4404EEA0">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系统高级技术支持服务</w:t>
            </w:r>
          </w:p>
        </w:tc>
        <w:tc>
          <w:tcPr>
            <w:tcW w:w="877" w:type="pct"/>
            <w:vAlign w:val="center"/>
          </w:tcPr>
          <w:p w14:paraId="38B48B53">
            <w:pPr>
              <w:spacing w:line="200" w:lineRule="atLeast"/>
              <w:jc w:val="center"/>
              <w:rPr>
                <w:rFonts w:ascii="宋体" w:hAnsi="宋体" w:eastAsia="宋体" w:cs="宋体"/>
                <w:szCs w:val="21"/>
              </w:rPr>
            </w:pPr>
          </w:p>
        </w:tc>
        <w:tc>
          <w:tcPr>
            <w:tcW w:w="551" w:type="pct"/>
            <w:vAlign w:val="center"/>
          </w:tcPr>
          <w:p w14:paraId="7C250456">
            <w:pPr>
              <w:spacing w:line="200" w:lineRule="atLeast"/>
              <w:jc w:val="center"/>
              <w:rPr>
                <w:rFonts w:ascii="宋体" w:hAnsi="宋体" w:eastAsia="宋体" w:cs="宋体"/>
                <w:szCs w:val="21"/>
              </w:rPr>
            </w:pPr>
          </w:p>
        </w:tc>
      </w:tr>
      <w:tr w14:paraId="196E4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4" w:type="pct"/>
            <w:vMerge w:val="continue"/>
            <w:vAlign w:val="center"/>
          </w:tcPr>
          <w:p w14:paraId="61F21C03">
            <w:pPr>
              <w:spacing w:line="200" w:lineRule="atLeast"/>
              <w:jc w:val="center"/>
              <w:rPr>
                <w:rFonts w:ascii="宋体" w:hAnsi="宋体" w:eastAsia="宋体" w:cs="宋体"/>
                <w:szCs w:val="21"/>
              </w:rPr>
            </w:pPr>
          </w:p>
        </w:tc>
        <w:tc>
          <w:tcPr>
            <w:tcW w:w="640" w:type="pct"/>
            <w:vMerge w:val="continue"/>
            <w:vAlign w:val="center"/>
          </w:tcPr>
          <w:p w14:paraId="24B3F1F8">
            <w:pPr>
              <w:spacing w:line="200" w:lineRule="atLeast"/>
              <w:jc w:val="center"/>
              <w:rPr>
                <w:rFonts w:hint="eastAsia" w:asciiTheme="minorEastAsia" w:hAnsiTheme="minorEastAsia" w:eastAsiaTheme="minorEastAsia" w:cstheme="minorEastAsia"/>
                <w:sz w:val="21"/>
                <w:szCs w:val="21"/>
              </w:rPr>
            </w:pPr>
          </w:p>
        </w:tc>
        <w:tc>
          <w:tcPr>
            <w:tcW w:w="2686" w:type="pct"/>
            <w:vAlign w:val="top"/>
          </w:tcPr>
          <w:p w14:paraId="2247ED5B">
            <w:pPr>
              <w:pStyle w:val="27"/>
              <w:spacing w:after="156"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highlight w:val="none"/>
              </w:rPr>
              <w:t>技术培训服务</w:t>
            </w:r>
          </w:p>
        </w:tc>
        <w:tc>
          <w:tcPr>
            <w:tcW w:w="877" w:type="pct"/>
            <w:vAlign w:val="center"/>
          </w:tcPr>
          <w:p w14:paraId="1FD6B927">
            <w:pPr>
              <w:spacing w:line="200" w:lineRule="atLeast"/>
              <w:jc w:val="center"/>
              <w:rPr>
                <w:rFonts w:ascii="宋体" w:hAnsi="宋体" w:eastAsia="宋体" w:cs="宋体"/>
                <w:szCs w:val="21"/>
              </w:rPr>
            </w:pPr>
          </w:p>
        </w:tc>
        <w:tc>
          <w:tcPr>
            <w:tcW w:w="551" w:type="pct"/>
            <w:vAlign w:val="center"/>
          </w:tcPr>
          <w:p w14:paraId="2B85120F">
            <w:pPr>
              <w:spacing w:line="200" w:lineRule="atLeast"/>
              <w:jc w:val="center"/>
              <w:rPr>
                <w:rFonts w:ascii="宋体" w:hAnsi="宋体" w:eastAsia="宋体" w:cs="宋体"/>
                <w:szCs w:val="21"/>
              </w:rPr>
            </w:pPr>
          </w:p>
        </w:tc>
      </w:tr>
    </w:tbl>
    <w:p w14:paraId="7D2A79A9">
      <w:pPr>
        <w:spacing w:after="209" w:afterLines="67"/>
        <w:rPr>
          <w:rFonts w:asciiTheme="minorEastAsia" w:hAnsiTheme="minorEastAsia" w:cstheme="minorEastAsia"/>
          <w:sz w:val="24"/>
          <w:szCs w:val="24"/>
        </w:rPr>
      </w:pPr>
    </w:p>
    <w:tbl>
      <w:tblPr>
        <w:tblStyle w:val="14"/>
        <w:tblW w:w="5698" w:type="pct"/>
        <w:tblInd w:w="-7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3"/>
        <w:gridCol w:w="758"/>
        <w:gridCol w:w="6052"/>
        <w:gridCol w:w="1483"/>
        <w:gridCol w:w="976"/>
      </w:tblGrid>
      <w:tr w14:paraId="135AF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 w:type="pct"/>
            <w:vAlign w:val="center"/>
          </w:tcPr>
          <w:p w14:paraId="1246074B">
            <w:pPr>
              <w:jc w:val="center"/>
              <w:rPr>
                <w:rFonts w:hint="eastAsia" w:ascii="宋体" w:hAnsi="宋体" w:eastAsia="宋体" w:cs="宋体"/>
                <w:b/>
                <w:bCs/>
                <w:szCs w:val="21"/>
                <w:lang w:val="en-US" w:eastAsia="zh-CN"/>
              </w:rPr>
            </w:pPr>
            <w:r>
              <w:rPr>
                <w:rFonts w:hint="eastAsia" w:ascii="宋体" w:hAnsi="宋体" w:eastAsia="宋体" w:cs="宋体"/>
                <w:b/>
                <w:bCs/>
                <w:szCs w:val="21"/>
                <w:lang w:val="en-US" w:eastAsia="zh-CN"/>
              </w:rPr>
              <w:t>序号</w:t>
            </w:r>
          </w:p>
        </w:tc>
        <w:tc>
          <w:tcPr>
            <w:tcW w:w="390" w:type="pct"/>
            <w:vAlign w:val="center"/>
          </w:tcPr>
          <w:p w14:paraId="45EEE73F">
            <w:pPr>
              <w:jc w:val="center"/>
              <w:rPr>
                <w:rFonts w:hint="eastAsia" w:ascii="宋体" w:hAnsi="宋体" w:eastAsia="宋体" w:cs="宋体"/>
                <w:b/>
                <w:bCs/>
                <w:szCs w:val="21"/>
              </w:rPr>
            </w:pPr>
            <w:r>
              <w:rPr>
                <w:rFonts w:hint="eastAsia" w:ascii="宋体" w:hAnsi="宋体" w:eastAsia="宋体" w:cs="宋体"/>
                <w:b/>
                <w:bCs/>
                <w:szCs w:val="21"/>
              </w:rPr>
              <w:t>项目</w:t>
            </w:r>
          </w:p>
        </w:tc>
        <w:tc>
          <w:tcPr>
            <w:tcW w:w="3114" w:type="pct"/>
            <w:vAlign w:val="center"/>
          </w:tcPr>
          <w:p w14:paraId="792A42C3">
            <w:pPr>
              <w:jc w:val="center"/>
              <w:rPr>
                <w:rFonts w:hint="eastAsia" w:ascii="宋体" w:hAnsi="宋体" w:eastAsia="宋体" w:cs="宋体"/>
                <w:b/>
                <w:bCs/>
                <w:szCs w:val="21"/>
              </w:rPr>
            </w:pPr>
            <w:r>
              <w:rPr>
                <w:rFonts w:hint="eastAsia" w:ascii="宋体" w:hAnsi="宋体" w:eastAsia="宋体" w:cs="宋体"/>
                <w:b/>
                <w:bCs/>
                <w:szCs w:val="21"/>
              </w:rPr>
              <w:t>服务内容</w:t>
            </w:r>
          </w:p>
        </w:tc>
        <w:tc>
          <w:tcPr>
            <w:tcW w:w="763" w:type="pct"/>
            <w:vAlign w:val="center"/>
          </w:tcPr>
          <w:p w14:paraId="3EBCF40A">
            <w:pPr>
              <w:spacing w:line="200" w:lineRule="atLeast"/>
              <w:jc w:val="center"/>
              <w:rPr>
                <w:rFonts w:hint="eastAsia" w:ascii="宋体" w:hAnsi="宋体" w:eastAsia="宋体" w:cs="宋体"/>
                <w:b/>
                <w:bCs/>
                <w:szCs w:val="21"/>
              </w:rPr>
            </w:pPr>
            <w:r>
              <w:rPr>
                <w:rFonts w:hint="eastAsia" w:ascii="宋体" w:hAnsi="宋体" w:eastAsia="宋体" w:cs="宋体"/>
                <w:b/>
                <w:bCs/>
                <w:szCs w:val="21"/>
              </w:rPr>
              <w:t>响应情况（完全满足/部分满足/不满足）</w:t>
            </w:r>
          </w:p>
        </w:tc>
        <w:tc>
          <w:tcPr>
            <w:tcW w:w="502" w:type="pct"/>
            <w:vAlign w:val="center"/>
          </w:tcPr>
          <w:p w14:paraId="43BECD14">
            <w:pPr>
              <w:spacing w:line="200" w:lineRule="atLeast"/>
              <w:jc w:val="center"/>
              <w:rPr>
                <w:rFonts w:hint="eastAsia" w:ascii="宋体" w:hAnsi="宋体" w:eastAsia="宋体" w:cs="宋体"/>
                <w:b/>
                <w:bCs/>
                <w:szCs w:val="21"/>
              </w:rPr>
            </w:pPr>
            <w:r>
              <w:rPr>
                <w:rFonts w:hint="eastAsia" w:ascii="宋体" w:hAnsi="宋体" w:eastAsia="宋体" w:cs="宋体"/>
                <w:b/>
                <w:bCs/>
                <w:szCs w:val="21"/>
              </w:rPr>
              <w:t>备注（描述偏离情况）</w:t>
            </w:r>
          </w:p>
        </w:tc>
      </w:tr>
      <w:tr w14:paraId="4023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 w:type="pct"/>
            <w:vAlign w:val="center"/>
          </w:tcPr>
          <w:p w14:paraId="6BC4A571">
            <w:pPr>
              <w:spacing w:after="120"/>
              <w:jc w:val="left"/>
              <w:textAlignment w:val="center"/>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1</w:t>
            </w:r>
          </w:p>
        </w:tc>
        <w:tc>
          <w:tcPr>
            <w:tcW w:w="758" w:type="dxa"/>
            <w:vAlign w:val="center"/>
          </w:tcPr>
          <w:p w14:paraId="4D4506E3">
            <w:pPr>
              <w:spacing w:after="120"/>
              <w:jc w:val="left"/>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000000"/>
                <w:sz w:val="21"/>
                <w:szCs w:val="21"/>
                <w:lang w:bidi="ar"/>
              </w:rPr>
              <w:t>技术服务</w:t>
            </w:r>
          </w:p>
        </w:tc>
        <w:tc>
          <w:tcPr>
            <w:tcW w:w="6052" w:type="dxa"/>
            <w:vAlign w:val="center"/>
          </w:tcPr>
          <w:p w14:paraId="2FE186B5">
            <w:pPr>
              <w:pStyle w:val="24"/>
              <w:keepNext w:val="0"/>
              <w:keepLines w:val="0"/>
              <w:pageBreakBefore w:val="0"/>
              <w:widowControl/>
              <w:numPr>
                <w:ilvl w:val="0"/>
                <w:numId w:val="4"/>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提供技术响应和技术咨询服务，7×24小时技术服务热线电话。</w:t>
            </w:r>
          </w:p>
          <w:p w14:paraId="51A9655F">
            <w:pPr>
              <w:pStyle w:val="24"/>
              <w:keepNext w:val="0"/>
              <w:keepLines w:val="0"/>
              <w:pageBreakBefore w:val="0"/>
              <w:widowControl/>
              <w:numPr>
                <w:ilvl w:val="0"/>
                <w:numId w:val="4"/>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提供 7×24小时故障应急响应和维护服务，免费提供所需的所有配件和消耗品。</w:t>
            </w:r>
          </w:p>
          <w:p w14:paraId="3C1956F8">
            <w:pPr>
              <w:pStyle w:val="24"/>
              <w:keepNext w:val="0"/>
              <w:keepLines w:val="0"/>
              <w:pageBreakBefore w:val="0"/>
              <w:widowControl/>
              <w:numPr>
                <w:ilvl w:val="0"/>
                <w:numId w:val="4"/>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根据需要在重大安全保障期、应急演练、新系统上线等重要时段提供现场保障和技术支持服务。</w:t>
            </w:r>
          </w:p>
          <w:p w14:paraId="23EE8BD1">
            <w:pPr>
              <w:pStyle w:val="24"/>
              <w:keepNext w:val="0"/>
              <w:keepLines w:val="0"/>
              <w:pageBreakBefore w:val="0"/>
              <w:widowControl/>
              <w:numPr>
                <w:ilvl w:val="0"/>
                <w:numId w:val="4"/>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根据需要为相关的技术人员提供技能培训或集中的高级技能培训、技术交流会。</w:t>
            </w:r>
          </w:p>
          <w:p w14:paraId="1C16F7DA">
            <w:pPr>
              <w:pStyle w:val="24"/>
              <w:keepNext w:val="0"/>
              <w:keepLines w:val="0"/>
              <w:pageBreakBefore w:val="0"/>
              <w:widowControl/>
              <w:numPr>
                <w:ilvl w:val="0"/>
                <w:numId w:val="4"/>
              </w:numPr>
              <w:kinsoku/>
              <w:wordWrap/>
              <w:overflowPunct/>
              <w:topLinePunct w:val="0"/>
              <w:autoSpaceDE/>
              <w:autoSpaceDN/>
              <w:bidi w:val="0"/>
              <w:adjustRightInd/>
              <w:snapToGrid/>
              <w:spacing w:after="0" w:line="240" w:lineRule="auto"/>
              <w:ind w:left="0" w:leftChars="0" w:firstLine="0" w:firstLineChars="0"/>
              <w:contextualSpacing w:val="0"/>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000000"/>
                <w:sz w:val="21"/>
                <w:szCs w:val="21"/>
                <w:lang w:bidi="ar"/>
              </w:rPr>
              <w:t>包括但不限于提供相关系统技术文档、技术服务网站等。</w:t>
            </w:r>
          </w:p>
        </w:tc>
        <w:tc>
          <w:tcPr>
            <w:tcW w:w="763" w:type="pct"/>
            <w:vAlign w:val="center"/>
          </w:tcPr>
          <w:p w14:paraId="3EDC9C5F">
            <w:pPr>
              <w:pStyle w:val="24"/>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contextualSpacing w:val="0"/>
              <w:jc w:val="both"/>
              <w:textAlignment w:val="center"/>
              <w:rPr>
                <w:rFonts w:hint="eastAsia" w:ascii="宋体" w:hAnsi="宋体" w:eastAsia="宋体" w:cs="宋体"/>
                <w:color w:val="auto"/>
                <w:sz w:val="21"/>
                <w:szCs w:val="21"/>
                <w:highlight w:val="none"/>
                <w:lang w:bidi="ar"/>
              </w:rPr>
            </w:pPr>
          </w:p>
        </w:tc>
        <w:tc>
          <w:tcPr>
            <w:tcW w:w="502" w:type="pct"/>
            <w:vAlign w:val="center"/>
          </w:tcPr>
          <w:p w14:paraId="18AA7369">
            <w:pPr>
              <w:pStyle w:val="24"/>
              <w:widowControl/>
              <w:numPr>
                <w:ilvl w:val="0"/>
                <w:numId w:val="4"/>
              </w:numPr>
              <w:spacing w:after="0" w:line="240" w:lineRule="auto"/>
              <w:contextualSpacing w:val="0"/>
              <w:textAlignment w:val="center"/>
              <w:rPr>
                <w:rFonts w:hint="eastAsia" w:ascii="宋体" w:hAnsi="宋体" w:eastAsia="宋体" w:cs="宋体"/>
                <w:color w:val="auto"/>
                <w:sz w:val="21"/>
                <w:szCs w:val="21"/>
                <w:highlight w:val="none"/>
                <w:lang w:bidi="ar"/>
              </w:rPr>
            </w:pPr>
          </w:p>
        </w:tc>
      </w:tr>
      <w:tr w14:paraId="49DF3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 w:type="pct"/>
            <w:vAlign w:val="center"/>
          </w:tcPr>
          <w:p w14:paraId="6BF1D859">
            <w:pPr>
              <w:spacing w:after="120"/>
              <w:jc w:val="left"/>
              <w:textAlignment w:val="center"/>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2</w:t>
            </w:r>
          </w:p>
        </w:tc>
        <w:tc>
          <w:tcPr>
            <w:tcW w:w="758" w:type="dxa"/>
            <w:vAlign w:val="center"/>
          </w:tcPr>
          <w:p w14:paraId="5224D2BC">
            <w:pPr>
              <w:spacing w:after="120"/>
              <w:jc w:val="left"/>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000000"/>
                <w:sz w:val="21"/>
                <w:szCs w:val="21"/>
                <w:lang w:bidi="ar"/>
              </w:rPr>
              <w:t>故障响应处理</w:t>
            </w:r>
          </w:p>
        </w:tc>
        <w:tc>
          <w:tcPr>
            <w:tcW w:w="6052" w:type="dxa"/>
            <w:vAlign w:val="center"/>
          </w:tcPr>
          <w:p w14:paraId="4E85CC30">
            <w:pPr>
              <w:pStyle w:val="24"/>
              <w:keepNext w:val="0"/>
              <w:keepLines w:val="0"/>
              <w:pageBreakBefore w:val="0"/>
              <w:widowControl/>
              <w:numPr>
                <w:ilvl w:val="0"/>
                <w:numId w:val="5"/>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当主要设备（如UPS、配电、空调）发生任何影响业务正常运作的紧急故障，服务商应在15分钟时间内响应，2小时内到达故障现场进行处理。</w:t>
            </w:r>
          </w:p>
          <w:p w14:paraId="1AE8B3A2">
            <w:pPr>
              <w:pStyle w:val="24"/>
              <w:keepNext w:val="0"/>
              <w:keepLines w:val="0"/>
              <w:pageBreakBefore w:val="0"/>
              <w:widowControl/>
              <w:numPr>
                <w:ilvl w:val="0"/>
                <w:numId w:val="5"/>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除上面列出的以外其余系统，任何影响业务正常运作的严重故障，服务商应在15分钟时间内响应，2小时内到达故障现场进行处理。到达故障现场后，立即进行设备维护或通过更换设备零配件来保障设备恢复正常运行。当有设备发生暂时不影响机房业务正常运作的一般故障，服务商应在15分钟时间内响应，2小时内到达故障现场进行处理。到达故障现场后，立即进行设备维护或通过更换设备零配件来保障设备恢复正常运行。</w:t>
            </w:r>
          </w:p>
          <w:p w14:paraId="7DB7CBB9">
            <w:pPr>
              <w:pStyle w:val="24"/>
              <w:keepNext w:val="0"/>
              <w:keepLines w:val="0"/>
              <w:pageBreakBefore w:val="0"/>
              <w:widowControl/>
              <w:numPr>
                <w:ilvl w:val="0"/>
                <w:numId w:val="5"/>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设备故障排除和维修期间，根据设备稳定运行的要求，服务商提供现场技术支持和保障。</w:t>
            </w:r>
          </w:p>
          <w:p w14:paraId="5F23A882">
            <w:pPr>
              <w:pStyle w:val="24"/>
              <w:keepNext w:val="0"/>
              <w:keepLines w:val="0"/>
              <w:pageBreakBefore w:val="0"/>
              <w:widowControl/>
              <w:numPr>
                <w:ilvl w:val="0"/>
                <w:numId w:val="5"/>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故障发生后，如果48小时内不能排除处理故障，客户方有权请任何第三方进行解决，由此而产生的一切费用，由服务商支付。</w:t>
            </w:r>
          </w:p>
          <w:p w14:paraId="4D023BE4">
            <w:pPr>
              <w:pStyle w:val="24"/>
              <w:keepNext w:val="0"/>
              <w:keepLines w:val="0"/>
              <w:pageBreakBefore w:val="0"/>
              <w:widowControl/>
              <w:numPr>
                <w:ilvl w:val="0"/>
                <w:numId w:val="5"/>
              </w:numPr>
              <w:kinsoku/>
              <w:wordWrap/>
              <w:overflowPunct/>
              <w:topLinePunct w:val="0"/>
              <w:autoSpaceDE/>
              <w:autoSpaceDN/>
              <w:bidi w:val="0"/>
              <w:adjustRightInd/>
              <w:snapToGrid/>
              <w:spacing w:after="0" w:line="240" w:lineRule="auto"/>
              <w:ind w:left="0" w:leftChars="0" w:firstLine="0" w:firstLineChars="0"/>
              <w:contextualSpacing w:val="0"/>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000000"/>
                <w:sz w:val="21"/>
                <w:szCs w:val="21"/>
                <w:lang w:bidi="ar"/>
              </w:rPr>
              <w:t>服务商应在故障排除处理后2个工作日内提交《故障应急处理报告》，故障级别对照表见附表2。</w:t>
            </w:r>
          </w:p>
        </w:tc>
        <w:tc>
          <w:tcPr>
            <w:tcW w:w="763" w:type="pct"/>
            <w:vAlign w:val="center"/>
          </w:tcPr>
          <w:p w14:paraId="67FF2CA5">
            <w:pPr>
              <w:pStyle w:val="24"/>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contextualSpacing w:val="0"/>
              <w:jc w:val="both"/>
              <w:textAlignment w:val="center"/>
              <w:rPr>
                <w:rFonts w:hint="eastAsia" w:ascii="宋体" w:hAnsi="宋体" w:eastAsia="宋体" w:cs="宋体"/>
                <w:color w:val="auto"/>
                <w:sz w:val="21"/>
                <w:szCs w:val="21"/>
                <w:highlight w:val="none"/>
                <w:lang w:bidi="ar"/>
              </w:rPr>
            </w:pPr>
          </w:p>
        </w:tc>
        <w:tc>
          <w:tcPr>
            <w:tcW w:w="502" w:type="pct"/>
            <w:vAlign w:val="center"/>
          </w:tcPr>
          <w:p w14:paraId="3F1CB9C3">
            <w:pPr>
              <w:pStyle w:val="24"/>
              <w:widowControl/>
              <w:numPr>
                <w:ilvl w:val="0"/>
                <w:numId w:val="5"/>
              </w:numPr>
              <w:spacing w:after="0" w:line="240" w:lineRule="auto"/>
              <w:contextualSpacing w:val="0"/>
              <w:textAlignment w:val="center"/>
              <w:rPr>
                <w:rFonts w:hint="eastAsia" w:ascii="宋体" w:hAnsi="宋体" w:eastAsia="宋体" w:cs="宋体"/>
                <w:color w:val="auto"/>
                <w:sz w:val="21"/>
                <w:szCs w:val="21"/>
                <w:highlight w:val="none"/>
                <w:lang w:bidi="ar"/>
              </w:rPr>
            </w:pPr>
          </w:p>
        </w:tc>
      </w:tr>
      <w:tr w14:paraId="10FE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 w:type="pct"/>
            <w:vAlign w:val="center"/>
          </w:tcPr>
          <w:p w14:paraId="1D693DD4">
            <w:pPr>
              <w:spacing w:after="156"/>
              <w:jc w:val="left"/>
              <w:textAlignment w:val="center"/>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3</w:t>
            </w:r>
          </w:p>
        </w:tc>
        <w:tc>
          <w:tcPr>
            <w:tcW w:w="758" w:type="dxa"/>
            <w:vAlign w:val="center"/>
          </w:tcPr>
          <w:p w14:paraId="366B1E2D">
            <w:pPr>
              <w:spacing w:after="120"/>
              <w:jc w:val="left"/>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000000"/>
                <w:sz w:val="21"/>
                <w:szCs w:val="21"/>
                <w:lang w:bidi="ar"/>
              </w:rPr>
              <w:t>维保服务安排</w:t>
            </w:r>
          </w:p>
        </w:tc>
        <w:tc>
          <w:tcPr>
            <w:tcW w:w="6052" w:type="dxa"/>
            <w:vAlign w:val="center"/>
          </w:tcPr>
          <w:p w14:paraId="55E03022">
            <w:pPr>
              <w:pStyle w:val="24"/>
              <w:keepNext w:val="0"/>
              <w:keepLines w:val="0"/>
              <w:pageBreakBefore w:val="0"/>
              <w:widowControl/>
              <w:numPr>
                <w:ilvl w:val="0"/>
                <w:numId w:val="6"/>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现场保障服务期间，根据项目服务要求，服务商对所委托的服务范围内的机房维护设备进行巡检维护工作，每月定期巡查设备，每半年UPS电池放电测试，每年4次季度巡检维护保养，做好记录，并将巡检情况告知机房管理人员。巡检发现异常情况时，服务商须采取措施及时处理，并及时通知机房管理人员。</w:t>
            </w:r>
          </w:p>
          <w:p w14:paraId="78583EB8">
            <w:pPr>
              <w:pStyle w:val="24"/>
              <w:keepNext w:val="0"/>
              <w:keepLines w:val="0"/>
              <w:pageBreakBefore w:val="0"/>
              <w:widowControl/>
              <w:numPr>
                <w:ilvl w:val="0"/>
                <w:numId w:val="6"/>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服务商所进行的所有工作（故障抢修、日常巡检等）应遵循机房相关规章制度，需报机房管理人员批准同意后执行。</w:t>
            </w:r>
          </w:p>
          <w:p w14:paraId="19607DDC">
            <w:pPr>
              <w:pStyle w:val="24"/>
              <w:keepNext w:val="0"/>
              <w:keepLines w:val="0"/>
              <w:pageBreakBefore w:val="0"/>
              <w:widowControl/>
              <w:numPr>
                <w:ilvl w:val="0"/>
                <w:numId w:val="6"/>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服务商指派专门的服务人员，对所委托的服务范围内的机房环境设备按照维修保养项目和维修保养计划定期进行检修；按照计划进行季度和年度的保养。每次维护结束后5个工作日内，提交相关维护报告。</w:t>
            </w:r>
          </w:p>
          <w:p w14:paraId="53CDB9A0">
            <w:pPr>
              <w:pStyle w:val="24"/>
              <w:keepNext w:val="0"/>
              <w:keepLines w:val="0"/>
              <w:pageBreakBefore w:val="0"/>
              <w:widowControl/>
              <w:numPr>
                <w:ilvl w:val="0"/>
                <w:numId w:val="6"/>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每年服务商都要安排UPS和空调的品牌厂家或厂家授权的技术服务单位，在现场对机房管理人员进行一次全面的维护技术培训，同时做好该次培训记录文档。</w:t>
            </w:r>
          </w:p>
          <w:p w14:paraId="48E2418B">
            <w:pPr>
              <w:pStyle w:val="24"/>
              <w:keepNext w:val="0"/>
              <w:keepLines w:val="0"/>
              <w:pageBreakBefore w:val="0"/>
              <w:widowControl/>
              <w:numPr>
                <w:ilvl w:val="0"/>
                <w:numId w:val="6"/>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每年度结束，服务商都要对系统运行状况和性能进行全面分析并做年终总结，在每年度维护周期后5个工作日内，提交年终总结。</w:t>
            </w:r>
          </w:p>
          <w:p w14:paraId="46A25696">
            <w:pPr>
              <w:pStyle w:val="24"/>
              <w:keepNext w:val="0"/>
              <w:keepLines w:val="0"/>
              <w:pageBreakBefore w:val="0"/>
              <w:widowControl/>
              <w:numPr>
                <w:ilvl w:val="0"/>
                <w:numId w:val="6"/>
              </w:numPr>
              <w:kinsoku/>
              <w:wordWrap/>
              <w:overflowPunct/>
              <w:topLinePunct w:val="0"/>
              <w:autoSpaceDE/>
              <w:autoSpaceDN/>
              <w:bidi w:val="0"/>
              <w:adjustRightInd/>
              <w:snapToGrid/>
              <w:spacing w:after="0" w:line="240" w:lineRule="auto"/>
              <w:ind w:left="0" w:leftChars="0" w:firstLine="0" w:firstLineChars="0"/>
              <w:contextualSpacing w:val="0"/>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000000"/>
                <w:sz w:val="21"/>
                <w:szCs w:val="21"/>
                <w:lang w:bidi="ar"/>
              </w:rPr>
              <w:t>为保证服务质量，在机房管理人员要求时免费提供原设备厂家维护服务和技术专家支持。</w:t>
            </w:r>
          </w:p>
        </w:tc>
        <w:tc>
          <w:tcPr>
            <w:tcW w:w="763" w:type="pct"/>
            <w:vAlign w:val="center"/>
          </w:tcPr>
          <w:p w14:paraId="7BE2F79A">
            <w:pPr>
              <w:pStyle w:val="24"/>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contextualSpacing w:val="0"/>
              <w:jc w:val="both"/>
              <w:textAlignment w:val="center"/>
              <w:rPr>
                <w:rFonts w:hint="eastAsia" w:ascii="宋体" w:hAnsi="宋体" w:eastAsia="宋体" w:cs="宋体"/>
                <w:color w:val="auto"/>
                <w:sz w:val="21"/>
                <w:szCs w:val="21"/>
                <w:highlight w:val="none"/>
                <w:lang w:bidi="ar"/>
              </w:rPr>
            </w:pPr>
          </w:p>
        </w:tc>
        <w:tc>
          <w:tcPr>
            <w:tcW w:w="502" w:type="pct"/>
            <w:vAlign w:val="center"/>
          </w:tcPr>
          <w:p w14:paraId="09BF6B85">
            <w:pPr>
              <w:pStyle w:val="24"/>
              <w:widowControl/>
              <w:numPr>
                <w:ilvl w:val="0"/>
                <w:numId w:val="6"/>
              </w:numPr>
              <w:spacing w:after="0" w:line="240" w:lineRule="auto"/>
              <w:contextualSpacing w:val="0"/>
              <w:textAlignment w:val="center"/>
              <w:rPr>
                <w:rFonts w:hint="eastAsia" w:ascii="宋体" w:hAnsi="宋体" w:eastAsia="宋体" w:cs="宋体"/>
                <w:color w:val="auto"/>
                <w:sz w:val="21"/>
                <w:szCs w:val="21"/>
                <w:highlight w:val="none"/>
                <w:lang w:bidi="ar"/>
              </w:rPr>
            </w:pPr>
          </w:p>
        </w:tc>
      </w:tr>
      <w:tr w14:paraId="71513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 w:type="pct"/>
            <w:vAlign w:val="center"/>
          </w:tcPr>
          <w:p w14:paraId="4FB1841E">
            <w:pPr>
              <w:spacing w:after="156"/>
              <w:jc w:val="left"/>
              <w:textAlignment w:val="center"/>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4</w:t>
            </w:r>
          </w:p>
        </w:tc>
        <w:tc>
          <w:tcPr>
            <w:tcW w:w="758" w:type="dxa"/>
            <w:vAlign w:val="center"/>
          </w:tcPr>
          <w:p w14:paraId="2F260E1E">
            <w:pPr>
              <w:spacing w:after="120"/>
              <w:jc w:val="left"/>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000000"/>
                <w:sz w:val="21"/>
                <w:szCs w:val="21"/>
                <w:lang w:bidi="ar"/>
              </w:rPr>
              <w:t>技术培训要求</w:t>
            </w:r>
          </w:p>
        </w:tc>
        <w:tc>
          <w:tcPr>
            <w:tcW w:w="6052" w:type="dxa"/>
            <w:vAlign w:val="center"/>
          </w:tcPr>
          <w:p w14:paraId="61F8563C">
            <w:pPr>
              <w:pStyle w:val="24"/>
              <w:keepNext w:val="0"/>
              <w:keepLines w:val="0"/>
              <w:pageBreakBefore w:val="0"/>
              <w:widowControl/>
              <w:numPr>
                <w:ilvl w:val="0"/>
                <w:numId w:val="7"/>
              </w:numPr>
              <w:kinsoku/>
              <w:wordWrap/>
              <w:overflowPunct/>
              <w:topLinePunct w:val="0"/>
              <w:autoSpaceDE/>
              <w:autoSpaceDN/>
              <w:bidi w:val="0"/>
              <w:adjustRightInd/>
              <w:snapToGrid/>
              <w:spacing w:after="0" w:line="240" w:lineRule="auto"/>
              <w:ind w:left="0" w:leftChars="0" w:firstLine="0" w:firstLineChars="0"/>
              <w:contextualSpacing w:val="0"/>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000000"/>
                <w:sz w:val="21"/>
                <w:szCs w:val="21"/>
                <w:lang w:bidi="ar"/>
              </w:rPr>
              <w:t>服务商需提供详细的培训教材和技术资料，负责对机房管理人员进行运维技术培训，以便机房管理人员在培训后能熟练地掌握设备软件及硬件维护工作，并能及时排除大部分的设备现场能应急处理的能力。其中，每年服务商都要安排UPS和空调的品牌厂家或厂家授权的服务单位，在现场对机房管理人员进行一次全面的使用培训，一年不少于一次。</w:t>
            </w:r>
          </w:p>
        </w:tc>
        <w:tc>
          <w:tcPr>
            <w:tcW w:w="763" w:type="pct"/>
            <w:vAlign w:val="center"/>
          </w:tcPr>
          <w:p w14:paraId="6466953E">
            <w:pPr>
              <w:pStyle w:val="24"/>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contextualSpacing w:val="0"/>
              <w:jc w:val="both"/>
              <w:textAlignment w:val="center"/>
              <w:rPr>
                <w:rFonts w:hint="eastAsia" w:ascii="宋体" w:hAnsi="宋体" w:eastAsia="宋体" w:cs="宋体"/>
                <w:color w:val="auto"/>
                <w:sz w:val="21"/>
                <w:szCs w:val="21"/>
                <w:highlight w:val="none"/>
                <w:lang w:bidi="ar"/>
              </w:rPr>
            </w:pPr>
          </w:p>
        </w:tc>
        <w:tc>
          <w:tcPr>
            <w:tcW w:w="502" w:type="pct"/>
            <w:vAlign w:val="center"/>
          </w:tcPr>
          <w:p w14:paraId="14AD3546">
            <w:pPr>
              <w:pStyle w:val="24"/>
              <w:widowControl/>
              <w:numPr>
                <w:ilvl w:val="0"/>
                <w:numId w:val="7"/>
              </w:numPr>
              <w:spacing w:after="0" w:line="240" w:lineRule="auto"/>
              <w:contextualSpacing w:val="0"/>
              <w:textAlignment w:val="center"/>
              <w:rPr>
                <w:rFonts w:hint="eastAsia" w:ascii="宋体" w:hAnsi="宋体" w:eastAsia="宋体" w:cs="宋体"/>
                <w:color w:val="auto"/>
                <w:sz w:val="21"/>
                <w:szCs w:val="21"/>
                <w:highlight w:val="none"/>
                <w:lang w:bidi="ar"/>
              </w:rPr>
            </w:pPr>
          </w:p>
        </w:tc>
      </w:tr>
      <w:tr w14:paraId="65BBF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 w:type="pct"/>
            <w:vAlign w:val="center"/>
          </w:tcPr>
          <w:p w14:paraId="18BECBA1">
            <w:pPr>
              <w:spacing w:after="156"/>
              <w:jc w:val="left"/>
              <w:textAlignment w:val="center"/>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5</w:t>
            </w:r>
          </w:p>
        </w:tc>
        <w:tc>
          <w:tcPr>
            <w:tcW w:w="758" w:type="dxa"/>
            <w:vAlign w:val="center"/>
          </w:tcPr>
          <w:p w14:paraId="1FB6C606">
            <w:pPr>
              <w:spacing w:after="120"/>
              <w:jc w:val="left"/>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000000"/>
                <w:sz w:val="21"/>
                <w:szCs w:val="21"/>
                <w:lang w:bidi="ar"/>
              </w:rPr>
              <w:t>维护保障需求</w:t>
            </w:r>
          </w:p>
        </w:tc>
        <w:tc>
          <w:tcPr>
            <w:tcW w:w="6052" w:type="dxa"/>
            <w:vAlign w:val="center"/>
          </w:tcPr>
          <w:p w14:paraId="01952834">
            <w:pPr>
              <w:pStyle w:val="24"/>
              <w:keepNext w:val="0"/>
              <w:keepLines w:val="0"/>
              <w:pageBreakBefore w:val="0"/>
              <w:widowControl/>
              <w:numPr>
                <w:ilvl w:val="0"/>
                <w:numId w:val="8"/>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sz w:val="21"/>
                <w:szCs w:val="21"/>
              </w:rPr>
              <w:t>★</w:t>
            </w:r>
            <w:r>
              <w:rPr>
                <w:rFonts w:hint="eastAsia" w:ascii="宋体" w:hAnsi="宋体" w:eastAsia="宋体" w:cs="宋体"/>
                <w:color w:val="000000"/>
                <w:sz w:val="21"/>
                <w:szCs w:val="21"/>
                <w:lang w:bidi="ar"/>
              </w:rPr>
              <w:t xml:space="preserve">服务期内服务商提供7*24小时故障响应，上门服务2小时内到达现场做故障排查，软硬件出问题做报修处理，修复时间视故障严重性分为一般故障8小时完成，严重故障24小时完成，重大故障48小时完成。 </w:t>
            </w:r>
          </w:p>
          <w:p w14:paraId="5924CCA3">
            <w:pPr>
              <w:pStyle w:val="24"/>
              <w:keepNext w:val="0"/>
              <w:keepLines w:val="0"/>
              <w:pageBreakBefore w:val="0"/>
              <w:widowControl/>
              <w:numPr>
                <w:ilvl w:val="0"/>
                <w:numId w:val="8"/>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服务商应在广州市设有本地化服务机构和备件库，配有专职维护维修的人员，备充足备品备件、配有广州本地车牌号的专用服务车辆。维护设备出现故障影响正常运转时，维护商应在接到用户维修请求12小时内，带足维修配件赶到现场进行维修，且必须在24小时内设备系统恢复正常工作或提供解决处理方法。</w:t>
            </w:r>
          </w:p>
          <w:p w14:paraId="3A624C90">
            <w:pPr>
              <w:pStyle w:val="24"/>
              <w:keepNext w:val="0"/>
              <w:keepLines w:val="0"/>
              <w:pageBreakBefore w:val="0"/>
              <w:widowControl/>
              <w:numPr>
                <w:ilvl w:val="0"/>
                <w:numId w:val="8"/>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服务商应具备“电子与智能化工程专业承包资质”和具备空调行业“中国设备维修安装企业能力等级证书（类别等级:制冷空调A类II级和D类I级）” 来提供服务。</w:t>
            </w:r>
          </w:p>
          <w:p w14:paraId="4BCE6E54">
            <w:pPr>
              <w:pStyle w:val="24"/>
              <w:keepNext w:val="0"/>
              <w:keepLines w:val="0"/>
              <w:pageBreakBefore w:val="0"/>
              <w:widowControl/>
              <w:numPr>
                <w:ilvl w:val="0"/>
                <w:numId w:val="8"/>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服务商应提供完整的售后服务计划及措施（应包含公司简介、维修人员情况、应急维修时间安排、技术保障、定期巡检保养、主要零配件价格及其它服务承诺等内容）。</w:t>
            </w:r>
          </w:p>
          <w:p w14:paraId="79EFBC7E">
            <w:pPr>
              <w:pStyle w:val="24"/>
              <w:keepNext w:val="0"/>
              <w:keepLines w:val="0"/>
              <w:pageBreakBefore w:val="0"/>
              <w:widowControl/>
              <w:numPr>
                <w:ilvl w:val="0"/>
                <w:numId w:val="8"/>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sz w:val="21"/>
                <w:szCs w:val="21"/>
              </w:rPr>
              <w:t>★</w:t>
            </w:r>
            <w:r>
              <w:rPr>
                <w:rFonts w:hint="eastAsia" w:ascii="宋体" w:hAnsi="宋体" w:eastAsia="宋体" w:cs="宋体"/>
                <w:color w:val="000000"/>
                <w:sz w:val="21"/>
                <w:szCs w:val="21"/>
                <w:lang w:bidi="ar"/>
              </w:rPr>
              <w:t>非UPS和空调的设备品牌原厂家服务商的提供维护服务时，服务商需提供本项目的原厂家维护服务保证书或项目支持授权书。</w:t>
            </w:r>
          </w:p>
          <w:p w14:paraId="68E571DF">
            <w:pPr>
              <w:pStyle w:val="24"/>
              <w:keepNext w:val="0"/>
              <w:keepLines w:val="0"/>
              <w:pageBreakBefore w:val="0"/>
              <w:widowControl/>
              <w:numPr>
                <w:ilvl w:val="0"/>
                <w:numId w:val="8"/>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sz w:val="21"/>
                <w:szCs w:val="21"/>
              </w:rPr>
              <w:t>★</w:t>
            </w:r>
            <w:r>
              <w:rPr>
                <w:rFonts w:hint="eastAsia" w:ascii="宋体" w:hAnsi="宋体" w:eastAsia="宋体" w:cs="宋体"/>
                <w:color w:val="000000"/>
                <w:sz w:val="21"/>
                <w:szCs w:val="21"/>
                <w:lang w:bidi="ar"/>
              </w:rPr>
              <w:t>服务商的UPS和空调服务人员需经原厂家技术培训，并能提供有原厂家的服务技术认证的证书或服务授证书，人员数量不少于3名。需提供7*24小时应急响应，2小时间到场的服务，一年提供4次维护保养服务。</w:t>
            </w:r>
          </w:p>
          <w:p w14:paraId="249BDB4E">
            <w:pPr>
              <w:pStyle w:val="24"/>
              <w:keepNext w:val="0"/>
              <w:keepLines w:val="0"/>
              <w:pageBreakBefore w:val="0"/>
              <w:widowControl/>
              <w:numPr>
                <w:ilvl w:val="0"/>
                <w:numId w:val="8"/>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sz w:val="21"/>
                <w:szCs w:val="21"/>
              </w:rPr>
              <w:t>★若涉及UPS、精密空调、强电配电柜等关键设备的更换，其维保费用应依据该设备</w:t>
            </w:r>
            <w:r>
              <w:rPr>
                <w:rFonts w:hint="eastAsia" w:ascii="宋体" w:hAnsi="宋体" w:eastAsia="宋体" w:cs="宋体"/>
                <w:b/>
                <w:bCs/>
                <w:sz w:val="21"/>
                <w:szCs w:val="21"/>
              </w:rPr>
              <w:t>实际享受维保服务的时长</w:t>
            </w:r>
            <w:r>
              <w:rPr>
                <w:rFonts w:hint="eastAsia" w:ascii="宋体" w:hAnsi="宋体" w:eastAsia="宋体" w:cs="宋体"/>
                <w:sz w:val="21"/>
                <w:szCs w:val="21"/>
              </w:rPr>
              <w:t>进行核算与结算。</w:t>
            </w:r>
            <w:r>
              <w:rPr>
                <w:rFonts w:hint="eastAsia" w:ascii="宋体" w:hAnsi="宋体" w:eastAsia="宋体" w:cs="宋体"/>
                <w:color w:val="000000"/>
                <w:sz w:val="21"/>
                <w:szCs w:val="21"/>
                <w:lang w:bidi="ar"/>
              </w:rPr>
              <w:t xml:space="preserve"> </w:t>
            </w:r>
          </w:p>
          <w:p w14:paraId="7646C4C7">
            <w:pPr>
              <w:pStyle w:val="24"/>
              <w:keepNext w:val="0"/>
              <w:keepLines w:val="0"/>
              <w:pageBreakBefore w:val="0"/>
              <w:widowControl/>
              <w:numPr>
                <w:ilvl w:val="0"/>
                <w:numId w:val="8"/>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sz w:val="21"/>
                <w:szCs w:val="21"/>
                <w:lang w:bidi="ar"/>
              </w:rPr>
              <w:t>服务商在本项目中标后设立广州自有备件库</w:t>
            </w:r>
            <w:r>
              <w:rPr>
                <w:rFonts w:hint="eastAsia" w:ascii="宋体" w:hAnsi="宋体" w:eastAsia="宋体" w:cs="宋体"/>
                <w:color w:val="000000"/>
                <w:sz w:val="21"/>
                <w:szCs w:val="21"/>
                <w:lang w:bidi="ar"/>
              </w:rPr>
              <w:t>（不小于15㎡，需提供地址及图片），按设备的维护保养服务要求，为项目提供设备维修维护和应急时所需的设备配件和消耗品（不含UPS电容电池），重要设备备件响应到位时间为4小时内。</w:t>
            </w:r>
          </w:p>
          <w:p w14:paraId="44C17F2F">
            <w:pPr>
              <w:pStyle w:val="24"/>
              <w:keepNext w:val="0"/>
              <w:keepLines w:val="0"/>
              <w:pageBreakBefore w:val="0"/>
              <w:widowControl/>
              <w:numPr>
                <w:ilvl w:val="0"/>
                <w:numId w:val="8"/>
              </w:numPr>
              <w:kinsoku/>
              <w:wordWrap/>
              <w:overflowPunct/>
              <w:topLinePunct w:val="0"/>
              <w:autoSpaceDE/>
              <w:autoSpaceDN/>
              <w:bidi w:val="0"/>
              <w:adjustRightInd/>
              <w:snapToGrid/>
              <w:spacing w:after="0" w:line="240" w:lineRule="auto"/>
              <w:ind w:left="0" w:leftChars="0" w:firstLine="0" w:firstLineChars="0"/>
              <w:contextualSpacing w:val="0"/>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000000"/>
                <w:sz w:val="21"/>
                <w:szCs w:val="21"/>
                <w:lang w:bidi="ar"/>
              </w:rPr>
              <w:t>服务商存放部分普通耗材备件至项目现场，以进一步提高服务响应的及时性，具体的维护保障备件清单见附表3。</w:t>
            </w:r>
          </w:p>
        </w:tc>
        <w:tc>
          <w:tcPr>
            <w:tcW w:w="763" w:type="pct"/>
            <w:vAlign w:val="center"/>
          </w:tcPr>
          <w:p w14:paraId="2D63B985">
            <w:pPr>
              <w:pStyle w:val="24"/>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contextualSpacing w:val="0"/>
              <w:jc w:val="both"/>
              <w:textAlignment w:val="center"/>
              <w:rPr>
                <w:rFonts w:hint="eastAsia" w:ascii="宋体" w:hAnsi="宋体" w:eastAsia="宋体" w:cs="宋体"/>
                <w:color w:val="auto"/>
                <w:sz w:val="21"/>
                <w:szCs w:val="21"/>
                <w:highlight w:val="none"/>
                <w:lang w:bidi="ar"/>
              </w:rPr>
            </w:pPr>
          </w:p>
        </w:tc>
        <w:tc>
          <w:tcPr>
            <w:tcW w:w="502" w:type="pct"/>
            <w:vAlign w:val="center"/>
          </w:tcPr>
          <w:p w14:paraId="6439DCA0">
            <w:pPr>
              <w:pStyle w:val="24"/>
              <w:widowControl/>
              <w:numPr>
                <w:ilvl w:val="0"/>
                <w:numId w:val="8"/>
              </w:numPr>
              <w:spacing w:after="0" w:line="240" w:lineRule="auto"/>
              <w:contextualSpacing w:val="0"/>
              <w:textAlignment w:val="center"/>
              <w:rPr>
                <w:rFonts w:hint="eastAsia" w:ascii="宋体" w:hAnsi="宋体" w:eastAsia="宋体" w:cs="宋体"/>
                <w:color w:val="auto"/>
                <w:sz w:val="21"/>
                <w:szCs w:val="21"/>
                <w:highlight w:val="none"/>
                <w:lang w:bidi="ar"/>
              </w:rPr>
            </w:pPr>
          </w:p>
        </w:tc>
      </w:tr>
      <w:tr w14:paraId="35073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 w:type="pct"/>
            <w:vAlign w:val="center"/>
          </w:tcPr>
          <w:p w14:paraId="2FC78B6D">
            <w:pPr>
              <w:spacing w:after="156"/>
              <w:jc w:val="left"/>
              <w:textAlignment w:val="center"/>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6</w:t>
            </w:r>
          </w:p>
        </w:tc>
        <w:tc>
          <w:tcPr>
            <w:tcW w:w="758" w:type="dxa"/>
            <w:vAlign w:val="center"/>
          </w:tcPr>
          <w:p w14:paraId="627646D3">
            <w:pPr>
              <w:spacing w:after="120"/>
              <w:jc w:val="left"/>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000000"/>
                <w:sz w:val="21"/>
                <w:szCs w:val="21"/>
                <w:lang w:bidi="ar"/>
              </w:rPr>
              <w:t>维护团队要求</w:t>
            </w:r>
          </w:p>
        </w:tc>
        <w:tc>
          <w:tcPr>
            <w:tcW w:w="6052" w:type="dxa"/>
            <w:vAlign w:val="center"/>
          </w:tcPr>
          <w:p w14:paraId="14D7E915">
            <w:pPr>
              <w:pStyle w:val="24"/>
              <w:keepNext w:val="0"/>
              <w:keepLines w:val="0"/>
              <w:pageBreakBefore w:val="0"/>
              <w:widowControl/>
              <w:numPr>
                <w:ilvl w:val="0"/>
                <w:numId w:val="9"/>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服务商须指派项目管理负责人协调与维护服务相关的事宜，提供（7×24 小时，含节假日）有效的支持服务电话。</w:t>
            </w:r>
          </w:p>
          <w:p w14:paraId="3EA5A448">
            <w:pPr>
              <w:pStyle w:val="24"/>
              <w:keepNext w:val="0"/>
              <w:keepLines w:val="0"/>
              <w:pageBreakBefore w:val="0"/>
              <w:widowControl/>
              <w:numPr>
                <w:ilvl w:val="0"/>
                <w:numId w:val="9"/>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维护服务人员需具备相关资质证明，其中UPS和配电维护人员需具备中华人民共和国特种作业操作证（操作项目：低压电工作业），空调维护服人员需具备中华人民共和国特种作业操作证（操作项目：制冷与空调设备运行操作作业）。</w:t>
            </w:r>
          </w:p>
          <w:p w14:paraId="0D620318">
            <w:pPr>
              <w:pStyle w:val="24"/>
              <w:keepNext w:val="0"/>
              <w:keepLines w:val="0"/>
              <w:pageBreakBefore w:val="0"/>
              <w:widowControl/>
              <w:numPr>
                <w:ilvl w:val="0"/>
                <w:numId w:val="9"/>
              </w:numPr>
              <w:kinsoku/>
              <w:wordWrap/>
              <w:overflowPunct/>
              <w:topLinePunct w:val="0"/>
              <w:autoSpaceDE/>
              <w:autoSpaceDN/>
              <w:bidi w:val="0"/>
              <w:adjustRightInd/>
              <w:snapToGrid/>
              <w:spacing w:after="0" w:line="240" w:lineRule="auto"/>
              <w:ind w:left="0" w:leftChars="0" w:firstLine="0" w:firstLineChars="0"/>
              <w:contextualSpacing w:val="0"/>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000000"/>
                <w:sz w:val="21"/>
                <w:szCs w:val="21"/>
                <w:lang w:bidi="ar"/>
              </w:rPr>
              <w:t>其它服务人员需有五年以上IT机房维护经验（UPS、精密空调配电系统的维护经验），所有服务人员（厂家服务人员除外）需提交相关资质证明资料。</w:t>
            </w:r>
          </w:p>
        </w:tc>
        <w:tc>
          <w:tcPr>
            <w:tcW w:w="763" w:type="pct"/>
            <w:vAlign w:val="center"/>
          </w:tcPr>
          <w:p w14:paraId="338DB3BA">
            <w:pPr>
              <w:pStyle w:val="24"/>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contextualSpacing w:val="0"/>
              <w:jc w:val="both"/>
              <w:textAlignment w:val="center"/>
              <w:rPr>
                <w:rFonts w:hint="eastAsia" w:ascii="宋体" w:hAnsi="宋体" w:eastAsia="宋体" w:cs="宋体"/>
                <w:color w:val="auto"/>
                <w:sz w:val="21"/>
                <w:szCs w:val="21"/>
                <w:highlight w:val="none"/>
                <w:lang w:bidi="ar"/>
              </w:rPr>
            </w:pPr>
          </w:p>
        </w:tc>
        <w:tc>
          <w:tcPr>
            <w:tcW w:w="502" w:type="pct"/>
            <w:vAlign w:val="center"/>
          </w:tcPr>
          <w:p w14:paraId="4664629C">
            <w:pPr>
              <w:pStyle w:val="24"/>
              <w:widowControl/>
              <w:numPr>
                <w:ilvl w:val="0"/>
                <w:numId w:val="10"/>
              </w:numPr>
              <w:spacing w:after="0" w:line="240" w:lineRule="auto"/>
              <w:contextualSpacing w:val="0"/>
              <w:textAlignment w:val="center"/>
              <w:rPr>
                <w:rFonts w:hint="eastAsia" w:ascii="宋体" w:hAnsi="宋体" w:eastAsia="宋体" w:cs="宋体"/>
                <w:color w:val="auto"/>
                <w:sz w:val="21"/>
                <w:szCs w:val="21"/>
                <w:highlight w:val="none"/>
                <w:lang w:bidi="ar"/>
              </w:rPr>
            </w:pPr>
          </w:p>
        </w:tc>
      </w:tr>
      <w:tr w14:paraId="19594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 w:type="pct"/>
            <w:vAlign w:val="center"/>
          </w:tcPr>
          <w:p w14:paraId="4339AC2A">
            <w:pPr>
              <w:spacing w:after="156"/>
              <w:jc w:val="left"/>
              <w:textAlignment w:val="center"/>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7</w:t>
            </w:r>
          </w:p>
        </w:tc>
        <w:tc>
          <w:tcPr>
            <w:tcW w:w="758" w:type="dxa"/>
            <w:vAlign w:val="center"/>
          </w:tcPr>
          <w:p w14:paraId="2BDB8CC1">
            <w:pPr>
              <w:spacing w:after="120"/>
              <w:jc w:val="left"/>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000000"/>
                <w:sz w:val="21"/>
                <w:szCs w:val="21"/>
                <w:lang w:bidi="ar"/>
              </w:rPr>
              <w:t>UPS 维护要求</w:t>
            </w:r>
          </w:p>
        </w:tc>
        <w:tc>
          <w:tcPr>
            <w:tcW w:w="6052" w:type="dxa"/>
            <w:vAlign w:val="center"/>
          </w:tcPr>
          <w:p w14:paraId="3435C7EF">
            <w:pPr>
              <w:pStyle w:val="24"/>
              <w:keepNext w:val="0"/>
              <w:keepLines w:val="0"/>
              <w:pageBreakBefore w:val="0"/>
              <w:widowControl/>
              <w:numPr>
                <w:ilvl w:val="0"/>
                <w:numId w:val="10"/>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设备品牌原厂家提供 7×24小时故障应急响应和维护服务，免费提供所需的所有配件和消耗品（不含UPS电容电池）。</w:t>
            </w:r>
          </w:p>
          <w:p w14:paraId="20A53BE2">
            <w:pPr>
              <w:pStyle w:val="24"/>
              <w:keepNext w:val="0"/>
              <w:keepLines w:val="0"/>
              <w:pageBreakBefore w:val="0"/>
              <w:widowControl/>
              <w:numPr>
                <w:ilvl w:val="0"/>
                <w:numId w:val="10"/>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设备品牌原厂家应建有备件库，为项目提供设备维护和应急时所需的设备、配件和消耗品，并确保备件随时可用。</w:t>
            </w:r>
          </w:p>
          <w:p w14:paraId="79DB406A">
            <w:pPr>
              <w:pStyle w:val="24"/>
              <w:keepNext w:val="0"/>
              <w:keepLines w:val="0"/>
              <w:pageBreakBefore w:val="0"/>
              <w:widowControl/>
              <w:numPr>
                <w:ilvl w:val="0"/>
                <w:numId w:val="10"/>
              </w:numPr>
              <w:kinsoku/>
              <w:wordWrap/>
              <w:overflowPunct/>
              <w:topLinePunct w:val="0"/>
              <w:autoSpaceDE/>
              <w:autoSpaceDN/>
              <w:bidi w:val="0"/>
              <w:adjustRightInd/>
              <w:snapToGrid/>
              <w:spacing w:after="0" w:line="240" w:lineRule="auto"/>
              <w:ind w:left="0" w:leftChars="0" w:firstLine="0" w:firstLineChars="0"/>
              <w:contextualSpacing w:val="0"/>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000000"/>
                <w:sz w:val="21"/>
                <w:szCs w:val="21"/>
                <w:lang w:bidi="ar"/>
              </w:rPr>
              <w:t>所供备件必须为原厂家或原厂家认可的正品。</w:t>
            </w:r>
          </w:p>
        </w:tc>
        <w:tc>
          <w:tcPr>
            <w:tcW w:w="763" w:type="pct"/>
            <w:vAlign w:val="center"/>
          </w:tcPr>
          <w:p w14:paraId="27E533A4">
            <w:pPr>
              <w:pStyle w:val="24"/>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contextualSpacing w:val="0"/>
              <w:jc w:val="both"/>
              <w:textAlignment w:val="center"/>
              <w:rPr>
                <w:rFonts w:hint="eastAsia" w:ascii="宋体" w:hAnsi="宋体" w:eastAsia="宋体" w:cs="宋体"/>
                <w:color w:val="auto"/>
                <w:sz w:val="21"/>
                <w:szCs w:val="21"/>
                <w:highlight w:val="none"/>
                <w:lang w:bidi="ar"/>
              </w:rPr>
            </w:pPr>
          </w:p>
        </w:tc>
        <w:tc>
          <w:tcPr>
            <w:tcW w:w="502" w:type="pct"/>
            <w:vAlign w:val="center"/>
          </w:tcPr>
          <w:p w14:paraId="1B74048D">
            <w:pPr>
              <w:pStyle w:val="24"/>
              <w:widowControl/>
              <w:numPr>
                <w:ilvl w:val="0"/>
                <w:numId w:val="11"/>
              </w:numPr>
              <w:spacing w:after="0" w:line="240" w:lineRule="auto"/>
              <w:contextualSpacing w:val="0"/>
              <w:textAlignment w:val="center"/>
              <w:rPr>
                <w:rFonts w:hint="eastAsia" w:ascii="宋体" w:hAnsi="宋体" w:eastAsia="宋体" w:cs="宋体"/>
                <w:color w:val="auto"/>
                <w:sz w:val="21"/>
                <w:szCs w:val="21"/>
                <w:highlight w:val="none"/>
                <w:lang w:bidi="ar"/>
              </w:rPr>
            </w:pPr>
          </w:p>
        </w:tc>
      </w:tr>
      <w:tr w14:paraId="027A1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 w:type="pct"/>
            <w:vAlign w:val="center"/>
          </w:tcPr>
          <w:p w14:paraId="53C67892">
            <w:pPr>
              <w:spacing w:after="156"/>
              <w:jc w:val="left"/>
              <w:textAlignment w:val="center"/>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8</w:t>
            </w:r>
          </w:p>
        </w:tc>
        <w:tc>
          <w:tcPr>
            <w:tcW w:w="758" w:type="dxa"/>
            <w:vAlign w:val="center"/>
          </w:tcPr>
          <w:p w14:paraId="155E27D2">
            <w:pPr>
              <w:spacing w:after="120"/>
              <w:jc w:val="left"/>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000000"/>
                <w:sz w:val="21"/>
                <w:szCs w:val="21"/>
                <w:lang w:bidi="ar"/>
              </w:rPr>
              <w:t>空调维护要求</w:t>
            </w:r>
          </w:p>
        </w:tc>
        <w:tc>
          <w:tcPr>
            <w:tcW w:w="6052" w:type="dxa"/>
            <w:vAlign w:val="center"/>
          </w:tcPr>
          <w:p w14:paraId="43DBD54A">
            <w:pPr>
              <w:pStyle w:val="24"/>
              <w:keepNext w:val="0"/>
              <w:keepLines w:val="0"/>
              <w:pageBreakBefore w:val="0"/>
              <w:widowControl/>
              <w:numPr>
                <w:ilvl w:val="0"/>
                <w:numId w:val="11"/>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设备品牌原厂家提供 7×24小时故障应急响应和维护服务，免费提供所需的所有配件和消耗品。</w:t>
            </w:r>
          </w:p>
          <w:p w14:paraId="3EF11D16">
            <w:pPr>
              <w:pStyle w:val="24"/>
              <w:keepNext w:val="0"/>
              <w:keepLines w:val="0"/>
              <w:pageBreakBefore w:val="0"/>
              <w:widowControl/>
              <w:numPr>
                <w:ilvl w:val="0"/>
                <w:numId w:val="11"/>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服务商需在建有备件库内应存放部分项目的精密空调备件，以进一步提高服务响应的及时性，备件设备响应到位时间为4小时内。</w:t>
            </w:r>
          </w:p>
          <w:p w14:paraId="5F640104">
            <w:pPr>
              <w:pStyle w:val="24"/>
              <w:keepNext w:val="0"/>
              <w:keepLines w:val="0"/>
              <w:pageBreakBefore w:val="0"/>
              <w:widowControl/>
              <w:numPr>
                <w:ilvl w:val="0"/>
                <w:numId w:val="11"/>
              </w:numPr>
              <w:kinsoku/>
              <w:wordWrap/>
              <w:overflowPunct/>
              <w:topLinePunct w:val="0"/>
              <w:autoSpaceDE/>
              <w:autoSpaceDN/>
              <w:bidi w:val="0"/>
              <w:adjustRightInd/>
              <w:snapToGrid/>
              <w:spacing w:after="0" w:line="240" w:lineRule="auto"/>
              <w:ind w:left="0" w:leftChars="0" w:firstLine="0" w:firstLineChars="0"/>
              <w:contextualSpacing w:val="0"/>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000000"/>
                <w:sz w:val="21"/>
                <w:szCs w:val="21"/>
                <w:lang w:bidi="ar"/>
              </w:rPr>
              <w:t>所供备件必须为原厂家或原厂家认可的正品。</w:t>
            </w:r>
          </w:p>
        </w:tc>
        <w:tc>
          <w:tcPr>
            <w:tcW w:w="763" w:type="pct"/>
            <w:vAlign w:val="center"/>
          </w:tcPr>
          <w:p w14:paraId="20534FC6">
            <w:pPr>
              <w:pStyle w:val="24"/>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contextualSpacing w:val="0"/>
              <w:jc w:val="both"/>
              <w:textAlignment w:val="center"/>
              <w:rPr>
                <w:rFonts w:hint="eastAsia" w:ascii="宋体" w:hAnsi="宋体" w:eastAsia="宋体" w:cs="宋体"/>
                <w:color w:val="auto"/>
                <w:sz w:val="21"/>
                <w:szCs w:val="21"/>
                <w:highlight w:val="none"/>
                <w:lang w:bidi="ar"/>
              </w:rPr>
            </w:pPr>
          </w:p>
        </w:tc>
        <w:tc>
          <w:tcPr>
            <w:tcW w:w="502" w:type="pct"/>
            <w:vAlign w:val="center"/>
          </w:tcPr>
          <w:p w14:paraId="1F10C6E4">
            <w:pPr>
              <w:pStyle w:val="24"/>
              <w:widowControl/>
              <w:numPr>
                <w:ilvl w:val="0"/>
                <w:numId w:val="12"/>
              </w:numPr>
              <w:spacing w:after="0" w:line="240" w:lineRule="auto"/>
              <w:contextualSpacing w:val="0"/>
              <w:textAlignment w:val="center"/>
              <w:rPr>
                <w:rFonts w:hint="eastAsia" w:ascii="宋体" w:hAnsi="宋体" w:eastAsia="宋体" w:cs="宋体"/>
                <w:color w:val="auto"/>
                <w:sz w:val="21"/>
                <w:szCs w:val="21"/>
                <w:highlight w:val="none"/>
                <w:lang w:bidi="ar"/>
              </w:rPr>
            </w:pPr>
          </w:p>
        </w:tc>
      </w:tr>
      <w:tr w14:paraId="761E8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 w:type="pct"/>
            <w:vAlign w:val="center"/>
          </w:tcPr>
          <w:p w14:paraId="5AC4FA6F">
            <w:pPr>
              <w:spacing w:after="156"/>
              <w:jc w:val="left"/>
              <w:textAlignment w:val="center"/>
              <w:rPr>
                <w:rFonts w:hint="eastAsia"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9</w:t>
            </w:r>
          </w:p>
        </w:tc>
        <w:tc>
          <w:tcPr>
            <w:tcW w:w="758" w:type="dxa"/>
            <w:vAlign w:val="center"/>
          </w:tcPr>
          <w:p w14:paraId="7FD8C89E">
            <w:pPr>
              <w:spacing w:after="120"/>
              <w:jc w:val="left"/>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000000"/>
                <w:sz w:val="21"/>
                <w:szCs w:val="21"/>
                <w:lang w:bidi="ar"/>
              </w:rPr>
              <w:t>巡检要求</w:t>
            </w:r>
          </w:p>
        </w:tc>
        <w:tc>
          <w:tcPr>
            <w:tcW w:w="6052" w:type="dxa"/>
            <w:vAlign w:val="center"/>
          </w:tcPr>
          <w:p w14:paraId="7AAD7A81">
            <w:pPr>
              <w:pStyle w:val="24"/>
              <w:keepNext w:val="0"/>
              <w:keepLines w:val="0"/>
              <w:pageBreakBefore w:val="0"/>
              <w:widowControl/>
              <w:numPr>
                <w:ilvl w:val="0"/>
                <w:numId w:val="12"/>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针对维保设备和系统提供每月定期巡查服务，每年4次季度巡检服务，根据巡检结果对故障处理和系统优化；</w:t>
            </w:r>
          </w:p>
          <w:p w14:paraId="552E6BA5">
            <w:pPr>
              <w:pStyle w:val="24"/>
              <w:keepNext w:val="0"/>
              <w:keepLines w:val="0"/>
              <w:pageBreakBefore w:val="0"/>
              <w:widowControl/>
              <w:numPr>
                <w:ilvl w:val="0"/>
                <w:numId w:val="12"/>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月度巡查、季度巡检，完成后5个工作日内提供书面报告；</w:t>
            </w:r>
          </w:p>
          <w:p w14:paraId="240752D2">
            <w:pPr>
              <w:pStyle w:val="24"/>
              <w:keepNext w:val="0"/>
              <w:keepLines w:val="0"/>
              <w:pageBreakBefore w:val="0"/>
              <w:widowControl/>
              <w:numPr>
                <w:ilvl w:val="0"/>
                <w:numId w:val="12"/>
              </w:numPr>
              <w:kinsoku/>
              <w:wordWrap/>
              <w:overflowPunct/>
              <w:topLinePunct w:val="0"/>
              <w:autoSpaceDE/>
              <w:autoSpaceDN/>
              <w:bidi w:val="0"/>
              <w:adjustRightInd/>
              <w:snapToGrid/>
              <w:spacing w:after="0" w:line="240" w:lineRule="auto"/>
              <w:ind w:left="0" w:leftChars="0" w:firstLine="0" w:firstLineChars="0"/>
              <w:contextualSpacing w:val="0"/>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000000"/>
                <w:sz w:val="21"/>
                <w:szCs w:val="21"/>
                <w:lang w:bidi="ar"/>
              </w:rPr>
              <w:t>年度服务完成后，提供详细的年度总结报告。</w:t>
            </w:r>
          </w:p>
        </w:tc>
        <w:tc>
          <w:tcPr>
            <w:tcW w:w="763" w:type="pct"/>
            <w:vAlign w:val="center"/>
          </w:tcPr>
          <w:p w14:paraId="39153212">
            <w:pPr>
              <w:pStyle w:val="24"/>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contextualSpacing w:val="0"/>
              <w:jc w:val="both"/>
              <w:textAlignment w:val="center"/>
              <w:rPr>
                <w:rFonts w:hint="eastAsia" w:ascii="宋体" w:hAnsi="宋体" w:eastAsia="宋体" w:cs="宋体"/>
                <w:color w:val="auto"/>
                <w:sz w:val="21"/>
                <w:szCs w:val="21"/>
                <w:highlight w:val="none"/>
                <w:lang w:bidi="ar"/>
              </w:rPr>
            </w:pPr>
          </w:p>
        </w:tc>
        <w:tc>
          <w:tcPr>
            <w:tcW w:w="502" w:type="pct"/>
            <w:vAlign w:val="center"/>
          </w:tcPr>
          <w:p w14:paraId="137E0C32">
            <w:pPr>
              <w:pStyle w:val="24"/>
              <w:widowControl/>
              <w:numPr>
                <w:ilvl w:val="0"/>
                <w:numId w:val="13"/>
              </w:numPr>
              <w:spacing w:after="0" w:line="240" w:lineRule="auto"/>
              <w:contextualSpacing w:val="0"/>
              <w:textAlignment w:val="center"/>
              <w:rPr>
                <w:rFonts w:hint="eastAsia" w:ascii="宋体" w:hAnsi="宋体" w:eastAsia="宋体" w:cs="宋体"/>
                <w:color w:val="auto"/>
                <w:sz w:val="21"/>
                <w:szCs w:val="21"/>
                <w:highlight w:val="none"/>
                <w:lang w:bidi="ar"/>
              </w:rPr>
            </w:pPr>
          </w:p>
        </w:tc>
      </w:tr>
      <w:tr w14:paraId="23EB5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 w:type="pct"/>
            <w:vAlign w:val="center"/>
          </w:tcPr>
          <w:p w14:paraId="41DD65C0">
            <w:pPr>
              <w:spacing w:after="156"/>
              <w:jc w:val="left"/>
              <w:textAlignment w:val="center"/>
              <w:rPr>
                <w:rFonts w:hint="default"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10</w:t>
            </w:r>
          </w:p>
        </w:tc>
        <w:tc>
          <w:tcPr>
            <w:tcW w:w="758" w:type="dxa"/>
            <w:vAlign w:val="center"/>
          </w:tcPr>
          <w:p w14:paraId="46A6EA4D">
            <w:pPr>
              <w:spacing w:after="120"/>
              <w:jc w:val="left"/>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000000"/>
                <w:sz w:val="21"/>
                <w:szCs w:val="21"/>
                <w:lang w:bidi="ar"/>
              </w:rPr>
              <w:t>备件要求</w:t>
            </w:r>
          </w:p>
        </w:tc>
        <w:tc>
          <w:tcPr>
            <w:tcW w:w="6052" w:type="dxa"/>
            <w:vAlign w:val="center"/>
          </w:tcPr>
          <w:p w14:paraId="7B47B074">
            <w:pPr>
              <w:pStyle w:val="24"/>
              <w:keepNext w:val="0"/>
              <w:keepLines w:val="0"/>
              <w:pageBreakBefore w:val="0"/>
              <w:widowControl/>
              <w:numPr>
                <w:ilvl w:val="0"/>
                <w:numId w:val="13"/>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服务商需根据我司提出的重要生产设备的关键部件清单预存备件。</w:t>
            </w:r>
          </w:p>
          <w:p w14:paraId="6DD21977">
            <w:pPr>
              <w:pStyle w:val="24"/>
              <w:keepNext w:val="0"/>
              <w:keepLines w:val="0"/>
              <w:pageBreakBefore w:val="0"/>
              <w:widowControl/>
              <w:numPr>
                <w:ilvl w:val="0"/>
                <w:numId w:val="13"/>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服务商所供备件必须通过正当渠道采购，为原厂或原厂家认可正品。</w:t>
            </w:r>
          </w:p>
          <w:p w14:paraId="12ACE95F">
            <w:pPr>
              <w:pStyle w:val="24"/>
              <w:keepNext w:val="0"/>
              <w:keepLines w:val="0"/>
              <w:pageBreakBefore w:val="0"/>
              <w:widowControl/>
              <w:numPr>
                <w:ilvl w:val="0"/>
                <w:numId w:val="13"/>
              </w:numPr>
              <w:kinsoku/>
              <w:wordWrap/>
              <w:overflowPunct/>
              <w:topLinePunct w:val="0"/>
              <w:autoSpaceDE/>
              <w:autoSpaceDN/>
              <w:bidi w:val="0"/>
              <w:adjustRightInd/>
              <w:snapToGrid/>
              <w:spacing w:after="0" w:line="240" w:lineRule="auto"/>
              <w:ind w:left="0" w:leftChars="0" w:firstLine="0" w:firstLineChars="0"/>
              <w:contextualSpacing w:val="0"/>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000000"/>
                <w:sz w:val="21"/>
                <w:szCs w:val="21"/>
                <w:lang w:bidi="ar"/>
              </w:rPr>
              <w:t>如故障设备在8小时内不能修复，且严重影响业务运行，服务商在故障确认后12小时内向我司免费提供应急设备。</w:t>
            </w:r>
          </w:p>
        </w:tc>
        <w:tc>
          <w:tcPr>
            <w:tcW w:w="763" w:type="pct"/>
            <w:vAlign w:val="center"/>
          </w:tcPr>
          <w:p w14:paraId="1913E73D">
            <w:pPr>
              <w:pStyle w:val="24"/>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contextualSpacing w:val="0"/>
              <w:jc w:val="both"/>
              <w:textAlignment w:val="center"/>
              <w:rPr>
                <w:rFonts w:hint="eastAsia" w:ascii="宋体" w:hAnsi="宋体" w:eastAsia="宋体" w:cs="宋体"/>
                <w:color w:val="auto"/>
                <w:sz w:val="21"/>
                <w:szCs w:val="21"/>
                <w:highlight w:val="none"/>
                <w:lang w:bidi="ar"/>
              </w:rPr>
            </w:pPr>
          </w:p>
        </w:tc>
        <w:tc>
          <w:tcPr>
            <w:tcW w:w="502" w:type="pct"/>
            <w:vAlign w:val="center"/>
          </w:tcPr>
          <w:p w14:paraId="3572A370">
            <w:pPr>
              <w:pStyle w:val="24"/>
              <w:widowControl/>
              <w:numPr>
                <w:ilvl w:val="0"/>
                <w:numId w:val="13"/>
              </w:numPr>
              <w:spacing w:after="0" w:line="240" w:lineRule="auto"/>
              <w:contextualSpacing w:val="0"/>
              <w:textAlignment w:val="center"/>
              <w:rPr>
                <w:rFonts w:hint="eastAsia" w:ascii="宋体" w:hAnsi="宋体" w:eastAsia="宋体" w:cs="宋体"/>
                <w:color w:val="auto"/>
                <w:sz w:val="21"/>
                <w:szCs w:val="21"/>
                <w:highlight w:val="none"/>
                <w:lang w:bidi="ar"/>
              </w:rPr>
            </w:pPr>
          </w:p>
        </w:tc>
      </w:tr>
      <w:tr w14:paraId="21D35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 w:type="pct"/>
            <w:vAlign w:val="center"/>
          </w:tcPr>
          <w:p w14:paraId="51099C0A">
            <w:pPr>
              <w:spacing w:after="156"/>
              <w:jc w:val="left"/>
              <w:textAlignment w:val="center"/>
              <w:rPr>
                <w:rFonts w:hint="default" w:ascii="宋体" w:hAnsi="宋体" w:eastAsia="宋体" w:cs="宋体"/>
                <w:color w:val="auto"/>
                <w:sz w:val="21"/>
                <w:szCs w:val="21"/>
                <w:highlight w:val="none"/>
                <w:lang w:val="en-US" w:eastAsia="zh-CN" w:bidi="ar"/>
              </w:rPr>
            </w:pPr>
            <w:r>
              <w:rPr>
                <w:rFonts w:hint="eastAsia" w:ascii="宋体" w:hAnsi="宋体" w:eastAsia="宋体" w:cs="宋体"/>
                <w:color w:val="auto"/>
                <w:sz w:val="21"/>
                <w:szCs w:val="21"/>
                <w:highlight w:val="none"/>
                <w:lang w:val="en-US" w:eastAsia="zh-CN" w:bidi="ar"/>
              </w:rPr>
              <w:t>11</w:t>
            </w:r>
          </w:p>
        </w:tc>
        <w:tc>
          <w:tcPr>
            <w:tcW w:w="758" w:type="dxa"/>
            <w:vAlign w:val="center"/>
          </w:tcPr>
          <w:p w14:paraId="2CB19D4A">
            <w:pPr>
              <w:spacing w:after="120"/>
              <w:jc w:val="left"/>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000000"/>
                <w:sz w:val="21"/>
                <w:szCs w:val="21"/>
                <w:lang w:bidi="ar"/>
              </w:rPr>
              <w:t>文档要求</w:t>
            </w:r>
          </w:p>
        </w:tc>
        <w:tc>
          <w:tcPr>
            <w:tcW w:w="6052" w:type="dxa"/>
            <w:vAlign w:val="center"/>
          </w:tcPr>
          <w:p w14:paraId="6F2E17EF">
            <w:pPr>
              <w:pStyle w:val="24"/>
              <w:keepNext w:val="0"/>
              <w:keepLines w:val="0"/>
              <w:pageBreakBefore w:val="0"/>
              <w:widowControl/>
              <w:numPr>
                <w:ilvl w:val="0"/>
                <w:numId w:val="14"/>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《故障应急处理报告》，内容包括：故障设备、故障报障和响应记录、故障现象、故障处理过程、故障处理结果。</w:t>
            </w:r>
          </w:p>
          <w:p w14:paraId="162E3ACC">
            <w:pPr>
              <w:pStyle w:val="24"/>
              <w:keepNext w:val="0"/>
              <w:keepLines w:val="0"/>
              <w:pageBreakBefore w:val="0"/>
              <w:widowControl/>
              <w:numPr>
                <w:ilvl w:val="0"/>
                <w:numId w:val="14"/>
              </w:numPr>
              <w:kinsoku/>
              <w:wordWrap/>
              <w:overflowPunct/>
              <w:topLinePunct w:val="0"/>
              <w:autoSpaceDE/>
              <w:autoSpaceDN/>
              <w:bidi w:val="0"/>
              <w:adjustRightInd/>
              <w:snapToGrid/>
              <w:spacing w:after="0" w:line="240" w:lineRule="auto"/>
              <w:ind w:left="0" w:firstLine="0" w:firstLineChars="0"/>
              <w:contextualSpacing w:val="0"/>
              <w:textAlignment w:val="center"/>
              <w:rPr>
                <w:rFonts w:hint="eastAsia" w:ascii="宋体" w:hAnsi="宋体" w:eastAsia="宋体" w:cs="宋体"/>
                <w:color w:val="000000"/>
                <w:sz w:val="21"/>
                <w:szCs w:val="21"/>
                <w:lang w:bidi="ar"/>
              </w:rPr>
            </w:pPr>
            <w:r>
              <w:rPr>
                <w:rFonts w:hint="eastAsia" w:ascii="宋体" w:hAnsi="宋体" w:eastAsia="宋体" w:cs="宋体"/>
                <w:color w:val="000000"/>
                <w:sz w:val="21"/>
                <w:szCs w:val="21"/>
                <w:lang w:bidi="ar"/>
              </w:rPr>
              <w:t>《故障分析报告》，内容包括：故障设备、故障发生时间、故障现象、故障原因分析、故障解决方案、故障预防措施。</w:t>
            </w:r>
          </w:p>
          <w:p w14:paraId="35054593">
            <w:pPr>
              <w:pStyle w:val="24"/>
              <w:keepNext w:val="0"/>
              <w:keepLines w:val="0"/>
              <w:pageBreakBefore w:val="0"/>
              <w:widowControl/>
              <w:numPr>
                <w:ilvl w:val="0"/>
                <w:numId w:val="14"/>
              </w:numPr>
              <w:kinsoku/>
              <w:wordWrap/>
              <w:overflowPunct/>
              <w:topLinePunct w:val="0"/>
              <w:autoSpaceDE/>
              <w:autoSpaceDN/>
              <w:bidi w:val="0"/>
              <w:adjustRightInd/>
              <w:snapToGrid/>
              <w:spacing w:after="0" w:line="240" w:lineRule="auto"/>
              <w:ind w:left="0" w:leftChars="0" w:firstLine="0" w:firstLineChars="0"/>
              <w:contextualSpacing w:val="0"/>
              <w:textAlignment w:val="center"/>
              <w:rPr>
                <w:rFonts w:hint="eastAsia" w:ascii="宋体" w:hAnsi="宋体" w:eastAsia="宋体" w:cs="宋体"/>
                <w:color w:val="auto"/>
                <w:sz w:val="21"/>
                <w:szCs w:val="21"/>
                <w:highlight w:val="none"/>
                <w:lang w:bidi="ar"/>
              </w:rPr>
            </w:pPr>
            <w:r>
              <w:rPr>
                <w:rFonts w:hint="eastAsia" w:ascii="宋体" w:hAnsi="宋体" w:eastAsia="宋体" w:cs="宋体"/>
                <w:color w:val="000000"/>
                <w:sz w:val="21"/>
                <w:szCs w:val="21"/>
                <w:lang w:bidi="ar"/>
              </w:rPr>
              <w:t>《维护保修服务技术档案》，内容包括：维保设备信息、故障时间、报告人员、故障类型、故障原因、维护方法、维护质量、预防措施、维护时间和维护人员、提交件等信息。</w:t>
            </w:r>
          </w:p>
        </w:tc>
        <w:tc>
          <w:tcPr>
            <w:tcW w:w="763" w:type="pct"/>
            <w:vAlign w:val="center"/>
          </w:tcPr>
          <w:p w14:paraId="7961450C">
            <w:pPr>
              <w:pStyle w:val="24"/>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contextualSpacing w:val="0"/>
              <w:jc w:val="both"/>
              <w:textAlignment w:val="center"/>
              <w:rPr>
                <w:rFonts w:hint="eastAsia" w:ascii="宋体" w:hAnsi="宋体" w:eastAsia="宋体" w:cs="宋体"/>
                <w:color w:val="auto"/>
                <w:sz w:val="21"/>
                <w:szCs w:val="21"/>
                <w:highlight w:val="none"/>
                <w:lang w:bidi="ar"/>
              </w:rPr>
            </w:pPr>
          </w:p>
        </w:tc>
        <w:tc>
          <w:tcPr>
            <w:tcW w:w="502" w:type="pct"/>
            <w:vAlign w:val="center"/>
          </w:tcPr>
          <w:p w14:paraId="3C885E6F">
            <w:pPr>
              <w:pStyle w:val="24"/>
              <w:widowControl/>
              <w:numPr>
                <w:ilvl w:val="0"/>
                <w:numId w:val="13"/>
              </w:numPr>
              <w:spacing w:after="0" w:line="240" w:lineRule="auto"/>
              <w:contextualSpacing w:val="0"/>
              <w:textAlignment w:val="center"/>
              <w:rPr>
                <w:rFonts w:hint="eastAsia" w:ascii="宋体" w:hAnsi="宋体" w:eastAsia="宋体" w:cs="宋体"/>
                <w:color w:val="auto"/>
                <w:sz w:val="21"/>
                <w:szCs w:val="21"/>
                <w:highlight w:val="none"/>
                <w:lang w:bidi="ar"/>
              </w:rPr>
            </w:pPr>
          </w:p>
        </w:tc>
      </w:tr>
    </w:tbl>
    <w:p w14:paraId="2B165B07">
      <w:pPr>
        <w:spacing w:after="209" w:afterLines="67"/>
        <w:rPr>
          <w:rFonts w:asciiTheme="minorEastAsia" w:hAnsiTheme="minorEastAsia" w:cstheme="minorEastAsia"/>
          <w:sz w:val="24"/>
          <w:szCs w:val="24"/>
        </w:rPr>
      </w:pPr>
      <w:bookmarkStart w:id="1" w:name="_GoBack"/>
      <w:bookmarkEnd w:id="1"/>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9354303"/>
    </w:sdtPr>
    <w:sdtEndPr>
      <w:rPr>
        <w:rFonts w:asciiTheme="minorEastAsia" w:hAnsiTheme="minorEastAsia"/>
        <w:sz w:val="24"/>
        <w:szCs w:val="24"/>
      </w:rPr>
    </w:sdtEndPr>
    <w:sdtContent>
      <w:p w14:paraId="06A2B8FC">
        <w:pPr>
          <w:pStyle w:val="9"/>
          <w:jc w:val="center"/>
          <w:rPr>
            <w:rFonts w:asciiTheme="minorEastAsia" w:hAnsiTheme="minorEastAsia"/>
            <w:sz w:val="24"/>
            <w:szCs w:val="24"/>
          </w:rPr>
        </w:pPr>
        <w:r>
          <w:rPr>
            <w:rFonts w:asciiTheme="minorEastAsia" w:hAnsiTheme="minorEastAsia"/>
            <w:sz w:val="24"/>
            <w:szCs w:val="24"/>
          </w:rPr>
          <w:fldChar w:fldCharType="begin"/>
        </w:r>
        <w:r>
          <w:rPr>
            <w:rFonts w:asciiTheme="minorEastAsia" w:hAnsiTheme="minorEastAsia"/>
            <w:sz w:val="24"/>
            <w:szCs w:val="24"/>
          </w:rPr>
          <w:instrText xml:space="preserve">PAGE   \* MERGEFORMAT</w:instrText>
        </w:r>
        <w:r>
          <w:rPr>
            <w:rFonts w:asciiTheme="minorEastAsia" w:hAnsiTheme="minorEastAsia"/>
            <w:sz w:val="24"/>
            <w:szCs w:val="24"/>
          </w:rPr>
          <w:fldChar w:fldCharType="separate"/>
        </w:r>
        <w:r>
          <w:rPr>
            <w:rFonts w:asciiTheme="minorEastAsia" w:hAnsiTheme="minorEastAsia"/>
            <w:sz w:val="24"/>
            <w:szCs w:val="24"/>
            <w:lang w:val="zh-CN"/>
          </w:rPr>
          <w:t>2</w:t>
        </w:r>
        <w:r>
          <w:rPr>
            <w:rFonts w:asciiTheme="minorEastAsia" w:hAnsiTheme="minorEastAsia"/>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7E4C18"/>
    <w:multiLevelType w:val="singleLevel"/>
    <w:tmpl w:val="9A7E4C18"/>
    <w:lvl w:ilvl="0" w:tentative="0">
      <w:start w:val="1"/>
      <w:numFmt w:val="decimal"/>
      <w:lvlText w:val="%1."/>
      <w:lvlJc w:val="left"/>
      <w:pPr>
        <w:ind w:left="425" w:hanging="425"/>
      </w:pPr>
      <w:rPr>
        <w:rFonts w:hint="default"/>
      </w:rPr>
    </w:lvl>
  </w:abstractNum>
  <w:abstractNum w:abstractNumId="1">
    <w:nsid w:val="01AC5135"/>
    <w:multiLevelType w:val="multilevel"/>
    <w:tmpl w:val="01AC5135"/>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1A0E43EA"/>
    <w:multiLevelType w:val="multilevel"/>
    <w:tmpl w:val="1A0E43EA"/>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26007FCA"/>
    <w:multiLevelType w:val="multilevel"/>
    <w:tmpl w:val="26007FCA"/>
    <w:lvl w:ilvl="0" w:tentative="0">
      <w:start w:val="1"/>
      <w:numFmt w:val="chineseCountingThousand"/>
      <w:pStyle w:val="2"/>
      <w:lvlText w:val="%1、"/>
      <w:lvlJc w:val="left"/>
      <w:pPr>
        <w:tabs>
          <w:tab w:val="left" w:pos="432"/>
        </w:tabs>
        <w:ind w:left="432" w:hanging="432"/>
      </w:pPr>
      <w:rPr>
        <w:rFonts w:hint="eastAsia"/>
      </w:rPr>
    </w:lvl>
    <w:lvl w:ilvl="1" w:tentative="0">
      <w:start w:val="1"/>
      <w:numFmt w:val="decimal"/>
      <w:lvlText w:val="3.%2"/>
      <w:lvlJc w:val="left"/>
      <w:pPr>
        <w:tabs>
          <w:tab w:val="left" w:pos="576"/>
        </w:tabs>
        <w:ind w:left="576" w:hanging="576"/>
      </w:pPr>
      <w:rPr>
        <w:rFonts w:hint="eastAsia"/>
      </w:rPr>
    </w:lvl>
    <w:lvl w:ilvl="2" w:tentative="0">
      <w:start w:val="1"/>
      <w:numFmt w:val="decimal"/>
      <w:lvlText w:val="3.5.%3 "/>
      <w:lvlJc w:val="left"/>
      <w:pPr>
        <w:tabs>
          <w:tab w:val="left" w:pos="720"/>
        </w:tabs>
        <w:ind w:left="720" w:hanging="720"/>
      </w:pPr>
      <w:rPr>
        <w:rFonts w:hint="eastAsia"/>
      </w:rPr>
    </w:lvl>
    <w:lvl w:ilvl="3" w:tentative="0">
      <w:start w:val="1"/>
      <w:numFmt w:val="decimal"/>
      <w:lvlText w:val="3.5.1.%4 "/>
      <w:lvlJc w:val="left"/>
      <w:pPr>
        <w:tabs>
          <w:tab w:val="left" w:pos="1440"/>
        </w:tabs>
        <w:ind w:left="1000" w:hanging="1000"/>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4">
    <w:nsid w:val="2BEE12A5"/>
    <w:multiLevelType w:val="multilevel"/>
    <w:tmpl w:val="2BEE12A5"/>
    <w:lvl w:ilvl="0" w:tentative="0">
      <w:start w:val="1"/>
      <w:numFmt w:val="japaneseCounting"/>
      <w:lvlText w:val="%1、"/>
      <w:lvlJc w:val="left"/>
      <w:pPr>
        <w:ind w:left="495" w:hanging="49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DD90F40"/>
    <w:multiLevelType w:val="multilevel"/>
    <w:tmpl w:val="2DD90F40"/>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2F9C253E"/>
    <w:multiLevelType w:val="multilevel"/>
    <w:tmpl w:val="2F9C253E"/>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3A5D3AC3"/>
    <w:multiLevelType w:val="multilevel"/>
    <w:tmpl w:val="3A5D3AC3"/>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8">
    <w:nsid w:val="42B258F4"/>
    <w:multiLevelType w:val="multilevel"/>
    <w:tmpl w:val="42B258F4"/>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9">
    <w:nsid w:val="49C42653"/>
    <w:multiLevelType w:val="multilevel"/>
    <w:tmpl w:val="49C42653"/>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0">
    <w:nsid w:val="49EF0800"/>
    <w:multiLevelType w:val="multilevel"/>
    <w:tmpl w:val="49EF0800"/>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1">
    <w:nsid w:val="5E3F6FBA"/>
    <w:multiLevelType w:val="multilevel"/>
    <w:tmpl w:val="5E3F6FBA"/>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2">
    <w:nsid w:val="63186C05"/>
    <w:multiLevelType w:val="multilevel"/>
    <w:tmpl w:val="63186C05"/>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3">
    <w:nsid w:val="71B86F15"/>
    <w:multiLevelType w:val="multilevel"/>
    <w:tmpl w:val="71B86F15"/>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3"/>
  </w:num>
  <w:num w:numId="2">
    <w:abstractNumId w:val="4"/>
  </w:num>
  <w:num w:numId="3">
    <w:abstractNumId w:val="0"/>
  </w:num>
  <w:num w:numId="4">
    <w:abstractNumId w:val="13"/>
  </w:num>
  <w:num w:numId="5">
    <w:abstractNumId w:val="8"/>
  </w:num>
  <w:num w:numId="6">
    <w:abstractNumId w:val="11"/>
  </w:num>
  <w:num w:numId="7">
    <w:abstractNumId w:val="6"/>
  </w:num>
  <w:num w:numId="8">
    <w:abstractNumId w:val="12"/>
  </w:num>
  <w:num w:numId="9">
    <w:abstractNumId w:val="5"/>
  </w:num>
  <w:num w:numId="10">
    <w:abstractNumId w:val="2"/>
  </w:num>
  <w:num w:numId="11">
    <w:abstractNumId w:val="9"/>
  </w:num>
  <w:num w:numId="12">
    <w:abstractNumId w:val="1"/>
  </w:num>
  <w:num w:numId="13">
    <w:abstractNumId w:val="7"/>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dkNmU4ZTA0YjI0Zjg3NjA5OWQ4ZDUyMWVkYjZkNzIifQ=="/>
  </w:docVars>
  <w:rsids>
    <w:rsidRoot w:val="509C3417"/>
    <w:rsid w:val="000912E9"/>
    <w:rsid w:val="001B31A9"/>
    <w:rsid w:val="005E15D2"/>
    <w:rsid w:val="00687B51"/>
    <w:rsid w:val="006E3F95"/>
    <w:rsid w:val="00706D87"/>
    <w:rsid w:val="007F4EBD"/>
    <w:rsid w:val="00943FEC"/>
    <w:rsid w:val="00B419DF"/>
    <w:rsid w:val="00B71228"/>
    <w:rsid w:val="00B73413"/>
    <w:rsid w:val="00C106C7"/>
    <w:rsid w:val="00CB7498"/>
    <w:rsid w:val="00DF1D82"/>
    <w:rsid w:val="00EC18DF"/>
    <w:rsid w:val="01544C76"/>
    <w:rsid w:val="019B1834"/>
    <w:rsid w:val="02AE1145"/>
    <w:rsid w:val="036C34DA"/>
    <w:rsid w:val="03A4265D"/>
    <w:rsid w:val="04B35139"/>
    <w:rsid w:val="050A1AB6"/>
    <w:rsid w:val="069521F9"/>
    <w:rsid w:val="0730481F"/>
    <w:rsid w:val="078D3A1F"/>
    <w:rsid w:val="08601134"/>
    <w:rsid w:val="0AC97464"/>
    <w:rsid w:val="0BBA6DAD"/>
    <w:rsid w:val="0BF20AD4"/>
    <w:rsid w:val="0CEA556C"/>
    <w:rsid w:val="10CE4387"/>
    <w:rsid w:val="11A150AB"/>
    <w:rsid w:val="11EA0E33"/>
    <w:rsid w:val="123956DC"/>
    <w:rsid w:val="13C857F6"/>
    <w:rsid w:val="14B35F82"/>
    <w:rsid w:val="18491716"/>
    <w:rsid w:val="1A03020C"/>
    <w:rsid w:val="1AD47E27"/>
    <w:rsid w:val="1CCE3EDB"/>
    <w:rsid w:val="1EF65EF6"/>
    <w:rsid w:val="21FD7606"/>
    <w:rsid w:val="220420C6"/>
    <w:rsid w:val="258B383C"/>
    <w:rsid w:val="25B33FCA"/>
    <w:rsid w:val="25EE55BB"/>
    <w:rsid w:val="262730A1"/>
    <w:rsid w:val="27C63FD7"/>
    <w:rsid w:val="280A3BE6"/>
    <w:rsid w:val="2A050591"/>
    <w:rsid w:val="2BA43D81"/>
    <w:rsid w:val="2E2B5035"/>
    <w:rsid w:val="2E9322F5"/>
    <w:rsid w:val="30E12562"/>
    <w:rsid w:val="31EA74FC"/>
    <w:rsid w:val="324A4137"/>
    <w:rsid w:val="343706EB"/>
    <w:rsid w:val="34634494"/>
    <w:rsid w:val="35750372"/>
    <w:rsid w:val="35F745D6"/>
    <w:rsid w:val="360712B0"/>
    <w:rsid w:val="38B40117"/>
    <w:rsid w:val="3B52171B"/>
    <w:rsid w:val="3CAB670C"/>
    <w:rsid w:val="3FD057F7"/>
    <w:rsid w:val="402B55A8"/>
    <w:rsid w:val="426A1DB3"/>
    <w:rsid w:val="450F36EA"/>
    <w:rsid w:val="45F750AA"/>
    <w:rsid w:val="46384F0C"/>
    <w:rsid w:val="476C2E05"/>
    <w:rsid w:val="4CAC5CC3"/>
    <w:rsid w:val="4EAB089F"/>
    <w:rsid w:val="4EE243ED"/>
    <w:rsid w:val="50792C6A"/>
    <w:rsid w:val="509C3417"/>
    <w:rsid w:val="51E87E4E"/>
    <w:rsid w:val="52EE0219"/>
    <w:rsid w:val="5A4B1C58"/>
    <w:rsid w:val="5EC75FCE"/>
    <w:rsid w:val="5F660EF9"/>
    <w:rsid w:val="61FEF1DB"/>
    <w:rsid w:val="62F010AB"/>
    <w:rsid w:val="630B0E65"/>
    <w:rsid w:val="63C27722"/>
    <w:rsid w:val="640B3432"/>
    <w:rsid w:val="66FF620C"/>
    <w:rsid w:val="671609C5"/>
    <w:rsid w:val="68E83A44"/>
    <w:rsid w:val="6B590552"/>
    <w:rsid w:val="6C115677"/>
    <w:rsid w:val="6CA53D7D"/>
    <w:rsid w:val="6D185599"/>
    <w:rsid w:val="715156A2"/>
    <w:rsid w:val="76343069"/>
    <w:rsid w:val="76D94382"/>
    <w:rsid w:val="779605E4"/>
    <w:rsid w:val="77BB3365"/>
    <w:rsid w:val="7AAF67FA"/>
    <w:rsid w:val="7CB00608"/>
    <w:rsid w:val="7E6064F7"/>
    <w:rsid w:val="F7FFBC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3"/>
    <w:qFormat/>
    <w:uiPriority w:val="0"/>
    <w:pPr>
      <w:keepNext/>
      <w:keepLines/>
      <w:pageBreakBefore/>
      <w:numPr>
        <w:ilvl w:val="0"/>
        <w:numId w:val="1"/>
      </w:numPr>
      <w:spacing w:before="340" w:afterLines="50" w:line="578" w:lineRule="auto"/>
      <w:outlineLvl w:val="0"/>
    </w:pPr>
    <w:rPr>
      <w:rFonts w:eastAsia="黑体" w:cs="Times New Roman"/>
      <w:b/>
      <w:bCs/>
      <w:spacing w:val="20"/>
      <w:kern w:val="44"/>
      <w:sz w:val="36"/>
      <w:szCs w:val="44"/>
    </w:rPr>
  </w:style>
  <w:style w:type="paragraph" w:styleId="4">
    <w:name w:val="heading 2"/>
    <w:basedOn w:val="1"/>
    <w:next w:val="5"/>
    <w:unhideWhenUsed/>
    <w:qFormat/>
    <w:uiPriority w:val="9"/>
    <w:pPr>
      <w:keepNext/>
      <w:keepLines/>
      <w:spacing w:before="160" w:after="80"/>
      <w:outlineLvl w:val="1"/>
    </w:pPr>
    <w:rPr>
      <w:rFonts w:asciiTheme="majorHAnsi" w:hAnsiTheme="majorHAnsi" w:eastAsiaTheme="majorEastAsia" w:cstheme="majorBidi"/>
      <w:color w:val="2E75B6" w:themeColor="accent1" w:themeShade="BF"/>
      <w:sz w:val="32"/>
      <w:szCs w:val="32"/>
    </w:rPr>
  </w:style>
  <w:style w:type="paragraph" w:styleId="6">
    <w:name w:val="heading 3"/>
    <w:basedOn w:val="1"/>
    <w:next w:val="5"/>
    <w:unhideWhenUsed/>
    <w:qFormat/>
    <w:uiPriority w:val="9"/>
    <w:pPr>
      <w:keepNext/>
      <w:keepLines/>
      <w:spacing w:before="160" w:after="80"/>
      <w:outlineLvl w:val="2"/>
    </w:pPr>
    <w:rPr>
      <w:rFonts w:eastAsiaTheme="majorEastAsia" w:cstheme="majorBidi"/>
      <w:color w:val="2E75B6" w:themeColor="accent1" w:themeShade="BF"/>
      <w:sz w:val="28"/>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spacing w:afterLines="50" w:line="360" w:lineRule="auto"/>
      <w:ind w:firstLine="420" w:firstLineChars="200"/>
    </w:pPr>
    <w:rPr>
      <w:rFonts w:ascii="Times New Roman" w:hAnsi="Times New Roman" w:eastAsia="宋体" w:cs="Times New Roman"/>
      <w:szCs w:val="24"/>
    </w:rPr>
  </w:style>
  <w:style w:type="paragraph" w:styleId="5">
    <w:name w:val="Body Text"/>
    <w:basedOn w:val="1"/>
    <w:qFormat/>
    <w:uiPriority w:val="99"/>
    <w:pPr>
      <w:spacing w:after="120"/>
    </w:pPr>
  </w:style>
  <w:style w:type="paragraph" w:styleId="7">
    <w:name w:val="annotation text"/>
    <w:basedOn w:val="1"/>
    <w:semiHidden/>
    <w:qFormat/>
    <w:uiPriority w:val="0"/>
    <w:pPr>
      <w:jc w:val="left"/>
    </w:pPr>
  </w:style>
  <w:style w:type="paragraph" w:styleId="8">
    <w:name w:val="Balloon Text"/>
    <w:basedOn w:val="1"/>
    <w:link w:val="19"/>
    <w:qFormat/>
    <w:uiPriority w:val="0"/>
    <w:rPr>
      <w:sz w:val="18"/>
      <w:szCs w:val="18"/>
    </w:rPr>
  </w:style>
  <w:style w:type="paragraph" w:styleId="9">
    <w:name w:val="footer"/>
    <w:basedOn w:val="1"/>
    <w:link w:val="18"/>
    <w:qFormat/>
    <w:uiPriority w:val="99"/>
    <w:pPr>
      <w:tabs>
        <w:tab w:val="center" w:pos="4153"/>
        <w:tab w:val="right" w:pos="8306"/>
      </w:tabs>
      <w:snapToGrid w:val="0"/>
      <w:jc w:val="left"/>
    </w:pPr>
    <w:rPr>
      <w:sz w:val="18"/>
      <w:szCs w:val="18"/>
    </w:rPr>
  </w:style>
  <w:style w:type="paragraph" w:styleId="10">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paragraph" w:styleId="12">
    <w:name w:val="index 1"/>
    <w:basedOn w:val="1"/>
    <w:next w:val="1"/>
    <w:unhideWhenUsed/>
    <w:qFormat/>
    <w:uiPriority w:val="99"/>
    <w:pPr>
      <w:spacing w:line="200" w:lineRule="atLeast"/>
      <w:jc w:val="center"/>
    </w:pPr>
    <w:rPr>
      <w:rFonts w:ascii="宋体" w:hAnsi="宋体"/>
    </w:rPr>
  </w:style>
  <w:style w:type="paragraph" w:styleId="13">
    <w:name w:val="Body Text First Indent"/>
    <w:basedOn w:val="5"/>
    <w:qFormat/>
    <w:uiPriority w:val="0"/>
    <w:pPr>
      <w:ind w:firstLine="420" w:firstLineChars="100"/>
    </w:pPr>
    <w:rPr>
      <w:szCs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页眉 Char"/>
    <w:basedOn w:val="16"/>
    <w:link w:val="10"/>
    <w:qFormat/>
    <w:uiPriority w:val="0"/>
    <w:rPr>
      <w:kern w:val="2"/>
      <w:sz w:val="18"/>
      <w:szCs w:val="18"/>
    </w:rPr>
  </w:style>
  <w:style w:type="character" w:customStyle="1" w:styleId="18">
    <w:name w:val="页脚 Char"/>
    <w:basedOn w:val="16"/>
    <w:link w:val="9"/>
    <w:qFormat/>
    <w:uiPriority w:val="99"/>
    <w:rPr>
      <w:kern w:val="2"/>
      <w:sz w:val="18"/>
      <w:szCs w:val="18"/>
    </w:rPr>
  </w:style>
  <w:style w:type="character" w:customStyle="1" w:styleId="19">
    <w:name w:val="批注框文本 Char"/>
    <w:basedOn w:val="16"/>
    <w:link w:val="8"/>
    <w:qFormat/>
    <w:uiPriority w:val="0"/>
    <w:rPr>
      <w:kern w:val="2"/>
      <w:sz w:val="18"/>
      <w:szCs w:val="18"/>
    </w:rPr>
  </w:style>
  <w:style w:type="character" w:customStyle="1" w:styleId="20">
    <w:name w:val="font31"/>
    <w:qFormat/>
    <w:uiPriority w:val="0"/>
    <w:rPr>
      <w:rFonts w:hint="eastAsia" w:ascii="宋体" w:hAnsi="宋体" w:eastAsia="宋体" w:cs="宋体"/>
      <w:color w:val="000000"/>
      <w:sz w:val="20"/>
      <w:szCs w:val="20"/>
      <w:u w:val="none"/>
    </w:rPr>
  </w:style>
  <w:style w:type="character" w:customStyle="1" w:styleId="21">
    <w:name w:val="font01"/>
    <w:qFormat/>
    <w:uiPriority w:val="0"/>
    <w:rPr>
      <w:rFonts w:hint="default" w:ascii="Arial" w:hAnsi="Arial" w:cs="Arial"/>
      <w:color w:val="000000"/>
      <w:sz w:val="20"/>
      <w:szCs w:val="20"/>
      <w:u w:val="none"/>
    </w:rPr>
  </w:style>
  <w:style w:type="paragraph" w:customStyle="1" w:styleId="22">
    <w:name w:val="Table Text"/>
    <w:basedOn w:val="1"/>
    <w:semiHidden/>
    <w:qFormat/>
    <w:uiPriority w:val="0"/>
    <w:rPr>
      <w:rFonts w:ascii="宋体" w:hAnsi="宋体" w:eastAsia="宋体" w:cs="宋体"/>
      <w:sz w:val="20"/>
      <w:szCs w:val="20"/>
      <w:lang w:eastAsia="en-US"/>
    </w:rPr>
  </w:style>
  <w:style w:type="table" w:customStyle="1" w:styleId="23">
    <w:name w:val="Table Normal"/>
    <w:semiHidden/>
    <w:unhideWhenUsed/>
    <w:qFormat/>
    <w:uiPriority w:val="0"/>
    <w:tblPr>
      <w:tblCellMar>
        <w:top w:w="0" w:type="dxa"/>
        <w:left w:w="0" w:type="dxa"/>
        <w:bottom w:w="0" w:type="dxa"/>
        <w:right w:w="0" w:type="dxa"/>
      </w:tblCellMar>
    </w:tblPr>
  </w:style>
  <w:style w:type="paragraph" w:styleId="24">
    <w:name w:val="List Paragraph"/>
    <w:basedOn w:val="1"/>
    <w:qFormat/>
    <w:uiPriority w:val="99"/>
    <w:pPr>
      <w:ind w:firstLine="420" w:firstLineChars="200"/>
    </w:pPr>
  </w:style>
  <w:style w:type="paragraph" w:customStyle="1" w:styleId="25">
    <w:name w:val="Table Paragraph"/>
    <w:basedOn w:val="1"/>
    <w:qFormat/>
    <w:uiPriority w:val="1"/>
    <w:pPr>
      <w:autoSpaceDE w:val="0"/>
      <w:autoSpaceDN w:val="0"/>
      <w:adjustRightInd w:val="0"/>
      <w:spacing w:line="360" w:lineRule="auto"/>
      <w:ind w:firstLine="200" w:firstLineChars="200"/>
    </w:pPr>
    <w:rPr>
      <w:rFonts w:ascii="宋体" w:hAnsi="Times New Roman" w:eastAsia="宋体" w:cs="宋体"/>
      <w:kern w:val="0"/>
      <w:sz w:val="24"/>
      <w:szCs w:val="24"/>
    </w:rPr>
  </w:style>
  <w:style w:type="paragraph" w:customStyle="1" w:styleId="26">
    <w:name w:val="First Paragraph"/>
    <w:basedOn w:val="5"/>
    <w:next w:val="5"/>
    <w:qFormat/>
    <w:uiPriority w:val="0"/>
  </w:style>
  <w:style w:type="paragraph" w:styleId="27">
    <w:name w:val="No Spacing"/>
    <w:qFormat/>
    <w:uiPriority w:val="1"/>
    <w:pPr>
      <w:widowControl w:val="0"/>
      <w:adjustRightInd w:val="0"/>
      <w:snapToGrid w:val="0"/>
      <w:spacing w:after="0" w:line="360" w:lineRule="auto"/>
    </w:pPr>
    <w:rPr>
      <w:rFonts w:ascii="Times New Roman" w:hAnsi="Times New Roman" w:eastAsia="宋体" w:cs="Times New Roman"/>
      <w:kern w:val="2"/>
      <w:sz w:val="21"/>
      <w:szCs w:val="21"/>
      <w:lang w:val="en-US" w:eastAsia="zh-CN" w:bidi="ar-SA"/>
      <w14:ligatures w14:val="standardContextu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2337</Words>
  <Characters>2377</Characters>
  <Lines>12</Lines>
  <Paragraphs>3</Paragraphs>
  <TotalTime>0</TotalTime>
  <ScaleCrop>false</ScaleCrop>
  <LinksUpToDate>false</LinksUpToDate>
  <CharactersWithSpaces>2388</CharactersWithSpaces>
  <Application>WPS Office_12.1.0.22525_F1E327BC-269C-435d-A152-05C5408002CA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2025-05-29T07:26:00Z</dcterms:created>
  <dc:creator>ZFCG</dc:creator>
  <cp:lastModifiedBy>gc</cp:lastModifiedBy>
  <dcterms:modified xsi:type="dcterms:W3CDTF">2026-05-08T12:05:22Z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6AC327FFED434BA592769BFDA256A8DE</vt:lpwstr>
  </property>
  <property fmtid="{D5CDD505-2E9C-101B-9397-08002B2CF9AE}" pid="4" name="KSOTemplateDocerSaveRecord">
    <vt:lpwstr>eyJoZGlkIjoiNzg5M2RhNDE3ZjYzZmU1MTk2Yzc0ZjQ5NWVkMGNjNmUiLCJ1c2VySWQiOiI2MjU5ODg1NTIifQ==</vt:lpwstr>
  </property>
</Properties>
</file>