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315247">
      <w:pPr>
        <w:jc w:val="center"/>
        <w:rPr>
          <w:rFonts w:ascii="宋体" w:hAnsi="宋体" w:eastAsia="宋体"/>
          <w:b/>
          <w:bCs/>
          <w:sz w:val="36"/>
          <w:szCs w:val="36"/>
        </w:rPr>
      </w:pPr>
      <w:r>
        <w:rPr>
          <w:rFonts w:hint="eastAsia" w:ascii="宋体" w:hAnsi="宋体" w:eastAsia="宋体"/>
          <w:b/>
          <w:bCs/>
          <w:sz w:val="36"/>
          <w:szCs w:val="36"/>
        </w:rPr>
        <w:t>2026年人民北核心机房维保服务采购项目需求</w:t>
      </w:r>
    </w:p>
    <w:p w14:paraId="2D708AB3">
      <w:pPr>
        <w:pStyle w:val="37"/>
        <w:rPr>
          <w:lang w:eastAsia="zh-Hans"/>
        </w:rPr>
      </w:pPr>
      <w:r>
        <w:rPr>
          <w:rFonts w:hint="eastAsia"/>
        </w:rPr>
        <w:t>本项目计划对下表中的设备采购</w:t>
      </w:r>
      <w:r>
        <w:rPr>
          <w:rFonts w:hint="eastAsia"/>
          <w:lang w:eastAsia="zh-Hans"/>
        </w:rPr>
        <w:t>维保</w:t>
      </w:r>
      <w:r>
        <w:rPr>
          <w:rFonts w:hint="eastAsia"/>
        </w:rPr>
        <w:t>服务</w:t>
      </w:r>
      <w:r>
        <w:rPr>
          <w:rFonts w:hint="eastAsia"/>
          <w:lang w:eastAsia="zh-Hans"/>
        </w:rPr>
        <w:t>到</w:t>
      </w:r>
      <w:r>
        <w:rPr>
          <w:rFonts w:hint="eastAsia"/>
        </w:rPr>
        <w:t>2029年12月31日</w:t>
      </w:r>
      <w:r>
        <w:rPr>
          <w:rFonts w:hint="eastAsia"/>
          <w:lang w:eastAsia="zh-Hans"/>
        </w:rPr>
        <w:t>，具体生效时间以设备原维保实际到期日的次日开始生效，如果合同签订日期晚于设备原维保实际到期日期，则以合同签订日期的次日开始生效。</w:t>
      </w:r>
    </w:p>
    <w:p w14:paraId="3804DE11">
      <w:pPr>
        <w:pStyle w:val="37"/>
      </w:pPr>
      <w:r>
        <w:rPr>
          <w:rFonts w:hint="eastAsia"/>
        </w:rPr>
        <w:t>本项目付款方式为</w:t>
      </w:r>
      <w:r>
        <w:t>按月/季度/年/指定周期，通过项目阶段验收或提供证明材料并根据考核评分结果，在完成该周期服务后，分期平均支付。</w:t>
      </w:r>
    </w:p>
    <w:p w14:paraId="0997C717">
      <w:pPr>
        <w:pStyle w:val="37"/>
      </w:pPr>
      <w:bookmarkStart w:id="0" w:name="_Toc22141"/>
      <w:r>
        <w:rPr>
          <w:rFonts w:hint="eastAsia"/>
        </w:rPr>
        <w:t>维保服务内容</w:t>
      </w:r>
      <w:bookmarkEnd w:id="0"/>
    </w:p>
    <w:p w14:paraId="1E731F86">
      <w:pPr>
        <w:pStyle w:val="37"/>
      </w:pPr>
      <w:r>
        <w:rPr>
          <w:rFonts w:hint="eastAsia"/>
        </w:rPr>
        <w:t>1、总体需求</w:t>
      </w:r>
    </w:p>
    <w:p w14:paraId="51A201C5">
      <w:pPr>
        <w:pStyle w:val="37"/>
      </w:pPr>
      <w:r>
        <w:rPr>
          <w:rFonts w:cs="仿宋_GB2312"/>
        </w:rPr>
        <w:t>目前人民北核心机房包含精密空调、UPS设备、强电配电柜、全热新风处理机、服务机柜、PDU设备、照明灯具，架空静电地板等。</w:t>
      </w:r>
      <w:r>
        <w:rPr>
          <w:rFonts w:hint="eastAsia" w:cs="仿宋_GB2312"/>
        </w:rPr>
        <w:t>根据实际工作需要，通过采购维保服务增强基础设施可靠性，降低机房基础设施故障对业务系统的影响，对突发事件进行快速的响应和应急处理,保障机房设备稳定运行。维保服务应满足7*24小时应急电话响应，2小时内上门服务，每月定期巡查设备，每半年UPS电池放电测试，每年4次季度巡检维护保养，故障处理和所需维修配件，以及提供特殊重要时段的现场技术保障</w:t>
      </w:r>
      <w:r>
        <w:rPr>
          <w:rFonts w:hint="eastAsia"/>
        </w:rPr>
        <w:t>。</w:t>
      </w:r>
    </w:p>
    <w:p w14:paraId="3499BB77">
      <w:pPr>
        <w:pStyle w:val="37"/>
      </w:pPr>
      <w:r>
        <w:rPr>
          <w:rFonts w:hint="eastAsia"/>
        </w:rPr>
        <w:t>2、服务需求</w:t>
      </w:r>
    </w:p>
    <w:p w14:paraId="797C2F8C">
      <w:pPr>
        <w:spacing w:after="120"/>
        <w:ind w:firstLine="480"/>
        <w:rPr>
          <w:rFonts w:ascii="仿宋" w:hAnsi="仿宋" w:eastAsia="仿宋"/>
          <w:kern w:val="0"/>
          <w:sz w:val="30"/>
          <w:szCs w:val="30"/>
        </w:rPr>
      </w:pPr>
      <w:r>
        <w:rPr>
          <w:rFonts w:hint="eastAsia" w:ascii="仿宋" w:hAnsi="仿宋" w:eastAsia="仿宋"/>
          <w:kern w:val="0"/>
          <w:sz w:val="28"/>
          <w:szCs w:val="28"/>
        </w:rPr>
        <w:t>服务内容包括基础服务、系统增值服务、定制服务三部分。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1"/>
        <w:gridCol w:w="4271"/>
      </w:tblGrid>
      <w:tr w14:paraId="25D7C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tcPr>
          <w:p w14:paraId="2C38F8C9">
            <w:pPr>
              <w:pStyle w:val="40"/>
              <w:spacing w:after="156" w:line="240" w:lineRule="auto"/>
              <w:rPr>
                <w:rFonts w:ascii="仿宋" w:hAnsi="仿宋" w:eastAsia="仿宋"/>
                <w:sz w:val="28"/>
                <w:szCs w:val="28"/>
              </w:rPr>
            </w:pPr>
            <w:r>
              <w:rPr>
                <w:rFonts w:hint="eastAsia" w:ascii="仿宋" w:hAnsi="仿宋" w:eastAsia="仿宋"/>
                <w:sz w:val="28"/>
                <w:szCs w:val="28"/>
              </w:rPr>
              <w:t>服务类型</w:t>
            </w:r>
          </w:p>
        </w:tc>
        <w:tc>
          <w:tcPr>
            <w:tcW w:w="4271" w:type="dxa"/>
          </w:tcPr>
          <w:p w14:paraId="20ACF24A">
            <w:pPr>
              <w:pStyle w:val="40"/>
              <w:spacing w:after="156" w:line="240" w:lineRule="auto"/>
              <w:rPr>
                <w:rFonts w:ascii="仿宋" w:hAnsi="仿宋" w:eastAsia="仿宋"/>
                <w:sz w:val="28"/>
                <w:szCs w:val="28"/>
              </w:rPr>
            </w:pPr>
            <w:r>
              <w:rPr>
                <w:rFonts w:hint="eastAsia" w:ascii="仿宋" w:hAnsi="仿宋" w:eastAsia="仿宋"/>
                <w:sz w:val="28"/>
                <w:szCs w:val="28"/>
              </w:rPr>
              <w:t>服务内容</w:t>
            </w:r>
          </w:p>
        </w:tc>
      </w:tr>
      <w:tr w14:paraId="08905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restart"/>
            <w:vAlign w:val="center"/>
          </w:tcPr>
          <w:p w14:paraId="63147237">
            <w:pPr>
              <w:pStyle w:val="40"/>
              <w:spacing w:after="156" w:line="240" w:lineRule="auto"/>
              <w:rPr>
                <w:rFonts w:ascii="仿宋" w:hAnsi="仿宋" w:eastAsia="仿宋"/>
                <w:sz w:val="28"/>
                <w:szCs w:val="28"/>
              </w:rPr>
            </w:pPr>
            <w:r>
              <w:rPr>
                <w:rFonts w:hint="eastAsia" w:ascii="仿宋" w:hAnsi="仿宋" w:eastAsia="仿宋"/>
                <w:sz w:val="28"/>
                <w:szCs w:val="28"/>
              </w:rPr>
              <w:t>基础服务</w:t>
            </w:r>
          </w:p>
        </w:tc>
        <w:tc>
          <w:tcPr>
            <w:tcW w:w="4271" w:type="dxa"/>
          </w:tcPr>
          <w:p w14:paraId="226E9D2C">
            <w:pPr>
              <w:pStyle w:val="40"/>
              <w:spacing w:after="156" w:line="240" w:lineRule="auto"/>
              <w:rPr>
                <w:rFonts w:ascii="仿宋" w:hAnsi="仿宋" w:eastAsia="仿宋"/>
                <w:sz w:val="28"/>
                <w:szCs w:val="28"/>
              </w:rPr>
            </w:pPr>
            <w:r>
              <w:rPr>
                <w:rFonts w:hint="eastAsia" w:ascii="仿宋" w:hAnsi="仿宋" w:eastAsia="仿宋"/>
                <w:sz w:val="28"/>
                <w:szCs w:val="28"/>
              </w:rPr>
              <w:t>技术支持热线服务</w:t>
            </w:r>
          </w:p>
        </w:tc>
      </w:tr>
      <w:tr w14:paraId="795AD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24837EDA">
            <w:pPr>
              <w:pStyle w:val="40"/>
              <w:spacing w:after="156" w:line="240" w:lineRule="auto"/>
              <w:rPr>
                <w:rFonts w:ascii="仿宋" w:hAnsi="仿宋" w:eastAsia="仿宋"/>
                <w:sz w:val="28"/>
                <w:szCs w:val="28"/>
              </w:rPr>
            </w:pPr>
          </w:p>
        </w:tc>
        <w:tc>
          <w:tcPr>
            <w:tcW w:w="4271" w:type="dxa"/>
          </w:tcPr>
          <w:p w14:paraId="63A62EB6">
            <w:pPr>
              <w:pStyle w:val="40"/>
              <w:spacing w:after="156" w:line="240" w:lineRule="auto"/>
              <w:rPr>
                <w:rFonts w:ascii="仿宋" w:hAnsi="仿宋" w:eastAsia="仿宋"/>
                <w:sz w:val="28"/>
                <w:szCs w:val="28"/>
              </w:rPr>
            </w:pPr>
            <w:r>
              <w:rPr>
                <w:rFonts w:hint="eastAsia" w:ascii="仿宋" w:hAnsi="仿宋" w:eastAsia="仿宋"/>
                <w:sz w:val="28"/>
                <w:szCs w:val="28"/>
              </w:rPr>
              <w:t>定期巡检与预防性维护</w:t>
            </w:r>
          </w:p>
        </w:tc>
      </w:tr>
      <w:tr w14:paraId="576D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2D89C145">
            <w:pPr>
              <w:pStyle w:val="40"/>
              <w:spacing w:after="156" w:line="240" w:lineRule="auto"/>
              <w:rPr>
                <w:rFonts w:ascii="仿宋" w:hAnsi="仿宋" w:eastAsia="仿宋"/>
                <w:sz w:val="28"/>
                <w:szCs w:val="28"/>
              </w:rPr>
            </w:pPr>
          </w:p>
        </w:tc>
        <w:tc>
          <w:tcPr>
            <w:tcW w:w="4271" w:type="dxa"/>
          </w:tcPr>
          <w:p w14:paraId="18C84E35">
            <w:pPr>
              <w:pStyle w:val="40"/>
              <w:spacing w:after="156" w:line="240" w:lineRule="auto"/>
              <w:rPr>
                <w:rFonts w:ascii="仿宋" w:hAnsi="仿宋" w:eastAsia="仿宋"/>
                <w:sz w:val="28"/>
                <w:szCs w:val="28"/>
              </w:rPr>
            </w:pPr>
            <w:r>
              <w:rPr>
                <w:rFonts w:hint="eastAsia" w:ascii="仿宋" w:hAnsi="仿宋" w:eastAsia="仿宋"/>
                <w:sz w:val="28"/>
                <w:szCs w:val="28"/>
              </w:rPr>
              <w:t>现场故障响应解决服务</w:t>
            </w:r>
          </w:p>
        </w:tc>
      </w:tr>
      <w:tr w14:paraId="7EB79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0DCFA799">
            <w:pPr>
              <w:pStyle w:val="40"/>
              <w:spacing w:after="156" w:line="240" w:lineRule="auto"/>
              <w:rPr>
                <w:rFonts w:ascii="仿宋" w:hAnsi="仿宋" w:eastAsia="仿宋"/>
                <w:sz w:val="28"/>
                <w:szCs w:val="28"/>
              </w:rPr>
            </w:pPr>
          </w:p>
        </w:tc>
        <w:tc>
          <w:tcPr>
            <w:tcW w:w="4271" w:type="dxa"/>
          </w:tcPr>
          <w:p w14:paraId="725D41F1">
            <w:pPr>
              <w:pStyle w:val="40"/>
              <w:spacing w:after="156" w:line="240" w:lineRule="auto"/>
              <w:rPr>
                <w:rFonts w:ascii="仿宋" w:hAnsi="仿宋" w:eastAsia="仿宋"/>
                <w:sz w:val="28"/>
                <w:szCs w:val="28"/>
              </w:rPr>
            </w:pPr>
            <w:r>
              <w:rPr>
                <w:rFonts w:hint="eastAsia" w:ascii="仿宋" w:hAnsi="仿宋" w:eastAsia="仿宋"/>
                <w:sz w:val="28"/>
                <w:szCs w:val="28"/>
              </w:rPr>
              <w:t>重要时段电话支持服务</w:t>
            </w:r>
          </w:p>
        </w:tc>
      </w:tr>
      <w:tr w14:paraId="68F12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restart"/>
            <w:vAlign w:val="center"/>
          </w:tcPr>
          <w:p w14:paraId="654B807C">
            <w:pPr>
              <w:pStyle w:val="40"/>
              <w:spacing w:after="156" w:line="240" w:lineRule="auto"/>
              <w:rPr>
                <w:rFonts w:ascii="仿宋" w:hAnsi="仿宋" w:eastAsia="仿宋"/>
                <w:sz w:val="28"/>
                <w:szCs w:val="28"/>
              </w:rPr>
            </w:pPr>
            <w:r>
              <w:rPr>
                <w:rFonts w:hint="eastAsia" w:ascii="仿宋" w:hAnsi="仿宋" w:eastAsia="仿宋"/>
                <w:sz w:val="28"/>
                <w:szCs w:val="28"/>
              </w:rPr>
              <w:t>系统增值服务</w:t>
            </w:r>
          </w:p>
        </w:tc>
        <w:tc>
          <w:tcPr>
            <w:tcW w:w="4271" w:type="dxa"/>
          </w:tcPr>
          <w:p w14:paraId="1C8D0478">
            <w:pPr>
              <w:pStyle w:val="40"/>
              <w:spacing w:after="156" w:line="240" w:lineRule="auto"/>
              <w:rPr>
                <w:rFonts w:ascii="仿宋" w:hAnsi="仿宋" w:eastAsia="仿宋"/>
                <w:sz w:val="28"/>
                <w:szCs w:val="28"/>
              </w:rPr>
            </w:pPr>
            <w:r>
              <w:rPr>
                <w:rFonts w:hint="eastAsia" w:ascii="仿宋" w:hAnsi="仿宋" w:eastAsia="仿宋"/>
                <w:sz w:val="28"/>
                <w:szCs w:val="28"/>
              </w:rPr>
              <w:t>技术交流服务</w:t>
            </w:r>
          </w:p>
        </w:tc>
      </w:tr>
      <w:tr w14:paraId="2E52F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066DD49E">
            <w:pPr>
              <w:pStyle w:val="40"/>
              <w:spacing w:after="156" w:line="240" w:lineRule="auto"/>
              <w:rPr>
                <w:rFonts w:ascii="仿宋" w:hAnsi="仿宋" w:eastAsia="仿宋"/>
                <w:sz w:val="28"/>
                <w:szCs w:val="28"/>
              </w:rPr>
            </w:pPr>
          </w:p>
        </w:tc>
        <w:tc>
          <w:tcPr>
            <w:tcW w:w="4271" w:type="dxa"/>
          </w:tcPr>
          <w:p w14:paraId="3E82786E">
            <w:pPr>
              <w:pStyle w:val="40"/>
              <w:spacing w:after="156" w:line="240" w:lineRule="auto"/>
              <w:rPr>
                <w:rFonts w:ascii="仿宋" w:hAnsi="仿宋" w:eastAsia="仿宋"/>
                <w:sz w:val="28"/>
                <w:szCs w:val="28"/>
              </w:rPr>
            </w:pPr>
            <w:r>
              <w:rPr>
                <w:rFonts w:hint="eastAsia" w:ascii="仿宋" w:hAnsi="仿宋" w:eastAsia="仿宋"/>
                <w:sz w:val="28"/>
                <w:szCs w:val="28"/>
              </w:rPr>
              <w:t>高可靠性技术支持服务</w:t>
            </w:r>
          </w:p>
        </w:tc>
      </w:tr>
      <w:tr w14:paraId="6D5A5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3F991636">
            <w:pPr>
              <w:pStyle w:val="40"/>
              <w:spacing w:after="156" w:line="240" w:lineRule="auto"/>
              <w:rPr>
                <w:rFonts w:ascii="仿宋" w:hAnsi="仿宋" w:eastAsia="仿宋"/>
                <w:sz w:val="28"/>
                <w:szCs w:val="28"/>
              </w:rPr>
            </w:pPr>
          </w:p>
        </w:tc>
        <w:tc>
          <w:tcPr>
            <w:tcW w:w="4271" w:type="dxa"/>
          </w:tcPr>
          <w:p w14:paraId="6EF5F8E5">
            <w:pPr>
              <w:pStyle w:val="40"/>
              <w:spacing w:after="156" w:line="240" w:lineRule="auto"/>
              <w:rPr>
                <w:rFonts w:ascii="仿宋" w:hAnsi="仿宋" w:eastAsia="仿宋"/>
                <w:sz w:val="28"/>
                <w:szCs w:val="28"/>
              </w:rPr>
            </w:pPr>
            <w:r>
              <w:rPr>
                <w:rFonts w:hint="eastAsia" w:ascii="仿宋" w:hAnsi="仿宋" w:eastAsia="仿宋"/>
                <w:sz w:val="28"/>
                <w:szCs w:val="28"/>
              </w:rPr>
              <w:t>应急处理服务</w:t>
            </w:r>
          </w:p>
        </w:tc>
      </w:tr>
      <w:tr w14:paraId="0EC1C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3EAA0EF6">
            <w:pPr>
              <w:pStyle w:val="40"/>
              <w:spacing w:after="156" w:line="240" w:lineRule="auto"/>
              <w:rPr>
                <w:rFonts w:ascii="仿宋" w:hAnsi="仿宋" w:eastAsia="仿宋"/>
                <w:sz w:val="28"/>
                <w:szCs w:val="28"/>
              </w:rPr>
            </w:pPr>
          </w:p>
        </w:tc>
        <w:tc>
          <w:tcPr>
            <w:tcW w:w="4271" w:type="dxa"/>
          </w:tcPr>
          <w:p w14:paraId="1D0CCA83">
            <w:pPr>
              <w:pStyle w:val="40"/>
              <w:spacing w:after="156" w:line="240" w:lineRule="auto"/>
              <w:rPr>
                <w:rFonts w:ascii="仿宋" w:hAnsi="仿宋" w:eastAsia="仿宋"/>
                <w:sz w:val="28"/>
                <w:szCs w:val="28"/>
              </w:rPr>
            </w:pPr>
            <w:r>
              <w:rPr>
                <w:rFonts w:hint="eastAsia" w:ascii="仿宋" w:hAnsi="仿宋" w:eastAsia="仿宋"/>
                <w:sz w:val="28"/>
                <w:szCs w:val="28"/>
              </w:rPr>
              <w:t>系统技术支持服务</w:t>
            </w:r>
          </w:p>
        </w:tc>
      </w:tr>
      <w:tr w14:paraId="48D9E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restart"/>
            <w:vAlign w:val="center"/>
          </w:tcPr>
          <w:p w14:paraId="3A05E86D">
            <w:pPr>
              <w:pStyle w:val="40"/>
              <w:spacing w:after="156" w:line="240" w:lineRule="auto"/>
              <w:rPr>
                <w:rFonts w:ascii="仿宋" w:hAnsi="仿宋" w:eastAsia="仿宋"/>
                <w:sz w:val="28"/>
                <w:szCs w:val="28"/>
              </w:rPr>
            </w:pPr>
            <w:r>
              <w:rPr>
                <w:rFonts w:hint="eastAsia" w:ascii="仿宋" w:hAnsi="仿宋" w:eastAsia="仿宋"/>
                <w:sz w:val="28"/>
                <w:szCs w:val="28"/>
              </w:rPr>
              <w:t>定制服务</w:t>
            </w:r>
          </w:p>
        </w:tc>
        <w:tc>
          <w:tcPr>
            <w:tcW w:w="4271" w:type="dxa"/>
          </w:tcPr>
          <w:p w14:paraId="0FB25E57">
            <w:pPr>
              <w:pStyle w:val="40"/>
              <w:spacing w:after="156" w:line="240" w:lineRule="auto"/>
              <w:rPr>
                <w:rFonts w:ascii="仿宋" w:hAnsi="仿宋" w:eastAsia="仿宋"/>
                <w:sz w:val="28"/>
                <w:szCs w:val="28"/>
              </w:rPr>
            </w:pPr>
            <w:r>
              <w:rPr>
                <w:rFonts w:hint="eastAsia" w:ascii="仿宋" w:hAnsi="仿宋" w:eastAsia="仿宋"/>
                <w:sz w:val="28"/>
                <w:szCs w:val="28"/>
              </w:rPr>
              <w:t>现场备件保障服务</w:t>
            </w:r>
          </w:p>
        </w:tc>
      </w:tr>
      <w:tr w14:paraId="389C0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698D7270">
            <w:pPr>
              <w:pStyle w:val="40"/>
              <w:spacing w:after="156" w:line="240" w:lineRule="auto"/>
              <w:rPr>
                <w:rFonts w:ascii="仿宋" w:hAnsi="仿宋" w:eastAsia="仿宋"/>
                <w:sz w:val="28"/>
                <w:szCs w:val="28"/>
              </w:rPr>
            </w:pPr>
          </w:p>
        </w:tc>
        <w:tc>
          <w:tcPr>
            <w:tcW w:w="4271" w:type="dxa"/>
          </w:tcPr>
          <w:p w14:paraId="726C1CDC">
            <w:pPr>
              <w:pStyle w:val="40"/>
              <w:spacing w:after="156" w:line="240" w:lineRule="auto"/>
              <w:rPr>
                <w:rFonts w:ascii="仿宋" w:hAnsi="仿宋" w:eastAsia="仿宋"/>
                <w:sz w:val="28"/>
                <w:szCs w:val="28"/>
              </w:rPr>
            </w:pPr>
            <w:r>
              <w:rPr>
                <w:rFonts w:hint="eastAsia" w:ascii="仿宋" w:hAnsi="仿宋" w:eastAsia="仿宋"/>
                <w:sz w:val="28"/>
                <w:szCs w:val="28"/>
              </w:rPr>
              <w:t>重大生产变更支持服务</w:t>
            </w:r>
          </w:p>
        </w:tc>
      </w:tr>
      <w:tr w14:paraId="24EC4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55993A09">
            <w:pPr>
              <w:pStyle w:val="40"/>
              <w:spacing w:after="156" w:line="240" w:lineRule="auto"/>
              <w:rPr>
                <w:rFonts w:ascii="仿宋" w:hAnsi="仿宋" w:eastAsia="仿宋"/>
                <w:sz w:val="28"/>
                <w:szCs w:val="28"/>
              </w:rPr>
            </w:pPr>
          </w:p>
        </w:tc>
        <w:tc>
          <w:tcPr>
            <w:tcW w:w="4271" w:type="dxa"/>
          </w:tcPr>
          <w:p w14:paraId="72543E70">
            <w:pPr>
              <w:pStyle w:val="40"/>
              <w:spacing w:after="156" w:line="240" w:lineRule="auto"/>
              <w:rPr>
                <w:rFonts w:ascii="仿宋" w:hAnsi="仿宋" w:eastAsia="仿宋"/>
                <w:sz w:val="28"/>
                <w:szCs w:val="28"/>
              </w:rPr>
            </w:pPr>
            <w:r>
              <w:rPr>
                <w:rFonts w:hint="eastAsia" w:ascii="仿宋" w:hAnsi="仿宋" w:eastAsia="仿宋"/>
                <w:sz w:val="28"/>
                <w:szCs w:val="28"/>
              </w:rPr>
              <w:t>重要时段现场保障服务</w:t>
            </w:r>
          </w:p>
        </w:tc>
      </w:tr>
      <w:tr w14:paraId="50CA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166DABAB">
            <w:pPr>
              <w:pStyle w:val="40"/>
              <w:spacing w:after="156" w:line="240" w:lineRule="auto"/>
              <w:rPr>
                <w:rFonts w:ascii="仿宋" w:hAnsi="仿宋" w:eastAsia="仿宋"/>
                <w:sz w:val="28"/>
                <w:szCs w:val="28"/>
              </w:rPr>
            </w:pPr>
          </w:p>
        </w:tc>
        <w:tc>
          <w:tcPr>
            <w:tcW w:w="4271" w:type="dxa"/>
          </w:tcPr>
          <w:p w14:paraId="085F72FA">
            <w:pPr>
              <w:pStyle w:val="40"/>
              <w:spacing w:after="156" w:line="240" w:lineRule="auto"/>
              <w:rPr>
                <w:rFonts w:ascii="仿宋" w:hAnsi="仿宋" w:eastAsia="仿宋"/>
                <w:sz w:val="28"/>
                <w:szCs w:val="28"/>
              </w:rPr>
            </w:pPr>
            <w:r>
              <w:rPr>
                <w:rFonts w:hint="eastAsia" w:ascii="仿宋" w:hAnsi="仿宋" w:eastAsia="仿宋"/>
                <w:sz w:val="28"/>
                <w:szCs w:val="28"/>
              </w:rPr>
              <w:t>关键业务系统恢复服务</w:t>
            </w:r>
          </w:p>
        </w:tc>
      </w:tr>
      <w:tr w14:paraId="7620A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04E78D76">
            <w:pPr>
              <w:pStyle w:val="40"/>
              <w:spacing w:after="156" w:line="240" w:lineRule="auto"/>
              <w:rPr>
                <w:rFonts w:ascii="仿宋" w:hAnsi="仿宋" w:eastAsia="仿宋"/>
                <w:sz w:val="28"/>
                <w:szCs w:val="28"/>
              </w:rPr>
            </w:pPr>
          </w:p>
        </w:tc>
        <w:tc>
          <w:tcPr>
            <w:tcW w:w="4271" w:type="dxa"/>
          </w:tcPr>
          <w:p w14:paraId="422A919A">
            <w:pPr>
              <w:pStyle w:val="40"/>
              <w:spacing w:after="156" w:line="240" w:lineRule="auto"/>
              <w:rPr>
                <w:rFonts w:ascii="仿宋" w:hAnsi="仿宋" w:eastAsia="仿宋"/>
                <w:sz w:val="28"/>
                <w:szCs w:val="28"/>
              </w:rPr>
            </w:pPr>
            <w:r>
              <w:rPr>
                <w:rFonts w:hint="eastAsia" w:ascii="仿宋" w:hAnsi="仿宋" w:eastAsia="仿宋"/>
                <w:sz w:val="28"/>
                <w:szCs w:val="28"/>
              </w:rPr>
              <w:t>系统高级技术支持服务</w:t>
            </w:r>
          </w:p>
        </w:tc>
      </w:tr>
      <w:tr w14:paraId="42F30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51" w:type="dxa"/>
            <w:vMerge w:val="continue"/>
          </w:tcPr>
          <w:p w14:paraId="5CDEB72E">
            <w:pPr>
              <w:pStyle w:val="40"/>
              <w:spacing w:after="156" w:line="240" w:lineRule="auto"/>
              <w:rPr>
                <w:rFonts w:ascii="仿宋" w:hAnsi="仿宋" w:eastAsia="仿宋"/>
                <w:sz w:val="28"/>
                <w:szCs w:val="28"/>
              </w:rPr>
            </w:pPr>
          </w:p>
        </w:tc>
        <w:tc>
          <w:tcPr>
            <w:tcW w:w="4271" w:type="dxa"/>
          </w:tcPr>
          <w:p w14:paraId="67264A08">
            <w:pPr>
              <w:pStyle w:val="40"/>
              <w:spacing w:after="156" w:line="240" w:lineRule="auto"/>
              <w:rPr>
                <w:rFonts w:ascii="仿宋" w:hAnsi="仿宋" w:eastAsia="仿宋"/>
                <w:sz w:val="28"/>
                <w:szCs w:val="28"/>
              </w:rPr>
            </w:pPr>
            <w:r>
              <w:rPr>
                <w:rFonts w:hint="eastAsia" w:ascii="仿宋" w:hAnsi="仿宋" w:eastAsia="仿宋"/>
                <w:sz w:val="28"/>
                <w:szCs w:val="28"/>
              </w:rPr>
              <w:t>技术培训服务</w:t>
            </w:r>
          </w:p>
        </w:tc>
      </w:tr>
    </w:tbl>
    <w:p w14:paraId="646828DE">
      <w:pPr>
        <w:pStyle w:val="37"/>
      </w:pPr>
      <w:r>
        <w:rPr>
          <w:rFonts w:hint="eastAsia"/>
        </w:rPr>
        <w:t>3、服务内容</w:t>
      </w:r>
    </w:p>
    <w:tbl>
      <w:tblPr>
        <w:tblStyle w:val="15"/>
        <w:tblW w:w="9214" w:type="dxa"/>
        <w:tblInd w:w="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8363"/>
      </w:tblGrid>
      <w:tr w14:paraId="4D26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4DF48AD4">
            <w:pPr>
              <w:spacing w:after="120"/>
              <w:jc w:val="center"/>
              <w:textAlignment w:val="center"/>
              <w:rPr>
                <w:rFonts w:ascii="仿宋" w:hAnsi="仿宋" w:eastAsia="仿宋" w:cs="宋体"/>
                <w:b/>
                <w:bCs/>
                <w:color w:val="000000"/>
                <w:sz w:val="24"/>
                <w:lang w:bidi="ar"/>
              </w:rPr>
            </w:pPr>
            <w:r>
              <w:rPr>
                <w:rFonts w:ascii="仿宋" w:hAnsi="仿宋" w:eastAsia="仿宋" w:cs="宋体"/>
                <w:b/>
                <w:bCs/>
                <w:color w:val="000000"/>
                <w:sz w:val="24"/>
                <w:lang w:bidi="ar"/>
              </w:rPr>
              <w:t>项目</w:t>
            </w:r>
          </w:p>
        </w:tc>
        <w:tc>
          <w:tcPr>
            <w:tcW w:w="8363" w:type="dxa"/>
            <w:vAlign w:val="center"/>
          </w:tcPr>
          <w:p w14:paraId="397EB65E">
            <w:pPr>
              <w:spacing w:after="120"/>
              <w:jc w:val="center"/>
              <w:textAlignment w:val="center"/>
              <w:rPr>
                <w:rFonts w:ascii="仿宋" w:hAnsi="仿宋" w:eastAsia="仿宋" w:cs="宋体"/>
                <w:b/>
                <w:bCs/>
                <w:color w:val="000000"/>
                <w:sz w:val="24"/>
                <w:lang w:bidi="ar"/>
              </w:rPr>
            </w:pPr>
            <w:r>
              <w:rPr>
                <w:rFonts w:ascii="仿宋" w:hAnsi="仿宋" w:eastAsia="仿宋" w:cs="宋体"/>
                <w:b/>
                <w:bCs/>
                <w:color w:val="000000"/>
                <w:sz w:val="24"/>
                <w:lang w:bidi="ar"/>
              </w:rPr>
              <w:t>服务内容</w:t>
            </w:r>
          </w:p>
        </w:tc>
      </w:tr>
      <w:tr w14:paraId="4987F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6A9EBF21">
            <w:pPr>
              <w:spacing w:after="120"/>
              <w:jc w:val="left"/>
              <w:textAlignment w:val="center"/>
              <w:rPr>
                <w:rFonts w:ascii="仿宋" w:hAnsi="仿宋" w:eastAsia="仿宋" w:cs="宋体"/>
                <w:color w:val="000000"/>
                <w:sz w:val="24"/>
                <w:lang w:bidi="ar"/>
              </w:rPr>
            </w:pPr>
            <w:r>
              <w:rPr>
                <w:rFonts w:ascii="仿宋" w:hAnsi="仿宋" w:eastAsia="仿宋" w:cs="宋体"/>
                <w:color w:val="000000"/>
                <w:sz w:val="24"/>
                <w:lang w:bidi="ar"/>
              </w:rPr>
              <w:t>技术服务</w:t>
            </w:r>
          </w:p>
        </w:tc>
        <w:tc>
          <w:tcPr>
            <w:tcW w:w="8363" w:type="dxa"/>
            <w:vAlign w:val="center"/>
          </w:tcPr>
          <w:p w14:paraId="67173B7D">
            <w:pPr>
              <w:pStyle w:val="30"/>
              <w:widowControl/>
              <w:numPr>
                <w:ilvl w:val="0"/>
                <w:numId w:val="1"/>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提供技术响应和技术咨询服务，7×24小时技术服务热线电话。</w:t>
            </w:r>
          </w:p>
          <w:p w14:paraId="015216D6">
            <w:pPr>
              <w:pStyle w:val="30"/>
              <w:widowControl/>
              <w:numPr>
                <w:ilvl w:val="0"/>
                <w:numId w:val="1"/>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提供 7×2</w:t>
            </w:r>
            <w:r>
              <w:rPr>
                <w:rFonts w:ascii="仿宋" w:hAnsi="仿宋" w:eastAsia="仿宋" w:cs="宋体"/>
                <w:color w:val="000000"/>
                <w:sz w:val="24"/>
                <w:lang w:bidi="ar"/>
              </w:rPr>
              <w:t>4</w:t>
            </w:r>
            <w:r>
              <w:rPr>
                <w:rFonts w:hint="eastAsia" w:ascii="仿宋" w:hAnsi="仿宋" w:eastAsia="仿宋" w:cs="宋体"/>
                <w:color w:val="000000"/>
                <w:sz w:val="24"/>
                <w:lang w:bidi="ar"/>
              </w:rPr>
              <w:t>小时故障应急响应和维护服务，免费提供所需的所有配件和消耗品</w:t>
            </w:r>
            <w:r>
              <w:rPr>
                <w:rFonts w:ascii="仿宋" w:hAnsi="仿宋" w:eastAsia="仿宋" w:cs="宋体"/>
                <w:color w:val="000000"/>
                <w:sz w:val="24"/>
                <w:lang w:bidi="ar"/>
              </w:rPr>
              <w:t>。</w:t>
            </w:r>
          </w:p>
          <w:p w14:paraId="4542BCD9">
            <w:pPr>
              <w:pStyle w:val="30"/>
              <w:widowControl/>
              <w:numPr>
                <w:ilvl w:val="0"/>
                <w:numId w:val="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根据需要在</w:t>
            </w:r>
            <w:r>
              <w:rPr>
                <w:rFonts w:hint="eastAsia" w:ascii="仿宋" w:hAnsi="仿宋" w:eastAsia="仿宋" w:cs="宋体"/>
                <w:color w:val="000000"/>
                <w:sz w:val="24"/>
                <w:lang w:bidi="ar"/>
              </w:rPr>
              <w:t>重大安全保障期、</w:t>
            </w:r>
            <w:r>
              <w:rPr>
                <w:rFonts w:ascii="仿宋" w:hAnsi="仿宋" w:eastAsia="仿宋" w:cs="宋体"/>
                <w:color w:val="000000"/>
                <w:sz w:val="24"/>
                <w:lang w:bidi="ar"/>
              </w:rPr>
              <w:t>应急演练、新系统上线</w:t>
            </w:r>
            <w:r>
              <w:rPr>
                <w:rFonts w:hint="eastAsia" w:ascii="仿宋" w:hAnsi="仿宋" w:eastAsia="仿宋" w:cs="宋体"/>
                <w:color w:val="000000"/>
                <w:sz w:val="24"/>
                <w:lang w:bidi="ar"/>
              </w:rPr>
              <w:t>等重要时段</w:t>
            </w:r>
            <w:r>
              <w:rPr>
                <w:rFonts w:ascii="仿宋" w:hAnsi="仿宋" w:eastAsia="仿宋" w:cs="宋体"/>
                <w:color w:val="000000"/>
                <w:sz w:val="24"/>
                <w:lang w:bidi="ar"/>
              </w:rPr>
              <w:t>提供现场保障和技术支持服务。</w:t>
            </w:r>
          </w:p>
          <w:p w14:paraId="2C53B803">
            <w:pPr>
              <w:pStyle w:val="30"/>
              <w:widowControl/>
              <w:numPr>
                <w:ilvl w:val="0"/>
                <w:numId w:val="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根据需要为相关的技术人员提供技能培训或集中的高级技能培训、技术交流会。</w:t>
            </w:r>
          </w:p>
          <w:p w14:paraId="22C70E9A">
            <w:pPr>
              <w:pStyle w:val="30"/>
              <w:widowControl/>
              <w:numPr>
                <w:ilvl w:val="0"/>
                <w:numId w:val="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包括但不限于提供相关系统技术文档、技术服务网站等。</w:t>
            </w:r>
          </w:p>
        </w:tc>
      </w:tr>
      <w:tr w14:paraId="794D5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000EFE54">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故障</w:t>
            </w:r>
            <w:r>
              <w:rPr>
                <w:rFonts w:ascii="仿宋" w:hAnsi="仿宋" w:eastAsia="仿宋" w:cs="宋体"/>
                <w:color w:val="000000"/>
                <w:sz w:val="24"/>
                <w:lang w:bidi="ar"/>
              </w:rPr>
              <w:t>响应处理</w:t>
            </w:r>
          </w:p>
        </w:tc>
        <w:tc>
          <w:tcPr>
            <w:tcW w:w="8363" w:type="dxa"/>
            <w:vAlign w:val="center"/>
          </w:tcPr>
          <w:p w14:paraId="5A3F87D3">
            <w:pPr>
              <w:pStyle w:val="30"/>
              <w:widowControl/>
              <w:numPr>
                <w:ilvl w:val="0"/>
                <w:numId w:val="2"/>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当主要设备（如UPS、配电、空调）发生任何影响业务正常运作的紧急故障，服务商应在15分钟时间内响应，2小时内到达故障现场进行处理</w:t>
            </w:r>
            <w:r>
              <w:rPr>
                <w:rFonts w:ascii="仿宋" w:hAnsi="仿宋" w:eastAsia="仿宋" w:cs="宋体"/>
                <w:color w:val="000000"/>
                <w:sz w:val="24"/>
                <w:lang w:bidi="ar"/>
              </w:rPr>
              <w:t>。</w:t>
            </w:r>
          </w:p>
          <w:p w14:paraId="524A830B">
            <w:pPr>
              <w:pStyle w:val="30"/>
              <w:widowControl/>
              <w:numPr>
                <w:ilvl w:val="0"/>
                <w:numId w:val="2"/>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除上面列出的以外其余系统，任何影响业务正常运作的严重故障，服务商应在15分钟时间内响应，2小时内到达故障现场进行处理。到达故障现场后，立即进行设备维护或通过更换设备零配件来保障设备恢复正常运行。当有设备发生暂时不影响机房业务正常运作的一般故障，服务商应在15分钟时间内响应，2小时内到达故障现场进行处理。到达故障现场后，立即进行设备维护或通过更换设备零配件来保障设备恢复正常运行。</w:t>
            </w:r>
          </w:p>
          <w:p w14:paraId="0F9218DD">
            <w:pPr>
              <w:pStyle w:val="30"/>
              <w:widowControl/>
              <w:numPr>
                <w:ilvl w:val="0"/>
                <w:numId w:val="2"/>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设备故障排除和维修期间，根据设备稳定运行的要求，服务商提供现场技术支持和保障。</w:t>
            </w:r>
          </w:p>
          <w:p w14:paraId="72D07DEB">
            <w:pPr>
              <w:pStyle w:val="30"/>
              <w:widowControl/>
              <w:numPr>
                <w:ilvl w:val="0"/>
                <w:numId w:val="2"/>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故障发生后，如果48小时内不能排除处理故障，客户方有权请任何第三方进行解决，由此而产生的一切费用，由服务商支付。</w:t>
            </w:r>
          </w:p>
          <w:p w14:paraId="437BA3F2">
            <w:pPr>
              <w:pStyle w:val="30"/>
              <w:widowControl/>
              <w:numPr>
                <w:ilvl w:val="0"/>
                <w:numId w:val="2"/>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服务商应在故障排除处理后2个工作日内提交《故障应急处理报告》，故障级别对照表见附表</w:t>
            </w:r>
            <w:r>
              <w:rPr>
                <w:rFonts w:ascii="仿宋" w:hAnsi="仿宋" w:eastAsia="仿宋" w:cs="宋体"/>
                <w:color w:val="000000"/>
                <w:sz w:val="24"/>
                <w:lang w:bidi="ar"/>
              </w:rPr>
              <w:t>2</w:t>
            </w:r>
            <w:r>
              <w:rPr>
                <w:rFonts w:hint="eastAsia" w:ascii="仿宋" w:hAnsi="仿宋" w:eastAsia="仿宋" w:cs="宋体"/>
                <w:color w:val="000000"/>
                <w:sz w:val="24"/>
                <w:lang w:bidi="ar"/>
              </w:rPr>
              <w:t>。</w:t>
            </w:r>
          </w:p>
        </w:tc>
      </w:tr>
      <w:tr w14:paraId="5C335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267FC460">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维保服务安排</w:t>
            </w:r>
          </w:p>
        </w:tc>
        <w:tc>
          <w:tcPr>
            <w:tcW w:w="8363" w:type="dxa"/>
            <w:vAlign w:val="center"/>
          </w:tcPr>
          <w:p w14:paraId="0E9D4FC0">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现场保障服务期间，根据项目服务要求，服务商对所委托的服务范围内的机房维护设备进行巡检维护工作，每月定期巡查设备，每半年UPS电池放电测试，每年4次季度巡检维护保养，做好记录，并将巡检情况告知机房管理人员。巡检发现异常情况时，服务商须采取措施及时处理，并及时通知机房管理人员。</w:t>
            </w:r>
          </w:p>
          <w:p w14:paraId="4409270E">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服务商所进行的所有工作（故障抢修、日常巡检等）应遵循机房相关规章制度，需报机房管理人员批准同意后执行。</w:t>
            </w:r>
          </w:p>
          <w:p w14:paraId="2E2C27AB">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服务商指派专门的服务人员，对所委托的服务范围内的机房环境设备按照维修保养项目和维修保养计划定期进行检修；按照计划进行季度和年度的保养。每次维护结束后5个工作日内，提交相关维护报告。</w:t>
            </w:r>
          </w:p>
          <w:p w14:paraId="6EFA8DF4">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每年服务商都要安排UPS和空调的品牌厂家或厂家授权的技术服务单位，在现场对机房管理人员进行一次全面的维护技术培训，同时做好该次培训记录文档。</w:t>
            </w:r>
          </w:p>
          <w:p w14:paraId="1D24CABF">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每年度结束，服务商都要对系统运行状况和性能进行全面分析并做年终总结，在每年度维护周期后5个工作日内，提交年终总结。</w:t>
            </w:r>
          </w:p>
          <w:p w14:paraId="2782B3AA">
            <w:pPr>
              <w:pStyle w:val="30"/>
              <w:widowControl/>
              <w:numPr>
                <w:ilvl w:val="0"/>
                <w:numId w:val="3"/>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为保证服务质量，在机房管理人员要求时免费提供原设备厂家维护服务和技术专家支持。</w:t>
            </w:r>
          </w:p>
        </w:tc>
      </w:tr>
      <w:tr w14:paraId="50E16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38781925">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技术培训要求</w:t>
            </w:r>
          </w:p>
        </w:tc>
        <w:tc>
          <w:tcPr>
            <w:tcW w:w="8363" w:type="dxa"/>
            <w:vAlign w:val="center"/>
          </w:tcPr>
          <w:p w14:paraId="726968AB">
            <w:pPr>
              <w:pStyle w:val="30"/>
              <w:widowControl/>
              <w:numPr>
                <w:ilvl w:val="0"/>
                <w:numId w:val="4"/>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需提供详细的培训教材和技术资料，负责对机房管理人员进行运维技术培训，以便机房管理人员在培训后能熟练地掌握设备软件及硬件维护工作，并能及时排除大部分的设备现场能应急处理的能力。其中，每年服务商都要安排UPS和空调的品牌厂家或厂家授权的服务单位，在现场对机房管理人员进行一次全面的使用培训，一年不少于一次。</w:t>
            </w:r>
          </w:p>
        </w:tc>
      </w:tr>
      <w:tr w14:paraId="1B160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7301832C">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维护保障需求</w:t>
            </w:r>
          </w:p>
        </w:tc>
        <w:tc>
          <w:tcPr>
            <w:tcW w:w="8363" w:type="dxa"/>
            <w:vAlign w:val="center"/>
          </w:tcPr>
          <w:p w14:paraId="1C121F3B">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sz w:val="24"/>
              </w:rPr>
              <w:t>★</w:t>
            </w:r>
            <w:r>
              <w:rPr>
                <w:rFonts w:hint="eastAsia" w:ascii="仿宋" w:hAnsi="仿宋" w:eastAsia="仿宋" w:cs="宋体"/>
                <w:color w:val="000000"/>
                <w:sz w:val="24"/>
                <w:lang w:bidi="ar"/>
              </w:rPr>
              <w:t xml:space="preserve">服务期内服务商提供7*24小时故障响应，上门服务2小时内到达现场做故障排查，软硬件出问题做报修处理，修复时间视故障严重性分为一般故障8小时完成，严重故障24小时完成，重大故障48小时完成。 </w:t>
            </w:r>
          </w:p>
          <w:p w14:paraId="7E44D1CD">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应在广州市设有本地化服务机构和备件库，配有专职维护维修的人员，备充足备品备件、配有广州本地车牌号的专用服务车辆。维护设备出现故障影响正常运转时，维护商应在接到用户维修请求12小时内，带足维修配件赶到现场进行维修，且必须在24小时内设备系统恢复正常工作或提供解决处理方法。</w:t>
            </w:r>
          </w:p>
          <w:p w14:paraId="3131AE98">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服务商应具备“电子与智能化工程专业承包资质”和具备空调行业“中国设备维修安装企业能力等级证书（类别等级:制冷空调A类II级和D类I级）” 来提供服务。</w:t>
            </w:r>
          </w:p>
          <w:p w14:paraId="5A03C047">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服务商应提供完整的售后服务计划及措施（应包含公司简介、维修人员情况、应急维修时间安排、技术保障、定期巡检保养、主要零配件价格及其它服务承诺等内容）。</w:t>
            </w:r>
          </w:p>
          <w:p w14:paraId="5CF4536F">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sz w:val="24"/>
              </w:rPr>
              <w:t>★</w:t>
            </w:r>
            <w:r>
              <w:rPr>
                <w:rFonts w:hint="eastAsia" w:ascii="仿宋" w:hAnsi="仿宋" w:eastAsia="仿宋" w:cs="宋体"/>
                <w:color w:val="000000"/>
                <w:sz w:val="24"/>
                <w:lang w:bidi="ar"/>
              </w:rPr>
              <w:t>非UPS和空调的设备品牌原厂家服务商的提供维护服务时，服务商需提供本项目的原厂家维护服务保证书或项目支持授权书。</w:t>
            </w:r>
          </w:p>
          <w:p w14:paraId="2431BBE4">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sz w:val="24"/>
              </w:rPr>
              <w:t>★</w:t>
            </w:r>
            <w:r>
              <w:rPr>
                <w:rFonts w:hint="eastAsia" w:ascii="仿宋" w:hAnsi="仿宋" w:eastAsia="仿宋" w:cs="宋体"/>
                <w:color w:val="000000"/>
                <w:sz w:val="24"/>
                <w:lang w:bidi="ar"/>
              </w:rPr>
              <w:t>服务商的UPS和空调服务人员需经原厂家技术培训，并能提供有原厂家的服务技术认证的证书或服务授证书，人员数量不少于3名。需提供7*24小时应急响应，2小时间到场的服务，一年提供4次维护保养服务。</w:t>
            </w:r>
          </w:p>
          <w:p w14:paraId="2301E941">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sz w:val="24"/>
              </w:rPr>
              <w:t>★</w:t>
            </w:r>
            <w:r>
              <w:rPr>
                <w:rFonts w:ascii="仿宋" w:hAnsi="仿宋" w:eastAsia="仿宋" w:cs="宋体"/>
                <w:sz w:val="24"/>
              </w:rPr>
              <w:t>若涉及UPS、精密空调、强电配电柜等关键设备的更换，其维保费用应依据该设备</w:t>
            </w:r>
            <w:r>
              <w:rPr>
                <w:rFonts w:ascii="仿宋" w:hAnsi="仿宋" w:eastAsia="仿宋" w:cs="宋体"/>
                <w:b/>
                <w:bCs/>
                <w:sz w:val="24"/>
              </w:rPr>
              <w:t>实际享受维保服务的时长</w:t>
            </w:r>
            <w:r>
              <w:rPr>
                <w:rFonts w:ascii="仿宋" w:hAnsi="仿宋" w:eastAsia="仿宋" w:cs="宋体"/>
                <w:sz w:val="24"/>
              </w:rPr>
              <w:t>进行核算与结算</w:t>
            </w:r>
            <w:r>
              <w:rPr>
                <w:rFonts w:hint="eastAsia" w:ascii="仿宋" w:hAnsi="仿宋" w:eastAsia="仿宋" w:cs="宋体"/>
                <w:sz w:val="24"/>
              </w:rPr>
              <w:t>。</w:t>
            </w:r>
            <w:r>
              <w:rPr>
                <w:rFonts w:hint="eastAsia" w:ascii="仿宋" w:hAnsi="仿宋" w:eastAsia="仿宋" w:cs="宋体"/>
                <w:color w:val="000000"/>
                <w:sz w:val="24"/>
                <w:lang w:bidi="ar"/>
              </w:rPr>
              <w:t xml:space="preserve"> </w:t>
            </w:r>
          </w:p>
          <w:p w14:paraId="1B5E2AC6">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sz w:val="24"/>
                <w:lang w:bidi="ar"/>
              </w:rPr>
              <w:t>服务商在本项目中标后设立广州自有备件库</w:t>
            </w:r>
            <w:r>
              <w:rPr>
                <w:rFonts w:hint="eastAsia" w:ascii="仿宋" w:hAnsi="仿宋" w:eastAsia="仿宋" w:cs="宋体"/>
                <w:color w:val="000000"/>
                <w:sz w:val="24"/>
                <w:lang w:bidi="ar"/>
              </w:rPr>
              <w:t>（不小于15㎡，需提供地址及图片），按设备的维护保养服务要求，为项目提供设备维修维护和应急时所需的设备配件和消耗品（不含UPS电容电池），重要设备备件响应到位时间为4小时内。</w:t>
            </w:r>
          </w:p>
          <w:p w14:paraId="069B9E56">
            <w:pPr>
              <w:pStyle w:val="30"/>
              <w:widowControl/>
              <w:numPr>
                <w:ilvl w:val="0"/>
                <w:numId w:val="5"/>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服务商存放部分普通耗材备件至项目现场，以进一步提高服务响应的及时性，具体的维护保障备件清单见附表</w:t>
            </w:r>
            <w:r>
              <w:rPr>
                <w:rFonts w:ascii="仿宋" w:hAnsi="仿宋" w:eastAsia="仿宋" w:cs="宋体"/>
                <w:color w:val="000000"/>
                <w:sz w:val="24"/>
                <w:lang w:bidi="ar"/>
              </w:rPr>
              <w:t>3</w:t>
            </w:r>
            <w:r>
              <w:rPr>
                <w:rFonts w:hint="eastAsia" w:ascii="仿宋" w:hAnsi="仿宋" w:eastAsia="仿宋" w:cs="宋体"/>
                <w:color w:val="000000"/>
                <w:sz w:val="24"/>
                <w:lang w:bidi="ar"/>
              </w:rPr>
              <w:t>。</w:t>
            </w:r>
          </w:p>
        </w:tc>
      </w:tr>
      <w:tr w14:paraId="48E54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37811A04">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维护团队要求</w:t>
            </w:r>
          </w:p>
        </w:tc>
        <w:tc>
          <w:tcPr>
            <w:tcW w:w="8363" w:type="dxa"/>
            <w:vAlign w:val="center"/>
          </w:tcPr>
          <w:p w14:paraId="6ECFCA51">
            <w:pPr>
              <w:pStyle w:val="30"/>
              <w:widowControl/>
              <w:numPr>
                <w:ilvl w:val="0"/>
                <w:numId w:val="6"/>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服务商须指派项目管理负责人协调与维护服务相关的事宜，提供（7×24 小时，含节假日）有效的支持服务电话。</w:t>
            </w:r>
          </w:p>
          <w:p w14:paraId="34916E7A">
            <w:pPr>
              <w:pStyle w:val="30"/>
              <w:widowControl/>
              <w:numPr>
                <w:ilvl w:val="0"/>
                <w:numId w:val="6"/>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维护服务人员需具备相关资质证明，其中UPS和配电维护人员需具备中华人民共和国特种作业操作证（操作项目：低压电工作业），空调维护服人员需具备中华人民共和国特种作业操作证（操作项目：制冷与空调设备运行操作作业）。</w:t>
            </w:r>
          </w:p>
          <w:p w14:paraId="4A480B45">
            <w:pPr>
              <w:pStyle w:val="30"/>
              <w:widowControl/>
              <w:numPr>
                <w:ilvl w:val="0"/>
                <w:numId w:val="6"/>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其它服务人员需有五年以上IT机房维护经验（UPS、精密空调配电系统的维护经验），所有服务人员（厂家服务人员除外）需提交相关资质证明资料。</w:t>
            </w:r>
          </w:p>
        </w:tc>
      </w:tr>
      <w:tr w14:paraId="07DA9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1E8DA4E0">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UPS 维护要求</w:t>
            </w:r>
          </w:p>
        </w:tc>
        <w:tc>
          <w:tcPr>
            <w:tcW w:w="8363" w:type="dxa"/>
            <w:vAlign w:val="center"/>
          </w:tcPr>
          <w:p w14:paraId="3AFAD987">
            <w:pPr>
              <w:pStyle w:val="30"/>
              <w:widowControl/>
              <w:numPr>
                <w:ilvl w:val="0"/>
                <w:numId w:val="7"/>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设备品牌原厂家提供 7×24小时故障应急响应和维护服务，免费提供所需的所有配件和消耗品（不含UPS电容电池）。</w:t>
            </w:r>
          </w:p>
          <w:p w14:paraId="4477D3B4">
            <w:pPr>
              <w:pStyle w:val="30"/>
              <w:widowControl/>
              <w:numPr>
                <w:ilvl w:val="0"/>
                <w:numId w:val="7"/>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设备品牌原厂家应建有备件库，为项目提供设备维护和应急时所需的设备、配件和消耗品，并确保备件随时可用。</w:t>
            </w:r>
          </w:p>
          <w:p w14:paraId="44017B0E">
            <w:pPr>
              <w:pStyle w:val="30"/>
              <w:widowControl/>
              <w:numPr>
                <w:ilvl w:val="0"/>
                <w:numId w:val="7"/>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所供备件必须为原厂家或原厂家认可的正品。</w:t>
            </w:r>
          </w:p>
        </w:tc>
      </w:tr>
      <w:tr w14:paraId="51D8E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6846A0FE">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空调维护要求</w:t>
            </w:r>
          </w:p>
        </w:tc>
        <w:tc>
          <w:tcPr>
            <w:tcW w:w="8363" w:type="dxa"/>
            <w:vAlign w:val="center"/>
          </w:tcPr>
          <w:p w14:paraId="789B28FB">
            <w:pPr>
              <w:pStyle w:val="30"/>
              <w:widowControl/>
              <w:numPr>
                <w:ilvl w:val="0"/>
                <w:numId w:val="8"/>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设备品牌原厂家提供 7×24小时故障应急响应和维护服务，免费提供所需的所有配件和消耗品。</w:t>
            </w:r>
          </w:p>
          <w:p w14:paraId="738016EC">
            <w:pPr>
              <w:pStyle w:val="30"/>
              <w:widowControl/>
              <w:numPr>
                <w:ilvl w:val="0"/>
                <w:numId w:val="8"/>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服务商需在建有备件库内应存放部分项目的精密空调备件，以进一步提高服务响应的及时性，备件设备响应到位时间为4小时内。</w:t>
            </w:r>
          </w:p>
          <w:p w14:paraId="13FC51C0">
            <w:pPr>
              <w:pStyle w:val="30"/>
              <w:widowControl/>
              <w:numPr>
                <w:ilvl w:val="0"/>
                <w:numId w:val="8"/>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所供备件必须为原厂家或原厂家认可的正品。</w:t>
            </w:r>
          </w:p>
        </w:tc>
      </w:tr>
      <w:tr w14:paraId="133B3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09838B0E">
            <w:pPr>
              <w:spacing w:after="120"/>
              <w:jc w:val="left"/>
              <w:textAlignment w:val="center"/>
              <w:rPr>
                <w:rFonts w:ascii="仿宋" w:hAnsi="仿宋" w:eastAsia="仿宋" w:cs="宋体"/>
                <w:color w:val="000000"/>
                <w:sz w:val="24"/>
                <w:lang w:bidi="ar"/>
              </w:rPr>
            </w:pPr>
            <w:r>
              <w:rPr>
                <w:rFonts w:hint="eastAsia" w:ascii="仿宋" w:hAnsi="仿宋" w:eastAsia="仿宋" w:cs="宋体"/>
                <w:color w:val="000000"/>
                <w:sz w:val="24"/>
                <w:lang w:bidi="ar"/>
              </w:rPr>
              <w:t>巡检要求</w:t>
            </w:r>
          </w:p>
        </w:tc>
        <w:tc>
          <w:tcPr>
            <w:tcW w:w="8363" w:type="dxa"/>
            <w:vAlign w:val="center"/>
          </w:tcPr>
          <w:p w14:paraId="167A559B">
            <w:pPr>
              <w:pStyle w:val="30"/>
              <w:widowControl/>
              <w:numPr>
                <w:ilvl w:val="0"/>
                <w:numId w:val="9"/>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针对维保设备和系统提供</w:t>
            </w:r>
            <w:r>
              <w:rPr>
                <w:rFonts w:hint="eastAsia" w:ascii="仿宋" w:hAnsi="仿宋" w:eastAsia="仿宋" w:cs="宋体"/>
                <w:color w:val="000000"/>
                <w:sz w:val="24"/>
                <w:lang w:bidi="ar"/>
              </w:rPr>
              <w:t>每月定期巡查服务，</w:t>
            </w:r>
            <w:r>
              <w:rPr>
                <w:rFonts w:ascii="仿宋" w:hAnsi="仿宋" w:eastAsia="仿宋" w:cs="宋体"/>
                <w:color w:val="000000"/>
                <w:sz w:val="24"/>
                <w:lang w:bidi="ar"/>
              </w:rPr>
              <w:t>每</w:t>
            </w:r>
            <w:r>
              <w:rPr>
                <w:rFonts w:hint="eastAsia" w:ascii="仿宋" w:hAnsi="仿宋" w:eastAsia="仿宋" w:cs="宋体"/>
                <w:color w:val="000000"/>
                <w:sz w:val="24"/>
                <w:lang w:bidi="ar"/>
              </w:rPr>
              <w:t>年4</w:t>
            </w:r>
            <w:r>
              <w:rPr>
                <w:rFonts w:ascii="仿宋" w:hAnsi="仿宋" w:eastAsia="仿宋" w:cs="宋体"/>
                <w:color w:val="000000"/>
                <w:sz w:val="24"/>
                <w:lang w:bidi="ar"/>
              </w:rPr>
              <w:t>次</w:t>
            </w:r>
            <w:r>
              <w:rPr>
                <w:rFonts w:hint="eastAsia" w:ascii="仿宋" w:hAnsi="仿宋" w:eastAsia="仿宋" w:cs="宋体"/>
                <w:color w:val="000000"/>
                <w:sz w:val="24"/>
                <w:lang w:bidi="ar"/>
              </w:rPr>
              <w:t>季度</w:t>
            </w:r>
            <w:r>
              <w:rPr>
                <w:rFonts w:ascii="仿宋" w:hAnsi="仿宋" w:eastAsia="仿宋" w:cs="宋体"/>
                <w:color w:val="000000"/>
                <w:sz w:val="24"/>
                <w:lang w:bidi="ar"/>
              </w:rPr>
              <w:t>巡检服务，根据巡检结果对</w:t>
            </w:r>
            <w:r>
              <w:rPr>
                <w:rFonts w:hint="eastAsia" w:ascii="仿宋" w:hAnsi="仿宋" w:eastAsia="仿宋" w:cs="宋体"/>
                <w:color w:val="000000"/>
                <w:sz w:val="24"/>
                <w:lang w:bidi="ar"/>
              </w:rPr>
              <w:t>故障处理和</w:t>
            </w:r>
            <w:r>
              <w:rPr>
                <w:rFonts w:ascii="仿宋" w:hAnsi="仿宋" w:eastAsia="仿宋" w:cs="宋体"/>
                <w:color w:val="000000"/>
                <w:sz w:val="24"/>
                <w:lang w:bidi="ar"/>
              </w:rPr>
              <w:t>系统优化</w:t>
            </w:r>
            <w:r>
              <w:rPr>
                <w:rFonts w:hint="eastAsia" w:ascii="仿宋" w:hAnsi="仿宋" w:eastAsia="仿宋" w:cs="宋体"/>
                <w:color w:val="000000"/>
                <w:sz w:val="24"/>
                <w:lang w:bidi="ar"/>
              </w:rPr>
              <w:t>；</w:t>
            </w:r>
          </w:p>
          <w:p w14:paraId="6E32D3A7">
            <w:pPr>
              <w:pStyle w:val="30"/>
              <w:widowControl/>
              <w:numPr>
                <w:ilvl w:val="0"/>
                <w:numId w:val="9"/>
              </w:numPr>
              <w:spacing w:after="0" w:line="240" w:lineRule="auto"/>
              <w:contextualSpacing w:val="0"/>
              <w:textAlignment w:val="center"/>
              <w:rPr>
                <w:rFonts w:ascii="仿宋" w:hAnsi="仿宋" w:eastAsia="仿宋" w:cs="宋体"/>
                <w:color w:val="000000"/>
                <w:sz w:val="24"/>
                <w:lang w:bidi="ar"/>
              </w:rPr>
            </w:pPr>
            <w:r>
              <w:rPr>
                <w:rFonts w:hint="eastAsia" w:ascii="仿宋" w:hAnsi="仿宋" w:eastAsia="仿宋" w:cs="宋体"/>
                <w:color w:val="000000"/>
                <w:sz w:val="24"/>
                <w:lang w:bidi="ar"/>
              </w:rPr>
              <w:t>月度巡查、季度巡检，</w:t>
            </w:r>
            <w:r>
              <w:rPr>
                <w:rFonts w:ascii="仿宋" w:hAnsi="仿宋" w:eastAsia="仿宋" w:cs="宋体"/>
                <w:color w:val="000000"/>
                <w:sz w:val="24"/>
                <w:lang w:bidi="ar"/>
              </w:rPr>
              <w:t>完成后5个工作日内提供书面报告；</w:t>
            </w:r>
          </w:p>
          <w:p w14:paraId="2EEE9E49">
            <w:pPr>
              <w:pStyle w:val="30"/>
              <w:widowControl/>
              <w:numPr>
                <w:ilvl w:val="0"/>
                <w:numId w:val="9"/>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年度服务完成后，提供详细的</w:t>
            </w:r>
            <w:r>
              <w:rPr>
                <w:rFonts w:hint="eastAsia" w:ascii="仿宋" w:hAnsi="仿宋" w:eastAsia="仿宋" w:cs="宋体"/>
                <w:color w:val="000000"/>
                <w:sz w:val="24"/>
                <w:lang w:bidi="ar"/>
              </w:rPr>
              <w:t>年度总结</w:t>
            </w:r>
            <w:r>
              <w:rPr>
                <w:rFonts w:ascii="仿宋" w:hAnsi="仿宋" w:eastAsia="仿宋" w:cs="宋体"/>
                <w:color w:val="000000"/>
                <w:sz w:val="24"/>
                <w:lang w:bidi="ar"/>
              </w:rPr>
              <w:t>报告。</w:t>
            </w:r>
          </w:p>
        </w:tc>
      </w:tr>
      <w:tr w14:paraId="7ECC5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60C68A93">
            <w:pPr>
              <w:spacing w:after="120"/>
              <w:jc w:val="left"/>
              <w:textAlignment w:val="center"/>
              <w:rPr>
                <w:rFonts w:ascii="仿宋" w:hAnsi="仿宋" w:eastAsia="仿宋" w:cs="宋体"/>
                <w:color w:val="000000"/>
                <w:sz w:val="24"/>
                <w:lang w:bidi="ar"/>
              </w:rPr>
            </w:pPr>
            <w:r>
              <w:rPr>
                <w:rFonts w:ascii="仿宋" w:hAnsi="仿宋" w:eastAsia="仿宋" w:cs="宋体"/>
                <w:color w:val="000000"/>
                <w:sz w:val="24"/>
                <w:lang w:bidi="ar"/>
              </w:rPr>
              <w:t>备件要求</w:t>
            </w:r>
          </w:p>
        </w:tc>
        <w:tc>
          <w:tcPr>
            <w:tcW w:w="8363" w:type="dxa"/>
            <w:vAlign w:val="center"/>
          </w:tcPr>
          <w:p w14:paraId="3BBF18AC">
            <w:pPr>
              <w:pStyle w:val="30"/>
              <w:widowControl/>
              <w:numPr>
                <w:ilvl w:val="0"/>
                <w:numId w:val="10"/>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服务商</w:t>
            </w:r>
            <w:r>
              <w:rPr>
                <w:rFonts w:hint="eastAsia" w:ascii="仿宋" w:hAnsi="仿宋" w:eastAsia="仿宋" w:cs="宋体"/>
                <w:color w:val="000000"/>
                <w:sz w:val="24"/>
                <w:lang w:bidi="ar"/>
              </w:rPr>
              <w:t>需根据我司提</w:t>
            </w:r>
            <w:r>
              <w:rPr>
                <w:rFonts w:ascii="仿宋" w:hAnsi="仿宋" w:eastAsia="仿宋" w:cs="宋体"/>
                <w:color w:val="000000"/>
                <w:sz w:val="24"/>
                <w:lang w:bidi="ar"/>
              </w:rPr>
              <w:t>出的重要生产设备的关键部件清单预存备件</w:t>
            </w:r>
            <w:r>
              <w:rPr>
                <w:rFonts w:hint="eastAsia" w:ascii="仿宋" w:hAnsi="仿宋" w:eastAsia="仿宋" w:cs="宋体"/>
                <w:color w:val="000000"/>
                <w:sz w:val="24"/>
                <w:lang w:bidi="ar"/>
              </w:rPr>
              <w:t>。</w:t>
            </w:r>
          </w:p>
          <w:p w14:paraId="2D224E36">
            <w:pPr>
              <w:pStyle w:val="30"/>
              <w:widowControl/>
              <w:numPr>
                <w:ilvl w:val="0"/>
                <w:numId w:val="10"/>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服务商所供备件必须通过正当渠道采购，为原厂或原厂家认可正品。</w:t>
            </w:r>
          </w:p>
          <w:p w14:paraId="181F2B49">
            <w:pPr>
              <w:pStyle w:val="30"/>
              <w:widowControl/>
              <w:numPr>
                <w:ilvl w:val="0"/>
                <w:numId w:val="10"/>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如故障设备在8小时内不能修复，且严重影响业务运行，服务商在故障确认后12小时内向</w:t>
            </w:r>
            <w:r>
              <w:rPr>
                <w:rFonts w:hint="eastAsia" w:ascii="仿宋" w:hAnsi="仿宋" w:eastAsia="仿宋" w:cs="宋体"/>
                <w:color w:val="000000"/>
                <w:sz w:val="24"/>
                <w:lang w:bidi="ar"/>
              </w:rPr>
              <w:t>我司</w:t>
            </w:r>
            <w:r>
              <w:rPr>
                <w:rFonts w:ascii="仿宋" w:hAnsi="仿宋" w:eastAsia="仿宋" w:cs="宋体"/>
                <w:color w:val="000000"/>
                <w:sz w:val="24"/>
                <w:lang w:bidi="ar"/>
              </w:rPr>
              <w:t>免费提供应急设备。</w:t>
            </w:r>
          </w:p>
        </w:tc>
      </w:tr>
      <w:tr w14:paraId="0B9EF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vAlign w:val="center"/>
          </w:tcPr>
          <w:p w14:paraId="000481DA">
            <w:pPr>
              <w:spacing w:after="120"/>
              <w:jc w:val="left"/>
              <w:textAlignment w:val="center"/>
              <w:rPr>
                <w:rFonts w:ascii="仿宋" w:hAnsi="仿宋" w:eastAsia="仿宋" w:cs="宋体"/>
                <w:color w:val="000000"/>
                <w:sz w:val="24"/>
                <w:lang w:bidi="ar"/>
              </w:rPr>
            </w:pPr>
            <w:r>
              <w:rPr>
                <w:rFonts w:ascii="仿宋" w:hAnsi="仿宋" w:eastAsia="仿宋" w:cs="宋体"/>
                <w:color w:val="000000"/>
                <w:sz w:val="24"/>
                <w:lang w:bidi="ar"/>
              </w:rPr>
              <w:t>文档要求</w:t>
            </w:r>
          </w:p>
        </w:tc>
        <w:tc>
          <w:tcPr>
            <w:tcW w:w="8363" w:type="dxa"/>
            <w:vAlign w:val="center"/>
          </w:tcPr>
          <w:p w14:paraId="47F63CB8">
            <w:pPr>
              <w:pStyle w:val="30"/>
              <w:widowControl/>
              <w:numPr>
                <w:ilvl w:val="0"/>
                <w:numId w:val="1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《故障应急处理报告》，内容包括：</w:t>
            </w:r>
            <w:r>
              <w:rPr>
                <w:rFonts w:hint="eastAsia" w:ascii="仿宋" w:hAnsi="仿宋" w:eastAsia="仿宋" w:cs="宋体"/>
                <w:color w:val="000000"/>
                <w:sz w:val="24"/>
                <w:lang w:bidi="ar"/>
              </w:rPr>
              <w:t>故障设备、</w:t>
            </w:r>
            <w:r>
              <w:rPr>
                <w:rFonts w:ascii="仿宋" w:hAnsi="仿宋" w:eastAsia="仿宋" w:cs="宋体"/>
                <w:color w:val="000000"/>
                <w:sz w:val="24"/>
                <w:lang w:bidi="ar"/>
              </w:rPr>
              <w:t>故障报障和响应记录、故障现象、故障处理过程、故障处理结果。</w:t>
            </w:r>
          </w:p>
          <w:p w14:paraId="4C844559">
            <w:pPr>
              <w:pStyle w:val="30"/>
              <w:widowControl/>
              <w:numPr>
                <w:ilvl w:val="0"/>
                <w:numId w:val="1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《故障分析报告》，内容包括：</w:t>
            </w:r>
            <w:r>
              <w:rPr>
                <w:rFonts w:hint="eastAsia" w:ascii="仿宋" w:hAnsi="仿宋" w:eastAsia="仿宋" w:cs="宋体"/>
                <w:color w:val="000000"/>
                <w:sz w:val="24"/>
                <w:lang w:bidi="ar"/>
              </w:rPr>
              <w:t>故障设备、</w:t>
            </w:r>
            <w:r>
              <w:rPr>
                <w:rFonts w:ascii="仿宋" w:hAnsi="仿宋" w:eastAsia="仿宋" w:cs="宋体"/>
                <w:color w:val="000000"/>
                <w:sz w:val="24"/>
                <w:lang w:bidi="ar"/>
              </w:rPr>
              <w:t>故障发生时间、故障现象、故障原因分析、故障解决方案、故障预防措施。</w:t>
            </w:r>
          </w:p>
          <w:p w14:paraId="09653B41">
            <w:pPr>
              <w:pStyle w:val="30"/>
              <w:widowControl/>
              <w:numPr>
                <w:ilvl w:val="0"/>
                <w:numId w:val="11"/>
              </w:numPr>
              <w:spacing w:after="0" w:line="240" w:lineRule="auto"/>
              <w:contextualSpacing w:val="0"/>
              <w:textAlignment w:val="center"/>
              <w:rPr>
                <w:rFonts w:ascii="仿宋" w:hAnsi="仿宋" w:eastAsia="仿宋" w:cs="宋体"/>
                <w:color w:val="000000"/>
                <w:sz w:val="24"/>
                <w:lang w:bidi="ar"/>
              </w:rPr>
            </w:pPr>
            <w:r>
              <w:rPr>
                <w:rFonts w:ascii="仿宋" w:hAnsi="仿宋" w:eastAsia="仿宋" w:cs="宋体"/>
                <w:color w:val="000000"/>
                <w:sz w:val="24"/>
                <w:lang w:bidi="ar"/>
              </w:rPr>
              <w:t>《维护保修服务技术档案》，内容包括：</w:t>
            </w:r>
            <w:r>
              <w:rPr>
                <w:rFonts w:hint="eastAsia" w:ascii="仿宋" w:hAnsi="仿宋" w:eastAsia="仿宋" w:cs="宋体"/>
                <w:color w:val="000000"/>
                <w:sz w:val="24"/>
                <w:lang w:bidi="ar"/>
              </w:rPr>
              <w:t>维保</w:t>
            </w:r>
            <w:r>
              <w:rPr>
                <w:rFonts w:ascii="仿宋" w:hAnsi="仿宋" w:eastAsia="仿宋" w:cs="宋体"/>
                <w:color w:val="000000"/>
                <w:sz w:val="24"/>
                <w:lang w:bidi="ar"/>
              </w:rPr>
              <w:t>设备信息、故障时间、报告人员、故障类型、故障原因、维护方法、维护质量、预防措施、维护时间和维护人员、提交件等信息。</w:t>
            </w:r>
          </w:p>
        </w:tc>
      </w:tr>
    </w:tbl>
    <w:p w14:paraId="5022392C">
      <w:pPr>
        <w:pStyle w:val="37"/>
        <w:ind w:firstLine="582"/>
        <w:rPr>
          <w:rStyle w:val="34"/>
        </w:rPr>
      </w:pPr>
    </w:p>
    <w:p w14:paraId="0C96E011">
      <w:pPr>
        <w:widowControl/>
        <w:spacing w:after="160" w:line="278" w:lineRule="auto"/>
        <w:jc w:val="left"/>
        <w:rPr>
          <w:rStyle w:val="34"/>
          <w:rFonts w:ascii="仿宋" w:hAnsi="仿宋" w:eastAsia="仿宋" w:cs="宋体"/>
          <w:sz w:val="28"/>
          <w:szCs w:val="28"/>
        </w:rPr>
      </w:pPr>
      <w:r>
        <w:rPr>
          <w:rStyle w:val="34"/>
        </w:rPr>
        <w:br w:type="page"/>
      </w:r>
    </w:p>
    <w:p w14:paraId="6DEB1BE7">
      <w:pPr>
        <w:pStyle w:val="37"/>
        <w:ind w:firstLine="582"/>
        <w:rPr>
          <w:rStyle w:val="34"/>
        </w:rPr>
      </w:pPr>
      <w:r>
        <w:rPr>
          <w:rStyle w:val="34"/>
          <w:rFonts w:hint="eastAsia"/>
        </w:rPr>
        <w:t>附表1</w:t>
      </w:r>
      <w:r>
        <w:rPr>
          <w:rStyle w:val="34"/>
        </w:rPr>
        <w:t>、</w:t>
      </w:r>
      <w:r>
        <w:rPr>
          <w:rStyle w:val="34"/>
          <w:rFonts w:hint="eastAsia"/>
        </w:rPr>
        <w:t>项目维保清单</w:t>
      </w:r>
    </w:p>
    <w:tbl>
      <w:tblPr>
        <w:tblStyle w:val="15"/>
        <w:tblW w:w="9654" w:type="dxa"/>
        <w:jc w:val="center"/>
        <w:tblLayout w:type="fixed"/>
        <w:tblCellMar>
          <w:top w:w="15" w:type="dxa"/>
          <w:left w:w="15" w:type="dxa"/>
          <w:bottom w:w="15" w:type="dxa"/>
          <w:right w:w="15" w:type="dxa"/>
        </w:tblCellMar>
      </w:tblPr>
      <w:tblGrid>
        <w:gridCol w:w="602"/>
        <w:gridCol w:w="1560"/>
        <w:gridCol w:w="1681"/>
        <w:gridCol w:w="732"/>
        <w:gridCol w:w="1570"/>
        <w:gridCol w:w="1528"/>
        <w:gridCol w:w="1981"/>
      </w:tblGrid>
      <w:tr w14:paraId="4C07AA9D">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08C9A9A7">
            <w:pPr>
              <w:widowControl/>
              <w:spacing w:after="120"/>
              <w:jc w:val="center"/>
              <w:textAlignment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序号</w:t>
            </w:r>
          </w:p>
        </w:tc>
        <w:tc>
          <w:tcPr>
            <w:tcW w:w="1560" w:type="dxa"/>
            <w:tcBorders>
              <w:top w:val="single" w:color="000000" w:sz="4" w:space="0"/>
              <w:left w:val="single" w:color="000000" w:sz="4" w:space="0"/>
              <w:bottom w:val="single" w:color="000000" w:sz="4" w:space="0"/>
              <w:right w:val="single" w:color="000000" w:sz="4" w:space="0"/>
            </w:tcBorders>
            <w:vAlign w:val="center"/>
          </w:tcPr>
          <w:p w14:paraId="3B7E0E96">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设备名称</w:t>
            </w:r>
          </w:p>
        </w:tc>
        <w:tc>
          <w:tcPr>
            <w:tcW w:w="1681" w:type="dxa"/>
            <w:tcBorders>
              <w:top w:val="single" w:color="000000" w:sz="4" w:space="0"/>
              <w:left w:val="single" w:color="000000" w:sz="4" w:space="0"/>
              <w:bottom w:val="single" w:color="000000" w:sz="4" w:space="0"/>
              <w:right w:val="single" w:color="000000" w:sz="4" w:space="0"/>
            </w:tcBorders>
            <w:vAlign w:val="center"/>
          </w:tcPr>
          <w:p w14:paraId="6E025CB1">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设备品牌</w:t>
            </w:r>
          </w:p>
        </w:tc>
        <w:tc>
          <w:tcPr>
            <w:tcW w:w="732" w:type="dxa"/>
            <w:tcBorders>
              <w:top w:val="single" w:color="000000" w:sz="4" w:space="0"/>
              <w:left w:val="single" w:color="000000" w:sz="4" w:space="0"/>
              <w:bottom w:val="single" w:color="000000" w:sz="4" w:space="0"/>
              <w:right w:val="single" w:color="000000" w:sz="4" w:space="0"/>
            </w:tcBorders>
            <w:vAlign w:val="center"/>
          </w:tcPr>
          <w:p w14:paraId="6BAAE816">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数量</w:t>
            </w:r>
          </w:p>
        </w:tc>
        <w:tc>
          <w:tcPr>
            <w:tcW w:w="1570" w:type="dxa"/>
            <w:tcBorders>
              <w:top w:val="single" w:color="000000" w:sz="4" w:space="0"/>
              <w:left w:val="single" w:color="000000" w:sz="4" w:space="0"/>
              <w:bottom w:val="single" w:color="000000" w:sz="4" w:space="0"/>
              <w:right w:val="single" w:color="000000" w:sz="4" w:space="0"/>
            </w:tcBorders>
            <w:vAlign w:val="center"/>
          </w:tcPr>
          <w:p w14:paraId="16968284">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kern w:val="0"/>
                <w:sz w:val="24"/>
              </w:rPr>
              <w:t>设备</w:t>
            </w:r>
            <w:r>
              <w:rPr>
                <w:rFonts w:hint="eastAsia" w:ascii="仿宋" w:hAnsi="仿宋" w:eastAsia="仿宋"/>
                <w:kern w:val="0"/>
                <w:sz w:val="24"/>
              </w:rPr>
              <w:t>原</w:t>
            </w:r>
            <w:r>
              <w:rPr>
                <w:rFonts w:ascii="仿宋" w:hAnsi="仿宋" w:eastAsia="仿宋"/>
                <w:kern w:val="0"/>
                <w:sz w:val="24"/>
              </w:rPr>
              <w:t>维保实际到期</w:t>
            </w:r>
            <w:r>
              <w:rPr>
                <w:rFonts w:hint="eastAsia" w:ascii="仿宋" w:hAnsi="仿宋" w:eastAsia="仿宋"/>
                <w:kern w:val="0"/>
                <w:sz w:val="24"/>
              </w:rPr>
              <w:t>日期</w:t>
            </w:r>
          </w:p>
        </w:tc>
        <w:tc>
          <w:tcPr>
            <w:tcW w:w="1528" w:type="dxa"/>
            <w:tcBorders>
              <w:top w:val="single" w:color="000000" w:sz="4" w:space="0"/>
              <w:left w:val="single" w:color="000000" w:sz="4" w:space="0"/>
              <w:bottom w:val="single" w:color="000000" w:sz="4" w:space="0"/>
              <w:right w:val="single" w:color="000000" w:sz="4" w:space="0"/>
            </w:tcBorders>
            <w:vAlign w:val="center"/>
          </w:tcPr>
          <w:p w14:paraId="2719B26F">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位置</w:t>
            </w:r>
          </w:p>
        </w:tc>
        <w:tc>
          <w:tcPr>
            <w:tcW w:w="1981" w:type="dxa"/>
            <w:tcBorders>
              <w:top w:val="single" w:color="000000" w:sz="4" w:space="0"/>
              <w:left w:val="single" w:color="000000" w:sz="4" w:space="0"/>
              <w:bottom w:val="single" w:color="000000" w:sz="4" w:space="0"/>
              <w:right w:val="single" w:color="000000" w:sz="4" w:space="0"/>
            </w:tcBorders>
            <w:vAlign w:val="center"/>
          </w:tcPr>
          <w:p w14:paraId="1FDF13CF">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维保说明</w:t>
            </w:r>
          </w:p>
        </w:tc>
      </w:tr>
      <w:tr w14:paraId="08B036B6">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5D292EA3">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1</w:t>
            </w:r>
          </w:p>
        </w:tc>
        <w:tc>
          <w:tcPr>
            <w:tcW w:w="1560" w:type="dxa"/>
            <w:tcBorders>
              <w:top w:val="single" w:color="000000" w:sz="4" w:space="0"/>
              <w:left w:val="single" w:color="000000" w:sz="4" w:space="0"/>
              <w:bottom w:val="single" w:color="000000" w:sz="4" w:space="0"/>
              <w:right w:val="single" w:color="000000" w:sz="4" w:space="0"/>
            </w:tcBorders>
            <w:vAlign w:val="center"/>
          </w:tcPr>
          <w:p w14:paraId="0FEF08BF">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602F3F95">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雷诺威/RDA042C</w:t>
            </w:r>
          </w:p>
        </w:tc>
        <w:tc>
          <w:tcPr>
            <w:tcW w:w="732" w:type="dxa"/>
            <w:tcBorders>
              <w:top w:val="single" w:color="000000" w:sz="4" w:space="0"/>
              <w:left w:val="single" w:color="000000" w:sz="4" w:space="0"/>
              <w:bottom w:val="single" w:color="000000" w:sz="4" w:space="0"/>
              <w:right w:val="single" w:color="000000" w:sz="4" w:space="0"/>
            </w:tcBorders>
            <w:vAlign w:val="center"/>
          </w:tcPr>
          <w:p w14:paraId="0FA719D0">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4台</w:t>
            </w:r>
          </w:p>
        </w:tc>
        <w:tc>
          <w:tcPr>
            <w:tcW w:w="1570" w:type="dxa"/>
            <w:tcBorders>
              <w:top w:val="single" w:color="000000" w:sz="4" w:space="0"/>
              <w:left w:val="single" w:color="000000" w:sz="4" w:space="0"/>
              <w:bottom w:val="single" w:color="000000" w:sz="4" w:space="0"/>
              <w:right w:val="single" w:color="000000" w:sz="4" w:space="0"/>
            </w:tcBorders>
            <w:vAlign w:val="center"/>
          </w:tcPr>
          <w:p w14:paraId="1895FC82">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4D04C6B1">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三楼IT机房</w:t>
            </w:r>
          </w:p>
        </w:tc>
        <w:tc>
          <w:tcPr>
            <w:tcW w:w="1981" w:type="dxa"/>
            <w:tcBorders>
              <w:top w:val="single" w:color="000000" w:sz="4" w:space="0"/>
              <w:left w:val="single" w:color="000000" w:sz="4" w:space="0"/>
              <w:bottom w:val="single" w:color="000000" w:sz="4" w:space="0"/>
              <w:right w:val="single" w:color="000000" w:sz="4" w:space="0"/>
            </w:tcBorders>
          </w:tcPr>
          <w:p w14:paraId="4B47485F">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每台空调包含2台佳力图NACD22空调室外机</w:t>
            </w:r>
          </w:p>
        </w:tc>
      </w:tr>
      <w:tr w14:paraId="46C33EF6">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6B2FA18E">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2</w:t>
            </w:r>
          </w:p>
        </w:tc>
        <w:tc>
          <w:tcPr>
            <w:tcW w:w="1560" w:type="dxa"/>
            <w:tcBorders>
              <w:top w:val="single" w:color="000000" w:sz="4" w:space="0"/>
              <w:left w:val="single" w:color="000000" w:sz="4" w:space="0"/>
              <w:bottom w:val="single" w:color="000000" w:sz="4" w:space="0"/>
              <w:right w:val="single" w:color="000000" w:sz="4" w:space="0"/>
            </w:tcBorders>
            <w:vAlign w:val="center"/>
          </w:tcPr>
          <w:p w14:paraId="1D55C2B1">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7E1ACEBF">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雷诺威/RUA013A</w:t>
            </w:r>
          </w:p>
        </w:tc>
        <w:tc>
          <w:tcPr>
            <w:tcW w:w="732" w:type="dxa"/>
            <w:tcBorders>
              <w:top w:val="single" w:color="000000" w:sz="4" w:space="0"/>
              <w:left w:val="single" w:color="000000" w:sz="4" w:space="0"/>
              <w:bottom w:val="single" w:color="000000" w:sz="4" w:space="0"/>
              <w:right w:val="single" w:color="000000" w:sz="4" w:space="0"/>
            </w:tcBorders>
            <w:vAlign w:val="center"/>
          </w:tcPr>
          <w:p w14:paraId="657A7C68">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1台</w:t>
            </w:r>
          </w:p>
        </w:tc>
        <w:tc>
          <w:tcPr>
            <w:tcW w:w="1570" w:type="dxa"/>
            <w:tcBorders>
              <w:top w:val="single" w:color="000000" w:sz="4" w:space="0"/>
              <w:left w:val="single" w:color="000000" w:sz="4" w:space="0"/>
              <w:bottom w:val="single" w:color="000000" w:sz="4" w:space="0"/>
              <w:right w:val="single" w:color="000000" w:sz="4" w:space="0"/>
            </w:tcBorders>
            <w:vAlign w:val="center"/>
          </w:tcPr>
          <w:p w14:paraId="270387E9">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4D81BF39">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sz w:val="28"/>
                <w:szCs w:val="28"/>
              </w:rPr>
              <w:t>一楼UPS房</w:t>
            </w:r>
          </w:p>
        </w:tc>
        <w:tc>
          <w:tcPr>
            <w:tcW w:w="1981" w:type="dxa"/>
            <w:tcBorders>
              <w:top w:val="single" w:color="000000" w:sz="4" w:space="0"/>
              <w:left w:val="single" w:color="000000" w:sz="4" w:space="0"/>
              <w:bottom w:val="single" w:color="000000" w:sz="4" w:space="0"/>
              <w:right w:val="single" w:color="000000" w:sz="4" w:space="0"/>
            </w:tcBorders>
          </w:tcPr>
          <w:p w14:paraId="0591D5C9">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每台空调包含1台雷诺威RCA018空调室外机</w:t>
            </w:r>
          </w:p>
        </w:tc>
      </w:tr>
      <w:tr w14:paraId="68341040">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4B532D05">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3</w:t>
            </w:r>
          </w:p>
        </w:tc>
        <w:tc>
          <w:tcPr>
            <w:tcW w:w="1560" w:type="dxa"/>
            <w:tcBorders>
              <w:top w:val="single" w:color="000000" w:sz="4" w:space="0"/>
              <w:left w:val="single" w:color="000000" w:sz="4" w:space="0"/>
              <w:bottom w:val="single" w:color="000000" w:sz="4" w:space="0"/>
              <w:right w:val="single" w:color="000000" w:sz="4" w:space="0"/>
            </w:tcBorders>
            <w:vAlign w:val="center"/>
          </w:tcPr>
          <w:p w14:paraId="50F307DC">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1681641B">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雷诺威/RUA024A</w:t>
            </w:r>
          </w:p>
        </w:tc>
        <w:tc>
          <w:tcPr>
            <w:tcW w:w="732" w:type="dxa"/>
            <w:tcBorders>
              <w:top w:val="single" w:color="000000" w:sz="4" w:space="0"/>
              <w:left w:val="single" w:color="000000" w:sz="4" w:space="0"/>
              <w:bottom w:val="single" w:color="000000" w:sz="4" w:space="0"/>
              <w:right w:val="single" w:color="000000" w:sz="4" w:space="0"/>
            </w:tcBorders>
            <w:vAlign w:val="center"/>
          </w:tcPr>
          <w:p w14:paraId="7CEA29D6">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1台</w:t>
            </w:r>
          </w:p>
        </w:tc>
        <w:tc>
          <w:tcPr>
            <w:tcW w:w="1570" w:type="dxa"/>
            <w:tcBorders>
              <w:top w:val="single" w:color="000000" w:sz="4" w:space="0"/>
              <w:left w:val="single" w:color="000000" w:sz="4" w:space="0"/>
              <w:bottom w:val="single" w:color="000000" w:sz="4" w:space="0"/>
              <w:right w:val="single" w:color="000000" w:sz="4" w:space="0"/>
            </w:tcBorders>
            <w:vAlign w:val="center"/>
          </w:tcPr>
          <w:p w14:paraId="3E53E244">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331C175B">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sz w:val="28"/>
                <w:szCs w:val="28"/>
              </w:rPr>
              <w:t>一楼UPS房</w:t>
            </w:r>
          </w:p>
        </w:tc>
        <w:tc>
          <w:tcPr>
            <w:tcW w:w="1981" w:type="dxa"/>
            <w:tcBorders>
              <w:top w:val="single" w:color="000000" w:sz="4" w:space="0"/>
              <w:left w:val="single" w:color="000000" w:sz="4" w:space="0"/>
              <w:bottom w:val="single" w:color="000000" w:sz="4" w:space="0"/>
              <w:right w:val="single" w:color="000000" w:sz="4" w:space="0"/>
            </w:tcBorders>
          </w:tcPr>
          <w:p w14:paraId="57B8D0EE">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每台空调包含1台雷诺威RCA033空调室外机</w:t>
            </w:r>
          </w:p>
        </w:tc>
      </w:tr>
      <w:tr w14:paraId="335AB682">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306066A1">
            <w:pPr>
              <w:widowControl/>
              <w:spacing w:after="120"/>
              <w:jc w:val="center"/>
              <w:textAlignment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4</w:t>
            </w:r>
          </w:p>
        </w:tc>
        <w:tc>
          <w:tcPr>
            <w:tcW w:w="1560" w:type="dxa"/>
            <w:tcBorders>
              <w:top w:val="single" w:color="000000" w:sz="4" w:space="0"/>
              <w:left w:val="single" w:color="000000" w:sz="4" w:space="0"/>
              <w:bottom w:val="single" w:color="000000" w:sz="4" w:space="0"/>
              <w:right w:val="single" w:color="000000" w:sz="4" w:space="0"/>
            </w:tcBorders>
            <w:vAlign w:val="center"/>
          </w:tcPr>
          <w:p w14:paraId="7D4E003B">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精密空调</w:t>
            </w:r>
          </w:p>
        </w:tc>
        <w:tc>
          <w:tcPr>
            <w:tcW w:w="1681" w:type="dxa"/>
            <w:tcBorders>
              <w:top w:val="single" w:color="000000" w:sz="4" w:space="0"/>
              <w:left w:val="single" w:color="000000" w:sz="4" w:space="0"/>
              <w:bottom w:val="single" w:color="000000" w:sz="4" w:space="0"/>
              <w:right w:val="single" w:color="000000" w:sz="4" w:space="0"/>
            </w:tcBorders>
            <w:vAlign w:val="center"/>
          </w:tcPr>
          <w:p w14:paraId="346BDE28">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sz w:val="28"/>
                <w:szCs w:val="28"/>
              </w:rPr>
              <w:t>佳力图/MEAD0602M</w:t>
            </w:r>
          </w:p>
        </w:tc>
        <w:tc>
          <w:tcPr>
            <w:tcW w:w="732" w:type="dxa"/>
            <w:tcBorders>
              <w:top w:val="single" w:color="000000" w:sz="4" w:space="0"/>
              <w:left w:val="single" w:color="000000" w:sz="4" w:space="0"/>
              <w:bottom w:val="single" w:color="000000" w:sz="4" w:space="0"/>
              <w:right w:val="single" w:color="000000" w:sz="4" w:space="0"/>
            </w:tcBorders>
            <w:vAlign w:val="center"/>
          </w:tcPr>
          <w:p w14:paraId="29366EC9">
            <w:pPr>
              <w:widowControl/>
              <w:spacing w:after="120" w:line="300" w:lineRule="exact"/>
              <w:jc w:val="center"/>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2台</w:t>
            </w:r>
          </w:p>
        </w:tc>
        <w:tc>
          <w:tcPr>
            <w:tcW w:w="1570" w:type="dxa"/>
            <w:tcBorders>
              <w:top w:val="single" w:color="000000" w:sz="4" w:space="0"/>
              <w:left w:val="single" w:color="000000" w:sz="4" w:space="0"/>
              <w:bottom w:val="single" w:color="000000" w:sz="4" w:space="0"/>
              <w:right w:val="single" w:color="000000" w:sz="4" w:space="0"/>
            </w:tcBorders>
            <w:vAlign w:val="center"/>
          </w:tcPr>
          <w:p w14:paraId="2844EF16">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/11/14</w:t>
            </w:r>
          </w:p>
        </w:tc>
        <w:tc>
          <w:tcPr>
            <w:tcW w:w="1528" w:type="dxa"/>
            <w:tcBorders>
              <w:top w:val="single" w:color="000000" w:sz="4" w:space="0"/>
              <w:left w:val="single" w:color="000000" w:sz="4" w:space="0"/>
              <w:bottom w:val="single" w:color="000000" w:sz="4" w:space="0"/>
              <w:right w:val="single" w:color="000000" w:sz="4" w:space="0"/>
            </w:tcBorders>
            <w:vAlign w:val="center"/>
          </w:tcPr>
          <w:p w14:paraId="7794DF34">
            <w:pPr>
              <w:widowControl/>
              <w:spacing w:after="120" w:line="300" w:lineRule="exact"/>
              <w:jc w:val="left"/>
              <w:textAlignment w:val="center"/>
              <w:rPr>
                <w:rFonts w:ascii="仿宋" w:hAnsi="仿宋" w:eastAsia="仿宋" w:cs="仿宋_GB2312"/>
                <w:sz w:val="28"/>
                <w:szCs w:val="28"/>
              </w:rPr>
            </w:pPr>
            <w:r>
              <w:rPr>
                <w:rFonts w:hint="eastAsia" w:ascii="仿宋" w:hAnsi="仿宋" w:eastAsia="仿宋" w:cs="仿宋_GB2312"/>
                <w:color w:val="000000"/>
                <w:kern w:val="0"/>
                <w:sz w:val="28"/>
                <w:szCs w:val="28"/>
              </w:rPr>
              <w:t>三楼IT机房</w:t>
            </w:r>
          </w:p>
        </w:tc>
        <w:tc>
          <w:tcPr>
            <w:tcW w:w="1981" w:type="dxa"/>
            <w:tcBorders>
              <w:top w:val="single" w:color="000000" w:sz="4" w:space="0"/>
              <w:left w:val="single" w:color="000000" w:sz="4" w:space="0"/>
              <w:bottom w:val="single" w:color="000000" w:sz="4" w:space="0"/>
              <w:right w:val="single" w:color="000000" w:sz="4" w:space="0"/>
            </w:tcBorders>
          </w:tcPr>
          <w:p w14:paraId="2543C148">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每台空调包含2台佳力图NACD22空调室外机</w:t>
            </w:r>
          </w:p>
        </w:tc>
      </w:tr>
      <w:tr w14:paraId="65615B31">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3A185A6A">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5</w:t>
            </w:r>
          </w:p>
        </w:tc>
        <w:tc>
          <w:tcPr>
            <w:tcW w:w="1560" w:type="dxa"/>
            <w:tcBorders>
              <w:top w:val="single" w:color="000000" w:sz="4" w:space="0"/>
              <w:left w:val="single" w:color="000000" w:sz="4" w:space="0"/>
              <w:bottom w:val="single" w:color="000000" w:sz="4" w:space="0"/>
              <w:right w:val="single" w:color="000000" w:sz="4" w:space="0"/>
            </w:tcBorders>
            <w:vAlign w:val="center"/>
          </w:tcPr>
          <w:p w14:paraId="53516F65">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UPS设备</w:t>
            </w:r>
          </w:p>
        </w:tc>
        <w:tc>
          <w:tcPr>
            <w:tcW w:w="1681" w:type="dxa"/>
            <w:tcBorders>
              <w:top w:val="single" w:color="000000" w:sz="4" w:space="0"/>
              <w:left w:val="single" w:color="000000" w:sz="4" w:space="0"/>
              <w:bottom w:val="single" w:color="000000" w:sz="4" w:space="0"/>
              <w:right w:val="single" w:color="000000" w:sz="4" w:space="0"/>
            </w:tcBorders>
            <w:vAlign w:val="center"/>
          </w:tcPr>
          <w:p w14:paraId="762B5C31">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索克曼/DELPHYS MP ELITE 100KVA/配电池250AH-64节</w:t>
            </w:r>
          </w:p>
        </w:tc>
        <w:tc>
          <w:tcPr>
            <w:tcW w:w="732" w:type="dxa"/>
            <w:tcBorders>
              <w:top w:val="single" w:color="000000" w:sz="4" w:space="0"/>
              <w:left w:val="single" w:color="000000" w:sz="4" w:space="0"/>
              <w:bottom w:val="single" w:color="000000" w:sz="4" w:space="0"/>
              <w:right w:val="single" w:color="000000" w:sz="4" w:space="0"/>
            </w:tcBorders>
            <w:vAlign w:val="center"/>
          </w:tcPr>
          <w:p w14:paraId="787CB038">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2套</w:t>
            </w:r>
          </w:p>
        </w:tc>
        <w:tc>
          <w:tcPr>
            <w:tcW w:w="1570" w:type="dxa"/>
            <w:tcBorders>
              <w:top w:val="single" w:color="000000" w:sz="4" w:space="0"/>
              <w:left w:val="single" w:color="000000" w:sz="4" w:space="0"/>
              <w:bottom w:val="single" w:color="000000" w:sz="4" w:space="0"/>
              <w:right w:val="single" w:color="000000" w:sz="4" w:space="0"/>
            </w:tcBorders>
            <w:vAlign w:val="center"/>
          </w:tcPr>
          <w:p w14:paraId="62814E40">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15A3DB79">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sz w:val="28"/>
                <w:szCs w:val="28"/>
              </w:rPr>
              <w:t>一楼UPS房</w:t>
            </w:r>
          </w:p>
        </w:tc>
        <w:tc>
          <w:tcPr>
            <w:tcW w:w="1981" w:type="dxa"/>
            <w:tcBorders>
              <w:top w:val="single" w:color="000000" w:sz="4" w:space="0"/>
              <w:left w:val="single" w:color="000000" w:sz="4" w:space="0"/>
              <w:bottom w:val="single" w:color="000000" w:sz="4" w:space="0"/>
              <w:right w:val="single" w:color="000000" w:sz="4" w:space="0"/>
            </w:tcBorders>
            <w:vAlign w:val="center"/>
          </w:tcPr>
          <w:p w14:paraId="4A276BDA">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w:t>
            </w:r>
          </w:p>
        </w:tc>
      </w:tr>
      <w:tr w14:paraId="000159F2">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62F44E33">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6</w:t>
            </w:r>
          </w:p>
        </w:tc>
        <w:tc>
          <w:tcPr>
            <w:tcW w:w="1560" w:type="dxa"/>
            <w:tcBorders>
              <w:top w:val="single" w:color="000000" w:sz="4" w:space="0"/>
              <w:left w:val="single" w:color="000000" w:sz="4" w:space="0"/>
              <w:bottom w:val="single" w:color="000000" w:sz="4" w:space="0"/>
              <w:right w:val="single" w:color="000000" w:sz="4" w:space="0"/>
            </w:tcBorders>
            <w:vAlign w:val="center"/>
          </w:tcPr>
          <w:p w14:paraId="5168EDD7">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强电配电柜</w:t>
            </w:r>
          </w:p>
        </w:tc>
        <w:tc>
          <w:tcPr>
            <w:tcW w:w="1681" w:type="dxa"/>
            <w:tcBorders>
              <w:top w:val="single" w:color="000000" w:sz="4" w:space="0"/>
              <w:left w:val="single" w:color="000000" w:sz="4" w:space="0"/>
              <w:bottom w:val="single" w:color="000000" w:sz="4" w:space="0"/>
              <w:right w:val="single" w:color="000000" w:sz="4" w:space="0"/>
            </w:tcBorders>
            <w:vAlign w:val="center"/>
          </w:tcPr>
          <w:p w14:paraId="41793FDA">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格维尔</w:t>
            </w:r>
          </w:p>
        </w:tc>
        <w:tc>
          <w:tcPr>
            <w:tcW w:w="732" w:type="dxa"/>
            <w:tcBorders>
              <w:top w:val="single" w:color="000000" w:sz="4" w:space="0"/>
              <w:left w:val="single" w:color="000000" w:sz="4" w:space="0"/>
              <w:bottom w:val="single" w:color="000000" w:sz="4" w:space="0"/>
              <w:right w:val="single" w:color="000000" w:sz="4" w:space="0"/>
            </w:tcBorders>
            <w:vAlign w:val="center"/>
          </w:tcPr>
          <w:p w14:paraId="63935381">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13个</w:t>
            </w:r>
          </w:p>
        </w:tc>
        <w:tc>
          <w:tcPr>
            <w:tcW w:w="1570" w:type="dxa"/>
            <w:tcBorders>
              <w:top w:val="single" w:color="000000" w:sz="4" w:space="0"/>
              <w:left w:val="single" w:color="000000" w:sz="4" w:space="0"/>
              <w:bottom w:val="single" w:color="000000" w:sz="4" w:space="0"/>
              <w:right w:val="single" w:color="000000" w:sz="4" w:space="0"/>
            </w:tcBorders>
            <w:vAlign w:val="center"/>
          </w:tcPr>
          <w:p w14:paraId="25F75661">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1CB98AE7">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sz w:val="28"/>
                <w:szCs w:val="28"/>
              </w:rPr>
              <w:t>一楼UPS房</w:t>
            </w:r>
            <w:r>
              <w:rPr>
                <w:rFonts w:hint="eastAsia" w:ascii="仿宋" w:hAnsi="仿宋" w:eastAsia="仿宋" w:cs="仿宋_GB2312"/>
                <w:color w:val="000000"/>
                <w:kern w:val="0"/>
                <w:sz w:val="28"/>
                <w:szCs w:val="28"/>
              </w:rPr>
              <w:t>和三楼IT机房</w:t>
            </w:r>
          </w:p>
        </w:tc>
        <w:tc>
          <w:tcPr>
            <w:tcW w:w="1981" w:type="dxa"/>
            <w:tcBorders>
              <w:top w:val="single" w:color="000000" w:sz="4" w:space="0"/>
              <w:left w:val="single" w:color="000000" w:sz="4" w:space="0"/>
              <w:bottom w:val="single" w:color="000000" w:sz="4" w:space="0"/>
              <w:right w:val="single" w:color="000000" w:sz="4" w:space="0"/>
            </w:tcBorders>
          </w:tcPr>
          <w:p w14:paraId="15127439">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三楼配电柜*4个；列头配电柜*6个；一楼配电柜*3个</w:t>
            </w:r>
          </w:p>
        </w:tc>
      </w:tr>
      <w:tr w14:paraId="4713C7EA">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4EE444F9">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7</w:t>
            </w:r>
          </w:p>
        </w:tc>
        <w:tc>
          <w:tcPr>
            <w:tcW w:w="1560" w:type="dxa"/>
            <w:tcBorders>
              <w:top w:val="single" w:color="000000" w:sz="4" w:space="0"/>
              <w:left w:val="single" w:color="000000" w:sz="4" w:space="0"/>
              <w:bottom w:val="single" w:color="000000" w:sz="4" w:space="0"/>
              <w:right w:val="single" w:color="000000" w:sz="4" w:space="0"/>
            </w:tcBorders>
            <w:vAlign w:val="center"/>
          </w:tcPr>
          <w:p w14:paraId="2636D6CE">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全热新风处理机</w:t>
            </w:r>
          </w:p>
        </w:tc>
        <w:tc>
          <w:tcPr>
            <w:tcW w:w="1681" w:type="dxa"/>
            <w:tcBorders>
              <w:top w:val="single" w:color="000000" w:sz="4" w:space="0"/>
              <w:left w:val="single" w:color="000000" w:sz="4" w:space="0"/>
              <w:bottom w:val="single" w:color="000000" w:sz="4" w:space="0"/>
              <w:right w:val="single" w:color="000000" w:sz="4" w:space="0"/>
            </w:tcBorders>
            <w:vAlign w:val="center"/>
          </w:tcPr>
          <w:p w14:paraId="20DB7614">
            <w:pPr>
              <w:widowControl/>
              <w:spacing w:after="120" w:line="300" w:lineRule="exact"/>
              <w:jc w:val="left"/>
              <w:textAlignment w:val="center"/>
              <w:rPr>
                <w:rFonts w:ascii="仿宋" w:hAnsi="仿宋" w:eastAsia="仿宋" w:cs="仿宋_GB2312"/>
                <w:color w:val="000000"/>
                <w:sz w:val="28"/>
                <w:szCs w:val="28"/>
              </w:rPr>
            </w:pPr>
            <w:r>
              <w:rPr>
                <w:rFonts w:hint="eastAsia" w:ascii="仿宋" w:hAnsi="仿宋" w:eastAsia="仿宋" w:cs="仿宋_GB2312"/>
                <w:color w:val="000000"/>
                <w:sz w:val="28"/>
                <w:szCs w:val="28"/>
              </w:rPr>
              <w:t>亚都/YDF-D800H(含风管/风阀）</w:t>
            </w:r>
          </w:p>
        </w:tc>
        <w:tc>
          <w:tcPr>
            <w:tcW w:w="732" w:type="dxa"/>
            <w:tcBorders>
              <w:top w:val="single" w:color="000000" w:sz="4" w:space="0"/>
              <w:left w:val="single" w:color="000000" w:sz="4" w:space="0"/>
              <w:bottom w:val="single" w:color="000000" w:sz="4" w:space="0"/>
              <w:right w:val="single" w:color="000000" w:sz="4" w:space="0"/>
            </w:tcBorders>
            <w:vAlign w:val="center"/>
          </w:tcPr>
          <w:p w14:paraId="1E4D9D8E">
            <w:pPr>
              <w:widowControl/>
              <w:spacing w:after="120" w:line="300" w:lineRule="exact"/>
              <w:jc w:val="center"/>
              <w:textAlignment w:val="center"/>
              <w:rPr>
                <w:rFonts w:ascii="仿宋" w:hAnsi="仿宋" w:eastAsia="仿宋" w:cs="仿宋_GB2312"/>
                <w:color w:val="000000"/>
                <w:sz w:val="28"/>
                <w:szCs w:val="28"/>
              </w:rPr>
            </w:pPr>
            <w:r>
              <w:rPr>
                <w:rFonts w:ascii="仿宋" w:hAnsi="仿宋" w:eastAsia="仿宋" w:cs="仿宋_GB2312"/>
                <w:color w:val="000000"/>
                <w:kern w:val="0"/>
                <w:sz w:val="28"/>
                <w:szCs w:val="28"/>
              </w:rPr>
              <w:t>3</w:t>
            </w:r>
            <w:r>
              <w:rPr>
                <w:rFonts w:hint="eastAsia" w:ascii="仿宋" w:hAnsi="仿宋" w:eastAsia="仿宋" w:cs="仿宋_GB2312"/>
                <w:color w:val="000000"/>
                <w:kern w:val="0"/>
                <w:sz w:val="28"/>
                <w:szCs w:val="28"/>
              </w:rPr>
              <w:t>台</w:t>
            </w:r>
          </w:p>
        </w:tc>
        <w:tc>
          <w:tcPr>
            <w:tcW w:w="1570" w:type="dxa"/>
            <w:tcBorders>
              <w:top w:val="single" w:color="000000" w:sz="4" w:space="0"/>
              <w:left w:val="single" w:color="000000" w:sz="4" w:space="0"/>
              <w:bottom w:val="single" w:color="000000" w:sz="4" w:space="0"/>
              <w:right w:val="single" w:color="000000" w:sz="4" w:space="0"/>
            </w:tcBorders>
            <w:vAlign w:val="center"/>
          </w:tcPr>
          <w:p w14:paraId="22A22495">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/11/14</w:t>
            </w:r>
          </w:p>
        </w:tc>
        <w:tc>
          <w:tcPr>
            <w:tcW w:w="1528" w:type="dxa"/>
            <w:tcBorders>
              <w:top w:val="single" w:color="000000" w:sz="4" w:space="0"/>
              <w:left w:val="single" w:color="000000" w:sz="4" w:space="0"/>
              <w:bottom w:val="single" w:color="000000" w:sz="4" w:space="0"/>
              <w:right w:val="single" w:color="000000" w:sz="4" w:space="0"/>
            </w:tcBorders>
            <w:vAlign w:val="center"/>
          </w:tcPr>
          <w:p w14:paraId="4162335B">
            <w:pPr>
              <w:widowControl/>
              <w:spacing w:after="120" w:line="300" w:lineRule="exact"/>
              <w:jc w:val="left"/>
              <w:textAlignment w:val="center"/>
              <w:rPr>
                <w:rFonts w:ascii="仿宋" w:hAnsi="仿宋" w:eastAsia="仿宋" w:cs="仿宋_GB2312"/>
                <w:color w:val="000000"/>
                <w:kern w:val="0"/>
                <w:sz w:val="28"/>
                <w:szCs w:val="28"/>
              </w:rPr>
            </w:pPr>
            <w:r>
              <w:rPr>
                <w:rFonts w:hint="eastAsia" w:ascii="仿宋" w:hAnsi="仿宋" w:eastAsia="仿宋" w:cs="仿宋_GB2312"/>
                <w:color w:val="000000"/>
                <w:kern w:val="0"/>
                <w:sz w:val="28"/>
                <w:szCs w:val="28"/>
              </w:rPr>
              <w:t>三楼IT机房</w:t>
            </w:r>
          </w:p>
        </w:tc>
        <w:tc>
          <w:tcPr>
            <w:tcW w:w="1981" w:type="dxa"/>
            <w:tcBorders>
              <w:top w:val="single" w:color="000000" w:sz="4" w:space="0"/>
              <w:left w:val="single" w:color="000000" w:sz="4" w:space="0"/>
              <w:bottom w:val="single" w:color="000000" w:sz="4" w:space="0"/>
              <w:right w:val="single" w:color="000000" w:sz="4" w:space="0"/>
            </w:tcBorders>
            <w:vAlign w:val="center"/>
          </w:tcPr>
          <w:p w14:paraId="6F5911FB">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w:t>
            </w:r>
          </w:p>
        </w:tc>
      </w:tr>
      <w:tr w14:paraId="26722693">
        <w:tblPrEx>
          <w:tblCellMar>
            <w:top w:w="15" w:type="dxa"/>
            <w:left w:w="15" w:type="dxa"/>
            <w:bottom w:w="15" w:type="dxa"/>
            <w:right w:w="15" w:type="dxa"/>
          </w:tblCellMar>
        </w:tblPrEx>
        <w:trPr>
          <w:trHeight w:val="563" w:hRule="atLeast"/>
          <w:jc w:val="center"/>
        </w:trPr>
        <w:tc>
          <w:tcPr>
            <w:tcW w:w="602" w:type="dxa"/>
            <w:tcBorders>
              <w:top w:val="single" w:color="000000" w:sz="4" w:space="0"/>
              <w:left w:val="single" w:color="000000" w:sz="4" w:space="0"/>
              <w:bottom w:val="single" w:color="000000" w:sz="4" w:space="0"/>
              <w:right w:val="single" w:color="000000" w:sz="4" w:space="0"/>
            </w:tcBorders>
            <w:vAlign w:val="center"/>
          </w:tcPr>
          <w:p w14:paraId="5CE92E0E">
            <w:pPr>
              <w:widowControl/>
              <w:spacing w:after="120"/>
              <w:jc w:val="center"/>
              <w:textAlignment w:val="center"/>
              <w:rPr>
                <w:rFonts w:ascii="仿宋" w:hAnsi="仿宋" w:eastAsia="仿宋" w:cs="仿宋_GB2312"/>
                <w:color w:val="000000"/>
                <w:sz w:val="28"/>
                <w:szCs w:val="28"/>
              </w:rPr>
            </w:pPr>
            <w:r>
              <w:rPr>
                <w:rFonts w:hint="eastAsia" w:ascii="仿宋" w:hAnsi="仿宋" w:eastAsia="仿宋" w:cs="宋体"/>
                <w:color w:val="000000"/>
                <w:kern w:val="0"/>
                <w:sz w:val="28"/>
                <w:szCs w:val="28"/>
              </w:rPr>
              <w:t>8</w:t>
            </w:r>
          </w:p>
        </w:tc>
        <w:tc>
          <w:tcPr>
            <w:tcW w:w="1560" w:type="dxa"/>
            <w:tcBorders>
              <w:top w:val="single" w:color="000000" w:sz="4" w:space="0"/>
              <w:left w:val="single" w:color="000000" w:sz="4" w:space="0"/>
              <w:bottom w:val="single" w:color="000000" w:sz="4" w:space="0"/>
              <w:right w:val="single" w:color="000000" w:sz="4" w:space="0"/>
            </w:tcBorders>
            <w:vAlign w:val="center"/>
          </w:tcPr>
          <w:p w14:paraId="7898A4F3">
            <w:pPr>
              <w:widowControl/>
              <w:spacing w:after="120" w:line="300" w:lineRule="exact"/>
              <w:jc w:val="left"/>
              <w:textAlignment w:val="center"/>
              <w:rPr>
                <w:rFonts w:ascii="仿宋" w:hAnsi="仿宋" w:eastAsia="仿宋" w:cs="仿宋_GB2312"/>
                <w:color w:val="000000"/>
                <w:sz w:val="28"/>
                <w:szCs w:val="28"/>
              </w:rPr>
            </w:pPr>
            <w:r>
              <w:rPr>
                <w:rFonts w:ascii="仿宋" w:hAnsi="仿宋" w:eastAsia="仿宋" w:cs="仿宋_GB2312"/>
                <w:color w:val="000000"/>
                <w:kern w:val="0"/>
                <w:sz w:val="28"/>
                <w:szCs w:val="28"/>
              </w:rPr>
              <w:t>机房基础配套设施耗材</w:t>
            </w:r>
          </w:p>
        </w:tc>
        <w:tc>
          <w:tcPr>
            <w:tcW w:w="1681" w:type="dxa"/>
            <w:tcBorders>
              <w:top w:val="single" w:color="000000" w:sz="4" w:space="0"/>
              <w:left w:val="single" w:color="000000" w:sz="4" w:space="0"/>
              <w:bottom w:val="single" w:color="000000" w:sz="4" w:space="0"/>
              <w:right w:val="single" w:color="000000" w:sz="4" w:space="0"/>
            </w:tcBorders>
            <w:vAlign w:val="center"/>
          </w:tcPr>
          <w:p w14:paraId="12FD04A0">
            <w:pPr>
              <w:widowControl/>
              <w:spacing w:after="120" w:line="300" w:lineRule="exact"/>
              <w:jc w:val="left"/>
              <w:textAlignment w:val="center"/>
              <w:rPr>
                <w:rFonts w:ascii="仿宋" w:hAnsi="仿宋" w:eastAsia="仿宋" w:cs="仿宋_GB2312"/>
                <w:color w:val="000000"/>
                <w:sz w:val="28"/>
                <w:szCs w:val="28"/>
              </w:rPr>
            </w:pPr>
            <w:r>
              <w:rPr>
                <w:rFonts w:ascii="仿宋" w:hAnsi="仿宋" w:eastAsia="仿宋" w:cs="仿宋_GB2312"/>
                <w:color w:val="000000"/>
                <w:kern w:val="0"/>
                <w:sz w:val="28"/>
                <w:szCs w:val="28"/>
              </w:rPr>
              <w:t>金盾机柜</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金盾PDU</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松业照明灯具</w:t>
            </w:r>
            <w:r>
              <w:rPr>
                <w:rFonts w:hint="eastAsia" w:ascii="仿宋" w:hAnsi="仿宋" w:eastAsia="仿宋" w:cs="仿宋_GB2312"/>
                <w:color w:val="000000"/>
                <w:kern w:val="0"/>
                <w:sz w:val="28"/>
                <w:szCs w:val="28"/>
              </w:rPr>
              <w:t>/沈飞</w:t>
            </w:r>
            <w:r>
              <w:rPr>
                <w:rFonts w:ascii="仿宋" w:hAnsi="仿宋" w:eastAsia="仿宋" w:cs="仿宋_GB2312"/>
                <w:color w:val="000000"/>
                <w:kern w:val="0"/>
                <w:sz w:val="28"/>
                <w:szCs w:val="28"/>
              </w:rPr>
              <w:t>静电地板</w:t>
            </w:r>
          </w:p>
        </w:tc>
        <w:tc>
          <w:tcPr>
            <w:tcW w:w="732" w:type="dxa"/>
            <w:tcBorders>
              <w:top w:val="single" w:color="000000" w:sz="4" w:space="0"/>
              <w:left w:val="single" w:color="000000" w:sz="4" w:space="0"/>
              <w:bottom w:val="single" w:color="000000" w:sz="4" w:space="0"/>
              <w:right w:val="single" w:color="000000" w:sz="4" w:space="0"/>
            </w:tcBorders>
            <w:vAlign w:val="center"/>
          </w:tcPr>
          <w:p w14:paraId="0FA73BD4">
            <w:pPr>
              <w:widowControl/>
              <w:spacing w:after="120" w:line="300" w:lineRule="exact"/>
              <w:jc w:val="center"/>
              <w:textAlignment w:val="center"/>
              <w:rPr>
                <w:rFonts w:ascii="仿宋" w:hAnsi="仿宋" w:eastAsia="仿宋" w:cs="仿宋_GB2312"/>
                <w:color w:val="000000"/>
                <w:sz w:val="28"/>
                <w:szCs w:val="28"/>
              </w:rPr>
            </w:pPr>
            <w:r>
              <w:rPr>
                <w:rFonts w:hint="eastAsia" w:ascii="仿宋" w:hAnsi="仿宋" w:eastAsia="仿宋" w:cs="仿宋_GB2312"/>
                <w:color w:val="000000"/>
                <w:kern w:val="0"/>
                <w:sz w:val="28"/>
                <w:szCs w:val="28"/>
              </w:rPr>
              <w:t>若干</w:t>
            </w:r>
          </w:p>
        </w:tc>
        <w:tc>
          <w:tcPr>
            <w:tcW w:w="1570" w:type="dxa"/>
            <w:tcBorders>
              <w:top w:val="single" w:color="000000" w:sz="4" w:space="0"/>
              <w:left w:val="single" w:color="000000" w:sz="4" w:space="0"/>
              <w:bottom w:val="single" w:color="000000" w:sz="4" w:space="0"/>
              <w:right w:val="single" w:color="000000" w:sz="4" w:space="0"/>
            </w:tcBorders>
            <w:vAlign w:val="center"/>
          </w:tcPr>
          <w:p w14:paraId="1DAEF55B">
            <w:pPr>
              <w:widowControl/>
              <w:spacing w:after="120" w:line="300" w:lineRule="exact"/>
              <w:jc w:val="center"/>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2026</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9</w:t>
            </w:r>
            <w:r>
              <w:rPr>
                <w:rFonts w:hint="eastAsia" w:ascii="仿宋" w:hAnsi="仿宋" w:eastAsia="仿宋" w:cs="仿宋_GB2312"/>
                <w:color w:val="000000"/>
                <w:kern w:val="0"/>
                <w:sz w:val="28"/>
                <w:szCs w:val="28"/>
              </w:rPr>
              <w:t>/</w:t>
            </w:r>
            <w:r>
              <w:rPr>
                <w:rFonts w:ascii="仿宋" w:hAnsi="仿宋" w:eastAsia="仿宋" w:cs="仿宋_GB2312"/>
                <w:color w:val="000000"/>
                <w:kern w:val="0"/>
                <w:sz w:val="28"/>
                <w:szCs w:val="28"/>
              </w:rPr>
              <w:t>3</w:t>
            </w:r>
          </w:p>
        </w:tc>
        <w:tc>
          <w:tcPr>
            <w:tcW w:w="1528" w:type="dxa"/>
            <w:tcBorders>
              <w:top w:val="single" w:color="000000" w:sz="4" w:space="0"/>
              <w:left w:val="single" w:color="000000" w:sz="4" w:space="0"/>
              <w:bottom w:val="single" w:color="000000" w:sz="4" w:space="0"/>
              <w:right w:val="single" w:color="000000" w:sz="4" w:space="0"/>
            </w:tcBorders>
            <w:vAlign w:val="center"/>
          </w:tcPr>
          <w:p w14:paraId="5C076685">
            <w:pPr>
              <w:widowControl/>
              <w:spacing w:after="120" w:line="300" w:lineRule="exact"/>
              <w:jc w:val="left"/>
              <w:textAlignment w:val="center"/>
              <w:rPr>
                <w:rFonts w:ascii="仿宋" w:hAnsi="仿宋" w:eastAsia="仿宋" w:cs="仿宋_GB2312"/>
                <w:sz w:val="28"/>
                <w:szCs w:val="28"/>
              </w:rPr>
            </w:pPr>
            <w:r>
              <w:rPr>
                <w:rFonts w:hint="eastAsia" w:ascii="仿宋" w:hAnsi="仿宋" w:eastAsia="仿宋" w:cs="仿宋_GB2312"/>
                <w:sz w:val="28"/>
                <w:szCs w:val="28"/>
              </w:rPr>
              <w:t>一楼UPS房</w:t>
            </w:r>
            <w:r>
              <w:rPr>
                <w:rFonts w:hint="eastAsia" w:ascii="仿宋" w:hAnsi="仿宋" w:eastAsia="仿宋" w:cs="仿宋_GB2312"/>
                <w:color w:val="000000"/>
                <w:kern w:val="0"/>
                <w:sz w:val="28"/>
                <w:szCs w:val="28"/>
              </w:rPr>
              <w:t>和三楼IT机房</w:t>
            </w:r>
          </w:p>
        </w:tc>
        <w:tc>
          <w:tcPr>
            <w:tcW w:w="1981" w:type="dxa"/>
            <w:tcBorders>
              <w:top w:val="single" w:color="000000" w:sz="4" w:space="0"/>
              <w:left w:val="single" w:color="000000" w:sz="4" w:space="0"/>
              <w:bottom w:val="single" w:color="000000" w:sz="4" w:space="0"/>
              <w:right w:val="single" w:color="000000" w:sz="4" w:space="0"/>
            </w:tcBorders>
          </w:tcPr>
          <w:p w14:paraId="22F4DA94">
            <w:pPr>
              <w:widowControl/>
              <w:spacing w:after="120" w:line="300" w:lineRule="exact"/>
              <w:jc w:val="left"/>
              <w:textAlignment w:val="center"/>
              <w:rPr>
                <w:rFonts w:ascii="仿宋" w:hAnsi="仿宋" w:eastAsia="仿宋" w:cs="仿宋_GB2312"/>
                <w:color w:val="000000"/>
                <w:kern w:val="0"/>
                <w:sz w:val="28"/>
                <w:szCs w:val="28"/>
              </w:rPr>
            </w:pPr>
            <w:r>
              <w:rPr>
                <w:rFonts w:ascii="仿宋" w:hAnsi="仿宋" w:eastAsia="仿宋" w:cs="仿宋_GB2312"/>
                <w:color w:val="000000"/>
                <w:kern w:val="0"/>
                <w:sz w:val="28"/>
                <w:szCs w:val="28"/>
              </w:rPr>
              <w:t>包含72个机柜的门锁、144个PDU设备、照明灯具灯管，架空地板（含通风地板）损坏更换</w:t>
            </w:r>
          </w:p>
        </w:tc>
      </w:tr>
    </w:tbl>
    <w:p w14:paraId="5B2917C0">
      <w:pPr>
        <w:rPr>
          <w:rStyle w:val="34"/>
          <w:rFonts w:hint="eastAsia"/>
        </w:rPr>
      </w:pPr>
      <w:r>
        <w:rPr>
          <w:rStyle w:val="34"/>
          <w:rFonts w:hint="eastAsia"/>
        </w:rPr>
        <w:br w:type="page"/>
      </w:r>
    </w:p>
    <w:p w14:paraId="497491E9">
      <w:pPr>
        <w:pStyle w:val="37"/>
        <w:ind w:firstLine="582"/>
        <w:rPr>
          <w:rStyle w:val="34"/>
        </w:rPr>
      </w:pPr>
      <w:bookmarkStart w:id="1" w:name="_GoBack"/>
      <w:bookmarkEnd w:id="1"/>
      <w:r>
        <w:rPr>
          <w:rStyle w:val="34"/>
          <w:rFonts w:hint="eastAsia"/>
        </w:rPr>
        <w:t>附表2、故障级别对照表</w:t>
      </w:r>
    </w:p>
    <w:tbl>
      <w:tblPr>
        <w:tblStyle w:val="15"/>
        <w:tblW w:w="8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1"/>
        <w:gridCol w:w="6512"/>
      </w:tblGrid>
      <w:tr w14:paraId="4458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tcPr>
          <w:p w14:paraId="6DE88815">
            <w:pPr>
              <w:spacing w:after="120" w:line="400" w:lineRule="exact"/>
              <w:jc w:val="center"/>
              <w:rPr>
                <w:rFonts w:ascii="仿宋" w:hAnsi="仿宋" w:eastAsia="仿宋" w:cs="仿宋_GB2312"/>
                <w:sz w:val="28"/>
                <w:szCs w:val="28"/>
              </w:rPr>
            </w:pPr>
            <w:r>
              <w:rPr>
                <w:rFonts w:hint="eastAsia" w:ascii="仿宋" w:hAnsi="仿宋" w:eastAsia="仿宋" w:cs="仿宋_GB2312"/>
                <w:sz w:val="28"/>
                <w:szCs w:val="28"/>
              </w:rPr>
              <w:t>故障级别</w:t>
            </w:r>
          </w:p>
        </w:tc>
        <w:tc>
          <w:tcPr>
            <w:tcW w:w="6512" w:type="dxa"/>
          </w:tcPr>
          <w:p w14:paraId="0CB9860B">
            <w:pPr>
              <w:spacing w:after="120" w:line="400" w:lineRule="exact"/>
              <w:jc w:val="center"/>
              <w:rPr>
                <w:rFonts w:ascii="仿宋" w:hAnsi="仿宋" w:eastAsia="仿宋" w:cs="仿宋_GB2312"/>
                <w:sz w:val="28"/>
                <w:szCs w:val="28"/>
              </w:rPr>
            </w:pPr>
            <w:r>
              <w:rPr>
                <w:rFonts w:hint="eastAsia" w:ascii="仿宋" w:hAnsi="仿宋" w:eastAsia="仿宋" w:cs="仿宋_GB2312"/>
                <w:sz w:val="28"/>
                <w:szCs w:val="28"/>
              </w:rPr>
              <w:t>故障典型表现</w:t>
            </w:r>
          </w:p>
        </w:tc>
      </w:tr>
      <w:tr w14:paraId="2BD3F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vAlign w:val="center"/>
          </w:tcPr>
          <w:p w14:paraId="7F8E055A">
            <w:pPr>
              <w:spacing w:after="120" w:line="400" w:lineRule="exact"/>
              <w:jc w:val="center"/>
              <w:rPr>
                <w:rFonts w:ascii="仿宋" w:hAnsi="仿宋" w:eastAsia="仿宋" w:cs="仿宋_GB2312"/>
                <w:sz w:val="28"/>
                <w:szCs w:val="28"/>
              </w:rPr>
            </w:pPr>
            <w:r>
              <w:rPr>
                <w:rFonts w:hint="eastAsia" w:ascii="仿宋" w:hAnsi="仿宋" w:eastAsia="仿宋" w:cs="仿宋_GB2312"/>
                <w:sz w:val="28"/>
                <w:szCs w:val="28"/>
              </w:rPr>
              <w:t>紧急故障</w:t>
            </w:r>
          </w:p>
        </w:tc>
        <w:tc>
          <w:tcPr>
            <w:tcW w:w="6512" w:type="dxa"/>
          </w:tcPr>
          <w:p w14:paraId="06703D91">
            <w:pPr>
              <w:spacing w:after="120" w:line="400" w:lineRule="exact"/>
              <w:rPr>
                <w:rFonts w:ascii="仿宋" w:hAnsi="仿宋" w:eastAsia="仿宋" w:cs="仿宋_GB2312"/>
                <w:sz w:val="28"/>
                <w:szCs w:val="28"/>
              </w:rPr>
            </w:pPr>
            <w:r>
              <w:rPr>
                <w:rFonts w:hint="eastAsia" w:ascii="仿宋" w:hAnsi="仿宋" w:eastAsia="仿宋" w:cs="仿宋_GB2312"/>
                <w:sz w:val="28"/>
                <w:szCs w:val="28"/>
              </w:rPr>
              <w:t>1. 设备运行中止</w:t>
            </w:r>
          </w:p>
          <w:p w14:paraId="1AF69E7F">
            <w:pPr>
              <w:spacing w:after="120" w:line="400" w:lineRule="exact"/>
              <w:rPr>
                <w:rFonts w:ascii="仿宋" w:hAnsi="仿宋" w:eastAsia="仿宋" w:cs="仿宋_GB2312"/>
                <w:sz w:val="28"/>
                <w:szCs w:val="28"/>
              </w:rPr>
            </w:pPr>
            <w:r>
              <w:rPr>
                <w:rFonts w:hint="eastAsia" w:ascii="仿宋" w:hAnsi="仿宋" w:eastAsia="仿宋" w:cs="仿宋_GB2312"/>
                <w:sz w:val="28"/>
                <w:szCs w:val="28"/>
              </w:rPr>
              <w:t>2. 设备处理性能严重下降</w:t>
            </w:r>
          </w:p>
          <w:p w14:paraId="022B382C">
            <w:pPr>
              <w:spacing w:after="120" w:line="400" w:lineRule="exact"/>
              <w:rPr>
                <w:rFonts w:ascii="仿宋" w:hAnsi="仿宋" w:eastAsia="仿宋" w:cs="仿宋_GB2312"/>
                <w:sz w:val="28"/>
                <w:szCs w:val="28"/>
              </w:rPr>
            </w:pPr>
            <w:r>
              <w:rPr>
                <w:rFonts w:hint="eastAsia" w:ascii="仿宋" w:hAnsi="仿宋" w:eastAsia="仿宋" w:cs="仿宋_GB2312"/>
                <w:sz w:val="28"/>
                <w:szCs w:val="28"/>
              </w:rPr>
              <w:t>3. 设备处理时断时续</w:t>
            </w:r>
          </w:p>
          <w:p w14:paraId="4F168EC8">
            <w:pPr>
              <w:spacing w:after="120" w:line="400" w:lineRule="exact"/>
              <w:rPr>
                <w:rFonts w:ascii="仿宋" w:hAnsi="仿宋" w:eastAsia="仿宋" w:cs="仿宋_GB2312"/>
                <w:sz w:val="28"/>
                <w:szCs w:val="28"/>
              </w:rPr>
            </w:pPr>
            <w:r>
              <w:rPr>
                <w:rFonts w:hint="eastAsia" w:ascii="仿宋" w:hAnsi="仿宋" w:eastAsia="仿宋" w:cs="仿宋_GB2312"/>
                <w:sz w:val="28"/>
                <w:szCs w:val="28"/>
              </w:rPr>
              <w:t>4. 设备（系统）不能启动</w:t>
            </w:r>
          </w:p>
          <w:p w14:paraId="2F705B3D">
            <w:pPr>
              <w:spacing w:after="120" w:line="400" w:lineRule="exact"/>
              <w:rPr>
                <w:rFonts w:ascii="仿宋" w:hAnsi="仿宋" w:eastAsia="仿宋" w:cs="仿宋_GB2312"/>
                <w:sz w:val="28"/>
                <w:szCs w:val="28"/>
              </w:rPr>
            </w:pPr>
            <w:r>
              <w:rPr>
                <w:rFonts w:hint="eastAsia" w:ascii="仿宋" w:hAnsi="仿宋" w:eastAsia="仿宋" w:cs="仿宋_GB2312"/>
                <w:sz w:val="28"/>
                <w:szCs w:val="28"/>
              </w:rPr>
              <w:t>5. 设备（系统）出现重大异常现象</w:t>
            </w:r>
          </w:p>
          <w:p w14:paraId="0468EFB5">
            <w:pPr>
              <w:spacing w:after="120" w:line="400" w:lineRule="exact"/>
              <w:rPr>
                <w:rFonts w:ascii="仿宋" w:hAnsi="仿宋" w:eastAsia="仿宋" w:cs="仿宋_GB2312"/>
                <w:sz w:val="28"/>
                <w:szCs w:val="28"/>
              </w:rPr>
            </w:pPr>
            <w:r>
              <w:rPr>
                <w:rFonts w:hint="eastAsia" w:ascii="仿宋" w:hAnsi="仿宋" w:eastAsia="仿宋" w:cs="仿宋_GB2312"/>
                <w:sz w:val="28"/>
                <w:szCs w:val="28"/>
              </w:rPr>
              <w:t>6. 设备（系统）发现重大安全隐患</w:t>
            </w:r>
          </w:p>
          <w:p w14:paraId="48C09D3D">
            <w:pPr>
              <w:spacing w:after="120" w:line="400" w:lineRule="exact"/>
              <w:rPr>
                <w:rFonts w:ascii="仿宋" w:hAnsi="仿宋" w:eastAsia="仿宋" w:cs="仿宋_GB2312"/>
                <w:sz w:val="28"/>
                <w:szCs w:val="28"/>
              </w:rPr>
            </w:pPr>
            <w:r>
              <w:rPr>
                <w:rFonts w:hint="eastAsia" w:ascii="仿宋" w:hAnsi="仿宋" w:eastAsia="仿宋" w:cs="仿宋_GB2312"/>
                <w:sz w:val="28"/>
                <w:szCs w:val="28"/>
              </w:rPr>
              <w:t>7. 设备（系统）面临的重大危害（如火灾水灾外部和内部的攻击等）</w:t>
            </w:r>
          </w:p>
          <w:p w14:paraId="205D06A0">
            <w:pPr>
              <w:spacing w:after="120" w:line="400" w:lineRule="exact"/>
              <w:rPr>
                <w:rFonts w:ascii="仿宋" w:hAnsi="仿宋" w:eastAsia="仿宋" w:cs="仿宋_GB2312"/>
                <w:sz w:val="28"/>
                <w:szCs w:val="28"/>
              </w:rPr>
            </w:pPr>
            <w:r>
              <w:rPr>
                <w:rFonts w:hint="eastAsia" w:ascii="仿宋" w:hAnsi="仿宋" w:eastAsia="仿宋" w:cs="仿宋_GB2312"/>
                <w:sz w:val="28"/>
                <w:szCs w:val="28"/>
              </w:rPr>
              <w:t>8. 其他紧急故障</w:t>
            </w:r>
          </w:p>
        </w:tc>
      </w:tr>
      <w:tr w14:paraId="4814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vAlign w:val="center"/>
          </w:tcPr>
          <w:p w14:paraId="7EA9FA6B">
            <w:pPr>
              <w:spacing w:after="120" w:line="400" w:lineRule="exact"/>
              <w:jc w:val="center"/>
              <w:rPr>
                <w:rFonts w:ascii="仿宋" w:hAnsi="仿宋" w:eastAsia="仿宋" w:cs="仿宋_GB2312"/>
                <w:sz w:val="28"/>
                <w:szCs w:val="28"/>
              </w:rPr>
            </w:pPr>
            <w:r>
              <w:rPr>
                <w:rFonts w:hint="eastAsia" w:ascii="仿宋" w:hAnsi="仿宋" w:eastAsia="仿宋" w:cs="仿宋_GB2312"/>
                <w:sz w:val="28"/>
                <w:szCs w:val="28"/>
              </w:rPr>
              <w:t>严重故障</w:t>
            </w:r>
          </w:p>
        </w:tc>
        <w:tc>
          <w:tcPr>
            <w:tcW w:w="6512" w:type="dxa"/>
            <w:vAlign w:val="center"/>
          </w:tcPr>
          <w:p w14:paraId="59F8CD96">
            <w:pPr>
              <w:spacing w:after="120" w:line="400" w:lineRule="exact"/>
              <w:rPr>
                <w:rFonts w:ascii="仿宋" w:hAnsi="仿宋" w:eastAsia="仿宋" w:cs="仿宋_GB2312"/>
                <w:sz w:val="28"/>
                <w:szCs w:val="28"/>
              </w:rPr>
            </w:pPr>
            <w:r>
              <w:rPr>
                <w:rFonts w:hint="eastAsia" w:ascii="仿宋" w:hAnsi="仿宋" w:eastAsia="仿宋" w:cs="仿宋_GB2312"/>
                <w:sz w:val="28"/>
                <w:szCs w:val="28"/>
              </w:rPr>
              <w:t>1. 设备（系统）的核心功能部分失效，但整体未完全中断</w:t>
            </w:r>
          </w:p>
          <w:p w14:paraId="38F3D0EE">
            <w:pPr>
              <w:spacing w:after="120" w:line="400" w:lineRule="exact"/>
              <w:rPr>
                <w:rFonts w:ascii="仿宋" w:hAnsi="仿宋" w:eastAsia="仿宋" w:cs="仿宋_GB2312"/>
                <w:sz w:val="28"/>
                <w:szCs w:val="28"/>
              </w:rPr>
            </w:pPr>
            <w:r>
              <w:rPr>
                <w:rFonts w:hint="eastAsia" w:ascii="仿宋" w:hAnsi="仿宋" w:eastAsia="仿宋" w:cs="仿宋_GB2312"/>
                <w:sz w:val="28"/>
                <w:szCs w:val="28"/>
              </w:rPr>
              <w:t>2. 设备（系统）性能显著下降，严重影响业务效率</w:t>
            </w:r>
          </w:p>
          <w:p w14:paraId="7CA30157">
            <w:pPr>
              <w:spacing w:after="120" w:line="400" w:lineRule="exact"/>
              <w:rPr>
                <w:rFonts w:ascii="仿宋" w:hAnsi="仿宋" w:eastAsia="仿宋" w:cs="仿宋_GB2312"/>
                <w:sz w:val="28"/>
                <w:szCs w:val="28"/>
              </w:rPr>
            </w:pPr>
            <w:r>
              <w:rPr>
                <w:rFonts w:hint="eastAsia" w:ascii="仿宋" w:hAnsi="仿宋" w:eastAsia="仿宋" w:cs="仿宋_GB2312"/>
                <w:sz w:val="28"/>
                <w:szCs w:val="28"/>
              </w:rPr>
              <w:t>3. 非核心功能完全失效，且无临时替代方案</w:t>
            </w:r>
          </w:p>
          <w:p w14:paraId="1477605E">
            <w:pPr>
              <w:spacing w:after="120" w:line="400" w:lineRule="exact"/>
              <w:rPr>
                <w:rFonts w:ascii="仿宋" w:hAnsi="仿宋" w:eastAsia="仿宋" w:cs="仿宋_GB2312"/>
                <w:sz w:val="28"/>
                <w:szCs w:val="28"/>
              </w:rPr>
            </w:pPr>
            <w:r>
              <w:rPr>
                <w:rFonts w:hint="eastAsia" w:ascii="仿宋" w:hAnsi="仿宋" w:eastAsia="仿宋" w:cs="仿宋_GB2312"/>
                <w:sz w:val="28"/>
                <w:szCs w:val="28"/>
              </w:rPr>
              <w:t>4. 设备（系统）出现可预见的、可能导致紧急故障的严重隐患</w:t>
            </w:r>
          </w:p>
          <w:p w14:paraId="42B8B011">
            <w:pPr>
              <w:spacing w:after="120" w:line="400" w:lineRule="exact"/>
              <w:rPr>
                <w:rFonts w:ascii="仿宋" w:hAnsi="仿宋" w:eastAsia="仿宋" w:cs="仿宋_GB2312"/>
                <w:sz w:val="28"/>
                <w:szCs w:val="28"/>
              </w:rPr>
            </w:pPr>
            <w:r>
              <w:rPr>
                <w:rFonts w:hint="eastAsia" w:ascii="仿宋" w:hAnsi="仿宋" w:eastAsia="仿宋" w:cs="仿宋_GB2312"/>
                <w:sz w:val="28"/>
                <w:szCs w:val="28"/>
              </w:rPr>
              <w:t>5. 数据出现错误或小范围丢失，但未造成系统性影响</w:t>
            </w:r>
          </w:p>
          <w:p w14:paraId="424765AD">
            <w:pPr>
              <w:spacing w:after="120" w:line="400" w:lineRule="exact"/>
              <w:rPr>
                <w:rFonts w:ascii="仿宋" w:hAnsi="仿宋" w:eastAsia="仿宋" w:cs="仿宋_GB2312"/>
                <w:sz w:val="28"/>
                <w:szCs w:val="28"/>
              </w:rPr>
            </w:pPr>
            <w:r>
              <w:rPr>
                <w:rFonts w:hint="eastAsia" w:ascii="仿宋" w:hAnsi="仿宋" w:eastAsia="仿宋" w:cs="仿宋_GB2312"/>
                <w:sz w:val="28"/>
                <w:szCs w:val="28"/>
              </w:rPr>
              <w:t>6. 其他严重故障</w:t>
            </w:r>
          </w:p>
        </w:tc>
      </w:tr>
      <w:tr w14:paraId="7BFCF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1" w:type="dxa"/>
          </w:tcPr>
          <w:p w14:paraId="52D07D2A">
            <w:pPr>
              <w:spacing w:after="120" w:line="400" w:lineRule="exact"/>
              <w:jc w:val="center"/>
              <w:rPr>
                <w:rFonts w:ascii="仿宋" w:hAnsi="仿宋" w:eastAsia="仿宋" w:cs="仿宋_GB2312"/>
                <w:sz w:val="28"/>
                <w:szCs w:val="28"/>
              </w:rPr>
            </w:pPr>
            <w:r>
              <w:rPr>
                <w:rFonts w:hint="eastAsia" w:ascii="仿宋" w:hAnsi="仿宋" w:eastAsia="仿宋" w:cs="仿宋_GB2312"/>
                <w:sz w:val="28"/>
                <w:szCs w:val="28"/>
              </w:rPr>
              <w:t>一般故障</w:t>
            </w:r>
          </w:p>
        </w:tc>
        <w:tc>
          <w:tcPr>
            <w:tcW w:w="6512" w:type="dxa"/>
          </w:tcPr>
          <w:p w14:paraId="235E840F">
            <w:pPr>
              <w:spacing w:after="120" w:line="400" w:lineRule="exact"/>
              <w:rPr>
                <w:rFonts w:ascii="仿宋" w:hAnsi="仿宋" w:eastAsia="仿宋" w:cs="仿宋_GB2312"/>
                <w:sz w:val="28"/>
                <w:szCs w:val="28"/>
              </w:rPr>
            </w:pPr>
            <w:r>
              <w:rPr>
                <w:rFonts w:hint="eastAsia" w:ascii="仿宋" w:hAnsi="仿宋" w:eastAsia="仿宋" w:cs="仿宋_GB2312"/>
                <w:sz w:val="28"/>
                <w:szCs w:val="28"/>
              </w:rPr>
              <w:t>除以上所列的其它情况</w:t>
            </w:r>
          </w:p>
        </w:tc>
      </w:tr>
    </w:tbl>
    <w:p w14:paraId="17133445">
      <w:pPr>
        <w:widowControl/>
        <w:spacing w:after="160" w:line="278" w:lineRule="auto"/>
        <w:jc w:val="left"/>
        <w:rPr>
          <w:rFonts w:ascii="仿宋" w:hAnsi="仿宋" w:eastAsia="仿宋" w:cs="宋体"/>
          <w:sz w:val="28"/>
          <w:szCs w:val="28"/>
        </w:rPr>
      </w:pPr>
      <w:r>
        <w:rPr>
          <w:rFonts w:hint="eastAsia"/>
        </w:rPr>
        <w:br w:type="page"/>
      </w:r>
    </w:p>
    <w:p w14:paraId="62869D3D">
      <w:pPr>
        <w:pStyle w:val="37"/>
        <w:ind w:firstLine="582"/>
        <w:rPr>
          <w:rStyle w:val="34"/>
        </w:rPr>
      </w:pPr>
      <w:r>
        <w:rPr>
          <w:rStyle w:val="34"/>
          <w:rFonts w:hint="eastAsia"/>
        </w:rPr>
        <w:t>附表3、维护保障备件清单</w:t>
      </w:r>
    </w:p>
    <w:tbl>
      <w:tblPr>
        <w:tblStyle w:val="15"/>
        <w:tblW w:w="78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
        <w:gridCol w:w="2618"/>
        <w:gridCol w:w="2835"/>
        <w:gridCol w:w="1408"/>
      </w:tblGrid>
      <w:tr w14:paraId="335F2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975" w:type="dxa"/>
            <w:vAlign w:val="center"/>
          </w:tcPr>
          <w:p w14:paraId="2E5E8D90">
            <w:pPr>
              <w:spacing w:after="120"/>
              <w:jc w:val="center"/>
              <w:rPr>
                <w:rFonts w:ascii="仿宋" w:hAnsi="仿宋" w:eastAsia="仿宋" w:cs="仿宋_GB2312"/>
                <w:sz w:val="28"/>
                <w:szCs w:val="28"/>
              </w:rPr>
            </w:pPr>
            <w:r>
              <w:rPr>
                <w:rFonts w:hint="eastAsia" w:ascii="仿宋" w:hAnsi="仿宋" w:eastAsia="仿宋"/>
                <w:sz w:val="28"/>
                <w:szCs w:val="28"/>
              </w:rPr>
              <w:t>编号</w:t>
            </w:r>
          </w:p>
        </w:tc>
        <w:tc>
          <w:tcPr>
            <w:tcW w:w="2618" w:type="dxa"/>
            <w:vAlign w:val="center"/>
          </w:tcPr>
          <w:p w14:paraId="7C69976A">
            <w:pPr>
              <w:widowControl/>
              <w:spacing w:after="120"/>
              <w:jc w:val="center"/>
              <w:rPr>
                <w:rFonts w:ascii="仿宋" w:hAnsi="仿宋" w:eastAsia="仿宋" w:cs="仿宋_GB2312"/>
                <w:sz w:val="28"/>
                <w:szCs w:val="28"/>
              </w:rPr>
            </w:pPr>
            <w:r>
              <w:rPr>
                <w:rFonts w:hint="eastAsia" w:ascii="仿宋" w:hAnsi="仿宋" w:eastAsia="仿宋"/>
                <w:sz w:val="28"/>
                <w:szCs w:val="28"/>
              </w:rPr>
              <w:t>名 称</w:t>
            </w:r>
          </w:p>
        </w:tc>
        <w:tc>
          <w:tcPr>
            <w:tcW w:w="2835" w:type="dxa"/>
            <w:vAlign w:val="center"/>
          </w:tcPr>
          <w:p w14:paraId="79E2AFFF">
            <w:pPr>
              <w:widowControl/>
              <w:spacing w:after="120"/>
              <w:jc w:val="center"/>
              <w:rPr>
                <w:rFonts w:ascii="仿宋" w:hAnsi="仿宋" w:eastAsia="仿宋" w:cs="仿宋_GB2312"/>
                <w:sz w:val="28"/>
                <w:szCs w:val="28"/>
              </w:rPr>
            </w:pPr>
            <w:r>
              <w:rPr>
                <w:rFonts w:hint="eastAsia" w:ascii="仿宋" w:hAnsi="仿宋" w:eastAsia="仿宋"/>
                <w:sz w:val="28"/>
                <w:szCs w:val="28"/>
              </w:rPr>
              <w:t>规   格</w:t>
            </w:r>
          </w:p>
        </w:tc>
        <w:tc>
          <w:tcPr>
            <w:tcW w:w="1408" w:type="dxa"/>
            <w:vAlign w:val="center"/>
          </w:tcPr>
          <w:p w14:paraId="0886B876">
            <w:pPr>
              <w:spacing w:after="120"/>
              <w:jc w:val="center"/>
              <w:rPr>
                <w:rFonts w:ascii="仿宋" w:hAnsi="仿宋" w:eastAsia="仿宋" w:cs="仿宋_GB2312"/>
                <w:sz w:val="28"/>
                <w:szCs w:val="28"/>
              </w:rPr>
            </w:pPr>
            <w:r>
              <w:rPr>
                <w:rFonts w:hint="eastAsia" w:ascii="仿宋" w:hAnsi="仿宋" w:eastAsia="仿宋"/>
                <w:sz w:val="28"/>
                <w:szCs w:val="28"/>
              </w:rPr>
              <w:t>数量</w:t>
            </w:r>
          </w:p>
        </w:tc>
      </w:tr>
      <w:tr w14:paraId="73468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6548AAEB">
            <w:pPr>
              <w:spacing w:after="120"/>
              <w:jc w:val="center"/>
              <w:rPr>
                <w:rFonts w:ascii="仿宋" w:hAnsi="仿宋" w:eastAsia="仿宋" w:cs="仿宋_GB2312"/>
                <w:sz w:val="28"/>
                <w:szCs w:val="28"/>
              </w:rPr>
            </w:pPr>
            <w:r>
              <w:rPr>
                <w:rFonts w:hint="eastAsia" w:ascii="仿宋" w:hAnsi="仿宋" w:eastAsia="仿宋"/>
                <w:sz w:val="28"/>
                <w:szCs w:val="28"/>
              </w:rPr>
              <w:t>1</w:t>
            </w:r>
          </w:p>
        </w:tc>
        <w:tc>
          <w:tcPr>
            <w:tcW w:w="2618" w:type="dxa"/>
            <w:vAlign w:val="center"/>
          </w:tcPr>
          <w:p w14:paraId="2FD1DFA6">
            <w:pPr>
              <w:spacing w:after="120"/>
              <w:jc w:val="center"/>
              <w:rPr>
                <w:rFonts w:ascii="仿宋" w:hAnsi="仿宋" w:eastAsia="仿宋" w:cs="仿宋_GB2312"/>
                <w:color w:val="000000"/>
                <w:sz w:val="28"/>
                <w:szCs w:val="28"/>
              </w:rPr>
            </w:pPr>
            <w:r>
              <w:rPr>
                <w:rFonts w:hint="eastAsia" w:ascii="仿宋" w:hAnsi="仿宋" w:eastAsia="仿宋"/>
                <w:sz w:val="28"/>
                <w:szCs w:val="28"/>
              </w:rPr>
              <w:t>空调制冷剂</w:t>
            </w:r>
          </w:p>
        </w:tc>
        <w:tc>
          <w:tcPr>
            <w:tcW w:w="2835" w:type="dxa"/>
            <w:vAlign w:val="center"/>
          </w:tcPr>
          <w:p w14:paraId="217DBAD3">
            <w:pPr>
              <w:spacing w:after="120"/>
              <w:jc w:val="center"/>
              <w:rPr>
                <w:rFonts w:ascii="仿宋" w:hAnsi="仿宋" w:eastAsia="仿宋" w:cs="仿宋_GB2312"/>
                <w:color w:val="000000"/>
                <w:sz w:val="28"/>
                <w:szCs w:val="28"/>
              </w:rPr>
            </w:pPr>
            <w:r>
              <w:rPr>
                <w:rFonts w:hint="eastAsia" w:ascii="仿宋" w:hAnsi="仿宋" w:eastAsia="仿宋"/>
                <w:sz w:val="28"/>
                <w:szCs w:val="28"/>
              </w:rPr>
              <w:t>R407C（10KG/瓶)</w:t>
            </w:r>
          </w:p>
        </w:tc>
        <w:tc>
          <w:tcPr>
            <w:tcW w:w="1408" w:type="dxa"/>
            <w:vAlign w:val="center"/>
          </w:tcPr>
          <w:p w14:paraId="6F74EA1F">
            <w:pPr>
              <w:spacing w:after="120"/>
              <w:jc w:val="center"/>
              <w:rPr>
                <w:rFonts w:ascii="仿宋" w:hAnsi="仿宋" w:eastAsia="仿宋" w:cs="仿宋_GB2312"/>
                <w:sz w:val="28"/>
                <w:szCs w:val="28"/>
              </w:rPr>
            </w:pPr>
            <w:r>
              <w:rPr>
                <w:rFonts w:hint="eastAsia" w:ascii="仿宋" w:hAnsi="仿宋" w:eastAsia="仿宋"/>
                <w:sz w:val="28"/>
                <w:szCs w:val="28"/>
              </w:rPr>
              <w:t>2瓶</w:t>
            </w:r>
          </w:p>
        </w:tc>
      </w:tr>
      <w:tr w14:paraId="4E10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74A81F2F">
            <w:pPr>
              <w:spacing w:after="120"/>
              <w:jc w:val="center"/>
              <w:rPr>
                <w:rFonts w:ascii="仿宋" w:hAnsi="仿宋" w:eastAsia="仿宋" w:cs="仿宋_GB2312"/>
                <w:sz w:val="28"/>
                <w:szCs w:val="28"/>
              </w:rPr>
            </w:pPr>
            <w:r>
              <w:rPr>
                <w:rFonts w:hint="eastAsia" w:ascii="仿宋" w:hAnsi="仿宋" w:eastAsia="仿宋"/>
                <w:sz w:val="28"/>
                <w:szCs w:val="28"/>
              </w:rPr>
              <w:t>2</w:t>
            </w:r>
          </w:p>
        </w:tc>
        <w:tc>
          <w:tcPr>
            <w:tcW w:w="2618" w:type="dxa"/>
            <w:vAlign w:val="center"/>
          </w:tcPr>
          <w:p w14:paraId="70C14848">
            <w:pPr>
              <w:spacing w:after="120"/>
              <w:jc w:val="center"/>
              <w:rPr>
                <w:rFonts w:ascii="仿宋" w:hAnsi="仿宋" w:eastAsia="仿宋" w:cs="仿宋_GB2312"/>
                <w:color w:val="000000"/>
                <w:sz w:val="28"/>
                <w:szCs w:val="28"/>
              </w:rPr>
            </w:pPr>
            <w:r>
              <w:rPr>
                <w:rFonts w:hint="eastAsia" w:ascii="仿宋" w:hAnsi="仿宋" w:eastAsia="仿宋"/>
                <w:sz w:val="28"/>
                <w:szCs w:val="28"/>
              </w:rPr>
              <w:t>空调制冷剂</w:t>
            </w:r>
          </w:p>
        </w:tc>
        <w:tc>
          <w:tcPr>
            <w:tcW w:w="2835" w:type="dxa"/>
            <w:vAlign w:val="center"/>
          </w:tcPr>
          <w:p w14:paraId="41FED5E3">
            <w:pPr>
              <w:spacing w:after="120"/>
              <w:jc w:val="center"/>
              <w:rPr>
                <w:rFonts w:ascii="仿宋" w:hAnsi="仿宋" w:eastAsia="仿宋" w:cs="仿宋_GB2312"/>
                <w:color w:val="000000"/>
                <w:sz w:val="28"/>
                <w:szCs w:val="28"/>
              </w:rPr>
            </w:pPr>
            <w:r>
              <w:rPr>
                <w:rFonts w:hint="eastAsia" w:ascii="仿宋" w:hAnsi="仿宋" w:eastAsia="仿宋" w:cs="宋体"/>
                <w:sz w:val="28"/>
                <w:szCs w:val="28"/>
              </w:rPr>
              <w:t>R410A（10KG/瓶）</w:t>
            </w:r>
          </w:p>
        </w:tc>
        <w:tc>
          <w:tcPr>
            <w:tcW w:w="1408" w:type="dxa"/>
            <w:vAlign w:val="center"/>
          </w:tcPr>
          <w:p w14:paraId="6860364F">
            <w:pPr>
              <w:spacing w:after="120"/>
              <w:jc w:val="center"/>
              <w:rPr>
                <w:rFonts w:ascii="仿宋" w:hAnsi="仿宋" w:eastAsia="仿宋" w:cs="仿宋_GB2312"/>
                <w:sz w:val="28"/>
                <w:szCs w:val="28"/>
              </w:rPr>
            </w:pPr>
            <w:r>
              <w:rPr>
                <w:rFonts w:hint="eastAsia" w:ascii="仿宋" w:hAnsi="仿宋" w:eastAsia="仿宋"/>
                <w:sz w:val="28"/>
                <w:szCs w:val="28"/>
              </w:rPr>
              <w:t>2瓶</w:t>
            </w:r>
          </w:p>
        </w:tc>
      </w:tr>
      <w:tr w14:paraId="6A748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6853343C">
            <w:pPr>
              <w:spacing w:after="120"/>
              <w:jc w:val="center"/>
              <w:rPr>
                <w:rFonts w:ascii="仿宋" w:hAnsi="仿宋" w:eastAsia="仿宋"/>
                <w:sz w:val="28"/>
                <w:szCs w:val="28"/>
              </w:rPr>
            </w:pPr>
            <w:r>
              <w:rPr>
                <w:rFonts w:hint="eastAsia" w:ascii="仿宋" w:hAnsi="仿宋" w:eastAsia="仿宋"/>
                <w:sz w:val="28"/>
                <w:szCs w:val="28"/>
              </w:rPr>
              <w:t>3</w:t>
            </w:r>
          </w:p>
        </w:tc>
        <w:tc>
          <w:tcPr>
            <w:tcW w:w="2618" w:type="dxa"/>
            <w:vAlign w:val="center"/>
          </w:tcPr>
          <w:p w14:paraId="5B07CFCA">
            <w:pPr>
              <w:spacing w:after="120"/>
              <w:jc w:val="center"/>
              <w:rPr>
                <w:rFonts w:ascii="仿宋" w:hAnsi="仿宋" w:eastAsia="仿宋"/>
                <w:sz w:val="28"/>
                <w:szCs w:val="28"/>
              </w:rPr>
            </w:pPr>
            <w:r>
              <w:rPr>
                <w:rFonts w:hint="eastAsia" w:ascii="仿宋" w:hAnsi="仿宋" w:eastAsia="仿宋"/>
                <w:sz w:val="28"/>
                <w:szCs w:val="28"/>
              </w:rPr>
              <w:t>空调加湿罐</w:t>
            </w:r>
          </w:p>
        </w:tc>
        <w:tc>
          <w:tcPr>
            <w:tcW w:w="2835" w:type="dxa"/>
            <w:vAlign w:val="center"/>
          </w:tcPr>
          <w:p w14:paraId="55BB6B19">
            <w:pPr>
              <w:spacing w:after="120"/>
              <w:jc w:val="center"/>
              <w:rPr>
                <w:rFonts w:ascii="仿宋" w:hAnsi="仿宋" w:eastAsia="仿宋"/>
                <w:sz w:val="28"/>
                <w:szCs w:val="28"/>
              </w:rPr>
            </w:pPr>
            <w:r>
              <w:rPr>
                <w:rFonts w:hint="eastAsia" w:ascii="仿宋" w:hAnsi="仿宋" w:eastAsia="仿宋"/>
                <w:sz w:val="28"/>
                <w:szCs w:val="28"/>
              </w:rPr>
              <w:t>雷诺威 8KG</w:t>
            </w:r>
          </w:p>
        </w:tc>
        <w:tc>
          <w:tcPr>
            <w:tcW w:w="1408" w:type="dxa"/>
            <w:vAlign w:val="center"/>
          </w:tcPr>
          <w:p w14:paraId="12087B72">
            <w:pPr>
              <w:spacing w:after="120"/>
              <w:jc w:val="center"/>
              <w:rPr>
                <w:rFonts w:ascii="仿宋" w:hAnsi="仿宋" w:eastAsia="仿宋"/>
                <w:sz w:val="28"/>
                <w:szCs w:val="28"/>
              </w:rPr>
            </w:pPr>
            <w:r>
              <w:rPr>
                <w:rFonts w:hint="eastAsia" w:ascii="仿宋" w:hAnsi="仿宋" w:eastAsia="仿宋"/>
                <w:sz w:val="28"/>
                <w:szCs w:val="28"/>
              </w:rPr>
              <w:t>1个</w:t>
            </w:r>
          </w:p>
        </w:tc>
      </w:tr>
      <w:tr w14:paraId="4681C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13056209">
            <w:pPr>
              <w:spacing w:after="120"/>
              <w:jc w:val="center"/>
              <w:rPr>
                <w:rFonts w:ascii="仿宋" w:hAnsi="仿宋" w:eastAsia="仿宋" w:cs="仿宋_GB2312"/>
                <w:sz w:val="28"/>
                <w:szCs w:val="28"/>
              </w:rPr>
            </w:pPr>
            <w:r>
              <w:rPr>
                <w:rFonts w:hint="eastAsia" w:ascii="仿宋" w:hAnsi="仿宋" w:eastAsia="仿宋"/>
                <w:sz w:val="28"/>
                <w:szCs w:val="28"/>
              </w:rPr>
              <w:t>4</w:t>
            </w:r>
          </w:p>
        </w:tc>
        <w:tc>
          <w:tcPr>
            <w:tcW w:w="2618" w:type="dxa"/>
            <w:vAlign w:val="center"/>
          </w:tcPr>
          <w:p w14:paraId="508EACBD">
            <w:pPr>
              <w:spacing w:after="120"/>
              <w:jc w:val="center"/>
              <w:rPr>
                <w:rFonts w:ascii="仿宋" w:hAnsi="仿宋" w:eastAsia="仿宋" w:cs="仿宋_GB2312"/>
                <w:color w:val="000000"/>
                <w:sz w:val="28"/>
                <w:szCs w:val="28"/>
              </w:rPr>
            </w:pPr>
            <w:r>
              <w:rPr>
                <w:rFonts w:hint="eastAsia" w:ascii="仿宋" w:hAnsi="仿宋" w:eastAsia="仿宋"/>
                <w:sz w:val="28"/>
                <w:szCs w:val="28"/>
              </w:rPr>
              <w:t>空调加湿罐</w:t>
            </w:r>
          </w:p>
        </w:tc>
        <w:tc>
          <w:tcPr>
            <w:tcW w:w="2835" w:type="dxa"/>
            <w:vAlign w:val="center"/>
          </w:tcPr>
          <w:p w14:paraId="0C85B4B7">
            <w:pPr>
              <w:spacing w:after="120"/>
              <w:jc w:val="center"/>
              <w:rPr>
                <w:rFonts w:ascii="仿宋" w:hAnsi="仿宋" w:eastAsia="仿宋" w:cs="仿宋_GB2312"/>
                <w:color w:val="000000"/>
                <w:sz w:val="28"/>
                <w:szCs w:val="28"/>
              </w:rPr>
            </w:pPr>
            <w:r>
              <w:rPr>
                <w:rFonts w:hint="eastAsia" w:ascii="仿宋" w:hAnsi="仿宋" w:eastAsia="仿宋"/>
                <w:sz w:val="28"/>
                <w:szCs w:val="28"/>
              </w:rPr>
              <w:t>佳力图8KG</w:t>
            </w:r>
          </w:p>
        </w:tc>
        <w:tc>
          <w:tcPr>
            <w:tcW w:w="1408" w:type="dxa"/>
            <w:vAlign w:val="center"/>
          </w:tcPr>
          <w:p w14:paraId="00729319">
            <w:pPr>
              <w:spacing w:after="120"/>
              <w:jc w:val="center"/>
              <w:rPr>
                <w:rFonts w:ascii="仿宋" w:hAnsi="仿宋" w:eastAsia="仿宋" w:cs="仿宋_GB2312"/>
                <w:sz w:val="28"/>
                <w:szCs w:val="28"/>
              </w:rPr>
            </w:pPr>
            <w:r>
              <w:rPr>
                <w:rFonts w:hint="eastAsia" w:ascii="仿宋" w:hAnsi="仿宋" w:eastAsia="仿宋"/>
                <w:sz w:val="28"/>
                <w:szCs w:val="28"/>
              </w:rPr>
              <w:t>1个</w:t>
            </w:r>
          </w:p>
        </w:tc>
      </w:tr>
      <w:tr w14:paraId="11C3F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7B849726">
            <w:pPr>
              <w:spacing w:after="120"/>
              <w:jc w:val="center"/>
              <w:rPr>
                <w:rFonts w:ascii="仿宋" w:hAnsi="仿宋" w:eastAsia="仿宋"/>
                <w:sz w:val="28"/>
                <w:szCs w:val="28"/>
              </w:rPr>
            </w:pPr>
            <w:r>
              <w:rPr>
                <w:rFonts w:hint="eastAsia" w:ascii="仿宋" w:hAnsi="仿宋" w:eastAsia="仿宋"/>
                <w:sz w:val="28"/>
                <w:szCs w:val="28"/>
              </w:rPr>
              <w:t>5</w:t>
            </w:r>
          </w:p>
        </w:tc>
        <w:tc>
          <w:tcPr>
            <w:tcW w:w="2618" w:type="dxa"/>
            <w:vAlign w:val="center"/>
          </w:tcPr>
          <w:p w14:paraId="28A78BCF">
            <w:pPr>
              <w:spacing w:after="120"/>
              <w:jc w:val="center"/>
              <w:rPr>
                <w:rFonts w:ascii="仿宋" w:hAnsi="仿宋" w:eastAsia="仿宋"/>
                <w:sz w:val="28"/>
                <w:szCs w:val="28"/>
              </w:rPr>
            </w:pPr>
            <w:r>
              <w:rPr>
                <w:rFonts w:hint="eastAsia" w:ascii="仿宋" w:hAnsi="仿宋" w:eastAsia="仿宋"/>
                <w:sz w:val="28"/>
                <w:szCs w:val="28"/>
              </w:rPr>
              <w:t>空调压缩机</w:t>
            </w:r>
          </w:p>
        </w:tc>
        <w:tc>
          <w:tcPr>
            <w:tcW w:w="2835" w:type="dxa"/>
            <w:vAlign w:val="center"/>
          </w:tcPr>
          <w:p w14:paraId="3EAB598B">
            <w:pPr>
              <w:spacing w:after="120"/>
              <w:jc w:val="center"/>
              <w:rPr>
                <w:rFonts w:ascii="仿宋" w:hAnsi="仿宋" w:eastAsia="仿宋"/>
                <w:sz w:val="28"/>
                <w:szCs w:val="28"/>
              </w:rPr>
            </w:pPr>
            <w:r>
              <w:rPr>
                <w:rFonts w:hint="eastAsia" w:ascii="仿宋" w:hAnsi="仿宋" w:eastAsia="仿宋"/>
                <w:sz w:val="28"/>
                <w:szCs w:val="28"/>
              </w:rPr>
              <w:t>ZR61KC-TFD-522</w:t>
            </w:r>
          </w:p>
        </w:tc>
        <w:tc>
          <w:tcPr>
            <w:tcW w:w="1408" w:type="dxa"/>
            <w:vAlign w:val="center"/>
          </w:tcPr>
          <w:p w14:paraId="4E96FF10">
            <w:pPr>
              <w:spacing w:after="120"/>
              <w:jc w:val="center"/>
              <w:rPr>
                <w:rFonts w:ascii="仿宋" w:hAnsi="仿宋" w:eastAsia="仿宋"/>
                <w:sz w:val="28"/>
                <w:szCs w:val="28"/>
              </w:rPr>
            </w:pPr>
            <w:r>
              <w:rPr>
                <w:rFonts w:hint="eastAsia" w:ascii="仿宋" w:hAnsi="仿宋" w:eastAsia="仿宋"/>
                <w:sz w:val="28"/>
                <w:szCs w:val="28"/>
              </w:rPr>
              <w:t>1台</w:t>
            </w:r>
          </w:p>
        </w:tc>
      </w:tr>
      <w:tr w14:paraId="67577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255915A2">
            <w:pPr>
              <w:spacing w:after="120"/>
              <w:jc w:val="center"/>
              <w:rPr>
                <w:rFonts w:ascii="仿宋" w:hAnsi="仿宋" w:eastAsia="仿宋" w:cs="仿宋_GB2312"/>
                <w:sz w:val="28"/>
                <w:szCs w:val="28"/>
              </w:rPr>
            </w:pPr>
            <w:r>
              <w:rPr>
                <w:rFonts w:hint="eastAsia" w:ascii="仿宋" w:hAnsi="仿宋" w:eastAsia="仿宋"/>
                <w:sz w:val="28"/>
                <w:szCs w:val="28"/>
              </w:rPr>
              <w:t>6</w:t>
            </w:r>
          </w:p>
        </w:tc>
        <w:tc>
          <w:tcPr>
            <w:tcW w:w="2618" w:type="dxa"/>
            <w:vAlign w:val="center"/>
          </w:tcPr>
          <w:p w14:paraId="659FA0B8">
            <w:pPr>
              <w:spacing w:after="120"/>
              <w:jc w:val="center"/>
              <w:rPr>
                <w:rFonts w:ascii="仿宋" w:hAnsi="仿宋" w:eastAsia="仿宋" w:cs="仿宋_GB2312"/>
                <w:color w:val="000000"/>
                <w:sz w:val="28"/>
                <w:szCs w:val="28"/>
              </w:rPr>
            </w:pPr>
            <w:r>
              <w:rPr>
                <w:rFonts w:hint="eastAsia" w:ascii="仿宋" w:hAnsi="仿宋" w:eastAsia="仿宋"/>
                <w:sz w:val="28"/>
                <w:szCs w:val="28"/>
              </w:rPr>
              <w:t>空调主控制器</w:t>
            </w:r>
          </w:p>
        </w:tc>
        <w:tc>
          <w:tcPr>
            <w:tcW w:w="2835" w:type="dxa"/>
            <w:vAlign w:val="center"/>
          </w:tcPr>
          <w:p w14:paraId="37E5ADE0">
            <w:pPr>
              <w:spacing w:after="120"/>
              <w:jc w:val="center"/>
              <w:rPr>
                <w:rFonts w:ascii="仿宋" w:hAnsi="仿宋" w:eastAsia="仿宋" w:cs="仿宋_GB2312"/>
                <w:color w:val="000000"/>
                <w:sz w:val="28"/>
                <w:szCs w:val="28"/>
              </w:rPr>
            </w:pPr>
            <w:r>
              <w:rPr>
                <w:rFonts w:hint="eastAsia" w:ascii="仿宋" w:hAnsi="仿宋" w:eastAsia="仿宋"/>
                <w:sz w:val="28"/>
                <w:szCs w:val="28"/>
              </w:rPr>
              <w:t>雷诺威/原厂主控器</w:t>
            </w:r>
          </w:p>
        </w:tc>
        <w:tc>
          <w:tcPr>
            <w:tcW w:w="1408" w:type="dxa"/>
            <w:vAlign w:val="center"/>
          </w:tcPr>
          <w:p w14:paraId="014C4DF5">
            <w:pPr>
              <w:spacing w:after="120"/>
              <w:jc w:val="center"/>
              <w:rPr>
                <w:rFonts w:ascii="仿宋" w:hAnsi="仿宋" w:eastAsia="仿宋" w:cs="仿宋_GB2312"/>
                <w:sz w:val="28"/>
                <w:szCs w:val="28"/>
              </w:rPr>
            </w:pPr>
            <w:r>
              <w:rPr>
                <w:rFonts w:hint="eastAsia" w:ascii="仿宋" w:hAnsi="仿宋" w:eastAsia="仿宋"/>
                <w:sz w:val="28"/>
                <w:szCs w:val="28"/>
              </w:rPr>
              <w:t>1个</w:t>
            </w:r>
          </w:p>
        </w:tc>
      </w:tr>
      <w:tr w14:paraId="0170A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20DD7CD9">
            <w:pPr>
              <w:spacing w:after="120"/>
              <w:jc w:val="center"/>
              <w:rPr>
                <w:rFonts w:ascii="仿宋" w:hAnsi="仿宋" w:eastAsia="仿宋" w:cs="仿宋_GB2312"/>
                <w:sz w:val="28"/>
                <w:szCs w:val="28"/>
              </w:rPr>
            </w:pPr>
            <w:r>
              <w:rPr>
                <w:rFonts w:hint="eastAsia" w:ascii="仿宋" w:hAnsi="仿宋" w:eastAsia="仿宋"/>
                <w:sz w:val="28"/>
                <w:szCs w:val="28"/>
              </w:rPr>
              <w:t>7</w:t>
            </w:r>
          </w:p>
        </w:tc>
        <w:tc>
          <w:tcPr>
            <w:tcW w:w="2618" w:type="dxa"/>
            <w:vAlign w:val="center"/>
          </w:tcPr>
          <w:p w14:paraId="6C0B4E7F">
            <w:pPr>
              <w:spacing w:after="120"/>
              <w:jc w:val="center"/>
              <w:rPr>
                <w:rFonts w:ascii="仿宋" w:hAnsi="仿宋" w:eastAsia="仿宋"/>
                <w:sz w:val="28"/>
                <w:szCs w:val="28"/>
              </w:rPr>
            </w:pPr>
            <w:r>
              <w:rPr>
                <w:rFonts w:hint="eastAsia" w:ascii="仿宋" w:hAnsi="仿宋" w:eastAsia="仿宋"/>
                <w:sz w:val="28"/>
                <w:szCs w:val="28"/>
              </w:rPr>
              <w:t>空调显示操作器</w:t>
            </w:r>
          </w:p>
        </w:tc>
        <w:tc>
          <w:tcPr>
            <w:tcW w:w="2835" w:type="dxa"/>
            <w:vAlign w:val="center"/>
          </w:tcPr>
          <w:p w14:paraId="08CF4AC9">
            <w:pPr>
              <w:spacing w:after="120"/>
              <w:jc w:val="center"/>
              <w:rPr>
                <w:rFonts w:ascii="仿宋" w:hAnsi="仿宋" w:eastAsia="仿宋" w:cs="仿宋_GB2312"/>
                <w:color w:val="000000"/>
                <w:sz w:val="28"/>
                <w:szCs w:val="28"/>
              </w:rPr>
            </w:pPr>
            <w:r>
              <w:rPr>
                <w:rFonts w:hint="eastAsia" w:ascii="仿宋" w:hAnsi="仿宋" w:eastAsia="仿宋"/>
                <w:sz w:val="28"/>
                <w:szCs w:val="28"/>
              </w:rPr>
              <w:t>雷诺威/LED屏</w:t>
            </w:r>
          </w:p>
        </w:tc>
        <w:tc>
          <w:tcPr>
            <w:tcW w:w="1408" w:type="dxa"/>
            <w:vAlign w:val="center"/>
          </w:tcPr>
          <w:p w14:paraId="1374C32F">
            <w:pPr>
              <w:spacing w:after="120"/>
              <w:jc w:val="center"/>
              <w:rPr>
                <w:rFonts w:ascii="仿宋" w:hAnsi="仿宋" w:eastAsia="仿宋" w:cs="仿宋_GB2312"/>
                <w:sz w:val="28"/>
                <w:szCs w:val="28"/>
              </w:rPr>
            </w:pPr>
            <w:r>
              <w:rPr>
                <w:rFonts w:hint="eastAsia" w:ascii="仿宋" w:hAnsi="仿宋" w:eastAsia="仿宋"/>
                <w:sz w:val="28"/>
                <w:szCs w:val="28"/>
              </w:rPr>
              <w:t>1个</w:t>
            </w:r>
          </w:p>
        </w:tc>
      </w:tr>
      <w:tr w14:paraId="02D34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jc w:val="center"/>
        </w:trPr>
        <w:tc>
          <w:tcPr>
            <w:tcW w:w="975" w:type="dxa"/>
            <w:vAlign w:val="center"/>
          </w:tcPr>
          <w:p w14:paraId="59621A28">
            <w:pPr>
              <w:spacing w:after="120"/>
              <w:jc w:val="center"/>
              <w:rPr>
                <w:rFonts w:ascii="仿宋" w:hAnsi="仿宋" w:eastAsia="仿宋"/>
                <w:sz w:val="28"/>
                <w:szCs w:val="28"/>
              </w:rPr>
            </w:pPr>
            <w:r>
              <w:rPr>
                <w:rFonts w:hint="eastAsia" w:ascii="仿宋" w:hAnsi="仿宋" w:eastAsia="仿宋"/>
                <w:sz w:val="28"/>
                <w:szCs w:val="28"/>
              </w:rPr>
              <w:t>8</w:t>
            </w:r>
          </w:p>
        </w:tc>
        <w:tc>
          <w:tcPr>
            <w:tcW w:w="2618" w:type="dxa"/>
            <w:vAlign w:val="center"/>
          </w:tcPr>
          <w:p w14:paraId="239261D3">
            <w:pPr>
              <w:spacing w:after="120"/>
              <w:jc w:val="center"/>
              <w:rPr>
                <w:rFonts w:ascii="仿宋" w:hAnsi="仿宋" w:eastAsia="仿宋"/>
                <w:sz w:val="28"/>
                <w:szCs w:val="28"/>
              </w:rPr>
            </w:pPr>
            <w:r>
              <w:rPr>
                <w:rFonts w:hint="eastAsia" w:ascii="仿宋" w:hAnsi="仿宋" w:eastAsia="仿宋" w:cs="宋体"/>
                <w:color w:val="000000"/>
                <w:sz w:val="28"/>
                <w:szCs w:val="28"/>
              </w:rPr>
              <w:t>空调温/湿度传感器</w:t>
            </w:r>
          </w:p>
        </w:tc>
        <w:tc>
          <w:tcPr>
            <w:tcW w:w="2835" w:type="dxa"/>
            <w:vAlign w:val="center"/>
          </w:tcPr>
          <w:p w14:paraId="41BFB32B">
            <w:pPr>
              <w:spacing w:after="120"/>
              <w:jc w:val="center"/>
              <w:rPr>
                <w:rFonts w:ascii="仿宋" w:hAnsi="仿宋" w:eastAsia="仿宋"/>
                <w:sz w:val="28"/>
                <w:szCs w:val="28"/>
              </w:rPr>
            </w:pPr>
            <w:r>
              <w:rPr>
                <w:rFonts w:hint="eastAsia" w:ascii="仿宋" w:hAnsi="仿宋" w:eastAsia="仿宋" w:cs="宋体"/>
                <w:color w:val="000000"/>
                <w:sz w:val="28"/>
                <w:szCs w:val="28"/>
              </w:rPr>
              <w:t>雷诺威/原厂配件</w:t>
            </w:r>
          </w:p>
        </w:tc>
        <w:tc>
          <w:tcPr>
            <w:tcW w:w="1408" w:type="dxa"/>
            <w:vAlign w:val="center"/>
          </w:tcPr>
          <w:p w14:paraId="72495874">
            <w:pPr>
              <w:spacing w:after="120"/>
              <w:jc w:val="center"/>
              <w:rPr>
                <w:rFonts w:ascii="仿宋" w:hAnsi="仿宋" w:eastAsia="仿宋"/>
                <w:sz w:val="28"/>
                <w:szCs w:val="28"/>
              </w:rPr>
            </w:pPr>
            <w:r>
              <w:rPr>
                <w:rFonts w:hint="eastAsia" w:ascii="仿宋" w:hAnsi="仿宋" w:eastAsia="仿宋" w:cs="宋体"/>
                <w:sz w:val="28"/>
                <w:szCs w:val="28"/>
              </w:rPr>
              <w:t>1个</w:t>
            </w:r>
          </w:p>
        </w:tc>
      </w:tr>
    </w:tbl>
    <w:p w14:paraId="733AB5D4">
      <w:pPr>
        <w:pStyle w:val="37"/>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AC5135"/>
    <w:multiLevelType w:val="multilevel"/>
    <w:tmpl w:val="01AC513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
    <w:nsid w:val="1A0E43EA"/>
    <w:multiLevelType w:val="multilevel"/>
    <w:tmpl w:val="1A0E43E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2DD90F40"/>
    <w:multiLevelType w:val="multilevel"/>
    <w:tmpl w:val="2DD90F40"/>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2F9C253E"/>
    <w:multiLevelType w:val="multilevel"/>
    <w:tmpl w:val="2F9C253E"/>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3A5D3AC3"/>
    <w:multiLevelType w:val="multilevel"/>
    <w:tmpl w:val="3A5D3AC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42B258F4"/>
    <w:multiLevelType w:val="multilevel"/>
    <w:tmpl w:val="42B258F4"/>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
    <w:nsid w:val="49C42653"/>
    <w:multiLevelType w:val="multilevel"/>
    <w:tmpl w:val="49C4265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7">
    <w:nsid w:val="49EF0800"/>
    <w:multiLevelType w:val="multilevel"/>
    <w:tmpl w:val="49EF0800"/>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8">
    <w:nsid w:val="5E3F6FBA"/>
    <w:multiLevelType w:val="multilevel"/>
    <w:tmpl w:val="5E3F6FB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9">
    <w:nsid w:val="63186C05"/>
    <w:multiLevelType w:val="multilevel"/>
    <w:tmpl w:val="63186C0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71B86F15"/>
    <w:multiLevelType w:val="multilevel"/>
    <w:tmpl w:val="71B86F1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0"/>
  </w:num>
  <w:num w:numId="2">
    <w:abstractNumId w:val="5"/>
  </w:num>
  <w:num w:numId="3">
    <w:abstractNumId w:val="8"/>
  </w:num>
  <w:num w:numId="4">
    <w:abstractNumId w:val="3"/>
  </w:num>
  <w:num w:numId="5">
    <w:abstractNumId w:val="9"/>
  </w:num>
  <w:num w:numId="6">
    <w:abstractNumId w:val="2"/>
  </w:num>
  <w:num w:numId="7">
    <w:abstractNumId w:val="1"/>
  </w:num>
  <w:num w:numId="8">
    <w:abstractNumId w:val="6"/>
  </w:num>
  <w:num w:numId="9">
    <w:abstractNumId w:val="0"/>
  </w:num>
  <w:num w:numId="10">
    <w:abstractNumId w:val="4"/>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334"/>
    <w:rsid w:val="0002274E"/>
    <w:rsid w:val="0003355D"/>
    <w:rsid w:val="00036633"/>
    <w:rsid w:val="000540CE"/>
    <w:rsid w:val="000C1261"/>
    <w:rsid w:val="00113D62"/>
    <w:rsid w:val="00123713"/>
    <w:rsid w:val="00142ABE"/>
    <w:rsid w:val="00150889"/>
    <w:rsid w:val="00175A19"/>
    <w:rsid w:val="00183E16"/>
    <w:rsid w:val="00235B97"/>
    <w:rsid w:val="00285191"/>
    <w:rsid w:val="00292934"/>
    <w:rsid w:val="002C461F"/>
    <w:rsid w:val="002F6D17"/>
    <w:rsid w:val="003402D2"/>
    <w:rsid w:val="003A782A"/>
    <w:rsid w:val="003F5C5E"/>
    <w:rsid w:val="00411C82"/>
    <w:rsid w:val="0042457A"/>
    <w:rsid w:val="00426882"/>
    <w:rsid w:val="0044240F"/>
    <w:rsid w:val="00471418"/>
    <w:rsid w:val="00481CC7"/>
    <w:rsid w:val="004B1997"/>
    <w:rsid w:val="00557512"/>
    <w:rsid w:val="005802DC"/>
    <w:rsid w:val="005F6FD3"/>
    <w:rsid w:val="00626103"/>
    <w:rsid w:val="00687FD4"/>
    <w:rsid w:val="006B04D2"/>
    <w:rsid w:val="00741A69"/>
    <w:rsid w:val="00760E6F"/>
    <w:rsid w:val="00796E9D"/>
    <w:rsid w:val="00817732"/>
    <w:rsid w:val="008364F4"/>
    <w:rsid w:val="00840B26"/>
    <w:rsid w:val="0087484A"/>
    <w:rsid w:val="008B1A1B"/>
    <w:rsid w:val="00913580"/>
    <w:rsid w:val="00921041"/>
    <w:rsid w:val="00925FBA"/>
    <w:rsid w:val="00953736"/>
    <w:rsid w:val="009E19A6"/>
    <w:rsid w:val="009E67BA"/>
    <w:rsid w:val="00A00D32"/>
    <w:rsid w:val="00A80975"/>
    <w:rsid w:val="00AB693F"/>
    <w:rsid w:val="00AE7193"/>
    <w:rsid w:val="00AF5654"/>
    <w:rsid w:val="00B353B4"/>
    <w:rsid w:val="00B575EF"/>
    <w:rsid w:val="00BD4505"/>
    <w:rsid w:val="00BE6925"/>
    <w:rsid w:val="00C14ADC"/>
    <w:rsid w:val="00C54A32"/>
    <w:rsid w:val="00C748F3"/>
    <w:rsid w:val="00C75CC6"/>
    <w:rsid w:val="00CA6438"/>
    <w:rsid w:val="00CA6600"/>
    <w:rsid w:val="00CC652B"/>
    <w:rsid w:val="00CD76A2"/>
    <w:rsid w:val="00CE4D17"/>
    <w:rsid w:val="00D54F90"/>
    <w:rsid w:val="00D6318F"/>
    <w:rsid w:val="00D666E3"/>
    <w:rsid w:val="00DF3334"/>
    <w:rsid w:val="00E1684E"/>
    <w:rsid w:val="00E52E24"/>
    <w:rsid w:val="00F03951"/>
    <w:rsid w:val="00F45587"/>
    <w:rsid w:val="00F7085B"/>
    <w:rsid w:val="07C918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heme="minorHAnsi" w:hAnsiTheme="minorHAnsi" w:eastAsiaTheme="minorEastAsia" w:cstheme="minorBidi"/>
      <w:kern w:val="2"/>
      <w:sz w:val="21"/>
      <w:szCs w:val="22"/>
      <w:lang w:val="en-US" w:eastAsia="zh-CN" w:bidi="ar-SA"/>
      <w14:ligatures w14:val="none"/>
    </w:rPr>
  </w:style>
  <w:style w:type="paragraph" w:styleId="2">
    <w:name w:val="heading 1"/>
    <w:basedOn w:val="1"/>
    <w:next w:val="1"/>
    <w:link w:val="17"/>
    <w:qFormat/>
    <w:uiPriority w:val="0"/>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8"/>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19"/>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0"/>
    <w:semiHidden/>
    <w:unhideWhenUsed/>
    <w:qFormat/>
    <w:uiPriority w:val="9"/>
    <w:pPr>
      <w:keepNext/>
      <w:keepLines/>
      <w:spacing w:before="80" w:after="40" w:line="278" w:lineRule="auto"/>
      <w:jc w:val="left"/>
      <w:outlineLvl w:val="3"/>
    </w:pPr>
    <w:rPr>
      <w:rFonts w:cstheme="majorBidi"/>
      <w:color w:val="104862" w:themeColor="accent1" w:themeShade="BF"/>
      <w:sz w:val="28"/>
      <w:szCs w:val="28"/>
      <w14:ligatures w14:val="standardContextual"/>
    </w:rPr>
  </w:style>
  <w:style w:type="paragraph" w:styleId="6">
    <w:name w:val="heading 5"/>
    <w:basedOn w:val="1"/>
    <w:next w:val="1"/>
    <w:link w:val="21"/>
    <w:semiHidden/>
    <w:unhideWhenUsed/>
    <w:qFormat/>
    <w:uiPriority w:val="9"/>
    <w:pPr>
      <w:keepNext/>
      <w:keepLines/>
      <w:spacing w:before="80" w:after="40" w:line="278" w:lineRule="auto"/>
      <w:jc w:val="left"/>
      <w:outlineLvl w:val="4"/>
    </w:pPr>
    <w:rPr>
      <w:rFonts w:cstheme="majorBidi"/>
      <w:color w:val="104862" w:themeColor="accent1" w:themeShade="BF"/>
      <w:sz w:val="24"/>
      <w:szCs w:val="24"/>
      <w14:ligatures w14:val="standardContextual"/>
    </w:rPr>
  </w:style>
  <w:style w:type="paragraph" w:styleId="7">
    <w:name w:val="heading 6"/>
    <w:basedOn w:val="1"/>
    <w:next w:val="1"/>
    <w:link w:val="22"/>
    <w:semiHidden/>
    <w:unhideWhenUsed/>
    <w:qFormat/>
    <w:uiPriority w:val="9"/>
    <w:pPr>
      <w:keepNext/>
      <w:keepLines/>
      <w:spacing w:before="40" w:line="278" w:lineRule="auto"/>
      <w:jc w:val="left"/>
      <w:outlineLvl w:val="5"/>
    </w:pPr>
    <w:rPr>
      <w:rFonts w:cstheme="majorBidi"/>
      <w:b/>
      <w:bCs/>
      <w:color w:val="104862" w:themeColor="accent1" w:themeShade="BF"/>
      <w:sz w:val="22"/>
      <w:szCs w:val="24"/>
      <w14:ligatures w14:val="standardContextual"/>
    </w:rPr>
  </w:style>
  <w:style w:type="paragraph" w:styleId="8">
    <w:name w:val="heading 7"/>
    <w:basedOn w:val="1"/>
    <w:next w:val="1"/>
    <w:link w:val="23"/>
    <w:semiHidden/>
    <w:unhideWhenUsed/>
    <w:qFormat/>
    <w:uiPriority w:val="9"/>
    <w:pPr>
      <w:keepNext/>
      <w:keepLines/>
      <w:spacing w:before="40" w:line="278" w:lineRule="auto"/>
      <w:jc w:val="left"/>
      <w:outlineLvl w:val="6"/>
    </w:pPr>
    <w:rPr>
      <w:rFonts w:cstheme="majorBidi"/>
      <w:b/>
      <w:bCs/>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9">
    <w:name w:val="heading 8"/>
    <w:basedOn w:val="1"/>
    <w:next w:val="1"/>
    <w:link w:val="24"/>
    <w:semiHidden/>
    <w:unhideWhenUsed/>
    <w:qFormat/>
    <w:uiPriority w:val="9"/>
    <w:pPr>
      <w:keepNext/>
      <w:keepLines/>
      <w:spacing w:line="278" w:lineRule="auto"/>
      <w:jc w:val="left"/>
      <w:outlineLvl w:val="7"/>
    </w:pPr>
    <w:rPr>
      <w:rFonts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paragraph" w:styleId="10">
    <w:name w:val="heading 9"/>
    <w:basedOn w:val="1"/>
    <w:next w:val="1"/>
    <w:link w:val="25"/>
    <w:semiHidden/>
    <w:unhideWhenUsed/>
    <w:qFormat/>
    <w:uiPriority w:val="9"/>
    <w:pPr>
      <w:keepNext/>
      <w:keepLines/>
      <w:spacing w:line="278" w:lineRule="auto"/>
      <w:jc w:val="left"/>
      <w:outlineLvl w:val="8"/>
    </w:pPr>
    <w:rPr>
      <w:rFonts w:eastAsiaTheme="majorEastAsia" w:cstheme="majorBidi"/>
      <w:color w:val="595959" w:themeColor="text1" w:themeTint="A6"/>
      <w:sz w:val="22"/>
      <w:szCs w:val="24"/>
      <w14:textFill>
        <w14:solidFill>
          <w14:schemeClr w14:val="tx1">
            <w14:lumMod w14:val="65000"/>
            <w14:lumOff w14:val="35000"/>
          </w14:schemeClr>
        </w14:solidFill>
      </w14:textFill>
      <w14:ligatures w14:val="standardContextual"/>
    </w:rPr>
  </w:style>
  <w:style w:type="character" w:default="1" w:styleId="16">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1">
    <w:name w:val="footer"/>
    <w:basedOn w:val="1"/>
    <w:link w:val="36"/>
    <w:unhideWhenUsed/>
    <w:uiPriority w:val="99"/>
    <w:pPr>
      <w:tabs>
        <w:tab w:val="center" w:pos="4153"/>
        <w:tab w:val="right" w:pos="8306"/>
      </w:tabs>
      <w:snapToGrid w:val="0"/>
    </w:pPr>
    <w:rPr>
      <w:sz w:val="18"/>
      <w:szCs w:val="18"/>
    </w:rPr>
  </w:style>
  <w:style w:type="paragraph" w:styleId="12">
    <w:name w:val="header"/>
    <w:basedOn w:val="1"/>
    <w:link w:val="35"/>
    <w:unhideWhenUsed/>
    <w:uiPriority w:val="99"/>
    <w:pPr>
      <w:tabs>
        <w:tab w:val="center" w:pos="4153"/>
        <w:tab w:val="right" w:pos="8306"/>
      </w:tabs>
      <w:snapToGrid w:val="0"/>
      <w:spacing w:after="160"/>
      <w:jc w:val="center"/>
    </w:pPr>
    <w:rPr>
      <w:sz w:val="18"/>
      <w:szCs w:val="18"/>
      <w14:ligatures w14:val="standardContextual"/>
    </w:rPr>
  </w:style>
  <w:style w:type="paragraph" w:styleId="13">
    <w:name w:val="Subtitle"/>
    <w:basedOn w:val="1"/>
    <w:next w:val="1"/>
    <w:link w:val="27"/>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7">
    <w:name w:val="标题 1 字符"/>
    <w:basedOn w:val="16"/>
    <w:link w:val="2"/>
    <w:uiPriority w:val="0"/>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uiPriority w:val="9"/>
    <w:rPr>
      <w:rFonts w:cstheme="majorBidi"/>
      <w:color w:val="104862" w:themeColor="accent1" w:themeShade="BF"/>
      <w:sz w:val="28"/>
      <w:szCs w:val="28"/>
    </w:rPr>
  </w:style>
  <w:style w:type="character" w:customStyle="1" w:styleId="21">
    <w:name w:val="标题 5 字符"/>
    <w:basedOn w:val="16"/>
    <w:link w:val="6"/>
    <w:semiHidden/>
    <w:uiPriority w:val="9"/>
    <w:rPr>
      <w:rFonts w:cstheme="majorBidi"/>
      <w:color w:val="104862" w:themeColor="accent1" w:themeShade="BF"/>
      <w:sz w:val="24"/>
    </w:rPr>
  </w:style>
  <w:style w:type="character" w:customStyle="1" w:styleId="22">
    <w:name w:val="标题 6 字符"/>
    <w:basedOn w:val="16"/>
    <w:link w:val="7"/>
    <w:semiHidden/>
    <w:uiPriority w:val="9"/>
    <w:rPr>
      <w:rFonts w:cstheme="majorBidi"/>
      <w:b/>
      <w:bCs/>
      <w:color w:val="104862" w:themeColor="accent1" w:themeShade="BF"/>
    </w:rPr>
  </w:style>
  <w:style w:type="character" w:customStyle="1" w:styleId="23">
    <w:name w:val="标题 7 字符"/>
    <w:basedOn w:val="16"/>
    <w:link w:val="8"/>
    <w:semiHidden/>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line="278" w:lineRule="auto"/>
      <w:jc w:val="center"/>
    </w:pPr>
    <w:rPr>
      <w:i/>
      <w:iCs/>
      <w:color w:val="404040" w:themeColor="text1" w:themeTint="BF"/>
      <w:sz w:val="22"/>
      <w:szCs w:val="24"/>
      <w14:textFill>
        <w14:solidFill>
          <w14:schemeClr w14:val="tx1">
            <w14:lumMod w14:val="75000"/>
            <w14:lumOff w14:val="25000"/>
          </w14:schemeClr>
        </w14:solidFill>
      </w14:textFill>
      <w14:ligatures w14:val="standardContextual"/>
    </w:rPr>
  </w:style>
  <w:style w:type="character" w:customStyle="1" w:styleId="29">
    <w:name w:val="引用 字符"/>
    <w:basedOn w:val="16"/>
    <w:link w:val="28"/>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link w:val="41"/>
    <w:qFormat/>
    <w:uiPriority w:val="34"/>
    <w:pPr>
      <w:spacing w:after="160" w:line="278" w:lineRule="auto"/>
      <w:ind w:left="720"/>
      <w:contextualSpacing/>
      <w:jc w:val="left"/>
    </w:pPr>
    <w:rPr>
      <w:sz w:val="22"/>
      <w:szCs w:val="24"/>
      <w14:ligatures w14:val="standardContextual"/>
    </w:r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i/>
      <w:iCs/>
      <w:color w:val="104862" w:themeColor="accent1" w:themeShade="BF"/>
      <w:sz w:val="22"/>
      <w:szCs w:val="24"/>
      <w14:ligatures w14:val="standardContextual"/>
    </w:rPr>
  </w:style>
  <w:style w:type="character" w:customStyle="1" w:styleId="33">
    <w:name w:val="明显引用 字符"/>
    <w:basedOn w:val="16"/>
    <w:link w:val="32"/>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眉 字符"/>
    <w:basedOn w:val="16"/>
    <w:link w:val="12"/>
    <w:uiPriority w:val="99"/>
    <w:rPr>
      <w:sz w:val="18"/>
      <w:szCs w:val="18"/>
    </w:rPr>
  </w:style>
  <w:style w:type="character" w:customStyle="1" w:styleId="36">
    <w:name w:val="页脚 字符"/>
    <w:basedOn w:val="16"/>
    <w:link w:val="11"/>
    <w:uiPriority w:val="99"/>
    <w:rPr>
      <w:sz w:val="18"/>
      <w:szCs w:val="18"/>
    </w:rPr>
  </w:style>
  <w:style w:type="paragraph" w:customStyle="1" w:styleId="37">
    <w:name w:val="snm_正文"/>
    <w:basedOn w:val="1"/>
    <w:link w:val="38"/>
    <w:autoRedefine/>
    <w:qFormat/>
    <w:uiPriority w:val="0"/>
    <w:pPr>
      <w:spacing w:line="360" w:lineRule="auto"/>
      <w:ind w:firstLine="560" w:firstLineChars="200"/>
    </w:pPr>
    <w:rPr>
      <w:rFonts w:ascii="仿宋" w:hAnsi="仿宋" w:eastAsia="仿宋" w:cs="宋体"/>
      <w:sz w:val="28"/>
      <w:szCs w:val="28"/>
    </w:rPr>
  </w:style>
  <w:style w:type="character" w:customStyle="1" w:styleId="38">
    <w:name w:val="snm_正文 Char"/>
    <w:link w:val="37"/>
    <w:autoRedefine/>
    <w:qFormat/>
    <w:uiPriority w:val="0"/>
    <w:rPr>
      <w:rFonts w:ascii="仿宋" w:hAnsi="仿宋" w:eastAsia="仿宋" w:cs="宋体"/>
      <w:sz w:val="28"/>
      <w:szCs w:val="28"/>
      <w14:ligatures w14:val="none"/>
    </w:rPr>
  </w:style>
  <w:style w:type="character" w:customStyle="1" w:styleId="39">
    <w:name w:val="无间隔 字符"/>
    <w:link w:val="40"/>
    <w:qFormat/>
    <w:uiPriority w:val="1"/>
    <w:rPr>
      <w:rFonts w:ascii="Times New Roman" w:hAnsi="Times New Roman" w:eastAsia="宋体" w:cs="Times New Roman"/>
      <w:sz w:val="21"/>
      <w:szCs w:val="21"/>
    </w:rPr>
  </w:style>
  <w:style w:type="paragraph" w:styleId="40">
    <w:name w:val="No Spacing"/>
    <w:link w:val="39"/>
    <w:qFormat/>
    <w:uiPriority w:val="1"/>
    <w:pPr>
      <w:widowControl w:val="0"/>
      <w:adjustRightInd w:val="0"/>
      <w:snapToGrid w:val="0"/>
      <w:spacing w:after="0" w:line="360" w:lineRule="auto"/>
    </w:pPr>
    <w:rPr>
      <w:rFonts w:ascii="Times New Roman" w:hAnsi="Times New Roman" w:eastAsia="宋体" w:cs="Times New Roman"/>
      <w:kern w:val="2"/>
      <w:sz w:val="21"/>
      <w:szCs w:val="21"/>
      <w:lang w:val="en-US" w:eastAsia="zh-CN" w:bidi="ar-SA"/>
      <w14:ligatures w14:val="standardContextual"/>
    </w:rPr>
  </w:style>
  <w:style w:type="character" w:customStyle="1" w:styleId="41">
    <w:name w:val="列表段落 字符"/>
    <w:link w:val="30"/>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15524-2BD7-4251-84A3-FBF1E470F272}">
  <ds:schemaRefs/>
</ds:datastoreItem>
</file>

<file path=docProps/app.xml><?xml version="1.0" encoding="utf-8"?>
<Properties xmlns="http://schemas.openxmlformats.org/officeDocument/2006/extended-properties" xmlns:vt="http://schemas.openxmlformats.org/officeDocument/2006/docPropsVTypes">
  <Template>Normal.dotm</Template>
  <Pages>7</Pages>
  <Words>4455</Words>
  <Characters>4974</Characters>
  <Lines>38</Lines>
  <Paragraphs>10</Paragraphs>
  <TotalTime>7</TotalTime>
  <ScaleCrop>false</ScaleCrop>
  <LinksUpToDate>false</LinksUpToDate>
  <CharactersWithSpaces>5007</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2026-01-28T03:36:00Z</dcterms:created>
  <dc:creator>e94121</dc:creator>
  <cp:lastModifiedBy>gc</cp:lastModifiedBy>
  <dcterms:modified xsi:type="dcterms:W3CDTF">2026-05-08T12:02:27Z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eyJoZGlkIjoiNzg5M2RhNDE3ZjYzZmU1MTk2Yzc0ZjQ5NWVkMGNjNmUiLCJ1c2VySWQiOiI2MjU5ODg1NTIifQ==</vt:lpwstr>
  </property>
  <property fmtid="{D5CDD505-2E9C-101B-9397-08002B2CF9AE}" pid="3" name="KSOProductBuildVer">
    <vt:lpwstr>2052-12.1.0.22525</vt:lpwstr>
  </property>
  <property fmtid="{D5CDD505-2E9C-101B-9397-08002B2CF9AE}" pid="4" name="ICV">
    <vt:lpwstr>349F472B59F54531AFAE656902388DFE_12</vt:lpwstr>
  </property>
</Properties>
</file>