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1110">
      <w:pPr>
        <w:widowControl/>
        <w:spacing w:before="100" w:after="100"/>
        <w:jc w:val="center"/>
        <w:rPr>
          <w:rFonts w:hint="eastAsia" w:ascii="宋体" w:hAnsi="宋体" w:eastAsia="宋体" w:cs="宋体"/>
          <w:b/>
          <w:kern w:val="2"/>
          <w:sz w:val="44"/>
          <w:szCs w:val="44"/>
          <w:highlight w:val="none"/>
        </w:rPr>
      </w:pPr>
      <w:r>
        <w:rPr>
          <w:rFonts w:hint="eastAsia" w:ascii="宋体" w:hAnsi="宋体" w:eastAsia="宋体" w:cs="宋体"/>
          <w:b/>
          <w:kern w:val="2"/>
          <w:sz w:val="44"/>
          <w:szCs w:val="44"/>
          <w:highlight w:val="none"/>
        </w:rPr>
        <w:t>信息容灾机房租赁（2026年）项目需求书</w:t>
      </w:r>
    </w:p>
    <w:p w14:paraId="39F591D9">
      <w:pPr>
        <w:widowControl/>
        <w:spacing w:before="100" w:after="100"/>
        <w:jc w:val="center"/>
        <w:rPr>
          <w:rFonts w:hint="eastAsia" w:ascii="宋体" w:hAnsi="宋体" w:eastAsia="宋体" w:cs="宋体"/>
          <w:b/>
          <w:kern w:val="2"/>
          <w:sz w:val="44"/>
          <w:szCs w:val="44"/>
          <w:highlight w:val="none"/>
        </w:rPr>
      </w:pPr>
      <w:bookmarkStart w:id="0" w:name="_GoBack"/>
      <w:bookmarkEnd w:id="0"/>
    </w:p>
    <w:p w14:paraId="377AE47C">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项目名称</w:t>
      </w:r>
    </w:p>
    <w:p w14:paraId="07E3CE5D">
      <w:pPr>
        <w:spacing w:line="360" w:lineRule="auto"/>
        <w:ind w:left="432"/>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项目名称：信息容灾机房租赁（2026年）</w:t>
      </w:r>
    </w:p>
    <w:p w14:paraId="6B30122D">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项目背景</w:t>
      </w:r>
    </w:p>
    <w:p w14:paraId="350AF9E6">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因院内机房空间不足、资源紧张，目前通过租用运营商机房及硬件，完成HIS、LIS系统（涵盖门诊挂号、缴费、开药、取药等核心医疗业务）的异地容灾建设。现为进一步提升核心业务系统可靠性、缓解机房资源压力，拟继续采购容灾资源与服务，建设核心业务系统容灾。</w:t>
      </w:r>
    </w:p>
    <w:p w14:paraId="58F802DE">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本项目不限定技术路线，供应商可采用物理机房租赁、云灾备服务、混合模式等方式，但须以保障医院核心业务连续性为目标，满足本需求书全部业务能力、RTO/RPO、安全合规要求。</w:t>
      </w:r>
    </w:p>
    <w:p w14:paraId="1702F205">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本项目以“核心业务真实可切换”为最终验收导向。供应商提供的容灾环境须为生产级可运行环境，须在验收阶段完成核心业务真实切换验证，并以挂号、缴费、开药、取药等核心业务功能实际可用、数据一致性校验通过作为通过标准。本项目所称“异地容灾”，指与生产中心物理分离的第二机房（容灾中心），物理直线距离不少于10公里（见5.1）；可位于同一城市，亦可位于异地（跨城市）机房。</w:t>
      </w:r>
    </w:p>
    <w:p w14:paraId="73472D0B">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服务清单</w:t>
      </w:r>
    </w:p>
    <w:tbl>
      <w:tblPr>
        <w:tblStyle w:val="19"/>
        <w:tblW w:w="9351" w:type="dxa"/>
        <w:jc w:val="center"/>
        <w:tblLayout w:type="autofit"/>
        <w:tblCellMar>
          <w:top w:w="0" w:type="dxa"/>
          <w:left w:w="108" w:type="dxa"/>
          <w:bottom w:w="0" w:type="dxa"/>
          <w:right w:w="108" w:type="dxa"/>
        </w:tblCellMar>
      </w:tblPr>
      <w:tblGrid>
        <w:gridCol w:w="931"/>
        <w:gridCol w:w="2109"/>
        <w:gridCol w:w="3793"/>
        <w:gridCol w:w="1259"/>
        <w:gridCol w:w="1259"/>
      </w:tblGrid>
      <w:tr w14:paraId="47351C94">
        <w:tblPrEx>
          <w:tblCellMar>
            <w:top w:w="0" w:type="dxa"/>
            <w:left w:w="108" w:type="dxa"/>
            <w:bottom w:w="0" w:type="dxa"/>
            <w:right w:w="108" w:type="dxa"/>
          </w:tblCellMar>
        </w:tblPrEx>
        <w:trPr>
          <w:trHeight w:val="36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2FBCB2B7">
            <w:pPr>
              <w:widowControl/>
              <w:spacing w:after="160"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vAlign w:val="center"/>
          </w:tcPr>
          <w:p w14:paraId="431F4718">
            <w:pPr>
              <w:widowControl/>
              <w:spacing w:after="160"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分项</w:t>
            </w:r>
          </w:p>
        </w:tc>
        <w:tc>
          <w:tcPr>
            <w:tcW w:w="3793" w:type="dxa"/>
            <w:tcBorders>
              <w:top w:val="single" w:color="auto" w:sz="4" w:space="0"/>
              <w:left w:val="nil"/>
              <w:bottom w:val="single" w:color="auto" w:sz="4" w:space="0"/>
              <w:right w:val="single" w:color="auto" w:sz="4" w:space="0"/>
            </w:tcBorders>
            <w:vAlign w:val="center"/>
          </w:tcPr>
          <w:p w14:paraId="0F6CA25B">
            <w:pPr>
              <w:widowControl/>
              <w:spacing w:after="160"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配置描述</w:t>
            </w:r>
          </w:p>
        </w:tc>
        <w:tc>
          <w:tcPr>
            <w:tcW w:w="1259" w:type="dxa"/>
            <w:tcBorders>
              <w:top w:val="single" w:color="auto" w:sz="4" w:space="0"/>
              <w:left w:val="nil"/>
              <w:bottom w:val="single" w:color="auto" w:sz="4" w:space="0"/>
              <w:right w:val="single" w:color="auto" w:sz="4" w:space="0"/>
            </w:tcBorders>
            <w:vAlign w:val="center"/>
          </w:tcPr>
          <w:p w14:paraId="174B5958">
            <w:pPr>
              <w:widowControl/>
              <w:spacing w:after="160"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数量</w:t>
            </w:r>
          </w:p>
        </w:tc>
        <w:tc>
          <w:tcPr>
            <w:tcW w:w="1259" w:type="dxa"/>
            <w:tcBorders>
              <w:top w:val="single" w:color="auto" w:sz="4" w:space="0"/>
              <w:left w:val="nil"/>
              <w:bottom w:val="single" w:color="auto" w:sz="4" w:space="0"/>
              <w:right w:val="single" w:color="auto" w:sz="4" w:space="0"/>
            </w:tcBorders>
            <w:vAlign w:val="center"/>
          </w:tcPr>
          <w:p w14:paraId="497BBEBA">
            <w:pPr>
              <w:widowControl/>
              <w:spacing w:after="160"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租用期</w:t>
            </w:r>
          </w:p>
        </w:tc>
      </w:tr>
      <w:tr w14:paraId="6BC6A433">
        <w:tblPrEx>
          <w:tblCellMar>
            <w:top w:w="0" w:type="dxa"/>
            <w:left w:w="108" w:type="dxa"/>
            <w:bottom w:w="0" w:type="dxa"/>
            <w:right w:w="108" w:type="dxa"/>
          </w:tblCellMar>
        </w:tblPrEx>
        <w:trPr>
          <w:trHeight w:val="36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1E740E26">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w:t>
            </w:r>
          </w:p>
        </w:tc>
        <w:tc>
          <w:tcPr>
            <w:tcW w:w="2109" w:type="dxa"/>
            <w:tcBorders>
              <w:top w:val="single" w:color="auto" w:sz="4" w:space="0"/>
              <w:left w:val="single" w:color="auto" w:sz="4" w:space="0"/>
              <w:bottom w:val="single" w:color="auto" w:sz="4" w:space="0"/>
              <w:right w:val="single" w:color="auto" w:sz="4" w:space="0"/>
            </w:tcBorders>
            <w:vAlign w:val="center"/>
          </w:tcPr>
          <w:p w14:paraId="596ADDB4">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容灾系统</w:t>
            </w:r>
          </w:p>
        </w:tc>
        <w:tc>
          <w:tcPr>
            <w:tcW w:w="3793" w:type="dxa"/>
            <w:tcBorders>
              <w:top w:val="single" w:color="auto" w:sz="4" w:space="0"/>
              <w:left w:val="nil"/>
              <w:bottom w:val="single" w:color="auto" w:sz="4" w:space="0"/>
              <w:right w:val="single" w:color="auto" w:sz="4" w:space="0"/>
            </w:tcBorders>
            <w:vAlign w:val="center"/>
          </w:tcPr>
          <w:p w14:paraId="7B9FACC5">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详见4.1</w:t>
            </w:r>
          </w:p>
        </w:tc>
        <w:tc>
          <w:tcPr>
            <w:tcW w:w="1259" w:type="dxa"/>
            <w:tcBorders>
              <w:top w:val="single" w:color="auto" w:sz="4" w:space="0"/>
              <w:left w:val="nil"/>
              <w:bottom w:val="single" w:color="auto" w:sz="4" w:space="0"/>
              <w:right w:val="single" w:color="auto" w:sz="4" w:space="0"/>
            </w:tcBorders>
            <w:vAlign w:val="center"/>
          </w:tcPr>
          <w:p w14:paraId="784AA374">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1套</w:t>
            </w:r>
          </w:p>
        </w:tc>
        <w:tc>
          <w:tcPr>
            <w:tcW w:w="1259" w:type="dxa"/>
            <w:tcBorders>
              <w:top w:val="single" w:color="auto" w:sz="4" w:space="0"/>
              <w:left w:val="nil"/>
              <w:bottom w:val="single" w:color="auto" w:sz="4" w:space="0"/>
              <w:right w:val="single" w:color="auto" w:sz="4" w:space="0"/>
            </w:tcBorders>
            <w:vAlign w:val="center"/>
          </w:tcPr>
          <w:p w14:paraId="0849D37D">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1年</w:t>
            </w:r>
          </w:p>
        </w:tc>
      </w:tr>
      <w:tr w14:paraId="6B981BB6">
        <w:tblPrEx>
          <w:tblCellMar>
            <w:top w:w="0" w:type="dxa"/>
            <w:left w:w="108" w:type="dxa"/>
            <w:bottom w:w="0" w:type="dxa"/>
            <w:right w:w="108" w:type="dxa"/>
          </w:tblCellMar>
        </w:tblPrEx>
        <w:trPr>
          <w:trHeight w:val="360" w:hRule="atLeast"/>
          <w:jc w:val="center"/>
        </w:trPr>
        <w:tc>
          <w:tcPr>
            <w:tcW w:w="931" w:type="dxa"/>
            <w:tcBorders>
              <w:top w:val="single" w:color="auto" w:sz="4" w:space="0"/>
              <w:left w:val="single" w:color="auto" w:sz="4" w:space="0"/>
              <w:bottom w:val="single" w:color="auto" w:sz="4" w:space="0"/>
              <w:right w:val="single" w:color="auto" w:sz="4" w:space="0"/>
            </w:tcBorders>
            <w:vAlign w:val="center"/>
          </w:tcPr>
          <w:p w14:paraId="1865AEFF">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2</w:t>
            </w:r>
          </w:p>
        </w:tc>
        <w:tc>
          <w:tcPr>
            <w:tcW w:w="2109" w:type="dxa"/>
            <w:tcBorders>
              <w:top w:val="single" w:color="auto" w:sz="4" w:space="0"/>
              <w:left w:val="single" w:color="auto" w:sz="4" w:space="0"/>
              <w:bottom w:val="single" w:color="auto" w:sz="4" w:space="0"/>
              <w:right w:val="single" w:color="auto" w:sz="4" w:space="0"/>
            </w:tcBorders>
            <w:vAlign w:val="center"/>
          </w:tcPr>
          <w:p w14:paraId="5ACF6B97">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光纤线路</w:t>
            </w:r>
          </w:p>
        </w:tc>
        <w:tc>
          <w:tcPr>
            <w:tcW w:w="3793" w:type="dxa"/>
            <w:tcBorders>
              <w:top w:val="single" w:color="auto" w:sz="4" w:space="0"/>
              <w:left w:val="nil"/>
              <w:bottom w:val="single" w:color="auto" w:sz="4" w:space="0"/>
              <w:right w:val="single" w:color="auto" w:sz="4" w:space="0"/>
            </w:tcBorders>
            <w:vAlign w:val="center"/>
          </w:tcPr>
          <w:p w14:paraId="0E6F7853">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详见4.2</w:t>
            </w:r>
          </w:p>
        </w:tc>
        <w:tc>
          <w:tcPr>
            <w:tcW w:w="1259" w:type="dxa"/>
            <w:tcBorders>
              <w:top w:val="single" w:color="auto" w:sz="4" w:space="0"/>
              <w:left w:val="nil"/>
              <w:bottom w:val="single" w:color="auto" w:sz="4" w:space="0"/>
              <w:right w:val="single" w:color="auto" w:sz="4" w:space="0"/>
            </w:tcBorders>
            <w:vAlign w:val="center"/>
          </w:tcPr>
          <w:p w14:paraId="2CB60486">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1条</w:t>
            </w:r>
          </w:p>
        </w:tc>
        <w:tc>
          <w:tcPr>
            <w:tcW w:w="1259" w:type="dxa"/>
            <w:tcBorders>
              <w:top w:val="single" w:color="auto" w:sz="4" w:space="0"/>
              <w:left w:val="nil"/>
              <w:bottom w:val="single" w:color="auto" w:sz="4" w:space="0"/>
              <w:right w:val="single" w:color="auto" w:sz="4" w:space="0"/>
            </w:tcBorders>
            <w:vAlign w:val="center"/>
          </w:tcPr>
          <w:p w14:paraId="57A91475">
            <w:pPr>
              <w:widowControl/>
              <w:spacing w:after="160"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1年</w:t>
            </w:r>
          </w:p>
        </w:tc>
      </w:tr>
    </w:tbl>
    <w:p w14:paraId="3B52B90D">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详细配置参数</w:t>
      </w:r>
    </w:p>
    <w:p w14:paraId="2CDCD831">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4.1 容灾系统</w:t>
      </w:r>
    </w:p>
    <w:p w14:paraId="49EDB201">
      <w:pPr>
        <w:pStyle w:val="15"/>
        <w:keepNext w:val="0"/>
        <w:keepLines w:val="0"/>
        <w:widowControl/>
        <w:suppressLineNumbers w:val="0"/>
        <w:shd w:val="clear" w:fill="FFFFFF"/>
        <w:spacing w:before="192" w:after="192" w:line="360" w:lineRule="auto"/>
        <w:ind w:firstLine="480" w:firstLineChars="200"/>
        <w:jc w:val="both"/>
        <w:rPr>
          <w:rFonts w:ascii="宋体" w:hAnsi="宋体" w:eastAsia="宋体" w:cs="宋体"/>
          <w:kern w:val="2"/>
          <w:sz w:val="24"/>
          <w:szCs w:val="24"/>
          <w:highlight w:val="none"/>
        </w:rPr>
      </w:pPr>
      <w:r>
        <w:rPr>
          <w:rFonts w:hint="default" w:ascii="宋体" w:hAnsi="宋体" w:eastAsia="宋体" w:cs="宋体"/>
          <w:kern w:val="2"/>
          <w:sz w:val="24"/>
          <w:szCs w:val="24"/>
          <w:highlight w:val="none"/>
        </w:rPr>
        <w:t>提供满足纳入容灾范围的核心业务系统运行所需的软硬件容灾环境。当业务系统架构发生变化时，容灾环境需做同步调整。本项目不指定具体品牌、型号、技术路线，供应商可采用物理机、云主机、超融合、裸金属、混合云等方式，但须满足以下业务能力要求。</w:t>
      </w:r>
    </w:p>
    <w:p w14:paraId="13687010">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真正切换”判定口径：真正切换是指生产中心发生故障或经院方授权后，容灾中心能够在约定RTO内独立承载纳入容灾范围的核心业务，完成数据库读写切换、应用启动、网络流量切换、安全策略生效及依赖系统联通，并通过挂号、缴费、开药、取药等真实业务功能验证和数据一致性校验。不满足本节（2-1）真实切换能力要求所列禁止情形的，不视为满足真正切换要求；禁止情形见（2-1）第9条，本处不重复列举。</w:t>
      </w:r>
    </w:p>
    <w:p w14:paraId="0BEF2F0D">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容灾环境须为生产级可运行环境，不是仅数据备份环境。容灾端应具备独立承载核心业务运行所需的计算、存储、网络、安全、数据库、中间件、应用及依赖系统能力。供应商须提交《生产与容灾资源映射表》，逐项说明生产核心业务与容灾资源的规格、数量、容量、性能及版本对应关系。容灾资源容量须满足核心业务高峰时段运行需求，并预留不低于30%扩展空间；扩展空间以生产环境最近3个月监控峰值为基数，按vCPU（虚拟处理器）、内存、存储容量、数据库授权许可（License）、并发连接数、带宽各项分别计算，并须在《生产与容灾资源映射表》中逐项列明生产峰值、容灾配置量与余量百分比。</w:t>
      </w:r>
    </w:p>
    <w:p w14:paraId="0C65D8ED">
      <w:pPr>
        <w:pStyle w:val="15"/>
        <w:keepNext w:val="0"/>
        <w:keepLines w:val="0"/>
        <w:widowControl/>
        <w:suppressLineNumbers w:val="0"/>
        <w:shd w:val="clear" w:fill="FFFFFF"/>
        <w:spacing w:before="192" w:after="192"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rPr>
        <w:t>容灾系统设备/资源清单包括但不限于：</w:t>
      </w:r>
    </w:p>
    <w:tbl>
      <w:tblPr>
        <w:tblStyle w:val="19"/>
        <w:tblW w:w="8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1283"/>
        <w:gridCol w:w="4714"/>
        <w:gridCol w:w="814"/>
        <w:gridCol w:w="814"/>
      </w:tblGrid>
      <w:tr w14:paraId="481F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blHeader/>
          <w:jc w:val="center"/>
        </w:trPr>
        <w:tc>
          <w:tcPr>
            <w:tcW w:w="814" w:type="dxa"/>
            <w:vAlign w:val="center"/>
          </w:tcPr>
          <w:p w14:paraId="41862768">
            <w:pPr>
              <w:snapToGrid w:val="0"/>
              <w:spacing w:line="360" w:lineRule="auto"/>
              <w:jc w:val="center"/>
              <w:rPr>
                <w:rFonts w:ascii="宋体" w:hAnsi="宋体" w:eastAsia="宋体" w:cs="宋体"/>
                <w:b/>
                <w:kern w:val="2"/>
                <w:sz w:val="24"/>
                <w:szCs w:val="24"/>
                <w:highlight w:val="none"/>
              </w:rPr>
            </w:pPr>
            <w:r>
              <w:rPr>
                <w:rFonts w:ascii="宋体" w:hAnsi="宋体" w:eastAsia="宋体" w:cs="宋体"/>
                <w:b/>
                <w:kern w:val="2"/>
                <w:sz w:val="24"/>
                <w:szCs w:val="24"/>
                <w:highlight w:val="none"/>
              </w:rPr>
              <w:t>序号</w:t>
            </w:r>
          </w:p>
        </w:tc>
        <w:tc>
          <w:tcPr>
            <w:tcW w:w="1283" w:type="dxa"/>
            <w:vAlign w:val="center"/>
          </w:tcPr>
          <w:p w14:paraId="32BCD722">
            <w:pPr>
              <w:snapToGrid w:val="0"/>
              <w:spacing w:line="360" w:lineRule="auto"/>
              <w:jc w:val="center"/>
              <w:rPr>
                <w:rFonts w:ascii="宋体" w:hAnsi="宋体" w:eastAsia="宋体" w:cs="宋体"/>
                <w:b/>
                <w:kern w:val="2"/>
                <w:sz w:val="24"/>
                <w:szCs w:val="24"/>
                <w:highlight w:val="none"/>
              </w:rPr>
            </w:pPr>
            <w:r>
              <w:rPr>
                <w:rFonts w:ascii="宋体" w:hAnsi="宋体" w:eastAsia="宋体" w:cs="宋体"/>
                <w:b/>
                <w:kern w:val="2"/>
                <w:sz w:val="24"/>
                <w:szCs w:val="24"/>
                <w:highlight w:val="none"/>
              </w:rPr>
              <w:t>归属</w:t>
            </w:r>
          </w:p>
        </w:tc>
        <w:tc>
          <w:tcPr>
            <w:tcW w:w="4714" w:type="dxa"/>
            <w:vAlign w:val="center"/>
          </w:tcPr>
          <w:p w14:paraId="19C82427">
            <w:pPr>
              <w:snapToGrid w:val="0"/>
              <w:spacing w:line="360" w:lineRule="auto"/>
              <w:jc w:val="center"/>
              <w:rPr>
                <w:rFonts w:ascii="宋体" w:hAnsi="宋体" w:eastAsia="宋体" w:cs="宋体"/>
                <w:b/>
                <w:kern w:val="2"/>
                <w:sz w:val="24"/>
                <w:szCs w:val="24"/>
                <w:highlight w:val="none"/>
              </w:rPr>
            </w:pPr>
            <w:r>
              <w:rPr>
                <w:rFonts w:ascii="宋体" w:hAnsi="宋体" w:eastAsia="宋体" w:cs="宋体"/>
                <w:b/>
                <w:kern w:val="2"/>
                <w:sz w:val="24"/>
                <w:szCs w:val="24"/>
                <w:highlight w:val="none"/>
              </w:rPr>
              <w:t>配置要求</w:t>
            </w:r>
          </w:p>
        </w:tc>
        <w:tc>
          <w:tcPr>
            <w:tcW w:w="814" w:type="dxa"/>
            <w:vAlign w:val="center"/>
          </w:tcPr>
          <w:p w14:paraId="1284B01D">
            <w:pPr>
              <w:snapToGrid w:val="0"/>
              <w:spacing w:line="360" w:lineRule="auto"/>
              <w:jc w:val="center"/>
              <w:rPr>
                <w:rFonts w:ascii="宋体" w:hAnsi="宋体" w:eastAsia="宋体" w:cs="宋体"/>
                <w:b/>
                <w:kern w:val="2"/>
                <w:sz w:val="24"/>
                <w:szCs w:val="24"/>
                <w:highlight w:val="none"/>
              </w:rPr>
            </w:pPr>
            <w:r>
              <w:rPr>
                <w:rFonts w:ascii="宋体" w:hAnsi="宋体" w:eastAsia="宋体" w:cs="宋体"/>
                <w:b/>
                <w:kern w:val="2"/>
                <w:sz w:val="24"/>
                <w:szCs w:val="24"/>
                <w:highlight w:val="none"/>
              </w:rPr>
              <w:t>数量</w:t>
            </w:r>
          </w:p>
        </w:tc>
        <w:tc>
          <w:tcPr>
            <w:tcW w:w="814" w:type="dxa"/>
            <w:vAlign w:val="center"/>
          </w:tcPr>
          <w:p w14:paraId="4C307264">
            <w:pPr>
              <w:snapToGrid w:val="0"/>
              <w:spacing w:line="360" w:lineRule="auto"/>
              <w:jc w:val="center"/>
              <w:rPr>
                <w:rFonts w:ascii="宋体" w:hAnsi="宋体" w:eastAsia="宋体" w:cs="宋体"/>
                <w:b/>
                <w:kern w:val="2"/>
                <w:sz w:val="24"/>
                <w:szCs w:val="24"/>
                <w:highlight w:val="none"/>
              </w:rPr>
            </w:pPr>
            <w:r>
              <w:rPr>
                <w:rFonts w:ascii="宋体" w:hAnsi="宋体" w:eastAsia="宋体" w:cs="宋体"/>
                <w:b/>
                <w:kern w:val="2"/>
                <w:sz w:val="24"/>
                <w:szCs w:val="24"/>
                <w:highlight w:val="none"/>
              </w:rPr>
              <w:t>单位</w:t>
            </w:r>
          </w:p>
        </w:tc>
      </w:tr>
      <w:tr w14:paraId="72288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12DDC91A">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1283" w:type="dxa"/>
            <w:vAlign w:val="center"/>
          </w:tcPr>
          <w:p w14:paraId="563A8D43">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计算资源</w:t>
            </w:r>
          </w:p>
        </w:tc>
        <w:tc>
          <w:tcPr>
            <w:tcW w:w="4714" w:type="dxa"/>
            <w:vAlign w:val="center"/>
          </w:tcPr>
          <w:p w14:paraId="06C3DF1C">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满足核心业务容灾所需计算资源；支持物理服务器、云主机、超融合节点等形式；支持主流虚拟化平台及国产化平台；资源可用性不低于99.99%；支持弹性扩展，预留不低于30%扩展空间；供应商须列明CPU、内存、节点数量等具体规格</w:t>
            </w:r>
          </w:p>
        </w:tc>
        <w:tc>
          <w:tcPr>
            <w:tcW w:w="814" w:type="dxa"/>
            <w:vAlign w:val="center"/>
          </w:tcPr>
          <w:p w14:paraId="36A3A329">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0E75DFE0">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套</w:t>
            </w:r>
          </w:p>
        </w:tc>
      </w:tr>
      <w:tr w14:paraId="73031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48B3C4CF">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2</w:t>
            </w:r>
          </w:p>
        </w:tc>
        <w:tc>
          <w:tcPr>
            <w:tcW w:w="1283" w:type="dxa"/>
            <w:vAlign w:val="center"/>
          </w:tcPr>
          <w:p w14:paraId="66E9B865">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存储资源</w:t>
            </w:r>
          </w:p>
        </w:tc>
        <w:tc>
          <w:tcPr>
            <w:tcW w:w="4714" w:type="dxa"/>
            <w:vAlign w:val="center"/>
          </w:tcPr>
          <w:p w14:paraId="51153C9A">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提供块存储、文件存储、对象存储等能力；支持快照、副本、分层QoS（服务质量）、条带化等策略；数据持久性不低于99.9999999%；支持在线扩容，业务零中断；裸容量、IOPS（每秒输入输出次数）、吞吐量须满足业务系统容灾需求，并与院方现有存储扩容配件、容灾环境平滑对接；供应商须列明具体容量与性能指标</w:t>
            </w:r>
          </w:p>
        </w:tc>
        <w:tc>
          <w:tcPr>
            <w:tcW w:w="814" w:type="dxa"/>
            <w:vAlign w:val="center"/>
          </w:tcPr>
          <w:p w14:paraId="653262B9">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752FD9A5">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套</w:t>
            </w:r>
          </w:p>
        </w:tc>
      </w:tr>
      <w:tr w14:paraId="73A4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3567C3E4">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3</w:t>
            </w:r>
          </w:p>
        </w:tc>
        <w:tc>
          <w:tcPr>
            <w:tcW w:w="1283" w:type="dxa"/>
            <w:vAlign w:val="center"/>
          </w:tcPr>
          <w:p w14:paraId="6F733ADD">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网络资源</w:t>
            </w:r>
          </w:p>
        </w:tc>
        <w:tc>
          <w:tcPr>
            <w:tcW w:w="4714" w:type="dxa"/>
            <w:vAlign w:val="center"/>
          </w:tcPr>
          <w:p w14:paraId="1EB1F4D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支持万兆/千兆接入，核心网络设备冗余，无单点故障；支持VLAN（虚拟局域网）、ACL（访问控制列表）、QoS（服务质量）、链路聚合、VXLAN（虚拟扩展局域网）等能力；支持与院方现有网络、安全设备、负载均衡设备对接；电源、风扇、主控冗余，支持热插拔</w:t>
            </w:r>
          </w:p>
        </w:tc>
        <w:tc>
          <w:tcPr>
            <w:tcW w:w="814" w:type="dxa"/>
            <w:vAlign w:val="center"/>
          </w:tcPr>
          <w:p w14:paraId="4D224FAD">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3C1CB6E8">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套</w:t>
            </w:r>
          </w:p>
        </w:tc>
      </w:tr>
      <w:tr w14:paraId="1873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1AED49CF">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4</w:t>
            </w:r>
          </w:p>
        </w:tc>
        <w:tc>
          <w:tcPr>
            <w:tcW w:w="1283" w:type="dxa"/>
            <w:vAlign w:val="center"/>
          </w:tcPr>
          <w:p w14:paraId="1FF11A68">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容灾平台</w:t>
            </w:r>
          </w:p>
        </w:tc>
        <w:tc>
          <w:tcPr>
            <w:tcW w:w="4714" w:type="dxa"/>
            <w:vAlign w:val="center"/>
          </w:tcPr>
          <w:p w14:paraId="69404C0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支持连续数据保护（CDP）、同步/异步数据复制、应用一致性快照、容灾切换与回切、容灾演练管理、全局监控告警及可视化报表审计；兼容主流虚拟化平台及物理服务器；支持主流数据库应用级容灾</w:t>
            </w:r>
          </w:p>
        </w:tc>
        <w:tc>
          <w:tcPr>
            <w:tcW w:w="814" w:type="dxa"/>
            <w:vAlign w:val="center"/>
          </w:tcPr>
          <w:p w14:paraId="5B59F573">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7D68B2B8">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项</w:t>
            </w:r>
          </w:p>
        </w:tc>
      </w:tr>
      <w:tr w14:paraId="197A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0BD39153">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5</w:t>
            </w:r>
          </w:p>
        </w:tc>
        <w:tc>
          <w:tcPr>
            <w:tcW w:w="1283" w:type="dxa"/>
            <w:vAlign w:val="center"/>
          </w:tcPr>
          <w:p w14:paraId="6291AEBB">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安全防护</w:t>
            </w:r>
          </w:p>
        </w:tc>
        <w:tc>
          <w:tcPr>
            <w:tcW w:w="4714" w:type="dxa"/>
            <w:vAlign w:val="center"/>
          </w:tcPr>
          <w:p w14:paraId="7A27268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满足容灾网络安全、防护及管理需求，含防火墙及相关配套；满足等保2.0三级要求；支持主机入侵检测、异常进程监控、勒索病毒防护、安全基线核查、漏洞扫描、病毒查杀、文件完整性保护；运维操作通过堡垒机执行，日志留存不少于180天</w:t>
            </w:r>
          </w:p>
        </w:tc>
        <w:tc>
          <w:tcPr>
            <w:tcW w:w="814" w:type="dxa"/>
            <w:vAlign w:val="center"/>
          </w:tcPr>
          <w:p w14:paraId="32CF122F">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5A88135D">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项</w:t>
            </w:r>
          </w:p>
        </w:tc>
      </w:tr>
      <w:tr w14:paraId="4E34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jc w:val="center"/>
        </w:trPr>
        <w:tc>
          <w:tcPr>
            <w:tcW w:w="814" w:type="dxa"/>
            <w:vAlign w:val="center"/>
          </w:tcPr>
          <w:p w14:paraId="0A20EEAE">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6</w:t>
            </w:r>
          </w:p>
        </w:tc>
        <w:tc>
          <w:tcPr>
            <w:tcW w:w="1283" w:type="dxa"/>
            <w:vAlign w:val="center"/>
          </w:tcPr>
          <w:p w14:paraId="15AD19C8">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容灾管理软件授权</w:t>
            </w:r>
          </w:p>
        </w:tc>
        <w:tc>
          <w:tcPr>
            <w:tcW w:w="4714" w:type="dxa"/>
            <w:vAlign w:val="center"/>
          </w:tcPr>
          <w:p w14:paraId="6B17030B">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包含容灾授权，授权范围覆盖本项目全部计算、存储、管理资源；支持一键接管、一键回切、演练管理、监控告警；授权范围须覆盖切换编排能力，支持以单一编排任务完成数据库主备切换、应用启动、流量切换、安全策略生效及业务验证（详见本节（2-1）第3条）</w:t>
            </w:r>
          </w:p>
        </w:tc>
        <w:tc>
          <w:tcPr>
            <w:tcW w:w="814" w:type="dxa"/>
            <w:vAlign w:val="center"/>
          </w:tcPr>
          <w:p w14:paraId="688739D0">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w:t>
            </w:r>
          </w:p>
        </w:tc>
        <w:tc>
          <w:tcPr>
            <w:tcW w:w="814" w:type="dxa"/>
            <w:vAlign w:val="center"/>
          </w:tcPr>
          <w:p w14:paraId="614656A6">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项</w:t>
            </w:r>
          </w:p>
        </w:tc>
      </w:tr>
    </w:tbl>
    <w:p w14:paraId="24403CC5">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（1）RPO/RTO指标要求</w:t>
      </w:r>
    </w:p>
    <w:p w14:paraId="51306D3F">
      <w:pPr>
        <w:keepNext/>
        <w:keepLines/>
        <w:widowControl w:val="0"/>
        <w:spacing w:before="260" w:after="260" w:line="360" w:lineRule="auto"/>
        <w:ind w:firstLine="480" w:firstLineChars="200"/>
        <w:jc w:val="both"/>
        <w:outlineLvl w:val="1"/>
        <w:rPr>
          <w:rFonts w:hint="eastAsia" w:ascii="宋体" w:hAnsi="宋体" w:eastAsia="宋体" w:cs="宋体"/>
          <w:b/>
          <w:bCs/>
          <w:kern w:val="2"/>
          <w:sz w:val="24"/>
          <w:szCs w:val="24"/>
          <w:highlight w:val="none"/>
          <w:lang w:val="en-US" w:eastAsia="zh-CN" w:bidi="ar-SA"/>
        </w:rPr>
      </w:pPr>
      <w:r>
        <w:rPr>
          <w:rFonts w:ascii="宋体" w:hAnsi="宋体" w:eastAsia="宋体" w:cs="宋体"/>
          <w:kern w:val="2"/>
          <w:sz w:val="24"/>
          <w:szCs w:val="24"/>
          <w:highlight w:val="none"/>
        </w:rPr>
        <w:t>按业务分级设置：</w:t>
      </w:r>
    </w:p>
    <w:tbl>
      <w:tblPr>
        <w:tblStyle w:val="19"/>
        <w:tblW w:w="8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6"/>
        <w:gridCol w:w="3500"/>
        <w:gridCol w:w="3448"/>
      </w:tblGrid>
      <w:tr w14:paraId="0AEC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B845269">
            <w:pPr>
              <w:widowControl/>
              <w:suppressLineNumbers w:val="0"/>
              <w:snapToGrid w:val="0"/>
              <w:spacing w:line="360" w:lineRule="auto"/>
              <w:jc w:val="center"/>
              <w:rPr>
                <w:rFonts w:ascii="宋体" w:hAnsi="宋体" w:eastAsia="宋体" w:cs="宋体"/>
                <w:b/>
                <w:bCs/>
                <w:kern w:val="2"/>
                <w:sz w:val="24"/>
                <w:szCs w:val="24"/>
                <w:highlight w:val="none"/>
              </w:rPr>
            </w:pPr>
            <w:r>
              <w:rPr>
                <w:rFonts w:hint="default" w:ascii="宋体" w:hAnsi="宋体" w:eastAsia="宋体" w:cs="宋体"/>
                <w:b/>
                <w:bCs/>
                <w:kern w:val="2"/>
                <w:sz w:val="24"/>
                <w:szCs w:val="24"/>
                <w:highlight w:val="none"/>
                <w:lang w:val="en-US" w:eastAsia="zh-CN" w:bidi="ar"/>
              </w:rPr>
              <w:t>业务级别</w:t>
            </w:r>
          </w:p>
        </w:tc>
        <w:tc>
          <w:tcPr>
            <w:tcW w:w="0" w:type="auto"/>
            <w:vAlign w:val="center"/>
          </w:tcPr>
          <w:p w14:paraId="559447BB">
            <w:pPr>
              <w:widowControl/>
              <w:suppressLineNumbers w:val="0"/>
              <w:snapToGrid w:val="0"/>
              <w:spacing w:line="360" w:lineRule="auto"/>
              <w:jc w:val="center"/>
              <w:rPr>
                <w:rFonts w:ascii="宋体" w:hAnsi="宋体" w:eastAsia="宋体" w:cs="宋体"/>
                <w:b/>
                <w:bCs/>
                <w:kern w:val="2"/>
                <w:sz w:val="24"/>
                <w:szCs w:val="24"/>
                <w:highlight w:val="none"/>
              </w:rPr>
            </w:pPr>
            <w:r>
              <w:rPr>
                <w:rFonts w:hint="default" w:ascii="宋体" w:hAnsi="宋体" w:eastAsia="宋体" w:cs="宋体"/>
                <w:b/>
                <w:bCs/>
                <w:kern w:val="2"/>
                <w:sz w:val="24"/>
                <w:szCs w:val="24"/>
                <w:highlight w:val="none"/>
                <w:lang w:val="en-US" w:eastAsia="zh-CN" w:bidi="ar"/>
              </w:rPr>
              <w:t>RTO</w:t>
            </w:r>
          </w:p>
        </w:tc>
        <w:tc>
          <w:tcPr>
            <w:tcW w:w="3448" w:type="dxa"/>
            <w:vAlign w:val="center"/>
          </w:tcPr>
          <w:p w14:paraId="7C8BF847">
            <w:pPr>
              <w:widowControl/>
              <w:suppressLineNumbers w:val="0"/>
              <w:snapToGrid w:val="0"/>
              <w:spacing w:line="360" w:lineRule="auto"/>
              <w:jc w:val="center"/>
              <w:rPr>
                <w:rFonts w:ascii="宋体" w:hAnsi="宋体" w:eastAsia="宋体" w:cs="宋体"/>
                <w:b/>
                <w:bCs/>
                <w:kern w:val="2"/>
                <w:sz w:val="24"/>
                <w:szCs w:val="24"/>
                <w:highlight w:val="none"/>
              </w:rPr>
            </w:pPr>
            <w:r>
              <w:rPr>
                <w:rFonts w:hint="default" w:ascii="宋体" w:hAnsi="宋体" w:eastAsia="宋体" w:cs="宋体"/>
                <w:b/>
                <w:bCs/>
                <w:kern w:val="2"/>
                <w:sz w:val="24"/>
                <w:szCs w:val="24"/>
                <w:highlight w:val="none"/>
                <w:lang w:val="en-US" w:eastAsia="zh-CN" w:bidi="ar"/>
              </w:rPr>
              <w:t>RPO</w:t>
            </w:r>
          </w:p>
        </w:tc>
      </w:tr>
      <w:tr w14:paraId="7A19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11F5E0D">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核心业务</w:t>
            </w:r>
          </w:p>
        </w:tc>
        <w:tc>
          <w:tcPr>
            <w:tcW w:w="0" w:type="auto"/>
            <w:vAlign w:val="center"/>
          </w:tcPr>
          <w:p w14:paraId="1B032B82">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＜15分钟</w:t>
            </w:r>
          </w:p>
        </w:tc>
        <w:tc>
          <w:tcPr>
            <w:tcW w:w="3448" w:type="dxa"/>
            <w:vAlign w:val="center"/>
          </w:tcPr>
          <w:p w14:paraId="12589432">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＜1分钟</w:t>
            </w:r>
          </w:p>
        </w:tc>
      </w:tr>
      <w:tr w14:paraId="42695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12756F49">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重要业务</w:t>
            </w:r>
          </w:p>
        </w:tc>
        <w:tc>
          <w:tcPr>
            <w:tcW w:w="0" w:type="auto"/>
            <w:vAlign w:val="center"/>
          </w:tcPr>
          <w:p w14:paraId="5039E39E">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≤4小时</w:t>
            </w:r>
          </w:p>
        </w:tc>
        <w:tc>
          <w:tcPr>
            <w:tcW w:w="3448" w:type="dxa"/>
            <w:vAlign w:val="center"/>
          </w:tcPr>
          <w:p w14:paraId="53B78A4F">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≤15分钟</w:t>
            </w:r>
          </w:p>
        </w:tc>
      </w:tr>
      <w:tr w14:paraId="1AFC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6D0B8C44">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一般业务</w:t>
            </w:r>
          </w:p>
        </w:tc>
        <w:tc>
          <w:tcPr>
            <w:tcW w:w="0" w:type="auto"/>
            <w:vAlign w:val="center"/>
          </w:tcPr>
          <w:p w14:paraId="6C8E5833">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不纳入切换服务等级（SLA）约定</w:t>
            </w:r>
          </w:p>
        </w:tc>
        <w:tc>
          <w:tcPr>
            <w:tcW w:w="3448" w:type="dxa"/>
            <w:vAlign w:val="center"/>
          </w:tcPr>
          <w:p w14:paraId="6DAEF401">
            <w:pPr>
              <w:widowControl/>
              <w:suppressLineNumbers w:val="0"/>
              <w:snapToGrid w:val="0"/>
              <w:spacing w:line="360" w:lineRule="auto"/>
              <w:jc w:val="left"/>
              <w:rPr>
                <w:rFonts w:ascii="宋体" w:hAnsi="宋体" w:eastAsia="宋体" w:cs="宋体"/>
                <w:kern w:val="2"/>
                <w:sz w:val="24"/>
                <w:szCs w:val="24"/>
                <w:highlight w:val="none"/>
              </w:rPr>
            </w:pPr>
            <w:r>
              <w:rPr>
                <w:rFonts w:hint="default" w:ascii="宋体" w:hAnsi="宋体" w:eastAsia="宋体" w:cs="宋体"/>
                <w:kern w:val="2"/>
                <w:sz w:val="24"/>
                <w:szCs w:val="24"/>
                <w:highlight w:val="none"/>
                <w:lang w:val="en-US" w:eastAsia="zh-CN" w:bidi="ar"/>
              </w:rPr>
              <w:t>仅数据备份</w:t>
            </w:r>
          </w:p>
        </w:tc>
      </w:tr>
    </w:tbl>
    <w:p w14:paraId="7BCFD0AE">
      <w:pPr>
        <w:keepNext/>
        <w:keepLines/>
        <w:widowControl w:val="0"/>
        <w:spacing w:before="260" w:after="260" w:line="360" w:lineRule="auto"/>
        <w:ind w:firstLine="480" w:firstLineChars="200"/>
        <w:jc w:val="both"/>
        <w:outlineLvl w:val="1"/>
        <w:rPr>
          <w:rFonts w:hint="eastAsia" w:ascii="宋体" w:hAnsi="宋体" w:eastAsia="宋体" w:cs="宋体"/>
          <w:b/>
          <w:bCs/>
          <w:kern w:val="2"/>
          <w:sz w:val="24"/>
          <w:szCs w:val="24"/>
          <w:highlight w:val="none"/>
          <w:lang w:val="en-US" w:eastAsia="zh-CN" w:bidi="ar-SA"/>
        </w:rPr>
      </w:pPr>
      <w:r>
        <w:rPr>
          <w:rFonts w:ascii="宋体" w:hAnsi="宋体" w:eastAsia="宋体" w:cs="宋体"/>
          <w:kern w:val="2"/>
          <w:sz w:val="24"/>
          <w:szCs w:val="24"/>
          <w:highlight w:val="none"/>
        </w:rPr>
        <w:t>核心业务必须可切换，重要业务按条件保障，一般业务暂不纳入或仅做数据备份。重要业务纳入切换验证的触发条件（如年度演练、重大保障期）由院方在《容灾业务范围与分级清单》中逐项明确；重要业务的RTO/RPO实测记录随《验收测试报告》一并提交，未安排验证的须说明原因并由院方确认。</w:t>
      </w:r>
    </w:p>
    <w:p w14:paraId="55573471">
      <w:pPr>
        <w:keepNext/>
        <w:keepLines/>
        <w:widowControl w:val="0"/>
        <w:spacing w:before="260" w:after="260" w:line="360" w:lineRule="auto"/>
        <w:ind w:firstLine="480" w:firstLineChars="200"/>
        <w:jc w:val="both"/>
        <w:outlineLvl w:val="1"/>
        <w:rPr>
          <w:rFonts w:hint="eastAsia" w:ascii="宋体" w:hAnsi="宋体" w:eastAsia="宋体" w:cs="宋体"/>
          <w:b/>
          <w:bCs/>
          <w:kern w:val="2"/>
          <w:sz w:val="24"/>
          <w:szCs w:val="24"/>
          <w:highlight w:val="none"/>
          <w:lang w:val="en-US" w:eastAsia="zh-CN" w:bidi="ar-SA"/>
        </w:rPr>
      </w:pPr>
      <w:r>
        <w:rPr>
          <w:rFonts w:ascii="宋体" w:hAnsi="宋体" w:eastAsia="宋体" w:cs="宋体"/>
          <w:kern w:val="2"/>
          <w:sz w:val="24"/>
          <w:szCs w:val="24"/>
          <w:highlight w:val="none"/>
        </w:rPr>
        <w:t>RTO实测以核心业务功能实际可用为准，不以设备启动、虚拟机启动或数据库进程启动为准。RPO实测以切换前最后一笔成功业务写入时间与容灾端该笔业务可见时间之差为准，计算规则见6.4.1。</w:t>
      </w:r>
    </w:p>
    <w:p w14:paraId="3890EBB8">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（2）应用容灾需求</w:t>
      </w:r>
    </w:p>
    <w:p w14:paraId="633B1313">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要求生产中心和容灾中心支持纳入容灾范围的核心业务应用主备容灾，通过全局负载均衡设备可以将外部对系统的访问流量导向双数据中心，并采用容灾服务平台进行容灾策略调整和监控。本需求书所称“双数据中心”即生产中心与容灾中心；本条所称“可以将外部对系统的访问流量导向”系描述容灾环境能力构成，不构成对流量切换实现方式与实现时点的选择权，流量切换的强制要求与验证标准见本节（2-1）第4条及6.4.1验收矩阵。</w:t>
      </w:r>
    </w:p>
    <w:p w14:paraId="6424B7A8">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应用容灾应满足应用程序版本一致性的要求。应用程序版本决定处理算法不同，如生产、容灾中心应用程序版本不一致，可能导致系统运行故障，甚至数据损失。因此，需要保持生产中心、容灾中心应用程序版本的一致性。</w:t>
      </w:r>
    </w:p>
    <w:p w14:paraId="7CBFDD9F">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灾备端应用程序、数据和生产机保持一致且直接可用，无须长时间数据还原；支持业务级一键接管、一键回切。</w:t>
      </w:r>
    </w:p>
    <w:p w14:paraId="459EC246">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（2-1）真实切换能力要求</w:t>
      </w:r>
    </w:p>
    <w:p w14:paraId="419F80FC">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生产级等价环境：容灾端须具备与生产端一致或兼容的应用版本、配置参数、证书、授权许可（License）、中间件及依赖组件，并按《生产与容灾资源映射表》逐项列明生产与容灾的对应关系及一致性结论。应用版本不一致、配置不一致、依赖系统不可用的，不得视为具备切换能力。</w:t>
      </w:r>
    </w:p>
    <w:p w14:paraId="0734C4C2">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依赖系统联通：容灾端须具备核心业务切换所需的数据库、DNS、AD/LDAP（活动目录/域目录服务）、CA（证书认证体系）、支付、医保接口、自助机、排队叫号、消息队列等依赖系统的联通能力。供应商须在《切换操作手册（Runbook）》依赖清单中列明依赖清单、联通方式及验证方法，《切换与回切流程》与《核心业务切换验证清单》同步引用。</w:t>
      </w:r>
    </w:p>
    <w:p w14:paraId="5D6C217F">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切换编排：供应商须提供容灾切换编排工具或自动化脚本，支持通过容灾管理平台一个编排任务完成数据库主备切换、应用启动、流量切换（流量切换具体要求见本节第4条）、安全策略生效及业务验证。允许必要的人工确认，但人工步骤须在《切换操作手册（Runbook）》中列明，并须在《真实切换能力验证测试方案》中给出自动化步骤与人工确认步骤的分步耗时预估；人工介入步骤不得超过2步，且不需现场人员到场。从院方下达切换指令到核心业务功能可用的总耗时须满足RTO＜15分钟。</w:t>
      </w:r>
    </w:p>
    <w:p w14:paraId="07954DFA">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 网络与流量切换：须通过全局负载均衡、DNS、路由或负载均衡设备，将外部访问流量导向容灾中心；实现方式不作限定（全局负载均衡设备、纯DNS切换、路由切换等均属满足），但须完成流量切换并通过6.4.1验收矩阵“计划内核心业务切换”与“光纤主备路由切换”两行验证。切换后核心业务客户端可正常访问，安全策略、防火墙策略、堡垒机审计策略须同步生效。本条亦为第3条编排任务中的流量切换环节。</w:t>
      </w:r>
    </w:p>
    <w:p w14:paraId="686F3361">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 数据切换：容灾端数据库须能从只读备端切换为读写生产模式，支持应用一致性快照、复制延迟监控、防脑裂机制。切换后须进行数据一致性校验，校验方法、范围、通过标准与记录要求见本节（3-1）数据切换验证要求。</w:t>
      </w:r>
    </w:p>
    <w:p w14:paraId="7D9AB52D">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 业务验证：切换后须按本节“真正切换”判定口径完成挂号、缴费、开药、取药等核心业务功能验证，不得仅以平台、虚拟机或数据库启动作为验证结论。供应商须提交《核心业务切换验证清单》，逐项记录验证结果。</w:t>
      </w:r>
    </w:p>
    <w:p w14:paraId="73931C08">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 失败回退：切换失败时须按预置回退方案恢复原生产状态，并记录失败原因。回退过程不得造成数据丢失或二次业务中断。</w:t>
      </w:r>
    </w:p>
    <w:p w14:paraId="73DE3C75">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 一键回切：生产中心恢复并经院方确认后，支持将容灾中心数据反向同步回生产中心，完成数据追平、一致性校验和业务回切。回切同样须由院方书面或授权指令发起。</w:t>
      </w:r>
    </w:p>
    <w:p w14:paraId="60C007C5">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 禁止情形：仅提供数据备份、只读备端、冷备环境、需长时间数据还原、平台可启动但业务功能不可用、依赖系统未联通、无切换编排和验证记录的，不视为满足真正切换要求。</w:t>
      </w:r>
    </w:p>
    <w:p w14:paraId="5A548E3A">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（3）数据容灾需求</w:t>
      </w:r>
    </w:p>
    <w:p w14:paraId="2FD09E5E">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ascii="宋体" w:hAnsi="宋体" w:eastAsia="宋体" w:cs="宋体"/>
          <w:kern w:val="2"/>
          <w:sz w:val="24"/>
          <w:szCs w:val="24"/>
          <w:highlight w:val="none"/>
        </w:rPr>
        <w:t>数据容灾对象包含：主机（含虚拟机）、数据库、非结构化存储、网络存储等，但应限定为纳入容灾范围清单的业务系统。</w:t>
      </w:r>
    </w:p>
    <w:p w14:paraId="63488DF5">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正常情况下生产中心为主（读写）、容灾中心为备（只读），前端应用连接到生产中心。当生产中心工作正常、容灾中心发生故障时，生产中心不受影响，待容灾中心恢复后可自动同步，并追平生产中心的变化数据。</w:t>
      </w:r>
    </w:p>
    <w:p w14:paraId="284BBE4A">
      <w:pPr>
        <w:widowControl w:val="0"/>
        <w:spacing w:line="360" w:lineRule="auto"/>
        <w:ind w:firstLine="480" w:firstLineChars="20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当生产中心发生故障停止工作后，容灾中心能通过便捷操作快速切换为生产模式，接续生产。当生产中心故障恢复后，进入数据恢复模式，此时仍由容灾中心负责生产，数据同步回生产中心。生产中心完成数据同步后，能通过便捷方式将业务切回生产中心。</w:t>
      </w:r>
    </w:p>
    <w:p w14:paraId="533EA4B5">
      <w:pPr>
        <w:widowControl w:val="0"/>
        <w:spacing w:line="360" w:lineRule="auto"/>
        <w:ind w:firstLine="480" w:firstLineChars="20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切换、回切须由院方书面或授权指令发起，供应商不得擅自切换。切换失败、数据不一致、业务中断时，按《容灾责任矩阵》认定责任。</w:t>
      </w:r>
    </w:p>
    <w:p w14:paraId="1568BC92">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（3-1）数据切换验证要求</w:t>
      </w:r>
    </w:p>
    <w:p w14:paraId="21407B9F">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切换前须检查数据复制延迟，复制延迟超过RPO要求的不得执行切换，除非院方书面授权。</w:t>
      </w:r>
    </w:p>
    <w:p w14:paraId="11DEEE38">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切换后须完成数据一致性校验，供应商须提交校验方法、校验范围、校验结果及异常处理记录。通过标准为：核心业务库全部表行数与校验和比对差异为零，不设例外。关键业务表抽查范围不得少于挂号、缴费、开药、取药四类业务各1张主表与1张流水表，每类不少于100行；校验由供应商执行、院方复核并在《核心业务切换验证清单》中签署确认。因切换瞬间复制延迟产生的尾部差异，不构成校验通过的例外，仅作为异常记录处理——供应商须列明差异明细、差异条数与业务影响说明，由院方在《核心业务切换验证清单》中签署“差异不影响业务连续性”的确认结论；差异非零的，验收按6.4.1判定表第12项不通过。重要业务纳入验证时，校验范围与通过标准以《容灾业务范围与分级清单》载明的业务分级为准，其尾部差异容忍度按该清单对应的RPO（≤15分钟）确定，并单独出具校验记录，不与核心业务校验结论合并出具。</w:t>
      </w:r>
    </w:p>
    <w:p w14:paraId="61020A3F">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 回切前须完成生产中心与容灾中心数据追平，回切后再次进行一致性校验。</w:t>
      </w:r>
    </w:p>
    <w:p w14:paraId="515B0845">
      <w:pPr>
        <w:widowControl w:val="0"/>
        <w:numPr>
          <w:ilvl w:val="0"/>
          <w:numId w:val="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 数据一致性校验未通过的，不得视为切换成功。</w:t>
      </w:r>
    </w:p>
    <w:p w14:paraId="670A0260">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RPO判定规则：RPO实测以6.4.1规定的“最后一笔成功业务写入时间—容灾端该笔业务可见时间”时间差为准，取自《核心业务切换验证清单》与一致性校验报告的实测记录；一致性校验结论与RPO判定为两个独立判定项，不得相互替代，切换前的复制延迟监控值仅作为切换前的准入判断与事后追责依据；经院方书面授权执行的超延迟切换，其RTO/RPO实测数据仍照常记录并纳入验收判定，授权仅免除切换前禁止执行的违规责任，不豁免合格性判定。</w:t>
      </w:r>
    </w:p>
    <w:p w14:paraId="495DD6F2">
      <w:pPr>
        <w:widowControl w:val="0"/>
        <w:spacing w:before="180" w:after="180" w:line="380" w:lineRule="auto"/>
        <w:jc w:val="both"/>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（4）安全要求</w:t>
      </w:r>
    </w:p>
    <w:p w14:paraId="2947AB92">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ascii="宋体" w:hAnsi="宋体" w:eastAsia="宋体" w:cs="宋体"/>
          <w:kern w:val="2"/>
          <w:sz w:val="24"/>
          <w:szCs w:val="24"/>
          <w:highlight w:val="none"/>
          <w:lang w:val="en-US" w:eastAsia="zh-CN" w:bidi="ar-SA"/>
        </w:rPr>
        <w:t>容灾系统涉及使用方核心业务系统的患者数据，要求容灾中心符合网络等级保护2.0三级认证，有完善的容灾机房管理制度，提供相关安全设备等。供应商须严格遵守《中华人民共和国网络安全法》《中华人民共和国数据安全法》《中华人民共和国个人信息保护法》及国家卫生健康委关于医疗卫生机构网络安全管理的相关要求。患者诊疗数据属于敏感个人信息，未经院方书面授权，不得访问、复制、导出或用于本项目以外的任何用途。供应商须满足以下安全合规要求：</w:t>
      </w:r>
    </w:p>
    <w:p w14:paraId="6B5472F4">
      <w:pPr>
        <w:widowControl w:val="0"/>
        <w:numPr>
          <w:ilvl w:val="0"/>
          <w:numId w:val="4"/>
        </w:numPr>
        <w:spacing w:line="360" w:lineRule="auto"/>
        <w:ind w:left="420" w:hanging="42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数据加密：传输和存储加密，密钥管理符合院方要求；</w:t>
      </w:r>
    </w:p>
    <w:p w14:paraId="52860449">
      <w:pPr>
        <w:widowControl w:val="0"/>
        <w:numPr>
          <w:ilvl w:val="0"/>
          <w:numId w:val="4"/>
        </w:numPr>
        <w:spacing w:line="360" w:lineRule="auto"/>
        <w:ind w:left="420" w:hanging="42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审计权：院方有权审计供应商操作日志，日志留存不少于180天；</w:t>
      </w:r>
    </w:p>
    <w:p w14:paraId="7E8BD0A1">
      <w:pPr>
        <w:widowControl w:val="0"/>
        <w:numPr>
          <w:ilvl w:val="0"/>
          <w:numId w:val="4"/>
        </w:numPr>
        <w:spacing w:line="360" w:lineRule="auto"/>
        <w:ind w:left="420" w:hanging="42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分包限制：未经院方同意不得分包；</w:t>
      </w:r>
    </w:p>
    <w:p w14:paraId="5431AF88">
      <w:pPr>
        <w:widowControl w:val="0"/>
        <w:numPr>
          <w:ilvl w:val="0"/>
          <w:numId w:val="4"/>
        </w:numPr>
        <w:spacing w:line="360" w:lineRule="auto"/>
        <w:ind w:left="420" w:hanging="42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安全事件通知：发生安全事件须在1小时内通知院方；</w:t>
      </w:r>
    </w:p>
    <w:p w14:paraId="7DF529F7">
      <w:pPr>
        <w:widowControl w:val="0"/>
        <w:numPr>
          <w:ilvl w:val="0"/>
          <w:numId w:val="4"/>
        </w:numPr>
        <w:spacing w:line="360" w:lineRule="auto"/>
        <w:ind w:left="420" w:hanging="420"/>
        <w:jc w:val="both"/>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t>数据删除/返还：合同终止时按院方要求删除或返还数据，并提供销毁证明。</w:t>
      </w:r>
    </w:p>
    <w:p w14:paraId="39C30733">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ascii="宋体" w:hAnsi="宋体" w:eastAsia="宋体" w:cs="宋体"/>
          <w:kern w:val="2"/>
          <w:sz w:val="24"/>
          <w:szCs w:val="24"/>
          <w:highlight w:val="none"/>
          <w:lang w:val="en-US" w:eastAsia="zh-CN" w:bidi="ar-SA"/>
        </w:rPr>
        <w:t>切换过程中安全策略须同步生效，包括防火墙策略、访问控制策略、堡垒机审计策略、入侵检测策略等。安全策略未生效的，不得视为切换完成。</w:t>
      </w:r>
    </w:p>
    <w:p w14:paraId="5F4D4B69">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4.2 光纤线路</w:t>
      </w:r>
    </w:p>
    <w:tbl>
      <w:tblPr>
        <w:tblStyle w:val="19"/>
        <w:tblW w:w="8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7"/>
        <w:gridCol w:w="1637"/>
        <w:gridCol w:w="1642"/>
        <w:gridCol w:w="3300"/>
        <w:gridCol w:w="993"/>
      </w:tblGrid>
      <w:tr w14:paraId="1FD7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blHeader/>
          <w:jc w:val="center"/>
        </w:trPr>
        <w:tc>
          <w:tcPr>
            <w:tcW w:w="1207" w:type="dxa"/>
            <w:vAlign w:val="center"/>
          </w:tcPr>
          <w:p w14:paraId="56827832">
            <w:pPr>
              <w:snapToGrid w:val="0"/>
              <w:spacing w:line="360" w:lineRule="auto"/>
              <w:jc w:val="center"/>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分类</w:t>
            </w:r>
          </w:p>
        </w:tc>
        <w:tc>
          <w:tcPr>
            <w:tcW w:w="1637" w:type="dxa"/>
            <w:vAlign w:val="center"/>
          </w:tcPr>
          <w:p w14:paraId="68FEF272">
            <w:pPr>
              <w:snapToGrid w:val="0"/>
              <w:spacing w:line="360" w:lineRule="auto"/>
              <w:jc w:val="center"/>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产品名称</w:t>
            </w:r>
          </w:p>
        </w:tc>
        <w:tc>
          <w:tcPr>
            <w:tcW w:w="1642" w:type="dxa"/>
            <w:vAlign w:val="center"/>
          </w:tcPr>
          <w:p w14:paraId="7BBFE8AA">
            <w:pPr>
              <w:snapToGrid w:val="0"/>
              <w:spacing w:line="360" w:lineRule="auto"/>
              <w:jc w:val="center"/>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线路连接端点</w:t>
            </w:r>
          </w:p>
        </w:tc>
        <w:tc>
          <w:tcPr>
            <w:tcW w:w="3300" w:type="dxa"/>
            <w:vAlign w:val="center"/>
          </w:tcPr>
          <w:p w14:paraId="2452C43F">
            <w:pPr>
              <w:snapToGrid w:val="0"/>
              <w:spacing w:line="360" w:lineRule="auto"/>
              <w:jc w:val="center"/>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规格</w:t>
            </w:r>
          </w:p>
        </w:tc>
        <w:tc>
          <w:tcPr>
            <w:tcW w:w="993" w:type="dxa"/>
            <w:vAlign w:val="center"/>
          </w:tcPr>
          <w:p w14:paraId="79A13521">
            <w:pPr>
              <w:snapToGrid w:val="0"/>
              <w:spacing w:line="360" w:lineRule="auto"/>
              <w:jc w:val="center"/>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数量</w:t>
            </w:r>
          </w:p>
          <w:p w14:paraId="49A276AB">
            <w:pPr>
              <w:snapToGrid w:val="0"/>
              <w:spacing w:line="360" w:lineRule="auto"/>
              <w:jc w:val="center"/>
              <w:rPr>
                <w:rFonts w:hint="eastAsia" w:ascii="宋体" w:hAnsi="宋体" w:eastAsia="宋体" w:cs="宋体"/>
                <w:b/>
                <w:kern w:val="2"/>
                <w:sz w:val="24"/>
                <w:szCs w:val="24"/>
                <w:highlight w:val="none"/>
              </w:rPr>
            </w:pPr>
            <w:r>
              <w:rPr>
                <w:rFonts w:hint="eastAsia" w:ascii="宋体" w:hAnsi="宋体" w:eastAsia="宋体" w:cs="宋体"/>
                <w:b/>
                <w:kern w:val="2"/>
                <w:sz w:val="24"/>
                <w:szCs w:val="24"/>
                <w:highlight w:val="none"/>
              </w:rPr>
              <w:t>（条）</w:t>
            </w:r>
          </w:p>
        </w:tc>
      </w:tr>
      <w:tr w14:paraId="580C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8" w:hRule="atLeast"/>
          <w:jc w:val="center"/>
        </w:trPr>
        <w:tc>
          <w:tcPr>
            <w:tcW w:w="1207" w:type="dxa"/>
            <w:vAlign w:val="center"/>
          </w:tcPr>
          <w:p w14:paraId="3BF8D098">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光纤线路</w:t>
            </w:r>
          </w:p>
        </w:tc>
        <w:tc>
          <w:tcPr>
            <w:tcW w:w="1637" w:type="dxa"/>
            <w:vAlign w:val="center"/>
          </w:tcPr>
          <w:p w14:paraId="5113A11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容灾机房专线</w:t>
            </w:r>
          </w:p>
        </w:tc>
        <w:tc>
          <w:tcPr>
            <w:tcW w:w="1642" w:type="dxa"/>
            <w:vAlign w:val="center"/>
          </w:tcPr>
          <w:p w14:paraId="39BC244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容灾机房&lt;-&gt;院方中心机房</w:t>
            </w:r>
          </w:p>
        </w:tc>
        <w:tc>
          <w:tcPr>
            <w:tcW w:w="3300" w:type="dxa"/>
            <w:vAlign w:val="center"/>
          </w:tcPr>
          <w:p w14:paraId="55C0DBA8">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1、1条逻辑高可用专线（底层物理双路由冗余，主备自动倒换）</w:t>
            </w:r>
          </w:p>
          <w:p w14:paraId="66C8B13A">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2、带宽：独享≥1000Mbps，上下行对等，非共享复用</w:t>
            </w:r>
          </w:p>
          <w:p w14:paraId="213692DD">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3、时延：端到端单向≤50ms，时延抖动≤10ms（同城10km及异地机房场景均适用，以实测为准）</w:t>
            </w:r>
          </w:p>
          <w:p w14:paraId="68C68B24">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4、切换能力：主备路由故障自动切换≤50ms，切换过程零丢包/业务零感知</w:t>
            </w:r>
          </w:p>
          <w:p w14:paraId="6879F02A">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5、传输质量：月度可用性≥99.9%，丢包率≤0.1%</w:t>
            </w:r>
          </w:p>
          <w:p w14:paraId="7DEA593A">
            <w:pPr>
              <w:snapToGrid w:val="0"/>
              <w:spacing w:line="360" w:lineRule="auto"/>
              <w:jc w:val="left"/>
              <w:rPr>
                <w:rFonts w:ascii="宋体" w:hAnsi="宋体" w:eastAsia="宋体" w:cs="宋体"/>
                <w:kern w:val="2"/>
                <w:sz w:val="24"/>
                <w:szCs w:val="24"/>
                <w:highlight w:val="none"/>
              </w:rPr>
            </w:pPr>
            <w:r>
              <w:rPr>
                <w:rFonts w:ascii="宋体" w:hAnsi="宋体" w:eastAsia="宋体" w:cs="宋体"/>
                <w:kern w:val="2"/>
                <w:sz w:val="24"/>
                <w:szCs w:val="24"/>
                <w:highlight w:val="none"/>
              </w:rPr>
              <w:t>6、QoS策略：支持802.1p优先级标记，优先保障容灾同步流量（数据库/存储复制）</w:t>
            </w:r>
          </w:p>
        </w:tc>
        <w:tc>
          <w:tcPr>
            <w:tcW w:w="993" w:type="dxa"/>
            <w:vAlign w:val="center"/>
          </w:tcPr>
          <w:p w14:paraId="3EF8A614">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w:t>
            </w:r>
          </w:p>
        </w:tc>
      </w:tr>
    </w:tbl>
    <w:p w14:paraId="5CF87079">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线路切换须纳入真实切换验收测试，验证主备路由故障自动切换≤50ms、切换窗口内业务感知为零（核心业务请求成功率100%、无超过1秒的响应抖动）；常态月度丢包率≤0.1%与切换窗口丢包为两个独立指标，分别判定；切换窗口丢包率标准为0，不适用月度丢包率≤0.1%的容差，并提供测试记录。</w:t>
      </w:r>
    </w:p>
    <w:p w14:paraId="5EAF1D11">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容灾机房环境需求</w:t>
      </w:r>
    </w:p>
    <w:p w14:paraId="63D1B457">
      <w:pPr>
        <w:keepNext/>
        <w:keepLines/>
        <w:spacing w:before="180" w:after="180" w:line="380" w:lineRule="auto"/>
        <w:jc w:val="both"/>
        <w:outlineLvl w:val="1"/>
        <w:rPr>
          <w:rFonts w:ascii="宋体" w:hAnsi="宋体" w:eastAsia="宋体" w:cs="宋体"/>
          <w:b/>
          <w:bCs/>
          <w:kern w:val="2"/>
          <w:sz w:val="32"/>
          <w:szCs w:val="32"/>
          <w:highlight w:val="none"/>
        </w:rPr>
      </w:pPr>
      <w:r>
        <w:rPr>
          <w:rFonts w:ascii="宋体" w:hAnsi="宋体" w:eastAsia="宋体" w:cs="宋体"/>
          <w:b/>
          <w:bCs/>
          <w:kern w:val="2"/>
          <w:sz w:val="32"/>
          <w:szCs w:val="32"/>
          <w:highlight w:val="none"/>
        </w:rPr>
        <w:t>5.1 总体要求</w:t>
      </w:r>
    </w:p>
    <w:p w14:paraId="209DEC0A">
      <w:pPr>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供应商须提供高等级数据中心机房或合规云资源池。生产中心与容灾中心须物理分离，物理直线距离不少于10公里；可位于同一城市，亦可位于异地（跨城市）机房，供应商应结合RTO/RPO、专线时延与带宽条件提出选址方案并经院方确认。供应商须为使用方提供可围栏的独立区域、独立机柜或独立VPC（虚拟私有云）/资源池建立容灾中心，并满足本章全部要求。如采用物理机房，须提供独立区域、独立机柜，具备门禁、安防、消防、空调、双路供电等能力；如采用云资源池，须提供独立VPC、独立资源池、等保三级合规证明。机房或云平台整体可用性不低于99.99%。</w:t>
      </w:r>
    </w:p>
    <w:p w14:paraId="697C3AE4">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容灾环境须与生产中心避免共享单点故障，包括但不限于供电、网络出口、空调、消防、核心交换设备等。供应商须在《项目设计与实施方案》中说明生产与容灾的故障隔离措施。</w:t>
      </w:r>
    </w:p>
    <w:p w14:paraId="399B39B8">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机房或云资源池整体可用性99.99%为容灾环境端到端（含机房或云资源、容灾平台及院内接入链路）月度可用性目标，4.2专线月度可用性≥99.9%为该目标下的单段下限；二者不一致时按端到端目标考核，并按《容灾责任矩阵》追溯单段责任。</w:t>
      </w:r>
    </w:p>
    <w:p w14:paraId="59E76A28">
      <w:pPr>
        <w:keepNext/>
        <w:keepLines/>
        <w:spacing w:before="180" w:after="180" w:line="380" w:lineRule="auto"/>
        <w:jc w:val="both"/>
        <w:outlineLvl w:val="1"/>
        <w:rPr>
          <w:rFonts w:ascii="宋体" w:hAnsi="宋体" w:eastAsia="宋体" w:cs="宋体"/>
          <w:b/>
          <w:bCs/>
          <w:kern w:val="2"/>
          <w:sz w:val="32"/>
          <w:szCs w:val="32"/>
          <w:highlight w:val="none"/>
        </w:rPr>
      </w:pPr>
      <w:r>
        <w:rPr>
          <w:rFonts w:ascii="宋体" w:hAnsi="宋体" w:eastAsia="宋体" w:cs="宋体"/>
          <w:b/>
          <w:bCs/>
          <w:kern w:val="2"/>
          <w:sz w:val="32"/>
          <w:szCs w:val="32"/>
          <w:highlight w:val="none"/>
        </w:rPr>
        <w:t>5.2 机房位置要求</w:t>
      </w:r>
    </w:p>
    <w:tbl>
      <w:tblPr>
        <w:tblStyle w:val="1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804"/>
      </w:tblGrid>
      <w:tr w14:paraId="1C11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4C91596E">
            <w:pPr>
              <w:snapToGrid w:val="0"/>
              <w:spacing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指标项</w:t>
            </w:r>
          </w:p>
        </w:tc>
        <w:tc>
          <w:tcPr>
            <w:tcW w:w="6804" w:type="dxa"/>
            <w:tcBorders>
              <w:top w:val="single" w:color="auto" w:sz="4" w:space="0"/>
              <w:left w:val="single" w:color="auto" w:sz="4" w:space="0"/>
              <w:bottom w:val="single" w:color="auto" w:sz="4" w:space="0"/>
              <w:right w:val="single" w:color="auto" w:sz="4" w:space="0"/>
            </w:tcBorders>
            <w:vAlign w:val="center"/>
          </w:tcPr>
          <w:p w14:paraId="20FBCF17">
            <w:pPr>
              <w:snapToGrid w:val="0"/>
              <w:spacing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指标要求</w:t>
            </w:r>
          </w:p>
        </w:tc>
      </w:tr>
      <w:tr w14:paraId="5FEA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14:paraId="4EFD10DC">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位置</w:t>
            </w:r>
          </w:p>
        </w:tc>
        <w:tc>
          <w:tcPr>
            <w:tcW w:w="6804" w:type="dxa"/>
            <w:tcBorders>
              <w:top w:val="single" w:color="auto" w:sz="4" w:space="0"/>
              <w:left w:val="single" w:color="auto" w:sz="4" w:space="0"/>
              <w:bottom w:val="single" w:color="auto" w:sz="4" w:space="0"/>
              <w:right w:val="single" w:color="auto" w:sz="4" w:space="0"/>
            </w:tcBorders>
            <w:vAlign w:val="center"/>
          </w:tcPr>
          <w:p w14:paraId="52A3B1C2">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数据中心附近400米内无任何产生腐蚀性气体、粉尘、噪音、强震动的厂矿企业和易燃易爆危险品或化学品的生产存放单位，800米内无铁路或高速公路。不属于地震断层附近、有滑坡危险区域和有可能发生洪水区域。数据中心位置不在建筑物的顶层或地下室，以及用水设备的下层。</w:t>
            </w:r>
          </w:p>
        </w:tc>
      </w:tr>
    </w:tbl>
    <w:p w14:paraId="4479A5CE">
      <w:pPr>
        <w:keepNext/>
        <w:keepLines/>
        <w:spacing w:before="180" w:after="180" w:line="380" w:lineRule="auto"/>
        <w:jc w:val="both"/>
        <w:outlineLvl w:val="1"/>
        <w:rPr>
          <w:rFonts w:ascii="宋体" w:hAnsi="宋体" w:eastAsia="宋体" w:cs="宋体"/>
          <w:b/>
          <w:bCs/>
          <w:kern w:val="2"/>
          <w:sz w:val="32"/>
          <w:szCs w:val="32"/>
          <w:highlight w:val="none"/>
        </w:rPr>
      </w:pPr>
      <w:r>
        <w:rPr>
          <w:rFonts w:ascii="宋体" w:hAnsi="宋体" w:eastAsia="宋体" w:cs="宋体"/>
          <w:b/>
          <w:bCs/>
          <w:kern w:val="2"/>
          <w:sz w:val="32"/>
          <w:szCs w:val="32"/>
          <w:highlight w:val="none"/>
        </w:rPr>
        <w:t>5.3 机房标准</w:t>
      </w:r>
    </w:p>
    <w:p w14:paraId="47558958">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机房应满足网络等级保护2.0标准的三级认证。若为云资源池，须提供等保三级证明及云平台安全认证。鼓励具备ISO27001信息安全管理体系认证、ISO20000 IT服务管理体系认证、ISO22301业务连续性管理体系认证。</w:t>
      </w:r>
    </w:p>
    <w:p w14:paraId="7C428611">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项目实施要求</w:t>
      </w:r>
    </w:p>
    <w:p w14:paraId="5E08A526">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6.1 总体合规要求</w:t>
      </w:r>
    </w:p>
    <w:p w14:paraId="5200F1EC">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 供应商所提供产品中如使用数据库、操作系统及其它第三方软件，必须全部使用正版软件，确保无任何版权纠纷。</w:t>
      </w:r>
    </w:p>
    <w:p w14:paraId="56AA8AED">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 数据安全与个人信息保护：须严格遵守《中华人民共和国网络安全法》《中华人民共和国数据安全法》《中华人民共和国个人信息保护法》及国家卫生健康委关于医疗卫生机构网络安全管理的相关要求；患者诊疗数据属于敏感个人信息，未经院方书面授权，不得访问、复制、导出或用于本项目以外的任何用途。</w:t>
      </w:r>
    </w:p>
    <w:p w14:paraId="70A1B5F3">
      <w:pPr>
        <w:widowControl w:val="0"/>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SA"/>
        </w:rPr>
        <w:t>（3） 行业监管要求：容灾建设须满足卫生健康行业对重要数据容灾备份及业务连续性的监管要求。</w:t>
      </w:r>
    </w:p>
    <w:p w14:paraId="3B9BB262">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6.2 实施交付要求</w:t>
      </w:r>
    </w:p>
    <w:p w14:paraId="23FA2004">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 实施方案：供应商须在中标后7—20个工作日内，基于本需求书及现场勘查情况，提交一份详细、可落地的《项目设计与实施方案》，内容包括但不限于：网络拓扑规划、IP地址分配、设备上架或云资源规划、数据迁移策略、应用切换流程、回退方案等。方案须经院方审核通过后方可实施。</w:t>
      </w:r>
    </w:p>
    <w:p w14:paraId="2CFCB470">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 数据迁移与实施责任：供应商须在项目工期内，完成将纳入容灾范围清单的业务系统数据从现有环境完整、一致、安全地迁移至本项目环境中。因迁移导致的数据丢失、损坏或业务中断，由供应商承担全部责任。</w:t>
      </w:r>
    </w:p>
    <w:p w14:paraId="3E2DB532">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 灾备调研与评估：供应商须对院方现网信息系统（IT）基础架构、计算与存储资源、网络拓扑、设备连通性、数据中心间带宽、计划容灾的应用类型与数据规模、现有灾备手段等进行全面调研，开展RTO/RPO分析与兼容性评估，输出《灾备调研与评估报告》并经院方确认。</w:t>
      </w:r>
    </w:p>
    <w:p w14:paraId="35D83784">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 方案设计与验证：供应商须提交总体灾备策略、灾备资源规划及灾备技术方案，内容包括灾备服务器部署方式、灾备复制网络实现方式及带宽设计、灾备容量及带宽评估、灾备管理和策略设计、灾备场景与恢复设计等，输出《详细设计文档》；提前识别风险，方案经院方审核通过后方可实施。</w:t>
      </w:r>
    </w:p>
    <w:p w14:paraId="2E3CD4A3">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（5） 部署调测与验收：供应商须按经审核通过的方案实施，完成软硬件安装部署与调试、灾备策略配置，并结合应用灾备方案对部署配置与功能逐项验证。验收开始前与院方确认验收时间、验收方式、验收内容、验收标准及参加验收人员；制定灾备测试方案及用例并执行验收测试，验收通过后向院方完整移交项目及验收资料。</w:t>
      </w:r>
    </w:p>
    <w:p w14:paraId="7474EF1F">
      <w:pPr>
        <w:widowControl w:val="0"/>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（6） 切换可行性专项评估：供应商须在验收前完成核心业务切换可行性专项评估，明确切换前提、操作步骤、预计耗时、失败回退方案，并至少完成一次真实或模拟切换验证。防止“只备不用”“建而不用”。本项评估结论纳入《真实切换能力验证测试方案》“切换前提与风险”章节，不单独形成交付物；其中预演性模拟切换仅作为准备工作，不作为验收依据。</w:t>
      </w:r>
    </w:p>
    <w:p w14:paraId="5B15C25D">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（7） 真实切换专项验证：本项与第（6）项所称“真实或模拟切换验证”的关系为——第（6）项中的预演性模拟切换仅作为准备工作，不作为验收依据；验收依据以本项规定的真实业务切换验证为准。供应商须在验收前完成核心业务真实切换专项验证，明确切换前提、切换顺序、依赖关系、操作步骤、预计耗时、失败回退方案。验收阶段须至少完成一次真实业务切换验证，不得以纯平台模拟替代。真实切换验证应使用生产同构环境、真实数据库副本和真实业务客户端，完成挂号、缴费、开药、取药等核心业务功能验证及数据一致性校验。若院方因业务安全原因不同意生产流量切换，可采用低峰期窗口、测试患者/测试号源或生产同构测试环境，但须经院方书面确认，且须完整满足本项全部要素（真实数据库副本、真实业务客户端、挂号/缴费/开药/取药四类业务实际办理、数据一致性校验、RTO/RPO实测记录），缺一不通过。预演性模拟切换仅作为准备工作，不作为验收依据。</w:t>
      </w:r>
    </w:p>
    <w:p w14:paraId="350EC954">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（8） 切换证据留存：供应商须留存切换记录、操作日志、各步骤耗时、RTO/RPO实测数据、数据一致性校验报告、业务功能验证记录及截图，留存期不少于180天。提交时点：《真实切换能力验证测试方案》于验收前不少于15个工作日报院方审核通过；《核心业务切换验证清单》于切换当日随切换同步填报、切换结束后5个工作日内提交；《生产与容灾资源映射表》于验收前不少于15个工作日随《真实切换能力验证测试方案》一并提交并经院方书面复核确认；《切换与回切证据包》于切换结束后5个工作日内提交初版（含切换当日切换记录、各步骤耗时、RTO/RPO实测数据、一致性校验报告、业务功能验证记录及截图），于切换结束后10个工作日内提交终版，随《验收测试报告》一并归档；各项模板与院方签署栏由《真实切换能力验证测试方案》统一规定，随该方案一并提交。</w:t>
      </w:r>
    </w:p>
    <w:p w14:paraId="5641A136">
      <w:pPr>
        <w:spacing w:line="360" w:lineRule="auto"/>
        <w:ind w:firstLine="480" w:firstLineChars="200"/>
        <w:jc w:val="both"/>
        <w:rPr>
          <w:rFonts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（9） 责任矩阵：供应商须在验收前不少于15个工作日编制《容灾责任矩阵》，逐项界定本项目各类故障与偏差的责任边界（至少覆盖机房/云资源、容灾平台与软件、光纤专线及运营商网络、院内接入与生产端变更、人为操作与业务侧因素），明确判定依据（监控数据、日志、单据）与证据留存要求，经院方书面确认后生效，作为4.1（3）、5.1、6.4.1所称责任认定的唯一依据。</w:t>
      </w:r>
    </w:p>
    <w:p w14:paraId="14CCA802">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6.3 项目周期与交付</w:t>
      </w:r>
    </w:p>
    <w:p w14:paraId="08E9AC13">
      <w:pPr>
        <w:adjustRightInd w:val="0"/>
        <w:spacing w:line="360" w:lineRule="auto"/>
        <w:ind w:firstLine="480" w:firstLineChars="200"/>
        <w:jc w:val="both"/>
        <w:textAlignment w:val="baseline"/>
        <w:rPr>
          <w:rFonts w:ascii="宋体" w:hAnsi="宋体" w:eastAsia="宋体" w:cs="宋体"/>
          <w:bCs/>
          <w:kern w:val="2"/>
          <w:sz w:val="24"/>
          <w:szCs w:val="24"/>
          <w:highlight w:val="none"/>
        </w:rPr>
      </w:pPr>
      <w:r>
        <w:rPr>
          <w:rFonts w:hint="eastAsia" w:ascii="宋体" w:hAnsi="宋体" w:eastAsia="宋体" w:cs="宋体"/>
          <w:bCs/>
          <w:kern w:val="2"/>
          <w:sz w:val="24"/>
          <w:szCs w:val="24"/>
          <w:highlight w:val="none"/>
        </w:rPr>
        <w:t>乙方需在合同签订后六个月内，完成该项目采购清单的建设内容，并交付给使用方使用。本项目租赁期限为1年，以使用方确认交付内容的日期，作为租赁结算的起始时间。</w:t>
      </w:r>
    </w:p>
    <w:p w14:paraId="67FDAF0D">
      <w:p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项目交付物包括但不限于：</w:t>
      </w:r>
    </w:p>
    <w:p w14:paraId="44D8B7A8">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（1） 《灾备调研与评估报告》；</w:t>
      </w:r>
    </w:p>
    <w:p w14:paraId="07E89AC9">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（2） 《项目设计与实施方案》（含《详细设计文档》《生产与容灾资源映射表》）；</w:t>
      </w:r>
    </w:p>
    <w:p w14:paraId="38BDBE75">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（3） 《灾备测试方案及测试用例》（含《真实切换能力验证测试方案》）；</w:t>
      </w:r>
    </w:p>
    <w:p w14:paraId="23BDA193">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（4） 《验收测试报告》；</w:t>
      </w:r>
    </w:p>
    <w:p w14:paraId="2C1278C9">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（5） 《运维手册》《应急预案》《容灾切换操作指南》（含《切换与回切流程》《切换操作手册（Runbook）》）；</w:t>
      </w:r>
    </w:p>
    <w:p w14:paraId="1FA82765">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（6） 《运维知识库》（含《演练报告》——每半年演练结束后5个工作日内提交并累计移交最新版本；《等保2.0三级备案证明及最近一次测评结论》——由容灾机房或云资源池运营方出具，覆盖本项目承载区域与业务范围）；</w:t>
      </w:r>
    </w:p>
    <w:p w14:paraId="44B4CE3D">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（7） 《容灾业务范围与分级清单》（院方负责业务范围与分级确认；供应商须在提交《项目设计与实施方案》时提供填写模板及分级建议，院方于方案审核通过后10个工作日内确认，本清单须在验收前确定）；</w:t>
      </w:r>
    </w:p>
    <w:p w14:paraId="5C514B1A">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（8） 《切换与回切证据包》（含《核心业务切换验证清单》《故障隔离核查表》，含日志、截图、实测数据与一致性校验报告；确因运营商资源限制存在共用单点时，《故障隔离核查表》须随附《过渡保护措施说明》，含替代路径、切换时限、责任方）。</w:t>
      </w:r>
    </w:p>
    <w:p w14:paraId="350DE936">
      <w:pPr>
        <w:numPr>
          <w:ilvl w:val="0"/>
          <w:numId w:val="0"/>
        </w:numPr>
        <w:adjustRightInd w:val="0"/>
        <w:spacing w:line="360" w:lineRule="auto"/>
        <w:ind w:firstLine="480" w:firstLineChars="200"/>
        <w:jc w:val="both"/>
        <w:textAlignment w:val="baseline"/>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rPr>
        <w:t>（9） 《容灾责任矩阵》。</w:t>
      </w:r>
    </w:p>
    <w:p w14:paraId="2EAD8C03">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6.4 验收标准</w:t>
      </w:r>
    </w:p>
    <w:p w14:paraId="77F0CC6C">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验收应基于《容灾业务范围与分级清单》逐项验证：</w:t>
      </w:r>
    </w:p>
    <w:p w14:paraId="48D5D2BC">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核心业务：必须可切换，RTO/RPO达标；</w:t>
      </w:r>
    </w:p>
    <w:p w14:paraId="2666BCDB">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重要业务：按约定条件验证；</w:t>
      </w:r>
    </w:p>
    <w:p w14:paraId="6472B749">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一般业务：仅验证数据备份，不验证切换；</w:t>
      </w:r>
    </w:p>
    <w:p w14:paraId="603C0306">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容灾演练的频次、方案与报告提交要求见七.1（4）；</w:t>
      </w:r>
    </w:p>
    <w:p w14:paraId="6744E711">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验收资料以6.3规定的全部项目交付物为准；验收时另须提交实测证据，包括切换记录、操作日志、各步骤耗时、RTO/RPO实测数据、数据一致性校验报告、业务功能验证记录及截图。</w:t>
      </w:r>
    </w:p>
    <w:p w14:paraId="1EC42AD5">
      <w:pPr>
        <w:widowControl w:val="0"/>
        <w:spacing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验收分“切换验证确认”与“资料终验”两个阶段：切换验证确认以切换当日现场记录及《核心业务切换验证清单》为依据；资料终验在终版《切换与回切证据包》及《验收测试报告》提交后10个工作日内完成，资料终验不通过的，按6.4.1判定表第14项视为验收不通过并进入复验程序。</w:t>
      </w:r>
    </w:p>
    <w:p w14:paraId="69397E0F">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6.4.1 真实切换验收判定表</w:t>
      </w:r>
    </w:p>
    <w:p w14:paraId="1DE3669E">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验收须按《真实切换能力验证测试方案》逐项测试，至少包括：</w:t>
      </w:r>
    </w:p>
    <w:p w14:paraId="67DF0B4F">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出现下表所列任一情形，验收不通过；表内「不通过情形」栏与「通过标准」栏逐行对应，无须另行对照条款。</w:t>
      </w:r>
    </w:p>
    <w:tbl>
      <w:tblPr>
        <w:tblStyle w:val="19"/>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0"/>
        <w:gridCol w:w="3000"/>
        <w:gridCol w:w="3740"/>
      </w:tblGrid>
      <w:tr w14:paraId="4E24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1900" w:type="dxa"/>
            <w:tcBorders>
              <w:top w:val="single" w:color="auto" w:sz="4" w:space="0"/>
              <w:left w:val="single" w:color="auto" w:sz="4" w:space="0"/>
              <w:bottom w:val="single" w:color="auto" w:sz="4" w:space="0"/>
              <w:right w:val="single" w:color="auto" w:sz="4" w:space="0"/>
            </w:tcBorders>
            <w:vAlign w:val="center"/>
          </w:tcPr>
          <w:p w14:paraId="553685AB">
            <w:pPr>
              <w:snapToGrid w:val="0"/>
              <w:spacing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验收项</w:t>
            </w:r>
          </w:p>
        </w:tc>
        <w:tc>
          <w:tcPr>
            <w:tcW w:w="3000" w:type="dxa"/>
            <w:tcBorders>
              <w:top w:val="single" w:color="auto" w:sz="4" w:space="0"/>
              <w:left w:val="single" w:color="auto" w:sz="4" w:space="0"/>
              <w:bottom w:val="single" w:color="auto" w:sz="4" w:space="0"/>
              <w:right w:val="single" w:color="auto" w:sz="4" w:space="0"/>
            </w:tcBorders>
            <w:vAlign w:val="center"/>
          </w:tcPr>
          <w:p w14:paraId="75AE6537">
            <w:pPr>
              <w:snapToGrid w:val="0"/>
              <w:spacing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通过标准</w:t>
            </w:r>
          </w:p>
        </w:tc>
        <w:tc>
          <w:tcPr>
            <w:tcW w:w="3740" w:type="dxa"/>
            <w:tcBorders>
              <w:top w:val="single" w:color="auto" w:sz="4" w:space="0"/>
              <w:left w:val="single" w:color="auto" w:sz="4" w:space="0"/>
              <w:bottom w:val="single" w:color="auto" w:sz="4" w:space="0"/>
              <w:right w:val="single" w:color="auto" w:sz="4" w:space="0"/>
            </w:tcBorders>
            <w:vAlign w:val="center"/>
          </w:tcPr>
          <w:p w14:paraId="38EAB2C6">
            <w:pPr>
              <w:snapToGrid w:val="0"/>
              <w:spacing w:line="360" w:lineRule="auto"/>
              <w:jc w:val="center"/>
              <w:rPr>
                <w:rFonts w:ascii="宋体" w:hAnsi="宋体" w:eastAsia="宋体" w:cs="宋体"/>
                <w:kern w:val="2"/>
                <w:sz w:val="24"/>
                <w:szCs w:val="24"/>
                <w:highlight w:val="none"/>
              </w:rPr>
            </w:pPr>
            <w:r>
              <w:rPr>
                <w:rFonts w:hint="eastAsia" w:ascii="宋体" w:hAnsi="宋体" w:eastAsia="宋体" w:cs="宋体"/>
                <w:kern w:val="2"/>
                <w:sz w:val="24"/>
                <w:szCs w:val="24"/>
                <w:highlight w:val="none"/>
              </w:rPr>
              <w:t>不通过情形（出现即验收不通过）</w:t>
            </w:r>
          </w:p>
        </w:tc>
      </w:tr>
      <w:tr w14:paraId="0F82D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2D1C56B2">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  计划内核心业务切换</w:t>
            </w:r>
          </w:p>
        </w:tc>
        <w:tc>
          <w:tcPr>
            <w:tcW w:w="3000" w:type="dxa"/>
            <w:tcBorders>
              <w:top w:val="single" w:color="auto" w:sz="4" w:space="0"/>
              <w:left w:val="single" w:color="auto" w:sz="4" w:space="0"/>
              <w:bottom w:val="single" w:color="auto" w:sz="4" w:space="0"/>
              <w:right w:val="single" w:color="auto" w:sz="4" w:space="0"/>
            </w:tcBorders>
            <w:vAlign w:val="center"/>
          </w:tcPr>
          <w:p w14:paraId="73E0E53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从院方指令到核心业务功能可用＜15分钟，RPO＜1分钟</w:t>
            </w:r>
          </w:p>
        </w:tc>
        <w:tc>
          <w:tcPr>
            <w:tcW w:w="3740" w:type="dxa"/>
            <w:tcBorders>
              <w:top w:val="single" w:color="auto" w:sz="4" w:space="0"/>
              <w:left w:val="single" w:color="auto" w:sz="4" w:space="0"/>
              <w:bottom w:val="single" w:color="auto" w:sz="4" w:space="0"/>
              <w:right w:val="single" w:color="auto" w:sz="4" w:space="0"/>
            </w:tcBorders>
            <w:vAlign w:val="center"/>
          </w:tcPr>
          <w:p w14:paraId="2D2BCA9A">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核心业务无法在RTO＜15分钟内实际可用；RPO未达到＜1分钟标准（即大于或等于1分钟）</w:t>
            </w:r>
          </w:p>
        </w:tc>
      </w:tr>
      <w:tr w14:paraId="7706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4067B151">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2  生产中心故障（模拟触发）真实切换</w:t>
            </w:r>
          </w:p>
        </w:tc>
        <w:tc>
          <w:tcPr>
            <w:tcW w:w="3000" w:type="dxa"/>
            <w:tcBorders>
              <w:top w:val="single" w:color="auto" w:sz="4" w:space="0"/>
              <w:left w:val="single" w:color="auto" w:sz="4" w:space="0"/>
              <w:bottom w:val="single" w:color="auto" w:sz="4" w:space="0"/>
              <w:right w:val="single" w:color="auto" w:sz="4" w:space="0"/>
            </w:tcBorders>
            <w:vAlign w:val="center"/>
          </w:tcPr>
          <w:p w14:paraId="1CE35AD4">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核心业务可接管且一致性校验通过（故障触发方式为模拟，切换本身须真实）</w:t>
            </w:r>
          </w:p>
        </w:tc>
        <w:tc>
          <w:tcPr>
            <w:tcW w:w="3740" w:type="dxa"/>
            <w:tcBorders>
              <w:top w:val="single" w:color="auto" w:sz="4" w:space="0"/>
              <w:left w:val="single" w:color="auto" w:sz="4" w:space="0"/>
              <w:bottom w:val="single" w:color="auto" w:sz="4" w:space="0"/>
              <w:right w:val="single" w:color="auto" w:sz="4" w:space="0"/>
            </w:tcBorders>
            <w:vAlign w:val="center"/>
          </w:tcPr>
          <w:p w14:paraId="2AE7AF85">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生产中心故障真实切换未通过；仅平台/虚拟机/数据库进程启动而业务功能不可用；以纯模拟切换替代真实业务切换验证（院方书面确认仅豁免生产流量切换环节，真实数据库副本、真实业务客户端、四类业务实际办理、数据一致性校验、RTO/RPO实测记录任一要素缺失即不通过）</w:t>
            </w:r>
          </w:p>
        </w:tc>
      </w:tr>
      <w:tr w14:paraId="0020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2F9D90B6">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3  数据库主备切换</w:t>
            </w:r>
          </w:p>
        </w:tc>
        <w:tc>
          <w:tcPr>
            <w:tcW w:w="3000" w:type="dxa"/>
            <w:tcBorders>
              <w:top w:val="single" w:color="auto" w:sz="4" w:space="0"/>
              <w:left w:val="single" w:color="auto" w:sz="4" w:space="0"/>
              <w:bottom w:val="single" w:color="auto" w:sz="4" w:space="0"/>
              <w:right w:val="single" w:color="auto" w:sz="4" w:space="0"/>
            </w:tcBorders>
            <w:vAlign w:val="center"/>
          </w:tcPr>
          <w:p w14:paraId="61A6590E">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读写正常，无脑裂，复制延迟达标</w:t>
            </w:r>
          </w:p>
        </w:tc>
        <w:tc>
          <w:tcPr>
            <w:tcW w:w="3740" w:type="dxa"/>
            <w:tcBorders>
              <w:top w:val="single" w:color="auto" w:sz="4" w:space="0"/>
              <w:left w:val="single" w:color="auto" w:sz="4" w:space="0"/>
              <w:bottom w:val="single" w:color="auto" w:sz="4" w:space="0"/>
              <w:right w:val="single" w:color="auto" w:sz="4" w:space="0"/>
            </w:tcBorders>
            <w:vAlign w:val="center"/>
          </w:tcPr>
          <w:p w14:paraId="00897BAE">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读写异常、出现脑裂或复制延迟超标</w:t>
            </w:r>
          </w:p>
        </w:tc>
      </w:tr>
      <w:tr w14:paraId="034C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68E3CC7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4  应用节点故障切换</w:t>
            </w:r>
          </w:p>
        </w:tc>
        <w:tc>
          <w:tcPr>
            <w:tcW w:w="3000" w:type="dxa"/>
            <w:tcBorders>
              <w:top w:val="single" w:color="auto" w:sz="4" w:space="0"/>
              <w:left w:val="single" w:color="auto" w:sz="4" w:space="0"/>
              <w:bottom w:val="single" w:color="auto" w:sz="4" w:space="0"/>
              <w:right w:val="single" w:color="auto" w:sz="4" w:space="0"/>
            </w:tcBorders>
            <w:vAlign w:val="center"/>
          </w:tcPr>
          <w:p w14:paraId="5B9C96F6">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应用自动/手动接管，业务功能正常</w:t>
            </w:r>
          </w:p>
        </w:tc>
        <w:tc>
          <w:tcPr>
            <w:tcW w:w="3740" w:type="dxa"/>
            <w:tcBorders>
              <w:top w:val="single" w:color="auto" w:sz="4" w:space="0"/>
              <w:left w:val="single" w:color="auto" w:sz="4" w:space="0"/>
              <w:bottom w:val="single" w:color="auto" w:sz="4" w:space="0"/>
              <w:right w:val="single" w:color="auto" w:sz="4" w:space="0"/>
            </w:tcBorders>
            <w:vAlign w:val="center"/>
          </w:tcPr>
          <w:p w14:paraId="5B8A772C">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应用节点故障切换未通过</w:t>
            </w:r>
          </w:p>
        </w:tc>
      </w:tr>
      <w:tr w14:paraId="1F21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5131C99A">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5  光纤主备路由切换</w:t>
            </w:r>
          </w:p>
        </w:tc>
        <w:tc>
          <w:tcPr>
            <w:tcW w:w="3000" w:type="dxa"/>
            <w:tcBorders>
              <w:top w:val="single" w:color="auto" w:sz="4" w:space="0"/>
              <w:left w:val="single" w:color="auto" w:sz="4" w:space="0"/>
              <w:bottom w:val="single" w:color="auto" w:sz="4" w:space="0"/>
              <w:right w:val="single" w:color="auto" w:sz="4" w:space="0"/>
            </w:tcBorders>
            <w:vAlign w:val="center"/>
          </w:tcPr>
          <w:p w14:paraId="677CE24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切换≤50ms，切换窗口业务感知为零（请求成功率100%、无超过1秒抖动）</w:t>
            </w:r>
          </w:p>
        </w:tc>
        <w:tc>
          <w:tcPr>
            <w:tcW w:w="3740" w:type="dxa"/>
            <w:tcBorders>
              <w:top w:val="single" w:color="auto" w:sz="4" w:space="0"/>
              <w:left w:val="single" w:color="auto" w:sz="4" w:space="0"/>
              <w:bottom w:val="single" w:color="auto" w:sz="4" w:space="0"/>
              <w:right w:val="single" w:color="auto" w:sz="4" w:space="0"/>
            </w:tcBorders>
            <w:vAlign w:val="center"/>
          </w:tcPr>
          <w:p w14:paraId="236FC478">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未通过，且不属于本表下注释所列外部依赖豁免情形</w:t>
            </w:r>
          </w:p>
        </w:tc>
      </w:tr>
      <w:tr w14:paraId="56240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7C96BB9B">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6  依赖系统联通验证</w:t>
            </w:r>
          </w:p>
        </w:tc>
        <w:tc>
          <w:tcPr>
            <w:tcW w:w="3000" w:type="dxa"/>
            <w:tcBorders>
              <w:top w:val="single" w:color="auto" w:sz="4" w:space="0"/>
              <w:left w:val="single" w:color="auto" w:sz="4" w:space="0"/>
              <w:bottom w:val="single" w:color="auto" w:sz="4" w:space="0"/>
              <w:right w:val="single" w:color="auto" w:sz="4" w:space="0"/>
            </w:tcBorders>
            <w:vAlign w:val="center"/>
          </w:tcPr>
          <w:p w14:paraId="65E1A11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DNS、支付、医保、自助机等按清单验证通过；院方及第三方依赖项以院方签署的《依赖系统联通确认单》为准</w:t>
            </w:r>
          </w:p>
        </w:tc>
        <w:tc>
          <w:tcPr>
            <w:tcW w:w="3740" w:type="dxa"/>
            <w:tcBorders>
              <w:top w:val="single" w:color="auto" w:sz="4" w:space="0"/>
              <w:left w:val="single" w:color="auto" w:sz="4" w:space="0"/>
              <w:bottom w:val="single" w:color="auto" w:sz="4" w:space="0"/>
              <w:right w:val="single" w:color="auto" w:sz="4" w:space="0"/>
            </w:tcBorders>
            <w:vAlign w:val="center"/>
          </w:tcPr>
          <w:p w14:paraId="22ACD516">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依赖系统未联通致核心业务无法办理，且经核查系供应商原因</w:t>
            </w:r>
          </w:p>
        </w:tc>
      </w:tr>
      <w:tr w14:paraId="175E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547FB7F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7  回切验证</w:t>
            </w:r>
          </w:p>
        </w:tc>
        <w:tc>
          <w:tcPr>
            <w:tcW w:w="3000" w:type="dxa"/>
            <w:tcBorders>
              <w:top w:val="single" w:color="auto" w:sz="4" w:space="0"/>
              <w:left w:val="single" w:color="auto" w:sz="4" w:space="0"/>
              <w:bottom w:val="single" w:color="auto" w:sz="4" w:space="0"/>
              <w:right w:val="single" w:color="auto" w:sz="4" w:space="0"/>
            </w:tcBorders>
            <w:vAlign w:val="center"/>
          </w:tcPr>
          <w:p w14:paraId="028EA17C">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数据反向同步、一致性校验、业务回切成功</w:t>
            </w:r>
          </w:p>
        </w:tc>
        <w:tc>
          <w:tcPr>
            <w:tcW w:w="3740" w:type="dxa"/>
            <w:tcBorders>
              <w:top w:val="single" w:color="auto" w:sz="4" w:space="0"/>
              <w:left w:val="single" w:color="auto" w:sz="4" w:space="0"/>
              <w:bottom w:val="single" w:color="auto" w:sz="4" w:space="0"/>
              <w:right w:val="single" w:color="auto" w:sz="4" w:space="0"/>
            </w:tcBorders>
            <w:vAlign w:val="center"/>
          </w:tcPr>
          <w:p w14:paraId="091E4EB6">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回切验证未通过</w:t>
            </w:r>
          </w:p>
        </w:tc>
      </w:tr>
      <w:tr w14:paraId="0D0B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2E02F43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8  失败回退验证</w:t>
            </w:r>
          </w:p>
        </w:tc>
        <w:tc>
          <w:tcPr>
            <w:tcW w:w="3000" w:type="dxa"/>
            <w:tcBorders>
              <w:top w:val="single" w:color="auto" w:sz="4" w:space="0"/>
              <w:left w:val="single" w:color="auto" w:sz="4" w:space="0"/>
              <w:bottom w:val="single" w:color="auto" w:sz="4" w:space="0"/>
              <w:right w:val="single" w:color="auto" w:sz="4" w:space="0"/>
            </w:tcBorders>
            <w:vAlign w:val="center"/>
          </w:tcPr>
          <w:p w14:paraId="42D8D053">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切换失败可按预案回退，无数据丢失</w:t>
            </w:r>
          </w:p>
        </w:tc>
        <w:tc>
          <w:tcPr>
            <w:tcW w:w="3740" w:type="dxa"/>
            <w:tcBorders>
              <w:top w:val="single" w:color="auto" w:sz="4" w:space="0"/>
              <w:left w:val="single" w:color="auto" w:sz="4" w:space="0"/>
              <w:bottom w:val="single" w:color="auto" w:sz="4" w:space="0"/>
              <w:right w:val="single" w:color="auto" w:sz="4" w:space="0"/>
            </w:tcBorders>
            <w:vAlign w:val="center"/>
          </w:tcPr>
          <w:p w14:paraId="1DB52E7F">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失败回退验证未通过或回退造成数据丢失</w:t>
            </w:r>
          </w:p>
        </w:tc>
      </w:tr>
      <w:tr w14:paraId="162E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376ADE1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9  一键/编排切换</w:t>
            </w:r>
          </w:p>
        </w:tc>
        <w:tc>
          <w:tcPr>
            <w:tcW w:w="3000" w:type="dxa"/>
            <w:tcBorders>
              <w:top w:val="single" w:color="auto" w:sz="4" w:space="0"/>
              <w:left w:val="single" w:color="auto" w:sz="4" w:space="0"/>
              <w:bottom w:val="single" w:color="auto" w:sz="4" w:space="0"/>
              <w:right w:val="single" w:color="auto" w:sz="4" w:space="0"/>
            </w:tcBorders>
            <w:vAlign w:val="center"/>
          </w:tcPr>
          <w:p w14:paraId="59E3E4C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单一编排任务完成数据库主备切换、应用启动、流量切换、安全策略生效与业务验证；人工介入≤2步且无需现场人员到场；附编排界面截图与执行日志</w:t>
            </w:r>
          </w:p>
        </w:tc>
        <w:tc>
          <w:tcPr>
            <w:tcW w:w="3740" w:type="dxa"/>
            <w:tcBorders>
              <w:top w:val="single" w:color="auto" w:sz="4" w:space="0"/>
              <w:left w:val="single" w:color="auto" w:sz="4" w:space="0"/>
              <w:bottom w:val="single" w:color="auto" w:sz="4" w:space="0"/>
              <w:right w:val="single" w:color="auto" w:sz="4" w:space="0"/>
            </w:tcBorders>
            <w:vAlign w:val="center"/>
          </w:tcPr>
          <w:p w14:paraId="798CD91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未提供单一编排任务证据，或人工介入超过2步，或切换须以现场人员到场为前提</w:t>
            </w:r>
          </w:p>
        </w:tc>
      </w:tr>
      <w:tr w14:paraId="2DA6E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5080DAF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10  核心业务容量与性能验证</w:t>
            </w:r>
          </w:p>
        </w:tc>
        <w:tc>
          <w:tcPr>
            <w:tcW w:w="3000" w:type="dxa"/>
            <w:tcBorders>
              <w:top w:val="single" w:color="auto" w:sz="4" w:space="0"/>
              <w:left w:val="single" w:color="auto" w:sz="4" w:space="0"/>
              <w:bottom w:val="single" w:color="auto" w:sz="4" w:space="0"/>
              <w:right w:val="single" w:color="auto" w:sz="4" w:space="0"/>
            </w:tcBorders>
            <w:vAlign w:val="center"/>
          </w:tcPr>
          <w:p w14:paraId="07794A5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生产近3个月峰值并发下，挂号/缴费/开药/取药各≥100笔真实业务，成功率100%，时延不劣于生产同期P95（95分位）值</w:t>
            </w:r>
          </w:p>
        </w:tc>
        <w:tc>
          <w:tcPr>
            <w:tcW w:w="3740" w:type="dxa"/>
            <w:tcBorders>
              <w:top w:val="single" w:color="auto" w:sz="4" w:space="0"/>
              <w:left w:val="single" w:color="auto" w:sz="4" w:space="0"/>
              <w:bottom w:val="single" w:color="auto" w:sz="4" w:space="0"/>
              <w:right w:val="single" w:color="auto" w:sz="4" w:space="0"/>
            </w:tcBorders>
            <w:vAlign w:val="center"/>
          </w:tcPr>
          <w:p w14:paraId="742D66E4">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交易成功率未达100%，或时延劣于生产同期P95（95分位）值</w:t>
            </w:r>
          </w:p>
        </w:tc>
      </w:tr>
      <w:tr w14:paraId="05D4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519A035C">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11  生产—容灾故障隔离性核查</w:t>
            </w:r>
          </w:p>
        </w:tc>
        <w:tc>
          <w:tcPr>
            <w:tcW w:w="3000" w:type="dxa"/>
            <w:tcBorders>
              <w:top w:val="single" w:color="auto" w:sz="4" w:space="0"/>
              <w:left w:val="single" w:color="auto" w:sz="4" w:space="0"/>
              <w:bottom w:val="single" w:color="auto" w:sz="4" w:space="0"/>
              <w:right w:val="single" w:color="auto" w:sz="4" w:space="0"/>
            </w:tcBorders>
            <w:vAlign w:val="center"/>
          </w:tcPr>
          <w:p w14:paraId="19A16D4B">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五类单点（供电/网络出口/空调/消防/核心交换）无共用物理路径或设备；确因资源限制共用的，须提交《过渡保护措施说明》（替代路径/切换时限/责任方）并获院方书面认可；现场查验并输出《故障隔离核查表》</w:t>
            </w:r>
          </w:p>
        </w:tc>
        <w:tc>
          <w:tcPr>
            <w:tcW w:w="3740" w:type="dxa"/>
            <w:tcBorders>
              <w:top w:val="single" w:color="auto" w:sz="4" w:space="0"/>
              <w:left w:val="single" w:color="auto" w:sz="4" w:space="0"/>
              <w:bottom w:val="single" w:color="auto" w:sz="4" w:space="0"/>
              <w:right w:val="single" w:color="auto" w:sz="4" w:space="0"/>
            </w:tcBorders>
            <w:vAlign w:val="center"/>
          </w:tcPr>
          <w:p w14:paraId="6ACF0FE8">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存在共用单点，且未取得院方书面认可的《过渡保护措施说明》</w:t>
            </w:r>
          </w:p>
        </w:tc>
      </w:tr>
      <w:tr w14:paraId="10F0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53AF98C6">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12  数据一致性校验</w:t>
            </w:r>
          </w:p>
        </w:tc>
        <w:tc>
          <w:tcPr>
            <w:tcW w:w="3000" w:type="dxa"/>
            <w:tcBorders>
              <w:top w:val="single" w:color="auto" w:sz="4" w:space="0"/>
              <w:left w:val="single" w:color="auto" w:sz="4" w:space="0"/>
              <w:bottom w:val="single" w:color="auto" w:sz="4" w:space="0"/>
              <w:right w:val="single" w:color="auto" w:sz="4" w:space="0"/>
            </w:tcBorders>
            <w:vAlign w:val="center"/>
          </w:tcPr>
          <w:p w14:paraId="02C3BD95">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核心业务库全部表行数与校验和差异为零；供应商执行、院方复核并在《核心业务切换验证清单》签署确认</w:t>
            </w:r>
          </w:p>
        </w:tc>
        <w:tc>
          <w:tcPr>
            <w:tcW w:w="3740" w:type="dxa"/>
            <w:tcBorders>
              <w:top w:val="single" w:color="auto" w:sz="4" w:space="0"/>
              <w:left w:val="single" w:color="auto" w:sz="4" w:space="0"/>
              <w:bottom w:val="single" w:color="auto" w:sz="4" w:space="0"/>
              <w:right w:val="single" w:color="auto" w:sz="4" w:space="0"/>
            </w:tcBorders>
            <w:vAlign w:val="center"/>
          </w:tcPr>
          <w:p w14:paraId="7C9DB327">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未达4.1（3-1）第2条标准（差异为零），或差异明细未经院方在《核心业务切换验证清单》签署确认</w:t>
            </w:r>
          </w:p>
        </w:tc>
      </w:tr>
      <w:tr w14:paraId="18CC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43722E9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13  容灾资源余量</w:t>
            </w:r>
          </w:p>
        </w:tc>
        <w:tc>
          <w:tcPr>
            <w:tcW w:w="3000" w:type="dxa"/>
            <w:tcBorders>
              <w:top w:val="single" w:color="auto" w:sz="4" w:space="0"/>
              <w:left w:val="single" w:color="auto" w:sz="4" w:space="0"/>
              <w:bottom w:val="single" w:color="auto" w:sz="4" w:space="0"/>
              <w:right w:val="single" w:color="auto" w:sz="4" w:space="0"/>
            </w:tcBorders>
            <w:vAlign w:val="center"/>
          </w:tcPr>
          <w:p w14:paraId="75484DB4">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按生产近3个月监控峰值预留≥30%扩展空间；映射表逐项列明生产峰值、容灾配置量与余量百分比并经院方书面复核确认</w:t>
            </w:r>
          </w:p>
        </w:tc>
        <w:tc>
          <w:tcPr>
            <w:tcW w:w="3740" w:type="dxa"/>
            <w:tcBorders>
              <w:top w:val="single" w:color="auto" w:sz="4" w:space="0"/>
              <w:left w:val="single" w:color="auto" w:sz="4" w:space="0"/>
              <w:bottom w:val="single" w:color="auto" w:sz="4" w:space="0"/>
              <w:right w:val="single" w:color="auto" w:sz="4" w:space="0"/>
            </w:tcBorders>
            <w:vAlign w:val="center"/>
          </w:tcPr>
          <w:p w14:paraId="1163B169">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未按最近3个月峰值预留≥30%，或映射表未列明峰值/配置量/余量，或未经院方书面复核确认</w:t>
            </w:r>
          </w:p>
        </w:tc>
      </w:tr>
      <w:tr w14:paraId="72EB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00" w:type="dxa"/>
            <w:tcBorders>
              <w:top w:val="single" w:color="auto" w:sz="4" w:space="0"/>
              <w:left w:val="single" w:color="auto" w:sz="4" w:space="0"/>
              <w:bottom w:val="single" w:color="auto" w:sz="4" w:space="0"/>
              <w:right w:val="single" w:color="auto" w:sz="4" w:space="0"/>
            </w:tcBorders>
            <w:vAlign w:val="center"/>
          </w:tcPr>
          <w:p w14:paraId="67F279FD">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14  验收资料与业务分级清单</w:t>
            </w:r>
          </w:p>
        </w:tc>
        <w:tc>
          <w:tcPr>
            <w:tcW w:w="3000" w:type="dxa"/>
            <w:tcBorders>
              <w:top w:val="single" w:color="auto" w:sz="4" w:space="0"/>
              <w:left w:val="single" w:color="auto" w:sz="4" w:space="0"/>
              <w:bottom w:val="single" w:color="auto" w:sz="4" w:space="0"/>
              <w:right w:val="single" w:color="auto" w:sz="4" w:space="0"/>
            </w:tcBorders>
            <w:vAlign w:val="center"/>
          </w:tcPr>
          <w:p w14:paraId="310C50A8">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提交切换记录、操作日志、各步骤耗时、RTO/RPO实测数据、一致性校验报告、业务功能验证记录及截图；《容灾业务范围与分级清单》已确定且与本次执行范围一致</w:t>
            </w:r>
          </w:p>
        </w:tc>
        <w:tc>
          <w:tcPr>
            <w:tcW w:w="3740" w:type="dxa"/>
            <w:tcBorders>
              <w:top w:val="single" w:color="auto" w:sz="4" w:space="0"/>
              <w:left w:val="single" w:color="auto" w:sz="4" w:space="0"/>
              <w:bottom w:val="single" w:color="auto" w:sz="4" w:space="0"/>
              <w:right w:val="single" w:color="auto" w:sz="4" w:space="0"/>
            </w:tcBorders>
            <w:vAlign w:val="center"/>
          </w:tcPr>
          <w:p w14:paraId="1AE31F90">
            <w:pPr>
              <w:snapToGrid w:val="0"/>
              <w:spacing w:line="360" w:lineRule="auto"/>
              <w:jc w:val="left"/>
              <w:rPr>
                <w:rFonts w:ascii="宋体" w:hAnsi="宋体" w:eastAsia="宋体" w:cs="宋体"/>
                <w:kern w:val="2"/>
                <w:sz w:val="24"/>
                <w:szCs w:val="24"/>
                <w:highlight w:val="none"/>
              </w:rPr>
            </w:pPr>
            <w:r>
              <w:rPr>
                <w:rFonts w:hint="eastAsia" w:ascii="宋体" w:hAnsi="宋体" w:eastAsia="宋体" w:cs="宋体"/>
                <w:kern w:val="2"/>
                <w:sz w:val="24"/>
                <w:szCs w:val="24"/>
                <w:highlight w:val="none"/>
              </w:rPr>
              <w:t>无切换记录、日志、实测数据或证据包（资料终验阶段）；或分级清单未在验收前确定、范围不一致</w:t>
            </w:r>
          </w:p>
        </w:tc>
      </w:tr>
    </w:tbl>
    <w:p w14:paraId="09555446">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上表任一验收项不通过，验收不通过。</w:t>
      </w:r>
    </w:p>
    <w:p w14:paraId="3FC0DF35">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表中光纤主备路由切换、依赖系统联通验证两项属外部依赖项，其未通过仅在同时满足下列全部条件时不构成否决项：①有运营商故障单、院方书面记录或其他可核查证据证明系非供应商原因；②供应商已提供主备路由人工倒换预案并完成倒换演练，附倒换耗时记录，证明该失效不影响核心业务切换；③已签署限期整改承诺。除上述豁免外，本表任一行未通过，一律按本表「不通过情形」栏处理。RTO以院方指令工单或指挥系统时间戳与《核心业务切换验证清单》中首次业务成功时间戳之差计算；RPO以切换前最后一笔成功业务写入时间与容灾端该笔业务可见时间之差计算；两者均须取自同一时钟源的时间戳，并注明时区与时钟同步状态。本条为RTO/RPO的唯一计算口径，与本需求书其他章节表述不一致的，以本条为准。</w:t>
      </w:r>
    </w:p>
    <w:p w14:paraId="200D27BF">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出现上述任一情形的，供应商应在整改通知发出后5个工作日内提交与不通过项相关的实测证据与说明（切换记录、操作日志、RTO/RPO实测数据、数据一致性校验报告、业务功能验证记录）。</w:t>
      </w:r>
    </w:p>
    <w:p w14:paraId="4C74A988">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验收不通过的，供应商应在30日内完成整改并申请复验，复验范围为不通过项及其关联项；连续两次复验仍不通过的，院方有权按七.2（3）扣款、要求更换项目经理或解除合同。</w:t>
      </w:r>
    </w:p>
    <w:p w14:paraId="6FF6B43F">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rPr>
      </w:pPr>
      <w:r>
        <w:rPr>
          <w:rFonts w:hint="eastAsia" w:ascii="宋体" w:hAnsi="宋体" w:eastAsia="宋体" w:cs="宋体"/>
          <w:b w:val="0"/>
          <w:bCs/>
          <w:kern w:val="2"/>
          <w:sz w:val="24"/>
          <w:szCs w:val="24"/>
          <w:highlight w:val="none"/>
          <w:lang w:val="en-US" w:eastAsia="zh-CN" w:bidi="ar-SA"/>
        </w:rPr>
        <w:t>本需求书所列验收证据类交付物，除另有说明外，均由供应商编制、院方书面复核确认后方可作为验收依据。</w:t>
      </w:r>
    </w:p>
    <w:p w14:paraId="28BA89A0">
      <w:pPr>
        <w:pStyle w:val="3"/>
        <w:keepNext/>
        <w:keepLines/>
        <w:spacing w:before="180" w:after="180" w:line="380" w:lineRule="auto"/>
        <w:jc w:val="both"/>
        <w:outlineLvl w:val="1"/>
        <w:rPr>
          <w:rFonts w:ascii="宋体" w:hAnsi="宋体" w:eastAsia="宋体" w:cs="宋体"/>
          <w:kern w:val="2"/>
          <w:sz w:val="32"/>
          <w:szCs w:val="32"/>
          <w:highlight w:val="none"/>
        </w:rPr>
      </w:pPr>
      <w:r>
        <w:rPr>
          <w:rFonts w:ascii="宋体" w:hAnsi="宋体" w:eastAsia="宋体" w:cs="宋体"/>
          <w:kern w:val="2"/>
          <w:sz w:val="32"/>
          <w:szCs w:val="32"/>
          <w:highlight w:val="none"/>
        </w:rPr>
        <w:t>6.5 退出机制</w:t>
      </w:r>
    </w:p>
    <w:p w14:paraId="349503DE">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合同期满或终止前30日，供应商须完成全部运维文档、账号权限、配置信息的移交，确保院方可独立承接后续运维工作。供应商须按院方要求返还或删除患者数据，并提供数据销毁证明。院方有权要求不超过3个月的过渡服务期，供应商须配合。</w:t>
      </w:r>
    </w:p>
    <w:p w14:paraId="505A10FE">
      <w:pPr>
        <w:widowControl w:val="0"/>
        <w:adjustRightInd w:val="0"/>
        <w:spacing w:line="360" w:lineRule="auto"/>
        <w:ind w:firstLine="480" w:firstLineChars="200"/>
        <w:jc w:val="both"/>
        <w:textAlignment w:val="baseline"/>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供应商须同时移交《切换操作手册（Runbook）》、《生产与容灾资源映射表》、《核心业务切换验证清单》、《真实切换能力验证测试方案》、历史切换记录、演练报告、RTO/RPO实测数据及证据包，确保院方或后续供应商可独立完成切换和回切。</w:t>
      </w:r>
    </w:p>
    <w:p w14:paraId="13F79313">
      <w:pPr>
        <w:pStyle w:val="2"/>
        <w:numPr>
          <w:ilvl w:val="0"/>
          <w:numId w:val="3"/>
        </w:numPr>
        <w:spacing w:before="200" w:after="200" w:line="440" w:lineRule="auto"/>
        <w:jc w:val="both"/>
        <w:rPr>
          <w:rFonts w:ascii="宋体" w:hAnsi="宋体" w:eastAsia="宋体" w:cs="宋体"/>
          <w:kern w:val="2"/>
          <w:sz w:val="44"/>
          <w:szCs w:val="44"/>
          <w:highlight w:val="none"/>
        </w:rPr>
      </w:pPr>
      <w:r>
        <w:rPr>
          <w:rFonts w:hint="eastAsia" w:ascii="宋体" w:hAnsi="宋体" w:eastAsia="宋体" w:cs="宋体"/>
          <w:kern w:val="2"/>
          <w:sz w:val="44"/>
          <w:szCs w:val="44"/>
          <w:highlight w:val="none"/>
        </w:rPr>
        <w:t>项目团队人员配置要求</w:t>
      </w:r>
    </w:p>
    <w:p w14:paraId="6AE395F2">
      <w:pPr>
        <w:pStyle w:val="35"/>
        <w:numPr>
          <w:ilvl w:val="0"/>
          <w:numId w:val="5"/>
        </w:numPr>
        <w:spacing w:line="360" w:lineRule="auto"/>
        <w:ind w:firstLine="482" w:firstLineChars="200"/>
        <w:jc w:val="both"/>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驻场人员要求</w:t>
      </w:r>
    </w:p>
    <w:p w14:paraId="5C0F4EEA">
      <w:pPr>
        <w:pStyle w:val="18"/>
        <w:spacing w:after="0"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合同期内，供应商须提供一名驻场人员，人员要求如下：</w:t>
      </w:r>
    </w:p>
    <w:p w14:paraId="0F4480A6">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（1）人员资质与能力要求</w:t>
      </w:r>
    </w:p>
    <w:p w14:paraId="1DD35EFE">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学历要求：计算机/信息类专业专科及以上；</w:t>
      </w:r>
    </w:p>
    <w:p w14:paraId="02FC0590">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技术能力：具备主流数据库、虚拟化平台、网络设备的独立运维与故障处置能力，能独立完成数据库性能调优、容灾切换配合等关键操作；</w:t>
      </w:r>
    </w:p>
    <w:p w14:paraId="61584699">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行业经验：≥1年医疗行业运维经验，熟悉HIS/LIS等核心系统架构与业务逻辑。</w:t>
      </w:r>
    </w:p>
    <w:p w14:paraId="4C3C8D3D">
      <w:pPr>
        <w:spacing w:line="360" w:lineRule="auto"/>
        <w:ind w:firstLine="482" w:firstLineChars="200"/>
        <w:jc w:val="both"/>
        <w:rPr>
          <w:rFonts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（2）工作时间与响应要求</w:t>
      </w:r>
    </w:p>
    <w:p w14:paraId="49DD6A9D">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实行5×8小时现场值守+7×24小时远程待命工作制，非工作时段须保持手机/即时通讯工具畅通；</w:t>
      </w:r>
    </w:p>
    <w:p w14:paraId="34241AC2">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故障响应时效：</w:t>
      </w:r>
    </w:p>
    <w:p w14:paraId="552CAB1E">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核心业务系统故障：15分钟内响应，30分钟内提供临时处置方案；</w:t>
      </w:r>
    </w:p>
    <w:p w14:paraId="10A03B02">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一般故障：30分钟内响应，2小时内修复；</w:t>
      </w:r>
    </w:p>
    <w:p w14:paraId="27F5FAB8">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驻场人员无法现场处置时，须10分钟内升级至后台支撑团队，并全程跟踪直至闭环。</w:t>
      </w:r>
    </w:p>
    <w:p w14:paraId="31664078">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核心业务RTO＜15分钟。切换操作须支持自动或一键切换（平台功能要求见4.1（2-1）第3条），不依赖现场人员到达后再实施。驻场人员不得作为切换执行的必要前置条件，仅承担切换准备、值守配合、过程记录与结果确认，不得以“人员到场”作为切换前提。</w:t>
      </w:r>
    </w:p>
    <w:p w14:paraId="56F9FAFD">
      <w:pPr>
        <w:spacing w:line="360" w:lineRule="auto"/>
        <w:ind w:firstLine="482" w:firstLineChars="200"/>
        <w:jc w:val="both"/>
        <w:rPr>
          <w:rFonts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（3）人员稳定性管理</w:t>
      </w:r>
    </w:p>
    <w:p w14:paraId="1C119B21">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合同期内原则上不更换驻场人员；确需更换时：</w:t>
      </w:r>
    </w:p>
    <w:p w14:paraId="278E5E95">
      <w:pPr>
        <w:widowControl w:val="0"/>
        <w:numPr>
          <w:ilvl w:val="0"/>
          <w:numId w:val="6"/>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须提前7个工作日书面申请，附替换人员简历、能力说明、行业经验；</w:t>
      </w:r>
    </w:p>
    <w:p w14:paraId="7A35CB46">
      <w:pPr>
        <w:widowControl w:val="0"/>
        <w:numPr>
          <w:ilvl w:val="0"/>
          <w:numId w:val="6"/>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替换人员能力不得低于原人员；</w:t>
      </w:r>
    </w:p>
    <w:p w14:paraId="598673AF">
      <w:pPr>
        <w:widowControl w:val="0"/>
        <w:numPr>
          <w:ilvl w:val="0"/>
          <w:numId w:val="6"/>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设置≥5个工作日的交接过渡期，原人员须完成知识转移并签署《工作交接确认单》；</w:t>
      </w:r>
    </w:p>
    <w:p w14:paraId="7078ADAB">
      <w:pPr>
        <w:widowControl w:val="0"/>
        <w:numPr>
          <w:ilvl w:val="0"/>
          <w:numId w:val="6"/>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未经院方同意擅自更换，或替换人员能力/面试不达标，纳入供应商服务考核，按合同约定处理。</w:t>
      </w:r>
    </w:p>
    <w:p w14:paraId="292C34AF">
      <w:pPr>
        <w:spacing w:line="360" w:lineRule="auto"/>
        <w:ind w:firstLine="482" w:firstLineChars="200"/>
        <w:jc w:val="both"/>
        <w:rPr>
          <w:rFonts w:ascii="宋体" w:hAnsi="宋体" w:eastAsia="宋体" w:cs="宋体"/>
          <w:b/>
          <w:bCs/>
          <w:kern w:val="2"/>
          <w:sz w:val="24"/>
          <w:szCs w:val="24"/>
          <w:highlight w:val="none"/>
        </w:rPr>
      </w:pPr>
      <w:r>
        <w:rPr>
          <w:rFonts w:hint="eastAsia" w:ascii="宋体" w:hAnsi="宋体" w:eastAsia="宋体" w:cs="宋体"/>
          <w:b/>
          <w:bCs/>
          <w:kern w:val="2"/>
          <w:sz w:val="24"/>
          <w:szCs w:val="24"/>
          <w:highlight w:val="none"/>
        </w:rPr>
        <w:t>（4）工作内容与边界</w:t>
      </w:r>
    </w:p>
    <w:p w14:paraId="18E477F7">
      <w:pPr>
        <w:widowControl w:val="0"/>
        <w:numPr>
          <w:ilvl w:val="0"/>
          <w:numId w:val="7"/>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日常监控：对主机、存储、网络、安全、虚拟化平台实施7×24小时监控，核心指标异常15分钟内告警并启动处置；</w:t>
      </w:r>
    </w:p>
    <w:p w14:paraId="52752CED">
      <w:pPr>
        <w:widowControl w:val="0"/>
        <w:numPr>
          <w:ilvl w:val="0"/>
          <w:numId w:val="7"/>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定期汇报：每月提交《运维月报》，含资源使用趋势、风险预警、优化建议；</w:t>
      </w:r>
    </w:p>
    <w:p w14:paraId="1EF74146">
      <w:pPr>
        <w:widowControl w:val="0"/>
        <w:numPr>
          <w:ilvl w:val="0"/>
          <w:numId w:val="7"/>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禁止行为：未经授权不得操作生产数据库、不得批量导出患者数据、不得使用非院方批准的运维工具。</w:t>
      </w:r>
    </w:p>
    <w:p w14:paraId="496E7E2B">
      <w:pPr>
        <w:spacing w:line="360" w:lineRule="auto"/>
        <w:ind w:firstLine="480" w:firstLineChars="200"/>
        <w:jc w:val="both"/>
        <w:rPr>
          <w:rFonts w:ascii="宋体" w:hAnsi="宋体" w:eastAsia="宋体" w:cs="宋体"/>
          <w:kern w:val="2"/>
          <w:sz w:val="24"/>
          <w:szCs w:val="24"/>
          <w:highlight w:val="none"/>
        </w:rPr>
      </w:pPr>
      <w:r>
        <w:rPr>
          <w:rFonts w:hint="eastAsia" w:ascii="宋体" w:hAnsi="宋体" w:eastAsia="宋体" w:cs="宋体"/>
          <w:kern w:val="2"/>
          <w:sz w:val="24"/>
          <w:szCs w:val="24"/>
          <w:highlight w:val="none"/>
        </w:rPr>
        <w:t>（5）安全与合规要求</w:t>
      </w:r>
    </w:p>
    <w:p w14:paraId="0D36F2F8">
      <w:pPr>
        <w:widowControl w:val="0"/>
        <w:numPr>
          <w:ilvl w:val="0"/>
          <w:numId w:val="8"/>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驻场人员须签署《保密协议》《数据安全承诺书》；所有运维操作须通过堡垒机执行，操作日志留存≥180天，支持审计追溯；</w:t>
      </w:r>
    </w:p>
    <w:p w14:paraId="59AB790D">
      <w:pPr>
        <w:widowControl w:val="0"/>
        <w:numPr>
          <w:ilvl w:val="0"/>
          <w:numId w:val="8"/>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严格执行等保2.0三级“安全运维”要求，禁止使用默认账号、弱口令。</w:t>
      </w:r>
    </w:p>
    <w:p w14:paraId="257EAB2C">
      <w:pPr>
        <w:numPr>
          <w:ilvl w:val="0"/>
          <w:numId w:val="5"/>
        </w:numPr>
        <w:spacing w:line="360" w:lineRule="auto"/>
        <w:ind w:firstLine="482" w:firstLineChars="200"/>
        <w:jc w:val="both"/>
        <w:rPr>
          <w:rFonts w:ascii="宋体" w:hAnsi="宋体" w:eastAsia="宋体" w:cs="宋体"/>
          <w:b/>
          <w:kern w:val="2"/>
          <w:sz w:val="24"/>
          <w:szCs w:val="24"/>
          <w:highlight w:val="none"/>
        </w:rPr>
      </w:pPr>
      <w:r>
        <w:rPr>
          <w:rFonts w:hint="eastAsia" w:ascii="宋体" w:hAnsi="宋体" w:eastAsia="宋体" w:cs="宋体"/>
          <w:b/>
          <w:kern w:val="2"/>
          <w:sz w:val="24"/>
          <w:szCs w:val="24"/>
          <w:highlight w:val="none"/>
        </w:rPr>
        <w:t>机房维护人员要求</w:t>
      </w:r>
    </w:p>
    <w:p w14:paraId="57DE0F68">
      <w:pPr>
        <w:widowControl w:val="0"/>
        <w:tabs>
          <w:tab w:val="left" w:pos="8640"/>
        </w:tabs>
        <w:spacing w:after="0" w:line="360" w:lineRule="auto"/>
        <w:ind w:firstLine="480" w:firstLine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供应商应有专门的维护团队，对本项目租赁机房或云资源池涉及的主机、存储、网络安全设备、虚拟化平台等软硬件进行日常运维工作，包括但不限于版本优化、软硬件日常巡检、软硬件故障处理、架构优化、安全加固、日常分析、配合完成业务迁移上云等日常工作。</w:t>
      </w:r>
    </w:p>
    <w:p w14:paraId="6BE43E1C">
      <w:pPr>
        <w:widowControl w:val="0"/>
        <w:numPr>
          <w:ilvl w:val="0"/>
          <w:numId w:val="8"/>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须提供不少于3人的固定团队，指定项目经理，提供团队人员名单，与驻场人员共同维护、监控该项目内容。定期向使用方汇报租赁机房设备运行状况，提交巡检记录单等。</w:t>
      </w:r>
    </w:p>
    <w:p w14:paraId="569B3A81">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（1）团队配置与分工要求</w:t>
      </w:r>
    </w:p>
    <w:p w14:paraId="2604F845">
      <w:pPr>
        <w:widowControl w:val="0"/>
        <w:numPr>
          <w:ilvl w:val="0"/>
          <w:numId w:val="8"/>
        </w:numPr>
        <w:spacing w:line="360" w:lineRule="auto"/>
        <w:ind w:left="900" w:leftChars="200" w:hanging="480" w:hangingChars="20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供应商须提供≥3人的固定后台支撑团队，明确角色分工：</w:t>
      </w:r>
    </w:p>
    <w:p w14:paraId="2B9AEE55">
      <w:pPr>
        <w:widowControl w:val="0"/>
        <w:numPr>
          <w:ilvl w:val="0"/>
          <w:numId w:val="9"/>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项目经理1名：负责统筹协调、进度管控、院方对接，具备3年以上医疗信息化项目管理经验；</w:t>
      </w:r>
    </w:p>
    <w:p w14:paraId="15F3C435">
      <w:pPr>
        <w:widowControl w:val="0"/>
        <w:numPr>
          <w:ilvl w:val="0"/>
          <w:numId w:val="9"/>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数据库专家1名：具备主流数据库性能优化、容灾同步保障能力；</w:t>
      </w:r>
    </w:p>
    <w:p w14:paraId="2E1CCB60">
      <w:pPr>
        <w:widowControl w:val="0"/>
        <w:numPr>
          <w:ilvl w:val="0"/>
          <w:numId w:val="9"/>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虚拟化/云平台专家1名：具备资源调度、故障排查、云平台运维能力；</w:t>
      </w:r>
    </w:p>
    <w:p w14:paraId="1E748E19">
      <w:pPr>
        <w:widowControl w:val="0"/>
        <w:numPr>
          <w:ilvl w:val="0"/>
          <w:numId w:val="9"/>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关键岗位须设置AB角备份，确保任意人员缺位时服务不中断；</w:t>
      </w:r>
    </w:p>
    <w:p w14:paraId="7B5543DD">
      <w:pPr>
        <w:widowControl w:val="0"/>
        <w:numPr>
          <w:ilvl w:val="0"/>
          <w:numId w:val="9"/>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须提供团队成员能力说明或同类项目经验证明（合同关键页或用户证明）。</w:t>
      </w:r>
    </w:p>
    <w:p w14:paraId="7AEE6B4F">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（2）远程支援时效要求</w:t>
      </w:r>
    </w:p>
    <w:p w14:paraId="4395F817">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驻场人员升级的故障，后台专家须10分钟内响应，30分钟内提供远程处置方案；</w:t>
      </w:r>
    </w:p>
    <w:p w14:paraId="44996343">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需现场支援时，技术专家须2小时内抵达院方机房；</w:t>
      </w:r>
    </w:p>
    <w:p w14:paraId="24F34B74">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发生重大故障（如核心业务中断），项目经理+技术专家30分钟内组建应急小组，全程跟踪直至故障闭环。</w:t>
      </w:r>
    </w:p>
    <w:p w14:paraId="46BA2686">
      <w:pPr>
        <w:keepNext/>
        <w:keepLines/>
        <w:widowControl w:val="0"/>
        <w:spacing w:before="180" w:after="180" w:line="380" w:lineRule="auto"/>
        <w:jc w:val="both"/>
        <w:outlineLvl w:val="1"/>
        <w:rPr>
          <w:rFonts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（3）服务等级协议（SLA）要求</w:t>
      </w:r>
    </w:p>
    <w:p w14:paraId="02EEF6F3">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建立量化考核指标，纳入月度/季度服务评估：</w:t>
      </w:r>
    </w:p>
    <w:p w14:paraId="10CC7A8E">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核心故障响应时效：≤15分钟，未达标纳入服务考核；</w:t>
      </w:r>
    </w:p>
    <w:p w14:paraId="2CA3D007">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核心故障临时恢复：≤1小时，未达标纳入服务考核；核心故障临时恢复以容灾切换实现核心业务功能实际可用为准的，其时效要求与4.1（1）核心业务RTO＜15分钟一致，未达标除纳入服务考核外，同时按6.4.1判定表第1项处理；以设备重启、数据回灌等非容灾手段恢复的，仍按本条“≤1小时”考核。</w:t>
      </w:r>
    </w:p>
    <w:p w14:paraId="48BA949D">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月度服务可用性：≥99.99%，未达标按合同约定处理；</w:t>
      </w:r>
    </w:p>
    <w:p w14:paraId="505BA480">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巡检报告及时率：100%，延迟纳入服务考核；</w:t>
      </w:r>
    </w:p>
    <w:p w14:paraId="322F4281">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人员更换合规率：100%，违规按合同约定处理；</w:t>
      </w:r>
    </w:p>
    <w:p w14:paraId="2FE32780">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连续2个月关键指标不达标，院方有权要求更换项目经理。</w:t>
      </w:r>
    </w:p>
    <w:p w14:paraId="56266DF9">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核心业务切换成功率：100%（因供应商原因导致切换失败，按核心故障加重考核）；</w:t>
      </w:r>
    </w:p>
    <w:p w14:paraId="39BD9C1F">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容灾演练达标率：100%，每半年至少1次，其中每年至少1次核心业务真实切换演练；验收阶段完成并经院方签署确认的真实切换验证，可同时计入院方当年度1次核心业务真实切换演练及当半年度演练次数，场次统计以《演练报告》与《核心业务切换验证清单》为准；</w:t>
      </w:r>
    </w:p>
    <w:p w14:paraId="5B3230C4">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切换演练RTO/RPO达标率：100%，未达标须限期整改并复测；</w:t>
      </w:r>
    </w:p>
    <w:p w14:paraId="233EE71E">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因供应商原因导致真实切换失败或切换后核心业务不可用，院方有权按合同约定扣款、要求整改或终止合同。</w:t>
      </w:r>
    </w:p>
    <w:p w14:paraId="76CFAA53">
      <w:pPr>
        <w:keepNext/>
        <w:keepLines/>
        <w:widowControl w:val="0"/>
        <w:spacing w:before="180" w:after="180" w:line="380" w:lineRule="auto"/>
        <w:jc w:val="both"/>
        <w:outlineLvl w:val="1"/>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（4）知识转移与培训要求</w:t>
      </w:r>
    </w:p>
    <w:p w14:paraId="38CCC7EF">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项目验收前，提交《运维知识库》初稿，内容包括：系统架构图、应急预案、常见故障处理手册、配置基线清单、容灾切换操作指南等；</w:t>
      </w:r>
    </w:p>
    <w:p w14:paraId="3F3D94F5">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合同期满或终止前30日，完成全部运维文档、账号权限、配置信息的移交，确保院方可独立承接后续运维工作；</w:t>
      </w:r>
    </w:p>
    <w:p w14:paraId="15BDED20">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每半年组织1次容灾演练，提前15日提交演练方案，演练后5日内提交《演练报告》，内容包括：切换时效验证、数据一致性校验、问题改进建议等；</w:t>
      </w:r>
    </w:p>
    <w:p w14:paraId="082ECD11">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国家法定节假日、医院重大活动（如等级评审、互联互通测评）前，须提前7日提交《专项保障方案》，安排专家远程值守或现场待命；</w:t>
      </w:r>
    </w:p>
    <w:p w14:paraId="5CA347AA">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演练或保障期间发生业务中断，按核心故障标准加重考核，并纳入供应商年度服务评价。</w:t>
      </w:r>
    </w:p>
    <w:p w14:paraId="331516CD">
      <w:pPr>
        <w:widowControl w:val="0"/>
        <w:numPr>
          <w:ilvl w:val="0"/>
          <w:numId w:val="10"/>
        </w:numPr>
        <w:spacing w:line="360" w:lineRule="auto"/>
        <w:ind w:left="480" w:hanging="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演练报告须附切换记录、各步骤耗时、RTO/RPO实测数据、数据一致性校验结果和业务功能验证记录。未附实测证据的演练，不视为达标。</w:t>
      </w:r>
    </w:p>
    <w:p w14:paraId="676F4983">
      <w:pPr>
        <w:jc w:val="center"/>
      </w:pPr>
    </w:p>
    <w:sectPr>
      <w:footerReference r:id="rId5" w:type="default"/>
      <w:pgSz w:w="11900" w:h="16840"/>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16074722"/>
    </w:sdtPr>
    <w:sdtContent>
      <w:p w14:paraId="277232EB">
        <w:pPr>
          <w:pStyle w:val="12"/>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2263A"/>
    <w:multiLevelType w:val="singleLevel"/>
    <w:tmpl w:val="D452263A"/>
    <w:lvl w:ilvl="0" w:tentative="0">
      <w:start w:val="1"/>
      <w:numFmt w:val="bullet"/>
      <w:lvlText w:val=""/>
      <w:lvlJc w:val="left"/>
      <w:pPr>
        <w:ind w:left="720" w:hanging="360"/>
      </w:pPr>
      <w:rPr>
        <w:rFonts w:hint="default" w:ascii="Symbol" w:hAnsi="Symbol" w:cs="Symbol"/>
        <w:sz w:val="20"/>
      </w:rPr>
    </w:lvl>
  </w:abstractNum>
  <w:abstractNum w:abstractNumId="1">
    <w:nsid w:val="DD411FA2"/>
    <w:multiLevelType w:val="singleLevel"/>
    <w:tmpl w:val="DD411FA2"/>
    <w:lvl w:ilvl="0" w:tentative="0">
      <w:start w:val="1"/>
      <w:numFmt w:val="bullet"/>
      <w:lvlText w:val=""/>
      <w:lvlJc w:val="left"/>
      <w:pPr>
        <w:ind w:left="420" w:hanging="420"/>
      </w:pPr>
      <w:rPr>
        <w:rFonts w:hint="default" w:ascii="Wingdings" w:hAnsi="Wingdings"/>
      </w:rPr>
    </w:lvl>
  </w:abstractNum>
  <w:abstractNum w:abstractNumId="2">
    <w:nsid w:val="DEA19D5C"/>
    <w:multiLevelType w:val="singleLevel"/>
    <w:tmpl w:val="DEA19D5C"/>
    <w:lvl w:ilvl="0" w:tentative="0">
      <w:start w:val="1"/>
      <w:numFmt w:val="bullet"/>
      <w:lvlText w:val=""/>
      <w:lvlJc w:val="left"/>
      <w:pPr>
        <w:ind w:left="300" w:hanging="360"/>
      </w:pPr>
      <w:rPr>
        <w:rFonts w:hint="default" w:ascii="Symbol" w:hAnsi="Symbol" w:cs="Symbol"/>
        <w:sz w:val="20"/>
      </w:rPr>
    </w:lvl>
  </w:abstractNum>
  <w:abstractNum w:abstractNumId="3">
    <w:nsid w:val="04A85247"/>
    <w:multiLevelType w:val="singleLevel"/>
    <w:tmpl w:val="04A85247"/>
    <w:lvl w:ilvl="0" w:tentative="0">
      <w:start w:val="1"/>
      <w:numFmt w:val="bullet"/>
      <w:lvlText w:val=""/>
      <w:lvlJc w:val="left"/>
      <w:pPr>
        <w:ind w:left="720" w:hanging="360"/>
      </w:pPr>
      <w:rPr>
        <w:rFonts w:hint="default" w:ascii="Symbol" w:hAnsi="Symbol" w:cs="Symbol"/>
        <w:sz w:val="20"/>
      </w:rPr>
    </w:lvl>
  </w:abstractNum>
  <w:abstractNum w:abstractNumId="4">
    <w:nsid w:val="14D73ED3"/>
    <w:multiLevelType w:val="singleLevel"/>
    <w:tmpl w:val="14D73ED3"/>
    <w:lvl w:ilvl="0" w:tentative="0">
      <w:start w:val="1"/>
      <w:numFmt w:val="bullet"/>
      <w:lvlText w:val=""/>
      <w:lvlJc w:val="left"/>
      <w:pPr>
        <w:ind w:left="720" w:hanging="360"/>
      </w:pPr>
      <w:rPr>
        <w:rFonts w:hint="default" w:ascii="Symbol" w:hAnsi="Symbol" w:cs="Symbol"/>
        <w:sz w:val="20"/>
      </w:rPr>
    </w:lvl>
  </w:abstractNum>
  <w:abstractNum w:abstractNumId="5">
    <w:nsid w:val="29015205"/>
    <w:multiLevelType w:val="multilevel"/>
    <w:tmpl w:val="29015205"/>
    <w:lvl w:ilvl="0" w:tentative="0">
      <w:start w:val="1"/>
      <w:numFmt w:val="decimal"/>
      <w:pStyle w:val="2"/>
      <w:lvlText w:val="%1"/>
      <w:lvlJc w:val="left"/>
      <w:pPr>
        <w:ind w:left="432" w:hanging="432"/>
      </w:pPr>
      <w:rPr>
        <w:rFonts w:hint="eastAsia"/>
      </w:rPr>
    </w:lvl>
    <w:lvl w:ilvl="1" w:tentative="0">
      <w:start w:val="1"/>
      <w:numFmt w:val="decimal"/>
      <w:lvlText w:val="4.%2"/>
      <w:lvlJc w:val="left"/>
      <w:pPr>
        <w:ind w:left="576" w:hanging="576"/>
      </w:pPr>
      <w:rPr>
        <w:rFonts w:hint="eastAsia"/>
      </w:rPr>
    </w:lvl>
    <w:lvl w:ilvl="2" w:tentative="0">
      <w:start w:val="1"/>
      <w:numFmt w:val="decimal"/>
      <w:lvlText w:val="6.2.%3"/>
      <w:lvlJc w:val="left"/>
      <w:pPr>
        <w:ind w:left="720" w:hanging="720"/>
      </w:pPr>
      <w:rPr>
        <w:rFonts w:hint="eastAsia"/>
      </w:rPr>
    </w:lvl>
    <w:lvl w:ilvl="3" w:tentative="0">
      <w:start w:val="1"/>
      <w:numFmt w:val="decimal"/>
      <w:lvlText w:val="5.1.1.%4"/>
      <w:lvlJc w:val="left"/>
      <w:pPr>
        <w:ind w:left="864" w:hanging="864"/>
      </w:pPr>
      <w:rPr>
        <w:rFonts w:hint="eastAsia"/>
      </w:rPr>
    </w:lvl>
    <w:lvl w:ilvl="4" w:tentative="0">
      <w:start w:val="1"/>
      <w:numFmt w:val="decimal"/>
      <w:lvlText w:val="5.1.1.1.%5"/>
      <w:lvlJc w:val="left"/>
      <w:pPr>
        <w:ind w:left="2142"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6">
    <w:nsid w:val="2B663324"/>
    <w:multiLevelType w:val="singleLevel"/>
    <w:tmpl w:val="2B663324"/>
    <w:lvl w:ilvl="0" w:tentative="0">
      <w:start w:val="1"/>
      <w:numFmt w:val="bullet"/>
      <w:lvlText w:val=""/>
      <w:lvlJc w:val="left"/>
      <w:pPr>
        <w:ind w:left="300" w:hanging="360"/>
      </w:pPr>
      <w:rPr>
        <w:rFonts w:hint="default" w:ascii="Symbol" w:hAnsi="Symbol" w:cs="Symbol"/>
        <w:sz w:val="20"/>
      </w:rPr>
    </w:lvl>
  </w:abstractNum>
  <w:abstractNum w:abstractNumId="7">
    <w:nsid w:val="3934441A"/>
    <w:multiLevelType w:val="multilevel"/>
    <w:tmpl w:val="3934441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424A4138"/>
    <w:multiLevelType w:val="multilevel"/>
    <w:tmpl w:val="424A4138"/>
    <w:lvl w:ilvl="0" w:tentative="0">
      <w:start w:val="1"/>
      <w:numFmt w:val="chineseCountingThousand"/>
      <w:lvlText w:val="%1."/>
      <w:lvlJc w:val="left"/>
      <w:pPr>
        <w:ind w:left="432" w:hanging="432"/>
      </w:pPr>
      <w:rPr>
        <w:rFonts w:hint="eastAsia"/>
      </w:rPr>
    </w:lvl>
    <w:lvl w:ilvl="1" w:tentative="0">
      <w:start w:val="1"/>
      <w:numFmt w:val="decimal"/>
      <w:lvlText w:val="%1.%2"/>
      <w:lvlJc w:val="left"/>
      <w:pPr>
        <w:ind w:left="576" w:hanging="576"/>
      </w:pPr>
      <w:rPr>
        <w:rFonts w:hint="eastAsia"/>
      </w:rPr>
    </w:lvl>
    <w:lvl w:ilvl="2" w:tentative="0">
      <w:start w:val="1"/>
      <w:numFmt w:val="decimal"/>
      <w:lvlText w:val="%1.%2.%3"/>
      <w:lvlJc w:val="left"/>
      <w:pPr>
        <w:ind w:left="720" w:hanging="720"/>
      </w:pPr>
      <w:rPr>
        <w:rFonts w:hint="eastAsia"/>
      </w:rPr>
    </w:lvl>
    <w:lvl w:ilvl="3" w:tentative="0">
      <w:start w:val="1"/>
      <w:numFmt w:val="decimal"/>
      <w:lvlText w:val="%1.%2.%3.%4"/>
      <w:lvlJc w:val="left"/>
      <w:pPr>
        <w:ind w:left="864"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9">
    <w:nsid w:val="6602320A"/>
    <w:multiLevelType w:val="multilevel"/>
    <w:tmpl w:val="6602320A"/>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pStyle w:val="34"/>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9"/>
  </w:num>
  <w:num w:numId="3">
    <w:abstractNumId w:val="8"/>
  </w:num>
  <w:num w:numId="4">
    <w:abstractNumId w:val="1"/>
  </w:num>
  <w:num w:numId="5">
    <w:abstractNumId w:val="7"/>
  </w:num>
  <w:num w:numId="6">
    <w:abstractNumId w:val="3"/>
  </w:num>
  <w:num w:numId="7">
    <w:abstractNumId w:val="0"/>
  </w:num>
  <w:num w:numId="8">
    <w:abstractNumId w:val="4"/>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
  <w:drawingGridVerticalSpacing w:val="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4OGZiZTQ0YTE3OTJkYWVhZjcyNDNjZTQ0NTkzN2IifQ=="/>
  </w:docVars>
  <w:rsids>
    <w:rsidRoot w:val="006E4950"/>
    <w:rsid w:val="00005886"/>
    <w:rsid w:val="000157D8"/>
    <w:rsid w:val="00017029"/>
    <w:rsid w:val="00017BA9"/>
    <w:rsid w:val="000218D4"/>
    <w:rsid w:val="0002663B"/>
    <w:rsid w:val="00030D5D"/>
    <w:rsid w:val="000365D6"/>
    <w:rsid w:val="00037E53"/>
    <w:rsid w:val="00042EF5"/>
    <w:rsid w:val="0004588D"/>
    <w:rsid w:val="00055B6A"/>
    <w:rsid w:val="0005653A"/>
    <w:rsid w:val="00057A55"/>
    <w:rsid w:val="00066330"/>
    <w:rsid w:val="000704DD"/>
    <w:rsid w:val="00070968"/>
    <w:rsid w:val="000A227B"/>
    <w:rsid w:val="000A7314"/>
    <w:rsid w:val="000B2261"/>
    <w:rsid w:val="000C3621"/>
    <w:rsid w:val="000D2F42"/>
    <w:rsid w:val="000E1F56"/>
    <w:rsid w:val="000E53EF"/>
    <w:rsid w:val="000E69C5"/>
    <w:rsid w:val="000F64E4"/>
    <w:rsid w:val="001024EA"/>
    <w:rsid w:val="00111329"/>
    <w:rsid w:val="001129C5"/>
    <w:rsid w:val="00112ACC"/>
    <w:rsid w:val="001221F0"/>
    <w:rsid w:val="00125559"/>
    <w:rsid w:val="00131C75"/>
    <w:rsid w:val="00135636"/>
    <w:rsid w:val="0013754E"/>
    <w:rsid w:val="00137C67"/>
    <w:rsid w:val="00141317"/>
    <w:rsid w:val="0014337F"/>
    <w:rsid w:val="00152FEC"/>
    <w:rsid w:val="00154A69"/>
    <w:rsid w:val="00155D04"/>
    <w:rsid w:val="0016425D"/>
    <w:rsid w:val="0016437A"/>
    <w:rsid w:val="00166044"/>
    <w:rsid w:val="00180079"/>
    <w:rsid w:val="00186985"/>
    <w:rsid w:val="00187716"/>
    <w:rsid w:val="0019023B"/>
    <w:rsid w:val="00192D4B"/>
    <w:rsid w:val="001951CA"/>
    <w:rsid w:val="00196DD4"/>
    <w:rsid w:val="00196DF2"/>
    <w:rsid w:val="00197826"/>
    <w:rsid w:val="001A08EA"/>
    <w:rsid w:val="001A6DBE"/>
    <w:rsid w:val="001B4B48"/>
    <w:rsid w:val="001D60BC"/>
    <w:rsid w:val="001D615E"/>
    <w:rsid w:val="001E39E3"/>
    <w:rsid w:val="001E686A"/>
    <w:rsid w:val="001F0D98"/>
    <w:rsid w:val="002011C8"/>
    <w:rsid w:val="0020218F"/>
    <w:rsid w:val="002069C4"/>
    <w:rsid w:val="00211A01"/>
    <w:rsid w:val="00213943"/>
    <w:rsid w:val="0021604C"/>
    <w:rsid w:val="00217D46"/>
    <w:rsid w:val="00221310"/>
    <w:rsid w:val="002218DF"/>
    <w:rsid w:val="002222DE"/>
    <w:rsid w:val="00227273"/>
    <w:rsid w:val="002304BC"/>
    <w:rsid w:val="0023074A"/>
    <w:rsid w:val="00230E1E"/>
    <w:rsid w:val="00232760"/>
    <w:rsid w:val="00232958"/>
    <w:rsid w:val="00246633"/>
    <w:rsid w:val="002618A2"/>
    <w:rsid w:val="00261F0C"/>
    <w:rsid w:val="00263A4F"/>
    <w:rsid w:val="0026780F"/>
    <w:rsid w:val="00282AF9"/>
    <w:rsid w:val="00290C49"/>
    <w:rsid w:val="00292DBA"/>
    <w:rsid w:val="0029415E"/>
    <w:rsid w:val="00294D0D"/>
    <w:rsid w:val="002A2358"/>
    <w:rsid w:val="002A26F2"/>
    <w:rsid w:val="002A31E8"/>
    <w:rsid w:val="002A4659"/>
    <w:rsid w:val="002B7C92"/>
    <w:rsid w:val="002D11F9"/>
    <w:rsid w:val="002D57A8"/>
    <w:rsid w:val="002D6E4A"/>
    <w:rsid w:val="002E40F6"/>
    <w:rsid w:val="002E5F7E"/>
    <w:rsid w:val="002F1C39"/>
    <w:rsid w:val="002F5DA0"/>
    <w:rsid w:val="002F647A"/>
    <w:rsid w:val="002F75E2"/>
    <w:rsid w:val="003170CC"/>
    <w:rsid w:val="00327136"/>
    <w:rsid w:val="00332847"/>
    <w:rsid w:val="00337BD7"/>
    <w:rsid w:val="00342D5A"/>
    <w:rsid w:val="003446F9"/>
    <w:rsid w:val="00345314"/>
    <w:rsid w:val="003461B2"/>
    <w:rsid w:val="00350614"/>
    <w:rsid w:val="0035258F"/>
    <w:rsid w:val="00355E20"/>
    <w:rsid w:val="00372D83"/>
    <w:rsid w:val="0037742E"/>
    <w:rsid w:val="0038743E"/>
    <w:rsid w:val="00392A2D"/>
    <w:rsid w:val="00396B38"/>
    <w:rsid w:val="003A2C4F"/>
    <w:rsid w:val="003A3F68"/>
    <w:rsid w:val="003B3934"/>
    <w:rsid w:val="003B6534"/>
    <w:rsid w:val="003C34F6"/>
    <w:rsid w:val="003C618A"/>
    <w:rsid w:val="003D3F73"/>
    <w:rsid w:val="003D5589"/>
    <w:rsid w:val="003D5687"/>
    <w:rsid w:val="003D6376"/>
    <w:rsid w:val="003E5E22"/>
    <w:rsid w:val="003E61A3"/>
    <w:rsid w:val="003F01CF"/>
    <w:rsid w:val="004006A7"/>
    <w:rsid w:val="0040587C"/>
    <w:rsid w:val="00406026"/>
    <w:rsid w:val="00410784"/>
    <w:rsid w:val="00413632"/>
    <w:rsid w:val="0042331E"/>
    <w:rsid w:val="00426D96"/>
    <w:rsid w:val="00426F5F"/>
    <w:rsid w:val="004318FD"/>
    <w:rsid w:val="00431B5A"/>
    <w:rsid w:val="00434D95"/>
    <w:rsid w:val="00441AA5"/>
    <w:rsid w:val="00441B4D"/>
    <w:rsid w:val="00443EFA"/>
    <w:rsid w:val="00444E72"/>
    <w:rsid w:val="00451877"/>
    <w:rsid w:val="0045736F"/>
    <w:rsid w:val="00461DF7"/>
    <w:rsid w:val="004628CC"/>
    <w:rsid w:val="00467D2D"/>
    <w:rsid w:val="00483888"/>
    <w:rsid w:val="0048679B"/>
    <w:rsid w:val="00486903"/>
    <w:rsid w:val="004A465B"/>
    <w:rsid w:val="004A5E44"/>
    <w:rsid w:val="004B7961"/>
    <w:rsid w:val="004C06EA"/>
    <w:rsid w:val="004C0868"/>
    <w:rsid w:val="004D0A40"/>
    <w:rsid w:val="004D1E2A"/>
    <w:rsid w:val="004D4C2C"/>
    <w:rsid w:val="004D5459"/>
    <w:rsid w:val="004E11B1"/>
    <w:rsid w:val="004E4018"/>
    <w:rsid w:val="004E51B7"/>
    <w:rsid w:val="004E620E"/>
    <w:rsid w:val="004E74F3"/>
    <w:rsid w:val="00510B84"/>
    <w:rsid w:val="00513F2D"/>
    <w:rsid w:val="005274B3"/>
    <w:rsid w:val="0052770E"/>
    <w:rsid w:val="00530EAF"/>
    <w:rsid w:val="005335B4"/>
    <w:rsid w:val="005420CF"/>
    <w:rsid w:val="00545C9B"/>
    <w:rsid w:val="00545D67"/>
    <w:rsid w:val="0055205A"/>
    <w:rsid w:val="00555D82"/>
    <w:rsid w:val="00561390"/>
    <w:rsid w:val="00563992"/>
    <w:rsid w:val="00582CB9"/>
    <w:rsid w:val="00583E8C"/>
    <w:rsid w:val="00586DF6"/>
    <w:rsid w:val="00592BD1"/>
    <w:rsid w:val="00593912"/>
    <w:rsid w:val="0059484A"/>
    <w:rsid w:val="005A2301"/>
    <w:rsid w:val="005B089F"/>
    <w:rsid w:val="005B1AAA"/>
    <w:rsid w:val="005B1F37"/>
    <w:rsid w:val="005B2CF1"/>
    <w:rsid w:val="005B6C5B"/>
    <w:rsid w:val="005C0731"/>
    <w:rsid w:val="005C28BE"/>
    <w:rsid w:val="005C6922"/>
    <w:rsid w:val="005C7FD2"/>
    <w:rsid w:val="005D0ACB"/>
    <w:rsid w:val="005D1DE9"/>
    <w:rsid w:val="005D456F"/>
    <w:rsid w:val="005D77A8"/>
    <w:rsid w:val="005D77CC"/>
    <w:rsid w:val="005E2054"/>
    <w:rsid w:val="005E2917"/>
    <w:rsid w:val="005E5317"/>
    <w:rsid w:val="005E7481"/>
    <w:rsid w:val="006029D0"/>
    <w:rsid w:val="00613EDD"/>
    <w:rsid w:val="0061430E"/>
    <w:rsid w:val="00615929"/>
    <w:rsid w:val="00615C42"/>
    <w:rsid w:val="006236FA"/>
    <w:rsid w:val="00623AA5"/>
    <w:rsid w:val="0062542D"/>
    <w:rsid w:val="00626A6A"/>
    <w:rsid w:val="0063247C"/>
    <w:rsid w:val="00633D8A"/>
    <w:rsid w:val="00637942"/>
    <w:rsid w:val="00651C8E"/>
    <w:rsid w:val="00661289"/>
    <w:rsid w:val="0066563A"/>
    <w:rsid w:val="00665BF7"/>
    <w:rsid w:val="0067228D"/>
    <w:rsid w:val="00672A83"/>
    <w:rsid w:val="00674DF9"/>
    <w:rsid w:val="00676E2F"/>
    <w:rsid w:val="00680A9E"/>
    <w:rsid w:val="0068112D"/>
    <w:rsid w:val="00684C2C"/>
    <w:rsid w:val="00686149"/>
    <w:rsid w:val="006940B3"/>
    <w:rsid w:val="006A4B70"/>
    <w:rsid w:val="006A5EF4"/>
    <w:rsid w:val="006B1181"/>
    <w:rsid w:val="006B44A7"/>
    <w:rsid w:val="006C0969"/>
    <w:rsid w:val="006C5925"/>
    <w:rsid w:val="006D159E"/>
    <w:rsid w:val="006D21D2"/>
    <w:rsid w:val="006D3ED0"/>
    <w:rsid w:val="006E04F4"/>
    <w:rsid w:val="006E269B"/>
    <w:rsid w:val="006E46D8"/>
    <w:rsid w:val="006E4950"/>
    <w:rsid w:val="006E76CA"/>
    <w:rsid w:val="006F09FA"/>
    <w:rsid w:val="006F2719"/>
    <w:rsid w:val="006F3D85"/>
    <w:rsid w:val="00712056"/>
    <w:rsid w:val="00713118"/>
    <w:rsid w:val="0071549C"/>
    <w:rsid w:val="0071728F"/>
    <w:rsid w:val="0072127F"/>
    <w:rsid w:val="007257BE"/>
    <w:rsid w:val="007269A4"/>
    <w:rsid w:val="007313E3"/>
    <w:rsid w:val="00740656"/>
    <w:rsid w:val="0074731B"/>
    <w:rsid w:val="007608D7"/>
    <w:rsid w:val="00760A28"/>
    <w:rsid w:val="00763846"/>
    <w:rsid w:val="00766BF7"/>
    <w:rsid w:val="007671B8"/>
    <w:rsid w:val="0077278E"/>
    <w:rsid w:val="007764A2"/>
    <w:rsid w:val="0078020F"/>
    <w:rsid w:val="007930A2"/>
    <w:rsid w:val="0079798B"/>
    <w:rsid w:val="007B266A"/>
    <w:rsid w:val="007B50F3"/>
    <w:rsid w:val="007B7513"/>
    <w:rsid w:val="007B7B06"/>
    <w:rsid w:val="007C6B33"/>
    <w:rsid w:val="007D5150"/>
    <w:rsid w:val="007E6B60"/>
    <w:rsid w:val="007F05EB"/>
    <w:rsid w:val="007F1CB0"/>
    <w:rsid w:val="007F4A92"/>
    <w:rsid w:val="007F50D4"/>
    <w:rsid w:val="00806617"/>
    <w:rsid w:val="00810E2D"/>
    <w:rsid w:val="00811A4B"/>
    <w:rsid w:val="00817080"/>
    <w:rsid w:val="00824E95"/>
    <w:rsid w:val="008371A0"/>
    <w:rsid w:val="00845AAF"/>
    <w:rsid w:val="00845ED4"/>
    <w:rsid w:val="00850F89"/>
    <w:rsid w:val="00857BB0"/>
    <w:rsid w:val="008649B7"/>
    <w:rsid w:val="0086615E"/>
    <w:rsid w:val="00873BA7"/>
    <w:rsid w:val="00874E10"/>
    <w:rsid w:val="008771D3"/>
    <w:rsid w:val="008778FF"/>
    <w:rsid w:val="008827CA"/>
    <w:rsid w:val="00886F55"/>
    <w:rsid w:val="00894A1E"/>
    <w:rsid w:val="00894DC1"/>
    <w:rsid w:val="00895848"/>
    <w:rsid w:val="008A06ED"/>
    <w:rsid w:val="008A0BD7"/>
    <w:rsid w:val="008A36E3"/>
    <w:rsid w:val="008B17CD"/>
    <w:rsid w:val="008B4281"/>
    <w:rsid w:val="008C1448"/>
    <w:rsid w:val="008C6E46"/>
    <w:rsid w:val="008D7831"/>
    <w:rsid w:val="008E4BB5"/>
    <w:rsid w:val="008E683F"/>
    <w:rsid w:val="008F6B22"/>
    <w:rsid w:val="0090052F"/>
    <w:rsid w:val="009025FD"/>
    <w:rsid w:val="009054B4"/>
    <w:rsid w:val="009070DE"/>
    <w:rsid w:val="0091441F"/>
    <w:rsid w:val="009152E4"/>
    <w:rsid w:val="00916A2A"/>
    <w:rsid w:val="0092337C"/>
    <w:rsid w:val="00926018"/>
    <w:rsid w:val="009272CB"/>
    <w:rsid w:val="00927E7D"/>
    <w:rsid w:val="00933AA4"/>
    <w:rsid w:val="009359BD"/>
    <w:rsid w:val="0093694C"/>
    <w:rsid w:val="009428FF"/>
    <w:rsid w:val="00953434"/>
    <w:rsid w:val="0095393A"/>
    <w:rsid w:val="00954BED"/>
    <w:rsid w:val="00961355"/>
    <w:rsid w:val="009654A4"/>
    <w:rsid w:val="00984306"/>
    <w:rsid w:val="00987211"/>
    <w:rsid w:val="00991733"/>
    <w:rsid w:val="009926AA"/>
    <w:rsid w:val="00993A55"/>
    <w:rsid w:val="009978DE"/>
    <w:rsid w:val="009A1889"/>
    <w:rsid w:val="009B5B63"/>
    <w:rsid w:val="009D3ADF"/>
    <w:rsid w:val="009D75D2"/>
    <w:rsid w:val="009E5326"/>
    <w:rsid w:val="009E65DE"/>
    <w:rsid w:val="009E7FF4"/>
    <w:rsid w:val="009F0401"/>
    <w:rsid w:val="009F0ACE"/>
    <w:rsid w:val="009F0C0E"/>
    <w:rsid w:val="009F1450"/>
    <w:rsid w:val="009F5EEA"/>
    <w:rsid w:val="009F6A56"/>
    <w:rsid w:val="00A113AE"/>
    <w:rsid w:val="00A13253"/>
    <w:rsid w:val="00A26133"/>
    <w:rsid w:val="00A32D0D"/>
    <w:rsid w:val="00A3577D"/>
    <w:rsid w:val="00A4757E"/>
    <w:rsid w:val="00A60D7C"/>
    <w:rsid w:val="00A639F5"/>
    <w:rsid w:val="00A65BD1"/>
    <w:rsid w:val="00A67701"/>
    <w:rsid w:val="00A711E4"/>
    <w:rsid w:val="00A721BC"/>
    <w:rsid w:val="00A75638"/>
    <w:rsid w:val="00A82F87"/>
    <w:rsid w:val="00A83DA2"/>
    <w:rsid w:val="00A85EF3"/>
    <w:rsid w:val="00A9627B"/>
    <w:rsid w:val="00AA08CB"/>
    <w:rsid w:val="00AA2CEF"/>
    <w:rsid w:val="00AA33A1"/>
    <w:rsid w:val="00AA457F"/>
    <w:rsid w:val="00AA4C97"/>
    <w:rsid w:val="00AB07D9"/>
    <w:rsid w:val="00AB0814"/>
    <w:rsid w:val="00AB6BB2"/>
    <w:rsid w:val="00AC19C2"/>
    <w:rsid w:val="00AC4FCF"/>
    <w:rsid w:val="00AD72F7"/>
    <w:rsid w:val="00AE5844"/>
    <w:rsid w:val="00AE7031"/>
    <w:rsid w:val="00AF375E"/>
    <w:rsid w:val="00B0524B"/>
    <w:rsid w:val="00B12188"/>
    <w:rsid w:val="00B12FF8"/>
    <w:rsid w:val="00B20A70"/>
    <w:rsid w:val="00B22752"/>
    <w:rsid w:val="00B31BA7"/>
    <w:rsid w:val="00B34C55"/>
    <w:rsid w:val="00B41B32"/>
    <w:rsid w:val="00B50F84"/>
    <w:rsid w:val="00B547E5"/>
    <w:rsid w:val="00B54E84"/>
    <w:rsid w:val="00B564DF"/>
    <w:rsid w:val="00B57DEA"/>
    <w:rsid w:val="00B632E0"/>
    <w:rsid w:val="00B65BE0"/>
    <w:rsid w:val="00B65BEB"/>
    <w:rsid w:val="00B66DF0"/>
    <w:rsid w:val="00B76884"/>
    <w:rsid w:val="00B80ACF"/>
    <w:rsid w:val="00B85FA4"/>
    <w:rsid w:val="00B9397A"/>
    <w:rsid w:val="00B93CC0"/>
    <w:rsid w:val="00B95E63"/>
    <w:rsid w:val="00BA06A8"/>
    <w:rsid w:val="00BA0D2C"/>
    <w:rsid w:val="00BB7150"/>
    <w:rsid w:val="00BC3427"/>
    <w:rsid w:val="00BC7FA2"/>
    <w:rsid w:val="00BD3E1D"/>
    <w:rsid w:val="00BD5504"/>
    <w:rsid w:val="00BD5BBF"/>
    <w:rsid w:val="00BD651D"/>
    <w:rsid w:val="00BE466D"/>
    <w:rsid w:val="00BE5BDB"/>
    <w:rsid w:val="00C00EDA"/>
    <w:rsid w:val="00C10EEA"/>
    <w:rsid w:val="00C12BF3"/>
    <w:rsid w:val="00C16883"/>
    <w:rsid w:val="00C201B5"/>
    <w:rsid w:val="00C2753C"/>
    <w:rsid w:val="00C349C2"/>
    <w:rsid w:val="00C355F7"/>
    <w:rsid w:val="00C52846"/>
    <w:rsid w:val="00C578FD"/>
    <w:rsid w:val="00C61FBF"/>
    <w:rsid w:val="00C657FF"/>
    <w:rsid w:val="00C659B0"/>
    <w:rsid w:val="00C808AB"/>
    <w:rsid w:val="00C87D0D"/>
    <w:rsid w:val="00C91A9A"/>
    <w:rsid w:val="00C93531"/>
    <w:rsid w:val="00C9512F"/>
    <w:rsid w:val="00CA3950"/>
    <w:rsid w:val="00CC0A11"/>
    <w:rsid w:val="00CC6086"/>
    <w:rsid w:val="00CD0A37"/>
    <w:rsid w:val="00CD3F1F"/>
    <w:rsid w:val="00CD6672"/>
    <w:rsid w:val="00CE07FB"/>
    <w:rsid w:val="00CE655F"/>
    <w:rsid w:val="00CF36F1"/>
    <w:rsid w:val="00CF7012"/>
    <w:rsid w:val="00D00B5C"/>
    <w:rsid w:val="00D00FC0"/>
    <w:rsid w:val="00D0126E"/>
    <w:rsid w:val="00D01D81"/>
    <w:rsid w:val="00D03305"/>
    <w:rsid w:val="00D061DD"/>
    <w:rsid w:val="00D0740C"/>
    <w:rsid w:val="00D10486"/>
    <w:rsid w:val="00D14599"/>
    <w:rsid w:val="00D15858"/>
    <w:rsid w:val="00D23A31"/>
    <w:rsid w:val="00D2700D"/>
    <w:rsid w:val="00D27476"/>
    <w:rsid w:val="00D3182E"/>
    <w:rsid w:val="00D363FE"/>
    <w:rsid w:val="00D41911"/>
    <w:rsid w:val="00D44E37"/>
    <w:rsid w:val="00D47D7A"/>
    <w:rsid w:val="00D55088"/>
    <w:rsid w:val="00D55177"/>
    <w:rsid w:val="00D57BDF"/>
    <w:rsid w:val="00D619BF"/>
    <w:rsid w:val="00D65911"/>
    <w:rsid w:val="00D77B24"/>
    <w:rsid w:val="00D8345C"/>
    <w:rsid w:val="00D87EBB"/>
    <w:rsid w:val="00D94219"/>
    <w:rsid w:val="00DA2B6E"/>
    <w:rsid w:val="00DA3290"/>
    <w:rsid w:val="00DA4819"/>
    <w:rsid w:val="00DA60A7"/>
    <w:rsid w:val="00DA6A3E"/>
    <w:rsid w:val="00DA773E"/>
    <w:rsid w:val="00DA7A08"/>
    <w:rsid w:val="00DB43E5"/>
    <w:rsid w:val="00DC10A4"/>
    <w:rsid w:val="00DC5964"/>
    <w:rsid w:val="00DC6222"/>
    <w:rsid w:val="00DE0047"/>
    <w:rsid w:val="00DE4ABD"/>
    <w:rsid w:val="00DF36DD"/>
    <w:rsid w:val="00DF4F73"/>
    <w:rsid w:val="00E118FD"/>
    <w:rsid w:val="00E13127"/>
    <w:rsid w:val="00E15158"/>
    <w:rsid w:val="00E17D8B"/>
    <w:rsid w:val="00E2572D"/>
    <w:rsid w:val="00E27A08"/>
    <w:rsid w:val="00E322EA"/>
    <w:rsid w:val="00E36689"/>
    <w:rsid w:val="00E417DB"/>
    <w:rsid w:val="00E561C8"/>
    <w:rsid w:val="00E563FB"/>
    <w:rsid w:val="00E67572"/>
    <w:rsid w:val="00E67C64"/>
    <w:rsid w:val="00E67D77"/>
    <w:rsid w:val="00E81018"/>
    <w:rsid w:val="00E86B99"/>
    <w:rsid w:val="00E9277F"/>
    <w:rsid w:val="00E93F89"/>
    <w:rsid w:val="00E979C4"/>
    <w:rsid w:val="00EA1DE3"/>
    <w:rsid w:val="00EA3373"/>
    <w:rsid w:val="00EA54F6"/>
    <w:rsid w:val="00EA5D96"/>
    <w:rsid w:val="00EB2C12"/>
    <w:rsid w:val="00EB48CC"/>
    <w:rsid w:val="00EB4BA4"/>
    <w:rsid w:val="00EC028D"/>
    <w:rsid w:val="00EC0A94"/>
    <w:rsid w:val="00EC73A2"/>
    <w:rsid w:val="00ED7EB9"/>
    <w:rsid w:val="00EE516D"/>
    <w:rsid w:val="00EF477C"/>
    <w:rsid w:val="00EF4C75"/>
    <w:rsid w:val="00EF51F0"/>
    <w:rsid w:val="00F06ECF"/>
    <w:rsid w:val="00F1176C"/>
    <w:rsid w:val="00F131D7"/>
    <w:rsid w:val="00F17E71"/>
    <w:rsid w:val="00F230B0"/>
    <w:rsid w:val="00F35A5F"/>
    <w:rsid w:val="00F37FEB"/>
    <w:rsid w:val="00F42119"/>
    <w:rsid w:val="00F430F7"/>
    <w:rsid w:val="00F5011C"/>
    <w:rsid w:val="00F55C8C"/>
    <w:rsid w:val="00F625B4"/>
    <w:rsid w:val="00F70381"/>
    <w:rsid w:val="00F77DA5"/>
    <w:rsid w:val="00F819C0"/>
    <w:rsid w:val="00F83797"/>
    <w:rsid w:val="00F85EAF"/>
    <w:rsid w:val="00F86164"/>
    <w:rsid w:val="00FA0682"/>
    <w:rsid w:val="00FA2FF7"/>
    <w:rsid w:val="00FA3CBB"/>
    <w:rsid w:val="00FA3D67"/>
    <w:rsid w:val="00FA5A9F"/>
    <w:rsid w:val="00FA7A45"/>
    <w:rsid w:val="00FB0DA7"/>
    <w:rsid w:val="00FB147F"/>
    <w:rsid w:val="00FB2150"/>
    <w:rsid w:val="00FB3F60"/>
    <w:rsid w:val="00FC080C"/>
    <w:rsid w:val="00FD162D"/>
    <w:rsid w:val="00FE0FFE"/>
    <w:rsid w:val="00FE58C3"/>
    <w:rsid w:val="00FE6D48"/>
    <w:rsid w:val="00FF4411"/>
    <w:rsid w:val="039A43A3"/>
    <w:rsid w:val="042B127B"/>
    <w:rsid w:val="05D67AED"/>
    <w:rsid w:val="0BE3650F"/>
    <w:rsid w:val="13283E81"/>
    <w:rsid w:val="13420CD4"/>
    <w:rsid w:val="142574D0"/>
    <w:rsid w:val="16CF25DE"/>
    <w:rsid w:val="16D45E3C"/>
    <w:rsid w:val="206B7DC4"/>
    <w:rsid w:val="271E3575"/>
    <w:rsid w:val="27953A28"/>
    <w:rsid w:val="27CA6908"/>
    <w:rsid w:val="2A233575"/>
    <w:rsid w:val="2F2F2BF7"/>
    <w:rsid w:val="2F475B9D"/>
    <w:rsid w:val="33D44E08"/>
    <w:rsid w:val="353F352E"/>
    <w:rsid w:val="370D4377"/>
    <w:rsid w:val="38151BEF"/>
    <w:rsid w:val="38F41EC9"/>
    <w:rsid w:val="3A4A5930"/>
    <w:rsid w:val="3BDA3205"/>
    <w:rsid w:val="41B75E0B"/>
    <w:rsid w:val="437C7019"/>
    <w:rsid w:val="43B768A7"/>
    <w:rsid w:val="45BE1404"/>
    <w:rsid w:val="46C46EB5"/>
    <w:rsid w:val="46D40373"/>
    <w:rsid w:val="47ED5D24"/>
    <w:rsid w:val="4B4071D9"/>
    <w:rsid w:val="4C3B12F1"/>
    <w:rsid w:val="4D503867"/>
    <w:rsid w:val="4F0D5818"/>
    <w:rsid w:val="4FD727B4"/>
    <w:rsid w:val="52165069"/>
    <w:rsid w:val="539E4723"/>
    <w:rsid w:val="57D02FF1"/>
    <w:rsid w:val="57F51E26"/>
    <w:rsid w:val="58A85581"/>
    <w:rsid w:val="5A9B1234"/>
    <w:rsid w:val="5B0436F3"/>
    <w:rsid w:val="611F2AAF"/>
    <w:rsid w:val="61F36E5B"/>
    <w:rsid w:val="62762906"/>
    <w:rsid w:val="66583C79"/>
    <w:rsid w:val="693422FB"/>
    <w:rsid w:val="6BD063E9"/>
    <w:rsid w:val="6DF703B0"/>
    <w:rsid w:val="741B6ABC"/>
    <w:rsid w:val="7468676D"/>
    <w:rsid w:val="7A562762"/>
    <w:rsid w:val="7AEC7106"/>
    <w:rsid w:val="7B8E4CC0"/>
    <w:rsid w:val="7C63164A"/>
    <w:rsid w:val="7F38514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6"/>
    <w:semiHidden/>
    <w:unhideWhenUsed/>
    <w:qFormat/>
    <w:uiPriority w:val="99"/>
    <w:pPr>
      <w:jc w:val="left"/>
    </w:pPr>
  </w:style>
  <w:style w:type="paragraph" w:styleId="7">
    <w:name w:val="Body Text"/>
    <w:basedOn w:val="1"/>
    <w:next w:val="1"/>
    <w:qFormat/>
    <w:uiPriority w:val="0"/>
    <w:pPr>
      <w:tabs>
        <w:tab w:val="left" w:pos="420"/>
      </w:tabs>
    </w:pPr>
    <w:rPr>
      <w:rFonts w:ascii="宋体" w:hAnsi="宋体"/>
      <w:sz w:val="24"/>
    </w:rPr>
  </w:style>
  <w:style w:type="paragraph" w:styleId="8">
    <w:name w:val="Body Text Indent"/>
    <w:basedOn w:val="1"/>
    <w:next w:val="9"/>
    <w:qFormat/>
    <w:uiPriority w:val="0"/>
    <w:pPr>
      <w:tabs>
        <w:tab w:val="left" w:pos="8640"/>
      </w:tabs>
      <w:ind w:left="1365"/>
    </w:pPr>
  </w:style>
  <w:style w:type="paragraph" w:styleId="9">
    <w:name w:val="envelope return"/>
    <w:basedOn w:val="1"/>
    <w:unhideWhenUsed/>
    <w:qFormat/>
    <w:uiPriority w:val="99"/>
    <w:pPr>
      <w:snapToGrid w:val="0"/>
    </w:pPr>
    <w:rPr>
      <w:rFonts w:ascii="Arial" w:hAnsi="Arial"/>
    </w:rPr>
  </w:style>
  <w:style w:type="paragraph" w:styleId="10">
    <w:name w:val="Plain Text"/>
    <w:basedOn w:val="1"/>
    <w:qFormat/>
    <w:uiPriority w:val="0"/>
    <w:rPr>
      <w:rFonts w:ascii="宋体" w:hAnsi="Courier New"/>
    </w:rPr>
  </w:style>
  <w:style w:type="paragraph" w:styleId="11">
    <w:name w:val="Balloon Text"/>
    <w:basedOn w:val="1"/>
    <w:link w:val="28"/>
    <w:semiHidden/>
    <w:unhideWhenUsed/>
    <w:qFormat/>
    <w:uiPriority w:val="99"/>
    <w:rPr>
      <w:sz w:val="18"/>
      <w:szCs w:val="18"/>
    </w:rPr>
  </w:style>
  <w:style w:type="paragraph" w:styleId="12">
    <w:name w:val="footer"/>
    <w:basedOn w:val="1"/>
    <w:link w:val="26"/>
    <w:unhideWhenUsed/>
    <w:qFormat/>
    <w:uiPriority w:val="99"/>
    <w:pPr>
      <w:tabs>
        <w:tab w:val="center" w:pos="4153"/>
        <w:tab w:val="right" w:pos="8306"/>
      </w:tabs>
      <w:snapToGrid w:val="0"/>
      <w:jc w:val="left"/>
    </w:pPr>
    <w:rPr>
      <w:sz w:val="18"/>
      <w:szCs w:val="18"/>
    </w:rPr>
  </w:style>
  <w:style w:type="paragraph" w:styleId="13">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Body Text 2"/>
    <w:basedOn w:val="1"/>
    <w:next w:val="7"/>
    <w:qFormat/>
    <w:uiPriority w:val="0"/>
    <w:pPr>
      <w:jc w:val="left"/>
    </w:pPr>
    <w:rPr>
      <w:rFonts w:ascii="仿宋_GB2312" w:hAnsi="宋体" w:eastAsia="仿宋_GB2312"/>
    </w:rPr>
  </w:style>
  <w:style w:type="paragraph" w:styleId="1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6">
    <w:name w:val="annotation subject"/>
    <w:basedOn w:val="6"/>
    <w:next w:val="6"/>
    <w:link w:val="37"/>
    <w:semiHidden/>
    <w:unhideWhenUsed/>
    <w:qFormat/>
    <w:uiPriority w:val="99"/>
    <w:rPr>
      <w:b/>
      <w:bCs/>
    </w:rPr>
  </w:style>
  <w:style w:type="paragraph" w:styleId="17">
    <w:name w:val="Body Text First Indent"/>
    <w:basedOn w:val="7"/>
    <w:qFormat/>
    <w:uiPriority w:val="0"/>
    <w:pPr>
      <w:ind w:firstLine="420" w:firstLineChars="100"/>
    </w:pPr>
  </w:style>
  <w:style w:type="paragraph" w:styleId="18">
    <w:name w:val="Body Text First Indent 2"/>
    <w:basedOn w:val="8"/>
    <w:next w:val="17"/>
    <w:qFormat/>
    <w:uiPriority w:val="0"/>
    <w:pPr>
      <w:spacing w:after="120"/>
      <w:ind w:left="420" w:leftChars="200" w:firstLine="420" w:firstLineChars="200"/>
    </w:p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annotation reference"/>
    <w:basedOn w:val="21"/>
    <w:semiHidden/>
    <w:unhideWhenUsed/>
    <w:qFormat/>
    <w:uiPriority w:val="99"/>
    <w:rPr>
      <w:sz w:val="21"/>
      <w:szCs w:val="21"/>
    </w:rPr>
  </w:style>
  <w:style w:type="paragraph" w:styleId="24">
    <w:name w:val="List Paragraph"/>
    <w:basedOn w:val="1"/>
    <w:link w:val="29"/>
    <w:qFormat/>
    <w:uiPriority w:val="34"/>
    <w:pPr>
      <w:ind w:firstLine="420" w:firstLineChars="200"/>
    </w:pPr>
  </w:style>
  <w:style w:type="character" w:customStyle="1" w:styleId="25">
    <w:name w:val="页眉 字符"/>
    <w:basedOn w:val="21"/>
    <w:link w:val="13"/>
    <w:qFormat/>
    <w:uiPriority w:val="99"/>
    <w:rPr>
      <w:sz w:val="18"/>
      <w:szCs w:val="18"/>
    </w:rPr>
  </w:style>
  <w:style w:type="character" w:customStyle="1" w:styleId="26">
    <w:name w:val="页脚 字符"/>
    <w:basedOn w:val="21"/>
    <w:link w:val="12"/>
    <w:qFormat/>
    <w:uiPriority w:val="99"/>
    <w:rPr>
      <w:sz w:val="18"/>
      <w:szCs w:val="18"/>
    </w:rPr>
  </w:style>
  <w:style w:type="paragraph" w:customStyle="1" w:styleId="27">
    <w:name w:val="a1"/>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8">
    <w:name w:val="批注框文本 字符"/>
    <w:basedOn w:val="21"/>
    <w:link w:val="11"/>
    <w:semiHidden/>
    <w:qFormat/>
    <w:uiPriority w:val="99"/>
    <w:rPr>
      <w:kern w:val="2"/>
      <w:sz w:val="18"/>
      <w:szCs w:val="18"/>
    </w:rPr>
  </w:style>
  <w:style w:type="character" w:customStyle="1" w:styleId="29">
    <w:name w:val="列表段落 字符"/>
    <w:link w:val="24"/>
    <w:qFormat/>
    <w:uiPriority w:val="34"/>
    <w:rPr>
      <w:kern w:val="2"/>
      <w:sz w:val="21"/>
      <w:szCs w:val="24"/>
    </w:rPr>
  </w:style>
  <w:style w:type="paragraph" w:customStyle="1" w:styleId="30">
    <w:name w:val="_Style 15"/>
    <w:basedOn w:val="1"/>
    <w:next w:val="24"/>
    <w:qFormat/>
    <w:uiPriority w:val="34"/>
    <w:pPr>
      <w:ind w:firstLine="420" w:firstLineChars="200"/>
    </w:pPr>
    <w:rPr>
      <w:rFonts w:ascii="等线" w:hAnsi="等线" w:eastAsia="等线" w:cs="Times New Roman"/>
      <w:szCs w:val="22"/>
      <w:lang w:val="zh-CN"/>
    </w:rPr>
  </w:style>
  <w:style w:type="paragraph" w:customStyle="1" w:styleId="31">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32">
    <w:name w:val="标题 2 字符"/>
    <w:basedOn w:val="21"/>
    <w:link w:val="3"/>
    <w:qFormat/>
    <w:uiPriority w:val="9"/>
    <w:rPr>
      <w:rFonts w:asciiTheme="majorHAnsi" w:hAnsiTheme="majorHAnsi" w:eastAsiaTheme="majorEastAsia" w:cstheme="majorBidi"/>
      <w:b/>
      <w:bCs/>
      <w:kern w:val="2"/>
      <w:sz w:val="32"/>
      <w:szCs w:val="32"/>
    </w:rPr>
  </w:style>
  <w:style w:type="paragraph" w:styleId="33">
    <w:name w:val="No Spacing"/>
    <w:qFormat/>
    <w:uiPriority w:val="1"/>
    <w:pPr>
      <w:widowControl w:val="0"/>
      <w:spacing w:beforeLines="50" w:afterLines="50" w:line="360" w:lineRule="auto"/>
      <w:ind w:firstLine="200" w:firstLineChars="200"/>
      <w:jc w:val="both"/>
    </w:pPr>
    <w:rPr>
      <w:rFonts w:ascii="Calibri Light" w:hAnsi="Calibri Light" w:eastAsia="微软雅黑" w:cs="Times New Roman"/>
      <w:kern w:val="2"/>
      <w:sz w:val="22"/>
      <w:szCs w:val="21"/>
      <w:lang w:val="en-US" w:eastAsia="zh-CN" w:bidi="ar-SA"/>
    </w:rPr>
  </w:style>
  <w:style w:type="paragraph" w:customStyle="1" w:styleId="34">
    <w:name w:val="标题 4（DBSec）"/>
    <w:basedOn w:val="5"/>
    <w:next w:val="1"/>
    <w:qFormat/>
    <w:uiPriority w:val="0"/>
    <w:pPr>
      <w:widowControl/>
      <w:numPr>
        <w:ilvl w:val="3"/>
        <w:numId w:val="2"/>
      </w:numPr>
      <w:spacing w:after="156"/>
      <w:jc w:val="left"/>
    </w:pPr>
    <w:rPr>
      <w:rFonts w:cs="Times New Roman"/>
      <w:kern w:val="0"/>
    </w:rPr>
  </w:style>
  <w:style w:type="paragraph" w:customStyle="1" w:styleId="35">
    <w:name w:val="1"/>
    <w:basedOn w:val="1"/>
    <w:next w:val="10"/>
    <w:qFormat/>
    <w:uiPriority w:val="0"/>
    <w:rPr>
      <w:rFonts w:ascii="宋体" w:hAnsi="Courier New"/>
    </w:rPr>
  </w:style>
  <w:style w:type="character" w:customStyle="1" w:styleId="36">
    <w:name w:val="批注文字 字符"/>
    <w:basedOn w:val="21"/>
    <w:link w:val="6"/>
    <w:semiHidden/>
    <w:qFormat/>
    <w:uiPriority w:val="99"/>
    <w:rPr>
      <w:rFonts w:asciiTheme="minorHAnsi" w:hAnsiTheme="minorHAnsi" w:eastAsiaTheme="minorEastAsia" w:cstheme="minorBidi"/>
      <w:kern w:val="2"/>
      <w:sz w:val="21"/>
      <w:szCs w:val="24"/>
    </w:rPr>
  </w:style>
  <w:style w:type="character" w:customStyle="1" w:styleId="37">
    <w:name w:val="批注主题 字符"/>
    <w:basedOn w:val="36"/>
    <w:link w:val="16"/>
    <w:semiHidden/>
    <w:qFormat/>
    <w:uiPriority w:val="99"/>
    <w:rPr>
      <w:rFonts w:asciiTheme="minorHAnsi" w:hAnsiTheme="minorHAnsi" w:eastAsiaTheme="minorEastAsia" w:cstheme="minorBidi"/>
      <w:b/>
      <w:bCs/>
      <w:kern w:val="2"/>
      <w:sz w:val="21"/>
      <w:szCs w:val="24"/>
    </w:rPr>
  </w:style>
  <w:style w:type="paragraph" w:customStyle="1" w:styleId="38">
    <w:name w:val="No Spacing1"/>
    <w:basedOn w:val="1"/>
    <w:qFormat/>
    <w:uiPriority w:val="0"/>
    <w:pPr>
      <w:spacing w:beforeLines="50" w:afterLines="50" w:line="360" w:lineRule="auto"/>
      <w:ind w:firstLine="200" w:firstLineChars="200"/>
    </w:pPr>
    <w:rPr>
      <w:rFonts w:ascii="Calibri Light" w:hAnsi="Calibri Light" w:eastAsia="微软雅黑" w:cs="Times New Roman"/>
      <w:sz w:val="22"/>
      <w:szCs w:val="22"/>
    </w:rPr>
  </w:style>
  <w:style w:type="paragraph" w:customStyle="1" w:styleId="39">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9BA1C-B29E-48AB-871A-F70D94C6085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1174</Words>
  <Characters>1225</Characters>
  <Lines>97</Lines>
  <Paragraphs>27</Paragraphs>
  <TotalTime>23</TotalTime>
  <ScaleCrop>false</ScaleCrop>
  <LinksUpToDate>false</LinksUpToDate>
  <CharactersWithSpaces>1226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2026-04-20T01:43:00Z</dcterms:created>
  <dc:creator>zfj19910321@gmail.com</dc:creator>
  <cp:lastModifiedBy>信管处张芳健</cp:lastModifiedBy>
  <dcterms:modified xsi:type="dcterms:W3CDTF">2026-11-02T01:14:43Z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D8CF1571895C4AFDA63A1879DCA6CFDA_13</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1720331959</vt:lpwstr>
  </property>
  <property fmtid="{D5CDD505-2E9C-101B-9397-08002B2CF9AE}" pid="8" name="_2015_ms_pID_725343">
    <vt:lpwstr>(3)orUllaSchXIfdHsqRzmvhecLUfexk7Fm14VkkmqDtcPBdRNLBwWfdOuJ2KfJB2/ySARqI/MW
/sJQz+HQE148gTLXL9O01C6uFxpHqIh+u5d9037LU6ZUHqe1c9h1qOKpVyGWgLg+t7j/PzsR
uSZJqvnwxIdl2u+lD3krI3/xBFJuuYY3IgAMi0VQ7eGFwvDd+Y24xds1L/LsnicSMSk23bQ/
DihlhYgiA1NBdE+RWz</vt:lpwstr>
  </property>
  <property fmtid="{D5CDD505-2E9C-101B-9397-08002B2CF9AE}" pid="9" name="_2015_ms_pID_7253431">
    <vt:lpwstr>pZ13kTlj02Zs7Mm4MM+NdngmThHUs8fZScjGeOcGt/HCOOtiNTEbNU
x+RfeYECXU5nst6wT/VG+CuGBBWVBWrrWYKD50Pk2hvwltmrILUekSFIueRUOX9wQzfbUyAm
tPLs1Ccqq3E8LYBhz97dvYNj7DoLtiJwGn0JmLhJvWId8O5lEYWIs+8q1wARKLKoGFjHVo8Z
kjK32TGxrVwg74Rty69BIwehlRdi82tCuGU5</vt:lpwstr>
  </property>
  <property fmtid="{D5CDD505-2E9C-101B-9397-08002B2CF9AE}" pid="10" name="_2015_ms_pID_7253432">
    <vt:lpwstr>LA==</vt:lpwstr>
  </property>
  <property fmtid="{D5CDD505-2E9C-101B-9397-08002B2CF9AE}" pid="11" name="KSOTemplateDocerSaveRecord">
    <vt:lpwstr>eyJoZGlkIjoiM2YwY2UxNjVlNGJkMGIzYjJlY2FlN2ZmNGU5ZWU1ZjQiLCJ1c2VySWQiOiI0ODgwNDQwMTAifQ==</vt:lpwstr>
  </property>
  <property fmtid="{D5CDD505-2E9C-101B-9397-08002B2CF9AE}" pid="12" name="AIGC">
    <vt:lpwstr>{"Label":"1","ContentProducer":"MiniMax AI","ProduceID":"user:494915655631970310/node:456793648005388/ts:1793087633518","ReservedCode1":"","ContentPropagator":"MiniMax AI","PropagateID":"user:494915655631970310/node:456793648005388/ts:1793087633518","ReservedCode2":""}</vt:lpwstr>
  </property>
</Properties>
</file>