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624A63">
      <w:pPr>
        <w:autoSpaceDE/>
        <w:autoSpaceDN/>
        <w:spacing w:beforeLines="0" w:afterLines="0" w:line="360" w:lineRule="auto"/>
        <w:jc w:val="center"/>
        <w:outlineLvl w:val="0"/>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lang w:eastAsia="zh-CN"/>
        </w:rPr>
        <w:t>采购需求</w:t>
      </w:r>
    </w:p>
    <w:p w14:paraId="76ADB7DD">
      <w:pPr>
        <w:pStyle w:val="5"/>
        <w:autoSpaceDE/>
        <w:autoSpaceDN/>
        <w:spacing w:beforeLines="0" w:after="0" w:afterLines="0" w:line="360" w:lineRule="auto"/>
        <w:ind w:left="0" w:leftChars="0" w:firstLine="0" w:firstLineChars="0"/>
        <w:rPr>
          <w:rFonts w:hint="eastAsia" w:ascii="宋体" w:hAnsi="宋体" w:eastAsia="宋体" w:cs="宋体"/>
          <w:highlight w:val="none"/>
          <w:lang w:eastAsia="zh-CN"/>
        </w:rPr>
      </w:pPr>
    </w:p>
    <w:p w14:paraId="38CC9BFF">
      <w:pPr>
        <w:pStyle w:val="8"/>
        <w:autoSpaceDE/>
        <w:autoSpaceDN/>
        <w:spacing w:beforeLines="0" w:afterLines="0" w:line="360" w:lineRule="auto"/>
        <w:rPr>
          <w:rFonts w:hint="eastAsia" w:ascii="宋体" w:hAnsi="宋体" w:eastAsia="宋体" w:cs="宋体"/>
          <w:sz w:val="21"/>
          <w:szCs w:val="21"/>
          <w:highlight w:val="none"/>
          <w:lang w:eastAsia="zh-CN"/>
        </w:rPr>
      </w:pPr>
      <w:bookmarkStart w:id="0" w:name="_Toc103462367"/>
      <w:bookmarkStart w:id="1" w:name="_Toc103462489"/>
      <w:bookmarkStart w:id="2" w:name="_Toc103461607"/>
      <w:bookmarkStart w:id="3" w:name="_Toc103462393"/>
      <w:bookmarkStart w:id="4" w:name="_Toc6332"/>
      <w:bookmarkStart w:id="5" w:name="_Toc103461378"/>
      <w:r>
        <w:rPr>
          <w:rFonts w:hint="eastAsia" w:ascii="宋体" w:hAnsi="宋体" w:eastAsia="宋体" w:cs="宋体"/>
          <w:sz w:val="21"/>
          <w:szCs w:val="21"/>
          <w:highlight w:val="none"/>
          <w:lang w:eastAsia="zh-CN"/>
        </w:rPr>
        <w:t>一、项目概况</w:t>
      </w:r>
      <w:bookmarkEnd w:id="0"/>
      <w:bookmarkEnd w:id="1"/>
      <w:bookmarkEnd w:id="2"/>
      <w:bookmarkEnd w:id="3"/>
      <w:bookmarkEnd w:id="4"/>
      <w:bookmarkEnd w:id="5"/>
    </w:p>
    <w:p w14:paraId="73C4A320">
      <w:pPr>
        <w:autoSpaceDE/>
        <w:autoSpaceDN/>
        <w:snapToGrid w:val="0"/>
        <w:spacing w:beforeLines="0" w:afterLines="0" w:line="360" w:lineRule="auto"/>
        <w:ind w:firstLine="420" w:firstLineChars="200"/>
        <w:rPr>
          <w:rFonts w:hint="eastAsia" w:ascii="宋体" w:hAnsi="宋体" w:eastAsia="宋体" w:cs="宋体"/>
          <w:sz w:val="21"/>
          <w:szCs w:val="21"/>
          <w:highlight w:val="none"/>
          <w:lang w:eastAsia="zh-CN"/>
        </w:rPr>
      </w:pPr>
      <w:bookmarkStart w:id="6" w:name="_Hlk104035686"/>
      <w:r>
        <w:rPr>
          <w:rFonts w:hint="eastAsia" w:ascii="宋体" w:hAnsi="宋体" w:eastAsia="宋体" w:cs="宋体"/>
          <w:sz w:val="21"/>
          <w:szCs w:val="21"/>
          <w:highlight w:val="none"/>
        </w:rPr>
        <w:t>1.</w:t>
      </w:r>
      <w:r>
        <w:rPr>
          <w:rFonts w:hint="eastAsia" w:ascii="宋体" w:hAnsi="宋体" w:eastAsia="宋体" w:cs="宋体"/>
          <w:sz w:val="21"/>
          <w:szCs w:val="21"/>
          <w:highlight w:val="none"/>
          <w:lang w:eastAsia="zh-CN"/>
        </w:rPr>
        <w:t>拟采购供应商1名为北京师范大学珠海校区燕华苑学生宿舍改造工程项目提供施工准备阶段、施工阶段、竣工验收阶段和缺陷责任期等全过程监理服务。工程概况：</w:t>
      </w:r>
    </w:p>
    <w:p w14:paraId="1A8F5126">
      <w:pPr>
        <w:pStyle w:val="10"/>
        <w:keepNext w:val="0"/>
        <w:keepLines w:val="0"/>
        <w:pageBreakBefore w:val="0"/>
        <w:widowControl w:val="0"/>
        <w:numPr>
          <w:ilvl w:val="0"/>
          <w:numId w:val="1"/>
        </w:numPr>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建设地点：北京师范大学珠海校区燕华苑。</w:t>
      </w:r>
    </w:p>
    <w:p w14:paraId="20FD955E">
      <w:pPr>
        <w:pStyle w:val="10"/>
        <w:keepNext w:val="0"/>
        <w:keepLines w:val="0"/>
        <w:pageBreakBefore w:val="0"/>
        <w:widowControl w:val="0"/>
        <w:numPr>
          <w:ilvl w:val="0"/>
          <w:numId w:val="1"/>
        </w:numPr>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建设规模及内容：燕华苑3号楼、4号楼、5号楼、6号楼（仅外立面）、7号楼和8号楼，总建筑面积约</w:t>
      </w:r>
      <w:r>
        <w:rPr>
          <w:rFonts w:hint="eastAsia" w:ascii="宋体" w:hAnsi="宋体" w:eastAsia="宋体" w:cs="宋体"/>
          <w:b w:val="0"/>
          <w:bCs w:val="0"/>
          <w:kern w:val="0"/>
          <w:sz w:val="21"/>
          <w:szCs w:val="21"/>
          <w:highlight w:val="none"/>
          <w:lang w:val="en-US" w:eastAsia="zh-CN"/>
        </w:rPr>
        <w:t>46544.51</w:t>
      </w:r>
      <w:r>
        <w:rPr>
          <w:rFonts w:hint="eastAsia" w:ascii="宋体" w:hAnsi="宋体" w:eastAsia="宋体" w:cs="宋体"/>
          <w:sz w:val="21"/>
          <w:szCs w:val="21"/>
          <w:highlight w:val="none"/>
          <w:lang w:eastAsia="zh-CN"/>
        </w:rPr>
        <w:t>平方米。包括：建筑、结构、消防、室内精装、外立面、室外景观、强电、弱电、智能化等全专业工程，</w:t>
      </w:r>
      <w:r>
        <w:rPr>
          <w:rFonts w:hint="eastAsia" w:ascii="宋体" w:hAnsi="宋体" w:eastAsia="宋体" w:cs="宋体"/>
          <w:sz w:val="21"/>
          <w:szCs w:val="21"/>
          <w:highlight w:val="none"/>
          <w:lang w:val="en-US" w:eastAsia="zh-CN"/>
        </w:rPr>
        <w:t>并通过政府相关部门验收</w:t>
      </w:r>
      <w:r>
        <w:rPr>
          <w:rFonts w:hint="eastAsia" w:ascii="宋体" w:hAnsi="宋体" w:eastAsia="宋体" w:cs="宋体"/>
          <w:sz w:val="21"/>
          <w:szCs w:val="21"/>
          <w:highlight w:val="none"/>
          <w:lang w:eastAsia="zh-CN"/>
        </w:rPr>
        <w:t>直至取得竣工验收备案。（最终以实际实施为准）</w:t>
      </w:r>
    </w:p>
    <w:p w14:paraId="66175343">
      <w:pPr>
        <w:pStyle w:val="10"/>
        <w:autoSpaceDE/>
        <w:autoSpaceDN/>
        <w:spacing w:beforeLines="0" w:afterLines="0" w:line="360" w:lineRule="auto"/>
        <w:ind w:firstLine="420"/>
        <w:jc w:val="both"/>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2.</w:t>
      </w:r>
      <w:r>
        <w:rPr>
          <w:rFonts w:hint="eastAsia" w:ascii="宋体" w:hAnsi="宋体" w:eastAsia="宋体" w:cs="宋体"/>
          <w:sz w:val="21"/>
          <w:szCs w:val="21"/>
          <w:highlight w:val="none"/>
          <w:lang w:eastAsia="zh-CN"/>
        </w:rPr>
        <w:t>投标人负责监理的工程，应符合《中华人民共和国建筑法》（2019修订）、《建设工程监理规范》（ GB/T50319-2013）、《建筑内部装修设计防火规范》（GB50222-2017）、《建设工程质量管理条例》（2023 修订）、《给水排水管道工程施工及验收规范》（GB50268-2024）、《建筑工程施工质量验收统一标准》（GB50300-2013）及国家现行相关专业有关施工质量规范标准及设计图纸中相关设计规范、标准，达到合格或（以上标准），并通过采购人及相关主管部门进行的项目验收。</w:t>
      </w:r>
    </w:p>
    <w:p w14:paraId="692941A8">
      <w:pPr>
        <w:pStyle w:val="10"/>
        <w:autoSpaceDE/>
        <w:autoSpaceDN/>
        <w:spacing w:beforeLines="0" w:afterLines="0" w:line="360" w:lineRule="auto"/>
        <w:ind w:firstLine="420"/>
        <w:jc w:val="both"/>
        <w:rPr>
          <w:rFonts w:hint="eastAsia" w:cs="宋体"/>
          <w:sz w:val="21"/>
          <w:szCs w:val="21"/>
          <w:highlight w:val="none"/>
          <w:lang w:val="en-US" w:eastAsia="zh-CN"/>
        </w:rPr>
      </w:pPr>
      <w:r>
        <w:rPr>
          <w:rFonts w:hint="eastAsia" w:cs="宋体"/>
          <w:sz w:val="21"/>
          <w:szCs w:val="21"/>
          <w:highlight w:val="none"/>
          <w:lang w:val="en-US" w:eastAsia="zh-CN"/>
        </w:rPr>
        <w:t>3.楼栋清单</w:t>
      </w:r>
    </w:p>
    <w:tbl>
      <w:tblPr>
        <w:tblStyle w:val="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6"/>
        <w:gridCol w:w="1581"/>
        <w:gridCol w:w="1932"/>
        <w:gridCol w:w="2158"/>
        <w:gridCol w:w="2159"/>
      </w:tblGrid>
      <w:tr w14:paraId="5B19A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jc w:val="center"/>
        </w:trPr>
        <w:tc>
          <w:tcPr>
            <w:tcW w:w="1024" w:type="pct"/>
            <w:tcBorders>
              <w:top w:val="single" w:color="auto" w:sz="4" w:space="0"/>
              <w:left w:val="single" w:color="auto" w:sz="4" w:space="0"/>
              <w:bottom w:val="single" w:color="auto" w:sz="4" w:space="0"/>
              <w:right w:val="single" w:color="auto" w:sz="4" w:space="0"/>
            </w:tcBorders>
            <w:shd w:val="clear" w:color="auto" w:fill="EEECE1"/>
            <w:noWrap w:val="0"/>
            <w:vAlign w:val="center"/>
          </w:tcPr>
          <w:p w14:paraId="6BDA71E9">
            <w:pPr>
              <w:autoSpaceDE/>
              <w:autoSpaceDN/>
              <w:spacing w:beforeLines="0" w:afterLines="0" w:line="360" w:lineRule="auto"/>
              <w:jc w:val="center"/>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楼栋</w:t>
            </w:r>
          </w:p>
        </w:tc>
        <w:tc>
          <w:tcPr>
            <w:tcW w:w="803" w:type="pct"/>
            <w:tcBorders>
              <w:top w:val="single" w:color="auto" w:sz="4" w:space="0"/>
              <w:left w:val="single" w:color="auto" w:sz="4" w:space="0"/>
              <w:bottom w:val="single" w:color="auto" w:sz="4" w:space="0"/>
              <w:right w:val="single" w:color="auto" w:sz="4" w:space="0"/>
            </w:tcBorders>
            <w:shd w:val="clear" w:color="auto" w:fill="EEECE1"/>
            <w:noWrap w:val="0"/>
            <w:vAlign w:val="center"/>
          </w:tcPr>
          <w:p w14:paraId="4E67056A">
            <w:pPr>
              <w:autoSpaceDE/>
              <w:autoSpaceDN/>
              <w:spacing w:beforeLines="0" w:afterLines="0" w:line="360" w:lineRule="auto"/>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lang w:val="en-US" w:eastAsia="zh-CN"/>
              </w:rPr>
              <w:t>面积（平方米）</w:t>
            </w:r>
          </w:p>
        </w:tc>
        <w:tc>
          <w:tcPr>
            <w:tcW w:w="1927" w:type="dxa"/>
            <w:tcBorders>
              <w:top w:val="single" w:color="auto" w:sz="4" w:space="0"/>
              <w:left w:val="single" w:color="auto" w:sz="4" w:space="0"/>
              <w:bottom w:val="single" w:color="auto" w:sz="4" w:space="0"/>
              <w:right w:val="single" w:color="auto" w:sz="4" w:space="0"/>
            </w:tcBorders>
            <w:shd w:val="clear" w:color="auto" w:fill="EEECE1"/>
            <w:noWrap w:val="0"/>
            <w:vAlign w:val="center"/>
          </w:tcPr>
          <w:p w14:paraId="4F1B9282">
            <w:pPr>
              <w:autoSpaceDE/>
              <w:autoSpaceDN/>
              <w:spacing w:beforeLines="0" w:afterLines="0" w:line="240" w:lineRule="auto"/>
              <w:jc w:val="center"/>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预算</w:t>
            </w:r>
            <w:r>
              <w:rPr>
                <w:rFonts w:hint="eastAsia" w:ascii="宋体" w:hAnsi="宋体" w:eastAsia="宋体" w:cs="宋体"/>
                <w:b/>
                <w:color w:val="auto"/>
                <w:sz w:val="21"/>
                <w:szCs w:val="21"/>
                <w:highlight w:val="none"/>
              </w:rPr>
              <w:t>（元）</w:t>
            </w:r>
          </w:p>
        </w:tc>
        <w:tc>
          <w:tcPr>
            <w:tcW w:w="1096" w:type="pct"/>
            <w:tcBorders>
              <w:top w:val="single" w:color="auto" w:sz="4" w:space="0"/>
              <w:left w:val="single" w:color="auto" w:sz="4" w:space="0"/>
              <w:bottom w:val="single" w:color="auto" w:sz="4" w:space="0"/>
              <w:right w:val="single" w:color="auto" w:sz="4" w:space="0"/>
            </w:tcBorders>
            <w:shd w:val="clear" w:color="auto" w:fill="EEECE1"/>
            <w:noWrap w:val="0"/>
            <w:vAlign w:val="center"/>
          </w:tcPr>
          <w:p w14:paraId="16DCEC33">
            <w:pPr>
              <w:autoSpaceDE/>
              <w:autoSpaceDN/>
              <w:spacing w:beforeLines="0" w:afterLines="0"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计算费率（%）</w:t>
            </w:r>
          </w:p>
        </w:tc>
        <w:tc>
          <w:tcPr>
            <w:tcW w:w="1096" w:type="pct"/>
            <w:tcBorders>
              <w:top w:val="single" w:color="auto" w:sz="4" w:space="0"/>
              <w:left w:val="single" w:color="auto" w:sz="4" w:space="0"/>
              <w:bottom w:val="single" w:color="auto" w:sz="4" w:space="0"/>
              <w:right w:val="single" w:color="auto" w:sz="4" w:space="0"/>
            </w:tcBorders>
            <w:shd w:val="clear" w:color="auto" w:fill="EEECE1"/>
            <w:noWrap w:val="0"/>
            <w:vAlign w:val="center"/>
          </w:tcPr>
          <w:p w14:paraId="38688089">
            <w:pPr>
              <w:autoSpaceDE/>
              <w:autoSpaceDN/>
              <w:spacing w:beforeLines="0" w:afterLines="0" w:line="360" w:lineRule="auto"/>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工程监理招标控制价（元）</w:t>
            </w:r>
          </w:p>
        </w:tc>
      </w:tr>
      <w:tr w14:paraId="1FF9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2BA0EE68">
            <w:pPr>
              <w:autoSpaceDE/>
              <w:autoSpaceDN/>
              <w:snapToGrid w:val="0"/>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3号楼</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993E0E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2767.21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3B3A86">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99042.47</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739124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C98B7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72301.01 </w:t>
            </w:r>
          </w:p>
        </w:tc>
      </w:tr>
      <w:tr w14:paraId="1AC8D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1E66EB1E">
            <w:pPr>
              <w:autoSpaceDE/>
              <w:autoSpaceDN/>
              <w:snapToGrid w:val="0"/>
              <w:spacing w:beforeLines="0" w:afterLines="0" w:line="360" w:lineRule="auto"/>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4号楼</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05F3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1789.57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438C76">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64051.15</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0363CA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81481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46757.34 </w:t>
            </w:r>
          </w:p>
        </w:tc>
      </w:tr>
      <w:tr w14:paraId="6549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4229F975">
            <w:pPr>
              <w:autoSpaceDE/>
              <w:autoSpaceDN/>
              <w:snapToGrid w:val="0"/>
              <w:spacing w:beforeLines="0" w:afterLines="0" w:line="360" w:lineRule="auto"/>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5号楼</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6086F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3944.73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BE2AD1">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141187.68</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18DBD1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65603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103067.01 </w:t>
            </w:r>
          </w:p>
        </w:tc>
      </w:tr>
      <w:tr w14:paraId="1A9B0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4661004F">
            <w:pPr>
              <w:autoSpaceDE/>
              <w:autoSpaceDN/>
              <w:snapToGrid w:val="0"/>
              <w:spacing w:beforeLines="0" w:afterLines="0" w:line="360" w:lineRule="auto"/>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6号楼（仅外立面）</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74305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3119.00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544E2B7">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23507.26</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1CFC053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ACDD2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17160.30 </w:t>
            </w:r>
          </w:p>
        </w:tc>
      </w:tr>
      <w:tr w14:paraId="6E2A4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32EE3A9A">
            <w:pPr>
              <w:autoSpaceDE/>
              <w:autoSpaceDN/>
              <w:snapToGrid w:val="0"/>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7号楼</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C2EEC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15706.00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6894919">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469829.25</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7F8D9E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0AB25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342975.35 </w:t>
            </w:r>
          </w:p>
        </w:tc>
      </w:tr>
      <w:tr w14:paraId="567B8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1397E560">
            <w:pPr>
              <w:autoSpaceDE/>
              <w:autoSpaceDN/>
              <w:snapToGrid w:val="0"/>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8号楼</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AC171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19218.00 </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481DC6">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i w:val="0"/>
                <w:iCs w:val="0"/>
                <w:color w:val="000000"/>
                <w:sz w:val="21"/>
                <w:szCs w:val="21"/>
                <w:highlight w:val="none"/>
                <w:u w:val="none"/>
                <w:lang w:val="en-US" w:eastAsia="zh-CN" w:bidi="ar-SA"/>
              </w:rPr>
            </w:pPr>
            <w:r>
              <w:rPr>
                <w:rFonts w:hint="eastAsia" w:ascii="宋体" w:hAnsi="宋体" w:eastAsia="宋体" w:cs="宋体"/>
                <w:i w:val="0"/>
                <w:iCs w:val="0"/>
                <w:color w:val="auto"/>
                <w:sz w:val="21"/>
                <w:szCs w:val="21"/>
                <w:highlight w:val="none"/>
                <w:u w:val="none"/>
                <w:lang w:val="en-US" w:eastAsia="zh-CN" w:bidi="ar-SA"/>
              </w:rPr>
              <w:t>561247.07</w:t>
            </w:r>
          </w:p>
        </w:tc>
        <w:tc>
          <w:tcPr>
            <w:tcW w:w="1096" w:type="pct"/>
            <w:tcBorders>
              <w:top w:val="single" w:color="auto" w:sz="4" w:space="0"/>
              <w:left w:val="single" w:color="auto" w:sz="4" w:space="0"/>
              <w:bottom w:val="single" w:color="auto" w:sz="4" w:space="0"/>
              <w:right w:val="single" w:color="auto" w:sz="4" w:space="0"/>
            </w:tcBorders>
            <w:noWrap w:val="0"/>
            <w:vAlign w:val="center"/>
          </w:tcPr>
          <w:p w14:paraId="22D10C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1CD6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409710.36 </w:t>
            </w:r>
          </w:p>
        </w:tc>
      </w:tr>
      <w:tr w14:paraId="495C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1024" w:type="pct"/>
            <w:tcBorders>
              <w:top w:val="single" w:color="auto" w:sz="4" w:space="0"/>
              <w:left w:val="single" w:color="auto" w:sz="4" w:space="0"/>
              <w:bottom w:val="single" w:color="auto" w:sz="4" w:space="0"/>
              <w:right w:val="single" w:color="auto" w:sz="4" w:space="0"/>
            </w:tcBorders>
            <w:noWrap w:val="0"/>
            <w:vAlign w:val="center"/>
          </w:tcPr>
          <w:p w14:paraId="54685ADE">
            <w:pPr>
              <w:autoSpaceDE/>
              <w:autoSpaceDN/>
              <w:snapToGrid w:val="0"/>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合计</w:t>
            </w:r>
          </w:p>
        </w:tc>
        <w:tc>
          <w:tcPr>
            <w:tcW w:w="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D27EA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46544.51</w:t>
            </w:r>
          </w:p>
        </w:tc>
        <w:tc>
          <w:tcPr>
            <w:tcW w:w="19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DA7E971">
            <w:pPr>
              <w:keepNext w:val="0"/>
              <w:keepLines w:val="0"/>
              <w:widowControl/>
              <w:suppressLineNumbers w:val="0"/>
              <w:autoSpaceDE/>
              <w:autoSpaceDN/>
              <w:spacing w:beforeLines="0" w:afterLines="0" w:line="240" w:lineRule="auto"/>
              <w:jc w:val="center"/>
              <w:textAlignment w:val="center"/>
              <w:rPr>
                <w:rFonts w:hint="eastAsia"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1358864.88</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B89F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73.00%</w:t>
            </w:r>
          </w:p>
        </w:tc>
        <w:tc>
          <w:tcPr>
            <w:tcW w:w="10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27BC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 xml:space="preserve">991971.37 </w:t>
            </w:r>
          </w:p>
        </w:tc>
      </w:tr>
    </w:tbl>
    <w:p w14:paraId="3921C3BB">
      <w:pPr>
        <w:pStyle w:val="10"/>
        <w:autoSpaceDE/>
        <w:autoSpaceDN/>
        <w:spacing w:beforeLines="0" w:afterLines="0" w:line="360" w:lineRule="auto"/>
        <w:ind w:firstLine="0" w:firstLineChars="0"/>
        <w:rPr>
          <w:rFonts w:hint="default" w:ascii="宋体" w:hAnsi="宋体" w:eastAsia="宋体" w:cs="宋体"/>
          <w:sz w:val="21"/>
          <w:szCs w:val="21"/>
          <w:highlight w:val="none"/>
          <w:lang w:val="en-US" w:eastAsia="zh-CN"/>
        </w:rPr>
      </w:pPr>
    </w:p>
    <w:p w14:paraId="4433A410">
      <w:pPr>
        <w:pStyle w:val="8"/>
        <w:autoSpaceDE/>
        <w:autoSpaceDN/>
        <w:spacing w:beforeLines="0" w:afterLines="0" w:line="360" w:lineRule="auto"/>
        <w:rPr>
          <w:rFonts w:hint="eastAsia" w:ascii="宋体" w:hAnsi="宋体" w:eastAsia="宋体" w:cs="宋体"/>
          <w:sz w:val="21"/>
          <w:szCs w:val="21"/>
          <w:highlight w:val="none"/>
          <w:lang w:eastAsia="zh-CN"/>
        </w:rPr>
      </w:pPr>
      <w:bookmarkStart w:id="7" w:name="_Toc16801"/>
      <w:r>
        <w:rPr>
          <w:rFonts w:hint="eastAsia" w:ascii="宋体" w:hAnsi="宋体" w:eastAsia="宋体" w:cs="宋体"/>
          <w:sz w:val="21"/>
          <w:szCs w:val="21"/>
          <w:highlight w:val="none"/>
          <w:lang w:eastAsia="zh-CN"/>
        </w:rPr>
        <w:t>二、主要商务要求</w:t>
      </w:r>
      <w:bookmarkEnd w:id="7"/>
    </w:p>
    <w:p w14:paraId="70144BE9">
      <w:pPr>
        <w:pStyle w:val="5"/>
        <w:numPr>
          <w:ilvl w:val="0"/>
          <w:numId w:val="2"/>
        </w:numPr>
        <w:autoSpaceDE/>
        <w:autoSpaceDN/>
        <w:spacing w:beforeLines="0" w:after="0" w:afterLines="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标的提供的时间：从施工准备、施工阶段至缺陷责任期结束，并配合委托人办理竣工结算；施工工期</w:t>
      </w:r>
      <w:r>
        <w:rPr>
          <w:rFonts w:hint="eastAsia" w:ascii="宋体" w:hAnsi="宋体" w:eastAsia="宋体" w:cs="宋体"/>
          <w:color w:val="auto"/>
          <w:szCs w:val="21"/>
          <w:highlight w:val="none"/>
          <w:lang w:val="en-US" w:eastAsia="zh-CN"/>
        </w:rPr>
        <w:t>及</w:t>
      </w:r>
      <w:r>
        <w:rPr>
          <w:rFonts w:hint="eastAsia" w:ascii="宋体" w:hAnsi="宋体" w:eastAsia="宋体" w:cs="宋体"/>
          <w:color w:val="auto"/>
          <w:szCs w:val="21"/>
          <w:highlight w:val="none"/>
          <w:lang w:eastAsia="zh-CN"/>
        </w:rPr>
        <w:t>缺陷责任期</w:t>
      </w:r>
      <w:r>
        <w:rPr>
          <w:rFonts w:hint="eastAsia" w:ascii="宋体" w:hAnsi="宋体" w:eastAsia="宋体" w:cs="宋体"/>
          <w:color w:val="auto"/>
          <w:szCs w:val="21"/>
          <w:highlight w:val="none"/>
          <w:lang w:val="en-US" w:eastAsia="zh-CN"/>
        </w:rPr>
        <w:t>以</w:t>
      </w:r>
      <w:r>
        <w:rPr>
          <w:rFonts w:hint="eastAsia" w:ascii="宋体" w:hAnsi="宋体" w:eastAsia="宋体" w:cs="宋体"/>
          <w:color w:val="auto"/>
          <w:szCs w:val="21"/>
          <w:highlight w:val="none"/>
          <w:lang w:eastAsia="zh-CN"/>
        </w:rPr>
        <w:t>施工合同约定</w:t>
      </w:r>
      <w:r>
        <w:rPr>
          <w:rFonts w:hint="eastAsia" w:ascii="宋体" w:hAnsi="宋体" w:eastAsia="宋体" w:cs="宋体"/>
          <w:color w:val="auto"/>
          <w:szCs w:val="21"/>
          <w:highlight w:val="none"/>
          <w:lang w:val="en-US" w:eastAsia="zh-CN"/>
        </w:rPr>
        <w:t>为准</w:t>
      </w:r>
    </w:p>
    <w:p w14:paraId="226A54E3">
      <w:pPr>
        <w:pStyle w:val="5"/>
        <w:numPr>
          <w:ilvl w:val="0"/>
          <w:numId w:val="2"/>
        </w:numPr>
        <w:autoSpaceDE/>
        <w:autoSpaceDN/>
        <w:spacing w:beforeLines="0" w:after="0" w:afterLines="0" w:line="360" w:lineRule="auto"/>
        <w:ind w:left="0" w:leftChars="0" w:firstLine="42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标的提供的地点：</w:t>
      </w:r>
      <w:r>
        <w:rPr>
          <w:rFonts w:hint="eastAsia" w:ascii="宋体" w:hAnsi="宋体" w:eastAsia="宋体" w:cs="宋体"/>
          <w:color w:val="auto"/>
          <w:sz w:val="21"/>
          <w:szCs w:val="21"/>
          <w:highlight w:val="none"/>
          <w:lang w:eastAsia="zh-CN"/>
        </w:rPr>
        <w:t>北京师范大学珠海校区燕华苑</w:t>
      </w:r>
      <w:r>
        <w:rPr>
          <w:rFonts w:hint="eastAsia" w:ascii="宋体" w:hAnsi="宋体" w:eastAsia="宋体" w:cs="宋体"/>
          <w:color w:val="auto"/>
          <w:szCs w:val="21"/>
          <w:highlight w:val="none"/>
          <w:lang w:eastAsia="zh-CN"/>
        </w:rPr>
        <w:t>。</w:t>
      </w:r>
    </w:p>
    <w:p w14:paraId="02E1B262">
      <w:pPr>
        <w:pStyle w:val="5"/>
        <w:numPr>
          <w:ilvl w:val="0"/>
          <w:numId w:val="2"/>
        </w:numPr>
        <w:autoSpaceDE/>
        <w:autoSpaceDN/>
        <w:spacing w:beforeLines="0" w:after="0" w:afterLines="0" w:line="360" w:lineRule="auto"/>
        <w:ind w:left="0" w:leftChars="0" w:firstLine="420"/>
        <w:rPr>
          <w:rFonts w:hint="eastAsia" w:ascii="宋体" w:hAnsi="宋体" w:eastAsia="宋体" w:cs="宋体"/>
          <w:szCs w:val="21"/>
          <w:highlight w:val="none"/>
          <w:lang w:eastAsia="zh-CN"/>
        </w:rPr>
      </w:pPr>
      <w:r>
        <w:rPr>
          <w:rFonts w:hint="eastAsia" w:ascii="宋体" w:hAnsi="宋体" w:eastAsia="宋体" w:cs="宋体"/>
          <w:szCs w:val="21"/>
          <w:highlight w:val="none"/>
        </w:rPr>
        <w:t>付款方式</w:t>
      </w:r>
      <w:r>
        <w:rPr>
          <w:rFonts w:hint="eastAsia" w:ascii="宋体" w:hAnsi="宋体" w:eastAsia="宋体" w:cs="宋体"/>
          <w:szCs w:val="21"/>
          <w:highlight w:val="none"/>
          <w:lang w:eastAsia="zh-CN"/>
        </w:rPr>
        <w:t>：</w:t>
      </w:r>
    </w:p>
    <w:p w14:paraId="0A95CF9D">
      <w:pPr>
        <w:pStyle w:val="5"/>
        <w:numPr>
          <w:ilvl w:val="-1"/>
          <w:numId w:val="0"/>
        </w:numPr>
        <w:autoSpaceDE/>
        <w:autoSpaceDN/>
        <w:spacing w:beforeLines="0" w:after="0" w:afterLines="0" w:line="360" w:lineRule="auto"/>
        <w:ind w:left="420" w:leftChars="200" w:firstLine="0" w:firstLineChars="0"/>
        <w:rPr>
          <w:rFonts w:hint="eastAsia" w:ascii="宋体" w:hAnsi="宋体" w:eastAsia="宋体" w:cs="宋体"/>
          <w:szCs w:val="21"/>
          <w:highlight w:val="none"/>
          <w:lang w:eastAsia="zh-CN"/>
        </w:rPr>
      </w:pPr>
      <w:r>
        <w:rPr>
          <w:rFonts w:hint="eastAsia" w:ascii="宋体" w:hAnsi="宋体" w:eastAsia="宋体" w:cs="宋体"/>
          <w:b w:val="0"/>
          <w:bCs w:val="0"/>
          <w:color w:val="auto"/>
          <w:sz w:val="21"/>
          <w:szCs w:val="21"/>
          <w:highlight w:val="none"/>
          <w:lang w:val="en-US" w:eastAsia="zh-CN"/>
        </w:rPr>
        <w:t>按监理范围各楼栋的</w:t>
      </w:r>
      <w:r>
        <w:rPr>
          <w:rFonts w:hint="eastAsia" w:ascii="宋体" w:hAnsi="宋体" w:eastAsia="宋体" w:cs="宋体"/>
          <w:b w:val="0"/>
          <w:bCs w:val="0"/>
          <w:sz w:val="21"/>
          <w:szCs w:val="21"/>
          <w:highlight w:val="none"/>
          <w:lang w:val="en-US" w:eastAsia="zh-CN"/>
        </w:rPr>
        <w:t>监理</w:t>
      </w:r>
      <w:r>
        <w:rPr>
          <w:rFonts w:hint="eastAsia" w:ascii="宋体" w:hAnsi="宋体" w:eastAsia="宋体" w:cs="宋体"/>
          <w:b w:val="0"/>
          <w:bCs w:val="0"/>
          <w:color w:val="auto"/>
          <w:sz w:val="21"/>
          <w:szCs w:val="21"/>
          <w:highlight w:val="none"/>
          <w:lang w:val="en-US" w:eastAsia="zh-CN"/>
        </w:rPr>
        <w:t>完成情况进行支付，具体如下：</w:t>
      </w:r>
    </w:p>
    <w:p w14:paraId="2F40B148">
      <w:pPr>
        <w:pStyle w:val="5"/>
        <w:numPr>
          <w:ilvl w:val="-1"/>
          <w:numId w:val="0"/>
        </w:numPr>
        <w:autoSpaceDE/>
        <w:autoSpaceDN/>
        <w:spacing w:beforeLines="0" w:after="0" w:afterLines="0" w:line="360" w:lineRule="auto"/>
        <w:ind w:left="0" w:leftChars="0" w:firstLine="420" w:firstLineChars="200"/>
        <w:jc w:val="both"/>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1</w:t>
      </w:r>
      <w:r>
        <w:rPr>
          <w:rFonts w:hint="eastAsia" w:ascii="宋体" w:hAnsi="宋体" w:eastAsia="宋体" w:cs="宋体"/>
          <w:szCs w:val="21"/>
          <w:highlight w:val="none"/>
          <w:lang w:eastAsia="zh-CN"/>
        </w:rPr>
        <w:t>）预付款：</w:t>
      </w:r>
      <w:r>
        <w:rPr>
          <w:rFonts w:hint="eastAsia" w:ascii="宋体" w:hAnsi="宋体" w:eastAsia="宋体" w:cs="宋体"/>
          <w:b w:val="0"/>
          <w:bCs w:val="0"/>
          <w:color w:val="auto"/>
          <w:sz w:val="21"/>
          <w:szCs w:val="21"/>
          <w:highlight w:val="none"/>
          <w:lang w:val="en-US" w:eastAsia="zh-CN"/>
        </w:rPr>
        <w:t>合同签订后且各楼栋开工令下发</w:t>
      </w:r>
      <w:r>
        <w:rPr>
          <w:rFonts w:hint="eastAsia" w:ascii="宋体" w:hAnsi="宋体" w:eastAsia="宋体" w:cs="宋体"/>
          <w:b w:val="0"/>
          <w:bCs w:val="0"/>
          <w:color w:val="auto"/>
          <w:sz w:val="21"/>
          <w:szCs w:val="21"/>
          <w:highlight w:val="none"/>
          <w:lang w:eastAsia="zh-CN"/>
        </w:rPr>
        <w:t>之日起</w:t>
      </w:r>
      <w:r>
        <w:rPr>
          <w:rFonts w:hint="eastAsia" w:ascii="宋体" w:hAnsi="宋体" w:eastAsia="宋体" w:cs="宋体"/>
          <w:b w:val="0"/>
          <w:bCs w:val="0"/>
          <w:color w:val="auto"/>
          <w:sz w:val="21"/>
          <w:szCs w:val="21"/>
          <w:highlight w:val="none"/>
          <w:lang w:val="en-US" w:eastAsia="zh-CN"/>
        </w:rPr>
        <w:t>[10]日历天内支付该楼栋合同暂定价的</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color w:val="auto"/>
          <w:sz w:val="21"/>
          <w:szCs w:val="21"/>
          <w:highlight w:val="none"/>
          <w:lang w:val="en-US" w:eastAsia="zh-CN"/>
        </w:rPr>
        <w:t>0％作为预付款</w:t>
      </w:r>
      <w:r>
        <w:rPr>
          <w:rFonts w:hint="eastAsia" w:ascii="宋体" w:hAnsi="宋体" w:eastAsia="宋体" w:cs="宋体"/>
          <w:szCs w:val="21"/>
          <w:highlight w:val="none"/>
          <w:lang w:eastAsia="zh-CN"/>
        </w:rPr>
        <w:t>。</w:t>
      </w:r>
    </w:p>
    <w:p w14:paraId="17266221">
      <w:pPr>
        <w:pStyle w:val="5"/>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2</w:t>
      </w:r>
      <w:r>
        <w:rPr>
          <w:rFonts w:hint="eastAsia" w:ascii="宋体" w:hAnsi="宋体" w:eastAsia="宋体" w:cs="宋体"/>
          <w:szCs w:val="21"/>
          <w:highlight w:val="none"/>
          <w:lang w:eastAsia="zh-CN"/>
        </w:rPr>
        <w:t>）进度款：</w:t>
      </w:r>
      <w:r>
        <w:rPr>
          <w:rFonts w:hint="eastAsia" w:ascii="宋体" w:hAnsi="宋体" w:eastAsia="宋体" w:cs="宋体"/>
          <w:szCs w:val="21"/>
          <w:highlight w:val="none"/>
          <w:lang w:val="en-US" w:eastAsia="zh-CN"/>
        </w:rPr>
        <w:t>该楼栋</w:t>
      </w:r>
      <w:r>
        <w:rPr>
          <w:rFonts w:hint="eastAsia" w:ascii="宋体" w:hAnsi="宋体" w:eastAsia="宋体" w:cs="宋体"/>
          <w:color w:val="auto"/>
          <w:sz w:val="21"/>
          <w:szCs w:val="21"/>
          <w:highlight w:val="none"/>
          <w:lang w:eastAsia="zh-CN"/>
        </w:rPr>
        <w:t>竣工验收合格后</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支付该楼栋</w:t>
      </w:r>
      <w:r>
        <w:rPr>
          <w:rFonts w:hint="eastAsia" w:ascii="宋体" w:hAnsi="宋体" w:eastAsia="宋体" w:cs="宋体"/>
          <w:b w:val="0"/>
          <w:bCs w:val="0"/>
          <w:sz w:val="21"/>
          <w:szCs w:val="21"/>
          <w:highlight w:val="none"/>
          <w:lang w:val="en-US" w:eastAsia="zh-CN"/>
        </w:rPr>
        <w:t>合同暂定价的45％作为进度款，</w:t>
      </w:r>
      <w:r>
        <w:rPr>
          <w:rFonts w:hint="eastAsia" w:ascii="宋体" w:hAnsi="宋体" w:eastAsia="宋体" w:cs="宋体"/>
          <w:color w:val="auto"/>
          <w:szCs w:val="21"/>
          <w:highlight w:val="none"/>
          <w:lang w:eastAsia="zh-CN"/>
        </w:rPr>
        <w:t>并扣减</w:t>
      </w:r>
      <w:r>
        <w:rPr>
          <w:rFonts w:hint="eastAsia" w:ascii="宋体" w:hAnsi="宋体" w:eastAsia="宋体" w:cs="宋体"/>
          <w:color w:val="auto"/>
          <w:sz w:val="21"/>
          <w:szCs w:val="21"/>
          <w:highlight w:val="none"/>
          <w:lang w:eastAsia="zh-CN"/>
        </w:rPr>
        <w:t>委托人确认的扣罚金额</w:t>
      </w:r>
      <w:r>
        <w:rPr>
          <w:rFonts w:hint="eastAsia" w:ascii="宋体" w:hAnsi="宋体" w:eastAsia="宋体" w:cs="宋体"/>
          <w:color w:val="auto"/>
          <w:szCs w:val="21"/>
          <w:highlight w:val="none"/>
          <w:lang w:eastAsia="zh-CN"/>
        </w:rPr>
        <w:t>。</w:t>
      </w:r>
    </w:p>
    <w:p w14:paraId="579ACBE6">
      <w:pPr>
        <w:pStyle w:val="5"/>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ascii="宋体" w:hAnsi="宋体" w:eastAsia="宋体" w:cs="宋体"/>
          <w:sz w:val="21"/>
          <w:szCs w:val="21"/>
          <w:highlight w:val="none"/>
          <w:lang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3</w:t>
      </w:r>
      <w:r>
        <w:rPr>
          <w:rFonts w:hint="eastAsia" w:ascii="宋体" w:hAnsi="宋体" w:eastAsia="宋体" w:cs="宋体"/>
          <w:szCs w:val="21"/>
          <w:highlight w:val="none"/>
          <w:lang w:eastAsia="zh-CN"/>
        </w:rPr>
        <w:t>）结算款：</w:t>
      </w:r>
      <w:r>
        <w:rPr>
          <w:rFonts w:hint="eastAsia" w:ascii="宋体" w:hAnsi="宋体" w:eastAsia="宋体" w:cs="宋体"/>
          <w:sz w:val="21"/>
          <w:szCs w:val="21"/>
          <w:highlight w:val="none"/>
          <w:lang w:val="en-US" w:eastAsia="zh-CN"/>
        </w:rPr>
        <w:t>该楼栋</w:t>
      </w:r>
      <w:r>
        <w:rPr>
          <w:rFonts w:hint="eastAsia" w:ascii="宋体" w:hAnsi="宋体" w:eastAsia="宋体" w:cs="宋体"/>
          <w:color w:val="auto"/>
          <w:sz w:val="21"/>
          <w:szCs w:val="21"/>
          <w:highlight w:val="none"/>
          <w:lang w:eastAsia="zh-CN"/>
        </w:rPr>
        <w:t>竣工结算</w:t>
      </w:r>
      <w:r>
        <w:rPr>
          <w:rFonts w:hint="eastAsia" w:ascii="宋体" w:hAnsi="宋体" w:eastAsia="宋体" w:cs="宋体"/>
          <w:color w:val="auto"/>
          <w:sz w:val="21"/>
          <w:szCs w:val="21"/>
          <w:highlight w:val="none"/>
          <w:lang w:val="en-US" w:eastAsia="zh-CN"/>
        </w:rPr>
        <w:t>完成</w:t>
      </w:r>
      <w:r>
        <w:rPr>
          <w:rFonts w:hint="eastAsia" w:ascii="宋体" w:hAnsi="宋体" w:eastAsia="宋体" w:cs="宋体"/>
          <w:color w:val="auto"/>
          <w:sz w:val="21"/>
          <w:szCs w:val="21"/>
          <w:highlight w:val="none"/>
          <w:lang w:eastAsia="zh-CN"/>
        </w:rPr>
        <w:t>且监理资料移交</w:t>
      </w:r>
      <w:r>
        <w:rPr>
          <w:rFonts w:hint="eastAsia" w:ascii="宋体" w:hAnsi="宋体" w:eastAsia="宋体" w:cs="宋体"/>
          <w:sz w:val="21"/>
          <w:szCs w:val="21"/>
          <w:highlight w:val="none"/>
          <w:lang w:val="en-US" w:eastAsia="zh-CN"/>
        </w:rPr>
        <w:t>后，</w:t>
      </w:r>
      <w:r>
        <w:rPr>
          <w:rFonts w:hint="eastAsia" w:ascii="宋体" w:hAnsi="宋体" w:eastAsia="宋体" w:cs="宋体"/>
          <w:color w:val="auto"/>
          <w:sz w:val="21"/>
          <w:szCs w:val="21"/>
          <w:highlight w:val="none"/>
          <w:lang w:eastAsia="zh-CN"/>
        </w:rPr>
        <w:t>支付至监理结算审定价的</w:t>
      </w:r>
      <w:r>
        <w:rPr>
          <w:rFonts w:hint="eastAsia" w:ascii="宋体" w:hAnsi="宋体" w:eastAsia="宋体" w:cs="宋体"/>
          <w:sz w:val="21"/>
          <w:szCs w:val="21"/>
          <w:highlight w:val="none"/>
          <w:lang w:val="en-US" w:eastAsia="zh-CN"/>
        </w:rPr>
        <w:t>97</w:t>
      </w:r>
      <w:r>
        <w:rPr>
          <w:rFonts w:hint="eastAsia" w:ascii="宋体" w:hAnsi="宋体" w:eastAsia="宋体" w:cs="宋体"/>
          <w:color w:val="auto"/>
          <w:sz w:val="21"/>
          <w:szCs w:val="21"/>
          <w:highlight w:val="none"/>
          <w:lang w:eastAsia="zh-CN"/>
        </w:rPr>
        <w:t>%（扣除已支付金额）</w:t>
      </w:r>
      <w:r>
        <w:rPr>
          <w:rFonts w:hint="eastAsia" w:ascii="宋体" w:hAnsi="宋体" w:eastAsia="宋体" w:cs="宋体"/>
          <w:sz w:val="21"/>
          <w:szCs w:val="21"/>
          <w:highlight w:val="none"/>
          <w:lang w:eastAsia="zh-CN"/>
        </w:rPr>
        <w:t>。</w:t>
      </w:r>
    </w:p>
    <w:p w14:paraId="32E11914">
      <w:pPr>
        <w:pStyle w:val="5"/>
        <w:numPr>
          <w:ilvl w:val="0"/>
          <w:numId w:val="0"/>
        </w:numPr>
        <w:autoSpaceDE/>
        <w:autoSpaceDN/>
        <w:spacing w:beforeLines="0" w:after="0" w:afterLines="0" w:line="360" w:lineRule="auto"/>
        <w:ind w:firstLine="420" w:firstLineChars="200"/>
        <w:rPr>
          <w:rFonts w:hint="eastAsia" w:ascii="宋体" w:hAnsi="宋体" w:eastAsia="宋体" w:cs="宋体"/>
          <w:b/>
          <w:color w:val="auto"/>
          <w:kern w:val="2"/>
          <w:sz w:val="21"/>
          <w:szCs w:val="21"/>
          <w:highlight w:val="none"/>
          <w:lang w:val="en-US" w:eastAsia="zh-CN"/>
        </w:rPr>
      </w:pP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4</w:t>
      </w:r>
      <w:r>
        <w:rPr>
          <w:rFonts w:hint="eastAsia" w:ascii="宋体" w:hAnsi="宋体" w:eastAsia="宋体" w:cs="宋体"/>
          <w:sz w:val="21"/>
          <w:szCs w:val="21"/>
          <w:highlight w:val="none"/>
          <w:lang w:eastAsia="zh-CN"/>
        </w:rPr>
        <w:t>）尾款：</w:t>
      </w:r>
      <w:r>
        <w:rPr>
          <w:rFonts w:hint="eastAsia" w:ascii="宋体" w:hAnsi="宋体" w:eastAsia="宋体" w:cs="宋体"/>
          <w:sz w:val="21"/>
          <w:szCs w:val="21"/>
          <w:highlight w:val="none"/>
          <w:lang w:val="en-US" w:eastAsia="zh-CN"/>
        </w:rPr>
        <w:t>该楼栋</w:t>
      </w:r>
      <w:r>
        <w:rPr>
          <w:rFonts w:hint="eastAsia" w:ascii="宋体" w:hAnsi="宋体" w:eastAsia="宋体" w:cs="宋体"/>
          <w:color w:val="auto"/>
          <w:sz w:val="21"/>
          <w:szCs w:val="21"/>
          <w:highlight w:val="none"/>
          <w:lang w:eastAsia="zh-CN"/>
        </w:rPr>
        <w:t>缺陷责任期满且质量</w:t>
      </w:r>
      <w:r>
        <w:rPr>
          <w:rFonts w:hint="eastAsia" w:ascii="宋体" w:hAnsi="宋体" w:eastAsia="宋体" w:cs="宋体"/>
          <w:sz w:val="21"/>
          <w:szCs w:val="21"/>
          <w:highlight w:val="none"/>
          <w:lang w:eastAsia="zh-CN"/>
        </w:rPr>
        <w:t>验收合格后，30个日历天内一次性付清（无息）监理结算审定价的</w:t>
      </w: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lang w:eastAsia="zh-CN"/>
        </w:rPr>
        <w:t>%。</w:t>
      </w:r>
    </w:p>
    <w:p w14:paraId="76113463">
      <w:pPr>
        <w:pStyle w:val="5"/>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ascii="宋体" w:hAnsi="宋体" w:eastAsia="宋体" w:cs="宋体"/>
          <w:szCs w:val="21"/>
          <w:highlight w:val="none"/>
          <w:lang w:eastAsia="zh-CN"/>
        </w:rPr>
      </w:pPr>
      <w:r>
        <w:rPr>
          <w:rFonts w:hint="eastAsia" w:ascii="宋体" w:hAnsi="宋体" w:eastAsia="宋体" w:cs="宋体"/>
          <w:sz w:val="21"/>
          <w:szCs w:val="21"/>
          <w:highlight w:val="none"/>
          <w:lang w:eastAsia="zh-CN"/>
        </w:rPr>
        <w:t>（</w:t>
      </w:r>
      <w:r>
        <w:rPr>
          <w:rFonts w:hint="eastAsia" w:cs="宋体"/>
          <w:sz w:val="21"/>
          <w:szCs w:val="21"/>
          <w:highlight w:val="none"/>
          <w:lang w:val="en-US" w:eastAsia="zh-CN"/>
        </w:rPr>
        <w:t>5</w:t>
      </w:r>
      <w:r>
        <w:rPr>
          <w:rFonts w:hint="eastAsia" w:ascii="宋体" w:hAnsi="宋体" w:eastAsia="宋体" w:cs="宋体"/>
          <w:sz w:val="21"/>
          <w:szCs w:val="21"/>
          <w:highlight w:val="none"/>
          <w:lang w:eastAsia="zh-CN"/>
        </w:rPr>
        <w:t>）其它事项：</w:t>
      </w:r>
      <w:r>
        <w:rPr>
          <w:rFonts w:hint="eastAsia" w:ascii="宋体" w:hAnsi="宋体" w:eastAsia="宋体" w:cs="宋体"/>
          <w:sz w:val="21"/>
          <w:szCs w:val="21"/>
          <w:highlight w:val="none"/>
          <w:lang w:val="en-US" w:eastAsia="zh-CN"/>
        </w:rPr>
        <w:t>每期支付</w:t>
      </w:r>
      <w:r>
        <w:rPr>
          <w:rFonts w:hint="eastAsia" w:ascii="宋体" w:hAnsi="宋体" w:eastAsia="宋体" w:cs="宋体"/>
          <w:color w:val="auto"/>
          <w:sz w:val="21"/>
          <w:szCs w:val="21"/>
          <w:highlight w:val="none"/>
          <w:lang w:val="en-US" w:eastAsia="zh-CN"/>
        </w:rPr>
        <w:t>前</w:t>
      </w:r>
      <w:r>
        <w:rPr>
          <w:rFonts w:hint="eastAsia" w:ascii="宋体" w:hAnsi="宋体" w:eastAsia="宋体" w:cs="宋体"/>
          <w:sz w:val="21"/>
          <w:szCs w:val="21"/>
          <w:highlight w:val="none"/>
          <w:lang w:eastAsia="zh-CN"/>
        </w:rPr>
        <w:t>中标人应提供相应的发票。本工程资金来源为财政拨款，</w:t>
      </w:r>
      <w:r>
        <w:rPr>
          <w:rFonts w:hint="eastAsia" w:ascii="宋体" w:hAnsi="宋体" w:eastAsia="宋体" w:cs="宋体"/>
          <w:szCs w:val="21"/>
          <w:highlight w:val="none"/>
          <w:lang w:eastAsia="zh-CN"/>
        </w:rPr>
        <w:t>支付监理服务费时间有可能延后，请各投标单位考虑自身的资金情况投标报价。</w:t>
      </w:r>
      <w:r>
        <w:rPr>
          <w:rFonts w:hint="eastAsia" w:ascii="宋体" w:hAnsi="宋体" w:eastAsia="宋体" w:cs="宋体"/>
          <w:szCs w:val="21"/>
          <w:highlight w:val="none"/>
          <w:lang w:val="en-US" w:eastAsia="zh-CN"/>
        </w:rPr>
        <w:t>采购</w:t>
      </w:r>
      <w:r>
        <w:rPr>
          <w:rFonts w:hint="eastAsia" w:ascii="宋体" w:hAnsi="宋体" w:eastAsia="宋体" w:cs="宋体"/>
          <w:szCs w:val="21"/>
          <w:highlight w:val="none"/>
          <w:lang w:eastAsia="zh-CN"/>
        </w:rPr>
        <w:t>人逾期支付监理服务费时：①中标人不得以监理服务费未得到及时支付而拒绝履行合同义务，否则</w:t>
      </w:r>
      <w:r>
        <w:rPr>
          <w:rFonts w:hint="eastAsia" w:ascii="宋体" w:hAnsi="宋体" w:eastAsia="宋体" w:cs="宋体"/>
          <w:szCs w:val="21"/>
          <w:highlight w:val="none"/>
          <w:lang w:val="en-US" w:eastAsia="zh-CN"/>
        </w:rPr>
        <w:t>采购</w:t>
      </w:r>
      <w:r>
        <w:rPr>
          <w:rFonts w:hint="eastAsia" w:ascii="宋体" w:hAnsi="宋体" w:eastAsia="宋体" w:cs="宋体"/>
          <w:szCs w:val="21"/>
          <w:highlight w:val="none"/>
          <w:lang w:eastAsia="zh-CN"/>
        </w:rPr>
        <w:t>人有权解除合同并追究中标人的责任。 ②</w:t>
      </w:r>
      <w:r>
        <w:rPr>
          <w:rFonts w:hint="eastAsia" w:ascii="宋体" w:hAnsi="宋体" w:eastAsia="宋体" w:cs="宋体"/>
          <w:szCs w:val="21"/>
          <w:highlight w:val="none"/>
          <w:lang w:val="en-US" w:eastAsia="zh-CN"/>
        </w:rPr>
        <w:t>采购</w:t>
      </w:r>
      <w:r>
        <w:rPr>
          <w:rFonts w:hint="eastAsia" w:ascii="宋体" w:hAnsi="宋体" w:eastAsia="宋体" w:cs="宋体"/>
          <w:szCs w:val="21"/>
          <w:highlight w:val="none"/>
          <w:lang w:eastAsia="zh-CN"/>
        </w:rPr>
        <w:t>人不向中标人支付由此产生的利息。</w:t>
      </w:r>
    </w:p>
    <w:p w14:paraId="2E7F7ED3">
      <w:pPr>
        <w:keepNext w:val="0"/>
        <w:keepLines w:val="0"/>
        <w:widowControl/>
        <w:suppressLineNumbers w:val="0"/>
        <w:tabs>
          <w:tab w:val="left" w:pos="1080"/>
        </w:tabs>
        <w:autoSpaceDE/>
        <w:autoSpaceDN/>
        <w:spacing w:beforeLines="0" w:afterLines="0" w:line="360" w:lineRule="auto"/>
        <w:ind w:firstLine="420" w:firstLineChars="200"/>
        <w:jc w:val="both"/>
        <w:rPr>
          <w:rFonts w:hint="eastAsia" w:ascii="宋体" w:hAnsi="宋体" w:eastAsia="宋体" w:cs="宋体"/>
          <w:b/>
          <w:bCs/>
          <w:color w:val="auto"/>
          <w:kern w:val="0"/>
          <w:sz w:val="21"/>
          <w:szCs w:val="21"/>
          <w:highlight w:val="none"/>
          <w:lang w:val="en-US" w:eastAsia="zh-CN" w:bidi="ar"/>
        </w:rPr>
      </w:pPr>
      <w:r>
        <w:rPr>
          <w:rFonts w:hint="eastAsia" w:ascii="宋体" w:hAnsi="宋体" w:eastAsia="宋体" w:cs="宋体"/>
          <w:szCs w:val="21"/>
          <w:highlight w:val="none"/>
          <w:lang w:eastAsia="zh-CN"/>
        </w:rPr>
        <w:t>（</w:t>
      </w:r>
      <w:r>
        <w:rPr>
          <w:rFonts w:hint="eastAsia" w:cs="宋体"/>
          <w:szCs w:val="21"/>
          <w:highlight w:val="none"/>
          <w:lang w:val="en-US" w:eastAsia="zh-CN"/>
        </w:rPr>
        <w:t>6</w:t>
      </w:r>
      <w:r>
        <w:rPr>
          <w:rFonts w:hint="eastAsia" w:ascii="宋体" w:hAnsi="宋体" w:eastAsia="宋体" w:cs="宋体"/>
          <w:szCs w:val="21"/>
          <w:highlight w:val="none"/>
          <w:lang w:eastAsia="zh-CN"/>
        </w:rPr>
        <w:t>）工程监理服务费结算原则：监理服务费以</w:t>
      </w:r>
      <w:r>
        <w:rPr>
          <w:rFonts w:hint="eastAsia" w:ascii="宋体" w:hAnsi="宋体" w:eastAsia="宋体" w:cs="宋体"/>
          <w:szCs w:val="21"/>
          <w:highlight w:val="none"/>
          <w:lang w:val="en-US" w:eastAsia="zh-CN"/>
        </w:rPr>
        <w:t>各楼栋</w:t>
      </w:r>
      <w:r>
        <w:rPr>
          <w:rFonts w:hint="eastAsia" w:ascii="宋体" w:hAnsi="宋体" w:eastAsia="宋体" w:cs="宋体"/>
          <w:szCs w:val="21"/>
          <w:highlight w:val="none"/>
          <w:lang w:eastAsia="zh-CN"/>
        </w:rPr>
        <w:t>最终审定的建安工程结算价作为结算依据，按《建设工程监理与相关服务收费管理规定》（发改价格[2007]670号）收费标准乘以中标费率计算</w:t>
      </w:r>
      <w:r>
        <w:rPr>
          <w:rFonts w:hint="eastAsia" w:ascii="宋体" w:hAnsi="宋体" w:eastAsia="宋体" w:cs="宋体"/>
          <w:b/>
          <w:bCs/>
          <w:color w:val="auto"/>
          <w:kern w:val="0"/>
          <w:sz w:val="21"/>
          <w:szCs w:val="21"/>
          <w:highlight w:val="none"/>
          <w:lang w:val="en-US" w:eastAsia="zh-CN" w:bidi="ar"/>
        </w:rPr>
        <w:t>（</w:t>
      </w:r>
      <w:r>
        <w:rPr>
          <w:rFonts w:hint="eastAsia" w:cs="宋体"/>
          <w:b/>
          <w:bCs/>
          <w:color w:val="auto"/>
          <w:kern w:val="0"/>
          <w:sz w:val="21"/>
          <w:szCs w:val="21"/>
          <w:highlight w:val="none"/>
          <w:lang w:val="en-US" w:eastAsia="zh-CN" w:bidi="ar"/>
        </w:rPr>
        <w:t>投</w:t>
      </w:r>
      <w:r>
        <w:rPr>
          <w:rFonts w:hint="eastAsia" w:ascii="宋体" w:hAnsi="宋体" w:eastAsia="宋体" w:cs="宋体"/>
          <w:b/>
          <w:bCs/>
          <w:color w:val="auto"/>
          <w:kern w:val="0"/>
          <w:sz w:val="21"/>
          <w:szCs w:val="21"/>
          <w:highlight w:val="none"/>
          <w:lang w:val="en-US" w:eastAsia="zh-CN" w:bidi="ar"/>
        </w:rPr>
        <w:t>标费率=投标总价/</w:t>
      </w:r>
      <w:r>
        <w:rPr>
          <w:rFonts w:hint="eastAsia" w:cs="宋体"/>
          <w:b/>
          <w:bCs/>
          <w:color w:val="auto"/>
          <w:kern w:val="0"/>
          <w:sz w:val="21"/>
          <w:szCs w:val="21"/>
          <w:highlight w:val="none"/>
          <w:u w:val="none"/>
          <w:lang w:val="en-US" w:eastAsia="zh-CN" w:bidi="ar"/>
        </w:rPr>
        <w:t>1358864.88</w:t>
      </w:r>
      <w:r>
        <w:rPr>
          <w:rFonts w:hint="eastAsia" w:ascii="宋体" w:hAnsi="宋体" w:eastAsia="宋体" w:cs="宋体"/>
          <w:b/>
          <w:bCs/>
          <w:color w:val="auto"/>
          <w:kern w:val="0"/>
          <w:sz w:val="21"/>
          <w:szCs w:val="21"/>
          <w:highlight w:val="none"/>
          <w:lang w:val="en-US" w:eastAsia="zh-CN" w:bidi="ar"/>
        </w:rPr>
        <w:t>）</w:t>
      </w:r>
      <w:r>
        <w:rPr>
          <w:rFonts w:hint="eastAsia" w:ascii="宋体" w:hAnsi="宋体" w:eastAsia="宋体" w:cs="宋体"/>
          <w:szCs w:val="21"/>
          <w:highlight w:val="none"/>
          <w:lang w:eastAsia="zh-CN"/>
        </w:rPr>
        <w:t>，工程专业调整系数取[1.0]，工程复杂程度调整系数取[1.0]，高程调整系数取[1.0]。</w:t>
      </w:r>
      <w:r>
        <w:rPr>
          <w:rFonts w:hint="eastAsia" w:ascii="宋体" w:hAnsi="宋体" w:eastAsia="宋体" w:cs="宋体"/>
          <w:b/>
          <w:bCs/>
          <w:color w:val="auto"/>
          <w:kern w:val="0"/>
          <w:sz w:val="21"/>
          <w:szCs w:val="21"/>
          <w:highlight w:val="none"/>
          <w:lang w:val="en-US" w:eastAsia="zh-CN" w:bidi="ar"/>
        </w:rPr>
        <w:t xml:space="preserve">如果按上述结算原则结算的各楼栋监理费用＞各楼栋分项招标控制价，则按招标控制价结算，如果各楼栋结算监理费用≤各楼栋分项招标控制价，则按上述结算原则结算。 </w:t>
      </w:r>
    </w:p>
    <w:p w14:paraId="395E4277">
      <w:pPr>
        <w:pStyle w:val="5"/>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w:t>
      </w:r>
      <w:r>
        <w:rPr>
          <w:rFonts w:hint="eastAsia" w:cs="宋体"/>
          <w:szCs w:val="21"/>
          <w:highlight w:val="none"/>
          <w:lang w:val="en-US" w:eastAsia="zh-CN"/>
        </w:rPr>
        <w:t>7</w:t>
      </w:r>
      <w:r>
        <w:rPr>
          <w:rFonts w:hint="eastAsia" w:ascii="宋体" w:hAnsi="宋体" w:eastAsia="宋体" w:cs="宋体"/>
          <w:szCs w:val="21"/>
          <w:highlight w:val="none"/>
          <w:lang w:eastAsia="zh-CN"/>
        </w:rPr>
        <w:t>）项目工期不作为结算依据，投标人在投标报价中考虑工期变化因素。除招标文件明确规定外，不因其他原因增加监理服务费用。附加监理工作和额外监理工作服务费已包含在上述监理服务费用中，不额外计取。由于决策、资金、政策等政府原因，导致项目在实施过程中遇有停建、缓建或工程规模缩减等情况，均按实际完成的工程量对应的结算价为计费额计算监理服务费并乘以中标费率。以上监理服务费用计算公式中的调整系数取值不因任何原因调整。监理服务费结算价不得超过监理服务费招标</w:t>
      </w:r>
      <w:r>
        <w:rPr>
          <w:rFonts w:hint="eastAsia" w:cs="宋体"/>
          <w:szCs w:val="21"/>
          <w:highlight w:val="none"/>
          <w:lang w:val="en-US" w:eastAsia="zh-CN"/>
        </w:rPr>
        <w:t>控制价</w:t>
      </w:r>
      <w:r>
        <w:rPr>
          <w:rFonts w:hint="eastAsia" w:ascii="宋体" w:hAnsi="宋体" w:eastAsia="宋体" w:cs="宋体"/>
          <w:szCs w:val="21"/>
          <w:highlight w:val="none"/>
          <w:lang w:eastAsia="zh-CN"/>
        </w:rPr>
        <w:t xml:space="preserve">，超出部分不予支付，投标人在投标报价中综合考虑。 </w:t>
      </w:r>
    </w:p>
    <w:p w14:paraId="54DF48AC">
      <w:pPr>
        <w:autoSpaceDE/>
        <w:autoSpaceDN/>
        <w:spacing w:beforeLines="0" w:afterLines="0" w:line="360" w:lineRule="auto"/>
        <w:rPr>
          <w:rFonts w:hint="eastAsia" w:ascii="宋体" w:hAnsi="宋体" w:eastAsia="宋体" w:cs="宋体"/>
          <w:highlight w:val="none"/>
          <w:lang w:eastAsia="zh-CN"/>
        </w:rPr>
      </w:pPr>
    </w:p>
    <w:p w14:paraId="03B792D8">
      <w:pPr>
        <w:pStyle w:val="8"/>
        <w:autoSpaceDE/>
        <w:autoSpaceDN/>
        <w:spacing w:beforeLines="0" w:afterLines="0" w:line="360" w:lineRule="auto"/>
        <w:rPr>
          <w:rFonts w:hint="eastAsia" w:ascii="宋体" w:hAnsi="宋体" w:eastAsia="宋体" w:cs="宋体"/>
          <w:sz w:val="21"/>
          <w:szCs w:val="21"/>
          <w:highlight w:val="none"/>
          <w:lang w:eastAsia="zh-CN"/>
        </w:rPr>
      </w:pPr>
      <w:bookmarkStart w:id="8" w:name="_Toc14997"/>
      <w:r>
        <w:rPr>
          <w:rFonts w:hint="eastAsia" w:ascii="宋体" w:hAnsi="宋体" w:eastAsia="宋体" w:cs="宋体"/>
          <w:sz w:val="21"/>
          <w:szCs w:val="21"/>
          <w:highlight w:val="none"/>
          <w:lang w:eastAsia="zh-CN"/>
        </w:rPr>
        <w:t>三、技术标准与要求</w:t>
      </w:r>
      <w:bookmarkEnd w:id="8"/>
    </w:p>
    <w:bookmarkEnd w:id="6"/>
    <w:p w14:paraId="3C07D741">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（一）工程基本情况</w:t>
      </w:r>
    </w:p>
    <w:p w14:paraId="624306E0">
      <w:pPr>
        <w:pStyle w:val="5"/>
        <w:autoSpaceDE/>
        <w:autoSpaceDN/>
        <w:spacing w:beforeLines="0" w:after="0" w:afterLines="0" w:line="360" w:lineRule="auto"/>
        <w:ind w:left="0" w:leftChars="0"/>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项目位于</w:t>
      </w:r>
      <w:r>
        <w:rPr>
          <w:rFonts w:hint="eastAsia" w:ascii="宋体" w:hAnsi="宋体" w:eastAsia="宋体" w:cs="宋体"/>
          <w:sz w:val="21"/>
          <w:szCs w:val="21"/>
          <w:highlight w:val="none"/>
          <w:lang w:eastAsia="zh-CN"/>
        </w:rPr>
        <w:t>北京师范大学珠海校区</w:t>
      </w:r>
      <w:r>
        <w:rPr>
          <w:rFonts w:hint="eastAsia" w:ascii="宋体" w:hAnsi="宋体" w:eastAsia="宋体" w:cs="宋体"/>
          <w:szCs w:val="21"/>
          <w:highlight w:val="none"/>
          <w:lang w:val="en-US" w:eastAsia="zh-CN"/>
        </w:rPr>
        <w:t>内，</w:t>
      </w:r>
      <w:r>
        <w:rPr>
          <w:rFonts w:hint="eastAsia" w:ascii="宋体" w:hAnsi="宋体" w:eastAsia="宋体" w:cs="宋体"/>
          <w:sz w:val="21"/>
          <w:szCs w:val="21"/>
          <w:highlight w:val="none"/>
          <w:lang w:eastAsia="zh-CN"/>
        </w:rPr>
        <w:t>燕华苑3号楼、4号楼、5号楼、6号楼（仅外立面）、7号楼和8号楼，总建筑面积约</w:t>
      </w:r>
      <w:r>
        <w:rPr>
          <w:rFonts w:hint="eastAsia" w:ascii="宋体" w:hAnsi="宋体" w:eastAsia="宋体" w:cs="宋体"/>
          <w:b w:val="0"/>
          <w:bCs/>
          <w:color w:val="auto"/>
          <w:kern w:val="2"/>
          <w:szCs w:val="21"/>
          <w:highlight w:val="none"/>
          <w:lang w:val="en-US" w:eastAsia="zh-CN"/>
        </w:rPr>
        <w:t>46544.51</w:t>
      </w:r>
      <w:r>
        <w:rPr>
          <w:rFonts w:hint="eastAsia" w:ascii="宋体" w:hAnsi="宋体" w:eastAsia="宋体" w:cs="宋体"/>
          <w:sz w:val="21"/>
          <w:szCs w:val="21"/>
          <w:highlight w:val="none"/>
          <w:lang w:eastAsia="zh-CN"/>
        </w:rPr>
        <w:t>平方米。包括：建筑、结构、消防、室内精装、外立面、室外景观、强电、弱电、智能化等全专业工程，</w:t>
      </w:r>
      <w:r>
        <w:rPr>
          <w:rFonts w:hint="eastAsia" w:ascii="宋体" w:hAnsi="宋体" w:eastAsia="宋体" w:cs="宋体"/>
          <w:sz w:val="21"/>
          <w:szCs w:val="21"/>
          <w:highlight w:val="none"/>
          <w:lang w:val="en-US" w:eastAsia="zh-CN"/>
        </w:rPr>
        <w:t>并通过政府相关部门验收</w:t>
      </w:r>
      <w:r>
        <w:rPr>
          <w:rFonts w:hint="eastAsia" w:ascii="宋体" w:hAnsi="宋体" w:eastAsia="宋体" w:cs="宋体"/>
          <w:sz w:val="21"/>
          <w:szCs w:val="21"/>
          <w:highlight w:val="none"/>
          <w:lang w:eastAsia="zh-CN"/>
        </w:rPr>
        <w:t>直至取得竣工验收备案。（最终以实际实施为准）</w:t>
      </w:r>
      <w:r>
        <w:rPr>
          <w:rFonts w:hint="eastAsia" w:ascii="宋体" w:hAnsi="宋体" w:eastAsia="宋体" w:cs="宋体"/>
          <w:szCs w:val="21"/>
          <w:highlight w:val="none"/>
          <w:lang w:val="en-US" w:eastAsia="zh-CN"/>
        </w:rPr>
        <w:t>。</w:t>
      </w:r>
    </w:p>
    <w:p w14:paraId="3F625FD5">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p>
    <w:p w14:paraId="02AE1075">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（二）监理服务范围及工作任务</w:t>
      </w:r>
    </w:p>
    <w:p w14:paraId="158C1478">
      <w:pPr>
        <w:pStyle w:val="5"/>
        <w:autoSpaceDE/>
        <w:autoSpaceDN/>
        <w:spacing w:beforeLines="0" w:after="0" w:afterLines="0" w:line="360" w:lineRule="auto"/>
        <w:ind w:left="0" w:leftChars="0"/>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 xml:space="preserve">1、服务范围：包括但不限于北京师范大学珠海校区燕华苑学生宿舍改造工程项目施工图范围内全部工程建设的监理，包括施工准备阶段、施工阶段及缺陷责任期的安全管控、质量管控、投资控制、进度控制、材料管控、分包管控、组织协调、合同管理、安全文明施工及配套设备安装等全部工程范围内的监理工作等。 </w:t>
      </w:r>
    </w:p>
    <w:p w14:paraId="056C2F4F">
      <w:pPr>
        <w:pStyle w:val="5"/>
        <w:autoSpaceDE/>
        <w:autoSpaceDN/>
        <w:spacing w:beforeLines="0" w:after="0" w:afterLines="0" w:line="360" w:lineRule="auto"/>
        <w:ind w:left="0" w:leftChars="0"/>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2、监理要求</w:t>
      </w:r>
    </w:p>
    <w:p w14:paraId="0ABC48A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（1）</w:t>
      </w:r>
      <w:r>
        <w:rPr>
          <w:rFonts w:hint="eastAsia" w:ascii="宋体" w:hAnsi="宋体" w:eastAsia="宋体" w:cs="宋体"/>
          <w:highlight w:val="none"/>
        </w:rPr>
        <w:t>对设计阶段进行质量、投资、工期三方面控制。</w:t>
      </w:r>
    </w:p>
    <w:p w14:paraId="6BC4566C">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（2）</w:t>
      </w:r>
      <w:r>
        <w:rPr>
          <w:rFonts w:hint="eastAsia" w:ascii="宋体" w:hAnsi="宋体" w:eastAsia="宋体" w:cs="宋体"/>
          <w:highlight w:val="none"/>
        </w:rPr>
        <w:t>对施工及</w:t>
      </w:r>
      <w:r>
        <w:rPr>
          <w:rFonts w:hint="eastAsia"/>
          <w:lang w:val="en-US" w:eastAsia="zh-CN"/>
        </w:rPr>
        <w:t>缺陷责任期</w:t>
      </w:r>
      <w:r>
        <w:rPr>
          <w:rFonts w:hint="eastAsia" w:ascii="宋体" w:hAnsi="宋体" w:eastAsia="宋体" w:cs="宋体"/>
          <w:highlight w:val="none"/>
        </w:rPr>
        <w:t>阶段进行</w:t>
      </w:r>
      <w:r>
        <w:rPr>
          <w:rFonts w:hint="eastAsia" w:ascii="宋体" w:hAnsi="宋体" w:eastAsia="宋体" w:cs="宋体"/>
          <w:highlight w:val="none"/>
          <w:lang w:val="en-US" w:eastAsia="zh-CN"/>
        </w:rPr>
        <w:t>安全、</w:t>
      </w:r>
      <w:r>
        <w:rPr>
          <w:rFonts w:hint="eastAsia" w:ascii="宋体" w:hAnsi="宋体" w:eastAsia="宋体" w:cs="宋体"/>
          <w:highlight w:val="none"/>
        </w:rPr>
        <w:t>质量、</w:t>
      </w:r>
      <w:r>
        <w:rPr>
          <w:rFonts w:hint="eastAsia" w:ascii="宋体" w:hAnsi="宋体" w:eastAsia="宋体" w:cs="宋体"/>
          <w:highlight w:val="none"/>
          <w:lang w:val="en-US" w:eastAsia="zh-CN"/>
        </w:rPr>
        <w:t>进度、</w:t>
      </w:r>
      <w:r>
        <w:rPr>
          <w:rFonts w:hint="eastAsia" w:ascii="宋体" w:hAnsi="宋体" w:eastAsia="宋体" w:cs="宋体"/>
          <w:highlight w:val="none"/>
        </w:rPr>
        <w:t>投资、</w:t>
      </w:r>
      <w:r>
        <w:rPr>
          <w:rFonts w:hint="eastAsia" w:ascii="宋体" w:hAnsi="宋体" w:eastAsia="宋体" w:cs="宋体"/>
          <w:highlight w:val="none"/>
          <w:lang w:val="en-US" w:eastAsia="zh-CN"/>
        </w:rPr>
        <w:t>等</w:t>
      </w:r>
      <w:r>
        <w:rPr>
          <w:rFonts w:hint="eastAsia" w:ascii="宋体" w:hAnsi="宋体" w:eastAsia="宋体" w:cs="宋体"/>
          <w:highlight w:val="none"/>
        </w:rPr>
        <w:t>面控制。对主要部位关键部分实施旁站。</w:t>
      </w:r>
    </w:p>
    <w:p w14:paraId="412BC6B2">
      <w:pPr>
        <w:keepNext w:val="0"/>
        <w:keepLines w:val="0"/>
        <w:pageBreakBefore w:val="0"/>
        <w:widowControl w:val="0"/>
        <w:kinsoku/>
        <w:wordWrap/>
        <w:overflowPunct/>
        <w:topLinePunct w:val="0"/>
        <w:autoSpaceDE/>
        <w:autoSpaceDN/>
        <w:bidi w:val="0"/>
        <w:adjustRightInd/>
        <w:snapToGrid/>
        <w:spacing w:beforeLines="0" w:afterLines="0" w:line="360" w:lineRule="auto"/>
        <w:ind w:left="840" w:leftChars="200" w:hanging="420" w:hanging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（3）</w:t>
      </w:r>
      <w:r>
        <w:rPr>
          <w:rFonts w:hint="eastAsia" w:ascii="宋体" w:hAnsi="宋体" w:eastAsia="宋体" w:cs="宋体"/>
          <w:highlight w:val="none"/>
        </w:rPr>
        <w:t>对前期阶段进行质量、投资、工期三方面控制，配合招标人完成内部审查、审图及前期报建的相关工作。</w:t>
      </w:r>
    </w:p>
    <w:p w14:paraId="07899F92">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（4）</w:t>
      </w:r>
      <w:r>
        <w:rPr>
          <w:rFonts w:hint="eastAsia" w:ascii="宋体" w:hAnsi="宋体" w:eastAsia="宋体" w:cs="宋体"/>
          <w:highlight w:val="none"/>
        </w:rPr>
        <w:t>对施工及</w:t>
      </w:r>
      <w:r>
        <w:rPr>
          <w:rFonts w:hint="eastAsia"/>
          <w:lang w:val="en-US" w:eastAsia="zh-CN"/>
        </w:rPr>
        <w:t>缺陷责任期</w:t>
      </w:r>
      <w:r>
        <w:rPr>
          <w:rFonts w:hint="eastAsia" w:ascii="宋体" w:hAnsi="宋体" w:eastAsia="宋体" w:cs="宋体"/>
          <w:highlight w:val="none"/>
        </w:rPr>
        <w:t>阶段进行质量、投资、工期三方面控制，对安全文明施工进行管理。</w:t>
      </w:r>
    </w:p>
    <w:p w14:paraId="4FE68C7A">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（5）</w:t>
      </w:r>
      <w:r>
        <w:rPr>
          <w:rFonts w:hint="eastAsia" w:ascii="宋体" w:hAnsi="宋体" w:eastAsia="宋体" w:cs="宋体"/>
          <w:highlight w:val="none"/>
        </w:rPr>
        <w:t>对施工主要部位、关键部分实施旁站，具体以招标人要求为准。</w:t>
      </w:r>
    </w:p>
    <w:p w14:paraId="217142C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（6）</w:t>
      </w:r>
      <w:r>
        <w:rPr>
          <w:rFonts w:hint="eastAsia" w:ascii="宋体" w:hAnsi="宋体" w:eastAsia="宋体" w:cs="宋体"/>
          <w:highlight w:val="none"/>
        </w:rPr>
        <w:t>负责对材料进场、设备采购与生产、安装、调试、</w:t>
      </w:r>
      <w:r>
        <w:rPr>
          <w:rFonts w:hint="eastAsia" w:ascii="宋体" w:hAnsi="宋体" w:eastAsia="宋体" w:cs="宋体"/>
          <w:highlight w:val="none"/>
          <w:lang w:eastAsia="zh-CN"/>
        </w:rPr>
        <w:t>缺陷责任期</w:t>
      </w:r>
      <w:r>
        <w:rPr>
          <w:rFonts w:hint="eastAsia" w:ascii="宋体" w:hAnsi="宋体" w:eastAsia="宋体" w:cs="宋体"/>
          <w:highlight w:val="none"/>
        </w:rPr>
        <w:t>运行等过程实施监督、管理、控制和协调。</w:t>
      </w:r>
    </w:p>
    <w:p w14:paraId="4E6F0FEC">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r>
        <w:rPr>
          <w:rFonts w:hint="eastAsia" w:ascii="宋体" w:hAnsi="宋体" w:eastAsia="宋体" w:cs="宋体"/>
          <w:highlight w:val="none"/>
          <w:lang w:val="en-US" w:eastAsia="zh-CN"/>
        </w:rPr>
        <w:t>（7）</w:t>
      </w:r>
      <w:r>
        <w:rPr>
          <w:rFonts w:hint="eastAsia" w:ascii="宋体" w:hAnsi="宋体" w:eastAsia="宋体" w:cs="宋体"/>
          <w:szCs w:val="21"/>
          <w:highlight w:val="none"/>
          <w:lang w:val="en-US" w:eastAsia="zh-CN"/>
        </w:rPr>
        <w:t>履行其他法律、法规规定的监理职责义务，提供其他可免费提供的监理服务。</w:t>
      </w:r>
    </w:p>
    <w:p w14:paraId="2919427F">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（8）不得私自更换总监理工程师及关键岗位人员，因私自变更替换人员、人证不符、现场到岗率不够等情况所产生一切损失及后果由供应商承担，并按照合同违约条款做顶格处罚（监理总价的10%）。</w:t>
      </w:r>
    </w:p>
    <w:p w14:paraId="677D3E1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szCs w:val="21"/>
          <w:highlight w:val="none"/>
          <w:lang w:val="en-US" w:eastAsia="zh-CN"/>
        </w:rPr>
        <w:t>（9）</w:t>
      </w:r>
      <w:r>
        <w:rPr>
          <w:rFonts w:hint="eastAsia" w:ascii="宋体" w:hAnsi="宋体" w:eastAsia="宋体" w:cs="宋体"/>
          <w:highlight w:val="none"/>
        </w:rPr>
        <w:t>其它事项：招标人对中标人各阶段主要工作内容及人员到位情况要求（包括但不限于）： 进行质量、投资、工期三方面控制、合同管理、信息管理、组织协调、安全生产管理、文明施工管理、竣工档案、结算、审计配合等方面的全过程及全方位监理。</w:t>
      </w:r>
    </w:p>
    <w:p w14:paraId="7E25F58F">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1</w:t>
      </w:r>
      <w:r>
        <w:rPr>
          <w:rFonts w:hint="eastAsia" w:ascii="宋体" w:hAnsi="宋体" w:eastAsia="宋体" w:cs="宋体"/>
          <w:highlight w:val="none"/>
          <w:lang w:eastAsia="zh-CN"/>
        </w:rPr>
        <w:t>）</w:t>
      </w:r>
      <w:r>
        <w:rPr>
          <w:rFonts w:hint="eastAsia" w:ascii="宋体" w:hAnsi="宋体" w:eastAsia="宋体" w:cs="宋体"/>
          <w:highlight w:val="none"/>
        </w:rPr>
        <w:t>前期阶段：</w:t>
      </w:r>
    </w:p>
    <w:p w14:paraId="294C1C5C">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①</w:t>
      </w:r>
      <w:r>
        <w:rPr>
          <w:rFonts w:hint="eastAsia" w:ascii="宋体" w:hAnsi="宋体" w:eastAsia="宋体" w:cs="宋体"/>
          <w:highlight w:val="none"/>
        </w:rPr>
        <w:t>由中标人按照招标人要求办理工程前期阶段有关报建及招标人交办的其他工作。</w:t>
      </w:r>
    </w:p>
    <w:p w14:paraId="3FE60A0A">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②</w:t>
      </w:r>
      <w:r>
        <w:rPr>
          <w:rFonts w:hint="eastAsia" w:ascii="宋体" w:hAnsi="宋体" w:eastAsia="宋体" w:cs="宋体"/>
          <w:highlight w:val="none"/>
        </w:rPr>
        <w:t>协助审核项目概算，重点对工程项目内容及概算工程量进行计算或审核。协助审核项目预算，重点对工程项目内容及预算工程量进行计算或审核。控制工程总投资规模，确保施工预算不超过概算，控制设计质量及工期。编制本项目建设管理的总策划书；编制各施工期预想的施工方案。</w:t>
      </w:r>
    </w:p>
    <w:p w14:paraId="4C2F05F3">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2</w:t>
      </w:r>
      <w:r>
        <w:rPr>
          <w:rFonts w:hint="eastAsia" w:ascii="宋体" w:hAnsi="宋体" w:eastAsia="宋体" w:cs="宋体"/>
          <w:highlight w:val="none"/>
          <w:lang w:eastAsia="zh-CN"/>
        </w:rPr>
        <w:t>）</w:t>
      </w:r>
      <w:r>
        <w:rPr>
          <w:rFonts w:hint="eastAsia" w:ascii="宋体" w:hAnsi="宋体" w:eastAsia="宋体" w:cs="宋体"/>
          <w:highlight w:val="none"/>
        </w:rPr>
        <w:t>施工准备及施工阶段：</w:t>
      </w:r>
    </w:p>
    <w:p w14:paraId="4513C76D">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①</w:t>
      </w:r>
      <w:r>
        <w:rPr>
          <w:rFonts w:hint="eastAsia" w:ascii="宋体" w:hAnsi="宋体" w:eastAsia="宋体" w:cs="宋体"/>
          <w:highlight w:val="none"/>
        </w:rPr>
        <w:t>施工准备及施工阶段：中标人应根据本工程</w:t>
      </w:r>
      <w:r>
        <w:rPr>
          <w:rFonts w:hint="eastAsia" w:ascii="宋体" w:hAnsi="宋体" w:eastAsia="宋体" w:cs="宋体"/>
          <w:highlight w:val="none"/>
          <w:lang w:val="en-US" w:eastAsia="zh-CN"/>
        </w:rPr>
        <w:t>安全、</w:t>
      </w:r>
      <w:r>
        <w:rPr>
          <w:rFonts w:hint="eastAsia" w:ascii="宋体" w:hAnsi="宋体" w:eastAsia="宋体" w:cs="宋体"/>
          <w:highlight w:val="none"/>
        </w:rPr>
        <w:t>质量、投资、工期、安全要求，根据项目特点、难点、重点、关键点尽快编制完成监理规划及监理细则并提交招标人审核。协助招标人对投资、工期的控制及管理工作；负责工程施工过程质量和安全生产、文明施工等方面的控制及管理工作；巡视、抽检（含见证取样及送检）、主要部位实行旁站监理；对每一道工序的质量进行验收检查（举牌验收，签浇筑令）；正确、如实填写监理日记，发现问题或事故隐患、安全隐患应及时向招标人的项目主管书面通报；工程建设合同管理和信息管理；督促施工单位落实安全生产和文明施工措施，监督施工单位购买意外伤害保险、建筑工程一切保险及第三者责任险，并实行“平安卡”管理制度；协助招标人协调有关单位间的工作关系及做好施工全过程的协调工作；收集整理工程信息和档案资料；组织工程预验收；按招标人要求完成所有工作联系、工程变更、项目进度款填报及审核；材料报价审核、索赔等，协助招标人完成预算、结算审核。</w:t>
      </w:r>
    </w:p>
    <w:p w14:paraId="20A15AEF">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②</w:t>
      </w:r>
      <w:r>
        <w:rPr>
          <w:rFonts w:hint="eastAsia" w:ascii="宋体" w:hAnsi="宋体" w:eastAsia="宋体" w:cs="宋体"/>
          <w:highlight w:val="none"/>
        </w:rPr>
        <w:t>负责各单位竣工资料的审核、汇总，按时向招标人递交合格、齐备的竣工资料并协助招标人进行竣工资料备案。</w:t>
      </w:r>
    </w:p>
    <w:p w14:paraId="393B7683">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③</w:t>
      </w:r>
      <w:r>
        <w:rPr>
          <w:rFonts w:hint="eastAsia" w:ascii="宋体" w:hAnsi="宋体" w:eastAsia="宋体" w:cs="宋体"/>
          <w:highlight w:val="none"/>
        </w:rPr>
        <w:t>按招标人要求配合项目审计工作，收集、准备、审核审计资料。</w:t>
      </w:r>
    </w:p>
    <w:p w14:paraId="6FEF7AEA">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3</w:t>
      </w:r>
      <w:r>
        <w:rPr>
          <w:rFonts w:hint="eastAsia" w:ascii="宋体" w:hAnsi="宋体" w:eastAsia="宋体" w:cs="宋体"/>
          <w:highlight w:val="none"/>
          <w:lang w:eastAsia="zh-CN"/>
        </w:rPr>
        <w:t>）</w:t>
      </w:r>
      <w:r>
        <w:rPr>
          <w:rFonts w:hint="eastAsia"/>
          <w:lang w:val="en-US" w:eastAsia="zh-CN"/>
        </w:rPr>
        <w:t>缺陷责任期</w:t>
      </w:r>
      <w:r>
        <w:rPr>
          <w:rFonts w:hint="eastAsia" w:ascii="宋体" w:hAnsi="宋体" w:eastAsia="宋体" w:cs="宋体"/>
          <w:highlight w:val="none"/>
        </w:rPr>
        <w:t>阶段：负责定期（每年不少于4次）检查和记录工程质量缺陷，对缺陷原因进行调查分析并确定责任归属，审核修复方案，监督修复过程并验收，审核修复费用。</w:t>
      </w:r>
    </w:p>
    <w:p w14:paraId="7357AD22">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4</w:t>
      </w:r>
      <w:r>
        <w:rPr>
          <w:rFonts w:hint="eastAsia" w:ascii="宋体" w:hAnsi="宋体" w:eastAsia="宋体" w:cs="宋体"/>
          <w:highlight w:val="none"/>
          <w:lang w:eastAsia="zh-CN"/>
        </w:rPr>
        <w:t>）</w:t>
      </w:r>
      <w:r>
        <w:rPr>
          <w:rFonts w:hint="eastAsia" w:ascii="宋体" w:hAnsi="宋体" w:eastAsia="宋体" w:cs="宋体"/>
          <w:highlight w:val="none"/>
        </w:rPr>
        <w:t>除按监理规范的具体要求以外，还应重点完成以下工作：协助招标人各阶段的报建工作；必须按国家、省、市有关规定进行监理，严格按施工招标文件及合同对风险包干内容、工程设计变更和现场工程量进行辨别和确认，并按设计变更审批程序办理有关审批手续。</w:t>
      </w:r>
    </w:p>
    <w:p w14:paraId="4E4A6B9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5</w:t>
      </w:r>
      <w:r>
        <w:rPr>
          <w:rFonts w:hint="eastAsia" w:ascii="宋体" w:hAnsi="宋体" w:eastAsia="宋体" w:cs="宋体"/>
          <w:highlight w:val="none"/>
          <w:lang w:eastAsia="zh-CN"/>
        </w:rPr>
        <w:t>）</w:t>
      </w:r>
      <w:r>
        <w:rPr>
          <w:rFonts w:hint="eastAsia" w:ascii="宋体" w:hAnsi="宋体" w:eastAsia="宋体" w:cs="宋体"/>
          <w:highlight w:val="none"/>
        </w:rPr>
        <w:t>组织并参加由使用单位、招标人、中标人、造价单位、设计单位及施工单位六方进行的主要材料样板确认工作；样板封样及保管；核对、检查进场的主要材料是否符合确认的样板要求。</w:t>
      </w:r>
    </w:p>
    <w:p w14:paraId="30797325">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6</w:t>
      </w:r>
      <w:r>
        <w:rPr>
          <w:rFonts w:hint="eastAsia" w:ascii="宋体" w:hAnsi="宋体" w:eastAsia="宋体" w:cs="宋体"/>
          <w:highlight w:val="none"/>
          <w:lang w:eastAsia="zh-CN"/>
        </w:rPr>
        <w:t>）</w:t>
      </w:r>
      <w:r>
        <w:rPr>
          <w:rFonts w:hint="eastAsia" w:ascii="宋体" w:hAnsi="宋体" w:eastAsia="宋体" w:cs="宋体"/>
          <w:highlight w:val="none"/>
        </w:rPr>
        <w:t>中标人须自备必要的测量、检测工具用于工程计量及工程质量控制。</w:t>
      </w:r>
    </w:p>
    <w:p w14:paraId="144F4128">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lang w:val="en-US" w:eastAsia="zh-CN"/>
        </w:rPr>
        <w:t>7</w:t>
      </w:r>
      <w:r>
        <w:rPr>
          <w:rFonts w:hint="eastAsia" w:ascii="宋体" w:hAnsi="宋体" w:eastAsia="宋体" w:cs="宋体"/>
          <w:highlight w:val="none"/>
          <w:lang w:eastAsia="zh-CN"/>
        </w:rPr>
        <w:t>）</w:t>
      </w:r>
      <w:r>
        <w:rPr>
          <w:rFonts w:hint="eastAsia" w:ascii="宋体" w:hAnsi="宋体" w:eastAsia="宋体" w:cs="宋体"/>
          <w:highlight w:val="none"/>
        </w:rPr>
        <w:t>中标人必须按照招标人要求的时间进驻施工现场进行监理服务工作；开工前由中标人为派驻人员购买施工期间的意外伤害保险，保单复印件加盖中标人公章后交招标人备存、原件备查。</w:t>
      </w:r>
    </w:p>
    <w:p w14:paraId="4E247C1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szCs w:val="21"/>
          <w:highlight w:val="none"/>
          <w:lang w:val="en-US" w:eastAsia="zh-CN"/>
        </w:rPr>
      </w:pPr>
      <w:r>
        <w:rPr>
          <w:rFonts w:hint="eastAsia" w:ascii="宋体" w:hAnsi="宋体" w:eastAsia="宋体" w:cs="宋体"/>
          <w:highlight w:val="none"/>
          <w:lang w:eastAsia="zh-CN"/>
        </w:rPr>
        <w:t>（</w:t>
      </w:r>
      <w:r>
        <w:rPr>
          <w:rFonts w:hint="eastAsia" w:ascii="宋体" w:hAnsi="宋体" w:eastAsia="宋体" w:cs="宋体"/>
          <w:highlight w:val="none"/>
          <w:lang w:val="en-US" w:eastAsia="zh-CN"/>
        </w:rPr>
        <w:t>10</w:t>
      </w:r>
      <w:r>
        <w:rPr>
          <w:rFonts w:hint="eastAsia" w:ascii="宋体" w:hAnsi="宋体" w:eastAsia="宋体" w:cs="宋体"/>
          <w:highlight w:val="none"/>
          <w:lang w:eastAsia="zh-CN"/>
        </w:rPr>
        <w:t>）</w:t>
      </w:r>
      <w:r>
        <w:rPr>
          <w:rFonts w:hint="eastAsia" w:ascii="宋体" w:hAnsi="宋体" w:eastAsia="宋体" w:cs="宋体"/>
          <w:szCs w:val="21"/>
          <w:highlight w:val="none"/>
          <w:lang w:val="en-US" w:eastAsia="zh-CN"/>
        </w:rPr>
        <w:t>完成监理规范要求的其他工作内容。</w:t>
      </w:r>
    </w:p>
    <w:p w14:paraId="3D8C1577">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p>
    <w:p w14:paraId="18900ACB">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（三）投标报价风险</w:t>
      </w:r>
    </w:p>
    <w:p w14:paraId="2ECDDAA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cs="宋体"/>
          <w:highlight w:val="none"/>
          <w:lang w:val="en-US" w:eastAsia="zh-CN"/>
        </w:rPr>
        <w:t>1、</w:t>
      </w:r>
      <w:r>
        <w:rPr>
          <w:rFonts w:hint="eastAsia" w:ascii="宋体" w:hAnsi="宋体" w:eastAsia="宋体" w:cs="宋体"/>
          <w:highlight w:val="none"/>
        </w:rPr>
        <w:t>投标报价应当包含完成监理全过程的所有费用、利润及税金等,以及招标文件及承包合同约定应当由中标人承担的风险因素等费用。投标人应当根据招标工程量清单等材料自行考虑风险因素进行投标报价。否则，一旦中标，</w:t>
      </w:r>
      <w:r>
        <w:rPr>
          <w:rFonts w:hint="eastAsia" w:ascii="宋体" w:hAnsi="宋体" w:eastAsia="宋体" w:cs="宋体"/>
          <w:highlight w:val="none"/>
          <w:lang w:eastAsia="zh-CN"/>
        </w:rPr>
        <w:t>采购人</w:t>
      </w:r>
      <w:r>
        <w:rPr>
          <w:rFonts w:hint="eastAsia" w:ascii="宋体" w:hAnsi="宋体" w:eastAsia="宋体" w:cs="宋体"/>
          <w:highlight w:val="none"/>
        </w:rPr>
        <w:t>将不予支付除了招标文件及承包合同约定的由</w:t>
      </w:r>
      <w:r>
        <w:rPr>
          <w:rFonts w:hint="eastAsia" w:ascii="宋体" w:hAnsi="宋体" w:eastAsia="宋体" w:cs="宋体"/>
          <w:highlight w:val="none"/>
          <w:lang w:eastAsia="zh-CN"/>
        </w:rPr>
        <w:t>采购人</w:t>
      </w:r>
      <w:r>
        <w:rPr>
          <w:rFonts w:hint="eastAsia" w:ascii="宋体" w:hAnsi="宋体" w:eastAsia="宋体" w:cs="宋体"/>
          <w:highlight w:val="none"/>
        </w:rPr>
        <w:t>承担的风险因素之外的任何补偿。</w:t>
      </w:r>
    </w:p>
    <w:p w14:paraId="0E8DEAA6">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cs="宋体"/>
          <w:highlight w:val="none"/>
          <w:lang w:val="en-US" w:eastAsia="zh-CN"/>
        </w:rPr>
        <w:t>2、</w:t>
      </w:r>
      <w:r>
        <w:rPr>
          <w:rFonts w:hint="eastAsia" w:ascii="宋体" w:hAnsi="宋体" w:eastAsia="宋体" w:cs="宋体"/>
          <w:highlight w:val="none"/>
        </w:rPr>
        <w:t>本项目应对各楼栋分别进行报价，同时提供合计总价；所报的单项金额高于招标控制价列表中的各楼栋分项监理费或总价高于总监理费的，报价将被认定为无效报价；各楼栋的投标费率须保持一致，否则报价将被认定为无效报价。</w:t>
      </w:r>
    </w:p>
    <w:p w14:paraId="5799597B">
      <w:pPr>
        <w:autoSpaceDE/>
        <w:autoSpaceDN/>
        <w:spacing w:beforeLines="0" w:after="0" w:afterLines="0" w:line="360" w:lineRule="auto"/>
        <w:ind w:left="0" w:leftChars="0"/>
        <w:outlineLvl w:val="9"/>
        <w:rPr>
          <w:rFonts w:hint="eastAsia" w:ascii="宋体" w:hAnsi="宋体" w:eastAsia="宋体" w:cs="宋体"/>
          <w:b w:val="0"/>
          <w:bCs w:val="0"/>
          <w:szCs w:val="21"/>
          <w:highlight w:val="none"/>
          <w:lang w:val="en-US" w:eastAsia="zh-CN"/>
        </w:rPr>
      </w:pPr>
    </w:p>
    <w:p w14:paraId="1803E961">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（四）项目要求及说明</w:t>
      </w:r>
    </w:p>
    <w:p w14:paraId="071A35D4">
      <w:pPr>
        <w:pStyle w:val="5"/>
        <w:autoSpaceDE/>
        <w:autoSpaceDN/>
        <w:spacing w:beforeLines="0" w:after="0" w:afterLines="0" w:line="360" w:lineRule="auto"/>
        <w:ind w:left="0" w:leftChars="0"/>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安全生产文明施工要求及目标：合格。执行国家、广东省、珠海市现行验收评审标准。符合北京师范大学珠海园区的校园管理规定和政府建设管理部门的要求。每月统计政府检查部门的扣分情况，按每分扣减当月监理费的1%计算。如非甲方原因导致项目停工，当月扣减监理费10%。因中标人原因导致人员死亡，采购人按照[监理合同结算金额2%]标准予以处罚。</w:t>
      </w:r>
    </w:p>
    <w:p w14:paraId="5D55FF02">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2、投资控制目标：不突破施工总承包招标控制价。如未达到投资控制目标，按施工总承包招标控制结算监理费。</w:t>
      </w:r>
    </w:p>
    <w:p w14:paraId="7648F74A">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3、进度控制目标：与工程施工合同工期、缺陷责任期相同。每月应完成批复的总进度计划产值目标的80%。达到目标，则按产值比例支付；如未达到，则在产值比例基础上扣减监理费。</w:t>
      </w:r>
    </w:p>
    <w:p w14:paraId="5731486E">
      <w:pPr>
        <w:pStyle w:val="5"/>
        <w:autoSpaceDE/>
        <w:autoSpaceDN/>
        <w:spacing w:beforeLines="0" w:after="0" w:afterLines="0" w:line="360" w:lineRule="auto"/>
        <w:ind w:left="0" w:leftChars="0"/>
        <w:rPr>
          <w:rFonts w:hint="eastAsia" w:ascii="宋体" w:hAnsi="宋体" w:eastAsia="宋体" w:cs="宋体"/>
          <w:szCs w:val="21"/>
          <w:highlight w:val="none"/>
          <w:lang w:val="en-US" w:eastAsia="zh-CN"/>
        </w:rPr>
      </w:pPr>
    </w:p>
    <w:p w14:paraId="201B396D">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（五）人员到位要求</w:t>
      </w:r>
    </w:p>
    <w:p w14:paraId="10C06E6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1、现场人员必须与中标人在</w:t>
      </w:r>
      <w:r>
        <w:rPr>
          <w:rFonts w:hint="eastAsia" w:ascii="宋体" w:hAnsi="宋体" w:eastAsia="宋体" w:cs="宋体"/>
          <w:highlight w:val="none"/>
          <w:lang w:val="en-US" w:eastAsia="zh-CN"/>
        </w:rPr>
        <w:t>合同</w:t>
      </w:r>
      <w:r>
        <w:rPr>
          <w:rFonts w:hint="eastAsia" w:ascii="宋体" w:hAnsi="宋体" w:eastAsia="宋体" w:cs="宋体"/>
          <w:highlight w:val="none"/>
        </w:rPr>
        <w:t>提供《工程监理人员配备情况表》所配人员一致，在监理工作过程中不得更换《工程监理人员配备情况表》的人员，确需变更应征得招标人书面同意，并由监理单位提交相关证明材料报原备案机关登记变更，变更后的人员持证水平不得低于变更前的人员持证水平。同时总监每更换一次，扣除</w:t>
      </w:r>
      <w:r>
        <w:rPr>
          <w:rFonts w:hint="eastAsia" w:ascii="宋体" w:hAnsi="宋体" w:eastAsia="宋体" w:cs="宋体"/>
          <w:highlight w:val="none"/>
          <w:lang w:val="en-US" w:eastAsia="zh-CN"/>
        </w:rPr>
        <w:t>5000</w:t>
      </w:r>
      <w:r>
        <w:rPr>
          <w:rFonts w:hint="eastAsia" w:ascii="宋体" w:hAnsi="宋体" w:eastAsia="宋体" w:cs="宋体"/>
          <w:highlight w:val="none"/>
        </w:rPr>
        <w:t>元监理服务费（因病等原因丧失劳动能力或因个人原因调离中标单位并得到招标人书面确认的除外）；其他人员每更换一次扣除</w:t>
      </w:r>
      <w:r>
        <w:rPr>
          <w:rFonts w:hint="eastAsia" w:ascii="宋体" w:hAnsi="宋体" w:eastAsia="宋体" w:cs="宋体"/>
          <w:highlight w:val="none"/>
          <w:lang w:val="en-US" w:eastAsia="zh-CN"/>
        </w:rPr>
        <w:t>5000</w:t>
      </w:r>
      <w:r>
        <w:rPr>
          <w:rFonts w:hint="eastAsia" w:ascii="宋体" w:hAnsi="宋体" w:eastAsia="宋体" w:cs="宋体"/>
          <w:highlight w:val="none"/>
        </w:rPr>
        <w:t>元监理服务费（因病等原因丧失劳动能力或因个人原因调离中标单位并得到招标人书面确认的除外）。</w:t>
      </w:r>
    </w:p>
    <w:p w14:paraId="044B4D0F">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2、对总监到位要求：</w:t>
      </w:r>
    </w:p>
    <w:p w14:paraId="29372D4B">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1）项目实施过程中，无论是否设置总监代表，总监理工程师</w:t>
      </w:r>
      <w:r>
        <w:rPr>
          <w:rFonts w:hint="eastAsia" w:ascii="宋体" w:hAnsi="宋体" w:eastAsia="宋体" w:cs="宋体"/>
          <w:sz w:val="21"/>
          <w:szCs w:val="21"/>
          <w:highlight w:val="none"/>
          <w:lang w:val="en-US" w:eastAsia="zh-CN"/>
        </w:rPr>
        <w:t>每月不</w:t>
      </w:r>
      <w:r>
        <w:rPr>
          <w:rFonts w:hint="eastAsia" w:ascii="宋体" w:hAnsi="宋体" w:eastAsia="宋体" w:cs="宋体"/>
          <w:sz w:val="21"/>
          <w:szCs w:val="21"/>
          <w:highlight w:val="none"/>
        </w:rPr>
        <w:t>少</w:t>
      </w:r>
      <w:r>
        <w:rPr>
          <w:rFonts w:hint="eastAsia" w:ascii="宋体" w:hAnsi="宋体" w:eastAsia="宋体" w:cs="宋体"/>
          <w:sz w:val="21"/>
          <w:szCs w:val="21"/>
          <w:highlight w:val="none"/>
          <w:lang w:val="en-US" w:eastAsia="zh-CN"/>
        </w:rPr>
        <w:t>于21</w:t>
      </w:r>
      <w:r>
        <w:rPr>
          <w:rFonts w:hint="eastAsia" w:ascii="宋体" w:hAnsi="宋体" w:eastAsia="宋体" w:cs="宋体"/>
          <w:sz w:val="21"/>
          <w:szCs w:val="21"/>
          <w:highlight w:val="none"/>
        </w:rPr>
        <w:t>天驻场，且每天不少于8小时。如缺勤，须书面报请招标人同意，否则每缺勤一天扣除</w:t>
      </w:r>
      <w:r>
        <w:rPr>
          <w:rFonts w:hint="eastAsia" w:ascii="宋体" w:hAnsi="宋体" w:eastAsia="宋体" w:cs="宋体"/>
          <w:sz w:val="21"/>
          <w:szCs w:val="21"/>
          <w:highlight w:val="none"/>
          <w:lang w:val="en-US" w:eastAsia="zh-CN"/>
        </w:rPr>
        <w:t>1000</w:t>
      </w:r>
      <w:r>
        <w:rPr>
          <w:rFonts w:hint="eastAsia" w:ascii="宋体" w:hAnsi="宋体" w:eastAsia="宋体" w:cs="宋体"/>
          <w:sz w:val="21"/>
          <w:szCs w:val="21"/>
          <w:highlight w:val="none"/>
        </w:rPr>
        <w:t>元监理服务费。</w:t>
      </w:r>
    </w:p>
    <w:p w14:paraId="50D1AA79">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2）项目实施过程中，如因总监不称职被主管部门或招标人勒令更换的，扣减监理服务费</w:t>
      </w:r>
      <w:r>
        <w:rPr>
          <w:rFonts w:hint="eastAsia" w:ascii="宋体" w:hAnsi="宋体" w:eastAsia="宋体" w:cs="宋体"/>
          <w:sz w:val="21"/>
          <w:szCs w:val="21"/>
          <w:highlight w:val="none"/>
          <w:lang w:val="en-US" w:eastAsia="zh-CN"/>
        </w:rPr>
        <w:t>1000</w:t>
      </w:r>
      <w:r>
        <w:rPr>
          <w:rFonts w:hint="eastAsia" w:ascii="宋体" w:hAnsi="宋体" w:eastAsia="宋体" w:cs="宋体"/>
          <w:sz w:val="21"/>
          <w:szCs w:val="21"/>
          <w:highlight w:val="none"/>
        </w:rPr>
        <w:t>元。</w:t>
      </w:r>
    </w:p>
    <w:p w14:paraId="59C1F67B">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3）监理期限内中标人不得擅自更换总监。如未经招标人同意，中标人自行更换的，按缺勤处理，每缺勤一天，扣除</w:t>
      </w:r>
      <w:r>
        <w:rPr>
          <w:rFonts w:hint="eastAsia" w:ascii="宋体" w:hAnsi="宋体" w:eastAsia="宋体" w:cs="宋体"/>
          <w:sz w:val="21"/>
          <w:szCs w:val="21"/>
          <w:highlight w:val="none"/>
          <w:lang w:val="en-US" w:eastAsia="zh-CN"/>
        </w:rPr>
        <w:t>1000</w:t>
      </w:r>
      <w:r>
        <w:rPr>
          <w:rFonts w:hint="eastAsia" w:ascii="宋体" w:hAnsi="宋体" w:eastAsia="宋体" w:cs="宋体"/>
          <w:sz w:val="21"/>
          <w:szCs w:val="21"/>
          <w:highlight w:val="none"/>
        </w:rPr>
        <w:t>元监理服务费，缺勤达10个日历天，招标人有权取消合同。</w:t>
      </w:r>
    </w:p>
    <w:p w14:paraId="4C097752">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3、其他监理人员到位要求：</w:t>
      </w:r>
    </w:p>
    <w:p w14:paraId="510F7B59">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1）其他监理人员施工期间每天驻场人员不得少于7人，且满足招标人对现场管理的要求。如缺勤，必须提前书面报请招标人同意，否则每天每人扣除</w:t>
      </w:r>
      <w:r>
        <w:rPr>
          <w:rFonts w:hint="eastAsia" w:ascii="宋体" w:hAnsi="宋体" w:eastAsia="宋体" w:cs="宋体"/>
          <w:sz w:val="21"/>
          <w:szCs w:val="21"/>
          <w:highlight w:val="none"/>
          <w:lang w:val="en-US" w:eastAsia="zh-CN"/>
        </w:rPr>
        <w:t>1000</w:t>
      </w:r>
      <w:r>
        <w:rPr>
          <w:rFonts w:hint="eastAsia" w:ascii="宋体" w:hAnsi="宋体" w:eastAsia="宋体" w:cs="宋体"/>
          <w:sz w:val="21"/>
          <w:szCs w:val="21"/>
          <w:highlight w:val="none"/>
        </w:rPr>
        <w:t>元监理服务费，连续10个日历天驻场人数不符合要求或累计3次检查驻场人数不符合要求，招标人有权取消合同。</w:t>
      </w:r>
    </w:p>
    <w:p w14:paraId="3931DE31">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2）项目实施过程中，如因其他监理人员不称职被主管部门或招标人勒令更换的，扣减监理服务费5万元。</w:t>
      </w:r>
    </w:p>
    <w:p w14:paraId="46A7D6F0">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3）本项目需派专人1人配合前期工作，由中标人安排车辆，按照招标人要求配合项目负责人的前期工作，与各行政主管部门沟通协调。</w:t>
      </w:r>
    </w:p>
    <w:p w14:paraId="6CC4BB53">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4、仪器设备及过程记录到位要求：</w:t>
      </w:r>
    </w:p>
    <w:p w14:paraId="317EED8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监理部应配备与本工程监理必要的水准仪、全站仪、水平尺、游标卡尺、混凝土回弹仪等经校验合格的所有检测实验工具或仪器，现场办公电脑、打印机等办公设备。如检查中发现缺少相应仪器设备，每发现一项扣减监理服务费2万元。</w:t>
      </w:r>
    </w:p>
    <w:p w14:paraId="7C5AD8E2">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过程记录需详细完善并提供相关照片，如过程记录未到位(包括但不限于隐蔽工程照片、监理日志、监理月报、工程会议纪要、监理工作联系单、监理实施细则、监理规划等缺失或因工作需要无法满足查证相关记录 )，每发现一项扣减监理服务费2万元并不低于给招标人造成损失的10%。</w:t>
      </w:r>
    </w:p>
    <w:p w14:paraId="65F851D1">
      <w:pPr>
        <w:pStyle w:val="5"/>
        <w:autoSpaceDE/>
        <w:autoSpaceDN/>
        <w:spacing w:beforeLines="0" w:after="0" w:afterLines="0" w:line="360" w:lineRule="auto"/>
        <w:ind w:left="0" w:leftChars="0"/>
        <w:outlineLvl w:val="9"/>
        <w:rPr>
          <w:rFonts w:hint="eastAsia" w:ascii="宋体" w:hAnsi="宋体" w:eastAsia="宋体" w:cs="宋体"/>
          <w:b/>
          <w:bCs/>
          <w:szCs w:val="21"/>
          <w:highlight w:val="none"/>
          <w:lang w:val="en-US" w:eastAsia="zh-CN"/>
        </w:rPr>
      </w:pPr>
    </w:p>
    <w:p w14:paraId="468C4465">
      <w:pPr>
        <w:pStyle w:val="5"/>
        <w:autoSpaceDE/>
        <w:autoSpaceDN/>
        <w:spacing w:beforeLines="0" w:after="0" w:afterLines="0" w:line="360" w:lineRule="auto"/>
        <w:ind w:left="0" w:leftChars="0"/>
        <w:outlineLvl w:val="2"/>
        <w:rPr>
          <w:rFonts w:hint="eastAsia" w:ascii="宋体" w:hAnsi="宋体" w:eastAsia="宋体" w:cs="宋体"/>
          <w:b/>
          <w:bCs/>
          <w:szCs w:val="21"/>
          <w:highlight w:val="none"/>
          <w:lang w:val="en-US" w:eastAsia="zh-CN"/>
        </w:rPr>
      </w:pPr>
      <w:r>
        <w:rPr>
          <w:rFonts w:hint="eastAsia" w:ascii="宋体" w:hAnsi="宋体" w:eastAsia="宋体" w:cs="宋体"/>
          <w:b/>
          <w:bCs/>
          <w:szCs w:val="21"/>
          <w:highlight w:val="none"/>
          <w:lang w:val="en-US" w:eastAsia="zh-CN"/>
        </w:rPr>
        <w:t>（六）其他要求</w:t>
      </w:r>
    </w:p>
    <w:p w14:paraId="2D0B8EA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1、按招标人要求参加并完成所有工作联系单审批、工程变更审批、工程结算审核、项目决算配合等工作。无特殊原因中标人未及时完成上述工作，招标人视情况每次扣减监理服务费0.05万元。</w:t>
      </w:r>
    </w:p>
    <w:p w14:paraId="200EE706">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2、本工程施工过程中需要按时计量工程量的，中标人需按现场实际情况及工程量计算方法进行计量。若中标人未按现场实际情况计量或串通施工单位虚报工程量，每发现一次，扣减监理服务费1万元；若工程量无法满足计算要求，每次扣罚监理费0.5万元。</w:t>
      </w:r>
    </w:p>
    <w:p w14:paraId="5F01CA1F">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3、工程量计量审核须三天内完成并交招标人。因中标人原因,每推迟一天扣减监理服务费0.05万元；单项误差超过±5% ，每项扣减监理服务费0.2万元。</w:t>
      </w:r>
    </w:p>
    <w:p w14:paraId="7A8FD01F">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4、中标人必须按有关法规、合同、规范标准进行监理，严格控制变更。中标人未阻止施工单位擅自变更的，每次扣减监理服务费0.5万元。</w:t>
      </w:r>
    </w:p>
    <w:p w14:paraId="222A23A3">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5、隐蔽工程等必须进行旁站的部位不实行旁站监理的，每次扣减监理服务费0.2万元，主要部位或其他要求旁站的部位不实行旁站监理的，每次扣减监理服务费0.05万元。</w:t>
      </w:r>
    </w:p>
    <w:p w14:paraId="330B047B">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6、若中标人审核的月进度款与实际完成的工程造价相差超过10%，每次扣减监理服务费1万元。</w:t>
      </w:r>
    </w:p>
    <w:p w14:paraId="32E5071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7、中标人必须对竣工图纸的审核进行严格把关。如招标人在中标人审核完成的竣工图中发现与实际不符合时，每处扣减监理服务费0.5万元。</w:t>
      </w:r>
    </w:p>
    <w:p w14:paraId="3C6B5E5D">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8、中标人必须在工程竣工验收合格后一个月内将满足归档要求的监理竣工资料移交给招标人，每推迟一天扣减监理服务费0.1万元。</w:t>
      </w:r>
    </w:p>
    <w:p w14:paraId="3E35CBA5">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9、如发现进场材料不符合要求且中标人未尽到监理责任的，由此导致的损失由中标人承担连带责任。</w:t>
      </w:r>
    </w:p>
    <w:p w14:paraId="0BCB42FE">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10、本工程的施工单位因本工程被有关的行政主管部门发出停工整改通知或媒体曝光批评且中标人未尽到监理责任的，每次扣减监理服务费1万元。</w:t>
      </w:r>
    </w:p>
    <w:p w14:paraId="18B61604">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11、本工程因质量或安全等问题导致停工，停工时间超过七天且中标人未尽到监理责任的，每超过一天扣减监理服务费0.5万元。</w:t>
      </w:r>
    </w:p>
    <w:p w14:paraId="0C12ECFA">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12、中标人监理工作出现重大过失等原因被主管部门或媒体曝光批评的，每次扣减监理服务费10万元。</w:t>
      </w:r>
    </w:p>
    <w:p w14:paraId="6DF50970">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13、本工程出现一般或较大安全事故且中标人未尽到监理责任的，每次扣减监理服务费3万元；本工程出现重大安全事故且中标人未尽到监理责任的，每次扣减监理服务费10万元。</w:t>
      </w:r>
    </w:p>
    <w:p w14:paraId="114FCDD0">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14、中标人须自备必要的测量、检测工具用于工程计量及工程质量控制。</w:t>
      </w:r>
    </w:p>
    <w:p w14:paraId="527E6B47">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15、中标人进场时，总监须携带身份证、注册监理工程师证、职称证；专业监理工程师须携带身份证、职称证（以上均为原件）。</w:t>
      </w:r>
    </w:p>
    <w:p w14:paraId="7B6E1216">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16、投标人中标后，必须半个月内在珠海市内设立固定办公场所，确保所承诺的监理机构人员到位，否则，招标人有权终止合同。</w:t>
      </w:r>
    </w:p>
    <w:p w14:paraId="472375E3">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17、中标人需在收到中标通知书两个星期内，提交监理方案电子版，如不能按时提交，从中标人监理服务费中扣除</w:t>
      </w:r>
      <w:r>
        <w:rPr>
          <w:rFonts w:hint="eastAsia" w:ascii="宋体" w:hAnsi="宋体" w:eastAsia="宋体" w:cs="宋体"/>
          <w:highlight w:val="none"/>
          <w:lang w:val="en-US" w:eastAsia="zh-CN"/>
        </w:rPr>
        <w:t>5000</w:t>
      </w:r>
      <w:r>
        <w:rPr>
          <w:rFonts w:hint="eastAsia" w:ascii="宋体" w:hAnsi="宋体" w:eastAsia="宋体" w:cs="宋体"/>
          <w:highlight w:val="none"/>
        </w:rPr>
        <w:t>元。</w:t>
      </w:r>
    </w:p>
    <w:p w14:paraId="67358330">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rPr>
          <w:rFonts w:hint="eastAsia" w:ascii="宋体" w:hAnsi="宋体" w:eastAsia="宋体" w:cs="宋体"/>
          <w:highlight w:val="none"/>
        </w:rPr>
      </w:pPr>
      <w:r>
        <w:rPr>
          <w:rFonts w:hint="eastAsia" w:ascii="宋体" w:hAnsi="宋体" w:eastAsia="宋体" w:cs="宋体"/>
          <w:highlight w:val="none"/>
        </w:rPr>
        <w:t>18、中标人需在设计（初设、施工图）、投资（估算、概算、预算）等阶段及招标人要求中标人参与的技术讨论会议等提出专业意见及合理化建议，并根据招标人要求以书面报告的形式提交招标人。如中标人无故缺席会议，扣减监理服务费</w:t>
      </w:r>
      <w:r>
        <w:rPr>
          <w:rFonts w:hint="eastAsia" w:ascii="宋体" w:hAnsi="宋体" w:eastAsia="宋体" w:cs="宋体"/>
          <w:highlight w:val="none"/>
          <w:lang w:val="en-US" w:eastAsia="zh-CN"/>
        </w:rPr>
        <w:t>1000</w:t>
      </w:r>
      <w:r>
        <w:rPr>
          <w:rFonts w:hint="eastAsia" w:ascii="宋体" w:hAnsi="宋体" w:eastAsia="宋体" w:cs="宋体"/>
          <w:highlight w:val="none"/>
        </w:rPr>
        <w:t>元/次；若招标人认为中标人在提出专业意见或合理化建议过程中未尽到监理责任且经招标人督促修改后仍不能达到专业水平的，扣减监理服务费</w:t>
      </w:r>
      <w:r>
        <w:rPr>
          <w:rFonts w:hint="eastAsia" w:ascii="宋体" w:hAnsi="宋体" w:eastAsia="宋体" w:cs="宋体"/>
          <w:highlight w:val="none"/>
          <w:lang w:val="en-US" w:eastAsia="zh-CN"/>
        </w:rPr>
        <w:t>2000</w:t>
      </w:r>
      <w:r>
        <w:rPr>
          <w:rFonts w:hint="eastAsia" w:ascii="宋体" w:hAnsi="宋体" w:eastAsia="宋体" w:cs="宋体"/>
          <w:highlight w:val="none"/>
        </w:rPr>
        <w:t>元/次。</w:t>
      </w:r>
    </w:p>
    <w:p w14:paraId="340D3B26">
      <w:pPr>
        <w:keepNext w:val="0"/>
        <w:keepLines w:val="0"/>
        <w:pageBreakBefore w:val="0"/>
        <w:widowControl w:val="0"/>
        <w:kinsoku/>
        <w:wordWrap/>
        <w:overflowPunct/>
        <w:topLinePunct w:val="0"/>
        <w:autoSpaceDE/>
        <w:autoSpaceDN/>
        <w:bidi w:val="0"/>
        <w:adjustRightInd/>
        <w:snapToGrid/>
        <w:spacing w:beforeLines="0" w:afterLines="0" w:line="360" w:lineRule="auto"/>
        <w:ind w:firstLine="420" w:firstLineChars="200"/>
        <w:textAlignment w:val="auto"/>
      </w:pPr>
      <w:bookmarkStart w:id="9" w:name="_GoBack"/>
      <w:bookmarkEnd w:id="9"/>
      <w:r>
        <w:rPr>
          <w:rFonts w:hint="eastAsia" w:ascii="宋体" w:hAnsi="宋体" w:eastAsia="宋体" w:cs="宋体"/>
          <w:highlight w:val="none"/>
          <w:lang w:val="en-US" w:eastAsia="zh-CN"/>
        </w:rPr>
        <w:t>19、</w:t>
      </w:r>
      <w:r>
        <w:rPr>
          <w:rFonts w:hint="eastAsia" w:ascii="宋体" w:hAnsi="宋体" w:eastAsia="宋体" w:cs="宋体"/>
          <w:highlight w:val="none"/>
        </w:rPr>
        <w:t>如中标人违反本工程监理招标文件及合同工作要求，所扣减的服务费用在本工程监理服务费进度款中扣减。</w:t>
      </w:r>
    </w:p>
    <w:sectPr>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A5C27F"/>
    <w:multiLevelType w:val="singleLevel"/>
    <w:tmpl w:val="8AA5C27F"/>
    <w:lvl w:ilvl="0" w:tentative="0">
      <w:start w:val="1"/>
      <w:numFmt w:val="decimal"/>
      <w:suff w:val="nothing"/>
      <w:lvlText w:val="（%1）"/>
      <w:lvlJc w:val="left"/>
    </w:lvl>
  </w:abstractNum>
  <w:abstractNum w:abstractNumId="1">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0763C8"/>
    <w:rsid w:val="290763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szCs w:val="19"/>
    </w:rPr>
  </w:style>
  <w:style w:type="paragraph" w:styleId="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4">
    <w:name w:val="Body Text Indent"/>
    <w:basedOn w:val="1"/>
    <w:unhideWhenUsed/>
    <w:qFormat/>
    <w:uiPriority w:val="99"/>
    <w:pPr>
      <w:spacing w:after="120"/>
      <w:ind w:left="420" w:leftChars="200"/>
    </w:pPr>
  </w:style>
  <w:style w:type="paragraph" w:styleId="5">
    <w:name w:val="Body Text First Indent 2"/>
    <w:basedOn w:val="4"/>
    <w:unhideWhenUsed/>
    <w:qFormat/>
    <w:uiPriority w:val="99"/>
    <w:pPr>
      <w:ind w:firstLine="420" w:firstLineChars="200"/>
    </w:pPr>
  </w:style>
  <w:style w:type="paragraph" w:customStyle="1" w:styleId="8">
    <w:name w:val="C"/>
    <w:basedOn w:val="9"/>
    <w:qFormat/>
    <w:uiPriority w:val="1"/>
    <w:pPr>
      <w:outlineLvl w:val="1"/>
    </w:pPr>
  </w:style>
  <w:style w:type="paragraph" w:customStyle="1" w:styleId="9">
    <w:name w:val="A"/>
    <w:basedOn w:val="1"/>
    <w:qFormat/>
    <w:uiPriority w:val="1"/>
    <w:rPr>
      <w:b/>
      <w:bCs/>
      <w:sz w:val="24"/>
      <w:szCs w:val="24"/>
    </w:rPr>
  </w:style>
  <w:style w:type="paragraph" w:customStyle="1" w:styleId="10">
    <w:name w:val="B"/>
    <w:basedOn w:val="2"/>
    <w:qFormat/>
    <w:uiPriority w:val="1"/>
    <w:pPr>
      <w:ind w:firstLine="480" w:firstLineChars="200"/>
    </w:pPr>
    <w:rPr>
      <w:sz w:val="24"/>
      <w:szCs w:val="24"/>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2026-01-28T07:41:00Z</dcterms:created>
  <dc:creator>星垂野</dc:creator>
  <cp:lastModifiedBy>星垂野</cp:lastModifiedBy>
  <dcterms:modified xsi:type="dcterms:W3CDTF">2026-01-28T07:42:07Z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26B6A58DF9144BBE9FFDB10FACE7C90B_11</vt:lpwstr>
  </property>
  <property fmtid="{D5CDD505-2E9C-101B-9397-08002B2CF9AE}" pid="4" name="KSOTemplateDocerSaveRecord">
    <vt:lpwstr>eyJoZGlkIjoiMDk2OTA1NDkwMDRkYzM1ZjcyOTU0MGYwZjMwMjMzM2IiLCJ1c2VySWQiOiI2MDQyNjU5NzIifQ==</vt:lpwstr>
  </property>
</Properties>
</file>