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18695EA">
      <w:pPr>
        <w:spacing w:after="209" w:afterLines="67"/>
        <w:rPr>
          <w:rFonts w:asciiTheme="minorEastAsia" w:hAnsiTheme="minorEastAsia" w:cstheme="minorEastAsia"/>
          <w:sz w:val="28"/>
          <w:szCs w:val="28"/>
        </w:rPr>
      </w:pPr>
      <w:r>
        <w:rPr>
          <w:rFonts w:hint="eastAsia" w:asciiTheme="minorEastAsia" w:hAnsiTheme="minorEastAsia" w:cstheme="minorEastAsia"/>
          <w:sz w:val="28"/>
          <w:szCs w:val="28"/>
        </w:rPr>
        <w:t>附件2</w:t>
      </w:r>
    </w:p>
    <w:p w14:paraId="709C000E">
      <w:pPr>
        <w:spacing w:after="209" w:afterLines="67"/>
        <w:jc w:val="center"/>
        <w:rPr>
          <w:rFonts w:hint="eastAsia" w:asciiTheme="minorEastAsia" w:hAnsiTheme="minorEastAsia" w:eastAsiaTheme="minorEastAsia" w:cstheme="minorEastAsia"/>
          <w:b/>
          <w:bCs/>
          <w:sz w:val="28"/>
          <w:szCs w:val="28"/>
          <w:lang w:eastAsia="zh-CN"/>
        </w:rPr>
      </w:pPr>
      <w:r>
        <w:rPr>
          <w:rFonts w:hint="eastAsia" w:asciiTheme="minorEastAsia" w:hAnsiTheme="minorEastAsia" w:cstheme="minorEastAsia"/>
          <w:b/>
          <w:bCs/>
          <w:sz w:val="28"/>
          <w:szCs w:val="28"/>
          <w:lang w:eastAsia="zh-CN"/>
        </w:rPr>
        <w:t>2026年统一云服务管理平台维保续保项目</w:t>
      </w:r>
    </w:p>
    <w:p w14:paraId="0147AAD5">
      <w:pPr>
        <w:spacing w:after="209" w:afterLines="67"/>
        <w:jc w:val="center"/>
        <w:rPr>
          <w:rFonts w:asciiTheme="minorEastAsia" w:hAnsiTheme="minorEastAsia" w:cstheme="minorEastAsia"/>
          <w:b/>
          <w:bCs/>
          <w:sz w:val="24"/>
          <w:szCs w:val="24"/>
        </w:rPr>
      </w:pPr>
      <w:r>
        <w:rPr>
          <w:rFonts w:hint="eastAsia" w:asciiTheme="minorEastAsia" w:hAnsiTheme="minorEastAsia" w:cstheme="minorEastAsia"/>
          <w:b/>
          <w:bCs/>
          <w:sz w:val="28"/>
          <w:szCs w:val="28"/>
        </w:rPr>
        <w:t>市场调研报价文件格式</w:t>
      </w:r>
    </w:p>
    <w:p w14:paraId="76268D06">
      <w:pPr>
        <w:pStyle w:val="24"/>
        <w:numPr>
          <w:ilvl w:val="0"/>
          <w:numId w:val="2"/>
        </w:numPr>
        <w:spacing w:after="209" w:afterLines="67"/>
        <w:ind w:firstLineChars="0"/>
        <w:rPr>
          <w:rFonts w:asciiTheme="minorEastAsia" w:hAnsiTheme="minorEastAsia" w:cstheme="minorEastAsia"/>
          <w:b/>
          <w:bCs/>
          <w:sz w:val="24"/>
          <w:szCs w:val="24"/>
        </w:rPr>
      </w:pPr>
      <w:r>
        <w:rPr>
          <w:rFonts w:hint="eastAsia" w:asciiTheme="minorEastAsia" w:hAnsiTheme="minorEastAsia" w:cstheme="minorEastAsia"/>
          <w:b/>
          <w:bCs/>
          <w:sz w:val="24"/>
          <w:szCs w:val="24"/>
        </w:rPr>
        <w:t>供应商信息登记表</w:t>
      </w:r>
    </w:p>
    <w:tbl>
      <w:tblPr>
        <w:tblStyle w:val="14"/>
        <w:tblW w:w="544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2339"/>
        <w:gridCol w:w="918"/>
        <w:gridCol w:w="2221"/>
        <w:gridCol w:w="1242"/>
        <w:gridCol w:w="2328"/>
      </w:tblGrid>
      <w:tr w14:paraId="72E0AB3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6" w:hRule="atLeast"/>
          <w:jc w:val="center"/>
        </w:trPr>
        <w:tc>
          <w:tcPr>
            <w:tcW w:w="1293" w:type="pct"/>
            <w:vAlign w:val="center"/>
          </w:tcPr>
          <w:p w14:paraId="2079C3A4">
            <w:pPr>
              <w:pStyle w:val="25"/>
              <w:kinsoku w:val="0"/>
              <w:overflowPunct w:val="0"/>
              <w:spacing w:line="400" w:lineRule="exact"/>
              <w:ind w:firstLine="0" w:firstLineChars="0"/>
              <w:jc w:val="center"/>
              <w:rPr>
                <w:rFonts w:hAnsi="宋体" w:cs="仿宋"/>
              </w:rPr>
            </w:pPr>
            <w:bookmarkStart w:id="0" w:name="_Hlk199424538"/>
            <w:r>
              <w:rPr>
                <w:rFonts w:hint="eastAsia" w:hAnsi="宋体" w:cs="仿宋"/>
              </w:rPr>
              <w:t>单位名称</w:t>
            </w:r>
          </w:p>
        </w:tc>
        <w:tc>
          <w:tcPr>
            <w:tcW w:w="3706" w:type="pct"/>
            <w:gridSpan w:val="4"/>
            <w:vAlign w:val="center"/>
          </w:tcPr>
          <w:p w14:paraId="340FB6AE">
            <w:pPr>
              <w:tabs>
                <w:tab w:val="left" w:pos="202"/>
              </w:tabs>
              <w:spacing w:line="400" w:lineRule="exact"/>
              <w:jc w:val="center"/>
              <w:rPr>
                <w:rFonts w:ascii="宋体" w:hAnsi="宋体" w:eastAsia="宋体" w:cs="仿宋"/>
                <w:sz w:val="24"/>
                <w:szCs w:val="24"/>
              </w:rPr>
            </w:pPr>
          </w:p>
        </w:tc>
      </w:tr>
      <w:tr w14:paraId="33064E4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22" w:hRule="atLeast"/>
          <w:jc w:val="center"/>
        </w:trPr>
        <w:tc>
          <w:tcPr>
            <w:tcW w:w="1293" w:type="pct"/>
            <w:vAlign w:val="center"/>
          </w:tcPr>
          <w:p w14:paraId="0F3F2E76">
            <w:pPr>
              <w:pStyle w:val="25"/>
              <w:kinsoku w:val="0"/>
              <w:overflowPunct w:val="0"/>
              <w:spacing w:line="400" w:lineRule="exact"/>
              <w:ind w:firstLine="0" w:firstLineChars="0"/>
              <w:jc w:val="center"/>
              <w:rPr>
                <w:rFonts w:hAnsi="宋体" w:cs="仿宋"/>
              </w:rPr>
            </w:pPr>
            <w:r>
              <w:rPr>
                <w:rFonts w:hint="eastAsia" w:hAnsi="宋体" w:cs="仿宋"/>
              </w:rPr>
              <w:t>注册资金</w:t>
            </w:r>
          </w:p>
        </w:tc>
        <w:tc>
          <w:tcPr>
            <w:tcW w:w="1734" w:type="pct"/>
            <w:gridSpan w:val="2"/>
            <w:vAlign w:val="center"/>
          </w:tcPr>
          <w:p w14:paraId="30757AA0">
            <w:pPr>
              <w:spacing w:line="400" w:lineRule="exact"/>
              <w:jc w:val="center"/>
              <w:rPr>
                <w:rFonts w:ascii="宋体" w:hAnsi="宋体" w:eastAsia="宋体" w:cs="仿宋"/>
                <w:sz w:val="24"/>
                <w:szCs w:val="24"/>
              </w:rPr>
            </w:pPr>
            <w:r>
              <w:rPr>
                <w:rFonts w:hint="eastAsia" w:ascii="宋体" w:hAnsi="宋体" w:eastAsia="宋体" w:cs="仿宋"/>
                <w:sz w:val="24"/>
                <w:szCs w:val="24"/>
              </w:rPr>
              <w:t>万元</w:t>
            </w:r>
          </w:p>
        </w:tc>
        <w:tc>
          <w:tcPr>
            <w:tcW w:w="686" w:type="pct"/>
            <w:vAlign w:val="center"/>
          </w:tcPr>
          <w:p w14:paraId="7D139526">
            <w:pPr>
              <w:pStyle w:val="25"/>
              <w:kinsoku w:val="0"/>
              <w:overflowPunct w:val="0"/>
              <w:spacing w:line="400" w:lineRule="exact"/>
              <w:ind w:firstLine="0" w:firstLineChars="0"/>
              <w:jc w:val="center"/>
              <w:rPr>
                <w:rFonts w:hAnsi="宋体" w:cs="仿宋"/>
              </w:rPr>
            </w:pPr>
            <w:r>
              <w:rPr>
                <w:rFonts w:hint="eastAsia" w:hAnsi="宋体" w:cs="仿宋"/>
              </w:rPr>
              <w:t>成立时间</w:t>
            </w:r>
          </w:p>
        </w:tc>
        <w:tc>
          <w:tcPr>
            <w:tcW w:w="1285" w:type="pct"/>
            <w:vAlign w:val="center"/>
          </w:tcPr>
          <w:p w14:paraId="67BFBF77">
            <w:pPr>
              <w:spacing w:line="400" w:lineRule="exact"/>
              <w:jc w:val="center"/>
              <w:rPr>
                <w:rFonts w:ascii="宋体" w:hAnsi="宋体" w:eastAsia="宋体" w:cs="仿宋"/>
                <w:sz w:val="24"/>
                <w:szCs w:val="24"/>
              </w:rPr>
            </w:pPr>
            <w:r>
              <w:rPr>
                <w:rFonts w:hint="eastAsia" w:ascii="宋体" w:hAnsi="宋体" w:eastAsia="宋体" w:cs="仿宋"/>
                <w:sz w:val="24"/>
                <w:szCs w:val="24"/>
              </w:rPr>
              <w:t>年</w:t>
            </w:r>
            <w:r>
              <w:rPr>
                <w:rFonts w:ascii="宋体" w:hAnsi="宋体" w:eastAsia="宋体" w:cs="仿宋"/>
                <w:sz w:val="24"/>
                <w:szCs w:val="24"/>
              </w:rPr>
              <w:t xml:space="preserve">   </w:t>
            </w:r>
            <w:r>
              <w:rPr>
                <w:rFonts w:hint="eastAsia" w:ascii="宋体" w:hAnsi="宋体" w:eastAsia="宋体" w:cs="仿宋"/>
                <w:sz w:val="24"/>
                <w:szCs w:val="24"/>
              </w:rPr>
              <w:t>月</w:t>
            </w:r>
            <w:r>
              <w:rPr>
                <w:rFonts w:ascii="宋体" w:hAnsi="宋体" w:eastAsia="宋体" w:cs="仿宋"/>
                <w:sz w:val="24"/>
                <w:szCs w:val="24"/>
              </w:rPr>
              <w:t xml:space="preserve">  </w:t>
            </w:r>
            <w:r>
              <w:rPr>
                <w:rFonts w:hint="eastAsia" w:ascii="宋体" w:hAnsi="宋体" w:eastAsia="宋体" w:cs="仿宋"/>
                <w:sz w:val="24"/>
                <w:szCs w:val="24"/>
              </w:rPr>
              <w:t>日</w:t>
            </w:r>
          </w:p>
        </w:tc>
      </w:tr>
      <w:tr w14:paraId="39F9F0A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15" w:hRule="atLeast"/>
          <w:jc w:val="center"/>
        </w:trPr>
        <w:tc>
          <w:tcPr>
            <w:tcW w:w="1293" w:type="pct"/>
            <w:vAlign w:val="center"/>
          </w:tcPr>
          <w:p w14:paraId="623F03E0">
            <w:pPr>
              <w:pStyle w:val="25"/>
              <w:kinsoku w:val="0"/>
              <w:overflowPunct w:val="0"/>
              <w:spacing w:line="400" w:lineRule="exact"/>
              <w:ind w:firstLine="0" w:firstLineChars="0"/>
              <w:jc w:val="center"/>
              <w:rPr>
                <w:rFonts w:hAnsi="宋体" w:cs="仿宋"/>
              </w:rPr>
            </w:pPr>
            <w:r>
              <w:rPr>
                <w:rFonts w:hint="eastAsia" w:hAnsi="宋体" w:cs="仿宋"/>
              </w:rPr>
              <w:t>注册地址</w:t>
            </w:r>
          </w:p>
        </w:tc>
        <w:tc>
          <w:tcPr>
            <w:tcW w:w="3706" w:type="pct"/>
            <w:gridSpan w:val="4"/>
            <w:vAlign w:val="center"/>
          </w:tcPr>
          <w:p w14:paraId="31E0A9D8">
            <w:pPr>
              <w:spacing w:line="400" w:lineRule="exact"/>
              <w:rPr>
                <w:rFonts w:ascii="宋体" w:hAnsi="宋体" w:eastAsia="宋体" w:cs="仿宋"/>
                <w:sz w:val="24"/>
                <w:szCs w:val="24"/>
              </w:rPr>
            </w:pPr>
          </w:p>
        </w:tc>
      </w:tr>
      <w:tr w14:paraId="2615727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39" w:hRule="atLeast"/>
          <w:jc w:val="center"/>
        </w:trPr>
        <w:tc>
          <w:tcPr>
            <w:tcW w:w="1293" w:type="pct"/>
            <w:vAlign w:val="center"/>
          </w:tcPr>
          <w:p w14:paraId="7157BDD5">
            <w:pPr>
              <w:pStyle w:val="25"/>
              <w:kinsoku w:val="0"/>
              <w:overflowPunct w:val="0"/>
              <w:spacing w:line="400" w:lineRule="exact"/>
              <w:ind w:firstLine="0" w:firstLineChars="0"/>
              <w:jc w:val="center"/>
              <w:rPr>
                <w:rFonts w:hAnsi="宋体" w:cs="仿宋"/>
              </w:rPr>
            </w:pPr>
            <w:r>
              <w:rPr>
                <w:rFonts w:hint="eastAsia" w:hAnsi="宋体" w:cs="仿宋"/>
              </w:rPr>
              <w:t>邮政编码</w:t>
            </w:r>
          </w:p>
        </w:tc>
        <w:tc>
          <w:tcPr>
            <w:tcW w:w="1734" w:type="pct"/>
            <w:gridSpan w:val="2"/>
            <w:vAlign w:val="center"/>
          </w:tcPr>
          <w:p w14:paraId="4FCADD05">
            <w:pPr>
              <w:spacing w:line="400" w:lineRule="exact"/>
              <w:jc w:val="center"/>
              <w:rPr>
                <w:rFonts w:ascii="宋体" w:hAnsi="宋体" w:eastAsia="宋体" w:cs="仿宋"/>
                <w:sz w:val="24"/>
                <w:szCs w:val="24"/>
              </w:rPr>
            </w:pPr>
          </w:p>
        </w:tc>
        <w:tc>
          <w:tcPr>
            <w:tcW w:w="686" w:type="pct"/>
            <w:vAlign w:val="center"/>
          </w:tcPr>
          <w:p w14:paraId="7EB99EAE">
            <w:pPr>
              <w:pStyle w:val="25"/>
              <w:kinsoku w:val="0"/>
              <w:overflowPunct w:val="0"/>
              <w:spacing w:line="400" w:lineRule="exact"/>
              <w:ind w:firstLine="0" w:firstLineChars="0"/>
              <w:jc w:val="center"/>
              <w:rPr>
                <w:rFonts w:hAnsi="宋体" w:cs="仿宋"/>
              </w:rPr>
            </w:pPr>
            <w:r>
              <w:rPr>
                <w:rFonts w:hint="eastAsia" w:hAnsi="宋体" w:cs="仿宋"/>
              </w:rPr>
              <w:t>员工总数</w:t>
            </w:r>
          </w:p>
        </w:tc>
        <w:tc>
          <w:tcPr>
            <w:tcW w:w="1285" w:type="pct"/>
            <w:vAlign w:val="center"/>
          </w:tcPr>
          <w:p w14:paraId="6CCD2EBA">
            <w:pPr>
              <w:spacing w:line="400" w:lineRule="exact"/>
              <w:jc w:val="center"/>
              <w:rPr>
                <w:rFonts w:ascii="宋体" w:hAnsi="宋体" w:eastAsia="宋体" w:cs="仿宋"/>
                <w:sz w:val="24"/>
                <w:szCs w:val="24"/>
              </w:rPr>
            </w:pPr>
          </w:p>
        </w:tc>
      </w:tr>
      <w:tr w14:paraId="585943D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6" w:hRule="atLeast"/>
          <w:jc w:val="center"/>
        </w:trPr>
        <w:tc>
          <w:tcPr>
            <w:tcW w:w="1293" w:type="pct"/>
            <w:vMerge w:val="restart"/>
            <w:vAlign w:val="center"/>
          </w:tcPr>
          <w:p w14:paraId="4C3F393A">
            <w:pPr>
              <w:pStyle w:val="25"/>
              <w:kinsoku w:val="0"/>
              <w:overflowPunct w:val="0"/>
              <w:spacing w:line="400" w:lineRule="exact"/>
              <w:ind w:firstLine="0" w:firstLineChars="0"/>
              <w:jc w:val="center"/>
              <w:rPr>
                <w:rFonts w:hAnsi="宋体" w:cs="仿宋"/>
              </w:rPr>
            </w:pPr>
            <w:r>
              <w:rPr>
                <w:rFonts w:hint="eastAsia" w:hAnsi="宋体" w:cs="仿宋"/>
              </w:rPr>
              <w:t>联系方式</w:t>
            </w:r>
          </w:p>
        </w:tc>
        <w:tc>
          <w:tcPr>
            <w:tcW w:w="507" w:type="pct"/>
            <w:vAlign w:val="center"/>
          </w:tcPr>
          <w:p w14:paraId="4FEA8412">
            <w:pPr>
              <w:pStyle w:val="25"/>
              <w:kinsoku w:val="0"/>
              <w:overflowPunct w:val="0"/>
              <w:spacing w:line="400" w:lineRule="exact"/>
              <w:ind w:firstLine="0" w:firstLineChars="0"/>
              <w:jc w:val="center"/>
              <w:rPr>
                <w:rFonts w:hAnsi="宋体" w:cs="仿宋"/>
              </w:rPr>
            </w:pPr>
            <w:r>
              <w:rPr>
                <w:rFonts w:hint="eastAsia" w:hAnsi="宋体" w:cs="仿宋"/>
              </w:rPr>
              <w:t>联系人</w:t>
            </w:r>
          </w:p>
        </w:tc>
        <w:tc>
          <w:tcPr>
            <w:tcW w:w="1227" w:type="pct"/>
            <w:vAlign w:val="center"/>
          </w:tcPr>
          <w:p w14:paraId="0DBD112E">
            <w:pPr>
              <w:spacing w:line="400" w:lineRule="exact"/>
              <w:jc w:val="center"/>
              <w:rPr>
                <w:rFonts w:ascii="宋体" w:hAnsi="宋体" w:eastAsia="宋体" w:cs="仿宋"/>
                <w:sz w:val="24"/>
                <w:szCs w:val="24"/>
              </w:rPr>
            </w:pPr>
          </w:p>
        </w:tc>
        <w:tc>
          <w:tcPr>
            <w:tcW w:w="686" w:type="pct"/>
            <w:vAlign w:val="center"/>
          </w:tcPr>
          <w:p w14:paraId="01A9FB22">
            <w:pPr>
              <w:pStyle w:val="25"/>
              <w:kinsoku w:val="0"/>
              <w:overflowPunct w:val="0"/>
              <w:spacing w:line="400" w:lineRule="exact"/>
              <w:ind w:firstLine="0" w:firstLineChars="0"/>
              <w:jc w:val="center"/>
              <w:rPr>
                <w:rFonts w:hAnsi="宋体" w:cs="仿宋"/>
              </w:rPr>
            </w:pPr>
            <w:r>
              <w:rPr>
                <w:rFonts w:hint="eastAsia" w:hAnsi="宋体" w:cs="仿宋"/>
              </w:rPr>
              <w:t>电话</w:t>
            </w:r>
          </w:p>
        </w:tc>
        <w:tc>
          <w:tcPr>
            <w:tcW w:w="1285" w:type="pct"/>
            <w:vAlign w:val="center"/>
          </w:tcPr>
          <w:p w14:paraId="7D6EB6BB">
            <w:pPr>
              <w:spacing w:line="400" w:lineRule="exact"/>
              <w:jc w:val="center"/>
              <w:rPr>
                <w:rFonts w:ascii="宋体" w:hAnsi="宋体" w:eastAsia="宋体" w:cs="仿宋"/>
                <w:sz w:val="24"/>
                <w:szCs w:val="24"/>
              </w:rPr>
            </w:pPr>
          </w:p>
        </w:tc>
      </w:tr>
      <w:tr w14:paraId="437E217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6" w:hRule="atLeast"/>
          <w:jc w:val="center"/>
        </w:trPr>
        <w:tc>
          <w:tcPr>
            <w:tcW w:w="1293" w:type="pct"/>
            <w:vMerge w:val="continue"/>
            <w:vAlign w:val="center"/>
          </w:tcPr>
          <w:p w14:paraId="48EE0541">
            <w:pPr>
              <w:spacing w:line="400" w:lineRule="exact"/>
              <w:jc w:val="center"/>
              <w:rPr>
                <w:rFonts w:ascii="宋体" w:hAnsi="宋体" w:eastAsia="宋体" w:cs="仿宋"/>
                <w:sz w:val="24"/>
                <w:szCs w:val="24"/>
              </w:rPr>
            </w:pPr>
          </w:p>
        </w:tc>
        <w:tc>
          <w:tcPr>
            <w:tcW w:w="507" w:type="pct"/>
            <w:vAlign w:val="center"/>
          </w:tcPr>
          <w:p w14:paraId="03D03489">
            <w:pPr>
              <w:pStyle w:val="25"/>
              <w:kinsoku w:val="0"/>
              <w:overflowPunct w:val="0"/>
              <w:spacing w:line="400" w:lineRule="exact"/>
              <w:ind w:firstLine="0" w:firstLineChars="0"/>
              <w:jc w:val="center"/>
              <w:rPr>
                <w:rFonts w:hAnsi="宋体" w:cs="仿宋"/>
              </w:rPr>
            </w:pPr>
            <w:r>
              <w:rPr>
                <w:rFonts w:hint="eastAsia" w:hAnsi="宋体" w:cs="仿宋"/>
              </w:rPr>
              <w:t>网址</w:t>
            </w:r>
          </w:p>
        </w:tc>
        <w:tc>
          <w:tcPr>
            <w:tcW w:w="1227" w:type="pct"/>
            <w:vAlign w:val="center"/>
          </w:tcPr>
          <w:p w14:paraId="3D203D52">
            <w:pPr>
              <w:spacing w:line="400" w:lineRule="exact"/>
              <w:jc w:val="center"/>
              <w:rPr>
                <w:rFonts w:ascii="宋体" w:hAnsi="宋体" w:eastAsia="宋体" w:cs="仿宋"/>
                <w:sz w:val="24"/>
                <w:szCs w:val="24"/>
              </w:rPr>
            </w:pPr>
          </w:p>
        </w:tc>
        <w:tc>
          <w:tcPr>
            <w:tcW w:w="686" w:type="pct"/>
            <w:vAlign w:val="center"/>
          </w:tcPr>
          <w:p w14:paraId="0344DA35">
            <w:pPr>
              <w:pStyle w:val="25"/>
              <w:kinsoku w:val="0"/>
              <w:overflowPunct w:val="0"/>
              <w:spacing w:line="400" w:lineRule="exact"/>
              <w:ind w:firstLine="0" w:firstLineChars="0"/>
              <w:jc w:val="center"/>
              <w:rPr>
                <w:rFonts w:hAnsi="宋体" w:cs="仿宋"/>
              </w:rPr>
            </w:pPr>
            <w:r>
              <w:rPr>
                <w:rFonts w:hint="eastAsia" w:hAnsi="宋体" w:cs="仿宋"/>
              </w:rPr>
              <w:t>传真/邮箱</w:t>
            </w:r>
          </w:p>
        </w:tc>
        <w:tc>
          <w:tcPr>
            <w:tcW w:w="1285" w:type="pct"/>
            <w:vAlign w:val="center"/>
          </w:tcPr>
          <w:p w14:paraId="10DCEAAC">
            <w:pPr>
              <w:spacing w:line="400" w:lineRule="exact"/>
              <w:jc w:val="center"/>
              <w:rPr>
                <w:rFonts w:ascii="宋体" w:hAnsi="宋体" w:eastAsia="宋体" w:cs="仿宋"/>
                <w:sz w:val="24"/>
                <w:szCs w:val="24"/>
              </w:rPr>
            </w:pPr>
          </w:p>
        </w:tc>
      </w:tr>
      <w:tr w14:paraId="3A5BDB0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39" w:hRule="atLeast"/>
          <w:jc w:val="center"/>
        </w:trPr>
        <w:tc>
          <w:tcPr>
            <w:tcW w:w="1293" w:type="pct"/>
            <w:vAlign w:val="center"/>
          </w:tcPr>
          <w:p w14:paraId="223151BF">
            <w:pPr>
              <w:pStyle w:val="25"/>
              <w:kinsoku w:val="0"/>
              <w:overflowPunct w:val="0"/>
              <w:spacing w:line="400" w:lineRule="exact"/>
              <w:ind w:firstLine="0" w:firstLineChars="0"/>
              <w:jc w:val="center"/>
              <w:rPr>
                <w:rFonts w:hAnsi="宋体" w:cs="仿宋"/>
              </w:rPr>
            </w:pPr>
            <w:r>
              <w:rPr>
                <w:rFonts w:hint="eastAsia" w:hAnsi="宋体" w:cs="仿宋"/>
              </w:rPr>
              <w:t>法定代表人</w:t>
            </w:r>
          </w:p>
          <w:p w14:paraId="2E46A890">
            <w:pPr>
              <w:pStyle w:val="25"/>
              <w:kinsoku w:val="0"/>
              <w:overflowPunct w:val="0"/>
              <w:spacing w:line="400" w:lineRule="exact"/>
              <w:ind w:firstLine="0" w:firstLineChars="0"/>
              <w:jc w:val="center"/>
              <w:rPr>
                <w:rFonts w:hAnsi="宋体" w:cs="仿宋"/>
              </w:rPr>
            </w:pPr>
            <w:r>
              <w:rPr>
                <w:rFonts w:hint="eastAsia" w:hAnsi="宋体" w:cs="仿宋"/>
              </w:rPr>
              <w:t>（单位负责人）</w:t>
            </w:r>
          </w:p>
        </w:tc>
        <w:tc>
          <w:tcPr>
            <w:tcW w:w="507" w:type="pct"/>
            <w:vAlign w:val="center"/>
          </w:tcPr>
          <w:p w14:paraId="43A0BB7D">
            <w:pPr>
              <w:pStyle w:val="25"/>
              <w:kinsoku w:val="0"/>
              <w:overflowPunct w:val="0"/>
              <w:spacing w:line="400" w:lineRule="exact"/>
              <w:ind w:firstLine="0" w:firstLineChars="0"/>
              <w:jc w:val="center"/>
              <w:rPr>
                <w:rFonts w:hAnsi="宋体" w:cs="仿宋"/>
              </w:rPr>
            </w:pPr>
            <w:r>
              <w:rPr>
                <w:rFonts w:hint="eastAsia" w:hAnsi="宋体" w:cs="仿宋"/>
              </w:rPr>
              <w:t>姓名</w:t>
            </w:r>
          </w:p>
        </w:tc>
        <w:tc>
          <w:tcPr>
            <w:tcW w:w="1227" w:type="pct"/>
            <w:vAlign w:val="center"/>
          </w:tcPr>
          <w:p w14:paraId="4D346AE1">
            <w:pPr>
              <w:spacing w:line="400" w:lineRule="exact"/>
              <w:jc w:val="center"/>
              <w:rPr>
                <w:rFonts w:ascii="宋体" w:hAnsi="宋体" w:eastAsia="宋体" w:cs="仿宋"/>
                <w:sz w:val="24"/>
                <w:szCs w:val="24"/>
              </w:rPr>
            </w:pPr>
          </w:p>
        </w:tc>
        <w:tc>
          <w:tcPr>
            <w:tcW w:w="686" w:type="pct"/>
            <w:vAlign w:val="center"/>
          </w:tcPr>
          <w:p w14:paraId="51A678CE">
            <w:pPr>
              <w:pStyle w:val="25"/>
              <w:kinsoku w:val="0"/>
              <w:overflowPunct w:val="0"/>
              <w:spacing w:line="400" w:lineRule="exact"/>
              <w:ind w:firstLine="0" w:firstLineChars="0"/>
              <w:jc w:val="center"/>
              <w:rPr>
                <w:rFonts w:hAnsi="宋体" w:cs="仿宋"/>
              </w:rPr>
            </w:pPr>
            <w:r>
              <w:rPr>
                <w:rFonts w:hint="eastAsia" w:hAnsi="宋体" w:cs="仿宋"/>
              </w:rPr>
              <w:t>电话</w:t>
            </w:r>
          </w:p>
        </w:tc>
        <w:tc>
          <w:tcPr>
            <w:tcW w:w="1285" w:type="pct"/>
            <w:vAlign w:val="center"/>
          </w:tcPr>
          <w:p w14:paraId="67092CA6">
            <w:pPr>
              <w:tabs>
                <w:tab w:val="left" w:pos="1426"/>
              </w:tabs>
              <w:spacing w:line="400" w:lineRule="exact"/>
              <w:jc w:val="center"/>
              <w:rPr>
                <w:rFonts w:ascii="宋体" w:hAnsi="宋体" w:eastAsia="宋体" w:cs="仿宋"/>
                <w:sz w:val="24"/>
                <w:szCs w:val="24"/>
              </w:rPr>
            </w:pPr>
          </w:p>
        </w:tc>
      </w:tr>
      <w:tr w14:paraId="420DB5E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95" w:hRule="atLeast"/>
          <w:jc w:val="center"/>
        </w:trPr>
        <w:tc>
          <w:tcPr>
            <w:tcW w:w="1293" w:type="pct"/>
            <w:vAlign w:val="center"/>
          </w:tcPr>
          <w:p w14:paraId="5AE85363">
            <w:pPr>
              <w:pStyle w:val="25"/>
              <w:kinsoku w:val="0"/>
              <w:overflowPunct w:val="0"/>
              <w:spacing w:line="400" w:lineRule="exact"/>
              <w:ind w:firstLine="0" w:firstLineChars="0"/>
              <w:jc w:val="center"/>
              <w:rPr>
                <w:rFonts w:hAnsi="宋体" w:cs="仿宋"/>
              </w:rPr>
            </w:pPr>
            <w:r>
              <w:rPr>
                <w:rFonts w:hint="eastAsia" w:hAnsi="宋体" w:cs="仿宋"/>
              </w:rPr>
              <w:t>与本项目采购需求相关的资质或者认证证书</w:t>
            </w:r>
          </w:p>
        </w:tc>
        <w:tc>
          <w:tcPr>
            <w:tcW w:w="3706" w:type="pct"/>
            <w:gridSpan w:val="4"/>
            <w:vAlign w:val="center"/>
          </w:tcPr>
          <w:p w14:paraId="6819004E">
            <w:pPr>
              <w:pStyle w:val="25"/>
              <w:kinsoku w:val="0"/>
              <w:overflowPunct w:val="0"/>
              <w:spacing w:line="400" w:lineRule="exact"/>
              <w:ind w:firstLine="0" w:firstLineChars="0"/>
              <w:rPr>
                <w:rFonts w:hAnsi="宋体" w:cs="仿宋"/>
              </w:rPr>
            </w:pPr>
            <w:r>
              <w:rPr>
                <w:rFonts w:hint="eastAsia" w:hAnsi="宋体" w:cs="仿宋"/>
              </w:rPr>
              <w:t>如有请罗列证书名称：</w:t>
            </w:r>
          </w:p>
        </w:tc>
      </w:tr>
      <w:tr w14:paraId="41DF952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376" w:hRule="atLeast"/>
          <w:jc w:val="center"/>
        </w:trPr>
        <w:tc>
          <w:tcPr>
            <w:tcW w:w="1293" w:type="pct"/>
            <w:vAlign w:val="center"/>
          </w:tcPr>
          <w:p w14:paraId="3977BE65">
            <w:pPr>
              <w:pStyle w:val="25"/>
              <w:kinsoku w:val="0"/>
              <w:overflowPunct w:val="0"/>
              <w:spacing w:line="400" w:lineRule="exact"/>
              <w:ind w:firstLine="0" w:firstLineChars="0"/>
              <w:jc w:val="center"/>
              <w:rPr>
                <w:rFonts w:hAnsi="宋体" w:cs="仿宋"/>
              </w:rPr>
            </w:pPr>
            <w:r>
              <w:rPr>
                <w:rFonts w:hint="eastAsia" w:hAnsi="宋体" w:cs="仿宋"/>
              </w:rPr>
              <w:t>人员情况</w:t>
            </w:r>
          </w:p>
        </w:tc>
        <w:tc>
          <w:tcPr>
            <w:tcW w:w="3706" w:type="pct"/>
            <w:gridSpan w:val="4"/>
            <w:vAlign w:val="center"/>
          </w:tcPr>
          <w:p w14:paraId="383816E2">
            <w:pPr>
              <w:pStyle w:val="25"/>
              <w:kinsoku w:val="0"/>
              <w:overflowPunct w:val="0"/>
              <w:spacing w:line="400" w:lineRule="exact"/>
              <w:ind w:firstLine="0" w:firstLineChars="0"/>
              <w:rPr>
                <w:rFonts w:hAnsi="宋体" w:cs="仿宋"/>
              </w:rPr>
            </w:pPr>
            <w:r>
              <w:rPr>
                <w:rFonts w:hint="eastAsia" w:hAnsi="宋体" w:cs="仿宋"/>
              </w:rPr>
              <w:t>公司实有人员情况：</w:t>
            </w:r>
          </w:p>
          <w:p w14:paraId="31FC4B2E">
            <w:pPr>
              <w:pStyle w:val="25"/>
              <w:kinsoku w:val="0"/>
              <w:overflowPunct w:val="0"/>
              <w:spacing w:line="400" w:lineRule="exact"/>
              <w:ind w:firstLine="0" w:firstLineChars="0"/>
              <w:rPr>
                <w:rFonts w:hAnsi="宋体" w:cs="仿宋"/>
              </w:rPr>
            </w:pPr>
            <w:r>
              <w:rPr>
                <w:rFonts w:hint="eastAsia" w:hAnsi="宋体" w:cs="仿宋"/>
              </w:rPr>
              <w:t>广州地区人员情况：</w:t>
            </w:r>
          </w:p>
        </w:tc>
      </w:tr>
      <w:tr w14:paraId="5E9661A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85" w:hRule="atLeast"/>
          <w:jc w:val="center"/>
        </w:trPr>
        <w:tc>
          <w:tcPr>
            <w:tcW w:w="1293" w:type="pct"/>
            <w:vAlign w:val="center"/>
          </w:tcPr>
          <w:p w14:paraId="1B2E8BF6">
            <w:pPr>
              <w:pStyle w:val="25"/>
              <w:kinsoku w:val="0"/>
              <w:overflowPunct w:val="0"/>
              <w:spacing w:line="440" w:lineRule="exact"/>
              <w:ind w:firstLine="0" w:firstLineChars="0"/>
              <w:jc w:val="center"/>
              <w:rPr>
                <w:rFonts w:hAnsi="宋体" w:cs="仿宋"/>
              </w:rPr>
            </w:pPr>
            <w:r>
              <w:rPr>
                <w:rFonts w:hint="eastAsia" w:hAnsi="宋体" w:cs="仿宋"/>
              </w:rPr>
              <w:t>备注</w:t>
            </w:r>
          </w:p>
        </w:tc>
        <w:tc>
          <w:tcPr>
            <w:tcW w:w="3706" w:type="pct"/>
            <w:gridSpan w:val="4"/>
            <w:vAlign w:val="center"/>
          </w:tcPr>
          <w:p w14:paraId="22930F2B">
            <w:pPr>
              <w:spacing w:line="440" w:lineRule="exact"/>
              <w:jc w:val="center"/>
              <w:rPr>
                <w:rFonts w:ascii="宋体" w:hAnsi="宋体" w:eastAsia="宋体" w:cs="仿宋"/>
                <w:sz w:val="24"/>
                <w:szCs w:val="24"/>
              </w:rPr>
            </w:pPr>
          </w:p>
        </w:tc>
      </w:tr>
      <w:bookmarkEnd w:id="0"/>
    </w:tbl>
    <w:p w14:paraId="1AD5A43A">
      <w:pPr>
        <w:pStyle w:val="13"/>
        <w:ind w:firstLine="0" w:firstLineChars="0"/>
      </w:pPr>
    </w:p>
    <w:p w14:paraId="7686FF84">
      <w:pPr>
        <w:rPr>
          <w:rFonts w:hint="eastAsia" w:asciiTheme="minorEastAsia" w:hAnsiTheme="minorEastAsia" w:cstheme="minorEastAsia"/>
          <w:b/>
          <w:bCs/>
          <w:sz w:val="24"/>
          <w:szCs w:val="24"/>
          <w:lang w:val="en-US" w:eastAsia="zh-CN"/>
        </w:rPr>
      </w:pPr>
      <w:r>
        <w:rPr>
          <w:rFonts w:hint="eastAsia" w:asciiTheme="minorEastAsia" w:hAnsiTheme="minorEastAsia" w:cstheme="minorEastAsia"/>
          <w:b/>
          <w:bCs/>
          <w:sz w:val="24"/>
          <w:szCs w:val="24"/>
          <w:lang w:val="en-US" w:eastAsia="zh-CN"/>
        </w:rPr>
        <w:br w:type="page"/>
      </w:r>
    </w:p>
    <w:p w14:paraId="3FF87687">
      <w:pPr>
        <w:spacing w:after="209" w:afterLines="67"/>
        <w:rPr>
          <w:rFonts w:asciiTheme="minorEastAsia" w:hAnsiTheme="minorEastAsia" w:cstheme="minorEastAsia"/>
          <w:b/>
          <w:bCs/>
          <w:sz w:val="24"/>
          <w:szCs w:val="24"/>
        </w:rPr>
      </w:pPr>
      <w:r>
        <w:rPr>
          <w:rFonts w:hint="eastAsia" w:asciiTheme="minorEastAsia" w:hAnsiTheme="minorEastAsia" w:cstheme="minorEastAsia"/>
          <w:b/>
          <w:bCs/>
          <w:sz w:val="24"/>
          <w:szCs w:val="24"/>
          <w:lang w:val="en-US" w:eastAsia="zh-CN"/>
        </w:rPr>
        <w:t>二</w:t>
      </w:r>
      <w:r>
        <w:rPr>
          <w:rFonts w:hint="eastAsia" w:asciiTheme="minorEastAsia" w:hAnsiTheme="minorEastAsia" w:cstheme="minorEastAsia"/>
          <w:b/>
          <w:bCs/>
          <w:sz w:val="24"/>
          <w:szCs w:val="24"/>
        </w:rPr>
        <w:t>、需求响应情况（加盖公章）</w:t>
      </w:r>
    </w:p>
    <w:tbl>
      <w:tblPr>
        <w:tblStyle w:val="14"/>
        <w:tblW w:w="5698" w:type="pct"/>
        <w:tblInd w:w="-756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40"/>
        <w:gridCol w:w="1129"/>
        <w:gridCol w:w="5686"/>
        <w:gridCol w:w="1483"/>
        <w:gridCol w:w="974"/>
      </w:tblGrid>
      <w:tr w14:paraId="135AFE4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27" w:type="pct"/>
            <w:vAlign w:val="center"/>
          </w:tcPr>
          <w:p w14:paraId="1246074B">
            <w:pPr>
              <w:jc w:val="center"/>
              <w:rPr>
                <w:rFonts w:hint="eastAsia" w:ascii="宋体" w:hAnsi="宋体" w:eastAsia="宋体" w:cs="宋体"/>
                <w:b/>
                <w:bCs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szCs w:val="21"/>
                <w:lang w:val="en-US" w:eastAsia="zh-CN"/>
              </w:rPr>
              <w:t>序号</w:t>
            </w:r>
          </w:p>
        </w:tc>
        <w:tc>
          <w:tcPr>
            <w:tcW w:w="581" w:type="pct"/>
            <w:vAlign w:val="center"/>
          </w:tcPr>
          <w:p w14:paraId="45EEE73F">
            <w:pPr>
              <w:jc w:val="center"/>
              <w:rPr>
                <w:rFonts w:hint="eastAsia" w:ascii="宋体" w:hAnsi="宋体" w:eastAsia="宋体" w:cs="宋体"/>
                <w:b/>
                <w:bCs/>
                <w:szCs w:val="21"/>
              </w:rPr>
            </w:pPr>
            <w:r>
              <w:rPr>
                <w:rFonts w:hint="eastAsia" w:ascii="宋体" w:hAnsi="宋体" w:eastAsia="宋体" w:cs="宋体"/>
                <w:b/>
                <w:bCs/>
                <w:szCs w:val="21"/>
              </w:rPr>
              <w:t>项目</w:t>
            </w:r>
          </w:p>
        </w:tc>
        <w:tc>
          <w:tcPr>
            <w:tcW w:w="2926" w:type="pct"/>
            <w:vAlign w:val="center"/>
          </w:tcPr>
          <w:p w14:paraId="792A42C3">
            <w:pPr>
              <w:jc w:val="center"/>
              <w:rPr>
                <w:rFonts w:hint="eastAsia" w:ascii="宋体" w:hAnsi="宋体" w:eastAsia="宋体" w:cs="宋体"/>
                <w:b/>
                <w:bCs/>
                <w:szCs w:val="21"/>
              </w:rPr>
            </w:pPr>
            <w:r>
              <w:rPr>
                <w:rFonts w:hint="eastAsia" w:ascii="宋体" w:hAnsi="宋体" w:eastAsia="宋体" w:cs="宋体"/>
                <w:b/>
                <w:bCs/>
                <w:szCs w:val="21"/>
              </w:rPr>
              <w:t>服务内容</w:t>
            </w:r>
          </w:p>
        </w:tc>
        <w:tc>
          <w:tcPr>
            <w:tcW w:w="763" w:type="pct"/>
            <w:vAlign w:val="center"/>
          </w:tcPr>
          <w:p w14:paraId="3EBCF40A">
            <w:pPr>
              <w:spacing w:line="200" w:lineRule="atLeast"/>
              <w:jc w:val="center"/>
              <w:rPr>
                <w:rFonts w:hint="eastAsia" w:ascii="宋体" w:hAnsi="宋体" w:eastAsia="宋体" w:cs="宋体"/>
                <w:b/>
                <w:bCs/>
                <w:szCs w:val="21"/>
              </w:rPr>
            </w:pPr>
            <w:r>
              <w:rPr>
                <w:rFonts w:hint="eastAsia" w:ascii="宋体" w:hAnsi="宋体" w:eastAsia="宋体" w:cs="宋体"/>
                <w:b/>
                <w:bCs/>
                <w:szCs w:val="21"/>
              </w:rPr>
              <w:t>响应情况（完全满足/部分满足/不满足）</w:t>
            </w:r>
          </w:p>
        </w:tc>
        <w:tc>
          <w:tcPr>
            <w:tcW w:w="501" w:type="pct"/>
            <w:vAlign w:val="center"/>
          </w:tcPr>
          <w:p w14:paraId="43BECD14">
            <w:pPr>
              <w:spacing w:line="200" w:lineRule="atLeast"/>
              <w:jc w:val="center"/>
              <w:rPr>
                <w:rFonts w:hint="eastAsia" w:ascii="宋体" w:hAnsi="宋体" w:eastAsia="宋体" w:cs="宋体"/>
                <w:b/>
                <w:bCs/>
                <w:szCs w:val="21"/>
              </w:rPr>
            </w:pPr>
            <w:r>
              <w:rPr>
                <w:rFonts w:hint="eastAsia" w:ascii="宋体" w:hAnsi="宋体" w:eastAsia="宋体" w:cs="宋体"/>
                <w:b/>
                <w:bCs/>
                <w:szCs w:val="21"/>
              </w:rPr>
              <w:t>备注（描述偏离情况）</w:t>
            </w:r>
          </w:p>
        </w:tc>
      </w:tr>
      <w:tr w14:paraId="4023589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27" w:type="pct"/>
            <w:vAlign w:val="center"/>
          </w:tcPr>
          <w:p w14:paraId="6BC4A571">
            <w:pPr>
              <w:spacing w:after="120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 w:bidi="ar"/>
              </w:rPr>
              <w:t>1</w:t>
            </w:r>
          </w:p>
        </w:tc>
        <w:tc>
          <w:tcPr>
            <w:tcW w:w="581" w:type="pct"/>
            <w:vAlign w:val="center"/>
          </w:tcPr>
          <w:p w14:paraId="4D4506E3">
            <w:pPr>
              <w:spacing w:after="120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bidi="ar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</w:rPr>
              <w:t>维护和技术支持服务目标</w:t>
            </w:r>
          </w:p>
        </w:tc>
        <w:tc>
          <w:tcPr>
            <w:tcW w:w="2926" w:type="pct"/>
            <w:vAlign w:val="center"/>
          </w:tcPr>
          <w:p w14:paraId="6AE8EE2C">
            <w:pPr>
              <w:pStyle w:val="24"/>
              <w:keepNext w:val="0"/>
              <w:keepLines w:val="0"/>
              <w:pageBreakBefore w:val="0"/>
              <w:widowControl/>
              <w:numPr>
                <w:ilvl w:val="0"/>
                <w:numId w:val="3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auto"/>
              <w:ind w:left="0" w:firstLine="0" w:firstLineChars="0"/>
              <w:contextualSpacing w:val="0"/>
              <w:jc w:val="both"/>
              <w:textAlignment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bidi="ar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</w:rPr>
              <w:t>确保统一云服务管理平台（包含统一云服务管理系统及 OpenStack云基础设施管理系统）业务系统相关服务、软件、功能可用且性能</w:t>
            </w:r>
            <w:bookmarkStart w:id="1" w:name="_GoBack"/>
            <w:bookmarkEnd w:id="1"/>
            <w:r>
              <w:rPr>
                <w:rFonts w:hint="eastAsia" w:ascii="宋体" w:hAnsi="宋体" w:eastAsia="宋体" w:cs="宋体"/>
                <w:sz w:val="21"/>
                <w:szCs w:val="21"/>
              </w:rPr>
              <w:t>良好，确保业务系统和业务数据安全可靠。</w:t>
            </w:r>
          </w:p>
        </w:tc>
        <w:tc>
          <w:tcPr>
            <w:tcW w:w="763" w:type="pct"/>
            <w:vAlign w:val="center"/>
          </w:tcPr>
          <w:p w14:paraId="3EDC9C5F">
            <w:pPr>
              <w:pStyle w:val="24"/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auto"/>
              <w:ind w:leftChars="0"/>
              <w:contextualSpacing w:val="0"/>
              <w:jc w:val="both"/>
              <w:textAlignment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bidi="ar"/>
              </w:rPr>
            </w:pPr>
          </w:p>
        </w:tc>
        <w:tc>
          <w:tcPr>
            <w:tcW w:w="501" w:type="pct"/>
            <w:vAlign w:val="center"/>
          </w:tcPr>
          <w:p w14:paraId="18AA7369">
            <w:pPr>
              <w:pStyle w:val="24"/>
              <w:widowControl/>
              <w:numPr>
                <w:ilvl w:val="0"/>
                <w:numId w:val="3"/>
              </w:numPr>
              <w:spacing w:after="0" w:line="240" w:lineRule="auto"/>
              <w:contextualSpacing w:val="0"/>
              <w:textAlignment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bidi="ar"/>
              </w:rPr>
            </w:pPr>
          </w:p>
        </w:tc>
      </w:tr>
      <w:tr w14:paraId="49DF3D3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27" w:type="pct"/>
            <w:vAlign w:val="center"/>
          </w:tcPr>
          <w:p w14:paraId="6BF1D859">
            <w:pPr>
              <w:spacing w:after="120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 w:bidi="ar"/>
              </w:rPr>
              <w:t>2</w:t>
            </w:r>
          </w:p>
        </w:tc>
        <w:tc>
          <w:tcPr>
            <w:tcW w:w="581" w:type="pct"/>
            <w:vAlign w:val="center"/>
          </w:tcPr>
          <w:p w14:paraId="5224D2BC">
            <w:pPr>
              <w:spacing w:after="120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bidi="ar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</w:rPr>
              <w:t>服务范围</w:t>
            </w:r>
          </w:p>
        </w:tc>
        <w:tc>
          <w:tcPr>
            <w:tcW w:w="2926" w:type="pct"/>
            <w:vAlign w:val="center"/>
          </w:tcPr>
          <w:p w14:paraId="0DB61265">
            <w:pPr>
              <w:pStyle w:val="24"/>
              <w:keepNext w:val="0"/>
              <w:keepLines w:val="0"/>
              <w:pageBreakBefore w:val="0"/>
              <w:widowControl/>
              <w:numPr>
                <w:ilvl w:val="0"/>
                <w:numId w:val="4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auto"/>
              <w:ind w:left="0" w:firstLine="0" w:firstLineChars="0"/>
              <w:contextualSpacing w:val="0"/>
              <w:jc w:val="both"/>
              <w:textAlignment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bidi="ar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bidi="ar"/>
              </w:rPr>
              <w:t>维护和技术支持服务、故障处理服务、软件更新服务、巡检服务、网络健康检查服务、技术支持服务和应急保障服务等，协助开展设备系统优化、业务迁移及割接等工作。</w:t>
            </w:r>
          </w:p>
        </w:tc>
        <w:tc>
          <w:tcPr>
            <w:tcW w:w="763" w:type="pct"/>
            <w:vAlign w:val="center"/>
          </w:tcPr>
          <w:p w14:paraId="67FF2CA5">
            <w:pPr>
              <w:pStyle w:val="24"/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auto"/>
              <w:ind w:leftChars="0"/>
              <w:contextualSpacing w:val="0"/>
              <w:jc w:val="both"/>
              <w:textAlignment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bidi="ar"/>
              </w:rPr>
            </w:pPr>
          </w:p>
        </w:tc>
        <w:tc>
          <w:tcPr>
            <w:tcW w:w="501" w:type="pct"/>
            <w:vAlign w:val="center"/>
          </w:tcPr>
          <w:p w14:paraId="3F1CB9C3">
            <w:pPr>
              <w:pStyle w:val="24"/>
              <w:widowControl/>
              <w:numPr>
                <w:ilvl w:val="0"/>
                <w:numId w:val="4"/>
              </w:numPr>
              <w:spacing w:after="0" w:line="240" w:lineRule="auto"/>
              <w:contextualSpacing w:val="0"/>
              <w:textAlignment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bidi="ar"/>
              </w:rPr>
            </w:pPr>
          </w:p>
        </w:tc>
      </w:tr>
      <w:tr w14:paraId="10FE82E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27" w:type="pct"/>
            <w:vAlign w:val="center"/>
          </w:tcPr>
          <w:p w14:paraId="1D693DD4">
            <w:pPr>
              <w:spacing w:after="156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 w:bidi="ar"/>
              </w:rPr>
              <w:t>3</w:t>
            </w:r>
          </w:p>
        </w:tc>
        <w:tc>
          <w:tcPr>
            <w:tcW w:w="581" w:type="pct"/>
            <w:vAlign w:val="center"/>
          </w:tcPr>
          <w:p w14:paraId="366B1E2D">
            <w:pPr>
              <w:spacing w:after="156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bidi="ar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</w:rPr>
              <w:t>巡检服务</w:t>
            </w:r>
          </w:p>
        </w:tc>
        <w:tc>
          <w:tcPr>
            <w:tcW w:w="2926" w:type="pct"/>
            <w:vAlign w:val="center"/>
          </w:tcPr>
          <w:p w14:paraId="4A1432DD">
            <w:pPr>
              <w:pStyle w:val="24"/>
              <w:keepNext w:val="0"/>
              <w:keepLines w:val="0"/>
              <w:pageBreakBefore w:val="0"/>
              <w:widowControl/>
              <w:numPr>
                <w:ilvl w:val="0"/>
                <w:numId w:val="5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auto"/>
              <w:ind w:left="0" w:firstLine="0" w:firstLineChars="0"/>
              <w:contextualSpacing w:val="0"/>
              <w:jc w:val="both"/>
              <w:textAlignment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bidi="ar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</w:rPr>
              <w:t>提供巡检服务不少于4次/年，对于维保系统平台进行健康性检查，发现系统平台运行安全隐患，及时解决处理。</w:t>
            </w:r>
          </w:p>
        </w:tc>
        <w:tc>
          <w:tcPr>
            <w:tcW w:w="763" w:type="pct"/>
            <w:vAlign w:val="center"/>
          </w:tcPr>
          <w:p w14:paraId="7BE2F79A">
            <w:pPr>
              <w:pStyle w:val="24"/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auto"/>
              <w:ind w:leftChars="0"/>
              <w:contextualSpacing w:val="0"/>
              <w:jc w:val="both"/>
              <w:textAlignment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bidi="ar"/>
              </w:rPr>
            </w:pPr>
          </w:p>
        </w:tc>
        <w:tc>
          <w:tcPr>
            <w:tcW w:w="501" w:type="pct"/>
            <w:vAlign w:val="center"/>
          </w:tcPr>
          <w:p w14:paraId="09BF6B85">
            <w:pPr>
              <w:pStyle w:val="24"/>
              <w:widowControl/>
              <w:numPr>
                <w:ilvl w:val="0"/>
                <w:numId w:val="5"/>
              </w:numPr>
              <w:spacing w:after="0" w:line="240" w:lineRule="auto"/>
              <w:contextualSpacing w:val="0"/>
              <w:textAlignment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bidi="ar"/>
              </w:rPr>
            </w:pPr>
          </w:p>
        </w:tc>
      </w:tr>
      <w:tr w14:paraId="7151320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27" w:type="pct"/>
            <w:vAlign w:val="center"/>
          </w:tcPr>
          <w:p w14:paraId="4FB1841E">
            <w:pPr>
              <w:spacing w:after="156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 w:bidi="ar"/>
              </w:rPr>
              <w:t>4</w:t>
            </w:r>
          </w:p>
        </w:tc>
        <w:tc>
          <w:tcPr>
            <w:tcW w:w="581" w:type="pct"/>
            <w:vAlign w:val="center"/>
          </w:tcPr>
          <w:p w14:paraId="2F260E1E">
            <w:pPr>
              <w:spacing w:after="156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bidi="ar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</w:rPr>
              <w:t>安全加固服务</w:t>
            </w:r>
          </w:p>
        </w:tc>
        <w:tc>
          <w:tcPr>
            <w:tcW w:w="2926" w:type="pct"/>
            <w:vAlign w:val="center"/>
          </w:tcPr>
          <w:p w14:paraId="61F8563C">
            <w:pPr>
              <w:pStyle w:val="24"/>
              <w:keepNext w:val="0"/>
              <w:keepLines w:val="0"/>
              <w:pageBreakBefore w:val="0"/>
              <w:widowControl/>
              <w:numPr>
                <w:ilvl w:val="0"/>
                <w:numId w:val="6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auto"/>
              <w:ind w:left="0" w:firstLine="0" w:firstLineChars="0"/>
              <w:contextualSpacing w:val="0"/>
              <w:jc w:val="both"/>
              <w:textAlignment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bidi="ar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</w:rPr>
              <w:t>维护系统平台涉及网络安全、系统安全的加固服务，对统一云服务管理平台系统软件进行预防性或修复性的调整或优化，并提供系统代码级的漏洞修复、逻辑优化及安全重构服务，以保证业务平台整体的网络安全。同时，针对系统存在的安全隐患执行升级更新操作，并依据安全检查结果提供专业技术支持，全力配合开展系统升级及补丁更新工作。</w:t>
            </w:r>
          </w:p>
        </w:tc>
        <w:tc>
          <w:tcPr>
            <w:tcW w:w="763" w:type="pct"/>
            <w:vAlign w:val="center"/>
          </w:tcPr>
          <w:p w14:paraId="6466953E">
            <w:pPr>
              <w:pStyle w:val="24"/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auto"/>
              <w:ind w:leftChars="0"/>
              <w:contextualSpacing w:val="0"/>
              <w:jc w:val="both"/>
              <w:textAlignment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bidi="ar"/>
              </w:rPr>
            </w:pPr>
          </w:p>
        </w:tc>
        <w:tc>
          <w:tcPr>
            <w:tcW w:w="501" w:type="pct"/>
            <w:vAlign w:val="center"/>
          </w:tcPr>
          <w:p w14:paraId="14AD3546">
            <w:pPr>
              <w:pStyle w:val="24"/>
              <w:widowControl/>
              <w:numPr>
                <w:ilvl w:val="0"/>
                <w:numId w:val="6"/>
              </w:numPr>
              <w:spacing w:after="0" w:line="240" w:lineRule="auto"/>
              <w:contextualSpacing w:val="0"/>
              <w:textAlignment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bidi="ar"/>
              </w:rPr>
            </w:pPr>
          </w:p>
        </w:tc>
      </w:tr>
      <w:tr w14:paraId="65BBF6E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27" w:type="pct"/>
            <w:vAlign w:val="center"/>
          </w:tcPr>
          <w:p w14:paraId="18BECBA1">
            <w:pPr>
              <w:spacing w:after="156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 w:bidi="ar"/>
              </w:rPr>
              <w:t>5</w:t>
            </w:r>
          </w:p>
        </w:tc>
        <w:tc>
          <w:tcPr>
            <w:tcW w:w="581" w:type="pct"/>
            <w:vAlign w:val="center"/>
          </w:tcPr>
          <w:p w14:paraId="1FB6C606">
            <w:pPr>
              <w:spacing w:after="156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bidi="ar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</w:rPr>
              <w:t>重要节日保障支撑服务</w:t>
            </w:r>
          </w:p>
        </w:tc>
        <w:tc>
          <w:tcPr>
            <w:tcW w:w="2926" w:type="pct"/>
            <w:vAlign w:val="center"/>
          </w:tcPr>
          <w:p w14:paraId="25476C6D">
            <w:pPr>
              <w:pStyle w:val="24"/>
              <w:keepNext w:val="0"/>
              <w:keepLines w:val="0"/>
              <w:pageBreakBefore w:val="0"/>
              <w:widowControl/>
              <w:numPr>
                <w:ilvl w:val="0"/>
                <w:numId w:val="7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auto"/>
              <w:ind w:left="0" w:firstLine="0" w:firstLineChars="0"/>
              <w:contextualSpacing w:val="0"/>
              <w:jc w:val="both"/>
              <w:textAlignment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bidi="ar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</w:rPr>
              <w:t>提供特殊时段（如：两会期间、春节、劳动节、国庆节、系统停机维护及用户认为必须的重要时段）的现场技术保障，每年不低于10天的驻场服务。</w:t>
            </w:r>
          </w:p>
        </w:tc>
        <w:tc>
          <w:tcPr>
            <w:tcW w:w="763" w:type="pct"/>
            <w:vAlign w:val="center"/>
          </w:tcPr>
          <w:p w14:paraId="2D63B985">
            <w:pPr>
              <w:pStyle w:val="24"/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auto"/>
              <w:ind w:leftChars="0"/>
              <w:contextualSpacing w:val="0"/>
              <w:jc w:val="both"/>
              <w:textAlignment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bidi="ar"/>
              </w:rPr>
            </w:pPr>
          </w:p>
        </w:tc>
        <w:tc>
          <w:tcPr>
            <w:tcW w:w="501" w:type="pct"/>
            <w:vAlign w:val="center"/>
          </w:tcPr>
          <w:p w14:paraId="6439DCA0">
            <w:pPr>
              <w:pStyle w:val="24"/>
              <w:widowControl/>
              <w:numPr>
                <w:ilvl w:val="0"/>
                <w:numId w:val="7"/>
              </w:numPr>
              <w:spacing w:after="0" w:line="240" w:lineRule="auto"/>
              <w:contextualSpacing w:val="0"/>
              <w:textAlignment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bidi="ar"/>
              </w:rPr>
            </w:pPr>
          </w:p>
        </w:tc>
      </w:tr>
    </w:tbl>
    <w:p w14:paraId="6D53F38C">
      <w:pPr>
        <w:spacing w:after="209" w:afterLines="67"/>
        <w:rPr>
          <w:rFonts w:asciiTheme="minorEastAsia" w:hAnsiTheme="minorEastAsia" w:cstheme="minorEastAsia"/>
          <w:sz w:val="24"/>
          <w:szCs w:val="24"/>
        </w:rPr>
      </w:pPr>
    </w:p>
    <w:sectPr>
      <w:footerReference r:id="rId3" w:type="default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Calibri Light">
    <w:panose1 w:val="020F03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-1509354303"/>
    </w:sdtPr>
    <w:sdtEndPr>
      <w:rPr>
        <w:rFonts w:asciiTheme="minorEastAsia" w:hAnsiTheme="minorEastAsia"/>
        <w:sz w:val="24"/>
        <w:szCs w:val="24"/>
      </w:rPr>
    </w:sdtEndPr>
    <w:sdtContent>
      <w:p w14:paraId="06A2B8FC">
        <w:pPr>
          <w:pStyle w:val="9"/>
          <w:jc w:val="center"/>
          <w:rPr>
            <w:rFonts w:asciiTheme="minorEastAsia" w:hAnsiTheme="minorEastAsia"/>
            <w:sz w:val="24"/>
            <w:szCs w:val="24"/>
          </w:rPr>
        </w:pPr>
        <w:r>
          <w:rPr>
            <w:rFonts w:asciiTheme="minorEastAsia" w:hAnsiTheme="minorEastAsia"/>
            <w:sz w:val="24"/>
            <w:szCs w:val="24"/>
          </w:rPr>
          <w:fldChar w:fldCharType="begin"/>
        </w:r>
        <w:r>
          <w:rPr>
            <w:rFonts w:asciiTheme="minorEastAsia" w:hAnsiTheme="minorEastAsia"/>
            <w:sz w:val="24"/>
            <w:szCs w:val="24"/>
          </w:rPr>
          <w:instrText xml:space="preserve">PAGE   \* MERGEFORMAT</w:instrText>
        </w:r>
        <w:r>
          <w:rPr>
            <w:rFonts w:asciiTheme="minorEastAsia" w:hAnsiTheme="minorEastAsia"/>
            <w:sz w:val="24"/>
            <w:szCs w:val="24"/>
          </w:rPr>
          <w:fldChar w:fldCharType="separate"/>
        </w:r>
        <w:r>
          <w:rPr>
            <w:rFonts w:asciiTheme="minorEastAsia" w:hAnsiTheme="minorEastAsia"/>
            <w:sz w:val="24"/>
            <w:szCs w:val="24"/>
            <w:lang w:val="zh-CN"/>
          </w:rPr>
          <w:t>2</w:t>
        </w:r>
        <w:r>
          <w:rPr>
            <w:rFonts w:asciiTheme="minorEastAsia" w:hAnsiTheme="minorEastAsia"/>
            <w:sz w:val="24"/>
            <w:szCs w:val="24"/>
          </w:rPr>
          <w:fldChar w:fldCharType="end"/>
        </w:r>
      </w:p>
    </w:sdtContent>
  </w:sdt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26007FCA"/>
    <w:multiLevelType w:val="multilevel"/>
    <w:tmpl w:val="26007FCA"/>
    <w:lvl w:ilvl="0" w:tentative="0">
      <w:start w:val="1"/>
      <w:numFmt w:val="chineseCountingThousand"/>
      <w:pStyle w:val="2"/>
      <w:lvlText w:val="%1、"/>
      <w:lvlJc w:val="left"/>
      <w:pPr>
        <w:tabs>
          <w:tab w:val="left" w:pos="432"/>
        </w:tabs>
        <w:ind w:left="432" w:hanging="432"/>
      </w:pPr>
      <w:rPr>
        <w:rFonts w:hint="eastAsia"/>
      </w:rPr>
    </w:lvl>
    <w:lvl w:ilvl="1" w:tentative="0">
      <w:start w:val="1"/>
      <w:numFmt w:val="decimal"/>
      <w:lvlText w:val="3.%2"/>
      <w:lvlJc w:val="left"/>
      <w:pPr>
        <w:tabs>
          <w:tab w:val="left" w:pos="576"/>
        </w:tabs>
        <w:ind w:left="576" w:hanging="576"/>
      </w:pPr>
      <w:rPr>
        <w:rFonts w:hint="eastAsia"/>
      </w:rPr>
    </w:lvl>
    <w:lvl w:ilvl="2" w:tentative="0">
      <w:start w:val="1"/>
      <w:numFmt w:val="decimal"/>
      <w:lvlText w:val="3.5.%3 "/>
      <w:lvlJc w:val="left"/>
      <w:pPr>
        <w:tabs>
          <w:tab w:val="left" w:pos="720"/>
        </w:tabs>
        <w:ind w:left="720" w:hanging="720"/>
      </w:pPr>
      <w:rPr>
        <w:rFonts w:hint="eastAsia"/>
      </w:rPr>
    </w:lvl>
    <w:lvl w:ilvl="3" w:tentative="0">
      <w:start w:val="1"/>
      <w:numFmt w:val="decimal"/>
      <w:lvlText w:val="3.5.1.%4 "/>
      <w:lvlJc w:val="left"/>
      <w:pPr>
        <w:tabs>
          <w:tab w:val="left" w:pos="1440"/>
        </w:tabs>
        <w:ind w:left="1000" w:hanging="1000"/>
      </w:pPr>
      <w:rPr>
        <w:rFonts w:hint="eastAsia"/>
      </w:rPr>
    </w:lvl>
    <w:lvl w:ilvl="4" w:tentative="0">
      <w:start w:val="1"/>
      <w:numFmt w:val="decimal"/>
      <w:lvlText w:val="%1.%2.%3.%4.%5"/>
      <w:lvlJc w:val="left"/>
      <w:pPr>
        <w:tabs>
          <w:tab w:val="left" w:pos="1008"/>
        </w:tabs>
        <w:ind w:left="1008" w:hanging="1008"/>
      </w:pPr>
      <w:rPr>
        <w:rFonts w:hint="eastAsia"/>
      </w:rPr>
    </w:lvl>
    <w:lvl w:ilvl="5" w:tentative="0">
      <w:start w:val="1"/>
      <w:numFmt w:val="decimal"/>
      <w:lvlText w:val="%1.%2.%3.%4.%5.%6"/>
      <w:lvlJc w:val="left"/>
      <w:pPr>
        <w:tabs>
          <w:tab w:val="left" w:pos="1152"/>
        </w:tabs>
        <w:ind w:left="1152" w:hanging="1152"/>
      </w:pPr>
      <w:rPr>
        <w:rFonts w:hint="eastAsia"/>
      </w:rPr>
    </w:lvl>
    <w:lvl w:ilvl="6" w:tentative="0">
      <w:start w:val="1"/>
      <w:numFmt w:val="decimal"/>
      <w:lvlText w:val="%1.%2.%3.%4.%5.%6.%7"/>
      <w:lvlJc w:val="left"/>
      <w:pPr>
        <w:tabs>
          <w:tab w:val="left" w:pos="1296"/>
        </w:tabs>
        <w:ind w:left="1296" w:hanging="1296"/>
      </w:pPr>
      <w:rPr>
        <w:rFonts w:hint="eastAsia"/>
      </w:rPr>
    </w:lvl>
    <w:lvl w:ilvl="7" w:tentative="0">
      <w:start w:val="1"/>
      <w:numFmt w:val="decimal"/>
      <w:lvlText w:val="%1.%2.%3.%4.%5.%6.%7.%8"/>
      <w:lvlJc w:val="left"/>
      <w:pPr>
        <w:tabs>
          <w:tab w:val="left" w:pos="1440"/>
        </w:tabs>
        <w:ind w:left="1440" w:hanging="1440"/>
      </w:pPr>
      <w:rPr>
        <w:rFonts w:hint="eastAsia"/>
      </w:rPr>
    </w:lvl>
    <w:lvl w:ilvl="8" w:tentative="0">
      <w:start w:val="1"/>
      <w:numFmt w:val="decimal"/>
      <w:lvlText w:val="%1.%2.%3.%4.%5.%6.%7.%8.%9"/>
      <w:lvlJc w:val="left"/>
      <w:pPr>
        <w:tabs>
          <w:tab w:val="left" w:pos="1584"/>
        </w:tabs>
        <w:ind w:left="1584" w:hanging="1584"/>
      </w:pPr>
      <w:rPr>
        <w:rFonts w:hint="eastAsia"/>
      </w:rPr>
    </w:lvl>
  </w:abstractNum>
  <w:abstractNum w:abstractNumId="1">
    <w:nsid w:val="2BEE12A5"/>
    <w:multiLevelType w:val="multilevel"/>
    <w:tmpl w:val="2BEE12A5"/>
    <w:lvl w:ilvl="0" w:tentative="0">
      <w:start w:val="1"/>
      <w:numFmt w:val="japaneseCounting"/>
      <w:lvlText w:val="%1、"/>
      <w:lvlJc w:val="left"/>
      <w:pPr>
        <w:ind w:left="495" w:hanging="495"/>
      </w:pPr>
      <w:rPr>
        <w:rFonts w:hint="default"/>
      </w:rPr>
    </w:lvl>
    <w:lvl w:ilvl="1" w:tentative="0">
      <w:start w:val="1"/>
      <w:numFmt w:val="lowerLetter"/>
      <w:lvlText w:val="%2)"/>
      <w:lvlJc w:val="left"/>
      <w:pPr>
        <w:ind w:left="840" w:hanging="420"/>
      </w:pPr>
    </w:lvl>
    <w:lvl w:ilvl="2" w:tentative="0">
      <w:start w:val="1"/>
      <w:numFmt w:val="lowerRoman"/>
      <w:lvlText w:val="%3."/>
      <w:lvlJc w:val="right"/>
      <w:pPr>
        <w:ind w:left="1260" w:hanging="420"/>
      </w:pPr>
    </w:lvl>
    <w:lvl w:ilvl="3" w:tentative="0">
      <w:start w:val="1"/>
      <w:numFmt w:val="decimal"/>
      <w:lvlText w:val="%4."/>
      <w:lvlJc w:val="left"/>
      <w:pPr>
        <w:ind w:left="1680" w:hanging="420"/>
      </w:pPr>
    </w:lvl>
    <w:lvl w:ilvl="4" w:tentative="0">
      <w:start w:val="1"/>
      <w:numFmt w:val="lowerLetter"/>
      <w:lvlText w:val="%5)"/>
      <w:lvlJc w:val="left"/>
      <w:pPr>
        <w:ind w:left="2100" w:hanging="420"/>
      </w:pPr>
    </w:lvl>
    <w:lvl w:ilvl="5" w:tentative="0">
      <w:start w:val="1"/>
      <w:numFmt w:val="lowerRoman"/>
      <w:lvlText w:val="%6."/>
      <w:lvlJc w:val="right"/>
      <w:pPr>
        <w:ind w:left="2520" w:hanging="420"/>
      </w:pPr>
    </w:lvl>
    <w:lvl w:ilvl="6" w:tentative="0">
      <w:start w:val="1"/>
      <w:numFmt w:val="decimal"/>
      <w:lvlText w:val="%7."/>
      <w:lvlJc w:val="left"/>
      <w:pPr>
        <w:ind w:left="2940" w:hanging="420"/>
      </w:pPr>
    </w:lvl>
    <w:lvl w:ilvl="7" w:tentative="0">
      <w:start w:val="1"/>
      <w:numFmt w:val="lowerLetter"/>
      <w:lvlText w:val="%8)"/>
      <w:lvlJc w:val="left"/>
      <w:pPr>
        <w:ind w:left="3360" w:hanging="420"/>
      </w:pPr>
    </w:lvl>
    <w:lvl w:ilvl="8" w:tentative="0">
      <w:start w:val="1"/>
      <w:numFmt w:val="lowerRoman"/>
      <w:lvlText w:val="%9."/>
      <w:lvlJc w:val="right"/>
      <w:pPr>
        <w:ind w:left="3780" w:hanging="420"/>
      </w:pPr>
    </w:lvl>
  </w:abstractNum>
  <w:abstractNum w:abstractNumId="2">
    <w:nsid w:val="2F9C253E"/>
    <w:multiLevelType w:val="multilevel"/>
    <w:tmpl w:val="2F9C253E"/>
    <w:lvl w:ilvl="0" w:tentative="0">
      <w:start w:val="1"/>
      <w:numFmt w:val="decimal"/>
      <w:lvlText w:val="%1)"/>
      <w:lvlJc w:val="left"/>
      <w:pPr>
        <w:ind w:left="420" w:hanging="420"/>
      </w:pPr>
      <w:rPr>
        <w:rFonts w:hint="default"/>
      </w:rPr>
    </w:lvl>
    <w:lvl w:ilvl="1" w:tentative="0">
      <w:start w:val="1"/>
      <w:numFmt w:val="bullet"/>
      <w:lvlText w:val=""/>
      <w:lvlJc w:val="left"/>
      <w:pPr>
        <w:ind w:left="840" w:hanging="420"/>
      </w:pPr>
      <w:rPr>
        <w:rFonts w:hint="default" w:ascii="Wingdings" w:hAnsi="Wingdings"/>
      </w:rPr>
    </w:lvl>
    <w:lvl w:ilvl="2" w:tentative="0">
      <w:start w:val="1"/>
      <w:numFmt w:val="bullet"/>
      <w:lvlText w:val=""/>
      <w:lvlJc w:val="left"/>
      <w:pPr>
        <w:ind w:left="1260" w:hanging="420"/>
      </w:pPr>
      <w:rPr>
        <w:rFonts w:hint="default" w:ascii="Wingdings" w:hAnsi="Wingdings"/>
      </w:rPr>
    </w:lvl>
    <w:lvl w:ilvl="3" w:tentative="0">
      <w:start w:val="1"/>
      <w:numFmt w:val="bullet"/>
      <w:lvlText w:val=""/>
      <w:lvlJc w:val="left"/>
      <w:pPr>
        <w:ind w:left="1680" w:hanging="420"/>
      </w:pPr>
      <w:rPr>
        <w:rFonts w:hint="default" w:ascii="Wingdings" w:hAnsi="Wingdings"/>
      </w:rPr>
    </w:lvl>
    <w:lvl w:ilvl="4" w:tentative="0">
      <w:start w:val="1"/>
      <w:numFmt w:val="bullet"/>
      <w:lvlText w:val=""/>
      <w:lvlJc w:val="left"/>
      <w:pPr>
        <w:ind w:left="2100" w:hanging="420"/>
      </w:pPr>
      <w:rPr>
        <w:rFonts w:hint="default" w:ascii="Wingdings" w:hAnsi="Wingdings"/>
      </w:rPr>
    </w:lvl>
    <w:lvl w:ilvl="5" w:tentative="0">
      <w:start w:val="1"/>
      <w:numFmt w:val="bullet"/>
      <w:lvlText w:val=""/>
      <w:lvlJc w:val="left"/>
      <w:pPr>
        <w:ind w:left="2520" w:hanging="420"/>
      </w:pPr>
      <w:rPr>
        <w:rFonts w:hint="default" w:ascii="Wingdings" w:hAnsi="Wingdings"/>
      </w:rPr>
    </w:lvl>
    <w:lvl w:ilvl="6" w:tentative="0">
      <w:start w:val="1"/>
      <w:numFmt w:val="bullet"/>
      <w:lvlText w:val=""/>
      <w:lvlJc w:val="left"/>
      <w:pPr>
        <w:ind w:left="2940" w:hanging="420"/>
      </w:pPr>
      <w:rPr>
        <w:rFonts w:hint="default" w:ascii="Wingdings" w:hAnsi="Wingdings"/>
      </w:rPr>
    </w:lvl>
    <w:lvl w:ilvl="7" w:tentative="0">
      <w:start w:val="1"/>
      <w:numFmt w:val="bullet"/>
      <w:lvlText w:val=""/>
      <w:lvlJc w:val="left"/>
      <w:pPr>
        <w:ind w:left="3360" w:hanging="420"/>
      </w:pPr>
      <w:rPr>
        <w:rFonts w:hint="default" w:ascii="Wingdings" w:hAnsi="Wingdings"/>
      </w:rPr>
    </w:lvl>
    <w:lvl w:ilvl="8" w:tentative="0">
      <w:start w:val="1"/>
      <w:numFmt w:val="bullet"/>
      <w:lvlText w:val=""/>
      <w:lvlJc w:val="left"/>
      <w:pPr>
        <w:ind w:left="3780" w:hanging="420"/>
      </w:pPr>
      <w:rPr>
        <w:rFonts w:hint="default" w:ascii="Wingdings" w:hAnsi="Wingdings"/>
      </w:rPr>
    </w:lvl>
  </w:abstractNum>
  <w:abstractNum w:abstractNumId="3">
    <w:nsid w:val="42B258F4"/>
    <w:multiLevelType w:val="multilevel"/>
    <w:tmpl w:val="42B258F4"/>
    <w:lvl w:ilvl="0" w:tentative="0">
      <w:start w:val="1"/>
      <w:numFmt w:val="decimal"/>
      <w:lvlText w:val="%1)"/>
      <w:lvlJc w:val="left"/>
      <w:pPr>
        <w:ind w:left="420" w:hanging="420"/>
      </w:pPr>
      <w:rPr>
        <w:rFonts w:hint="default"/>
      </w:rPr>
    </w:lvl>
    <w:lvl w:ilvl="1" w:tentative="0">
      <w:start w:val="1"/>
      <w:numFmt w:val="bullet"/>
      <w:lvlText w:val=""/>
      <w:lvlJc w:val="left"/>
      <w:pPr>
        <w:ind w:left="840" w:hanging="420"/>
      </w:pPr>
      <w:rPr>
        <w:rFonts w:hint="default" w:ascii="Wingdings" w:hAnsi="Wingdings"/>
      </w:rPr>
    </w:lvl>
    <w:lvl w:ilvl="2" w:tentative="0">
      <w:start w:val="1"/>
      <w:numFmt w:val="bullet"/>
      <w:lvlText w:val=""/>
      <w:lvlJc w:val="left"/>
      <w:pPr>
        <w:ind w:left="1260" w:hanging="420"/>
      </w:pPr>
      <w:rPr>
        <w:rFonts w:hint="default" w:ascii="Wingdings" w:hAnsi="Wingdings"/>
      </w:rPr>
    </w:lvl>
    <w:lvl w:ilvl="3" w:tentative="0">
      <w:start w:val="1"/>
      <w:numFmt w:val="bullet"/>
      <w:lvlText w:val=""/>
      <w:lvlJc w:val="left"/>
      <w:pPr>
        <w:ind w:left="1680" w:hanging="420"/>
      </w:pPr>
      <w:rPr>
        <w:rFonts w:hint="default" w:ascii="Wingdings" w:hAnsi="Wingdings"/>
      </w:rPr>
    </w:lvl>
    <w:lvl w:ilvl="4" w:tentative="0">
      <w:start w:val="1"/>
      <w:numFmt w:val="bullet"/>
      <w:lvlText w:val=""/>
      <w:lvlJc w:val="left"/>
      <w:pPr>
        <w:ind w:left="2100" w:hanging="420"/>
      </w:pPr>
      <w:rPr>
        <w:rFonts w:hint="default" w:ascii="Wingdings" w:hAnsi="Wingdings"/>
      </w:rPr>
    </w:lvl>
    <w:lvl w:ilvl="5" w:tentative="0">
      <w:start w:val="1"/>
      <w:numFmt w:val="bullet"/>
      <w:lvlText w:val=""/>
      <w:lvlJc w:val="left"/>
      <w:pPr>
        <w:ind w:left="2520" w:hanging="420"/>
      </w:pPr>
      <w:rPr>
        <w:rFonts w:hint="default" w:ascii="Wingdings" w:hAnsi="Wingdings"/>
      </w:rPr>
    </w:lvl>
    <w:lvl w:ilvl="6" w:tentative="0">
      <w:start w:val="1"/>
      <w:numFmt w:val="bullet"/>
      <w:lvlText w:val=""/>
      <w:lvlJc w:val="left"/>
      <w:pPr>
        <w:ind w:left="2940" w:hanging="420"/>
      </w:pPr>
      <w:rPr>
        <w:rFonts w:hint="default" w:ascii="Wingdings" w:hAnsi="Wingdings"/>
      </w:rPr>
    </w:lvl>
    <w:lvl w:ilvl="7" w:tentative="0">
      <w:start w:val="1"/>
      <w:numFmt w:val="bullet"/>
      <w:lvlText w:val=""/>
      <w:lvlJc w:val="left"/>
      <w:pPr>
        <w:ind w:left="3360" w:hanging="420"/>
      </w:pPr>
      <w:rPr>
        <w:rFonts w:hint="default" w:ascii="Wingdings" w:hAnsi="Wingdings"/>
      </w:rPr>
    </w:lvl>
    <w:lvl w:ilvl="8" w:tentative="0">
      <w:start w:val="1"/>
      <w:numFmt w:val="bullet"/>
      <w:lvlText w:val=""/>
      <w:lvlJc w:val="left"/>
      <w:pPr>
        <w:ind w:left="3780" w:hanging="420"/>
      </w:pPr>
      <w:rPr>
        <w:rFonts w:hint="default" w:ascii="Wingdings" w:hAnsi="Wingdings"/>
      </w:rPr>
    </w:lvl>
  </w:abstractNum>
  <w:abstractNum w:abstractNumId="4">
    <w:nsid w:val="5E3F6FBA"/>
    <w:multiLevelType w:val="multilevel"/>
    <w:tmpl w:val="5E3F6FBA"/>
    <w:lvl w:ilvl="0" w:tentative="0">
      <w:start w:val="1"/>
      <w:numFmt w:val="decimal"/>
      <w:lvlText w:val="%1)"/>
      <w:lvlJc w:val="left"/>
      <w:pPr>
        <w:ind w:left="420" w:hanging="420"/>
      </w:pPr>
      <w:rPr>
        <w:rFonts w:hint="default"/>
      </w:rPr>
    </w:lvl>
    <w:lvl w:ilvl="1" w:tentative="0">
      <w:start w:val="1"/>
      <w:numFmt w:val="bullet"/>
      <w:lvlText w:val=""/>
      <w:lvlJc w:val="left"/>
      <w:pPr>
        <w:ind w:left="840" w:hanging="420"/>
      </w:pPr>
      <w:rPr>
        <w:rFonts w:hint="default" w:ascii="Wingdings" w:hAnsi="Wingdings"/>
      </w:rPr>
    </w:lvl>
    <w:lvl w:ilvl="2" w:tentative="0">
      <w:start w:val="1"/>
      <w:numFmt w:val="bullet"/>
      <w:lvlText w:val=""/>
      <w:lvlJc w:val="left"/>
      <w:pPr>
        <w:ind w:left="1260" w:hanging="420"/>
      </w:pPr>
      <w:rPr>
        <w:rFonts w:hint="default" w:ascii="Wingdings" w:hAnsi="Wingdings"/>
      </w:rPr>
    </w:lvl>
    <w:lvl w:ilvl="3" w:tentative="0">
      <w:start w:val="1"/>
      <w:numFmt w:val="bullet"/>
      <w:lvlText w:val=""/>
      <w:lvlJc w:val="left"/>
      <w:pPr>
        <w:ind w:left="1680" w:hanging="420"/>
      </w:pPr>
      <w:rPr>
        <w:rFonts w:hint="default" w:ascii="Wingdings" w:hAnsi="Wingdings"/>
      </w:rPr>
    </w:lvl>
    <w:lvl w:ilvl="4" w:tentative="0">
      <w:start w:val="1"/>
      <w:numFmt w:val="bullet"/>
      <w:lvlText w:val=""/>
      <w:lvlJc w:val="left"/>
      <w:pPr>
        <w:ind w:left="2100" w:hanging="420"/>
      </w:pPr>
      <w:rPr>
        <w:rFonts w:hint="default" w:ascii="Wingdings" w:hAnsi="Wingdings"/>
      </w:rPr>
    </w:lvl>
    <w:lvl w:ilvl="5" w:tentative="0">
      <w:start w:val="1"/>
      <w:numFmt w:val="bullet"/>
      <w:lvlText w:val=""/>
      <w:lvlJc w:val="left"/>
      <w:pPr>
        <w:ind w:left="2520" w:hanging="420"/>
      </w:pPr>
      <w:rPr>
        <w:rFonts w:hint="default" w:ascii="Wingdings" w:hAnsi="Wingdings"/>
      </w:rPr>
    </w:lvl>
    <w:lvl w:ilvl="6" w:tentative="0">
      <w:start w:val="1"/>
      <w:numFmt w:val="bullet"/>
      <w:lvlText w:val=""/>
      <w:lvlJc w:val="left"/>
      <w:pPr>
        <w:ind w:left="2940" w:hanging="420"/>
      </w:pPr>
      <w:rPr>
        <w:rFonts w:hint="default" w:ascii="Wingdings" w:hAnsi="Wingdings"/>
      </w:rPr>
    </w:lvl>
    <w:lvl w:ilvl="7" w:tentative="0">
      <w:start w:val="1"/>
      <w:numFmt w:val="bullet"/>
      <w:lvlText w:val=""/>
      <w:lvlJc w:val="left"/>
      <w:pPr>
        <w:ind w:left="3360" w:hanging="420"/>
      </w:pPr>
      <w:rPr>
        <w:rFonts w:hint="default" w:ascii="Wingdings" w:hAnsi="Wingdings"/>
      </w:rPr>
    </w:lvl>
    <w:lvl w:ilvl="8" w:tentative="0">
      <w:start w:val="1"/>
      <w:numFmt w:val="bullet"/>
      <w:lvlText w:val=""/>
      <w:lvlJc w:val="left"/>
      <w:pPr>
        <w:ind w:left="3780" w:hanging="420"/>
      </w:pPr>
      <w:rPr>
        <w:rFonts w:hint="default" w:ascii="Wingdings" w:hAnsi="Wingdings"/>
      </w:rPr>
    </w:lvl>
  </w:abstractNum>
  <w:abstractNum w:abstractNumId="5">
    <w:nsid w:val="63186C05"/>
    <w:multiLevelType w:val="multilevel"/>
    <w:tmpl w:val="63186C05"/>
    <w:lvl w:ilvl="0" w:tentative="0">
      <w:start w:val="1"/>
      <w:numFmt w:val="decimal"/>
      <w:lvlText w:val="%1)"/>
      <w:lvlJc w:val="left"/>
      <w:pPr>
        <w:ind w:left="420" w:hanging="420"/>
      </w:pPr>
      <w:rPr>
        <w:rFonts w:hint="default"/>
      </w:rPr>
    </w:lvl>
    <w:lvl w:ilvl="1" w:tentative="0">
      <w:start w:val="1"/>
      <w:numFmt w:val="bullet"/>
      <w:lvlText w:val=""/>
      <w:lvlJc w:val="left"/>
      <w:pPr>
        <w:ind w:left="840" w:hanging="420"/>
      </w:pPr>
      <w:rPr>
        <w:rFonts w:hint="default" w:ascii="Wingdings" w:hAnsi="Wingdings"/>
      </w:rPr>
    </w:lvl>
    <w:lvl w:ilvl="2" w:tentative="0">
      <w:start w:val="1"/>
      <w:numFmt w:val="bullet"/>
      <w:lvlText w:val=""/>
      <w:lvlJc w:val="left"/>
      <w:pPr>
        <w:ind w:left="1260" w:hanging="420"/>
      </w:pPr>
      <w:rPr>
        <w:rFonts w:hint="default" w:ascii="Wingdings" w:hAnsi="Wingdings"/>
      </w:rPr>
    </w:lvl>
    <w:lvl w:ilvl="3" w:tentative="0">
      <w:start w:val="1"/>
      <w:numFmt w:val="bullet"/>
      <w:lvlText w:val=""/>
      <w:lvlJc w:val="left"/>
      <w:pPr>
        <w:ind w:left="1680" w:hanging="420"/>
      </w:pPr>
      <w:rPr>
        <w:rFonts w:hint="default" w:ascii="Wingdings" w:hAnsi="Wingdings"/>
      </w:rPr>
    </w:lvl>
    <w:lvl w:ilvl="4" w:tentative="0">
      <w:start w:val="1"/>
      <w:numFmt w:val="bullet"/>
      <w:lvlText w:val=""/>
      <w:lvlJc w:val="left"/>
      <w:pPr>
        <w:ind w:left="2100" w:hanging="420"/>
      </w:pPr>
      <w:rPr>
        <w:rFonts w:hint="default" w:ascii="Wingdings" w:hAnsi="Wingdings"/>
      </w:rPr>
    </w:lvl>
    <w:lvl w:ilvl="5" w:tentative="0">
      <w:start w:val="1"/>
      <w:numFmt w:val="bullet"/>
      <w:lvlText w:val=""/>
      <w:lvlJc w:val="left"/>
      <w:pPr>
        <w:ind w:left="2520" w:hanging="420"/>
      </w:pPr>
      <w:rPr>
        <w:rFonts w:hint="default" w:ascii="Wingdings" w:hAnsi="Wingdings"/>
      </w:rPr>
    </w:lvl>
    <w:lvl w:ilvl="6" w:tentative="0">
      <w:start w:val="1"/>
      <w:numFmt w:val="bullet"/>
      <w:lvlText w:val=""/>
      <w:lvlJc w:val="left"/>
      <w:pPr>
        <w:ind w:left="2940" w:hanging="420"/>
      </w:pPr>
      <w:rPr>
        <w:rFonts w:hint="default" w:ascii="Wingdings" w:hAnsi="Wingdings"/>
      </w:rPr>
    </w:lvl>
    <w:lvl w:ilvl="7" w:tentative="0">
      <w:start w:val="1"/>
      <w:numFmt w:val="bullet"/>
      <w:lvlText w:val=""/>
      <w:lvlJc w:val="left"/>
      <w:pPr>
        <w:ind w:left="3360" w:hanging="420"/>
      </w:pPr>
      <w:rPr>
        <w:rFonts w:hint="default" w:ascii="Wingdings" w:hAnsi="Wingdings"/>
      </w:rPr>
    </w:lvl>
    <w:lvl w:ilvl="8" w:tentative="0">
      <w:start w:val="1"/>
      <w:numFmt w:val="bullet"/>
      <w:lvlText w:val=""/>
      <w:lvlJc w:val="left"/>
      <w:pPr>
        <w:ind w:left="3780" w:hanging="420"/>
      </w:pPr>
      <w:rPr>
        <w:rFonts w:hint="default" w:ascii="Wingdings" w:hAnsi="Wingdings"/>
      </w:rPr>
    </w:lvl>
  </w:abstractNum>
  <w:abstractNum w:abstractNumId="6">
    <w:nsid w:val="71B86F15"/>
    <w:multiLevelType w:val="multilevel"/>
    <w:tmpl w:val="71B86F15"/>
    <w:lvl w:ilvl="0" w:tentative="0">
      <w:start w:val="1"/>
      <w:numFmt w:val="decimal"/>
      <w:lvlText w:val="%1)"/>
      <w:lvlJc w:val="left"/>
      <w:pPr>
        <w:ind w:left="420" w:hanging="420"/>
      </w:pPr>
      <w:rPr>
        <w:rFonts w:hint="default"/>
      </w:rPr>
    </w:lvl>
    <w:lvl w:ilvl="1" w:tentative="0">
      <w:start w:val="1"/>
      <w:numFmt w:val="bullet"/>
      <w:lvlText w:val=""/>
      <w:lvlJc w:val="left"/>
      <w:pPr>
        <w:ind w:left="840" w:hanging="420"/>
      </w:pPr>
      <w:rPr>
        <w:rFonts w:hint="default" w:ascii="Wingdings" w:hAnsi="Wingdings"/>
      </w:rPr>
    </w:lvl>
    <w:lvl w:ilvl="2" w:tentative="0">
      <w:start w:val="1"/>
      <w:numFmt w:val="bullet"/>
      <w:lvlText w:val=""/>
      <w:lvlJc w:val="left"/>
      <w:pPr>
        <w:ind w:left="1260" w:hanging="420"/>
      </w:pPr>
      <w:rPr>
        <w:rFonts w:hint="default" w:ascii="Wingdings" w:hAnsi="Wingdings"/>
      </w:rPr>
    </w:lvl>
    <w:lvl w:ilvl="3" w:tentative="0">
      <w:start w:val="1"/>
      <w:numFmt w:val="bullet"/>
      <w:lvlText w:val=""/>
      <w:lvlJc w:val="left"/>
      <w:pPr>
        <w:ind w:left="1680" w:hanging="420"/>
      </w:pPr>
      <w:rPr>
        <w:rFonts w:hint="default" w:ascii="Wingdings" w:hAnsi="Wingdings"/>
      </w:rPr>
    </w:lvl>
    <w:lvl w:ilvl="4" w:tentative="0">
      <w:start w:val="1"/>
      <w:numFmt w:val="bullet"/>
      <w:lvlText w:val=""/>
      <w:lvlJc w:val="left"/>
      <w:pPr>
        <w:ind w:left="2100" w:hanging="420"/>
      </w:pPr>
      <w:rPr>
        <w:rFonts w:hint="default" w:ascii="Wingdings" w:hAnsi="Wingdings"/>
      </w:rPr>
    </w:lvl>
    <w:lvl w:ilvl="5" w:tentative="0">
      <w:start w:val="1"/>
      <w:numFmt w:val="bullet"/>
      <w:lvlText w:val=""/>
      <w:lvlJc w:val="left"/>
      <w:pPr>
        <w:ind w:left="2520" w:hanging="420"/>
      </w:pPr>
      <w:rPr>
        <w:rFonts w:hint="default" w:ascii="Wingdings" w:hAnsi="Wingdings"/>
      </w:rPr>
    </w:lvl>
    <w:lvl w:ilvl="6" w:tentative="0">
      <w:start w:val="1"/>
      <w:numFmt w:val="bullet"/>
      <w:lvlText w:val=""/>
      <w:lvlJc w:val="left"/>
      <w:pPr>
        <w:ind w:left="2940" w:hanging="420"/>
      </w:pPr>
      <w:rPr>
        <w:rFonts w:hint="default" w:ascii="Wingdings" w:hAnsi="Wingdings"/>
      </w:rPr>
    </w:lvl>
    <w:lvl w:ilvl="7" w:tentative="0">
      <w:start w:val="1"/>
      <w:numFmt w:val="bullet"/>
      <w:lvlText w:val=""/>
      <w:lvlJc w:val="left"/>
      <w:pPr>
        <w:ind w:left="3360" w:hanging="420"/>
      </w:pPr>
      <w:rPr>
        <w:rFonts w:hint="default" w:ascii="Wingdings" w:hAnsi="Wingdings"/>
      </w:rPr>
    </w:lvl>
    <w:lvl w:ilvl="8" w:tentative="0">
      <w:start w:val="1"/>
      <w:numFmt w:val="bullet"/>
      <w:lvlText w:val=""/>
      <w:lvlJc w:val="left"/>
      <w:pPr>
        <w:ind w:left="3780" w:hanging="420"/>
      </w:pPr>
      <w:rPr>
        <w:rFonts w:hint="default" w:ascii="Wingdings" w:hAnsi="Wingdings"/>
      </w:rPr>
    </w:lvl>
  </w:abstractNum>
  <w:num w:numId="1">
    <w:abstractNumId w:val="0"/>
  </w:num>
  <w:num w:numId="2">
    <w:abstractNumId w:val="1"/>
  </w:num>
  <w:num w:numId="3">
    <w:abstractNumId w:val="6"/>
  </w:num>
  <w:num w:numId="4">
    <w:abstractNumId w:val="3"/>
  </w:num>
  <w:num w:numId="5">
    <w:abstractNumId w:val="4"/>
  </w:num>
  <w:num w:numId="6">
    <w:abstractNumId w:val="2"/>
  </w:num>
  <w:num w:numId="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3"/>
  <w:embedSystemFonts/>
  <w:bordersDoNotSurroundHeader w:val="1"/>
  <w:bordersDoNotSurroundFooter w:val="1"/>
  <w:documentProtection w:enforcement="0"/>
  <w:defaultTabStop w:val="420"/>
  <w:drawingGridVerticalSpacing w:val="156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ODdkNmU4ZTA0YjI0Zjg3NjA5OWQ4ZDUyMWVkYjZkNzIifQ=="/>
  </w:docVars>
  <w:rsids>
    <w:rsidRoot w:val="509C3417"/>
    <w:rsid w:val="000912E9"/>
    <w:rsid w:val="001B31A9"/>
    <w:rsid w:val="005E15D2"/>
    <w:rsid w:val="00687B51"/>
    <w:rsid w:val="006E3F95"/>
    <w:rsid w:val="00706D87"/>
    <w:rsid w:val="007F4EBD"/>
    <w:rsid w:val="00943FEC"/>
    <w:rsid w:val="00B419DF"/>
    <w:rsid w:val="00B71228"/>
    <w:rsid w:val="00B73413"/>
    <w:rsid w:val="00C106C7"/>
    <w:rsid w:val="00CB7498"/>
    <w:rsid w:val="00DF1D82"/>
    <w:rsid w:val="00EC18DF"/>
    <w:rsid w:val="01544C76"/>
    <w:rsid w:val="019B1834"/>
    <w:rsid w:val="02311CDD"/>
    <w:rsid w:val="02AE1145"/>
    <w:rsid w:val="036C34DA"/>
    <w:rsid w:val="03A4265D"/>
    <w:rsid w:val="04B35139"/>
    <w:rsid w:val="050A1AB6"/>
    <w:rsid w:val="069521F9"/>
    <w:rsid w:val="0730481F"/>
    <w:rsid w:val="078D3A1F"/>
    <w:rsid w:val="08601134"/>
    <w:rsid w:val="0AC97464"/>
    <w:rsid w:val="0BBA6DAD"/>
    <w:rsid w:val="0BF20AD4"/>
    <w:rsid w:val="0CEA556C"/>
    <w:rsid w:val="10CE4387"/>
    <w:rsid w:val="11A150AB"/>
    <w:rsid w:val="11EA0E33"/>
    <w:rsid w:val="123956DC"/>
    <w:rsid w:val="13C857F6"/>
    <w:rsid w:val="14B35F82"/>
    <w:rsid w:val="18491716"/>
    <w:rsid w:val="1A03020C"/>
    <w:rsid w:val="1AD47E27"/>
    <w:rsid w:val="1CCE3EDB"/>
    <w:rsid w:val="1EF65EF6"/>
    <w:rsid w:val="21FD7606"/>
    <w:rsid w:val="220420C6"/>
    <w:rsid w:val="258B383C"/>
    <w:rsid w:val="25B33FCA"/>
    <w:rsid w:val="25EE55BB"/>
    <w:rsid w:val="262730A1"/>
    <w:rsid w:val="27C63FD7"/>
    <w:rsid w:val="280A3BE6"/>
    <w:rsid w:val="2A050591"/>
    <w:rsid w:val="2BA43D81"/>
    <w:rsid w:val="2E2B5035"/>
    <w:rsid w:val="2E9322F5"/>
    <w:rsid w:val="30E12562"/>
    <w:rsid w:val="31EA74FC"/>
    <w:rsid w:val="324A4137"/>
    <w:rsid w:val="343706EB"/>
    <w:rsid w:val="35750372"/>
    <w:rsid w:val="35F745D6"/>
    <w:rsid w:val="360712B0"/>
    <w:rsid w:val="38B40117"/>
    <w:rsid w:val="3B52171B"/>
    <w:rsid w:val="3CAB670C"/>
    <w:rsid w:val="3FD057F7"/>
    <w:rsid w:val="402B55A8"/>
    <w:rsid w:val="426A1DB3"/>
    <w:rsid w:val="450F36EA"/>
    <w:rsid w:val="45F750AA"/>
    <w:rsid w:val="46384F0C"/>
    <w:rsid w:val="476C2E05"/>
    <w:rsid w:val="4CAC5CC3"/>
    <w:rsid w:val="4EAB089F"/>
    <w:rsid w:val="4EE243ED"/>
    <w:rsid w:val="50792C6A"/>
    <w:rsid w:val="509C3417"/>
    <w:rsid w:val="51E87E4E"/>
    <w:rsid w:val="52EE0219"/>
    <w:rsid w:val="5A4B1C58"/>
    <w:rsid w:val="5EC75FCE"/>
    <w:rsid w:val="5F660EF9"/>
    <w:rsid w:val="61FEF1DB"/>
    <w:rsid w:val="62F010AB"/>
    <w:rsid w:val="630B0E65"/>
    <w:rsid w:val="63C27722"/>
    <w:rsid w:val="640B3432"/>
    <w:rsid w:val="66FF620C"/>
    <w:rsid w:val="671609C5"/>
    <w:rsid w:val="68E83A44"/>
    <w:rsid w:val="6B590552"/>
    <w:rsid w:val="6C115677"/>
    <w:rsid w:val="6CA53D7D"/>
    <w:rsid w:val="6D185599"/>
    <w:rsid w:val="715156A2"/>
    <w:rsid w:val="76343069"/>
    <w:rsid w:val="76D94382"/>
    <w:rsid w:val="779605E4"/>
    <w:rsid w:val="77BB3365"/>
    <w:rsid w:val="7AAF67FA"/>
    <w:rsid w:val="7CB00608"/>
    <w:rsid w:val="7E6064F7"/>
    <w:rsid w:val="F7FFBC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9" w:semiHidden="0" w:name="heading 2"/>
    <w:lsdException w:qFormat="1" w:uiPriority="9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qFormat="1" w:uiPriority="99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nhideWhenUsed="0" w:uiPriority="0" w:semiHidden="0" w:name="Normal Indent"/>
    <w:lsdException w:unhideWhenUsed="0" w:uiPriority="0" w:semiHidden="0" w:name="footnote text"/>
    <w:lsdException w:qFormat="1" w:unhideWhenUsed="0" w:uiPriority="0" w:name="annotation text"/>
    <w:lsdException w:qFormat="1"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qFormat="1" w:unhideWhenUsed="0" w:uiPriority="99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qFormat="1"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qFormat="1" w:unhideWhenUsed="0" w:uiPriority="0" w:semiHidden="0" w:name="Balloon Text"/>
    <w:lsdException w:qFormat="1" w:unhideWhenUsed="0" w:uiPriority="0" w:semiHidden="0" w:name="Table Grid"/>
    <w:lsdException w:uiPriority="0" w:name="Table Theme"/>
    <w:lsdException w:qFormat="1" w:unhideWhenUsed="0" w:uiPriority="1" w:semiHidden="0" w:name="No Spacing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styleId="2">
    <w:name w:val="heading 1"/>
    <w:basedOn w:val="1"/>
    <w:next w:val="3"/>
    <w:qFormat/>
    <w:uiPriority w:val="0"/>
    <w:pPr>
      <w:keepNext/>
      <w:keepLines/>
      <w:pageBreakBefore/>
      <w:numPr>
        <w:ilvl w:val="0"/>
        <w:numId w:val="1"/>
      </w:numPr>
      <w:spacing w:before="340" w:afterLines="50" w:line="578" w:lineRule="auto"/>
      <w:outlineLvl w:val="0"/>
    </w:pPr>
    <w:rPr>
      <w:rFonts w:eastAsia="黑体" w:cs="Times New Roman"/>
      <w:b/>
      <w:bCs/>
      <w:spacing w:val="20"/>
      <w:kern w:val="44"/>
      <w:sz w:val="36"/>
      <w:szCs w:val="44"/>
    </w:rPr>
  </w:style>
  <w:style w:type="paragraph" w:styleId="4">
    <w:name w:val="heading 2"/>
    <w:basedOn w:val="1"/>
    <w:next w:val="5"/>
    <w:unhideWhenUsed/>
    <w:qFormat/>
    <w:uiPriority w:val="9"/>
    <w:pPr>
      <w:keepNext/>
      <w:keepLines/>
      <w:spacing w:before="160" w:after="80"/>
      <w:outlineLvl w:val="1"/>
    </w:pPr>
    <w:rPr>
      <w:rFonts w:asciiTheme="majorHAnsi" w:hAnsiTheme="majorHAnsi" w:eastAsiaTheme="majorEastAsia" w:cstheme="majorBidi"/>
      <w:color w:val="2E75B6" w:themeColor="accent1" w:themeShade="BF"/>
      <w:sz w:val="32"/>
      <w:szCs w:val="32"/>
    </w:rPr>
  </w:style>
  <w:style w:type="paragraph" w:styleId="6">
    <w:name w:val="heading 3"/>
    <w:basedOn w:val="1"/>
    <w:next w:val="5"/>
    <w:unhideWhenUsed/>
    <w:qFormat/>
    <w:uiPriority w:val="9"/>
    <w:pPr>
      <w:keepNext/>
      <w:keepLines/>
      <w:spacing w:before="160" w:after="80"/>
      <w:outlineLvl w:val="2"/>
    </w:pPr>
    <w:rPr>
      <w:rFonts w:eastAsiaTheme="majorEastAsia" w:cstheme="majorBidi"/>
      <w:color w:val="2E75B6" w:themeColor="accent1" w:themeShade="BF"/>
      <w:sz w:val="28"/>
      <w:szCs w:val="28"/>
    </w:rPr>
  </w:style>
  <w:style w:type="character" w:default="1" w:styleId="16">
    <w:name w:val="Default Paragraph Font"/>
    <w:semiHidden/>
    <w:unhideWhenUsed/>
    <w:qFormat/>
    <w:uiPriority w:val="1"/>
  </w:style>
  <w:style w:type="table" w:default="1" w:styleId="1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Normal Indent"/>
    <w:basedOn w:val="1"/>
    <w:qFormat/>
    <w:uiPriority w:val="0"/>
    <w:pPr>
      <w:spacing w:afterLines="50" w:line="360" w:lineRule="auto"/>
      <w:ind w:firstLine="420" w:firstLineChars="200"/>
    </w:pPr>
    <w:rPr>
      <w:rFonts w:ascii="Times New Roman" w:hAnsi="Times New Roman" w:eastAsia="宋体" w:cs="Times New Roman"/>
      <w:szCs w:val="24"/>
    </w:rPr>
  </w:style>
  <w:style w:type="paragraph" w:styleId="5">
    <w:name w:val="Body Text"/>
    <w:basedOn w:val="1"/>
    <w:qFormat/>
    <w:uiPriority w:val="99"/>
    <w:pPr>
      <w:spacing w:after="120"/>
    </w:pPr>
  </w:style>
  <w:style w:type="paragraph" w:styleId="7">
    <w:name w:val="annotation text"/>
    <w:basedOn w:val="1"/>
    <w:semiHidden/>
    <w:qFormat/>
    <w:uiPriority w:val="0"/>
    <w:pPr>
      <w:jc w:val="left"/>
    </w:pPr>
  </w:style>
  <w:style w:type="paragraph" w:styleId="8">
    <w:name w:val="Balloon Text"/>
    <w:basedOn w:val="1"/>
    <w:link w:val="19"/>
    <w:qFormat/>
    <w:uiPriority w:val="0"/>
    <w:rPr>
      <w:sz w:val="18"/>
      <w:szCs w:val="18"/>
    </w:rPr>
  </w:style>
  <w:style w:type="paragraph" w:styleId="9">
    <w:name w:val="footer"/>
    <w:basedOn w:val="1"/>
    <w:link w:val="18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10">
    <w:name w:val="header"/>
    <w:basedOn w:val="1"/>
    <w:link w:val="17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11">
    <w:name w:val="Normal (Web)"/>
    <w:basedOn w:val="1"/>
    <w:qFormat/>
    <w:uiPriority w:val="0"/>
    <w:pPr>
      <w:spacing w:beforeAutospacing="1" w:afterAutospacing="1"/>
      <w:jc w:val="left"/>
    </w:pPr>
    <w:rPr>
      <w:rFonts w:cs="Times New Roman"/>
      <w:kern w:val="0"/>
      <w:sz w:val="24"/>
    </w:rPr>
  </w:style>
  <w:style w:type="paragraph" w:styleId="12">
    <w:name w:val="index 1"/>
    <w:basedOn w:val="1"/>
    <w:next w:val="1"/>
    <w:unhideWhenUsed/>
    <w:qFormat/>
    <w:uiPriority w:val="99"/>
    <w:pPr>
      <w:spacing w:line="200" w:lineRule="atLeast"/>
      <w:jc w:val="center"/>
    </w:pPr>
    <w:rPr>
      <w:rFonts w:ascii="宋体" w:hAnsi="宋体"/>
    </w:rPr>
  </w:style>
  <w:style w:type="paragraph" w:styleId="13">
    <w:name w:val="Body Text First Indent"/>
    <w:basedOn w:val="5"/>
    <w:qFormat/>
    <w:uiPriority w:val="0"/>
    <w:pPr>
      <w:ind w:firstLine="420" w:firstLineChars="100"/>
    </w:pPr>
    <w:rPr>
      <w:szCs w:val="24"/>
    </w:rPr>
  </w:style>
  <w:style w:type="table" w:styleId="15">
    <w:name w:val="Table Grid"/>
    <w:basedOn w:val="14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customStyle="1" w:styleId="17">
    <w:name w:val="页眉 Char"/>
    <w:basedOn w:val="16"/>
    <w:link w:val="10"/>
    <w:qFormat/>
    <w:uiPriority w:val="0"/>
    <w:rPr>
      <w:kern w:val="2"/>
      <w:sz w:val="18"/>
      <w:szCs w:val="18"/>
    </w:rPr>
  </w:style>
  <w:style w:type="character" w:customStyle="1" w:styleId="18">
    <w:name w:val="页脚 Char"/>
    <w:basedOn w:val="16"/>
    <w:link w:val="9"/>
    <w:qFormat/>
    <w:uiPriority w:val="99"/>
    <w:rPr>
      <w:kern w:val="2"/>
      <w:sz w:val="18"/>
      <w:szCs w:val="18"/>
    </w:rPr>
  </w:style>
  <w:style w:type="character" w:customStyle="1" w:styleId="19">
    <w:name w:val="批注框文本 Char"/>
    <w:basedOn w:val="16"/>
    <w:link w:val="8"/>
    <w:qFormat/>
    <w:uiPriority w:val="0"/>
    <w:rPr>
      <w:kern w:val="2"/>
      <w:sz w:val="18"/>
      <w:szCs w:val="18"/>
    </w:rPr>
  </w:style>
  <w:style w:type="character" w:customStyle="1" w:styleId="20">
    <w:name w:val="font31"/>
    <w:qFormat/>
    <w:uiPriority w:val="0"/>
    <w:rPr>
      <w:rFonts w:hint="eastAsia" w:ascii="宋体" w:hAnsi="宋体" w:eastAsia="宋体" w:cs="宋体"/>
      <w:color w:val="000000"/>
      <w:sz w:val="20"/>
      <w:szCs w:val="20"/>
      <w:u w:val="none"/>
    </w:rPr>
  </w:style>
  <w:style w:type="character" w:customStyle="1" w:styleId="21">
    <w:name w:val="font01"/>
    <w:qFormat/>
    <w:uiPriority w:val="0"/>
    <w:rPr>
      <w:rFonts w:hint="default" w:ascii="Arial" w:hAnsi="Arial" w:cs="Arial"/>
      <w:color w:val="000000"/>
      <w:sz w:val="20"/>
      <w:szCs w:val="20"/>
      <w:u w:val="none"/>
    </w:rPr>
  </w:style>
  <w:style w:type="paragraph" w:customStyle="1" w:styleId="22">
    <w:name w:val="Table Text"/>
    <w:basedOn w:val="1"/>
    <w:semiHidden/>
    <w:qFormat/>
    <w:uiPriority w:val="0"/>
    <w:rPr>
      <w:rFonts w:ascii="宋体" w:hAnsi="宋体" w:eastAsia="宋体" w:cs="宋体"/>
      <w:sz w:val="20"/>
      <w:szCs w:val="20"/>
      <w:lang w:eastAsia="en-US"/>
    </w:rPr>
  </w:style>
  <w:style w:type="table" w:customStyle="1" w:styleId="23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24">
    <w:name w:val="List Paragraph"/>
    <w:basedOn w:val="1"/>
    <w:qFormat/>
    <w:uiPriority w:val="99"/>
    <w:pPr>
      <w:ind w:firstLine="420" w:firstLineChars="200"/>
    </w:pPr>
  </w:style>
  <w:style w:type="paragraph" w:customStyle="1" w:styleId="25">
    <w:name w:val="Table Paragraph"/>
    <w:basedOn w:val="1"/>
    <w:qFormat/>
    <w:uiPriority w:val="1"/>
    <w:pPr>
      <w:autoSpaceDE w:val="0"/>
      <w:autoSpaceDN w:val="0"/>
      <w:adjustRightInd w:val="0"/>
      <w:spacing w:line="360" w:lineRule="auto"/>
      <w:ind w:firstLine="200" w:firstLineChars="200"/>
    </w:pPr>
    <w:rPr>
      <w:rFonts w:ascii="宋体" w:hAnsi="Times New Roman" w:eastAsia="宋体" w:cs="宋体"/>
      <w:kern w:val="0"/>
      <w:sz w:val="24"/>
      <w:szCs w:val="24"/>
    </w:rPr>
  </w:style>
  <w:style w:type="paragraph" w:customStyle="1" w:styleId="26">
    <w:name w:val="First Paragraph"/>
    <w:basedOn w:val="5"/>
    <w:next w:val="5"/>
    <w:qFormat/>
    <w:uiPriority w:val="0"/>
  </w:style>
  <w:style w:type="paragraph" w:styleId="27">
    <w:name w:val="No Spacing"/>
    <w:qFormat/>
    <w:uiPriority w:val="1"/>
    <w:pPr>
      <w:widowControl w:val="0"/>
      <w:adjustRightInd w:val="0"/>
      <w:snapToGrid w:val="0"/>
      <w:spacing w:after="0" w:line="360" w:lineRule="auto"/>
    </w:pPr>
    <w:rPr>
      <w:rFonts w:ascii="Times New Roman" w:hAnsi="Times New Roman" w:eastAsia="宋体" w:cs="Times New Roman"/>
      <w:kern w:val="2"/>
      <w:sz w:val="21"/>
      <w:szCs w:val="21"/>
      <w:lang w:val="en-US" w:eastAsia="zh-CN" w:bidi="ar-SA"/>
      <w14:ligatures w14:val="standardContextual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</Pages>
  <Words>2337</Words>
  <Characters>2377</Characters>
  <Lines>12</Lines>
  <Paragraphs>3</Paragraphs>
  <TotalTime>0</TotalTime>
  <ScaleCrop>false</ScaleCrop>
  <LinksUpToDate>false</LinksUpToDate>
  <CharactersWithSpaces>2388</CharactersWithSpaces>
  <Application>WPS Office_12.1.0.22525_F1E327BC-269C-435d-A152-05C5408002CA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2025-05-29T07:26:00Z</dcterms:created>
  <dc:creator>ZFCG</dc:creator>
  <cp:lastModifiedBy>gc</cp:lastModifiedBy>
  <dcterms:modified xsi:type="dcterms:W3CDTF">2026-04-16T04:29:07Z</dcterms:modified>
  <cp:revision>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2052-12.1.0.22525</vt:lpwstr>
  </property>
  <property fmtid="{D5CDD505-2E9C-101B-9397-08002B2CF9AE}" pid="3" name="ICV">
    <vt:lpwstr>6AC327FFED434BA592769BFDA256A8DE</vt:lpwstr>
  </property>
  <property fmtid="{D5CDD505-2E9C-101B-9397-08002B2CF9AE}" pid="4" name="KSOTemplateDocerSaveRecord">
    <vt:lpwstr>eyJoZGlkIjoiNzg5M2RhNDE3ZjYzZmU1MTk2Yzc0ZjQ5NWVkMGNjNmUiLCJ1c2VySWQiOiI2MjU5ODg1NTIifQ==</vt:lpwstr>
  </property>
</Properties>
</file>