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73E586">
      <w:pPr>
        <w:adjustRightInd w:val="0"/>
        <w:snapToGrid w:val="0"/>
        <w:spacing w:line="360" w:lineRule="auto"/>
        <w:jc w:val="center"/>
        <w:rPr>
          <w:rFonts w:hint="eastAsia" w:asciiTheme="minorEastAsia" w:hAnsiTheme="minorEastAsia" w:eastAsiaTheme="minorEastAsia" w:cstheme="minorEastAsia"/>
          <w:color w:val="000000"/>
          <w:sz w:val="21"/>
          <w:szCs w:val="21"/>
        </w:rPr>
      </w:pPr>
      <w:bookmarkStart w:id="5" w:name="_GoBack"/>
      <w:r>
        <w:rPr>
          <w:rFonts w:hint="eastAsia" w:asciiTheme="minorEastAsia" w:hAnsiTheme="minorEastAsia" w:eastAsiaTheme="minorEastAsia" w:cstheme="minorEastAsia"/>
          <w:b/>
          <w:bCs/>
          <w:color w:val="000000"/>
          <w:sz w:val="32"/>
          <w:szCs w:val="32"/>
        </w:rPr>
        <w:t>2026年统一云服务管理平台维保续保项目</w:t>
      </w:r>
      <w:bookmarkEnd w:id="5"/>
    </w:p>
    <w:p w14:paraId="34679C3A">
      <w:pPr>
        <w:adjustRightInd w:val="0"/>
        <w:snapToGrid w:val="0"/>
        <w:spacing w:line="360" w:lineRule="auto"/>
        <w:rPr>
          <w:rFonts w:hint="eastAsia" w:asciiTheme="minorEastAsia" w:hAnsiTheme="minorEastAsia" w:eastAsiaTheme="minorEastAsia" w:cstheme="minorEastAsia"/>
          <w:color w:val="000000"/>
          <w:sz w:val="21"/>
          <w:szCs w:val="21"/>
        </w:rPr>
      </w:pPr>
    </w:p>
    <w:p w14:paraId="14F8E3C5">
      <w:pPr>
        <w:adjustRightInd w:val="0"/>
        <w:snapToGrid w:val="0"/>
        <w:spacing w:line="360" w:lineRule="auto"/>
        <w:rPr>
          <w:rFonts w:hint="eastAsia" w:ascii="宋体" w:hAnsi="宋体" w:eastAsia="宋体" w:cs="宋体"/>
          <w:color w:val="000000"/>
          <w:sz w:val="21"/>
          <w:szCs w:val="21"/>
        </w:rPr>
      </w:pPr>
      <w:r>
        <w:rPr>
          <w:rFonts w:hint="eastAsia" w:ascii="宋体" w:hAnsi="宋体" w:eastAsia="宋体" w:cs="宋体"/>
          <w:color w:val="000000"/>
          <w:sz w:val="21"/>
          <w:szCs w:val="21"/>
        </w:rPr>
        <w:t>本项目采购</w:t>
      </w:r>
      <w:r>
        <w:rPr>
          <w:rFonts w:hint="eastAsia" w:ascii="宋体" w:hAnsi="宋体" w:eastAsia="宋体" w:cs="宋体"/>
          <w:color w:val="000000"/>
          <w:sz w:val="21"/>
          <w:szCs w:val="21"/>
          <w:lang w:val="en-US" w:eastAsia="zh-CN"/>
        </w:rPr>
        <w:t>需求</w:t>
      </w:r>
      <w:r>
        <w:rPr>
          <w:rFonts w:hint="eastAsia" w:ascii="宋体" w:hAnsi="宋体" w:eastAsia="宋体" w:cs="宋体"/>
          <w:color w:val="000000"/>
          <w:sz w:val="21"/>
          <w:szCs w:val="21"/>
        </w:rPr>
        <w:t>：</w:t>
      </w:r>
    </w:p>
    <w:p w14:paraId="034BFC58">
      <w:pPr>
        <w:adjustRightInd w:val="0"/>
        <w:snapToGrid w:val="0"/>
        <w:spacing w:line="360" w:lineRule="auto"/>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为了云平台上业务的稳定高效运行，计划继续采购为期1年的统一云服务管理平台维保服务。</w:t>
      </w:r>
      <w:bookmarkStart w:id="0" w:name="_Toc11192"/>
      <w:bookmarkStart w:id="1" w:name="_Toc26668"/>
    </w:p>
    <w:p w14:paraId="0457A06A">
      <w:pPr>
        <w:adjustRightInd w:val="0"/>
        <w:snapToGrid w:val="0"/>
        <w:spacing w:line="360" w:lineRule="auto"/>
        <w:outlineLvl w:val="0"/>
        <w:rPr>
          <w:rFonts w:hint="eastAsia" w:ascii="宋体" w:hAnsi="宋体" w:eastAsia="宋体" w:cs="宋体"/>
          <w:b w:val="0"/>
          <w:bCs w:val="0"/>
          <w:sz w:val="21"/>
          <w:szCs w:val="21"/>
        </w:rPr>
      </w:pPr>
      <w:r>
        <w:rPr>
          <w:rFonts w:hint="eastAsia" w:ascii="宋体" w:hAnsi="宋体" w:cs="宋体"/>
          <w:b w:val="0"/>
          <w:bCs w:val="0"/>
          <w:sz w:val="21"/>
          <w:szCs w:val="21"/>
          <w:lang w:val="en-US" w:eastAsia="zh-CN"/>
        </w:rPr>
        <w:t>一</w:t>
      </w:r>
      <w:r>
        <w:rPr>
          <w:rFonts w:hint="eastAsia" w:ascii="宋体" w:hAnsi="宋体" w:eastAsia="宋体" w:cs="宋体"/>
          <w:b w:val="0"/>
          <w:bCs w:val="0"/>
          <w:sz w:val="21"/>
          <w:szCs w:val="21"/>
        </w:rPr>
        <w:t>、维保服务</w:t>
      </w:r>
      <w:bookmarkEnd w:id="0"/>
      <w:r>
        <w:rPr>
          <w:rFonts w:hint="eastAsia" w:ascii="宋体" w:hAnsi="宋体" w:eastAsia="宋体" w:cs="宋体"/>
          <w:b w:val="0"/>
          <w:bCs w:val="0"/>
          <w:sz w:val="21"/>
          <w:szCs w:val="21"/>
        </w:rPr>
        <w:t>内容</w:t>
      </w:r>
      <w:bookmarkEnd w:id="1"/>
    </w:p>
    <w:p w14:paraId="3AECFAB2">
      <w:pPr>
        <w:spacing w:line="360" w:lineRule="auto"/>
        <w:outlineLvl w:val="1"/>
        <w:rPr>
          <w:rFonts w:hint="eastAsia" w:ascii="宋体" w:hAnsi="宋体" w:eastAsia="宋体" w:cs="宋体"/>
          <w:b w:val="0"/>
          <w:bCs w:val="0"/>
          <w:sz w:val="21"/>
          <w:szCs w:val="21"/>
        </w:rPr>
      </w:pPr>
      <w:bookmarkStart w:id="2" w:name="_Toc382"/>
      <w:r>
        <w:rPr>
          <w:rFonts w:hint="eastAsia" w:ascii="宋体" w:hAnsi="宋体" w:cs="宋体"/>
          <w:b w:val="0"/>
          <w:bCs w:val="0"/>
          <w:sz w:val="21"/>
          <w:szCs w:val="21"/>
          <w:lang w:val="en-US" w:eastAsia="zh-CN"/>
        </w:rPr>
        <w:t>1.1、</w:t>
      </w:r>
      <w:r>
        <w:rPr>
          <w:rFonts w:hint="eastAsia" w:ascii="宋体" w:hAnsi="宋体" w:eastAsia="宋体" w:cs="宋体"/>
          <w:b w:val="0"/>
          <w:bCs w:val="0"/>
          <w:sz w:val="21"/>
          <w:szCs w:val="21"/>
        </w:rPr>
        <w:t>维护和技术支持服务内容</w:t>
      </w:r>
      <w:bookmarkEnd w:id="2"/>
    </w:p>
    <w:p w14:paraId="38FD6DE3">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1）维护和技术支持服务目标</w:t>
      </w:r>
    </w:p>
    <w:p w14:paraId="77021AE9">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确保统一云服务管理平台（包含统一云服务管理系统及 OpenStack云基础设施管理系统）业务系统相关服务、软件、功能可用且性能良好，确保业务系统和业务数据安全可靠。</w:t>
      </w:r>
    </w:p>
    <w:p w14:paraId="538FCAAB">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2）服务范围</w:t>
      </w:r>
    </w:p>
    <w:p w14:paraId="328E833A">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维护和技术支持服务</w:t>
      </w:r>
      <w:r>
        <w:rPr>
          <w:rFonts w:hint="eastAsia" w:ascii="宋体" w:hAnsi="宋体" w:cs="宋体"/>
          <w:sz w:val="21"/>
          <w:szCs w:val="21"/>
          <w:lang w:eastAsia="zh-CN"/>
        </w:rPr>
        <w:t>、</w:t>
      </w:r>
      <w:r>
        <w:rPr>
          <w:rFonts w:hint="eastAsia" w:ascii="宋体" w:hAnsi="宋体" w:eastAsia="宋体" w:cs="宋体"/>
          <w:sz w:val="21"/>
          <w:szCs w:val="21"/>
        </w:rPr>
        <w:t>故障处理服务、软件更新服务、巡检服务、网络健康检查服务、技术支持服务和应急保障服务等，协助开展设备系统优化、业务迁移及割接等工作。</w:t>
      </w:r>
    </w:p>
    <w:p w14:paraId="7D4ECC85">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3）巡检服务</w:t>
      </w:r>
    </w:p>
    <w:p w14:paraId="60CFF9BC">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提供巡检服务不少于4次/年，对于维保系统平台进行健康性检查，发现系统平台运行安全隐患，及时解决处理。</w:t>
      </w:r>
    </w:p>
    <w:p w14:paraId="26BA4702">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4）安全加固服务</w:t>
      </w:r>
    </w:p>
    <w:p w14:paraId="58CB8343">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维护系统平台涉及网络安全、系统安全的加固服务，对统一云服务管理平台系统软件进行预防性或修复性的调整或优化，并提供系统代码级的漏洞修复、逻辑优化及安全重构服务，以保证业务平台整体的网络安全。同时，针对系统存在的安全隐患执行升级更新操作，并依据安全检查结果提供专业技术支持，全力配合开展系统升级及补丁更新工作。</w:t>
      </w:r>
    </w:p>
    <w:p w14:paraId="0B9F1936">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5）重要节日保障支撑服务</w:t>
      </w:r>
    </w:p>
    <w:p w14:paraId="04AABA1D">
      <w:pPr>
        <w:spacing w:line="360" w:lineRule="auto"/>
        <w:ind w:left="485" w:leftChars="202" w:firstLine="371" w:firstLineChars="177"/>
        <w:outlineLvl w:val="9"/>
        <w:rPr>
          <w:rFonts w:hint="eastAsia" w:ascii="宋体" w:hAnsi="宋体" w:eastAsia="宋体" w:cs="宋体"/>
          <w:sz w:val="21"/>
          <w:szCs w:val="21"/>
        </w:rPr>
      </w:pPr>
      <w:r>
        <w:rPr>
          <w:rFonts w:hint="eastAsia" w:ascii="宋体" w:hAnsi="宋体" w:eastAsia="宋体" w:cs="宋体"/>
          <w:sz w:val="21"/>
          <w:szCs w:val="21"/>
        </w:rPr>
        <w:t>提供特殊时段（如：两会期间、春节、劳动节、国庆节、系统停机维护及用户认为必须的重要时段）的现场技术保障，每年不低于10天的驻场服务。</w:t>
      </w:r>
    </w:p>
    <w:p w14:paraId="3094EF9A">
      <w:pPr>
        <w:spacing w:line="360" w:lineRule="auto"/>
        <w:outlineLvl w:val="1"/>
        <w:rPr>
          <w:rFonts w:hint="eastAsia" w:ascii="宋体" w:hAnsi="宋体" w:eastAsia="宋体" w:cs="宋体"/>
          <w:b w:val="0"/>
          <w:bCs w:val="0"/>
          <w:sz w:val="21"/>
          <w:szCs w:val="21"/>
        </w:rPr>
      </w:pPr>
      <w:bookmarkStart w:id="3" w:name="_Toc11700"/>
      <w:r>
        <w:rPr>
          <w:rFonts w:hint="eastAsia" w:ascii="宋体" w:hAnsi="宋体" w:cs="宋体"/>
          <w:b w:val="0"/>
          <w:bCs w:val="0"/>
          <w:sz w:val="21"/>
          <w:szCs w:val="21"/>
          <w:lang w:val="en-US" w:eastAsia="zh-CN"/>
        </w:rPr>
        <w:t>2.1、</w:t>
      </w:r>
      <w:r>
        <w:rPr>
          <w:rFonts w:hint="eastAsia" w:ascii="宋体" w:hAnsi="宋体" w:eastAsia="宋体" w:cs="宋体"/>
          <w:b w:val="0"/>
          <w:bCs w:val="0"/>
          <w:sz w:val="21"/>
          <w:szCs w:val="21"/>
        </w:rPr>
        <w:t>服务等级要求</w:t>
      </w:r>
      <w:bookmarkEnd w:id="3"/>
    </w:p>
    <w:p w14:paraId="39D59771">
      <w:pPr>
        <w:numPr>
          <w:ilvl w:val="-1"/>
          <w:numId w:val="0"/>
        </w:numPr>
        <w:spacing w:line="360" w:lineRule="auto"/>
        <w:ind w:firstLine="630" w:firstLineChars="300"/>
        <w:rPr>
          <w:rFonts w:hint="eastAsia" w:ascii="宋体" w:hAnsi="宋体" w:eastAsia="宋体" w:cs="宋体"/>
          <w:color w:val="080808"/>
          <w:sz w:val="21"/>
          <w:szCs w:val="21"/>
          <w:lang w:val="zh-CN"/>
        </w:rPr>
      </w:pPr>
      <w:bookmarkStart w:id="4" w:name="_Toc26113"/>
      <w:r>
        <w:rPr>
          <w:rFonts w:hint="eastAsia" w:ascii="宋体" w:hAnsi="宋体" w:eastAsia="宋体" w:cs="宋体"/>
          <w:color w:val="080808"/>
          <w:sz w:val="21"/>
          <w:szCs w:val="21"/>
          <w:lang w:val="en-US" w:eastAsia="zh-CN"/>
        </w:rPr>
        <w:t>1）</w:t>
      </w:r>
      <w:r>
        <w:rPr>
          <w:rFonts w:hint="eastAsia" w:ascii="宋体" w:hAnsi="宋体" w:eastAsia="宋体" w:cs="宋体"/>
          <w:color w:val="080808"/>
          <w:sz w:val="21"/>
          <w:szCs w:val="21"/>
          <w:lang w:val="zh-CN"/>
        </w:rPr>
        <w:t>故障级别定义</w:t>
      </w:r>
    </w:p>
    <w:p w14:paraId="7AD1B589">
      <w:pPr>
        <w:spacing w:line="360" w:lineRule="auto"/>
        <w:ind w:firstLine="630" w:firstLineChars="300"/>
        <w:rPr>
          <w:rFonts w:hint="eastAsia" w:ascii="宋体" w:hAnsi="宋体" w:eastAsia="宋体" w:cs="宋体"/>
          <w:color w:val="080808"/>
          <w:sz w:val="21"/>
          <w:szCs w:val="21"/>
        </w:rPr>
      </w:pPr>
      <w:r>
        <w:rPr>
          <w:rFonts w:hint="eastAsia" w:ascii="宋体" w:hAnsi="宋体" w:eastAsia="宋体" w:cs="宋体"/>
          <w:color w:val="080808"/>
          <w:sz w:val="21"/>
          <w:szCs w:val="21"/>
        </w:rPr>
        <w:t>故障级别由出现问题对采购人最终用户的影响的大小来决定。所有申请的级别都将由采购人和中标人及原厂工程师支持机构共同决定，并以最终用户业务为重。</w:t>
      </w:r>
    </w:p>
    <w:p w14:paraId="73B0691A">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a）</w:t>
      </w:r>
      <w:r>
        <w:rPr>
          <w:rFonts w:hint="eastAsia" w:ascii="宋体" w:hAnsi="宋体" w:eastAsia="宋体" w:cs="宋体"/>
          <w:color w:val="080808"/>
          <w:sz w:val="21"/>
          <w:szCs w:val="21"/>
          <w:lang w:val="zh-CN"/>
        </w:rPr>
        <w:t xml:space="preserve">一级故障 </w:t>
      </w:r>
    </w:p>
    <w:p w14:paraId="305F061B">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-在商业、经济、技术、安全等方面给最终用户造成重大损失的故障。</w:t>
      </w:r>
    </w:p>
    <w:p w14:paraId="75581F5E">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-严重影响整个或局部系统运行，系统功能，或系统可靠性的故障。</w:t>
      </w:r>
    </w:p>
    <w:p w14:paraId="472B2419">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-严重影响最终用户服务质量的故障。</w:t>
      </w:r>
    </w:p>
    <w:p w14:paraId="3680E93A">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例如</w:t>
      </w:r>
    </w:p>
    <w:p w14:paraId="1004B692">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-设备系统瘫痪，致使无法向用户提供业务服务。</w:t>
      </w:r>
    </w:p>
    <w:p w14:paraId="34999544">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-分节点故障，致使部分用户无法使用业务服务，不能提供正常网络服务。</w:t>
      </w:r>
    </w:p>
    <w:p w14:paraId="53D0E4FB">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-受到大面积的安全攻击，致使大量重要业务无法使用。</w:t>
      </w:r>
    </w:p>
    <w:p w14:paraId="0A4A15A6">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b）</w:t>
      </w:r>
      <w:r>
        <w:rPr>
          <w:rFonts w:hint="eastAsia" w:ascii="宋体" w:hAnsi="宋体" w:eastAsia="宋体" w:cs="宋体"/>
          <w:color w:val="080808"/>
          <w:sz w:val="21"/>
          <w:szCs w:val="21"/>
          <w:lang w:val="zh-CN"/>
        </w:rPr>
        <w:t xml:space="preserve">二级故障 </w:t>
      </w:r>
    </w:p>
    <w:p w14:paraId="658708E0">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-在商业、经济、技术、安全等方面给最终用户造成较严重损失的故障。</w:t>
      </w:r>
    </w:p>
    <w:p w14:paraId="5E2ADEA2">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-影响局部系统运行，系统功能，或系统可靠性的故障。</w:t>
      </w:r>
    </w:p>
    <w:p w14:paraId="4C3FF2DE">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-影响最终用户服务质量的故障。</w:t>
      </w:r>
    </w:p>
    <w:p w14:paraId="10BC6DD9">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例如：</w:t>
      </w:r>
    </w:p>
    <w:p w14:paraId="39C9B175">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-单台设备故障，致使失去冗余备份，系统整体的的可靠性降低。</w:t>
      </w:r>
    </w:p>
    <w:p w14:paraId="577DED34">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-设备性能超负荷，致使最终用户感受到业务性能下降。</w:t>
      </w:r>
    </w:p>
    <w:p w14:paraId="33FC5C17">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c）</w:t>
      </w:r>
      <w:r>
        <w:rPr>
          <w:rFonts w:hint="eastAsia" w:ascii="宋体" w:hAnsi="宋体" w:eastAsia="宋体" w:cs="宋体"/>
          <w:color w:val="080808"/>
          <w:sz w:val="21"/>
          <w:szCs w:val="21"/>
          <w:lang w:val="zh-CN"/>
        </w:rPr>
        <w:t>三级故障</w:t>
      </w:r>
    </w:p>
    <w:p w14:paraId="0DC7E7CB">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-对最终用户造成较轻微影响的故障。</w:t>
      </w:r>
    </w:p>
    <w:p w14:paraId="6AA29ABD">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-对产品功能造成轻微影响的故障。</w:t>
      </w:r>
    </w:p>
    <w:p w14:paraId="10ABB94A">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-在商业、经济方面给最终用户造成轻微损失的故障。</w:t>
      </w:r>
    </w:p>
    <w:p w14:paraId="15650862">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-除紧急故障和严重故障外的其他问题。</w:t>
      </w:r>
    </w:p>
    <w:p w14:paraId="14DAAA45">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例如</w:t>
      </w:r>
    </w:p>
    <w:p w14:paraId="72B561BC">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-一般节点故障，导致为部分用户提供的服务质量较差。</w:t>
      </w:r>
    </w:p>
    <w:p w14:paraId="41BCAACB">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-有备份的设备的冗余部件出现可恢复的短时故障。</w:t>
      </w:r>
    </w:p>
    <w:p w14:paraId="3E70E332">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-显示错误。</w:t>
      </w:r>
    </w:p>
    <w:p w14:paraId="778FBB6E">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-文件出错。</w:t>
      </w:r>
    </w:p>
    <w:p w14:paraId="6288FBCC">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2）</w:t>
      </w:r>
      <w:r>
        <w:rPr>
          <w:rFonts w:hint="eastAsia" w:ascii="宋体" w:hAnsi="宋体" w:eastAsia="宋体" w:cs="宋体"/>
          <w:color w:val="080808"/>
          <w:sz w:val="21"/>
          <w:szCs w:val="21"/>
          <w:lang w:val="zh-CN"/>
        </w:rPr>
        <w:t>故障处理服务规范</w:t>
      </w:r>
    </w:p>
    <w:p w14:paraId="1DE6604E">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采购人维护人员发现故障后，向中标人及原厂工程师申告故障，中标人及原厂工程师在收到采购人申告后为采购人进行故障处理服务，并根据采购人申告的故障级别提供相应的服务。</w:t>
      </w:r>
    </w:p>
    <w:p w14:paraId="2B87A2B1">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a）</w:t>
      </w:r>
      <w:r>
        <w:rPr>
          <w:rFonts w:hint="eastAsia" w:ascii="宋体" w:hAnsi="宋体" w:eastAsia="宋体" w:cs="宋体"/>
          <w:color w:val="080808"/>
          <w:sz w:val="21"/>
          <w:szCs w:val="21"/>
          <w:lang w:val="zh-CN"/>
        </w:rPr>
        <w:t>一级故障</w:t>
      </w:r>
    </w:p>
    <w:p w14:paraId="78202C7C">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中标人及原厂工程师在收到采购人故障申告后，应立即联系相关工程师，中标人及原厂工程师工程师在5分钟内给予采购人电话响应，15分钟内远程登录网络。</w:t>
      </w:r>
    </w:p>
    <w:p w14:paraId="0F53C7F1">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如果需要到现场，中标人及原厂工程师需在保证远程处理的同时增派驻点工程师到达现场，广州2小时内到达现场。</w:t>
      </w:r>
    </w:p>
    <w:p w14:paraId="33F60443">
      <w:pPr>
        <w:spacing w:line="360" w:lineRule="auto"/>
        <w:ind w:left="487" w:leftChars="203" w:firstLine="315" w:firstLineChars="150"/>
        <w:rPr>
          <w:rFonts w:hint="eastAsia" w:ascii="宋体" w:hAnsi="宋体" w:eastAsia="宋体" w:cs="宋体"/>
          <w:color w:val="080808"/>
          <w:sz w:val="21"/>
          <w:szCs w:val="21"/>
        </w:rPr>
      </w:pPr>
      <w:r>
        <w:rPr>
          <w:rFonts w:hint="eastAsia" w:ascii="宋体" w:hAnsi="宋体" w:eastAsia="宋体" w:cs="宋体"/>
          <w:color w:val="080808"/>
          <w:sz w:val="21"/>
          <w:szCs w:val="21"/>
        </w:rPr>
        <w:t xml:space="preserve"> 中标人及原厂工程师工程师需制定可行的临时应急方案，并在采购人许可后实施，在30分钟内恢复业务基本运行，使网络恢复到不影响采购人重要业务的运行或最终用户仅感受业务质量有轻微下降。</w:t>
      </w:r>
    </w:p>
    <w:p w14:paraId="2F55AB61">
      <w:pPr>
        <w:spacing w:line="360" w:lineRule="auto"/>
        <w:ind w:firstLine="735" w:firstLineChars="35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中标人及原厂工程师工程师在</w:t>
      </w:r>
      <w:r>
        <w:rPr>
          <w:rFonts w:hint="eastAsia" w:ascii="宋体" w:hAnsi="宋体" w:eastAsia="宋体" w:cs="宋体"/>
          <w:color w:val="080808"/>
          <w:sz w:val="21"/>
          <w:szCs w:val="21"/>
          <w:lang w:val="en-US" w:eastAsia="zh-CN"/>
        </w:rPr>
        <w:t>12</w:t>
      </w:r>
      <w:r>
        <w:rPr>
          <w:rFonts w:hint="eastAsia" w:ascii="宋体" w:hAnsi="宋体" w:eastAsia="宋体" w:cs="宋体"/>
          <w:color w:val="080808"/>
          <w:sz w:val="21"/>
          <w:szCs w:val="21"/>
        </w:rPr>
        <w:t>小时内解决全部故障，其中包括硬件提供和更换的时间。</w:t>
      </w:r>
    </w:p>
    <w:p w14:paraId="40629F8E">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中标人及原厂工程师工程师在故障最终解决后1个工作日内提供故障报告。</w:t>
      </w:r>
    </w:p>
    <w:p w14:paraId="77CC2857">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b）</w:t>
      </w:r>
      <w:r>
        <w:rPr>
          <w:rFonts w:hint="eastAsia" w:ascii="宋体" w:hAnsi="宋体" w:eastAsia="宋体" w:cs="宋体"/>
          <w:color w:val="080808"/>
          <w:sz w:val="21"/>
          <w:szCs w:val="21"/>
          <w:lang w:val="zh-CN"/>
        </w:rPr>
        <w:t>二级故障</w:t>
      </w:r>
    </w:p>
    <w:p w14:paraId="609B73DA">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中标人及原厂工程师在收到采购人故障申告后，应立即联系相关工程师，中标人及原厂工程师工程师在10分钟内给予采购人电话响应，20分钟内远程登录网络。</w:t>
      </w:r>
    </w:p>
    <w:p w14:paraId="10EA119C">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如果需要到现场，中标人及原厂工程师需在保证远程处理的同时增派驻点工程师到达现场，广州节点2小时内到达现场。</w:t>
      </w:r>
    </w:p>
    <w:p w14:paraId="4C71B225">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中标人及原厂工程师工程师需制定可行的临时应急方案，并在采购人许可后实施，在30分钟内恢复业务基本运行，使设备或系统恢复到不影响采购人重要业务的运行或最终用户仅感受业务质量有轻微下降。</w:t>
      </w:r>
    </w:p>
    <w:p w14:paraId="4DDB30B0">
      <w:pPr>
        <w:spacing w:line="360" w:lineRule="auto"/>
        <w:ind w:firstLine="735" w:firstLineChars="35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中标人及原厂工程师工程师在</w:t>
      </w:r>
      <w:r>
        <w:rPr>
          <w:rFonts w:hint="eastAsia" w:ascii="宋体" w:hAnsi="宋体" w:eastAsia="宋体" w:cs="宋体"/>
          <w:color w:val="080808"/>
          <w:sz w:val="21"/>
          <w:szCs w:val="21"/>
          <w:lang w:val="en-US" w:eastAsia="zh-CN"/>
        </w:rPr>
        <w:t>24</w:t>
      </w:r>
      <w:r>
        <w:rPr>
          <w:rFonts w:hint="eastAsia" w:ascii="宋体" w:hAnsi="宋体" w:eastAsia="宋体" w:cs="宋体"/>
          <w:color w:val="080808"/>
          <w:sz w:val="21"/>
          <w:szCs w:val="21"/>
        </w:rPr>
        <w:t>小时内解决全部故障，其中包括硬件更换的时间。</w:t>
      </w:r>
    </w:p>
    <w:p w14:paraId="4AB813D1">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中标人及原厂工程师工程师在故障最终解决后1个工作日内提供故障报告。</w:t>
      </w:r>
    </w:p>
    <w:p w14:paraId="2EA8DB6D">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c）</w:t>
      </w:r>
      <w:r>
        <w:rPr>
          <w:rFonts w:hint="eastAsia" w:ascii="宋体" w:hAnsi="宋体" w:eastAsia="宋体" w:cs="宋体"/>
          <w:color w:val="080808"/>
          <w:sz w:val="21"/>
          <w:szCs w:val="21"/>
          <w:lang w:val="zh-CN"/>
        </w:rPr>
        <w:t>三级故障</w:t>
      </w:r>
    </w:p>
    <w:p w14:paraId="0FD5748C">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中标人及原厂工程师在收到采购人故障申告后，应立即联系相关工程师，中标人及原厂工程师工程师在30分钟内给予采购人电话响应，2小时内远程登录网络。</w:t>
      </w:r>
    </w:p>
    <w:p w14:paraId="41A0237B">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如果需要到现场，中标人及原厂工程师派工程师在1个工作日内到达现场。</w:t>
      </w:r>
    </w:p>
    <w:p w14:paraId="10B9B858">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中标人及原厂工程师工程师需制定可行的临时应急方案，并在采购人许可后实施，在1个工作日内恢复业务基本运行，使网络恢复到不影响采购人重要业务的运行或最终用户仅感受业务质量有轻微下降。</w:t>
      </w:r>
    </w:p>
    <w:p w14:paraId="45D4639B">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中标人及原厂工程师工程师在</w:t>
      </w:r>
      <w:r>
        <w:rPr>
          <w:rFonts w:hint="eastAsia" w:ascii="宋体" w:hAnsi="宋体" w:eastAsia="宋体" w:cs="宋体"/>
          <w:color w:val="080808"/>
          <w:sz w:val="21"/>
          <w:szCs w:val="21"/>
          <w:lang w:val="en-US" w:eastAsia="zh-CN"/>
        </w:rPr>
        <w:t>3</w:t>
      </w:r>
      <w:r>
        <w:rPr>
          <w:rFonts w:hint="eastAsia" w:ascii="宋体" w:hAnsi="宋体" w:eastAsia="宋体" w:cs="宋体"/>
          <w:color w:val="080808"/>
          <w:sz w:val="21"/>
          <w:szCs w:val="21"/>
        </w:rPr>
        <w:t>个工作日内解决全部故障，其中包括硬件提供和更换的时间。</w:t>
      </w:r>
    </w:p>
    <w:p w14:paraId="58AAFDB7">
      <w:pPr>
        <w:spacing w:line="360" w:lineRule="auto"/>
        <w:ind w:left="487" w:leftChars="203" w:firstLine="420" w:firstLineChars="200"/>
        <w:rPr>
          <w:rFonts w:hint="eastAsia" w:ascii="宋体" w:hAnsi="宋体" w:eastAsia="宋体" w:cs="宋体"/>
          <w:color w:val="080808"/>
          <w:sz w:val="21"/>
          <w:szCs w:val="21"/>
        </w:rPr>
      </w:pPr>
      <w:r>
        <w:rPr>
          <w:rFonts w:hint="eastAsia" w:ascii="宋体" w:hAnsi="宋体" w:eastAsia="宋体" w:cs="宋体"/>
          <w:color w:val="080808"/>
          <w:sz w:val="21"/>
          <w:szCs w:val="21"/>
        </w:rPr>
        <w:t>中标人及原厂工程师工程师在故障最终解决后2个工作日内提供故障报告。</w:t>
      </w:r>
    </w:p>
    <w:p w14:paraId="358093EC">
      <w:pPr>
        <w:spacing w:line="360" w:lineRule="auto"/>
        <w:ind w:firstLine="630" w:firstLineChars="300"/>
        <w:rPr>
          <w:rFonts w:hint="eastAsia" w:ascii="宋体" w:hAnsi="宋体" w:eastAsia="宋体" w:cs="宋体"/>
          <w:color w:val="080808"/>
          <w:sz w:val="21"/>
          <w:szCs w:val="21"/>
        </w:rPr>
      </w:pPr>
      <w:r>
        <w:rPr>
          <w:rFonts w:hint="eastAsia" w:ascii="宋体" w:hAnsi="宋体" w:eastAsia="宋体" w:cs="宋体"/>
          <w:color w:val="080808"/>
          <w:sz w:val="21"/>
          <w:szCs w:val="21"/>
        </w:rPr>
        <w:t>注：1、以上各种时间均以采购人向中标人及原厂工程师故障申告时间为起点。</w:t>
      </w:r>
    </w:p>
    <w:p w14:paraId="166DADBA">
      <w:pPr>
        <w:spacing w:line="360" w:lineRule="auto"/>
        <w:ind w:firstLine="630" w:firstLineChars="300"/>
        <w:rPr>
          <w:rFonts w:hint="eastAsia" w:ascii="宋体" w:hAnsi="宋体" w:eastAsia="宋体" w:cs="宋体"/>
          <w:color w:val="080808"/>
          <w:sz w:val="21"/>
          <w:szCs w:val="21"/>
        </w:rPr>
      </w:pPr>
      <w:r>
        <w:rPr>
          <w:rFonts w:hint="eastAsia" w:ascii="宋体" w:hAnsi="宋体" w:eastAsia="宋体" w:cs="宋体"/>
          <w:color w:val="080808"/>
          <w:sz w:val="21"/>
          <w:szCs w:val="21"/>
        </w:rPr>
        <w:t>2、若存在软件缺陷，在保证系统基本恢复运行并且不影响用户业务的情况下，软件缺陷在三个月内解决。</w:t>
      </w:r>
    </w:p>
    <w:p w14:paraId="2C1776F1">
      <w:pPr>
        <w:spacing w:line="360" w:lineRule="auto"/>
        <w:ind w:firstLine="630" w:firstLineChars="300"/>
        <w:rPr>
          <w:rFonts w:hint="eastAsia" w:ascii="宋体" w:hAnsi="宋体" w:eastAsia="宋体" w:cs="宋体"/>
          <w:color w:val="080808"/>
          <w:sz w:val="21"/>
          <w:szCs w:val="21"/>
        </w:rPr>
      </w:pPr>
      <w:r>
        <w:rPr>
          <w:rFonts w:hint="eastAsia" w:ascii="宋体" w:hAnsi="宋体" w:eastAsia="宋体" w:cs="宋体"/>
          <w:color w:val="080808"/>
          <w:sz w:val="21"/>
          <w:szCs w:val="21"/>
        </w:rPr>
        <w:t>3、如因采购人传输故障导致业务无法恢复，则业务恢复时间可以从传输恢复之日起计算。</w:t>
      </w:r>
    </w:p>
    <w:p w14:paraId="7614449D">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3）</w:t>
      </w:r>
      <w:r>
        <w:rPr>
          <w:rFonts w:hint="eastAsia" w:ascii="宋体" w:hAnsi="宋体" w:eastAsia="宋体" w:cs="宋体"/>
          <w:color w:val="080808"/>
          <w:sz w:val="21"/>
          <w:szCs w:val="21"/>
          <w:lang w:val="zh-CN"/>
        </w:rPr>
        <w:t>故障处理双方分工界定</w:t>
      </w:r>
    </w:p>
    <w:p w14:paraId="21272A67">
      <w:pPr>
        <w:numPr>
          <w:ilvl w:val="-1"/>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A.</w:t>
      </w:r>
      <w:r>
        <w:rPr>
          <w:rFonts w:hint="eastAsia" w:ascii="宋体" w:hAnsi="宋体" w:eastAsia="宋体" w:cs="宋体"/>
          <w:color w:val="080808"/>
          <w:sz w:val="21"/>
          <w:szCs w:val="21"/>
          <w:lang w:val="zh-CN"/>
        </w:rPr>
        <w:t>采购人职责</w:t>
      </w:r>
    </w:p>
    <w:p w14:paraId="74F6D8A2">
      <w:p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zh-CN"/>
        </w:rPr>
        <w:t xml:space="preserve">a.在出现故障后，将故障现象报给中标人及原厂工程师。 </w:t>
      </w:r>
    </w:p>
    <w:p w14:paraId="402D60C8">
      <w:p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zh-CN"/>
        </w:rPr>
        <w:t>b.由维护工程师现场组织中标人及原厂工程师工程师做故障解决操作。</w:t>
      </w:r>
    </w:p>
    <w:p w14:paraId="5AEFFF50">
      <w:p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zh-CN"/>
        </w:rPr>
        <w:t>c.采购人要保证申报的续保设备序号的正确性。</w:t>
      </w:r>
    </w:p>
    <w:p w14:paraId="0412A0B7">
      <w:pPr>
        <w:numPr>
          <w:ilvl w:val="0"/>
          <w:numId w:val="0"/>
        </w:num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en-US" w:eastAsia="zh-CN"/>
        </w:rPr>
        <w:t>B.</w:t>
      </w:r>
      <w:r>
        <w:rPr>
          <w:rFonts w:hint="eastAsia" w:ascii="宋体" w:hAnsi="宋体" w:eastAsia="宋体" w:cs="宋体"/>
          <w:color w:val="080808"/>
          <w:sz w:val="21"/>
          <w:szCs w:val="21"/>
          <w:lang w:val="zh-CN"/>
        </w:rPr>
        <w:t>中标人及原厂工程师职责</w:t>
      </w:r>
    </w:p>
    <w:p w14:paraId="55DECBF6">
      <w:p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zh-CN"/>
        </w:rPr>
        <w:t>a.作为采购人故障第一响应者，尽力判断故障，给出解决方案，协助采购人解决故障。当故障发生时，无法明确断定是投标设备或第三方设备原因，中标人及原厂工程师负责跟进查找故障原因，直至查明故障原因。</w:t>
      </w:r>
    </w:p>
    <w:p w14:paraId="268DB5B7">
      <w:pPr>
        <w:spacing w:line="360" w:lineRule="auto"/>
        <w:ind w:firstLine="630" w:firstLineChars="300"/>
        <w:rPr>
          <w:rFonts w:hint="eastAsia" w:ascii="宋体" w:hAnsi="宋体" w:eastAsia="宋体" w:cs="宋体"/>
          <w:color w:val="080808"/>
          <w:sz w:val="21"/>
          <w:szCs w:val="21"/>
          <w:lang w:val="zh-CN"/>
        </w:rPr>
      </w:pPr>
      <w:r>
        <w:rPr>
          <w:rFonts w:hint="eastAsia" w:ascii="宋体" w:hAnsi="宋体" w:eastAsia="宋体" w:cs="宋体"/>
          <w:color w:val="080808"/>
          <w:sz w:val="21"/>
          <w:szCs w:val="21"/>
          <w:lang w:val="zh-CN"/>
        </w:rPr>
        <w:t>b.协助采购人维护人员解决故障。出现故障时，采购人确定需要现场支持时，提供现场支持服务。</w:t>
      </w:r>
    </w:p>
    <w:p w14:paraId="21C85A49">
      <w:pPr>
        <w:spacing w:line="360" w:lineRule="auto"/>
        <w:ind w:firstLine="630" w:firstLineChars="300"/>
        <w:rPr>
          <w:rFonts w:hint="eastAsia" w:ascii="宋体" w:hAnsi="宋体" w:eastAsia="宋体" w:cs="宋体"/>
          <w:lang w:val="en-US" w:eastAsia="zh-CN"/>
        </w:rPr>
      </w:pPr>
      <w:r>
        <w:rPr>
          <w:rFonts w:hint="eastAsia" w:ascii="宋体" w:hAnsi="宋体" w:eastAsia="宋体" w:cs="宋体"/>
          <w:color w:val="080808"/>
          <w:sz w:val="21"/>
          <w:szCs w:val="21"/>
          <w:lang w:val="zh-CN"/>
        </w:rPr>
        <w:t>c.每月统计采购人报到中标人及原厂工程师技术支持的故障，并存档妥善保管。</w:t>
      </w:r>
    </w:p>
    <w:p w14:paraId="7140BF58">
      <w:pPr>
        <w:bidi w:val="0"/>
        <w:outlineLvl w:val="0"/>
        <w:rPr>
          <w:rFonts w:hint="eastAsia"/>
          <w:sz w:val="21"/>
          <w:szCs w:val="21"/>
        </w:rPr>
      </w:pPr>
      <w:r>
        <w:rPr>
          <w:rFonts w:hint="eastAsia"/>
          <w:sz w:val="21"/>
          <w:szCs w:val="21"/>
          <w:lang w:val="en-US" w:eastAsia="zh-CN"/>
        </w:rPr>
        <w:t>二</w:t>
      </w:r>
      <w:r>
        <w:rPr>
          <w:rFonts w:hint="eastAsia"/>
          <w:sz w:val="21"/>
          <w:szCs w:val="21"/>
        </w:rPr>
        <w:t>、维保覆盖说明</w:t>
      </w:r>
      <w:bookmarkEnd w:id="4"/>
    </w:p>
    <w:p w14:paraId="785DCF4C">
      <w:pPr>
        <w:ind w:firstLine="420" w:firstLineChars="200"/>
        <w:rPr>
          <w:rFonts w:hint="eastAsia" w:ascii="宋体" w:hAnsi="宋体" w:eastAsia="宋体" w:cs="宋体"/>
          <w:sz w:val="21"/>
          <w:szCs w:val="21"/>
        </w:rPr>
      </w:pPr>
      <w:r>
        <w:rPr>
          <w:rFonts w:hint="eastAsia" w:ascii="宋体" w:hAnsi="宋体" w:eastAsia="宋体" w:cs="宋体"/>
          <w:sz w:val="21"/>
          <w:szCs w:val="21"/>
        </w:rPr>
        <w:t>本次维保采购内容</w:t>
      </w:r>
      <w:r>
        <w:rPr>
          <w:rFonts w:hint="eastAsia" w:ascii="宋体" w:hAnsi="宋体" w:eastAsia="宋体" w:cs="宋体"/>
          <w:sz w:val="21"/>
          <w:szCs w:val="21"/>
          <w:lang w:val="en-US" w:eastAsia="zh-CN"/>
        </w:rPr>
        <w:t>清单</w:t>
      </w:r>
      <w:r>
        <w:rPr>
          <w:rFonts w:hint="eastAsia" w:ascii="宋体" w:hAnsi="宋体" w:eastAsia="宋体" w:cs="宋体"/>
          <w:sz w:val="21"/>
          <w:szCs w:val="21"/>
        </w:rPr>
        <w:t>如下表1所示：</w:t>
      </w:r>
    </w:p>
    <w:tbl>
      <w:tblPr>
        <w:tblStyle w:val="5"/>
        <w:tblW w:w="41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2131"/>
        <w:gridCol w:w="1275"/>
      </w:tblGrid>
      <w:tr w14:paraId="7A165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733" w:type="dxa"/>
            <w:shd w:val="clear" w:color="000000" w:fill="auto"/>
            <w:vAlign w:val="center"/>
          </w:tcPr>
          <w:p w14:paraId="1EB29CF1">
            <w:pPr>
              <w:jc w:val="center"/>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序号</w:t>
            </w:r>
          </w:p>
        </w:tc>
        <w:tc>
          <w:tcPr>
            <w:tcW w:w="2131" w:type="dxa"/>
            <w:shd w:val="clear" w:color="000000" w:fill="auto"/>
            <w:vAlign w:val="center"/>
          </w:tcPr>
          <w:p w14:paraId="3606BA94">
            <w:pPr>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货物名称</w:t>
            </w:r>
          </w:p>
        </w:tc>
        <w:tc>
          <w:tcPr>
            <w:tcW w:w="1275" w:type="dxa"/>
            <w:shd w:val="clear" w:color="000000" w:fill="auto"/>
            <w:vAlign w:val="center"/>
          </w:tcPr>
          <w:p w14:paraId="60E0158A">
            <w:pPr>
              <w:jc w:val="center"/>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数量</w:t>
            </w:r>
          </w:p>
        </w:tc>
      </w:tr>
      <w:tr w14:paraId="4225A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33" w:type="dxa"/>
            <w:shd w:val="clear" w:color="auto" w:fill="auto"/>
            <w:noWrap/>
            <w:vAlign w:val="center"/>
          </w:tcPr>
          <w:p w14:paraId="7A7B00F1">
            <w:pPr>
              <w:widowControl/>
              <w:jc w:val="center"/>
              <w:rPr>
                <w:rFonts w:hint="default" w:ascii="宋体" w:hAnsi="宋体" w:eastAsia="宋体" w:cs="宋体"/>
                <w:b w:val="0"/>
                <w:bCs w:val="0"/>
                <w:color w:val="000000"/>
                <w:kern w:val="0"/>
                <w:sz w:val="21"/>
                <w:szCs w:val="21"/>
                <w:lang w:val="en-US" w:eastAsia="zh-CN"/>
              </w:rPr>
            </w:pPr>
            <w:r>
              <w:rPr>
                <w:rFonts w:hint="eastAsia" w:ascii="宋体" w:hAnsi="宋体" w:eastAsia="宋体" w:cs="宋体"/>
                <w:b w:val="0"/>
                <w:bCs w:val="0"/>
                <w:color w:val="000000"/>
                <w:kern w:val="0"/>
                <w:sz w:val="21"/>
                <w:szCs w:val="21"/>
                <w:lang w:val="en-US" w:eastAsia="zh-CN"/>
              </w:rPr>
              <w:t>1</w:t>
            </w:r>
          </w:p>
        </w:tc>
        <w:tc>
          <w:tcPr>
            <w:tcW w:w="2131" w:type="dxa"/>
            <w:shd w:val="clear" w:color="auto" w:fill="auto"/>
            <w:noWrap/>
            <w:vAlign w:val="center"/>
          </w:tcPr>
          <w:p w14:paraId="44B54A15">
            <w:pPr>
              <w:widowControl/>
              <w:jc w:val="center"/>
              <w:rPr>
                <w:rFonts w:hint="eastAsia" w:ascii="宋体" w:hAnsi="宋体" w:eastAsia="宋体" w:cs="宋体"/>
                <w:b w:val="0"/>
                <w:bCs w:val="0"/>
                <w:color w:val="000000"/>
                <w:kern w:val="0"/>
                <w:sz w:val="21"/>
                <w:szCs w:val="21"/>
                <w:lang w:val="en-US" w:eastAsia="zh-CN"/>
              </w:rPr>
            </w:pPr>
            <w:r>
              <w:rPr>
                <w:rFonts w:hint="eastAsia" w:ascii="宋体" w:hAnsi="宋体" w:eastAsia="宋体" w:cs="宋体"/>
                <w:b w:val="0"/>
                <w:bCs w:val="0"/>
                <w:color w:val="000000"/>
                <w:kern w:val="0"/>
                <w:sz w:val="21"/>
                <w:szCs w:val="21"/>
                <w:lang w:val="en-US" w:eastAsia="zh-CN"/>
              </w:rPr>
              <w:t>统一云服务管理平台维保服务</w:t>
            </w:r>
          </w:p>
        </w:tc>
        <w:tc>
          <w:tcPr>
            <w:tcW w:w="1275" w:type="dxa"/>
            <w:shd w:val="clear" w:color="auto" w:fill="auto"/>
            <w:noWrap/>
            <w:vAlign w:val="center"/>
          </w:tcPr>
          <w:p w14:paraId="7E12D64A">
            <w:pPr>
              <w:widowControl/>
              <w:jc w:val="center"/>
              <w:textAlignment w:val="center"/>
              <w:rPr>
                <w:rFonts w:hint="eastAsia" w:ascii="宋体" w:hAnsi="宋体" w:eastAsia="宋体" w:cs="宋体"/>
                <w:b w:val="0"/>
                <w:bCs w:val="0"/>
                <w:color w:val="000000"/>
                <w:kern w:val="0"/>
                <w:sz w:val="21"/>
                <w:szCs w:val="21"/>
                <w:lang w:val="en-US" w:eastAsia="zh-CN"/>
              </w:rPr>
            </w:pPr>
            <w:r>
              <w:rPr>
                <w:rFonts w:hint="eastAsia" w:ascii="宋体" w:hAnsi="宋体" w:eastAsia="宋体" w:cs="宋体"/>
                <w:b w:val="0"/>
                <w:bCs w:val="0"/>
                <w:color w:val="000000"/>
                <w:kern w:val="0"/>
                <w:sz w:val="21"/>
                <w:szCs w:val="21"/>
                <w:lang w:val="en-US" w:eastAsia="zh-CN"/>
              </w:rPr>
              <w:t>1年</w:t>
            </w:r>
          </w:p>
        </w:tc>
      </w:tr>
    </w:tbl>
    <w:p w14:paraId="1A4E6D4E">
      <w:pPr>
        <w:jc w:val="center"/>
        <w:rPr>
          <w:rFonts w:ascii="黑体" w:hAnsi="黑体" w:eastAsia="黑体" w:cs="黑体"/>
          <w:kern w:val="44"/>
          <w:sz w:val="21"/>
          <w:szCs w:val="21"/>
        </w:rPr>
      </w:pPr>
      <w:r>
        <w:rPr>
          <w:rFonts w:hint="eastAsia" w:ascii="宋体" w:hAnsi="宋体" w:eastAsia="宋体" w:cs="宋体"/>
          <w:sz w:val="21"/>
          <w:szCs w:val="21"/>
        </w:rPr>
        <w:t>表1.</w:t>
      </w:r>
      <w:r>
        <w:rPr>
          <w:rFonts w:hint="eastAsia" w:ascii="宋体" w:hAnsi="宋体" w:eastAsia="宋体" w:cs="宋体"/>
          <w:sz w:val="21"/>
          <w:szCs w:val="21"/>
          <w:lang w:val="en-US" w:eastAsia="zh-CN"/>
        </w:rPr>
        <w:t>统一云服务管理平台续保</w:t>
      </w:r>
      <w:r>
        <w:rPr>
          <w:rFonts w:hint="eastAsia" w:ascii="宋体" w:hAnsi="宋体" w:eastAsia="宋体" w:cs="宋体"/>
          <w:sz w:val="21"/>
          <w:szCs w:val="21"/>
        </w:rPr>
        <w:t>清单</w:t>
      </w:r>
    </w:p>
    <w:p w14:paraId="4955E3C7">
      <w:pPr>
        <w:pStyle w:val="7"/>
        <w:numPr>
          <w:ilvl w:val="0"/>
          <w:numId w:val="0"/>
        </w:numPr>
        <w:ind w:leftChars="0"/>
        <w:rPr>
          <w:rFonts w:hint="eastAsia" w:asciiTheme="minorEastAsia" w:hAnsiTheme="minorEastAsia" w:eastAsiaTheme="minorEastAsia" w:cstheme="minorEastAsia"/>
          <w:sz w:val="21"/>
          <w:szCs w:val="21"/>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Y3ZTRlNWEwYzhhNWMwYjQxMzkyMjhlZGI2Mzg1MzcifQ=="/>
  </w:docVars>
  <w:rsids>
    <w:rsidRoot w:val="00D17BBB"/>
    <w:rsid w:val="00251184"/>
    <w:rsid w:val="00496FF7"/>
    <w:rsid w:val="00913C34"/>
    <w:rsid w:val="00AC4986"/>
    <w:rsid w:val="00C64542"/>
    <w:rsid w:val="00D17BBB"/>
    <w:rsid w:val="00E3258A"/>
    <w:rsid w:val="00EF7C28"/>
    <w:rsid w:val="09520ED8"/>
    <w:rsid w:val="0AF84923"/>
    <w:rsid w:val="0D2B529E"/>
    <w:rsid w:val="1219554C"/>
    <w:rsid w:val="1352391D"/>
    <w:rsid w:val="19F3641F"/>
    <w:rsid w:val="20013309"/>
    <w:rsid w:val="229E62F1"/>
    <w:rsid w:val="23D000D7"/>
    <w:rsid w:val="26FC22EC"/>
    <w:rsid w:val="2F3920BC"/>
    <w:rsid w:val="34677303"/>
    <w:rsid w:val="34B1049E"/>
    <w:rsid w:val="3BA60C63"/>
    <w:rsid w:val="3BAE03DB"/>
    <w:rsid w:val="42112A71"/>
    <w:rsid w:val="53EB5749"/>
    <w:rsid w:val="56180B3F"/>
    <w:rsid w:val="566E223B"/>
    <w:rsid w:val="66D04087"/>
    <w:rsid w:val="6AE04B70"/>
    <w:rsid w:val="6DDE0056"/>
    <w:rsid w:val="70514307"/>
    <w:rsid w:val="7B8038D7"/>
    <w:rsid w:val="7BB142ED"/>
    <w:rsid w:val="7BCC3E41"/>
    <w:rsid w:val="7CFF1C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ahoma" w:hAnsi="Tahoma" w:eastAsia="宋体" w:cs="Times New Roman"/>
      <w:kern w:val="2"/>
      <w:sz w:val="24"/>
      <w:szCs w:val="24"/>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6">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autoRedefine/>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tabs>
        <w:tab w:val="center" w:pos="4153"/>
        <w:tab w:val="right" w:pos="8306"/>
      </w:tabs>
      <w:snapToGrid w:val="0"/>
      <w:jc w:val="center"/>
    </w:pPr>
    <w:rPr>
      <w:sz w:val="18"/>
      <w:szCs w:val="18"/>
    </w:rPr>
  </w:style>
  <w:style w:type="paragraph" w:styleId="7">
    <w:name w:val="List Paragraph"/>
    <w:basedOn w:val="1"/>
    <w:autoRedefine/>
    <w:qFormat/>
    <w:uiPriority w:val="34"/>
    <w:pPr>
      <w:ind w:firstLine="420" w:firstLineChars="200"/>
    </w:pPr>
  </w:style>
  <w:style w:type="character" w:customStyle="1" w:styleId="8">
    <w:name w:val="页眉 字符"/>
    <w:basedOn w:val="6"/>
    <w:link w:val="4"/>
    <w:autoRedefine/>
    <w:qFormat/>
    <w:uiPriority w:val="0"/>
    <w:rPr>
      <w:rFonts w:ascii="Tahoma" w:hAnsi="Tahoma" w:eastAsia="宋体" w:cs="Times New Roman"/>
      <w:kern w:val="2"/>
      <w:sz w:val="18"/>
      <w:szCs w:val="18"/>
    </w:rPr>
  </w:style>
  <w:style w:type="character" w:customStyle="1" w:styleId="9">
    <w:name w:val="页脚 字符"/>
    <w:basedOn w:val="6"/>
    <w:link w:val="3"/>
    <w:autoRedefine/>
    <w:qFormat/>
    <w:uiPriority w:val="0"/>
    <w:rPr>
      <w:rFonts w:ascii="Tahoma" w:hAnsi="Tahoma"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2676</Words>
  <Characters>2716</Characters>
  <Lines>5</Lines>
  <Paragraphs>1</Paragraphs>
  <TotalTime>1</TotalTime>
  <ScaleCrop>false</ScaleCrop>
  <LinksUpToDate>false</LinksUpToDate>
  <CharactersWithSpaces>2728</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2023-06-28T07:55:00Z</dcterms:created>
  <dc:creator>gdsnm</dc:creator>
  <cp:lastModifiedBy>gc</cp:lastModifiedBy>
  <dcterms:modified xsi:type="dcterms:W3CDTF">2026-04-16T07:35:17Z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5E260A7C5CF24CF9A960EBEBACF6CB05_12</vt:lpwstr>
  </property>
  <property fmtid="{D5CDD505-2E9C-101B-9397-08002B2CF9AE}" pid="4" name="KSOTemplateDocerSaveRecord">
    <vt:lpwstr>eyJoZGlkIjoiNzg5M2RhNDE3ZjYzZmU1MTk2Yzc0ZjQ5NWVkMGNjNmUiLCJ1c2VySWQiOiI2MjU5ODg1NTIifQ==</vt:lpwstr>
  </property>
</Properties>
</file>