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F83E1">
      <w:pPr>
        <w:spacing w:line="360" w:lineRule="auto"/>
        <w:jc w:val="center"/>
        <w:rPr>
          <w:rFonts w:hint="eastAsia" w:ascii="宋体" w:hAnsi="宋体" w:eastAsia="宋体" w:cs="宋体"/>
          <w:b/>
          <w:bCs/>
          <w:sz w:val="40"/>
          <w:szCs w:val="40"/>
        </w:rPr>
      </w:pPr>
      <w:r>
        <w:rPr>
          <w:rFonts w:hint="eastAsia" w:ascii="宋体" w:hAnsi="宋体" w:eastAsia="宋体" w:cs="宋体"/>
          <w:b/>
          <w:bCs/>
          <w:sz w:val="40"/>
          <w:szCs w:val="40"/>
        </w:rPr>
        <w:t>广州质量检验研究院消防产品检测基地租赁项目</w:t>
      </w:r>
      <w:r>
        <w:rPr>
          <w:rFonts w:hint="eastAsia" w:ascii="宋体" w:hAnsi="宋体" w:eastAsia="宋体" w:cs="宋体"/>
          <w:b/>
          <w:bCs/>
          <w:sz w:val="40"/>
          <w:szCs w:val="40"/>
          <w:lang w:val="en-US" w:eastAsia="zh-CN"/>
        </w:rPr>
        <w:t>采购</w:t>
      </w:r>
      <w:r>
        <w:rPr>
          <w:rFonts w:hint="eastAsia" w:ascii="宋体" w:hAnsi="宋体" w:eastAsia="宋体" w:cs="宋体"/>
          <w:b/>
          <w:bCs/>
          <w:sz w:val="40"/>
          <w:szCs w:val="40"/>
        </w:rPr>
        <w:t>需求</w:t>
      </w:r>
    </w:p>
    <w:p w14:paraId="3C492A3A">
      <w:pPr>
        <w:spacing w:line="360" w:lineRule="auto"/>
        <w:jc w:val="center"/>
        <w:rPr>
          <w:rFonts w:hint="eastAsia" w:ascii="宋体" w:hAnsi="宋体" w:eastAsia="宋体" w:cs="宋体"/>
          <w:sz w:val="21"/>
          <w:szCs w:val="21"/>
        </w:rPr>
      </w:pPr>
    </w:p>
    <w:p w14:paraId="46ACA544">
      <w:pPr>
        <w:widowControl/>
        <w:spacing w:line="360" w:lineRule="auto"/>
        <w:jc w:val="left"/>
        <w:rPr>
          <w:rFonts w:hint="eastAsia" w:ascii="宋体" w:hAnsi="宋体" w:eastAsia="宋体" w:cs="宋体"/>
          <w:b/>
          <w:bCs/>
          <w:sz w:val="21"/>
          <w:szCs w:val="21"/>
        </w:rPr>
      </w:pPr>
      <w:r>
        <w:rPr>
          <w:rFonts w:hint="eastAsia" w:ascii="宋体" w:hAnsi="宋体" w:eastAsia="宋体" w:cs="宋体"/>
          <w:b/>
          <w:bCs/>
          <w:sz w:val="21"/>
          <w:szCs w:val="21"/>
        </w:rPr>
        <w:t>一、项目概况：</w:t>
      </w:r>
    </w:p>
    <w:p w14:paraId="10EB59AF">
      <w:pPr>
        <w:pStyle w:val="7"/>
        <w:spacing w:line="360" w:lineRule="auto"/>
        <w:ind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广州质量检验研究院(广州医疗器械检验中心、广州纤维质量监测中心)</w:t>
      </w:r>
      <w:r>
        <w:rPr>
          <w:rFonts w:hint="eastAsia" w:ascii="宋体" w:hAnsi="宋体" w:eastAsia="宋体" w:cs="宋体"/>
          <w:color w:val="000000"/>
          <w:sz w:val="21"/>
          <w:szCs w:val="21"/>
          <w:lang w:val="en-US" w:eastAsia="zh-CN"/>
        </w:rPr>
        <w:t>现在需要租用场地</w:t>
      </w:r>
      <w:r>
        <w:rPr>
          <w:rFonts w:hint="eastAsia" w:ascii="宋体" w:hAnsi="宋体" w:eastAsia="宋体" w:cs="宋体"/>
          <w:color w:val="000000"/>
          <w:sz w:val="21"/>
          <w:szCs w:val="21"/>
        </w:rPr>
        <w:t>主要用于开展消防产品监督抽查、检验检测等业务。</w:t>
      </w:r>
      <w:r>
        <w:rPr>
          <w:rFonts w:hint="eastAsia" w:ascii="宋体" w:hAnsi="宋体" w:eastAsia="宋体" w:cs="宋体"/>
          <w:color w:val="000000"/>
          <w:sz w:val="21"/>
          <w:szCs w:val="21"/>
          <w:lang w:val="en-US" w:eastAsia="zh-CN"/>
        </w:rPr>
        <w:t>中标人需保证</w:t>
      </w:r>
      <w:r>
        <w:rPr>
          <w:rFonts w:hint="eastAsia" w:ascii="宋体" w:hAnsi="宋体" w:eastAsia="宋体" w:cs="宋体"/>
          <w:color w:val="000000"/>
          <w:sz w:val="21"/>
          <w:szCs w:val="21"/>
        </w:rPr>
        <w:t>业务连续性，服务于消防产品检测发展，</w:t>
      </w:r>
      <w:r>
        <w:rPr>
          <w:rFonts w:hint="eastAsia" w:ascii="宋体" w:hAnsi="宋体" w:eastAsia="宋体" w:cs="宋体"/>
          <w:color w:val="000000"/>
          <w:sz w:val="21"/>
          <w:szCs w:val="21"/>
          <w:lang w:val="en-US" w:eastAsia="zh-CN"/>
        </w:rPr>
        <w:t>保证场地租赁期限，</w:t>
      </w:r>
      <w:r>
        <w:rPr>
          <w:rFonts w:hint="eastAsia" w:ascii="宋体" w:hAnsi="宋体" w:eastAsia="宋体" w:cs="宋体"/>
          <w:color w:val="000000"/>
          <w:sz w:val="21"/>
          <w:szCs w:val="21"/>
        </w:rPr>
        <w:t>减少日后搬迁带来的不便及搬迁、装修费用的增加，</w:t>
      </w:r>
      <w:r>
        <w:rPr>
          <w:rFonts w:hint="eastAsia" w:ascii="宋体" w:hAnsi="宋体" w:eastAsia="宋体" w:cs="宋体"/>
          <w:color w:val="000000"/>
          <w:sz w:val="21"/>
          <w:szCs w:val="21"/>
          <w:lang w:val="en-US" w:eastAsia="zh-CN"/>
        </w:rPr>
        <w:t>现拟租用消防产品检测场地。</w:t>
      </w:r>
    </w:p>
    <w:p w14:paraId="72B8F932">
      <w:pPr>
        <w:pStyle w:val="7"/>
        <w:spacing w:line="360" w:lineRule="auto"/>
        <w:ind w:firstLine="420"/>
        <w:jc w:val="center"/>
        <w:rPr>
          <w:rFonts w:hint="eastAsia" w:ascii="宋体" w:hAnsi="宋体" w:eastAsia="宋体" w:cs="宋体"/>
          <w:b/>
          <w:bCs/>
          <w:sz w:val="21"/>
          <w:szCs w:val="21"/>
          <w:lang w:eastAsia="zh-CN"/>
        </w:rPr>
      </w:pPr>
      <w:r>
        <w:rPr>
          <w:rFonts w:hint="eastAsia" w:ascii="宋体" w:hAnsi="宋体" w:eastAsia="宋体" w:cs="宋体"/>
          <w:b/>
          <w:bCs/>
          <w:color w:val="000000"/>
          <w:sz w:val="21"/>
          <w:szCs w:val="21"/>
        </w:rPr>
        <w:t>采购项目情况表</w:t>
      </w:r>
    </w:p>
    <w:tbl>
      <w:tblPr>
        <w:tblStyle w:val="5"/>
        <w:tblW w:w="889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56"/>
        <w:gridCol w:w="1828"/>
        <w:gridCol w:w="865"/>
        <w:gridCol w:w="1701"/>
        <w:gridCol w:w="1559"/>
        <w:gridCol w:w="1985"/>
      </w:tblGrid>
      <w:tr w14:paraId="43FAC8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125DE91D">
            <w:pPr>
              <w:pStyle w:val="7"/>
              <w:spacing w:line="360" w:lineRule="auto"/>
              <w:jc w:val="center"/>
              <w:rPr>
                <w:rFonts w:hint="eastAsia" w:ascii="宋体" w:hAnsi="宋体" w:eastAsia="宋体" w:cs="宋体"/>
                <w:sz w:val="21"/>
                <w:szCs w:val="21"/>
              </w:rPr>
            </w:pPr>
            <w:r>
              <w:rPr>
                <w:rFonts w:hint="eastAsia" w:ascii="宋体" w:hAnsi="宋体" w:eastAsia="宋体" w:cs="宋体"/>
                <w:b/>
                <w:color w:val="000000"/>
                <w:sz w:val="21"/>
                <w:szCs w:val="21"/>
              </w:rPr>
              <w:t>采购包</w:t>
            </w:r>
          </w:p>
        </w:tc>
        <w:tc>
          <w:tcPr>
            <w:tcW w:w="182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8782ABC">
            <w:pPr>
              <w:pStyle w:val="7"/>
              <w:spacing w:line="360" w:lineRule="auto"/>
              <w:jc w:val="center"/>
              <w:rPr>
                <w:rFonts w:hint="eastAsia" w:ascii="宋体" w:hAnsi="宋体" w:eastAsia="宋体" w:cs="宋体"/>
                <w:sz w:val="21"/>
                <w:szCs w:val="21"/>
              </w:rPr>
            </w:pPr>
            <w:r>
              <w:rPr>
                <w:rFonts w:hint="eastAsia" w:ascii="宋体" w:hAnsi="宋体" w:eastAsia="宋体" w:cs="宋体"/>
                <w:b/>
                <w:color w:val="000000"/>
                <w:sz w:val="21"/>
                <w:szCs w:val="21"/>
              </w:rPr>
              <w:t>采购标的</w:t>
            </w:r>
          </w:p>
        </w:tc>
        <w:tc>
          <w:tcPr>
            <w:tcW w:w="8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49E91D36">
            <w:pPr>
              <w:pStyle w:val="7"/>
              <w:spacing w:line="360" w:lineRule="auto"/>
              <w:jc w:val="center"/>
              <w:rPr>
                <w:rFonts w:hint="eastAsia" w:ascii="宋体" w:hAnsi="宋体" w:eastAsia="宋体" w:cs="宋体"/>
                <w:sz w:val="21"/>
                <w:szCs w:val="21"/>
              </w:rPr>
            </w:pPr>
            <w:r>
              <w:rPr>
                <w:rFonts w:hint="eastAsia" w:ascii="宋体" w:hAnsi="宋体" w:eastAsia="宋体" w:cs="宋体"/>
                <w:b/>
                <w:color w:val="000000"/>
                <w:sz w:val="21"/>
                <w:szCs w:val="21"/>
              </w:rPr>
              <w:t>数量</w:t>
            </w:r>
          </w:p>
        </w:tc>
        <w:tc>
          <w:tcPr>
            <w:tcW w:w="170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95AB1F6">
            <w:pPr>
              <w:pStyle w:val="7"/>
              <w:spacing w:line="360" w:lineRule="auto"/>
              <w:jc w:val="center"/>
              <w:rPr>
                <w:rFonts w:hint="eastAsia" w:ascii="宋体" w:hAnsi="宋体" w:eastAsia="宋体" w:cs="宋体"/>
                <w:sz w:val="21"/>
                <w:szCs w:val="21"/>
              </w:rPr>
            </w:pPr>
            <w:r>
              <w:rPr>
                <w:rFonts w:hint="eastAsia" w:ascii="宋体" w:hAnsi="宋体" w:eastAsia="宋体" w:cs="宋体"/>
                <w:b/>
                <w:color w:val="000000"/>
                <w:sz w:val="21"/>
                <w:szCs w:val="21"/>
              </w:rPr>
              <w:t>项目最高限价</w:t>
            </w:r>
          </w:p>
          <w:p w14:paraId="638AEFFD">
            <w:pPr>
              <w:pStyle w:val="7"/>
              <w:spacing w:line="360" w:lineRule="auto"/>
              <w:jc w:val="center"/>
              <w:rPr>
                <w:rFonts w:hint="eastAsia" w:ascii="宋体" w:hAnsi="宋体" w:eastAsia="宋体" w:cs="宋体"/>
                <w:sz w:val="21"/>
                <w:szCs w:val="21"/>
              </w:rPr>
            </w:pPr>
            <w:r>
              <w:rPr>
                <w:rFonts w:hint="eastAsia" w:ascii="宋体" w:hAnsi="宋体" w:eastAsia="宋体" w:cs="宋体"/>
                <w:b/>
                <w:color w:val="000000"/>
                <w:sz w:val="21"/>
                <w:szCs w:val="21"/>
              </w:rPr>
              <w:t>（人民币：万元）</w:t>
            </w:r>
          </w:p>
        </w:tc>
        <w:tc>
          <w:tcPr>
            <w:tcW w:w="15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6FAB2B7">
            <w:pPr>
              <w:spacing w:line="360" w:lineRule="auto"/>
              <w:jc w:val="left"/>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最高单价限价</w:t>
            </w:r>
          </w:p>
        </w:tc>
        <w:tc>
          <w:tcPr>
            <w:tcW w:w="19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6F16B814">
            <w:pPr>
              <w:spacing w:line="360" w:lineRule="auto"/>
              <w:jc w:val="left"/>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履约期限</w:t>
            </w:r>
          </w:p>
        </w:tc>
      </w:tr>
      <w:tr w14:paraId="275C79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37E21EE">
            <w:pPr>
              <w:pStyle w:val="7"/>
              <w:spacing w:line="360" w:lineRule="auto"/>
              <w:jc w:val="center"/>
              <w:rPr>
                <w:rFonts w:hint="eastAsia" w:ascii="宋体" w:hAnsi="宋体" w:eastAsia="宋体" w:cs="宋体"/>
                <w:sz w:val="21"/>
                <w:szCs w:val="21"/>
              </w:rPr>
            </w:pPr>
            <w:r>
              <w:rPr>
                <w:rFonts w:hint="eastAsia" w:ascii="宋体" w:hAnsi="宋体" w:eastAsia="宋体" w:cs="宋体"/>
                <w:color w:val="000000"/>
                <w:sz w:val="21"/>
                <w:szCs w:val="21"/>
              </w:rPr>
              <w:t>1</w:t>
            </w:r>
          </w:p>
        </w:tc>
        <w:tc>
          <w:tcPr>
            <w:tcW w:w="182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35852C">
            <w:pPr>
              <w:pStyle w:val="7"/>
              <w:spacing w:line="360" w:lineRule="auto"/>
              <w:jc w:val="center"/>
              <w:rPr>
                <w:rFonts w:hint="eastAsia" w:ascii="宋体" w:hAnsi="宋体" w:eastAsia="宋体" w:cs="宋体"/>
                <w:sz w:val="21"/>
                <w:szCs w:val="21"/>
              </w:rPr>
            </w:pPr>
            <w:r>
              <w:rPr>
                <w:rFonts w:hint="eastAsia" w:ascii="宋体" w:hAnsi="宋体" w:eastAsia="宋体" w:cs="宋体"/>
                <w:color w:val="000000"/>
                <w:sz w:val="21"/>
                <w:szCs w:val="21"/>
              </w:rPr>
              <w:t>广州质量检验研究院消防产品检测基地租赁项目</w:t>
            </w:r>
          </w:p>
        </w:tc>
        <w:tc>
          <w:tcPr>
            <w:tcW w:w="86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CF3A9A">
            <w:pPr>
              <w:pStyle w:val="7"/>
              <w:spacing w:line="360" w:lineRule="auto"/>
              <w:jc w:val="center"/>
              <w:rPr>
                <w:rFonts w:hint="eastAsia" w:ascii="宋体" w:hAnsi="宋体" w:eastAsia="宋体" w:cs="宋体"/>
                <w:sz w:val="21"/>
                <w:szCs w:val="21"/>
              </w:rPr>
            </w:pPr>
            <w:r>
              <w:rPr>
                <w:rFonts w:hint="eastAsia" w:ascii="宋体" w:hAnsi="宋体" w:eastAsia="宋体" w:cs="宋体"/>
                <w:color w:val="000000"/>
                <w:sz w:val="21"/>
                <w:szCs w:val="21"/>
              </w:rPr>
              <w:t>1项</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0DCC5E">
            <w:pPr>
              <w:pStyle w:val="7"/>
              <w:spacing w:line="360" w:lineRule="auto"/>
              <w:jc w:val="center"/>
              <w:rPr>
                <w:rFonts w:hint="eastAsia" w:ascii="宋体" w:hAnsi="宋体" w:eastAsia="宋体" w:cs="宋体"/>
                <w:sz w:val="21"/>
                <w:szCs w:val="21"/>
                <w:highlight w:val="yellow"/>
                <w:lang w:val="en-US" w:eastAsia="zh-CN"/>
              </w:rPr>
            </w:pPr>
            <w:r>
              <w:rPr>
                <w:rFonts w:hint="eastAsia" w:ascii="宋体" w:hAnsi="宋体" w:eastAsia="宋体" w:cs="宋体"/>
                <w:color w:val="000000"/>
                <w:sz w:val="21"/>
                <w:szCs w:val="21"/>
                <w:highlight w:val="none"/>
              </w:rPr>
              <w:t>12</w:t>
            </w:r>
            <w:r>
              <w:rPr>
                <w:rFonts w:hint="eastAsia" w:ascii="宋体" w:hAnsi="宋体" w:eastAsia="宋体" w:cs="宋体"/>
                <w:color w:val="000000"/>
                <w:sz w:val="21"/>
                <w:szCs w:val="21"/>
                <w:highlight w:val="none"/>
                <w:lang w:val="en-US" w:eastAsia="zh-CN"/>
              </w:rPr>
              <w:t>50</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00</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C279A3">
            <w:pPr>
              <w:spacing w:line="360" w:lineRule="auto"/>
              <w:jc w:val="left"/>
              <w:rPr>
                <w:rFonts w:hint="eastAsia" w:ascii="宋体" w:hAnsi="宋体" w:eastAsia="宋体" w:cs="宋体"/>
                <w:sz w:val="21"/>
                <w:szCs w:val="21"/>
                <w:highlight w:val="yellow"/>
                <w:lang w:eastAsia="zh-CN"/>
              </w:rPr>
            </w:pPr>
            <w:r>
              <w:rPr>
                <w:rFonts w:hint="eastAsia" w:ascii="宋体" w:hAnsi="宋体" w:eastAsia="宋体" w:cs="宋体"/>
                <w:color w:val="000000"/>
                <w:kern w:val="0"/>
                <w:sz w:val="21"/>
                <w:szCs w:val="21"/>
                <w:lang w:val="en-US" w:eastAsia="zh-CN" w:bidi="ar"/>
              </w:rPr>
              <w:t>人民币35元</w:t>
            </w:r>
            <w:r>
              <w:rPr>
                <w:rFonts w:hint="eastAsia" w:ascii="宋体" w:hAnsi="宋体" w:eastAsia="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月（含税），年租金上调率不超过5%</w:t>
            </w:r>
            <w:r>
              <w:rPr>
                <w:rFonts w:hint="eastAsia" w:ascii="宋体" w:hAnsi="宋体" w:eastAsia="宋体" w:cs="宋体"/>
                <w:color w:val="000000"/>
                <w:kern w:val="0"/>
                <w:sz w:val="21"/>
                <w:szCs w:val="21"/>
                <w:lang w:val="en-US" w:eastAsia="zh-CN" w:bidi="ar"/>
              </w:rPr>
              <w:t>。</w:t>
            </w:r>
          </w:p>
        </w:tc>
        <w:tc>
          <w:tcPr>
            <w:tcW w:w="19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2C2F4E">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交付使用后为期3年</w:t>
            </w:r>
          </w:p>
          <w:p w14:paraId="5B096546">
            <w:pPr>
              <w:pStyle w:val="7"/>
              <w:spacing w:line="360" w:lineRule="auto"/>
              <w:jc w:val="center"/>
              <w:rPr>
                <w:rFonts w:hint="eastAsia" w:ascii="宋体" w:hAnsi="宋体" w:eastAsia="宋体" w:cs="宋体"/>
                <w:sz w:val="21"/>
                <w:szCs w:val="21"/>
                <w:highlight w:val="yellow"/>
                <w:lang w:eastAsia="zh-CN"/>
              </w:rPr>
            </w:pPr>
          </w:p>
        </w:tc>
      </w:tr>
    </w:tbl>
    <w:p w14:paraId="6CF86518">
      <w:pPr>
        <w:widowControl/>
        <w:spacing w:line="360" w:lineRule="auto"/>
        <w:ind w:firstLine="420" w:firstLineChars="200"/>
        <w:jc w:val="left"/>
        <w:rPr>
          <w:rFonts w:hint="eastAsia" w:ascii="宋体" w:hAnsi="宋体" w:eastAsia="宋体" w:cs="宋体"/>
          <w:color w:val="000000"/>
          <w:kern w:val="0"/>
          <w:sz w:val="21"/>
          <w:szCs w:val="21"/>
          <w:lang w:eastAsia="zh-Hans"/>
        </w:rPr>
      </w:pPr>
      <w:r>
        <w:rPr>
          <w:rFonts w:hint="eastAsia" w:ascii="宋体" w:hAnsi="宋体" w:eastAsia="宋体" w:cs="宋体"/>
          <w:color w:val="000000"/>
          <w:kern w:val="0"/>
          <w:sz w:val="21"/>
          <w:szCs w:val="21"/>
          <w:lang w:eastAsia="zh-Hans"/>
        </w:rPr>
        <w:t>具体采购预算以当年财局批复为准，采购人不对此预算作承诺。</w:t>
      </w:r>
    </w:p>
    <w:p w14:paraId="5DDFEFA6">
      <w:pPr>
        <w:widowControl/>
        <w:spacing w:line="360" w:lineRule="auto"/>
        <w:jc w:val="left"/>
        <w:rPr>
          <w:rFonts w:hint="eastAsia" w:ascii="宋体" w:hAnsi="宋体" w:eastAsia="宋体" w:cs="宋体"/>
          <w:b/>
          <w:bCs/>
          <w:sz w:val="21"/>
          <w:szCs w:val="21"/>
          <w:lang w:eastAsia="zh-CN"/>
        </w:rPr>
      </w:pPr>
      <w:r>
        <w:rPr>
          <w:rFonts w:hint="eastAsia" w:ascii="宋体" w:hAnsi="宋体" w:eastAsia="宋体" w:cs="宋体"/>
          <w:b/>
          <w:bCs/>
          <w:sz w:val="21"/>
          <w:szCs w:val="21"/>
        </w:rPr>
        <w:t>二、项目服务内容</w:t>
      </w:r>
    </w:p>
    <w:p w14:paraId="0640ABFA">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1、服务范围：位于广州市番禺区</w:t>
      </w:r>
    </w:p>
    <w:p w14:paraId="7C506C9F">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2、服务要求：具备合法有效的权属证明，保证在交接时无出让、查封、抵押、担保等事项，没有其他法律纠纷。</w:t>
      </w:r>
      <w:bookmarkStart w:id="0" w:name="_GoBack"/>
      <w:bookmarkEnd w:id="0"/>
    </w:p>
    <w:p w14:paraId="52894E0A">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3、服务时间（履行期限）：2026年3月1日至2028年2月28日。</w:t>
      </w:r>
    </w:p>
    <w:p w14:paraId="4CB8A1EE">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4、服务标准：按照采购文件要求及响应文件的响应情况为采购人提供场地租赁服务。</w:t>
      </w:r>
    </w:p>
    <w:p w14:paraId="56E547B9">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5、★场地地址：根据广东省市场监督管理局相关的批复要求，租赁场地的行政辖区为广州市。</w:t>
      </w:r>
    </w:p>
    <w:p w14:paraId="24CA5954">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6、★场地占地面积：8000㎡-10000㎡，建筑总面积：7000㎡-10000㎡。</w:t>
      </w:r>
    </w:p>
    <w:p w14:paraId="76A7846A">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7、▲场地规划用途须为工业用地，至少具有土地证或房产证（不动产证）或工业用地证明能开展环境影响评价的基础条件。</w:t>
      </w:r>
    </w:p>
    <w:p w14:paraId="0CE23900">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8、▲场地距离居民区、学校、医院、大型商场至少有100m。投标人投标时应提供场地及周围100m范围内的实景卫星地图截图。</w:t>
      </w:r>
    </w:p>
    <w:p w14:paraId="4910AD7A">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9、场地具体要求</w:t>
      </w:r>
    </w:p>
    <w:p w14:paraId="3DF26541">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（1）▲单一层钢结构厂房的面积4500㎡（含）以上，其余厂房可以是标准厂房（非钢结构,不带地下楼层）；</w:t>
      </w:r>
    </w:p>
    <w:p w14:paraId="3218F982">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（2）▲单一层钢结构的厂房高度要求：至少有1000㎡厂房的屋檐滴水高度9m（含）以上；除了前述1000㎡外，其他单一层钢结构厂房的屋檐滴水高度须7m（含）以上。</w:t>
      </w:r>
    </w:p>
    <w:p w14:paraId="41CC21DE">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（3）场地的水电设施配备完善且可正常使用，用电量至少有315kVA，有功功率大于250KW。</w:t>
      </w:r>
    </w:p>
    <w:p w14:paraId="1AEEF631">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10、其他要求：</w:t>
      </w:r>
    </w:p>
    <w:p w14:paraId="40970597">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（1）▲场地所处地理位置应便于珠三角、港珠澳地区企业送检。</w:t>
      </w:r>
    </w:p>
    <w:p w14:paraId="0C927F37">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（2）▲场地配置有污水排放设施并已接入当地市政排污管网。</w:t>
      </w:r>
    </w:p>
    <w:p w14:paraId="7087A91E">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（3）▲场地已开通管道天然气或者管道天然气设施已铺设至该场地附近。</w:t>
      </w:r>
    </w:p>
    <w:p w14:paraId="38363104">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（4）承租后，采购人可进行临建，适度改造、内部必要装饰、规划内部用地等；在不影响楼层结构与安全的前提下，可由采购人按需改造。中标人需配合采购人办理手续。</w:t>
      </w:r>
    </w:p>
    <w:p w14:paraId="175D040C">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11、交接时间：签约后1个月内交付使用。</w:t>
      </w:r>
    </w:p>
    <w:p w14:paraId="03BA26C2">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12、建筑面积以第三方有资质机构丈量的面积做为实际依据。场地中包含的过道、空地的面积不纳入租金计算。</w:t>
      </w:r>
    </w:p>
    <w:p w14:paraId="65E9EBF2">
      <w:pPr>
        <w:widowControl/>
        <w:spacing w:line="360" w:lineRule="auto"/>
        <w:jc w:val="left"/>
        <w:rPr>
          <w:rFonts w:hint="eastAsia" w:ascii="宋体" w:hAnsi="宋体" w:eastAsia="宋体" w:cs="宋体"/>
          <w:b/>
          <w:bCs/>
          <w:sz w:val="21"/>
          <w:szCs w:val="21"/>
          <w:lang w:eastAsia="zh-CN"/>
        </w:rPr>
      </w:pPr>
      <w:r>
        <w:rPr>
          <w:rFonts w:hint="eastAsia" w:ascii="宋体" w:hAnsi="宋体" w:eastAsia="宋体" w:cs="宋体"/>
          <w:b/>
          <w:bCs/>
          <w:sz w:val="21"/>
          <w:szCs w:val="21"/>
        </w:rPr>
        <w:t>三、投标人要求</w:t>
      </w:r>
    </w:p>
    <w:p w14:paraId="252BCC36">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投标人须为所投标的物业权属人、代理商或具有转租/分组资格的承租人。投标人如为场地的权属人，提供权属证明材料；投标人如为场地出租代理商或具有转租/分组资格的承租人，应能提供自权属人到供应商具有出租资格的整套证明材料（包括权属人的物业产权证明材料，权属人一级一级往下授权的证明材料）。</w:t>
      </w:r>
    </w:p>
    <w:p w14:paraId="2E586DB9">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2、提供投标人所投标的物的房屋设计情况、装修情况、适用情况和验收方案。</w:t>
      </w:r>
    </w:p>
    <w:p w14:paraId="03C04C0E">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3、投标人需具有完善的管理体系。</w:t>
      </w:r>
    </w:p>
    <w:p w14:paraId="056A9AE3">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投标人需确保所投报的土地及其地面建筑权属清晰无争议，至报价有效期截止日前无出让、查封、抵押、担保或其他法律纠纷，具备合法有效的土地所有权证或其它权属的证明。注：若投标非土地权属人，则需另附土地权属人同意转租意见书，同意转租意见书内容应清晰、明确转租内容，无歧义，格式自定。</w:t>
      </w:r>
    </w:p>
    <w:p w14:paraId="22A146EE">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5、租赁期：场地可租期限应能达到10年（含）以上，合同3年1签，中标人应能提供正规租赁增值税专用发票。</w:t>
      </w:r>
    </w:p>
    <w:p w14:paraId="6D30262F">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6、租赁期间如遇相关执法管理部门对土地及地面建筑进行检查的，中标人需负责配合完成相关检查工作，如因中标人原因对采购人造成损害的，中标人需负责承担相关损失。</w:t>
      </w:r>
    </w:p>
    <w:p w14:paraId="1C33F605">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7、若租赁期间土地上附属建筑物在消防部门对其进行检查时被出具整改通知要求的，中标人负责按要求完成整改工作，相关费用由中标人负责。</w:t>
      </w:r>
    </w:p>
    <w:p w14:paraId="0DCB6EA9">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8、该租赁土地的审批手续由中标人负责，采购人予以配合。</w:t>
      </w:r>
    </w:p>
    <w:p w14:paraId="7DC52BB7">
      <w:pPr>
        <w:widowControl/>
        <w:spacing w:line="360" w:lineRule="auto"/>
        <w:jc w:val="left"/>
        <w:rPr>
          <w:rFonts w:hint="eastAsia" w:ascii="宋体" w:hAnsi="宋体" w:eastAsia="宋体" w:cs="宋体"/>
          <w:b/>
          <w:bCs/>
          <w:sz w:val="21"/>
          <w:szCs w:val="21"/>
          <w:lang w:eastAsia="zh-CN"/>
        </w:rPr>
      </w:pPr>
      <w:r>
        <w:rPr>
          <w:rFonts w:hint="eastAsia" w:ascii="宋体" w:hAnsi="宋体" w:eastAsia="宋体" w:cs="宋体"/>
          <w:b/>
          <w:bCs/>
          <w:sz w:val="21"/>
          <w:szCs w:val="21"/>
        </w:rPr>
        <w:t>四、报价要求</w:t>
      </w:r>
    </w:p>
    <w:p w14:paraId="5B770C02">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（一）本项目采用租金按每平方米单价报价的形式进行，投标人的单价报价不能超过本项目最高单价限价。</w:t>
      </w:r>
    </w:p>
    <w:p w14:paraId="7F6D8E31">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（二）总租金报价以（单价*建筑面积*租赁日期）为准进行计算，年租金上调率不超过5%。投标人应承担服务期内由于市场波动而引致的风险。</w:t>
      </w:r>
    </w:p>
    <w:p w14:paraId="56D21D9A">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（三）投标人的报价不包括物业管理费、水电、煤气、网络通信服务费。如有物业管理费，投标人应在投标文件中注明其物业管理费，作为中标参考。</w:t>
      </w:r>
    </w:p>
    <w:p w14:paraId="5753F6B8">
      <w:pPr>
        <w:widowControl/>
        <w:spacing w:line="360" w:lineRule="auto"/>
        <w:jc w:val="left"/>
        <w:rPr>
          <w:rFonts w:hint="eastAsia" w:ascii="宋体" w:hAnsi="宋体" w:eastAsia="宋体" w:cs="宋体"/>
          <w:b/>
          <w:bCs/>
          <w:sz w:val="21"/>
          <w:szCs w:val="21"/>
          <w:lang w:eastAsia="zh-CN"/>
        </w:rPr>
      </w:pPr>
      <w:r>
        <w:rPr>
          <w:rFonts w:hint="eastAsia" w:ascii="宋体" w:hAnsi="宋体" w:eastAsia="宋体" w:cs="宋体"/>
          <w:b/>
          <w:bCs/>
          <w:sz w:val="21"/>
          <w:szCs w:val="21"/>
        </w:rPr>
        <w:t>五、付款及结算方式</w:t>
      </w:r>
    </w:p>
    <w:p w14:paraId="16A8840D">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(一)合同款支付：</w:t>
      </w:r>
    </w:p>
    <w:p w14:paraId="7E2A0C61">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1.实际租金=每平方米中标单价*建筑面积（建筑面积以第三方有资质机构丈量的面积做为实际依据，场地中包含的过道、空地的面积不纳入租金计算）。</w:t>
      </w:r>
    </w:p>
    <w:p w14:paraId="6B84B757">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.签订合同后，采购人在10个工作日内向中标人支付2个月租金作为押金；免租期过后第一个月，在收到发票后5个工作日内向中标人支付当月租金。</w:t>
      </w:r>
    </w:p>
    <w:p w14:paraId="4ABFEF8E">
      <w:pPr>
        <w:pStyle w:val="7"/>
        <w:spacing w:line="360" w:lineRule="auto"/>
        <w:ind w:firstLine="420" w:firstLineChars="200"/>
        <w:rPr>
          <w:rFonts w:hint="eastAsia" w:ascii="宋体" w:hAnsi="宋体" w:eastAsia="宋体" w:cs="宋体"/>
          <w:sz w:val="21"/>
          <w:szCs w:val="21"/>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.根据中标单价按实每月支付一次，每月结束后的5个工作日内，中标人向采购人提供租金发票，采购人在收到中标人发票的5个工作日内支付租金。</w:t>
      </w:r>
    </w:p>
    <w:p w14:paraId="6149DC39">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.每次按合同支付款项前，中标人应向采购人提供与支付金额相符合的有效增值税专用发票，且收款方、出具发票方、合同乙方均必须与中标人名称一致；</w:t>
      </w:r>
    </w:p>
    <w:p w14:paraId="6E3F9749">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.违约责任：采购人逾期支付合同款项的，除应当支付合同款项外，还应当每日按合同总价的3‰向中标人偿付违约金，但因中标人自身原因导致无法及时支付的除外。</w:t>
      </w:r>
    </w:p>
    <w:p w14:paraId="7F1F59B3">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.最后一个合同年度服务期结束后，中标人应在15个工作日无息退回押金。</w:t>
      </w:r>
    </w:p>
    <w:p w14:paraId="2A2F0727">
      <w:pPr>
        <w:pStyle w:val="7"/>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(二)付款方式：采用支票、银行汇票、电汇三种形式</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4222333"/>
      <w:docPartObj>
        <w:docPartGallery w:val="autotext"/>
      </w:docPartObj>
    </w:sdtPr>
    <w:sdtContent>
      <w:sdt>
        <w:sdtPr>
          <w:id w:val="-1669238322"/>
          <w:docPartObj>
            <w:docPartGallery w:val="autotext"/>
          </w:docPartObj>
        </w:sdtPr>
        <w:sdtContent>
          <w:p w14:paraId="4A72D65A">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14:paraId="412F28F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4ZWU5MGUzMTY4NmRmZjUwZTQ5ZTViMTVkOGMwYjMifQ=="/>
  </w:docVars>
  <w:rsids>
    <w:rsidRoot w:val="651C5673"/>
    <w:rsid w:val="000E2284"/>
    <w:rsid w:val="0048534E"/>
    <w:rsid w:val="004F3346"/>
    <w:rsid w:val="00E458DE"/>
    <w:rsid w:val="00EA3861"/>
    <w:rsid w:val="0908681C"/>
    <w:rsid w:val="0CCC4DA5"/>
    <w:rsid w:val="14073CC5"/>
    <w:rsid w:val="169B2095"/>
    <w:rsid w:val="1ADE4C27"/>
    <w:rsid w:val="1CD943F6"/>
    <w:rsid w:val="20E2772F"/>
    <w:rsid w:val="24931021"/>
    <w:rsid w:val="31411903"/>
    <w:rsid w:val="386E3E21"/>
    <w:rsid w:val="3A232C26"/>
    <w:rsid w:val="3D383997"/>
    <w:rsid w:val="500848CB"/>
    <w:rsid w:val="50EA150D"/>
    <w:rsid w:val="54416563"/>
    <w:rsid w:val="563B111C"/>
    <w:rsid w:val="569112AB"/>
    <w:rsid w:val="5CC536B4"/>
    <w:rsid w:val="651C5673"/>
    <w:rsid w:val="6E171F27"/>
    <w:rsid w:val="6F5301C0"/>
    <w:rsid w:val="763431FA"/>
    <w:rsid w:val="7AFD1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customStyle="1" w:styleId="7">
    <w:name w:val="null3"/>
    <w:hidden/>
    <w:qFormat/>
    <w:uiPriority w:val="0"/>
    <w:rPr>
      <w:rFonts w:hint="eastAsia" w:asciiTheme="minorHAnsi" w:hAnsiTheme="minorHAnsi" w:eastAsiaTheme="minorEastAsia" w:cstheme="minorBidi"/>
      <w:lang w:val="en-US" w:eastAsia="zh-Hans" w:bidi="ar-SA"/>
    </w:rPr>
  </w:style>
  <w:style w:type="character" w:customStyle="1" w:styleId="8">
    <w:name w:val="页眉 Char"/>
    <w:basedOn w:val="6"/>
    <w:link w:val="3"/>
    <w:qFormat/>
    <w:uiPriority w:val="0"/>
    <w:rPr>
      <w:rFonts w:eastAsia="仿宋_GB2312"/>
      <w:kern w:val="2"/>
      <w:sz w:val="18"/>
      <w:szCs w:val="18"/>
    </w:rPr>
  </w:style>
  <w:style w:type="character" w:customStyle="1" w:styleId="9">
    <w:name w:val="页脚 Char"/>
    <w:basedOn w:val="6"/>
    <w:link w:val="2"/>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2393</Words>
  <Characters>2489</Characters>
  <Lines>1</Lines>
  <Paragraphs>3</Paragraphs>
  <TotalTime>5</TotalTime>
  <ScaleCrop>false</ScaleCrop>
  <LinksUpToDate>false</LinksUpToDate>
  <CharactersWithSpaces>2566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2025-04-22T08:45:00Z</dcterms:created>
  <dc:creator>Administrator</dc:creator>
  <cp:lastModifiedBy>梁华萍</cp:lastModifiedBy>
  <dcterms:modified xsi:type="dcterms:W3CDTF">2026-01-25T10:36:16Z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0EB7EFC44AA441A6A35636674018236C_13</vt:lpwstr>
  </property>
  <property fmtid="{D5CDD505-2E9C-101B-9397-08002B2CF9AE}" pid="4" name="KSOTemplateDocerSaveRecord">
    <vt:lpwstr>eyJoZGlkIjoiZDdkZTNmOTAzNzdiNjUxMDFiNzVhNDdkOTJmZTk2MjQiLCJ1c2VySWQiOiIxMzc4NTkzNjIyIn0=</vt:lpwstr>
  </property>
</Properties>
</file>