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BAF83E1">
      <w:pPr>
        <w:spacing w:line="360" w:lineRule="auto"/>
        <w:jc w:val="center"/>
        <w:rPr>
          <w:rFonts w:hint="eastAsia" w:ascii="宋体" w:hAnsi="宋体" w:eastAsia="宋体" w:cs="宋体"/>
          <w:b/>
          <w:bCs/>
          <w:sz w:val="40"/>
          <w:szCs w:val="40"/>
        </w:rPr>
      </w:pPr>
      <w:r>
        <w:rPr>
          <w:rFonts w:hint="eastAsia" w:ascii="宋体" w:hAnsi="宋体" w:eastAsia="宋体" w:cs="宋体"/>
          <w:b/>
          <w:bCs/>
          <w:sz w:val="40"/>
          <w:szCs w:val="40"/>
        </w:rPr>
        <w:t>广州质量检验研究院消防产品检测基地租赁项目</w:t>
      </w:r>
      <w:r>
        <w:rPr>
          <w:rFonts w:hint="eastAsia" w:ascii="宋体" w:hAnsi="宋体" w:eastAsia="宋体" w:cs="宋体"/>
          <w:b/>
          <w:bCs/>
          <w:sz w:val="40"/>
          <w:szCs w:val="40"/>
          <w:lang w:val="en-US" w:eastAsia="zh-CN"/>
        </w:rPr>
        <w:t>采购</w:t>
      </w:r>
      <w:r>
        <w:rPr>
          <w:rFonts w:hint="eastAsia" w:ascii="宋体" w:hAnsi="宋体" w:eastAsia="宋体" w:cs="宋体"/>
          <w:b/>
          <w:bCs/>
          <w:sz w:val="40"/>
          <w:szCs w:val="40"/>
        </w:rPr>
        <w:t>需求</w:t>
      </w:r>
    </w:p>
    <w:p w14:paraId="3C492A3A">
      <w:pPr>
        <w:spacing w:line="360" w:lineRule="auto"/>
        <w:jc w:val="center"/>
        <w:rPr>
          <w:rFonts w:hint="eastAsia" w:ascii="宋体" w:hAnsi="宋体" w:eastAsia="宋体" w:cs="宋体"/>
          <w:sz w:val="21"/>
          <w:szCs w:val="21"/>
        </w:rPr>
      </w:pPr>
    </w:p>
    <w:p w14:paraId="46ACA544">
      <w:pPr>
        <w:widowControl/>
        <w:spacing w:line="360" w:lineRule="auto"/>
        <w:jc w:val="left"/>
        <w:rPr>
          <w:rFonts w:hint="eastAsia" w:ascii="宋体" w:hAnsi="宋体" w:eastAsia="宋体" w:cs="宋体"/>
          <w:b/>
          <w:bCs/>
          <w:sz w:val="21"/>
          <w:szCs w:val="21"/>
        </w:rPr>
      </w:pPr>
      <w:r>
        <w:rPr>
          <w:rFonts w:hint="eastAsia" w:ascii="宋体" w:hAnsi="宋体" w:eastAsia="宋体" w:cs="宋体"/>
          <w:b/>
          <w:bCs/>
          <w:sz w:val="21"/>
          <w:szCs w:val="21"/>
        </w:rPr>
        <w:t>一、项目概况：</w:t>
      </w:r>
    </w:p>
    <w:p w14:paraId="10EB59AF">
      <w:pPr>
        <w:pStyle w:val="7"/>
        <w:spacing w:line="360" w:lineRule="auto"/>
        <w:ind w:firstLine="420" w:firstLineChars="200"/>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广州质量检验研究院(广州医疗器械检验中心、广州纤维质量监测中心)</w:t>
      </w:r>
      <w:r>
        <w:rPr>
          <w:rFonts w:hint="eastAsia" w:ascii="宋体" w:hAnsi="宋体" w:eastAsia="宋体" w:cs="宋体"/>
          <w:color w:val="000000"/>
          <w:sz w:val="21"/>
          <w:szCs w:val="21"/>
          <w:lang w:val="en-US" w:eastAsia="zh-CN"/>
        </w:rPr>
        <w:t>现在需要租用场地</w:t>
      </w:r>
      <w:r>
        <w:rPr>
          <w:rFonts w:hint="eastAsia" w:ascii="宋体" w:hAnsi="宋体" w:eastAsia="宋体" w:cs="宋体"/>
          <w:color w:val="000000"/>
          <w:sz w:val="21"/>
          <w:szCs w:val="21"/>
        </w:rPr>
        <w:t>主要用于开展消防产品监督抽查、检验检测等业务。</w:t>
      </w:r>
      <w:r>
        <w:rPr>
          <w:rFonts w:hint="eastAsia" w:ascii="宋体" w:hAnsi="宋体" w:eastAsia="宋体" w:cs="宋体"/>
          <w:color w:val="000000"/>
          <w:sz w:val="21"/>
          <w:szCs w:val="21"/>
          <w:lang w:val="en-US" w:eastAsia="zh-CN"/>
        </w:rPr>
        <w:t>中标人需保证</w:t>
      </w:r>
      <w:r>
        <w:rPr>
          <w:rFonts w:hint="eastAsia" w:ascii="宋体" w:hAnsi="宋体" w:eastAsia="宋体" w:cs="宋体"/>
          <w:color w:val="000000"/>
          <w:sz w:val="21"/>
          <w:szCs w:val="21"/>
        </w:rPr>
        <w:t>业务连续性，服务于消防产品检测发展，</w:t>
      </w:r>
      <w:r>
        <w:rPr>
          <w:rFonts w:hint="eastAsia" w:ascii="宋体" w:hAnsi="宋体" w:eastAsia="宋体" w:cs="宋体"/>
          <w:color w:val="000000"/>
          <w:sz w:val="21"/>
          <w:szCs w:val="21"/>
          <w:lang w:val="en-US" w:eastAsia="zh-CN"/>
        </w:rPr>
        <w:t>保证场地租赁期限，</w:t>
      </w:r>
      <w:r>
        <w:rPr>
          <w:rFonts w:hint="eastAsia" w:ascii="宋体" w:hAnsi="宋体" w:eastAsia="宋体" w:cs="宋体"/>
          <w:color w:val="000000"/>
          <w:sz w:val="21"/>
          <w:szCs w:val="21"/>
        </w:rPr>
        <w:t>减少日后搬迁带来的不便及搬迁、装修费用的增加，</w:t>
      </w:r>
      <w:r>
        <w:rPr>
          <w:rFonts w:hint="eastAsia" w:ascii="宋体" w:hAnsi="宋体" w:eastAsia="宋体" w:cs="宋体"/>
          <w:color w:val="000000"/>
          <w:sz w:val="21"/>
          <w:szCs w:val="21"/>
          <w:lang w:val="en-US" w:eastAsia="zh-CN"/>
        </w:rPr>
        <w:t>现拟租用消防产品检测场地。</w:t>
      </w:r>
    </w:p>
    <w:p w14:paraId="72B8F932">
      <w:pPr>
        <w:pStyle w:val="7"/>
        <w:spacing w:line="360" w:lineRule="auto"/>
        <w:ind w:firstLine="420"/>
        <w:jc w:val="center"/>
        <w:rPr>
          <w:rFonts w:hint="eastAsia" w:ascii="宋体" w:hAnsi="宋体" w:eastAsia="宋体" w:cs="宋体"/>
          <w:b/>
          <w:bCs/>
          <w:sz w:val="21"/>
          <w:szCs w:val="21"/>
          <w:lang w:eastAsia="zh-CN"/>
        </w:rPr>
      </w:pPr>
      <w:r>
        <w:rPr>
          <w:rFonts w:hint="eastAsia" w:ascii="宋体" w:hAnsi="宋体" w:eastAsia="宋体" w:cs="宋体"/>
          <w:b/>
          <w:bCs/>
          <w:color w:val="000000"/>
          <w:sz w:val="21"/>
          <w:szCs w:val="21"/>
        </w:rPr>
        <w:t>采购项目情况表</w:t>
      </w:r>
    </w:p>
    <w:tbl>
      <w:tblPr>
        <w:tblStyle w:val="5"/>
        <w:tblW w:w="8894" w:type="dxa"/>
        <w:tblInd w:w="0" w:type="dxa"/>
        <w:tblBorders>
          <w:top w:val="none" w:color="000000" w:sz="4" w:space="0"/>
          <w:left w:val="none" w:color="000000" w:sz="4" w:space="0"/>
          <w:bottom w:val="none" w:color="000000" w:sz="4" w:space="0"/>
          <w:right w:val="none" w:color="000000" w:sz="4" w:space="0"/>
          <w:insideH w:val="none" w:color="auto" w:sz="0" w:space="0"/>
          <w:insideV w:val="none" w:color="auto" w:sz="0" w:space="0"/>
        </w:tblBorders>
        <w:tblLayout w:type="autofit"/>
        <w:tblCellMar>
          <w:top w:w="0" w:type="dxa"/>
          <w:left w:w="108" w:type="dxa"/>
          <w:bottom w:w="0" w:type="dxa"/>
          <w:right w:w="108" w:type="dxa"/>
        </w:tblCellMar>
      </w:tblPr>
      <w:tblGrid>
        <w:gridCol w:w="956"/>
        <w:gridCol w:w="1828"/>
        <w:gridCol w:w="865"/>
        <w:gridCol w:w="1701"/>
        <w:gridCol w:w="1559"/>
        <w:gridCol w:w="1985"/>
      </w:tblGrid>
      <w:tr w14:paraId="43FAC8B3">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956" w:type="dxa"/>
            <w:tcBorders>
              <w:top w:val="single" w:color="000000" w:sz="4" w:space="0"/>
              <w:left w:val="single" w:color="000000" w:sz="4" w:space="0"/>
              <w:bottom w:val="single" w:color="000000" w:sz="4" w:space="0"/>
              <w:right w:val="single" w:color="000000" w:sz="4" w:space="0"/>
            </w:tcBorders>
            <w:tcMar>
              <w:top w:w="0" w:type="dxa"/>
              <w:left w:w="105" w:type="dxa"/>
              <w:bottom w:w="0" w:type="dxa"/>
              <w:right w:w="105" w:type="dxa"/>
            </w:tcMar>
            <w:vAlign w:val="center"/>
          </w:tcPr>
          <w:p w14:paraId="125DE91D">
            <w:pPr>
              <w:pStyle w:val="7"/>
              <w:spacing w:line="360" w:lineRule="auto"/>
              <w:jc w:val="center"/>
              <w:rPr>
                <w:rFonts w:hint="eastAsia" w:ascii="宋体" w:hAnsi="宋体" w:eastAsia="宋体" w:cs="宋体"/>
                <w:sz w:val="21"/>
                <w:szCs w:val="21"/>
              </w:rPr>
            </w:pPr>
            <w:r>
              <w:rPr>
                <w:rFonts w:hint="eastAsia" w:ascii="宋体" w:hAnsi="宋体" w:eastAsia="宋体" w:cs="宋体"/>
                <w:b/>
                <w:color w:val="000000"/>
                <w:sz w:val="21"/>
                <w:szCs w:val="21"/>
              </w:rPr>
              <w:t>采购包</w:t>
            </w:r>
          </w:p>
        </w:tc>
        <w:tc>
          <w:tcPr>
            <w:tcW w:w="1828" w:type="dxa"/>
            <w:tcBorders>
              <w:top w:val="single" w:color="000000" w:sz="4" w:space="0"/>
              <w:left w:val="nil"/>
              <w:bottom w:val="single" w:color="000000" w:sz="4" w:space="0"/>
              <w:right w:val="single" w:color="000000" w:sz="4" w:space="0"/>
            </w:tcBorders>
            <w:tcMar>
              <w:top w:w="0" w:type="dxa"/>
              <w:left w:w="105" w:type="dxa"/>
              <w:bottom w:w="0" w:type="dxa"/>
              <w:right w:w="105" w:type="dxa"/>
            </w:tcMar>
            <w:vAlign w:val="center"/>
          </w:tcPr>
          <w:p w14:paraId="18782ABC">
            <w:pPr>
              <w:pStyle w:val="7"/>
              <w:spacing w:line="360" w:lineRule="auto"/>
              <w:jc w:val="center"/>
              <w:rPr>
                <w:rFonts w:hint="eastAsia" w:ascii="宋体" w:hAnsi="宋体" w:eastAsia="宋体" w:cs="宋体"/>
                <w:sz w:val="21"/>
                <w:szCs w:val="21"/>
              </w:rPr>
            </w:pPr>
            <w:r>
              <w:rPr>
                <w:rFonts w:hint="eastAsia" w:ascii="宋体" w:hAnsi="宋体" w:eastAsia="宋体" w:cs="宋体"/>
                <w:b/>
                <w:color w:val="000000"/>
                <w:sz w:val="21"/>
                <w:szCs w:val="21"/>
              </w:rPr>
              <w:t>采购标的</w:t>
            </w:r>
          </w:p>
        </w:tc>
        <w:tc>
          <w:tcPr>
            <w:tcW w:w="865" w:type="dxa"/>
            <w:tcBorders>
              <w:top w:val="single" w:color="000000" w:sz="4" w:space="0"/>
              <w:left w:val="nil"/>
              <w:bottom w:val="single" w:color="000000" w:sz="4" w:space="0"/>
              <w:right w:val="single" w:color="000000" w:sz="4" w:space="0"/>
            </w:tcBorders>
            <w:tcMar>
              <w:top w:w="0" w:type="dxa"/>
              <w:left w:w="105" w:type="dxa"/>
              <w:bottom w:w="0" w:type="dxa"/>
              <w:right w:w="105" w:type="dxa"/>
            </w:tcMar>
            <w:vAlign w:val="center"/>
          </w:tcPr>
          <w:p w14:paraId="49E91D36">
            <w:pPr>
              <w:pStyle w:val="7"/>
              <w:spacing w:line="360" w:lineRule="auto"/>
              <w:jc w:val="center"/>
              <w:rPr>
                <w:rFonts w:hint="eastAsia" w:ascii="宋体" w:hAnsi="宋体" w:eastAsia="宋体" w:cs="宋体"/>
                <w:sz w:val="21"/>
                <w:szCs w:val="21"/>
              </w:rPr>
            </w:pPr>
            <w:r>
              <w:rPr>
                <w:rFonts w:hint="eastAsia" w:ascii="宋体" w:hAnsi="宋体" w:eastAsia="宋体" w:cs="宋体"/>
                <w:b/>
                <w:color w:val="000000"/>
                <w:sz w:val="21"/>
                <w:szCs w:val="21"/>
              </w:rPr>
              <w:t>数量</w:t>
            </w:r>
          </w:p>
        </w:tc>
        <w:tc>
          <w:tcPr>
            <w:tcW w:w="1701" w:type="dxa"/>
            <w:tcBorders>
              <w:top w:val="single" w:color="000000" w:sz="4" w:space="0"/>
              <w:left w:val="nil"/>
              <w:bottom w:val="single" w:color="000000" w:sz="4" w:space="0"/>
              <w:right w:val="single" w:color="000000" w:sz="4" w:space="0"/>
            </w:tcBorders>
            <w:tcMar>
              <w:top w:w="0" w:type="dxa"/>
              <w:left w:w="105" w:type="dxa"/>
              <w:bottom w:w="0" w:type="dxa"/>
              <w:right w:w="105" w:type="dxa"/>
            </w:tcMar>
            <w:vAlign w:val="center"/>
          </w:tcPr>
          <w:p w14:paraId="195AB1F6">
            <w:pPr>
              <w:pStyle w:val="7"/>
              <w:spacing w:line="360" w:lineRule="auto"/>
              <w:jc w:val="center"/>
              <w:rPr>
                <w:rFonts w:hint="eastAsia" w:ascii="宋体" w:hAnsi="宋体" w:eastAsia="宋体" w:cs="宋体"/>
                <w:sz w:val="21"/>
                <w:szCs w:val="21"/>
              </w:rPr>
            </w:pPr>
            <w:r>
              <w:rPr>
                <w:rFonts w:hint="eastAsia" w:ascii="宋体" w:hAnsi="宋体" w:eastAsia="宋体" w:cs="宋体"/>
                <w:b/>
                <w:color w:val="000000"/>
                <w:sz w:val="21"/>
                <w:szCs w:val="21"/>
              </w:rPr>
              <w:t>项目最高限价</w:t>
            </w:r>
          </w:p>
          <w:p w14:paraId="638AEFFD">
            <w:pPr>
              <w:pStyle w:val="7"/>
              <w:spacing w:line="360" w:lineRule="auto"/>
              <w:jc w:val="center"/>
              <w:rPr>
                <w:rFonts w:hint="eastAsia" w:ascii="宋体" w:hAnsi="宋体" w:eastAsia="宋体" w:cs="宋体"/>
                <w:sz w:val="21"/>
                <w:szCs w:val="21"/>
              </w:rPr>
            </w:pPr>
            <w:r>
              <w:rPr>
                <w:rFonts w:hint="eastAsia" w:ascii="宋体" w:hAnsi="宋体" w:eastAsia="宋体" w:cs="宋体"/>
                <w:b/>
                <w:color w:val="000000"/>
                <w:sz w:val="21"/>
                <w:szCs w:val="21"/>
              </w:rPr>
              <w:t>（人民币：万元）</w:t>
            </w:r>
          </w:p>
        </w:tc>
        <w:tc>
          <w:tcPr>
            <w:tcW w:w="1559" w:type="dxa"/>
            <w:tcBorders>
              <w:top w:val="single" w:color="000000" w:sz="4" w:space="0"/>
              <w:left w:val="nil"/>
              <w:bottom w:val="single" w:color="000000" w:sz="4" w:space="0"/>
              <w:right w:val="single" w:color="000000" w:sz="4" w:space="0"/>
            </w:tcBorders>
            <w:tcMar>
              <w:top w:w="0" w:type="dxa"/>
              <w:left w:w="105" w:type="dxa"/>
              <w:bottom w:w="0" w:type="dxa"/>
              <w:right w:w="105" w:type="dxa"/>
            </w:tcMar>
            <w:vAlign w:val="center"/>
          </w:tcPr>
          <w:p w14:paraId="26FAB2B7">
            <w:pPr>
              <w:spacing w:line="360" w:lineRule="auto"/>
              <w:jc w:val="left"/>
              <w:rPr>
                <w:rFonts w:hint="eastAsia" w:ascii="宋体" w:hAnsi="宋体" w:eastAsia="宋体" w:cs="宋体"/>
                <w:sz w:val="21"/>
                <w:szCs w:val="21"/>
              </w:rPr>
            </w:pPr>
            <w:r>
              <w:rPr>
                <w:rFonts w:hint="eastAsia" w:ascii="宋体" w:hAnsi="宋体" w:eastAsia="宋体" w:cs="宋体"/>
                <w:b/>
                <w:bCs/>
                <w:color w:val="000000"/>
                <w:kern w:val="0"/>
                <w:sz w:val="21"/>
                <w:szCs w:val="21"/>
                <w:lang w:val="en-US" w:eastAsia="zh-CN" w:bidi="ar"/>
              </w:rPr>
              <w:t>最高单价限价</w:t>
            </w:r>
          </w:p>
        </w:tc>
        <w:tc>
          <w:tcPr>
            <w:tcW w:w="1985" w:type="dxa"/>
            <w:tcBorders>
              <w:top w:val="single" w:color="000000" w:sz="4" w:space="0"/>
              <w:left w:val="nil"/>
              <w:bottom w:val="single" w:color="000000" w:sz="4" w:space="0"/>
              <w:right w:val="single" w:color="000000" w:sz="4" w:space="0"/>
            </w:tcBorders>
            <w:tcMar>
              <w:top w:w="0" w:type="dxa"/>
              <w:left w:w="105" w:type="dxa"/>
              <w:bottom w:w="0" w:type="dxa"/>
              <w:right w:w="105" w:type="dxa"/>
            </w:tcMar>
            <w:vAlign w:val="center"/>
          </w:tcPr>
          <w:p w14:paraId="6F16B814">
            <w:pPr>
              <w:spacing w:line="360" w:lineRule="auto"/>
              <w:jc w:val="left"/>
              <w:rPr>
                <w:rFonts w:hint="eastAsia" w:ascii="宋体" w:hAnsi="宋体" w:eastAsia="宋体" w:cs="宋体"/>
                <w:sz w:val="21"/>
                <w:szCs w:val="21"/>
              </w:rPr>
            </w:pPr>
            <w:r>
              <w:rPr>
                <w:rFonts w:hint="eastAsia" w:ascii="宋体" w:hAnsi="宋体" w:eastAsia="宋体" w:cs="宋体"/>
                <w:b/>
                <w:bCs/>
                <w:color w:val="000000"/>
                <w:kern w:val="0"/>
                <w:sz w:val="21"/>
                <w:szCs w:val="21"/>
                <w:lang w:val="en-US" w:eastAsia="zh-CN" w:bidi="ar"/>
              </w:rPr>
              <w:t>履约期限</w:t>
            </w:r>
          </w:p>
        </w:tc>
      </w:tr>
      <w:tr w14:paraId="275C7972">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956"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737E21EE">
            <w:pPr>
              <w:pStyle w:val="7"/>
              <w:spacing w:line="360" w:lineRule="auto"/>
              <w:jc w:val="center"/>
              <w:rPr>
                <w:rFonts w:hint="eastAsia" w:ascii="宋体" w:hAnsi="宋体" w:eastAsia="宋体" w:cs="宋体"/>
                <w:sz w:val="21"/>
                <w:szCs w:val="21"/>
              </w:rPr>
            </w:pPr>
            <w:r>
              <w:rPr>
                <w:rFonts w:hint="eastAsia" w:ascii="宋体" w:hAnsi="宋体" w:eastAsia="宋体" w:cs="宋体"/>
                <w:color w:val="000000"/>
                <w:sz w:val="21"/>
                <w:szCs w:val="21"/>
              </w:rPr>
              <w:t>1</w:t>
            </w:r>
          </w:p>
        </w:tc>
        <w:tc>
          <w:tcPr>
            <w:tcW w:w="1828"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2835852C">
            <w:pPr>
              <w:pStyle w:val="7"/>
              <w:spacing w:line="360" w:lineRule="auto"/>
              <w:jc w:val="center"/>
              <w:rPr>
                <w:rFonts w:hint="eastAsia" w:ascii="宋体" w:hAnsi="宋体" w:eastAsia="宋体" w:cs="宋体"/>
                <w:sz w:val="21"/>
                <w:szCs w:val="21"/>
              </w:rPr>
            </w:pPr>
            <w:r>
              <w:rPr>
                <w:rFonts w:hint="eastAsia" w:ascii="宋体" w:hAnsi="宋体" w:eastAsia="宋体" w:cs="宋体"/>
                <w:color w:val="000000"/>
                <w:sz w:val="21"/>
                <w:szCs w:val="21"/>
              </w:rPr>
              <w:t>广州质量检验研究院消防产品检测基地租赁项目</w:t>
            </w:r>
          </w:p>
        </w:tc>
        <w:tc>
          <w:tcPr>
            <w:tcW w:w="865"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0CCF3A9A">
            <w:pPr>
              <w:pStyle w:val="7"/>
              <w:spacing w:line="360" w:lineRule="auto"/>
              <w:jc w:val="center"/>
              <w:rPr>
                <w:rFonts w:hint="eastAsia" w:ascii="宋体" w:hAnsi="宋体" w:eastAsia="宋体" w:cs="宋体"/>
                <w:sz w:val="21"/>
                <w:szCs w:val="21"/>
              </w:rPr>
            </w:pPr>
            <w:r>
              <w:rPr>
                <w:rFonts w:hint="eastAsia" w:ascii="宋体" w:hAnsi="宋体" w:eastAsia="宋体" w:cs="宋体"/>
                <w:color w:val="000000"/>
                <w:sz w:val="21"/>
                <w:szCs w:val="21"/>
              </w:rPr>
              <w:t>1项</w:t>
            </w:r>
          </w:p>
        </w:tc>
        <w:tc>
          <w:tcPr>
            <w:tcW w:w="1701"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260DCC5E">
            <w:pPr>
              <w:pStyle w:val="7"/>
              <w:spacing w:line="360" w:lineRule="auto"/>
              <w:jc w:val="center"/>
              <w:rPr>
                <w:rFonts w:hint="eastAsia" w:ascii="宋体" w:hAnsi="宋体" w:eastAsia="宋体" w:cs="宋体"/>
                <w:sz w:val="21"/>
                <w:szCs w:val="21"/>
                <w:highlight w:val="yellow"/>
                <w:lang w:val="en-US" w:eastAsia="zh-CN"/>
              </w:rPr>
            </w:pPr>
            <w:r>
              <w:rPr>
                <w:rFonts w:hint="eastAsia" w:ascii="宋体" w:hAnsi="宋体" w:eastAsia="宋体" w:cs="宋体"/>
                <w:color w:val="000000"/>
                <w:sz w:val="21"/>
                <w:szCs w:val="21"/>
                <w:highlight w:val="none"/>
              </w:rPr>
              <w:t>12</w:t>
            </w:r>
            <w:r>
              <w:rPr>
                <w:rFonts w:hint="eastAsia" w:ascii="宋体" w:hAnsi="宋体" w:eastAsia="宋体" w:cs="宋体"/>
                <w:color w:val="000000"/>
                <w:sz w:val="21"/>
                <w:szCs w:val="21"/>
                <w:highlight w:val="none"/>
                <w:lang w:val="en-US" w:eastAsia="zh-CN"/>
              </w:rPr>
              <w:t>50</w:t>
            </w:r>
            <w:r>
              <w:rPr>
                <w:rFonts w:hint="eastAsia" w:ascii="宋体" w:hAnsi="宋体" w:eastAsia="宋体" w:cs="宋体"/>
                <w:color w:val="000000"/>
                <w:sz w:val="21"/>
                <w:szCs w:val="21"/>
                <w:highlight w:val="none"/>
              </w:rPr>
              <w:t>.</w:t>
            </w:r>
            <w:r>
              <w:rPr>
                <w:rFonts w:hint="eastAsia" w:ascii="宋体" w:hAnsi="宋体" w:eastAsia="宋体" w:cs="宋体"/>
                <w:color w:val="000000"/>
                <w:sz w:val="21"/>
                <w:szCs w:val="21"/>
                <w:highlight w:val="none"/>
                <w:lang w:val="en-US" w:eastAsia="zh-CN"/>
              </w:rPr>
              <w:t>00</w:t>
            </w:r>
          </w:p>
        </w:tc>
        <w:tc>
          <w:tcPr>
            <w:tcW w:w="1559"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0CC279A3">
            <w:pPr>
              <w:spacing w:line="360" w:lineRule="auto"/>
              <w:jc w:val="left"/>
              <w:rPr>
                <w:rFonts w:hint="eastAsia" w:ascii="宋体" w:hAnsi="宋体" w:eastAsia="宋体" w:cs="宋体"/>
                <w:sz w:val="21"/>
                <w:szCs w:val="21"/>
                <w:highlight w:val="yellow"/>
                <w:lang w:eastAsia="zh-CN"/>
              </w:rPr>
            </w:pPr>
            <w:r>
              <w:rPr>
                <w:rFonts w:hint="eastAsia" w:ascii="宋体" w:hAnsi="宋体" w:eastAsia="宋体" w:cs="宋体"/>
                <w:color w:val="000000"/>
                <w:kern w:val="0"/>
                <w:sz w:val="21"/>
                <w:szCs w:val="21"/>
                <w:lang w:val="en-US" w:eastAsia="zh-CN" w:bidi="ar"/>
              </w:rPr>
              <w:t>人民币35元</w:t>
            </w:r>
            <w:r>
              <w:rPr>
                <w:rFonts w:hint="eastAsia" w:ascii="宋体" w:hAnsi="宋体" w:eastAsia="宋体" w:cs="宋体"/>
                <w:color w:val="000000"/>
                <w:kern w:val="0"/>
                <w:sz w:val="21"/>
                <w:szCs w:val="21"/>
                <w:lang w:val="en-US" w:eastAsia="zh-CN" w:bidi="ar"/>
              </w:rPr>
              <w:t>/</w:t>
            </w:r>
            <w:r>
              <w:rPr>
                <w:rFonts w:hint="eastAsia" w:ascii="宋体" w:hAnsi="宋体" w:eastAsia="宋体" w:cs="宋体"/>
                <w:color w:val="000000"/>
                <w:kern w:val="0"/>
                <w:sz w:val="21"/>
                <w:szCs w:val="21"/>
                <w:lang w:val="en-US" w:eastAsia="zh-CN" w:bidi="ar"/>
              </w:rPr>
              <w:t>㎡</w:t>
            </w:r>
            <w:r>
              <w:rPr>
                <w:rFonts w:hint="eastAsia" w:ascii="宋体" w:hAnsi="宋体" w:eastAsia="宋体" w:cs="宋体"/>
                <w:color w:val="000000"/>
                <w:kern w:val="0"/>
                <w:sz w:val="21"/>
                <w:szCs w:val="21"/>
                <w:lang w:val="en-US" w:eastAsia="zh-CN" w:bidi="ar"/>
              </w:rPr>
              <w:t>/</w:t>
            </w:r>
            <w:r>
              <w:rPr>
                <w:rFonts w:hint="eastAsia" w:ascii="宋体" w:hAnsi="宋体" w:eastAsia="宋体" w:cs="宋体"/>
                <w:color w:val="000000"/>
                <w:kern w:val="0"/>
                <w:sz w:val="21"/>
                <w:szCs w:val="21"/>
                <w:lang w:val="en-US" w:eastAsia="zh-CN" w:bidi="ar"/>
              </w:rPr>
              <w:t>月（含税），年租金上调率不超过5%</w:t>
            </w:r>
            <w:r>
              <w:rPr>
                <w:rFonts w:hint="eastAsia" w:ascii="宋体" w:hAnsi="宋体" w:eastAsia="宋体" w:cs="宋体"/>
                <w:color w:val="000000"/>
                <w:kern w:val="0"/>
                <w:sz w:val="21"/>
                <w:szCs w:val="21"/>
                <w:lang w:val="en-US" w:eastAsia="zh-CN" w:bidi="ar"/>
              </w:rPr>
              <w:t>。</w:t>
            </w:r>
          </w:p>
        </w:tc>
        <w:tc>
          <w:tcPr>
            <w:tcW w:w="1985"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5F2C2F4E">
            <w:pPr>
              <w:keepNext w:val="0"/>
              <w:keepLines w:val="0"/>
              <w:widowControl/>
              <w:suppressLineNumbers w:val="0"/>
              <w:spacing w:line="360" w:lineRule="auto"/>
              <w:jc w:val="left"/>
              <w:rPr>
                <w:rFonts w:hint="eastAsia" w:ascii="宋体" w:hAnsi="宋体" w:eastAsia="宋体" w:cs="宋体"/>
                <w:sz w:val="21"/>
                <w:szCs w:val="21"/>
              </w:rPr>
            </w:pPr>
            <w:r>
              <w:rPr>
                <w:rFonts w:hint="eastAsia" w:ascii="宋体" w:hAnsi="宋体" w:eastAsia="宋体" w:cs="宋体"/>
                <w:color w:val="000000"/>
                <w:kern w:val="0"/>
                <w:sz w:val="21"/>
                <w:szCs w:val="21"/>
                <w:lang w:val="en-US" w:eastAsia="zh-CN" w:bidi="ar"/>
              </w:rPr>
              <w:t>交付使用后为期3年</w:t>
            </w:r>
          </w:p>
          <w:p w14:paraId="5B096546">
            <w:pPr>
              <w:pStyle w:val="7"/>
              <w:spacing w:line="360" w:lineRule="auto"/>
              <w:jc w:val="center"/>
              <w:rPr>
                <w:rFonts w:hint="eastAsia" w:ascii="宋体" w:hAnsi="宋体" w:eastAsia="宋体" w:cs="宋体"/>
                <w:sz w:val="21"/>
                <w:szCs w:val="21"/>
                <w:highlight w:val="yellow"/>
                <w:lang w:eastAsia="zh-CN"/>
              </w:rPr>
            </w:pPr>
          </w:p>
        </w:tc>
      </w:tr>
    </w:tbl>
    <w:p w14:paraId="6CF86518">
      <w:pPr>
        <w:widowControl/>
        <w:spacing w:line="360" w:lineRule="auto"/>
        <w:ind w:firstLine="420" w:firstLineChars="200"/>
        <w:jc w:val="left"/>
        <w:rPr>
          <w:rFonts w:hint="eastAsia" w:ascii="宋体" w:hAnsi="宋体" w:eastAsia="宋体" w:cs="宋体"/>
          <w:color w:val="000000"/>
          <w:kern w:val="0"/>
          <w:sz w:val="21"/>
          <w:szCs w:val="21"/>
          <w:lang w:eastAsia="zh-Hans"/>
        </w:rPr>
      </w:pPr>
      <w:r>
        <w:rPr>
          <w:rFonts w:hint="eastAsia" w:ascii="宋体" w:hAnsi="宋体" w:eastAsia="宋体" w:cs="宋体"/>
          <w:color w:val="000000"/>
          <w:kern w:val="0"/>
          <w:sz w:val="21"/>
          <w:szCs w:val="21"/>
          <w:lang w:eastAsia="zh-Hans"/>
        </w:rPr>
        <w:t>具体采购预算以当年财局批复为准，采购人不对此预算作承诺。</w:t>
      </w:r>
    </w:p>
    <w:p w14:paraId="5DDFEFA6">
      <w:pPr>
        <w:widowControl/>
        <w:spacing w:line="360" w:lineRule="auto"/>
        <w:jc w:val="left"/>
        <w:rPr>
          <w:rFonts w:hint="eastAsia" w:ascii="宋体" w:hAnsi="宋体" w:eastAsia="宋体" w:cs="宋体"/>
          <w:b/>
          <w:bCs/>
          <w:sz w:val="21"/>
          <w:szCs w:val="21"/>
          <w:lang w:eastAsia="zh-CN"/>
        </w:rPr>
      </w:pPr>
      <w:r>
        <w:rPr>
          <w:rFonts w:hint="eastAsia" w:ascii="宋体" w:hAnsi="宋体" w:eastAsia="宋体" w:cs="宋体"/>
          <w:b/>
          <w:bCs/>
          <w:sz w:val="21"/>
          <w:szCs w:val="21"/>
        </w:rPr>
        <w:t>二、项目服务内容</w:t>
      </w:r>
    </w:p>
    <w:p w14:paraId="0640ABFA">
      <w:pPr>
        <w:pStyle w:val="7"/>
        <w:spacing w:line="360" w:lineRule="auto"/>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rPr>
        <w:t>1、服务范围：位于广州市番禺区</w:t>
      </w:r>
    </w:p>
    <w:p w14:paraId="7C506C9F">
      <w:pPr>
        <w:pStyle w:val="7"/>
        <w:spacing w:line="360" w:lineRule="auto"/>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rPr>
        <w:t>2、服务要求：具备合法有效的权属证明，保证在交接时无出让、查封、抵押、担保等事项，没有其他法律纠纷。</w:t>
      </w:r>
      <w:bookmarkStart w:id="0" w:name="_GoBack"/>
      <w:bookmarkEnd w:id="0"/>
    </w:p>
    <w:p w14:paraId="52894E0A">
      <w:pPr>
        <w:pStyle w:val="7"/>
        <w:spacing w:line="360" w:lineRule="auto"/>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rPr>
        <w:t>3、服务时间（履行期限）：2026年3月1日至2028年2月28日。</w:t>
      </w:r>
    </w:p>
    <w:p w14:paraId="4CB8A1EE">
      <w:pPr>
        <w:pStyle w:val="7"/>
        <w:spacing w:line="360" w:lineRule="auto"/>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rPr>
        <w:t>4、服务标准：按照采购文件要求及响应文件的响应情况为采购人提供场地租赁服务。</w:t>
      </w:r>
    </w:p>
    <w:p w14:paraId="56E547B9">
      <w:pPr>
        <w:pStyle w:val="7"/>
        <w:spacing w:line="360" w:lineRule="auto"/>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5、★场地地址：根据广东省市场监督管理局相关的批复要求，租赁场地的行政辖区为广州市。</w:t>
      </w:r>
    </w:p>
    <w:p w14:paraId="24CA5954">
      <w:pPr>
        <w:pStyle w:val="7"/>
        <w:spacing w:line="360" w:lineRule="auto"/>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6、★场地占地面积：8000㎡-10000㎡，建筑总面积：7000㎡-10000㎡。</w:t>
      </w:r>
    </w:p>
    <w:p w14:paraId="76A7846A">
      <w:pPr>
        <w:pStyle w:val="7"/>
        <w:spacing w:line="360" w:lineRule="auto"/>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7、▲场地规划用途须为工业用地，至少具有土地证或房产证（不动产证）或工业用地证明能开展环境影响评价的基础条件。</w:t>
      </w:r>
    </w:p>
    <w:p w14:paraId="0CE23900">
      <w:pPr>
        <w:pStyle w:val="7"/>
        <w:spacing w:line="360" w:lineRule="auto"/>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8、▲场地距离居民区、学校、医院、大型商场至少有100m。投标人投标时应提供场地及周围100m范围内的实景卫星地图截图。</w:t>
      </w:r>
    </w:p>
    <w:p w14:paraId="4910AD7A">
      <w:pPr>
        <w:pStyle w:val="7"/>
        <w:spacing w:line="360" w:lineRule="auto"/>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9、场地具体要求</w:t>
      </w:r>
    </w:p>
    <w:p w14:paraId="3DF26541">
      <w:pPr>
        <w:pStyle w:val="7"/>
        <w:spacing w:line="360" w:lineRule="auto"/>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（1）▲单一层钢结构厂房的面积4500㎡（含）以上，其余厂房可以是标准厂房（非钢结构,不带地下楼层）；</w:t>
      </w:r>
    </w:p>
    <w:p w14:paraId="3218F982">
      <w:pPr>
        <w:pStyle w:val="7"/>
        <w:spacing w:line="360" w:lineRule="auto"/>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（2）▲单一层钢结构的厂房高度要求：至少有1000㎡厂房的屋檐滴水高度9m（含）以上；除了前述1000㎡外，其他单一层钢结构厂房的屋檐滴水高度须7m（含）以上。</w:t>
      </w:r>
    </w:p>
    <w:p w14:paraId="41CC21DE">
      <w:pPr>
        <w:pStyle w:val="7"/>
        <w:spacing w:line="360" w:lineRule="auto"/>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（3）场地的水电设施配备完善且可正常使用，用电量至少有315kVA，有功功率大于250KW。</w:t>
      </w:r>
    </w:p>
    <w:p w14:paraId="1AEEF631">
      <w:pPr>
        <w:pStyle w:val="7"/>
        <w:spacing w:line="360" w:lineRule="auto"/>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10、其他要求：</w:t>
      </w:r>
    </w:p>
    <w:p w14:paraId="40970597">
      <w:pPr>
        <w:pStyle w:val="7"/>
        <w:spacing w:line="360" w:lineRule="auto"/>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（1）▲场地所处地理位置应便于珠三角、港珠澳地区企业送检。</w:t>
      </w:r>
    </w:p>
    <w:p w14:paraId="0C927F37">
      <w:pPr>
        <w:pStyle w:val="7"/>
        <w:spacing w:line="360" w:lineRule="auto"/>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（2）▲场地配置有污水排放设施并已接入当地市政排污管网。</w:t>
      </w:r>
    </w:p>
    <w:p w14:paraId="7087A91E">
      <w:pPr>
        <w:pStyle w:val="7"/>
        <w:spacing w:line="360" w:lineRule="auto"/>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（3）▲场地已开通管道天然气或者管道天然气设施已铺设至该场地附近。</w:t>
      </w:r>
    </w:p>
    <w:p w14:paraId="38363104">
      <w:pPr>
        <w:pStyle w:val="7"/>
        <w:spacing w:line="360" w:lineRule="auto"/>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（4）承租后，采购人可进行临建，适度改造、内部必要装饰、规划内部用地等；在不影响楼层结构与安全的前提下，可由采购人按需改造。中标人需配合采购人办理手续。</w:t>
      </w:r>
    </w:p>
    <w:p w14:paraId="175D040C">
      <w:pPr>
        <w:pStyle w:val="7"/>
        <w:spacing w:line="360" w:lineRule="auto"/>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11、交接时间：签约后1个月内交付使用。</w:t>
      </w:r>
    </w:p>
    <w:p w14:paraId="03BA26C2">
      <w:pPr>
        <w:pStyle w:val="7"/>
        <w:spacing w:line="360" w:lineRule="auto"/>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12、建筑面积以第三方有资质机构丈量的面积做为实际依据。场地中包含的过道、空地的面积不纳入租金计算。</w:t>
      </w:r>
    </w:p>
    <w:p w14:paraId="65E9EBF2">
      <w:pPr>
        <w:widowControl/>
        <w:spacing w:line="360" w:lineRule="auto"/>
        <w:jc w:val="left"/>
        <w:rPr>
          <w:rFonts w:hint="eastAsia" w:ascii="宋体" w:hAnsi="宋体" w:eastAsia="宋体" w:cs="宋体"/>
          <w:b/>
          <w:bCs/>
          <w:sz w:val="21"/>
          <w:szCs w:val="21"/>
          <w:lang w:eastAsia="zh-CN"/>
        </w:rPr>
      </w:pPr>
      <w:r>
        <w:rPr>
          <w:rFonts w:hint="eastAsia" w:ascii="宋体" w:hAnsi="宋体" w:eastAsia="宋体" w:cs="宋体"/>
          <w:b/>
          <w:bCs/>
          <w:sz w:val="21"/>
          <w:szCs w:val="21"/>
        </w:rPr>
        <w:t>三、投标人要求</w:t>
      </w:r>
    </w:p>
    <w:p w14:paraId="252BCC36">
      <w:pPr>
        <w:pStyle w:val="7"/>
        <w:spacing w:line="360" w:lineRule="auto"/>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rPr>
        <w:t>1、投标人须为所投标的物业权属人、代理商或具有转租/分组资格的承租人。投标人如为场地的权属人，提供权属证明材料；投标人如为场地出租代理商或具有转租/分组资格的承租人，应能提供自权属人到供应商具有出租资格的整套证明材料（包括权属人的物业产权证明材料，权属人一级一级往下授权的证明材料）。</w:t>
      </w:r>
    </w:p>
    <w:p w14:paraId="2E586DB9">
      <w:pPr>
        <w:pStyle w:val="7"/>
        <w:spacing w:line="360" w:lineRule="auto"/>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rPr>
        <w:t>2、提供投标人所投标的物的房屋设计情况、装修情况、适用情况和验收方案。</w:t>
      </w:r>
    </w:p>
    <w:p w14:paraId="03C04C0E">
      <w:pPr>
        <w:pStyle w:val="7"/>
        <w:spacing w:line="360" w:lineRule="auto"/>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rPr>
        <w:t>3、投标人需具有完善的管理体系。</w:t>
      </w:r>
    </w:p>
    <w:p w14:paraId="056A9AE3">
      <w:pPr>
        <w:pStyle w:val="7"/>
        <w:spacing w:line="360" w:lineRule="auto"/>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rPr>
        <w:t>4、投标人需确保所投报的土地及其地面建筑权属清晰无争议，至报价有效期截止日前无出让、查封、抵押、担保或其他法律纠纷，具备合法有效的土地所有权证或其它权属的证明。注：若投标非土地权属人，则需另附土地权属人同意转租意见书，同意转租意见书内容应清晰、明确转租内容，无歧义，格式自定。</w:t>
      </w:r>
    </w:p>
    <w:p w14:paraId="22A146EE">
      <w:pPr>
        <w:pStyle w:val="7"/>
        <w:spacing w:line="360" w:lineRule="auto"/>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rPr>
        <w:t>5、租赁期：场地可租期限应能达到10年（含）以上，合同3年1签，中标人应能提供正规租赁增值税专用发票。</w:t>
      </w:r>
    </w:p>
    <w:p w14:paraId="6D30262F">
      <w:pPr>
        <w:pStyle w:val="7"/>
        <w:spacing w:line="360" w:lineRule="auto"/>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rPr>
        <w:t>6、租赁期间如遇相关执法管理部门对土地及地面建筑进行检查的，中标人需负责配合完成相关检查工作，如因中标人原因对采购人造成损害的，中标人需负责承担相关损失。</w:t>
      </w:r>
    </w:p>
    <w:p w14:paraId="1C33F605">
      <w:pPr>
        <w:pStyle w:val="7"/>
        <w:spacing w:line="360" w:lineRule="auto"/>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rPr>
        <w:t>7、若租赁期间土地上附属建筑物在消防部门对其进行检查时被出具整改通知要求的，中标人负责按要求完成整改工作，相关费用由中标人负责。</w:t>
      </w:r>
    </w:p>
    <w:p w14:paraId="0DCB6EA9">
      <w:pPr>
        <w:pStyle w:val="7"/>
        <w:spacing w:line="360" w:lineRule="auto"/>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rPr>
        <w:t>8、该租赁土地的审批手续由中标人负责，采购人予以配合。</w:t>
      </w:r>
    </w:p>
    <w:p w14:paraId="7DC52BB7">
      <w:pPr>
        <w:widowControl/>
        <w:spacing w:line="360" w:lineRule="auto"/>
        <w:jc w:val="left"/>
        <w:rPr>
          <w:rFonts w:hint="eastAsia" w:ascii="宋体" w:hAnsi="宋体" w:eastAsia="宋体" w:cs="宋体"/>
          <w:b/>
          <w:bCs/>
          <w:sz w:val="21"/>
          <w:szCs w:val="21"/>
          <w:lang w:eastAsia="zh-CN"/>
        </w:rPr>
      </w:pPr>
      <w:r>
        <w:rPr>
          <w:rFonts w:hint="eastAsia" w:ascii="宋体" w:hAnsi="宋体" w:eastAsia="宋体" w:cs="宋体"/>
          <w:b/>
          <w:bCs/>
          <w:sz w:val="21"/>
          <w:szCs w:val="21"/>
        </w:rPr>
        <w:t>四、报价要求</w:t>
      </w:r>
    </w:p>
    <w:p w14:paraId="5B770C02">
      <w:pPr>
        <w:pStyle w:val="7"/>
        <w:spacing w:line="360" w:lineRule="auto"/>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rPr>
        <w:t>（一）本项目采用租金按每平方米单价报价的形式进行，投标人的单价报价不能超过本项目最高单价限价。</w:t>
      </w:r>
    </w:p>
    <w:p w14:paraId="7F6D8E31">
      <w:pPr>
        <w:pStyle w:val="7"/>
        <w:spacing w:line="360" w:lineRule="auto"/>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rPr>
        <w:t>（二）总租金报价以（单价*建筑面积*租赁日期）为准进行计算，年租金上调率不超过5%。投标人应承担服务期内由于市场波动而引致的风险。</w:t>
      </w:r>
    </w:p>
    <w:p w14:paraId="56D21D9A">
      <w:pPr>
        <w:pStyle w:val="7"/>
        <w:spacing w:line="360" w:lineRule="auto"/>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rPr>
        <w:t>（三）投标人的报价不包括物业管理费、水电、煤气、网络通信服务费。如有物业管理费，投标人应在投标文件中注明其物业管理费，作为中标参考。</w:t>
      </w:r>
    </w:p>
    <w:p w14:paraId="5753F6B8">
      <w:pPr>
        <w:widowControl/>
        <w:spacing w:line="360" w:lineRule="auto"/>
        <w:jc w:val="left"/>
        <w:rPr>
          <w:rFonts w:hint="eastAsia" w:ascii="宋体" w:hAnsi="宋体" w:eastAsia="宋体" w:cs="宋体"/>
          <w:b/>
          <w:bCs/>
          <w:sz w:val="21"/>
          <w:szCs w:val="21"/>
          <w:lang w:eastAsia="zh-CN"/>
        </w:rPr>
      </w:pPr>
      <w:r>
        <w:rPr>
          <w:rFonts w:hint="eastAsia" w:ascii="宋体" w:hAnsi="宋体" w:eastAsia="宋体" w:cs="宋体"/>
          <w:b/>
          <w:bCs/>
          <w:sz w:val="21"/>
          <w:szCs w:val="21"/>
        </w:rPr>
        <w:t>五、付款及结算方式</w:t>
      </w:r>
    </w:p>
    <w:p w14:paraId="16A8840D">
      <w:pPr>
        <w:pStyle w:val="7"/>
        <w:spacing w:line="360" w:lineRule="auto"/>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rPr>
        <w:t>(一)合同款支付：</w:t>
      </w:r>
    </w:p>
    <w:p w14:paraId="7E2A0C61">
      <w:pPr>
        <w:pStyle w:val="7"/>
        <w:spacing w:line="360" w:lineRule="auto"/>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rPr>
        <w:t>1.实际租金=每平方米中标单价*建筑面积（建筑面积以第三方有资质机构丈量的面积做为实际依据，场地中包含的过道、空地的面积不纳入租金计算）。</w:t>
      </w:r>
    </w:p>
    <w:p w14:paraId="6B84B757">
      <w:pPr>
        <w:pStyle w:val="7"/>
        <w:spacing w:line="360" w:lineRule="auto"/>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2</w:t>
      </w:r>
      <w:r>
        <w:rPr>
          <w:rFonts w:hint="eastAsia" w:ascii="宋体" w:hAnsi="宋体" w:eastAsia="宋体" w:cs="宋体"/>
          <w:color w:val="000000"/>
          <w:sz w:val="21"/>
          <w:szCs w:val="21"/>
        </w:rPr>
        <w:t>.签订合同后，采购人在10个工作日内向中标人支付2个月租金作为押金；免租期过后第一个月，在收到发票后5个工作日内向中标人支付当月租金。</w:t>
      </w:r>
    </w:p>
    <w:p w14:paraId="4ABFEF8E">
      <w:pPr>
        <w:pStyle w:val="7"/>
        <w:spacing w:line="360" w:lineRule="auto"/>
        <w:ind w:firstLine="420" w:firstLineChars="200"/>
        <w:rPr>
          <w:rFonts w:hint="eastAsia" w:ascii="宋体" w:hAnsi="宋体" w:eastAsia="宋体" w:cs="宋体"/>
          <w:sz w:val="21"/>
          <w:szCs w:val="21"/>
        </w:rPr>
      </w:pPr>
      <w:r>
        <w:rPr>
          <w:rFonts w:hint="eastAsia" w:ascii="宋体" w:hAnsi="宋体" w:eastAsia="宋体" w:cs="宋体"/>
          <w:color w:val="000000"/>
          <w:sz w:val="21"/>
          <w:szCs w:val="21"/>
          <w:lang w:val="en-US" w:eastAsia="zh-CN"/>
        </w:rPr>
        <w:t>3</w:t>
      </w:r>
      <w:r>
        <w:rPr>
          <w:rFonts w:hint="eastAsia" w:ascii="宋体" w:hAnsi="宋体" w:eastAsia="宋体" w:cs="宋体"/>
          <w:color w:val="000000"/>
          <w:sz w:val="21"/>
          <w:szCs w:val="21"/>
        </w:rPr>
        <w:t>.根据中标单价按实每月支付一次，每月结束后的5个工作日内，中标人向采购人提供租金发票，采购人在收到中标人发票的5个工作日内支付租金。</w:t>
      </w:r>
    </w:p>
    <w:p w14:paraId="6149DC39">
      <w:pPr>
        <w:pStyle w:val="7"/>
        <w:spacing w:line="360" w:lineRule="auto"/>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4</w:t>
      </w:r>
      <w:r>
        <w:rPr>
          <w:rFonts w:hint="eastAsia" w:ascii="宋体" w:hAnsi="宋体" w:eastAsia="宋体" w:cs="宋体"/>
          <w:color w:val="000000"/>
          <w:sz w:val="21"/>
          <w:szCs w:val="21"/>
        </w:rPr>
        <w:t>.每次按合同支付款项前，中标人应向采购人提供与支付金额相符合的有效增值税专用发票，且收款方、出具发票方、合同乙方均必须与中标人名称一致；</w:t>
      </w:r>
    </w:p>
    <w:p w14:paraId="6E3F9749">
      <w:pPr>
        <w:pStyle w:val="7"/>
        <w:spacing w:line="360" w:lineRule="auto"/>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5</w:t>
      </w:r>
      <w:r>
        <w:rPr>
          <w:rFonts w:hint="eastAsia" w:ascii="宋体" w:hAnsi="宋体" w:eastAsia="宋体" w:cs="宋体"/>
          <w:color w:val="000000"/>
          <w:sz w:val="21"/>
          <w:szCs w:val="21"/>
        </w:rPr>
        <w:t>.违约责任：采购人逾期支付合同款项的，除应当支付合同款项外，还应当每日按合同总价的3‰向中标人偿付违约金，但因中标人自身原因导致无法及时支付的除外。</w:t>
      </w:r>
    </w:p>
    <w:p w14:paraId="7F1F59B3">
      <w:pPr>
        <w:pStyle w:val="7"/>
        <w:spacing w:line="360" w:lineRule="auto"/>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6</w:t>
      </w:r>
      <w:r>
        <w:rPr>
          <w:rFonts w:hint="eastAsia" w:ascii="宋体" w:hAnsi="宋体" w:eastAsia="宋体" w:cs="宋体"/>
          <w:color w:val="000000"/>
          <w:sz w:val="21"/>
          <w:szCs w:val="21"/>
        </w:rPr>
        <w:t>.最后一个合同年度服务期结束后，中标人应在15个工作日无息退回押金。</w:t>
      </w:r>
    </w:p>
    <w:p w14:paraId="2A2F0727">
      <w:pPr>
        <w:pStyle w:val="7"/>
        <w:spacing w:line="360" w:lineRule="auto"/>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rPr>
        <w:t>(二)付款方式：采用支票、银行汇票、电汇三种形式</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panose1 w:val="02000000000000000000"/>
    <w:charset w:val="86"/>
    <w:family w:val="script"/>
    <w:pitch w:val="default"/>
    <w:sig w:usb0="00000001" w:usb1="08000000" w:usb2="00000000" w:usb3="00000000" w:csb0="00040000" w:csb1="00000000"/>
  </w:font>
  <w:font w:name="KSOFE44F9426">
    <w:panose1 w:val="02010609060101010101"/>
    <w:charset w:val="86"/>
    <w:family w:val="auto"/>
    <w:pitch w:val="default"/>
    <w:sig w:usb0="00000001" w:usb1="00000000" w:usb2="00000000"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994222333"/>
      <w:docPartObj>
        <w:docPartGallery w:val="autotext"/>
      </w:docPartObj>
    </w:sdtPr>
    <w:sdtContent>
      <w:sdt>
        <w:sdtPr>
          <w:id w:val="-1669238322"/>
          <w:docPartObj>
            <w:docPartGallery w:val="autotext"/>
          </w:docPartObj>
        </w:sdtPr>
        <w:sdtContent>
          <w:p w14:paraId="4A72D65A">
            <w:pPr>
              <w:pStyle w:val="2"/>
              <w:jc w:val="cente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rPr>
              <w:t>1</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rPr>
              <w:t>3</w:t>
            </w:r>
            <w:r>
              <w:rPr>
                <w:b/>
                <w:bCs/>
                <w:sz w:val="24"/>
                <w:szCs w:val="24"/>
              </w:rPr>
              <w:fldChar w:fldCharType="end"/>
            </w:r>
          </w:p>
        </w:sdtContent>
      </w:sdt>
    </w:sdtContent>
  </w:sdt>
  <w:p w14:paraId="412F28FD">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7"/>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U4ZWU5MGUzMTY4NmRmZjUwZTQ5ZTViMTVkOGMwYjMifQ=="/>
  </w:docVars>
  <w:rsids>
    <w:rsidRoot w:val="651C5673"/>
    <w:rsid w:val="000E2284"/>
    <w:rsid w:val="0048534E"/>
    <w:rsid w:val="004F3346"/>
    <w:rsid w:val="00E458DE"/>
    <w:rsid w:val="00EA3861"/>
    <w:rsid w:val="0908681C"/>
    <w:rsid w:val="0CCC4DA5"/>
    <w:rsid w:val="14073CC5"/>
    <w:rsid w:val="169B2095"/>
    <w:rsid w:val="1ADE4C27"/>
    <w:rsid w:val="1CD943F6"/>
    <w:rsid w:val="20E2772F"/>
    <w:rsid w:val="24931021"/>
    <w:rsid w:val="31411903"/>
    <w:rsid w:val="386E3E21"/>
    <w:rsid w:val="3A232C26"/>
    <w:rsid w:val="3D383997"/>
    <w:rsid w:val="500848CB"/>
    <w:rsid w:val="50EA150D"/>
    <w:rsid w:val="54416563"/>
    <w:rsid w:val="563B111C"/>
    <w:rsid w:val="569112AB"/>
    <w:rsid w:val="5CC536B4"/>
    <w:rsid w:val="651C5673"/>
    <w:rsid w:val="6E171F27"/>
    <w:rsid w:val="6F5301C0"/>
    <w:rsid w:val="763431FA"/>
    <w:rsid w:val="7AFD131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9"/>
    <w:qFormat/>
    <w:uiPriority w:val="99"/>
    <w:pPr>
      <w:tabs>
        <w:tab w:val="center" w:pos="4153"/>
        <w:tab w:val="right" w:pos="8306"/>
      </w:tabs>
      <w:snapToGrid w:val="0"/>
      <w:jc w:val="left"/>
    </w:pPr>
    <w:rPr>
      <w:sz w:val="18"/>
      <w:szCs w:val="18"/>
    </w:rPr>
  </w:style>
  <w:style w:type="paragraph" w:styleId="3">
    <w:name w:val="header"/>
    <w:basedOn w:val="1"/>
    <w:link w:val="8"/>
    <w:qFormat/>
    <w:uiPriority w:val="0"/>
    <w:pPr>
      <w:pBdr>
        <w:bottom w:val="single" w:color="auto" w:sz="6" w:space="1"/>
      </w:pBdr>
      <w:tabs>
        <w:tab w:val="center" w:pos="4153"/>
        <w:tab w:val="right" w:pos="8306"/>
      </w:tabs>
      <w:snapToGrid w:val="0"/>
      <w:jc w:val="center"/>
    </w:pPr>
    <w:rPr>
      <w:sz w:val="18"/>
      <w:szCs w:val="18"/>
    </w:rPr>
  </w:style>
  <w:style w:type="paragraph" w:styleId="4">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kern w:val="0"/>
      <w:sz w:val="24"/>
      <w:szCs w:val="24"/>
    </w:rPr>
  </w:style>
  <w:style w:type="paragraph" w:customStyle="1" w:styleId="7">
    <w:name w:val="null3"/>
    <w:hidden/>
    <w:qFormat/>
    <w:uiPriority w:val="0"/>
    <w:rPr>
      <w:rFonts w:hint="eastAsia" w:asciiTheme="minorHAnsi" w:hAnsiTheme="minorHAnsi" w:eastAsiaTheme="minorEastAsia" w:cstheme="minorBidi"/>
      <w:lang w:val="en-US" w:eastAsia="zh-Hans" w:bidi="ar-SA"/>
    </w:rPr>
  </w:style>
  <w:style w:type="character" w:customStyle="1" w:styleId="8">
    <w:name w:val="页眉 Char"/>
    <w:basedOn w:val="6"/>
    <w:link w:val="3"/>
    <w:qFormat/>
    <w:uiPriority w:val="0"/>
    <w:rPr>
      <w:rFonts w:eastAsia="仿宋_GB2312"/>
      <w:kern w:val="2"/>
      <w:sz w:val="18"/>
      <w:szCs w:val="18"/>
    </w:rPr>
  </w:style>
  <w:style w:type="character" w:customStyle="1" w:styleId="9">
    <w:name w:val="页脚 Char"/>
    <w:basedOn w:val="6"/>
    <w:link w:val="2"/>
    <w:qFormat/>
    <w:uiPriority w:val="99"/>
    <w:rPr>
      <w:rFonts w:eastAsia="仿宋_GB2312"/>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CCE8C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神州网信技术有限公司</Company>
  <Pages>3</Pages>
  <Words>2393</Words>
  <Characters>2489</Characters>
  <Lines>1</Lines>
  <Paragraphs>3</Paragraphs>
  <TotalTime>5</TotalTime>
  <ScaleCrop>false</ScaleCrop>
  <LinksUpToDate>false</LinksUpToDate>
  <CharactersWithSpaces>2566</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2025-04-22T08:45:00Z</dcterms:created>
  <dc:creator>Administrator</dc:creator>
  <cp:lastModifiedBy>梁华萍</cp:lastModifiedBy>
  <dcterms:modified xsi:type="dcterms:W3CDTF">2026-01-25T10:36:16Z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0EB7EFC44AA441A6A35636674018236C_13</vt:lpwstr>
  </property>
  <property fmtid="{D5CDD505-2E9C-101B-9397-08002B2CF9AE}" pid="4" name="KSOTemplateDocerSaveRecord">
    <vt:lpwstr>eyJoZGlkIjoiZDdkZTNmOTAzNzdiNjUxMDFiNzVhNDdkOTJmZTk2MjQiLCJ1c2VySWQiOiIxMzc4NTkzNjIyIn0=</vt:lpwstr>
  </property>
</Properties>
</file>